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C1" w:rsidRDefault="00C64502">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90DC1" w:rsidRDefault="00C90DC1">
      <w:pPr>
        <w:jc w:val="center"/>
        <w:rPr>
          <w:rFonts w:ascii="Arial" w:hAnsi="Arial"/>
        </w:rPr>
      </w:pPr>
      <w:r>
        <w:rPr>
          <w:rFonts w:ascii="Arial" w:hAnsi="Arial"/>
        </w:rPr>
        <w:t>Australian Capital Territory</w:t>
      </w:r>
    </w:p>
    <w:p w:rsidR="00C90DC1" w:rsidRPr="00FB22EB" w:rsidRDefault="00C90DC1">
      <w:pPr>
        <w:pStyle w:val="citation"/>
      </w:pPr>
      <w:bookmarkStart w:id="1" w:name="Citation"/>
      <w:r w:rsidRPr="00FB22EB">
        <w:t>Scaffolding and Lifts Act 1957</w:t>
      </w:r>
      <w:bookmarkEnd w:id="1"/>
    </w:p>
    <w:p w:rsidR="00C90DC1" w:rsidRDefault="00C90DC1" w:rsidP="00C90DC1">
      <w:pPr>
        <w:pStyle w:val="ActNo"/>
      </w:pPr>
      <w:bookmarkStart w:id="2" w:name="LawNo"/>
      <w:r>
        <w:t>A1957-8</w:t>
      </w:r>
      <w:bookmarkEnd w:id="2"/>
    </w:p>
    <w:p w:rsidR="00C90DC1" w:rsidRDefault="00C90DC1">
      <w:pPr>
        <w:pStyle w:val="RepubNo"/>
      </w:pPr>
      <w:r>
        <w:t>Republication No</w:t>
      </w:r>
      <w:r w:rsidR="00FB22EB">
        <w:t xml:space="preserve"> 1 (RI)</w:t>
      </w:r>
    </w:p>
    <w:p w:rsidR="00C90DC1" w:rsidRDefault="00C90DC1">
      <w:pPr>
        <w:pStyle w:val="EffectiveDate"/>
      </w:pPr>
      <w:r>
        <w:t xml:space="preserve">Effective:  </w:t>
      </w:r>
      <w:r w:rsidR="00530A7C">
        <w:t>27 August 1993</w:t>
      </w:r>
      <w:r w:rsidRPr="0053159E">
        <w:t xml:space="preserve"> – </w:t>
      </w:r>
      <w:r w:rsidR="00994872">
        <w:t>8 December 1998</w:t>
      </w:r>
    </w:p>
    <w:p w:rsidR="00C90DC1" w:rsidRDefault="00C90DC1">
      <w:pPr>
        <w:pStyle w:val="CoverInForce"/>
      </w:pPr>
      <w:r>
        <w:t>Republication date</w:t>
      </w:r>
      <w:r w:rsidR="005C1C88">
        <w:t xml:space="preserve"> of printed version</w:t>
      </w:r>
      <w:r>
        <w:t xml:space="preserve">: </w:t>
      </w:r>
      <w:r w:rsidR="005C1C88">
        <w:t>31 December 1993</w:t>
      </w:r>
      <w:r>
        <w:br/>
        <w:t xml:space="preserve">Reissued </w:t>
      </w:r>
      <w:r w:rsidRPr="005C1C88">
        <w:t>electronically</w:t>
      </w:r>
      <w:r>
        <w:t xml:space="preserve">: </w:t>
      </w:r>
      <w:r w:rsidR="0077420E">
        <w:t>20 January 2020</w:t>
      </w:r>
    </w:p>
    <w:p w:rsidR="00994872" w:rsidRDefault="00C90DC1" w:rsidP="00994872">
      <w:pPr>
        <w:pStyle w:val="CoverInForce"/>
      </w:pPr>
      <w:r w:rsidRPr="005C1C88">
        <w:t>Last amendment made by A</w:t>
      </w:r>
      <w:r w:rsidR="00994872">
        <w:t>1993-44</w:t>
      </w:r>
      <w:r w:rsidR="00994872">
        <w:br/>
        <w:t xml:space="preserve">(republication for initial republication since </w:t>
      </w:r>
      <w:r w:rsidR="00994872">
        <w:br/>
        <w:t>self-government and amendments by A1993-44)</w:t>
      </w:r>
    </w:p>
    <w:p w:rsidR="00C90DC1" w:rsidRDefault="00C90DC1" w:rsidP="005B52DA"/>
    <w:p w:rsidR="00C90DC1" w:rsidRDefault="00C90DC1"/>
    <w:p w:rsidR="00C90DC1" w:rsidRDefault="00C90DC1"/>
    <w:p w:rsidR="00C90DC1" w:rsidRDefault="00C90DC1"/>
    <w:p w:rsidR="00C90DC1" w:rsidRDefault="00C90DC1">
      <w:pPr>
        <w:pStyle w:val="CoverHeading"/>
      </w:pPr>
      <w:r>
        <w:br w:type="page"/>
      </w:r>
      <w:r>
        <w:lastRenderedPageBreak/>
        <w:t>About this republication</w:t>
      </w:r>
    </w:p>
    <w:p w:rsidR="00C90DC1" w:rsidRDefault="00C90DC1">
      <w:pPr>
        <w:pStyle w:val="CoverSubHdg"/>
      </w:pPr>
      <w:r>
        <w:t>The republished law</w:t>
      </w:r>
    </w:p>
    <w:p w:rsidR="00C90DC1" w:rsidRDefault="00C90DC1">
      <w:pPr>
        <w:pStyle w:val="CoverText"/>
      </w:pPr>
      <w:r>
        <w:t xml:space="preserve">This is a republication of the </w:t>
      </w:r>
      <w:r w:rsidR="005C1C88">
        <w:rPr>
          <w:i/>
        </w:rPr>
        <w:t>Scaffolding and Lifts Act 1957</w:t>
      </w:r>
      <w:r>
        <w:t xml:space="preserve"> effective </w:t>
      </w:r>
      <w:r w:rsidR="005B52DA">
        <w:t>27 August 1993</w:t>
      </w:r>
      <w:r>
        <w:t xml:space="preserve"> to </w:t>
      </w:r>
      <w:r w:rsidR="005B52DA">
        <w:t>8</w:t>
      </w:r>
      <w:r w:rsidR="002E3529">
        <w:t> </w:t>
      </w:r>
      <w:r w:rsidR="005B52DA">
        <w:t>December 1993</w:t>
      </w:r>
      <w:r>
        <w:t xml:space="preserve">.  </w:t>
      </w:r>
    </w:p>
    <w:p w:rsidR="00C90DC1" w:rsidRDefault="00C90DC1">
      <w:pPr>
        <w:pStyle w:val="CoverSubHdg"/>
      </w:pPr>
      <w:r>
        <w:t>Kinds of republications</w:t>
      </w:r>
    </w:p>
    <w:p w:rsidR="00C90DC1" w:rsidRDefault="00C90DC1">
      <w:pPr>
        <w:pStyle w:val="CoverText"/>
      </w:pPr>
      <w:r>
        <w:t>The Parliamentary Counsel’s Office prepares 2 kinds of republications of ACT laws (see the ACT legislation register at www.legislation.act.gov.au):</w:t>
      </w:r>
    </w:p>
    <w:p w:rsidR="00C90DC1" w:rsidRDefault="00C90DC1">
      <w:pPr>
        <w:pStyle w:val="CoverText"/>
        <w:numPr>
          <w:ilvl w:val="0"/>
          <w:numId w:val="1"/>
        </w:numPr>
      </w:pPr>
      <w:r>
        <w:t xml:space="preserve">authorised republications to which the </w:t>
      </w:r>
      <w:r>
        <w:rPr>
          <w:i/>
        </w:rPr>
        <w:t>Legislation Act 2001</w:t>
      </w:r>
      <w:r>
        <w:t xml:space="preserve"> applies</w:t>
      </w:r>
    </w:p>
    <w:p w:rsidR="00C90DC1" w:rsidRDefault="00C90DC1">
      <w:pPr>
        <w:pStyle w:val="CoverText"/>
        <w:numPr>
          <w:ilvl w:val="0"/>
          <w:numId w:val="1"/>
        </w:numPr>
      </w:pPr>
      <w:r>
        <w:t>unauthorised republications.</w:t>
      </w:r>
    </w:p>
    <w:p w:rsidR="00C90DC1" w:rsidRDefault="00C90DC1">
      <w:pPr>
        <w:pStyle w:val="CoverText"/>
      </w:pPr>
      <w:r>
        <w:t>The status of this republication appears on the bottom of each page.</w:t>
      </w:r>
    </w:p>
    <w:p w:rsidR="00C90DC1" w:rsidRDefault="00C90DC1">
      <w:pPr>
        <w:pStyle w:val="00SigningPage"/>
        <w:sectPr w:rsidR="00C90DC1" w:rsidSect="001D0D5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BF66BE" w:rsidRDefault="00C64502" w:rsidP="00BF66BE">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F66BE" w:rsidRDefault="00BF66BE" w:rsidP="00BF66BE">
      <w:pPr>
        <w:jc w:val="center"/>
        <w:rPr>
          <w:rFonts w:ascii="Arial" w:hAnsi="Arial"/>
        </w:rPr>
      </w:pPr>
      <w:r>
        <w:rPr>
          <w:rFonts w:ascii="Arial" w:hAnsi="Arial"/>
        </w:rPr>
        <w:t>Australian Capital Territory</w:t>
      </w:r>
    </w:p>
    <w:p w:rsidR="00F66109" w:rsidRDefault="00F66109">
      <w:pPr>
        <w:pBdr>
          <w:top w:val="single" w:sz="2" w:space="0" w:color="auto"/>
        </w:pBdr>
        <w:spacing w:before="200" w:after="0"/>
        <w:ind w:left="2980" w:right="3020"/>
        <w:rPr>
          <w:b/>
          <w:color w:val="000000"/>
        </w:rPr>
      </w:pPr>
    </w:p>
    <w:p w:rsidR="00F66109" w:rsidRDefault="00F66109">
      <w:pPr>
        <w:spacing w:after="100"/>
        <w:jc w:val="center"/>
        <w:rPr>
          <w:rFonts w:ascii="Helvetica" w:hAnsi="Helvetica"/>
          <w:b/>
          <w:caps/>
          <w:color w:val="000000"/>
          <w:sz w:val="28"/>
        </w:rPr>
      </w:pPr>
      <w:r>
        <w:rPr>
          <w:rFonts w:ascii="Helvetica" w:hAnsi="Helvetica"/>
          <w:b/>
          <w:caps/>
          <w:color w:val="000000"/>
          <w:sz w:val="28"/>
        </w:rPr>
        <w:t>SCAFFOLDING AND LIFTS act 1957</w:t>
      </w:r>
    </w:p>
    <w:p w:rsidR="00F66109" w:rsidRDefault="00F66109">
      <w:pPr>
        <w:spacing w:after="200"/>
        <w:jc w:val="center"/>
        <w:rPr>
          <w:i/>
          <w:color w:val="000000"/>
          <w:sz w:val="20"/>
        </w:rPr>
      </w:pPr>
      <w:r>
        <w:rPr>
          <w:color w:val="000000"/>
          <w:sz w:val="20"/>
        </w:rPr>
        <w:t>This consolidation has been prepared by the ACT Parliamentary Counsel’s Office</w:t>
      </w:r>
    </w:p>
    <w:p w:rsidR="00F66109" w:rsidRDefault="00F66109">
      <w:pPr>
        <w:spacing w:before="200"/>
        <w:jc w:val="center"/>
        <w:rPr>
          <w:b/>
          <w:color w:val="000000"/>
          <w:sz w:val="20"/>
        </w:rPr>
      </w:pPr>
      <w:r>
        <w:rPr>
          <w:b/>
          <w:color w:val="000000"/>
          <w:sz w:val="20"/>
        </w:rPr>
        <w:t>TABLE OF PROVISIONS</w:t>
      </w:r>
    </w:p>
    <w:p w:rsidR="00F66109" w:rsidRDefault="00F66109">
      <w:pPr>
        <w:spacing w:before="200"/>
        <w:rPr>
          <w:color w:val="000000"/>
          <w:sz w:val="18"/>
        </w:rPr>
      </w:pPr>
      <w:r>
        <w:rPr>
          <w:color w:val="000000"/>
          <w:sz w:val="18"/>
        </w:rPr>
        <w:t>Section</w:t>
      </w:r>
    </w:p>
    <w:p w:rsidR="00F66109" w:rsidRDefault="00F66109">
      <w:pPr>
        <w:pStyle w:val="TOC1"/>
        <w:rPr>
          <w:color w:val="000000"/>
        </w:rPr>
      </w:pPr>
      <w:r>
        <w:rPr>
          <w:color w:val="000000"/>
        </w:rPr>
        <w:t>Part I—Preliminary</w:t>
      </w:r>
    </w:p>
    <w:p w:rsidR="00F66109" w:rsidRDefault="00F66109">
      <w:pPr>
        <w:pStyle w:val="TOC3"/>
        <w:rPr>
          <w:color w:val="000000"/>
        </w:rPr>
      </w:pPr>
      <w:r>
        <w:rPr>
          <w:color w:val="000000"/>
        </w:rPr>
        <w:tab/>
        <w:t>1.</w:t>
      </w:r>
      <w:r>
        <w:rPr>
          <w:color w:val="000000"/>
        </w:rPr>
        <w:tab/>
        <w:t>Short title</w:t>
      </w:r>
    </w:p>
    <w:p w:rsidR="00F66109" w:rsidRDefault="00F66109">
      <w:pPr>
        <w:pStyle w:val="TOC3"/>
        <w:rPr>
          <w:color w:val="000000"/>
        </w:rPr>
      </w:pPr>
      <w:r>
        <w:rPr>
          <w:color w:val="000000"/>
        </w:rPr>
        <w:tab/>
        <w:t>3.</w:t>
      </w:r>
      <w:r>
        <w:rPr>
          <w:color w:val="000000"/>
        </w:rPr>
        <w:tab/>
        <w:t>Repeal and saving</w:t>
      </w:r>
    </w:p>
    <w:p w:rsidR="00F66109" w:rsidRDefault="00F66109">
      <w:pPr>
        <w:pStyle w:val="TOC3"/>
        <w:rPr>
          <w:color w:val="000000"/>
        </w:rPr>
      </w:pPr>
      <w:r>
        <w:rPr>
          <w:color w:val="000000"/>
        </w:rPr>
        <w:tab/>
        <w:t xml:space="preserve">4. </w:t>
      </w:r>
      <w:r>
        <w:rPr>
          <w:color w:val="000000"/>
        </w:rPr>
        <w:tab/>
        <w:t>Interpretation</w:t>
      </w:r>
    </w:p>
    <w:p w:rsidR="00F66109" w:rsidRDefault="00F66109">
      <w:pPr>
        <w:pStyle w:val="TOC3"/>
        <w:rPr>
          <w:color w:val="000000"/>
        </w:rPr>
      </w:pPr>
      <w:r>
        <w:rPr>
          <w:color w:val="000000"/>
        </w:rPr>
        <w:tab/>
        <w:t>6.</w:t>
      </w:r>
      <w:r>
        <w:rPr>
          <w:color w:val="000000"/>
        </w:rPr>
        <w:tab/>
        <w:t>Appointment of Chief Inspector etc.</w:t>
      </w:r>
    </w:p>
    <w:p w:rsidR="00F66109" w:rsidRDefault="00F66109">
      <w:pPr>
        <w:pStyle w:val="TOC3"/>
        <w:rPr>
          <w:color w:val="000000"/>
        </w:rPr>
      </w:pPr>
      <w:r>
        <w:rPr>
          <w:color w:val="000000"/>
        </w:rPr>
        <w:tab/>
        <w:t>6A.</w:t>
      </w:r>
      <w:r>
        <w:rPr>
          <w:color w:val="000000"/>
        </w:rPr>
        <w:tab/>
        <w:t>Fees payable</w:t>
      </w:r>
    </w:p>
    <w:p w:rsidR="00F66109" w:rsidRDefault="00F66109">
      <w:pPr>
        <w:pStyle w:val="TOC3"/>
        <w:rPr>
          <w:color w:val="000000"/>
        </w:rPr>
      </w:pPr>
      <w:r>
        <w:rPr>
          <w:color w:val="000000"/>
        </w:rPr>
        <w:tab/>
        <w:t xml:space="preserve">6B. </w:t>
      </w:r>
      <w:r>
        <w:rPr>
          <w:color w:val="000000"/>
        </w:rPr>
        <w:tab/>
        <w:t>Power of Minister to determine fees</w:t>
      </w:r>
    </w:p>
    <w:p w:rsidR="00F66109" w:rsidRDefault="00F66109">
      <w:pPr>
        <w:pStyle w:val="TOC1"/>
        <w:spacing w:after="200"/>
        <w:ind w:left="1200" w:right="1200"/>
        <w:rPr>
          <w:color w:val="000000"/>
        </w:rPr>
      </w:pPr>
      <w:r>
        <w:rPr>
          <w:color w:val="000000"/>
        </w:rPr>
        <w:t>Part II—Application Of The Scaffolding And Lifts Act And Regulations Of The State Of New South Wales</w:t>
      </w:r>
    </w:p>
    <w:p w:rsidR="00F66109" w:rsidRDefault="00F66109">
      <w:pPr>
        <w:pStyle w:val="TOC3"/>
        <w:rPr>
          <w:color w:val="000000"/>
        </w:rPr>
      </w:pPr>
      <w:r>
        <w:rPr>
          <w:color w:val="000000"/>
        </w:rPr>
        <w:tab/>
        <w:t xml:space="preserve">7. </w:t>
      </w:r>
      <w:r>
        <w:rPr>
          <w:color w:val="000000"/>
        </w:rPr>
        <w:tab/>
        <w:t>Application and modifications</w:t>
      </w:r>
    </w:p>
    <w:p w:rsidR="00F66109" w:rsidRDefault="00F66109">
      <w:pPr>
        <w:pStyle w:val="TOC3"/>
        <w:rPr>
          <w:color w:val="000000"/>
        </w:rPr>
      </w:pPr>
      <w:r>
        <w:rPr>
          <w:color w:val="000000"/>
        </w:rPr>
        <w:tab/>
        <w:t xml:space="preserve">8. </w:t>
      </w:r>
      <w:r>
        <w:rPr>
          <w:color w:val="000000"/>
        </w:rPr>
        <w:tab/>
        <w:t>Interpretation</w:t>
      </w:r>
    </w:p>
    <w:p w:rsidR="00F66109" w:rsidRDefault="00F66109">
      <w:pPr>
        <w:pStyle w:val="TOC1"/>
        <w:spacing w:after="200"/>
        <w:rPr>
          <w:color w:val="000000"/>
        </w:rPr>
      </w:pPr>
      <w:r>
        <w:rPr>
          <w:color w:val="000000"/>
        </w:rPr>
        <w:t>Part III—Regulations</w:t>
      </w:r>
    </w:p>
    <w:p w:rsidR="00F66109" w:rsidRDefault="00F66109">
      <w:pPr>
        <w:pStyle w:val="TOC3"/>
        <w:rPr>
          <w:color w:val="000000"/>
        </w:rPr>
      </w:pPr>
      <w:r>
        <w:rPr>
          <w:color w:val="000000"/>
        </w:rPr>
        <w:tab/>
        <w:t xml:space="preserve">9. </w:t>
      </w:r>
      <w:r>
        <w:rPr>
          <w:color w:val="000000"/>
        </w:rPr>
        <w:tab/>
        <w:t>Regulations</w:t>
      </w:r>
    </w:p>
    <w:p w:rsidR="00F66109" w:rsidRDefault="00F66109">
      <w:pPr>
        <w:pStyle w:val="TOC1"/>
        <w:spacing w:before="0" w:after="0"/>
        <w:rPr>
          <w:color w:val="000000"/>
        </w:rPr>
      </w:pPr>
      <w:r>
        <w:rPr>
          <w:color w:val="000000"/>
        </w:rPr>
        <w:lastRenderedPageBreak/>
        <w:t>The Schedule</w:t>
      </w:r>
    </w:p>
    <w:p w:rsidR="00F66109" w:rsidRDefault="00F66109">
      <w:pPr>
        <w:pStyle w:val="TOC1"/>
        <w:rPr>
          <w:color w:val="000000"/>
        </w:rPr>
      </w:pPr>
      <w:r>
        <w:rPr>
          <w:color w:val="000000"/>
        </w:rPr>
        <w:t>Part I</w:t>
      </w:r>
    </w:p>
    <w:p w:rsidR="00F66109" w:rsidRDefault="00F66109">
      <w:pPr>
        <w:pStyle w:val="TOC1"/>
        <w:ind w:left="1200" w:right="1200"/>
        <w:rPr>
          <w:color w:val="000000"/>
        </w:rPr>
      </w:pPr>
      <w:r>
        <w:rPr>
          <w:color w:val="000000"/>
        </w:rPr>
        <w:t>Modifications of the Scaffolding and Lifts Act 1912 of the State of New South Wales in its Application in the Territory</w:t>
      </w:r>
    </w:p>
    <w:p w:rsidR="00F66109" w:rsidRDefault="00F66109">
      <w:pPr>
        <w:pStyle w:val="TOC1"/>
        <w:ind w:left="1200" w:right="1200"/>
        <w:rPr>
          <w:color w:val="000000"/>
        </w:rPr>
      </w:pPr>
      <w:r>
        <w:rPr>
          <w:color w:val="000000"/>
        </w:rPr>
        <w:t>Part II</w:t>
      </w:r>
    </w:p>
    <w:p w:rsidR="00F66109" w:rsidRDefault="00F66109">
      <w:pPr>
        <w:pStyle w:val="TOC1"/>
        <w:ind w:left="1200" w:right="1200"/>
        <w:rPr>
          <w:color w:val="000000"/>
        </w:rPr>
      </w:pPr>
      <w:r>
        <w:rPr>
          <w:color w:val="000000"/>
        </w:rPr>
        <w:t>Modifications of the Scaffolding and Lifts Regulations of the State of New South Wales in their Application in the territory</w:t>
      </w:r>
    </w:p>
    <w:p w:rsidR="00F66109" w:rsidRDefault="00F66109">
      <w:pPr>
        <w:pStyle w:val="TOC1"/>
        <w:rPr>
          <w:color w:val="000000"/>
        </w:rPr>
      </w:pPr>
    </w:p>
    <w:p w:rsidR="00F66109" w:rsidRDefault="00F66109">
      <w:pPr>
        <w:ind w:right="20"/>
        <w:rPr>
          <w:color w:val="000000"/>
        </w:rPr>
        <w:sectPr w:rsidR="00F66109" w:rsidSect="001D0D5F">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cols w:space="720"/>
          <w:titlePg/>
          <w:docGrid w:linePitch="326"/>
        </w:sectPr>
      </w:pPr>
    </w:p>
    <w:p w:rsidR="00BF66BE" w:rsidRDefault="00C64502" w:rsidP="00BF66BE">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F66BE" w:rsidRDefault="00BF66BE" w:rsidP="00BF66BE">
      <w:pPr>
        <w:jc w:val="center"/>
        <w:rPr>
          <w:rFonts w:ascii="Arial" w:hAnsi="Arial"/>
        </w:rPr>
      </w:pPr>
      <w:r>
        <w:rPr>
          <w:rFonts w:ascii="Arial" w:hAnsi="Arial"/>
        </w:rPr>
        <w:t>Australian Capital Territory</w:t>
      </w:r>
    </w:p>
    <w:p w:rsidR="00F66109" w:rsidRDefault="00F66109">
      <w:pPr>
        <w:pBdr>
          <w:top w:val="single" w:sz="2" w:space="0" w:color="auto"/>
        </w:pBdr>
        <w:spacing w:before="200" w:after="0"/>
        <w:ind w:left="2980" w:right="3020"/>
        <w:rPr>
          <w:b/>
          <w:color w:val="000000"/>
        </w:rPr>
      </w:pPr>
    </w:p>
    <w:p w:rsidR="00F66109" w:rsidRDefault="00F66109">
      <w:pPr>
        <w:spacing w:before="300" w:after="400"/>
        <w:jc w:val="center"/>
        <w:rPr>
          <w:rFonts w:ascii="Helvetica" w:hAnsi="Helvetica"/>
          <w:b/>
          <w:caps/>
          <w:color w:val="000000"/>
          <w:sz w:val="28"/>
        </w:rPr>
      </w:pPr>
      <w:r>
        <w:rPr>
          <w:rFonts w:ascii="Helvetica" w:hAnsi="Helvetica"/>
          <w:b/>
          <w:caps/>
          <w:color w:val="000000"/>
          <w:sz w:val="28"/>
        </w:rPr>
        <w:t>SCAFFOLDING AND LIFTS act 1957</w:t>
      </w:r>
    </w:p>
    <w:p w:rsidR="00F66109" w:rsidRDefault="00F66109">
      <w:pPr>
        <w:pStyle w:val="Amain"/>
        <w:jc w:val="center"/>
        <w:rPr>
          <w:color w:val="000000"/>
        </w:rPr>
      </w:pPr>
      <w:r>
        <w:rPr>
          <w:color w:val="000000"/>
        </w:rPr>
        <w:t>An Act relating to Scaffolding, Lifts and Cranes and to Building, Excavation and Compressed Air Work</w:t>
      </w:r>
    </w:p>
    <w:p w:rsidR="00F66109" w:rsidRDefault="00F66109">
      <w:pPr>
        <w:pStyle w:val="AH1Part"/>
        <w:rPr>
          <w:color w:val="000000"/>
        </w:rPr>
      </w:pPr>
      <w:r>
        <w:rPr>
          <w:color w:val="000000"/>
        </w:rPr>
        <w:t>Part I—Preliminary</w:t>
      </w:r>
    </w:p>
    <w:p w:rsidR="00F66109" w:rsidRDefault="00F66109">
      <w:pPr>
        <w:pStyle w:val="AH3sec"/>
        <w:rPr>
          <w:color w:val="000000"/>
        </w:rPr>
      </w:pPr>
      <w:r>
        <w:rPr>
          <w:color w:val="000000"/>
        </w:rPr>
        <w:t xml:space="preserve">1. </w:t>
      </w:r>
      <w:r>
        <w:rPr>
          <w:color w:val="000000"/>
        </w:rPr>
        <w:tab/>
        <w:t>Short title</w:t>
      </w:r>
    </w:p>
    <w:p w:rsidR="00F66109" w:rsidRDefault="00F66109">
      <w:pPr>
        <w:pStyle w:val="Amain"/>
        <w:rPr>
          <w:color w:val="000000"/>
        </w:rPr>
      </w:pPr>
      <w:r>
        <w:rPr>
          <w:color w:val="000000"/>
        </w:rPr>
        <w:tab/>
        <w:t xml:space="preserve">This Act may be cited as the </w:t>
      </w:r>
      <w:r>
        <w:rPr>
          <w:i/>
          <w:color w:val="000000"/>
        </w:rPr>
        <w:t>Scaffolding and Lifts</w:t>
      </w:r>
      <w:r>
        <w:rPr>
          <w:color w:val="000000"/>
        </w:rPr>
        <w:t xml:space="preserve"> </w:t>
      </w:r>
      <w:r>
        <w:rPr>
          <w:i/>
          <w:color w:val="000000"/>
        </w:rPr>
        <w:t>Act 1957</w:t>
      </w:r>
      <w:r>
        <w:rPr>
          <w:color w:val="000000"/>
        </w:rPr>
        <w:t>.</w:t>
      </w:r>
      <w:r>
        <w:rPr>
          <w:color w:val="000000"/>
          <w:position w:val="10"/>
          <w:sz w:val="12"/>
        </w:rPr>
        <w:t>1</w:t>
      </w:r>
    </w:p>
    <w:p w:rsidR="00F66109" w:rsidRDefault="00F66109">
      <w:pPr>
        <w:pStyle w:val="AH3sec"/>
        <w:rPr>
          <w:color w:val="000000"/>
        </w:rPr>
      </w:pPr>
      <w:r>
        <w:rPr>
          <w:color w:val="000000"/>
        </w:rPr>
        <w:t xml:space="preserve">3. </w:t>
      </w:r>
      <w:r>
        <w:rPr>
          <w:color w:val="000000"/>
        </w:rPr>
        <w:tab/>
        <w:t>Repeal and saving</w:t>
      </w:r>
    </w:p>
    <w:p w:rsidR="00F66109" w:rsidRDefault="00F66109">
      <w:pPr>
        <w:pStyle w:val="Amain"/>
        <w:rPr>
          <w:color w:val="000000"/>
        </w:rPr>
      </w:pPr>
      <w:r>
        <w:rPr>
          <w:b/>
          <w:color w:val="000000"/>
        </w:rPr>
        <w:t xml:space="preserve">(1) </w:t>
      </w:r>
      <w:r>
        <w:rPr>
          <w:color w:val="000000"/>
        </w:rPr>
        <w:tab/>
        <w:t xml:space="preserve">Subject to the next succeeding subsection, the </w:t>
      </w:r>
      <w:r>
        <w:rPr>
          <w:i/>
          <w:color w:val="000000"/>
        </w:rPr>
        <w:t>Scaffolding and Lifts Ordinance 1941</w:t>
      </w:r>
      <w:r>
        <w:rPr>
          <w:color w:val="000000"/>
        </w:rPr>
        <w:t xml:space="preserve">, the </w:t>
      </w:r>
      <w:r>
        <w:rPr>
          <w:i/>
          <w:color w:val="000000"/>
        </w:rPr>
        <w:t>Scaffolding and Lifts Ordinance 1942</w:t>
      </w:r>
      <w:r>
        <w:rPr>
          <w:color w:val="000000"/>
        </w:rPr>
        <w:t xml:space="preserve">, the </w:t>
      </w:r>
      <w:r>
        <w:rPr>
          <w:i/>
          <w:color w:val="000000"/>
        </w:rPr>
        <w:t>Scaffolding and Lifts Ordinance 1946</w:t>
      </w:r>
      <w:r>
        <w:rPr>
          <w:color w:val="000000"/>
        </w:rPr>
        <w:t xml:space="preserve">, the </w:t>
      </w:r>
      <w:r>
        <w:rPr>
          <w:i/>
          <w:color w:val="000000"/>
        </w:rPr>
        <w:t xml:space="preserve">Scaffolding and Lifts Ordinance 1953 </w:t>
      </w:r>
      <w:r>
        <w:rPr>
          <w:color w:val="000000"/>
        </w:rPr>
        <w:t xml:space="preserve">and the </w:t>
      </w:r>
      <w:r>
        <w:rPr>
          <w:i/>
          <w:color w:val="000000"/>
        </w:rPr>
        <w:t xml:space="preserve">Scaffolding and Lifts Ordinance (No. 2) 1953 </w:t>
      </w:r>
      <w:r>
        <w:rPr>
          <w:color w:val="000000"/>
        </w:rPr>
        <w:t>are repealed.</w:t>
      </w:r>
    </w:p>
    <w:p w:rsidR="00F66109" w:rsidRDefault="00F66109">
      <w:pPr>
        <w:pStyle w:val="Amain"/>
        <w:rPr>
          <w:color w:val="000000"/>
        </w:rPr>
      </w:pPr>
      <w:r>
        <w:rPr>
          <w:b/>
          <w:color w:val="000000"/>
        </w:rPr>
        <w:t xml:space="preserve">(2) </w:t>
      </w:r>
      <w:r>
        <w:rPr>
          <w:color w:val="000000"/>
        </w:rPr>
        <w:tab/>
        <w:t xml:space="preserve">Notwithstanding the repeal effected by the last preceding subsection, section sixteen of the </w:t>
      </w:r>
      <w:r>
        <w:rPr>
          <w:i/>
          <w:color w:val="000000"/>
        </w:rPr>
        <w:t xml:space="preserve">Scaffolding and Lifts Ordinance 1941 </w:t>
      </w:r>
      <w:r>
        <w:rPr>
          <w:color w:val="000000"/>
        </w:rPr>
        <w:t>shall continue in force until section seventeen of the Scaffolding and Lifts Act commences to apply in the Territory as a law of the Territory.</w:t>
      </w:r>
    </w:p>
    <w:p w:rsidR="00F66109" w:rsidRDefault="00F66109">
      <w:pPr>
        <w:pStyle w:val="Amain"/>
        <w:rPr>
          <w:color w:val="000000"/>
        </w:rPr>
      </w:pPr>
      <w:r>
        <w:rPr>
          <w:b/>
          <w:color w:val="000000"/>
        </w:rPr>
        <w:t xml:space="preserve">(3) </w:t>
      </w:r>
      <w:r>
        <w:rPr>
          <w:color w:val="000000"/>
        </w:rPr>
        <w:tab/>
        <w:t xml:space="preserve">All certificates duly granted under section sixteen of the </w:t>
      </w:r>
      <w:r>
        <w:rPr>
          <w:i/>
          <w:color w:val="000000"/>
        </w:rPr>
        <w:t>Scaffolding and Lifts Ordinance 1941</w:t>
      </w:r>
      <w:r>
        <w:rPr>
          <w:color w:val="000000"/>
        </w:rPr>
        <w:t>, or that Ordinance as amended at any time, and in force when section seventeen of the Scaffolding and Lifts Act commences to apply by force of this Act in the Territory as a law of the Territory, shall be deemed to have been duly granted under that last-mentioned section and as if that last-mentioned section had applied in the Territory as a law of the Territory when they were granted.</w:t>
      </w:r>
    </w:p>
    <w:p w:rsidR="00F66109" w:rsidRDefault="00F66109">
      <w:pPr>
        <w:pStyle w:val="Amain"/>
        <w:rPr>
          <w:color w:val="000000"/>
        </w:rPr>
      </w:pPr>
      <w:r>
        <w:rPr>
          <w:color w:val="000000"/>
        </w:rPr>
        <w:br w:type="page"/>
      </w:r>
      <w:r>
        <w:rPr>
          <w:b/>
          <w:color w:val="000000"/>
        </w:rPr>
        <w:lastRenderedPageBreak/>
        <w:t xml:space="preserve">(4) </w:t>
      </w:r>
      <w:r>
        <w:rPr>
          <w:b/>
          <w:color w:val="000000"/>
        </w:rPr>
        <w:tab/>
      </w:r>
      <w:r>
        <w:rPr>
          <w:color w:val="000000"/>
        </w:rPr>
        <w:t xml:space="preserve">All notices, orders and authorities duly given, all certificates duly granted and all acts and things duly done under or in accordance with any of the provisions of an Ordinance repealed by this section (other than section sixteen of the </w:t>
      </w:r>
      <w:r>
        <w:rPr>
          <w:i/>
          <w:color w:val="000000"/>
        </w:rPr>
        <w:t>Scaffolding and Lifts Ordinance 1941</w:t>
      </w:r>
      <w:r>
        <w:rPr>
          <w:color w:val="000000"/>
        </w:rPr>
        <w:t xml:space="preserve"> or that Ordinance as amended at any time) or of a law of the State of New South Wales which was adopted as a law of the Territory by, or which applied as a law of the Territory by virtue of, such an Ordinance and in force at the commencement of this Act shall be deemed to be and to have been duly given, granted or done under or in accordance with the corresponding provisions of the Scaffolding and Lifts Act in its application in the Territory, or the </w:t>
      </w:r>
      <w:r>
        <w:rPr>
          <w:i/>
          <w:color w:val="000000"/>
        </w:rPr>
        <w:t>Scaffolding and Lifts Regulations</w:t>
      </w:r>
      <w:r>
        <w:rPr>
          <w:color w:val="000000"/>
        </w:rPr>
        <w:t xml:space="preserve"> in their application in the Territory, and as if this Act had been in force when they were given, granted or done, respectively.</w:t>
      </w:r>
    </w:p>
    <w:p w:rsidR="00F66109" w:rsidRDefault="00F66109">
      <w:pPr>
        <w:pStyle w:val="Amain"/>
        <w:rPr>
          <w:color w:val="000000"/>
        </w:rPr>
      </w:pPr>
      <w:r>
        <w:rPr>
          <w:b/>
          <w:color w:val="000000"/>
        </w:rPr>
        <w:t>(5)</w:t>
      </w:r>
      <w:r>
        <w:rPr>
          <w:color w:val="000000"/>
        </w:rPr>
        <w:t xml:space="preserve"> </w:t>
      </w:r>
      <w:r>
        <w:rPr>
          <w:color w:val="000000"/>
        </w:rPr>
        <w:tab/>
        <w:t xml:space="preserve">A person who, immediately before the commencement of this Act, held office as the Chief Inspector of Scaffolding and Lifts, or as an inspector, under the </w:t>
      </w:r>
      <w:r>
        <w:rPr>
          <w:i/>
          <w:color w:val="000000"/>
        </w:rPr>
        <w:t xml:space="preserve">Scaffolding and Lifts Ordinance 1941 </w:t>
      </w:r>
      <w:r>
        <w:rPr>
          <w:color w:val="000000"/>
        </w:rPr>
        <w:t>shall hold office as the Chief Inspector of Scaffolding and Lifts or as an inspector, as the case may be, under this Act as if he had been appointed to that office under this Act.</w:t>
      </w:r>
    </w:p>
    <w:p w:rsidR="00F66109" w:rsidRDefault="00F66109">
      <w:pPr>
        <w:pStyle w:val="AH3sec"/>
        <w:rPr>
          <w:color w:val="000000"/>
        </w:rPr>
      </w:pPr>
      <w:r>
        <w:rPr>
          <w:color w:val="000000"/>
        </w:rPr>
        <w:t xml:space="preserve">4. </w:t>
      </w:r>
      <w:r>
        <w:rPr>
          <w:color w:val="000000"/>
        </w:rPr>
        <w:tab/>
        <w:t>Interpretation</w:t>
      </w:r>
    </w:p>
    <w:p w:rsidR="00F66109" w:rsidRDefault="00F66109">
      <w:pPr>
        <w:pStyle w:val="Amain"/>
        <w:rPr>
          <w:color w:val="000000"/>
        </w:rPr>
      </w:pPr>
      <w:r>
        <w:rPr>
          <w:color w:val="000000"/>
        </w:rPr>
        <w:tab/>
        <w:t>In this Act, unless the contrary intention appears—</w:t>
      </w:r>
    </w:p>
    <w:p w:rsidR="00F66109" w:rsidRDefault="00F66109">
      <w:pPr>
        <w:pStyle w:val="aDef"/>
        <w:rPr>
          <w:color w:val="000000"/>
        </w:rPr>
      </w:pPr>
      <w:r>
        <w:rPr>
          <w:color w:val="000000"/>
        </w:rPr>
        <w:t xml:space="preserve">“the Scaffolding and Lifts Act” means the </w:t>
      </w:r>
      <w:r>
        <w:rPr>
          <w:i/>
          <w:color w:val="000000"/>
        </w:rPr>
        <w:t>Scaffolding and Lifts Act</w:t>
      </w:r>
      <w:r>
        <w:rPr>
          <w:color w:val="000000"/>
        </w:rPr>
        <w:t xml:space="preserve"> </w:t>
      </w:r>
      <w:r>
        <w:rPr>
          <w:i/>
          <w:color w:val="000000"/>
        </w:rPr>
        <w:t>1912</w:t>
      </w:r>
      <w:r>
        <w:rPr>
          <w:color w:val="000000"/>
        </w:rPr>
        <w:t xml:space="preserve"> of the State of New South Wales;</w:t>
      </w:r>
    </w:p>
    <w:p w:rsidR="00F66109" w:rsidRDefault="00F66109">
      <w:pPr>
        <w:pStyle w:val="aDef"/>
        <w:rPr>
          <w:color w:val="000000"/>
        </w:rPr>
      </w:pPr>
      <w:r>
        <w:rPr>
          <w:color w:val="000000"/>
        </w:rPr>
        <w:t xml:space="preserve">“the </w:t>
      </w:r>
      <w:r>
        <w:rPr>
          <w:i/>
          <w:color w:val="000000"/>
        </w:rPr>
        <w:t>Scaffolding and Lifts Regulations</w:t>
      </w:r>
      <w:r>
        <w:rPr>
          <w:color w:val="000000"/>
        </w:rPr>
        <w:t xml:space="preserve">” means the regulations made under the Scaffolding and Lifts Act and published in the supplement to the </w:t>
      </w:r>
      <w:r>
        <w:rPr>
          <w:i/>
          <w:color w:val="000000"/>
        </w:rPr>
        <w:t>Government Gazette</w:t>
      </w:r>
      <w:r>
        <w:rPr>
          <w:color w:val="000000"/>
        </w:rPr>
        <w:t xml:space="preserve"> of the State o</w:t>
      </w:r>
      <w:r w:rsidR="0025590C">
        <w:rPr>
          <w:color w:val="000000"/>
        </w:rPr>
        <w:t>f New South Wales on the twenty</w:t>
      </w:r>
      <w:r w:rsidR="0025590C">
        <w:rPr>
          <w:color w:val="000000"/>
        </w:rPr>
        <w:noBreakHyphen/>
      </w:r>
      <w:r>
        <w:rPr>
          <w:color w:val="000000"/>
        </w:rPr>
        <w:t>fifth day of May, One thousand nine hundred and fifty, being those regulations as amended before the commencement of this Act.</w:t>
      </w:r>
    </w:p>
    <w:p w:rsidR="00F66109" w:rsidRDefault="00F66109">
      <w:pPr>
        <w:pStyle w:val="AH3sec"/>
        <w:rPr>
          <w:color w:val="000000"/>
        </w:rPr>
      </w:pPr>
      <w:r>
        <w:rPr>
          <w:color w:val="000000"/>
        </w:rPr>
        <w:t xml:space="preserve">6. </w:t>
      </w:r>
      <w:r>
        <w:rPr>
          <w:color w:val="000000"/>
        </w:rPr>
        <w:tab/>
        <w:t>Appointment of Chief Inspector etc.</w:t>
      </w:r>
    </w:p>
    <w:p w:rsidR="00F66109" w:rsidRDefault="00F66109">
      <w:pPr>
        <w:pStyle w:val="Amain"/>
        <w:rPr>
          <w:color w:val="000000"/>
        </w:rPr>
      </w:pPr>
      <w:r>
        <w:rPr>
          <w:color w:val="000000"/>
        </w:rPr>
        <w:tab/>
        <w:t>The Minister may appoint a Chief Inspector of Scaffolding and Lifts and such other inspectors as he considers necessary for the purpose of securing observance of this Act and the Regulations.</w:t>
      </w:r>
    </w:p>
    <w:p w:rsidR="00F66109" w:rsidRDefault="00F66109">
      <w:pPr>
        <w:pStyle w:val="AH3sec"/>
        <w:rPr>
          <w:color w:val="000000"/>
        </w:rPr>
      </w:pPr>
      <w:r>
        <w:rPr>
          <w:color w:val="000000"/>
        </w:rPr>
        <w:t xml:space="preserve">6A. </w:t>
      </w:r>
      <w:r>
        <w:rPr>
          <w:color w:val="000000"/>
        </w:rPr>
        <w:tab/>
        <w:t>Fees payable</w:t>
      </w:r>
    </w:p>
    <w:p w:rsidR="00F66109" w:rsidRDefault="00F66109">
      <w:pPr>
        <w:pStyle w:val="Amain"/>
        <w:rPr>
          <w:color w:val="000000"/>
        </w:rPr>
      </w:pPr>
      <w:r>
        <w:rPr>
          <w:color w:val="000000"/>
        </w:rPr>
        <w:tab/>
        <w:t>There are payable to the Territory such fees as may be determined by the Minister under section 6B for the purposes of this section in respect of—</w:t>
      </w:r>
    </w:p>
    <w:p w:rsidR="00F66109" w:rsidRDefault="00F66109">
      <w:pPr>
        <w:pStyle w:val="Apara"/>
        <w:rPr>
          <w:color w:val="000000"/>
        </w:rPr>
      </w:pPr>
      <w:r>
        <w:rPr>
          <w:color w:val="000000"/>
        </w:rPr>
        <w:tab/>
        <w:t>(a)</w:t>
      </w:r>
      <w:r>
        <w:rPr>
          <w:color w:val="000000"/>
        </w:rPr>
        <w:tab/>
        <w:t>applications for permits to erect lifts and for learners’ permits;</w:t>
      </w:r>
    </w:p>
    <w:p w:rsidR="00F66109" w:rsidRDefault="00F66109">
      <w:pPr>
        <w:pStyle w:val="Apara"/>
        <w:rPr>
          <w:color w:val="000000"/>
        </w:rPr>
      </w:pPr>
      <w:r>
        <w:rPr>
          <w:color w:val="000000"/>
        </w:rPr>
        <w:lastRenderedPageBreak/>
        <w:tab/>
        <w:t>(b)</w:t>
      </w:r>
      <w:r>
        <w:rPr>
          <w:color w:val="000000"/>
        </w:rPr>
        <w:tab/>
        <w:t>reviewing the designs and descriptions of cranes, hoists, lifts, plant, scaffolding and gear and the inspection and testing of cranes, hoists, lifts, plant, scaffolding and gear;</w:t>
      </w:r>
    </w:p>
    <w:p w:rsidR="00F66109" w:rsidRDefault="00F66109">
      <w:pPr>
        <w:pStyle w:val="Apara"/>
        <w:rPr>
          <w:color w:val="000000"/>
        </w:rPr>
      </w:pPr>
      <w:r>
        <w:rPr>
          <w:color w:val="000000"/>
        </w:rPr>
        <w:tab/>
        <w:t>(c)</w:t>
      </w:r>
      <w:r>
        <w:rPr>
          <w:color w:val="000000"/>
        </w:rPr>
        <w:tab/>
        <w:t>the examination of applicants for—</w:t>
      </w:r>
    </w:p>
    <w:p w:rsidR="00F66109" w:rsidRDefault="00F66109">
      <w:pPr>
        <w:pStyle w:val="Asubpara"/>
        <w:rPr>
          <w:color w:val="000000"/>
        </w:rPr>
      </w:pPr>
      <w:r>
        <w:rPr>
          <w:color w:val="000000"/>
        </w:rPr>
        <w:tab/>
        <w:t>(i)</w:t>
      </w:r>
      <w:r>
        <w:rPr>
          <w:color w:val="000000"/>
        </w:rPr>
        <w:tab/>
        <w:t>certificates of competency as power crane drivers, power hoist drivers, riggers, dogmen, scaffolders and crane chasers; and.</w:t>
      </w:r>
    </w:p>
    <w:p w:rsidR="00F66109" w:rsidRDefault="00F66109">
      <w:pPr>
        <w:pStyle w:val="Asubpara"/>
        <w:rPr>
          <w:color w:val="000000"/>
        </w:rPr>
      </w:pPr>
      <w:r>
        <w:rPr>
          <w:color w:val="000000"/>
        </w:rPr>
        <w:tab/>
        <w:t>(ii)</w:t>
      </w:r>
      <w:r>
        <w:rPr>
          <w:color w:val="000000"/>
        </w:rPr>
        <w:tab/>
        <w:t>certificates as authorised attendants,</w:t>
      </w:r>
    </w:p>
    <w:p w:rsidR="00F66109" w:rsidRDefault="00F66109">
      <w:pPr>
        <w:pStyle w:val="Aparareturn"/>
        <w:rPr>
          <w:color w:val="000000"/>
        </w:rPr>
      </w:pPr>
      <w:r>
        <w:rPr>
          <w:color w:val="000000"/>
        </w:rPr>
        <w:t>and the issue of such certificates and copies of such certificates; and</w:t>
      </w:r>
    </w:p>
    <w:p w:rsidR="00F66109" w:rsidRDefault="00F66109">
      <w:pPr>
        <w:pStyle w:val="Apara"/>
        <w:rPr>
          <w:color w:val="000000"/>
        </w:rPr>
      </w:pPr>
      <w:r>
        <w:rPr>
          <w:color w:val="000000"/>
        </w:rPr>
        <w:tab/>
        <w:t>(d)</w:t>
      </w:r>
      <w:r>
        <w:rPr>
          <w:color w:val="000000"/>
        </w:rPr>
        <w:tab/>
        <w:t>the notification of intention to commence building work, excavation work or compressed air work.</w:t>
      </w:r>
    </w:p>
    <w:p w:rsidR="00F66109" w:rsidRDefault="00F66109">
      <w:pPr>
        <w:pStyle w:val="AH3sec"/>
        <w:rPr>
          <w:color w:val="000000"/>
        </w:rPr>
      </w:pPr>
      <w:r>
        <w:rPr>
          <w:color w:val="000000"/>
        </w:rPr>
        <w:t xml:space="preserve">6B. </w:t>
      </w:r>
      <w:r>
        <w:rPr>
          <w:color w:val="000000"/>
        </w:rPr>
        <w:tab/>
        <w:t>Power of Minister to determine fees</w:t>
      </w:r>
    </w:p>
    <w:p w:rsidR="00F66109" w:rsidRDefault="00F66109">
      <w:pPr>
        <w:pStyle w:val="Amain"/>
        <w:rPr>
          <w:color w:val="000000"/>
        </w:rPr>
      </w:pPr>
      <w:r>
        <w:rPr>
          <w:color w:val="000000"/>
        </w:rPr>
        <w:tab/>
        <w:t xml:space="preserve">The Minister may, by notice in writing published in the </w:t>
      </w:r>
      <w:r>
        <w:rPr>
          <w:i/>
          <w:color w:val="000000"/>
        </w:rPr>
        <w:t>Gazette</w:t>
      </w:r>
      <w:r>
        <w:rPr>
          <w:color w:val="000000"/>
        </w:rPr>
        <w:t>, determine fees for the purposes of this Act.</w:t>
      </w:r>
    </w:p>
    <w:p w:rsidR="00F66109" w:rsidRDefault="00F66109">
      <w:pPr>
        <w:pStyle w:val="AH1Part"/>
        <w:rPr>
          <w:color w:val="000000"/>
        </w:rPr>
      </w:pPr>
      <w:r>
        <w:rPr>
          <w:color w:val="000000"/>
        </w:rPr>
        <w:t>Part II—Application Of The Scaffolding And Lifts Act And Regulations Of The State Of New South Wales</w:t>
      </w:r>
    </w:p>
    <w:p w:rsidR="00F66109" w:rsidRDefault="00F66109">
      <w:pPr>
        <w:pStyle w:val="AH3sec"/>
        <w:rPr>
          <w:color w:val="000000"/>
        </w:rPr>
      </w:pPr>
      <w:r>
        <w:rPr>
          <w:color w:val="000000"/>
        </w:rPr>
        <w:t>7.</w:t>
      </w:r>
      <w:r>
        <w:rPr>
          <w:b w:val="0"/>
          <w:color w:val="000000"/>
          <w:position w:val="10"/>
          <w:sz w:val="12"/>
        </w:rPr>
        <w:t xml:space="preserve">3 </w:t>
      </w:r>
      <w:r>
        <w:rPr>
          <w:b w:val="0"/>
          <w:color w:val="000000"/>
          <w:position w:val="10"/>
          <w:sz w:val="12"/>
        </w:rPr>
        <w:tab/>
      </w:r>
      <w:r>
        <w:rPr>
          <w:color w:val="000000"/>
        </w:rPr>
        <w:t>Application and modifications</w:t>
      </w:r>
    </w:p>
    <w:p w:rsidR="00F66109" w:rsidRDefault="00F66109">
      <w:pPr>
        <w:pStyle w:val="Amain"/>
        <w:rPr>
          <w:color w:val="000000"/>
        </w:rPr>
      </w:pPr>
      <w:r>
        <w:rPr>
          <w:b/>
          <w:color w:val="000000"/>
        </w:rPr>
        <w:t>(1)</w:t>
      </w:r>
      <w:r>
        <w:rPr>
          <w:color w:val="000000"/>
        </w:rPr>
        <w:t xml:space="preserve"> </w:t>
      </w:r>
      <w:r>
        <w:rPr>
          <w:color w:val="000000"/>
        </w:rPr>
        <w:tab/>
        <w:t>The provisions of the Scaffolding and Lifts Act, other than sections eleven, twelve, seventeen and seventeen A, apply, as from the commencement of this Act, by force of this Act in the Territory as laws of the Territory, subject to the next succeeding section and to the modifications prescribed in Part I of the Schedule to this Act.</w:t>
      </w:r>
    </w:p>
    <w:p w:rsidR="00F66109" w:rsidRDefault="00F66109">
      <w:pPr>
        <w:pStyle w:val="Amain"/>
        <w:rPr>
          <w:color w:val="000000"/>
        </w:rPr>
      </w:pPr>
      <w:r>
        <w:rPr>
          <w:b/>
          <w:color w:val="000000"/>
        </w:rPr>
        <w:t>(2)</w:t>
      </w:r>
      <w:r>
        <w:rPr>
          <w:color w:val="000000"/>
        </w:rPr>
        <w:t xml:space="preserve"> </w:t>
      </w:r>
      <w:r>
        <w:rPr>
          <w:color w:val="000000"/>
        </w:rPr>
        <w:tab/>
        <w:t xml:space="preserve">The provisions of the </w:t>
      </w:r>
      <w:r>
        <w:rPr>
          <w:i/>
          <w:color w:val="000000"/>
        </w:rPr>
        <w:t>Scaffolding and Lifts Regulations</w:t>
      </w:r>
      <w:r>
        <w:rPr>
          <w:color w:val="000000"/>
        </w:rPr>
        <w:t>, other than subregulation (1) of regulation sixty-eight, paragraph (b) of regulation seventy, regulation seventy-two A, Part XIV, Part XV and the First Schedule, apply, as from the commencement of this Act, by force of this Act in the Territory as laws of the Territory, subject to the modifications prescribed in Part II of the Schedule to this Act.</w:t>
      </w:r>
    </w:p>
    <w:p w:rsidR="00F66109" w:rsidRDefault="00F66109">
      <w:pPr>
        <w:pStyle w:val="Amain"/>
        <w:rPr>
          <w:color w:val="000000"/>
        </w:rPr>
      </w:pPr>
      <w:r>
        <w:rPr>
          <w:b/>
          <w:color w:val="000000"/>
        </w:rPr>
        <w:t>(3)</w:t>
      </w:r>
      <w:r>
        <w:rPr>
          <w:color w:val="000000"/>
        </w:rPr>
        <w:t xml:space="preserve"> </w:t>
      </w:r>
      <w:r>
        <w:rPr>
          <w:color w:val="000000"/>
        </w:rPr>
        <w:tab/>
        <w:t xml:space="preserve">Sections eleven, twelve, seventeen and seventeen A of the Scaffolding and Lifts Act and subregulation (1) of regulation sixty-eight, paragraph (b) of regulation seventy, regulation seventy-two A, Part XIV and Part XV of, and the First Schedule to, the </w:t>
      </w:r>
      <w:r>
        <w:rPr>
          <w:i/>
          <w:color w:val="000000"/>
        </w:rPr>
        <w:t>Scaffolding and Lifts Regulations</w:t>
      </w:r>
      <w:r>
        <w:rPr>
          <w:color w:val="000000"/>
        </w:rPr>
        <w:t xml:space="preserve"> apply, as from a date to be fixed by the Minister by notice in the </w:t>
      </w:r>
      <w:r>
        <w:rPr>
          <w:i/>
          <w:color w:val="000000"/>
        </w:rPr>
        <w:t>Gazette,</w:t>
      </w:r>
      <w:r>
        <w:rPr>
          <w:color w:val="000000"/>
        </w:rPr>
        <w:t xml:space="preserve"> by force of this Act in the Territory as laws of the Territory, subject, where appropriate, to the next succeeding section and to the modifications prescribed in Part I or Part II of the Schedule to this Act.</w:t>
      </w:r>
    </w:p>
    <w:p w:rsidR="00F66109" w:rsidRDefault="00F66109">
      <w:pPr>
        <w:pStyle w:val="Amain"/>
        <w:rPr>
          <w:color w:val="000000"/>
        </w:rPr>
      </w:pPr>
      <w:r>
        <w:rPr>
          <w:b/>
          <w:color w:val="000000"/>
        </w:rPr>
        <w:lastRenderedPageBreak/>
        <w:t xml:space="preserve">(4) </w:t>
      </w:r>
      <w:r>
        <w:rPr>
          <w:color w:val="000000"/>
        </w:rPr>
        <w:tab/>
        <w:t xml:space="preserve">For the purpose of enabling the provisions of the Scaffolding and Lifts Act and the provisions of the </w:t>
      </w:r>
      <w:r>
        <w:rPr>
          <w:i/>
          <w:color w:val="000000"/>
        </w:rPr>
        <w:t>Scaffolding and Lifts Regulations</w:t>
      </w:r>
      <w:r>
        <w:rPr>
          <w:color w:val="000000"/>
        </w:rPr>
        <w:t xml:space="preserve"> specified in the last preceding subsection to be brought into operation on the date fixed by the Minister in pursuance of that subsection, the Chief Inspector of Scaffolding and Lifts may, before that date, grant certificates of competency as a rigger, dogman, scaffolder or crane chaser, or certificates as an authorized attendant, in pursuance of those provisions as if those provisions had commenced to apply by force of this Act in the Territory as laws of the Territory on the date of commencement of this Act, but a certificate of competency, or a certificate, so granted shall not have any force or effect until the date so fixed by the Minister in pursuance of that subsection.</w:t>
      </w:r>
    </w:p>
    <w:p w:rsidR="00F66109" w:rsidRDefault="00F66109">
      <w:pPr>
        <w:pStyle w:val="AH3sec"/>
        <w:rPr>
          <w:color w:val="000000"/>
        </w:rPr>
      </w:pPr>
      <w:r>
        <w:rPr>
          <w:color w:val="000000"/>
        </w:rPr>
        <w:t xml:space="preserve">8. </w:t>
      </w:r>
      <w:r>
        <w:rPr>
          <w:color w:val="000000"/>
        </w:rPr>
        <w:tab/>
        <w:t>Interpretation</w:t>
      </w:r>
    </w:p>
    <w:p w:rsidR="00F66109" w:rsidRDefault="00F66109">
      <w:pPr>
        <w:pStyle w:val="Amain"/>
        <w:rPr>
          <w:color w:val="000000"/>
        </w:rPr>
      </w:pPr>
      <w:r>
        <w:rPr>
          <w:color w:val="000000"/>
        </w:rPr>
        <w:tab/>
        <w:t>In the application in the Territory of the Scaffolding and Lifts Act—</w:t>
      </w:r>
    </w:p>
    <w:p w:rsidR="00F66109" w:rsidRDefault="00F66109">
      <w:pPr>
        <w:pStyle w:val="Apara"/>
        <w:rPr>
          <w:color w:val="000000"/>
        </w:rPr>
      </w:pPr>
      <w:r>
        <w:rPr>
          <w:color w:val="000000"/>
        </w:rPr>
        <w:tab/>
        <w:t>(a)</w:t>
      </w:r>
      <w:r>
        <w:rPr>
          <w:color w:val="000000"/>
        </w:rPr>
        <w:tab/>
        <w:t>a reference in that Act to the Minister shall be read as a reference to the Minister for the time being administering this Act;</w:t>
      </w:r>
    </w:p>
    <w:p w:rsidR="00F66109" w:rsidRDefault="00F66109">
      <w:pPr>
        <w:pStyle w:val="Apara"/>
        <w:rPr>
          <w:color w:val="000000"/>
        </w:rPr>
      </w:pPr>
      <w:r>
        <w:rPr>
          <w:color w:val="000000"/>
        </w:rPr>
        <w:tab/>
        <w:t>(b)</w:t>
      </w:r>
      <w:r>
        <w:rPr>
          <w:color w:val="000000"/>
        </w:rPr>
        <w:tab/>
        <w:t xml:space="preserve">a reference in that Act to regulations made under that Act shall be read as a reference to the </w:t>
      </w:r>
      <w:r>
        <w:rPr>
          <w:i/>
          <w:color w:val="000000"/>
        </w:rPr>
        <w:t>Scaffolding and Lifts Regulations</w:t>
      </w:r>
      <w:r>
        <w:rPr>
          <w:color w:val="000000"/>
        </w:rPr>
        <w:t xml:space="preserve"> in their application in the Territory; and</w:t>
      </w:r>
    </w:p>
    <w:p w:rsidR="00F66109" w:rsidRDefault="00F66109">
      <w:pPr>
        <w:pStyle w:val="Apara"/>
        <w:rPr>
          <w:color w:val="000000"/>
        </w:rPr>
      </w:pPr>
      <w:r>
        <w:rPr>
          <w:color w:val="000000"/>
        </w:rPr>
        <w:tab/>
        <w:t>(c)</w:t>
      </w:r>
      <w:r>
        <w:rPr>
          <w:color w:val="000000"/>
        </w:rPr>
        <w:tab/>
        <w:t xml:space="preserve">a reference in that Act to the </w:t>
      </w:r>
      <w:r>
        <w:rPr>
          <w:i/>
          <w:color w:val="000000"/>
        </w:rPr>
        <w:t>Gazette</w:t>
      </w:r>
      <w:r>
        <w:rPr>
          <w:color w:val="000000"/>
        </w:rPr>
        <w:t xml:space="preserve"> shall be read as a reference to the </w:t>
      </w:r>
      <w:r>
        <w:rPr>
          <w:i/>
          <w:color w:val="000000"/>
        </w:rPr>
        <w:t>Australian Capital Territory Gazette</w:t>
      </w:r>
      <w:r>
        <w:rPr>
          <w:color w:val="000000"/>
        </w:rPr>
        <w:t>.</w:t>
      </w:r>
    </w:p>
    <w:p w:rsidR="00F66109" w:rsidRDefault="00F66109">
      <w:pPr>
        <w:pStyle w:val="AH1Part"/>
        <w:rPr>
          <w:color w:val="000000"/>
        </w:rPr>
      </w:pPr>
      <w:r>
        <w:rPr>
          <w:color w:val="000000"/>
        </w:rPr>
        <w:t>Part III—Regulations</w:t>
      </w:r>
    </w:p>
    <w:p w:rsidR="00F66109" w:rsidRDefault="00F66109">
      <w:pPr>
        <w:pStyle w:val="AH3sec"/>
        <w:rPr>
          <w:color w:val="000000"/>
        </w:rPr>
      </w:pPr>
      <w:r>
        <w:rPr>
          <w:color w:val="000000"/>
        </w:rPr>
        <w:t xml:space="preserve">9. </w:t>
      </w:r>
      <w:r>
        <w:rPr>
          <w:color w:val="000000"/>
        </w:rPr>
        <w:tab/>
        <w:t>Regulations</w:t>
      </w:r>
    </w:p>
    <w:p w:rsidR="00F66109" w:rsidRDefault="00F66109">
      <w:pPr>
        <w:pStyle w:val="Amain"/>
        <w:rPr>
          <w:color w:val="000000"/>
        </w:rPr>
      </w:pPr>
      <w:r>
        <w:rPr>
          <w:b/>
          <w:color w:val="000000"/>
        </w:rPr>
        <w:t xml:space="preserve">(1) </w:t>
      </w:r>
      <w:r>
        <w:rPr>
          <w:color w:val="000000"/>
        </w:rPr>
        <w:tab/>
        <w:t>The Executive may make regulations, not inconsistent with this Act, prescribing all matters which are necessary or convenient to be prescribed for carrying out or giving effect to this Act and, in particular, for prescribing penalties not exceeding</w:t>
      </w:r>
      <w:r w:rsidR="00256891">
        <w:rPr>
          <w:color w:val="000000"/>
        </w:rPr>
        <w:t xml:space="preserve"> a fine of One hundred dollars for offences against the Regulations</w:t>
      </w:r>
      <w:r>
        <w:rPr>
          <w:color w:val="000000"/>
        </w:rPr>
        <w:t>.</w:t>
      </w:r>
    </w:p>
    <w:p w:rsidR="00F66109" w:rsidRDefault="00F66109">
      <w:pPr>
        <w:pStyle w:val="Amain"/>
        <w:rPr>
          <w:color w:val="000000"/>
        </w:rPr>
      </w:pPr>
      <w:r>
        <w:rPr>
          <w:b/>
          <w:color w:val="000000"/>
        </w:rPr>
        <w:t xml:space="preserve">(2) </w:t>
      </w:r>
      <w:r>
        <w:rPr>
          <w:color w:val="000000"/>
        </w:rPr>
        <w:tab/>
        <w:t xml:space="preserve">The Regulations may repeal or amend any of the provisions of the </w:t>
      </w:r>
      <w:r>
        <w:rPr>
          <w:i/>
          <w:color w:val="000000"/>
        </w:rPr>
        <w:t>Scaffolding and Lifts Regulations</w:t>
      </w:r>
      <w:r>
        <w:rPr>
          <w:color w:val="000000"/>
        </w:rPr>
        <w:t xml:space="preserve"> in their application in the Territory.</w:t>
      </w:r>
    </w:p>
    <w:p w:rsidR="00F66109" w:rsidRDefault="00F66109">
      <w:pPr>
        <w:pStyle w:val="allsections"/>
        <w:pBdr>
          <w:top w:val="single" w:sz="2" w:space="0" w:color="auto"/>
        </w:pBdr>
        <w:spacing w:before="300"/>
        <w:ind w:left="2880" w:right="2900" w:firstLine="0"/>
        <w:jc w:val="center"/>
        <w:rPr>
          <w:color w:val="000000"/>
        </w:rPr>
      </w:pPr>
    </w:p>
    <w:p w:rsidR="00F66109" w:rsidRDefault="00F66109">
      <w:pPr>
        <w:pStyle w:val="Heading1"/>
        <w:tabs>
          <w:tab w:val="center" w:pos="3600"/>
          <w:tab w:val="right" w:pos="7200"/>
        </w:tabs>
        <w:spacing w:before="0"/>
        <w:jc w:val="left"/>
        <w:rPr>
          <w:color w:val="000000"/>
        </w:rPr>
      </w:pPr>
      <w:r>
        <w:rPr>
          <w:color w:val="000000"/>
        </w:rPr>
        <w:br w:type="page"/>
      </w:r>
      <w:r>
        <w:rPr>
          <w:color w:val="000000"/>
        </w:rPr>
        <w:lastRenderedPageBreak/>
        <w:tab/>
        <w:t>The Schedule</w:t>
      </w:r>
      <w:r>
        <w:rPr>
          <w:b w:val="0"/>
          <w:color w:val="000000"/>
          <w:position w:val="10"/>
          <w:sz w:val="12"/>
        </w:rPr>
        <w:tab/>
      </w:r>
      <w:r>
        <w:rPr>
          <w:b w:val="0"/>
          <w:caps w:val="0"/>
          <w:color w:val="000000"/>
          <w:position w:val="10"/>
          <w:sz w:val="16"/>
        </w:rPr>
        <w:t>Section 7</w:t>
      </w:r>
    </w:p>
    <w:p w:rsidR="00F66109" w:rsidRDefault="00F66109">
      <w:pPr>
        <w:pStyle w:val="Heading1"/>
        <w:spacing w:before="40" w:after="40"/>
        <w:rPr>
          <w:b w:val="0"/>
          <w:color w:val="000000"/>
          <w:sz w:val="20"/>
        </w:rPr>
      </w:pPr>
      <w:r>
        <w:rPr>
          <w:b w:val="0"/>
          <w:color w:val="000000"/>
          <w:sz w:val="20"/>
        </w:rPr>
        <w:t>Part I</w:t>
      </w:r>
    </w:p>
    <w:p w:rsidR="00F66109" w:rsidRDefault="00F66109">
      <w:pPr>
        <w:spacing w:before="0" w:after="0"/>
        <w:jc w:val="center"/>
        <w:rPr>
          <w:caps/>
          <w:color w:val="000000"/>
          <w:sz w:val="20"/>
        </w:rPr>
      </w:pPr>
      <w:r>
        <w:rPr>
          <w:caps/>
          <w:color w:val="000000"/>
          <w:sz w:val="20"/>
        </w:rPr>
        <w:t>Modifications Of The Scaffolding And Lifts Act 1912 Of The State Of New South Wales In Its Application In The Territory</w:t>
      </w:r>
    </w:p>
    <w:p w:rsidR="00F66109" w:rsidRDefault="00F66109">
      <w:pPr>
        <w:pStyle w:val="allsections"/>
        <w:tabs>
          <w:tab w:val="left" w:pos="920"/>
          <w:tab w:val="left" w:pos="2040"/>
          <w:tab w:val="left" w:pos="3100"/>
          <w:tab w:val="left" w:pos="4200"/>
          <w:tab w:val="left" w:pos="5280"/>
          <w:tab w:val="left" w:pos="6360"/>
        </w:tabs>
        <w:spacing w:before="160"/>
        <w:ind w:firstLine="0"/>
        <w:rPr>
          <w:color w:val="000000"/>
          <w:sz w:val="20"/>
        </w:rPr>
      </w:pPr>
      <w:r>
        <w:rPr>
          <w:color w:val="000000"/>
          <w:sz w:val="20"/>
        </w:rPr>
        <w:tab/>
        <w:t>*</w:t>
      </w:r>
      <w:r>
        <w:rPr>
          <w:color w:val="000000"/>
          <w:sz w:val="20"/>
        </w:rPr>
        <w:tab/>
        <w:t>*</w:t>
      </w:r>
      <w:r>
        <w:rPr>
          <w:color w:val="000000"/>
          <w:sz w:val="20"/>
        </w:rPr>
        <w:tab/>
        <w:t>*</w:t>
      </w:r>
      <w:r>
        <w:rPr>
          <w:color w:val="000000"/>
          <w:sz w:val="20"/>
        </w:rPr>
        <w:tab/>
        <w:t>*</w:t>
      </w:r>
      <w:r>
        <w:rPr>
          <w:color w:val="000000"/>
          <w:sz w:val="20"/>
        </w:rPr>
        <w:tab/>
        <w:t>*</w:t>
      </w:r>
      <w:r>
        <w:rPr>
          <w:color w:val="000000"/>
          <w:sz w:val="20"/>
        </w:rPr>
        <w:tab/>
        <w:t>*</w:t>
      </w:r>
    </w:p>
    <w:p w:rsidR="00F66109" w:rsidRDefault="00F66109">
      <w:pPr>
        <w:pStyle w:val="Heading1"/>
        <w:spacing w:before="40"/>
        <w:rPr>
          <w:b w:val="0"/>
          <w:color w:val="000000"/>
          <w:sz w:val="20"/>
        </w:rPr>
      </w:pPr>
      <w:r>
        <w:rPr>
          <w:b w:val="0"/>
          <w:color w:val="000000"/>
          <w:sz w:val="20"/>
        </w:rPr>
        <w:t>Part II</w:t>
      </w:r>
    </w:p>
    <w:p w:rsidR="00F66109" w:rsidRDefault="00F66109">
      <w:pPr>
        <w:spacing w:before="0"/>
        <w:rPr>
          <w:color w:val="000000"/>
          <w:sz w:val="20"/>
        </w:rPr>
      </w:pPr>
      <w:r>
        <w:rPr>
          <w:color w:val="000000"/>
          <w:sz w:val="20"/>
        </w:rPr>
        <w:t>MODIFICATIONS OF THE SCAFFOLDING AND LIFTS REGULATIONS OF THE STATE OF NEW SOUTH WALES IN THEIR APPLICATION IN THE TERRITORY</w:t>
      </w:r>
    </w:p>
    <w:p w:rsidR="00F66109" w:rsidRDefault="00F66109">
      <w:pPr>
        <w:pStyle w:val="allsections"/>
        <w:tabs>
          <w:tab w:val="left" w:pos="920"/>
          <w:tab w:val="left" w:pos="2040"/>
          <w:tab w:val="left" w:pos="3100"/>
          <w:tab w:val="left" w:pos="4200"/>
          <w:tab w:val="left" w:pos="5280"/>
          <w:tab w:val="left" w:pos="6360"/>
        </w:tabs>
        <w:spacing w:before="160"/>
        <w:ind w:firstLine="0"/>
        <w:rPr>
          <w:color w:val="000000"/>
          <w:sz w:val="20"/>
        </w:rPr>
      </w:pPr>
      <w:r>
        <w:rPr>
          <w:color w:val="000000"/>
          <w:sz w:val="20"/>
        </w:rPr>
        <w:tab/>
        <w:t>*</w:t>
      </w:r>
      <w:r>
        <w:rPr>
          <w:color w:val="000000"/>
          <w:sz w:val="20"/>
        </w:rPr>
        <w:tab/>
        <w:t>*</w:t>
      </w:r>
      <w:r>
        <w:rPr>
          <w:color w:val="000000"/>
          <w:sz w:val="20"/>
        </w:rPr>
        <w:tab/>
        <w:t>*</w:t>
      </w:r>
      <w:r>
        <w:rPr>
          <w:color w:val="000000"/>
          <w:sz w:val="20"/>
        </w:rPr>
        <w:tab/>
        <w:t>*</w:t>
      </w:r>
      <w:r>
        <w:rPr>
          <w:color w:val="000000"/>
          <w:sz w:val="20"/>
        </w:rPr>
        <w:tab/>
        <w:t>*</w:t>
      </w:r>
      <w:r>
        <w:rPr>
          <w:color w:val="000000"/>
          <w:sz w:val="20"/>
        </w:rPr>
        <w:tab/>
        <w:t>*</w:t>
      </w:r>
    </w:p>
    <w:p w:rsidR="00F66109" w:rsidRDefault="00F66109">
      <w:pPr>
        <w:pStyle w:val="allsections"/>
        <w:pBdr>
          <w:bottom w:val="single" w:sz="6" w:space="0" w:color="auto"/>
        </w:pBdr>
        <w:tabs>
          <w:tab w:val="left" w:pos="920"/>
          <w:tab w:val="left" w:pos="2040"/>
          <w:tab w:val="left" w:pos="3100"/>
          <w:tab w:val="left" w:pos="4200"/>
          <w:tab w:val="left" w:pos="5280"/>
          <w:tab w:val="left" w:pos="6360"/>
        </w:tabs>
        <w:spacing w:before="0"/>
        <w:ind w:firstLine="0"/>
        <w:rPr>
          <w:color w:val="000000"/>
          <w:sz w:val="8"/>
        </w:rPr>
      </w:pPr>
    </w:p>
    <w:p w:rsidR="00F66109" w:rsidRDefault="00F66109">
      <w:pPr>
        <w:spacing w:before="20" w:after="20"/>
        <w:rPr>
          <w:rFonts w:ascii="Helvetica" w:hAnsi="Helvetica"/>
          <w:color w:val="000000"/>
        </w:rPr>
        <w:sectPr w:rsidR="00F66109" w:rsidSect="001D0D5F">
          <w:headerReference w:type="even" r:id="rId18"/>
          <w:headerReference w:type="default"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p w:rsidR="00F66109" w:rsidRDefault="00F66109">
      <w:pPr>
        <w:spacing w:before="240" w:after="120"/>
        <w:jc w:val="center"/>
        <w:rPr>
          <w:rFonts w:ascii="Helvetica" w:hAnsi="Helvetica"/>
          <w:b/>
          <w:color w:val="000000"/>
          <w:sz w:val="20"/>
        </w:rPr>
      </w:pPr>
      <w:r>
        <w:rPr>
          <w:rFonts w:ascii="Helvetica" w:hAnsi="Helvetica"/>
          <w:b/>
          <w:color w:val="000000"/>
          <w:sz w:val="20"/>
        </w:rPr>
        <w:lastRenderedPageBreak/>
        <w:t>NOTES</w:t>
      </w:r>
    </w:p>
    <w:p w:rsidR="00F66109" w:rsidRDefault="00F66109">
      <w:pPr>
        <w:spacing w:before="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r>
      <w:r>
        <w:rPr>
          <w:rFonts w:ascii="Helvetica" w:hAnsi="Helvetica"/>
          <w:i/>
          <w:color w:val="000000"/>
          <w:sz w:val="18"/>
        </w:rPr>
        <w:t xml:space="preserve">The Scaffolding and Lifts Act 1957 </w:t>
      </w:r>
      <w:r>
        <w:rPr>
          <w:rFonts w:ascii="Helvetica" w:hAnsi="Helvetica"/>
          <w:color w:val="000000"/>
          <w:sz w:val="18"/>
        </w:rPr>
        <w:t>as shown in this reprint comprises Act No. 8, 1957 amended as indicated in the Tables below.</w:t>
      </w:r>
    </w:p>
    <w:p w:rsidR="00F66109" w:rsidRDefault="00F66109">
      <w:pPr>
        <w:spacing w:before="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F66109" w:rsidRDefault="00F66109">
      <w:pPr>
        <w:spacing w:before="200" w:after="100"/>
        <w:ind w:right="20"/>
        <w:jc w:val="center"/>
        <w:rPr>
          <w:rFonts w:ascii="Helvetica" w:hAnsi="Helvetica"/>
          <w:color w:val="000000"/>
          <w:sz w:val="20"/>
        </w:rPr>
      </w:pPr>
      <w:r>
        <w:rPr>
          <w:rFonts w:ascii="Helvetica" w:hAnsi="Helvetica"/>
          <w:color w:val="000000"/>
          <w:sz w:val="20"/>
        </w:rPr>
        <w:t>Table 1</w:t>
      </w:r>
    </w:p>
    <w:p w:rsidR="00F66109" w:rsidRDefault="00F66109">
      <w:pPr>
        <w:spacing w:before="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6109">
        <w:trPr>
          <w:cantSplit/>
        </w:trPr>
        <w:tc>
          <w:tcPr>
            <w:tcW w:w="2280" w:type="dxa"/>
            <w:tcBorders>
              <w:top w:val="single" w:sz="6" w:space="0" w:color="auto"/>
              <w:bottom w:val="single" w:sz="2" w:space="0" w:color="auto"/>
            </w:tcBorders>
          </w:tcPr>
          <w:p w:rsidR="00F66109" w:rsidRDefault="00F66109">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F66109" w:rsidRDefault="00F66109">
            <w:pPr>
              <w:spacing w:before="480" w:after="0"/>
              <w:rPr>
                <w:rFonts w:ascii="Helvetica" w:hAnsi="Helvetica"/>
                <w:color w:val="000000"/>
                <w:sz w:val="16"/>
              </w:rPr>
            </w:pPr>
            <w:r>
              <w:rPr>
                <w:rFonts w:ascii="Helvetica" w:hAnsi="Helvetica"/>
                <w:color w:val="000000"/>
                <w:sz w:val="16"/>
              </w:rPr>
              <w:t xml:space="preserve">Number  </w:t>
            </w:r>
          </w:p>
          <w:p w:rsidR="00F66109" w:rsidRDefault="00F66109">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66109" w:rsidRDefault="00F66109">
            <w:pPr>
              <w:spacing w:before="320" w:after="0"/>
              <w:rPr>
                <w:rFonts w:ascii="Helvetica" w:hAnsi="Helvetica"/>
                <w:color w:val="000000"/>
                <w:sz w:val="16"/>
              </w:rPr>
            </w:pPr>
            <w:r>
              <w:rPr>
                <w:rFonts w:ascii="Helvetica" w:hAnsi="Helvetica"/>
                <w:color w:val="000000"/>
                <w:sz w:val="16"/>
              </w:rPr>
              <w:t xml:space="preserve">Date of </w:t>
            </w:r>
          </w:p>
          <w:p w:rsidR="00F66109" w:rsidRDefault="00F66109">
            <w:pPr>
              <w:spacing w:before="0" w:after="0"/>
              <w:rPr>
                <w:rFonts w:ascii="Helvetica" w:hAnsi="Helvetica"/>
                <w:color w:val="000000"/>
                <w:sz w:val="16"/>
              </w:rPr>
            </w:pPr>
            <w:r>
              <w:rPr>
                <w:rFonts w:ascii="Helvetica" w:hAnsi="Helvetica"/>
                <w:color w:val="000000"/>
                <w:sz w:val="16"/>
              </w:rPr>
              <w:t xml:space="preserve">notification </w:t>
            </w:r>
          </w:p>
          <w:p w:rsidR="00F66109" w:rsidRDefault="00F66109">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66109" w:rsidRDefault="00F66109">
            <w:pPr>
              <w:spacing w:before="480" w:after="0"/>
              <w:rPr>
                <w:rFonts w:ascii="Helvetica" w:hAnsi="Helvetica"/>
                <w:color w:val="000000"/>
                <w:sz w:val="16"/>
              </w:rPr>
            </w:pPr>
            <w:r>
              <w:rPr>
                <w:rFonts w:ascii="Helvetica" w:hAnsi="Helvetica"/>
                <w:color w:val="000000"/>
                <w:sz w:val="16"/>
              </w:rPr>
              <w:t xml:space="preserve">Date of </w:t>
            </w:r>
          </w:p>
          <w:p w:rsidR="00F66109" w:rsidRDefault="00F66109">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66109" w:rsidRDefault="00F66109">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66109" w:rsidRDefault="00F66109">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Ordinance 1957</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8, 1957</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19 Sept 1957</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19 Sept 1957</w:t>
            </w:r>
          </w:p>
        </w:tc>
        <w:tc>
          <w:tcPr>
            <w:tcW w:w="1180" w:type="dxa"/>
          </w:tcPr>
          <w:p w:rsidR="00F66109" w:rsidRDefault="00F66109">
            <w:pPr>
              <w:spacing w:before="0" w:after="0"/>
              <w:jc w:val="right"/>
              <w:rPr>
                <w:rFonts w:ascii="Helvetica" w:hAnsi="Helvetica"/>
                <w:color w:val="000000"/>
                <w:sz w:val="16"/>
              </w:rPr>
            </w:pP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Ordinances Revision (Decimal Currency) Ordinance 1966</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19, 1966</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23 Dec 1966</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23 Dec 1966</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Ordinance 1968</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5, 1968</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21 Mar 1968</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21 Mar 1968</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Ordinance 1974</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26, 1974</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30 July 1974</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30 July 1974</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Ordinance 1976</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7, 1976</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24 Feb 1976</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24 Feb 1976</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1977</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28, 1977</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1 July 1977</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1 July 1977</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1978</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17, 1978</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4 July 1978</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4 July 1978</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1981</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15, 1981</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30 June 1981</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30 June 1981</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1982</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15, 1982</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7 May 1982</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7 May 1982</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(No. 2) 1982</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68, 1982</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18 Aug 1982</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18 Aug 1982</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1983</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34, 1983</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29 Sept 1983</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1 Oct 1983</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Borders>
              <w:bottom w:val="single" w:sz="6" w:space="0" w:color="auto"/>
            </w:tcBorders>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F66109" w:rsidRDefault="00F66109">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F66109" w:rsidRDefault="00F66109">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F66109" w:rsidRDefault="00F66109">
            <w:pPr>
              <w:spacing w:before="0"/>
              <w:jc w:val="left"/>
              <w:rPr>
                <w:rFonts w:ascii="Helvetica" w:hAnsi="Helvetica"/>
                <w:color w:val="000000"/>
                <w:sz w:val="16"/>
              </w:rPr>
            </w:pPr>
            <w:r>
              <w:rPr>
                <w:rFonts w:ascii="Helvetica" w:hAnsi="Helvetica"/>
                <w:color w:val="000000"/>
                <w:sz w:val="16"/>
              </w:rPr>
              <w:t>Ss. 1 and 2:  10 May 1989 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tc>
        <w:tc>
          <w:tcPr>
            <w:tcW w:w="1180" w:type="dxa"/>
            <w:tcBorders>
              <w:bottom w:val="single" w:sz="6" w:space="0" w:color="auto"/>
            </w:tcBorders>
          </w:tcPr>
          <w:p w:rsidR="00F66109" w:rsidRDefault="00F66109">
            <w:pPr>
              <w:spacing w:before="0" w:after="0"/>
              <w:jc w:val="right"/>
              <w:rPr>
                <w:rFonts w:ascii="Helvetica" w:hAnsi="Helvetica"/>
                <w:color w:val="000000"/>
                <w:sz w:val="16"/>
              </w:rPr>
            </w:pPr>
            <w:r>
              <w:rPr>
                <w:rFonts w:ascii="Helvetica" w:hAnsi="Helvetica"/>
                <w:color w:val="000000"/>
                <w:sz w:val="16"/>
              </w:rPr>
              <w:t>—</w:t>
            </w:r>
          </w:p>
        </w:tc>
      </w:tr>
    </w:tbl>
    <w:p w:rsidR="00F66109" w:rsidRDefault="00F66109">
      <w:pPr>
        <w:spacing w:before="200"/>
        <w:ind w:right="20"/>
        <w:jc w:val="center"/>
        <w:rPr>
          <w:rFonts w:ascii="Helvetica" w:hAnsi="Helvetica"/>
          <w:b/>
          <w:color w:val="000000"/>
          <w:sz w:val="20"/>
        </w:rPr>
      </w:pPr>
      <w:r>
        <w:rPr>
          <w:rFonts w:ascii="Helvetica" w:hAnsi="Helvetica"/>
          <w:b/>
          <w:color w:val="000000"/>
          <w:sz w:val="20"/>
        </w:rPr>
        <w:t>Self-Government day 11 May 1989</w:t>
      </w:r>
    </w:p>
    <w:p w:rsidR="00F66109" w:rsidRDefault="00925C46">
      <w:pPr>
        <w:spacing w:before="80"/>
        <w:ind w:right="20"/>
        <w:jc w:val="center"/>
        <w:rPr>
          <w:rFonts w:ascii="Helvetica" w:hAnsi="Helvetica"/>
          <w:color w:val="000000"/>
          <w:sz w:val="20"/>
        </w:rPr>
      </w:pPr>
      <w:r>
        <w:rPr>
          <w:rFonts w:ascii="Helvetica" w:hAnsi="Helvetica"/>
          <w:color w:val="000000"/>
          <w:sz w:val="20"/>
        </w:rPr>
        <w:br w:type="page"/>
      </w:r>
      <w:r w:rsidR="00F66109">
        <w:rPr>
          <w:rFonts w:ascii="Helvetica" w:hAnsi="Helvetica"/>
          <w:color w:val="000000"/>
          <w:sz w:val="20"/>
        </w:rPr>
        <w:lastRenderedPageBreak/>
        <w:t>Table 2</w:t>
      </w:r>
    </w:p>
    <w:p w:rsidR="00F66109" w:rsidRDefault="00F66109">
      <w:pPr>
        <w:spacing w:before="4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6109">
        <w:trPr>
          <w:cantSplit/>
        </w:trPr>
        <w:tc>
          <w:tcPr>
            <w:tcW w:w="2280" w:type="dxa"/>
            <w:tcBorders>
              <w:top w:val="single" w:sz="6" w:space="0" w:color="auto"/>
              <w:bottom w:val="single" w:sz="2" w:space="0" w:color="auto"/>
            </w:tcBorders>
          </w:tcPr>
          <w:p w:rsidR="00F66109" w:rsidRDefault="00F66109">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F66109" w:rsidRDefault="00F66109">
            <w:pPr>
              <w:spacing w:before="480" w:after="0"/>
              <w:rPr>
                <w:rFonts w:ascii="Helvetica" w:hAnsi="Helvetica"/>
                <w:color w:val="000000"/>
                <w:sz w:val="16"/>
              </w:rPr>
            </w:pPr>
            <w:r>
              <w:rPr>
                <w:rFonts w:ascii="Helvetica" w:hAnsi="Helvetica"/>
                <w:color w:val="000000"/>
                <w:sz w:val="16"/>
              </w:rPr>
              <w:t xml:space="preserve">Number  </w:t>
            </w:r>
          </w:p>
          <w:p w:rsidR="00F66109" w:rsidRDefault="00F66109">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66109" w:rsidRDefault="00F66109">
            <w:pPr>
              <w:spacing w:before="320" w:after="0"/>
              <w:rPr>
                <w:rFonts w:ascii="Helvetica" w:hAnsi="Helvetica"/>
                <w:color w:val="000000"/>
                <w:sz w:val="16"/>
              </w:rPr>
            </w:pPr>
            <w:r>
              <w:rPr>
                <w:rFonts w:ascii="Helvetica" w:hAnsi="Helvetica"/>
                <w:color w:val="000000"/>
                <w:sz w:val="16"/>
              </w:rPr>
              <w:t xml:space="preserve">Date of </w:t>
            </w:r>
          </w:p>
          <w:p w:rsidR="00F66109" w:rsidRDefault="00F66109">
            <w:pPr>
              <w:spacing w:before="0" w:after="0"/>
              <w:rPr>
                <w:rFonts w:ascii="Helvetica" w:hAnsi="Helvetica"/>
                <w:color w:val="000000"/>
                <w:sz w:val="16"/>
              </w:rPr>
            </w:pPr>
            <w:r>
              <w:rPr>
                <w:rFonts w:ascii="Helvetica" w:hAnsi="Helvetica"/>
                <w:color w:val="000000"/>
                <w:sz w:val="16"/>
              </w:rPr>
              <w:t xml:space="preserve">notification </w:t>
            </w:r>
          </w:p>
          <w:p w:rsidR="00F66109" w:rsidRDefault="00F66109">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66109" w:rsidRDefault="00F66109">
            <w:pPr>
              <w:spacing w:before="480" w:after="0"/>
              <w:rPr>
                <w:rFonts w:ascii="Helvetica" w:hAnsi="Helvetica"/>
                <w:color w:val="000000"/>
                <w:sz w:val="16"/>
              </w:rPr>
            </w:pPr>
            <w:r>
              <w:rPr>
                <w:rFonts w:ascii="Helvetica" w:hAnsi="Helvetica"/>
                <w:color w:val="000000"/>
                <w:sz w:val="16"/>
              </w:rPr>
              <w:t xml:space="preserve">Date of </w:t>
            </w:r>
          </w:p>
          <w:p w:rsidR="00F66109" w:rsidRDefault="00F66109">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66109" w:rsidRDefault="00F66109">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66109" w:rsidRDefault="00F66109">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66109" w:rsidTr="00BA2192">
        <w:trPr>
          <w:cantSplit/>
        </w:trPr>
        <w:tc>
          <w:tcPr>
            <w:tcW w:w="2240" w:type="dxa"/>
          </w:tcPr>
          <w:p w:rsidR="00F66109" w:rsidRDefault="00F66109">
            <w:pPr>
              <w:spacing w:before="0" w:after="2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bl>
    <w:p w:rsidR="00F66109" w:rsidRDefault="00F66109">
      <w:pPr>
        <w:spacing w:before="160"/>
        <w:ind w:right="20"/>
        <w:jc w:val="center"/>
        <w:rPr>
          <w:rFonts w:ascii="Helvetica" w:hAnsi="Helvetica"/>
          <w:b/>
          <w:color w:val="000000"/>
          <w:sz w:val="20"/>
        </w:rPr>
        <w:sectPr w:rsidR="00F66109" w:rsidSect="001D0D5F">
          <w:headerReference w:type="even" r:id="rId23"/>
          <w:headerReference w:type="default" r:id="rId24"/>
          <w:footerReference w:type="default" r:id="rId25"/>
          <w:headerReference w:type="first" r:id="rId26"/>
          <w:pgSz w:w="11907" w:h="16839"/>
          <w:pgMar w:top="3000" w:right="1900" w:bottom="2500" w:left="2300" w:header="2480" w:footer="2100" w:gutter="0"/>
          <w:cols w:space="720"/>
          <w:titlePg/>
          <w:docGrid w:linePitch="326"/>
        </w:sectPr>
      </w:pPr>
    </w:p>
    <w:p w:rsidR="00EC4411" w:rsidRDefault="00EC4411">
      <w:pPr>
        <w:spacing w:before="160"/>
        <w:ind w:right="20"/>
        <w:jc w:val="center"/>
        <w:rPr>
          <w:rFonts w:ascii="Helvetica" w:hAnsi="Helvetica"/>
          <w:b/>
          <w:color w:val="000000"/>
          <w:sz w:val="20"/>
        </w:rPr>
      </w:pPr>
    </w:p>
    <w:p w:rsidR="00F66109" w:rsidRDefault="00F66109">
      <w:pPr>
        <w:spacing w:before="160"/>
        <w:ind w:right="20"/>
        <w:jc w:val="center"/>
        <w:rPr>
          <w:rFonts w:ascii="Helvetica" w:hAnsi="Helvetica"/>
          <w:b/>
          <w:color w:val="000000"/>
          <w:sz w:val="20"/>
        </w:rPr>
      </w:pPr>
      <w:r>
        <w:rPr>
          <w:rFonts w:ascii="Helvetica" w:hAnsi="Helvetica"/>
          <w:b/>
          <w:color w:val="000000"/>
          <w:sz w:val="20"/>
        </w:rPr>
        <w:t>Table of Amendments</w:t>
      </w:r>
    </w:p>
    <w:p w:rsidR="00F66109" w:rsidRDefault="00F66109">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F66109" w:rsidRDefault="00F66109">
      <w:pPr>
        <w:pBdr>
          <w:top w:val="single" w:sz="6" w:space="0" w:color="auto"/>
        </w:pBdr>
        <w:tabs>
          <w:tab w:val="left" w:pos="2200"/>
        </w:tabs>
        <w:spacing w:before="20" w:after="20"/>
        <w:ind w:left="240" w:right="20"/>
        <w:rPr>
          <w:rFonts w:ascii="Helvetica" w:hAnsi="Helvetica"/>
          <w:color w:val="000000"/>
          <w:sz w:val="8"/>
        </w:rPr>
      </w:pPr>
    </w:p>
    <w:p w:rsidR="00F66109" w:rsidRDefault="00F66109">
      <w:pPr>
        <w:tabs>
          <w:tab w:val="left" w:pos="2200"/>
        </w:tabs>
        <w:spacing w:before="20" w:after="20"/>
        <w:ind w:left="24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F66109" w:rsidRDefault="00F66109">
      <w:pPr>
        <w:pBdr>
          <w:bottom w:val="single" w:sz="2" w:space="0" w:color="auto"/>
        </w:pBdr>
        <w:tabs>
          <w:tab w:val="left" w:pos="2200"/>
        </w:tabs>
        <w:spacing w:before="20" w:after="20"/>
        <w:ind w:left="240" w:right="20"/>
        <w:rPr>
          <w:rFonts w:ascii="Helvetica" w:hAnsi="Helvetica"/>
          <w:color w:val="000000"/>
          <w:sz w:val="8"/>
        </w:rPr>
      </w:pPr>
    </w:p>
    <w:p w:rsidR="00F66109" w:rsidRDefault="00F66109">
      <w:pPr>
        <w:tabs>
          <w:tab w:val="left" w:leader="dot" w:pos="2200"/>
        </w:tabs>
        <w:spacing w:before="20" w:after="20"/>
        <w:ind w:left="240" w:right="20"/>
        <w:rPr>
          <w:rFonts w:ascii="Helvetica" w:hAnsi="Helvetica"/>
          <w:color w:val="000000"/>
          <w:sz w:val="8"/>
        </w:rPr>
      </w:pP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2</w:t>
      </w:r>
      <w:r>
        <w:rPr>
          <w:rFonts w:ascii="Helvetica" w:hAnsi="Helvetica"/>
          <w:color w:val="000000"/>
          <w:sz w:val="16"/>
        </w:rPr>
        <w:tab/>
        <w:t>rep. No. 28, 1977</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5</w:t>
      </w:r>
      <w:r>
        <w:rPr>
          <w:rFonts w:ascii="Helvetica" w:hAnsi="Helvetica"/>
          <w:color w:val="000000"/>
          <w:sz w:val="16"/>
        </w:rPr>
        <w:tab/>
        <w:t>rep. Act No. 44, 1993</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6A</w:t>
      </w:r>
      <w:r>
        <w:rPr>
          <w:rFonts w:ascii="Helvetica" w:hAnsi="Helvetica"/>
          <w:color w:val="000000"/>
          <w:sz w:val="16"/>
        </w:rPr>
        <w:tab/>
        <w:t>ad. No. 34, 1983</w:t>
      </w:r>
    </w:p>
    <w:p w:rsidR="00F66109" w:rsidRDefault="00F66109">
      <w:pPr>
        <w:tabs>
          <w:tab w:val="left" w:pos="2180"/>
        </w:tabs>
        <w:spacing w:before="20" w:after="20"/>
        <w:ind w:left="240"/>
        <w:rPr>
          <w:rFonts w:ascii="Helvetica" w:hAnsi="Helvetica"/>
          <w:color w:val="000000"/>
          <w:sz w:val="16"/>
        </w:rPr>
      </w:pPr>
      <w:r>
        <w:rPr>
          <w:rFonts w:ascii="Helvetica" w:hAnsi="Helvetica"/>
          <w:color w:val="000000"/>
          <w:sz w:val="16"/>
        </w:rPr>
        <w:tab/>
        <w:t>am. No. 38, 1989</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6B</w:t>
      </w:r>
      <w:r>
        <w:rPr>
          <w:rFonts w:ascii="Helvetica" w:hAnsi="Helvetica"/>
          <w:color w:val="000000"/>
          <w:sz w:val="16"/>
        </w:rPr>
        <w:tab/>
        <w:t>ad. No. 34, 1983</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8</w:t>
      </w:r>
      <w:r>
        <w:rPr>
          <w:rFonts w:ascii="Helvetica" w:hAnsi="Helvetica"/>
          <w:color w:val="000000"/>
          <w:sz w:val="16"/>
        </w:rPr>
        <w:tab/>
        <w:t>am. No. 38, 1989</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9</w:t>
      </w:r>
      <w:r>
        <w:rPr>
          <w:rFonts w:ascii="Helvetica" w:hAnsi="Helvetica"/>
          <w:color w:val="000000"/>
          <w:sz w:val="16"/>
        </w:rPr>
        <w:tab/>
        <w:t>am. No. 19, 1966</w:t>
      </w:r>
      <w:r w:rsidR="003A6756">
        <w:rPr>
          <w:rFonts w:ascii="Helvetica" w:hAnsi="Helvetica"/>
          <w:color w:val="000000"/>
          <w:sz w:val="16"/>
        </w:rPr>
        <w:t>; No. 38, 1989</w:t>
      </w:r>
    </w:p>
    <w:p w:rsidR="00F66109" w:rsidRDefault="00F66109">
      <w:pPr>
        <w:tabs>
          <w:tab w:val="left" w:leader="dot" w:pos="2200"/>
        </w:tabs>
        <w:spacing w:before="20" w:after="20"/>
        <w:ind w:left="2420" w:hanging="2160"/>
        <w:rPr>
          <w:rFonts w:ascii="Helvetica" w:hAnsi="Helvetica"/>
          <w:color w:val="000000"/>
          <w:sz w:val="16"/>
        </w:rPr>
      </w:pPr>
      <w:r>
        <w:rPr>
          <w:rFonts w:ascii="Helvetica" w:hAnsi="Helvetica"/>
          <w:color w:val="000000"/>
          <w:sz w:val="16"/>
        </w:rPr>
        <w:t>The Schedule</w:t>
      </w:r>
      <w:r>
        <w:rPr>
          <w:rFonts w:ascii="Helvetica" w:hAnsi="Helvetica"/>
          <w:color w:val="000000"/>
          <w:sz w:val="16"/>
        </w:rPr>
        <w:tab/>
        <w:t>am. No. 19, 1966; No. 5, 1968; No. 26, 1974; No. 7, 1976; No. 28, 1977; No.</w:t>
      </w:r>
      <w:r w:rsidR="00CB7C2F">
        <w:rPr>
          <w:rFonts w:ascii="Helvetica" w:hAnsi="Helvetica"/>
          <w:color w:val="000000"/>
          <w:sz w:val="16"/>
        </w:rPr>
        <w:t> </w:t>
      </w:r>
      <w:r>
        <w:rPr>
          <w:rFonts w:ascii="Helvetica" w:hAnsi="Helvetica"/>
          <w:color w:val="000000"/>
          <w:sz w:val="16"/>
        </w:rPr>
        <w:t>17,</w:t>
      </w:r>
      <w:r w:rsidR="00CB7C2F">
        <w:rPr>
          <w:rFonts w:ascii="Helvetica" w:hAnsi="Helvetica"/>
          <w:color w:val="000000"/>
          <w:sz w:val="16"/>
        </w:rPr>
        <w:t xml:space="preserve"> </w:t>
      </w:r>
      <w:r>
        <w:rPr>
          <w:rFonts w:ascii="Helvetica" w:hAnsi="Helvetica"/>
          <w:color w:val="000000"/>
          <w:sz w:val="16"/>
        </w:rPr>
        <w:t>1978; No. 15, 1981; Nos. 15 and 68, 1982; No. 34, 1983; No. 38, 1989</w:t>
      </w:r>
    </w:p>
    <w:p w:rsidR="00F66109" w:rsidRDefault="00F66109">
      <w:pPr>
        <w:tabs>
          <w:tab w:val="left" w:pos="2220"/>
        </w:tabs>
        <w:spacing w:before="0" w:after="0"/>
        <w:ind w:left="180" w:hanging="20"/>
        <w:rPr>
          <w:rFonts w:ascii="Helvetica" w:hAnsi="Helvetica"/>
          <w:color w:val="000000"/>
          <w:sz w:val="8"/>
        </w:rPr>
      </w:pPr>
    </w:p>
    <w:p w:rsidR="00F66109" w:rsidRDefault="00F66109">
      <w:pPr>
        <w:pBdr>
          <w:top w:val="single" w:sz="6" w:space="0" w:color="auto"/>
        </w:pBdr>
        <w:tabs>
          <w:tab w:val="left" w:pos="2200"/>
        </w:tabs>
        <w:spacing w:before="20" w:after="20"/>
        <w:ind w:left="240" w:right="20"/>
        <w:rPr>
          <w:rFonts w:ascii="Helvetica" w:hAnsi="Helvetica"/>
          <w:color w:val="000000"/>
          <w:sz w:val="8"/>
        </w:rPr>
      </w:pPr>
    </w:p>
    <w:p w:rsidR="00F66109" w:rsidRDefault="003A6756">
      <w:pPr>
        <w:spacing w:before="20" w:after="20"/>
        <w:ind w:left="300" w:hanging="260"/>
        <w:rPr>
          <w:rFonts w:ascii="Helvetica" w:hAnsi="Helvetica"/>
          <w:color w:val="000000"/>
          <w:sz w:val="18"/>
        </w:rPr>
      </w:pPr>
      <w:r>
        <w:rPr>
          <w:rFonts w:ascii="Helvetica" w:hAnsi="Helvetica"/>
          <w:color w:val="000000"/>
          <w:sz w:val="18"/>
        </w:rPr>
        <w:t>2</w:t>
      </w:r>
      <w:r w:rsidR="00F66109">
        <w:rPr>
          <w:rFonts w:ascii="Helvetica" w:hAnsi="Helvetica"/>
          <w:color w:val="000000"/>
          <w:sz w:val="18"/>
        </w:rPr>
        <w:t>.</w:t>
      </w:r>
      <w:r w:rsidR="00F66109">
        <w:rPr>
          <w:rFonts w:ascii="Helvetica" w:hAnsi="Helvetica"/>
          <w:color w:val="000000"/>
          <w:sz w:val="18"/>
        </w:rPr>
        <w:tab/>
        <w:t xml:space="preserve">Section 7—The modifications made by Part I and Part II of the Schedule have been incorporated in the reprint of the </w:t>
      </w:r>
      <w:r w:rsidR="00F66109">
        <w:rPr>
          <w:rFonts w:ascii="Helvetica" w:hAnsi="Helvetica"/>
          <w:i/>
          <w:color w:val="000000"/>
          <w:sz w:val="18"/>
        </w:rPr>
        <w:t>Scaffolding and Lifts Act</w:t>
      </w:r>
      <w:r w:rsidR="00F66109">
        <w:rPr>
          <w:rFonts w:ascii="Helvetica" w:hAnsi="Helvetica"/>
          <w:color w:val="000000"/>
          <w:sz w:val="18"/>
        </w:rPr>
        <w:t xml:space="preserve"> 1912 of the State of New South Wales and the </w:t>
      </w:r>
      <w:r w:rsidR="00F66109">
        <w:rPr>
          <w:rFonts w:ascii="Helvetica" w:hAnsi="Helvetica"/>
          <w:i/>
          <w:color w:val="000000"/>
          <w:sz w:val="18"/>
        </w:rPr>
        <w:t>Scaffolding and Lifts Regulations</w:t>
      </w:r>
      <w:r w:rsidR="00F66109">
        <w:rPr>
          <w:rFonts w:ascii="Helvetica" w:hAnsi="Helvetica"/>
          <w:color w:val="000000"/>
          <w:sz w:val="18"/>
        </w:rPr>
        <w:t xml:space="preserve"> of the State of New South Wales respectively both of which are published separately.</w:t>
      </w:r>
    </w:p>
    <w:p w:rsidR="00C05E03" w:rsidRDefault="00C05E03" w:rsidP="00C05E03">
      <w:pPr>
        <w:tabs>
          <w:tab w:val="left" w:leader="dot" w:pos="2200"/>
        </w:tabs>
        <w:spacing w:before="20" w:after="20"/>
        <w:ind w:left="2420" w:hanging="2420"/>
        <w:rPr>
          <w:rFonts w:ascii="Helvetica" w:hAnsi="Helvetica"/>
          <w:color w:val="000000"/>
          <w:sz w:val="16"/>
        </w:rPr>
      </w:pPr>
    </w:p>
    <w:p w:rsidR="00F2169D" w:rsidRDefault="00F2169D" w:rsidP="00C05E03">
      <w:pPr>
        <w:tabs>
          <w:tab w:val="left" w:leader="dot" w:pos="2200"/>
        </w:tabs>
        <w:spacing w:before="20" w:after="20"/>
        <w:ind w:left="2420" w:hanging="2420"/>
        <w:rPr>
          <w:rFonts w:ascii="Helvetica" w:hAnsi="Helvetica"/>
          <w:color w:val="000000"/>
          <w:sz w:val="16"/>
        </w:rPr>
      </w:pPr>
    </w:p>
    <w:p w:rsidR="00F2169D" w:rsidRDefault="00F2169D" w:rsidP="00C05E03">
      <w:pPr>
        <w:tabs>
          <w:tab w:val="left" w:leader="dot" w:pos="2200"/>
        </w:tabs>
        <w:spacing w:before="20" w:after="20"/>
        <w:ind w:left="2420" w:hanging="2420"/>
        <w:rPr>
          <w:rFonts w:ascii="Helvetica" w:hAnsi="Helvetica"/>
          <w:color w:val="000000"/>
          <w:sz w:val="16"/>
        </w:rPr>
      </w:pPr>
    </w:p>
    <w:p w:rsidR="00F2169D" w:rsidRDefault="00F2169D" w:rsidP="00C05E03">
      <w:pPr>
        <w:tabs>
          <w:tab w:val="left" w:leader="dot" w:pos="2200"/>
        </w:tabs>
        <w:spacing w:before="20" w:after="20"/>
        <w:ind w:left="2420" w:hanging="2420"/>
        <w:rPr>
          <w:rFonts w:ascii="Helvetica" w:hAnsi="Helvetica"/>
          <w:color w:val="000000"/>
          <w:sz w:val="16"/>
        </w:rPr>
      </w:pPr>
    </w:p>
    <w:p w:rsidR="00C05E03" w:rsidRDefault="00C05E03" w:rsidP="00C05E03">
      <w:pPr>
        <w:tabs>
          <w:tab w:val="left" w:leader="dot" w:pos="2200"/>
        </w:tabs>
        <w:spacing w:before="20" w:after="20"/>
        <w:ind w:left="2420" w:hanging="2420"/>
        <w:rPr>
          <w:rFonts w:ascii="Helvetica" w:hAnsi="Helvetica"/>
          <w:color w:val="000000"/>
          <w:sz w:val="16"/>
        </w:rPr>
      </w:pPr>
    </w:p>
    <w:p w:rsidR="00C05E03" w:rsidRDefault="00C05E03" w:rsidP="00C05E03">
      <w:pPr>
        <w:tabs>
          <w:tab w:val="left" w:leader="dot" w:pos="2200"/>
        </w:tabs>
        <w:spacing w:before="20" w:after="20"/>
        <w:ind w:left="2420" w:hanging="2420"/>
        <w:rPr>
          <w:rFonts w:ascii="Helvetica" w:hAnsi="Helvetica"/>
          <w:color w:val="000000"/>
          <w:sz w:val="16"/>
        </w:rPr>
      </w:pPr>
    </w:p>
    <w:p w:rsidR="00C05E03" w:rsidRDefault="00C05E03" w:rsidP="00C05E03">
      <w:pPr>
        <w:rPr>
          <w:color w:val="000000"/>
          <w:sz w:val="22"/>
        </w:rPr>
      </w:pPr>
      <w:r>
        <w:rPr>
          <w:color w:val="000000"/>
          <w:sz w:val="22"/>
        </w:rPr>
        <w:t xml:space="preserve">©  Australian Capital Territory </w:t>
      </w:r>
      <w:r w:rsidR="00C64502">
        <w:rPr>
          <w:noProof/>
          <w:color w:val="000000"/>
          <w:sz w:val="22"/>
        </w:rPr>
        <w:t>20</w:t>
      </w:r>
      <w:r w:rsidR="00CB7C2F">
        <w:rPr>
          <w:noProof/>
          <w:color w:val="000000"/>
          <w:sz w:val="22"/>
        </w:rPr>
        <w:t>20</w:t>
      </w:r>
    </w:p>
    <w:p w:rsidR="00C05E03" w:rsidRDefault="00C05E03" w:rsidP="00C05E03">
      <w:pPr>
        <w:tabs>
          <w:tab w:val="left" w:leader="dot" w:pos="2200"/>
        </w:tabs>
        <w:spacing w:before="20" w:after="20"/>
        <w:ind w:left="2420" w:hanging="2420"/>
        <w:rPr>
          <w:rFonts w:ascii="Helvetica" w:hAnsi="Helvetica"/>
          <w:color w:val="000000"/>
          <w:sz w:val="16"/>
        </w:rPr>
      </w:pPr>
    </w:p>
    <w:p w:rsidR="00C05E03" w:rsidRDefault="00C05E03" w:rsidP="00C05E03">
      <w:pPr>
        <w:spacing w:before="20" w:after="20"/>
        <w:ind w:left="300" w:hanging="260"/>
      </w:pPr>
    </w:p>
    <w:sectPr w:rsidR="00C05E03" w:rsidSect="00EC4411">
      <w:headerReference w:type="default" r:id="rId27"/>
      <w:headerReference w:type="first" r:id="rId28"/>
      <w:footerReference w:type="first" r:id="rId29"/>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22" w:rsidRDefault="00CC2322">
      <w:r>
        <w:separator/>
      </w:r>
    </w:p>
  </w:endnote>
  <w:endnote w:type="continuationSeparator" w:id="0">
    <w:p w:rsidR="00CC2322" w:rsidRDefault="00CC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Pr="0046265C" w:rsidRDefault="00EC4411" w:rsidP="0046265C">
    <w:pPr>
      <w:pStyle w:val="Footer"/>
      <w:jc w:val="center"/>
      <w:rPr>
        <w:rFonts w:ascii="Arial" w:hAnsi="Arial" w:cs="Arial"/>
        <w:sz w:val="14"/>
      </w:rPr>
    </w:pPr>
    <w:r w:rsidRPr="0046265C">
      <w:rPr>
        <w:rFonts w:ascii="Arial" w:hAnsi="Arial" w:cs="Arial"/>
        <w:sz w:val="14"/>
      </w:rPr>
      <w:fldChar w:fldCharType="begin"/>
    </w:r>
    <w:r w:rsidRPr="0046265C">
      <w:rPr>
        <w:rFonts w:ascii="Arial" w:hAnsi="Arial" w:cs="Arial"/>
        <w:sz w:val="14"/>
      </w:rPr>
      <w:instrText xml:space="preserve"> COMMENTS  \* MERGEFORMAT </w:instrText>
    </w:r>
    <w:r w:rsidRPr="0046265C">
      <w:rPr>
        <w:rFonts w:ascii="Arial" w:hAnsi="Arial" w:cs="Arial"/>
        <w:sz w:val="14"/>
      </w:rPr>
      <w:fldChar w:fldCharType="end"/>
    </w:r>
    <w:r w:rsidR="0046265C" w:rsidRPr="0046265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5C" w:rsidRPr="0046265C" w:rsidRDefault="0046265C" w:rsidP="0046265C">
    <w:pPr>
      <w:pStyle w:val="Footer"/>
      <w:jc w:val="center"/>
      <w:rPr>
        <w:rFonts w:ascii="Arial" w:hAnsi="Arial" w:cs="Arial"/>
        <w:sz w:val="14"/>
      </w:rPr>
    </w:pPr>
    <w:r w:rsidRPr="0046265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Pr="0046265C" w:rsidRDefault="0046265C" w:rsidP="0046265C">
    <w:pPr>
      <w:pStyle w:val="Footer"/>
      <w:jc w:val="center"/>
      <w:rPr>
        <w:rFonts w:ascii="Arial" w:hAnsi="Arial" w:cs="Arial"/>
        <w:sz w:val="14"/>
      </w:rPr>
    </w:pPr>
    <w:r w:rsidRPr="0046265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Pr="0046265C" w:rsidRDefault="0046265C" w:rsidP="0046265C">
    <w:pPr>
      <w:pStyle w:val="Footer"/>
      <w:jc w:val="center"/>
      <w:rPr>
        <w:rFonts w:ascii="Arial" w:hAnsi="Arial" w:cs="Arial"/>
        <w:sz w:val="14"/>
      </w:rPr>
    </w:pPr>
    <w:r w:rsidRPr="0046265C">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Pr="0046265C" w:rsidRDefault="0046265C" w:rsidP="0046265C">
    <w:pPr>
      <w:pStyle w:val="Footer"/>
      <w:jc w:val="center"/>
      <w:rPr>
        <w:rFonts w:ascii="Arial" w:hAnsi="Arial" w:cs="Arial"/>
        <w:sz w:val="14"/>
      </w:rPr>
    </w:pPr>
    <w:r w:rsidRPr="0046265C">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Pr="0046265C" w:rsidRDefault="0046265C" w:rsidP="0046265C">
    <w:pPr>
      <w:pStyle w:val="Footer"/>
      <w:jc w:val="center"/>
      <w:rPr>
        <w:rFonts w:ascii="Arial" w:hAnsi="Arial" w:cs="Arial"/>
        <w:sz w:val="14"/>
      </w:rPr>
    </w:pPr>
    <w:r w:rsidRPr="0046265C">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Pr="0046265C" w:rsidRDefault="0046265C" w:rsidP="0046265C">
    <w:pPr>
      <w:pStyle w:val="Footer"/>
      <w:jc w:val="center"/>
      <w:rPr>
        <w:rFonts w:ascii="Arial" w:hAnsi="Arial" w:cs="Arial"/>
        <w:sz w:val="14"/>
      </w:rPr>
    </w:pPr>
    <w:r w:rsidRPr="0046265C">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Pr="0046265C" w:rsidRDefault="0046265C" w:rsidP="0046265C">
    <w:pPr>
      <w:pStyle w:val="Footer"/>
      <w:jc w:val="center"/>
      <w:rPr>
        <w:rFonts w:ascii="Arial" w:hAnsi="Arial" w:cs="Arial"/>
        <w:sz w:val="14"/>
      </w:rPr>
    </w:pPr>
    <w:r w:rsidRPr="0046265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22" w:rsidRDefault="00CC2322">
      <w:r>
        <w:separator/>
      </w:r>
    </w:p>
  </w:footnote>
  <w:footnote w:type="continuationSeparator" w:id="0">
    <w:p w:rsidR="00CC2322" w:rsidRDefault="00CC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5C" w:rsidRDefault="004626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tabs>
        <w:tab w:val="center" w:pos="3700"/>
        <w:tab w:val="right" w:pos="7180"/>
      </w:tabs>
      <w:rPr>
        <w:sz w:val="20"/>
      </w:rPr>
    </w:pPr>
    <w:r>
      <w:tab/>
    </w:r>
    <w:r>
      <w:rPr>
        <w:i/>
        <w:sz w:val="20"/>
      </w:rPr>
      <w:t>Scaffolding and Lifts Act 1957</w:t>
    </w:r>
    <w:r>
      <w:rPr>
        <w:sz w:val="20"/>
      </w:rPr>
      <w:tab/>
    </w:r>
  </w:p>
  <w:p w:rsidR="00EC4411" w:rsidRDefault="00EC4411">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p w:rsidR="00EC4411" w:rsidRDefault="00EC4411">
    <w:pPr>
      <w:tabs>
        <w:tab w:val="left" w:leader="dot" w:pos="2200"/>
        <w:tab w:val="left" w:pos="3580"/>
      </w:tabs>
      <w:spacing w:before="20" w:after="20"/>
      <w:ind w:left="260" w:right="-80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pStyle w:val="Header"/>
      <w:tabs>
        <w:tab w:val="center" w:pos="3860"/>
      </w:tabs>
      <w:rPr>
        <w:sz w:val="20"/>
      </w:rPr>
    </w:pPr>
    <w:r>
      <w:rPr>
        <w:sz w:val="20"/>
      </w:rPr>
      <w:tab/>
    </w:r>
    <w:r>
      <w:rPr>
        <w:i/>
        <w:sz w:val="20"/>
      </w:rPr>
      <w:t>Scaffolding and Lifts Act 1957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tabs>
        <w:tab w:val="center" w:pos="3700"/>
        <w:tab w:val="right" w:pos="7180"/>
      </w:tabs>
      <w:rPr>
        <w:sz w:val="20"/>
      </w:rPr>
    </w:pPr>
    <w:r>
      <w:tab/>
    </w:r>
    <w:r>
      <w:rPr>
        <w:i/>
        <w:sz w:val="20"/>
      </w:rPr>
      <w:t>Scaffolding and Lifts Act 1957</w:t>
    </w:r>
    <w:r>
      <w:rPr>
        <w:sz w:val="20"/>
      </w:rPr>
      <w:tab/>
    </w:r>
  </w:p>
  <w:p w:rsidR="00EC4411" w:rsidRDefault="00EC4411">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p w:rsidR="00EC4411" w:rsidRDefault="00EC4411">
    <w:pPr>
      <w:spacing w:before="10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EC4411" w:rsidRDefault="00EC441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C4411" w:rsidRDefault="00EC4411">
    <w:pPr>
      <w:pBdr>
        <w:top w:val="single" w:sz="6" w:space="0" w:color="auto"/>
      </w:pBdr>
      <w:tabs>
        <w:tab w:val="left" w:pos="2200"/>
      </w:tabs>
      <w:spacing w:before="20" w:after="20"/>
      <w:ind w:left="240" w:right="20"/>
      <w:rPr>
        <w:rFonts w:ascii="Helvetica" w:hAnsi="Helvetica"/>
        <w:sz w:val="8"/>
      </w:rPr>
    </w:pPr>
  </w:p>
  <w:p w:rsidR="00EC4411" w:rsidRDefault="00EC4411">
    <w:pPr>
      <w:tabs>
        <w:tab w:val="left" w:pos="2200"/>
      </w:tabs>
      <w:spacing w:before="20" w:after="20"/>
      <w:ind w:left="240" w:right="20"/>
      <w:rPr>
        <w:rFonts w:ascii="Helvetica" w:hAnsi="Helvetica"/>
        <w:sz w:val="16"/>
      </w:rPr>
    </w:pPr>
    <w:r>
      <w:rPr>
        <w:rFonts w:ascii="Helvetica" w:hAnsi="Helvetica"/>
        <w:sz w:val="16"/>
      </w:rPr>
      <w:t>Provision</w:t>
    </w:r>
    <w:r>
      <w:rPr>
        <w:rFonts w:ascii="Helvetica" w:hAnsi="Helvetica"/>
        <w:sz w:val="16"/>
      </w:rPr>
      <w:tab/>
      <w:t>How affected</w:t>
    </w:r>
  </w:p>
  <w:p w:rsidR="00EC4411" w:rsidRDefault="00EC4411">
    <w:pPr>
      <w:pBdr>
        <w:bottom w:val="single" w:sz="2" w:space="0" w:color="auto"/>
      </w:pBdr>
      <w:tabs>
        <w:tab w:val="left" w:pos="2200"/>
      </w:tabs>
      <w:spacing w:before="20" w:after="20"/>
      <w:ind w:left="240" w:right="20"/>
      <w:rPr>
        <w:rFonts w:ascii="Helvetica" w:hAnsi="Helvetica"/>
        <w:sz w:val="8"/>
      </w:rPr>
    </w:pPr>
  </w:p>
  <w:p w:rsidR="00EC4411" w:rsidRDefault="00EC4411">
    <w:pPr>
      <w:tabs>
        <w:tab w:val="left" w:leader="dot" w:pos="2200"/>
      </w:tabs>
      <w:spacing w:before="20" w:after="20"/>
      <w:ind w:left="2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pStyle w:val="Header"/>
      <w:tabs>
        <w:tab w:val="center" w:pos="3860"/>
      </w:tabs>
      <w:rPr>
        <w:i/>
        <w:sz w:val="20"/>
      </w:rPr>
    </w:pPr>
    <w:r>
      <w:rPr>
        <w:sz w:val="20"/>
      </w:rPr>
      <w:tab/>
    </w:r>
    <w:r>
      <w:rPr>
        <w:i/>
        <w:sz w:val="20"/>
      </w:rPr>
      <w:t>Scaffolding and Lifts Act 1957</w:t>
    </w:r>
  </w:p>
  <w:p w:rsidR="00EC4411" w:rsidRDefault="00EC4411">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5C" w:rsidRDefault="00462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5C" w:rsidRDefault="00462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tabs>
        <w:tab w:val="center" w:pos="3600"/>
      </w:tabs>
      <w:rPr>
        <w:i/>
        <w:sz w:val="20"/>
      </w:rPr>
    </w:pPr>
    <w:r>
      <w:rPr>
        <w:sz w:val="20"/>
      </w:rPr>
      <w:pgNum/>
    </w:r>
    <w:r>
      <w:rPr>
        <w:sz w:val="20"/>
      </w:rPr>
      <w:tab/>
    </w:r>
    <w:r>
      <w:rPr>
        <w:i/>
        <w:sz w:val="20"/>
      </w:rPr>
      <w:t>Scaffolding and Lifts Act 1957</w:t>
    </w:r>
  </w:p>
  <w:p w:rsidR="00EC4411" w:rsidRDefault="00EC4411">
    <w:pPr>
      <w:tabs>
        <w:tab w:val="left" w:pos="3220"/>
      </w:tabs>
      <w:jc w:val="center"/>
      <w:rPr>
        <w:sz w:val="20"/>
      </w:rPr>
    </w:pPr>
    <w:r>
      <w:rPr>
        <w:b/>
        <w:sz w:val="20"/>
      </w:rPr>
      <w:t>TABLE OF PROVISIONS</w:t>
    </w:r>
    <w:r>
      <w:rPr>
        <w:sz w:val="20"/>
      </w:rPr>
      <w:t>—continued</w:t>
    </w:r>
  </w:p>
  <w:p w:rsidR="00EC4411" w:rsidRDefault="00EC4411">
    <w:pPr>
      <w:tabs>
        <w:tab w:val="left" w:pos="322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tabs>
        <w:tab w:val="center" w:pos="3620"/>
        <w:tab w:val="right" w:pos="7200"/>
      </w:tabs>
      <w:rPr>
        <w:i/>
        <w:sz w:val="20"/>
      </w:rPr>
    </w:pPr>
    <w:r>
      <w:tab/>
    </w:r>
    <w:r>
      <w:rPr>
        <w:i/>
        <w:sz w:val="20"/>
      </w:rPr>
      <w:t>Scaffolding and Lifts Act 1957</w:t>
    </w:r>
    <w:r>
      <w:rPr>
        <w:i/>
        <w:sz w:val="20"/>
      </w:rPr>
      <w:tab/>
    </w:r>
  </w:p>
  <w:p w:rsidR="00EC4411" w:rsidRDefault="00EC4411">
    <w:pPr>
      <w:tabs>
        <w:tab w:val="left" w:pos="2340"/>
        <w:tab w:val="right" w:pos="7180"/>
      </w:tabs>
      <w:jc w:val="center"/>
      <w:rPr>
        <w:sz w:val="20"/>
      </w:rPr>
    </w:pPr>
    <w:r>
      <w:rPr>
        <w:b/>
        <w:sz w:val="20"/>
      </w:rPr>
      <w:t>TABLE OF PROVISIONS</w:t>
    </w:r>
    <w:r>
      <w:rPr>
        <w:sz w:val="20"/>
      </w:rPr>
      <w:t>—continued</w:t>
    </w:r>
  </w:p>
  <w:p w:rsidR="00EC4411" w:rsidRDefault="00EC4411">
    <w:pPr>
      <w:tabs>
        <w:tab w:val="left" w:pos="2340"/>
        <w:tab w:val="right" w:pos="718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tabs>
        <w:tab w:val="center" w:pos="3620"/>
      </w:tabs>
      <w:rPr>
        <w:i/>
        <w:sz w:val="20"/>
      </w:rPr>
    </w:pPr>
    <w:r>
      <w:rPr>
        <w:sz w:val="20"/>
      </w:rPr>
      <w:pgNum/>
    </w:r>
    <w:r>
      <w:rPr>
        <w:sz w:val="20"/>
      </w:rPr>
      <w:tab/>
    </w:r>
    <w:r>
      <w:rPr>
        <w:i/>
        <w:sz w:val="20"/>
      </w:rPr>
      <w:t>Scaffolding and Lifts Act 1957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tabs>
        <w:tab w:val="center" w:pos="3620"/>
        <w:tab w:val="right" w:pos="7200"/>
      </w:tabs>
      <w:rPr>
        <w:i/>
        <w:sz w:val="20"/>
      </w:rPr>
    </w:pPr>
    <w:r>
      <w:tab/>
    </w:r>
    <w:r>
      <w:rPr>
        <w:i/>
        <w:sz w:val="20"/>
      </w:rPr>
      <w:t>Scaffolding and Lifts Act 1957</w:t>
    </w:r>
    <w:r>
      <w:rPr>
        <w:i/>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pStyle w:val="Header"/>
      <w:tabs>
        <w:tab w:val="center" w:pos="38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11" w:rsidRDefault="00EC4411">
    <w:pPr>
      <w:tabs>
        <w:tab w:val="center" w:pos="3680"/>
      </w:tabs>
      <w:rPr>
        <w:i/>
        <w:sz w:val="20"/>
      </w:rPr>
    </w:pPr>
    <w:r>
      <w:rPr>
        <w:sz w:val="20"/>
      </w:rPr>
      <w:pgNum/>
    </w:r>
    <w:r>
      <w:rPr>
        <w:sz w:val="20"/>
      </w:rPr>
      <w:tab/>
    </w:r>
    <w:r>
      <w:rPr>
        <w:i/>
        <w:sz w:val="20"/>
      </w:rPr>
      <w:t>Scaffolding and Lifts Act 1957</w:t>
    </w:r>
  </w:p>
  <w:p w:rsidR="00EC4411" w:rsidRDefault="00EC4411">
    <w:pPr>
      <w:spacing w:before="160"/>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EC4411" w:rsidRDefault="00EC4411">
    <w:pPr>
      <w:spacing w:before="120" w:after="120"/>
      <w:ind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C4411">
      <w:trPr>
        <w:cantSplit/>
      </w:trPr>
      <w:tc>
        <w:tcPr>
          <w:tcW w:w="2280" w:type="dxa"/>
          <w:tcBorders>
            <w:top w:val="single" w:sz="6" w:space="0" w:color="auto"/>
            <w:bottom w:val="single" w:sz="2" w:space="0" w:color="auto"/>
          </w:tcBorders>
        </w:tcPr>
        <w:p w:rsidR="00EC4411" w:rsidRDefault="00EC4411">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EC4411" w:rsidRDefault="00EC4411">
          <w:pPr>
            <w:spacing w:before="480" w:after="0"/>
            <w:rPr>
              <w:rFonts w:ascii="Helvetica" w:hAnsi="Helvetica"/>
              <w:sz w:val="16"/>
            </w:rPr>
          </w:pPr>
          <w:r>
            <w:rPr>
              <w:rFonts w:ascii="Helvetica" w:hAnsi="Helvetica"/>
              <w:sz w:val="16"/>
            </w:rPr>
            <w:t xml:space="preserve">Number  </w:t>
          </w:r>
        </w:p>
        <w:p w:rsidR="00EC4411" w:rsidRDefault="00EC441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C4411" w:rsidRDefault="00EC4411">
          <w:pPr>
            <w:spacing w:before="320" w:after="0"/>
            <w:rPr>
              <w:rFonts w:ascii="Helvetica" w:hAnsi="Helvetica"/>
              <w:sz w:val="16"/>
            </w:rPr>
          </w:pPr>
          <w:r>
            <w:rPr>
              <w:rFonts w:ascii="Helvetica" w:hAnsi="Helvetica"/>
              <w:sz w:val="16"/>
            </w:rPr>
            <w:t xml:space="preserve">Date of </w:t>
          </w:r>
        </w:p>
        <w:p w:rsidR="00EC4411" w:rsidRDefault="00EC4411">
          <w:pPr>
            <w:spacing w:before="0" w:after="0"/>
            <w:rPr>
              <w:rFonts w:ascii="Helvetica" w:hAnsi="Helvetica"/>
              <w:sz w:val="16"/>
            </w:rPr>
          </w:pPr>
          <w:r>
            <w:rPr>
              <w:rFonts w:ascii="Helvetica" w:hAnsi="Helvetica"/>
              <w:sz w:val="16"/>
            </w:rPr>
            <w:t xml:space="preserve">notification </w:t>
          </w:r>
        </w:p>
        <w:p w:rsidR="00EC4411" w:rsidRDefault="00EC441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C4411" w:rsidRDefault="00EC4411">
          <w:pPr>
            <w:spacing w:before="480" w:after="0"/>
            <w:rPr>
              <w:rFonts w:ascii="Helvetica" w:hAnsi="Helvetica"/>
              <w:sz w:val="16"/>
            </w:rPr>
          </w:pPr>
          <w:r>
            <w:rPr>
              <w:rFonts w:ascii="Helvetica" w:hAnsi="Helvetica"/>
              <w:sz w:val="16"/>
            </w:rPr>
            <w:t xml:space="preserve">Date of </w:t>
          </w:r>
        </w:p>
        <w:p w:rsidR="00EC4411" w:rsidRDefault="00EC441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C4411" w:rsidRDefault="00EC4411">
          <w:pPr>
            <w:spacing w:after="100"/>
            <w:jc w:val="right"/>
            <w:rPr>
              <w:rFonts w:ascii="Helvetica" w:hAnsi="Helvetica"/>
              <w:sz w:val="16"/>
            </w:rPr>
          </w:pPr>
          <w:r>
            <w:rPr>
              <w:rFonts w:ascii="Helvetica" w:hAnsi="Helvetica"/>
              <w:sz w:val="16"/>
            </w:rPr>
            <w:t>Application, saving or transitional provisions</w:t>
          </w:r>
        </w:p>
      </w:tc>
    </w:tr>
  </w:tbl>
  <w:p w:rsidR="00EC4411" w:rsidRDefault="00EC4411">
    <w:pPr>
      <w:tabs>
        <w:tab w:val="left" w:leader="dot" w:pos="2200"/>
      </w:tabs>
      <w:spacing w:before="20" w:after="20"/>
      <w:ind w:left="26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C1"/>
    <w:rsid w:val="001D0D5F"/>
    <w:rsid w:val="0025590C"/>
    <w:rsid w:val="00256891"/>
    <w:rsid w:val="002E3529"/>
    <w:rsid w:val="003A6756"/>
    <w:rsid w:val="003F48F8"/>
    <w:rsid w:val="0041256E"/>
    <w:rsid w:val="00413066"/>
    <w:rsid w:val="0046265C"/>
    <w:rsid w:val="00530A7C"/>
    <w:rsid w:val="0053159E"/>
    <w:rsid w:val="005B3DD0"/>
    <w:rsid w:val="005B52DA"/>
    <w:rsid w:val="005C1C88"/>
    <w:rsid w:val="0077420E"/>
    <w:rsid w:val="00841384"/>
    <w:rsid w:val="008B39F5"/>
    <w:rsid w:val="00925C46"/>
    <w:rsid w:val="00994872"/>
    <w:rsid w:val="00AB364D"/>
    <w:rsid w:val="00BA2192"/>
    <w:rsid w:val="00BF66BE"/>
    <w:rsid w:val="00C05E03"/>
    <w:rsid w:val="00C64502"/>
    <w:rsid w:val="00C90DC1"/>
    <w:rsid w:val="00CB7C2F"/>
    <w:rsid w:val="00CC2322"/>
    <w:rsid w:val="00CC6005"/>
    <w:rsid w:val="00E86E60"/>
    <w:rsid w:val="00EA1C4A"/>
    <w:rsid w:val="00EC4411"/>
    <w:rsid w:val="00F2169D"/>
    <w:rsid w:val="00F43B13"/>
    <w:rsid w:val="00F66109"/>
    <w:rsid w:val="00FB2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CBB4D62-389D-49A5-9A70-FAA0D4ED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60" w:after="80"/>
      <w:jc w:val="both"/>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pPr>
      <w:tabs>
        <w:tab w:val="center" w:pos="4252"/>
        <w:tab w:val="right" w:pos="8504"/>
      </w:tabs>
    </w:pPr>
  </w:style>
  <w:style w:type="paragraph" w:styleId="Header">
    <w:name w:val="header"/>
    <w:basedOn w:val="Normal"/>
    <w:next w:val="Normal"/>
    <w:pPr>
      <w:tabs>
        <w:tab w:val="center" w:pos="4252"/>
        <w:tab w:val="right" w:pos="8504"/>
      </w:tabs>
    </w:pPr>
  </w:style>
  <w:style w:type="paragraph" w:customStyle="1" w:styleId="amendschedule">
    <w:name w:val="amend schedule"/>
    <w:next w:val="allsections"/>
    <w:pPr>
      <w:spacing w:before="140"/>
    </w:pPr>
    <w:rPr>
      <w:rFonts w:ascii="Times" w:hAnsi="Times"/>
      <w:b/>
      <w:sz w:val="24"/>
    </w:rPr>
  </w:style>
  <w:style w:type="paragraph" w:customStyle="1" w:styleId="def">
    <w:name w:val="def"/>
    <w:pPr>
      <w:spacing w:before="80" w:after="80"/>
      <w:ind w:left="900" w:hanging="500"/>
      <w:jc w:val="both"/>
    </w:pPr>
    <w:rPr>
      <w:rFonts w:ascii="Times" w:hAnsi="Times"/>
      <w:sz w:val="24"/>
    </w:rPr>
  </w:style>
  <w:style w:type="paragraph" w:customStyle="1" w:styleId="definpara">
    <w:name w:val="def in para"/>
    <w:pPr>
      <w:spacing w:before="80" w:after="80"/>
      <w:ind w:left="1720" w:hanging="380"/>
      <w:jc w:val="both"/>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rPr>
  </w:style>
  <w:style w:type="paragraph" w:customStyle="1" w:styleId="Bindent">
    <w:name w:val="B indent"/>
    <w:pPr>
      <w:spacing w:before="80" w:after="80"/>
      <w:ind w:left="2260" w:hanging="500"/>
      <w:jc w:val="both"/>
    </w:pPr>
    <w:rPr>
      <w:rFonts w:ascii="Times" w:hAnsi="Times"/>
      <w:sz w:val="24"/>
    </w:rPr>
  </w:style>
  <w:style w:type="paragraph" w:customStyle="1" w:styleId="defaindent">
    <w:name w:val="def a indent"/>
    <w:pPr>
      <w:tabs>
        <w:tab w:val="right" w:pos="1360"/>
      </w:tabs>
      <w:spacing w:before="80" w:after="80"/>
      <w:ind w:left="1620" w:hanging="162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defBindent">
    <w:name w:val="def B indent"/>
    <w:pPr>
      <w:spacing w:before="80" w:after="80"/>
      <w:ind w:left="306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para">
    <w:name w:val="def a in para"/>
    <w:pPr>
      <w:tabs>
        <w:tab w:val="right" w:pos="2140"/>
      </w:tabs>
      <w:spacing w:before="80" w:after="80"/>
      <w:ind w:left="2400" w:hanging="240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defBinpara">
    <w:name w:val="def B in para"/>
    <w:pPr>
      <w:spacing w:before="80" w:after="80"/>
      <w:ind w:left="3880" w:hanging="480"/>
      <w:jc w:val="both"/>
    </w:pPr>
    <w:rPr>
      <w:rFonts w:ascii="Times" w:hAnsi="Times"/>
      <w:sz w:val="24"/>
    </w:rPr>
  </w:style>
  <w:style w:type="paragraph" w:customStyle="1" w:styleId="defiinpara">
    <w:name w:val="def i in para"/>
    <w:pPr>
      <w:tabs>
        <w:tab w:val="right" w:pos="2940"/>
      </w:tabs>
      <w:spacing w:before="80" w:after="80"/>
      <w:ind w:left="3100" w:hanging="3100"/>
      <w:jc w:val="both"/>
    </w:pPr>
    <w:rPr>
      <w:rFonts w:ascii="Times" w:hAnsi="Times"/>
      <w:sz w:val="24"/>
    </w:rPr>
  </w:style>
  <w:style w:type="paragraph" w:customStyle="1" w:styleId="tocamendsection">
    <w:name w:val="toc amend section"/>
    <w:pPr>
      <w:tabs>
        <w:tab w:val="right" w:pos="1900"/>
      </w:tabs>
      <w:spacing w:before="20" w:after="20"/>
      <w:ind w:left="2300" w:hanging="2300"/>
    </w:pPr>
    <w:rPr>
      <w:rFonts w:ascii="Times" w:hAnsi="Times"/>
    </w:rPr>
  </w:style>
  <w:style w:type="paragraph" w:customStyle="1" w:styleId="tocamenddiv">
    <w:name w:val="toc amend div"/>
    <w:pPr>
      <w:spacing w:before="20" w:after="20"/>
      <w:ind w:left="1120" w:right="20"/>
      <w:jc w:val="center"/>
    </w:pPr>
    <w:rPr>
      <w:rFonts w:ascii="Times" w:hAnsi="Times"/>
      <w:i/>
    </w:rPr>
  </w:style>
  <w:style w:type="paragraph" w:customStyle="1" w:styleId="tocamendpart">
    <w:name w:val="toc amend part"/>
    <w:pPr>
      <w:spacing w:before="20" w:after="20"/>
      <w:ind w:left="1120" w:right="20"/>
      <w:jc w:val="center"/>
    </w:pPr>
    <w:rPr>
      <w:rFonts w:ascii="Times" w:hAnsi="Times"/>
      <w:caps/>
    </w:rPr>
  </w:style>
  <w:style w:type="paragraph" w:customStyle="1" w:styleId="secinpara">
    <w:name w:val="sec in para"/>
    <w:pPr>
      <w:spacing w:before="80" w:after="80"/>
      <w:ind w:left="900" w:firstLine="400"/>
      <w:jc w:val="both"/>
    </w:pPr>
    <w:rPr>
      <w:rFonts w:ascii="Times" w:hAnsi="Times"/>
      <w:sz w:val="24"/>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subparainpara">
    <w:name w:val="subpara in para"/>
    <w:pPr>
      <w:tabs>
        <w:tab w:val="right" w:pos="2280"/>
      </w:tabs>
      <w:spacing w:before="80" w:after="80"/>
      <w:ind w:left="2480" w:hanging="2480"/>
      <w:jc w:val="both"/>
    </w:pPr>
    <w:rPr>
      <w:rFonts w:ascii="Times" w:hAnsi="Times"/>
      <w:sz w:val="24"/>
    </w:rPr>
  </w:style>
  <w:style w:type="paragraph" w:customStyle="1" w:styleId="sub-subparainpara">
    <w:name w:val="sub-subpara in para"/>
    <w:pPr>
      <w:spacing w:before="80" w:after="80"/>
      <w:ind w:left="3160" w:hanging="460"/>
      <w:jc w:val="both"/>
    </w:pPr>
    <w:rPr>
      <w:rFonts w:ascii="Times" w:hAnsi="Times"/>
      <w:sz w:val="24"/>
    </w:rPr>
  </w:style>
  <w:style w:type="paragraph" w:customStyle="1" w:styleId="subparainpara2">
    <w:name w:val="subpara in para /2"/>
    <w:pPr>
      <w:tabs>
        <w:tab w:val="right" w:pos="1400"/>
      </w:tabs>
      <w:spacing w:before="80" w:after="80"/>
      <w:ind w:left="1580" w:hanging="1580"/>
      <w:jc w:val="both"/>
    </w:pPr>
    <w:rPr>
      <w:rFonts w:ascii="Times" w:hAnsi="Times"/>
      <w:sz w:val="24"/>
    </w:rPr>
  </w:style>
  <w:style w:type="paragraph" w:customStyle="1" w:styleId="orparainpara">
    <w:name w:val=". or para in para"/>
    <w:pPr>
      <w:tabs>
        <w:tab w:val="left" w:pos="1680"/>
      </w:tabs>
      <w:spacing w:before="80" w:after="80"/>
      <w:ind w:left="2100" w:hanging="1000"/>
      <w:jc w:val="both"/>
    </w:pPr>
    <w:rPr>
      <w:rFonts w:ascii="Times" w:hAnsi="Times"/>
      <w:sz w:val="24"/>
    </w:rPr>
  </w:style>
  <w:style w:type="paragraph" w:customStyle="1" w:styleId="orpara">
    <w:name w:val=". or para"/>
    <w:pPr>
      <w:tabs>
        <w:tab w:val="left" w:pos="920"/>
      </w:tabs>
      <w:spacing w:before="80" w:after="80"/>
      <w:ind w:left="1380" w:hanging="980"/>
      <w:jc w:val="both"/>
    </w:pPr>
    <w:rPr>
      <w:rFonts w:ascii="Times" w:hAnsi="Times"/>
      <w:sz w:val="24"/>
    </w:rPr>
  </w:style>
  <w:style w:type="paragraph" w:customStyle="1" w:styleId="orsubpara">
    <w:name w:val=". or subpara"/>
    <w:pPr>
      <w:tabs>
        <w:tab w:val="right" w:pos="1200"/>
      </w:tabs>
      <w:spacing w:before="80" w:after="80"/>
      <w:ind w:left="1380" w:hanging="980"/>
      <w:jc w:val="both"/>
    </w:pPr>
    <w:rPr>
      <w:rFonts w:ascii="Times" w:hAnsi="Times"/>
      <w:sz w:val="24"/>
    </w:rPr>
  </w:style>
  <w:style w:type="paragraph" w:customStyle="1" w:styleId="orsubparainpara">
    <w:name w:val=". or subpara in para"/>
    <w:pPr>
      <w:tabs>
        <w:tab w:val="right" w:pos="1900"/>
      </w:tabs>
      <w:spacing w:before="80" w:after="80"/>
      <w:ind w:left="2100" w:hanging="10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60" w:after="80"/>
      <w:jc w:val="both"/>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aliases w:val=" H1,H1"/>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0SigningPage">
    <w:name w:val="00SigningPage"/>
    <w:basedOn w:val="Normal"/>
    <w:rsid w:val="00C90DC1"/>
    <w:pPr>
      <w:spacing w:before="0" w:after="0"/>
      <w:jc w:val="left"/>
    </w:pPr>
    <w:rPr>
      <w:rFonts w:ascii="Times New Roman" w:hAnsi="Times New Roman"/>
      <w:lang w:eastAsia="en-US"/>
    </w:rPr>
  </w:style>
  <w:style w:type="paragraph" w:customStyle="1" w:styleId="citation">
    <w:name w:val="citation"/>
    <w:basedOn w:val="Normal"/>
    <w:rsid w:val="00C90DC1"/>
    <w:pPr>
      <w:spacing w:before="1220" w:after="100"/>
      <w:jc w:val="left"/>
    </w:pPr>
    <w:rPr>
      <w:rFonts w:ascii="Arial" w:hAnsi="Arial"/>
      <w:b/>
      <w:sz w:val="40"/>
      <w:lang w:eastAsia="en-US"/>
    </w:rPr>
  </w:style>
  <w:style w:type="paragraph" w:customStyle="1" w:styleId="RepubNo">
    <w:name w:val="RepubNo"/>
    <w:basedOn w:val="Normal"/>
    <w:rsid w:val="00C90DC1"/>
    <w:pPr>
      <w:tabs>
        <w:tab w:val="left" w:pos="2600"/>
      </w:tabs>
      <w:spacing w:before="600" w:after="60"/>
    </w:pPr>
    <w:rPr>
      <w:rFonts w:ascii="Arial" w:hAnsi="Arial"/>
      <w:b/>
      <w:sz w:val="26"/>
      <w:lang w:eastAsia="en-US"/>
    </w:rPr>
  </w:style>
  <w:style w:type="paragraph" w:customStyle="1" w:styleId="EffectiveDate">
    <w:name w:val="EffectiveDate"/>
    <w:basedOn w:val="Normal"/>
    <w:rsid w:val="00C90DC1"/>
    <w:pPr>
      <w:spacing w:before="40" w:after="200"/>
      <w:jc w:val="left"/>
    </w:pPr>
    <w:rPr>
      <w:rFonts w:ascii="Arial" w:hAnsi="Arial"/>
      <w:b/>
      <w:sz w:val="26"/>
      <w:lang w:eastAsia="en-US"/>
    </w:rPr>
  </w:style>
  <w:style w:type="paragraph" w:customStyle="1" w:styleId="CoverInForce">
    <w:name w:val="CoverInForce"/>
    <w:basedOn w:val="Normal"/>
    <w:rsid w:val="00C90DC1"/>
    <w:pPr>
      <w:tabs>
        <w:tab w:val="left" w:pos="2600"/>
      </w:tabs>
      <w:spacing w:before="200" w:after="60"/>
      <w:jc w:val="left"/>
    </w:pPr>
    <w:rPr>
      <w:rFonts w:ascii="Arial (W1)" w:hAnsi="Arial (W1)"/>
      <w:lang w:eastAsia="en-US"/>
    </w:rPr>
  </w:style>
  <w:style w:type="paragraph" w:customStyle="1" w:styleId="CoverHeading">
    <w:name w:val="CoverHeading"/>
    <w:basedOn w:val="Normal"/>
    <w:rsid w:val="00C90DC1"/>
    <w:pPr>
      <w:spacing w:before="0" w:after="60"/>
      <w:jc w:val="left"/>
    </w:pPr>
    <w:rPr>
      <w:rFonts w:ascii="Arial" w:hAnsi="Arial"/>
      <w:b/>
      <w:lang w:eastAsia="en-US"/>
    </w:rPr>
  </w:style>
  <w:style w:type="paragraph" w:customStyle="1" w:styleId="CoverSubHdg">
    <w:name w:val="CoverSubHdg"/>
    <w:basedOn w:val="CoverHeading"/>
    <w:rsid w:val="00C90DC1"/>
    <w:pPr>
      <w:spacing w:before="60"/>
    </w:pPr>
    <w:rPr>
      <w:sz w:val="20"/>
    </w:rPr>
  </w:style>
  <w:style w:type="paragraph" w:customStyle="1" w:styleId="CoverText">
    <w:name w:val="CoverText"/>
    <w:basedOn w:val="Normal"/>
    <w:rsid w:val="00C90DC1"/>
    <w:pPr>
      <w:spacing w:before="40" w:after="40"/>
    </w:pPr>
    <w:rPr>
      <w:rFonts w:ascii="Times New Roman" w:hAnsi="Times New Roman"/>
      <w:sz w:val="20"/>
      <w:lang w:eastAsia="en-US"/>
    </w:rPr>
  </w:style>
  <w:style w:type="paragraph" w:customStyle="1" w:styleId="Status">
    <w:name w:val="Status"/>
    <w:basedOn w:val="Normal"/>
    <w:rsid w:val="00C90DC1"/>
    <w:pPr>
      <w:spacing w:before="280" w:after="0"/>
      <w:jc w:val="center"/>
    </w:pPr>
    <w:rPr>
      <w:rFonts w:ascii="Arial" w:hAnsi="Arial"/>
      <w:sz w:val="14"/>
      <w:lang w:eastAsia="en-US"/>
    </w:rPr>
  </w:style>
  <w:style w:type="paragraph" w:customStyle="1" w:styleId="ActNo">
    <w:name w:val="ActNo"/>
    <w:basedOn w:val="Normal"/>
    <w:rsid w:val="00C90DC1"/>
    <w:pPr>
      <w:overflowPunct w:val="0"/>
      <w:autoSpaceDE w:val="0"/>
      <w:autoSpaceDN w:val="0"/>
      <w:adjustRightInd w:val="0"/>
      <w:spacing w:before="120" w:after="60"/>
      <w:jc w:val="left"/>
      <w:textAlignment w:val="baseline"/>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2053</Words>
  <Characters>10154</Characters>
  <Application>Microsoft Office Word</Application>
  <DocSecurity>0</DocSecurity>
  <Lines>359</Lines>
  <Paragraphs>179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InTACT</dc:creator>
  <cp:keywords/>
  <cp:lastModifiedBy>PCODCS</cp:lastModifiedBy>
  <cp:revision>4</cp:revision>
  <cp:lastPrinted>2014-01-21T01:31:00Z</cp:lastPrinted>
  <dcterms:created xsi:type="dcterms:W3CDTF">2020-01-20T04:50:00Z</dcterms:created>
  <dcterms:modified xsi:type="dcterms:W3CDTF">2020-01-20T04:50:00Z</dcterms:modified>
</cp:coreProperties>
</file>