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C540" w14:textId="77777777" w:rsidR="00481F4A" w:rsidRDefault="00481F4A" w:rsidP="00481F4A">
      <w:pPr>
        <w:jc w:val="center"/>
      </w:pPr>
      <w:bookmarkStart w:id="0" w:name="_Hlk175130575"/>
      <w:r>
        <w:rPr>
          <w:noProof/>
        </w:rPr>
        <w:drawing>
          <wp:inline distT="0" distB="0" distL="0" distR="0" wp14:anchorId="636BB533" wp14:editId="36134DE7">
            <wp:extent cx="1336040" cy="11772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7E072" w14:textId="77777777" w:rsidR="00481F4A" w:rsidRDefault="00481F4A" w:rsidP="00481F4A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30A5819" w14:textId="05F7F36A" w:rsidR="00481F4A" w:rsidRDefault="0056412E" w:rsidP="00481F4A">
      <w:pPr>
        <w:pStyle w:val="citation"/>
      </w:pPr>
      <w:r>
        <w:t>Nudity Act 1976</w:t>
      </w:r>
      <w:r w:rsidR="00481F4A">
        <w:t xml:space="preserve"> </w:t>
      </w:r>
    </w:p>
    <w:p w14:paraId="3EE27306" w14:textId="6C60C631" w:rsidR="00481F4A" w:rsidRDefault="00481F4A" w:rsidP="00481F4A">
      <w:pPr>
        <w:pStyle w:val="ActNo"/>
      </w:pPr>
      <w:r>
        <w:t>A197</w:t>
      </w:r>
      <w:r w:rsidR="0056412E">
        <w:t>6-56</w:t>
      </w:r>
    </w:p>
    <w:p w14:paraId="10639303" w14:textId="77777777" w:rsidR="00481F4A" w:rsidRDefault="00481F4A" w:rsidP="00481F4A">
      <w:pPr>
        <w:pStyle w:val="RepubNo"/>
      </w:pPr>
      <w:r>
        <w:t>Republication No 1 (RI)</w:t>
      </w:r>
    </w:p>
    <w:p w14:paraId="570B9ECC" w14:textId="4C9C4BCF" w:rsidR="00481F4A" w:rsidRDefault="00481F4A" w:rsidP="00481F4A">
      <w:pPr>
        <w:pStyle w:val="EffectiveDate"/>
      </w:pPr>
      <w:r>
        <w:t xml:space="preserve">Effective:  </w:t>
      </w:r>
      <w:r w:rsidR="0056412E">
        <w:t>31 May</w:t>
      </w:r>
      <w:r>
        <w:t xml:space="preserve"> 1991 – </w:t>
      </w:r>
      <w:r w:rsidR="0056412E">
        <w:t>11 September 2001</w:t>
      </w:r>
    </w:p>
    <w:p w14:paraId="73D7E79A" w14:textId="388C6DD1" w:rsidR="00481F4A" w:rsidRDefault="00481F4A" w:rsidP="00481F4A">
      <w:pPr>
        <w:pStyle w:val="CoverInForce"/>
      </w:pPr>
      <w:r>
        <w:t xml:space="preserve">Republication date of printed version: </w:t>
      </w:r>
      <w:r w:rsidR="0056412E">
        <w:t>31 May</w:t>
      </w:r>
      <w:r>
        <w:t xml:space="preserve"> 1991</w:t>
      </w:r>
      <w:r>
        <w:br/>
        <w:t xml:space="preserve">Reissued electronically: </w:t>
      </w:r>
      <w:r w:rsidR="00EE04ED">
        <w:t xml:space="preserve">30 October </w:t>
      </w:r>
      <w:r>
        <w:t>2024</w:t>
      </w:r>
    </w:p>
    <w:p w14:paraId="3CDCE393" w14:textId="77777777" w:rsidR="00481F4A" w:rsidRDefault="00481F4A" w:rsidP="00481F4A">
      <w:pPr>
        <w:pStyle w:val="CoverInForce"/>
      </w:pPr>
      <w:r>
        <w:t>Act not amended</w:t>
      </w:r>
      <w:r>
        <w:br/>
        <w:t>(republication for initial republication since self-government)</w:t>
      </w:r>
    </w:p>
    <w:p w14:paraId="01135626" w14:textId="77777777" w:rsidR="00481F4A" w:rsidRDefault="00481F4A" w:rsidP="00481F4A"/>
    <w:p w14:paraId="72B9069D" w14:textId="77777777" w:rsidR="00481F4A" w:rsidRDefault="00481F4A" w:rsidP="00481F4A"/>
    <w:p w14:paraId="3F3FAA99" w14:textId="77777777" w:rsidR="00481F4A" w:rsidRDefault="00481F4A" w:rsidP="00481F4A"/>
    <w:p w14:paraId="08808946" w14:textId="77777777" w:rsidR="00481F4A" w:rsidRDefault="00481F4A" w:rsidP="00481F4A">
      <w:pPr>
        <w:pStyle w:val="CoverHeading"/>
      </w:pPr>
      <w:r>
        <w:br w:type="page"/>
      </w:r>
      <w:r>
        <w:lastRenderedPageBreak/>
        <w:t>About this republication</w:t>
      </w:r>
    </w:p>
    <w:p w14:paraId="461F062A" w14:textId="77777777" w:rsidR="00481F4A" w:rsidRDefault="00481F4A" w:rsidP="00481F4A">
      <w:pPr>
        <w:pStyle w:val="CoverSubHdg"/>
      </w:pPr>
      <w:r>
        <w:t>The republished law</w:t>
      </w:r>
    </w:p>
    <w:p w14:paraId="2F3C5AE4" w14:textId="686D3B91" w:rsidR="00481F4A" w:rsidRDefault="00481F4A" w:rsidP="00481F4A">
      <w:pPr>
        <w:pStyle w:val="CoverText"/>
      </w:pPr>
      <w:r>
        <w:t xml:space="preserve">This is a republication of the </w:t>
      </w:r>
      <w:r w:rsidR="0056412E">
        <w:rPr>
          <w:i/>
          <w:iCs/>
        </w:rPr>
        <w:t>Nudity Act 1976</w:t>
      </w:r>
      <w:r>
        <w:t xml:space="preserve"> effective from </w:t>
      </w:r>
      <w:r w:rsidR="0056412E">
        <w:t>31 May</w:t>
      </w:r>
      <w:r>
        <w:t xml:space="preserve"> 1991 to </w:t>
      </w:r>
      <w:r w:rsidR="0056412E">
        <w:t>11 </w:t>
      </w:r>
      <w:r>
        <w:t>September</w:t>
      </w:r>
      <w:r w:rsidR="0056412E">
        <w:t> 2001</w:t>
      </w:r>
      <w:r>
        <w:t>.</w:t>
      </w:r>
    </w:p>
    <w:p w14:paraId="3977AA4E" w14:textId="77777777" w:rsidR="00481F4A" w:rsidRDefault="00481F4A" w:rsidP="00481F4A">
      <w:pPr>
        <w:pStyle w:val="CoverSubHdg"/>
      </w:pPr>
      <w:r>
        <w:t>Kinds of republications</w:t>
      </w:r>
    </w:p>
    <w:p w14:paraId="3ECD4522" w14:textId="77777777" w:rsidR="00481F4A" w:rsidRDefault="00481F4A" w:rsidP="00481F4A">
      <w:pPr>
        <w:pStyle w:val="CoverText"/>
      </w:pPr>
      <w:r>
        <w:t>The Parliamentary Counsel’s Office prepares 2 kinds of republications of ACT laws (see the ACT legislation register at www.legislation.act.gov.au):</w:t>
      </w:r>
    </w:p>
    <w:p w14:paraId="63E1F82D" w14:textId="77777777" w:rsidR="00481F4A" w:rsidRDefault="00481F4A" w:rsidP="00481F4A">
      <w:pPr>
        <w:pStyle w:val="CoverText"/>
        <w:numPr>
          <w:ilvl w:val="0"/>
          <w:numId w:val="1"/>
        </w:numPr>
      </w:pPr>
      <w:r>
        <w:t xml:space="preserve">authorised republications to which the </w:t>
      </w:r>
      <w:r>
        <w:rPr>
          <w:i/>
        </w:rPr>
        <w:t>Legislation Act 2001</w:t>
      </w:r>
      <w:r>
        <w:t xml:space="preserve"> applies</w:t>
      </w:r>
    </w:p>
    <w:p w14:paraId="6EFAB37B" w14:textId="77777777" w:rsidR="00481F4A" w:rsidRDefault="00481F4A" w:rsidP="00481F4A">
      <w:pPr>
        <w:pStyle w:val="CoverText"/>
        <w:numPr>
          <w:ilvl w:val="0"/>
          <w:numId w:val="1"/>
        </w:numPr>
      </w:pPr>
      <w:r>
        <w:t>unauthorised republications.</w:t>
      </w:r>
    </w:p>
    <w:p w14:paraId="22C46D6C" w14:textId="77777777" w:rsidR="00481F4A" w:rsidRDefault="00481F4A" w:rsidP="00481F4A">
      <w:pPr>
        <w:pStyle w:val="CoverText"/>
      </w:pPr>
      <w:r>
        <w:t>The status of this republication appears on the bottom of each page.</w:t>
      </w:r>
    </w:p>
    <w:p w14:paraId="64A685E6" w14:textId="77777777" w:rsidR="00481F4A" w:rsidRDefault="00481F4A" w:rsidP="00481F4A">
      <w:pPr>
        <w:pStyle w:val="00SigningPage"/>
        <w:sectPr w:rsidR="00481F4A" w:rsidSect="00481F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pgNumType w:fmt="lowerRoman" w:start="1"/>
          <w:cols w:space="720"/>
          <w:titlePg/>
          <w:docGrid w:linePitch="254"/>
        </w:sectPr>
      </w:pPr>
    </w:p>
    <w:bookmarkEnd w:id="0"/>
    <w:p w14:paraId="1E809C35" w14:textId="77777777" w:rsidR="0056412E" w:rsidRDefault="0056412E" w:rsidP="0056412E">
      <w:pPr>
        <w:jc w:val="center"/>
      </w:pPr>
      <w:r>
        <w:rPr>
          <w:noProof/>
        </w:rPr>
        <w:lastRenderedPageBreak/>
        <w:drawing>
          <wp:inline distT="0" distB="0" distL="0" distR="0" wp14:anchorId="5017DA36" wp14:editId="3E1B2E52">
            <wp:extent cx="1336040" cy="1177290"/>
            <wp:effectExtent l="0" t="0" r="0" b="3810"/>
            <wp:docPr id="1521167201" name="Picture 152116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6B08" w14:textId="77777777" w:rsidR="0056412E" w:rsidRDefault="0056412E" w:rsidP="0056412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295042D" w14:textId="77777777" w:rsidR="007B21FA" w:rsidRDefault="007B21FA">
      <w:pPr>
        <w:spacing w:after="300"/>
        <w:jc w:val="center"/>
        <w:rPr>
          <w:rFonts w:ascii="Helvetica" w:hAnsi="Helvetica"/>
          <w:b/>
          <w:caps/>
          <w:sz w:val="28"/>
        </w:rPr>
      </w:pPr>
      <w:r>
        <w:rPr>
          <w:rFonts w:ascii="Helvetica" w:hAnsi="Helvetica"/>
          <w:b/>
          <w:caps/>
          <w:sz w:val="28"/>
        </w:rPr>
        <w:t>nudity act 1976</w:t>
      </w:r>
    </w:p>
    <w:p w14:paraId="59CE140E" w14:textId="77777777" w:rsidR="007B21FA" w:rsidRDefault="007B21FA">
      <w:pPr>
        <w:spacing w:before="60" w:after="100"/>
        <w:ind w:right="23"/>
        <w:jc w:val="center"/>
        <w:rPr>
          <w:color w:val="000000"/>
          <w:sz w:val="20"/>
        </w:rPr>
      </w:pPr>
      <w:r>
        <w:rPr>
          <w:color w:val="000000"/>
          <w:sz w:val="20"/>
        </w:rPr>
        <w:t>This consolidation has been prepared by the ACT Parliamentary Counsel’s Office</w:t>
      </w:r>
    </w:p>
    <w:p w14:paraId="51E43188" w14:textId="77777777" w:rsidR="007B21FA" w:rsidRDefault="007B21FA">
      <w:pPr>
        <w:spacing w:before="100" w:after="300"/>
        <w:jc w:val="center"/>
        <w:rPr>
          <w:caps/>
          <w:sz w:val="20"/>
        </w:rPr>
      </w:pPr>
      <w:r>
        <w:rPr>
          <w:sz w:val="20"/>
        </w:rPr>
        <w:t>Reprinted as at 31 May 1991</w:t>
      </w:r>
    </w:p>
    <w:p w14:paraId="3A4CFD15" w14:textId="77777777" w:rsidR="007B21FA" w:rsidRDefault="007B21FA">
      <w:pPr>
        <w:jc w:val="center"/>
        <w:rPr>
          <w:b/>
          <w:sz w:val="20"/>
        </w:rPr>
      </w:pPr>
      <w:r>
        <w:rPr>
          <w:b/>
          <w:sz w:val="20"/>
        </w:rPr>
        <w:t>TABLE OF PROVISIONS</w:t>
      </w:r>
    </w:p>
    <w:p w14:paraId="3695DDD4" w14:textId="77777777" w:rsidR="007B21FA" w:rsidRDefault="007B21FA">
      <w:pPr>
        <w:spacing w:before="200"/>
        <w:rPr>
          <w:sz w:val="18"/>
        </w:rPr>
      </w:pPr>
      <w:r>
        <w:rPr>
          <w:sz w:val="18"/>
        </w:rPr>
        <w:t>Section</w:t>
      </w:r>
    </w:p>
    <w:p w14:paraId="2E6BE7A2" w14:textId="77777777" w:rsidR="007B21FA" w:rsidRDefault="007B21FA">
      <w:pPr>
        <w:pStyle w:val="TOC3"/>
      </w:pPr>
      <w:r>
        <w:tab/>
        <w:t>1.</w:t>
      </w:r>
      <w:r>
        <w:tab/>
        <w:t>Short title</w:t>
      </w:r>
    </w:p>
    <w:p w14:paraId="7CA1EE9D" w14:textId="77777777" w:rsidR="007B21FA" w:rsidRDefault="007B21FA">
      <w:pPr>
        <w:pStyle w:val="TOC3"/>
      </w:pPr>
      <w:r>
        <w:tab/>
        <w:t>2.</w:t>
      </w:r>
      <w:r>
        <w:tab/>
        <w:t>Declaration of prescribed areas</w:t>
      </w:r>
    </w:p>
    <w:p w14:paraId="6B4C0926" w14:textId="77777777" w:rsidR="007B21FA" w:rsidRDefault="007B21FA">
      <w:pPr>
        <w:pStyle w:val="TOC3"/>
      </w:pPr>
      <w:r>
        <w:tab/>
        <w:t>3.</w:t>
      </w:r>
      <w:r>
        <w:tab/>
        <w:t>Publication of notice in newspaper</w:t>
      </w:r>
    </w:p>
    <w:p w14:paraId="5F07EA6B" w14:textId="77777777" w:rsidR="007B21FA" w:rsidRDefault="007B21FA">
      <w:pPr>
        <w:pStyle w:val="TOC3"/>
        <w:spacing w:after="120"/>
      </w:pPr>
      <w:r>
        <w:tab/>
        <w:t>4.</w:t>
      </w:r>
      <w:r>
        <w:tab/>
        <w:t>Being naked in prescribed area</w:t>
      </w:r>
    </w:p>
    <w:p w14:paraId="4DB8EF33" w14:textId="77777777" w:rsidR="007B21FA" w:rsidRDefault="007B21FA">
      <w:pPr>
        <w:pBdr>
          <w:top w:val="single" w:sz="2" w:space="0" w:color="auto"/>
        </w:pBdr>
        <w:spacing w:after="200"/>
        <w:ind w:left="3080" w:right="2900"/>
        <w:rPr>
          <w:b/>
          <w:sz w:val="28"/>
        </w:rPr>
      </w:pPr>
    </w:p>
    <w:p w14:paraId="4ABD59AF" w14:textId="00ABCB88" w:rsidR="007B21FA" w:rsidRDefault="007B21FA">
      <w:pPr>
        <w:spacing w:after="300"/>
        <w:jc w:val="center"/>
      </w:pPr>
      <w:r>
        <w:t>An Act to permit nudity in certain public places</w:t>
      </w:r>
    </w:p>
    <w:p w14:paraId="5D266677" w14:textId="77777777" w:rsidR="007B21FA" w:rsidRDefault="007B21FA">
      <w:pPr>
        <w:pStyle w:val="Heading3"/>
      </w:pPr>
      <w:r>
        <w:t>Short title</w:t>
      </w:r>
    </w:p>
    <w:p w14:paraId="2535BF8B" w14:textId="77777777" w:rsidR="007B21FA" w:rsidRDefault="007B21FA">
      <w:pPr>
        <w:pStyle w:val="allsections"/>
      </w:pPr>
      <w:r>
        <w:rPr>
          <w:b/>
        </w:rPr>
        <w:t xml:space="preserve">1. </w:t>
      </w:r>
      <w:r>
        <w:t xml:space="preserve"> This Act may be cited as the </w:t>
      </w:r>
      <w:r>
        <w:rPr>
          <w:i/>
        </w:rPr>
        <w:t>Nudity Act 1976</w:t>
      </w:r>
      <w:r>
        <w:t>.</w:t>
      </w:r>
      <w:r>
        <w:rPr>
          <w:position w:val="10"/>
          <w:sz w:val="12"/>
        </w:rPr>
        <w:t>1</w:t>
      </w:r>
    </w:p>
    <w:p w14:paraId="1A0208F2" w14:textId="77777777" w:rsidR="007B21FA" w:rsidRDefault="007B21FA">
      <w:pPr>
        <w:pStyle w:val="Heading3"/>
      </w:pPr>
      <w:r>
        <w:t>Declaration of prescribed areas</w:t>
      </w:r>
    </w:p>
    <w:p w14:paraId="5B1DF066" w14:textId="77777777" w:rsidR="007B21FA" w:rsidRDefault="007B21FA">
      <w:pPr>
        <w:pStyle w:val="allsections"/>
      </w:pPr>
      <w:r>
        <w:rPr>
          <w:b/>
        </w:rPr>
        <w:t xml:space="preserve">2. </w:t>
      </w:r>
      <w:r>
        <w:t xml:space="preserve"> The Minister may, by notice published in the </w:t>
      </w:r>
      <w:r>
        <w:rPr>
          <w:i/>
        </w:rPr>
        <w:t>Gazette</w:t>
      </w:r>
      <w:r>
        <w:t>, declare an area to be a prescribed area.</w:t>
      </w:r>
    </w:p>
    <w:p w14:paraId="269C53A5" w14:textId="33CCDE6D" w:rsidR="007B21FA" w:rsidRDefault="007B21FA">
      <w:pPr>
        <w:pStyle w:val="Heading3"/>
      </w:pPr>
      <w:r>
        <w:t>Publication of notice in newspaper</w:t>
      </w:r>
    </w:p>
    <w:p w14:paraId="5641AB92" w14:textId="77777777" w:rsidR="007B21FA" w:rsidRDefault="007B21FA">
      <w:pPr>
        <w:pStyle w:val="allsections"/>
      </w:pPr>
      <w:r>
        <w:rPr>
          <w:b/>
        </w:rPr>
        <w:t xml:space="preserve">3.  (1) </w:t>
      </w:r>
      <w:r>
        <w:t xml:space="preserve"> The Minister shall, within 7 days of a notice being published in the </w:t>
      </w:r>
      <w:r>
        <w:rPr>
          <w:i/>
        </w:rPr>
        <w:t>Gazette</w:t>
      </w:r>
      <w:r>
        <w:t xml:space="preserve"> under section 2, cause a copy of the notice to be published in a newspaper circulating in the Territory.</w:t>
      </w:r>
    </w:p>
    <w:p w14:paraId="305FD695" w14:textId="77777777" w:rsidR="007B21FA" w:rsidRDefault="007B21FA">
      <w:pPr>
        <w:pStyle w:val="allsections"/>
      </w:pPr>
      <w:r>
        <w:rPr>
          <w:b/>
        </w:rPr>
        <w:lastRenderedPageBreak/>
        <w:t xml:space="preserve">(2) </w:t>
      </w:r>
      <w:r>
        <w:t xml:space="preserve"> The fact that subsection (1) is not complied with does not affect the operation or effect of a notice published in the </w:t>
      </w:r>
      <w:r>
        <w:rPr>
          <w:i/>
        </w:rPr>
        <w:t>Gazette</w:t>
      </w:r>
      <w:r>
        <w:t xml:space="preserve"> under section 2.</w:t>
      </w:r>
    </w:p>
    <w:p w14:paraId="67B7E419" w14:textId="77777777" w:rsidR="007B21FA" w:rsidRDefault="007B21FA">
      <w:pPr>
        <w:pStyle w:val="Heading3"/>
      </w:pPr>
      <w:r>
        <w:t>Being naked in prescribed area</w:t>
      </w:r>
    </w:p>
    <w:p w14:paraId="14B68859" w14:textId="77777777" w:rsidR="007B21FA" w:rsidRDefault="007B21FA">
      <w:pPr>
        <w:pStyle w:val="allsections"/>
      </w:pPr>
      <w:r>
        <w:rPr>
          <w:b/>
        </w:rPr>
        <w:t>4.</w:t>
      </w:r>
      <w:r>
        <w:t xml:space="preserve">  A person does not, by reason only of being naked in an area declared by the Minister under section 2 to be a prescribed area, commit an offence against a law in force in the Territory.</w:t>
      </w:r>
    </w:p>
    <w:p w14:paraId="39997C13" w14:textId="77777777" w:rsidR="007B21FA" w:rsidRDefault="007B21FA">
      <w:pPr>
        <w:pBdr>
          <w:bottom w:val="single" w:sz="6" w:space="0" w:color="auto"/>
        </w:pBdr>
      </w:pPr>
    </w:p>
    <w:p w14:paraId="5039B227" w14:textId="77777777" w:rsidR="007B21FA" w:rsidRDefault="007B21FA">
      <w:pPr>
        <w:spacing w:before="200" w:after="160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NOTE</w:t>
      </w:r>
    </w:p>
    <w:p w14:paraId="5074666C" w14:textId="77777777" w:rsidR="007B21FA" w:rsidRDefault="007B21FA">
      <w:pPr>
        <w:ind w:left="260" w:hanging="2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1.</w:t>
      </w:r>
      <w:r>
        <w:rPr>
          <w:rFonts w:ascii="Helvetica" w:hAnsi="Helvetica"/>
          <w:sz w:val="18"/>
        </w:rPr>
        <w:tab/>
        <w:t xml:space="preserve">Act No. 56, 1976; notified in </w:t>
      </w:r>
      <w:r>
        <w:rPr>
          <w:rFonts w:ascii="Helvetica" w:hAnsi="Helvetica"/>
          <w:i/>
          <w:sz w:val="18"/>
        </w:rPr>
        <w:t>Commonwealth of Australia Gazette</w:t>
      </w:r>
      <w:r>
        <w:rPr>
          <w:rFonts w:ascii="Helvetica" w:hAnsi="Helvetica"/>
          <w:sz w:val="18"/>
        </w:rPr>
        <w:t xml:space="preserve"> on 10 November 1976; commenced on 10 November 1976.</w:t>
      </w:r>
    </w:p>
    <w:p w14:paraId="1C8A186D" w14:textId="77777777" w:rsidR="007B21FA" w:rsidRDefault="007B21FA">
      <w:pPr>
        <w:ind w:left="280" w:hanging="28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t>Citation of Laws</w:t>
      </w:r>
      <w:r>
        <w:rPr>
          <w:rFonts w:ascii="Helvetica" w:hAnsi="Helvetica"/>
          <w:sz w:val="18"/>
        </w:rPr>
        <w:t xml:space="preserve">—The </w:t>
      </w:r>
      <w:r>
        <w:rPr>
          <w:rFonts w:ascii="Helvetica" w:hAnsi="Helvetica"/>
          <w:i/>
          <w:sz w:val="18"/>
        </w:rPr>
        <w:t xml:space="preserve">Self-Government (Citation of Laws) Act 1989 </w:t>
      </w:r>
      <w:r>
        <w:rPr>
          <w:rFonts w:ascii="Helvetica" w:hAnsi="Helvetica"/>
          <w:sz w:val="18"/>
        </w:rPr>
        <w:t>(No. 21, 1989) altered the citation of most Ordinances so that after Self-Government day they are to be cited as Acts.  That Act also affects references in ACT laws to Commonwealth Acts.</w:t>
      </w:r>
    </w:p>
    <w:p w14:paraId="78D7C33E" w14:textId="77777777" w:rsidR="007B21FA" w:rsidRDefault="007B21FA">
      <w:pPr>
        <w:spacing w:before="20" w:after="20"/>
        <w:rPr>
          <w:rFonts w:ascii="Helvetica" w:hAnsi="Helvetica"/>
        </w:rPr>
        <w:sectPr w:rsidR="007B21FA" w:rsidSect="009B6575">
          <w:headerReference w:type="even" r:id="rId14"/>
          <w:headerReference w:type="default" r:id="rId15"/>
          <w:pgSz w:w="11906" w:h="16838"/>
          <w:pgMar w:top="2999" w:right="1899" w:bottom="2500" w:left="2302" w:header="2477" w:footer="2098" w:gutter="0"/>
          <w:pgNumType w:start="1"/>
          <w:cols w:space="720"/>
          <w:titlePg/>
          <w:docGrid w:linePitch="326"/>
        </w:sectPr>
      </w:pPr>
    </w:p>
    <w:p w14:paraId="2E51F1B1" w14:textId="77777777" w:rsidR="0056412E" w:rsidRDefault="0056412E" w:rsidP="0056412E">
      <w:bookmarkStart w:id="1" w:name="_Hlk175130802"/>
    </w:p>
    <w:p w14:paraId="18B1EDBE" w14:textId="77777777" w:rsidR="0056412E" w:rsidRDefault="0056412E" w:rsidP="0056412E"/>
    <w:p w14:paraId="7CFA4EB6" w14:textId="77777777" w:rsidR="0056412E" w:rsidRDefault="0056412E" w:rsidP="0056412E"/>
    <w:p w14:paraId="29AAA144" w14:textId="77777777" w:rsidR="0056412E" w:rsidRDefault="0056412E" w:rsidP="0056412E"/>
    <w:p w14:paraId="11F97F01" w14:textId="77777777" w:rsidR="0056412E" w:rsidRDefault="0056412E" w:rsidP="0056412E">
      <w:pPr>
        <w:rPr>
          <w:color w:val="000000"/>
          <w:sz w:val="22"/>
        </w:rPr>
      </w:pPr>
      <w:r>
        <w:rPr>
          <w:color w:val="000000"/>
          <w:sz w:val="22"/>
        </w:rPr>
        <w:t>©  Australian Capital Territory 2024</w:t>
      </w:r>
    </w:p>
    <w:p w14:paraId="2B89FFEA" w14:textId="77777777" w:rsidR="0056412E" w:rsidRDefault="0056412E" w:rsidP="0056412E"/>
    <w:bookmarkEnd w:id="1"/>
    <w:p w14:paraId="086A23D4" w14:textId="77777777" w:rsidR="007B21FA" w:rsidRDefault="007B21FA">
      <w:pPr>
        <w:tabs>
          <w:tab w:val="left" w:leader="dot" w:pos="2200"/>
        </w:tabs>
        <w:spacing w:before="20" w:after="20"/>
        <w:ind w:left="2420" w:hanging="2160"/>
        <w:rPr>
          <w:rFonts w:ascii="Helvetica" w:hAnsi="Helvetica"/>
          <w:sz w:val="16"/>
        </w:rPr>
      </w:pPr>
    </w:p>
    <w:sectPr w:rsidR="007B21FA" w:rsidSect="00D30CE2">
      <w:headerReference w:type="even" r:id="rId16"/>
      <w:headerReference w:type="default" r:id="rId17"/>
      <w:type w:val="continuous"/>
      <w:pgSz w:w="11906" w:h="16838" w:code="9"/>
      <w:pgMar w:top="2999" w:right="1899" w:bottom="2500" w:left="2302" w:header="2478" w:footer="20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5B1F" w14:textId="77777777" w:rsidR="007B21FA" w:rsidRDefault="007B21FA">
      <w:pPr>
        <w:spacing w:before="0" w:after="0"/>
      </w:pPr>
      <w:r>
        <w:separator/>
      </w:r>
    </w:p>
  </w:endnote>
  <w:endnote w:type="continuationSeparator" w:id="0">
    <w:p w14:paraId="7934A95D" w14:textId="77777777" w:rsidR="007B21FA" w:rsidRDefault="007B2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71BC" w14:textId="77777777" w:rsidR="00481F4A" w:rsidRDefault="00481F4A">
    <w:pPr>
      <w:pStyle w:val="Status"/>
    </w:pPr>
    <w:r>
      <w:fldChar w:fldCharType="begin"/>
    </w:r>
    <w:r>
      <w:instrText xml:space="preserve"> DOCPROPERTY "Status" *\charformat </w:instrText>
    </w:r>
    <w:r>
      <w:fldChar w:fldCharType="separate"/>
    </w:r>
    <w:r>
      <w:t xml:space="preserve">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AFC7" w14:textId="3F4E6992" w:rsidR="00481F4A" w:rsidRPr="00502050" w:rsidRDefault="00481F4A" w:rsidP="00502050">
    <w:pPr>
      <w:pStyle w:val="Footer"/>
      <w:jc w:val="center"/>
      <w:rPr>
        <w:rFonts w:ascii="Arial" w:hAnsi="Arial" w:cs="Arial"/>
        <w:sz w:val="14"/>
      </w:rPr>
    </w:pPr>
    <w:r w:rsidRPr="00502050">
      <w:rPr>
        <w:rFonts w:ascii="Arial" w:hAnsi="Arial" w:cs="Arial"/>
        <w:sz w:val="14"/>
      </w:rPr>
      <w:fldChar w:fldCharType="begin"/>
    </w:r>
    <w:r w:rsidRPr="00502050">
      <w:rPr>
        <w:rFonts w:ascii="Arial" w:hAnsi="Arial" w:cs="Arial"/>
        <w:sz w:val="14"/>
      </w:rPr>
      <w:instrText xml:space="preserve"> COMMENTS  \* MERGEFORMAT </w:instrText>
    </w:r>
    <w:r w:rsidRPr="00502050">
      <w:rPr>
        <w:rFonts w:ascii="Arial" w:hAnsi="Arial" w:cs="Arial"/>
        <w:sz w:val="14"/>
      </w:rPr>
      <w:fldChar w:fldCharType="end"/>
    </w:r>
    <w:r w:rsidR="00502050" w:rsidRPr="0050205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7F77" w14:textId="76C6AFAD" w:rsidR="00502050" w:rsidRPr="00502050" w:rsidRDefault="00502050" w:rsidP="00502050">
    <w:pPr>
      <w:pStyle w:val="Footer"/>
      <w:jc w:val="center"/>
      <w:rPr>
        <w:rFonts w:ascii="Arial" w:hAnsi="Arial" w:cs="Arial"/>
        <w:sz w:val="14"/>
      </w:rPr>
    </w:pPr>
    <w:r w:rsidRPr="0050205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CEB9" w14:textId="77777777" w:rsidR="007B21FA" w:rsidRDefault="007B21FA">
      <w:pPr>
        <w:spacing w:before="0" w:after="0"/>
      </w:pPr>
      <w:r>
        <w:separator/>
      </w:r>
    </w:p>
  </w:footnote>
  <w:footnote w:type="continuationSeparator" w:id="0">
    <w:p w14:paraId="73B54BD3" w14:textId="77777777" w:rsidR="007B21FA" w:rsidRDefault="007B2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85C1" w14:textId="77777777" w:rsidR="00502050" w:rsidRDefault="00502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9310" w14:textId="77777777" w:rsidR="00502050" w:rsidRDefault="00502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E0F7" w14:textId="77777777" w:rsidR="00502050" w:rsidRDefault="005020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6824" w14:textId="77777777" w:rsidR="007B21FA" w:rsidRDefault="007B21FA">
    <w:pPr>
      <w:tabs>
        <w:tab w:val="left" w:pos="3100"/>
      </w:tabs>
      <w:rPr>
        <w:i/>
        <w:sz w:val="20"/>
      </w:rPr>
    </w:pPr>
    <w:r>
      <w:rPr>
        <w:sz w:val="20"/>
      </w:rPr>
      <w:pgNum/>
    </w:r>
    <w:r>
      <w:rPr>
        <w:sz w:val="20"/>
      </w:rPr>
      <w:tab/>
    </w:r>
    <w:r>
      <w:rPr>
        <w:i/>
        <w:sz w:val="20"/>
      </w:rPr>
      <w:t>Nudity Act 1976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E303" w14:textId="14C135EF" w:rsidR="007B21FA" w:rsidRDefault="007B21FA">
    <w:pPr>
      <w:tabs>
        <w:tab w:val="left" w:pos="3120"/>
        <w:tab w:val="right" w:pos="7180"/>
      </w:tabs>
      <w:rPr>
        <w:sz w:val="20"/>
      </w:rPr>
    </w:pPr>
    <w:r>
      <w:tab/>
    </w:r>
    <w:r w:rsidR="00EF323F" w:rsidRPr="00EF323F">
      <w:rPr>
        <w:i/>
        <w:sz w:val="20"/>
      </w:rPr>
      <w:t>Nudity Act 1976</w:t>
    </w:r>
    <w:r>
      <w:rPr>
        <w:sz w:val="20"/>
      </w:rPr>
      <w:tab/>
    </w:r>
    <w:r>
      <w:rPr>
        <w:sz w:val="20"/>
      </w:rPr>
      <w:pgNum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7140" w14:textId="77777777" w:rsidR="007B21FA" w:rsidRDefault="007B21FA">
    <w:pPr>
      <w:tabs>
        <w:tab w:val="left" w:pos="3180"/>
      </w:tabs>
      <w:rPr>
        <w:i/>
        <w:sz w:val="20"/>
      </w:rPr>
    </w:pPr>
    <w:r>
      <w:rPr>
        <w:sz w:val="20"/>
      </w:rPr>
      <w:pgNum/>
    </w:r>
    <w:r>
      <w:rPr>
        <w:sz w:val="20"/>
      </w:rPr>
      <w:tab/>
    </w:r>
    <w:r>
      <w:rPr>
        <w:i/>
        <w:sz w:val="20"/>
      </w:rPr>
      <w:t>Even Header</w:t>
    </w:r>
  </w:p>
  <w:p w14:paraId="07847819" w14:textId="77777777" w:rsidR="007B21FA" w:rsidRDefault="007B21FA">
    <w:pPr>
      <w:spacing w:before="100" w:after="100"/>
      <w:ind w:left="140" w:right="20"/>
      <w:jc w:val="center"/>
      <w:rPr>
        <w:rFonts w:ascii="Helvetica" w:hAnsi="Helvetica"/>
        <w:b/>
        <w:sz w:val="20"/>
      </w:rPr>
    </w:pPr>
    <w:r>
      <w:rPr>
        <w:rFonts w:ascii="Helvetica" w:hAnsi="Helvetica"/>
        <w:b/>
        <w:sz w:val="20"/>
      </w:rPr>
      <w:t>NOTE</w:t>
    </w:r>
    <w:r>
      <w:rPr>
        <w:rFonts w:ascii="Helvetica" w:hAnsi="Helvetica"/>
        <w:sz w:val="20"/>
      </w:rPr>
      <w:t>—continued</w:t>
    </w:r>
  </w:p>
  <w:p w14:paraId="00001461" w14:textId="77777777" w:rsidR="007B21FA" w:rsidRDefault="007B21FA">
    <w:pPr>
      <w:spacing w:before="100" w:after="100"/>
      <w:ind w:right="20"/>
      <w:jc w:val="center"/>
      <w:rPr>
        <w:rFonts w:ascii="Helvetica" w:hAnsi="Helvetica"/>
        <w:sz w:val="20"/>
      </w:rPr>
    </w:pPr>
    <w:r>
      <w:rPr>
        <w:rFonts w:ascii="Helvetica" w:hAnsi="Helvetica"/>
        <w:b/>
        <w:sz w:val="20"/>
      </w:rPr>
      <w:t>Table of Amendments</w:t>
    </w:r>
    <w:r>
      <w:rPr>
        <w:rFonts w:ascii="Helvetica" w:hAnsi="Helvetica"/>
        <w:sz w:val="20"/>
      </w:rPr>
      <w:t>—continued</w:t>
    </w:r>
  </w:p>
  <w:p w14:paraId="1E1A70AF" w14:textId="77777777" w:rsidR="007B21FA" w:rsidRDefault="007B21FA">
    <w:pPr>
      <w:spacing w:before="20"/>
      <w:ind w:left="520" w:right="20"/>
      <w:jc w:val="left"/>
      <w:rPr>
        <w:rFonts w:ascii="Helvetica" w:hAnsi="Helvetica"/>
        <w:b/>
        <w:sz w:val="16"/>
      </w:rPr>
    </w:pPr>
    <w:r>
      <w:rPr>
        <w:rFonts w:ascii="Helvetica" w:hAnsi="Helvetica"/>
        <w:sz w:val="16"/>
      </w:rPr>
      <w:t>ad. = added or inserted      am. = amended     rep. = repealed      rs. = repealed and substituted</w:t>
    </w:r>
  </w:p>
  <w:p w14:paraId="776199D4" w14:textId="77777777" w:rsidR="007B21FA" w:rsidRDefault="007B21FA">
    <w:pPr>
      <w:pBdr>
        <w:top w:val="single" w:sz="6" w:space="0" w:color="auto"/>
      </w:pBdr>
      <w:tabs>
        <w:tab w:val="left" w:pos="2200"/>
      </w:tabs>
      <w:spacing w:before="20" w:after="20"/>
      <w:ind w:left="260"/>
      <w:rPr>
        <w:rFonts w:ascii="Helvetica" w:hAnsi="Helvetica"/>
        <w:sz w:val="8"/>
      </w:rPr>
    </w:pPr>
  </w:p>
  <w:p w14:paraId="765740BD" w14:textId="77777777" w:rsidR="007B21FA" w:rsidRDefault="007B21FA">
    <w:pPr>
      <w:tabs>
        <w:tab w:val="left" w:pos="2200"/>
      </w:tabs>
      <w:spacing w:before="20" w:after="20"/>
      <w:ind w:left="260" w:right="-820"/>
      <w:rPr>
        <w:rFonts w:ascii="Helvetica" w:hAnsi="Helvetica"/>
        <w:sz w:val="16"/>
      </w:rPr>
    </w:pPr>
    <w:r>
      <w:rPr>
        <w:rFonts w:ascii="Helvetica" w:hAnsi="Helvetica"/>
        <w:sz w:val="16"/>
      </w:rPr>
      <w:t>Provision</w:t>
    </w:r>
    <w:r>
      <w:rPr>
        <w:rFonts w:ascii="Helvetica" w:hAnsi="Helvetica"/>
        <w:sz w:val="16"/>
      </w:rPr>
      <w:tab/>
      <w:t>How affected</w:t>
    </w:r>
  </w:p>
  <w:p w14:paraId="0C5B9411" w14:textId="77777777" w:rsidR="007B21FA" w:rsidRDefault="007B21FA">
    <w:pPr>
      <w:pBdr>
        <w:bottom w:val="single" w:sz="2" w:space="0" w:color="auto"/>
      </w:pBdr>
      <w:tabs>
        <w:tab w:val="left" w:pos="2200"/>
      </w:tabs>
      <w:spacing w:before="20" w:after="20"/>
      <w:ind w:left="260" w:right="20"/>
      <w:rPr>
        <w:rFonts w:ascii="Helvetica" w:hAnsi="Helvetica"/>
        <w:sz w:val="16"/>
      </w:rPr>
    </w:pPr>
  </w:p>
  <w:p w14:paraId="304BF7F7" w14:textId="77777777" w:rsidR="007B21FA" w:rsidRDefault="007B21FA">
    <w:pPr>
      <w:tabs>
        <w:tab w:val="left" w:leader="dot" w:pos="2200"/>
      </w:tabs>
      <w:spacing w:before="20" w:after="20"/>
      <w:ind w:left="260" w:right="-820"/>
      <w:rPr>
        <w:rFonts w:ascii="Helvetica" w:hAnsi="Helvetica"/>
        <w:sz w:val="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2F0E" w14:textId="77777777" w:rsidR="007B21FA" w:rsidRDefault="007B21FA">
    <w:pPr>
      <w:tabs>
        <w:tab w:val="left" w:pos="3120"/>
        <w:tab w:val="right" w:pos="7180"/>
      </w:tabs>
      <w:rPr>
        <w:sz w:val="20"/>
      </w:rPr>
    </w:pPr>
    <w:r>
      <w:tab/>
    </w:r>
    <w:r>
      <w:rPr>
        <w:i/>
        <w:sz w:val="20"/>
      </w:rPr>
      <w:t>Odd Header</w:t>
    </w:r>
    <w:r>
      <w:rPr>
        <w:sz w:val="20"/>
      </w:rPr>
      <w:tab/>
    </w:r>
    <w:r>
      <w:rPr>
        <w:sz w:val="20"/>
      </w:rPr>
      <w:pgNum/>
    </w:r>
  </w:p>
  <w:p w14:paraId="7EA7E64D" w14:textId="77777777" w:rsidR="007B21FA" w:rsidRDefault="007B21FA">
    <w:pPr>
      <w:tabs>
        <w:tab w:val="left" w:pos="3580"/>
      </w:tabs>
      <w:spacing w:before="100" w:after="100"/>
      <w:ind w:left="140"/>
      <w:jc w:val="center"/>
      <w:rPr>
        <w:rFonts w:ascii="Helvetica" w:hAnsi="Helvetica"/>
        <w:b/>
        <w:sz w:val="20"/>
      </w:rPr>
    </w:pPr>
    <w:r>
      <w:rPr>
        <w:rFonts w:ascii="Helvetica" w:hAnsi="Helvetica"/>
        <w:b/>
        <w:sz w:val="20"/>
      </w:rPr>
      <w:t>NOTE</w:t>
    </w:r>
    <w:r>
      <w:rPr>
        <w:rFonts w:ascii="Helvetica" w:hAnsi="Helvetica"/>
        <w:sz w:val="20"/>
      </w:rPr>
      <w:t>—continued</w:t>
    </w:r>
  </w:p>
  <w:p w14:paraId="0A3B1D59" w14:textId="77777777" w:rsidR="007B21FA" w:rsidRDefault="007B21FA">
    <w:pPr>
      <w:tabs>
        <w:tab w:val="left" w:pos="3580"/>
      </w:tabs>
      <w:spacing w:before="100" w:after="100"/>
      <w:ind w:right="20"/>
      <w:jc w:val="center"/>
      <w:rPr>
        <w:rFonts w:ascii="Helvetica" w:hAnsi="Helvetica"/>
        <w:sz w:val="20"/>
      </w:rPr>
    </w:pPr>
    <w:r>
      <w:rPr>
        <w:rFonts w:ascii="Helvetica" w:hAnsi="Helvetica"/>
        <w:b/>
        <w:sz w:val="20"/>
      </w:rPr>
      <w:t>Table of Amendments</w:t>
    </w:r>
    <w:r>
      <w:rPr>
        <w:rFonts w:ascii="Helvetica" w:hAnsi="Helvetica"/>
        <w:sz w:val="20"/>
      </w:rPr>
      <w:t>—continued</w:t>
    </w:r>
  </w:p>
  <w:p w14:paraId="18E19F19" w14:textId="77777777" w:rsidR="007B21FA" w:rsidRDefault="007B21FA">
    <w:pPr>
      <w:spacing w:before="20"/>
      <w:ind w:left="520" w:right="20"/>
      <w:jc w:val="left"/>
      <w:rPr>
        <w:rFonts w:ascii="Helvetica" w:hAnsi="Helvetica"/>
        <w:b/>
        <w:sz w:val="16"/>
      </w:rPr>
    </w:pPr>
    <w:r>
      <w:rPr>
        <w:rFonts w:ascii="Helvetica" w:hAnsi="Helvetica"/>
        <w:sz w:val="16"/>
      </w:rPr>
      <w:t>ad. = added or inserted      am. = amended     rep. = repealed      rs. = repealed and substituted</w:t>
    </w:r>
  </w:p>
  <w:p w14:paraId="22A14BAA" w14:textId="77777777" w:rsidR="007B21FA" w:rsidRDefault="007B21FA">
    <w:pPr>
      <w:pBdr>
        <w:top w:val="single" w:sz="6" w:space="0" w:color="auto"/>
      </w:pBdr>
      <w:tabs>
        <w:tab w:val="left" w:pos="2200"/>
        <w:tab w:val="left" w:pos="3580"/>
      </w:tabs>
      <w:spacing w:before="20" w:after="20"/>
      <w:ind w:left="260" w:right="20"/>
      <w:rPr>
        <w:rFonts w:ascii="Helvetica" w:hAnsi="Helvetica"/>
        <w:sz w:val="8"/>
      </w:rPr>
    </w:pPr>
  </w:p>
  <w:p w14:paraId="20E07A79" w14:textId="77777777" w:rsidR="007B21FA" w:rsidRDefault="007B21FA">
    <w:pPr>
      <w:pBdr>
        <w:top w:val="single" w:sz="6" w:space="0" w:color="auto"/>
      </w:pBdr>
      <w:tabs>
        <w:tab w:val="left" w:pos="2200"/>
        <w:tab w:val="left" w:pos="3580"/>
      </w:tabs>
      <w:spacing w:before="20" w:after="20"/>
      <w:ind w:left="260" w:right="20"/>
      <w:rPr>
        <w:rFonts w:ascii="Helvetica" w:hAnsi="Helvetica"/>
        <w:sz w:val="16"/>
      </w:rPr>
    </w:pPr>
    <w:r>
      <w:rPr>
        <w:rFonts w:ascii="Helvetica" w:hAnsi="Helvetica"/>
        <w:sz w:val="16"/>
      </w:rPr>
      <w:t>Provision</w:t>
    </w:r>
    <w:r>
      <w:rPr>
        <w:rFonts w:ascii="Helvetica" w:hAnsi="Helvetica"/>
        <w:sz w:val="16"/>
      </w:rPr>
      <w:tab/>
      <w:t>How affected</w:t>
    </w:r>
  </w:p>
  <w:p w14:paraId="5EC732E5" w14:textId="77777777" w:rsidR="007B21FA" w:rsidRDefault="007B21FA">
    <w:pPr>
      <w:pBdr>
        <w:bottom w:val="single" w:sz="2" w:space="0" w:color="auto"/>
      </w:pBdr>
      <w:tabs>
        <w:tab w:val="left" w:pos="2200"/>
        <w:tab w:val="left" w:pos="3580"/>
      </w:tabs>
      <w:spacing w:before="20" w:after="20"/>
      <w:ind w:left="260"/>
      <w:rPr>
        <w:rFonts w:ascii="Helvetica" w:hAnsi="Helvetica"/>
        <w:sz w:val="16"/>
      </w:rPr>
    </w:pPr>
  </w:p>
  <w:p w14:paraId="1AF86B36" w14:textId="77777777" w:rsidR="007B21FA" w:rsidRDefault="007B21FA">
    <w:pPr>
      <w:tabs>
        <w:tab w:val="left" w:leader="dot" w:pos="2200"/>
        <w:tab w:val="left" w:pos="3580"/>
      </w:tabs>
      <w:spacing w:before="20" w:after="20"/>
      <w:ind w:left="260" w:right="-800"/>
      <w:rPr>
        <w:rFonts w:ascii="Helvetica" w:hAnsi="Helvetica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25E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8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DD"/>
    <w:rsid w:val="001C2A39"/>
    <w:rsid w:val="003843CB"/>
    <w:rsid w:val="00481F4A"/>
    <w:rsid w:val="00502050"/>
    <w:rsid w:val="00546B0A"/>
    <w:rsid w:val="0056412E"/>
    <w:rsid w:val="007B21FA"/>
    <w:rsid w:val="009266DD"/>
    <w:rsid w:val="009B6575"/>
    <w:rsid w:val="00CE757A"/>
    <w:rsid w:val="00D30CE2"/>
    <w:rsid w:val="00E32263"/>
    <w:rsid w:val="00EE04ED"/>
    <w:rsid w:val="00EF323F"/>
    <w:rsid w:val="00F8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0F774"/>
  <w15:chartTrackingRefBased/>
  <w15:docId w15:val="{9B510FAF-54B5-499A-9141-159A2506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rFonts w:ascii="Times" w:hAnsi="Times"/>
      <w:sz w:val="24"/>
      <w:lang w:val="en-US"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spacing w:before="300"/>
      <w:jc w:val="center"/>
      <w:textAlignment w:val="baseline"/>
      <w:outlineLvl w:val="0"/>
    </w:pPr>
    <w:rPr>
      <w:rFonts w:ascii="Times" w:hAnsi="Times"/>
      <w:b/>
      <w:caps/>
      <w:sz w:val="24"/>
      <w:lang w:val="en-US"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spacing w:before="140"/>
      <w:jc w:val="center"/>
      <w:textAlignment w:val="baseline"/>
      <w:outlineLvl w:val="1"/>
    </w:pPr>
    <w:rPr>
      <w:rFonts w:ascii="Times" w:hAnsi="Times"/>
      <w:b/>
      <w:i/>
      <w:sz w:val="24"/>
      <w:lang w:val="en-US"/>
    </w:rPr>
  </w:style>
  <w:style w:type="paragraph" w:styleId="Heading3">
    <w:name w:val="heading 3"/>
    <w:next w:val="allsections"/>
    <w:qFormat/>
    <w:pPr>
      <w:overflowPunct w:val="0"/>
      <w:autoSpaceDE w:val="0"/>
      <w:autoSpaceDN w:val="0"/>
      <w:adjustRightInd w:val="0"/>
      <w:spacing w:before="140"/>
      <w:textAlignment w:val="baseline"/>
      <w:outlineLvl w:val="2"/>
    </w:pPr>
    <w:rPr>
      <w:rFonts w:ascii="Times" w:hAnsi="Times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sections">
    <w:name w:val="all sections"/>
    <w:pPr>
      <w:overflowPunct w:val="0"/>
      <w:autoSpaceDE w:val="0"/>
      <w:autoSpaceDN w:val="0"/>
      <w:adjustRightInd w:val="0"/>
      <w:spacing w:before="80" w:after="80"/>
      <w:ind w:firstLine="400"/>
      <w:jc w:val="both"/>
      <w:textAlignment w:val="baseline"/>
    </w:pPr>
    <w:rPr>
      <w:rFonts w:ascii="Times" w:hAnsi="Times"/>
      <w:sz w:val="24"/>
      <w:lang w:val="en-US"/>
    </w:rPr>
  </w:style>
  <w:style w:type="paragraph" w:styleId="TOC3">
    <w:name w:val="toc 3"/>
    <w:next w:val="Normal"/>
    <w:semiHidden/>
    <w:pPr>
      <w:tabs>
        <w:tab w:val="right" w:pos="540"/>
      </w:tabs>
      <w:overflowPunct w:val="0"/>
      <w:autoSpaceDE w:val="0"/>
      <w:autoSpaceDN w:val="0"/>
      <w:adjustRightInd w:val="0"/>
      <w:spacing w:before="20" w:after="20"/>
      <w:ind w:left="1120" w:hanging="1120"/>
      <w:textAlignment w:val="baseline"/>
    </w:pPr>
    <w:rPr>
      <w:rFonts w:ascii="Times" w:hAnsi="Times"/>
      <w:lang w:val="en-US"/>
    </w:rPr>
  </w:style>
  <w:style w:type="paragraph" w:styleId="TOC2">
    <w:name w:val="toc 2"/>
    <w:next w:val="Normal"/>
    <w:semiHidden/>
    <w:pPr>
      <w:overflowPunct w:val="0"/>
      <w:autoSpaceDE w:val="0"/>
      <w:autoSpaceDN w:val="0"/>
      <w:adjustRightInd w:val="0"/>
      <w:spacing w:before="20" w:after="80"/>
      <w:jc w:val="center"/>
      <w:textAlignment w:val="baseline"/>
    </w:pPr>
    <w:rPr>
      <w:rFonts w:ascii="Times" w:hAnsi="Times"/>
      <w:i/>
      <w:lang w:val="en-US"/>
    </w:rPr>
  </w:style>
  <w:style w:type="paragraph" w:styleId="TOC1">
    <w:name w:val="toc 1"/>
    <w:next w:val="Normal"/>
    <w:semiHidden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" w:hAnsi="Times"/>
      <w:caps/>
      <w:lang w:val="en-US"/>
    </w:rPr>
  </w:style>
  <w:style w:type="paragraph" w:styleId="Header">
    <w:name w:val="header"/>
    <w:basedOn w:val="Normal"/>
    <w:next w:val="Normal"/>
    <w:semiHidden/>
    <w:pPr>
      <w:tabs>
        <w:tab w:val="center" w:pos="4252"/>
        <w:tab w:val="right" w:pos="8504"/>
      </w:tabs>
    </w:pPr>
  </w:style>
  <w:style w:type="paragraph" w:customStyle="1" w:styleId="amendschedule">
    <w:name w:val="amend schedule"/>
    <w:next w:val="allsections"/>
    <w:pPr>
      <w:overflowPunct w:val="0"/>
      <w:autoSpaceDE w:val="0"/>
      <w:autoSpaceDN w:val="0"/>
      <w:adjustRightInd w:val="0"/>
      <w:spacing w:before="140"/>
      <w:textAlignment w:val="baseline"/>
    </w:pPr>
    <w:rPr>
      <w:rFonts w:ascii="Times" w:hAnsi="Times"/>
      <w:b/>
      <w:sz w:val="24"/>
      <w:lang w:val="en-US"/>
    </w:rPr>
  </w:style>
  <w:style w:type="paragraph" w:customStyle="1" w:styleId="def">
    <w:name w:val="def"/>
    <w:pPr>
      <w:overflowPunct w:val="0"/>
      <w:autoSpaceDE w:val="0"/>
      <w:autoSpaceDN w:val="0"/>
      <w:adjustRightInd w:val="0"/>
      <w:spacing w:before="80" w:after="80"/>
      <w:ind w:left="900" w:hanging="5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definpara">
    <w:name w:val="def in para"/>
    <w:pPr>
      <w:overflowPunct w:val="0"/>
      <w:autoSpaceDE w:val="0"/>
      <w:autoSpaceDN w:val="0"/>
      <w:adjustRightInd w:val="0"/>
      <w:spacing w:before="80" w:after="80"/>
      <w:ind w:left="1720" w:hanging="38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aindent">
    <w:name w:val="a indent"/>
    <w:basedOn w:val="Normal"/>
    <w:pPr>
      <w:tabs>
        <w:tab w:val="right" w:pos="700"/>
      </w:tabs>
      <w:ind w:left="900" w:hanging="900"/>
    </w:pPr>
  </w:style>
  <w:style w:type="paragraph" w:customStyle="1" w:styleId="iindent">
    <w:name w:val="i indent"/>
    <w:pPr>
      <w:tabs>
        <w:tab w:val="right" w:pos="1340"/>
      </w:tabs>
      <w:overflowPunct w:val="0"/>
      <w:autoSpaceDE w:val="0"/>
      <w:autoSpaceDN w:val="0"/>
      <w:adjustRightInd w:val="0"/>
      <w:spacing w:before="80" w:after="80"/>
      <w:ind w:left="1600" w:hanging="16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Bindent">
    <w:name w:val="B indent"/>
    <w:pPr>
      <w:overflowPunct w:val="0"/>
      <w:autoSpaceDE w:val="0"/>
      <w:autoSpaceDN w:val="0"/>
      <w:adjustRightInd w:val="0"/>
      <w:spacing w:before="80" w:after="80"/>
      <w:ind w:left="2260" w:hanging="5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defaindent">
    <w:name w:val="def a indent"/>
    <w:pPr>
      <w:tabs>
        <w:tab w:val="right" w:pos="1360"/>
      </w:tabs>
      <w:overflowPunct w:val="0"/>
      <w:autoSpaceDE w:val="0"/>
      <w:autoSpaceDN w:val="0"/>
      <w:adjustRightInd w:val="0"/>
      <w:spacing w:before="80" w:after="80"/>
      <w:ind w:left="1620" w:hanging="162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defiindent">
    <w:name w:val="def i indent"/>
    <w:pPr>
      <w:tabs>
        <w:tab w:val="right" w:pos="2080"/>
      </w:tabs>
      <w:overflowPunct w:val="0"/>
      <w:autoSpaceDE w:val="0"/>
      <w:autoSpaceDN w:val="0"/>
      <w:adjustRightInd w:val="0"/>
      <w:spacing w:before="80" w:after="80"/>
      <w:ind w:left="2260" w:hanging="23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defBindent">
    <w:name w:val="def B indent"/>
    <w:pPr>
      <w:overflowPunct w:val="0"/>
      <w:autoSpaceDE w:val="0"/>
      <w:autoSpaceDN w:val="0"/>
      <w:adjustRightInd w:val="0"/>
      <w:spacing w:before="80" w:after="80"/>
      <w:ind w:left="3060" w:hanging="5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fullout">
    <w:name w:val="full out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defainpara">
    <w:name w:val="def a in para"/>
    <w:pPr>
      <w:tabs>
        <w:tab w:val="right" w:pos="2140"/>
      </w:tabs>
      <w:overflowPunct w:val="0"/>
      <w:autoSpaceDE w:val="0"/>
      <w:autoSpaceDN w:val="0"/>
      <w:adjustRightInd w:val="0"/>
      <w:spacing w:before="80" w:after="80"/>
      <w:ind w:left="2400" w:hanging="24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halfout">
    <w:name w:val="half out"/>
    <w:pPr>
      <w:overflowPunct w:val="0"/>
      <w:autoSpaceDE w:val="0"/>
      <w:autoSpaceDN w:val="0"/>
      <w:adjustRightInd w:val="0"/>
      <w:spacing w:before="80" w:after="80"/>
      <w:ind w:left="9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defBinpara">
    <w:name w:val="def B in para"/>
    <w:pPr>
      <w:overflowPunct w:val="0"/>
      <w:autoSpaceDE w:val="0"/>
      <w:autoSpaceDN w:val="0"/>
      <w:adjustRightInd w:val="0"/>
      <w:spacing w:before="80" w:after="80"/>
      <w:ind w:left="3880" w:hanging="48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defiinpara">
    <w:name w:val="def i in para"/>
    <w:pPr>
      <w:tabs>
        <w:tab w:val="right" w:pos="2940"/>
      </w:tabs>
      <w:overflowPunct w:val="0"/>
      <w:autoSpaceDE w:val="0"/>
      <w:autoSpaceDN w:val="0"/>
      <w:adjustRightInd w:val="0"/>
      <w:spacing w:before="80" w:after="80"/>
      <w:ind w:left="3100" w:hanging="31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tocamendsection">
    <w:name w:val="toc amend section"/>
    <w:pPr>
      <w:tabs>
        <w:tab w:val="right" w:pos="1900"/>
      </w:tabs>
      <w:overflowPunct w:val="0"/>
      <w:autoSpaceDE w:val="0"/>
      <w:autoSpaceDN w:val="0"/>
      <w:adjustRightInd w:val="0"/>
      <w:spacing w:before="20" w:after="20"/>
      <w:ind w:left="2300" w:hanging="2300"/>
      <w:textAlignment w:val="baseline"/>
    </w:pPr>
    <w:rPr>
      <w:rFonts w:ascii="Times" w:hAnsi="Times"/>
      <w:lang w:val="en-US"/>
    </w:rPr>
  </w:style>
  <w:style w:type="paragraph" w:customStyle="1" w:styleId="tocamenddiv">
    <w:name w:val="toc amend div"/>
    <w:pPr>
      <w:overflowPunct w:val="0"/>
      <w:autoSpaceDE w:val="0"/>
      <w:autoSpaceDN w:val="0"/>
      <w:adjustRightInd w:val="0"/>
      <w:spacing w:before="20" w:after="20"/>
      <w:ind w:left="1120" w:right="20"/>
      <w:jc w:val="center"/>
      <w:textAlignment w:val="baseline"/>
    </w:pPr>
    <w:rPr>
      <w:rFonts w:ascii="Times" w:hAnsi="Times"/>
      <w:i/>
      <w:lang w:val="en-US"/>
    </w:rPr>
  </w:style>
  <w:style w:type="paragraph" w:customStyle="1" w:styleId="tocamendpart">
    <w:name w:val="toc amend part"/>
    <w:pPr>
      <w:overflowPunct w:val="0"/>
      <w:autoSpaceDE w:val="0"/>
      <w:autoSpaceDN w:val="0"/>
      <w:adjustRightInd w:val="0"/>
      <w:spacing w:before="20" w:after="20"/>
      <w:ind w:left="1120" w:right="20"/>
      <w:jc w:val="center"/>
      <w:textAlignment w:val="baseline"/>
    </w:pPr>
    <w:rPr>
      <w:rFonts w:ascii="Times" w:hAnsi="Times"/>
      <w:caps/>
      <w:lang w:val="en-US"/>
    </w:rPr>
  </w:style>
  <w:style w:type="paragraph" w:customStyle="1" w:styleId="secinpara">
    <w:name w:val="sec in para"/>
    <w:pPr>
      <w:overflowPunct w:val="0"/>
      <w:autoSpaceDE w:val="0"/>
      <w:autoSpaceDN w:val="0"/>
      <w:adjustRightInd w:val="0"/>
      <w:spacing w:before="80" w:after="80"/>
      <w:ind w:left="900" w:firstLine="4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parainpara">
    <w:name w:val="para in para"/>
    <w:pPr>
      <w:tabs>
        <w:tab w:val="right" w:pos="1500"/>
      </w:tabs>
      <w:overflowPunct w:val="0"/>
      <w:autoSpaceDE w:val="0"/>
      <w:autoSpaceDN w:val="0"/>
      <w:adjustRightInd w:val="0"/>
      <w:spacing w:before="80" w:after="80"/>
      <w:ind w:left="1800" w:hanging="18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subparainpara">
    <w:name w:val="subpara in para"/>
    <w:pPr>
      <w:tabs>
        <w:tab w:val="right" w:pos="2280"/>
      </w:tabs>
      <w:overflowPunct w:val="0"/>
      <w:autoSpaceDE w:val="0"/>
      <w:autoSpaceDN w:val="0"/>
      <w:adjustRightInd w:val="0"/>
      <w:spacing w:before="80" w:after="80"/>
      <w:ind w:left="2480" w:hanging="248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sub-subparainpara">
    <w:name w:val="sub-subpara in para"/>
    <w:pPr>
      <w:overflowPunct w:val="0"/>
      <w:autoSpaceDE w:val="0"/>
      <w:autoSpaceDN w:val="0"/>
      <w:adjustRightInd w:val="0"/>
      <w:spacing w:before="80" w:after="80"/>
      <w:ind w:left="3160" w:hanging="46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subparainpara2">
    <w:name w:val="subpara in para /2"/>
    <w:pPr>
      <w:tabs>
        <w:tab w:val="right" w:pos="1400"/>
      </w:tabs>
      <w:overflowPunct w:val="0"/>
      <w:autoSpaceDE w:val="0"/>
      <w:autoSpaceDN w:val="0"/>
      <w:adjustRightInd w:val="0"/>
      <w:spacing w:before="80" w:after="80"/>
      <w:ind w:left="1580" w:hanging="158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orparainpara">
    <w:name w:val=". or para in para"/>
    <w:pPr>
      <w:tabs>
        <w:tab w:val="left" w:pos="1680"/>
      </w:tabs>
      <w:overflowPunct w:val="0"/>
      <w:autoSpaceDE w:val="0"/>
      <w:autoSpaceDN w:val="0"/>
      <w:adjustRightInd w:val="0"/>
      <w:spacing w:before="80" w:after="80"/>
      <w:ind w:left="2100" w:hanging="10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orpara">
    <w:name w:val=". or para"/>
    <w:pPr>
      <w:tabs>
        <w:tab w:val="left" w:pos="920"/>
      </w:tabs>
      <w:overflowPunct w:val="0"/>
      <w:autoSpaceDE w:val="0"/>
      <w:autoSpaceDN w:val="0"/>
      <w:adjustRightInd w:val="0"/>
      <w:spacing w:before="80" w:after="80"/>
      <w:ind w:left="1380" w:hanging="98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orsubpara">
    <w:name w:val=". or subpara"/>
    <w:pPr>
      <w:tabs>
        <w:tab w:val="right" w:pos="1200"/>
      </w:tabs>
      <w:overflowPunct w:val="0"/>
      <w:autoSpaceDE w:val="0"/>
      <w:autoSpaceDN w:val="0"/>
      <w:adjustRightInd w:val="0"/>
      <w:spacing w:before="80" w:after="80"/>
      <w:ind w:left="1380" w:hanging="98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orsubparainpara">
    <w:name w:val=". or subpara in para"/>
    <w:pPr>
      <w:tabs>
        <w:tab w:val="right" w:pos="1900"/>
      </w:tabs>
      <w:overflowPunct w:val="0"/>
      <w:autoSpaceDE w:val="0"/>
      <w:autoSpaceDN w:val="0"/>
      <w:adjustRightInd w:val="0"/>
      <w:spacing w:before="80" w:after="80"/>
      <w:ind w:left="2100" w:hanging="1000"/>
      <w:jc w:val="both"/>
      <w:textAlignment w:val="baseline"/>
    </w:pPr>
    <w:rPr>
      <w:rFonts w:ascii="Times" w:hAnsi="Times"/>
      <w:sz w:val="24"/>
      <w:lang w:val="en-US"/>
    </w:rPr>
  </w:style>
  <w:style w:type="paragraph" w:customStyle="1" w:styleId="quarterout">
    <w:name w:val="quarter out"/>
    <w:pPr>
      <w:overflowPunct w:val="0"/>
      <w:autoSpaceDE w:val="0"/>
      <w:autoSpaceDN w:val="0"/>
      <w:adjustRightInd w:val="0"/>
      <w:spacing w:before="80" w:after="80"/>
      <w:ind w:left="1600"/>
      <w:jc w:val="both"/>
      <w:textAlignment w:val="baseline"/>
    </w:pPr>
    <w:rPr>
      <w:rFonts w:ascii="Times" w:hAnsi="Times"/>
      <w:sz w:val="24"/>
      <w:lang w:val="en-US"/>
    </w:rPr>
  </w:style>
  <w:style w:type="paragraph" w:styleId="Footer">
    <w:name w:val="footer"/>
    <w:basedOn w:val="Normal"/>
    <w:link w:val="FooterChar"/>
    <w:rsid w:val="00481F4A"/>
    <w:pPr>
      <w:tabs>
        <w:tab w:val="center" w:pos="4320"/>
        <w:tab w:val="right" w:pos="8640"/>
      </w:tabs>
      <w:overflowPunct/>
      <w:adjustRightInd/>
      <w:textAlignment w:val="auto"/>
    </w:pPr>
    <w:rPr>
      <w:rFonts w:eastAsiaTheme="minorEastAsia" w:cs="Times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481F4A"/>
    <w:rPr>
      <w:rFonts w:ascii="Times" w:eastAsiaTheme="minorEastAsia" w:hAnsi="Times" w:cs="Times"/>
      <w:sz w:val="24"/>
      <w:szCs w:val="24"/>
    </w:rPr>
  </w:style>
  <w:style w:type="paragraph" w:customStyle="1" w:styleId="Status">
    <w:name w:val="Status"/>
    <w:basedOn w:val="Normal"/>
    <w:rsid w:val="00481F4A"/>
    <w:pPr>
      <w:tabs>
        <w:tab w:val="left" w:pos="2880"/>
      </w:tabs>
      <w:overflowPunct/>
      <w:adjustRightInd/>
      <w:spacing w:before="280" w:after="0"/>
      <w:jc w:val="center"/>
      <w:textAlignment w:val="auto"/>
    </w:pPr>
    <w:rPr>
      <w:rFonts w:ascii="Arial" w:eastAsiaTheme="minorEastAsia" w:hAnsi="Arial" w:cs="Arial"/>
      <w:sz w:val="14"/>
      <w:szCs w:val="14"/>
    </w:rPr>
  </w:style>
  <w:style w:type="paragraph" w:customStyle="1" w:styleId="00SigningPage">
    <w:name w:val="00SigningPage"/>
    <w:basedOn w:val="Normal"/>
    <w:rsid w:val="00481F4A"/>
    <w:pPr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AU" w:eastAsia="en-US"/>
    </w:rPr>
  </w:style>
  <w:style w:type="paragraph" w:customStyle="1" w:styleId="citation">
    <w:name w:val="citation"/>
    <w:basedOn w:val="Normal"/>
    <w:rsid w:val="00481F4A"/>
    <w:pPr>
      <w:overflowPunct/>
      <w:autoSpaceDE/>
      <w:autoSpaceDN/>
      <w:adjustRightInd/>
      <w:spacing w:before="1220" w:after="100"/>
      <w:jc w:val="left"/>
      <w:textAlignment w:val="auto"/>
    </w:pPr>
    <w:rPr>
      <w:rFonts w:ascii="Arial" w:hAnsi="Arial"/>
      <w:b/>
      <w:sz w:val="40"/>
      <w:lang w:val="en-AU" w:eastAsia="en-US"/>
    </w:rPr>
  </w:style>
  <w:style w:type="paragraph" w:customStyle="1" w:styleId="RepubNo">
    <w:name w:val="RepubNo"/>
    <w:basedOn w:val="Normal"/>
    <w:rsid w:val="00481F4A"/>
    <w:pPr>
      <w:tabs>
        <w:tab w:val="left" w:pos="2600"/>
      </w:tabs>
      <w:overflowPunct/>
      <w:autoSpaceDE/>
      <w:autoSpaceDN/>
      <w:adjustRightInd/>
      <w:spacing w:before="600"/>
      <w:textAlignment w:val="auto"/>
    </w:pPr>
    <w:rPr>
      <w:rFonts w:ascii="Arial" w:hAnsi="Arial"/>
      <w:b/>
      <w:sz w:val="26"/>
      <w:lang w:val="en-AU" w:eastAsia="en-US"/>
    </w:rPr>
  </w:style>
  <w:style w:type="paragraph" w:customStyle="1" w:styleId="EffectiveDate">
    <w:name w:val="EffectiveDate"/>
    <w:basedOn w:val="Normal"/>
    <w:rsid w:val="00481F4A"/>
    <w:pPr>
      <w:overflowPunct/>
      <w:autoSpaceDE/>
      <w:autoSpaceDN/>
      <w:adjustRightInd/>
      <w:spacing w:before="40" w:after="200"/>
      <w:jc w:val="left"/>
      <w:textAlignment w:val="auto"/>
    </w:pPr>
    <w:rPr>
      <w:rFonts w:ascii="Arial" w:hAnsi="Arial"/>
      <w:b/>
      <w:sz w:val="26"/>
      <w:lang w:val="en-AU" w:eastAsia="en-US"/>
    </w:rPr>
  </w:style>
  <w:style w:type="paragraph" w:customStyle="1" w:styleId="CoverInForce">
    <w:name w:val="CoverInForce"/>
    <w:basedOn w:val="Normal"/>
    <w:uiPriority w:val="99"/>
    <w:rsid w:val="00481F4A"/>
    <w:pPr>
      <w:tabs>
        <w:tab w:val="left" w:pos="2600"/>
      </w:tabs>
      <w:overflowPunct/>
      <w:autoSpaceDE/>
      <w:autoSpaceDN/>
      <w:adjustRightInd/>
      <w:spacing w:before="200"/>
      <w:jc w:val="left"/>
      <w:textAlignment w:val="auto"/>
    </w:pPr>
    <w:rPr>
      <w:rFonts w:ascii="Arial" w:hAnsi="Arial"/>
      <w:lang w:val="en-AU" w:eastAsia="en-US"/>
    </w:rPr>
  </w:style>
  <w:style w:type="paragraph" w:customStyle="1" w:styleId="CoverHeading">
    <w:name w:val="CoverHeading"/>
    <w:basedOn w:val="Normal"/>
    <w:rsid w:val="00481F4A"/>
    <w:pPr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lang w:val="en-AU" w:eastAsia="en-US"/>
    </w:rPr>
  </w:style>
  <w:style w:type="paragraph" w:customStyle="1" w:styleId="CoverSubHdg">
    <w:name w:val="CoverSubHdg"/>
    <w:basedOn w:val="CoverHeading"/>
    <w:rsid w:val="00481F4A"/>
    <w:pPr>
      <w:spacing w:before="60"/>
    </w:pPr>
    <w:rPr>
      <w:sz w:val="20"/>
    </w:rPr>
  </w:style>
  <w:style w:type="paragraph" w:customStyle="1" w:styleId="CoverText">
    <w:name w:val="CoverText"/>
    <w:basedOn w:val="Normal"/>
    <w:rsid w:val="00481F4A"/>
    <w:pPr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val="en-AU" w:eastAsia="en-US"/>
    </w:rPr>
  </w:style>
  <w:style w:type="paragraph" w:customStyle="1" w:styleId="ActNo">
    <w:name w:val="ActNo"/>
    <w:basedOn w:val="Normal"/>
    <w:rsid w:val="00481F4A"/>
    <w:pPr>
      <w:overflowPunct/>
      <w:autoSpaceDE/>
      <w:autoSpaceDN/>
      <w:adjustRightInd/>
      <w:spacing w:before="120"/>
      <w:jc w:val="left"/>
      <w:textAlignment w:val="auto"/>
    </w:pPr>
    <w:rPr>
      <w:rFonts w:ascii="Arial" w:hAnsi="Arial" w:cs="Arial"/>
      <w:b/>
      <w:bCs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1942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Cornwell, Rowena</dc:creator>
  <cp:keywords/>
  <cp:lastModifiedBy>PCODCS</cp:lastModifiedBy>
  <cp:revision>4</cp:revision>
  <dcterms:created xsi:type="dcterms:W3CDTF">2024-10-29T21:50:00Z</dcterms:created>
  <dcterms:modified xsi:type="dcterms:W3CDTF">2024-10-29T21:50:00Z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2024-10-15T21:55:03Z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058a19bc-4c41-4100-bf2a-6f8ca70c6fc1</vt:lpwstr>
  </property>
  <property fmtid="{D5CDD505-2E9C-101B-9397-08002B2CF9AE}" pid="8" name="MSIP_Label_69af8531-eb46-4968-8cb3-105d2f5ea87e_ContentBits">
    <vt:lpwstr>0</vt:lpwstr>
  </property>
</Properties>
</file>