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65BA" w14:textId="77777777" w:rsidR="00576E19" w:rsidRDefault="00576E19" w:rsidP="00576E19">
      <w:pPr>
        <w:jc w:val="center"/>
      </w:pPr>
      <w:r>
        <w:rPr>
          <w:noProof/>
        </w:rPr>
        <w:drawing>
          <wp:inline distT="0" distB="0" distL="0" distR="0" wp14:anchorId="57C15B65" wp14:editId="2FDC0C8B">
            <wp:extent cx="1340485" cy="1173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3480"/>
                    </a:xfrm>
                    <a:prstGeom prst="rect">
                      <a:avLst/>
                    </a:prstGeom>
                    <a:noFill/>
                    <a:ln>
                      <a:noFill/>
                    </a:ln>
                  </pic:spPr>
                </pic:pic>
              </a:graphicData>
            </a:graphic>
          </wp:inline>
        </w:drawing>
      </w:r>
    </w:p>
    <w:p w14:paraId="457790FF" w14:textId="77777777" w:rsidR="00576E19" w:rsidRDefault="00576E19" w:rsidP="00576E19">
      <w:pPr>
        <w:jc w:val="center"/>
        <w:rPr>
          <w:rFonts w:ascii="Arial" w:hAnsi="Arial"/>
        </w:rPr>
      </w:pPr>
      <w:r>
        <w:rPr>
          <w:rFonts w:ascii="Arial" w:hAnsi="Arial"/>
        </w:rPr>
        <w:t>Australian Capital Territory</w:t>
      </w:r>
    </w:p>
    <w:p w14:paraId="17026D5E" w14:textId="022AA392" w:rsidR="00576E19" w:rsidRDefault="00576E19" w:rsidP="00576E19">
      <w:pPr>
        <w:pStyle w:val="citation"/>
      </w:pPr>
      <w:bookmarkStart w:id="0" w:name="Citation"/>
      <w:r>
        <w:t>Superannuation (Legislative Assembly Members) Act 1991</w:t>
      </w:r>
      <w:bookmarkEnd w:id="0"/>
    </w:p>
    <w:p w14:paraId="532A63BF" w14:textId="0A322034" w:rsidR="00576E19" w:rsidRDefault="00576E19" w:rsidP="00576E19">
      <w:pPr>
        <w:pStyle w:val="ActNo"/>
      </w:pPr>
      <w:r>
        <w:t>A1991-93</w:t>
      </w:r>
    </w:p>
    <w:p w14:paraId="1C4183DC" w14:textId="77777777" w:rsidR="00576E19" w:rsidRDefault="00576E19" w:rsidP="00576E19">
      <w:pPr>
        <w:pStyle w:val="RepubNo"/>
      </w:pPr>
      <w:r>
        <w:t>Republication No 1A</w:t>
      </w:r>
    </w:p>
    <w:p w14:paraId="186C50DD" w14:textId="4223769B" w:rsidR="00576E19" w:rsidRDefault="00576E19" w:rsidP="00576E19">
      <w:pPr>
        <w:pStyle w:val="EffectiveDate"/>
      </w:pPr>
      <w:r>
        <w:t xml:space="preserve">Effective:  </w:t>
      </w:r>
      <w:r w:rsidR="004D2E3B">
        <w:t>1 July 1996</w:t>
      </w:r>
      <w:r>
        <w:t xml:space="preserve"> – </w:t>
      </w:r>
      <w:r w:rsidR="004D2E3B">
        <w:t>11 September 2001</w:t>
      </w:r>
    </w:p>
    <w:p w14:paraId="0E66DBC5" w14:textId="36454D11" w:rsidR="00576E19" w:rsidRDefault="00576E19" w:rsidP="00576E19">
      <w:pPr>
        <w:pStyle w:val="CoverInForce"/>
      </w:pPr>
      <w:r>
        <w:t xml:space="preserve">Republication date:  </w:t>
      </w:r>
      <w:r w:rsidR="00E3393F">
        <w:t xml:space="preserve">23 August </w:t>
      </w:r>
      <w:r>
        <w:t>2024</w:t>
      </w:r>
      <w:r>
        <w:br/>
      </w:r>
    </w:p>
    <w:p w14:paraId="1B09D1DC" w14:textId="17904817" w:rsidR="00576E19" w:rsidRDefault="00576E19" w:rsidP="00576E19">
      <w:pPr>
        <w:pStyle w:val="CoverInForce"/>
      </w:pPr>
      <w:r>
        <w:t>Last amendment made by A199</w:t>
      </w:r>
      <w:r w:rsidR="004D2E3B">
        <w:t>6-26</w:t>
      </w:r>
    </w:p>
    <w:p w14:paraId="62C4AEB9" w14:textId="77777777" w:rsidR="00576E19" w:rsidRDefault="00576E19" w:rsidP="00576E19"/>
    <w:p w14:paraId="2E6FEC30" w14:textId="77777777" w:rsidR="00576E19" w:rsidRDefault="00576E19" w:rsidP="00576E19"/>
    <w:p w14:paraId="16C4C661" w14:textId="77777777" w:rsidR="00576E19" w:rsidRDefault="00576E19" w:rsidP="00576E19">
      <w:pPr>
        <w:pStyle w:val="CoverHeading"/>
      </w:pPr>
      <w:r>
        <w:br w:type="page"/>
      </w:r>
      <w:r>
        <w:lastRenderedPageBreak/>
        <w:t>About this republication</w:t>
      </w:r>
    </w:p>
    <w:p w14:paraId="15FB4205" w14:textId="77777777" w:rsidR="00576E19" w:rsidRDefault="00576E19" w:rsidP="00576E19">
      <w:pPr>
        <w:pStyle w:val="CoverSubHdg"/>
      </w:pPr>
      <w:r>
        <w:t>The republished law</w:t>
      </w:r>
    </w:p>
    <w:p w14:paraId="632077EE" w14:textId="669E49D3" w:rsidR="00576E19" w:rsidRDefault="00576E19" w:rsidP="00576E19">
      <w:pPr>
        <w:pStyle w:val="CoverText"/>
      </w:pPr>
      <w:r>
        <w:t xml:space="preserve">This is a republication of the </w:t>
      </w:r>
      <w:r w:rsidR="004D2E3B" w:rsidRPr="004D2E3B">
        <w:rPr>
          <w:i/>
          <w:iCs/>
        </w:rPr>
        <w:t>Superannuation (Legislative Assembly Members) Act 1991</w:t>
      </w:r>
      <w:r w:rsidRPr="00190B1B">
        <w:rPr>
          <w:i/>
        </w:rPr>
        <w:t xml:space="preserve"> </w:t>
      </w:r>
      <w:r>
        <w:t xml:space="preserve">effective from </w:t>
      </w:r>
      <w:r w:rsidR="004D2E3B">
        <w:t>1 July 1996</w:t>
      </w:r>
      <w:r>
        <w:t xml:space="preserve"> to </w:t>
      </w:r>
      <w:r w:rsidR="004D2E3B">
        <w:t>11 September 2001</w:t>
      </w:r>
      <w:r>
        <w:t>.</w:t>
      </w:r>
    </w:p>
    <w:p w14:paraId="6FA5D58D" w14:textId="77777777" w:rsidR="00576E19" w:rsidRDefault="00576E19" w:rsidP="00576E19">
      <w:pPr>
        <w:pStyle w:val="CoverSubHdg"/>
      </w:pPr>
      <w:r>
        <w:t>Kinds of republications</w:t>
      </w:r>
    </w:p>
    <w:p w14:paraId="47FE783C" w14:textId="77777777" w:rsidR="00576E19" w:rsidRDefault="00576E19" w:rsidP="00576E19">
      <w:pPr>
        <w:pStyle w:val="CoverText"/>
      </w:pPr>
      <w:r>
        <w:t>The Parliamentary Counsel’s Office prepares 2 kinds of republications of ACT laws (see the ACT legislation register at www.legislation.act.gov.au):</w:t>
      </w:r>
    </w:p>
    <w:p w14:paraId="085772F0" w14:textId="77777777" w:rsidR="00576E19" w:rsidRDefault="00576E19" w:rsidP="00576E19">
      <w:pPr>
        <w:pStyle w:val="CoverText"/>
        <w:numPr>
          <w:ilvl w:val="0"/>
          <w:numId w:val="1"/>
        </w:numPr>
      </w:pPr>
      <w:r>
        <w:t xml:space="preserve">authorised republications to which the </w:t>
      </w:r>
      <w:r>
        <w:rPr>
          <w:i/>
        </w:rPr>
        <w:t>Legislation Act 2001</w:t>
      </w:r>
      <w:r>
        <w:t xml:space="preserve"> applies</w:t>
      </w:r>
    </w:p>
    <w:p w14:paraId="1DE10C33" w14:textId="77777777" w:rsidR="00576E19" w:rsidRDefault="00576E19" w:rsidP="00576E19">
      <w:pPr>
        <w:pStyle w:val="CoverText"/>
        <w:numPr>
          <w:ilvl w:val="0"/>
          <w:numId w:val="1"/>
        </w:numPr>
      </w:pPr>
      <w:r>
        <w:t>unauthorised republications.</w:t>
      </w:r>
    </w:p>
    <w:p w14:paraId="5D9DBE0B" w14:textId="77777777" w:rsidR="00576E19" w:rsidRDefault="00576E19" w:rsidP="00576E19">
      <w:pPr>
        <w:pStyle w:val="CoverText"/>
      </w:pPr>
      <w:r>
        <w:t>The status of this republication appears on the bottom of each page.</w:t>
      </w:r>
    </w:p>
    <w:p w14:paraId="01A782CB" w14:textId="77777777" w:rsidR="00576E19" w:rsidRDefault="00576E19" w:rsidP="00576E19">
      <w:pPr>
        <w:pStyle w:val="CoverText"/>
      </w:pPr>
    </w:p>
    <w:p w14:paraId="125165F6" w14:textId="77777777" w:rsidR="00576E19" w:rsidRDefault="00576E19" w:rsidP="00576E19">
      <w:pPr>
        <w:pStyle w:val="00SigningPage"/>
        <w:sectPr w:rsidR="00576E19" w:rsidSect="00576E19">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7AEBAE59" w14:textId="77777777" w:rsidR="004D2E3B" w:rsidRDefault="004D2E3B" w:rsidP="004D2E3B">
      <w:pPr>
        <w:jc w:val="center"/>
      </w:pPr>
      <w:r>
        <w:rPr>
          <w:noProof/>
        </w:rPr>
        <w:lastRenderedPageBreak/>
        <w:drawing>
          <wp:inline distT="0" distB="0" distL="0" distR="0" wp14:anchorId="326B04C2" wp14:editId="4EA26556">
            <wp:extent cx="1340485" cy="1173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3480"/>
                    </a:xfrm>
                    <a:prstGeom prst="rect">
                      <a:avLst/>
                    </a:prstGeom>
                    <a:noFill/>
                    <a:ln>
                      <a:noFill/>
                    </a:ln>
                  </pic:spPr>
                </pic:pic>
              </a:graphicData>
            </a:graphic>
          </wp:inline>
        </w:drawing>
      </w:r>
    </w:p>
    <w:p w14:paraId="3E8C9633" w14:textId="77777777" w:rsidR="004D2E3B" w:rsidRDefault="004D2E3B" w:rsidP="004D2E3B">
      <w:pPr>
        <w:jc w:val="center"/>
        <w:rPr>
          <w:rFonts w:ascii="Arial" w:hAnsi="Arial"/>
        </w:rPr>
      </w:pPr>
      <w:r>
        <w:rPr>
          <w:rFonts w:ascii="Arial" w:hAnsi="Arial"/>
        </w:rPr>
        <w:t>Australian Capital Territory</w:t>
      </w:r>
    </w:p>
    <w:p w14:paraId="4FDA7965" w14:textId="77777777" w:rsidR="00312EEB" w:rsidRDefault="00312EEB">
      <w:pPr>
        <w:spacing w:after="100"/>
        <w:jc w:val="center"/>
        <w:rPr>
          <w:rFonts w:ascii="Helvetica" w:hAnsi="Helvetica" w:cs="Helvetica"/>
          <w:b/>
          <w:bCs/>
          <w:caps/>
          <w:color w:val="000000"/>
          <w:sz w:val="28"/>
          <w:szCs w:val="28"/>
        </w:rPr>
      </w:pPr>
      <w:r>
        <w:rPr>
          <w:rFonts w:ascii="Helvetica" w:hAnsi="Helvetica" w:cs="Helvetica"/>
          <w:b/>
          <w:bCs/>
          <w:caps/>
          <w:color w:val="000000"/>
          <w:sz w:val="28"/>
          <w:szCs w:val="28"/>
        </w:rPr>
        <w:t>SUPERANNUATION (LEGISLATIVE ASSEMBLY MEMBERS) act 1991</w:t>
      </w:r>
    </w:p>
    <w:p w14:paraId="0B6FE924" w14:textId="55BF4985" w:rsidR="00312EEB" w:rsidRDefault="00312EEB">
      <w:pPr>
        <w:spacing w:after="200"/>
        <w:jc w:val="center"/>
        <w:rPr>
          <w:i/>
          <w:iCs/>
          <w:color w:val="000000"/>
          <w:sz w:val="20"/>
          <w:szCs w:val="20"/>
        </w:rPr>
      </w:pPr>
    </w:p>
    <w:p w14:paraId="5F4FCE90" w14:textId="77777777" w:rsidR="00312EEB" w:rsidRDefault="00312EEB">
      <w:pPr>
        <w:spacing w:before="60" w:after="240"/>
        <w:jc w:val="center"/>
        <w:rPr>
          <w:caps/>
          <w:color w:val="000000"/>
          <w:sz w:val="20"/>
          <w:szCs w:val="20"/>
        </w:rPr>
      </w:pPr>
      <w:r>
        <w:rPr>
          <w:color w:val="000000"/>
          <w:sz w:val="20"/>
          <w:szCs w:val="20"/>
        </w:rPr>
        <w:t>Updated as at 1 July 1996</w:t>
      </w:r>
    </w:p>
    <w:p w14:paraId="13B444E7" w14:textId="77777777" w:rsidR="00312EEB" w:rsidRDefault="00312EEB">
      <w:pPr>
        <w:jc w:val="center"/>
        <w:rPr>
          <w:b/>
          <w:bCs/>
          <w:color w:val="000000"/>
          <w:sz w:val="20"/>
          <w:szCs w:val="20"/>
        </w:rPr>
      </w:pPr>
      <w:r>
        <w:rPr>
          <w:b/>
          <w:bCs/>
          <w:color w:val="000000"/>
          <w:sz w:val="20"/>
          <w:szCs w:val="20"/>
        </w:rPr>
        <w:t>TABLE OF PROVISIONS</w:t>
      </w:r>
    </w:p>
    <w:p w14:paraId="05C41C8D" w14:textId="77777777" w:rsidR="00312EEB" w:rsidRDefault="00312EEB">
      <w:pPr>
        <w:spacing w:before="200"/>
        <w:rPr>
          <w:color w:val="000000"/>
          <w:sz w:val="18"/>
          <w:szCs w:val="18"/>
        </w:rPr>
      </w:pPr>
      <w:r>
        <w:rPr>
          <w:color w:val="000000"/>
          <w:sz w:val="18"/>
          <w:szCs w:val="18"/>
        </w:rPr>
        <w:t>Section</w:t>
      </w:r>
    </w:p>
    <w:p w14:paraId="4F87FD67" w14:textId="77777777" w:rsidR="00312EEB" w:rsidRDefault="00312EEB">
      <w:pPr>
        <w:pStyle w:val="TOC1"/>
        <w:rPr>
          <w:color w:val="000000"/>
        </w:rPr>
      </w:pPr>
      <w:r>
        <w:rPr>
          <w:color w:val="000000"/>
        </w:rPr>
        <w:t>PART I—PRELIMINARY</w:t>
      </w:r>
    </w:p>
    <w:p w14:paraId="2F112A64" w14:textId="77777777" w:rsidR="00312EEB" w:rsidRDefault="00312EEB">
      <w:pPr>
        <w:pStyle w:val="TOC3"/>
        <w:rPr>
          <w:color w:val="000000"/>
        </w:rPr>
      </w:pPr>
      <w:r>
        <w:rPr>
          <w:color w:val="000000"/>
        </w:rPr>
        <w:tab/>
        <w:t>1.</w:t>
      </w:r>
      <w:r>
        <w:rPr>
          <w:color w:val="000000"/>
        </w:rPr>
        <w:tab/>
        <w:t>Short title</w:t>
      </w:r>
    </w:p>
    <w:p w14:paraId="40940D3A" w14:textId="77777777" w:rsidR="00312EEB" w:rsidRDefault="00312EEB">
      <w:pPr>
        <w:pStyle w:val="TOC3"/>
        <w:rPr>
          <w:color w:val="000000"/>
        </w:rPr>
      </w:pPr>
      <w:r>
        <w:rPr>
          <w:color w:val="000000"/>
        </w:rPr>
        <w:tab/>
        <w:t>2.</w:t>
      </w:r>
      <w:r>
        <w:rPr>
          <w:color w:val="000000"/>
        </w:rPr>
        <w:tab/>
        <w:t>Commencement</w:t>
      </w:r>
    </w:p>
    <w:p w14:paraId="0ACC4E2E" w14:textId="77777777" w:rsidR="00312EEB" w:rsidRDefault="00312EEB">
      <w:pPr>
        <w:pStyle w:val="TOC3"/>
        <w:rPr>
          <w:color w:val="000000"/>
        </w:rPr>
      </w:pPr>
      <w:r>
        <w:rPr>
          <w:color w:val="000000"/>
        </w:rPr>
        <w:tab/>
        <w:t>3.</w:t>
      </w:r>
      <w:r>
        <w:rPr>
          <w:color w:val="000000"/>
        </w:rPr>
        <w:tab/>
        <w:t>Interpretation</w:t>
      </w:r>
    </w:p>
    <w:p w14:paraId="5ADFE199" w14:textId="77777777" w:rsidR="00312EEB" w:rsidRDefault="00312EEB">
      <w:pPr>
        <w:pStyle w:val="TOC1"/>
        <w:ind w:left="720" w:right="740"/>
        <w:rPr>
          <w:color w:val="000000"/>
        </w:rPr>
      </w:pPr>
      <w:r>
        <w:rPr>
          <w:color w:val="000000"/>
        </w:rPr>
        <w:t>part II—legislative assembly members superannuation board</w:t>
      </w:r>
    </w:p>
    <w:p w14:paraId="59DE8ED6" w14:textId="77777777" w:rsidR="00312EEB" w:rsidRDefault="00312EEB">
      <w:pPr>
        <w:pStyle w:val="TOC2"/>
        <w:rPr>
          <w:color w:val="000000"/>
        </w:rPr>
      </w:pPr>
      <w:r>
        <w:rPr>
          <w:color w:val="000000"/>
        </w:rPr>
        <w:t>Division 1—Establishment, functions and powers of the Board</w:t>
      </w:r>
    </w:p>
    <w:p w14:paraId="4A1A82EE" w14:textId="77777777" w:rsidR="00312EEB" w:rsidRDefault="00312EEB">
      <w:pPr>
        <w:pStyle w:val="TOC3"/>
        <w:rPr>
          <w:color w:val="000000"/>
        </w:rPr>
      </w:pPr>
      <w:r>
        <w:rPr>
          <w:color w:val="000000"/>
        </w:rPr>
        <w:tab/>
        <w:t>4.</w:t>
      </w:r>
      <w:r>
        <w:rPr>
          <w:color w:val="000000"/>
        </w:rPr>
        <w:tab/>
        <w:t>Establishment</w:t>
      </w:r>
    </w:p>
    <w:p w14:paraId="761DC078" w14:textId="77777777" w:rsidR="00312EEB" w:rsidRDefault="00312EEB">
      <w:pPr>
        <w:pStyle w:val="TOC3"/>
        <w:rPr>
          <w:color w:val="000000"/>
        </w:rPr>
      </w:pPr>
      <w:r>
        <w:rPr>
          <w:color w:val="000000"/>
        </w:rPr>
        <w:tab/>
        <w:t>5.</w:t>
      </w:r>
      <w:r>
        <w:rPr>
          <w:color w:val="000000"/>
        </w:rPr>
        <w:tab/>
        <w:t>Functions</w:t>
      </w:r>
    </w:p>
    <w:p w14:paraId="6E6DBDE4" w14:textId="77777777" w:rsidR="00312EEB" w:rsidRDefault="00312EEB">
      <w:pPr>
        <w:pStyle w:val="TOC3"/>
        <w:rPr>
          <w:color w:val="000000"/>
        </w:rPr>
      </w:pPr>
      <w:r>
        <w:rPr>
          <w:color w:val="000000"/>
        </w:rPr>
        <w:tab/>
        <w:t>6.</w:t>
      </w:r>
      <w:r>
        <w:rPr>
          <w:color w:val="000000"/>
        </w:rPr>
        <w:tab/>
        <w:t>Powers</w:t>
      </w:r>
    </w:p>
    <w:p w14:paraId="031ACF3D" w14:textId="77777777" w:rsidR="00312EEB" w:rsidRDefault="00312EEB">
      <w:pPr>
        <w:pStyle w:val="TOC2"/>
        <w:rPr>
          <w:color w:val="000000"/>
        </w:rPr>
      </w:pPr>
      <w:r>
        <w:rPr>
          <w:color w:val="000000"/>
        </w:rPr>
        <w:t>Division 2—Constitution and meetings</w:t>
      </w:r>
    </w:p>
    <w:p w14:paraId="368D10EE" w14:textId="77777777" w:rsidR="00312EEB" w:rsidRDefault="00312EEB">
      <w:pPr>
        <w:pStyle w:val="TOC3"/>
        <w:rPr>
          <w:color w:val="000000"/>
        </w:rPr>
      </w:pPr>
      <w:r>
        <w:rPr>
          <w:color w:val="000000"/>
        </w:rPr>
        <w:tab/>
        <w:t>7.</w:t>
      </w:r>
      <w:r>
        <w:rPr>
          <w:color w:val="000000"/>
        </w:rPr>
        <w:tab/>
        <w:t>Constitution</w:t>
      </w:r>
    </w:p>
    <w:p w14:paraId="5CCF5606" w14:textId="77777777" w:rsidR="00312EEB" w:rsidRDefault="00312EEB">
      <w:pPr>
        <w:pStyle w:val="TOC3"/>
        <w:rPr>
          <w:color w:val="000000"/>
        </w:rPr>
      </w:pPr>
      <w:r>
        <w:rPr>
          <w:color w:val="000000"/>
        </w:rPr>
        <w:tab/>
        <w:t>8.</w:t>
      </w:r>
      <w:r>
        <w:rPr>
          <w:color w:val="000000"/>
        </w:rPr>
        <w:tab/>
        <w:t>Chairperson</w:t>
      </w:r>
    </w:p>
    <w:p w14:paraId="192413AD" w14:textId="77777777" w:rsidR="00312EEB" w:rsidRDefault="00312EEB">
      <w:pPr>
        <w:pStyle w:val="TOC3"/>
        <w:rPr>
          <w:color w:val="000000"/>
        </w:rPr>
      </w:pPr>
      <w:r>
        <w:rPr>
          <w:color w:val="000000"/>
        </w:rPr>
        <w:tab/>
        <w:t>9.</w:t>
      </w:r>
      <w:r>
        <w:rPr>
          <w:color w:val="000000"/>
        </w:rPr>
        <w:tab/>
        <w:t>Secretary</w:t>
      </w:r>
    </w:p>
    <w:p w14:paraId="1813921E" w14:textId="77777777" w:rsidR="00312EEB" w:rsidRDefault="00312EEB">
      <w:pPr>
        <w:pStyle w:val="TOC3"/>
        <w:rPr>
          <w:color w:val="000000"/>
        </w:rPr>
      </w:pPr>
      <w:r>
        <w:rPr>
          <w:color w:val="000000"/>
        </w:rPr>
        <w:tab/>
        <w:t>10.</w:t>
      </w:r>
      <w:r>
        <w:rPr>
          <w:color w:val="000000"/>
        </w:rPr>
        <w:tab/>
        <w:t>Meetings</w:t>
      </w:r>
    </w:p>
    <w:p w14:paraId="41D93A34" w14:textId="77777777" w:rsidR="00312EEB" w:rsidRDefault="00312EEB">
      <w:pPr>
        <w:pStyle w:val="TOC3"/>
        <w:rPr>
          <w:color w:val="000000"/>
        </w:rPr>
      </w:pPr>
      <w:r>
        <w:rPr>
          <w:color w:val="000000"/>
        </w:rPr>
        <w:tab/>
        <w:t>11.</w:t>
      </w:r>
      <w:r>
        <w:rPr>
          <w:color w:val="000000"/>
        </w:rPr>
        <w:tab/>
        <w:t>Procedure at meetings</w:t>
      </w:r>
    </w:p>
    <w:p w14:paraId="459AA44C" w14:textId="77777777" w:rsidR="00312EEB" w:rsidRDefault="00312EEB">
      <w:pPr>
        <w:pStyle w:val="TOC1"/>
        <w:rPr>
          <w:color w:val="000000"/>
        </w:rPr>
      </w:pPr>
      <w:r>
        <w:rPr>
          <w:color w:val="000000"/>
        </w:rPr>
        <w:t>part III—entitlements of members</w:t>
      </w:r>
    </w:p>
    <w:p w14:paraId="589DD56B" w14:textId="77777777" w:rsidR="00312EEB" w:rsidRDefault="00312EEB">
      <w:pPr>
        <w:pStyle w:val="TOC3"/>
        <w:rPr>
          <w:color w:val="000000"/>
        </w:rPr>
      </w:pPr>
      <w:r>
        <w:rPr>
          <w:color w:val="000000"/>
        </w:rPr>
        <w:tab/>
        <w:t>12.</w:t>
      </w:r>
      <w:r>
        <w:rPr>
          <w:color w:val="000000"/>
        </w:rPr>
        <w:tab/>
        <w:t>Eligibility</w:t>
      </w:r>
    </w:p>
    <w:p w14:paraId="3A115398" w14:textId="77777777" w:rsidR="00312EEB" w:rsidRDefault="00312EEB">
      <w:pPr>
        <w:pStyle w:val="TOC3"/>
        <w:rPr>
          <w:color w:val="000000"/>
        </w:rPr>
      </w:pPr>
      <w:r>
        <w:rPr>
          <w:color w:val="000000"/>
        </w:rPr>
        <w:tab/>
        <w:t>13.</w:t>
      </w:r>
      <w:r>
        <w:rPr>
          <w:color w:val="000000"/>
        </w:rPr>
        <w:tab/>
        <w:t>Members’ contributions</w:t>
      </w:r>
    </w:p>
    <w:p w14:paraId="45C0D35F" w14:textId="77777777" w:rsidR="00312EEB" w:rsidRDefault="00312EEB">
      <w:pPr>
        <w:pStyle w:val="TOC3"/>
        <w:rPr>
          <w:color w:val="000000"/>
        </w:rPr>
      </w:pPr>
      <w:r>
        <w:rPr>
          <w:color w:val="000000"/>
        </w:rPr>
        <w:lastRenderedPageBreak/>
        <w:tab/>
        <w:t>14.</w:t>
      </w:r>
      <w:r>
        <w:rPr>
          <w:color w:val="000000"/>
        </w:rPr>
        <w:tab/>
        <w:t>Entitlements of former members</w:t>
      </w:r>
    </w:p>
    <w:p w14:paraId="1179C599" w14:textId="77777777" w:rsidR="00312EEB" w:rsidRDefault="00312EEB">
      <w:pPr>
        <w:pStyle w:val="TOC3"/>
        <w:rPr>
          <w:color w:val="000000"/>
        </w:rPr>
      </w:pPr>
      <w:r>
        <w:rPr>
          <w:color w:val="000000"/>
        </w:rPr>
        <w:tab/>
        <w:t>15.</w:t>
      </w:r>
      <w:r>
        <w:rPr>
          <w:color w:val="000000"/>
        </w:rPr>
        <w:tab/>
        <w:t>Superannuation benefit</w:t>
      </w:r>
    </w:p>
    <w:p w14:paraId="079E2925" w14:textId="77777777" w:rsidR="00312EEB" w:rsidRDefault="00312EEB">
      <w:pPr>
        <w:pStyle w:val="TOC3"/>
        <w:rPr>
          <w:color w:val="000000"/>
        </w:rPr>
      </w:pPr>
      <w:r>
        <w:rPr>
          <w:color w:val="000000"/>
        </w:rPr>
        <w:tab/>
        <w:t>16.</w:t>
      </w:r>
      <w:r>
        <w:rPr>
          <w:color w:val="000000"/>
        </w:rPr>
        <w:tab/>
        <w:t>Death or invalidity benefit</w:t>
      </w:r>
    </w:p>
    <w:p w14:paraId="599D2A82" w14:textId="77777777" w:rsidR="00312EEB" w:rsidRDefault="00312EEB">
      <w:pPr>
        <w:pStyle w:val="TOC3"/>
        <w:rPr>
          <w:color w:val="000000"/>
        </w:rPr>
      </w:pPr>
      <w:r>
        <w:rPr>
          <w:color w:val="000000"/>
        </w:rPr>
        <w:tab/>
        <w:t>17.</w:t>
      </w:r>
      <w:r>
        <w:rPr>
          <w:color w:val="000000"/>
        </w:rPr>
        <w:tab/>
        <w:t>Payment to estate</w:t>
      </w:r>
    </w:p>
    <w:p w14:paraId="7D74B4A9" w14:textId="77777777" w:rsidR="00312EEB" w:rsidRDefault="00312EEB">
      <w:pPr>
        <w:pStyle w:val="TOC3"/>
        <w:rPr>
          <w:color w:val="000000"/>
        </w:rPr>
      </w:pPr>
      <w:r>
        <w:rPr>
          <w:color w:val="000000"/>
        </w:rPr>
        <w:tab/>
        <w:t>18.</w:t>
      </w:r>
      <w:r>
        <w:rPr>
          <w:color w:val="000000"/>
        </w:rPr>
        <w:tab/>
        <w:t>Preservation of benefit</w:t>
      </w:r>
    </w:p>
    <w:p w14:paraId="0143A5C5" w14:textId="77777777" w:rsidR="00312EEB" w:rsidRDefault="00312EEB">
      <w:pPr>
        <w:pStyle w:val="TOC1"/>
        <w:rPr>
          <w:color w:val="000000"/>
        </w:rPr>
      </w:pPr>
      <w:r>
        <w:rPr>
          <w:color w:val="000000"/>
        </w:rPr>
        <w:t>part Iv—review of decisions</w:t>
      </w:r>
    </w:p>
    <w:p w14:paraId="1B3B191C" w14:textId="77777777" w:rsidR="00312EEB" w:rsidRDefault="00312EEB">
      <w:pPr>
        <w:pStyle w:val="TOC3"/>
        <w:rPr>
          <w:color w:val="000000"/>
        </w:rPr>
      </w:pPr>
      <w:r>
        <w:rPr>
          <w:color w:val="000000"/>
        </w:rPr>
        <w:tab/>
        <w:t>19.</w:t>
      </w:r>
      <w:r>
        <w:rPr>
          <w:color w:val="000000"/>
        </w:rPr>
        <w:tab/>
        <w:t>Board to reconsider</w:t>
      </w:r>
    </w:p>
    <w:p w14:paraId="453F16E6" w14:textId="77777777" w:rsidR="00312EEB" w:rsidRDefault="00312EEB">
      <w:pPr>
        <w:pStyle w:val="TOC3"/>
        <w:rPr>
          <w:color w:val="000000"/>
        </w:rPr>
      </w:pPr>
      <w:r>
        <w:rPr>
          <w:color w:val="000000"/>
        </w:rPr>
        <w:tab/>
        <w:t>20.</w:t>
      </w:r>
      <w:r>
        <w:rPr>
          <w:color w:val="000000"/>
        </w:rPr>
        <w:tab/>
        <w:t>Notice of reconsideration</w:t>
      </w:r>
    </w:p>
    <w:p w14:paraId="205E3EB9" w14:textId="77777777" w:rsidR="00312EEB" w:rsidRDefault="00312EEB">
      <w:pPr>
        <w:pStyle w:val="TOC3"/>
        <w:rPr>
          <w:color w:val="000000"/>
        </w:rPr>
      </w:pPr>
      <w:r>
        <w:rPr>
          <w:color w:val="000000"/>
        </w:rPr>
        <w:tab/>
        <w:t>21.</w:t>
      </w:r>
      <w:r>
        <w:rPr>
          <w:color w:val="000000"/>
        </w:rPr>
        <w:tab/>
        <w:t>Applications to Administrative Appeals Tribunal</w:t>
      </w:r>
    </w:p>
    <w:p w14:paraId="5A99142D" w14:textId="77777777" w:rsidR="00312EEB" w:rsidRDefault="00312EEB">
      <w:pPr>
        <w:pStyle w:val="TOC1"/>
        <w:rPr>
          <w:color w:val="000000"/>
        </w:rPr>
      </w:pPr>
      <w:r>
        <w:rPr>
          <w:color w:val="000000"/>
        </w:rPr>
        <w:t>part v—miscellaneous</w:t>
      </w:r>
    </w:p>
    <w:p w14:paraId="3DA7DB70" w14:textId="77777777" w:rsidR="00312EEB" w:rsidRDefault="00312EEB">
      <w:pPr>
        <w:pStyle w:val="TOC3"/>
        <w:rPr>
          <w:color w:val="000000"/>
        </w:rPr>
      </w:pPr>
      <w:r>
        <w:rPr>
          <w:color w:val="000000"/>
        </w:rPr>
        <w:tab/>
        <w:t>22.</w:t>
      </w:r>
      <w:r>
        <w:rPr>
          <w:color w:val="000000"/>
        </w:rPr>
        <w:tab/>
        <w:t>Annual report</w:t>
      </w:r>
    </w:p>
    <w:p w14:paraId="6B9A3066" w14:textId="77777777" w:rsidR="00312EEB" w:rsidRDefault="00312EEB">
      <w:pPr>
        <w:pStyle w:val="TOC3"/>
        <w:rPr>
          <w:color w:val="000000"/>
        </w:rPr>
      </w:pPr>
      <w:r>
        <w:rPr>
          <w:color w:val="000000"/>
        </w:rPr>
        <w:tab/>
        <w:t>23.</w:t>
      </w:r>
      <w:r>
        <w:rPr>
          <w:color w:val="000000"/>
        </w:rPr>
        <w:tab/>
        <w:t>Regulations</w:t>
      </w:r>
    </w:p>
    <w:p w14:paraId="153FBBA8" w14:textId="77777777" w:rsidR="00312EEB" w:rsidRDefault="00312EEB">
      <w:pPr>
        <w:ind w:right="20"/>
        <w:rPr>
          <w:color w:val="000000"/>
        </w:rPr>
        <w:sectPr w:rsidR="00312EEB">
          <w:headerReference w:type="default" r:id="rId14"/>
          <w:footerReference w:type="default" r:id="rId15"/>
          <w:footerReference w:type="first" r:id="rId16"/>
          <w:pgSz w:w="11907" w:h="16839"/>
          <w:pgMar w:top="3000" w:right="2300" w:bottom="2500" w:left="2300" w:header="2480" w:footer="2100" w:gutter="0"/>
          <w:pgNumType w:fmt="lowerRoman"/>
          <w:cols w:space="709"/>
          <w:titlePg/>
        </w:sectPr>
      </w:pPr>
    </w:p>
    <w:p w14:paraId="47166C6F" w14:textId="77777777" w:rsidR="004D2E3B" w:rsidRDefault="004D2E3B" w:rsidP="004D2E3B">
      <w:pPr>
        <w:jc w:val="center"/>
      </w:pPr>
      <w:r>
        <w:rPr>
          <w:noProof/>
        </w:rPr>
        <w:lastRenderedPageBreak/>
        <w:drawing>
          <wp:inline distT="0" distB="0" distL="0" distR="0" wp14:anchorId="465462C4" wp14:editId="2E5DE58D">
            <wp:extent cx="1340485" cy="1173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3480"/>
                    </a:xfrm>
                    <a:prstGeom prst="rect">
                      <a:avLst/>
                    </a:prstGeom>
                    <a:noFill/>
                    <a:ln>
                      <a:noFill/>
                    </a:ln>
                  </pic:spPr>
                </pic:pic>
              </a:graphicData>
            </a:graphic>
          </wp:inline>
        </w:drawing>
      </w:r>
    </w:p>
    <w:p w14:paraId="424AB025" w14:textId="77777777" w:rsidR="004D2E3B" w:rsidRDefault="004D2E3B" w:rsidP="004D2E3B">
      <w:pPr>
        <w:jc w:val="center"/>
        <w:rPr>
          <w:rFonts w:ascii="Arial" w:hAnsi="Arial"/>
        </w:rPr>
      </w:pPr>
      <w:r>
        <w:rPr>
          <w:rFonts w:ascii="Arial" w:hAnsi="Arial"/>
        </w:rPr>
        <w:t>Australian Capital Territory</w:t>
      </w:r>
    </w:p>
    <w:p w14:paraId="6D8B5797" w14:textId="77777777" w:rsidR="00312EEB" w:rsidRDefault="00312EEB">
      <w:pPr>
        <w:spacing w:after="300"/>
        <w:jc w:val="center"/>
        <w:rPr>
          <w:rFonts w:ascii="Helvetica" w:hAnsi="Helvetica" w:cs="Helvetica"/>
          <w:b/>
          <w:bCs/>
          <w:caps/>
          <w:color w:val="000000"/>
          <w:sz w:val="28"/>
          <w:szCs w:val="28"/>
        </w:rPr>
      </w:pPr>
      <w:r>
        <w:rPr>
          <w:rFonts w:ascii="Helvetica" w:hAnsi="Helvetica" w:cs="Helvetica"/>
          <w:b/>
          <w:bCs/>
          <w:caps/>
          <w:color w:val="000000"/>
          <w:sz w:val="28"/>
          <w:szCs w:val="28"/>
        </w:rPr>
        <w:t>superannuation (Legislative Assembly Members) act 1991</w:t>
      </w:r>
    </w:p>
    <w:p w14:paraId="15AC237C" w14:textId="77777777" w:rsidR="00312EEB" w:rsidRDefault="00312EEB">
      <w:pPr>
        <w:spacing w:after="120"/>
        <w:jc w:val="center"/>
        <w:rPr>
          <w:color w:val="000000"/>
        </w:rPr>
      </w:pPr>
      <w:r>
        <w:rPr>
          <w:color w:val="000000"/>
        </w:rPr>
        <w:t>An Act to provide superannuation benefits for members of the Legislative Assembly and for related purposes</w:t>
      </w:r>
    </w:p>
    <w:p w14:paraId="07DA079E" w14:textId="77777777" w:rsidR="00312EEB" w:rsidRDefault="00312EEB">
      <w:pPr>
        <w:pStyle w:val="Heading1"/>
        <w:rPr>
          <w:color w:val="000000"/>
        </w:rPr>
      </w:pPr>
      <w:r>
        <w:rPr>
          <w:color w:val="000000"/>
        </w:rPr>
        <w:t>PART I—PRELIMINARY</w:t>
      </w:r>
    </w:p>
    <w:p w14:paraId="5262FB62" w14:textId="77777777" w:rsidR="00312EEB" w:rsidRDefault="00312EEB">
      <w:pPr>
        <w:pStyle w:val="Heading3"/>
        <w:rPr>
          <w:color w:val="000000"/>
        </w:rPr>
      </w:pPr>
      <w:r>
        <w:rPr>
          <w:color w:val="000000"/>
        </w:rPr>
        <w:t>Short title</w:t>
      </w:r>
    </w:p>
    <w:p w14:paraId="3A52C747" w14:textId="77777777" w:rsidR="00312EEB" w:rsidRDefault="00312EEB">
      <w:pPr>
        <w:pStyle w:val="allsections"/>
        <w:rPr>
          <w:color w:val="000000"/>
        </w:rPr>
      </w:pPr>
      <w:r>
        <w:rPr>
          <w:b/>
          <w:bCs/>
          <w:color w:val="000000"/>
        </w:rPr>
        <w:t>1.</w:t>
      </w:r>
      <w:r>
        <w:rPr>
          <w:color w:val="000000"/>
        </w:rPr>
        <w:t xml:space="preserve">  This Act may be cited as the </w:t>
      </w:r>
      <w:r>
        <w:rPr>
          <w:i/>
          <w:iCs/>
          <w:color w:val="000000"/>
        </w:rPr>
        <w:t>Superannuation (Legislative Assembly Members) Act 1991</w:t>
      </w:r>
      <w:r>
        <w:rPr>
          <w:color w:val="000000"/>
        </w:rPr>
        <w:t>.</w:t>
      </w:r>
      <w:r>
        <w:rPr>
          <w:color w:val="000000"/>
          <w:position w:val="10"/>
          <w:sz w:val="12"/>
          <w:szCs w:val="12"/>
        </w:rPr>
        <w:t>1</w:t>
      </w:r>
    </w:p>
    <w:p w14:paraId="14B3BF1E" w14:textId="77777777" w:rsidR="00312EEB" w:rsidRDefault="00312EEB">
      <w:pPr>
        <w:pStyle w:val="Heading3"/>
        <w:rPr>
          <w:color w:val="000000"/>
        </w:rPr>
      </w:pPr>
      <w:r>
        <w:rPr>
          <w:color w:val="000000"/>
        </w:rPr>
        <w:t>Commencement</w:t>
      </w:r>
    </w:p>
    <w:p w14:paraId="4EB7B0F2" w14:textId="77777777" w:rsidR="00312EEB" w:rsidRDefault="00312EEB">
      <w:pPr>
        <w:pStyle w:val="allsections"/>
        <w:rPr>
          <w:i/>
          <w:iCs/>
          <w:color w:val="000000"/>
        </w:rPr>
      </w:pPr>
      <w:r>
        <w:rPr>
          <w:b/>
          <w:bCs/>
          <w:color w:val="000000"/>
        </w:rPr>
        <w:t xml:space="preserve">2. </w:t>
      </w:r>
      <w:r>
        <w:rPr>
          <w:color w:val="000000"/>
        </w:rPr>
        <w:t xml:space="preserve"> </w:t>
      </w:r>
      <w:r>
        <w:rPr>
          <w:b/>
          <w:bCs/>
          <w:color w:val="000000"/>
        </w:rPr>
        <w:t>(1)</w:t>
      </w:r>
      <w:r>
        <w:rPr>
          <w:color w:val="000000"/>
        </w:rPr>
        <w:t xml:space="preserve">  Section 1 and this section commence on the day on which this Act is notified in the </w:t>
      </w:r>
      <w:r>
        <w:rPr>
          <w:i/>
          <w:iCs/>
          <w:color w:val="000000"/>
        </w:rPr>
        <w:t>Gazette.</w:t>
      </w:r>
      <w:r>
        <w:rPr>
          <w:color w:val="000000"/>
          <w:position w:val="10"/>
          <w:sz w:val="12"/>
          <w:szCs w:val="12"/>
        </w:rPr>
        <w:t>1</w:t>
      </w:r>
    </w:p>
    <w:p w14:paraId="780C25F4" w14:textId="77777777" w:rsidR="00312EEB" w:rsidRDefault="00312EEB">
      <w:pPr>
        <w:pStyle w:val="allsections"/>
        <w:rPr>
          <w:color w:val="000000"/>
        </w:rPr>
      </w:pPr>
      <w:r>
        <w:rPr>
          <w:b/>
          <w:bCs/>
          <w:color w:val="000000"/>
        </w:rPr>
        <w:t xml:space="preserve">(2)  </w:t>
      </w:r>
      <w:r>
        <w:rPr>
          <w:color w:val="000000"/>
        </w:rPr>
        <w:t xml:space="preserve">The remaining provisions commence on a day, or respective days, fixed by the Minister by notice in the </w:t>
      </w:r>
      <w:r>
        <w:rPr>
          <w:i/>
          <w:iCs/>
          <w:color w:val="000000"/>
        </w:rPr>
        <w:t>Gazette</w:t>
      </w:r>
      <w:r>
        <w:rPr>
          <w:color w:val="000000"/>
        </w:rPr>
        <w:t>.</w:t>
      </w:r>
    </w:p>
    <w:p w14:paraId="0518ED04" w14:textId="77777777" w:rsidR="00312EEB" w:rsidRDefault="00312EEB">
      <w:pPr>
        <w:pStyle w:val="allsections"/>
        <w:rPr>
          <w:color w:val="000000"/>
        </w:rPr>
      </w:pPr>
      <w:r>
        <w:rPr>
          <w:b/>
          <w:bCs/>
          <w:color w:val="000000"/>
        </w:rPr>
        <w:t xml:space="preserve">(3) </w:t>
      </w:r>
      <w:r>
        <w:rPr>
          <w:color w:val="000000"/>
        </w:rPr>
        <w:t xml:space="preserve"> If a provision referred to in subsection (2) has not commenced before the end of the period of 6 months commencing on the day on which this Act is notified in the</w:t>
      </w:r>
      <w:r>
        <w:rPr>
          <w:i/>
          <w:iCs/>
          <w:color w:val="000000"/>
        </w:rPr>
        <w:t xml:space="preserve"> Gazette</w:t>
      </w:r>
      <w:r>
        <w:rPr>
          <w:color w:val="000000"/>
        </w:rPr>
        <w:t>, that provision, by force of this subsection, commences on the first day after the end of that period.</w:t>
      </w:r>
    </w:p>
    <w:p w14:paraId="2849712B" w14:textId="77777777" w:rsidR="00312EEB" w:rsidRDefault="00312EEB">
      <w:pPr>
        <w:pStyle w:val="Heading3"/>
        <w:rPr>
          <w:color w:val="000000"/>
        </w:rPr>
      </w:pPr>
      <w:r>
        <w:rPr>
          <w:color w:val="000000"/>
        </w:rPr>
        <w:t>Interpretation</w:t>
      </w:r>
    </w:p>
    <w:p w14:paraId="248759BC" w14:textId="77777777" w:rsidR="00312EEB" w:rsidRDefault="00312EEB">
      <w:pPr>
        <w:pStyle w:val="allsections"/>
        <w:rPr>
          <w:color w:val="000000"/>
        </w:rPr>
      </w:pPr>
      <w:r>
        <w:rPr>
          <w:b/>
          <w:bCs/>
          <w:color w:val="000000"/>
        </w:rPr>
        <w:t xml:space="preserve">3.  </w:t>
      </w:r>
      <w:r>
        <w:rPr>
          <w:color w:val="000000"/>
        </w:rPr>
        <w:t>In this Act, unless the contrary intention appears—</w:t>
      </w:r>
    </w:p>
    <w:p w14:paraId="778A5656" w14:textId="77777777" w:rsidR="00312EEB" w:rsidRDefault="00312EEB">
      <w:pPr>
        <w:pStyle w:val="def"/>
        <w:rPr>
          <w:color w:val="000000"/>
        </w:rPr>
      </w:pPr>
      <w:r>
        <w:rPr>
          <w:color w:val="000000"/>
        </w:rPr>
        <w:t>“approved deposit fund” means a fund that—</w:t>
      </w:r>
    </w:p>
    <w:p w14:paraId="111F27AB" w14:textId="77777777" w:rsidR="00312EEB" w:rsidRDefault="00312EEB">
      <w:pPr>
        <w:pStyle w:val="defaindent"/>
        <w:rPr>
          <w:color w:val="000000"/>
        </w:rPr>
      </w:pPr>
      <w:r>
        <w:rPr>
          <w:color w:val="000000"/>
        </w:rPr>
        <w:tab/>
        <w:t>(a)</w:t>
      </w:r>
      <w:r>
        <w:rPr>
          <w:color w:val="000000"/>
        </w:rPr>
        <w:tab/>
        <w:t>is an indefinitely continuing fund;</w:t>
      </w:r>
    </w:p>
    <w:p w14:paraId="73417980" w14:textId="782AFAFD" w:rsidR="00312EEB" w:rsidRDefault="00312EEB">
      <w:pPr>
        <w:pStyle w:val="defaindent"/>
        <w:rPr>
          <w:color w:val="000000"/>
        </w:rPr>
      </w:pPr>
      <w:r>
        <w:rPr>
          <w:color w:val="000000"/>
        </w:rPr>
        <w:lastRenderedPageBreak/>
        <w:tab/>
        <w:t>(b)</w:t>
      </w:r>
      <w:r>
        <w:rPr>
          <w:color w:val="000000"/>
        </w:rPr>
        <w:tab/>
        <w:t>is maintained by a trustee or trustees solely for approved purposes; and</w:t>
      </w:r>
    </w:p>
    <w:p w14:paraId="31DF0E0D" w14:textId="77777777" w:rsidR="00312EEB" w:rsidRDefault="00312EEB">
      <w:pPr>
        <w:pStyle w:val="defaindent"/>
        <w:rPr>
          <w:color w:val="000000"/>
        </w:rPr>
      </w:pPr>
      <w:r>
        <w:rPr>
          <w:color w:val="000000"/>
        </w:rPr>
        <w:tab/>
        <w:t>(c)</w:t>
      </w:r>
      <w:r>
        <w:rPr>
          <w:color w:val="000000"/>
        </w:rPr>
        <w:tab/>
        <w:t>has approved rules;</w:t>
      </w:r>
    </w:p>
    <w:p w14:paraId="552AC796" w14:textId="77777777" w:rsidR="00312EEB" w:rsidRDefault="00312EEB">
      <w:pPr>
        <w:pStyle w:val="def"/>
        <w:rPr>
          <w:color w:val="000000"/>
        </w:rPr>
      </w:pPr>
      <w:r>
        <w:rPr>
          <w:color w:val="000000"/>
        </w:rPr>
        <w:t xml:space="preserve">“approved purposes”, in relation to a fund, has the same meaning as in the </w:t>
      </w:r>
      <w:r>
        <w:rPr>
          <w:i/>
          <w:iCs/>
          <w:color w:val="000000"/>
        </w:rPr>
        <w:t xml:space="preserve">Occupational Superannuation Standards Act 1987 </w:t>
      </w:r>
      <w:r>
        <w:rPr>
          <w:color w:val="000000"/>
        </w:rPr>
        <w:t>of the Commonwealth;</w:t>
      </w:r>
    </w:p>
    <w:p w14:paraId="6537AE8A" w14:textId="77777777" w:rsidR="00312EEB" w:rsidRDefault="00312EEB">
      <w:pPr>
        <w:pStyle w:val="def"/>
        <w:rPr>
          <w:color w:val="000000"/>
        </w:rPr>
      </w:pPr>
      <w:r>
        <w:rPr>
          <w:color w:val="000000"/>
        </w:rPr>
        <w:t xml:space="preserve">“approved rules” has the same meaning as in the </w:t>
      </w:r>
      <w:r>
        <w:rPr>
          <w:i/>
          <w:iCs/>
          <w:color w:val="000000"/>
        </w:rPr>
        <w:t>Occupational Superannuation Standards Act 1987</w:t>
      </w:r>
      <w:r>
        <w:rPr>
          <w:color w:val="000000"/>
        </w:rPr>
        <w:t xml:space="preserve"> of the Commonwealth;</w:t>
      </w:r>
    </w:p>
    <w:p w14:paraId="242FD74D" w14:textId="77777777" w:rsidR="00312EEB" w:rsidRDefault="00312EEB">
      <w:pPr>
        <w:pStyle w:val="def"/>
        <w:rPr>
          <w:color w:val="000000"/>
        </w:rPr>
      </w:pPr>
      <w:r>
        <w:rPr>
          <w:color w:val="000000"/>
        </w:rPr>
        <w:t>“Board” means the Australian Capital Territory Legislative Assembly Members Superannuation Board established under section 4;</w:t>
      </w:r>
    </w:p>
    <w:p w14:paraId="5A635F6A" w14:textId="77777777" w:rsidR="00312EEB" w:rsidRDefault="00312EEB">
      <w:pPr>
        <w:pStyle w:val="def"/>
        <w:rPr>
          <w:color w:val="000000"/>
        </w:rPr>
      </w:pPr>
      <w:r>
        <w:rPr>
          <w:color w:val="000000"/>
        </w:rPr>
        <w:t>“contributing member” includes—</w:t>
      </w:r>
    </w:p>
    <w:p w14:paraId="3150596C" w14:textId="77777777" w:rsidR="00312EEB" w:rsidRDefault="00312EEB">
      <w:pPr>
        <w:pStyle w:val="defaindent"/>
        <w:spacing w:after="60"/>
        <w:rPr>
          <w:color w:val="000000"/>
        </w:rPr>
      </w:pPr>
      <w:r>
        <w:rPr>
          <w:color w:val="000000"/>
        </w:rPr>
        <w:tab/>
        <w:t>(a)</w:t>
      </w:r>
      <w:r>
        <w:rPr>
          <w:color w:val="000000"/>
        </w:rPr>
        <w:tab/>
        <w:t xml:space="preserve">a member of the second Assembly or of any subsequent Assembly; </w:t>
      </w:r>
    </w:p>
    <w:p w14:paraId="72835DFF" w14:textId="77777777" w:rsidR="00312EEB" w:rsidRDefault="00312EEB">
      <w:pPr>
        <w:pStyle w:val="defaindent"/>
        <w:rPr>
          <w:color w:val="000000"/>
        </w:rPr>
      </w:pPr>
      <w:r>
        <w:rPr>
          <w:color w:val="000000"/>
        </w:rPr>
        <w:tab/>
        <w:t>(b)</w:t>
      </w:r>
      <w:r>
        <w:rPr>
          <w:color w:val="000000"/>
        </w:rPr>
        <w:tab/>
        <w:t>a former member of the first Assembly who elected to and did contribute to the Consolidated Revenue Fund in accordance with section 13 or 14 as in force before 1 July 1996; and</w:t>
      </w:r>
    </w:p>
    <w:p w14:paraId="34B9F0B4" w14:textId="77777777" w:rsidR="00312EEB" w:rsidRDefault="00312EEB">
      <w:pPr>
        <w:pStyle w:val="defaindent"/>
        <w:rPr>
          <w:color w:val="000000"/>
        </w:rPr>
      </w:pPr>
      <w:r>
        <w:rPr>
          <w:color w:val="000000"/>
        </w:rPr>
        <w:tab/>
        <w:t>(c)</w:t>
      </w:r>
      <w:r>
        <w:rPr>
          <w:color w:val="000000"/>
        </w:rPr>
        <w:tab/>
        <w:t>a former member of the first Assembly who elects to and does make a payment into the Territory bank account in accordance with section 13 or 14 as in force on and after that date;</w:t>
      </w:r>
    </w:p>
    <w:p w14:paraId="5C5406FA" w14:textId="77777777" w:rsidR="00312EEB" w:rsidRDefault="00312EEB">
      <w:pPr>
        <w:pStyle w:val="def"/>
        <w:rPr>
          <w:color w:val="000000"/>
        </w:rPr>
      </w:pPr>
      <w:r>
        <w:rPr>
          <w:color w:val="000000"/>
        </w:rPr>
        <w:t xml:space="preserve"> “discontinuance”, in relation to a member, occurs when that member’s term of office ends, whether by death, resignation, retirement on the grounds of invalidity, disqualification or expulsion, by dissolution of the Legislative Assembly or by operation of section 10 of the </w:t>
      </w:r>
      <w:r>
        <w:rPr>
          <w:i/>
          <w:iCs/>
          <w:color w:val="000000"/>
        </w:rPr>
        <w:t>Australian Capital Territory (Self</w:t>
      </w:r>
      <w:r>
        <w:rPr>
          <w:i/>
          <w:iCs/>
          <w:color w:val="000000"/>
        </w:rPr>
        <w:noBreakHyphen/>
        <w:t>Government) Act 1988</w:t>
      </w:r>
      <w:r>
        <w:rPr>
          <w:color w:val="000000"/>
        </w:rPr>
        <w:t xml:space="preserve"> of the Commonwealth, but does not occur when that member is re-elected to the Legislative Assembly—</w:t>
      </w:r>
    </w:p>
    <w:p w14:paraId="1E9C79A4" w14:textId="77777777" w:rsidR="00312EEB" w:rsidRDefault="00312EEB">
      <w:pPr>
        <w:pStyle w:val="defaindent"/>
        <w:spacing w:after="60"/>
        <w:rPr>
          <w:color w:val="000000"/>
        </w:rPr>
      </w:pPr>
      <w:r>
        <w:rPr>
          <w:color w:val="000000"/>
        </w:rPr>
        <w:tab/>
        <w:t>(a)</w:t>
      </w:r>
      <w:r>
        <w:rPr>
          <w:color w:val="000000"/>
        </w:rPr>
        <w:tab/>
        <w:t>at the first general election after dissolution of the Legislative Assembly; or</w:t>
      </w:r>
    </w:p>
    <w:p w14:paraId="73F353BA" w14:textId="77777777" w:rsidR="00312EEB" w:rsidRDefault="00312EEB">
      <w:pPr>
        <w:pStyle w:val="defaindent"/>
        <w:spacing w:after="60"/>
        <w:rPr>
          <w:color w:val="000000"/>
        </w:rPr>
      </w:pPr>
      <w:r>
        <w:rPr>
          <w:color w:val="000000"/>
        </w:rPr>
        <w:tab/>
        <w:t>(b)</w:t>
      </w:r>
      <w:r>
        <w:rPr>
          <w:color w:val="000000"/>
        </w:rPr>
        <w:tab/>
        <w:t>at the general election for which the polling day marks the end of the member’s term of office by operation of section 10 of that Act;</w:t>
      </w:r>
    </w:p>
    <w:p w14:paraId="58E00DE4" w14:textId="77777777" w:rsidR="00312EEB" w:rsidRDefault="00312EEB">
      <w:pPr>
        <w:pStyle w:val="def"/>
        <w:rPr>
          <w:color w:val="000000"/>
        </w:rPr>
      </w:pPr>
      <w:r>
        <w:rPr>
          <w:color w:val="000000"/>
        </w:rPr>
        <w:lastRenderedPageBreak/>
        <w:t>“general election” means a general election of members of the Legislative Assembly;</w:t>
      </w:r>
    </w:p>
    <w:p w14:paraId="2681BF78" w14:textId="77777777" w:rsidR="00312EEB" w:rsidRDefault="00312EEB">
      <w:pPr>
        <w:pStyle w:val="def"/>
        <w:rPr>
          <w:color w:val="000000"/>
        </w:rPr>
      </w:pPr>
      <w:r>
        <w:rPr>
          <w:color w:val="000000"/>
        </w:rPr>
        <w:t>“invalidity” means a permanent disability, being a disability—</w:t>
      </w:r>
    </w:p>
    <w:p w14:paraId="5A9B17B0" w14:textId="77777777" w:rsidR="00312EEB" w:rsidRDefault="00312EEB">
      <w:pPr>
        <w:pStyle w:val="defaindent"/>
        <w:spacing w:after="60"/>
        <w:rPr>
          <w:color w:val="000000"/>
        </w:rPr>
      </w:pPr>
      <w:r>
        <w:rPr>
          <w:color w:val="000000"/>
        </w:rPr>
        <w:tab/>
        <w:t>(a)</w:t>
      </w:r>
      <w:r>
        <w:rPr>
          <w:color w:val="000000"/>
        </w:rPr>
        <w:tab/>
        <w:t>which at least 2 registered medical practitioners certify; and</w:t>
      </w:r>
    </w:p>
    <w:p w14:paraId="0AE8A484" w14:textId="77777777" w:rsidR="00312EEB" w:rsidRDefault="00312EEB">
      <w:pPr>
        <w:pStyle w:val="defaindent"/>
        <w:spacing w:after="60"/>
        <w:rPr>
          <w:color w:val="000000"/>
        </w:rPr>
      </w:pPr>
      <w:r>
        <w:rPr>
          <w:color w:val="000000"/>
        </w:rPr>
        <w:tab/>
        <w:t>(b)</w:t>
      </w:r>
      <w:r>
        <w:rPr>
          <w:color w:val="000000"/>
        </w:rPr>
        <w:tab/>
        <w:t>which the Board determines;</w:t>
      </w:r>
    </w:p>
    <w:p w14:paraId="19FC0CCF" w14:textId="77777777" w:rsidR="00312EEB" w:rsidRDefault="00312EEB">
      <w:pPr>
        <w:pStyle w:val="halfout"/>
        <w:rPr>
          <w:color w:val="000000"/>
        </w:rPr>
      </w:pPr>
      <w:r>
        <w:rPr>
          <w:color w:val="000000"/>
        </w:rPr>
        <w:t>is likely to result in an inability ever to work in an occupation for which the member is reasonably qualified by education, training or experience;</w:t>
      </w:r>
    </w:p>
    <w:p w14:paraId="75842528" w14:textId="77777777" w:rsidR="00312EEB" w:rsidRDefault="00312EEB">
      <w:pPr>
        <w:pStyle w:val="def"/>
        <w:rPr>
          <w:color w:val="000000"/>
        </w:rPr>
      </w:pPr>
      <w:r>
        <w:rPr>
          <w:color w:val="000000"/>
        </w:rPr>
        <w:t>“member” means a member of the Legislative Assembly;</w:t>
      </w:r>
    </w:p>
    <w:p w14:paraId="69926611" w14:textId="77777777" w:rsidR="00312EEB" w:rsidRDefault="00312EEB">
      <w:pPr>
        <w:pStyle w:val="def"/>
        <w:rPr>
          <w:color w:val="000000"/>
        </w:rPr>
      </w:pPr>
      <w:r>
        <w:rPr>
          <w:color w:val="000000"/>
        </w:rPr>
        <w:t>“office holder” means a member who receives additional salary under the Remuneration Tribunal’s determination in relation to the Legislative Assembly;</w:t>
      </w:r>
    </w:p>
    <w:p w14:paraId="306281CE" w14:textId="77777777" w:rsidR="00312EEB" w:rsidRDefault="00312EEB">
      <w:pPr>
        <w:pStyle w:val="def"/>
        <w:rPr>
          <w:color w:val="000000"/>
        </w:rPr>
      </w:pPr>
      <w:r>
        <w:rPr>
          <w:color w:val="000000"/>
        </w:rPr>
        <w:t xml:space="preserve">“relevant period of service” means that period during which a person served as a member in consecutive terms but does not include a period of service in respect of which the person has received a superannuation benefit under this Act; </w:t>
      </w:r>
    </w:p>
    <w:p w14:paraId="4E1A7754" w14:textId="77777777" w:rsidR="00312EEB" w:rsidRDefault="00312EEB">
      <w:pPr>
        <w:pStyle w:val="def"/>
        <w:rPr>
          <w:color w:val="000000"/>
        </w:rPr>
      </w:pPr>
      <w:r>
        <w:rPr>
          <w:color w:val="000000"/>
        </w:rPr>
        <w:t>“superannuation fund” means a fund that—</w:t>
      </w:r>
    </w:p>
    <w:p w14:paraId="6860B3E5" w14:textId="77777777" w:rsidR="00312EEB" w:rsidRDefault="00312EEB">
      <w:pPr>
        <w:pStyle w:val="defaindent"/>
        <w:spacing w:after="60"/>
        <w:rPr>
          <w:color w:val="000000"/>
        </w:rPr>
      </w:pPr>
      <w:r>
        <w:rPr>
          <w:color w:val="000000"/>
        </w:rPr>
        <w:tab/>
        <w:t>(a)</w:t>
      </w:r>
      <w:r>
        <w:rPr>
          <w:color w:val="000000"/>
        </w:rPr>
        <w:tab/>
        <w:t>is an indefinitely continuing fund; and</w:t>
      </w:r>
    </w:p>
    <w:p w14:paraId="60E244FC" w14:textId="77777777" w:rsidR="00312EEB" w:rsidRDefault="00312EEB">
      <w:pPr>
        <w:pStyle w:val="defaindent"/>
        <w:spacing w:after="60"/>
        <w:rPr>
          <w:color w:val="000000"/>
        </w:rPr>
      </w:pPr>
      <w:r>
        <w:rPr>
          <w:color w:val="000000"/>
        </w:rPr>
        <w:tab/>
        <w:t>(b)</w:t>
      </w:r>
      <w:r>
        <w:rPr>
          <w:color w:val="000000"/>
        </w:rPr>
        <w:tab/>
        <w:t>is maintained solely for either or both of the following purposes:</w:t>
      </w:r>
    </w:p>
    <w:p w14:paraId="637D6DDB" w14:textId="77777777" w:rsidR="00312EEB" w:rsidRDefault="00312EEB">
      <w:pPr>
        <w:pStyle w:val="defiindent"/>
        <w:rPr>
          <w:color w:val="000000"/>
        </w:rPr>
      </w:pPr>
      <w:r>
        <w:rPr>
          <w:color w:val="000000"/>
        </w:rPr>
        <w:tab/>
        <w:t>(i)</w:t>
      </w:r>
      <w:r>
        <w:rPr>
          <w:color w:val="000000"/>
        </w:rPr>
        <w:tab/>
        <w:t>the provision of benefits for each member of the fund in the event of the retirement of the member from any business, trade, profession, vocation, calling, occupation or employment in which that member is engaged;</w:t>
      </w:r>
    </w:p>
    <w:p w14:paraId="5DEC637E" w14:textId="77777777" w:rsidR="00312EEB" w:rsidRDefault="00312EEB">
      <w:pPr>
        <w:pStyle w:val="defiindent"/>
        <w:rPr>
          <w:color w:val="000000"/>
        </w:rPr>
      </w:pPr>
      <w:r>
        <w:rPr>
          <w:color w:val="000000"/>
        </w:rPr>
        <w:tab/>
        <w:t>(ii)</w:t>
      </w:r>
      <w:r>
        <w:rPr>
          <w:color w:val="000000"/>
        </w:rPr>
        <w:tab/>
        <w:t>the provision of benefits for dependants of each member of the fund in the event of the death of that member;</w:t>
      </w:r>
    </w:p>
    <w:p w14:paraId="50B1B90E" w14:textId="77777777" w:rsidR="00312EEB" w:rsidRDefault="00312EEB">
      <w:pPr>
        <w:pStyle w:val="quarterout"/>
        <w:rPr>
          <w:color w:val="000000"/>
        </w:rPr>
      </w:pPr>
      <w:r>
        <w:rPr>
          <w:color w:val="000000"/>
        </w:rPr>
        <w:t xml:space="preserve">or for either or both of those purposes and for such ancillary purposes as the Insurance and Superannuation Commissioner under the </w:t>
      </w:r>
      <w:r>
        <w:rPr>
          <w:i/>
          <w:iCs/>
          <w:color w:val="000000"/>
        </w:rPr>
        <w:t>Insurance and Superannuation Commissioner Act 1987</w:t>
      </w:r>
      <w:r>
        <w:rPr>
          <w:color w:val="000000"/>
        </w:rPr>
        <w:t xml:space="preserve"> of the Commonwealth approves.</w:t>
      </w:r>
    </w:p>
    <w:p w14:paraId="4D153796" w14:textId="77777777" w:rsidR="00312EEB" w:rsidRDefault="00312EEB">
      <w:pPr>
        <w:pStyle w:val="Heading1"/>
        <w:rPr>
          <w:color w:val="000000"/>
        </w:rPr>
      </w:pPr>
      <w:r>
        <w:rPr>
          <w:color w:val="000000"/>
        </w:rPr>
        <w:lastRenderedPageBreak/>
        <w:t>PART II—LEGISLATIVE ASSEMBLY MEMBERS SUPERANNUATION BOARD</w:t>
      </w:r>
    </w:p>
    <w:p w14:paraId="420245BE" w14:textId="77777777" w:rsidR="00312EEB" w:rsidRDefault="00312EEB">
      <w:pPr>
        <w:pStyle w:val="Heading2"/>
        <w:rPr>
          <w:color w:val="000000"/>
        </w:rPr>
      </w:pPr>
      <w:r>
        <w:rPr>
          <w:color w:val="000000"/>
        </w:rPr>
        <w:t>Division 1—Establishment, functions and powers of the Board</w:t>
      </w:r>
    </w:p>
    <w:p w14:paraId="6C3A521A" w14:textId="77777777" w:rsidR="00312EEB" w:rsidRDefault="00312EEB">
      <w:pPr>
        <w:pStyle w:val="Heading3"/>
        <w:rPr>
          <w:color w:val="000000"/>
        </w:rPr>
      </w:pPr>
      <w:r>
        <w:rPr>
          <w:color w:val="000000"/>
        </w:rPr>
        <w:t>Establishment</w:t>
      </w:r>
    </w:p>
    <w:p w14:paraId="146CA59C" w14:textId="77777777" w:rsidR="00312EEB" w:rsidRDefault="00312EEB">
      <w:pPr>
        <w:pStyle w:val="allsections"/>
        <w:rPr>
          <w:color w:val="000000"/>
        </w:rPr>
      </w:pPr>
      <w:r>
        <w:rPr>
          <w:b/>
          <w:bCs/>
          <w:color w:val="000000"/>
        </w:rPr>
        <w:t xml:space="preserve">4.  </w:t>
      </w:r>
      <w:r>
        <w:rPr>
          <w:color w:val="000000"/>
        </w:rPr>
        <w:t>There shall be an Australian Capital Territory Legislative Assembly Members Superannuation Board.</w:t>
      </w:r>
    </w:p>
    <w:p w14:paraId="271A1662" w14:textId="02FAFF4A" w:rsidR="00312EEB" w:rsidRDefault="00312EEB">
      <w:pPr>
        <w:pStyle w:val="Heading3"/>
        <w:rPr>
          <w:color w:val="000000"/>
        </w:rPr>
      </w:pPr>
      <w:r>
        <w:rPr>
          <w:color w:val="000000"/>
        </w:rPr>
        <w:t>Functions</w:t>
      </w:r>
    </w:p>
    <w:p w14:paraId="2ED976BC" w14:textId="77777777" w:rsidR="00312EEB" w:rsidRDefault="00312EEB">
      <w:pPr>
        <w:pStyle w:val="allsections"/>
        <w:rPr>
          <w:color w:val="000000"/>
        </w:rPr>
      </w:pPr>
      <w:r>
        <w:rPr>
          <w:b/>
          <w:bCs/>
          <w:color w:val="000000"/>
        </w:rPr>
        <w:t xml:space="preserve">5.  (1)  </w:t>
      </w:r>
      <w:r>
        <w:rPr>
          <w:color w:val="000000"/>
        </w:rPr>
        <w:t>The Board shall be responsible for the administration of this Act.</w:t>
      </w:r>
    </w:p>
    <w:p w14:paraId="67ACC88F" w14:textId="77777777" w:rsidR="00312EEB" w:rsidRDefault="00312EEB">
      <w:pPr>
        <w:pStyle w:val="allsections"/>
        <w:rPr>
          <w:color w:val="000000"/>
        </w:rPr>
      </w:pPr>
      <w:r>
        <w:rPr>
          <w:b/>
          <w:bCs/>
          <w:color w:val="000000"/>
        </w:rPr>
        <w:t xml:space="preserve">(2)  </w:t>
      </w:r>
      <w:r>
        <w:rPr>
          <w:color w:val="000000"/>
        </w:rPr>
        <w:t>Without limiting the generality of subsection (1), the Board shall be responsible for—</w:t>
      </w:r>
    </w:p>
    <w:p w14:paraId="6A9713FA" w14:textId="77777777" w:rsidR="00312EEB" w:rsidRDefault="00312EEB">
      <w:pPr>
        <w:pStyle w:val="aindent"/>
        <w:rPr>
          <w:color w:val="000000"/>
        </w:rPr>
      </w:pPr>
      <w:r>
        <w:rPr>
          <w:color w:val="000000"/>
        </w:rPr>
        <w:tab/>
        <w:t>(a)</w:t>
      </w:r>
      <w:r>
        <w:rPr>
          <w:color w:val="000000"/>
        </w:rPr>
        <w:tab/>
        <w:t>determining entitlements in accordance with this Act; and</w:t>
      </w:r>
    </w:p>
    <w:p w14:paraId="40E64B97" w14:textId="77777777" w:rsidR="00312EEB" w:rsidRDefault="00312EEB">
      <w:pPr>
        <w:pStyle w:val="aindent"/>
        <w:rPr>
          <w:color w:val="000000"/>
        </w:rPr>
      </w:pPr>
      <w:r>
        <w:rPr>
          <w:color w:val="000000"/>
        </w:rPr>
        <w:tab/>
        <w:t>(b)</w:t>
      </w:r>
      <w:r>
        <w:rPr>
          <w:color w:val="000000"/>
        </w:rPr>
        <w:tab/>
        <w:t>determining applications for retirement on the grounds of invalidity.</w:t>
      </w:r>
    </w:p>
    <w:p w14:paraId="5DEEBDAA" w14:textId="77777777" w:rsidR="00312EEB" w:rsidRDefault="00312EEB">
      <w:pPr>
        <w:pStyle w:val="Heading3"/>
        <w:rPr>
          <w:color w:val="000000"/>
        </w:rPr>
      </w:pPr>
      <w:r>
        <w:rPr>
          <w:color w:val="000000"/>
        </w:rPr>
        <w:t>Powers</w:t>
      </w:r>
    </w:p>
    <w:p w14:paraId="2AEF0C7C" w14:textId="77777777" w:rsidR="00312EEB" w:rsidRDefault="00312EEB">
      <w:pPr>
        <w:pStyle w:val="allsections"/>
        <w:rPr>
          <w:color w:val="000000"/>
        </w:rPr>
      </w:pPr>
      <w:r>
        <w:rPr>
          <w:b/>
          <w:bCs/>
          <w:color w:val="000000"/>
        </w:rPr>
        <w:t xml:space="preserve">6.  </w:t>
      </w:r>
      <w:r>
        <w:rPr>
          <w:color w:val="000000"/>
        </w:rPr>
        <w:t>The Board has power to do all things necessary or convenient to be done for or in connection with the performance of its functions.</w:t>
      </w:r>
    </w:p>
    <w:p w14:paraId="2FBEAFD7" w14:textId="77777777" w:rsidR="00312EEB" w:rsidRDefault="00312EEB">
      <w:pPr>
        <w:pStyle w:val="Heading2"/>
        <w:rPr>
          <w:color w:val="000000"/>
        </w:rPr>
      </w:pPr>
      <w:r>
        <w:rPr>
          <w:color w:val="000000"/>
        </w:rPr>
        <w:t>Division 2—Constitution and meetings</w:t>
      </w:r>
    </w:p>
    <w:p w14:paraId="416C86D3" w14:textId="77777777" w:rsidR="00312EEB" w:rsidRDefault="00312EEB">
      <w:pPr>
        <w:pStyle w:val="Heading3"/>
        <w:rPr>
          <w:color w:val="000000"/>
        </w:rPr>
      </w:pPr>
      <w:r>
        <w:rPr>
          <w:color w:val="000000"/>
        </w:rPr>
        <w:t>Constitution</w:t>
      </w:r>
    </w:p>
    <w:p w14:paraId="7B7D1D92" w14:textId="77777777" w:rsidR="00312EEB" w:rsidRDefault="00312EEB">
      <w:pPr>
        <w:pStyle w:val="allsections"/>
        <w:rPr>
          <w:color w:val="000000"/>
        </w:rPr>
      </w:pPr>
      <w:r>
        <w:rPr>
          <w:b/>
          <w:bCs/>
          <w:color w:val="000000"/>
        </w:rPr>
        <w:t xml:space="preserve">7.  (1)  </w:t>
      </w:r>
      <w:r>
        <w:rPr>
          <w:color w:val="000000"/>
        </w:rPr>
        <w:t>The Board is constituted by 4 persons, being—</w:t>
      </w:r>
    </w:p>
    <w:p w14:paraId="09E470D7" w14:textId="77777777" w:rsidR="00312EEB" w:rsidRDefault="00312EEB">
      <w:pPr>
        <w:pStyle w:val="aindent"/>
        <w:rPr>
          <w:color w:val="000000"/>
        </w:rPr>
      </w:pPr>
      <w:r>
        <w:rPr>
          <w:color w:val="000000"/>
        </w:rPr>
        <w:tab/>
        <w:t>(a)</w:t>
      </w:r>
      <w:r>
        <w:rPr>
          <w:color w:val="000000"/>
        </w:rPr>
        <w:tab/>
        <w:t>the Speaker of the Legislative Assembly or, in the absence of the Speaker, the Deputy Speaker;</w:t>
      </w:r>
    </w:p>
    <w:p w14:paraId="1BC992E4" w14:textId="77777777" w:rsidR="00312EEB" w:rsidRDefault="00312EEB">
      <w:pPr>
        <w:pStyle w:val="aindent"/>
        <w:rPr>
          <w:color w:val="000000"/>
        </w:rPr>
      </w:pPr>
      <w:r>
        <w:rPr>
          <w:color w:val="000000"/>
        </w:rPr>
        <w:tab/>
        <w:t>(b)</w:t>
      </w:r>
      <w:r>
        <w:rPr>
          <w:color w:val="000000"/>
        </w:rPr>
        <w:tab/>
        <w:t xml:space="preserve">a Government member elected in accordance with the relevant procedures at a meeting, convened by the Speaker, of Government members or an alternate Government member elected in accordance with the relevant procedures at a meeting, convened by the Speaker, of Government members; </w:t>
      </w:r>
    </w:p>
    <w:p w14:paraId="1F1503CE" w14:textId="77777777" w:rsidR="00312EEB" w:rsidRDefault="00312EEB" w:rsidP="00186288">
      <w:pPr>
        <w:pStyle w:val="aindent"/>
        <w:keepLines/>
        <w:ind w:left="902" w:hanging="902"/>
        <w:rPr>
          <w:color w:val="000000"/>
        </w:rPr>
      </w:pPr>
      <w:r>
        <w:rPr>
          <w:color w:val="000000"/>
        </w:rPr>
        <w:lastRenderedPageBreak/>
        <w:tab/>
        <w:t>(c)</w:t>
      </w:r>
      <w:r>
        <w:rPr>
          <w:color w:val="000000"/>
        </w:rPr>
        <w:tab/>
        <w:t>an Opposition member elected in accordance with the relevant procedures at a meeting, convened by the Speaker, of Opposition members or an alternate Opposition member elected in accordance with the relevant procedures at a meeting, convened by the Speaker, of Opposition members; and</w:t>
      </w:r>
    </w:p>
    <w:p w14:paraId="043FBA8D" w14:textId="77777777" w:rsidR="00312EEB" w:rsidRDefault="00312EEB">
      <w:pPr>
        <w:pStyle w:val="aindent"/>
        <w:rPr>
          <w:color w:val="000000"/>
        </w:rPr>
      </w:pPr>
      <w:r>
        <w:rPr>
          <w:color w:val="000000"/>
        </w:rPr>
        <w:tab/>
        <w:t>(d)</w:t>
      </w:r>
      <w:r>
        <w:rPr>
          <w:color w:val="000000"/>
        </w:rPr>
        <w:tab/>
        <w:t>the Under Treasurer.</w:t>
      </w:r>
    </w:p>
    <w:p w14:paraId="1BE455FE" w14:textId="77777777" w:rsidR="00312EEB" w:rsidRDefault="00312EEB">
      <w:pPr>
        <w:pStyle w:val="allsections"/>
        <w:rPr>
          <w:color w:val="000000"/>
        </w:rPr>
      </w:pPr>
      <w:r>
        <w:rPr>
          <w:b/>
          <w:bCs/>
          <w:color w:val="000000"/>
        </w:rPr>
        <w:t xml:space="preserve">(2) </w:t>
      </w:r>
      <w:r>
        <w:rPr>
          <w:color w:val="000000"/>
        </w:rPr>
        <w:t xml:space="preserve"> In this section—</w:t>
      </w:r>
    </w:p>
    <w:p w14:paraId="21C3AF8B" w14:textId="77777777" w:rsidR="00312EEB" w:rsidRDefault="00312EEB">
      <w:pPr>
        <w:pStyle w:val="def"/>
        <w:rPr>
          <w:color w:val="000000"/>
        </w:rPr>
      </w:pPr>
      <w:r>
        <w:rPr>
          <w:color w:val="000000"/>
        </w:rPr>
        <w:t>“Government member” means a member of the Executive or a member who belongs to a party, or is associated with a group of members, represented on the Executive;</w:t>
      </w:r>
    </w:p>
    <w:p w14:paraId="6B3218CC" w14:textId="77777777" w:rsidR="00312EEB" w:rsidRDefault="00312EEB">
      <w:pPr>
        <w:pStyle w:val="def"/>
        <w:rPr>
          <w:color w:val="000000"/>
        </w:rPr>
      </w:pPr>
      <w:r>
        <w:rPr>
          <w:color w:val="000000"/>
        </w:rPr>
        <w:t>“Opposition member” means a member who is not a Government member;</w:t>
      </w:r>
    </w:p>
    <w:p w14:paraId="7BEE37E0" w14:textId="77777777" w:rsidR="00312EEB" w:rsidRDefault="00312EEB">
      <w:pPr>
        <w:pStyle w:val="def"/>
        <w:rPr>
          <w:color w:val="000000"/>
        </w:rPr>
      </w:pPr>
      <w:r>
        <w:rPr>
          <w:color w:val="000000"/>
        </w:rPr>
        <w:t>“relevant procedures” means the procedures laid down in the Standing Orders of the Legislative Assembly for the election of the Speaker.</w:t>
      </w:r>
    </w:p>
    <w:p w14:paraId="7CE2909F" w14:textId="77777777" w:rsidR="00312EEB" w:rsidRDefault="00312EEB">
      <w:pPr>
        <w:pStyle w:val="allsections"/>
        <w:rPr>
          <w:color w:val="000000"/>
        </w:rPr>
      </w:pPr>
      <w:r>
        <w:rPr>
          <w:b/>
          <w:bCs/>
          <w:color w:val="000000"/>
        </w:rPr>
        <w:t xml:space="preserve">(3)  </w:t>
      </w:r>
      <w:r>
        <w:rPr>
          <w:color w:val="000000"/>
        </w:rPr>
        <w:t>The performance of the functions or the exercise of the powers of the Board is not affected by reason only of a vacancy in the membership of the Board.</w:t>
      </w:r>
    </w:p>
    <w:p w14:paraId="1AD31488" w14:textId="77777777" w:rsidR="00312EEB" w:rsidRDefault="00312EEB">
      <w:pPr>
        <w:pStyle w:val="Heading3"/>
        <w:rPr>
          <w:color w:val="000000"/>
        </w:rPr>
      </w:pPr>
      <w:r>
        <w:rPr>
          <w:color w:val="000000"/>
        </w:rPr>
        <w:t>Chairperson</w:t>
      </w:r>
    </w:p>
    <w:p w14:paraId="2EC7671F" w14:textId="77777777" w:rsidR="00312EEB" w:rsidRDefault="00312EEB">
      <w:pPr>
        <w:pStyle w:val="allsections"/>
        <w:rPr>
          <w:color w:val="000000"/>
        </w:rPr>
      </w:pPr>
      <w:r>
        <w:rPr>
          <w:b/>
          <w:bCs/>
          <w:color w:val="000000"/>
        </w:rPr>
        <w:t xml:space="preserve">8.  </w:t>
      </w:r>
      <w:r>
        <w:rPr>
          <w:color w:val="000000"/>
        </w:rPr>
        <w:t>The Speaker or, where applicable, the Deputy Speaker of the Legislative Assembly shall be the Chairperson of the Board.</w:t>
      </w:r>
    </w:p>
    <w:p w14:paraId="32CBCF34" w14:textId="77777777" w:rsidR="00312EEB" w:rsidRDefault="00312EEB">
      <w:pPr>
        <w:pStyle w:val="allsections"/>
        <w:rPr>
          <w:color w:val="000000"/>
        </w:rPr>
      </w:pPr>
    </w:p>
    <w:p w14:paraId="4FD8C78B" w14:textId="77777777" w:rsidR="00312EEB" w:rsidRDefault="00312EEB">
      <w:pPr>
        <w:pStyle w:val="Heading3"/>
        <w:spacing w:before="0"/>
        <w:rPr>
          <w:color w:val="000000"/>
        </w:rPr>
      </w:pPr>
      <w:r>
        <w:rPr>
          <w:color w:val="000000"/>
        </w:rPr>
        <w:t>Secretary</w:t>
      </w:r>
    </w:p>
    <w:p w14:paraId="4A6C0E8A" w14:textId="77777777" w:rsidR="00312EEB" w:rsidRDefault="00312EEB">
      <w:pPr>
        <w:pStyle w:val="allsections"/>
        <w:rPr>
          <w:color w:val="000000"/>
        </w:rPr>
      </w:pPr>
      <w:r>
        <w:rPr>
          <w:b/>
          <w:bCs/>
          <w:color w:val="000000"/>
        </w:rPr>
        <w:t>9.</w:t>
      </w:r>
      <w:r>
        <w:rPr>
          <w:color w:val="000000"/>
        </w:rPr>
        <w:t xml:space="preserve">  The Under Treasurer shall be Secretary of the Board.</w:t>
      </w:r>
    </w:p>
    <w:p w14:paraId="2E76A551" w14:textId="77777777" w:rsidR="00312EEB" w:rsidRDefault="00312EEB">
      <w:pPr>
        <w:pStyle w:val="Heading3"/>
        <w:spacing w:before="100"/>
        <w:rPr>
          <w:color w:val="000000"/>
        </w:rPr>
      </w:pPr>
      <w:r>
        <w:rPr>
          <w:color w:val="000000"/>
        </w:rPr>
        <w:t>Meetings</w:t>
      </w:r>
    </w:p>
    <w:p w14:paraId="18B0DE75" w14:textId="77777777" w:rsidR="00312EEB" w:rsidRDefault="00312EEB">
      <w:pPr>
        <w:pStyle w:val="allsections"/>
        <w:rPr>
          <w:color w:val="000000"/>
        </w:rPr>
      </w:pPr>
      <w:r>
        <w:rPr>
          <w:b/>
          <w:bCs/>
          <w:color w:val="000000"/>
        </w:rPr>
        <w:t xml:space="preserve">10.  (1)  </w:t>
      </w:r>
      <w:r>
        <w:rPr>
          <w:color w:val="000000"/>
        </w:rPr>
        <w:t>The Chairperson shall convene a meeting of the Board—</w:t>
      </w:r>
    </w:p>
    <w:p w14:paraId="5452F3A9" w14:textId="77777777" w:rsidR="00312EEB" w:rsidRDefault="00312EEB">
      <w:pPr>
        <w:pStyle w:val="aindent"/>
        <w:rPr>
          <w:color w:val="000000"/>
        </w:rPr>
      </w:pPr>
      <w:r>
        <w:rPr>
          <w:color w:val="000000"/>
        </w:rPr>
        <w:tab/>
        <w:t>(a)</w:t>
      </w:r>
      <w:r>
        <w:rPr>
          <w:color w:val="000000"/>
        </w:rPr>
        <w:tab/>
        <w:t>whenever the Chairperson considers necessary for the efficient performance of its functions; and</w:t>
      </w:r>
    </w:p>
    <w:p w14:paraId="0D5A8D57" w14:textId="77777777" w:rsidR="00312EEB" w:rsidRDefault="00312EEB">
      <w:pPr>
        <w:pStyle w:val="aindent"/>
        <w:rPr>
          <w:color w:val="000000"/>
        </w:rPr>
      </w:pPr>
      <w:r>
        <w:rPr>
          <w:color w:val="000000"/>
        </w:rPr>
        <w:tab/>
        <w:t>(b)</w:t>
      </w:r>
      <w:r>
        <w:rPr>
          <w:color w:val="000000"/>
        </w:rPr>
        <w:tab/>
        <w:t>upon the written request of any member.</w:t>
      </w:r>
    </w:p>
    <w:p w14:paraId="65ECE824" w14:textId="77777777" w:rsidR="00312EEB" w:rsidRDefault="00312EEB" w:rsidP="00186288">
      <w:pPr>
        <w:pStyle w:val="allsections"/>
        <w:keepNext/>
        <w:ind w:firstLine="403"/>
        <w:rPr>
          <w:color w:val="000000"/>
        </w:rPr>
      </w:pPr>
      <w:r>
        <w:rPr>
          <w:b/>
          <w:bCs/>
          <w:color w:val="000000"/>
        </w:rPr>
        <w:lastRenderedPageBreak/>
        <w:t xml:space="preserve">(2)  </w:t>
      </w:r>
      <w:r>
        <w:rPr>
          <w:color w:val="000000"/>
        </w:rPr>
        <w:t>Where the Chairperson proposes to convene a meeting of the Board, he or she shall, not later than 5 days before the date of the proposed meeting, give each member of the Board a notice in writing specifying—</w:t>
      </w:r>
    </w:p>
    <w:p w14:paraId="4C92AD5B" w14:textId="77777777" w:rsidR="00312EEB" w:rsidRDefault="00312EEB">
      <w:pPr>
        <w:pStyle w:val="aindent"/>
        <w:rPr>
          <w:color w:val="000000"/>
        </w:rPr>
      </w:pPr>
      <w:r>
        <w:rPr>
          <w:color w:val="000000"/>
        </w:rPr>
        <w:tab/>
        <w:t>(a)</w:t>
      </w:r>
      <w:r>
        <w:rPr>
          <w:color w:val="000000"/>
        </w:rPr>
        <w:tab/>
        <w:t>the date, time and place of the meeting; and</w:t>
      </w:r>
    </w:p>
    <w:p w14:paraId="321154B3" w14:textId="77777777" w:rsidR="00312EEB" w:rsidRDefault="00312EEB">
      <w:pPr>
        <w:pStyle w:val="aindent"/>
        <w:rPr>
          <w:color w:val="000000"/>
        </w:rPr>
      </w:pPr>
      <w:r>
        <w:rPr>
          <w:color w:val="000000"/>
        </w:rPr>
        <w:tab/>
        <w:t>(b)</w:t>
      </w:r>
      <w:r>
        <w:rPr>
          <w:color w:val="000000"/>
        </w:rPr>
        <w:tab/>
        <w:t>the matters to be considered at the meeting.</w:t>
      </w:r>
    </w:p>
    <w:p w14:paraId="5DEB2C4B" w14:textId="77777777" w:rsidR="00312EEB" w:rsidRDefault="00312EEB">
      <w:pPr>
        <w:pStyle w:val="Heading3"/>
        <w:spacing w:before="120"/>
        <w:rPr>
          <w:color w:val="000000"/>
        </w:rPr>
      </w:pPr>
      <w:r>
        <w:rPr>
          <w:color w:val="000000"/>
        </w:rPr>
        <w:t>Procedure at meetings</w:t>
      </w:r>
    </w:p>
    <w:p w14:paraId="220F2E36" w14:textId="77777777" w:rsidR="00312EEB" w:rsidRDefault="00312EEB">
      <w:pPr>
        <w:pStyle w:val="allsections"/>
        <w:rPr>
          <w:color w:val="000000"/>
        </w:rPr>
      </w:pPr>
      <w:r>
        <w:rPr>
          <w:b/>
          <w:bCs/>
          <w:color w:val="000000"/>
        </w:rPr>
        <w:t xml:space="preserve">11.  (1)  </w:t>
      </w:r>
      <w:r>
        <w:rPr>
          <w:color w:val="000000"/>
        </w:rPr>
        <w:t>The Chairperson shall preside at all meetings of the Board at which he or she is present.</w:t>
      </w:r>
    </w:p>
    <w:p w14:paraId="3B6C95D9" w14:textId="77777777" w:rsidR="00312EEB" w:rsidRDefault="00312EEB">
      <w:pPr>
        <w:pStyle w:val="allsections"/>
        <w:rPr>
          <w:color w:val="000000"/>
        </w:rPr>
      </w:pPr>
      <w:r>
        <w:rPr>
          <w:b/>
          <w:bCs/>
          <w:color w:val="000000"/>
        </w:rPr>
        <w:t xml:space="preserve">(2) </w:t>
      </w:r>
      <w:r>
        <w:rPr>
          <w:color w:val="000000"/>
        </w:rPr>
        <w:t xml:space="preserve"> Where the Chairperson is absent from a meeting a member of the Board chosen by those present shall preside at the meeting.</w:t>
      </w:r>
    </w:p>
    <w:p w14:paraId="4FBD8391" w14:textId="77777777" w:rsidR="00312EEB" w:rsidRDefault="00312EEB">
      <w:pPr>
        <w:pStyle w:val="allsections"/>
        <w:rPr>
          <w:color w:val="000000"/>
        </w:rPr>
      </w:pPr>
      <w:r>
        <w:rPr>
          <w:b/>
          <w:bCs/>
          <w:color w:val="000000"/>
        </w:rPr>
        <w:t xml:space="preserve">(3)  </w:t>
      </w:r>
      <w:r>
        <w:rPr>
          <w:color w:val="000000"/>
        </w:rPr>
        <w:t>The member of the Board presiding at a meeting may give directions regarding the procedure to be followed at the meeting.</w:t>
      </w:r>
    </w:p>
    <w:p w14:paraId="346D346F" w14:textId="77777777" w:rsidR="00312EEB" w:rsidRDefault="00312EEB">
      <w:pPr>
        <w:pStyle w:val="allsections"/>
        <w:rPr>
          <w:color w:val="000000"/>
        </w:rPr>
      </w:pPr>
      <w:r>
        <w:rPr>
          <w:b/>
          <w:bCs/>
          <w:color w:val="000000"/>
        </w:rPr>
        <w:t xml:space="preserve">(4) </w:t>
      </w:r>
      <w:r>
        <w:rPr>
          <w:color w:val="000000"/>
        </w:rPr>
        <w:t xml:space="preserve"> At  a meeting, 3 members of the Board constitute a quorum.</w:t>
      </w:r>
    </w:p>
    <w:p w14:paraId="5C81493C" w14:textId="77777777" w:rsidR="00312EEB" w:rsidRDefault="00312EEB">
      <w:pPr>
        <w:pStyle w:val="allsections"/>
        <w:rPr>
          <w:color w:val="000000"/>
        </w:rPr>
      </w:pPr>
      <w:r>
        <w:rPr>
          <w:b/>
          <w:bCs/>
          <w:caps/>
          <w:color w:val="000000"/>
        </w:rPr>
        <w:t xml:space="preserve">(5) </w:t>
      </w:r>
      <w:r>
        <w:rPr>
          <w:caps/>
          <w:color w:val="000000"/>
        </w:rPr>
        <w:t xml:space="preserve"> Q</w:t>
      </w:r>
      <w:r>
        <w:rPr>
          <w:color w:val="000000"/>
        </w:rPr>
        <w:t>uestions arising at a meeting shall be decided by a majority of the votes of the members of the Board present and voting.</w:t>
      </w:r>
    </w:p>
    <w:p w14:paraId="66E36480" w14:textId="77777777" w:rsidR="00312EEB" w:rsidRDefault="00312EEB">
      <w:pPr>
        <w:pStyle w:val="allsections"/>
        <w:rPr>
          <w:color w:val="000000"/>
        </w:rPr>
      </w:pPr>
      <w:r>
        <w:rPr>
          <w:b/>
          <w:bCs/>
          <w:color w:val="000000"/>
        </w:rPr>
        <w:t xml:space="preserve">(6)  </w:t>
      </w:r>
      <w:r>
        <w:rPr>
          <w:color w:val="000000"/>
        </w:rPr>
        <w:t>The presiding member has a deliberative vote and, in the event of an equality of votes, a casting vote.</w:t>
      </w:r>
    </w:p>
    <w:p w14:paraId="3C937D4F" w14:textId="77777777" w:rsidR="00312EEB" w:rsidRDefault="00312EEB">
      <w:pPr>
        <w:pStyle w:val="allsections"/>
        <w:rPr>
          <w:caps/>
          <w:color w:val="000000"/>
        </w:rPr>
      </w:pPr>
      <w:r>
        <w:rPr>
          <w:b/>
          <w:bCs/>
          <w:color w:val="000000"/>
        </w:rPr>
        <w:t xml:space="preserve">(7)  </w:t>
      </w:r>
      <w:r>
        <w:rPr>
          <w:color w:val="000000"/>
        </w:rPr>
        <w:t>The Board shall keep minutes of its proceedings.</w:t>
      </w:r>
    </w:p>
    <w:p w14:paraId="013B0E61" w14:textId="77777777" w:rsidR="00312EEB" w:rsidRDefault="00312EEB">
      <w:pPr>
        <w:pStyle w:val="Heading1"/>
        <w:rPr>
          <w:color w:val="000000"/>
        </w:rPr>
      </w:pPr>
      <w:r>
        <w:rPr>
          <w:color w:val="000000"/>
        </w:rPr>
        <w:br w:type="page"/>
      </w:r>
      <w:r>
        <w:rPr>
          <w:color w:val="000000"/>
        </w:rPr>
        <w:lastRenderedPageBreak/>
        <w:t>PART III—ENTITLEMENTS OF MEMBERS</w:t>
      </w:r>
    </w:p>
    <w:p w14:paraId="51A34813" w14:textId="77777777" w:rsidR="00312EEB" w:rsidRDefault="00312EEB">
      <w:pPr>
        <w:pStyle w:val="Heading3"/>
        <w:rPr>
          <w:color w:val="000000"/>
        </w:rPr>
      </w:pPr>
      <w:r>
        <w:rPr>
          <w:color w:val="000000"/>
        </w:rPr>
        <w:t>Eligibility</w:t>
      </w:r>
    </w:p>
    <w:p w14:paraId="0010DA86" w14:textId="77777777" w:rsidR="00312EEB" w:rsidRDefault="00312EEB">
      <w:pPr>
        <w:pStyle w:val="allsections"/>
        <w:rPr>
          <w:color w:val="000000"/>
        </w:rPr>
      </w:pPr>
      <w:r>
        <w:rPr>
          <w:b/>
          <w:bCs/>
          <w:color w:val="000000"/>
        </w:rPr>
        <w:t xml:space="preserve">12.  </w:t>
      </w:r>
      <w:r>
        <w:rPr>
          <w:color w:val="000000"/>
        </w:rPr>
        <w:t>Any person who holds or has held office as a member is eligible upon his or her discontinuance to receive benefits under this Act in respect of that period during which he or she was a contributing member.</w:t>
      </w:r>
    </w:p>
    <w:p w14:paraId="219BE88D" w14:textId="77777777" w:rsidR="00312EEB" w:rsidRDefault="00312EEB">
      <w:pPr>
        <w:pStyle w:val="Heading3"/>
        <w:rPr>
          <w:color w:val="000000"/>
        </w:rPr>
      </w:pPr>
      <w:r>
        <w:rPr>
          <w:color w:val="000000"/>
        </w:rPr>
        <w:t>Members’ contributions</w:t>
      </w:r>
    </w:p>
    <w:p w14:paraId="75352098" w14:textId="77777777" w:rsidR="00312EEB" w:rsidRDefault="00312EEB">
      <w:pPr>
        <w:pStyle w:val="allsections"/>
        <w:rPr>
          <w:color w:val="000000"/>
        </w:rPr>
      </w:pPr>
      <w:r>
        <w:rPr>
          <w:b/>
          <w:bCs/>
          <w:color w:val="000000"/>
        </w:rPr>
        <w:t>13.  (1)</w:t>
      </w:r>
      <w:r>
        <w:rPr>
          <w:color w:val="000000"/>
        </w:rPr>
        <w:t xml:space="preserve">  A contributing member shall pay 5% of his or her salary, including additional salary but not including allowances, into the Territory bank account in respect of superannuation benefits.</w:t>
      </w:r>
    </w:p>
    <w:p w14:paraId="1230579D" w14:textId="77777777" w:rsidR="00312EEB" w:rsidRDefault="00312EEB">
      <w:pPr>
        <w:pStyle w:val="allsections"/>
        <w:rPr>
          <w:color w:val="000000"/>
        </w:rPr>
      </w:pPr>
      <w:r>
        <w:rPr>
          <w:b/>
          <w:bCs/>
          <w:color w:val="000000"/>
        </w:rPr>
        <w:t xml:space="preserve">(2)  </w:t>
      </w:r>
      <w:r>
        <w:rPr>
          <w:color w:val="000000"/>
        </w:rPr>
        <w:t>A member of the first Assembly who, within 30 days after the commencement  of  this section, elects to become a contributing member may elect to do so—</w:t>
      </w:r>
    </w:p>
    <w:p w14:paraId="639DE731" w14:textId="77777777" w:rsidR="00312EEB" w:rsidRDefault="00312EEB">
      <w:pPr>
        <w:pStyle w:val="aindent"/>
        <w:rPr>
          <w:color w:val="000000"/>
        </w:rPr>
      </w:pPr>
      <w:r>
        <w:rPr>
          <w:color w:val="000000"/>
        </w:rPr>
        <w:tab/>
        <w:t>(a)</w:t>
      </w:r>
      <w:r>
        <w:rPr>
          <w:color w:val="000000"/>
        </w:rPr>
        <w:tab/>
        <w:t>as from the day of commencement of this Act;</w:t>
      </w:r>
    </w:p>
    <w:p w14:paraId="3BBB35BE" w14:textId="77777777" w:rsidR="00312EEB" w:rsidRDefault="00312EEB">
      <w:pPr>
        <w:pStyle w:val="aindent"/>
        <w:rPr>
          <w:color w:val="000000"/>
        </w:rPr>
      </w:pPr>
      <w:r>
        <w:rPr>
          <w:color w:val="000000"/>
        </w:rPr>
        <w:tab/>
        <w:t>(b)</w:t>
      </w:r>
      <w:r>
        <w:rPr>
          <w:color w:val="000000"/>
        </w:rPr>
        <w:tab/>
        <w:t xml:space="preserve">as from the day on which that member’s term of office began; or </w:t>
      </w:r>
    </w:p>
    <w:p w14:paraId="180985EE" w14:textId="77777777" w:rsidR="00312EEB" w:rsidRDefault="00312EEB">
      <w:pPr>
        <w:pStyle w:val="aindent"/>
        <w:rPr>
          <w:color w:val="000000"/>
        </w:rPr>
      </w:pPr>
      <w:r>
        <w:rPr>
          <w:color w:val="000000"/>
        </w:rPr>
        <w:tab/>
        <w:t>(c)</w:t>
      </w:r>
      <w:r>
        <w:rPr>
          <w:color w:val="000000"/>
        </w:rPr>
        <w:tab/>
        <w:t>as from the day on which he or she so elects.</w:t>
      </w:r>
    </w:p>
    <w:p w14:paraId="4063AF03" w14:textId="77777777" w:rsidR="00312EEB" w:rsidRDefault="00312EEB">
      <w:pPr>
        <w:pStyle w:val="allsections"/>
        <w:rPr>
          <w:color w:val="000000"/>
        </w:rPr>
      </w:pPr>
      <w:r>
        <w:rPr>
          <w:b/>
          <w:bCs/>
          <w:color w:val="000000"/>
        </w:rPr>
        <w:t xml:space="preserve">(3) </w:t>
      </w:r>
      <w:r>
        <w:rPr>
          <w:color w:val="000000"/>
        </w:rPr>
        <w:t xml:space="preserve"> Where a member elects to contribute in accordance with paragraph (2) (a) or (b) that member shall,</w:t>
      </w:r>
      <w:r>
        <w:rPr>
          <w:b/>
          <w:bCs/>
          <w:color w:val="000000"/>
        </w:rPr>
        <w:t xml:space="preserve"> </w:t>
      </w:r>
      <w:r>
        <w:rPr>
          <w:color w:val="000000"/>
        </w:rPr>
        <w:t>within 30 days after so electing or within such further period as the Board in writing allows, pay into the Territory bank account 5% of the salary, including additional salary but not including allowances, he or she received as a member from the day as from which he or she became a contributing member until the day on which he or she so elects.</w:t>
      </w:r>
    </w:p>
    <w:p w14:paraId="4B3DDEBB" w14:textId="77777777" w:rsidR="00312EEB" w:rsidRDefault="00312EEB">
      <w:pPr>
        <w:pStyle w:val="allsections"/>
        <w:rPr>
          <w:color w:val="000000"/>
        </w:rPr>
      </w:pPr>
      <w:r>
        <w:rPr>
          <w:b/>
          <w:bCs/>
          <w:color w:val="000000"/>
        </w:rPr>
        <w:t xml:space="preserve">(4)  </w:t>
      </w:r>
      <w:r>
        <w:rPr>
          <w:color w:val="000000"/>
        </w:rPr>
        <w:t>An election under subsection (2) shall be notified to the Secretary of the Board in writing.</w:t>
      </w:r>
    </w:p>
    <w:p w14:paraId="1F968134" w14:textId="77777777" w:rsidR="00312EEB" w:rsidRDefault="00312EEB">
      <w:pPr>
        <w:pStyle w:val="allsections"/>
        <w:rPr>
          <w:color w:val="000000"/>
        </w:rPr>
      </w:pPr>
      <w:r>
        <w:rPr>
          <w:b/>
          <w:bCs/>
          <w:color w:val="000000"/>
        </w:rPr>
        <w:t xml:space="preserve">(5) </w:t>
      </w:r>
      <w:r>
        <w:rPr>
          <w:color w:val="000000"/>
        </w:rPr>
        <w:t xml:space="preserve"> A member of the first Assembly who, more than 30 days after the commencement of this section, elects to contribute in accordance with subsection (1) shall contribute in respect of the period commencing on the day on which he or she so elects.</w:t>
      </w:r>
    </w:p>
    <w:p w14:paraId="6BE7767D" w14:textId="77777777" w:rsidR="00312EEB" w:rsidRDefault="00312EEB" w:rsidP="00186288">
      <w:pPr>
        <w:pStyle w:val="Heading3"/>
        <w:keepNext/>
        <w:rPr>
          <w:color w:val="000000"/>
        </w:rPr>
      </w:pPr>
      <w:r>
        <w:rPr>
          <w:color w:val="000000"/>
        </w:rPr>
        <w:lastRenderedPageBreak/>
        <w:t>Entitlements of former members</w:t>
      </w:r>
    </w:p>
    <w:p w14:paraId="29B98802" w14:textId="77777777" w:rsidR="00312EEB" w:rsidRDefault="00312EEB" w:rsidP="00186288">
      <w:pPr>
        <w:pStyle w:val="allsections"/>
        <w:keepLines/>
        <w:ind w:firstLine="403"/>
        <w:rPr>
          <w:color w:val="000000"/>
        </w:rPr>
      </w:pPr>
      <w:r>
        <w:rPr>
          <w:b/>
          <w:bCs/>
          <w:color w:val="000000"/>
        </w:rPr>
        <w:t xml:space="preserve">14.  (1) </w:t>
      </w:r>
      <w:r>
        <w:rPr>
          <w:color w:val="000000"/>
        </w:rPr>
        <w:t xml:space="preserve"> A person who ceased to be a member before the commencement of this section may, within 30 days after the commencement of this section or within such further period as the Board in writing allows, elect to pay 5% of the salary he or she received during his or her term of office as a member into the Territory bank account to become eligible to receive superannuation benefits under this Act in respect of that period during which he or she was a member.</w:t>
      </w:r>
    </w:p>
    <w:p w14:paraId="4DA36C19" w14:textId="77777777" w:rsidR="00312EEB" w:rsidRDefault="00312EEB">
      <w:pPr>
        <w:pStyle w:val="allsections"/>
        <w:rPr>
          <w:color w:val="000000"/>
        </w:rPr>
      </w:pPr>
      <w:r>
        <w:rPr>
          <w:b/>
          <w:bCs/>
          <w:color w:val="000000"/>
        </w:rPr>
        <w:t>(2)</w:t>
      </w:r>
      <w:r>
        <w:rPr>
          <w:color w:val="000000"/>
        </w:rPr>
        <w:t xml:space="preserve">  A person who—</w:t>
      </w:r>
    </w:p>
    <w:p w14:paraId="1176DDD7" w14:textId="77777777" w:rsidR="00312EEB" w:rsidRDefault="00312EEB">
      <w:pPr>
        <w:pStyle w:val="aindent"/>
        <w:rPr>
          <w:color w:val="000000"/>
        </w:rPr>
      </w:pPr>
      <w:r>
        <w:rPr>
          <w:color w:val="000000"/>
        </w:rPr>
        <w:tab/>
        <w:t>(a)</w:t>
      </w:r>
      <w:r>
        <w:rPr>
          <w:color w:val="000000"/>
        </w:rPr>
        <w:tab/>
        <w:t>elected to and did contribute in accordance with subsection (1) as in force before 1 July 1996; or</w:t>
      </w:r>
    </w:p>
    <w:p w14:paraId="18294405" w14:textId="77777777" w:rsidR="00312EEB" w:rsidRDefault="00312EEB">
      <w:pPr>
        <w:pStyle w:val="aindent"/>
        <w:rPr>
          <w:color w:val="000000"/>
        </w:rPr>
      </w:pPr>
      <w:r>
        <w:rPr>
          <w:color w:val="000000"/>
        </w:rPr>
        <w:tab/>
        <w:t>(b)</w:t>
      </w:r>
      <w:r>
        <w:rPr>
          <w:color w:val="000000"/>
        </w:rPr>
        <w:tab/>
        <w:t>elects to and does contribute in accordance with that subsection as in force after that date;</w:t>
      </w:r>
    </w:p>
    <w:p w14:paraId="02232F2A" w14:textId="77777777" w:rsidR="00312EEB" w:rsidRDefault="00312EEB">
      <w:pPr>
        <w:pStyle w:val="fullout"/>
        <w:rPr>
          <w:color w:val="000000"/>
        </w:rPr>
      </w:pPr>
      <w:r>
        <w:rPr>
          <w:color w:val="000000"/>
        </w:rPr>
        <w:t>shall be taken to have been a contributing member during his or her term of office as a member.</w:t>
      </w:r>
    </w:p>
    <w:p w14:paraId="1AD50C57" w14:textId="77777777" w:rsidR="00312EEB" w:rsidRDefault="00312EEB">
      <w:pPr>
        <w:pStyle w:val="Heading3"/>
        <w:rPr>
          <w:color w:val="000000"/>
        </w:rPr>
      </w:pPr>
      <w:r>
        <w:rPr>
          <w:color w:val="000000"/>
        </w:rPr>
        <w:t>Superannuation benefit</w:t>
      </w:r>
    </w:p>
    <w:p w14:paraId="7A473447" w14:textId="77777777" w:rsidR="00312EEB" w:rsidRDefault="00312EEB">
      <w:pPr>
        <w:pStyle w:val="allsections"/>
        <w:rPr>
          <w:color w:val="000000"/>
        </w:rPr>
      </w:pPr>
      <w:r>
        <w:rPr>
          <w:b/>
          <w:bCs/>
          <w:color w:val="000000"/>
        </w:rPr>
        <w:t xml:space="preserve">15.  (1)  </w:t>
      </w:r>
      <w:r>
        <w:rPr>
          <w:color w:val="000000"/>
        </w:rPr>
        <w:t>Superannuation benefit is payable to a person entitled to a benefit under section 12, in respect of his or her relevant period of service, by way of a lump sum calculated in accordance with the formula—</w:t>
      </w:r>
    </w:p>
    <w:p w14:paraId="18AD945C" w14:textId="77777777" w:rsidR="00312EEB" w:rsidRDefault="00312EEB">
      <w:pPr>
        <w:pStyle w:val="allsections"/>
        <w:ind w:firstLine="0"/>
        <w:jc w:val="center"/>
        <w:rPr>
          <w:b/>
          <w:bCs/>
          <w:color w:val="000000"/>
        </w:rPr>
      </w:pPr>
      <w:r>
        <w:rPr>
          <w:b/>
          <w:bCs/>
          <w:color w:val="000000"/>
        </w:rPr>
        <w:t xml:space="preserve">BSD </w:t>
      </w:r>
      <w:r>
        <w:rPr>
          <w:rFonts w:ascii="Helvetica" w:hAnsi="Helvetica" w:cs="Helvetica"/>
          <w:color w:val="000000"/>
        </w:rPr>
        <w:t>X</w:t>
      </w:r>
      <w:r>
        <w:rPr>
          <w:color w:val="000000"/>
        </w:rPr>
        <w:t xml:space="preserve"> </w:t>
      </w:r>
      <w:r>
        <w:rPr>
          <w:b/>
          <w:bCs/>
          <w:color w:val="000000"/>
        </w:rPr>
        <w:t>SPA</w:t>
      </w:r>
    </w:p>
    <w:p w14:paraId="56215DF8" w14:textId="77777777" w:rsidR="00312EEB" w:rsidRDefault="00312EEB">
      <w:pPr>
        <w:pStyle w:val="fullout"/>
        <w:rPr>
          <w:color w:val="000000"/>
        </w:rPr>
      </w:pPr>
      <w:r>
        <w:rPr>
          <w:color w:val="000000"/>
        </w:rPr>
        <w:t>where—</w:t>
      </w:r>
    </w:p>
    <w:p w14:paraId="591ED70C" w14:textId="77777777" w:rsidR="00312EEB" w:rsidRDefault="00312EEB">
      <w:pPr>
        <w:pStyle w:val="aindentdef"/>
        <w:tabs>
          <w:tab w:val="right" w:pos="980"/>
        </w:tabs>
        <w:ind w:left="1160" w:hanging="760"/>
        <w:rPr>
          <w:color w:val="000000"/>
        </w:rPr>
      </w:pPr>
      <w:r>
        <w:rPr>
          <w:b/>
          <w:bCs/>
          <w:color w:val="000000"/>
        </w:rPr>
        <w:t>BSD</w:t>
      </w:r>
      <w:r>
        <w:rPr>
          <w:b/>
          <w:bCs/>
          <w:color w:val="000000"/>
        </w:rPr>
        <w:tab/>
      </w:r>
      <w:r>
        <w:rPr>
          <w:color w:val="000000"/>
        </w:rPr>
        <w:t>is the basic salary payable, on the date of that person’s discontinuance, to members who are not office holders; and</w:t>
      </w:r>
    </w:p>
    <w:p w14:paraId="0F2CCD0A" w14:textId="77777777" w:rsidR="00312EEB" w:rsidRDefault="00312EEB">
      <w:pPr>
        <w:pStyle w:val="aindentdef"/>
        <w:tabs>
          <w:tab w:val="right" w:pos="980"/>
        </w:tabs>
        <w:ind w:left="1160" w:hanging="760"/>
        <w:rPr>
          <w:color w:val="000000"/>
        </w:rPr>
      </w:pPr>
      <w:r>
        <w:rPr>
          <w:b/>
          <w:bCs/>
          <w:color w:val="000000"/>
        </w:rPr>
        <w:t>SPA</w:t>
      </w:r>
      <w:r>
        <w:rPr>
          <w:color w:val="000000"/>
        </w:rPr>
        <w:t xml:space="preserve"> </w:t>
      </w:r>
      <w:r>
        <w:rPr>
          <w:color w:val="000000"/>
        </w:rPr>
        <w:tab/>
        <w:t>is the sum of the person’s annual percentage accruals calculated in accordance with subsection (2).</w:t>
      </w:r>
    </w:p>
    <w:p w14:paraId="44C2BEC4" w14:textId="77777777" w:rsidR="00312EEB" w:rsidRDefault="00312EEB">
      <w:pPr>
        <w:pStyle w:val="allsections"/>
        <w:rPr>
          <w:color w:val="000000"/>
        </w:rPr>
      </w:pPr>
      <w:r>
        <w:rPr>
          <w:b/>
          <w:bCs/>
          <w:color w:val="000000"/>
        </w:rPr>
        <w:t xml:space="preserve">(2)  </w:t>
      </w:r>
      <w:r>
        <w:rPr>
          <w:color w:val="000000"/>
        </w:rPr>
        <w:t>Annual percentage accruals are calculated as at 30 June each year for the financial year ended on that date during the continuance of a member’s relevant period of service and at 30 June in the financial year during which the member’s discontinuance occurred, and are equal to 29% for each full year of service.</w:t>
      </w:r>
    </w:p>
    <w:p w14:paraId="7E1D3FA3" w14:textId="77777777" w:rsidR="00312EEB" w:rsidRDefault="00312EEB" w:rsidP="00186288">
      <w:pPr>
        <w:pStyle w:val="allsections"/>
        <w:keepLines/>
        <w:ind w:firstLine="403"/>
        <w:rPr>
          <w:color w:val="000000"/>
          <w:u w:val="single"/>
        </w:rPr>
      </w:pPr>
      <w:r>
        <w:rPr>
          <w:b/>
          <w:bCs/>
          <w:color w:val="000000"/>
        </w:rPr>
        <w:lastRenderedPageBreak/>
        <w:t xml:space="preserve">(3)  </w:t>
      </w:r>
      <w:r>
        <w:rPr>
          <w:color w:val="000000"/>
        </w:rPr>
        <w:t>Where a member has been an office holder during any part of a financial year his or her annual percentage accrual for that year is increased by multiplying the 29% referred to in subsection (2) by a number calculated in accordance with the formula—</w:t>
      </w:r>
    </w:p>
    <w:p w14:paraId="431F59A2" w14:textId="77777777" w:rsidR="00312EEB" w:rsidRDefault="00312EEB">
      <w:pPr>
        <w:pStyle w:val="fullout"/>
        <w:jc w:val="center"/>
        <w:rPr>
          <w:b/>
          <w:bCs/>
          <w:color w:val="000000"/>
          <w:u w:val="single"/>
        </w:rPr>
      </w:pPr>
      <w:r>
        <w:rPr>
          <w:b/>
          <w:bCs/>
          <w:color w:val="000000"/>
        </w:rPr>
        <w:fldChar w:fldCharType="begin"/>
      </w:r>
      <w:r>
        <w:rPr>
          <w:b/>
          <w:bCs/>
          <w:color w:val="000000"/>
        </w:rPr>
        <w:instrText xml:space="preserve"> EQ \F(TSR,TSPM) </w:instrText>
      </w:r>
      <w:r>
        <w:rPr>
          <w:b/>
          <w:bCs/>
          <w:color w:val="000000"/>
        </w:rPr>
        <w:fldChar w:fldCharType="end"/>
      </w:r>
    </w:p>
    <w:p w14:paraId="24BE7ACA" w14:textId="77777777" w:rsidR="00312EEB" w:rsidRDefault="00312EEB">
      <w:pPr>
        <w:pStyle w:val="fullout"/>
        <w:rPr>
          <w:color w:val="000000"/>
        </w:rPr>
      </w:pPr>
      <w:r>
        <w:rPr>
          <w:color w:val="000000"/>
        </w:rPr>
        <w:t>where—</w:t>
      </w:r>
    </w:p>
    <w:p w14:paraId="3A79502E" w14:textId="77777777" w:rsidR="00312EEB" w:rsidRDefault="00312EEB">
      <w:pPr>
        <w:pStyle w:val="aindentdef"/>
        <w:tabs>
          <w:tab w:val="right" w:pos="980"/>
        </w:tabs>
        <w:ind w:left="1260" w:hanging="860"/>
        <w:rPr>
          <w:color w:val="000000"/>
        </w:rPr>
      </w:pPr>
      <w:r>
        <w:rPr>
          <w:b/>
          <w:bCs/>
          <w:color w:val="000000"/>
        </w:rPr>
        <w:t>TSR</w:t>
      </w:r>
      <w:r>
        <w:rPr>
          <w:color w:val="000000"/>
        </w:rPr>
        <w:tab/>
        <w:t>is the total salary received by that member during that financial year; and</w:t>
      </w:r>
    </w:p>
    <w:p w14:paraId="5B05C269" w14:textId="77777777" w:rsidR="00312EEB" w:rsidRDefault="00312EEB">
      <w:pPr>
        <w:pStyle w:val="aindentdef"/>
        <w:tabs>
          <w:tab w:val="right" w:pos="980"/>
        </w:tabs>
        <w:ind w:left="1260" w:hanging="860"/>
        <w:rPr>
          <w:color w:val="000000"/>
        </w:rPr>
      </w:pPr>
      <w:r>
        <w:rPr>
          <w:b/>
          <w:bCs/>
          <w:color w:val="000000"/>
        </w:rPr>
        <w:t>TSPM</w:t>
      </w:r>
      <w:r>
        <w:rPr>
          <w:b/>
          <w:bCs/>
          <w:color w:val="000000"/>
        </w:rPr>
        <w:tab/>
      </w:r>
      <w:r>
        <w:rPr>
          <w:color w:val="000000"/>
        </w:rPr>
        <w:t>is the total basic salary which would have been received by the member during that financial year had he or she not been an office holder at any time during that financial year.</w:t>
      </w:r>
    </w:p>
    <w:p w14:paraId="07001DD9" w14:textId="77777777" w:rsidR="00312EEB" w:rsidRDefault="00312EEB">
      <w:pPr>
        <w:pStyle w:val="allsections"/>
        <w:rPr>
          <w:color w:val="000000"/>
        </w:rPr>
      </w:pPr>
      <w:r>
        <w:rPr>
          <w:b/>
          <w:bCs/>
          <w:color w:val="000000"/>
        </w:rPr>
        <w:t xml:space="preserve">(4)  </w:t>
      </w:r>
      <w:r>
        <w:rPr>
          <w:color w:val="000000"/>
        </w:rPr>
        <w:t>Where a person was not a member during the whole of the financial year his or her annual percentage accrual for that year is reduced by multiplying that 29% referred to in subsection (2) by a number calculated in accordance with the formula—</w:t>
      </w:r>
    </w:p>
    <w:p w14:paraId="2A85D04C" w14:textId="77777777" w:rsidR="00312EEB" w:rsidRDefault="00312EEB">
      <w:pPr>
        <w:pStyle w:val="allsections"/>
        <w:ind w:firstLine="20"/>
        <w:jc w:val="center"/>
        <w:rPr>
          <w:color w:val="000000"/>
        </w:rPr>
      </w:pPr>
      <w:r>
        <w:rPr>
          <w:b/>
          <w:bCs/>
          <w:color w:val="000000"/>
        </w:rPr>
        <w:fldChar w:fldCharType="begin"/>
      </w:r>
      <w:r>
        <w:rPr>
          <w:b/>
          <w:bCs/>
          <w:color w:val="000000"/>
        </w:rPr>
        <w:instrText xml:space="preserve"> EQ \F(NDM,</w:instrText>
      </w:r>
      <w:r>
        <w:rPr>
          <w:color w:val="000000"/>
        </w:rPr>
        <w:instrText>365)</w:instrText>
      </w:r>
      <w:r>
        <w:rPr>
          <w:b/>
          <w:bCs/>
          <w:color w:val="000000"/>
        </w:rPr>
        <w:instrText xml:space="preserve"> </w:instrText>
      </w:r>
      <w:r>
        <w:rPr>
          <w:b/>
          <w:bCs/>
          <w:color w:val="000000"/>
        </w:rPr>
        <w:fldChar w:fldCharType="end"/>
      </w:r>
    </w:p>
    <w:p w14:paraId="6A94AB81" w14:textId="77777777" w:rsidR="00312EEB" w:rsidRDefault="00312EEB">
      <w:pPr>
        <w:pStyle w:val="fullout"/>
        <w:rPr>
          <w:color w:val="000000"/>
        </w:rPr>
      </w:pPr>
      <w:r>
        <w:rPr>
          <w:color w:val="000000"/>
        </w:rPr>
        <w:t xml:space="preserve">where </w:t>
      </w:r>
      <w:r>
        <w:rPr>
          <w:b/>
          <w:bCs/>
          <w:color w:val="000000"/>
        </w:rPr>
        <w:t>NDM</w:t>
      </w:r>
      <w:r>
        <w:rPr>
          <w:color w:val="000000"/>
        </w:rPr>
        <w:t xml:space="preserve"> is the number of days in that financial year on which that person was a member.</w:t>
      </w:r>
    </w:p>
    <w:p w14:paraId="64846108" w14:textId="77777777" w:rsidR="00312EEB" w:rsidRDefault="00312EEB">
      <w:pPr>
        <w:pStyle w:val="Heading3"/>
        <w:rPr>
          <w:color w:val="000000"/>
        </w:rPr>
      </w:pPr>
      <w:r>
        <w:rPr>
          <w:color w:val="000000"/>
        </w:rPr>
        <w:t>Death or invalidity benefit</w:t>
      </w:r>
    </w:p>
    <w:p w14:paraId="458B62B2" w14:textId="77777777" w:rsidR="00312EEB" w:rsidRDefault="00312EEB">
      <w:pPr>
        <w:pStyle w:val="allsections"/>
        <w:rPr>
          <w:color w:val="000000"/>
        </w:rPr>
      </w:pPr>
      <w:r>
        <w:rPr>
          <w:b/>
          <w:bCs/>
          <w:color w:val="000000"/>
        </w:rPr>
        <w:t xml:space="preserve">16.  (1)  </w:t>
      </w:r>
      <w:r>
        <w:rPr>
          <w:color w:val="000000"/>
        </w:rPr>
        <w:t>Where—</w:t>
      </w:r>
    </w:p>
    <w:p w14:paraId="0F562AFF" w14:textId="77777777" w:rsidR="00312EEB" w:rsidRDefault="00312EEB">
      <w:pPr>
        <w:pStyle w:val="aindent"/>
        <w:rPr>
          <w:color w:val="000000"/>
        </w:rPr>
      </w:pPr>
      <w:r>
        <w:rPr>
          <w:color w:val="000000"/>
        </w:rPr>
        <w:tab/>
        <w:t>(a)</w:t>
      </w:r>
      <w:r>
        <w:rPr>
          <w:color w:val="000000"/>
        </w:rPr>
        <w:tab/>
        <w:t>a member’s discontinuance is due to death or invalidity; and</w:t>
      </w:r>
    </w:p>
    <w:p w14:paraId="77BC346D" w14:textId="77777777" w:rsidR="00312EEB" w:rsidRDefault="00312EEB">
      <w:pPr>
        <w:pStyle w:val="aindent"/>
        <w:rPr>
          <w:color w:val="000000"/>
        </w:rPr>
      </w:pPr>
      <w:r>
        <w:rPr>
          <w:color w:val="000000"/>
        </w:rPr>
        <w:tab/>
        <w:t>(b)</w:t>
      </w:r>
      <w:r>
        <w:rPr>
          <w:color w:val="000000"/>
        </w:rPr>
        <w:tab/>
        <w:t>the member was under 60 years of age on the date of his or her discontinuance;</w:t>
      </w:r>
    </w:p>
    <w:p w14:paraId="0A3437DB" w14:textId="77777777" w:rsidR="00312EEB" w:rsidRDefault="00312EEB">
      <w:pPr>
        <w:pStyle w:val="fullout"/>
        <w:rPr>
          <w:color w:val="000000"/>
        </w:rPr>
      </w:pPr>
      <w:r>
        <w:rPr>
          <w:color w:val="000000"/>
        </w:rPr>
        <w:t>a further benefit is payable in accordance with this section.</w:t>
      </w:r>
    </w:p>
    <w:p w14:paraId="104F8296" w14:textId="77777777" w:rsidR="00312EEB" w:rsidRDefault="00312EEB">
      <w:pPr>
        <w:pStyle w:val="allsections"/>
        <w:rPr>
          <w:color w:val="000000"/>
        </w:rPr>
      </w:pPr>
      <w:r>
        <w:rPr>
          <w:b/>
          <w:bCs/>
          <w:color w:val="000000"/>
        </w:rPr>
        <w:t xml:space="preserve">(2)  </w:t>
      </w:r>
      <w:r>
        <w:rPr>
          <w:color w:val="000000"/>
        </w:rPr>
        <w:t>The further benefit under subsection (1) is calculated by dividing the superannuation benefit payable to the member under section 15 by the number of days the member has been a contributing member and then multiplying the quotient by the number of days from the date of the member’s discontinuance until the date on which the member would attain the age of  60 years.</w:t>
      </w:r>
    </w:p>
    <w:p w14:paraId="5551668B" w14:textId="77777777" w:rsidR="00312EEB" w:rsidRDefault="00312EEB">
      <w:pPr>
        <w:pStyle w:val="Heading3"/>
        <w:rPr>
          <w:color w:val="000000"/>
        </w:rPr>
      </w:pPr>
      <w:r>
        <w:rPr>
          <w:color w:val="000000"/>
        </w:rPr>
        <w:lastRenderedPageBreak/>
        <w:t>Payment to estate</w:t>
      </w:r>
    </w:p>
    <w:p w14:paraId="2ED7C939" w14:textId="77777777" w:rsidR="00312EEB" w:rsidRDefault="00312EEB">
      <w:pPr>
        <w:pStyle w:val="allsections"/>
        <w:rPr>
          <w:color w:val="000000"/>
        </w:rPr>
      </w:pPr>
      <w:r>
        <w:rPr>
          <w:b/>
          <w:bCs/>
          <w:color w:val="000000"/>
        </w:rPr>
        <w:t xml:space="preserve">17.  </w:t>
      </w:r>
      <w:r>
        <w:rPr>
          <w:color w:val="000000"/>
        </w:rPr>
        <w:t>Where a person—</w:t>
      </w:r>
    </w:p>
    <w:p w14:paraId="274F6AAC" w14:textId="77777777" w:rsidR="00312EEB" w:rsidRDefault="00312EEB">
      <w:pPr>
        <w:pStyle w:val="aindent"/>
        <w:rPr>
          <w:color w:val="000000"/>
        </w:rPr>
      </w:pPr>
      <w:r>
        <w:rPr>
          <w:color w:val="000000"/>
        </w:rPr>
        <w:tab/>
        <w:t>(a)</w:t>
      </w:r>
      <w:r>
        <w:rPr>
          <w:color w:val="000000"/>
        </w:rPr>
        <w:tab/>
        <w:t>becomes eligible to receive a benefit under this Act; and</w:t>
      </w:r>
    </w:p>
    <w:p w14:paraId="2CBC0F98" w14:textId="77777777" w:rsidR="00312EEB" w:rsidRDefault="00312EEB">
      <w:pPr>
        <w:pStyle w:val="aindent"/>
        <w:rPr>
          <w:color w:val="000000"/>
        </w:rPr>
      </w:pPr>
      <w:r>
        <w:rPr>
          <w:color w:val="000000"/>
        </w:rPr>
        <w:tab/>
        <w:t>(b)</w:t>
      </w:r>
      <w:r>
        <w:rPr>
          <w:color w:val="000000"/>
        </w:rPr>
        <w:tab/>
        <w:t>dies before that benefit is paid;</w:t>
      </w:r>
    </w:p>
    <w:p w14:paraId="45AEFC28" w14:textId="77777777" w:rsidR="00312EEB" w:rsidRDefault="00312EEB">
      <w:pPr>
        <w:pStyle w:val="fullout"/>
        <w:rPr>
          <w:color w:val="000000"/>
        </w:rPr>
      </w:pPr>
      <w:r>
        <w:rPr>
          <w:color w:val="000000"/>
        </w:rPr>
        <w:t>the benefit is payable to the estate of that person.</w:t>
      </w:r>
    </w:p>
    <w:p w14:paraId="650C5E60" w14:textId="77777777" w:rsidR="00312EEB" w:rsidRDefault="00312EEB">
      <w:pPr>
        <w:pStyle w:val="Heading3"/>
        <w:rPr>
          <w:color w:val="000000"/>
        </w:rPr>
      </w:pPr>
      <w:r>
        <w:rPr>
          <w:color w:val="000000"/>
        </w:rPr>
        <w:t>Preservation of benefit</w:t>
      </w:r>
    </w:p>
    <w:p w14:paraId="268D6C88" w14:textId="77777777" w:rsidR="00312EEB" w:rsidRDefault="00312EEB">
      <w:pPr>
        <w:pStyle w:val="allsections"/>
        <w:rPr>
          <w:color w:val="000000"/>
        </w:rPr>
      </w:pPr>
      <w:r>
        <w:rPr>
          <w:b/>
          <w:bCs/>
          <w:color w:val="000000"/>
        </w:rPr>
        <w:t xml:space="preserve">18.  (1)  </w:t>
      </w:r>
      <w:r>
        <w:rPr>
          <w:color w:val="000000"/>
        </w:rPr>
        <w:t>Where a person—</w:t>
      </w:r>
    </w:p>
    <w:p w14:paraId="1A896737" w14:textId="77777777" w:rsidR="00312EEB" w:rsidRDefault="00312EEB">
      <w:pPr>
        <w:pStyle w:val="aindent"/>
        <w:rPr>
          <w:color w:val="000000"/>
        </w:rPr>
      </w:pPr>
      <w:r>
        <w:rPr>
          <w:color w:val="000000"/>
        </w:rPr>
        <w:tab/>
        <w:t>(a)</w:t>
      </w:r>
      <w:r>
        <w:rPr>
          <w:color w:val="000000"/>
        </w:rPr>
        <w:tab/>
        <w:t>who has not yet reached the age of 55 years; or</w:t>
      </w:r>
    </w:p>
    <w:p w14:paraId="2449593C" w14:textId="77777777" w:rsidR="00312EEB" w:rsidRDefault="00312EEB">
      <w:pPr>
        <w:pStyle w:val="aindent"/>
        <w:rPr>
          <w:color w:val="000000"/>
        </w:rPr>
      </w:pPr>
      <w:r>
        <w:rPr>
          <w:color w:val="000000"/>
        </w:rPr>
        <w:tab/>
        <w:t>(b)</w:t>
      </w:r>
      <w:r>
        <w:rPr>
          <w:color w:val="000000"/>
        </w:rPr>
        <w:tab/>
        <w:t>who has reached the age of 55 years but remains a member of the workforce;</w:t>
      </w:r>
    </w:p>
    <w:p w14:paraId="2CF12BBD" w14:textId="77777777" w:rsidR="00312EEB" w:rsidRDefault="00312EEB">
      <w:pPr>
        <w:pStyle w:val="fullout"/>
        <w:rPr>
          <w:color w:val="000000"/>
        </w:rPr>
      </w:pPr>
      <w:r>
        <w:rPr>
          <w:color w:val="000000"/>
        </w:rPr>
        <w:t>becomes entitled to a superannuation benefit under this Act, that benefit is payable, for preservation in relation to that person—</w:t>
      </w:r>
    </w:p>
    <w:p w14:paraId="3B27BC70" w14:textId="77777777" w:rsidR="00312EEB" w:rsidRDefault="00312EEB">
      <w:pPr>
        <w:pStyle w:val="aindent"/>
        <w:rPr>
          <w:color w:val="000000"/>
        </w:rPr>
      </w:pPr>
      <w:r>
        <w:rPr>
          <w:color w:val="000000"/>
        </w:rPr>
        <w:tab/>
        <w:t>(c)</w:t>
      </w:r>
      <w:r>
        <w:rPr>
          <w:color w:val="000000"/>
        </w:rPr>
        <w:tab/>
        <w:t>to an approved deposit fund;</w:t>
      </w:r>
    </w:p>
    <w:p w14:paraId="7E74F92A" w14:textId="77777777" w:rsidR="00312EEB" w:rsidRDefault="00312EEB">
      <w:pPr>
        <w:pStyle w:val="aindent"/>
        <w:rPr>
          <w:color w:val="000000"/>
        </w:rPr>
      </w:pPr>
      <w:r>
        <w:rPr>
          <w:color w:val="000000"/>
        </w:rPr>
        <w:tab/>
        <w:t>(d)</w:t>
      </w:r>
      <w:r>
        <w:rPr>
          <w:color w:val="000000"/>
        </w:rPr>
        <w:tab/>
        <w:t>to a deferred annuity; or</w:t>
      </w:r>
    </w:p>
    <w:p w14:paraId="6887B059" w14:textId="77777777" w:rsidR="00312EEB" w:rsidRDefault="00312EEB">
      <w:pPr>
        <w:pStyle w:val="aindent"/>
        <w:rPr>
          <w:color w:val="000000"/>
        </w:rPr>
      </w:pPr>
      <w:r>
        <w:rPr>
          <w:color w:val="000000"/>
        </w:rPr>
        <w:tab/>
        <w:t>(e)</w:t>
      </w:r>
      <w:r>
        <w:rPr>
          <w:color w:val="000000"/>
        </w:rPr>
        <w:tab/>
        <w:t>to a  superannuation fund;</w:t>
      </w:r>
    </w:p>
    <w:p w14:paraId="38853C58" w14:textId="77777777" w:rsidR="00312EEB" w:rsidRDefault="00312EEB">
      <w:pPr>
        <w:pStyle w:val="fullout"/>
        <w:rPr>
          <w:color w:val="000000"/>
        </w:rPr>
      </w:pPr>
      <w:r>
        <w:rPr>
          <w:color w:val="000000"/>
        </w:rPr>
        <w:t>which has been nominated by that person.</w:t>
      </w:r>
    </w:p>
    <w:p w14:paraId="6A68D907" w14:textId="77777777" w:rsidR="00312EEB" w:rsidRDefault="00312EEB">
      <w:pPr>
        <w:pStyle w:val="allsections"/>
        <w:rPr>
          <w:color w:val="000000"/>
        </w:rPr>
      </w:pPr>
      <w:r>
        <w:rPr>
          <w:b/>
          <w:bCs/>
          <w:color w:val="000000"/>
        </w:rPr>
        <w:t xml:space="preserve">(2)  </w:t>
      </w:r>
      <w:r>
        <w:rPr>
          <w:color w:val="000000"/>
        </w:rPr>
        <w:t>Where a person referred to in subsection (1) has not, within 3 months after becoming so entitled, nominated a fund or annuity in accordance with that subsection, the Board may nominate—</w:t>
      </w:r>
    </w:p>
    <w:p w14:paraId="535AD24F" w14:textId="77777777" w:rsidR="00312EEB" w:rsidRDefault="00312EEB">
      <w:pPr>
        <w:pStyle w:val="aindent"/>
        <w:rPr>
          <w:color w:val="000000"/>
        </w:rPr>
      </w:pPr>
      <w:r>
        <w:rPr>
          <w:color w:val="000000"/>
        </w:rPr>
        <w:tab/>
        <w:t>(a)</w:t>
      </w:r>
      <w:r>
        <w:rPr>
          <w:color w:val="000000"/>
        </w:rPr>
        <w:tab/>
        <w:t xml:space="preserve">a superannuation fund; or </w:t>
      </w:r>
    </w:p>
    <w:p w14:paraId="5E4308B3" w14:textId="77777777" w:rsidR="00312EEB" w:rsidRDefault="00312EEB">
      <w:pPr>
        <w:pStyle w:val="aindent"/>
        <w:rPr>
          <w:color w:val="000000"/>
        </w:rPr>
      </w:pPr>
      <w:r>
        <w:rPr>
          <w:color w:val="000000"/>
        </w:rPr>
        <w:tab/>
        <w:t>(b)</w:t>
      </w:r>
      <w:r>
        <w:rPr>
          <w:color w:val="000000"/>
        </w:rPr>
        <w:tab/>
        <w:t>an approved deposit fund;</w:t>
      </w:r>
    </w:p>
    <w:p w14:paraId="4CB1995D" w14:textId="77777777" w:rsidR="00312EEB" w:rsidRDefault="00312EEB">
      <w:pPr>
        <w:pStyle w:val="fullout"/>
        <w:rPr>
          <w:color w:val="000000"/>
        </w:rPr>
      </w:pPr>
      <w:r>
        <w:rPr>
          <w:color w:val="000000"/>
        </w:rPr>
        <w:t>to which that benefit shall be paid.</w:t>
      </w:r>
    </w:p>
    <w:p w14:paraId="5455528F" w14:textId="77777777" w:rsidR="00312EEB" w:rsidRDefault="00312EEB">
      <w:pPr>
        <w:pStyle w:val="allsections"/>
        <w:rPr>
          <w:color w:val="000000"/>
        </w:rPr>
      </w:pPr>
      <w:r>
        <w:rPr>
          <w:b/>
          <w:bCs/>
          <w:color w:val="000000"/>
        </w:rPr>
        <w:t xml:space="preserve">(3) </w:t>
      </w:r>
      <w:r>
        <w:rPr>
          <w:color w:val="000000"/>
        </w:rPr>
        <w:t xml:space="preserve"> Subsection (1) does not apply where a person is leaving Australia permanently or where a benefit becomes payable under this Act in relation to a member whose discontinuance is due to death or invalidity, and in such a case any benefit is payable forthwith.</w:t>
      </w:r>
    </w:p>
    <w:p w14:paraId="684D269E" w14:textId="77777777" w:rsidR="00312EEB" w:rsidRDefault="00312EEB" w:rsidP="00186288">
      <w:pPr>
        <w:pStyle w:val="Heading1"/>
        <w:keepNext/>
        <w:spacing w:before="200"/>
        <w:rPr>
          <w:color w:val="000000"/>
        </w:rPr>
      </w:pPr>
      <w:r>
        <w:rPr>
          <w:color w:val="000000"/>
        </w:rPr>
        <w:lastRenderedPageBreak/>
        <w:t>part iv—review of decisions</w:t>
      </w:r>
    </w:p>
    <w:p w14:paraId="72CF6019" w14:textId="77777777" w:rsidR="00312EEB" w:rsidRDefault="00312EEB" w:rsidP="00186288">
      <w:pPr>
        <w:pStyle w:val="Heading3"/>
        <w:keepNext/>
        <w:spacing w:before="120"/>
        <w:rPr>
          <w:color w:val="000000"/>
        </w:rPr>
      </w:pPr>
      <w:r>
        <w:rPr>
          <w:color w:val="000000"/>
        </w:rPr>
        <w:t>Board to reconsider</w:t>
      </w:r>
    </w:p>
    <w:p w14:paraId="18A6A415" w14:textId="77777777" w:rsidR="00312EEB" w:rsidRDefault="00312EEB">
      <w:pPr>
        <w:pStyle w:val="allsections"/>
        <w:spacing w:before="60" w:after="60"/>
        <w:rPr>
          <w:color w:val="000000"/>
        </w:rPr>
      </w:pPr>
      <w:r>
        <w:rPr>
          <w:b/>
          <w:bCs/>
          <w:color w:val="000000"/>
        </w:rPr>
        <w:t xml:space="preserve">19.  (1)  </w:t>
      </w:r>
      <w:r>
        <w:rPr>
          <w:color w:val="000000"/>
        </w:rPr>
        <w:t>A person affected by a decision of the Board who is dissatisfied with the decision may, by notice in writing given to the Secretary of the Board within 30 days after the day on which the decision comes to the notice of the person, or within such further period as the Board allows, request the Board to reconsider the decision.</w:t>
      </w:r>
    </w:p>
    <w:p w14:paraId="4BF17CFD" w14:textId="77777777" w:rsidR="00312EEB" w:rsidRDefault="00312EEB">
      <w:pPr>
        <w:pStyle w:val="allsections"/>
        <w:spacing w:before="60" w:after="60"/>
        <w:rPr>
          <w:color w:val="000000"/>
        </w:rPr>
      </w:pPr>
      <w:r>
        <w:rPr>
          <w:b/>
          <w:bCs/>
          <w:color w:val="000000"/>
        </w:rPr>
        <w:t xml:space="preserve">(2) </w:t>
      </w:r>
      <w:r>
        <w:rPr>
          <w:color w:val="000000"/>
        </w:rPr>
        <w:t xml:space="preserve"> The notice shall set out the reasons for making the request.</w:t>
      </w:r>
    </w:p>
    <w:p w14:paraId="0A54DB11" w14:textId="77777777" w:rsidR="00312EEB" w:rsidRDefault="00312EEB">
      <w:pPr>
        <w:pStyle w:val="allsections"/>
        <w:spacing w:before="60" w:after="60"/>
        <w:rPr>
          <w:color w:val="000000"/>
        </w:rPr>
      </w:pPr>
      <w:r>
        <w:rPr>
          <w:b/>
          <w:bCs/>
          <w:color w:val="000000"/>
        </w:rPr>
        <w:t xml:space="preserve">(3) </w:t>
      </w:r>
      <w:r>
        <w:rPr>
          <w:color w:val="000000"/>
        </w:rPr>
        <w:t xml:space="preserve"> Upon receipt of the request, the Board shall reconsider the decision within a period not exceeding 30 days  and may confirm or revoke the decision or vary the decision in such manner as it thinks fit.</w:t>
      </w:r>
    </w:p>
    <w:p w14:paraId="7464D6E4" w14:textId="77777777" w:rsidR="00312EEB" w:rsidRDefault="00312EEB">
      <w:pPr>
        <w:pStyle w:val="Heading3"/>
        <w:spacing w:before="120"/>
        <w:rPr>
          <w:color w:val="000000"/>
        </w:rPr>
      </w:pPr>
      <w:r>
        <w:rPr>
          <w:color w:val="000000"/>
        </w:rPr>
        <w:t>Notice of reconsideration</w:t>
      </w:r>
    </w:p>
    <w:p w14:paraId="5B94E01D" w14:textId="77777777" w:rsidR="00312EEB" w:rsidRDefault="00312EEB">
      <w:pPr>
        <w:pStyle w:val="allsections"/>
        <w:spacing w:before="60" w:after="60"/>
        <w:rPr>
          <w:color w:val="000000"/>
        </w:rPr>
      </w:pPr>
      <w:r>
        <w:rPr>
          <w:b/>
          <w:bCs/>
          <w:color w:val="000000"/>
        </w:rPr>
        <w:t xml:space="preserve">20.  (1) </w:t>
      </w:r>
      <w:r>
        <w:rPr>
          <w:color w:val="000000"/>
        </w:rPr>
        <w:t xml:space="preserve"> Where the Board confirms, revokes or varies a decision, the Board shall, by notice in writing served either personally or by post on the person who made the request, inform the person of the result of the Board’s reconsideration of the decision confirming, revoking or varying the decision, as the case may be.</w:t>
      </w:r>
    </w:p>
    <w:p w14:paraId="796698F7" w14:textId="77777777" w:rsidR="00312EEB" w:rsidRDefault="00312EEB">
      <w:pPr>
        <w:pStyle w:val="allsections"/>
        <w:spacing w:before="60" w:after="60"/>
        <w:rPr>
          <w:color w:val="000000"/>
        </w:rPr>
      </w:pPr>
      <w:r>
        <w:rPr>
          <w:b/>
          <w:bCs/>
          <w:color w:val="000000"/>
        </w:rPr>
        <w:t>(2)</w:t>
      </w:r>
      <w:r>
        <w:rPr>
          <w:color w:val="000000"/>
        </w:rPr>
        <w:t xml:space="preserve">  A notice under subsection (1) shall be in accordance with the requirements of the Code of Practice in force under subsection 25B (1) of the </w:t>
      </w:r>
      <w:r>
        <w:rPr>
          <w:i/>
          <w:iCs/>
          <w:color w:val="000000"/>
        </w:rPr>
        <w:t>Administrative Appeals Tribunal Act 1989</w:t>
      </w:r>
      <w:r>
        <w:rPr>
          <w:color w:val="000000"/>
        </w:rPr>
        <w:t>.</w:t>
      </w:r>
    </w:p>
    <w:p w14:paraId="7007332A" w14:textId="77777777" w:rsidR="00312EEB" w:rsidRDefault="00312EEB">
      <w:pPr>
        <w:pStyle w:val="Heading3"/>
        <w:spacing w:before="120"/>
        <w:rPr>
          <w:color w:val="000000"/>
        </w:rPr>
      </w:pPr>
      <w:r>
        <w:rPr>
          <w:color w:val="000000"/>
        </w:rPr>
        <w:t>Applications to Administrative Appeals Tribunal</w:t>
      </w:r>
    </w:p>
    <w:p w14:paraId="5F42C0C7" w14:textId="77777777" w:rsidR="00312EEB" w:rsidRDefault="00312EEB">
      <w:pPr>
        <w:pStyle w:val="allsections"/>
        <w:spacing w:before="60" w:after="60"/>
        <w:rPr>
          <w:color w:val="000000"/>
        </w:rPr>
      </w:pPr>
      <w:r>
        <w:rPr>
          <w:b/>
          <w:bCs/>
          <w:color w:val="000000"/>
        </w:rPr>
        <w:t>21.</w:t>
      </w:r>
      <w:r>
        <w:rPr>
          <w:color w:val="000000"/>
        </w:rPr>
        <w:t xml:space="preserve">  Applications may be made to the Administrative Appeals Tribunal for review—</w:t>
      </w:r>
    </w:p>
    <w:p w14:paraId="1EEA6923" w14:textId="77777777" w:rsidR="00312EEB" w:rsidRDefault="00312EEB">
      <w:pPr>
        <w:pStyle w:val="aindent"/>
        <w:spacing w:before="60" w:after="40"/>
        <w:rPr>
          <w:color w:val="000000"/>
        </w:rPr>
      </w:pPr>
      <w:r>
        <w:rPr>
          <w:color w:val="000000"/>
        </w:rPr>
        <w:tab/>
        <w:t>(a)</w:t>
      </w:r>
      <w:r>
        <w:rPr>
          <w:color w:val="000000"/>
        </w:rPr>
        <w:tab/>
        <w:t>of a decision of the Board under subsection 19 (1) to refuse to permit an extension of the period; and</w:t>
      </w:r>
    </w:p>
    <w:p w14:paraId="21D02B33" w14:textId="77777777" w:rsidR="00312EEB" w:rsidRDefault="00312EEB">
      <w:pPr>
        <w:pStyle w:val="aindent"/>
        <w:spacing w:before="60" w:after="40"/>
        <w:rPr>
          <w:color w:val="000000"/>
        </w:rPr>
      </w:pPr>
      <w:r>
        <w:rPr>
          <w:color w:val="000000"/>
        </w:rPr>
        <w:tab/>
        <w:t>(b)</w:t>
      </w:r>
      <w:r>
        <w:rPr>
          <w:color w:val="000000"/>
        </w:rPr>
        <w:tab/>
        <w:t>of reviewable decisions that have been confirmed or varied under subsection 19 (3).</w:t>
      </w:r>
    </w:p>
    <w:p w14:paraId="4A1601F1" w14:textId="77777777" w:rsidR="00312EEB" w:rsidRDefault="00312EEB">
      <w:pPr>
        <w:pStyle w:val="Heading1"/>
        <w:spacing w:before="200"/>
        <w:rPr>
          <w:color w:val="000000"/>
        </w:rPr>
      </w:pPr>
      <w:r>
        <w:rPr>
          <w:color w:val="000000"/>
        </w:rPr>
        <w:t>part v—miscellaneous</w:t>
      </w:r>
    </w:p>
    <w:p w14:paraId="49556027" w14:textId="77777777" w:rsidR="00312EEB" w:rsidRDefault="00312EEB">
      <w:pPr>
        <w:pStyle w:val="Heading3"/>
        <w:spacing w:before="120"/>
        <w:rPr>
          <w:color w:val="000000"/>
        </w:rPr>
      </w:pPr>
      <w:r>
        <w:rPr>
          <w:color w:val="000000"/>
        </w:rPr>
        <w:t>Annual report</w:t>
      </w:r>
    </w:p>
    <w:p w14:paraId="6B569DB2" w14:textId="77777777" w:rsidR="00312EEB" w:rsidRDefault="00312EEB">
      <w:pPr>
        <w:pStyle w:val="allsections"/>
        <w:spacing w:before="60" w:after="60"/>
        <w:rPr>
          <w:color w:val="000000"/>
        </w:rPr>
      </w:pPr>
      <w:r>
        <w:rPr>
          <w:b/>
          <w:bCs/>
          <w:color w:val="000000"/>
        </w:rPr>
        <w:t xml:space="preserve">22.  </w:t>
      </w:r>
      <w:r>
        <w:rPr>
          <w:color w:val="000000"/>
        </w:rPr>
        <w:t>The Board shall, after each 30 June, prepare and furnish to the Assembly a report of the operations of the Board during the year that ended on that date.</w:t>
      </w:r>
    </w:p>
    <w:p w14:paraId="74EC9438" w14:textId="77777777" w:rsidR="00312EEB" w:rsidRDefault="00312EEB">
      <w:pPr>
        <w:pStyle w:val="Heading3"/>
        <w:spacing w:before="120"/>
        <w:rPr>
          <w:color w:val="000000"/>
        </w:rPr>
      </w:pPr>
      <w:r>
        <w:rPr>
          <w:color w:val="000000"/>
        </w:rPr>
        <w:lastRenderedPageBreak/>
        <w:t>Regulations</w:t>
      </w:r>
    </w:p>
    <w:p w14:paraId="32FF318A" w14:textId="77777777" w:rsidR="00312EEB" w:rsidRDefault="00312EEB">
      <w:pPr>
        <w:pStyle w:val="allsections"/>
        <w:spacing w:before="60" w:after="60"/>
        <w:rPr>
          <w:color w:val="000000"/>
        </w:rPr>
      </w:pPr>
      <w:r>
        <w:rPr>
          <w:b/>
          <w:bCs/>
          <w:color w:val="000000"/>
        </w:rPr>
        <w:t xml:space="preserve">23. </w:t>
      </w:r>
      <w:r>
        <w:rPr>
          <w:color w:val="000000"/>
        </w:rPr>
        <w:t xml:space="preserve"> The Executive may make regulations, not inconsistent with this Act, prescribing all matters that by this Act are required or permitted to be prescribed, or that are necessary or convenient to be prescribed, for carrying out or giving effect to this Act.</w:t>
      </w:r>
    </w:p>
    <w:p w14:paraId="031C4517" w14:textId="77777777" w:rsidR="00312EEB" w:rsidRDefault="00312EEB">
      <w:pPr>
        <w:pBdr>
          <w:bottom w:val="single" w:sz="6" w:space="0" w:color="auto"/>
        </w:pBdr>
        <w:ind w:right="20"/>
        <w:rPr>
          <w:color w:val="000000"/>
        </w:rPr>
      </w:pPr>
    </w:p>
    <w:p w14:paraId="6E93418B" w14:textId="77777777" w:rsidR="00312EEB" w:rsidRDefault="00312EEB">
      <w:pPr>
        <w:spacing w:before="240" w:after="160"/>
        <w:jc w:val="center"/>
        <w:rPr>
          <w:rFonts w:ascii="Helvetica" w:hAnsi="Helvetica" w:cs="Helvetica"/>
          <w:b/>
          <w:bCs/>
          <w:color w:val="000000"/>
          <w:sz w:val="20"/>
          <w:szCs w:val="20"/>
        </w:rPr>
      </w:pPr>
      <w:r>
        <w:rPr>
          <w:rFonts w:ascii="Helvetica" w:hAnsi="Helvetica" w:cs="Helvetica"/>
          <w:b/>
          <w:bCs/>
          <w:color w:val="000000"/>
          <w:sz w:val="20"/>
          <w:szCs w:val="20"/>
        </w:rPr>
        <w:t>NOTE</w:t>
      </w:r>
    </w:p>
    <w:p w14:paraId="22466890" w14:textId="77777777" w:rsidR="00312EEB" w:rsidRDefault="00312EEB">
      <w:pPr>
        <w:ind w:left="260" w:hanging="260"/>
        <w:rPr>
          <w:rFonts w:ascii="Helvetica" w:hAnsi="Helvetica" w:cs="Helvetica"/>
          <w:color w:val="000000"/>
          <w:sz w:val="18"/>
          <w:szCs w:val="18"/>
        </w:rPr>
      </w:pPr>
      <w:r>
        <w:rPr>
          <w:rFonts w:ascii="Helvetica" w:hAnsi="Helvetica" w:cs="Helvetica"/>
          <w:color w:val="000000"/>
          <w:sz w:val="18"/>
          <w:szCs w:val="18"/>
        </w:rPr>
        <w:t>1.</w:t>
      </w:r>
      <w:r>
        <w:rPr>
          <w:rFonts w:ascii="Helvetica" w:hAnsi="Helvetica" w:cs="Helvetica"/>
          <w:color w:val="000000"/>
          <w:sz w:val="18"/>
          <w:szCs w:val="18"/>
        </w:rPr>
        <w:tab/>
        <w:t xml:space="preserve">The </w:t>
      </w:r>
      <w:r>
        <w:rPr>
          <w:rFonts w:ascii="Helvetica" w:hAnsi="Helvetica" w:cs="Helvetica"/>
          <w:i/>
          <w:iCs/>
          <w:color w:val="000000"/>
          <w:sz w:val="18"/>
          <w:szCs w:val="18"/>
        </w:rPr>
        <w:t>Superannuation (Legislative Assembly Members) Act 1991</w:t>
      </w:r>
      <w:r>
        <w:rPr>
          <w:rFonts w:ascii="Helvetica" w:hAnsi="Helvetica" w:cs="Helvetica"/>
          <w:color w:val="000000"/>
          <w:sz w:val="18"/>
          <w:szCs w:val="18"/>
        </w:rPr>
        <w:t xml:space="preserve"> as shown in this reprint comprises Act No. 93, 1991 amended as indicated in the Tables below.</w:t>
      </w:r>
    </w:p>
    <w:p w14:paraId="0226187C" w14:textId="77777777" w:rsidR="00312EEB" w:rsidRDefault="00312EEB">
      <w:pPr>
        <w:spacing w:before="200" w:after="120"/>
        <w:ind w:left="140" w:right="20"/>
        <w:jc w:val="center"/>
        <w:rPr>
          <w:rFonts w:ascii="Helvetica" w:hAnsi="Helvetica" w:cs="Helvetica"/>
          <w:b/>
          <w:bCs/>
          <w:color w:val="000000"/>
          <w:sz w:val="20"/>
          <w:szCs w:val="20"/>
        </w:rPr>
      </w:pPr>
      <w:r>
        <w:rPr>
          <w:rFonts w:ascii="Helvetica" w:hAnsi="Helvetica" w:cs="Helvetica"/>
          <w:b/>
          <w:bCs/>
          <w:color w:val="000000"/>
          <w:sz w:val="20"/>
          <w:szCs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433FD2" w14:paraId="04B37920" w14:textId="77777777">
        <w:trPr>
          <w:cantSplit/>
        </w:trPr>
        <w:tc>
          <w:tcPr>
            <w:tcW w:w="2280" w:type="dxa"/>
            <w:tcBorders>
              <w:top w:val="single" w:sz="6" w:space="0" w:color="auto"/>
              <w:left w:val="nil"/>
              <w:bottom w:val="single" w:sz="2" w:space="0" w:color="auto"/>
              <w:right w:val="nil"/>
            </w:tcBorders>
          </w:tcPr>
          <w:p w14:paraId="0A85FB0E" w14:textId="77777777" w:rsidR="00312EEB" w:rsidRDefault="00312EEB">
            <w:pPr>
              <w:spacing w:before="700" w:after="100"/>
              <w:ind w:left="-40"/>
              <w:rPr>
                <w:rFonts w:ascii="Helvetica" w:hAnsi="Helvetica" w:cs="Helvetica"/>
                <w:color w:val="000000"/>
                <w:sz w:val="16"/>
                <w:szCs w:val="16"/>
              </w:rPr>
            </w:pPr>
            <w:r>
              <w:rPr>
                <w:rFonts w:ascii="Helvetica" w:hAnsi="Helvetica" w:cs="Helvetica"/>
                <w:color w:val="000000"/>
                <w:sz w:val="16"/>
                <w:szCs w:val="16"/>
              </w:rPr>
              <w:t>Act</w:t>
            </w:r>
          </w:p>
        </w:tc>
        <w:tc>
          <w:tcPr>
            <w:tcW w:w="1120" w:type="dxa"/>
            <w:tcBorders>
              <w:top w:val="single" w:sz="6" w:space="0" w:color="auto"/>
              <w:left w:val="nil"/>
              <w:bottom w:val="single" w:sz="2" w:space="0" w:color="auto"/>
              <w:right w:val="nil"/>
            </w:tcBorders>
          </w:tcPr>
          <w:p w14:paraId="50FD0FCB" w14:textId="77777777" w:rsidR="00312EEB" w:rsidRDefault="00312EEB">
            <w:pPr>
              <w:spacing w:before="480" w:after="0"/>
              <w:rPr>
                <w:rFonts w:ascii="Helvetica" w:hAnsi="Helvetica" w:cs="Helvetica"/>
                <w:color w:val="000000"/>
                <w:sz w:val="16"/>
                <w:szCs w:val="16"/>
              </w:rPr>
            </w:pPr>
            <w:r>
              <w:rPr>
                <w:rFonts w:ascii="Helvetica" w:hAnsi="Helvetica" w:cs="Helvetica"/>
                <w:color w:val="000000"/>
                <w:sz w:val="16"/>
                <w:szCs w:val="16"/>
              </w:rPr>
              <w:t xml:space="preserve">Number  </w:t>
            </w:r>
          </w:p>
          <w:p w14:paraId="1753C910" w14:textId="77777777" w:rsidR="00312EEB" w:rsidRDefault="00312EEB">
            <w:pPr>
              <w:spacing w:before="0" w:after="0"/>
              <w:rPr>
                <w:rFonts w:ascii="Helvetica" w:hAnsi="Helvetica" w:cs="Helvetica"/>
                <w:color w:val="000000"/>
                <w:sz w:val="16"/>
                <w:szCs w:val="16"/>
              </w:rPr>
            </w:pPr>
            <w:r>
              <w:rPr>
                <w:rFonts w:ascii="Helvetica" w:hAnsi="Helvetica" w:cs="Helvetica"/>
                <w:color w:val="000000"/>
                <w:sz w:val="16"/>
                <w:szCs w:val="16"/>
              </w:rPr>
              <w:t>and year</w:t>
            </w:r>
          </w:p>
        </w:tc>
        <w:tc>
          <w:tcPr>
            <w:tcW w:w="1260" w:type="dxa"/>
            <w:tcBorders>
              <w:top w:val="single" w:sz="6" w:space="0" w:color="auto"/>
              <w:left w:val="nil"/>
              <w:bottom w:val="single" w:sz="2" w:space="0" w:color="auto"/>
              <w:right w:val="nil"/>
            </w:tcBorders>
          </w:tcPr>
          <w:p w14:paraId="04552BB4" w14:textId="77777777" w:rsidR="00312EEB" w:rsidRDefault="00312EEB">
            <w:pPr>
              <w:spacing w:before="320" w:after="0"/>
              <w:rPr>
                <w:rFonts w:ascii="Helvetica" w:hAnsi="Helvetica" w:cs="Helvetica"/>
                <w:color w:val="000000"/>
                <w:sz w:val="16"/>
                <w:szCs w:val="16"/>
              </w:rPr>
            </w:pPr>
            <w:r>
              <w:rPr>
                <w:rFonts w:ascii="Helvetica" w:hAnsi="Helvetica" w:cs="Helvetica"/>
                <w:color w:val="000000"/>
                <w:sz w:val="16"/>
                <w:szCs w:val="16"/>
              </w:rPr>
              <w:t xml:space="preserve">Date of </w:t>
            </w:r>
          </w:p>
          <w:p w14:paraId="527A5768" w14:textId="77777777" w:rsidR="00312EEB" w:rsidRDefault="00312EEB">
            <w:pPr>
              <w:spacing w:before="0" w:after="0"/>
              <w:rPr>
                <w:rFonts w:ascii="Helvetica" w:hAnsi="Helvetica" w:cs="Helvetica"/>
                <w:color w:val="000000"/>
                <w:sz w:val="16"/>
                <w:szCs w:val="16"/>
              </w:rPr>
            </w:pPr>
            <w:r>
              <w:rPr>
                <w:rFonts w:ascii="Helvetica" w:hAnsi="Helvetica" w:cs="Helvetica"/>
                <w:color w:val="000000"/>
                <w:sz w:val="16"/>
                <w:szCs w:val="16"/>
              </w:rPr>
              <w:t xml:space="preserve">notification </w:t>
            </w:r>
          </w:p>
          <w:p w14:paraId="3A780168" w14:textId="77777777" w:rsidR="00312EEB" w:rsidRDefault="00312EEB">
            <w:pPr>
              <w:spacing w:before="0" w:after="0"/>
              <w:rPr>
                <w:rFonts w:ascii="Helvetica" w:hAnsi="Helvetica" w:cs="Helvetica"/>
                <w:color w:val="000000"/>
                <w:sz w:val="16"/>
                <w:szCs w:val="16"/>
              </w:rPr>
            </w:pPr>
            <w:r>
              <w:rPr>
                <w:rFonts w:ascii="Helvetica" w:hAnsi="Helvetica" w:cs="Helvetica"/>
                <w:color w:val="000000"/>
                <w:sz w:val="16"/>
                <w:szCs w:val="16"/>
              </w:rPr>
              <w:t xml:space="preserve">in </w:t>
            </w:r>
            <w:r>
              <w:rPr>
                <w:rFonts w:ascii="Helvetica" w:hAnsi="Helvetica" w:cs="Helvetica"/>
                <w:i/>
                <w:iCs/>
                <w:color w:val="000000"/>
                <w:sz w:val="16"/>
                <w:szCs w:val="16"/>
              </w:rPr>
              <w:t>Gazette</w:t>
            </w:r>
          </w:p>
        </w:tc>
        <w:tc>
          <w:tcPr>
            <w:tcW w:w="1360" w:type="dxa"/>
            <w:tcBorders>
              <w:top w:val="single" w:sz="6" w:space="0" w:color="auto"/>
              <w:left w:val="nil"/>
              <w:bottom w:val="single" w:sz="2" w:space="0" w:color="auto"/>
              <w:right w:val="nil"/>
            </w:tcBorders>
          </w:tcPr>
          <w:p w14:paraId="28DAB758" w14:textId="77777777" w:rsidR="00312EEB" w:rsidRDefault="00312EEB">
            <w:pPr>
              <w:spacing w:before="480" w:after="0"/>
              <w:rPr>
                <w:rFonts w:ascii="Helvetica" w:hAnsi="Helvetica" w:cs="Helvetica"/>
                <w:color w:val="000000"/>
                <w:sz w:val="16"/>
                <w:szCs w:val="16"/>
              </w:rPr>
            </w:pPr>
            <w:r>
              <w:rPr>
                <w:rFonts w:ascii="Helvetica" w:hAnsi="Helvetica" w:cs="Helvetica"/>
                <w:color w:val="000000"/>
                <w:sz w:val="16"/>
                <w:szCs w:val="16"/>
              </w:rPr>
              <w:t xml:space="preserve">Date of </w:t>
            </w:r>
          </w:p>
          <w:p w14:paraId="69B86629" w14:textId="77777777" w:rsidR="00312EEB" w:rsidRDefault="00312EEB">
            <w:pPr>
              <w:spacing w:before="0" w:after="0"/>
              <w:rPr>
                <w:rFonts w:ascii="Helvetica" w:hAnsi="Helvetica" w:cs="Helvetica"/>
                <w:color w:val="000000"/>
                <w:sz w:val="16"/>
                <w:szCs w:val="16"/>
              </w:rPr>
            </w:pPr>
            <w:r>
              <w:rPr>
                <w:rFonts w:ascii="Helvetica" w:hAnsi="Helvetica" w:cs="Helvetica"/>
                <w:color w:val="000000"/>
                <w:sz w:val="16"/>
                <w:szCs w:val="16"/>
              </w:rPr>
              <w:t>commencement</w:t>
            </w:r>
          </w:p>
        </w:tc>
        <w:tc>
          <w:tcPr>
            <w:tcW w:w="1200" w:type="dxa"/>
            <w:tcBorders>
              <w:top w:val="single" w:sz="6" w:space="0" w:color="auto"/>
              <w:left w:val="nil"/>
              <w:bottom w:val="single" w:sz="2" w:space="0" w:color="auto"/>
              <w:right w:val="nil"/>
            </w:tcBorders>
          </w:tcPr>
          <w:p w14:paraId="62341FC3" w14:textId="77777777" w:rsidR="00312EEB" w:rsidRDefault="00312EEB">
            <w:pPr>
              <w:spacing w:after="100"/>
              <w:jc w:val="right"/>
              <w:rPr>
                <w:rFonts w:ascii="Helvetica" w:hAnsi="Helvetica" w:cs="Helvetica"/>
                <w:color w:val="000000"/>
                <w:sz w:val="16"/>
                <w:szCs w:val="16"/>
              </w:rPr>
            </w:pPr>
            <w:r>
              <w:rPr>
                <w:rFonts w:ascii="Helvetica" w:hAnsi="Helvetica" w:cs="Helvetica"/>
                <w:color w:val="000000"/>
                <w:sz w:val="16"/>
                <w:szCs w:val="16"/>
              </w:rPr>
              <w:t>Application, saving or transitional provisions</w:t>
            </w:r>
          </w:p>
        </w:tc>
      </w:tr>
    </w:tbl>
    <w:p w14:paraId="743A68B5" w14:textId="77777777" w:rsidR="00312EEB" w:rsidRDefault="00312EEB">
      <w:pPr>
        <w:spacing w:before="0" w:after="0"/>
        <w:ind w:left="140" w:right="20"/>
        <w:rPr>
          <w:rFonts w:ascii="Helvetica" w:hAnsi="Helvetica" w:cs="Helvetica"/>
          <w:color w:val="000000"/>
          <w:sz w:val="8"/>
          <w:szCs w:val="8"/>
        </w:rPr>
      </w:pPr>
    </w:p>
    <w:p w14:paraId="7FCFEEC5" w14:textId="77777777" w:rsidR="00312EEB" w:rsidRDefault="00312EEB">
      <w:pPr>
        <w:spacing w:before="20" w:after="20"/>
        <w:rPr>
          <w:rFonts w:ascii="Helvetica" w:hAnsi="Helvetica" w:cs="Helvetica"/>
          <w:color w:val="000000"/>
        </w:rPr>
        <w:sectPr w:rsidR="00312EEB">
          <w:headerReference w:type="default" r:id="rId17"/>
          <w:footerReference w:type="default" r:id="rId18"/>
          <w:headerReference w:type="first" r:id="rId19"/>
          <w:footerReference w:type="first" r:id="rId20"/>
          <w:pgSz w:w="11907" w:h="16839"/>
          <w:pgMar w:top="3000" w:right="2300" w:bottom="2500" w:left="2300" w:header="2480" w:footer="2100" w:gutter="0"/>
          <w:pgNumType w:start="1"/>
          <w:cols w:space="709"/>
          <w:titlePg/>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433FD2" w14:paraId="117B749D" w14:textId="77777777">
        <w:trPr>
          <w:cantSplit/>
        </w:trPr>
        <w:tc>
          <w:tcPr>
            <w:tcW w:w="2240" w:type="dxa"/>
            <w:tcBorders>
              <w:top w:val="nil"/>
              <w:left w:val="nil"/>
              <w:bottom w:val="nil"/>
              <w:right w:val="nil"/>
            </w:tcBorders>
          </w:tcPr>
          <w:p w14:paraId="6708080E" w14:textId="77777777" w:rsidR="00312EEB" w:rsidRDefault="00312EEB">
            <w:pPr>
              <w:spacing w:before="0" w:after="0"/>
              <w:ind w:left="200" w:hanging="200"/>
              <w:jc w:val="left"/>
              <w:rPr>
                <w:rFonts w:ascii="Helvetica" w:hAnsi="Helvetica" w:cs="Helvetica"/>
                <w:i/>
                <w:iCs/>
                <w:color w:val="000000"/>
                <w:sz w:val="16"/>
                <w:szCs w:val="16"/>
              </w:rPr>
            </w:pPr>
            <w:r>
              <w:rPr>
                <w:rFonts w:ascii="Helvetica" w:hAnsi="Helvetica" w:cs="Helvetica"/>
                <w:i/>
                <w:iCs/>
                <w:color w:val="000000"/>
                <w:sz w:val="16"/>
                <w:szCs w:val="16"/>
              </w:rPr>
              <w:t>Superannuation (Legislative Assembly Members) Act 1991</w:t>
            </w:r>
          </w:p>
        </w:tc>
        <w:tc>
          <w:tcPr>
            <w:tcW w:w="1160" w:type="dxa"/>
            <w:tcBorders>
              <w:top w:val="nil"/>
              <w:left w:val="nil"/>
              <w:bottom w:val="nil"/>
              <w:right w:val="nil"/>
            </w:tcBorders>
          </w:tcPr>
          <w:p w14:paraId="3A29F11B" w14:textId="77777777" w:rsidR="00312EEB" w:rsidRDefault="00312EEB">
            <w:pPr>
              <w:spacing w:before="0" w:after="0"/>
              <w:jc w:val="left"/>
              <w:rPr>
                <w:rFonts w:ascii="Helvetica" w:hAnsi="Helvetica" w:cs="Helvetica"/>
                <w:color w:val="000000"/>
                <w:sz w:val="16"/>
                <w:szCs w:val="16"/>
              </w:rPr>
            </w:pPr>
            <w:r>
              <w:rPr>
                <w:rFonts w:ascii="Helvetica" w:hAnsi="Helvetica" w:cs="Helvetica"/>
                <w:color w:val="000000"/>
                <w:sz w:val="16"/>
                <w:szCs w:val="16"/>
              </w:rPr>
              <w:t>93, 1991</w:t>
            </w:r>
          </w:p>
        </w:tc>
        <w:tc>
          <w:tcPr>
            <w:tcW w:w="1280" w:type="dxa"/>
            <w:tcBorders>
              <w:top w:val="nil"/>
              <w:left w:val="nil"/>
              <w:bottom w:val="nil"/>
              <w:right w:val="nil"/>
            </w:tcBorders>
          </w:tcPr>
          <w:p w14:paraId="7613617C" w14:textId="77777777" w:rsidR="00312EEB" w:rsidRDefault="00312EEB">
            <w:pPr>
              <w:spacing w:before="0" w:after="0"/>
              <w:jc w:val="left"/>
              <w:rPr>
                <w:rFonts w:ascii="Helvetica" w:hAnsi="Helvetica" w:cs="Helvetica"/>
                <w:color w:val="000000"/>
                <w:sz w:val="16"/>
                <w:szCs w:val="16"/>
              </w:rPr>
            </w:pPr>
            <w:r>
              <w:rPr>
                <w:rFonts w:ascii="Helvetica" w:hAnsi="Helvetica" w:cs="Helvetica"/>
                <w:color w:val="000000"/>
                <w:sz w:val="16"/>
                <w:szCs w:val="16"/>
              </w:rPr>
              <w:t>24 Dec 1991</w:t>
            </w:r>
          </w:p>
        </w:tc>
        <w:tc>
          <w:tcPr>
            <w:tcW w:w="1360" w:type="dxa"/>
            <w:tcBorders>
              <w:top w:val="nil"/>
              <w:left w:val="nil"/>
              <w:bottom w:val="nil"/>
              <w:right w:val="nil"/>
            </w:tcBorders>
          </w:tcPr>
          <w:p w14:paraId="608FD997" w14:textId="77777777" w:rsidR="00312EEB" w:rsidRDefault="00312EEB">
            <w:pPr>
              <w:spacing w:before="0" w:after="0"/>
              <w:jc w:val="left"/>
              <w:rPr>
                <w:rFonts w:ascii="Helvetica" w:hAnsi="Helvetica" w:cs="Helvetica"/>
                <w:color w:val="000000"/>
                <w:sz w:val="16"/>
                <w:szCs w:val="16"/>
              </w:rPr>
            </w:pPr>
            <w:r>
              <w:rPr>
                <w:rFonts w:ascii="Helvetica" w:hAnsi="Helvetica" w:cs="Helvetica"/>
                <w:color w:val="000000"/>
                <w:sz w:val="16"/>
                <w:szCs w:val="16"/>
              </w:rPr>
              <w:t>Ss. 1 and 2:  24 Dec 1991</w:t>
            </w:r>
          </w:p>
          <w:p w14:paraId="099B6654" w14:textId="77777777" w:rsidR="00312EEB" w:rsidRDefault="00312EEB">
            <w:pPr>
              <w:spacing w:before="0" w:after="0"/>
              <w:jc w:val="left"/>
              <w:rPr>
                <w:rFonts w:ascii="Helvetica" w:hAnsi="Helvetica" w:cs="Helvetica"/>
                <w:color w:val="000000"/>
                <w:sz w:val="16"/>
                <w:szCs w:val="16"/>
              </w:rPr>
            </w:pPr>
            <w:r>
              <w:rPr>
                <w:rFonts w:ascii="Helvetica" w:hAnsi="Helvetica" w:cs="Helvetica"/>
                <w:color w:val="000000"/>
                <w:sz w:val="16"/>
                <w:szCs w:val="16"/>
              </w:rPr>
              <w:t>Remainder:  6 Jan 1992 (</w:t>
            </w:r>
            <w:r>
              <w:rPr>
                <w:rFonts w:ascii="Helvetica" w:hAnsi="Helvetica" w:cs="Helvetica"/>
                <w:i/>
                <w:iCs/>
                <w:color w:val="000000"/>
                <w:sz w:val="16"/>
                <w:szCs w:val="16"/>
              </w:rPr>
              <w:t>see Gazette</w:t>
            </w:r>
            <w:r>
              <w:rPr>
                <w:rFonts w:ascii="Helvetica" w:hAnsi="Helvetica" w:cs="Helvetica"/>
                <w:color w:val="000000"/>
                <w:sz w:val="16"/>
                <w:szCs w:val="16"/>
              </w:rPr>
              <w:t xml:space="preserve"> 1992, No. S1)</w:t>
            </w:r>
          </w:p>
        </w:tc>
        <w:tc>
          <w:tcPr>
            <w:tcW w:w="1180" w:type="dxa"/>
            <w:tcBorders>
              <w:top w:val="nil"/>
              <w:left w:val="nil"/>
              <w:bottom w:val="nil"/>
              <w:right w:val="nil"/>
            </w:tcBorders>
          </w:tcPr>
          <w:p w14:paraId="29B14A48" w14:textId="77777777" w:rsidR="00312EEB" w:rsidRDefault="00312EEB">
            <w:pPr>
              <w:spacing w:before="0" w:after="0"/>
              <w:jc w:val="right"/>
              <w:rPr>
                <w:rFonts w:ascii="Helvetica" w:hAnsi="Helvetica" w:cs="Helvetica"/>
                <w:color w:val="000000"/>
                <w:sz w:val="16"/>
                <w:szCs w:val="16"/>
              </w:rPr>
            </w:pPr>
            <w:r>
              <w:rPr>
                <w:rFonts w:ascii="Helvetica" w:hAnsi="Helvetica" w:cs="Helvetica"/>
                <w:color w:val="000000"/>
                <w:sz w:val="16"/>
                <w:szCs w:val="16"/>
              </w:rPr>
              <w:t>—</w:t>
            </w:r>
          </w:p>
        </w:tc>
      </w:tr>
      <w:tr w:rsidR="00433FD2" w14:paraId="37B7263D" w14:textId="77777777">
        <w:trPr>
          <w:cantSplit/>
        </w:trPr>
        <w:tc>
          <w:tcPr>
            <w:tcW w:w="2240" w:type="dxa"/>
            <w:tcBorders>
              <w:top w:val="nil"/>
              <w:left w:val="nil"/>
              <w:bottom w:val="nil"/>
              <w:right w:val="nil"/>
            </w:tcBorders>
          </w:tcPr>
          <w:p w14:paraId="48357750" w14:textId="77777777" w:rsidR="00312EEB" w:rsidRDefault="00312EEB">
            <w:pPr>
              <w:spacing w:before="0" w:after="0"/>
              <w:ind w:left="200" w:hanging="200"/>
              <w:jc w:val="left"/>
              <w:rPr>
                <w:rFonts w:ascii="Helvetica" w:hAnsi="Helvetica" w:cs="Helvetica"/>
                <w:i/>
                <w:iCs/>
                <w:color w:val="000000"/>
                <w:sz w:val="16"/>
                <w:szCs w:val="16"/>
              </w:rPr>
            </w:pPr>
            <w:r>
              <w:rPr>
                <w:rFonts w:ascii="Helvetica" w:hAnsi="Helvetica" w:cs="Helvetica"/>
                <w:i/>
                <w:iCs/>
                <w:color w:val="000000"/>
                <w:sz w:val="16"/>
                <w:szCs w:val="16"/>
              </w:rPr>
              <w:t>Administrative Appeals (Consequential Amendments) Act 1994</w:t>
            </w:r>
          </w:p>
        </w:tc>
        <w:tc>
          <w:tcPr>
            <w:tcW w:w="1160" w:type="dxa"/>
            <w:tcBorders>
              <w:top w:val="nil"/>
              <w:left w:val="nil"/>
              <w:bottom w:val="nil"/>
              <w:right w:val="nil"/>
            </w:tcBorders>
          </w:tcPr>
          <w:p w14:paraId="462F0E74" w14:textId="77777777" w:rsidR="00312EEB" w:rsidRDefault="00312EEB">
            <w:pPr>
              <w:spacing w:before="0" w:after="0"/>
              <w:jc w:val="left"/>
              <w:rPr>
                <w:rFonts w:ascii="Helvetica" w:hAnsi="Helvetica" w:cs="Helvetica"/>
                <w:color w:val="000000"/>
                <w:sz w:val="16"/>
                <w:szCs w:val="16"/>
              </w:rPr>
            </w:pPr>
            <w:r>
              <w:rPr>
                <w:rFonts w:ascii="Helvetica" w:hAnsi="Helvetica" w:cs="Helvetica"/>
                <w:color w:val="000000"/>
                <w:sz w:val="16"/>
                <w:szCs w:val="16"/>
              </w:rPr>
              <w:t>60, 1994</w:t>
            </w:r>
          </w:p>
        </w:tc>
        <w:tc>
          <w:tcPr>
            <w:tcW w:w="1280" w:type="dxa"/>
            <w:tcBorders>
              <w:top w:val="nil"/>
              <w:left w:val="nil"/>
              <w:bottom w:val="nil"/>
              <w:right w:val="nil"/>
            </w:tcBorders>
          </w:tcPr>
          <w:p w14:paraId="164A628B" w14:textId="77777777" w:rsidR="00312EEB" w:rsidRDefault="00312EEB">
            <w:pPr>
              <w:spacing w:before="0" w:after="0"/>
              <w:jc w:val="left"/>
              <w:rPr>
                <w:rFonts w:ascii="Helvetica" w:hAnsi="Helvetica" w:cs="Helvetica"/>
                <w:color w:val="000000"/>
                <w:sz w:val="16"/>
                <w:szCs w:val="16"/>
              </w:rPr>
            </w:pPr>
            <w:r>
              <w:rPr>
                <w:rFonts w:ascii="Helvetica" w:hAnsi="Helvetica" w:cs="Helvetica"/>
                <w:color w:val="000000"/>
                <w:sz w:val="16"/>
                <w:szCs w:val="16"/>
              </w:rPr>
              <w:t>11 Oct 1994</w:t>
            </w:r>
          </w:p>
        </w:tc>
        <w:tc>
          <w:tcPr>
            <w:tcW w:w="1360" w:type="dxa"/>
            <w:tcBorders>
              <w:top w:val="nil"/>
              <w:left w:val="nil"/>
              <w:bottom w:val="nil"/>
              <w:right w:val="nil"/>
            </w:tcBorders>
          </w:tcPr>
          <w:p w14:paraId="3EB31F46" w14:textId="77777777" w:rsidR="00312EEB" w:rsidRDefault="00312EEB">
            <w:pPr>
              <w:spacing w:before="0" w:after="0"/>
              <w:rPr>
                <w:rFonts w:ascii="Helvetica" w:hAnsi="Helvetica" w:cs="Helvetica"/>
                <w:color w:val="000000"/>
                <w:sz w:val="16"/>
                <w:szCs w:val="16"/>
              </w:rPr>
            </w:pPr>
            <w:r>
              <w:rPr>
                <w:rFonts w:ascii="Helvetica" w:hAnsi="Helvetica" w:cs="Helvetica"/>
                <w:color w:val="000000"/>
                <w:sz w:val="16"/>
                <w:szCs w:val="16"/>
              </w:rPr>
              <w:t>Ss. 1 and 2:  11 Oct 1994</w:t>
            </w:r>
          </w:p>
          <w:p w14:paraId="78C3A3C8" w14:textId="77777777" w:rsidR="00312EEB" w:rsidRDefault="00312EEB">
            <w:pPr>
              <w:spacing w:before="0" w:after="0"/>
              <w:jc w:val="left"/>
              <w:rPr>
                <w:rFonts w:ascii="Helvetica" w:hAnsi="Helvetica" w:cs="Helvetica"/>
                <w:color w:val="000000"/>
                <w:sz w:val="16"/>
                <w:szCs w:val="16"/>
              </w:rPr>
            </w:pPr>
            <w:r>
              <w:rPr>
                <w:rFonts w:ascii="Helvetica" w:hAnsi="Helvetica" w:cs="Helvetica"/>
                <w:color w:val="000000"/>
                <w:sz w:val="16"/>
                <w:szCs w:val="16"/>
              </w:rPr>
              <w:t>Remainder:   14 Nov 1994 (</w:t>
            </w:r>
            <w:r>
              <w:rPr>
                <w:rFonts w:ascii="Helvetica" w:hAnsi="Helvetica" w:cs="Helvetica"/>
                <w:i/>
                <w:iCs/>
                <w:color w:val="000000"/>
                <w:sz w:val="16"/>
                <w:szCs w:val="16"/>
              </w:rPr>
              <w:t xml:space="preserve">see </w:t>
            </w:r>
            <w:r>
              <w:rPr>
                <w:rFonts w:ascii="Helvetica" w:hAnsi="Helvetica" w:cs="Helvetica"/>
                <w:color w:val="000000"/>
                <w:sz w:val="16"/>
                <w:szCs w:val="16"/>
              </w:rPr>
              <w:t xml:space="preserve">s. 2 (2) and </w:t>
            </w:r>
            <w:r>
              <w:rPr>
                <w:rFonts w:ascii="Helvetica" w:hAnsi="Helvetica" w:cs="Helvetica"/>
                <w:i/>
                <w:iCs/>
                <w:color w:val="000000"/>
                <w:sz w:val="16"/>
                <w:szCs w:val="16"/>
              </w:rPr>
              <w:t>Gazette</w:t>
            </w:r>
            <w:r>
              <w:rPr>
                <w:rFonts w:ascii="Helvetica" w:hAnsi="Helvetica" w:cs="Helvetica"/>
                <w:color w:val="000000"/>
                <w:sz w:val="16"/>
                <w:szCs w:val="16"/>
              </w:rPr>
              <w:t xml:space="preserve"> 1994, No. S250)</w:t>
            </w:r>
          </w:p>
        </w:tc>
        <w:tc>
          <w:tcPr>
            <w:tcW w:w="1180" w:type="dxa"/>
            <w:tcBorders>
              <w:top w:val="nil"/>
              <w:left w:val="nil"/>
              <w:bottom w:val="nil"/>
              <w:right w:val="nil"/>
            </w:tcBorders>
          </w:tcPr>
          <w:p w14:paraId="046F2A51" w14:textId="77777777" w:rsidR="00312EEB" w:rsidRDefault="00312EEB">
            <w:pPr>
              <w:spacing w:before="0" w:after="0"/>
              <w:jc w:val="right"/>
              <w:rPr>
                <w:rFonts w:ascii="Helvetica" w:hAnsi="Helvetica" w:cs="Helvetica"/>
                <w:color w:val="000000"/>
                <w:sz w:val="16"/>
                <w:szCs w:val="16"/>
              </w:rPr>
            </w:pPr>
            <w:r>
              <w:rPr>
                <w:rFonts w:ascii="Helvetica" w:hAnsi="Helvetica" w:cs="Helvetica"/>
                <w:color w:val="000000"/>
                <w:sz w:val="16"/>
                <w:szCs w:val="16"/>
              </w:rPr>
              <w:t>—</w:t>
            </w:r>
          </w:p>
        </w:tc>
      </w:tr>
      <w:tr w:rsidR="00433FD2" w14:paraId="100ABDAC" w14:textId="77777777">
        <w:trPr>
          <w:cantSplit/>
        </w:trPr>
        <w:tc>
          <w:tcPr>
            <w:tcW w:w="2240" w:type="dxa"/>
            <w:tcBorders>
              <w:top w:val="nil"/>
              <w:left w:val="nil"/>
              <w:bottom w:val="single" w:sz="6" w:space="0" w:color="auto"/>
              <w:right w:val="nil"/>
            </w:tcBorders>
          </w:tcPr>
          <w:p w14:paraId="0842D093" w14:textId="77777777" w:rsidR="00312EEB" w:rsidRDefault="00312EEB">
            <w:pPr>
              <w:spacing w:before="0" w:after="0"/>
              <w:ind w:left="200" w:hanging="200"/>
              <w:jc w:val="left"/>
              <w:rPr>
                <w:rFonts w:ascii="Helvetica" w:hAnsi="Helvetica" w:cs="Helvetica"/>
                <w:i/>
                <w:iCs/>
                <w:color w:val="000000"/>
                <w:sz w:val="16"/>
                <w:szCs w:val="16"/>
              </w:rPr>
            </w:pPr>
            <w:r>
              <w:rPr>
                <w:rFonts w:ascii="Helvetica" w:hAnsi="Helvetica" w:cs="Helvetica"/>
                <w:i/>
                <w:iCs/>
                <w:color w:val="000000"/>
                <w:sz w:val="16"/>
                <w:szCs w:val="16"/>
              </w:rPr>
              <w:t>Financial Management and Audit (Consequential and Transitional Provisions) Act 1996</w:t>
            </w:r>
          </w:p>
          <w:p w14:paraId="064845C9" w14:textId="77777777" w:rsidR="00312EEB" w:rsidRDefault="00312EEB">
            <w:pPr>
              <w:spacing w:before="0" w:after="0"/>
              <w:ind w:left="200" w:hanging="200"/>
              <w:jc w:val="left"/>
              <w:rPr>
                <w:rFonts w:ascii="Helvetica" w:hAnsi="Helvetica" w:cs="Helvetica"/>
                <w:i/>
                <w:iCs/>
                <w:color w:val="000000"/>
                <w:sz w:val="16"/>
                <w:szCs w:val="16"/>
              </w:rPr>
            </w:pPr>
          </w:p>
        </w:tc>
        <w:tc>
          <w:tcPr>
            <w:tcW w:w="1160" w:type="dxa"/>
            <w:tcBorders>
              <w:top w:val="nil"/>
              <w:left w:val="nil"/>
              <w:bottom w:val="single" w:sz="6" w:space="0" w:color="auto"/>
              <w:right w:val="nil"/>
            </w:tcBorders>
          </w:tcPr>
          <w:p w14:paraId="1DA9F435" w14:textId="77777777" w:rsidR="00312EEB" w:rsidRDefault="00312EEB">
            <w:pPr>
              <w:spacing w:before="0" w:after="0"/>
              <w:jc w:val="left"/>
              <w:rPr>
                <w:rFonts w:ascii="Helvetica" w:hAnsi="Helvetica" w:cs="Helvetica"/>
                <w:color w:val="000000"/>
                <w:sz w:val="16"/>
                <w:szCs w:val="16"/>
              </w:rPr>
            </w:pPr>
            <w:r>
              <w:rPr>
                <w:rFonts w:ascii="Helvetica" w:hAnsi="Helvetica" w:cs="Helvetica"/>
                <w:color w:val="000000"/>
                <w:sz w:val="16"/>
                <w:szCs w:val="16"/>
              </w:rPr>
              <w:t>26, 1996</w:t>
            </w:r>
          </w:p>
        </w:tc>
        <w:tc>
          <w:tcPr>
            <w:tcW w:w="1280" w:type="dxa"/>
            <w:tcBorders>
              <w:top w:val="nil"/>
              <w:left w:val="nil"/>
              <w:bottom w:val="single" w:sz="6" w:space="0" w:color="auto"/>
              <w:right w:val="nil"/>
            </w:tcBorders>
          </w:tcPr>
          <w:p w14:paraId="1C0A53F9" w14:textId="77777777" w:rsidR="00312EEB" w:rsidRDefault="00312EEB">
            <w:pPr>
              <w:spacing w:before="0" w:after="0"/>
              <w:jc w:val="left"/>
              <w:rPr>
                <w:rFonts w:ascii="Helvetica" w:hAnsi="Helvetica" w:cs="Helvetica"/>
                <w:color w:val="000000"/>
                <w:sz w:val="16"/>
                <w:szCs w:val="16"/>
              </w:rPr>
            </w:pPr>
            <w:r>
              <w:rPr>
                <w:rFonts w:ascii="Helvetica" w:hAnsi="Helvetica" w:cs="Helvetica"/>
                <w:color w:val="000000"/>
                <w:sz w:val="16"/>
                <w:szCs w:val="16"/>
              </w:rPr>
              <w:t>1 July 1996</w:t>
            </w:r>
          </w:p>
        </w:tc>
        <w:tc>
          <w:tcPr>
            <w:tcW w:w="1360" w:type="dxa"/>
            <w:tcBorders>
              <w:top w:val="nil"/>
              <w:left w:val="nil"/>
              <w:bottom w:val="single" w:sz="6" w:space="0" w:color="auto"/>
              <w:right w:val="nil"/>
            </w:tcBorders>
          </w:tcPr>
          <w:p w14:paraId="53442C35" w14:textId="77777777" w:rsidR="00312EEB" w:rsidRDefault="00312EEB">
            <w:pPr>
              <w:spacing w:before="0" w:after="0"/>
              <w:rPr>
                <w:rFonts w:ascii="Helvetica" w:hAnsi="Helvetica" w:cs="Helvetica"/>
                <w:color w:val="000000"/>
                <w:sz w:val="16"/>
                <w:szCs w:val="16"/>
              </w:rPr>
            </w:pPr>
            <w:r>
              <w:rPr>
                <w:rFonts w:ascii="Helvetica" w:hAnsi="Helvetica" w:cs="Helvetica"/>
                <w:color w:val="000000"/>
                <w:sz w:val="16"/>
                <w:szCs w:val="16"/>
              </w:rPr>
              <w:t>1 July 1996</w:t>
            </w:r>
          </w:p>
        </w:tc>
        <w:tc>
          <w:tcPr>
            <w:tcW w:w="1180" w:type="dxa"/>
            <w:tcBorders>
              <w:top w:val="nil"/>
              <w:left w:val="nil"/>
              <w:bottom w:val="single" w:sz="6" w:space="0" w:color="auto"/>
              <w:right w:val="nil"/>
            </w:tcBorders>
          </w:tcPr>
          <w:p w14:paraId="7960C24B" w14:textId="77777777" w:rsidR="00312EEB" w:rsidRDefault="00312EEB">
            <w:pPr>
              <w:spacing w:before="0" w:after="0"/>
              <w:jc w:val="right"/>
              <w:rPr>
                <w:rFonts w:ascii="Helvetica" w:hAnsi="Helvetica" w:cs="Helvetica"/>
                <w:color w:val="000000"/>
                <w:sz w:val="16"/>
                <w:szCs w:val="16"/>
              </w:rPr>
            </w:pPr>
            <w:r>
              <w:rPr>
                <w:rFonts w:ascii="Helvetica" w:hAnsi="Helvetica" w:cs="Helvetica"/>
                <w:color w:val="000000"/>
                <w:sz w:val="16"/>
                <w:szCs w:val="16"/>
              </w:rPr>
              <w:t>—</w:t>
            </w:r>
          </w:p>
        </w:tc>
      </w:tr>
    </w:tbl>
    <w:p w14:paraId="071B1DDE" w14:textId="77777777" w:rsidR="00312EEB" w:rsidRDefault="00312EEB">
      <w:pPr>
        <w:spacing w:before="20" w:after="20"/>
        <w:rPr>
          <w:rFonts w:ascii="Helvetica" w:hAnsi="Helvetica" w:cs="Helvetica"/>
          <w:color w:val="000000"/>
        </w:rPr>
        <w:sectPr w:rsidR="00312EEB" w:rsidSect="00186288">
          <w:headerReference w:type="default" r:id="rId21"/>
          <w:type w:val="continuous"/>
          <w:pgSz w:w="11907" w:h="16839" w:code="9"/>
          <w:pgMar w:top="2999" w:right="2302" w:bottom="2500" w:left="2302" w:header="2478" w:footer="2098" w:gutter="0"/>
          <w:cols w:space="709"/>
          <w:titlePg/>
        </w:sectPr>
      </w:pPr>
    </w:p>
    <w:p w14:paraId="365591D6" w14:textId="77777777" w:rsidR="00312EEB" w:rsidRDefault="00312EEB">
      <w:pPr>
        <w:ind w:right="20"/>
        <w:jc w:val="center"/>
        <w:rPr>
          <w:rFonts w:ascii="Helvetica" w:hAnsi="Helvetica" w:cs="Helvetica"/>
          <w:b/>
          <w:bCs/>
          <w:color w:val="000000"/>
          <w:sz w:val="20"/>
          <w:szCs w:val="20"/>
        </w:rPr>
      </w:pPr>
      <w:r>
        <w:rPr>
          <w:rFonts w:ascii="Helvetica" w:hAnsi="Helvetica" w:cs="Helvetica"/>
          <w:b/>
          <w:bCs/>
          <w:color w:val="000000"/>
          <w:sz w:val="20"/>
          <w:szCs w:val="20"/>
        </w:rPr>
        <w:lastRenderedPageBreak/>
        <w:t>Table of Amendments</w:t>
      </w:r>
    </w:p>
    <w:p w14:paraId="0BC87D76" w14:textId="77777777" w:rsidR="00312EEB" w:rsidRDefault="00312EEB">
      <w:pPr>
        <w:spacing w:before="20"/>
        <w:ind w:left="520" w:right="20"/>
        <w:jc w:val="left"/>
        <w:rPr>
          <w:rFonts w:ascii="Helvetica" w:hAnsi="Helvetica" w:cs="Helvetica"/>
          <w:b/>
          <w:bCs/>
          <w:color w:val="000000"/>
          <w:sz w:val="16"/>
          <w:szCs w:val="16"/>
        </w:rPr>
      </w:pPr>
      <w:r>
        <w:rPr>
          <w:rFonts w:ascii="Helvetica" w:hAnsi="Helvetica" w:cs="Helvetica"/>
          <w:color w:val="000000"/>
          <w:sz w:val="16"/>
          <w:szCs w:val="16"/>
        </w:rPr>
        <w:t>ad. = added or inserted      am. = amended     rep. = repealed      rs. = repealed and substituted</w:t>
      </w:r>
    </w:p>
    <w:p w14:paraId="2581CC9E" w14:textId="77777777" w:rsidR="00312EEB" w:rsidRDefault="00312EEB">
      <w:pPr>
        <w:pBdr>
          <w:top w:val="single" w:sz="6" w:space="0" w:color="auto"/>
        </w:pBdr>
        <w:tabs>
          <w:tab w:val="left" w:pos="2200"/>
        </w:tabs>
        <w:spacing w:before="20" w:after="20"/>
        <w:ind w:left="260" w:right="20"/>
        <w:rPr>
          <w:rFonts w:ascii="Helvetica" w:hAnsi="Helvetica" w:cs="Helvetica"/>
          <w:color w:val="000000"/>
          <w:sz w:val="8"/>
          <w:szCs w:val="8"/>
        </w:rPr>
      </w:pPr>
    </w:p>
    <w:p w14:paraId="7F939E70" w14:textId="77777777" w:rsidR="00312EEB" w:rsidRDefault="00312EEB">
      <w:pPr>
        <w:pBdr>
          <w:top w:val="single" w:sz="6" w:space="0" w:color="auto"/>
        </w:pBdr>
        <w:tabs>
          <w:tab w:val="left" w:pos="2200"/>
        </w:tabs>
        <w:spacing w:before="20" w:after="20"/>
        <w:ind w:left="260" w:right="20"/>
        <w:rPr>
          <w:rFonts w:ascii="Helvetica" w:hAnsi="Helvetica" w:cs="Helvetica"/>
          <w:color w:val="000000"/>
          <w:sz w:val="16"/>
          <w:szCs w:val="16"/>
        </w:rPr>
      </w:pPr>
      <w:r>
        <w:rPr>
          <w:rFonts w:ascii="Helvetica" w:hAnsi="Helvetica" w:cs="Helvetica"/>
          <w:color w:val="000000"/>
          <w:sz w:val="16"/>
          <w:szCs w:val="16"/>
        </w:rPr>
        <w:t>Provision</w:t>
      </w:r>
      <w:r>
        <w:rPr>
          <w:rFonts w:ascii="Helvetica" w:hAnsi="Helvetica" w:cs="Helvetica"/>
          <w:color w:val="000000"/>
          <w:sz w:val="16"/>
          <w:szCs w:val="16"/>
        </w:rPr>
        <w:tab/>
        <w:t>How affected</w:t>
      </w:r>
    </w:p>
    <w:p w14:paraId="5D32351B" w14:textId="77777777" w:rsidR="00312EEB" w:rsidRDefault="00312EEB">
      <w:pPr>
        <w:pBdr>
          <w:bottom w:val="single" w:sz="2" w:space="0" w:color="auto"/>
        </w:pBdr>
        <w:tabs>
          <w:tab w:val="left" w:pos="2200"/>
        </w:tabs>
        <w:spacing w:before="20" w:after="20"/>
        <w:ind w:left="260" w:right="20"/>
        <w:rPr>
          <w:rFonts w:ascii="Helvetica" w:hAnsi="Helvetica" w:cs="Helvetica"/>
          <w:color w:val="000000"/>
          <w:sz w:val="16"/>
          <w:szCs w:val="16"/>
        </w:rPr>
      </w:pPr>
    </w:p>
    <w:p w14:paraId="6A2C47EA" w14:textId="77777777" w:rsidR="00312EEB" w:rsidRDefault="00312EEB">
      <w:pPr>
        <w:tabs>
          <w:tab w:val="left" w:leader="dot" w:pos="2200"/>
        </w:tabs>
        <w:spacing w:before="20" w:after="20"/>
        <w:ind w:left="260" w:right="20"/>
        <w:rPr>
          <w:rFonts w:ascii="Helvetica" w:hAnsi="Helvetica" w:cs="Helvetica"/>
          <w:color w:val="000000"/>
          <w:sz w:val="8"/>
          <w:szCs w:val="8"/>
        </w:rPr>
      </w:pPr>
    </w:p>
    <w:p w14:paraId="3FCFC68E" w14:textId="77777777" w:rsidR="00312EEB" w:rsidRDefault="00312EEB">
      <w:pPr>
        <w:tabs>
          <w:tab w:val="left" w:leader="dot" w:pos="2200"/>
        </w:tabs>
        <w:spacing w:before="20" w:after="20"/>
        <w:ind w:left="2420" w:hanging="2160"/>
        <w:rPr>
          <w:rFonts w:ascii="Helvetica" w:hAnsi="Helvetica" w:cs="Helvetica"/>
          <w:color w:val="000000"/>
          <w:sz w:val="16"/>
          <w:szCs w:val="16"/>
        </w:rPr>
      </w:pPr>
      <w:r>
        <w:rPr>
          <w:rFonts w:ascii="Helvetica" w:hAnsi="Helvetica" w:cs="Helvetica"/>
          <w:color w:val="000000"/>
          <w:sz w:val="16"/>
          <w:szCs w:val="16"/>
        </w:rPr>
        <w:t>S. 3</w:t>
      </w:r>
      <w:r>
        <w:rPr>
          <w:rFonts w:ascii="Helvetica" w:hAnsi="Helvetica" w:cs="Helvetica"/>
          <w:color w:val="000000"/>
          <w:sz w:val="16"/>
          <w:szCs w:val="16"/>
        </w:rPr>
        <w:tab/>
        <w:t>am. No. 26, 1996</w:t>
      </w:r>
    </w:p>
    <w:p w14:paraId="21011AAB" w14:textId="77777777" w:rsidR="00312EEB" w:rsidRDefault="00312EEB">
      <w:pPr>
        <w:tabs>
          <w:tab w:val="left" w:leader="dot" w:pos="2200"/>
        </w:tabs>
        <w:spacing w:before="20" w:after="20"/>
        <w:ind w:left="2420" w:hanging="2160"/>
        <w:rPr>
          <w:rFonts w:ascii="Helvetica" w:hAnsi="Helvetica" w:cs="Helvetica"/>
          <w:color w:val="000000"/>
          <w:sz w:val="16"/>
          <w:szCs w:val="16"/>
        </w:rPr>
      </w:pPr>
      <w:r>
        <w:rPr>
          <w:rFonts w:ascii="Helvetica" w:hAnsi="Helvetica" w:cs="Helvetica"/>
          <w:color w:val="000000"/>
          <w:sz w:val="16"/>
          <w:szCs w:val="16"/>
        </w:rPr>
        <w:t>Ss. 13, 14</w:t>
      </w:r>
      <w:r>
        <w:rPr>
          <w:rFonts w:ascii="Helvetica" w:hAnsi="Helvetica" w:cs="Helvetica"/>
          <w:color w:val="000000"/>
          <w:sz w:val="16"/>
          <w:szCs w:val="16"/>
        </w:rPr>
        <w:tab/>
        <w:t>am. No. 26, 1996</w:t>
      </w:r>
    </w:p>
    <w:p w14:paraId="4268C6DF" w14:textId="77777777" w:rsidR="00312EEB" w:rsidRDefault="00312EEB">
      <w:pPr>
        <w:tabs>
          <w:tab w:val="left" w:leader="dot" w:pos="2200"/>
        </w:tabs>
        <w:spacing w:before="20" w:after="20"/>
        <w:ind w:left="2420" w:hanging="2160"/>
        <w:rPr>
          <w:rFonts w:ascii="Helvetica" w:hAnsi="Helvetica" w:cs="Helvetica"/>
          <w:color w:val="000000"/>
          <w:sz w:val="16"/>
          <w:szCs w:val="16"/>
        </w:rPr>
      </w:pPr>
      <w:r>
        <w:rPr>
          <w:rFonts w:ascii="Helvetica" w:hAnsi="Helvetica" w:cs="Helvetica"/>
          <w:color w:val="000000"/>
          <w:sz w:val="16"/>
          <w:szCs w:val="16"/>
        </w:rPr>
        <w:t>Ss. 20, 21</w:t>
      </w:r>
      <w:r>
        <w:rPr>
          <w:rFonts w:ascii="Helvetica" w:hAnsi="Helvetica" w:cs="Helvetica"/>
          <w:color w:val="000000"/>
          <w:sz w:val="16"/>
          <w:szCs w:val="16"/>
        </w:rPr>
        <w:tab/>
        <w:t>am. No. 60, 1994</w:t>
      </w:r>
    </w:p>
    <w:p w14:paraId="48A22E0E" w14:textId="77777777" w:rsidR="00312EEB" w:rsidRDefault="00312EEB">
      <w:pPr>
        <w:pBdr>
          <w:bottom w:val="single" w:sz="6" w:space="0" w:color="auto"/>
        </w:pBdr>
        <w:tabs>
          <w:tab w:val="left" w:leader="dot" w:pos="2200"/>
        </w:tabs>
        <w:spacing w:before="20" w:after="20"/>
        <w:ind w:left="2420" w:hanging="2160"/>
        <w:rPr>
          <w:rFonts w:ascii="Helvetica" w:hAnsi="Helvetica" w:cs="Helvetica"/>
          <w:color w:val="000000"/>
          <w:sz w:val="16"/>
          <w:szCs w:val="16"/>
        </w:rPr>
      </w:pPr>
    </w:p>
    <w:p w14:paraId="10CDAF26" w14:textId="77777777" w:rsidR="00312EEB" w:rsidRDefault="00312EEB">
      <w:pPr>
        <w:tabs>
          <w:tab w:val="left" w:leader="dot" w:pos="2200"/>
        </w:tabs>
        <w:spacing w:before="20" w:after="20"/>
        <w:ind w:left="2420" w:hanging="2160"/>
        <w:rPr>
          <w:rFonts w:ascii="Helvetica" w:hAnsi="Helvetica" w:cs="Helvetica"/>
          <w:color w:val="000000"/>
          <w:sz w:val="16"/>
          <w:szCs w:val="16"/>
        </w:rPr>
      </w:pPr>
    </w:p>
    <w:p w14:paraId="54944267" w14:textId="77777777" w:rsidR="00316205" w:rsidRDefault="00316205" w:rsidP="00316205"/>
    <w:p w14:paraId="56C44AF9" w14:textId="77777777" w:rsidR="00316205" w:rsidRDefault="00316205" w:rsidP="00316205"/>
    <w:p w14:paraId="437D1F54" w14:textId="77777777" w:rsidR="00316205" w:rsidRDefault="00316205" w:rsidP="00316205">
      <w:pPr>
        <w:rPr>
          <w:color w:val="000000"/>
          <w:sz w:val="22"/>
        </w:rPr>
      </w:pPr>
      <w:r>
        <w:rPr>
          <w:color w:val="000000"/>
          <w:sz w:val="22"/>
        </w:rPr>
        <w:t>©  Australian Capital Territory 2024</w:t>
      </w:r>
    </w:p>
    <w:p w14:paraId="3227B06F" w14:textId="77777777" w:rsidR="00316205" w:rsidRDefault="00316205" w:rsidP="00316205"/>
    <w:p w14:paraId="3DC4F309" w14:textId="77777777" w:rsidR="00312EEB" w:rsidRDefault="00312EEB">
      <w:pPr>
        <w:ind w:left="260" w:hanging="260"/>
        <w:rPr>
          <w:rFonts w:ascii="Helvetica" w:hAnsi="Helvetica" w:cs="Helvetica"/>
          <w:color w:val="000000"/>
          <w:sz w:val="18"/>
          <w:szCs w:val="18"/>
        </w:rPr>
      </w:pPr>
    </w:p>
    <w:sectPr w:rsidR="00312EEB">
      <w:headerReference w:type="default" r:id="rId22"/>
      <w:headerReference w:type="first" r:id="rId23"/>
      <w:footerReference w:type="first" r:id="rId24"/>
      <w:pgSz w:w="11907" w:h="16839"/>
      <w:pgMar w:top="3000" w:right="2300" w:bottom="2500" w:left="2300" w:header="2480" w:footer="210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7AC5" w14:textId="77777777" w:rsidR="00312EEB" w:rsidRDefault="00312EEB">
      <w:pPr>
        <w:spacing w:before="0" w:after="0"/>
      </w:pPr>
      <w:r>
        <w:separator/>
      </w:r>
    </w:p>
  </w:endnote>
  <w:endnote w:type="continuationSeparator" w:id="0">
    <w:p w14:paraId="53FDB050" w14:textId="77777777" w:rsidR="00312EEB" w:rsidRDefault="00312E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A533" w14:textId="77777777" w:rsidR="00A0312D" w:rsidRDefault="00A03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005F" w14:textId="0A4A2ACC" w:rsidR="00576E19" w:rsidRPr="00B63FED" w:rsidRDefault="00576E19" w:rsidP="00B63FED">
    <w:pPr>
      <w:pStyle w:val="Footer"/>
      <w:jc w:val="center"/>
      <w:rPr>
        <w:rFonts w:ascii="Arial" w:hAnsi="Arial" w:cs="Arial"/>
        <w:sz w:val="14"/>
      </w:rPr>
    </w:pPr>
    <w:r w:rsidRPr="00B63FED">
      <w:rPr>
        <w:rFonts w:ascii="Arial" w:hAnsi="Arial" w:cs="Arial"/>
        <w:sz w:val="14"/>
      </w:rPr>
      <w:fldChar w:fldCharType="begin"/>
    </w:r>
    <w:r w:rsidRPr="00B63FED">
      <w:rPr>
        <w:rFonts w:ascii="Arial" w:hAnsi="Arial" w:cs="Arial"/>
        <w:sz w:val="14"/>
      </w:rPr>
      <w:instrText xml:space="preserve"> COMMENTS  \* MERGEFORMAT </w:instrText>
    </w:r>
    <w:r w:rsidRPr="00B63FED">
      <w:rPr>
        <w:rFonts w:ascii="Arial" w:hAnsi="Arial" w:cs="Arial"/>
        <w:sz w:val="14"/>
      </w:rPr>
      <w:fldChar w:fldCharType="end"/>
    </w:r>
    <w:r w:rsidR="00B63FED" w:rsidRPr="00B63FED">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24F1" w14:textId="77777777" w:rsidR="00576E19" w:rsidRDefault="00576E19">
    <w:pPr>
      <w:pStyle w:val="Footer"/>
    </w:pPr>
    <w:r>
      <w:fldChar w:fldCharType="begin"/>
    </w:r>
    <w:r>
      <w:instrText xml:space="preserve"> PAGE   \* MERGEFORMAT </w:instrText>
    </w:r>
    <w:r>
      <w:fldChar w:fldCharType="separate"/>
    </w:r>
    <w:r>
      <w:rPr>
        <w:noProof/>
      </w:rPr>
      <w:t>2</w:t>
    </w:r>
    <w:r>
      <w:rPr>
        <w:noProof/>
      </w:rPr>
      <w:fldChar w:fldCharType="end"/>
    </w:r>
  </w:p>
  <w:p w14:paraId="4BBEF450" w14:textId="18EAFF20" w:rsidR="00576E19" w:rsidRPr="00B63FED" w:rsidRDefault="00B63FED" w:rsidP="00B63FED">
    <w:pPr>
      <w:pStyle w:val="Footer"/>
      <w:jc w:val="center"/>
      <w:rPr>
        <w:rFonts w:ascii="Arial" w:hAnsi="Arial" w:cs="Arial"/>
        <w:sz w:val="14"/>
      </w:rPr>
    </w:pPr>
    <w:r w:rsidRPr="00B63FED">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708D" w14:textId="77777777" w:rsidR="00312EEB" w:rsidRDefault="00312EEB">
    <w:pPr>
      <w:pStyle w:val="Footer"/>
      <w:jc w:val="center"/>
      <w:rPr>
        <w:sz w:val="20"/>
        <w:szCs w:val="20"/>
      </w:rPr>
    </w:pPr>
    <w:r>
      <w:rPr>
        <w:sz w:val="20"/>
        <w:szCs w:val="20"/>
      </w:rPr>
      <w:pgNum/>
    </w:r>
  </w:p>
  <w:p w14:paraId="7BDCB03A" w14:textId="1084809C" w:rsidR="00312EEB" w:rsidRPr="00B63FED" w:rsidRDefault="00312EEB" w:rsidP="00B63FED">
    <w:pPr>
      <w:pStyle w:val="Status"/>
    </w:pPr>
    <w:r w:rsidRPr="00B63FED">
      <w:fldChar w:fldCharType="begin"/>
    </w:r>
    <w:r w:rsidRPr="00B63FED">
      <w:instrText xml:space="preserve"> DOCPROPERTY "Status" </w:instrText>
    </w:r>
    <w:r w:rsidRPr="00B63FED">
      <w:fldChar w:fldCharType="separate"/>
    </w:r>
    <w:r w:rsidR="00A0312D" w:rsidRPr="00B63FED">
      <w:t xml:space="preserve"> </w:t>
    </w:r>
    <w:r w:rsidRPr="00B63FED">
      <w:fldChar w:fldCharType="end"/>
    </w:r>
    <w:r w:rsidR="00B63FED" w:rsidRPr="00B63FED">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36F8" w14:textId="77777777" w:rsidR="00312EEB" w:rsidRDefault="00312EEB">
    <w:pPr>
      <w:pStyle w:val="Footer"/>
    </w:pPr>
  </w:p>
  <w:p w14:paraId="48E590C6" w14:textId="5A58821D" w:rsidR="00312EEB" w:rsidRPr="00B63FED" w:rsidRDefault="00312EEB" w:rsidP="00B63FED">
    <w:pPr>
      <w:pStyle w:val="Status"/>
    </w:pPr>
    <w:r w:rsidRPr="00B63FED">
      <w:fldChar w:fldCharType="begin"/>
    </w:r>
    <w:r w:rsidRPr="00B63FED">
      <w:instrText xml:space="preserve"> DOCPROPERTY "Status" </w:instrText>
    </w:r>
    <w:r w:rsidRPr="00B63FED">
      <w:fldChar w:fldCharType="separate"/>
    </w:r>
    <w:r w:rsidR="00A0312D" w:rsidRPr="00B63FED">
      <w:t xml:space="preserve"> </w:t>
    </w:r>
    <w:r w:rsidRPr="00B63FED">
      <w:fldChar w:fldCharType="end"/>
    </w:r>
    <w:r w:rsidR="00B63FED" w:rsidRPr="00B63FED">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0465" w14:textId="77777777" w:rsidR="00312EEB" w:rsidRDefault="00312EEB">
    <w:pPr>
      <w:pStyle w:val="Footer"/>
      <w:jc w:val="center"/>
      <w:rPr>
        <w:sz w:val="20"/>
        <w:szCs w:val="20"/>
      </w:rPr>
    </w:pPr>
    <w:r>
      <w:rPr>
        <w:sz w:val="20"/>
        <w:szCs w:val="20"/>
      </w:rPr>
      <w:pgNum/>
    </w:r>
  </w:p>
  <w:p w14:paraId="78D9698F" w14:textId="1BB432BB" w:rsidR="00312EEB" w:rsidRPr="00B63FED" w:rsidRDefault="00312EEB" w:rsidP="00B63FED">
    <w:pPr>
      <w:pStyle w:val="Status"/>
    </w:pPr>
    <w:r w:rsidRPr="00B63FED">
      <w:fldChar w:fldCharType="begin"/>
    </w:r>
    <w:r w:rsidRPr="00B63FED">
      <w:instrText xml:space="preserve"> DOCPROPERTY "Status" </w:instrText>
    </w:r>
    <w:r w:rsidRPr="00B63FED">
      <w:fldChar w:fldCharType="separate"/>
    </w:r>
    <w:r w:rsidR="00A0312D" w:rsidRPr="00B63FED">
      <w:t xml:space="preserve"> </w:t>
    </w:r>
    <w:r w:rsidRPr="00B63FED">
      <w:fldChar w:fldCharType="end"/>
    </w:r>
    <w:r w:rsidR="00B63FED" w:rsidRPr="00B63FED">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124D" w14:textId="77777777" w:rsidR="00312EEB" w:rsidRDefault="00312EEB">
    <w:pPr>
      <w:pStyle w:val="Footer"/>
      <w:jc w:val="center"/>
    </w:pPr>
  </w:p>
  <w:p w14:paraId="27E304E4" w14:textId="46468DA1" w:rsidR="00312EEB" w:rsidRPr="00B63FED" w:rsidRDefault="00312EEB" w:rsidP="00B63FED">
    <w:pPr>
      <w:pStyle w:val="Status"/>
    </w:pPr>
    <w:r w:rsidRPr="00B63FED">
      <w:fldChar w:fldCharType="begin"/>
    </w:r>
    <w:r w:rsidRPr="00B63FED">
      <w:instrText xml:space="preserve"> DOCPROPERTY "Status" </w:instrText>
    </w:r>
    <w:r w:rsidRPr="00B63FED">
      <w:fldChar w:fldCharType="separate"/>
    </w:r>
    <w:r w:rsidR="00A0312D" w:rsidRPr="00B63FED">
      <w:t xml:space="preserve"> </w:t>
    </w:r>
    <w:r w:rsidRPr="00B63FED">
      <w:fldChar w:fldCharType="end"/>
    </w:r>
    <w:r w:rsidR="00B63FED" w:rsidRPr="00B63FED">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C831" w14:textId="77777777" w:rsidR="00312EEB" w:rsidRDefault="00312EEB">
    <w:pPr>
      <w:pStyle w:val="Footer"/>
      <w:jc w:val="center"/>
      <w:rPr>
        <w:rStyle w:val="PageNumbe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16</w:t>
    </w:r>
    <w:r>
      <w:rPr>
        <w:rStyle w:val="PageNumber"/>
        <w:sz w:val="20"/>
        <w:szCs w:val="20"/>
      </w:rPr>
      <w:fldChar w:fldCharType="end"/>
    </w:r>
  </w:p>
  <w:p w14:paraId="039BF152" w14:textId="6B0AF038" w:rsidR="00312EEB" w:rsidRPr="00B63FED" w:rsidRDefault="00312EEB" w:rsidP="00B63FED">
    <w:pPr>
      <w:pStyle w:val="Status"/>
    </w:pPr>
    <w:r w:rsidRPr="00B63FED">
      <w:fldChar w:fldCharType="begin"/>
    </w:r>
    <w:r w:rsidRPr="00B63FED">
      <w:instrText xml:space="preserve"> DOCPROPERTY "Status" </w:instrText>
    </w:r>
    <w:r w:rsidRPr="00B63FED">
      <w:fldChar w:fldCharType="separate"/>
    </w:r>
    <w:r w:rsidR="00A0312D" w:rsidRPr="00B63FED">
      <w:t xml:space="preserve"> </w:t>
    </w:r>
    <w:r w:rsidRPr="00B63FED">
      <w:fldChar w:fldCharType="end"/>
    </w:r>
    <w:r w:rsidR="00B63FED" w:rsidRPr="00B63FED">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866D1" w14:textId="77777777" w:rsidR="00312EEB" w:rsidRDefault="00312EEB">
      <w:pPr>
        <w:spacing w:before="0" w:after="0"/>
      </w:pPr>
      <w:r>
        <w:separator/>
      </w:r>
    </w:p>
  </w:footnote>
  <w:footnote w:type="continuationSeparator" w:id="0">
    <w:p w14:paraId="70046435" w14:textId="77777777" w:rsidR="00312EEB" w:rsidRDefault="00312EE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2FFF" w14:textId="77777777" w:rsidR="00A0312D" w:rsidRDefault="00A03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5FFE" w14:textId="77777777" w:rsidR="00A0312D" w:rsidRDefault="00A03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B448" w14:textId="77777777" w:rsidR="00A0312D" w:rsidRDefault="00A031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F91F" w14:textId="77777777" w:rsidR="00312EEB" w:rsidRDefault="00312EEB">
    <w:pPr>
      <w:widowControl w:val="0"/>
      <w:tabs>
        <w:tab w:val="center" w:pos="3600"/>
        <w:tab w:val="right" w:pos="7180"/>
      </w:tabs>
      <w:jc w:val="center"/>
      <w:rPr>
        <w:sz w:val="20"/>
        <w:szCs w:val="20"/>
      </w:rPr>
    </w:pPr>
    <w:r>
      <w:rPr>
        <w:i/>
        <w:iCs/>
        <w:sz w:val="20"/>
        <w:szCs w:val="20"/>
      </w:rPr>
      <w:t>Superannuation (Legislative Assembly Members) Act 1991</w:t>
    </w:r>
  </w:p>
  <w:p w14:paraId="2B5BE86A" w14:textId="77777777" w:rsidR="00312EEB" w:rsidRDefault="00312EEB">
    <w:pPr>
      <w:widowControl w:val="0"/>
      <w:tabs>
        <w:tab w:val="left" w:pos="2340"/>
        <w:tab w:val="right" w:pos="7180"/>
      </w:tabs>
      <w:jc w:val="center"/>
      <w:rPr>
        <w:sz w:val="20"/>
        <w:szCs w:val="20"/>
      </w:rPr>
    </w:pPr>
    <w:r>
      <w:rPr>
        <w:b/>
        <w:bCs/>
        <w:sz w:val="20"/>
        <w:szCs w:val="20"/>
      </w:rPr>
      <w:t>TABLE OF PROVISIONS</w:t>
    </w:r>
    <w:r>
      <w:rPr>
        <w:sz w:val="20"/>
        <w:szCs w:val="20"/>
      </w:rPr>
      <w:t>—continued</w:t>
    </w:r>
  </w:p>
  <w:p w14:paraId="7FEFEF4A" w14:textId="77777777" w:rsidR="00312EEB" w:rsidRDefault="00312EEB">
    <w:pPr>
      <w:widowControl w:val="0"/>
      <w:tabs>
        <w:tab w:val="left" w:pos="2340"/>
        <w:tab w:val="right" w:pos="7180"/>
      </w:tabs>
      <w:rPr>
        <w:sz w:val="20"/>
        <w:szCs w:val="20"/>
      </w:rPr>
    </w:pPr>
    <w:r>
      <w:rPr>
        <w:sz w:val="18"/>
        <w:szCs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6B90" w14:textId="77777777" w:rsidR="00312EEB" w:rsidRDefault="00312EEB">
    <w:pPr>
      <w:widowControl w:val="0"/>
      <w:tabs>
        <w:tab w:val="center" w:pos="3600"/>
        <w:tab w:val="right" w:pos="7180"/>
      </w:tabs>
      <w:rPr>
        <w:sz w:val="20"/>
        <w:szCs w:val="20"/>
      </w:rPr>
    </w:pPr>
    <w:r>
      <w:tab/>
    </w:r>
    <w:r>
      <w:rPr>
        <w:i/>
        <w:iCs/>
        <w:sz w:val="20"/>
        <w:szCs w:val="20"/>
      </w:rPr>
      <w:t>Superannuation (Legislative Assembly Members) Act 1991</w:t>
    </w:r>
    <w:r>
      <w:rPr>
        <w:sz w:val="20"/>
        <w:szCs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D7E6" w14:textId="77777777" w:rsidR="00312EEB" w:rsidRDefault="00312E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3B82" w14:textId="77777777" w:rsidR="00312EEB" w:rsidRDefault="00312EEB">
    <w:pPr>
      <w:widowControl w:val="0"/>
      <w:tabs>
        <w:tab w:val="center" w:pos="3600"/>
        <w:tab w:val="right" w:pos="7180"/>
      </w:tabs>
      <w:rPr>
        <w:sz w:val="20"/>
        <w:szCs w:val="20"/>
      </w:rPr>
    </w:pPr>
    <w:r>
      <w:tab/>
    </w:r>
    <w:r>
      <w:rPr>
        <w:i/>
        <w:iCs/>
        <w:sz w:val="20"/>
        <w:szCs w:val="20"/>
      </w:rPr>
      <w:t>Superannuation (Legislative Assembly Members) Act 1991</w:t>
    </w:r>
    <w:r>
      <w:rPr>
        <w:sz w:val="20"/>
        <w:szCs w:val="20"/>
      </w:rPr>
      <w:tab/>
    </w:r>
    <w:r>
      <w:rPr>
        <w:sz w:val="20"/>
        <w:szCs w:val="20"/>
      </w:rPr>
      <w:pgNum/>
    </w:r>
  </w:p>
  <w:p w14:paraId="21A6DF1E" w14:textId="77777777" w:rsidR="00312EEB" w:rsidRDefault="00312EEB">
    <w:pPr>
      <w:widowControl w:val="0"/>
      <w:spacing w:before="100" w:after="100"/>
      <w:ind w:left="140"/>
      <w:jc w:val="center"/>
      <w:rPr>
        <w:rFonts w:ascii="Helvetica" w:hAnsi="Helvetica" w:cs="Helvetica"/>
        <w:b/>
        <w:bCs/>
        <w:sz w:val="20"/>
        <w:szCs w:val="20"/>
      </w:rPr>
    </w:pPr>
    <w:r>
      <w:rPr>
        <w:rFonts w:ascii="Helvetica" w:hAnsi="Helvetica" w:cs="Helvetica"/>
        <w:b/>
        <w:bCs/>
        <w:sz w:val="20"/>
        <w:szCs w:val="20"/>
      </w:rPr>
      <w:t>NOTE</w:t>
    </w:r>
    <w:r>
      <w:rPr>
        <w:rFonts w:ascii="Helvetica" w:hAnsi="Helvetica" w:cs="Helvetica"/>
        <w:sz w:val="20"/>
        <w:szCs w:val="20"/>
      </w:rPr>
      <w:t>—continued</w:t>
    </w:r>
  </w:p>
  <w:p w14:paraId="19CA432A" w14:textId="77777777" w:rsidR="00312EEB" w:rsidRDefault="00312EEB">
    <w:pPr>
      <w:widowControl w:val="0"/>
      <w:spacing w:before="60" w:after="100"/>
      <w:ind w:left="140"/>
      <w:jc w:val="center"/>
      <w:rPr>
        <w:rFonts w:ascii="Helvetica" w:hAnsi="Helvetica" w:cs="Helvetica"/>
      </w:rPr>
    </w:pPr>
    <w:r>
      <w:rPr>
        <w:rFonts w:ascii="Helvetica" w:hAnsi="Helvetica" w:cs="Helvetica"/>
        <w:b/>
        <w:bCs/>
        <w:sz w:val="20"/>
        <w:szCs w:val="20"/>
      </w:rPr>
      <w:t>Table of Acts</w:t>
    </w:r>
    <w:r>
      <w:rPr>
        <w:rFonts w:ascii="Helvetica" w:hAnsi="Helvetica" w:cs="Helvetica"/>
        <w:sz w:val="20"/>
        <w:szCs w:val="20"/>
      </w:rPr>
      <w:t>—continued</w:t>
    </w:r>
  </w:p>
  <w:tbl>
    <w:tblPr>
      <w:tblW w:w="0" w:type="auto"/>
      <w:tblInd w:w="18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433FD2" w14:paraId="2A34F544" w14:textId="77777777">
      <w:trPr>
        <w:cantSplit/>
      </w:trPr>
      <w:tc>
        <w:tcPr>
          <w:tcW w:w="2280" w:type="dxa"/>
          <w:tcBorders>
            <w:top w:val="single" w:sz="6" w:space="0" w:color="auto"/>
            <w:left w:val="nil"/>
            <w:bottom w:val="single" w:sz="2" w:space="0" w:color="auto"/>
            <w:right w:val="nil"/>
          </w:tcBorders>
        </w:tcPr>
        <w:p w14:paraId="7F7F5DBF" w14:textId="77777777" w:rsidR="00312EEB" w:rsidRDefault="00312EEB">
          <w:pPr>
            <w:widowControl w:val="0"/>
            <w:spacing w:before="700" w:after="100"/>
            <w:ind w:left="-40"/>
            <w:rPr>
              <w:rFonts w:ascii="Helvetica" w:hAnsi="Helvetica" w:cs="Helvetica"/>
              <w:sz w:val="16"/>
              <w:szCs w:val="16"/>
            </w:rPr>
          </w:pPr>
          <w:r>
            <w:rPr>
              <w:rFonts w:ascii="Helvetica" w:hAnsi="Helvetica" w:cs="Helvetica"/>
              <w:sz w:val="16"/>
              <w:szCs w:val="16"/>
            </w:rPr>
            <w:t>Act</w:t>
          </w:r>
        </w:p>
      </w:tc>
      <w:tc>
        <w:tcPr>
          <w:tcW w:w="1160" w:type="dxa"/>
          <w:tcBorders>
            <w:top w:val="single" w:sz="6" w:space="0" w:color="auto"/>
            <w:left w:val="nil"/>
            <w:bottom w:val="single" w:sz="2" w:space="0" w:color="auto"/>
            <w:right w:val="nil"/>
          </w:tcBorders>
        </w:tcPr>
        <w:p w14:paraId="543C7121" w14:textId="77777777" w:rsidR="00312EEB" w:rsidRDefault="00312EEB">
          <w:pPr>
            <w:widowControl w:val="0"/>
            <w:spacing w:before="480" w:after="0"/>
            <w:rPr>
              <w:rFonts w:ascii="Helvetica" w:hAnsi="Helvetica" w:cs="Helvetica"/>
              <w:sz w:val="16"/>
              <w:szCs w:val="16"/>
            </w:rPr>
          </w:pPr>
          <w:r>
            <w:rPr>
              <w:rFonts w:ascii="Helvetica" w:hAnsi="Helvetica" w:cs="Helvetica"/>
              <w:sz w:val="16"/>
              <w:szCs w:val="16"/>
            </w:rPr>
            <w:t xml:space="preserve">Number   </w:t>
          </w:r>
        </w:p>
        <w:p w14:paraId="2DCCEBDC" w14:textId="77777777" w:rsidR="00312EEB" w:rsidRDefault="00312EEB">
          <w:pPr>
            <w:widowControl w:val="0"/>
            <w:spacing w:before="0" w:after="0"/>
            <w:rPr>
              <w:rFonts w:ascii="Helvetica" w:hAnsi="Helvetica" w:cs="Helvetica"/>
              <w:sz w:val="16"/>
              <w:szCs w:val="16"/>
            </w:rPr>
          </w:pPr>
          <w:r>
            <w:rPr>
              <w:rFonts w:ascii="Helvetica" w:hAnsi="Helvetica" w:cs="Helvetica"/>
              <w:sz w:val="16"/>
              <w:szCs w:val="16"/>
            </w:rPr>
            <w:t>and year</w:t>
          </w:r>
        </w:p>
      </w:tc>
      <w:tc>
        <w:tcPr>
          <w:tcW w:w="1120" w:type="dxa"/>
          <w:tcBorders>
            <w:top w:val="single" w:sz="6" w:space="0" w:color="auto"/>
            <w:left w:val="nil"/>
            <w:bottom w:val="single" w:sz="2" w:space="0" w:color="auto"/>
            <w:right w:val="nil"/>
          </w:tcBorders>
        </w:tcPr>
        <w:p w14:paraId="29812DD7" w14:textId="77777777" w:rsidR="00312EEB" w:rsidRDefault="00312EEB">
          <w:pPr>
            <w:widowControl w:val="0"/>
            <w:spacing w:before="320" w:after="0"/>
            <w:rPr>
              <w:rFonts w:ascii="Helvetica" w:hAnsi="Helvetica" w:cs="Helvetica"/>
              <w:sz w:val="16"/>
              <w:szCs w:val="16"/>
            </w:rPr>
          </w:pPr>
          <w:r>
            <w:rPr>
              <w:rFonts w:ascii="Helvetica" w:hAnsi="Helvetica" w:cs="Helvetica"/>
              <w:sz w:val="16"/>
              <w:szCs w:val="16"/>
            </w:rPr>
            <w:t xml:space="preserve">Date of </w:t>
          </w:r>
        </w:p>
        <w:p w14:paraId="5BC85F8E" w14:textId="77777777" w:rsidR="00312EEB" w:rsidRDefault="00312EEB">
          <w:pPr>
            <w:widowControl w:val="0"/>
            <w:spacing w:before="0" w:after="0"/>
            <w:rPr>
              <w:rFonts w:ascii="Helvetica" w:hAnsi="Helvetica" w:cs="Helvetica"/>
              <w:sz w:val="16"/>
              <w:szCs w:val="16"/>
            </w:rPr>
          </w:pPr>
          <w:r>
            <w:rPr>
              <w:rFonts w:ascii="Helvetica" w:hAnsi="Helvetica" w:cs="Helvetica"/>
              <w:sz w:val="16"/>
              <w:szCs w:val="16"/>
            </w:rPr>
            <w:t>notification</w:t>
          </w:r>
        </w:p>
        <w:p w14:paraId="3106AB3F" w14:textId="77777777" w:rsidR="00312EEB" w:rsidRDefault="00312EEB">
          <w:pPr>
            <w:widowControl w:val="0"/>
            <w:spacing w:before="0" w:after="0"/>
            <w:rPr>
              <w:rFonts w:ascii="Helvetica" w:hAnsi="Helvetica" w:cs="Helvetica"/>
              <w:sz w:val="16"/>
              <w:szCs w:val="16"/>
            </w:rPr>
          </w:pPr>
          <w:r>
            <w:rPr>
              <w:rFonts w:ascii="Helvetica" w:hAnsi="Helvetica" w:cs="Helvetica"/>
              <w:sz w:val="16"/>
              <w:szCs w:val="16"/>
            </w:rPr>
            <w:t xml:space="preserve">in </w:t>
          </w:r>
          <w:r>
            <w:rPr>
              <w:rFonts w:ascii="Helvetica" w:hAnsi="Helvetica" w:cs="Helvetica"/>
              <w:i/>
              <w:iCs/>
              <w:sz w:val="16"/>
              <w:szCs w:val="16"/>
            </w:rPr>
            <w:t>Gazette</w:t>
          </w:r>
        </w:p>
      </w:tc>
      <w:tc>
        <w:tcPr>
          <w:tcW w:w="1480" w:type="dxa"/>
          <w:tcBorders>
            <w:top w:val="single" w:sz="6" w:space="0" w:color="auto"/>
            <w:left w:val="nil"/>
            <w:bottom w:val="single" w:sz="2" w:space="0" w:color="auto"/>
            <w:right w:val="nil"/>
          </w:tcBorders>
        </w:tcPr>
        <w:p w14:paraId="67E44F80" w14:textId="77777777" w:rsidR="00312EEB" w:rsidRDefault="00312EEB">
          <w:pPr>
            <w:widowControl w:val="0"/>
            <w:spacing w:before="480" w:after="0"/>
            <w:rPr>
              <w:rFonts w:ascii="Helvetica" w:hAnsi="Helvetica" w:cs="Helvetica"/>
              <w:sz w:val="16"/>
              <w:szCs w:val="16"/>
            </w:rPr>
          </w:pPr>
          <w:r>
            <w:rPr>
              <w:rFonts w:ascii="Helvetica" w:hAnsi="Helvetica" w:cs="Helvetica"/>
              <w:sz w:val="16"/>
              <w:szCs w:val="16"/>
            </w:rPr>
            <w:t xml:space="preserve">Date of </w:t>
          </w:r>
        </w:p>
        <w:p w14:paraId="3CCAC382" w14:textId="77777777" w:rsidR="00312EEB" w:rsidRDefault="00312EEB">
          <w:pPr>
            <w:widowControl w:val="0"/>
            <w:spacing w:before="0" w:after="0"/>
            <w:rPr>
              <w:rFonts w:ascii="Helvetica" w:hAnsi="Helvetica" w:cs="Helvetica"/>
              <w:sz w:val="16"/>
              <w:szCs w:val="16"/>
            </w:rPr>
          </w:pPr>
          <w:r>
            <w:rPr>
              <w:rFonts w:ascii="Helvetica" w:hAnsi="Helvetica" w:cs="Helvetica"/>
              <w:sz w:val="16"/>
              <w:szCs w:val="16"/>
            </w:rPr>
            <w:t>commencement</w:t>
          </w:r>
        </w:p>
      </w:tc>
      <w:tc>
        <w:tcPr>
          <w:tcW w:w="1180" w:type="dxa"/>
          <w:tcBorders>
            <w:top w:val="single" w:sz="6" w:space="0" w:color="auto"/>
            <w:left w:val="nil"/>
            <w:bottom w:val="single" w:sz="2" w:space="0" w:color="auto"/>
            <w:right w:val="nil"/>
          </w:tcBorders>
        </w:tcPr>
        <w:p w14:paraId="49BB1C2E" w14:textId="77777777" w:rsidR="00312EEB" w:rsidRDefault="00312EEB">
          <w:pPr>
            <w:widowControl w:val="0"/>
            <w:spacing w:after="100"/>
            <w:ind w:right="-20"/>
            <w:jc w:val="right"/>
            <w:rPr>
              <w:rFonts w:ascii="Helvetica" w:hAnsi="Helvetica" w:cs="Helvetica"/>
              <w:sz w:val="16"/>
              <w:szCs w:val="16"/>
            </w:rPr>
          </w:pPr>
          <w:r>
            <w:rPr>
              <w:rFonts w:ascii="Helvetica" w:hAnsi="Helvetica" w:cs="Helvetica"/>
              <w:sz w:val="16"/>
              <w:szCs w:val="16"/>
            </w:rPr>
            <w:t>Application, saving or transitional provisions</w:t>
          </w:r>
        </w:p>
      </w:tc>
    </w:tr>
  </w:tbl>
  <w:p w14:paraId="4CB20267" w14:textId="77777777" w:rsidR="00312EEB" w:rsidRDefault="00312EEB">
    <w:pPr>
      <w:widowControl w:val="0"/>
      <w:spacing w:before="0" w:after="0"/>
      <w:ind w:left="200" w:right="-800"/>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C559" w14:textId="77777777" w:rsidR="00312EEB" w:rsidRDefault="00312EEB">
    <w:pPr>
      <w:widowControl w:val="0"/>
      <w:tabs>
        <w:tab w:val="center" w:pos="3600"/>
        <w:tab w:val="right" w:pos="7180"/>
      </w:tabs>
      <w:rPr>
        <w:sz w:val="20"/>
        <w:szCs w:val="20"/>
      </w:rPr>
    </w:pPr>
    <w:r>
      <w:tab/>
    </w:r>
    <w:r>
      <w:rPr>
        <w:i/>
        <w:iCs/>
        <w:sz w:val="20"/>
        <w:szCs w:val="20"/>
      </w:rPr>
      <w:t>Superannuation (Legislative Assembly Members) Act 1991</w:t>
    </w:r>
    <w:r>
      <w:rPr>
        <w:sz w:val="20"/>
        <w:szCs w:val="20"/>
      </w:rPr>
      <w:tab/>
    </w:r>
    <w:r>
      <w:rPr>
        <w:sz w:val="20"/>
        <w:szCs w:val="20"/>
      </w:rPr>
      <w:pgNum/>
    </w:r>
  </w:p>
  <w:p w14:paraId="63DED493" w14:textId="77777777" w:rsidR="00312EEB" w:rsidRDefault="00312EEB">
    <w:pPr>
      <w:widowControl w:val="0"/>
      <w:tabs>
        <w:tab w:val="left" w:pos="3580"/>
      </w:tabs>
      <w:spacing w:before="100" w:after="100"/>
      <w:ind w:left="140"/>
      <w:jc w:val="center"/>
      <w:rPr>
        <w:rFonts w:ascii="Helvetica" w:hAnsi="Helvetica" w:cs="Helvetica"/>
        <w:b/>
        <w:bCs/>
        <w:sz w:val="20"/>
        <w:szCs w:val="20"/>
      </w:rPr>
    </w:pPr>
    <w:r>
      <w:rPr>
        <w:rFonts w:ascii="Helvetica" w:hAnsi="Helvetica" w:cs="Helvetica"/>
        <w:b/>
        <w:bCs/>
        <w:sz w:val="20"/>
        <w:szCs w:val="20"/>
      </w:rPr>
      <w:t>NOTE</w:t>
    </w:r>
    <w:r>
      <w:rPr>
        <w:rFonts w:ascii="Helvetica" w:hAnsi="Helvetica" w:cs="Helvetica"/>
        <w:sz w:val="20"/>
        <w:szCs w:val="20"/>
      </w:rPr>
      <w:t>—continued</w:t>
    </w:r>
  </w:p>
  <w:p w14:paraId="768E0528" w14:textId="77777777" w:rsidR="00312EEB" w:rsidRDefault="00312EEB">
    <w:pPr>
      <w:widowControl w:val="0"/>
      <w:tabs>
        <w:tab w:val="left" w:pos="3580"/>
      </w:tabs>
      <w:spacing w:before="100" w:after="100"/>
      <w:ind w:right="20"/>
      <w:jc w:val="center"/>
      <w:rPr>
        <w:rFonts w:ascii="Helvetica" w:hAnsi="Helvetica" w:cs="Helvetica"/>
        <w:sz w:val="20"/>
        <w:szCs w:val="20"/>
      </w:rPr>
    </w:pPr>
    <w:r>
      <w:rPr>
        <w:rFonts w:ascii="Helvetica" w:hAnsi="Helvetica" w:cs="Helvetica"/>
        <w:b/>
        <w:bCs/>
        <w:sz w:val="20"/>
        <w:szCs w:val="20"/>
      </w:rPr>
      <w:t>Table of Amendments</w:t>
    </w:r>
    <w:r>
      <w:rPr>
        <w:rFonts w:ascii="Helvetica" w:hAnsi="Helvetica" w:cs="Helvetica"/>
        <w:sz w:val="20"/>
        <w:szCs w:val="20"/>
      </w:rPr>
      <w:t>—continued</w:t>
    </w:r>
  </w:p>
  <w:p w14:paraId="4168D61A" w14:textId="77777777" w:rsidR="00312EEB" w:rsidRDefault="00312EEB">
    <w:pPr>
      <w:widowControl w:val="0"/>
      <w:spacing w:before="20"/>
      <w:ind w:left="520" w:right="20"/>
      <w:jc w:val="left"/>
      <w:rPr>
        <w:rFonts w:ascii="Helvetica" w:hAnsi="Helvetica" w:cs="Helvetica"/>
        <w:b/>
        <w:bCs/>
        <w:sz w:val="16"/>
        <w:szCs w:val="16"/>
      </w:rPr>
    </w:pPr>
    <w:r>
      <w:rPr>
        <w:rFonts w:ascii="Helvetica" w:hAnsi="Helvetica" w:cs="Helvetica"/>
        <w:sz w:val="16"/>
        <w:szCs w:val="16"/>
      </w:rPr>
      <w:t>ad. = added or inserted      am. = amended     rep. = repealed      rs. = repealed and substituted</w:t>
    </w:r>
  </w:p>
  <w:p w14:paraId="6DEA85F9" w14:textId="77777777" w:rsidR="00312EEB" w:rsidRDefault="00312EEB">
    <w:pPr>
      <w:widowControl w:val="0"/>
      <w:pBdr>
        <w:top w:val="single" w:sz="6" w:space="0" w:color="auto"/>
      </w:pBdr>
      <w:tabs>
        <w:tab w:val="left" w:pos="2200"/>
        <w:tab w:val="left" w:pos="3580"/>
      </w:tabs>
      <w:spacing w:before="20" w:after="20"/>
      <w:ind w:left="260" w:right="20"/>
      <w:rPr>
        <w:rFonts w:ascii="Helvetica" w:hAnsi="Helvetica" w:cs="Helvetica"/>
        <w:sz w:val="8"/>
        <w:szCs w:val="8"/>
      </w:rPr>
    </w:pPr>
  </w:p>
  <w:p w14:paraId="59229C30" w14:textId="77777777" w:rsidR="00312EEB" w:rsidRDefault="00312EEB">
    <w:pPr>
      <w:widowControl w:val="0"/>
      <w:pBdr>
        <w:top w:val="single" w:sz="6" w:space="0" w:color="auto"/>
      </w:pBdr>
      <w:tabs>
        <w:tab w:val="left" w:pos="2200"/>
        <w:tab w:val="left" w:pos="3580"/>
      </w:tabs>
      <w:spacing w:before="20" w:after="20"/>
      <w:ind w:left="260" w:right="20"/>
      <w:rPr>
        <w:rFonts w:ascii="Helvetica" w:hAnsi="Helvetica" w:cs="Helvetica"/>
        <w:sz w:val="16"/>
        <w:szCs w:val="16"/>
      </w:rPr>
    </w:pPr>
    <w:r>
      <w:rPr>
        <w:rFonts w:ascii="Helvetica" w:hAnsi="Helvetica" w:cs="Helvetica"/>
        <w:sz w:val="16"/>
        <w:szCs w:val="16"/>
      </w:rPr>
      <w:t>Provision</w:t>
    </w:r>
    <w:r>
      <w:rPr>
        <w:rFonts w:ascii="Helvetica" w:hAnsi="Helvetica" w:cs="Helvetica"/>
        <w:sz w:val="16"/>
        <w:szCs w:val="16"/>
      </w:rPr>
      <w:tab/>
      <w:t>How affected</w:t>
    </w:r>
  </w:p>
  <w:p w14:paraId="1FCECBA9" w14:textId="77777777" w:rsidR="00312EEB" w:rsidRDefault="00312EEB">
    <w:pPr>
      <w:widowControl w:val="0"/>
      <w:pBdr>
        <w:bottom w:val="single" w:sz="2" w:space="0" w:color="auto"/>
      </w:pBdr>
      <w:tabs>
        <w:tab w:val="left" w:pos="2200"/>
        <w:tab w:val="left" w:pos="3580"/>
      </w:tabs>
      <w:spacing w:before="20" w:after="20"/>
      <w:ind w:left="260"/>
      <w:rPr>
        <w:rFonts w:ascii="Helvetica" w:hAnsi="Helvetica" w:cs="Helvetica"/>
        <w:sz w:val="16"/>
        <w:szCs w:val="16"/>
      </w:rPr>
    </w:pPr>
  </w:p>
  <w:p w14:paraId="5B67CD49" w14:textId="77777777" w:rsidR="00312EEB" w:rsidRDefault="00312EEB">
    <w:pPr>
      <w:widowControl w:val="0"/>
      <w:tabs>
        <w:tab w:val="left" w:leader="dot" w:pos="2200"/>
        <w:tab w:val="left" w:pos="3580"/>
      </w:tabs>
      <w:spacing w:before="20" w:after="20"/>
      <w:ind w:left="260" w:right="-800"/>
      <w:rPr>
        <w:rFonts w:ascii="Helvetica" w:hAnsi="Helvetica" w:cs="Helvetica"/>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7F23" w14:textId="77777777" w:rsidR="00312EEB" w:rsidRDefault="00312EEB">
    <w:pPr>
      <w:pStyle w:val="Header"/>
      <w:jc w:val="center"/>
      <w:rPr>
        <w:i/>
        <w:iCs/>
        <w:sz w:val="20"/>
        <w:szCs w:val="20"/>
      </w:rPr>
    </w:pPr>
    <w:r>
      <w:rPr>
        <w:i/>
        <w:iCs/>
        <w:sz w:val="20"/>
        <w:szCs w:val="20"/>
      </w:rPr>
      <w:t>Superannuation (Legislative Assembly Members) Act 1991</w:t>
    </w:r>
  </w:p>
  <w:p w14:paraId="031A5509" w14:textId="77777777" w:rsidR="00312EEB" w:rsidRDefault="00312EEB">
    <w:pPr>
      <w:jc w:val="center"/>
      <w:rPr>
        <w:rFonts w:ascii="Helvetica" w:hAnsi="Helvetica" w:cs="Helvetica"/>
        <w:sz w:val="20"/>
        <w:szCs w:val="20"/>
      </w:rPr>
    </w:pPr>
    <w:r>
      <w:rPr>
        <w:rFonts w:ascii="Helvetica" w:hAnsi="Helvetica" w:cs="Helvetica"/>
        <w:b/>
        <w:bCs/>
        <w:sz w:val="20"/>
        <w:szCs w:val="20"/>
      </w:rPr>
      <w:t>NOTE</w:t>
    </w:r>
    <w:r>
      <w:rPr>
        <w:rFonts w:ascii="Helvetica" w:hAnsi="Helvetica" w:cs="Helvetica"/>
        <w:sz w:val="20"/>
        <w:szCs w:val="20"/>
      </w:rPr>
      <w:t>—continued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494538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EB"/>
    <w:rsid w:val="00186288"/>
    <w:rsid w:val="00305143"/>
    <w:rsid w:val="00312EEB"/>
    <w:rsid w:val="00316205"/>
    <w:rsid w:val="00433FD2"/>
    <w:rsid w:val="004D2E3B"/>
    <w:rsid w:val="00576E19"/>
    <w:rsid w:val="00A0312D"/>
    <w:rsid w:val="00AD7FD4"/>
    <w:rsid w:val="00B63FED"/>
    <w:rsid w:val="00E339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2BD231"/>
  <w14:defaultImageDpi w14:val="96"/>
  <w15:docId w15:val="{5A549B3C-653A-4E9F-A547-D8372C6A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before="80" w:after="60" w:line="240" w:lineRule="auto"/>
      <w:jc w:val="both"/>
    </w:pPr>
    <w:rPr>
      <w:rFonts w:ascii="Times" w:hAnsi="Times" w:cs="Times"/>
      <w:kern w:val="0"/>
      <w:sz w:val="24"/>
      <w:szCs w:val="24"/>
    </w:rPr>
  </w:style>
  <w:style w:type="paragraph" w:styleId="Heading1">
    <w:name w:val="heading 1"/>
    <w:basedOn w:val="Normal"/>
    <w:next w:val="Normal"/>
    <w:link w:val="Heading1Char"/>
    <w:uiPriority w:val="99"/>
    <w:qFormat/>
    <w:pPr>
      <w:spacing w:before="300" w:after="0"/>
      <w:jc w:val="center"/>
      <w:outlineLvl w:val="0"/>
    </w:pPr>
    <w:rPr>
      <w:b/>
      <w:bCs/>
      <w:caps/>
    </w:rPr>
  </w:style>
  <w:style w:type="paragraph" w:styleId="Heading2">
    <w:name w:val="heading 2"/>
    <w:basedOn w:val="Normal"/>
    <w:next w:val="Normal"/>
    <w:link w:val="Heading2Char"/>
    <w:uiPriority w:val="99"/>
    <w:qFormat/>
    <w:pPr>
      <w:spacing w:before="140" w:after="0"/>
      <w:jc w:val="center"/>
      <w:outlineLvl w:val="1"/>
    </w:pPr>
    <w:rPr>
      <w:b/>
      <w:bCs/>
      <w:i/>
      <w:iCs/>
    </w:rPr>
  </w:style>
  <w:style w:type="paragraph" w:styleId="Heading3">
    <w:name w:val="heading 3"/>
    <w:basedOn w:val="Normal"/>
    <w:next w:val="allsections"/>
    <w:link w:val="Heading3Char"/>
    <w:uiPriority w:val="99"/>
    <w:qFormat/>
    <w:pPr>
      <w:spacing w:before="140" w:after="0"/>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0"/>
      <w:sz w:val="26"/>
      <w:szCs w:val="26"/>
    </w:rPr>
  </w:style>
  <w:style w:type="paragraph" w:customStyle="1" w:styleId="allsections">
    <w:name w:val="all sections"/>
    <w:uiPriority w:val="99"/>
    <w:pPr>
      <w:autoSpaceDE w:val="0"/>
      <w:autoSpaceDN w:val="0"/>
      <w:spacing w:before="80" w:after="80" w:line="240" w:lineRule="auto"/>
      <w:ind w:firstLine="400"/>
      <w:jc w:val="both"/>
    </w:pPr>
    <w:rPr>
      <w:rFonts w:ascii="Times" w:hAnsi="Times" w:cs="Times"/>
      <w:kern w:val="0"/>
      <w:sz w:val="24"/>
      <w:szCs w:val="24"/>
    </w:rPr>
  </w:style>
  <w:style w:type="paragraph" w:styleId="TOC3">
    <w:name w:val="toc 3"/>
    <w:basedOn w:val="Normal"/>
    <w:next w:val="Normal"/>
    <w:uiPriority w:val="99"/>
    <w:pPr>
      <w:tabs>
        <w:tab w:val="right" w:pos="540"/>
      </w:tabs>
      <w:spacing w:before="20" w:after="20"/>
      <w:ind w:left="1120" w:hanging="1120"/>
      <w:jc w:val="left"/>
    </w:pPr>
    <w:rPr>
      <w:sz w:val="20"/>
      <w:szCs w:val="20"/>
    </w:rPr>
  </w:style>
  <w:style w:type="paragraph" w:styleId="TOC2">
    <w:name w:val="toc 2"/>
    <w:basedOn w:val="Normal"/>
    <w:next w:val="Normal"/>
    <w:uiPriority w:val="99"/>
    <w:pPr>
      <w:spacing w:before="20" w:after="80"/>
      <w:jc w:val="center"/>
    </w:pPr>
    <w:rPr>
      <w:i/>
      <w:iCs/>
      <w:sz w:val="20"/>
      <w:szCs w:val="20"/>
    </w:rPr>
  </w:style>
  <w:style w:type="paragraph" w:styleId="TOC1">
    <w:name w:val="toc 1"/>
    <w:basedOn w:val="Normal"/>
    <w:next w:val="Normal"/>
    <w:uiPriority w:val="99"/>
    <w:pPr>
      <w:spacing w:after="80"/>
      <w:jc w:val="center"/>
    </w:pPr>
    <w:rPr>
      <w:caps/>
      <w:sz w:val="20"/>
      <w:szCs w:val="20"/>
    </w:rPr>
  </w:style>
  <w:style w:type="character" w:styleId="LineNumber">
    <w:name w:val="line number"/>
    <w:basedOn w:val="DefaultParagraphFont"/>
    <w:uiPriority w:val="99"/>
  </w:style>
  <w:style w:type="paragraph" w:styleId="Footer">
    <w:name w:val="footer"/>
    <w:basedOn w:val="Normal"/>
    <w:next w:val="Normal"/>
    <w:link w:val="FooterChar"/>
    <w:uiPriority w:val="99"/>
    <w:pPr>
      <w:tabs>
        <w:tab w:val="center" w:pos="4252"/>
        <w:tab w:val="right" w:pos="8504"/>
      </w:tabs>
    </w:pPr>
  </w:style>
  <w:style w:type="character" w:customStyle="1" w:styleId="FooterChar">
    <w:name w:val="Footer Char"/>
    <w:basedOn w:val="DefaultParagraphFont"/>
    <w:link w:val="Footer"/>
    <w:uiPriority w:val="99"/>
    <w:rPr>
      <w:rFonts w:ascii="Times" w:hAnsi="Times" w:cs="Times"/>
      <w:kern w:val="0"/>
      <w:sz w:val="24"/>
      <w:szCs w:val="24"/>
    </w:rPr>
  </w:style>
  <w:style w:type="paragraph" w:styleId="Header">
    <w:name w:val="header"/>
    <w:basedOn w:val="Normal"/>
    <w:next w:val="Normal"/>
    <w:link w:val="HeaderChar"/>
    <w:uiPriority w:val="99"/>
    <w:pPr>
      <w:tabs>
        <w:tab w:val="center" w:pos="4252"/>
        <w:tab w:val="right" w:pos="8504"/>
      </w:tabs>
    </w:pPr>
  </w:style>
  <w:style w:type="character" w:customStyle="1" w:styleId="HeaderChar">
    <w:name w:val="Header Char"/>
    <w:basedOn w:val="DefaultParagraphFont"/>
    <w:link w:val="Header"/>
    <w:uiPriority w:val="99"/>
    <w:semiHidden/>
    <w:rPr>
      <w:rFonts w:ascii="Times" w:hAnsi="Times" w:cs="Times"/>
      <w:kern w:val="0"/>
      <w:sz w:val="24"/>
      <w:szCs w:val="24"/>
    </w:rPr>
  </w:style>
  <w:style w:type="character" w:styleId="FootnoteReference">
    <w:name w:val="footnote reference"/>
    <w:basedOn w:val="DefaultParagraphFont"/>
    <w:uiPriority w:val="99"/>
    <w:rPr>
      <w:position w:val="6"/>
      <w:sz w:val="16"/>
      <w:szCs w:val="16"/>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w:hAnsi="Times" w:cs="Times"/>
      <w:kern w:val="0"/>
      <w:sz w:val="20"/>
      <w:szCs w:val="20"/>
    </w:rPr>
  </w:style>
  <w:style w:type="paragraph" w:customStyle="1" w:styleId="amendschedule">
    <w:name w:val="amend schedule"/>
    <w:next w:val="allsections"/>
    <w:uiPriority w:val="99"/>
    <w:pPr>
      <w:autoSpaceDE w:val="0"/>
      <w:autoSpaceDN w:val="0"/>
      <w:spacing w:before="140" w:after="0" w:line="240" w:lineRule="auto"/>
    </w:pPr>
    <w:rPr>
      <w:rFonts w:ascii="Times" w:hAnsi="Times" w:cs="Times"/>
      <w:b/>
      <w:bCs/>
      <w:kern w:val="0"/>
      <w:sz w:val="24"/>
      <w:szCs w:val="24"/>
    </w:rPr>
  </w:style>
  <w:style w:type="paragraph" w:customStyle="1" w:styleId="def">
    <w:name w:val="def"/>
    <w:uiPriority w:val="99"/>
    <w:pPr>
      <w:autoSpaceDE w:val="0"/>
      <w:autoSpaceDN w:val="0"/>
      <w:spacing w:before="80" w:after="80" w:line="240" w:lineRule="auto"/>
      <w:ind w:left="900" w:hanging="500"/>
      <w:jc w:val="both"/>
    </w:pPr>
    <w:rPr>
      <w:rFonts w:ascii="Times" w:hAnsi="Times" w:cs="Times"/>
      <w:kern w:val="0"/>
      <w:sz w:val="24"/>
      <w:szCs w:val="24"/>
    </w:rPr>
  </w:style>
  <w:style w:type="paragraph" w:customStyle="1" w:styleId="definpara">
    <w:name w:val="def in para"/>
    <w:uiPriority w:val="99"/>
    <w:pPr>
      <w:autoSpaceDE w:val="0"/>
      <w:autoSpaceDN w:val="0"/>
      <w:spacing w:before="80" w:after="80" w:line="240" w:lineRule="auto"/>
      <w:ind w:left="1720" w:hanging="380"/>
      <w:jc w:val="both"/>
    </w:pPr>
    <w:rPr>
      <w:rFonts w:ascii="Times" w:hAnsi="Times" w:cs="Times"/>
      <w:kern w:val="0"/>
      <w:sz w:val="24"/>
      <w:szCs w:val="24"/>
    </w:rPr>
  </w:style>
  <w:style w:type="paragraph" w:customStyle="1" w:styleId="aindent">
    <w:name w:val="a indent"/>
    <w:basedOn w:val="Normal"/>
    <w:uiPriority w:val="99"/>
    <w:pPr>
      <w:tabs>
        <w:tab w:val="right" w:pos="700"/>
      </w:tabs>
      <w:ind w:left="900" w:hanging="900"/>
    </w:pPr>
  </w:style>
  <w:style w:type="paragraph" w:customStyle="1" w:styleId="iindent">
    <w:name w:val="i indent"/>
    <w:uiPriority w:val="99"/>
    <w:pPr>
      <w:tabs>
        <w:tab w:val="right" w:pos="1340"/>
      </w:tabs>
      <w:autoSpaceDE w:val="0"/>
      <w:autoSpaceDN w:val="0"/>
      <w:spacing w:before="80" w:after="80" w:line="240" w:lineRule="auto"/>
      <w:ind w:left="1600" w:hanging="1600"/>
      <w:jc w:val="both"/>
    </w:pPr>
    <w:rPr>
      <w:rFonts w:ascii="Times" w:hAnsi="Times" w:cs="Times"/>
      <w:kern w:val="0"/>
      <w:sz w:val="24"/>
      <w:szCs w:val="24"/>
    </w:rPr>
  </w:style>
  <w:style w:type="paragraph" w:customStyle="1" w:styleId="Bindent">
    <w:name w:val="B indent"/>
    <w:uiPriority w:val="99"/>
    <w:pPr>
      <w:autoSpaceDE w:val="0"/>
      <w:autoSpaceDN w:val="0"/>
      <w:spacing w:before="80" w:after="80" w:line="240" w:lineRule="auto"/>
      <w:ind w:left="2260" w:hanging="500"/>
      <w:jc w:val="both"/>
    </w:pPr>
    <w:rPr>
      <w:rFonts w:ascii="Times" w:hAnsi="Times" w:cs="Times"/>
      <w:kern w:val="0"/>
      <w:sz w:val="24"/>
      <w:szCs w:val="24"/>
    </w:rPr>
  </w:style>
  <w:style w:type="paragraph" w:customStyle="1" w:styleId="defaindent">
    <w:name w:val="def a indent"/>
    <w:uiPriority w:val="99"/>
    <w:pPr>
      <w:tabs>
        <w:tab w:val="right" w:pos="1360"/>
      </w:tabs>
      <w:autoSpaceDE w:val="0"/>
      <w:autoSpaceDN w:val="0"/>
      <w:spacing w:before="80" w:after="80" w:line="240" w:lineRule="auto"/>
      <w:ind w:left="1620" w:hanging="1620"/>
      <w:jc w:val="both"/>
    </w:pPr>
    <w:rPr>
      <w:rFonts w:ascii="Times" w:hAnsi="Times" w:cs="Times"/>
      <w:kern w:val="0"/>
      <w:sz w:val="24"/>
      <w:szCs w:val="24"/>
    </w:rPr>
  </w:style>
  <w:style w:type="paragraph" w:customStyle="1" w:styleId="defiindent">
    <w:name w:val="def i indent"/>
    <w:uiPriority w:val="99"/>
    <w:pPr>
      <w:tabs>
        <w:tab w:val="right" w:pos="2080"/>
      </w:tabs>
      <w:autoSpaceDE w:val="0"/>
      <w:autoSpaceDN w:val="0"/>
      <w:spacing w:before="80" w:after="80" w:line="240" w:lineRule="auto"/>
      <w:ind w:left="2260" w:hanging="2300"/>
      <w:jc w:val="both"/>
    </w:pPr>
    <w:rPr>
      <w:rFonts w:ascii="Times" w:hAnsi="Times" w:cs="Times"/>
      <w:kern w:val="0"/>
      <w:sz w:val="24"/>
      <w:szCs w:val="24"/>
    </w:rPr>
  </w:style>
  <w:style w:type="paragraph" w:customStyle="1" w:styleId="defBindent">
    <w:name w:val="def B indent"/>
    <w:uiPriority w:val="99"/>
    <w:pPr>
      <w:autoSpaceDE w:val="0"/>
      <w:autoSpaceDN w:val="0"/>
      <w:spacing w:before="80" w:after="80" w:line="240" w:lineRule="auto"/>
      <w:ind w:left="3060" w:hanging="500"/>
      <w:jc w:val="both"/>
    </w:pPr>
    <w:rPr>
      <w:rFonts w:ascii="Times" w:hAnsi="Times" w:cs="Times"/>
      <w:kern w:val="0"/>
      <w:sz w:val="24"/>
      <w:szCs w:val="24"/>
    </w:rPr>
  </w:style>
  <w:style w:type="paragraph" w:customStyle="1" w:styleId="fullout">
    <w:name w:val="full out"/>
    <w:uiPriority w:val="99"/>
    <w:pPr>
      <w:autoSpaceDE w:val="0"/>
      <w:autoSpaceDN w:val="0"/>
      <w:spacing w:before="80" w:after="80" w:line="240" w:lineRule="auto"/>
      <w:jc w:val="both"/>
    </w:pPr>
    <w:rPr>
      <w:rFonts w:ascii="Times" w:hAnsi="Times" w:cs="Times"/>
      <w:kern w:val="0"/>
      <w:sz w:val="24"/>
      <w:szCs w:val="24"/>
    </w:rPr>
  </w:style>
  <w:style w:type="paragraph" w:customStyle="1" w:styleId="defainpara">
    <w:name w:val="def a in para"/>
    <w:uiPriority w:val="99"/>
    <w:pPr>
      <w:tabs>
        <w:tab w:val="right" w:pos="2140"/>
      </w:tabs>
      <w:autoSpaceDE w:val="0"/>
      <w:autoSpaceDN w:val="0"/>
      <w:spacing w:before="80" w:after="80" w:line="240" w:lineRule="auto"/>
      <w:ind w:left="2400" w:hanging="2400"/>
      <w:jc w:val="both"/>
    </w:pPr>
    <w:rPr>
      <w:rFonts w:ascii="Times" w:hAnsi="Times" w:cs="Times"/>
      <w:kern w:val="0"/>
      <w:sz w:val="24"/>
      <w:szCs w:val="24"/>
    </w:rPr>
  </w:style>
  <w:style w:type="paragraph" w:customStyle="1" w:styleId="halfout">
    <w:name w:val="half out"/>
    <w:uiPriority w:val="99"/>
    <w:pPr>
      <w:autoSpaceDE w:val="0"/>
      <w:autoSpaceDN w:val="0"/>
      <w:spacing w:before="80" w:after="80" w:line="240" w:lineRule="auto"/>
      <w:ind w:left="900"/>
      <w:jc w:val="both"/>
    </w:pPr>
    <w:rPr>
      <w:rFonts w:ascii="Times" w:hAnsi="Times" w:cs="Times"/>
      <w:kern w:val="0"/>
      <w:sz w:val="24"/>
      <w:szCs w:val="24"/>
    </w:rPr>
  </w:style>
  <w:style w:type="paragraph" w:customStyle="1" w:styleId="defBinpara">
    <w:name w:val="def B in para"/>
    <w:uiPriority w:val="99"/>
    <w:pPr>
      <w:autoSpaceDE w:val="0"/>
      <w:autoSpaceDN w:val="0"/>
      <w:spacing w:before="80" w:after="80" w:line="240" w:lineRule="auto"/>
      <w:ind w:left="3880" w:hanging="480"/>
      <w:jc w:val="both"/>
    </w:pPr>
    <w:rPr>
      <w:rFonts w:ascii="Times" w:hAnsi="Times" w:cs="Times"/>
      <w:kern w:val="0"/>
      <w:sz w:val="24"/>
      <w:szCs w:val="24"/>
    </w:rPr>
  </w:style>
  <w:style w:type="paragraph" w:customStyle="1" w:styleId="defiinpara">
    <w:name w:val="def i in para"/>
    <w:uiPriority w:val="99"/>
    <w:pPr>
      <w:tabs>
        <w:tab w:val="right" w:pos="2940"/>
      </w:tabs>
      <w:autoSpaceDE w:val="0"/>
      <w:autoSpaceDN w:val="0"/>
      <w:spacing w:before="80" w:after="80" w:line="240" w:lineRule="auto"/>
      <w:ind w:left="3100" w:hanging="3100"/>
      <w:jc w:val="both"/>
    </w:pPr>
    <w:rPr>
      <w:rFonts w:ascii="Times" w:hAnsi="Times" w:cs="Times"/>
      <w:kern w:val="0"/>
      <w:sz w:val="24"/>
      <w:szCs w:val="24"/>
    </w:rPr>
  </w:style>
  <w:style w:type="paragraph" w:customStyle="1" w:styleId="tocamendsection">
    <w:name w:val="toc amend section"/>
    <w:uiPriority w:val="99"/>
    <w:pPr>
      <w:tabs>
        <w:tab w:val="right" w:pos="1900"/>
      </w:tabs>
      <w:autoSpaceDE w:val="0"/>
      <w:autoSpaceDN w:val="0"/>
      <w:spacing w:before="20" w:after="20" w:line="240" w:lineRule="auto"/>
      <w:ind w:left="2300" w:hanging="2300"/>
    </w:pPr>
    <w:rPr>
      <w:rFonts w:ascii="Times" w:hAnsi="Times" w:cs="Times"/>
      <w:kern w:val="0"/>
      <w:sz w:val="20"/>
      <w:szCs w:val="20"/>
    </w:rPr>
  </w:style>
  <w:style w:type="paragraph" w:customStyle="1" w:styleId="tocamenddiv">
    <w:name w:val="toc amend div"/>
    <w:uiPriority w:val="99"/>
    <w:pPr>
      <w:autoSpaceDE w:val="0"/>
      <w:autoSpaceDN w:val="0"/>
      <w:spacing w:before="20" w:after="20" w:line="240" w:lineRule="auto"/>
      <w:ind w:left="1120" w:right="20"/>
      <w:jc w:val="center"/>
    </w:pPr>
    <w:rPr>
      <w:rFonts w:ascii="Times" w:hAnsi="Times" w:cs="Times"/>
      <w:i/>
      <w:iCs/>
      <w:kern w:val="0"/>
      <w:sz w:val="20"/>
      <w:szCs w:val="20"/>
    </w:rPr>
  </w:style>
  <w:style w:type="paragraph" w:customStyle="1" w:styleId="tocamendpart">
    <w:name w:val="toc amend part"/>
    <w:uiPriority w:val="99"/>
    <w:pPr>
      <w:autoSpaceDE w:val="0"/>
      <w:autoSpaceDN w:val="0"/>
      <w:spacing w:before="20" w:after="20" w:line="240" w:lineRule="auto"/>
      <w:ind w:left="1120" w:right="20"/>
      <w:jc w:val="center"/>
    </w:pPr>
    <w:rPr>
      <w:rFonts w:ascii="Times" w:hAnsi="Times" w:cs="Times"/>
      <w:caps/>
      <w:kern w:val="0"/>
      <w:sz w:val="20"/>
      <w:szCs w:val="20"/>
    </w:rPr>
  </w:style>
  <w:style w:type="paragraph" w:customStyle="1" w:styleId="secinpara">
    <w:name w:val="sec in para"/>
    <w:uiPriority w:val="99"/>
    <w:pPr>
      <w:autoSpaceDE w:val="0"/>
      <w:autoSpaceDN w:val="0"/>
      <w:spacing w:before="80" w:after="80" w:line="240" w:lineRule="auto"/>
      <w:ind w:left="900" w:firstLine="400"/>
      <w:jc w:val="both"/>
    </w:pPr>
    <w:rPr>
      <w:rFonts w:ascii="Times" w:hAnsi="Times" w:cs="Times"/>
      <w:kern w:val="0"/>
      <w:sz w:val="24"/>
      <w:szCs w:val="24"/>
    </w:rPr>
  </w:style>
  <w:style w:type="paragraph" w:customStyle="1" w:styleId="parainpara">
    <w:name w:val="para in para"/>
    <w:uiPriority w:val="99"/>
    <w:pPr>
      <w:tabs>
        <w:tab w:val="right" w:pos="1500"/>
      </w:tabs>
      <w:autoSpaceDE w:val="0"/>
      <w:autoSpaceDN w:val="0"/>
      <w:spacing w:before="80" w:after="80" w:line="240" w:lineRule="auto"/>
      <w:ind w:left="1800" w:hanging="1800"/>
      <w:jc w:val="both"/>
    </w:pPr>
    <w:rPr>
      <w:rFonts w:ascii="Times" w:hAnsi="Times" w:cs="Times"/>
      <w:kern w:val="0"/>
      <w:sz w:val="24"/>
      <w:szCs w:val="24"/>
    </w:rPr>
  </w:style>
  <w:style w:type="paragraph" w:customStyle="1" w:styleId="subparainpara">
    <w:name w:val="subpara in para"/>
    <w:uiPriority w:val="99"/>
    <w:pPr>
      <w:tabs>
        <w:tab w:val="right" w:pos="2280"/>
      </w:tabs>
      <w:autoSpaceDE w:val="0"/>
      <w:autoSpaceDN w:val="0"/>
      <w:spacing w:before="80" w:after="80" w:line="240" w:lineRule="auto"/>
      <w:ind w:left="2480" w:hanging="2480"/>
      <w:jc w:val="both"/>
    </w:pPr>
    <w:rPr>
      <w:rFonts w:ascii="Times" w:hAnsi="Times" w:cs="Times"/>
      <w:kern w:val="0"/>
      <w:sz w:val="24"/>
      <w:szCs w:val="24"/>
    </w:rPr>
  </w:style>
  <w:style w:type="paragraph" w:customStyle="1" w:styleId="sub-subparainpara">
    <w:name w:val="sub-subpara in para"/>
    <w:uiPriority w:val="99"/>
    <w:pPr>
      <w:autoSpaceDE w:val="0"/>
      <w:autoSpaceDN w:val="0"/>
      <w:spacing w:before="80" w:after="80" w:line="240" w:lineRule="auto"/>
      <w:ind w:left="3160" w:hanging="460"/>
      <w:jc w:val="both"/>
    </w:pPr>
    <w:rPr>
      <w:rFonts w:ascii="Times" w:hAnsi="Times" w:cs="Times"/>
      <w:kern w:val="0"/>
      <w:sz w:val="24"/>
      <w:szCs w:val="24"/>
    </w:rPr>
  </w:style>
  <w:style w:type="paragraph" w:customStyle="1" w:styleId="subparainpara2">
    <w:name w:val="subpara in para /2"/>
    <w:uiPriority w:val="99"/>
    <w:pPr>
      <w:tabs>
        <w:tab w:val="right" w:pos="1400"/>
      </w:tabs>
      <w:autoSpaceDE w:val="0"/>
      <w:autoSpaceDN w:val="0"/>
      <w:spacing w:before="80" w:after="80" w:line="240" w:lineRule="auto"/>
      <w:ind w:left="1580" w:hanging="1580"/>
      <w:jc w:val="both"/>
    </w:pPr>
    <w:rPr>
      <w:rFonts w:ascii="Times" w:hAnsi="Times" w:cs="Times"/>
      <w:kern w:val="0"/>
      <w:sz w:val="24"/>
      <w:szCs w:val="24"/>
    </w:rPr>
  </w:style>
  <w:style w:type="paragraph" w:customStyle="1" w:styleId="orparainpara">
    <w:name w:val=". or para in para"/>
    <w:uiPriority w:val="99"/>
    <w:pPr>
      <w:tabs>
        <w:tab w:val="left" w:pos="1680"/>
      </w:tabs>
      <w:autoSpaceDE w:val="0"/>
      <w:autoSpaceDN w:val="0"/>
      <w:spacing w:before="80" w:after="80" w:line="240" w:lineRule="auto"/>
      <w:ind w:left="2100" w:hanging="1000"/>
      <w:jc w:val="both"/>
    </w:pPr>
    <w:rPr>
      <w:rFonts w:ascii="Times" w:hAnsi="Times" w:cs="Times"/>
      <w:kern w:val="0"/>
      <w:sz w:val="24"/>
      <w:szCs w:val="24"/>
    </w:rPr>
  </w:style>
  <w:style w:type="paragraph" w:customStyle="1" w:styleId="orpara">
    <w:name w:val=". or para"/>
    <w:uiPriority w:val="99"/>
    <w:pPr>
      <w:tabs>
        <w:tab w:val="left" w:pos="920"/>
      </w:tabs>
      <w:autoSpaceDE w:val="0"/>
      <w:autoSpaceDN w:val="0"/>
      <w:spacing w:before="80" w:after="80" w:line="240" w:lineRule="auto"/>
      <w:ind w:left="1380" w:hanging="980"/>
      <w:jc w:val="both"/>
    </w:pPr>
    <w:rPr>
      <w:rFonts w:ascii="Times" w:hAnsi="Times" w:cs="Times"/>
      <w:kern w:val="0"/>
      <w:sz w:val="24"/>
      <w:szCs w:val="24"/>
    </w:rPr>
  </w:style>
  <w:style w:type="paragraph" w:customStyle="1" w:styleId="orsubpara">
    <w:name w:val=". or subpara"/>
    <w:uiPriority w:val="99"/>
    <w:pPr>
      <w:tabs>
        <w:tab w:val="right" w:pos="1200"/>
      </w:tabs>
      <w:autoSpaceDE w:val="0"/>
      <w:autoSpaceDN w:val="0"/>
      <w:spacing w:before="80" w:after="80" w:line="240" w:lineRule="auto"/>
      <w:ind w:left="1380" w:hanging="980"/>
      <w:jc w:val="both"/>
    </w:pPr>
    <w:rPr>
      <w:rFonts w:ascii="Times" w:hAnsi="Times" w:cs="Times"/>
      <w:kern w:val="0"/>
      <w:sz w:val="24"/>
      <w:szCs w:val="24"/>
    </w:rPr>
  </w:style>
  <w:style w:type="paragraph" w:customStyle="1" w:styleId="orsubparainpara">
    <w:name w:val=". or subpara in para"/>
    <w:uiPriority w:val="99"/>
    <w:pPr>
      <w:tabs>
        <w:tab w:val="right" w:pos="1900"/>
      </w:tabs>
      <w:autoSpaceDE w:val="0"/>
      <w:autoSpaceDN w:val="0"/>
      <w:spacing w:before="80" w:after="80" w:line="240" w:lineRule="auto"/>
      <w:ind w:left="2100" w:hanging="1000"/>
      <w:jc w:val="both"/>
    </w:pPr>
    <w:rPr>
      <w:rFonts w:ascii="Times" w:hAnsi="Times" w:cs="Times"/>
      <w:kern w:val="0"/>
      <w:sz w:val="24"/>
      <w:szCs w:val="24"/>
    </w:rPr>
  </w:style>
  <w:style w:type="paragraph" w:customStyle="1" w:styleId="quarterout">
    <w:name w:val="quarter out"/>
    <w:uiPriority w:val="99"/>
    <w:pPr>
      <w:autoSpaceDE w:val="0"/>
      <w:autoSpaceDN w:val="0"/>
      <w:spacing w:before="80" w:after="80" w:line="240" w:lineRule="auto"/>
      <w:ind w:left="1600"/>
      <w:jc w:val="both"/>
    </w:pPr>
    <w:rPr>
      <w:rFonts w:ascii="Times" w:hAnsi="Times" w:cs="Times"/>
      <w:kern w:val="0"/>
      <w:sz w:val="24"/>
      <w:szCs w:val="24"/>
    </w:rPr>
  </w:style>
  <w:style w:type="paragraph" w:customStyle="1" w:styleId="note">
    <w:name w:val="note"/>
    <w:basedOn w:val="Normal"/>
    <w:uiPriority w:val="99"/>
    <w:pPr>
      <w:spacing w:before="200" w:after="200"/>
      <w:jc w:val="center"/>
    </w:pPr>
    <w:rPr>
      <w:b/>
      <w:bCs/>
      <w:caps/>
    </w:rPr>
  </w:style>
  <w:style w:type="paragraph" w:customStyle="1" w:styleId="note1">
    <w:name w:val="note 1"/>
    <w:uiPriority w:val="99"/>
    <w:pPr>
      <w:autoSpaceDE w:val="0"/>
      <w:autoSpaceDN w:val="0"/>
      <w:spacing w:before="200" w:after="200" w:line="240" w:lineRule="auto"/>
      <w:ind w:left="400" w:hanging="400"/>
      <w:jc w:val="both"/>
    </w:pPr>
    <w:rPr>
      <w:rFonts w:ascii="Times" w:hAnsi="Times" w:cs="Times"/>
      <w:kern w:val="0"/>
      <w:sz w:val="24"/>
      <w:szCs w:val="24"/>
    </w:rPr>
  </w:style>
  <w:style w:type="paragraph" w:customStyle="1" w:styleId="aindentdef">
    <w:name w:val="a indent/def"/>
    <w:basedOn w:val="Normal"/>
    <w:uiPriority w:val="99"/>
    <w:pPr>
      <w:ind w:left="900" w:hanging="500"/>
    </w:pPr>
  </w:style>
  <w:style w:type="character" w:styleId="PageNumber">
    <w:name w:val="page number"/>
    <w:basedOn w:val="DefaultParagraphFont"/>
    <w:uiPriority w:val="99"/>
  </w:style>
  <w:style w:type="paragraph" w:customStyle="1" w:styleId="Status">
    <w:name w:val="Status"/>
    <w:basedOn w:val="Normal"/>
    <w:uiPriority w:val="99"/>
    <w:pPr>
      <w:tabs>
        <w:tab w:val="left" w:pos="2880"/>
      </w:tabs>
      <w:spacing w:before="280" w:after="0"/>
      <w:jc w:val="center"/>
    </w:pPr>
    <w:rPr>
      <w:rFonts w:ascii="Arial" w:hAnsi="Arial" w:cs="Arial"/>
      <w:sz w:val="14"/>
      <w:szCs w:val="14"/>
      <w:lang w:val="en-US"/>
    </w:rPr>
  </w:style>
  <w:style w:type="paragraph" w:customStyle="1" w:styleId="00SigningPage">
    <w:name w:val="00SigningPage"/>
    <w:basedOn w:val="Normal"/>
    <w:rsid w:val="00576E19"/>
    <w:pPr>
      <w:autoSpaceDE/>
      <w:autoSpaceDN/>
      <w:spacing w:before="0" w:after="0"/>
      <w:jc w:val="left"/>
    </w:pPr>
    <w:rPr>
      <w:rFonts w:ascii="Times New Roman" w:eastAsia="Times New Roman" w:hAnsi="Times New Roman" w:cs="Times New Roman"/>
      <w:szCs w:val="20"/>
      <w:lang w:eastAsia="en-US"/>
      <w14:ligatures w14:val="none"/>
    </w:rPr>
  </w:style>
  <w:style w:type="paragraph" w:customStyle="1" w:styleId="citation">
    <w:name w:val="citation"/>
    <w:basedOn w:val="Normal"/>
    <w:rsid w:val="00576E19"/>
    <w:pPr>
      <w:autoSpaceDE/>
      <w:autoSpaceDN/>
      <w:spacing w:before="1220" w:after="100"/>
      <w:jc w:val="left"/>
    </w:pPr>
    <w:rPr>
      <w:rFonts w:ascii="Arial" w:eastAsia="Times New Roman" w:hAnsi="Arial" w:cs="Times New Roman"/>
      <w:b/>
      <w:sz w:val="40"/>
      <w:szCs w:val="20"/>
      <w:lang w:eastAsia="en-US"/>
      <w14:ligatures w14:val="none"/>
    </w:rPr>
  </w:style>
  <w:style w:type="paragraph" w:customStyle="1" w:styleId="RepubNo">
    <w:name w:val="RepubNo"/>
    <w:basedOn w:val="Normal"/>
    <w:rsid w:val="00576E19"/>
    <w:pPr>
      <w:tabs>
        <w:tab w:val="left" w:pos="2600"/>
      </w:tabs>
      <w:autoSpaceDE/>
      <w:autoSpaceDN/>
      <w:spacing w:before="600"/>
    </w:pPr>
    <w:rPr>
      <w:rFonts w:ascii="Arial" w:eastAsia="Times New Roman" w:hAnsi="Arial" w:cs="Times New Roman"/>
      <w:b/>
      <w:sz w:val="26"/>
      <w:szCs w:val="20"/>
      <w:lang w:eastAsia="en-US"/>
      <w14:ligatures w14:val="none"/>
    </w:rPr>
  </w:style>
  <w:style w:type="paragraph" w:customStyle="1" w:styleId="EffectiveDate">
    <w:name w:val="EffectiveDate"/>
    <w:basedOn w:val="Normal"/>
    <w:rsid w:val="00576E19"/>
    <w:pPr>
      <w:autoSpaceDE/>
      <w:autoSpaceDN/>
      <w:spacing w:before="40" w:after="200"/>
      <w:jc w:val="left"/>
    </w:pPr>
    <w:rPr>
      <w:rFonts w:ascii="Arial" w:eastAsia="Times New Roman" w:hAnsi="Arial" w:cs="Times New Roman"/>
      <w:b/>
      <w:sz w:val="26"/>
      <w:szCs w:val="20"/>
      <w:lang w:eastAsia="en-US"/>
      <w14:ligatures w14:val="none"/>
    </w:rPr>
  </w:style>
  <w:style w:type="paragraph" w:customStyle="1" w:styleId="CoverInForce">
    <w:name w:val="CoverInForce"/>
    <w:basedOn w:val="Normal"/>
    <w:rsid w:val="00576E19"/>
    <w:pPr>
      <w:tabs>
        <w:tab w:val="left" w:pos="2600"/>
      </w:tabs>
      <w:autoSpaceDE/>
      <w:autoSpaceDN/>
      <w:spacing w:before="200"/>
      <w:jc w:val="left"/>
    </w:pPr>
    <w:rPr>
      <w:rFonts w:ascii="Arial" w:eastAsia="Times New Roman" w:hAnsi="Arial" w:cs="Times New Roman"/>
      <w:szCs w:val="20"/>
      <w:lang w:eastAsia="en-US"/>
      <w14:ligatures w14:val="none"/>
    </w:rPr>
  </w:style>
  <w:style w:type="paragraph" w:customStyle="1" w:styleId="CoverHeading">
    <w:name w:val="CoverHeading"/>
    <w:basedOn w:val="Normal"/>
    <w:rsid w:val="00576E19"/>
    <w:pPr>
      <w:autoSpaceDE/>
      <w:autoSpaceDN/>
      <w:spacing w:before="0"/>
      <w:jc w:val="left"/>
    </w:pPr>
    <w:rPr>
      <w:rFonts w:ascii="Arial" w:eastAsia="Times New Roman" w:hAnsi="Arial" w:cs="Times New Roman"/>
      <w:b/>
      <w:szCs w:val="20"/>
      <w:lang w:eastAsia="en-US"/>
      <w14:ligatures w14:val="none"/>
    </w:rPr>
  </w:style>
  <w:style w:type="paragraph" w:customStyle="1" w:styleId="CoverSubHdg">
    <w:name w:val="CoverSubHdg"/>
    <w:basedOn w:val="CoverHeading"/>
    <w:rsid w:val="00576E19"/>
    <w:pPr>
      <w:spacing w:before="60"/>
    </w:pPr>
    <w:rPr>
      <w:sz w:val="20"/>
    </w:rPr>
  </w:style>
  <w:style w:type="paragraph" w:customStyle="1" w:styleId="CoverText">
    <w:name w:val="CoverText"/>
    <w:basedOn w:val="Normal"/>
    <w:rsid w:val="00576E19"/>
    <w:pPr>
      <w:autoSpaceDE/>
      <w:autoSpaceDN/>
      <w:spacing w:before="40" w:after="40"/>
    </w:pPr>
    <w:rPr>
      <w:rFonts w:ascii="Times New Roman" w:eastAsia="Times New Roman" w:hAnsi="Times New Roman" w:cs="Times New Roman"/>
      <w:sz w:val="20"/>
      <w:szCs w:val="20"/>
      <w:lang w:eastAsia="en-US"/>
      <w14:ligatures w14:val="none"/>
    </w:rPr>
  </w:style>
  <w:style w:type="paragraph" w:customStyle="1" w:styleId="ActNo">
    <w:name w:val="ActNo"/>
    <w:basedOn w:val="Normal"/>
    <w:rsid w:val="00576E19"/>
    <w:pPr>
      <w:autoSpaceDE/>
      <w:autoSpaceDN/>
      <w:spacing w:before="120"/>
      <w:jc w:val="left"/>
    </w:pPr>
    <w:rPr>
      <w:rFonts w:ascii="Arial" w:eastAsia="Times New Roman" w:hAnsi="Arial" w:cs="Arial"/>
      <w:b/>
      <w:bCs/>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3019</Words>
  <Characters>15030</Characters>
  <Application>Microsoft Office Word</Application>
  <DocSecurity>0</DocSecurity>
  <Lines>448</Lines>
  <Paragraphs>240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Aasha Swift</dc:creator>
  <cp:keywords/>
  <dc:description/>
  <cp:lastModifiedBy>Stonham, Joshua</cp:lastModifiedBy>
  <cp:revision>4</cp:revision>
  <cp:lastPrinted>1996-07-03T05:32:00Z</cp:lastPrinted>
  <dcterms:created xsi:type="dcterms:W3CDTF">2024-08-23T02:28:00Z</dcterms:created>
  <dcterms:modified xsi:type="dcterms:W3CDTF">2024-08-23T02:28:00Z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MSIP_Label_69af8531-eb46-4968-8cb3-105d2f5ea87e_Enabled">
    <vt:lpwstr>true</vt:lpwstr>
  </property>
  <property fmtid="{D5CDD505-2E9C-101B-9397-08002B2CF9AE}" pid="4" name="MSIP_Label_69af8531-eb46-4968-8cb3-105d2f5ea87e_SetDate">
    <vt:lpwstr>2024-05-31T00:52:25Z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4f395203-8f47-4279-a878-e96f7fff72e6</vt:lpwstr>
  </property>
  <property fmtid="{D5CDD505-2E9C-101B-9397-08002B2CF9AE}" pid="9" name="MSIP_Label_69af8531-eb46-4968-8cb3-105d2f5ea87e_ContentBits">
    <vt:lpwstr>0</vt:lpwstr>
  </property>
</Properties>
</file>