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F9A" w:rsidRDefault="00BB6F9A">
      <w:pPr>
        <w:jc w:val="center"/>
        <w:rPr>
          <w:sz w:val="16"/>
          <w:szCs w:val="16"/>
        </w:rPr>
      </w:pPr>
      <w:bookmarkStart w:id="0" w:name="_GoBack"/>
      <w:bookmarkEnd w:id="0"/>
    </w:p>
    <w:p w:rsidR="00BB6F9A" w:rsidRDefault="00BD2D8C">
      <w:pPr>
        <w:jc w:val="center"/>
      </w:pPr>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B6F9A" w:rsidRDefault="00BB6F9A">
      <w:pPr>
        <w:jc w:val="center"/>
        <w:rPr>
          <w:rFonts w:ascii="Arial" w:hAnsi="Arial" w:cs="Arial"/>
        </w:rPr>
      </w:pPr>
      <w:r>
        <w:rPr>
          <w:rFonts w:ascii="Arial" w:hAnsi="Arial" w:cs="Arial"/>
        </w:rPr>
        <w:t>Australian Capital Territory</w:t>
      </w:r>
    </w:p>
    <w:p w:rsidR="00BB6F9A" w:rsidRDefault="001B7504">
      <w:pPr>
        <w:pStyle w:val="Billname"/>
      </w:pPr>
      <w:r>
        <w:fldChar w:fldCharType="begin"/>
      </w:r>
      <w:r>
        <w:instrText xml:space="preserve"> REF Citation \*charformat </w:instrText>
      </w:r>
      <w:r>
        <w:fldChar w:fldCharType="separate"/>
      </w:r>
      <w:r w:rsidR="00076C31">
        <w:t>Civil Law (Wrongs) Act 2002</w:t>
      </w:r>
      <w:r>
        <w:fldChar w:fldCharType="end"/>
      </w:r>
      <w:r w:rsidR="00BB6F9A">
        <w:t xml:space="preserve">     </w:t>
      </w:r>
      <w:bookmarkStart w:id="1" w:name="LawNo"/>
      <w:r w:rsidR="00BD2D8C">
        <w:t>No 40</w:t>
      </w:r>
      <w:bookmarkEnd w:id="1"/>
    </w:p>
    <w:p w:rsidR="00BB6F9A" w:rsidRDefault="00BB6F9A">
      <w:pPr>
        <w:pStyle w:val="RepubNo"/>
      </w:pPr>
      <w:r>
        <w:t xml:space="preserve">Republication No </w:t>
      </w:r>
      <w:bookmarkStart w:id="2" w:name="RepubNo"/>
      <w:r w:rsidR="00BD2D8C">
        <w:t>7</w:t>
      </w:r>
      <w:bookmarkEnd w:id="2"/>
    </w:p>
    <w:p w:rsidR="00BB6F9A" w:rsidRDefault="00BB6F9A">
      <w:pPr>
        <w:pStyle w:val="EffectiveDate"/>
        <w:keepNext/>
      </w:pPr>
      <w:r>
        <w:t xml:space="preserve">Effective:  </w:t>
      </w:r>
      <w:bookmarkStart w:id="3" w:name="EffectiveDate"/>
      <w:r w:rsidR="00BD2D8C">
        <w:t>10 April 2003</w:t>
      </w:r>
      <w:bookmarkEnd w:id="3"/>
      <w:r w:rsidR="00BD2D8C">
        <w:t xml:space="preserve"> – </w:t>
      </w:r>
      <w:bookmarkStart w:id="4" w:name="EndEffDate"/>
      <w:r w:rsidR="00BD2D8C">
        <w:t>30 June 2003</w:t>
      </w:r>
      <w:bookmarkEnd w:id="4"/>
    </w:p>
    <w:p w:rsidR="00BB6F9A" w:rsidRDefault="00BB6F9A">
      <w:pPr>
        <w:pStyle w:val="CoverInForce"/>
        <w:keepNext/>
      </w:pPr>
      <w:r>
        <w:t xml:space="preserve">Republication date: </w:t>
      </w:r>
      <w:bookmarkStart w:id="5" w:name="InForceDate"/>
      <w:r w:rsidR="00BD2D8C">
        <w:t>10 April 2003</w:t>
      </w:r>
      <w:bookmarkEnd w:id="5"/>
    </w:p>
    <w:p w:rsidR="00BB6F9A" w:rsidRDefault="00BB6F9A">
      <w:pPr>
        <w:pStyle w:val="CoverInForce"/>
      </w:pPr>
      <w:r>
        <w:t xml:space="preserve">Last amendment made by </w:t>
      </w:r>
      <w:bookmarkStart w:id="6" w:name="LastAmdt"/>
      <w:r w:rsidR="00BD2D8C">
        <w:t>A2003-14</w:t>
      </w:r>
      <w:bookmarkEnd w:id="6"/>
      <w:r>
        <w:br/>
        <w:t>(republication for commenced provisions)</w:t>
      </w:r>
    </w:p>
    <w:p w:rsidR="00BB6F9A" w:rsidRDefault="00BB6F9A"/>
    <w:p w:rsidR="00BB6F9A" w:rsidRDefault="00BB6F9A"/>
    <w:p w:rsidR="00BB6F9A" w:rsidRDefault="00BB6F9A">
      <w:pPr>
        <w:pStyle w:val="CoverInForce"/>
        <w:keepNext/>
      </w:pPr>
      <w:r>
        <w:t>Not all provisions are in force: see last endnote</w:t>
      </w:r>
    </w:p>
    <w:p w:rsidR="00BB6F9A" w:rsidRDefault="00BB6F9A"/>
    <w:p w:rsidR="00BB6F9A" w:rsidRDefault="00BB6F9A"/>
    <w:p w:rsidR="00BB6F9A" w:rsidRDefault="00BB6F9A"/>
    <w:p w:rsidR="00BB6F9A" w:rsidRDefault="00BB6F9A">
      <w:pPr>
        <w:pStyle w:val="CoverHeading"/>
      </w:pPr>
      <w:r>
        <w:br w:type="page"/>
      </w:r>
      <w:r>
        <w:lastRenderedPageBreak/>
        <w:t>About this republication</w:t>
      </w:r>
    </w:p>
    <w:p w:rsidR="00BB6F9A" w:rsidRDefault="00BB6F9A">
      <w:pPr>
        <w:pStyle w:val="CoverSubHdg"/>
      </w:pPr>
      <w:r>
        <w:t>The republished law</w:t>
      </w:r>
    </w:p>
    <w:p w:rsidR="00BB6F9A" w:rsidRDefault="00BB6F9A">
      <w:pPr>
        <w:pStyle w:val="CoverText"/>
      </w:pPr>
      <w:r>
        <w:t xml:space="preserve">This is a republication of the </w:t>
      </w:r>
      <w:r w:rsidRPr="00BD2D8C">
        <w:rPr>
          <w:i/>
        </w:rPr>
        <w:fldChar w:fldCharType="begin"/>
      </w:r>
      <w:r w:rsidRPr="00BD2D8C">
        <w:rPr>
          <w:i/>
        </w:rPr>
        <w:instrText xml:space="preserve"> REF citation *\charformat  \* MERGEFORMAT </w:instrText>
      </w:r>
      <w:r w:rsidRPr="00BD2D8C">
        <w:rPr>
          <w:i/>
        </w:rPr>
        <w:fldChar w:fldCharType="separate"/>
      </w:r>
      <w:r w:rsidR="00076C31" w:rsidRPr="00076C31">
        <w:rPr>
          <w:i/>
        </w:rPr>
        <w:t>Civil Law (Wrongs) Act 2002</w:t>
      </w:r>
      <w:r w:rsidRPr="00BD2D8C">
        <w:rPr>
          <w:i/>
        </w:rPr>
        <w:fldChar w:fldCharType="end"/>
      </w:r>
      <w:r>
        <w:t xml:space="preserve"> (including any amendment made under the </w:t>
      </w:r>
      <w:r>
        <w:rPr>
          <w:rStyle w:val="charItals"/>
        </w:rPr>
        <w:t>Legislation Act 2001</w:t>
      </w:r>
      <w:r>
        <w:t>, part 11.3 (Editorial changes))</w:t>
      </w:r>
      <w:r>
        <w:rPr>
          <w:i/>
          <w:iCs/>
        </w:rPr>
        <w:t xml:space="preserve"> </w:t>
      </w:r>
      <w:r>
        <w:t xml:space="preserve">as in force on </w:t>
      </w:r>
      <w:r w:rsidR="001B7504">
        <w:fldChar w:fldCharType="begin"/>
      </w:r>
      <w:r w:rsidR="001B7504">
        <w:instrText xml:space="preserve"> REF InForceDate *\charformat </w:instrText>
      </w:r>
      <w:r w:rsidR="001B7504">
        <w:fldChar w:fldCharType="separate"/>
      </w:r>
      <w:r w:rsidR="00076C31">
        <w:t>10 April 2003</w:t>
      </w:r>
      <w:r w:rsidR="001B7504">
        <w:fldChar w:fldCharType="end"/>
      </w:r>
      <w:r>
        <w:rPr>
          <w:i/>
          <w:iCs/>
        </w:rPr>
        <w:t xml:space="preserve">.  </w:t>
      </w:r>
      <w:r>
        <w:t xml:space="preserve">It also includes any amendment, repeal or expiry affecting the republished law to </w:t>
      </w:r>
      <w:r w:rsidR="001B7504">
        <w:fldChar w:fldCharType="begin"/>
      </w:r>
      <w:r w:rsidR="001B7504">
        <w:instrText xml:space="preserve"> REF EffectiveDate *\charformat </w:instrText>
      </w:r>
      <w:r w:rsidR="001B7504">
        <w:fldChar w:fldCharType="separate"/>
      </w:r>
      <w:r w:rsidR="00076C31">
        <w:t>10 April 2003</w:t>
      </w:r>
      <w:r w:rsidR="001B7504">
        <w:fldChar w:fldCharType="end"/>
      </w:r>
      <w:r>
        <w:t xml:space="preserve">.  </w:t>
      </w:r>
    </w:p>
    <w:p w:rsidR="00BB6F9A" w:rsidRDefault="00BB6F9A">
      <w:pPr>
        <w:pStyle w:val="CoverText"/>
      </w:pPr>
      <w:r>
        <w:t xml:space="preserve">The legislation history and amendment history of the republished law are set out in endnotes 3 and 4. </w:t>
      </w:r>
    </w:p>
    <w:p w:rsidR="00BB6F9A" w:rsidRDefault="00BB6F9A">
      <w:pPr>
        <w:pStyle w:val="CoverSubHdg"/>
      </w:pPr>
      <w:r>
        <w:t>Kinds of republications</w:t>
      </w:r>
    </w:p>
    <w:p w:rsidR="00BB6F9A" w:rsidRDefault="00BB6F9A">
      <w:pPr>
        <w:pStyle w:val="CoverText"/>
        <w:keepNext/>
        <w:rPr>
          <w:color w:val="000000"/>
        </w:rPr>
      </w:pPr>
      <w:r>
        <w:rPr>
          <w:color w:val="000000"/>
        </w:rPr>
        <w:t>The Parliamentary Counsel’s Office prepares 2 kinds of republications of ACT laws (see the ACT legislation register at www.legislation.act.gov.au):</w:t>
      </w:r>
    </w:p>
    <w:p w:rsidR="00BB6F9A" w:rsidRDefault="00BB6F9A" w:rsidP="00AC04B5">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BB6F9A" w:rsidRDefault="00BB6F9A" w:rsidP="00AC04B5">
      <w:pPr>
        <w:pStyle w:val="CoverText"/>
        <w:numPr>
          <w:ilvl w:val="0"/>
          <w:numId w:val="12"/>
        </w:numPr>
        <w:rPr>
          <w:color w:val="000000"/>
        </w:rPr>
      </w:pPr>
      <w:r>
        <w:rPr>
          <w:color w:val="000000"/>
        </w:rPr>
        <w:t>unauthorised republications.</w:t>
      </w:r>
    </w:p>
    <w:p w:rsidR="00BB6F9A" w:rsidRDefault="00BB6F9A">
      <w:pPr>
        <w:pStyle w:val="CoverText"/>
      </w:pPr>
      <w:r>
        <w:t>The status of this republication appears on the bottom of each page.</w:t>
      </w:r>
    </w:p>
    <w:p w:rsidR="00BB6F9A" w:rsidRDefault="00BB6F9A">
      <w:pPr>
        <w:pStyle w:val="CoverSubHdg"/>
      </w:pPr>
      <w:r>
        <w:t>Editorial changes</w:t>
      </w:r>
    </w:p>
    <w:p w:rsidR="00BB6F9A" w:rsidRDefault="00BB6F9A">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BB6F9A" w:rsidRDefault="00BB6F9A">
      <w:pPr>
        <w:pStyle w:val="CoverText"/>
      </w:pPr>
      <w:r>
        <w:t>When preparing the authorised version of this republication amendments were made under part 11.3 (see endnote 1).</w:t>
      </w:r>
    </w:p>
    <w:p w:rsidR="00BB6F9A" w:rsidRDefault="00BB6F9A">
      <w:pPr>
        <w:pStyle w:val="CoverSubHdg"/>
      </w:pPr>
      <w:r>
        <w:t>Uncommenced provisions and amendments</w:t>
      </w:r>
    </w:p>
    <w:p w:rsidR="00BB6F9A" w:rsidRDefault="00BB6F9A">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BB6F9A" w:rsidRDefault="00BB6F9A">
      <w:pPr>
        <w:pStyle w:val="CoverSubHdg"/>
      </w:pPr>
      <w:r>
        <w:t>Modifications</w:t>
      </w:r>
    </w:p>
    <w:p w:rsidR="00BB6F9A" w:rsidRDefault="00BB6F9A">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BB6F9A" w:rsidRDefault="00BB6F9A">
      <w:pPr>
        <w:pStyle w:val="CoverSubHdg"/>
      </w:pPr>
      <w:r>
        <w:t>Penalties</w:t>
      </w:r>
    </w:p>
    <w:p w:rsidR="00BB6F9A" w:rsidRDefault="00BB6F9A">
      <w:pPr>
        <w:pStyle w:val="CoverText"/>
        <w:rPr>
          <w:color w:val="000000"/>
        </w:rPr>
      </w:pPr>
      <w:r>
        <w:rPr>
          <w:color w:val="000000"/>
        </w:rPr>
        <w:t>The value of a penalty unit for an offence against this republished law at the republication date is—</w:t>
      </w:r>
    </w:p>
    <w:p w:rsidR="00BB6F9A" w:rsidRDefault="00BB6F9A">
      <w:pPr>
        <w:pStyle w:val="CoverTextPara"/>
        <w:tabs>
          <w:tab w:val="right" w:pos="600"/>
          <w:tab w:val="left" w:pos="840"/>
        </w:tabs>
        <w:ind w:left="840" w:hanging="840"/>
      </w:pPr>
      <w:r>
        <w:tab/>
        <w:t>(a)</w:t>
      </w:r>
      <w:r>
        <w:tab/>
        <w:t>if the person charged is an individual—$100; or</w:t>
      </w:r>
    </w:p>
    <w:p w:rsidR="00BB6F9A" w:rsidRDefault="00BB6F9A">
      <w:pPr>
        <w:pStyle w:val="CoverTextPara"/>
        <w:tabs>
          <w:tab w:val="right" w:pos="600"/>
          <w:tab w:val="left" w:pos="840"/>
        </w:tabs>
        <w:ind w:left="840" w:hanging="840"/>
      </w:pPr>
      <w:r>
        <w:tab/>
        <w:t>(b)</w:t>
      </w:r>
      <w:r>
        <w:tab/>
        <w:t>if the person charged is a corporation—$500.</w:t>
      </w:r>
    </w:p>
    <w:p w:rsidR="00BB6F9A" w:rsidRDefault="00BB6F9A">
      <w:pPr>
        <w:pStyle w:val="00SigningPage"/>
        <w:sectPr w:rsidR="00BB6F9A">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20"/>
          <w:titlePg/>
        </w:sectPr>
      </w:pPr>
    </w:p>
    <w:p w:rsidR="00BB6F9A" w:rsidRDefault="00BB6F9A">
      <w:pPr>
        <w:jc w:val="center"/>
        <w:rPr>
          <w:sz w:val="16"/>
          <w:szCs w:val="16"/>
        </w:rPr>
      </w:pPr>
    </w:p>
    <w:p w:rsidR="00BB6F9A" w:rsidRDefault="00BD2D8C">
      <w:pPr>
        <w:jc w:val="center"/>
      </w:pPr>
      <w:r>
        <w:rPr>
          <w:noProof/>
        </w:rPr>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B6F9A" w:rsidRDefault="00BB6F9A">
      <w:pPr>
        <w:jc w:val="center"/>
        <w:rPr>
          <w:rFonts w:ascii="Arial" w:hAnsi="Arial" w:cs="Arial"/>
        </w:rPr>
      </w:pPr>
      <w:r>
        <w:rPr>
          <w:rFonts w:ascii="Arial" w:hAnsi="Arial" w:cs="Arial"/>
        </w:rPr>
        <w:t>Australian Capital Territory</w:t>
      </w:r>
    </w:p>
    <w:p w:rsidR="00BB6F9A" w:rsidRDefault="001B7504">
      <w:pPr>
        <w:pStyle w:val="Billname"/>
      </w:pPr>
      <w:r>
        <w:fldChar w:fldCharType="begin"/>
      </w:r>
      <w:r>
        <w:instrText xml:space="preserve"> REF Citation \*charformat </w:instrText>
      </w:r>
      <w:r>
        <w:fldChar w:fldCharType="separate"/>
      </w:r>
      <w:r w:rsidR="00076C31">
        <w:t>Civil Law (Wrongs) Act 2002</w:t>
      </w:r>
      <w:r>
        <w:fldChar w:fldCharType="end"/>
      </w:r>
    </w:p>
    <w:p w:rsidR="00BB6F9A" w:rsidRDefault="00BB6F9A">
      <w:pPr>
        <w:pStyle w:val="ActNo"/>
      </w:pPr>
    </w:p>
    <w:p w:rsidR="00BB6F9A" w:rsidRDefault="00BB6F9A">
      <w:pPr>
        <w:pStyle w:val="N-TOCheading"/>
      </w:pPr>
      <w:r>
        <w:t>Contents</w:t>
      </w:r>
    </w:p>
    <w:p w:rsidR="00BB6F9A" w:rsidRDefault="00BB6F9A">
      <w:pPr>
        <w:pStyle w:val="N-9pt"/>
      </w:pPr>
      <w:r>
        <w:tab/>
        <w:t>Page</w:t>
      </w:r>
    </w:p>
    <w:p w:rsidR="008D25FE" w:rsidRDefault="008D25FE">
      <w:pPr>
        <w:pStyle w:val="TOC1"/>
        <w:rPr>
          <w:rFonts w:asciiTheme="minorHAnsi" w:hAnsiTheme="minorHAnsi" w:cstheme="minorBidi"/>
          <w:b w:val="0"/>
          <w:bCs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661270" w:history="1">
        <w:r w:rsidRPr="00BF4AD3">
          <w:t>Chapter 1</w:t>
        </w:r>
        <w:r>
          <w:rPr>
            <w:rFonts w:asciiTheme="minorHAnsi" w:hAnsiTheme="minorHAnsi" w:cstheme="minorBidi"/>
            <w:b w:val="0"/>
            <w:bCs w:val="0"/>
            <w:sz w:val="22"/>
            <w:szCs w:val="22"/>
            <w:lang w:eastAsia="en-AU"/>
          </w:rPr>
          <w:tab/>
        </w:r>
        <w:r w:rsidRPr="00BF4AD3">
          <w:t>Preliminary</w:t>
        </w:r>
        <w:r w:rsidRPr="008D25FE">
          <w:rPr>
            <w:vanish/>
          </w:rPr>
          <w:tab/>
        </w:r>
        <w:r w:rsidRPr="008D25FE">
          <w:rPr>
            <w:vanish/>
          </w:rPr>
          <w:fldChar w:fldCharType="begin"/>
        </w:r>
        <w:r w:rsidRPr="008D25FE">
          <w:rPr>
            <w:vanish/>
          </w:rPr>
          <w:instrText xml:space="preserve"> PAGEREF _Toc4661270 \h </w:instrText>
        </w:r>
        <w:r w:rsidRPr="008D25FE">
          <w:rPr>
            <w:vanish/>
          </w:rPr>
        </w:r>
        <w:r w:rsidRPr="008D25FE">
          <w:rPr>
            <w:vanish/>
          </w:rPr>
          <w:fldChar w:fldCharType="separate"/>
        </w:r>
        <w:r w:rsidRPr="008D25FE">
          <w:rPr>
            <w:vanish/>
          </w:rPr>
          <w:t>2</w:t>
        </w:r>
        <w:r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71" w:history="1">
        <w:r w:rsidRPr="00BF4AD3">
          <w:t>1</w:t>
        </w:r>
        <w:r>
          <w:rPr>
            <w:rFonts w:asciiTheme="minorHAnsi" w:hAnsiTheme="minorHAnsi" w:cstheme="minorBidi"/>
            <w:sz w:val="22"/>
            <w:szCs w:val="22"/>
            <w:lang w:eastAsia="en-AU"/>
          </w:rPr>
          <w:tab/>
        </w:r>
        <w:r w:rsidRPr="00BF4AD3">
          <w:t>Name of Act</w:t>
        </w:r>
        <w:r>
          <w:tab/>
        </w:r>
        <w:r>
          <w:fldChar w:fldCharType="begin"/>
        </w:r>
        <w:r>
          <w:instrText xml:space="preserve"> PAGEREF _Toc4661271 \h </w:instrText>
        </w:r>
        <w:r>
          <w:fldChar w:fldCharType="separate"/>
        </w:r>
        <w:r>
          <w:t>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72" w:history="1">
        <w:r w:rsidRPr="00BF4AD3">
          <w:t>2</w:t>
        </w:r>
        <w:r>
          <w:rPr>
            <w:rFonts w:asciiTheme="minorHAnsi" w:hAnsiTheme="minorHAnsi" w:cstheme="minorBidi"/>
            <w:sz w:val="22"/>
            <w:szCs w:val="22"/>
            <w:lang w:eastAsia="en-AU"/>
          </w:rPr>
          <w:tab/>
        </w:r>
        <w:r w:rsidRPr="00BF4AD3">
          <w:t>Commencement</w:t>
        </w:r>
        <w:r>
          <w:tab/>
        </w:r>
        <w:r>
          <w:fldChar w:fldCharType="begin"/>
        </w:r>
        <w:r>
          <w:instrText xml:space="preserve"> PAGEREF _Toc4661272 \h </w:instrText>
        </w:r>
        <w:r>
          <w:fldChar w:fldCharType="separate"/>
        </w:r>
        <w:r>
          <w:t>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73" w:history="1">
        <w:r w:rsidRPr="00BF4AD3">
          <w:t>3</w:t>
        </w:r>
        <w:r>
          <w:rPr>
            <w:rFonts w:asciiTheme="minorHAnsi" w:hAnsiTheme="minorHAnsi" w:cstheme="minorBidi"/>
            <w:sz w:val="22"/>
            <w:szCs w:val="22"/>
            <w:lang w:eastAsia="en-AU"/>
          </w:rPr>
          <w:tab/>
        </w:r>
        <w:r w:rsidRPr="00BF4AD3">
          <w:t>Dictionary</w:t>
        </w:r>
        <w:r>
          <w:tab/>
        </w:r>
        <w:r>
          <w:fldChar w:fldCharType="begin"/>
        </w:r>
        <w:r>
          <w:instrText xml:space="preserve"> PAGEREF _Toc4661273 \h </w:instrText>
        </w:r>
        <w:r>
          <w:fldChar w:fldCharType="separate"/>
        </w:r>
        <w:r>
          <w:t>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74" w:history="1">
        <w:r w:rsidRPr="00BF4AD3">
          <w:t>4</w:t>
        </w:r>
        <w:r>
          <w:rPr>
            <w:rFonts w:asciiTheme="minorHAnsi" w:hAnsiTheme="minorHAnsi" w:cstheme="minorBidi"/>
            <w:sz w:val="22"/>
            <w:szCs w:val="22"/>
            <w:lang w:eastAsia="en-AU"/>
          </w:rPr>
          <w:tab/>
        </w:r>
        <w:r w:rsidRPr="00BF4AD3">
          <w:t>Notes</w:t>
        </w:r>
        <w:r>
          <w:tab/>
        </w:r>
        <w:r>
          <w:fldChar w:fldCharType="begin"/>
        </w:r>
        <w:r>
          <w:instrText xml:space="preserve"> PAGEREF _Toc4661274 \h </w:instrText>
        </w:r>
        <w:r>
          <w:fldChar w:fldCharType="separate"/>
        </w:r>
        <w:r>
          <w:t>3</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275" w:history="1">
        <w:r w:rsidR="008D25FE" w:rsidRPr="00BF4AD3">
          <w:t>Chapter 2</w:t>
        </w:r>
        <w:r w:rsidR="008D25FE">
          <w:rPr>
            <w:rFonts w:asciiTheme="minorHAnsi" w:hAnsiTheme="minorHAnsi" w:cstheme="minorBidi"/>
            <w:b w:val="0"/>
            <w:bCs w:val="0"/>
            <w:sz w:val="22"/>
            <w:szCs w:val="22"/>
            <w:lang w:eastAsia="en-AU"/>
          </w:rPr>
          <w:tab/>
        </w:r>
        <w:r w:rsidR="008D25FE" w:rsidRPr="00BF4AD3">
          <w:t>Provisions applying to wrongs generally</w:t>
        </w:r>
        <w:r w:rsidR="008D25FE" w:rsidRPr="008D25FE">
          <w:rPr>
            <w:vanish/>
          </w:rPr>
          <w:tab/>
        </w:r>
        <w:r w:rsidR="008D25FE" w:rsidRPr="008D25FE">
          <w:rPr>
            <w:vanish/>
          </w:rPr>
          <w:fldChar w:fldCharType="begin"/>
        </w:r>
        <w:r w:rsidR="008D25FE" w:rsidRPr="008D25FE">
          <w:rPr>
            <w:vanish/>
          </w:rPr>
          <w:instrText xml:space="preserve"> PAGEREF _Toc4661275 \h </w:instrText>
        </w:r>
        <w:r w:rsidR="008D25FE" w:rsidRPr="008D25FE">
          <w:rPr>
            <w:vanish/>
          </w:rPr>
        </w:r>
        <w:r w:rsidR="008D25FE" w:rsidRPr="008D25FE">
          <w:rPr>
            <w:vanish/>
          </w:rPr>
          <w:fldChar w:fldCharType="separate"/>
        </w:r>
        <w:r w:rsidR="008D25FE" w:rsidRPr="008D25FE">
          <w:rPr>
            <w:vanish/>
          </w:rPr>
          <w:t>4</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276" w:history="1">
        <w:r w:rsidR="008D25FE" w:rsidRPr="00BF4AD3">
          <w:t>Part 2.1</w:t>
        </w:r>
        <w:r w:rsidR="008D25FE">
          <w:rPr>
            <w:rFonts w:asciiTheme="minorHAnsi" w:hAnsiTheme="minorHAnsi" w:cstheme="minorBidi"/>
            <w:b w:val="0"/>
            <w:bCs w:val="0"/>
            <w:sz w:val="22"/>
            <w:szCs w:val="22"/>
            <w:lang w:eastAsia="en-AU"/>
          </w:rPr>
          <w:tab/>
        </w:r>
        <w:r w:rsidR="008D25FE" w:rsidRPr="00BF4AD3">
          <w:t>Good samaritans</w:t>
        </w:r>
        <w:r w:rsidR="008D25FE" w:rsidRPr="008D25FE">
          <w:rPr>
            <w:vanish/>
          </w:rPr>
          <w:tab/>
        </w:r>
        <w:r w:rsidR="008D25FE" w:rsidRPr="008D25FE">
          <w:rPr>
            <w:vanish/>
          </w:rPr>
          <w:fldChar w:fldCharType="begin"/>
        </w:r>
        <w:r w:rsidR="008D25FE" w:rsidRPr="008D25FE">
          <w:rPr>
            <w:vanish/>
          </w:rPr>
          <w:instrText xml:space="preserve"> PAGEREF _Toc4661276 \h </w:instrText>
        </w:r>
        <w:r w:rsidR="008D25FE" w:rsidRPr="008D25FE">
          <w:rPr>
            <w:vanish/>
          </w:rPr>
        </w:r>
        <w:r w:rsidR="008D25FE" w:rsidRPr="008D25FE">
          <w:rPr>
            <w:vanish/>
          </w:rPr>
          <w:fldChar w:fldCharType="separate"/>
        </w:r>
        <w:r w:rsidR="008D25FE" w:rsidRPr="008D25FE">
          <w:rPr>
            <w:vanish/>
          </w:rPr>
          <w:t>4</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77" w:history="1">
        <w:r w:rsidRPr="00BF4AD3">
          <w:t>5</w:t>
        </w:r>
        <w:r>
          <w:rPr>
            <w:rFonts w:asciiTheme="minorHAnsi" w:hAnsiTheme="minorHAnsi" w:cstheme="minorBidi"/>
            <w:sz w:val="22"/>
            <w:szCs w:val="22"/>
            <w:lang w:eastAsia="en-AU"/>
          </w:rPr>
          <w:tab/>
        </w:r>
        <w:r w:rsidRPr="00BF4AD3">
          <w:t>Protection of good samaritans from liability</w:t>
        </w:r>
        <w:r>
          <w:tab/>
        </w:r>
        <w:r>
          <w:fldChar w:fldCharType="begin"/>
        </w:r>
        <w:r>
          <w:instrText xml:space="preserve"> PAGEREF _Toc4661277 \h </w:instrText>
        </w:r>
        <w:r>
          <w:fldChar w:fldCharType="separate"/>
        </w:r>
        <w:r>
          <w:t>4</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278" w:history="1">
        <w:r w:rsidR="008D25FE" w:rsidRPr="00BF4AD3">
          <w:t>Part 2.2</w:t>
        </w:r>
        <w:r w:rsidR="008D25FE">
          <w:rPr>
            <w:rFonts w:asciiTheme="minorHAnsi" w:hAnsiTheme="minorHAnsi" w:cstheme="minorBidi"/>
            <w:b w:val="0"/>
            <w:bCs w:val="0"/>
            <w:sz w:val="22"/>
            <w:szCs w:val="22"/>
            <w:lang w:eastAsia="en-AU"/>
          </w:rPr>
          <w:tab/>
        </w:r>
        <w:r w:rsidR="008D25FE" w:rsidRPr="00BF4AD3">
          <w:t>Volunteers</w:t>
        </w:r>
        <w:r w:rsidR="008D25FE" w:rsidRPr="008D25FE">
          <w:rPr>
            <w:vanish/>
          </w:rPr>
          <w:tab/>
        </w:r>
        <w:r w:rsidR="008D25FE" w:rsidRPr="008D25FE">
          <w:rPr>
            <w:vanish/>
          </w:rPr>
          <w:fldChar w:fldCharType="begin"/>
        </w:r>
        <w:r w:rsidR="008D25FE" w:rsidRPr="008D25FE">
          <w:rPr>
            <w:vanish/>
          </w:rPr>
          <w:instrText xml:space="preserve"> PAGEREF _Toc4661278 \h </w:instrText>
        </w:r>
        <w:r w:rsidR="008D25FE" w:rsidRPr="008D25FE">
          <w:rPr>
            <w:vanish/>
          </w:rPr>
        </w:r>
        <w:r w:rsidR="008D25FE" w:rsidRPr="008D25FE">
          <w:rPr>
            <w:vanish/>
          </w:rPr>
          <w:fldChar w:fldCharType="separate"/>
        </w:r>
        <w:r w:rsidR="008D25FE" w:rsidRPr="008D25FE">
          <w:rPr>
            <w:vanish/>
          </w:rPr>
          <w:t>6</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79" w:history="1">
        <w:r w:rsidRPr="00BF4AD3">
          <w:t>6</w:t>
        </w:r>
        <w:r>
          <w:rPr>
            <w:rFonts w:asciiTheme="minorHAnsi" w:hAnsiTheme="minorHAnsi" w:cstheme="minorBidi"/>
            <w:sz w:val="22"/>
            <w:szCs w:val="22"/>
            <w:lang w:eastAsia="en-AU"/>
          </w:rPr>
          <w:tab/>
        </w:r>
        <w:r w:rsidRPr="00BF4AD3">
          <w:t>Definitions for pt 2.2</w:t>
        </w:r>
        <w:r>
          <w:tab/>
        </w:r>
        <w:r>
          <w:fldChar w:fldCharType="begin"/>
        </w:r>
        <w:r>
          <w:instrText xml:space="preserve"> PAGEREF _Toc4661279 \h </w:instrText>
        </w:r>
        <w:r>
          <w:fldChar w:fldCharType="separate"/>
        </w:r>
        <w:r>
          <w:t>6</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280" w:history="1">
        <w:r w:rsidRPr="00BF4AD3">
          <w:t>7</w:t>
        </w:r>
        <w:r>
          <w:rPr>
            <w:rFonts w:asciiTheme="minorHAnsi" w:hAnsiTheme="minorHAnsi" w:cstheme="minorBidi"/>
            <w:sz w:val="22"/>
            <w:szCs w:val="22"/>
            <w:lang w:eastAsia="en-AU"/>
          </w:rPr>
          <w:tab/>
        </w:r>
        <w:r w:rsidRPr="00BF4AD3">
          <w:t xml:space="preserve">Meaning of </w:t>
        </w:r>
        <w:r w:rsidRPr="00BF4AD3">
          <w:rPr>
            <w:i/>
            <w:iCs/>
          </w:rPr>
          <w:t>community work</w:t>
        </w:r>
        <w:r>
          <w:tab/>
        </w:r>
        <w:r>
          <w:fldChar w:fldCharType="begin"/>
        </w:r>
        <w:r>
          <w:instrText xml:space="preserve"> PAGEREF _Toc4661280 \h </w:instrText>
        </w:r>
        <w:r>
          <w:fldChar w:fldCharType="separate"/>
        </w:r>
        <w:r>
          <w:t>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1" w:history="1">
        <w:r w:rsidRPr="00BF4AD3">
          <w:t>8</w:t>
        </w:r>
        <w:r>
          <w:rPr>
            <w:rFonts w:asciiTheme="minorHAnsi" w:hAnsiTheme="minorHAnsi" w:cstheme="minorBidi"/>
            <w:sz w:val="22"/>
            <w:szCs w:val="22"/>
            <w:lang w:eastAsia="en-AU"/>
          </w:rPr>
          <w:tab/>
        </w:r>
        <w:r w:rsidRPr="00BF4AD3">
          <w:t>Protection of volunteers from liability</w:t>
        </w:r>
        <w:r>
          <w:tab/>
        </w:r>
        <w:r>
          <w:fldChar w:fldCharType="begin"/>
        </w:r>
        <w:r>
          <w:instrText xml:space="preserve"> PAGEREF _Toc4661281 \h </w:instrText>
        </w:r>
        <w:r>
          <w:fldChar w:fldCharType="separate"/>
        </w:r>
        <w:r>
          <w:t>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2" w:history="1">
        <w:r w:rsidRPr="00BF4AD3">
          <w:t>9</w:t>
        </w:r>
        <w:r>
          <w:rPr>
            <w:rFonts w:asciiTheme="minorHAnsi" w:hAnsiTheme="minorHAnsi" w:cstheme="minorBidi"/>
            <w:sz w:val="22"/>
            <w:szCs w:val="22"/>
            <w:lang w:eastAsia="en-AU"/>
          </w:rPr>
          <w:tab/>
        </w:r>
        <w:r w:rsidRPr="00BF4AD3">
          <w:t>Liability of community organisations for volunteers</w:t>
        </w:r>
        <w:r>
          <w:tab/>
        </w:r>
        <w:r>
          <w:fldChar w:fldCharType="begin"/>
        </w:r>
        <w:r>
          <w:instrText xml:space="preserve"> PAGEREF _Toc4661282 \h </w:instrText>
        </w:r>
        <w:r>
          <w:fldChar w:fldCharType="separate"/>
        </w:r>
        <w:r>
          <w:t>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3" w:history="1">
        <w:r w:rsidRPr="00BF4AD3">
          <w:t>10</w:t>
        </w:r>
        <w:r>
          <w:rPr>
            <w:rFonts w:asciiTheme="minorHAnsi" w:hAnsiTheme="minorHAnsi" w:cstheme="minorBidi"/>
            <w:sz w:val="22"/>
            <w:szCs w:val="22"/>
            <w:lang w:eastAsia="en-AU"/>
          </w:rPr>
          <w:tab/>
        </w:r>
        <w:r w:rsidRPr="00BF4AD3">
          <w:t>Territory may assume liability of community organisations for volunteers</w:t>
        </w:r>
        <w:r>
          <w:tab/>
        </w:r>
        <w:r>
          <w:fldChar w:fldCharType="begin"/>
        </w:r>
        <w:r>
          <w:instrText xml:space="preserve"> PAGEREF _Toc4661283 \h </w:instrText>
        </w:r>
        <w:r>
          <w:fldChar w:fldCharType="separate"/>
        </w:r>
        <w:r>
          <w:t>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4" w:history="1">
        <w:r w:rsidRPr="00BF4AD3">
          <w:t>11</w:t>
        </w:r>
        <w:r>
          <w:rPr>
            <w:rFonts w:asciiTheme="minorHAnsi" w:hAnsiTheme="minorHAnsi" w:cstheme="minorBidi"/>
            <w:sz w:val="22"/>
            <w:szCs w:val="22"/>
            <w:lang w:eastAsia="en-AU"/>
          </w:rPr>
          <w:tab/>
        </w:r>
        <w:r w:rsidRPr="00BF4AD3">
          <w:t>Directions to community organisations about insurance etc</w:t>
        </w:r>
        <w:r>
          <w:tab/>
        </w:r>
        <w:r>
          <w:fldChar w:fldCharType="begin"/>
        </w:r>
        <w:r>
          <w:instrText xml:space="preserve"> PAGEREF _Toc4661284 \h </w:instrText>
        </w:r>
        <w:r>
          <w:fldChar w:fldCharType="separate"/>
        </w:r>
        <w:r>
          <w:t>9</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285" w:history="1">
        <w:r w:rsidR="008D25FE" w:rsidRPr="00BF4AD3">
          <w:t>Part 2.3</w:t>
        </w:r>
        <w:r w:rsidR="008D25FE">
          <w:rPr>
            <w:rFonts w:asciiTheme="minorHAnsi" w:hAnsiTheme="minorHAnsi" w:cstheme="minorBidi"/>
            <w:b w:val="0"/>
            <w:bCs w:val="0"/>
            <w:sz w:val="22"/>
            <w:szCs w:val="22"/>
            <w:lang w:eastAsia="en-AU"/>
          </w:rPr>
          <w:tab/>
        </w:r>
        <w:r w:rsidR="008D25FE" w:rsidRPr="00BF4AD3">
          <w:t>Survival of actions on death</w:t>
        </w:r>
        <w:r w:rsidR="008D25FE" w:rsidRPr="008D25FE">
          <w:rPr>
            <w:vanish/>
          </w:rPr>
          <w:tab/>
        </w:r>
        <w:r w:rsidR="008D25FE" w:rsidRPr="008D25FE">
          <w:rPr>
            <w:vanish/>
          </w:rPr>
          <w:fldChar w:fldCharType="begin"/>
        </w:r>
        <w:r w:rsidR="008D25FE" w:rsidRPr="008D25FE">
          <w:rPr>
            <w:vanish/>
          </w:rPr>
          <w:instrText xml:space="preserve"> PAGEREF _Toc4661285 \h </w:instrText>
        </w:r>
        <w:r w:rsidR="008D25FE" w:rsidRPr="008D25FE">
          <w:rPr>
            <w:vanish/>
          </w:rPr>
        </w:r>
        <w:r w:rsidR="008D25FE" w:rsidRPr="008D25FE">
          <w:rPr>
            <w:vanish/>
          </w:rPr>
          <w:fldChar w:fldCharType="separate"/>
        </w:r>
        <w:r w:rsidR="008D25FE" w:rsidRPr="008D25FE">
          <w:rPr>
            <w:vanish/>
          </w:rPr>
          <w:t>10</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86" w:history="1">
        <w:r w:rsidRPr="00BF4AD3">
          <w:t>12</w:t>
        </w:r>
        <w:r>
          <w:rPr>
            <w:rFonts w:asciiTheme="minorHAnsi" w:hAnsiTheme="minorHAnsi" w:cstheme="minorBidi"/>
            <w:sz w:val="22"/>
            <w:szCs w:val="22"/>
            <w:lang w:eastAsia="en-AU"/>
          </w:rPr>
          <w:tab/>
        </w:r>
        <w:r w:rsidRPr="00BF4AD3">
          <w:t>Effect of death on certain causes of action (LR(MP)A s 4)</w:t>
        </w:r>
        <w:r>
          <w:tab/>
        </w:r>
        <w:r>
          <w:fldChar w:fldCharType="begin"/>
        </w:r>
        <w:r>
          <w:instrText xml:space="preserve"> PAGEREF _Toc4661286 \h </w:instrText>
        </w:r>
        <w:r>
          <w:fldChar w:fldCharType="separate"/>
        </w:r>
        <w:r>
          <w:t>10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7" w:history="1">
        <w:r w:rsidRPr="00BF4AD3">
          <w:t>13</w:t>
        </w:r>
        <w:r>
          <w:rPr>
            <w:rFonts w:asciiTheme="minorHAnsi" w:hAnsiTheme="minorHAnsi" w:cstheme="minorBidi"/>
            <w:sz w:val="22"/>
            <w:szCs w:val="22"/>
            <w:lang w:eastAsia="en-AU"/>
          </w:rPr>
          <w:tab/>
        </w:r>
        <w:r w:rsidRPr="00BF4AD3">
          <w:t>Damages in surviving cause of action (LR(MP)A s 5)</w:t>
        </w:r>
        <w:r>
          <w:tab/>
        </w:r>
        <w:r>
          <w:fldChar w:fldCharType="begin"/>
        </w:r>
        <w:r>
          <w:instrText xml:space="preserve"> PAGEREF _Toc4661287 \h </w:instrText>
        </w:r>
        <w:r>
          <w:fldChar w:fldCharType="separate"/>
        </w:r>
        <w:r>
          <w:t>10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8" w:history="1">
        <w:r w:rsidRPr="00BF4AD3">
          <w:t>14</w:t>
        </w:r>
        <w:r>
          <w:rPr>
            <w:rFonts w:asciiTheme="minorHAnsi" w:hAnsiTheme="minorHAnsi" w:cstheme="minorBidi"/>
            <w:sz w:val="22"/>
            <w:szCs w:val="22"/>
            <w:lang w:eastAsia="en-AU"/>
          </w:rPr>
          <w:tab/>
        </w:r>
        <w:r w:rsidRPr="00BF4AD3">
          <w:t>If person liable dies before or at time of damage (LR(MP)A s 7)</w:t>
        </w:r>
        <w:r>
          <w:tab/>
        </w:r>
        <w:r>
          <w:fldChar w:fldCharType="begin"/>
        </w:r>
        <w:r>
          <w:instrText xml:space="preserve"> PAGEREF _Toc4661288 \h </w:instrText>
        </w:r>
        <w:r>
          <w:fldChar w:fldCharType="separate"/>
        </w:r>
        <w:r>
          <w:t>11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89" w:history="1">
        <w:r w:rsidRPr="00BF4AD3">
          <w:t>15</w:t>
        </w:r>
        <w:r>
          <w:rPr>
            <w:rFonts w:asciiTheme="minorHAnsi" w:hAnsiTheme="minorHAnsi" w:cstheme="minorBidi"/>
            <w:sz w:val="22"/>
            <w:szCs w:val="22"/>
            <w:lang w:eastAsia="en-AU"/>
          </w:rPr>
          <w:tab/>
        </w:r>
        <w:r w:rsidRPr="00BF4AD3">
          <w:t>Saving of rights additional to pt 2.3 (LR(MP)A s 8)</w:t>
        </w:r>
        <w:r>
          <w:tab/>
        </w:r>
        <w:r>
          <w:fldChar w:fldCharType="begin"/>
        </w:r>
        <w:r>
          <w:instrText xml:space="preserve"> PAGEREF _Toc4661289 \h </w:instrText>
        </w:r>
        <w:r>
          <w:fldChar w:fldCharType="separate"/>
        </w:r>
        <w:r>
          <w:t>11</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290" w:history="1">
        <w:r w:rsidR="008D25FE" w:rsidRPr="00BF4AD3">
          <w:t>Part 2.4</w:t>
        </w:r>
        <w:r w:rsidR="008D25FE">
          <w:rPr>
            <w:rFonts w:asciiTheme="minorHAnsi" w:hAnsiTheme="minorHAnsi" w:cstheme="minorBidi"/>
            <w:b w:val="0"/>
            <w:bCs w:val="0"/>
            <w:sz w:val="22"/>
            <w:szCs w:val="22"/>
            <w:lang w:eastAsia="en-AU"/>
          </w:rPr>
          <w:tab/>
        </w:r>
        <w:r w:rsidR="008D25FE" w:rsidRPr="00BF4AD3">
          <w:t>Proceedings against and contributions between wrongdoers</w:t>
        </w:r>
        <w:r w:rsidR="008D25FE" w:rsidRPr="008D25FE">
          <w:rPr>
            <w:vanish/>
          </w:rPr>
          <w:tab/>
        </w:r>
        <w:r w:rsidR="008D25FE" w:rsidRPr="008D25FE">
          <w:rPr>
            <w:vanish/>
          </w:rPr>
          <w:fldChar w:fldCharType="begin"/>
        </w:r>
        <w:r w:rsidR="008D25FE" w:rsidRPr="008D25FE">
          <w:rPr>
            <w:vanish/>
          </w:rPr>
          <w:instrText xml:space="preserve"> PAGEREF _Toc4661290 \h </w:instrText>
        </w:r>
        <w:r w:rsidR="008D25FE" w:rsidRPr="008D25FE">
          <w:rPr>
            <w:vanish/>
          </w:rPr>
        </w:r>
        <w:r w:rsidR="008D25FE" w:rsidRPr="008D25FE">
          <w:rPr>
            <w:vanish/>
          </w:rPr>
          <w:fldChar w:fldCharType="separate"/>
        </w:r>
        <w:r w:rsidR="008D25FE" w:rsidRPr="008D25FE">
          <w:rPr>
            <w:vanish/>
          </w:rPr>
          <w:t>13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91" w:history="1">
        <w:r w:rsidRPr="00BF4AD3">
          <w:t>16</w:t>
        </w:r>
        <w:r>
          <w:rPr>
            <w:rFonts w:asciiTheme="minorHAnsi" w:hAnsiTheme="minorHAnsi" w:cstheme="minorBidi"/>
            <w:sz w:val="22"/>
            <w:szCs w:val="22"/>
            <w:lang w:eastAsia="en-AU"/>
          </w:rPr>
          <w:tab/>
        </w:r>
        <w:r w:rsidRPr="00BF4AD3">
          <w:t>Definitions for pt 2.4 (LR(MP)A s 10)</w:t>
        </w:r>
        <w:r>
          <w:tab/>
        </w:r>
        <w:r>
          <w:fldChar w:fldCharType="begin"/>
        </w:r>
        <w:r>
          <w:instrText xml:space="preserve"> PAGEREF _Toc4661291 \h </w:instrText>
        </w:r>
        <w:r>
          <w:fldChar w:fldCharType="separate"/>
        </w:r>
        <w:r>
          <w:t>13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92" w:history="1">
        <w:r w:rsidRPr="00BF4AD3">
          <w:t>17</w:t>
        </w:r>
        <w:r>
          <w:rPr>
            <w:rFonts w:asciiTheme="minorHAnsi" w:hAnsiTheme="minorHAnsi" w:cstheme="minorBidi"/>
            <w:sz w:val="22"/>
            <w:szCs w:val="22"/>
            <w:lang w:eastAsia="en-AU"/>
          </w:rPr>
          <w:tab/>
        </w:r>
        <w:r w:rsidRPr="00BF4AD3">
          <w:t>Each of several wrongdoers can be sued (LR(MP)A s 11)</w:t>
        </w:r>
        <w:r>
          <w:tab/>
        </w:r>
        <w:r>
          <w:fldChar w:fldCharType="begin"/>
        </w:r>
        <w:r>
          <w:instrText xml:space="preserve"> PAGEREF _Toc4661292 \h </w:instrText>
        </w:r>
        <w:r>
          <w:fldChar w:fldCharType="separate"/>
        </w:r>
        <w:r>
          <w:t>13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93" w:history="1">
        <w:r w:rsidRPr="00BF4AD3">
          <w:t>18</w:t>
        </w:r>
        <w:r>
          <w:rPr>
            <w:rFonts w:asciiTheme="minorHAnsi" w:hAnsiTheme="minorHAnsi" w:cstheme="minorBidi"/>
            <w:sz w:val="22"/>
            <w:szCs w:val="22"/>
            <w:lang w:eastAsia="en-AU"/>
          </w:rPr>
          <w:tab/>
        </w:r>
        <w:r w:rsidRPr="00BF4AD3">
          <w:t>Right of contribution (LR(MP)A s 12)</w:t>
        </w:r>
        <w:r>
          <w:tab/>
        </w:r>
        <w:r>
          <w:fldChar w:fldCharType="begin"/>
        </w:r>
        <w:r>
          <w:instrText xml:space="preserve"> PAGEREF _Toc4661293 \h </w:instrText>
        </w:r>
        <w:r>
          <w:fldChar w:fldCharType="separate"/>
        </w:r>
        <w:r>
          <w:t>14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294" w:history="1">
        <w:r w:rsidRPr="00BF4AD3">
          <w:t>19</w:t>
        </w:r>
        <w:r>
          <w:rPr>
            <w:rFonts w:asciiTheme="minorHAnsi" w:hAnsiTheme="minorHAnsi" w:cstheme="minorBidi"/>
            <w:sz w:val="22"/>
            <w:szCs w:val="22"/>
            <w:lang w:eastAsia="en-AU"/>
          </w:rPr>
          <w:tab/>
        </w:r>
        <w:r w:rsidRPr="00BF4AD3">
          <w:t>Effect of pt 2.4 (LR(MP)A s 13)</w:t>
        </w:r>
        <w:r>
          <w:tab/>
        </w:r>
        <w:r>
          <w:fldChar w:fldCharType="begin"/>
        </w:r>
        <w:r>
          <w:instrText xml:space="preserve"> PAGEREF _Toc4661294 \h </w:instrText>
        </w:r>
        <w:r>
          <w:fldChar w:fldCharType="separate"/>
        </w:r>
        <w:r>
          <w:t>14</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295" w:history="1">
        <w:r w:rsidR="008D25FE" w:rsidRPr="00BF4AD3">
          <w:t>Chapter 3</w:t>
        </w:r>
        <w:r w:rsidR="008D25FE">
          <w:rPr>
            <w:rFonts w:asciiTheme="minorHAnsi" w:hAnsiTheme="minorHAnsi" w:cstheme="minorBidi"/>
            <w:b w:val="0"/>
            <w:bCs w:val="0"/>
            <w:sz w:val="22"/>
            <w:szCs w:val="22"/>
            <w:lang w:eastAsia="en-AU"/>
          </w:rPr>
          <w:tab/>
        </w:r>
        <w:r w:rsidR="008D25FE" w:rsidRPr="00BF4AD3">
          <w:t>Liability for death or injury</w:t>
        </w:r>
        <w:r w:rsidR="008D25FE" w:rsidRPr="008D25FE">
          <w:rPr>
            <w:vanish/>
          </w:rPr>
          <w:tab/>
        </w:r>
        <w:r w:rsidR="008D25FE" w:rsidRPr="008D25FE">
          <w:rPr>
            <w:vanish/>
          </w:rPr>
          <w:fldChar w:fldCharType="begin"/>
        </w:r>
        <w:r w:rsidR="008D25FE" w:rsidRPr="008D25FE">
          <w:rPr>
            <w:vanish/>
          </w:rPr>
          <w:instrText xml:space="preserve"> PAGEREF _Toc4661295 \h </w:instrText>
        </w:r>
        <w:r w:rsidR="008D25FE" w:rsidRPr="008D25FE">
          <w:rPr>
            <w:vanish/>
          </w:rPr>
        </w:r>
        <w:r w:rsidR="008D25FE" w:rsidRPr="008D25FE">
          <w:rPr>
            <w:vanish/>
          </w:rPr>
          <w:fldChar w:fldCharType="separate"/>
        </w:r>
        <w:r w:rsidR="008D25FE" w:rsidRPr="008D25FE">
          <w:rPr>
            <w:vanish/>
          </w:rPr>
          <w:t>15</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296" w:history="1">
        <w:r w:rsidR="008D25FE" w:rsidRPr="00BF4AD3">
          <w:t>Part 3.1</w:t>
        </w:r>
        <w:r w:rsidR="008D25FE">
          <w:rPr>
            <w:rFonts w:asciiTheme="minorHAnsi" w:hAnsiTheme="minorHAnsi" w:cstheme="minorBidi"/>
            <w:b w:val="0"/>
            <w:bCs w:val="0"/>
            <w:sz w:val="22"/>
            <w:szCs w:val="22"/>
            <w:lang w:eastAsia="en-AU"/>
          </w:rPr>
          <w:tab/>
        </w:r>
        <w:r w:rsidR="008D25FE" w:rsidRPr="00BF4AD3">
          <w:t>Wrongful act or omission causing death</w:t>
        </w:r>
        <w:r w:rsidR="008D25FE" w:rsidRPr="008D25FE">
          <w:rPr>
            <w:vanish/>
          </w:rPr>
          <w:tab/>
        </w:r>
        <w:r w:rsidR="008D25FE" w:rsidRPr="008D25FE">
          <w:rPr>
            <w:vanish/>
          </w:rPr>
          <w:fldChar w:fldCharType="begin"/>
        </w:r>
        <w:r w:rsidR="008D25FE" w:rsidRPr="008D25FE">
          <w:rPr>
            <w:vanish/>
          </w:rPr>
          <w:instrText xml:space="preserve"> PAGEREF _Toc4661296 \h </w:instrText>
        </w:r>
        <w:r w:rsidR="008D25FE" w:rsidRPr="008D25FE">
          <w:rPr>
            <w:vanish/>
          </w:rPr>
        </w:r>
        <w:r w:rsidR="008D25FE" w:rsidRPr="008D25FE">
          <w:rPr>
            <w:vanish/>
          </w:rPr>
          <w:fldChar w:fldCharType="separate"/>
        </w:r>
        <w:r w:rsidR="008D25FE" w:rsidRPr="008D25FE">
          <w:rPr>
            <w:vanish/>
          </w:rPr>
          <w:t>15</w:t>
        </w:r>
        <w:r w:rsidR="008D25FE" w:rsidRPr="008D25FE">
          <w:rPr>
            <w:vanish/>
          </w:rP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297" w:history="1">
        <w:r w:rsidR="008D25FE" w:rsidRPr="00BF4AD3">
          <w:t>Division 3.1.1</w:t>
        </w:r>
        <w:r w:rsidR="008D25FE">
          <w:rPr>
            <w:rFonts w:asciiTheme="minorHAnsi" w:hAnsiTheme="minorHAnsi" w:cstheme="minorBidi"/>
            <w:b w:val="0"/>
            <w:bCs w:val="0"/>
            <w:sz w:val="22"/>
            <w:szCs w:val="22"/>
            <w:lang w:eastAsia="en-AU"/>
          </w:rPr>
          <w:tab/>
        </w:r>
        <w:r w:rsidR="008D25FE" w:rsidRPr="00BF4AD3">
          <w:t>Preliminary—liability for death</w:t>
        </w:r>
        <w:r w:rsidR="008D25FE" w:rsidRPr="008D25FE">
          <w:rPr>
            <w:vanish/>
          </w:rPr>
          <w:tab/>
        </w:r>
        <w:r w:rsidR="008D25FE" w:rsidRPr="008D25FE">
          <w:rPr>
            <w:vanish/>
          </w:rPr>
          <w:fldChar w:fldCharType="begin"/>
        </w:r>
        <w:r w:rsidR="008D25FE" w:rsidRPr="008D25FE">
          <w:rPr>
            <w:vanish/>
          </w:rPr>
          <w:instrText xml:space="preserve"> PAGEREF _Toc4661297 \h </w:instrText>
        </w:r>
        <w:r w:rsidR="008D25FE" w:rsidRPr="008D25FE">
          <w:rPr>
            <w:vanish/>
          </w:rPr>
        </w:r>
        <w:r w:rsidR="008D25FE" w:rsidRPr="008D25FE">
          <w:rPr>
            <w:vanish/>
          </w:rPr>
          <w:fldChar w:fldCharType="separate"/>
        </w:r>
        <w:r w:rsidR="008D25FE" w:rsidRPr="008D25FE">
          <w:rPr>
            <w:vanish/>
          </w:rPr>
          <w:t>15</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298" w:history="1">
        <w:r w:rsidRPr="00BF4AD3">
          <w:t>20</w:t>
        </w:r>
        <w:r>
          <w:rPr>
            <w:rFonts w:asciiTheme="minorHAnsi" w:hAnsiTheme="minorHAnsi" w:cstheme="minorBidi"/>
            <w:sz w:val="22"/>
            <w:szCs w:val="22"/>
            <w:lang w:eastAsia="en-AU"/>
          </w:rPr>
          <w:tab/>
        </w:r>
        <w:r w:rsidRPr="00BF4AD3">
          <w:t>Definitions for pt 3.1 (C(FI)A s 2, s 3)</w:t>
        </w:r>
        <w:r>
          <w:tab/>
        </w:r>
        <w:r>
          <w:fldChar w:fldCharType="begin"/>
        </w:r>
        <w:r>
          <w:instrText xml:space="preserve"> PAGEREF _Toc4661298 \h </w:instrText>
        </w:r>
        <w:r>
          <w:fldChar w:fldCharType="separate"/>
        </w:r>
        <w:r>
          <w:t>15</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299" w:history="1">
        <w:r w:rsidR="008D25FE" w:rsidRPr="00BF4AD3">
          <w:t>Division 3.1.2</w:t>
        </w:r>
        <w:r w:rsidR="008D25FE">
          <w:rPr>
            <w:rFonts w:asciiTheme="minorHAnsi" w:hAnsiTheme="minorHAnsi" w:cstheme="minorBidi"/>
            <w:b w:val="0"/>
            <w:bCs w:val="0"/>
            <w:sz w:val="22"/>
            <w:szCs w:val="22"/>
            <w:lang w:eastAsia="en-AU"/>
          </w:rPr>
          <w:tab/>
        </w:r>
        <w:r w:rsidR="008D25FE" w:rsidRPr="00BF4AD3">
          <w:t>Liability and damages for death</w:t>
        </w:r>
        <w:r w:rsidR="008D25FE" w:rsidRPr="008D25FE">
          <w:rPr>
            <w:vanish/>
          </w:rPr>
          <w:tab/>
        </w:r>
        <w:r w:rsidR="008D25FE" w:rsidRPr="008D25FE">
          <w:rPr>
            <w:vanish/>
          </w:rPr>
          <w:fldChar w:fldCharType="begin"/>
        </w:r>
        <w:r w:rsidR="008D25FE" w:rsidRPr="008D25FE">
          <w:rPr>
            <w:vanish/>
          </w:rPr>
          <w:instrText xml:space="preserve"> PAGEREF _Toc4661299 \h </w:instrText>
        </w:r>
        <w:r w:rsidR="008D25FE" w:rsidRPr="008D25FE">
          <w:rPr>
            <w:vanish/>
          </w:rPr>
        </w:r>
        <w:r w:rsidR="008D25FE" w:rsidRPr="008D25FE">
          <w:rPr>
            <w:vanish/>
          </w:rPr>
          <w:fldChar w:fldCharType="separate"/>
        </w:r>
        <w:r w:rsidR="008D25FE" w:rsidRPr="008D25FE">
          <w:rPr>
            <w:vanish/>
          </w:rPr>
          <w:t>16</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00" w:history="1">
        <w:r w:rsidRPr="00BF4AD3">
          <w:t>21</w:t>
        </w:r>
        <w:r>
          <w:rPr>
            <w:rFonts w:asciiTheme="minorHAnsi" w:hAnsiTheme="minorHAnsi" w:cstheme="minorBidi"/>
            <w:sz w:val="22"/>
            <w:szCs w:val="22"/>
            <w:lang w:eastAsia="en-AU"/>
          </w:rPr>
          <w:tab/>
        </w:r>
        <w:r w:rsidRPr="00BF4AD3">
          <w:t>Liability for a person’s death (C(FI)A s 7)</w:t>
        </w:r>
        <w:r>
          <w:tab/>
        </w:r>
        <w:r>
          <w:fldChar w:fldCharType="begin"/>
        </w:r>
        <w:r>
          <w:instrText xml:space="preserve"> PAGEREF _Toc4661300 \h </w:instrText>
        </w:r>
        <w:r>
          <w:fldChar w:fldCharType="separate"/>
        </w:r>
        <w:r>
          <w:t>16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01" w:history="1">
        <w:r w:rsidRPr="00BF4AD3">
          <w:t>22</w:t>
        </w:r>
        <w:r>
          <w:rPr>
            <w:rFonts w:asciiTheme="minorHAnsi" w:hAnsiTheme="minorHAnsi" w:cstheme="minorBidi"/>
            <w:sz w:val="22"/>
            <w:szCs w:val="22"/>
            <w:lang w:eastAsia="en-AU"/>
          </w:rPr>
          <w:tab/>
        </w:r>
        <w:r w:rsidRPr="00BF4AD3">
          <w:t>Damages for a person’s death (C(FI)A s 10)</w:t>
        </w:r>
        <w:r>
          <w:tab/>
        </w:r>
        <w:r>
          <w:fldChar w:fldCharType="begin"/>
        </w:r>
        <w:r>
          <w:instrText xml:space="preserve"> PAGEREF _Toc4661301 \h </w:instrText>
        </w:r>
        <w:r>
          <w:fldChar w:fldCharType="separate"/>
        </w:r>
        <w:r>
          <w:t>16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02" w:history="1">
        <w:r w:rsidRPr="00BF4AD3">
          <w:t>23</w:t>
        </w:r>
        <w:r>
          <w:rPr>
            <w:rFonts w:asciiTheme="minorHAnsi" w:hAnsiTheme="minorHAnsi" w:cstheme="minorBidi"/>
            <w:sz w:val="22"/>
            <w:szCs w:val="22"/>
            <w:lang w:eastAsia="en-AU"/>
          </w:rPr>
          <w:tab/>
        </w:r>
        <w:r w:rsidRPr="00BF4AD3">
          <w:t>Amounts not to be taken into account in assessing damages for death (C(FI)A s 10)</w:t>
        </w:r>
        <w:r>
          <w:tab/>
        </w:r>
        <w:r>
          <w:fldChar w:fldCharType="begin"/>
        </w:r>
        <w:r>
          <w:instrText xml:space="preserve"> PAGEREF _Toc4661302 \h </w:instrText>
        </w:r>
        <w:r>
          <w:fldChar w:fldCharType="separate"/>
        </w:r>
        <w:r>
          <w:t>17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03" w:history="1">
        <w:r w:rsidRPr="00BF4AD3">
          <w:t>24</w:t>
        </w:r>
        <w:r>
          <w:rPr>
            <w:rFonts w:asciiTheme="minorHAnsi" w:hAnsiTheme="minorHAnsi" w:cstheme="minorBidi"/>
            <w:sz w:val="22"/>
            <w:szCs w:val="22"/>
            <w:lang w:eastAsia="en-AU"/>
          </w:rPr>
          <w:tab/>
        </w:r>
        <w:r w:rsidRPr="00BF4AD3">
          <w:t>Contributory negligence not defence in relation to death (C(FI)A s 11)</w:t>
        </w:r>
        <w:r>
          <w:tab/>
        </w:r>
        <w:r>
          <w:fldChar w:fldCharType="begin"/>
        </w:r>
        <w:r>
          <w:instrText xml:space="preserve"> PAGEREF _Toc4661303 \h </w:instrText>
        </w:r>
        <w:r>
          <w:fldChar w:fldCharType="separate"/>
        </w:r>
        <w:r>
          <w:t>18</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04" w:history="1">
        <w:r w:rsidR="008D25FE" w:rsidRPr="00BF4AD3">
          <w:t>Division 3.1.3</w:t>
        </w:r>
        <w:r w:rsidR="008D25FE">
          <w:rPr>
            <w:rFonts w:asciiTheme="minorHAnsi" w:hAnsiTheme="minorHAnsi" w:cstheme="minorBidi"/>
            <w:b w:val="0"/>
            <w:bCs w:val="0"/>
            <w:sz w:val="22"/>
            <w:szCs w:val="22"/>
            <w:lang w:eastAsia="en-AU"/>
          </w:rPr>
          <w:tab/>
        </w:r>
        <w:r w:rsidR="008D25FE" w:rsidRPr="00BF4AD3">
          <w:t>Procedural matters—action for death</w:t>
        </w:r>
        <w:r w:rsidR="008D25FE" w:rsidRPr="008D25FE">
          <w:rPr>
            <w:vanish/>
          </w:rPr>
          <w:tab/>
        </w:r>
        <w:r w:rsidR="008D25FE" w:rsidRPr="008D25FE">
          <w:rPr>
            <w:vanish/>
          </w:rPr>
          <w:fldChar w:fldCharType="begin"/>
        </w:r>
        <w:r w:rsidR="008D25FE" w:rsidRPr="008D25FE">
          <w:rPr>
            <w:vanish/>
          </w:rPr>
          <w:instrText xml:space="preserve"> PAGEREF _Toc4661304 \h </w:instrText>
        </w:r>
        <w:r w:rsidR="008D25FE" w:rsidRPr="008D25FE">
          <w:rPr>
            <w:vanish/>
          </w:rPr>
        </w:r>
        <w:r w:rsidR="008D25FE" w:rsidRPr="008D25FE">
          <w:rPr>
            <w:vanish/>
          </w:rPr>
          <w:fldChar w:fldCharType="separate"/>
        </w:r>
        <w:r w:rsidR="008D25FE" w:rsidRPr="008D25FE">
          <w:rPr>
            <w:vanish/>
          </w:rPr>
          <w:t>18</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05" w:history="1">
        <w:r w:rsidRPr="00BF4AD3">
          <w:t>25</w:t>
        </w:r>
        <w:r>
          <w:rPr>
            <w:rFonts w:asciiTheme="minorHAnsi" w:hAnsiTheme="minorHAnsi" w:cstheme="minorBidi"/>
            <w:sz w:val="22"/>
            <w:szCs w:val="22"/>
            <w:lang w:eastAsia="en-AU"/>
          </w:rPr>
          <w:tab/>
        </w:r>
        <w:r w:rsidRPr="00BF4AD3">
          <w:t>One action for benefit of members of dead person’s family (C(FI)A s 8, s 13)</w:t>
        </w:r>
        <w:r>
          <w:tab/>
        </w:r>
        <w:r>
          <w:fldChar w:fldCharType="begin"/>
        </w:r>
        <w:r>
          <w:instrText xml:space="preserve"> PAGEREF _Toc4661305 \h </w:instrText>
        </w:r>
        <w:r>
          <w:fldChar w:fldCharType="separate"/>
        </w:r>
        <w:r>
          <w:t>18</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306" w:history="1">
        <w:r w:rsidRPr="00BF4AD3">
          <w:t>26</w:t>
        </w:r>
        <w:r>
          <w:rPr>
            <w:rFonts w:asciiTheme="minorHAnsi" w:hAnsiTheme="minorHAnsi" w:cstheme="minorBidi"/>
            <w:sz w:val="22"/>
            <w:szCs w:val="22"/>
            <w:lang w:eastAsia="en-AU"/>
          </w:rPr>
          <w:tab/>
        </w:r>
        <w:r w:rsidRPr="00BF4AD3">
          <w:t>Payment into court (C(FI)A s 12)</w:t>
        </w:r>
        <w:r>
          <w:tab/>
        </w:r>
        <w:r>
          <w:fldChar w:fldCharType="begin"/>
        </w:r>
        <w:r>
          <w:instrText xml:space="preserve"> PAGEREF _Toc4661306 \h </w:instrText>
        </w:r>
        <w:r>
          <w:fldChar w:fldCharType="separate"/>
        </w:r>
        <w:r>
          <w:t>19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07" w:history="1">
        <w:r w:rsidRPr="00BF4AD3">
          <w:t>27</w:t>
        </w:r>
        <w:r>
          <w:rPr>
            <w:rFonts w:asciiTheme="minorHAnsi" w:hAnsiTheme="minorHAnsi" w:cstheme="minorBidi"/>
            <w:sz w:val="22"/>
            <w:szCs w:val="22"/>
            <w:lang w:eastAsia="en-AU"/>
          </w:rPr>
          <w:tab/>
        </w:r>
        <w:r w:rsidRPr="00BF4AD3">
          <w:t>Special endorsement on originating process (C(FI)A s 14)</w:t>
        </w:r>
        <w:r>
          <w:tab/>
        </w:r>
        <w:r>
          <w:fldChar w:fldCharType="begin"/>
        </w:r>
        <w:r>
          <w:instrText xml:space="preserve"> PAGEREF _Toc4661307 \h </w:instrText>
        </w:r>
        <w:r>
          <w:fldChar w:fldCharType="separate"/>
        </w:r>
        <w:r>
          <w:t>19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08" w:history="1">
        <w:r w:rsidRPr="00BF4AD3">
          <w:t>28</w:t>
        </w:r>
        <w:r>
          <w:rPr>
            <w:rFonts w:asciiTheme="minorHAnsi" w:hAnsiTheme="minorHAnsi" w:cstheme="minorBidi"/>
            <w:sz w:val="22"/>
            <w:szCs w:val="22"/>
            <w:lang w:eastAsia="en-AU"/>
          </w:rPr>
          <w:tab/>
        </w:r>
        <w:r w:rsidRPr="00BF4AD3">
          <w:t>Powers of court to make orders in relation to actions (C(FI)A s 15)</w:t>
        </w:r>
        <w:r>
          <w:tab/>
        </w:r>
        <w:r>
          <w:fldChar w:fldCharType="begin"/>
        </w:r>
        <w:r>
          <w:instrText xml:space="preserve"> PAGEREF _Toc4661308 \h </w:instrText>
        </w:r>
        <w:r>
          <w:fldChar w:fldCharType="separate"/>
        </w:r>
        <w:r>
          <w:t>20</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09" w:history="1">
        <w:r w:rsidR="008D25FE" w:rsidRPr="00BF4AD3">
          <w:t>Part 3.2</w:t>
        </w:r>
        <w:r w:rsidR="008D25FE">
          <w:rPr>
            <w:rFonts w:asciiTheme="minorHAnsi" w:hAnsiTheme="minorHAnsi" w:cstheme="minorBidi"/>
            <w:b w:val="0"/>
            <w:bCs w:val="0"/>
            <w:sz w:val="22"/>
            <w:szCs w:val="22"/>
            <w:lang w:eastAsia="en-AU"/>
          </w:rPr>
          <w:tab/>
        </w:r>
        <w:r w:rsidR="008D25FE" w:rsidRPr="00BF4AD3">
          <w:t>Injury arising from mental or nervous shock</w:t>
        </w:r>
        <w:r w:rsidR="008D25FE" w:rsidRPr="008D25FE">
          <w:rPr>
            <w:vanish/>
          </w:rPr>
          <w:tab/>
        </w:r>
        <w:r w:rsidR="008D25FE" w:rsidRPr="008D25FE">
          <w:rPr>
            <w:vanish/>
          </w:rPr>
          <w:fldChar w:fldCharType="begin"/>
        </w:r>
        <w:r w:rsidR="008D25FE" w:rsidRPr="008D25FE">
          <w:rPr>
            <w:vanish/>
          </w:rPr>
          <w:instrText xml:space="preserve"> PAGEREF _Toc4661309 \h </w:instrText>
        </w:r>
        <w:r w:rsidR="008D25FE" w:rsidRPr="008D25FE">
          <w:rPr>
            <w:vanish/>
          </w:rPr>
        </w:r>
        <w:r w:rsidR="008D25FE" w:rsidRPr="008D25FE">
          <w:rPr>
            <w:vanish/>
          </w:rPr>
          <w:fldChar w:fldCharType="separate"/>
        </w:r>
        <w:r w:rsidR="008D25FE" w:rsidRPr="008D25FE">
          <w:rPr>
            <w:vanish/>
          </w:rPr>
          <w:t>21</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10" w:history="1">
        <w:r w:rsidRPr="00BF4AD3">
          <w:t>29</w:t>
        </w:r>
        <w:r>
          <w:rPr>
            <w:rFonts w:asciiTheme="minorHAnsi" w:hAnsiTheme="minorHAnsi" w:cstheme="minorBidi"/>
            <w:sz w:val="22"/>
            <w:szCs w:val="22"/>
            <w:lang w:eastAsia="en-AU"/>
          </w:rPr>
          <w:tab/>
        </w:r>
        <w:r w:rsidRPr="00BF4AD3">
          <w:t>Definitions for pt 3.2 (LR(MP)  s 22)</w:t>
        </w:r>
        <w:r>
          <w:tab/>
        </w:r>
        <w:r>
          <w:fldChar w:fldCharType="begin"/>
        </w:r>
        <w:r>
          <w:instrText xml:space="preserve"> PAGEREF _Toc4661310 \h </w:instrText>
        </w:r>
        <w:r>
          <w:fldChar w:fldCharType="separate"/>
        </w:r>
        <w:r>
          <w:t>21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11" w:history="1">
        <w:r w:rsidRPr="00BF4AD3">
          <w:t>30</w:t>
        </w:r>
        <w:r>
          <w:rPr>
            <w:rFonts w:asciiTheme="minorHAnsi" w:hAnsiTheme="minorHAnsi" w:cstheme="minorBidi"/>
            <w:sz w:val="22"/>
            <w:szCs w:val="22"/>
            <w:lang w:eastAsia="en-AU"/>
          </w:rPr>
          <w:tab/>
        </w:r>
        <w:r w:rsidRPr="00BF4AD3">
          <w:t>Personal injury arising from mental or nervous shock (LR(MP)A s 23)</w:t>
        </w:r>
        <w:r>
          <w:tab/>
        </w:r>
        <w:r>
          <w:fldChar w:fldCharType="begin"/>
        </w:r>
        <w:r>
          <w:instrText xml:space="preserve"> PAGEREF _Toc4661311 \h </w:instrText>
        </w:r>
        <w:r>
          <w:fldChar w:fldCharType="separate"/>
        </w:r>
        <w:r>
          <w:t>21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12" w:history="1">
        <w:r w:rsidRPr="00BF4AD3">
          <w:t>31</w:t>
        </w:r>
        <w:r>
          <w:rPr>
            <w:rFonts w:asciiTheme="minorHAnsi" w:hAnsiTheme="minorHAnsi" w:cstheme="minorBidi"/>
            <w:sz w:val="22"/>
            <w:szCs w:val="22"/>
            <w:lang w:eastAsia="en-AU"/>
          </w:rPr>
          <w:tab/>
        </w:r>
        <w:r w:rsidRPr="00BF4AD3">
          <w:t>Extensions of liability under pt 3.2 in certain cases (LR(MP)A s 24)</w:t>
        </w:r>
        <w:r>
          <w:tab/>
        </w:r>
        <w:r>
          <w:fldChar w:fldCharType="begin"/>
        </w:r>
        <w:r>
          <w:instrText xml:space="preserve"> PAGEREF _Toc4661312 \h </w:instrText>
        </w:r>
        <w:r>
          <w:fldChar w:fldCharType="separate"/>
        </w:r>
        <w:r>
          <w:t>22</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13" w:history="1">
        <w:r w:rsidR="008D25FE" w:rsidRPr="00BF4AD3">
          <w:t>Part 3.3</w:t>
        </w:r>
        <w:r w:rsidR="008D25FE">
          <w:rPr>
            <w:rFonts w:asciiTheme="minorHAnsi" w:hAnsiTheme="minorHAnsi" w:cstheme="minorBidi"/>
            <w:b w:val="0"/>
            <w:bCs w:val="0"/>
            <w:sz w:val="22"/>
            <w:szCs w:val="22"/>
            <w:lang w:eastAsia="en-AU"/>
          </w:rPr>
          <w:tab/>
        </w:r>
        <w:r w:rsidR="008D25FE" w:rsidRPr="00BF4AD3">
          <w:t>Temporary exclusion of liability for terrorism-associated risks</w:t>
        </w:r>
        <w:r w:rsidR="008D25FE" w:rsidRPr="008D25FE">
          <w:rPr>
            <w:vanish/>
          </w:rPr>
          <w:tab/>
        </w:r>
        <w:r w:rsidR="008D25FE" w:rsidRPr="008D25FE">
          <w:rPr>
            <w:vanish/>
          </w:rPr>
          <w:fldChar w:fldCharType="begin"/>
        </w:r>
        <w:r w:rsidR="008D25FE" w:rsidRPr="008D25FE">
          <w:rPr>
            <w:vanish/>
          </w:rPr>
          <w:instrText xml:space="preserve"> PAGEREF _Toc4661313 \h </w:instrText>
        </w:r>
        <w:r w:rsidR="008D25FE" w:rsidRPr="008D25FE">
          <w:rPr>
            <w:vanish/>
          </w:rPr>
        </w:r>
        <w:r w:rsidR="008D25FE" w:rsidRPr="008D25FE">
          <w:rPr>
            <w:vanish/>
          </w:rPr>
          <w:fldChar w:fldCharType="separate"/>
        </w:r>
        <w:r w:rsidR="008D25FE" w:rsidRPr="008D25FE">
          <w:rPr>
            <w:vanish/>
          </w:rPr>
          <w:t>23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14" w:history="1">
        <w:r w:rsidRPr="00BF4AD3">
          <w:t>31A</w:t>
        </w:r>
        <w:r>
          <w:rPr>
            <w:rFonts w:asciiTheme="minorHAnsi" w:hAnsiTheme="minorHAnsi" w:cstheme="minorBidi"/>
            <w:sz w:val="22"/>
            <w:szCs w:val="22"/>
            <w:lang w:eastAsia="en-AU"/>
          </w:rPr>
          <w:tab/>
        </w:r>
        <w:r w:rsidRPr="00BF4AD3">
          <w:t xml:space="preserve">Meaning of </w:t>
        </w:r>
        <w:r w:rsidRPr="00BF4AD3">
          <w:rPr>
            <w:i/>
            <w:iCs/>
          </w:rPr>
          <w:t xml:space="preserve">act of terrorism </w:t>
        </w:r>
        <w:r w:rsidRPr="00BF4AD3">
          <w:t>for pt 3.3</w:t>
        </w:r>
        <w:r>
          <w:tab/>
        </w:r>
        <w:r>
          <w:fldChar w:fldCharType="begin"/>
        </w:r>
        <w:r>
          <w:instrText xml:space="preserve"> PAGEREF _Toc4661314 \h </w:instrText>
        </w:r>
        <w:r>
          <w:fldChar w:fldCharType="separate"/>
        </w:r>
        <w:r>
          <w:t>23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15" w:history="1">
        <w:r w:rsidRPr="00BF4AD3">
          <w:t>31B</w:t>
        </w:r>
        <w:r>
          <w:rPr>
            <w:rFonts w:asciiTheme="minorHAnsi" w:hAnsiTheme="minorHAnsi" w:cstheme="minorBidi"/>
            <w:sz w:val="22"/>
            <w:szCs w:val="22"/>
            <w:lang w:eastAsia="en-AU"/>
          </w:rPr>
          <w:tab/>
        </w:r>
        <w:r w:rsidRPr="00BF4AD3">
          <w:t>Limitation of liability for acts of terrorism</w:t>
        </w:r>
        <w:r>
          <w:tab/>
        </w:r>
        <w:r>
          <w:fldChar w:fldCharType="begin"/>
        </w:r>
        <w:r>
          <w:instrText xml:space="preserve"> PAGEREF _Toc4661315 \h </w:instrText>
        </w:r>
        <w:r>
          <w:fldChar w:fldCharType="separate"/>
        </w:r>
        <w:r>
          <w:t>24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16" w:history="1">
        <w:r w:rsidRPr="00BF4AD3">
          <w:t>31C</w:t>
        </w:r>
        <w:r>
          <w:rPr>
            <w:rFonts w:asciiTheme="minorHAnsi" w:hAnsiTheme="minorHAnsi" w:cstheme="minorBidi"/>
            <w:sz w:val="22"/>
            <w:szCs w:val="22"/>
            <w:lang w:eastAsia="en-AU"/>
          </w:rPr>
          <w:tab/>
        </w:r>
        <w:r w:rsidRPr="00BF4AD3">
          <w:t>Expiry of pt 3.3</w:t>
        </w:r>
        <w:r>
          <w:tab/>
        </w:r>
        <w:r>
          <w:fldChar w:fldCharType="begin"/>
        </w:r>
        <w:r>
          <w:instrText xml:space="preserve"> PAGEREF _Toc4661316 \h </w:instrText>
        </w:r>
        <w:r>
          <w:fldChar w:fldCharType="separate"/>
        </w:r>
        <w:r>
          <w:t>24</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317" w:history="1">
        <w:r w:rsidR="008D25FE" w:rsidRPr="00BF4AD3">
          <w:t>Chapter 4</w:t>
        </w:r>
        <w:r w:rsidR="008D25FE">
          <w:rPr>
            <w:rFonts w:asciiTheme="minorHAnsi" w:hAnsiTheme="minorHAnsi" w:cstheme="minorBidi"/>
            <w:b w:val="0"/>
            <w:bCs w:val="0"/>
            <w:sz w:val="22"/>
            <w:szCs w:val="22"/>
            <w:lang w:eastAsia="en-AU"/>
          </w:rPr>
          <w:tab/>
        </w:r>
        <w:r w:rsidR="008D25FE" w:rsidRPr="00BF4AD3">
          <w:t>Damages</w:t>
        </w:r>
        <w:r w:rsidR="008D25FE" w:rsidRPr="008D25FE">
          <w:rPr>
            <w:vanish/>
          </w:rPr>
          <w:tab/>
        </w:r>
        <w:r w:rsidR="008D25FE" w:rsidRPr="008D25FE">
          <w:rPr>
            <w:vanish/>
          </w:rPr>
          <w:fldChar w:fldCharType="begin"/>
        </w:r>
        <w:r w:rsidR="008D25FE" w:rsidRPr="008D25FE">
          <w:rPr>
            <w:vanish/>
          </w:rPr>
          <w:instrText xml:space="preserve"> PAGEREF _Toc4661317 \h </w:instrText>
        </w:r>
        <w:r w:rsidR="008D25FE" w:rsidRPr="008D25FE">
          <w:rPr>
            <w:vanish/>
          </w:rPr>
        </w:r>
        <w:r w:rsidR="008D25FE" w:rsidRPr="008D25FE">
          <w:rPr>
            <w:vanish/>
          </w:rPr>
          <w:fldChar w:fldCharType="separate"/>
        </w:r>
        <w:r w:rsidR="008D25FE" w:rsidRPr="008D25FE">
          <w:rPr>
            <w:vanish/>
          </w:rPr>
          <w:t>25</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18" w:history="1">
        <w:r w:rsidR="008D25FE" w:rsidRPr="00BF4AD3">
          <w:t>Part 4.1</w:t>
        </w:r>
        <w:r w:rsidR="008D25FE">
          <w:rPr>
            <w:rFonts w:asciiTheme="minorHAnsi" w:hAnsiTheme="minorHAnsi" w:cstheme="minorBidi"/>
            <w:b w:val="0"/>
            <w:bCs w:val="0"/>
            <w:sz w:val="22"/>
            <w:szCs w:val="22"/>
            <w:lang w:eastAsia="en-AU"/>
          </w:rPr>
          <w:tab/>
        </w:r>
        <w:r w:rsidR="008D25FE" w:rsidRPr="00BF4AD3">
          <w:t>General exclusions and limitations about damages</w:t>
        </w:r>
        <w:r w:rsidR="008D25FE" w:rsidRPr="008D25FE">
          <w:rPr>
            <w:vanish/>
          </w:rPr>
          <w:tab/>
        </w:r>
        <w:r w:rsidR="008D25FE" w:rsidRPr="008D25FE">
          <w:rPr>
            <w:vanish/>
          </w:rPr>
          <w:fldChar w:fldCharType="begin"/>
        </w:r>
        <w:r w:rsidR="008D25FE" w:rsidRPr="008D25FE">
          <w:rPr>
            <w:vanish/>
          </w:rPr>
          <w:instrText xml:space="preserve"> PAGEREF _Toc4661318 \h </w:instrText>
        </w:r>
        <w:r w:rsidR="008D25FE" w:rsidRPr="008D25FE">
          <w:rPr>
            <w:vanish/>
          </w:rPr>
        </w:r>
        <w:r w:rsidR="008D25FE" w:rsidRPr="008D25FE">
          <w:rPr>
            <w:vanish/>
          </w:rPr>
          <w:fldChar w:fldCharType="separate"/>
        </w:r>
        <w:r w:rsidR="008D25FE" w:rsidRPr="008D25FE">
          <w:rPr>
            <w:vanish/>
          </w:rPr>
          <w:t>25</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19" w:history="1">
        <w:r w:rsidRPr="00BF4AD3">
          <w:t>32</w:t>
        </w:r>
        <w:r>
          <w:rPr>
            <w:rFonts w:asciiTheme="minorHAnsi" w:hAnsiTheme="minorHAnsi" w:cstheme="minorBidi"/>
            <w:sz w:val="22"/>
            <w:szCs w:val="22"/>
            <w:lang w:eastAsia="en-AU"/>
          </w:rPr>
          <w:tab/>
        </w:r>
        <w:r w:rsidRPr="00BF4AD3">
          <w:t>Definitions for pt 4.1</w:t>
        </w:r>
        <w:r>
          <w:tab/>
        </w:r>
        <w:r>
          <w:fldChar w:fldCharType="begin"/>
        </w:r>
        <w:r>
          <w:instrText xml:space="preserve"> PAGEREF _Toc4661319 \h </w:instrText>
        </w:r>
        <w:r>
          <w:fldChar w:fldCharType="separate"/>
        </w:r>
        <w:r>
          <w:t>25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0" w:history="1">
        <w:r w:rsidRPr="00BF4AD3">
          <w:t>33</w:t>
        </w:r>
        <w:r>
          <w:rPr>
            <w:rFonts w:asciiTheme="minorHAnsi" w:hAnsiTheme="minorHAnsi" w:cstheme="minorBidi"/>
            <w:sz w:val="22"/>
            <w:szCs w:val="22"/>
            <w:lang w:eastAsia="en-AU"/>
          </w:rPr>
          <w:tab/>
        </w:r>
        <w:r w:rsidRPr="00BF4AD3">
          <w:t>Application of pt 4.1</w:t>
        </w:r>
        <w:r>
          <w:tab/>
        </w:r>
        <w:r>
          <w:fldChar w:fldCharType="begin"/>
        </w:r>
        <w:r>
          <w:instrText xml:space="preserve"> PAGEREF _Toc4661320 \h </w:instrText>
        </w:r>
        <w:r>
          <w:fldChar w:fldCharType="separate"/>
        </w:r>
        <w:r>
          <w:t>26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1" w:history="1">
        <w:r w:rsidRPr="00BF4AD3">
          <w:t>34</w:t>
        </w:r>
        <w:r>
          <w:rPr>
            <w:rFonts w:asciiTheme="minorHAnsi" w:hAnsiTheme="minorHAnsi" w:cstheme="minorBidi"/>
            <w:sz w:val="22"/>
            <w:szCs w:val="22"/>
            <w:lang w:eastAsia="en-AU"/>
          </w:rPr>
          <w:tab/>
        </w:r>
        <w:r w:rsidRPr="00BF4AD3">
          <w:t>Exclusion of liability if conduct an offence</w:t>
        </w:r>
        <w:r>
          <w:tab/>
        </w:r>
        <w:r>
          <w:fldChar w:fldCharType="begin"/>
        </w:r>
        <w:r>
          <w:instrText xml:space="preserve"> PAGEREF _Toc4661321 \h </w:instrText>
        </w:r>
        <w:r>
          <w:fldChar w:fldCharType="separate"/>
        </w:r>
        <w:r>
          <w:t>26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2" w:history="1">
        <w:r w:rsidRPr="00BF4AD3">
          <w:t>35</w:t>
        </w:r>
        <w:r>
          <w:rPr>
            <w:rFonts w:asciiTheme="minorHAnsi" w:hAnsiTheme="minorHAnsi" w:cstheme="minorBidi"/>
            <w:sz w:val="22"/>
            <w:szCs w:val="22"/>
            <w:lang w:eastAsia="en-AU"/>
          </w:rPr>
          <w:tab/>
        </w:r>
        <w:r w:rsidRPr="00BF4AD3">
          <w:t>Presumption of contributory negligence—injured person intoxicated</w:t>
        </w:r>
        <w:r>
          <w:tab/>
        </w:r>
        <w:r>
          <w:fldChar w:fldCharType="begin"/>
        </w:r>
        <w:r>
          <w:instrText xml:space="preserve"> PAGEREF _Toc4661322 \h </w:instrText>
        </w:r>
        <w:r>
          <w:fldChar w:fldCharType="separate"/>
        </w:r>
        <w:r>
          <w:t>26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3" w:history="1">
        <w:r w:rsidRPr="00BF4AD3">
          <w:t>36</w:t>
        </w:r>
        <w:r>
          <w:rPr>
            <w:rFonts w:asciiTheme="minorHAnsi" w:hAnsiTheme="minorHAnsi" w:cstheme="minorBidi"/>
            <w:sz w:val="22"/>
            <w:szCs w:val="22"/>
            <w:lang w:eastAsia="en-AU"/>
          </w:rPr>
          <w:tab/>
        </w:r>
        <w:r w:rsidRPr="00BF4AD3">
          <w:t>Presumption of contributory negligence—injured person relying on intoxicated person</w:t>
        </w:r>
        <w:r>
          <w:tab/>
        </w:r>
        <w:r>
          <w:fldChar w:fldCharType="begin"/>
        </w:r>
        <w:r>
          <w:instrText xml:space="preserve"> PAGEREF _Toc4661323 \h </w:instrText>
        </w:r>
        <w:r>
          <w:fldChar w:fldCharType="separate"/>
        </w:r>
        <w:r>
          <w:t>27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4" w:history="1">
        <w:r w:rsidRPr="00BF4AD3">
          <w:t>37</w:t>
        </w:r>
        <w:r>
          <w:rPr>
            <w:rFonts w:asciiTheme="minorHAnsi" w:hAnsiTheme="minorHAnsi" w:cstheme="minorBidi"/>
            <w:sz w:val="22"/>
            <w:szCs w:val="22"/>
            <w:lang w:eastAsia="en-AU"/>
          </w:rPr>
          <w:tab/>
        </w:r>
        <w:r w:rsidRPr="00BF4AD3">
          <w:t>Presumption of contributory negligence—injured person not wearing seatbelt etc</w:t>
        </w:r>
        <w:r>
          <w:tab/>
        </w:r>
        <w:r>
          <w:fldChar w:fldCharType="begin"/>
        </w:r>
        <w:r>
          <w:instrText xml:space="preserve"> PAGEREF _Toc4661324 \h </w:instrText>
        </w:r>
        <w:r>
          <w:fldChar w:fldCharType="separate"/>
        </w:r>
        <w:r>
          <w:t>28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25" w:history="1">
        <w:r w:rsidRPr="00BF4AD3">
          <w:t>38</w:t>
        </w:r>
        <w:r>
          <w:rPr>
            <w:rFonts w:asciiTheme="minorHAnsi" w:hAnsiTheme="minorHAnsi" w:cstheme="minorBidi"/>
            <w:sz w:val="22"/>
            <w:szCs w:val="22"/>
            <w:lang w:eastAsia="en-AU"/>
          </w:rPr>
          <w:tab/>
        </w:r>
        <w:r w:rsidRPr="00BF4AD3">
          <w:t>Damages for loss of earnings</w:t>
        </w:r>
        <w:r>
          <w:tab/>
        </w:r>
        <w:r>
          <w:fldChar w:fldCharType="begin"/>
        </w:r>
        <w:r>
          <w:instrText xml:space="preserve"> PAGEREF _Toc4661325 \h </w:instrText>
        </w:r>
        <w:r>
          <w:fldChar w:fldCharType="separate"/>
        </w:r>
        <w:r>
          <w:t>29</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26" w:history="1">
        <w:r w:rsidR="008D25FE" w:rsidRPr="00BF4AD3">
          <w:t>Part 4.2</w:t>
        </w:r>
        <w:r w:rsidR="008D25FE">
          <w:rPr>
            <w:rFonts w:asciiTheme="minorHAnsi" w:hAnsiTheme="minorHAnsi" w:cstheme="minorBidi"/>
            <w:b w:val="0"/>
            <w:bCs w:val="0"/>
            <w:sz w:val="22"/>
            <w:szCs w:val="22"/>
            <w:lang w:eastAsia="en-AU"/>
          </w:rPr>
          <w:tab/>
        </w:r>
        <w:r w:rsidR="008D25FE" w:rsidRPr="00BF4AD3">
          <w:t>Loss of capacity to perform domestic services</w:t>
        </w:r>
        <w:r w:rsidR="008D25FE" w:rsidRPr="008D25FE">
          <w:rPr>
            <w:vanish/>
          </w:rPr>
          <w:tab/>
        </w:r>
        <w:r w:rsidR="008D25FE" w:rsidRPr="008D25FE">
          <w:rPr>
            <w:vanish/>
          </w:rPr>
          <w:fldChar w:fldCharType="begin"/>
        </w:r>
        <w:r w:rsidR="008D25FE" w:rsidRPr="008D25FE">
          <w:rPr>
            <w:vanish/>
          </w:rPr>
          <w:instrText xml:space="preserve"> PAGEREF _Toc4661326 \h </w:instrText>
        </w:r>
        <w:r w:rsidR="008D25FE" w:rsidRPr="008D25FE">
          <w:rPr>
            <w:vanish/>
          </w:rPr>
        </w:r>
        <w:r w:rsidR="008D25FE" w:rsidRPr="008D25FE">
          <w:rPr>
            <w:vanish/>
          </w:rPr>
          <w:fldChar w:fldCharType="separate"/>
        </w:r>
        <w:r w:rsidR="008D25FE" w:rsidRPr="008D25FE">
          <w:rPr>
            <w:vanish/>
          </w:rPr>
          <w:t>30</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27" w:history="1">
        <w:r w:rsidRPr="00BF4AD3">
          <w:t>39</w:t>
        </w:r>
        <w:r>
          <w:rPr>
            <w:rFonts w:asciiTheme="minorHAnsi" w:hAnsiTheme="minorHAnsi" w:cstheme="minorBidi"/>
            <w:sz w:val="22"/>
            <w:szCs w:val="22"/>
            <w:lang w:eastAsia="en-AU"/>
          </w:rPr>
          <w:tab/>
        </w:r>
        <w:r w:rsidRPr="00BF4AD3">
          <w:t>Damages for loss of capacity to perform domestic services (LR(MP)A s 31, s 33)</w:t>
        </w:r>
        <w:r>
          <w:tab/>
        </w:r>
        <w:r>
          <w:fldChar w:fldCharType="begin"/>
        </w:r>
        <w:r>
          <w:instrText xml:space="preserve"> PAGEREF _Toc4661327 \h </w:instrText>
        </w:r>
        <w:r>
          <w:fldChar w:fldCharType="separate"/>
        </w:r>
        <w:r>
          <w:t>30</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28" w:history="1">
        <w:r w:rsidR="008D25FE" w:rsidRPr="00BF4AD3">
          <w:t>Part 4.3</w:t>
        </w:r>
        <w:r w:rsidR="008D25FE">
          <w:rPr>
            <w:rFonts w:asciiTheme="minorHAnsi" w:hAnsiTheme="minorHAnsi" w:cstheme="minorBidi"/>
            <w:b w:val="0"/>
            <w:bCs w:val="0"/>
            <w:sz w:val="22"/>
            <w:szCs w:val="22"/>
            <w:lang w:eastAsia="en-AU"/>
          </w:rPr>
          <w:tab/>
        </w:r>
        <w:r w:rsidR="008D25FE" w:rsidRPr="00BF4AD3">
          <w:t>Contributory negligence</w:t>
        </w:r>
        <w:r w:rsidR="008D25FE" w:rsidRPr="008D25FE">
          <w:rPr>
            <w:vanish/>
          </w:rPr>
          <w:tab/>
        </w:r>
        <w:r w:rsidR="008D25FE" w:rsidRPr="008D25FE">
          <w:rPr>
            <w:vanish/>
          </w:rPr>
          <w:fldChar w:fldCharType="begin"/>
        </w:r>
        <w:r w:rsidR="008D25FE" w:rsidRPr="008D25FE">
          <w:rPr>
            <w:vanish/>
          </w:rPr>
          <w:instrText xml:space="preserve"> PAGEREF _Toc4661328 \h </w:instrText>
        </w:r>
        <w:r w:rsidR="008D25FE" w:rsidRPr="008D25FE">
          <w:rPr>
            <w:vanish/>
          </w:rPr>
        </w:r>
        <w:r w:rsidR="008D25FE" w:rsidRPr="008D25FE">
          <w:rPr>
            <w:vanish/>
          </w:rPr>
          <w:fldChar w:fldCharType="separate"/>
        </w:r>
        <w:r w:rsidR="008D25FE" w:rsidRPr="008D25FE">
          <w:rPr>
            <w:vanish/>
          </w:rPr>
          <w:t>31</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29" w:history="1">
        <w:r w:rsidRPr="00BF4AD3">
          <w:t>40</w:t>
        </w:r>
        <w:r>
          <w:rPr>
            <w:rFonts w:asciiTheme="minorHAnsi" w:hAnsiTheme="minorHAnsi" w:cstheme="minorBidi"/>
            <w:sz w:val="22"/>
            <w:szCs w:val="22"/>
            <w:lang w:eastAsia="en-AU"/>
          </w:rPr>
          <w:tab/>
        </w:r>
        <w:r w:rsidRPr="00BF4AD3">
          <w:t>Definitions for pt 4.3 (LR(MP)A s 14)</w:t>
        </w:r>
        <w:r>
          <w:tab/>
        </w:r>
        <w:r>
          <w:fldChar w:fldCharType="begin"/>
        </w:r>
        <w:r>
          <w:instrText xml:space="preserve"> PAGEREF _Toc4661329 \h </w:instrText>
        </w:r>
        <w:r>
          <w:fldChar w:fldCharType="separate"/>
        </w:r>
        <w:r>
          <w:t>31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30" w:history="1">
        <w:r w:rsidRPr="00BF4AD3">
          <w:t>41</w:t>
        </w:r>
        <w:r>
          <w:rPr>
            <w:rFonts w:asciiTheme="minorHAnsi" w:hAnsiTheme="minorHAnsi" w:cstheme="minorBidi"/>
            <w:sz w:val="22"/>
            <w:szCs w:val="22"/>
            <w:lang w:eastAsia="en-AU"/>
          </w:rPr>
          <w:tab/>
        </w:r>
        <w:r w:rsidRPr="00BF4AD3">
          <w:t>Apportionment of liability—contributory negligence (LR(MP)A s 15)</w:t>
        </w:r>
        <w:r>
          <w:tab/>
        </w:r>
        <w:r>
          <w:fldChar w:fldCharType="begin"/>
        </w:r>
        <w:r>
          <w:instrText xml:space="preserve"> PAGEREF _Toc4661330 \h </w:instrText>
        </w:r>
        <w:r>
          <w:fldChar w:fldCharType="separate"/>
        </w:r>
        <w:r>
          <w:t>31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31" w:history="1">
        <w:r w:rsidRPr="00BF4AD3">
          <w:t>42</w:t>
        </w:r>
        <w:r>
          <w:rPr>
            <w:rFonts w:asciiTheme="minorHAnsi" w:hAnsiTheme="minorHAnsi" w:cstheme="minorBidi"/>
            <w:sz w:val="22"/>
            <w:szCs w:val="22"/>
            <w:lang w:eastAsia="en-AU"/>
          </w:rPr>
          <w:tab/>
        </w:r>
        <w:r w:rsidRPr="00BF4AD3">
          <w:t>Joint wrongdoers (LR(MP)A s 16)</w:t>
        </w:r>
        <w:r>
          <w:tab/>
        </w:r>
        <w:r>
          <w:fldChar w:fldCharType="begin"/>
        </w:r>
        <w:r>
          <w:instrText xml:space="preserve"> PAGEREF _Toc4661331 \h </w:instrText>
        </w:r>
        <w:r>
          <w:fldChar w:fldCharType="separate"/>
        </w:r>
        <w:r>
          <w:t>32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32" w:history="1">
        <w:r w:rsidRPr="00BF4AD3">
          <w:t>43</w:t>
        </w:r>
        <w:r>
          <w:rPr>
            <w:rFonts w:asciiTheme="minorHAnsi" w:hAnsiTheme="minorHAnsi" w:cstheme="minorBidi"/>
            <w:sz w:val="22"/>
            <w:szCs w:val="22"/>
            <w:lang w:eastAsia="en-AU"/>
          </w:rPr>
          <w:tab/>
        </w:r>
        <w:r w:rsidRPr="00BF4AD3">
          <w:t>Claims by third parties—contributory negligence (LR(MP)A s 17)</w:t>
        </w:r>
        <w:r>
          <w:tab/>
        </w:r>
        <w:r>
          <w:fldChar w:fldCharType="begin"/>
        </w:r>
        <w:r>
          <w:instrText xml:space="preserve"> PAGEREF _Toc4661332 \h </w:instrText>
        </w:r>
        <w:r>
          <w:fldChar w:fldCharType="separate"/>
        </w:r>
        <w:r>
          <w:t>32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33" w:history="1">
        <w:r w:rsidRPr="00BF4AD3">
          <w:t>44</w:t>
        </w:r>
        <w:r>
          <w:rPr>
            <w:rFonts w:asciiTheme="minorHAnsi" w:hAnsiTheme="minorHAnsi" w:cstheme="minorBidi"/>
            <w:sz w:val="22"/>
            <w:szCs w:val="22"/>
            <w:lang w:eastAsia="en-AU"/>
          </w:rPr>
          <w:tab/>
        </w:r>
        <w:r w:rsidRPr="00BF4AD3">
          <w:t>Pleading of statutory limitation period—contributory negligence (LR(MP)A s 18)</w:t>
        </w:r>
        <w:r>
          <w:tab/>
        </w:r>
        <w:r>
          <w:fldChar w:fldCharType="begin"/>
        </w:r>
        <w:r>
          <w:instrText xml:space="preserve"> PAGEREF _Toc4661333 \h </w:instrText>
        </w:r>
        <w:r>
          <w:fldChar w:fldCharType="separate"/>
        </w:r>
        <w:r>
          <w:t>33</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34" w:history="1">
        <w:r w:rsidR="008D25FE" w:rsidRPr="00BF4AD3">
          <w:t>Part 4.4</w:t>
        </w:r>
        <w:r w:rsidR="008D25FE">
          <w:rPr>
            <w:rFonts w:asciiTheme="minorHAnsi" w:hAnsiTheme="minorHAnsi" w:cstheme="minorBidi"/>
            <w:b w:val="0"/>
            <w:bCs w:val="0"/>
            <w:sz w:val="22"/>
            <w:szCs w:val="22"/>
            <w:lang w:eastAsia="en-AU"/>
          </w:rPr>
          <w:tab/>
        </w:r>
        <w:r w:rsidR="008D25FE" w:rsidRPr="00BF4AD3">
          <w:t>Other provisions—damages</w:t>
        </w:r>
        <w:r w:rsidR="008D25FE" w:rsidRPr="008D25FE">
          <w:rPr>
            <w:vanish/>
          </w:rPr>
          <w:tab/>
        </w:r>
        <w:r w:rsidR="008D25FE" w:rsidRPr="008D25FE">
          <w:rPr>
            <w:vanish/>
          </w:rPr>
          <w:fldChar w:fldCharType="begin"/>
        </w:r>
        <w:r w:rsidR="008D25FE" w:rsidRPr="008D25FE">
          <w:rPr>
            <w:vanish/>
          </w:rPr>
          <w:instrText xml:space="preserve"> PAGEREF _Toc4661334 \h </w:instrText>
        </w:r>
        <w:r w:rsidR="008D25FE" w:rsidRPr="008D25FE">
          <w:rPr>
            <w:vanish/>
          </w:rPr>
        </w:r>
        <w:r w:rsidR="008D25FE" w:rsidRPr="008D25FE">
          <w:rPr>
            <w:vanish/>
          </w:rPr>
          <w:fldChar w:fldCharType="separate"/>
        </w:r>
        <w:r w:rsidR="008D25FE" w:rsidRPr="008D25FE">
          <w:rPr>
            <w:vanish/>
          </w:rPr>
          <w:t>34</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35" w:history="1">
        <w:r w:rsidRPr="00BF4AD3">
          <w:t>45</w:t>
        </w:r>
        <w:r>
          <w:rPr>
            <w:rFonts w:asciiTheme="minorHAnsi" w:hAnsiTheme="minorHAnsi" w:cstheme="minorBidi"/>
            <w:sz w:val="22"/>
            <w:szCs w:val="22"/>
            <w:lang w:eastAsia="en-AU"/>
          </w:rPr>
          <w:tab/>
        </w:r>
        <w:r w:rsidRPr="00BF4AD3">
          <w:t>Court may make consent order for structured settlement</w:t>
        </w:r>
        <w:r>
          <w:tab/>
        </w:r>
        <w:r>
          <w:fldChar w:fldCharType="begin"/>
        </w:r>
        <w:r>
          <w:instrText xml:space="preserve"> PAGEREF _Toc4661335 \h </w:instrText>
        </w:r>
        <w:r>
          <w:fldChar w:fldCharType="separate"/>
        </w:r>
        <w:r>
          <w:t>34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36" w:history="1">
        <w:r w:rsidRPr="00BF4AD3">
          <w:t>46</w:t>
        </w:r>
        <w:r>
          <w:rPr>
            <w:rFonts w:asciiTheme="minorHAnsi" w:hAnsiTheme="minorHAnsi" w:cstheme="minorBidi"/>
            <w:sz w:val="22"/>
            <w:szCs w:val="22"/>
            <w:lang w:eastAsia="en-AU"/>
          </w:rPr>
          <w:tab/>
        </w:r>
        <w:r w:rsidRPr="00BF4AD3">
          <w:t>Independent finding of liability and award of damages</w:t>
        </w:r>
        <w:r>
          <w:tab/>
        </w:r>
        <w:r>
          <w:fldChar w:fldCharType="begin"/>
        </w:r>
        <w:r>
          <w:instrText xml:space="preserve"> PAGEREF _Toc4661336 \h </w:instrText>
        </w:r>
        <w:r>
          <w:fldChar w:fldCharType="separate"/>
        </w:r>
        <w:r>
          <w:t>34</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337" w:history="1">
        <w:r w:rsidR="008D25FE" w:rsidRPr="00BF4AD3">
          <w:t>Chapter 5</w:t>
        </w:r>
        <w:r w:rsidR="008D25FE">
          <w:rPr>
            <w:rFonts w:asciiTheme="minorHAnsi" w:hAnsiTheme="minorHAnsi" w:cstheme="minorBidi"/>
            <w:b w:val="0"/>
            <w:bCs w:val="0"/>
            <w:sz w:val="22"/>
            <w:szCs w:val="22"/>
            <w:lang w:eastAsia="en-AU"/>
          </w:rPr>
          <w:tab/>
        </w:r>
        <w:r w:rsidR="008D25FE" w:rsidRPr="00BF4AD3">
          <w:t>Defamation</w:t>
        </w:r>
        <w:r w:rsidR="008D25FE" w:rsidRPr="008D25FE">
          <w:rPr>
            <w:vanish/>
          </w:rPr>
          <w:tab/>
        </w:r>
        <w:r w:rsidR="008D25FE" w:rsidRPr="008D25FE">
          <w:rPr>
            <w:vanish/>
          </w:rPr>
          <w:fldChar w:fldCharType="begin"/>
        </w:r>
        <w:r w:rsidR="008D25FE" w:rsidRPr="008D25FE">
          <w:rPr>
            <w:vanish/>
          </w:rPr>
          <w:instrText xml:space="preserve"> PAGEREF _Toc4661337 \h </w:instrText>
        </w:r>
        <w:r w:rsidR="008D25FE" w:rsidRPr="008D25FE">
          <w:rPr>
            <w:vanish/>
          </w:rPr>
        </w:r>
        <w:r w:rsidR="008D25FE" w:rsidRPr="008D25FE">
          <w:rPr>
            <w:vanish/>
          </w:rPr>
          <w:fldChar w:fldCharType="separate"/>
        </w:r>
        <w:r w:rsidR="008D25FE" w:rsidRPr="008D25FE">
          <w:rPr>
            <w:vanish/>
          </w:rPr>
          <w:t>35</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38" w:history="1">
        <w:r w:rsidR="008D25FE" w:rsidRPr="00BF4AD3">
          <w:t>Part 5.1</w:t>
        </w:r>
        <w:r w:rsidR="008D25FE">
          <w:rPr>
            <w:rFonts w:asciiTheme="minorHAnsi" w:hAnsiTheme="minorHAnsi" w:cstheme="minorBidi"/>
            <w:b w:val="0"/>
            <w:bCs w:val="0"/>
            <w:sz w:val="22"/>
            <w:szCs w:val="22"/>
            <w:lang w:eastAsia="en-AU"/>
          </w:rPr>
          <w:tab/>
        </w:r>
        <w:r w:rsidR="008D25FE" w:rsidRPr="00BF4AD3">
          <w:t>Preliminary—defamation</w:t>
        </w:r>
        <w:r w:rsidR="008D25FE" w:rsidRPr="008D25FE">
          <w:rPr>
            <w:vanish/>
          </w:rPr>
          <w:tab/>
        </w:r>
        <w:r w:rsidR="008D25FE" w:rsidRPr="008D25FE">
          <w:rPr>
            <w:vanish/>
          </w:rPr>
          <w:fldChar w:fldCharType="begin"/>
        </w:r>
        <w:r w:rsidR="008D25FE" w:rsidRPr="008D25FE">
          <w:rPr>
            <w:vanish/>
          </w:rPr>
          <w:instrText xml:space="preserve"> PAGEREF _Toc4661338 \h </w:instrText>
        </w:r>
        <w:r w:rsidR="008D25FE" w:rsidRPr="008D25FE">
          <w:rPr>
            <w:vanish/>
          </w:rPr>
        </w:r>
        <w:r w:rsidR="008D25FE" w:rsidRPr="008D25FE">
          <w:rPr>
            <w:vanish/>
          </w:rPr>
          <w:fldChar w:fldCharType="separate"/>
        </w:r>
        <w:r w:rsidR="008D25FE" w:rsidRPr="008D25FE">
          <w:rPr>
            <w:vanish/>
          </w:rPr>
          <w:t>35</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39" w:history="1">
        <w:r w:rsidRPr="00BF4AD3">
          <w:t>47</w:t>
        </w:r>
        <w:r>
          <w:rPr>
            <w:rFonts w:asciiTheme="minorHAnsi" w:hAnsiTheme="minorHAnsi" w:cstheme="minorBidi"/>
            <w:sz w:val="22"/>
            <w:szCs w:val="22"/>
            <w:lang w:eastAsia="en-AU"/>
          </w:rPr>
          <w:tab/>
        </w:r>
        <w:r w:rsidRPr="00BF4AD3">
          <w:t>Definitions for ch 5</w:t>
        </w:r>
        <w:r>
          <w:tab/>
        </w:r>
        <w:r>
          <w:fldChar w:fldCharType="begin"/>
        </w:r>
        <w:r>
          <w:instrText xml:space="preserve"> PAGEREF _Toc4661339 \h </w:instrText>
        </w:r>
        <w:r>
          <w:fldChar w:fldCharType="separate"/>
        </w:r>
        <w:r>
          <w:t>35</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40" w:history="1">
        <w:r w:rsidR="008D25FE" w:rsidRPr="00BF4AD3">
          <w:t>Part 5.2</w:t>
        </w:r>
        <w:r w:rsidR="008D25FE">
          <w:rPr>
            <w:rFonts w:asciiTheme="minorHAnsi" w:hAnsiTheme="minorHAnsi" w:cstheme="minorBidi"/>
            <w:b w:val="0"/>
            <w:bCs w:val="0"/>
            <w:sz w:val="22"/>
            <w:szCs w:val="22"/>
            <w:lang w:eastAsia="en-AU"/>
          </w:rPr>
          <w:tab/>
        </w:r>
        <w:r w:rsidR="008D25FE" w:rsidRPr="00BF4AD3">
          <w:t>Resolution of disputes without litigation—defamation</w:t>
        </w:r>
        <w:r w:rsidR="008D25FE" w:rsidRPr="008D25FE">
          <w:rPr>
            <w:vanish/>
          </w:rPr>
          <w:tab/>
        </w:r>
        <w:r w:rsidR="008D25FE" w:rsidRPr="008D25FE">
          <w:rPr>
            <w:vanish/>
          </w:rPr>
          <w:fldChar w:fldCharType="begin"/>
        </w:r>
        <w:r w:rsidR="008D25FE" w:rsidRPr="008D25FE">
          <w:rPr>
            <w:vanish/>
          </w:rPr>
          <w:instrText xml:space="preserve"> PAGEREF _Toc4661340 \h </w:instrText>
        </w:r>
        <w:r w:rsidR="008D25FE" w:rsidRPr="008D25FE">
          <w:rPr>
            <w:vanish/>
          </w:rPr>
        </w:r>
        <w:r w:rsidR="008D25FE" w:rsidRPr="008D25FE">
          <w:rPr>
            <w:vanish/>
          </w:rPr>
          <w:fldChar w:fldCharType="separate"/>
        </w:r>
        <w:r w:rsidR="008D25FE" w:rsidRPr="008D25FE">
          <w:rPr>
            <w:vanish/>
          </w:rPr>
          <w:t>37</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41" w:history="1">
        <w:r w:rsidRPr="00BF4AD3">
          <w:t>48</w:t>
        </w:r>
        <w:r>
          <w:rPr>
            <w:rFonts w:asciiTheme="minorHAnsi" w:hAnsiTheme="minorHAnsi" w:cstheme="minorBidi"/>
            <w:sz w:val="22"/>
            <w:szCs w:val="22"/>
            <w:lang w:eastAsia="en-AU"/>
          </w:rPr>
          <w:tab/>
        </w:r>
        <w:r w:rsidRPr="00BF4AD3">
          <w:t>Application of pt 5.2</w:t>
        </w:r>
        <w:r>
          <w:tab/>
        </w:r>
        <w:r>
          <w:fldChar w:fldCharType="begin"/>
        </w:r>
        <w:r>
          <w:instrText xml:space="preserve"> PAGEREF _Toc4661341 \h </w:instrText>
        </w:r>
        <w:r>
          <w:fldChar w:fldCharType="separate"/>
        </w:r>
        <w:r>
          <w:t>37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2" w:history="1">
        <w:r w:rsidRPr="00BF4AD3">
          <w:t>49</w:t>
        </w:r>
        <w:r>
          <w:rPr>
            <w:rFonts w:asciiTheme="minorHAnsi" w:hAnsiTheme="minorHAnsi" w:cstheme="minorBidi"/>
            <w:sz w:val="22"/>
            <w:szCs w:val="22"/>
            <w:lang w:eastAsia="en-AU"/>
          </w:rPr>
          <w:tab/>
        </w:r>
        <w:r w:rsidRPr="00BF4AD3">
          <w:t>Offer to make amends—defamation (DA s 6)</w:t>
        </w:r>
        <w:r>
          <w:tab/>
        </w:r>
        <w:r>
          <w:fldChar w:fldCharType="begin"/>
        </w:r>
        <w:r>
          <w:instrText xml:space="preserve"> PAGEREF _Toc4661342 \h </w:instrText>
        </w:r>
        <w:r>
          <w:fldChar w:fldCharType="separate"/>
        </w:r>
        <w:r>
          <w:t>37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3" w:history="1">
        <w:r w:rsidRPr="00BF4AD3">
          <w:t>50</w:t>
        </w:r>
        <w:r>
          <w:rPr>
            <w:rFonts w:asciiTheme="minorHAnsi" w:hAnsiTheme="minorHAnsi" w:cstheme="minorBidi"/>
            <w:sz w:val="22"/>
            <w:szCs w:val="22"/>
            <w:lang w:eastAsia="en-AU"/>
          </w:rPr>
          <w:tab/>
        </w:r>
        <w:r w:rsidRPr="00BF4AD3">
          <w:t>Reasonable offer to make amends—defamation (DA s 7)</w:t>
        </w:r>
        <w:r>
          <w:tab/>
        </w:r>
        <w:r>
          <w:fldChar w:fldCharType="begin"/>
        </w:r>
        <w:r>
          <w:instrText xml:space="preserve"> PAGEREF _Toc4661343 \h </w:instrText>
        </w:r>
        <w:r>
          <w:fldChar w:fldCharType="separate"/>
        </w:r>
        <w:r>
          <w:t>39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4" w:history="1">
        <w:r w:rsidRPr="00BF4AD3">
          <w:t>51</w:t>
        </w:r>
        <w:r>
          <w:rPr>
            <w:rFonts w:asciiTheme="minorHAnsi" w:hAnsiTheme="minorHAnsi" w:cstheme="minorBidi"/>
            <w:sz w:val="22"/>
            <w:szCs w:val="22"/>
            <w:lang w:eastAsia="en-AU"/>
          </w:rPr>
          <w:tab/>
        </w:r>
        <w:r w:rsidRPr="00BF4AD3">
          <w:t>Acceptance of offer to make amends—defamation (DA s 8)</w:t>
        </w:r>
        <w:r>
          <w:tab/>
        </w:r>
        <w:r>
          <w:fldChar w:fldCharType="begin"/>
        </w:r>
        <w:r>
          <w:instrText xml:space="preserve"> PAGEREF _Toc4661344 \h </w:instrText>
        </w:r>
        <w:r>
          <w:fldChar w:fldCharType="separate"/>
        </w:r>
        <w:r>
          <w:t>39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5" w:history="1">
        <w:r w:rsidRPr="00BF4AD3">
          <w:t>52</w:t>
        </w:r>
        <w:r>
          <w:rPr>
            <w:rFonts w:asciiTheme="minorHAnsi" w:hAnsiTheme="minorHAnsi" w:cstheme="minorBidi"/>
            <w:sz w:val="22"/>
            <w:szCs w:val="22"/>
            <w:lang w:eastAsia="en-AU"/>
          </w:rPr>
          <w:tab/>
        </w:r>
        <w:r w:rsidRPr="00BF4AD3">
          <w:t>False or misleading statement in correction (DA s 9)</w:t>
        </w:r>
        <w:r>
          <w:tab/>
        </w:r>
        <w:r>
          <w:fldChar w:fldCharType="begin"/>
        </w:r>
        <w:r>
          <w:instrText xml:space="preserve"> PAGEREF _Toc4661345 \h </w:instrText>
        </w:r>
        <w:r>
          <w:fldChar w:fldCharType="separate"/>
        </w:r>
        <w:r>
          <w:t>40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6" w:history="1">
        <w:r w:rsidRPr="00BF4AD3">
          <w:t>53</w:t>
        </w:r>
        <w:r>
          <w:rPr>
            <w:rFonts w:asciiTheme="minorHAnsi" w:hAnsiTheme="minorHAnsi" w:cstheme="minorBidi"/>
            <w:sz w:val="22"/>
            <w:szCs w:val="22"/>
            <w:lang w:eastAsia="en-AU"/>
          </w:rPr>
          <w:tab/>
        </w:r>
        <w:r w:rsidRPr="00BF4AD3">
          <w:t>Offer to make amends not accepted—defamation (DA s 10)</w:t>
        </w:r>
        <w:r>
          <w:tab/>
        </w:r>
        <w:r>
          <w:fldChar w:fldCharType="begin"/>
        </w:r>
        <w:r>
          <w:instrText xml:space="preserve"> PAGEREF _Toc4661346 \h </w:instrText>
        </w:r>
        <w:r>
          <w:fldChar w:fldCharType="separate"/>
        </w:r>
        <w:r>
          <w:t>40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47" w:history="1">
        <w:r w:rsidRPr="00BF4AD3">
          <w:t>54</w:t>
        </w:r>
        <w:r>
          <w:rPr>
            <w:rFonts w:asciiTheme="minorHAnsi" w:hAnsiTheme="minorHAnsi" w:cstheme="minorBidi"/>
            <w:sz w:val="22"/>
            <w:szCs w:val="22"/>
            <w:lang w:eastAsia="en-AU"/>
          </w:rPr>
          <w:tab/>
        </w:r>
        <w:r w:rsidRPr="00BF4AD3">
          <w:t>Order to vindicate reputation if offer not made (DA s 11)</w:t>
        </w:r>
        <w:r>
          <w:tab/>
        </w:r>
        <w:r>
          <w:fldChar w:fldCharType="begin"/>
        </w:r>
        <w:r>
          <w:instrText xml:space="preserve"> PAGEREF _Toc4661347 \h </w:instrText>
        </w:r>
        <w:r>
          <w:fldChar w:fldCharType="separate"/>
        </w:r>
        <w:r>
          <w:t>41</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48" w:history="1">
        <w:r w:rsidR="008D25FE" w:rsidRPr="00BF4AD3">
          <w:t>Part 5.3</w:t>
        </w:r>
        <w:r w:rsidR="008D25FE">
          <w:rPr>
            <w:rFonts w:asciiTheme="minorHAnsi" w:hAnsiTheme="minorHAnsi" w:cstheme="minorBidi"/>
            <w:b w:val="0"/>
            <w:bCs w:val="0"/>
            <w:sz w:val="22"/>
            <w:szCs w:val="22"/>
            <w:lang w:eastAsia="en-AU"/>
          </w:rPr>
          <w:tab/>
        </w:r>
        <w:r w:rsidR="008D25FE" w:rsidRPr="00BF4AD3">
          <w:t>Rules governing litigation of civil claims—defamation</w:t>
        </w:r>
        <w:r w:rsidR="008D25FE" w:rsidRPr="008D25FE">
          <w:rPr>
            <w:vanish/>
          </w:rPr>
          <w:tab/>
        </w:r>
        <w:r w:rsidR="008D25FE" w:rsidRPr="008D25FE">
          <w:rPr>
            <w:vanish/>
          </w:rPr>
          <w:fldChar w:fldCharType="begin"/>
        </w:r>
        <w:r w:rsidR="008D25FE" w:rsidRPr="008D25FE">
          <w:rPr>
            <w:vanish/>
          </w:rPr>
          <w:instrText xml:space="preserve"> PAGEREF _Toc4661348 \h </w:instrText>
        </w:r>
        <w:r w:rsidR="008D25FE" w:rsidRPr="008D25FE">
          <w:rPr>
            <w:vanish/>
          </w:rPr>
        </w:r>
        <w:r w:rsidR="008D25FE" w:rsidRPr="008D25FE">
          <w:rPr>
            <w:vanish/>
          </w:rPr>
          <w:fldChar w:fldCharType="separate"/>
        </w:r>
        <w:r w:rsidR="008D25FE" w:rsidRPr="008D25FE">
          <w:rPr>
            <w:vanish/>
          </w:rPr>
          <w:t>42</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49" w:history="1">
        <w:r w:rsidRPr="00BF4AD3">
          <w:t>55</w:t>
        </w:r>
        <w:r>
          <w:rPr>
            <w:rFonts w:asciiTheme="minorHAnsi" w:hAnsiTheme="minorHAnsi" w:cstheme="minorBidi"/>
            <w:sz w:val="22"/>
            <w:szCs w:val="22"/>
            <w:lang w:eastAsia="en-AU"/>
          </w:rPr>
          <w:tab/>
        </w:r>
        <w:r w:rsidRPr="00BF4AD3">
          <w:t>Application of pt 5.3 (DA s 12)</w:t>
        </w:r>
        <w:r>
          <w:tab/>
        </w:r>
        <w:r>
          <w:fldChar w:fldCharType="begin"/>
        </w:r>
        <w:r>
          <w:instrText xml:space="preserve"> PAGEREF _Toc4661349 \h </w:instrText>
        </w:r>
        <w:r>
          <w:fldChar w:fldCharType="separate"/>
        </w:r>
        <w:r>
          <w:t>42</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350" w:history="1">
        <w:r w:rsidRPr="00BF4AD3">
          <w:t>56</w:t>
        </w:r>
        <w:r>
          <w:rPr>
            <w:rFonts w:asciiTheme="minorHAnsi" w:hAnsiTheme="minorHAnsi" w:cstheme="minorBidi"/>
            <w:sz w:val="22"/>
            <w:szCs w:val="22"/>
            <w:lang w:eastAsia="en-AU"/>
          </w:rPr>
          <w:tab/>
        </w:r>
        <w:r w:rsidRPr="00BF4AD3">
          <w:t xml:space="preserve">Meaning of </w:t>
        </w:r>
        <w:r w:rsidRPr="00BF4AD3">
          <w:rPr>
            <w:i/>
            <w:iCs/>
          </w:rPr>
          <w:t>published matter</w:t>
        </w:r>
        <w:r w:rsidRPr="00BF4AD3">
          <w:t xml:space="preserve"> in pt 5.3 (DA s 13)</w:t>
        </w:r>
        <w:r>
          <w:tab/>
        </w:r>
        <w:r>
          <w:fldChar w:fldCharType="begin"/>
        </w:r>
        <w:r>
          <w:instrText xml:space="preserve"> PAGEREF _Toc4661350 \h </w:instrText>
        </w:r>
        <w:r>
          <w:fldChar w:fldCharType="separate"/>
        </w:r>
        <w:r>
          <w:t>42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1" w:history="1">
        <w:r w:rsidRPr="00BF4AD3">
          <w:t>57</w:t>
        </w:r>
        <w:r>
          <w:rPr>
            <w:rFonts w:asciiTheme="minorHAnsi" w:hAnsiTheme="minorHAnsi" w:cstheme="minorBidi"/>
            <w:sz w:val="22"/>
            <w:szCs w:val="22"/>
            <w:lang w:eastAsia="en-AU"/>
          </w:rPr>
          <w:tab/>
        </w:r>
        <w:r w:rsidRPr="00BF4AD3">
          <w:t>Slander actionable without special damage (DA s 14)</w:t>
        </w:r>
        <w:r>
          <w:tab/>
        </w:r>
        <w:r>
          <w:fldChar w:fldCharType="begin"/>
        </w:r>
        <w:r>
          <w:instrText xml:space="preserve"> PAGEREF _Toc4661351 \h </w:instrText>
        </w:r>
        <w:r>
          <w:fldChar w:fldCharType="separate"/>
        </w:r>
        <w:r>
          <w:t>42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2" w:history="1">
        <w:r w:rsidRPr="00BF4AD3">
          <w:t>58</w:t>
        </w:r>
        <w:r>
          <w:rPr>
            <w:rFonts w:asciiTheme="minorHAnsi" w:hAnsiTheme="minorHAnsi" w:cstheme="minorBidi"/>
            <w:sz w:val="22"/>
            <w:szCs w:val="22"/>
            <w:lang w:eastAsia="en-AU"/>
          </w:rPr>
          <w:tab/>
        </w:r>
        <w:r w:rsidRPr="00BF4AD3">
          <w:t>Plaintiff’s character not likely to be injured (DA s 15)</w:t>
        </w:r>
        <w:r>
          <w:tab/>
        </w:r>
        <w:r>
          <w:fldChar w:fldCharType="begin"/>
        </w:r>
        <w:r>
          <w:instrText xml:space="preserve"> PAGEREF _Toc4661352 \h </w:instrText>
        </w:r>
        <w:r>
          <w:fldChar w:fldCharType="separate"/>
        </w:r>
        <w:r>
          <w:t>42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3" w:history="1">
        <w:r w:rsidRPr="00BF4AD3">
          <w:t>59</w:t>
        </w:r>
        <w:r>
          <w:rPr>
            <w:rFonts w:asciiTheme="minorHAnsi" w:hAnsiTheme="minorHAnsi" w:cstheme="minorBidi"/>
            <w:sz w:val="22"/>
            <w:szCs w:val="22"/>
            <w:lang w:eastAsia="en-AU"/>
          </w:rPr>
          <w:tab/>
        </w:r>
        <w:r w:rsidRPr="00BF4AD3">
          <w:t>Defence of truth and public benefit (DA s 16)</w:t>
        </w:r>
        <w:r>
          <w:tab/>
        </w:r>
        <w:r>
          <w:fldChar w:fldCharType="begin"/>
        </w:r>
        <w:r>
          <w:instrText xml:space="preserve"> PAGEREF _Toc4661353 \h </w:instrText>
        </w:r>
        <w:r>
          <w:fldChar w:fldCharType="separate"/>
        </w:r>
        <w:r>
          <w:t>42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4" w:history="1">
        <w:r w:rsidRPr="00BF4AD3">
          <w:t>60</w:t>
        </w:r>
        <w:r>
          <w:rPr>
            <w:rFonts w:asciiTheme="minorHAnsi" w:hAnsiTheme="minorHAnsi" w:cstheme="minorBidi"/>
            <w:sz w:val="22"/>
            <w:szCs w:val="22"/>
            <w:lang w:eastAsia="en-AU"/>
          </w:rPr>
          <w:tab/>
        </w:r>
        <w:r w:rsidRPr="00BF4AD3">
          <w:t>Publication of a proceeding of public concern (DA s 17)</w:t>
        </w:r>
        <w:r>
          <w:tab/>
        </w:r>
        <w:r>
          <w:fldChar w:fldCharType="begin"/>
        </w:r>
        <w:r>
          <w:instrText xml:space="preserve"> PAGEREF _Toc4661354 \h </w:instrText>
        </w:r>
        <w:r>
          <w:fldChar w:fldCharType="separate"/>
        </w:r>
        <w:r>
          <w:t>43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5" w:history="1">
        <w:r w:rsidRPr="00BF4AD3">
          <w:t>61</w:t>
        </w:r>
        <w:r>
          <w:rPr>
            <w:rFonts w:asciiTheme="minorHAnsi" w:hAnsiTheme="minorHAnsi" w:cstheme="minorBidi"/>
            <w:sz w:val="22"/>
            <w:szCs w:val="22"/>
            <w:lang w:eastAsia="en-AU"/>
          </w:rPr>
          <w:tab/>
        </w:r>
        <w:r w:rsidRPr="00BF4AD3">
          <w:t>Publication of public document (DA s 18)</w:t>
        </w:r>
        <w:r>
          <w:tab/>
        </w:r>
        <w:r>
          <w:fldChar w:fldCharType="begin"/>
        </w:r>
        <w:r>
          <w:instrText xml:space="preserve"> PAGEREF _Toc4661355 \h </w:instrText>
        </w:r>
        <w:r>
          <w:fldChar w:fldCharType="separate"/>
        </w:r>
        <w:r>
          <w:t>46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6" w:history="1">
        <w:r w:rsidRPr="00BF4AD3">
          <w:t>62</w:t>
        </w:r>
        <w:r>
          <w:rPr>
            <w:rFonts w:asciiTheme="minorHAnsi" w:hAnsiTheme="minorHAnsi" w:cstheme="minorBidi"/>
            <w:sz w:val="22"/>
            <w:szCs w:val="22"/>
            <w:lang w:eastAsia="en-AU"/>
          </w:rPr>
          <w:tab/>
        </w:r>
        <w:r w:rsidRPr="00BF4AD3">
          <w:t>Publication under contract (DA s 19)</w:t>
        </w:r>
        <w:r>
          <w:tab/>
        </w:r>
        <w:r>
          <w:fldChar w:fldCharType="begin"/>
        </w:r>
        <w:r>
          <w:instrText xml:space="preserve"> PAGEREF _Toc4661356 \h </w:instrText>
        </w:r>
        <w:r>
          <w:fldChar w:fldCharType="separate"/>
        </w:r>
        <w:r>
          <w:t>48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7" w:history="1">
        <w:r w:rsidRPr="00BF4AD3">
          <w:t>63</w:t>
        </w:r>
        <w:r>
          <w:rPr>
            <w:rFonts w:asciiTheme="minorHAnsi" w:hAnsiTheme="minorHAnsi" w:cstheme="minorBidi"/>
            <w:sz w:val="22"/>
            <w:szCs w:val="22"/>
            <w:lang w:eastAsia="en-AU"/>
          </w:rPr>
          <w:tab/>
        </w:r>
        <w:r w:rsidRPr="00BF4AD3">
          <w:t>Evidence of apology admissible in mitigation—defamation (DA s 20)</w:t>
        </w:r>
        <w:r>
          <w:tab/>
        </w:r>
        <w:r>
          <w:fldChar w:fldCharType="begin"/>
        </w:r>
        <w:r>
          <w:instrText xml:space="preserve"> PAGEREF _Toc4661357 \h </w:instrText>
        </w:r>
        <w:r>
          <w:fldChar w:fldCharType="separate"/>
        </w:r>
        <w:r>
          <w:t>49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8" w:history="1">
        <w:r w:rsidRPr="00BF4AD3">
          <w:t>64</w:t>
        </w:r>
        <w:r>
          <w:rPr>
            <w:rFonts w:asciiTheme="minorHAnsi" w:hAnsiTheme="minorHAnsi" w:cstheme="minorBidi"/>
            <w:sz w:val="22"/>
            <w:szCs w:val="22"/>
            <w:lang w:eastAsia="en-AU"/>
          </w:rPr>
          <w:tab/>
        </w:r>
        <w:r w:rsidRPr="00BF4AD3">
          <w:t>Payment into court—defamation (DA s 21)</w:t>
        </w:r>
        <w:r>
          <w:tab/>
        </w:r>
        <w:r>
          <w:fldChar w:fldCharType="begin"/>
        </w:r>
        <w:r>
          <w:instrText xml:space="preserve"> PAGEREF _Toc4661358 \h </w:instrText>
        </w:r>
        <w:r>
          <w:fldChar w:fldCharType="separate"/>
        </w:r>
        <w:r>
          <w:t>49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59" w:history="1">
        <w:r w:rsidRPr="00BF4AD3">
          <w:t>65</w:t>
        </w:r>
        <w:r>
          <w:rPr>
            <w:rFonts w:asciiTheme="minorHAnsi" w:hAnsiTheme="minorHAnsi" w:cstheme="minorBidi"/>
            <w:sz w:val="22"/>
            <w:szCs w:val="22"/>
            <w:lang w:eastAsia="en-AU"/>
          </w:rPr>
          <w:tab/>
        </w:r>
        <w:r w:rsidRPr="00BF4AD3">
          <w:t>Defence of apology and payment into court—defamation (DA s 22)</w:t>
        </w:r>
        <w:r>
          <w:tab/>
        </w:r>
        <w:r>
          <w:fldChar w:fldCharType="begin"/>
        </w:r>
        <w:r>
          <w:instrText xml:space="preserve"> PAGEREF _Toc4661359 \h </w:instrText>
        </w:r>
        <w:r>
          <w:fldChar w:fldCharType="separate"/>
        </w:r>
        <w:r>
          <w:t>49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0" w:history="1">
        <w:r w:rsidRPr="00BF4AD3">
          <w:t>66</w:t>
        </w:r>
        <w:r>
          <w:rPr>
            <w:rFonts w:asciiTheme="minorHAnsi" w:hAnsiTheme="minorHAnsi" w:cstheme="minorBidi"/>
            <w:sz w:val="22"/>
            <w:szCs w:val="22"/>
            <w:lang w:eastAsia="en-AU"/>
          </w:rPr>
          <w:tab/>
        </w:r>
        <w:r w:rsidRPr="00BF4AD3">
          <w:t>Defence for defamation—defendant not negligent (DA s 23)</w:t>
        </w:r>
        <w:r>
          <w:tab/>
        </w:r>
        <w:r>
          <w:fldChar w:fldCharType="begin"/>
        </w:r>
        <w:r>
          <w:instrText xml:space="preserve"> PAGEREF _Toc4661360 \h </w:instrText>
        </w:r>
        <w:r>
          <w:fldChar w:fldCharType="separate"/>
        </w:r>
        <w:r>
          <w:t>50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1" w:history="1">
        <w:r w:rsidRPr="00BF4AD3">
          <w:t>67</w:t>
        </w:r>
        <w:r>
          <w:rPr>
            <w:rFonts w:asciiTheme="minorHAnsi" w:hAnsiTheme="minorHAnsi" w:cstheme="minorBidi"/>
            <w:sz w:val="22"/>
            <w:szCs w:val="22"/>
            <w:lang w:eastAsia="en-AU"/>
          </w:rPr>
          <w:tab/>
        </w:r>
        <w:r w:rsidRPr="00BF4AD3">
          <w:t>Compensation etc provable in mitigation—defamation (DA s 24)</w:t>
        </w:r>
        <w:r>
          <w:tab/>
        </w:r>
        <w:r>
          <w:fldChar w:fldCharType="begin"/>
        </w:r>
        <w:r>
          <w:instrText xml:space="preserve"> PAGEREF _Toc4661361 \h </w:instrText>
        </w:r>
        <w:r>
          <w:fldChar w:fldCharType="separate"/>
        </w:r>
        <w:r>
          <w:t>50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2" w:history="1">
        <w:r w:rsidRPr="00BF4AD3">
          <w:t>68</w:t>
        </w:r>
        <w:r>
          <w:rPr>
            <w:rFonts w:asciiTheme="minorHAnsi" w:hAnsiTheme="minorHAnsi" w:cstheme="minorBidi"/>
            <w:sz w:val="22"/>
            <w:szCs w:val="22"/>
            <w:lang w:eastAsia="en-AU"/>
          </w:rPr>
          <w:tab/>
        </w:r>
        <w:r w:rsidRPr="00BF4AD3">
          <w:t>Damages—defamation (DA s 25)</w:t>
        </w:r>
        <w:r>
          <w:tab/>
        </w:r>
        <w:r>
          <w:fldChar w:fldCharType="begin"/>
        </w:r>
        <w:r>
          <w:instrText xml:space="preserve"> PAGEREF _Toc4661362 \h </w:instrText>
        </w:r>
        <w:r>
          <w:fldChar w:fldCharType="separate"/>
        </w:r>
        <w:r>
          <w:t>50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3" w:history="1">
        <w:r w:rsidRPr="00BF4AD3">
          <w:t>69</w:t>
        </w:r>
        <w:r>
          <w:rPr>
            <w:rFonts w:asciiTheme="minorHAnsi" w:hAnsiTheme="minorHAnsi" w:cstheme="minorBidi"/>
            <w:sz w:val="22"/>
            <w:szCs w:val="22"/>
            <w:lang w:eastAsia="en-AU"/>
          </w:rPr>
          <w:tab/>
        </w:r>
        <w:r w:rsidRPr="00BF4AD3">
          <w:t>Disclosure of name of contributor (DA s 26)</w:t>
        </w:r>
        <w:r>
          <w:tab/>
        </w:r>
        <w:r>
          <w:fldChar w:fldCharType="begin"/>
        </w:r>
        <w:r>
          <w:instrText xml:space="preserve"> PAGEREF _Toc4661363 \h </w:instrText>
        </w:r>
        <w:r>
          <w:fldChar w:fldCharType="separate"/>
        </w:r>
        <w:r>
          <w:t>51</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64" w:history="1">
        <w:r w:rsidR="008D25FE" w:rsidRPr="00BF4AD3">
          <w:t>Part 5.4</w:t>
        </w:r>
        <w:r w:rsidR="008D25FE">
          <w:rPr>
            <w:rFonts w:asciiTheme="minorHAnsi" w:hAnsiTheme="minorHAnsi" w:cstheme="minorBidi"/>
            <w:b w:val="0"/>
            <w:bCs w:val="0"/>
            <w:sz w:val="22"/>
            <w:szCs w:val="22"/>
            <w:lang w:eastAsia="en-AU"/>
          </w:rPr>
          <w:tab/>
        </w:r>
        <w:r w:rsidR="008D25FE" w:rsidRPr="00BF4AD3">
          <w:t>Other provisions—defamation</w:t>
        </w:r>
        <w:r w:rsidR="008D25FE" w:rsidRPr="008D25FE">
          <w:rPr>
            <w:vanish/>
          </w:rPr>
          <w:tab/>
        </w:r>
        <w:r w:rsidR="008D25FE" w:rsidRPr="008D25FE">
          <w:rPr>
            <w:vanish/>
          </w:rPr>
          <w:fldChar w:fldCharType="begin"/>
        </w:r>
        <w:r w:rsidR="008D25FE" w:rsidRPr="008D25FE">
          <w:rPr>
            <w:vanish/>
          </w:rPr>
          <w:instrText xml:space="preserve"> PAGEREF _Toc4661364 \h </w:instrText>
        </w:r>
        <w:r w:rsidR="008D25FE" w:rsidRPr="008D25FE">
          <w:rPr>
            <w:vanish/>
          </w:rPr>
        </w:r>
        <w:r w:rsidR="008D25FE" w:rsidRPr="008D25FE">
          <w:rPr>
            <w:vanish/>
          </w:rPr>
          <w:fldChar w:fldCharType="separate"/>
        </w:r>
        <w:r w:rsidR="008D25FE" w:rsidRPr="008D25FE">
          <w:rPr>
            <w:vanish/>
          </w:rPr>
          <w:t>52</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65" w:history="1">
        <w:r w:rsidRPr="00BF4AD3">
          <w:t>70</w:t>
        </w:r>
        <w:r>
          <w:rPr>
            <w:rFonts w:asciiTheme="minorHAnsi" w:hAnsiTheme="minorHAnsi" w:cstheme="minorBidi"/>
            <w:sz w:val="22"/>
            <w:szCs w:val="22"/>
            <w:lang w:eastAsia="en-AU"/>
          </w:rPr>
          <w:tab/>
        </w:r>
        <w:r w:rsidRPr="00BF4AD3">
          <w:t>Scope of defences not limited (DA s 40)</w:t>
        </w:r>
        <w:r>
          <w:tab/>
        </w:r>
        <w:r>
          <w:fldChar w:fldCharType="begin"/>
        </w:r>
        <w:r>
          <w:instrText xml:space="preserve"> PAGEREF _Toc4661365 \h </w:instrText>
        </w:r>
        <w:r>
          <w:fldChar w:fldCharType="separate"/>
        </w:r>
        <w:r>
          <w:t>52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6" w:history="1">
        <w:r w:rsidRPr="00BF4AD3">
          <w:t>71</w:t>
        </w:r>
        <w:r>
          <w:rPr>
            <w:rFonts w:asciiTheme="minorHAnsi" w:hAnsiTheme="minorHAnsi" w:cstheme="minorBidi"/>
            <w:sz w:val="22"/>
            <w:szCs w:val="22"/>
            <w:lang w:eastAsia="en-AU"/>
          </w:rPr>
          <w:tab/>
        </w:r>
        <w:r w:rsidRPr="00BF4AD3">
          <w:t>Time not to be extended except by leave (DA s 41)</w:t>
        </w:r>
        <w:r>
          <w:tab/>
        </w:r>
        <w:r>
          <w:fldChar w:fldCharType="begin"/>
        </w:r>
        <w:r>
          <w:instrText xml:space="preserve"> PAGEREF _Toc4661366 \h </w:instrText>
        </w:r>
        <w:r>
          <w:fldChar w:fldCharType="separate"/>
        </w:r>
        <w:r>
          <w:t>52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67" w:history="1">
        <w:r w:rsidRPr="00BF4AD3">
          <w:t>72</w:t>
        </w:r>
        <w:r>
          <w:rPr>
            <w:rFonts w:asciiTheme="minorHAnsi" w:hAnsiTheme="minorHAnsi" w:cstheme="minorBidi"/>
            <w:sz w:val="22"/>
            <w:szCs w:val="22"/>
            <w:lang w:eastAsia="en-AU"/>
          </w:rPr>
          <w:tab/>
        </w:r>
        <w:r w:rsidRPr="00BF4AD3">
          <w:t>Review of certain provisions of ch 5 (DA s 42)</w:t>
        </w:r>
        <w:r>
          <w:tab/>
        </w:r>
        <w:r>
          <w:fldChar w:fldCharType="begin"/>
        </w:r>
        <w:r>
          <w:instrText xml:space="preserve"> PAGEREF _Toc4661367 \h </w:instrText>
        </w:r>
        <w:r>
          <w:fldChar w:fldCharType="separate"/>
        </w:r>
        <w:r>
          <w:t>52</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368" w:history="1">
        <w:r w:rsidR="008D25FE" w:rsidRPr="00BF4AD3">
          <w:t>Chapter 6</w:t>
        </w:r>
        <w:r w:rsidR="008D25FE">
          <w:rPr>
            <w:rFonts w:asciiTheme="minorHAnsi" w:hAnsiTheme="minorHAnsi" w:cstheme="minorBidi"/>
            <w:b w:val="0"/>
            <w:bCs w:val="0"/>
            <w:sz w:val="22"/>
            <w:szCs w:val="22"/>
            <w:lang w:eastAsia="en-AU"/>
          </w:rPr>
          <w:tab/>
        </w:r>
        <w:r w:rsidR="008D25FE" w:rsidRPr="00BF4AD3">
          <w:t>Trespass</w:t>
        </w:r>
        <w:r w:rsidR="008D25FE" w:rsidRPr="008D25FE">
          <w:rPr>
            <w:vanish/>
          </w:rPr>
          <w:tab/>
        </w:r>
        <w:r w:rsidR="008D25FE" w:rsidRPr="008D25FE">
          <w:rPr>
            <w:vanish/>
          </w:rPr>
          <w:fldChar w:fldCharType="begin"/>
        </w:r>
        <w:r w:rsidR="008D25FE" w:rsidRPr="008D25FE">
          <w:rPr>
            <w:vanish/>
          </w:rPr>
          <w:instrText xml:space="preserve"> PAGEREF _Toc4661368 \h </w:instrText>
        </w:r>
        <w:r w:rsidR="008D25FE" w:rsidRPr="008D25FE">
          <w:rPr>
            <w:vanish/>
          </w:rPr>
        </w:r>
        <w:r w:rsidR="008D25FE" w:rsidRPr="008D25FE">
          <w:rPr>
            <w:vanish/>
          </w:rPr>
          <w:fldChar w:fldCharType="separate"/>
        </w:r>
        <w:r w:rsidR="008D25FE" w:rsidRPr="008D25FE">
          <w:rPr>
            <w:vanish/>
          </w:rPr>
          <w:t>53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69" w:history="1">
        <w:r w:rsidRPr="00BF4AD3">
          <w:t>73</w:t>
        </w:r>
        <w:r>
          <w:rPr>
            <w:rFonts w:asciiTheme="minorHAnsi" w:hAnsiTheme="minorHAnsi" w:cstheme="minorBidi"/>
            <w:sz w:val="22"/>
            <w:szCs w:val="22"/>
            <w:lang w:eastAsia="en-AU"/>
          </w:rPr>
          <w:tab/>
        </w:r>
        <w:r w:rsidRPr="00BF4AD3">
          <w:t>Defence to action for trespass to land</w:t>
        </w:r>
        <w:r>
          <w:tab/>
        </w:r>
        <w:r>
          <w:fldChar w:fldCharType="begin"/>
        </w:r>
        <w:r>
          <w:instrText xml:space="preserve"> PAGEREF _Toc4661369 \h </w:instrText>
        </w:r>
        <w:r>
          <w:fldChar w:fldCharType="separate"/>
        </w:r>
        <w:r>
          <w:t>53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70" w:history="1">
        <w:r w:rsidRPr="00BF4AD3">
          <w:t>74</w:t>
        </w:r>
        <w:r>
          <w:rPr>
            <w:rFonts w:asciiTheme="minorHAnsi" w:hAnsiTheme="minorHAnsi" w:cstheme="minorBidi"/>
            <w:sz w:val="22"/>
            <w:szCs w:val="22"/>
            <w:lang w:eastAsia="en-AU"/>
          </w:rPr>
          <w:tab/>
        </w:r>
        <w:r w:rsidRPr="00BF4AD3">
          <w:t>Action for use and occupation of land—amount of damages (LR(MP)A s 58)</w:t>
        </w:r>
        <w:r>
          <w:tab/>
        </w:r>
        <w:r>
          <w:fldChar w:fldCharType="begin"/>
        </w:r>
        <w:r>
          <w:instrText xml:space="preserve"> PAGEREF _Toc4661370 \h </w:instrText>
        </w:r>
        <w:r>
          <w:fldChar w:fldCharType="separate"/>
        </w:r>
        <w:r>
          <w:t>53</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371" w:history="1">
        <w:r w:rsidR="008D25FE" w:rsidRPr="00BF4AD3">
          <w:t>Chapter 7</w:t>
        </w:r>
        <w:r w:rsidR="008D25FE">
          <w:rPr>
            <w:rFonts w:asciiTheme="minorHAnsi" w:hAnsiTheme="minorHAnsi" w:cstheme="minorBidi"/>
            <w:b w:val="0"/>
            <w:bCs w:val="0"/>
            <w:sz w:val="22"/>
            <w:szCs w:val="22"/>
            <w:lang w:eastAsia="en-AU"/>
          </w:rPr>
          <w:tab/>
        </w:r>
        <w:r w:rsidR="008D25FE" w:rsidRPr="00BF4AD3">
          <w:t>Mitigation of strict liability</w:t>
        </w:r>
        <w:r w:rsidR="008D25FE" w:rsidRPr="008D25FE">
          <w:rPr>
            <w:vanish/>
          </w:rPr>
          <w:tab/>
        </w:r>
        <w:r w:rsidR="008D25FE" w:rsidRPr="008D25FE">
          <w:rPr>
            <w:vanish/>
          </w:rPr>
          <w:fldChar w:fldCharType="begin"/>
        </w:r>
        <w:r w:rsidR="008D25FE" w:rsidRPr="008D25FE">
          <w:rPr>
            <w:vanish/>
          </w:rPr>
          <w:instrText xml:space="preserve"> PAGEREF _Toc4661371 \h </w:instrText>
        </w:r>
        <w:r w:rsidR="008D25FE" w:rsidRPr="008D25FE">
          <w:rPr>
            <w:vanish/>
          </w:rPr>
        </w:r>
        <w:r w:rsidR="008D25FE" w:rsidRPr="008D25FE">
          <w:rPr>
            <w:vanish/>
          </w:rPr>
          <w:fldChar w:fldCharType="separate"/>
        </w:r>
        <w:r w:rsidR="008D25FE" w:rsidRPr="008D25FE">
          <w:rPr>
            <w:vanish/>
          </w:rPr>
          <w:t>54</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72" w:history="1">
        <w:r w:rsidR="008D25FE" w:rsidRPr="00BF4AD3">
          <w:t>Part 7.1</w:t>
        </w:r>
        <w:r w:rsidR="008D25FE">
          <w:rPr>
            <w:i/>
            <w:iCs/>
          </w:rPr>
          <w:tab/>
        </w:r>
        <w:r w:rsidR="008D25FE" w:rsidRPr="00BF4AD3">
          <w:t>Traveller accommodation providers liability</w:t>
        </w:r>
        <w:r w:rsidR="008D25FE" w:rsidRPr="008D25FE">
          <w:rPr>
            <w:vanish/>
          </w:rPr>
          <w:tab/>
        </w:r>
        <w:r w:rsidR="008D25FE" w:rsidRPr="008D25FE">
          <w:rPr>
            <w:vanish/>
          </w:rPr>
          <w:fldChar w:fldCharType="begin"/>
        </w:r>
        <w:r w:rsidR="008D25FE" w:rsidRPr="008D25FE">
          <w:rPr>
            <w:vanish/>
          </w:rPr>
          <w:instrText xml:space="preserve"> PAGEREF _Toc4661372 \h </w:instrText>
        </w:r>
        <w:r w:rsidR="008D25FE" w:rsidRPr="008D25FE">
          <w:rPr>
            <w:vanish/>
          </w:rPr>
        </w:r>
        <w:r w:rsidR="008D25FE" w:rsidRPr="008D25FE">
          <w:rPr>
            <w:vanish/>
          </w:rPr>
          <w:fldChar w:fldCharType="separate"/>
        </w:r>
        <w:r w:rsidR="008D25FE" w:rsidRPr="008D25FE">
          <w:rPr>
            <w:vanish/>
          </w:rPr>
          <w:t>54</w:t>
        </w:r>
        <w:r w:rsidR="008D25FE" w:rsidRPr="008D25FE">
          <w:rPr>
            <w:vanish/>
          </w:rP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73" w:history="1">
        <w:r w:rsidR="008D25FE" w:rsidRPr="00BF4AD3">
          <w:t>Division 7.1.1</w:t>
        </w:r>
        <w:r w:rsidR="008D25FE">
          <w:rPr>
            <w:i/>
            <w:iCs/>
          </w:rPr>
          <w:tab/>
        </w:r>
        <w:r w:rsidR="008D25FE" w:rsidRPr="00BF4AD3">
          <w:t>Preliminary</w:t>
        </w:r>
        <w:r w:rsidR="008D25FE" w:rsidRPr="008D25FE">
          <w:rPr>
            <w:vanish/>
          </w:rPr>
          <w:tab/>
        </w:r>
        <w:r w:rsidR="008D25FE" w:rsidRPr="008D25FE">
          <w:rPr>
            <w:vanish/>
          </w:rPr>
          <w:fldChar w:fldCharType="begin"/>
        </w:r>
        <w:r w:rsidR="008D25FE" w:rsidRPr="008D25FE">
          <w:rPr>
            <w:vanish/>
          </w:rPr>
          <w:instrText xml:space="preserve"> PAGEREF _Toc4661373 \h </w:instrText>
        </w:r>
        <w:r w:rsidR="008D25FE" w:rsidRPr="008D25FE">
          <w:rPr>
            <w:vanish/>
          </w:rPr>
        </w:r>
        <w:r w:rsidR="008D25FE" w:rsidRPr="008D25FE">
          <w:rPr>
            <w:vanish/>
          </w:rPr>
          <w:fldChar w:fldCharType="separate"/>
        </w:r>
        <w:r w:rsidR="008D25FE" w:rsidRPr="008D25FE">
          <w:rPr>
            <w:vanish/>
          </w:rPr>
          <w:t>54</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74" w:history="1">
        <w:r w:rsidRPr="00BF4AD3">
          <w:t>75</w:t>
        </w:r>
        <w:r>
          <w:rPr>
            <w:i/>
            <w:iCs/>
            <w:snapToGrid w:val="0"/>
          </w:rPr>
          <w:tab/>
        </w:r>
        <w:r w:rsidRPr="00BF4AD3">
          <w:rPr>
            <w:i/>
            <w:iCs/>
            <w:snapToGrid w:val="0"/>
          </w:rPr>
          <w:t>Purpose of pt 7.1</w:t>
        </w:r>
        <w:r>
          <w:tab/>
        </w:r>
        <w:r>
          <w:fldChar w:fldCharType="begin"/>
        </w:r>
        <w:r>
          <w:instrText xml:space="preserve"> PAGEREF _Toc4661374 \h </w:instrText>
        </w:r>
        <w:r>
          <w:fldChar w:fldCharType="separate"/>
        </w:r>
        <w:r>
          <w:t>54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75" w:history="1">
        <w:r w:rsidRPr="00BF4AD3">
          <w:t>76</w:t>
        </w:r>
        <w:r>
          <w:rPr>
            <w:i/>
            <w:iCs/>
            <w:snapToGrid w:val="0"/>
          </w:rPr>
          <w:tab/>
        </w:r>
        <w:r w:rsidRPr="00BF4AD3">
          <w:rPr>
            <w:i/>
            <w:iCs/>
          </w:rPr>
          <w:t>Definitions for pt 7.1</w:t>
        </w:r>
        <w:r>
          <w:tab/>
        </w:r>
        <w:r>
          <w:fldChar w:fldCharType="begin"/>
        </w:r>
        <w:r>
          <w:instrText xml:space="preserve"> PAGEREF _Toc4661375 \h </w:instrText>
        </w:r>
        <w:r>
          <w:fldChar w:fldCharType="separate"/>
        </w:r>
        <w:r>
          <w:t>54</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376" w:history="1">
        <w:r w:rsidRPr="00BF4AD3">
          <w:t>77</w:t>
        </w:r>
        <w:r>
          <w:rPr>
            <w:i/>
            <w:iCs/>
            <w:snapToGrid w:val="0"/>
          </w:rPr>
          <w:tab/>
        </w:r>
        <w:r w:rsidRPr="00BF4AD3">
          <w:rPr>
            <w:i/>
            <w:iCs/>
            <w:snapToGrid w:val="0"/>
          </w:rPr>
          <w:t xml:space="preserve">Meaning of </w:t>
        </w:r>
        <w:r w:rsidRPr="00BF4AD3">
          <w:rPr>
            <w:i/>
            <w:iCs/>
          </w:rPr>
          <w:t>traveller accommodation</w:t>
        </w:r>
        <w:r>
          <w:tab/>
        </w:r>
        <w:r>
          <w:fldChar w:fldCharType="begin"/>
        </w:r>
        <w:r>
          <w:instrText xml:space="preserve"> PAGEREF _Toc4661376 \h </w:instrText>
        </w:r>
        <w:r>
          <w:fldChar w:fldCharType="separate"/>
        </w:r>
        <w:r>
          <w:t>55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77" w:history="1">
        <w:r w:rsidRPr="00BF4AD3">
          <w:t>78</w:t>
        </w:r>
        <w:r>
          <w:rPr>
            <w:i/>
            <w:iCs/>
            <w:snapToGrid w:val="0"/>
          </w:rPr>
          <w:tab/>
        </w:r>
        <w:r w:rsidRPr="00BF4AD3">
          <w:rPr>
            <w:i/>
            <w:iCs/>
            <w:snapToGrid w:val="0"/>
          </w:rPr>
          <w:t xml:space="preserve">Meaning of </w:t>
        </w:r>
        <w:r w:rsidRPr="00BF4AD3">
          <w:rPr>
            <w:i/>
            <w:iCs/>
          </w:rPr>
          <w:t>accommodation provider</w:t>
        </w:r>
        <w:r>
          <w:tab/>
        </w:r>
        <w:r>
          <w:fldChar w:fldCharType="begin"/>
        </w:r>
        <w:r>
          <w:instrText xml:space="preserve"> PAGEREF _Toc4661377 \h </w:instrText>
        </w:r>
        <w:r>
          <w:fldChar w:fldCharType="separate"/>
        </w:r>
        <w:r>
          <w:t>56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78" w:history="1">
        <w:r w:rsidRPr="00BF4AD3">
          <w:t>79</w:t>
        </w:r>
        <w:r>
          <w:rPr>
            <w:i/>
            <w:iCs/>
            <w:snapToGrid w:val="0"/>
          </w:rPr>
          <w:tab/>
        </w:r>
        <w:r w:rsidRPr="00BF4AD3">
          <w:rPr>
            <w:i/>
            <w:iCs/>
            <w:snapToGrid w:val="0"/>
          </w:rPr>
          <w:t xml:space="preserve">Meaning of </w:t>
        </w:r>
        <w:r w:rsidRPr="00BF4AD3">
          <w:rPr>
            <w:i/>
            <w:iCs/>
          </w:rPr>
          <w:t>innkeeper’s liability</w:t>
        </w:r>
        <w:r>
          <w:tab/>
        </w:r>
        <w:r>
          <w:fldChar w:fldCharType="begin"/>
        </w:r>
        <w:r>
          <w:instrText xml:space="preserve"> PAGEREF _Toc4661378 \h </w:instrText>
        </w:r>
        <w:r>
          <w:fldChar w:fldCharType="separate"/>
        </w:r>
        <w:r>
          <w:t>56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79" w:history="1">
        <w:r w:rsidRPr="00BF4AD3">
          <w:t>80</w:t>
        </w:r>
        <w:r>
          <w:rPr>
            <w:i/>
            <w:iCs/>
            <w:snapToGrid w:val="0"/>
          </w:rPr>
          <w:tab/>
        </w:r>
        <w:r w:rsidRPr="00BF4AD3">
          <w:rPr>
            <w:i/>
            <w:iCs/>
            <w:snapToGrid w:val="0"/>
          </w:rPr>
          <w:t xml:space="preserve">Meaning of </w:t>
        </w:r>
        <w:r w:rsidRPr="00BF4AD3">
          <w:rPr>
            <w:i/>
            <w:iCs/>
          </w:rPr>
          <w:t>guest</w:t>
        </w:r>
        <w:r>
          <w:tab/>
        </w:r>
        <w:r>
          <w:fldChar w:fldCharType="begin"/>
        </w:r>
        <w:r>
          <w:instrText xml:space="preserve"> PAGEREF _Toc4661379 \h </w:instrText>
        </w:r>
        <w:r>
          <w:fldChar w:fldCharType="separate"/>
        </w:r>
        <w:r>
          <w:t>56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0" w:history="1">
        <w:r w:rsidRPr="00BF4AD3">
          <w:t>81</w:t>
        </w:r>
        <w:r>
          <w:rPr>
            <w:i/>
            <w:iCs/>
            <w:snapToGrid w:val="0"/>
          </w:rPr>
          <w:tab/>
        </w:r>
        <w:r w:rsidRPr="00BF4AD3">
          <w:rPr>
            <w:i/>
            <w:iCs/>
            <w:snapToGrid w:val="0"/>
          </w:rPr>
          <w:t xml:space="preserve">Meaning of </w:t>
        </w:r>
        <w:r w:rsidRPr="00BF4AD3">
          <w:rPr>
            <w:i/>
            <w:iCs/>
          </w:rPr>
          <w:t>property</w:t>
        </w:r>
        <w:r w:rsidRPr="00BF4AD3">
          <w:rPr>
            <w:i/>
            <w:iCs/>
            <w:snapToGrid w:val="0"/>
          </w:rPr>
          <w:t xml:space="preserve"> of guest</w:t>
        </w:r>
        <w:r>
          <w:tab/>
        </w:r>
        <w:r>
          <w:fldChar w:fldCharType="begin"/>
        </w:r>
        <w:r>
          <w:instrText xml:space="preserve"> PAGEREF _Toc4661380 \h </w:instrText>
        </w:r>
        <w:r>
          <w:fldChar w:fldCharType="separate"/>
        </w:r>
        <w:r>
          <w:t>57</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81" w:history="1">
        <w:r w:rsidR="008D25FE" w:rsidRPr="00BF4AD3">
          <w:t>Division 7.1.2</w:t>
        </w:r>
        <w:r w:rsidR="008D25FE">
          <w:rPr>
            <w:i/>
            <w:iCs/>
          </w:rPr>
          <w:tab/>
        </w:r>
        <w:r w:rsidR="008D25FE" w:rsidRPr="00BF4AD3">
          <w:t>Liability of accommodation providers</w:t>
        </w:r>
        <w:r w:rsidR="008D25FE" w:rsidRPr="008D25FE">
          <w:rPr>
            <w:vanish/>
          </w:rPr>
          <w:tab/>
        </w:r>
        <w:r w:rsidR="008D25FE" w:rsidRPr="008D25FE">
          <w:rPr>
            <w:vanish/>
          </w:rPr>
          <w:fldChar w:fldCharType="begin"/>
        </w:r>
        <w:r w:rsidR="008D25FE" w:rsidRPr="008D25FE">
          <w:rPr>
            <w:vanish/>
          </w:rPr>
          <w:instrText xml:space="preserve"> PAGEREF _Toc4661381 \h </w:instrText>
        </w:r>
        <w:r w:rsidR="008D25FE" w:rsidRPr="008D25FE">
          <w:rPr>
            <w:vanish/>
          </w:rPr>
        </w:r>
        <w:r w:rsidR="008D25FE" w:rsidRPr="008D25FE">
          <w:rPr>
            <w:vanish/>
          </w:rPr>
          <w:fldChar w:fldCharType="separate"/>
        </w:r>
        <w:r w:rsidR="008D25FE" w:rsidRPr="008D25FE">
          <w:rPr>
            <w:vanish/>
          </w:rPr>
          <w:t>58</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82" w:history="1">
        <w:r w:rsidRPr="00BF4AD3">
          <w:t>82</w:t>
        </w:r>
        <w:r>
          <w:rPr>
            <w:i/>
            <w:iCs/>
            <w:snapToGrid w:val="0"/>
          </w:rPr>
          <w:tab/>
        </w:r>
        <w:r w:rsidRPr="00BF4AD3">
          <w:rPr>
            <w:i/>
            <w:iCs/>
            <w:snapToGrid w:val="0"/>
          </w:rPr>
          <w:t>Application of div 7.1.2</w:t>
        </w:r>
        <w:r>
          <w:tab/>
        </w:r>
        <w:r>
          <w:fldChar w:fldCharType="begin"/>
        </w:r>
        <w:r>
          <w:instrText xml:space="preserve"> PAGEREF _Toc4661382 \h </w:instrText>
        </w:r>
        <w:r>
          <w:fldChar w:fldCharType="separate"/>
        </w:r>
        <w:r>
          <w:t>58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3" w:history="1">
        <w:r w:rsidRPr="00BF4AD3">
          <w:t>83</w:t>
        </w:r>
        <w:r>
          <w:rPr>
            <w:i/>
            <w:iCs/>
            <w:snapToGrid w:val="0"/>
          </w:rPr>
          <w:tab/>
        </w:r>
        <w:r w:rsidRPr="00BF4AD3">
          <w:rPr>
            <w:i/>
            <w:iCs/>
            <w:snapToGrid w:val="0"/>
          </w:rPr>
          <w:t>Limitation on strict liability under innkeeper’s liability (ILA s 4)</w:t>
        </w:r>
        <w:r>
          <w:tab/>
        </w:r>
        <w:r>
          <w:fldChar w:fldCharType="begin"/>
        </w:r>
        <w:r>
          <w:instrText xml:space="preserve"> PAGEREF _Toc4661383 \h </w:instrText>
        </w:r>
        <w:r>
          <w:fldChar w:fldCharType="separate"/>
        </w:r>
        <w:r>
          <w:t>58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4" w:history="1">
        <w:r w:rsidRPr="00BF4AD3">
          <w:t>84</w:t>
        </w:r>
        <w:r>
          <w:rPr>
            <w:i/>
            <w:iCs/>
            <w:snapToGrid w:val="0"/>
          </w:rPr>
          <w:tab/>
        </w:r>
        <w:r w:rsidRPr="00BF4AD3">
          <w:rPr>
            <w:i/>
            <w:iCs/>
            <w:snapToGrid w:val="0"/>
          </w:rPr>
          <w:t>Circumstances when limitation does not apply (ILA s 4)</w:t>
        </w:r>
        <w:r>
          <w:tab/>
        </w:r>
        <w:r>
          <w:fldChar w:fldCharType="begin"/>
        </w:r>
        <w:r>
          <w:instrText xml:space="preserve"> PAGEREF _Toc4661384 \h </w:instrText>
        </w:r>
        <w:r>
          <w:fldChar w:fldCharType="separate"/>
        </w:r>
        <w:r>
          <w:t>58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5" w:history="1">
        <w:r w:rsidRPr="00BF4AD3">
          <w:t>85</w:t>
        </w:r>
        <w:r>
          <w:rPr>
            <w:i/>
            <w:iCs/>
            <w:snapToGrid w:val="0"/>
          </w:rPr>
          <w:tab/>
        </w:r>
        <w:r w:rsidRPr="00BF4AD3">
          <w:rPr>
            <w:i/>
            <w:iCs/>
            <w:snapToGrid w:val="0"/>
          </w:rPr>
          <w:t>Safe custody facilities (ILA s 4, 5)</w:t>
        </w:r>
        <w:r>
          <w:tab/>
        </w:r>
        <w:r>
          <w:fldChar w:fldCharType="begin"/>
        </w:r>
        <w:r>
          <w:instrText xml:space="preserve"> PAGEREF _Toc4661385 \h </w:instrText>
        </w:r>
        <w:r>
          <w:fldChar w:fldCharType="separate"/>
        </w:r>
        <w:r>
          <w:t>59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6" w:history="1">
        <w:r w:rsidRPr="00BF4AD3">
          <w:t>86</w:t>
        </w:r>
        <w:r>
          <w:rPr>
            <w:i/>
            <w:iCs/>
            <w:snapToGrid w:val="0"/>
          </w:rPr>
          <w:tab/>
        </w:r>
        <w:r w:rsidRPr="00BF4AD3">
          <w:rPr>
            <w:i/>
            <w:iCs/>
            <w:snapToGrid w:val="0"/>
          </w:rPr>
          <w:t>Notice about pt 7.1 (ILA s 6)</w:t>
        </w:r>
        <w:r>
          <w:tab/>
        </w:r>
        <w:r>
          <w:fldChar w:fldCharType="begin"/>
        </w:r>
        <w:r>
          <w:instrText xml:space="preserve"> PAGEREF _Toc4661386 \h </w:instrText>
        </w:r>
        <w:r>
          <w:fldChar w:fldCharType="separate"/>
        </w:r>
        <w:r>
          <w:t>60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87" w:history="1">
        <w:r w:rsidRPr="00BF4AD3">
          <w:t>87</w:t>
        </w:r>
        <w:r>
          <w:rPr>
            <w:i/>
            <w:iCs/>
          </w:rPr>
          <w:tab/>
        </w:r>
        <w:r w:rsidRPr="00BF4AD3">
          <w:rPr>
            <w:i/>
            <w:iCs/>
          </w:rPr>
          <w:t>Repeal of Innkeepers Liability Act 1902</w:t>
        </w:r>
        <w:r>
          <w:tab/>
        </w:r>
        <w:r>
          <w:fldChar w:fldCharType="begin"/>
        </w:r>
        <w:r>
          <w:instrText xml:space="preserve"> PAGEREF _Toc4661387 \h </w:instrText>
        </w:r>
        <w:r>
          <w:fldChar w:fldCharType="separate"/>
        </w:r>
        <w:r>
          <w:t>61</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388" w:history="1">
        <w:r w:rsidR="008D25FE" w:rsidRPr="00BF4AD3">
          <w:t>Part 7.2</w:t>
        </w:r>
        <w:r w:rsidR="008D25FE">
          <w:rPr>
            <w:rFonts w:asciiTheme="minorHAnsi" w:hAnsiTheme="minorHAnsi" w:cstheme="minorBidi"/>
            <w:b w:val="0"/>
            <w:bCs w:val="0"/>
            <w:sz w:val="22"/>
            <w:szCs w:val="22"/>
            <w:lang w:eastAsia="en-AU"/>
          </w:rPr>
          <w:tab/>
        </w:r>
        <w:r w:rsidR="008D25FE" w:rsidRPr="00BF4AD3">
          <w:t>Common carriers</w:t>
        </w:r>
        <w:r w:rsidR="008D25FE" w:rsidRPr="008D25FE">
          <w:rPr>
            <w:vanish/>
          </w:rPr>
          <w:tab/>
        </w:r>
        <w:r w:rsidR="008D25FE" w:rsidRPr="008D25FE">
          <w:rPr>
            <w:vanish/>
          </w:rPr>
          <w:fldChar w:fldCharType="begin"/>
        </w:r>
        <w:r w:rsidR="008D25FE" w:rsidRPr="008D25FE">
          <w:rPr>
            <w:vanish/>
          </w:rPr>
          <w:instrText xml:space="preserve"> PAGEREF _Toc4661388 \h </w:instrText>
        </w:r>
        <w:r w:rsidR="008D25FE" w:rsidRPr="008D25FE">
          <w:rPr>
            <w:vanish/>
          </w:rPr>
        </w:r>
        <w:r w:rsidR="008D25FE" w:rsidRPr="008D25FE">
          <w:rPr>
            <w:vanish/>
          </w:rPr>
          <w:fldChar w:fldCharType="separate"/>
        </w:r>
        <w:r w:rsidR="008D25FE" w:rsidRPr="008D25FE">
          <w:rPr>
            <w:vanish/>
          </w:rPr>
          <w:t>62</w:t>
        </w:r>
        <w:r w:rsidR="008D25FE" w:rsidRPr="008D25FE">
          <w:rPr>
            <w:vanish/>
          </w:rP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89" w:history="1">
        <w:r w:rsidR="008D25FE" w:rsidRPr="00BF4AD3">
          <w:t>Division 7.2.1</w:t>
        </w:r>
        <w:r w:rsidR="008D25FE">
          <w:rPr>
            <w:rFonts w:asciiTheme="minorHAnsi" w:hAnsiTheme="minorHAnsi" w:cstheme="minorBidi"/>
            <w:b w:val="0"/>
            <w:bCs w:val="0"/>
            <w:sz w:val="22"/>
            <w:szCs w:val="22"/>
            <w:lang w:eastAsia="en-AU"/>
          </w:rPr>
          <w:tab/>
        </w:r>
        <w:r w:rsidR="008D25FE" w:rsidRPr="00BF4AD3">
          <w:t>Preliminary—common carriers</w:t>
        </w:r>
        <w:r w:rsidR="008D25FE" w:rsidRPr="008D25FE">
          <w:rPr>
            <w:vanish/>
          </w:rPr>
          <w:tab/>
        </w:r>
        <w:r w:rsidR="008D25FE" w:rsidRPr="008D25FE">
          <w:rPr>
            <w:vanish/>
          </w:rPr>
          <w:fldChar w:fldCharType="begin"/>
        </w:r>
        <w:r w:rsidR="008D25FE" w:rsidRPr="008D25FE">
          <w:rPr>
            <w:vanish/>
          </w:rPr>
          <w:instrText xml:space="preserve"> PAGEREF _Toc4661389 \h </w:instrText>
        </w:r>
        <w:r w:rsidR="008D25FE" w:rsidRPr="008D25FE">
          <w:rPr>
            <w:vanish/>
          </w:rPr>
        </w:r>
        <w:r w:rsidR="008D25FE" w:rsidRPr="008D25FE">
          <w:rPr>
            <w:vanish/>
          </w:rPr>
          <w:fldChar w:fldCharType="separate"/>
        </w:r>
        <w:r w:rsidR="008D25FE" w:rsidRPr="008D25FE">
          <w:rPr>
            <w:vanish/>
          </w:rPr>
          <w:t>62</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90" w:history="1">
        <w:r w:rsidRPr="00BF4AD3">
          <w:t>88</w:t>
        </w:r>
        <w:r>
          <w:rPr>
            <w:rFonts w:asciiTheme="minorHAnsi" w:hAnsiTheme="minorHAnsi" w:cstheme="minorBidi"/>
            <w:sz w:val="22"/>
            <w:szCs w:val="22"/>
            <w:lang w:eastAsia="en-AU"/>
          </w:rPr>
          <w:tab/>
        </w:r>
        <w:r w:rsidRPr="00BF4AD3">
          <w:t>Purpose of pt 7.2</w:t>
        </w:r>
        <w:r>
          <w:tab/>
        </w:r>
        <w:r>
          <w:fldChar w:fldCharType="begin"/>
        </w:r>
        <w:r>
          <w:instrText xml:space="preserve"> PAGEREF _Toc4661390 \h </w:instrText>
        </w:r>
        <w:r>
          <w:fldChar w:fldCharType="separate"/>
        </w:r>
        <w:r>
          <w:t>62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91" w:history="1">
        <w:r w:rsidRPr="00BF4AD3">
          <w:t>89</w:t>
        </w:r>
        <w:r>
          <w:rPr>
            <w:rFonts w:asciiTheme="minorHAnsi" w:hAnsiTheme="minorHAnsi" w:cstheme="minorBidi"/>
            <w:sz w:val="22"/>
            <w:szCs w:val="22"/>
            <w:lang w:eastAsia="en-AU"/>
          </w:rPr>
          <w:tab/>
        </w:r>
        <w:r w:rsidRPr="00BF4AD3">
          <w:t>Definitions for pt 7.2 (CCA s 3)</w:t>
        </w:r>
        <w:r>
          <w:tab/>
        </w:r>
        <w:r>
          <w:fldChar w:fldCharType="begin"/>
        </w:r>
        <w:r>
          <w:instrText xml:space="preserve"> PAGEREF _Toc4661391 \h </w:instrText>
        </w:r>
        <w:r>
          <w:fldChar w:fldCharType="separate"/>
        </w:r>
        <w:r>
          <w:t>62</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92" w:history="1">
        <w:r w:rsidR="008D25FE" w:rsidRPr="00BF4AD3">
          <w:t>Division 7.2.2</w:t>
        </w:r>
        <w:r w:rsidR="008D25FE">
          <w:rPr>
            <w:rFonts w:asciiTheme="minorHAnsi" w:hAnsiTheme="minorHAnsi" w:cstheme="minorBidi"/>
            <w:b w:val="0"/>
            <w:bCs w:val="0"/>
            <w:sz w:val="22"/>
            <w:szCs w:val="22"/>
            <w:lang w:eastAsia="en-AU"/>
          </w:rPr>
          <w:tab/>
        </w:r>
        <w:r w:rsidR="008D25FE" w:rsidRPr="00BF4AD3">
          <w:rPr>
            <w:snapToGrid w:val="0"/>
          </w:rPr>
          <w:t>When common law liability of carriers not affected</w:t>
        </w:r>
        <w:r w:rsidR="008D25FE" w:rsidRPr="008D25FE">
          <w:rPr>
            <w:vanish/>
          </w:rPr>
          <w:tab/>
        </w:r>
        <w:r w:rsidR="008D25FE" w:rsidRPr="008D25FE">
          <w:rPr>
            <w:vanish/>
          </w:rPr>
          <w:fldChar w:fldCharType="begin"/>
        </w:r>
        <w:r w:rsidR="008D25FE" w:rsidRPr="008D25FE">
          <w:rPr>
            <w:vanish/>
          </w:rPr>
          <w:instrText xml:space="preserve"> PAGEREF _Toc4661392 \h </w:instrText>
        </w:r>
        <w:r w:rsidR="008D25FE" w:rsidRPr="008D25FE">
          <w:rPr>
            <w:vanish/>
          </w:rPr>
        </w:r>
        <w:r w:rsidR="008D25FE" w:rsidRPr="008D25FE">
          <w:rPr>
            <w:vanish/>
          </w:rPr>
          <w:fldChar w:fldCharType="separate"/>
        </w:r>
        <w:r w:rsidR="008D25FE" w:rsidRPr="008D25FE">
          <w:rPr>
            <w:vanish/>
          </w:rPr>
          <w:t>62</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93" w:history="1">
        <w:r w:rsidRPr="00BF4AD3">
          <w:t>90</w:t>
        </w:r>
        <w:r>
          <w:rPr>
            <w:rFonts w:asciiTheme="minorHAnsi" w:hAnsiTheme="minorHAnsi" w:cstheme="minorBidi"/>
            <w:sz w:val="22"/>
            <w:szCs w:val="22"/>
            <w:lang w:eastAsia="en-AU"/>
          </w:rPr>
          <w:tab/>
        </w:r>
        <w:r w:rsidRPr="00BF4AD3">
          <w:t>Certain things not protected by pt 7.2 (CCA s 10)</w:t>
        </w:r>
        <w:r>
          <w:tab/>
        </w:r>
        <w:r>
          <w:fldChar w:fldCharType="begin"/>
        </w:r>
        <w:r>
          <w:instrText xml:space="preserve"> PAGEREF _Toc4661393 \h </w:instrText>
        </w:r>
        <w:r>
          <w:fldChar w:fldCharType="separate"/>
        </w:r>
        <w:r>
          <w:t>62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94" w:history="1">
        <w:r w:rsidRPr="00BF4AD3">
          <w:t>91</w:t>
        </w:r>
        <w:r>
          <w:rPr>
            <w:rFonts w:asciiTheme="minorHAnsi" w:hAnsiTheme="minorHAnsi" w:cstheme="minorBidi"/>
            <w:sz w:val="22"/>
            <w:szCs w:val="22"/>
            <w:lang w:eastAsia="en-AU"/>
          </w:rPr>
          <w:tab/>
        </w:r>
        <w:r w:rsidRPr="00BF4AD3">
          <w:t>Public notices by carrier not to affect liability (CCA s 7)</w:t>
        </w:r>
        <w:r>
          <w:tab/>
        </w:r>
        <w:r>
          <w:fldChar w:fldCharType="begin"/>
        </w:r>
        <w:r>
          <w:instrText xml:space="preserve"> PAGEREF _Toc4661394 \h </w:instrText>
        </w:r>
        <w:r>
          <w:fldChar w:fldCharType="separate"/>
        </w:r>
        <w:r>
          <w:t>63</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395" w:history="1">
        <w:r w:rsidR="008D25FE" w:rsidRPr="00BF4AD3">
          <w:t>Division 7.2.3</w:t>
        </w:r>
        <w:r w:rsidR="008D25FE">
          <w:rPr>
            <w:rFonts w:asciiTheme="minorHAnsi" w:hAnsiTheme="minorHAnsi" w:cstheme="minorBidi"/>
            <w:b w:val="0"/>
            <w:bCs w:val="0"/>
            <w:sz w:val="22"/>
            <w:szCs w:val="22"/>
            <w:lang w:eastAsia="en-AU"/>
          </w:rPr>
          <w:tab/>
        </w:r>
        <w:r w:rsidR="008D25FE" w:rsidRPr="00BF4AD3">
          <w:t>Liability of common carriers for certain goods worth more than $20</w:t>
        </w:r>
        <w:r w:rsidR="008D25FE" w:rsidRPr="008D25FE">
          <w:rPr>
            <w:vanish/>
          </w:rPr>
          <w:tab/>
        </w:r>
        <w:r w:rsidR="008D25FE" w:rsidRPr="008D25FE">
          <w:rPr>
            <w:vanish/>
          </w:rPr>
          <w:fldChar w:fldCharType="begin"/>
        </w:r>
        <w:r w:rsidR="008D25FE" w:rsidRPr="008D25FE">
          <w:rPr>
            <w:vanish/>
          </w:rPr>
          <w:instrText xml:space="preserve"> PAGEREF _Toc4661395 \h </w:instrText>
        </w:r>
        <w:r w:rsidR="008D25FE" w:rsidRPr="008D25FE">
          <w:rPr>
            <w:vanish/>
          </w:rPr>
        </w:r>
        <w:r w:rsidR="008D25FE" w:rsidRPr="008D25FE">
          <w:rPr>
            <w:vanish/>
          </w:rPr>
          <w:fldChar w:fldCharType="separate"/>
        </w:r>
        <w:r w:rsidR="008D25FE" w:rsidRPr="008D25FE">
          <w:rPr>
            <w:vanish/>
          </w:rPr>
          <w:t>63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396" w:history="1">
        <w:r w:rsidRPr="00BF4AD3">
          <w:t>92</w:t>
        </w:r>
        <w:r>
          <w:rPr>
            <w:rFonts w:asciiTheme="minorHAnsi" w:hAnsiTheme="minorHAnsi" w:cstheme="minorBidi"/>
            <w:sz w:val="22"/>
            <w:szCs w:val="22"/>
            <w:lang w:eastAsia="en-AU"/>
          </w:rPr>
          <w:tab/>
        </w:r>
        <w:r w:rsidRPr="00BF4AD3">
          <w:t>Liability of carriers for certain goods worth more than $20 (CCA s 4)</w:t>
        </w:r>
        <w:r>
          <w:tab/>
        </w:r>
        <w:r>
          <w:fldChar w:fldCharType="begin"/>
        </w:r>
        <w:r>
          <w:instrText xml:space="preserve"> PAGEREF _Toc4661396 \h </w:instrText>
        </w:r>
        <w:r>
          <w:fldChar w:fldCharType="separate"/>
        </w:r>
        <w:r>
          <w:t>63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97" w:history="1">
        <w:r w:rsidRPr="00BF4AD3">
          <w:t>93</w:t>
        </w:r>
        <w:r>
          <w:rPr>
            <w:rFonts w:asciiTheme="minorHAnsi" w:hAnsiTheme="minorHAnsi" w:cstheme="minorBidi"/>
            <w:sz w:val="22"/>
            <w:szCs w:val="22"/>
            <w:lang w:eastAsia="en-AU"/>
          </w:rPr>
          <w:tab/>
        </w:r>
        <w:r w:rsidRPr="00BF4AD3">
          <w:t>Notice of increased charge for transport of certain goods (CCA s 5 (2) and (3), s 6 (2))</w:t>
        </w:r>
        <w:r>
          <w:tab/>
        </w:r>
        <w:r>
          <w:fldChar w:fldCharType="begin"/>
        </w:r>
        <w:r>
          <w:instrText xml:space="preserve"> PAGEREF _Toc4661397 \h </w:instrText>
        </w:r>
        <w:r>
          <w:fldChar w:fldCharType="separate"/>
        </w:r>
        <w:r>
          <w:t>64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98" w:history="1">
        <w:r w:rsidRPr="00BF4AD3">
          <w:t>94</w:t>
        </w:r>
        <w:r>
          <w:rPr>
            <w:rFonts w:asciiTheme="minorHAnsi" w:hAnsiTheme="minorHAnsi" w:cstheme="minorBidi"/>
            <w:sz w:val="22"/>
            <w:szCs w:val="22"/>
            <w:lang w:eastAsia="en-AU"/>
          </w:rPr>
          <w:tab/>
        </w:r>
        <w:r w:rsidRPr="00BF4AD3">
          <w:t>Receipt of carrier for increased charge (CCA s 6)</w:t>
        </w:r>
        <w:r>
          <w:tab/>
        </w:r>
        <w:r>
          <w:fldChar w:fldCharType="begin"/>
        </w:r>
        <w:r>
          <w:instrText xml:space="preserve"> PAGEREF _Toc4661398 \h </w:instrText>
        </w:r>
        <w:r>
          <w:fldChar w:fldCharType="separate"/>
        </w:r>
        <w:r>
          <w:t>64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399" w:history="1">
        <w:r w:rsidRPr="00BF4AD3">
          <w:t>95</w:t>
        </w:r>
        <w:r>
          <w:rPr>
            <w:rFonts w:asciiTheme="minorHAnsi" w:hAnsiTheme="minorHAnsi" w:cstheme="minorBidi"/>
            <w:sz w:val="22"/>
            <w:szCs w:val="22"/>
            <w:lang w:eastAsia="en-AU"/>
          </w:rPr>
          <w:tab/>
        </w:r>
        <w:r w:rsidRPr="00BF4AD3">
          <w:t>Carrier only liable for proven amount for certain goods (CCA s 11)</w:t>
        </w:r>
        <w:r>
          <w:tab/>
        </w:r>
        <w:r>
          <w:fldChar w:fldCharType="begin"/>
        </w:r>
        <w:r>
          <w:instrText xml:space="preserve"> PAGEREF _Toc4661399 \h </w:instrText>
        </w:r>
        <w:r>
          <w:fldChar w:fldCharType="separate"/>
        </w:r>
        <w:r>
          <w:t>65</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400" w:history="1">
        <w:r w:rsidR="008D25FE" w:rsidRPr="00BF4AD3">
          <w:t>Division 7.2.4</w:t>
        </w:r>
        <w:r w:rsidR="008D25FE">
          <w:rPr>
            <w:rFonts w:asciiTheme="minorHAnsi" w:hAnsiTheme="minorHAnsi" w:cstheme="minorBidi"/>
            <w:b w:val="0"/>
            <w:bCs w:val="0"/>
            <w:sz w:val="22"/>
            <w:szCs w:val="22"/>
            <w:lang w:eastAsia="en-AU"/>
          </w:rPr>
          <w:tab/>
        </w:r>
        <w:r w:rsidR="008D25FE" w:rsidRPr="00BF4AD3">
          <w:t>Liability of common carriers for certain animals</w:t>
        </w:r>
        <w:r w:rsidR="008D25FE" w:rsidRPr="008D25FE">
          <w:rPr>
            <w:vanish/>
          </w:rPr>
          <w:tab/>
        </w:r>
        <w:r w:rsidR="008D25FE" w:rsidRPr="008D25FE">
          <w:rPr>
            <w:vanish/>
          </w:rPr>
          <w:fldChar w:fldCharType="begin"/>
        </w:r>
        <w:r w:rsidR="008D25FE" w:rsidRPr="008D25FE">
          <w:rPr>
            <w:vanish/>
          </w:rPr>
          <w:instrText xml:space="preserve"> PAGEREF _Toc4661400 \h </w:instrText>
        </w:r>
        <w:r w:rsidR="008D25FE" w:rsidRPr="008D25FE">
          <w:rPr>
            <w:vanish/>
          </w:rPr>
        </w:r>
        <w:r w:rsidR="008D25FE" w:rsidRPr="008D25FE">
          <w:rPr>
            <w:vanish/>
          </w:rPr>
          <w:fldChar w:fldCharType="separate"/>
        </w:r>
        <w:r w:rsidR="008D25FE" w:rsidRPr="008D25FE">
          <w:rPr>
            <w:vanish/>
          </w:rPr>
          <w:t>65</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01" w:history="1">
        <w:r w:rsidRPr="00BF4AD3">
          <w:t>96</w:t>
        </w:r>
        <w:r>
          <w:rPr>
            <w:rFonts w:asciiTheme="minorHAnsi" w:hAnsiTheme="minorHAnsi" w:cstheme="minorBidi"/>
            <w:sz w:val="22"/>
            <w:szCs w:val="22"/>
            <w:lang w:eastAsia="en-AU"/>
          </w:rPr>
          <w:tab/>
        </w:r>
        <w:r w:rsidRPr="00BF4AD3">
          <w:t>Definitions for div 7.2.4</w:t>
        </w:r>
        <w:r>
          <w:tab/>
        </w:r>
        <w:r>
          <w:fldChar w:fldCharType="begin"/>
        </w:r>
        <w:r>
          <w:instrText xml:space="preserve"> PAGEREF _Toc4661401 \h </w:instrText>
        </w:r>
        <w:r>
          <w:fldChar w:fldCharType="separate"/>
        </w:r>
        <w:r>
          <w:t>65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02" w:history="1">
        <w:r w:rsidRPr="00BF4AD3">
          <w:t>97</w:t>
        </w:r>
        <w:r>
          <w:rPr>
            <w:rFonts w:asciiTheme="minorHAnsi" w:hAnsiTheme="minorHAnsi" w:cstheme="minorBidi"/>
            <w:sz w:val="22"/>
            <w:szCs w:val="22"/>
            <w:lang w:eastAsia="en-AU"/>
          </w:rPr>
          <w:tab/>
        </w:r>
        <w:r w:rsidRPr="00BF4AD3">
          <w:t>Liability of carriers for certain animals (CCA s 9 (b))</w:t>
        </w:r>
        <w:r>
          <w:tab/>
        </w:r>
        <w:r>
          <w:fldChar w:fldCharType="begin"/>
        </w:r>
        <w:r>
          <w:instrText xml:space="preserve"> PAGEREF _Toc4661402 \h </w:instrText>
        </w:r>
        <w:r>
          <w:fldChar w:fldCharType="separate"/>
        </w:r>
        <w:r>
          <w:t>66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03" w:history="1">
        <w:r w:rsidRPr="00BF4AD3">
          <w:t>98</w:t>
        </w:r>
        <w:r>
          <w:rPr>
            <w:rFonts w:asciiTheme="minorHAnsi" w:hAnsiTheme="minorHAnsi" w:cstheme="minorBidi"/>
            <w:sz w:val="22"/>
            <w:szCs w:val="22"/>
            <w:lang w:eastAsia="en-AU"/>
          </w:rPr>
          <w:tab/>
        </w:r>
        <w:r w:rsidRPr="00BF4AD3">
          <w:t>Notice of increased charge for transport of certain animals (CCA s 9 (b))</w:t>
        </w:r>
        <w:r>
          <w:tab/>
        </w:r>
        <w:r>
          <w:fldChar w:fldCharType="begin"/>
        </w:r>
        <w:r>
          <w:instrText xml:space="preserve"> PAGEREF _Toc4661403 \h </w:instrText>
        </w:r>
        <w:r>
          <w:fldChar w:fldCharType="separate"/>
        </w:r>
        <w:r>
          <w:t>67</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404" w:history="1">
        <w:r w:rsidRPr="00BF4AD3">
          <w:t>99</w:t>
        </w:r>
        <w:r>
          <w:rPr>
            <w:rFonts w:asciiTheme="minorHAnsi" w:hAnsiTheme="minorHAnsi" w:cstheme="minorBidi"/>
            <w:sz w:val="22"/>
            <w:szCs w:val="22"/>
            <w:lang w:eastAsia="en-AU"/>
          </w:rPr>
          <w:tab/>
        </w:r>
        <w:r w:rsidRPr="00BF4AD3">
          <w:t>Carrier only liable for proven amount for certain animals (CCA s 11)</w:t>
        </w:r>
        <w:r>
          <w:tab/>
        </w:r>
        <w:r>
          <w:fldChar w:fldCharType="begin"/>
        </w:r>
        <w:r>
          <w:instrText xml:space="preserve"> PAGEREF _Toc4661404 \h </w:instrText>
        </w:r>
        <w:r>
          <w:fldChar w:fldCharType="separate"/>
        </w:r>
        <w:r>
          <w:t>67</w:t>
        </w:r>
        <w:r>
          <w:fldChar w:fldCharType="end"/>
        </w:r>
      </w:hyperlink>
    </w:p>
    <w:p w:rsidR="008D25FE" w:rsidRDefault="001B7504">
      <w:pPr>
        <w:pStyle w:val="TOC3"/>
        <w:rPr>
          <w:rFonts w:asciiTheme="minorHAnsi" w:hAnsiTheme="minorHAnsi" w:cstheme="minorBidi"/>
          <w:b w:val="0"/>
          <w:bCs w:val="0"/>
          <w:sz w:val="22"/>
          <w:szCs w:val="22"/>
          <w:lang w:eastAsia="en-AU"/>
        </w:rPr>
      </w:pPr>
      <w:hyperlink w:anchor="_Toc4661405" w:history="1">
        <w:r w:rsidR="008D25FE" w:rsidRPr="00BF4AD3">
          <w:t>Division 7.2.5</w:t>
        </w:r>
        <w:r w:rsidR="008D25FE">
          <w:rPr>
            <w:rFonts w:asciiTheme="minorHAnsi" w:hAnsiTheme="minorHAnsi" w:cstheme="minorBidi"/>
            <w:b w:val="0"/>
            <w:bCs w:val="0"/>
            <w:sz w:val="22"/>
            <w:szCs w:val="22"/>
            <w:lang w:eastAsia="en-AU"/>
          </w:rPr>
          <w:tab/>
        </w:r>
        <w:r w:rsidR="008D25FE" w:rsidRPr="00BF4AD3">
          <w:t>Notice, condition or declaration of carrier</w:t>
        </w:r>
        <w:r w:rsidR="008D25FE" w:rsidRPr="008D25FE">
          <w:rPr>
            <w:vanish/>
          </w:rPr>
          <w:tab/>
        </w:r>
        <w:r w:rsidR="008D25FE" w:rsidRPr="008D25FE">
          <w:rPr>
            <w:vanish/>
          </w:rPr>
          <w:fldChar w:fldCharType="begin"/>
        </w:r>
        <w:r w:rsidR="008D25FE" w:rsidRPr="008D25FE">
          <w:rPr>
            <w:vanish/>
          </w:rPr>
          <w:instrText xml:space="preserve"> PAGEREF _Toc4661405 \h </w:instrText>
        </w:r>
        <w:r w:rsidR="008D25FE" w:rsidRPr="008D25FE">
          <w:rPr>
            <w:vanish/>
          </w:rPr>
        </w:r>
        <w:r w:rsidR="008D25FE" w:rsidRPr="008D25FE">
          <w:rPr>
            <w:vanish/>
          </w:rPr>
          <w:fldChar w:fldCharType="separate"/>
        </w:r>
        <w:r w:rsidR="008D25FE" w:rsidRPr="008D25FE">
          <w:rPr>
            <w:vanish/>
          </w:rPr>
          <w:t>68</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06" w:history="1">
        <w:r w:rsidRPr="00BF4AD3">
          <w:t>100</w:t>
        </w:r>
        <w:r>
          <w:rPr>
            <w:rFonts w:asciiTheme="minorHAnsi" w:hAnsiTheme="minorHAnsi" w:cstheme="minorBidi"/>
            <w:sz w:val="22"/>
            <w:szCs w:val="22"/>
            <w:lang w:eastAsia="en-AU"/>
          </w:rPr>
          <w:tab/>
        </w:r>
        <w:r w:rsidRPr="00BF4AD3">
          <w:t>Carrier liable for neglect or default despite notice etc (CCA s 9 , 9 (a), (c))</w:t>
        </w:r>
        <w:r>
          <w:tab/>
        </w:r>
        <w:r>
          <w:fldChar w:fldCharType="begin"/>
        </w:r>
        <w:r>
          <w:instrText xml:space="preserve"> PAGEREF _Toc4661406 \h </w:instrText>
        </w:r>
        <w:r>
          <w:fldChar w:fldCharType="separate"/>
        </w:r>
        <w:r>
          <w:t>68</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407" w:history="1">
        <w:r w:rsidR="008D25FE" w:rsidRPr="00BF4AD3">
          <w:t>Chapter 8</w:t>
        </w:r>
        <w:r w:rsidR="008D25FE">
          <w:rPr>
            <w:rFonts w:asciiTheme="minorHAnsi" w:hAnsiTheme="minorHAnsi" w:cstheme="minorBidi"/>
            <w:b w:val="0"/>
            <w:bCs w:val="0"/>
            <w:sz w:val="22"/>
            <w:szCs w:val="22"/>
            <w:lang w:eastAsia="en-AU"/>
          </w:rPr>
          <w:tab/>
        </w:r>
        <w:r w:rsidR="008D25FE" w:rsidRPr="00BF4AD3">
          <w:t>Other liability provisions</w:t>
        </w:r>
        <w:r w:rsidR="008D25FE" w:rsidRPr="008D25FE">
          <w:rPr>
            <w:vanish/>
          </w:rPr>
          <w:tab/>
        </w:r>
        <w:r w:rsidR="008D25FE" w:rsidRPr="008D25FE">
          <w:rPr>
            <w:vanish/>
          </w:rPr>
          <w:fldChar w:fldCharType="begin"/>
        </w:r>
        <w:r w:rsidR="008D25FE" w:rsidRPr="008D25FE">
          <w:rPr>
            <w:vanish/>
          </w:rPr>
          <w:instrText xml:space="preserve"> PAGEREF _Toc4661407 \h </w:instrText>
        </w:r>
        <w:r w:rsidR="008D25FE" w:rsidRPr="008D25FE">
          <w:rPr>
            <w:vanish/>
          </w:rPr>
        </w:r>
        <w:r w:rsidR="008D25FE" w:rsidRPr="008D25FE">
          <w:rPr>
            <w:vanish/>
          </w:rPr>
          <w:fldChar w:fldCharType="separate"/>
        </w:r>
        <w:r w:rsidR="008D25FE" w:rsidRPr="008D25FE">
          <w:rPr>
            <w:vanish/>
          </w:rPr>
          <w:t>69</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08" w:history="1">
        <w:r w:rsidR="008D25FE" w:rsidRPr="00BF4AD3">
          <w:t>Part 8.1</w:t>
        </w:r>
        <w:r w:rsidR="008D25FE">
          <w:rPr>
            <w:rFonts w:asciiTheme="minorHAnsi" w:hAnsiTheme="minorHAnsi" w:cstheme="minorBidi"/>
            <w:b w:val="0"/>
            <w:bCs w:val="0"/>
            <w:sz w:val="22"/>
            <w:szCs w:val="22"/>
            <w:lang w:eastAsia="en-AU"/>
          </w:rPr>
          <w:tab/>
        </w:r>
        <w:r w:rsidR="008D25FE" w:rsidRPr="00BF4AD3">
          <w:t>Occupiers liability</w:t>
        </w:r>
        <w:r w:rsidR="008D25FE" w:rsidRPr="008D25FE">
          <w:rPr>
            <w:vanish/>
          </w:rPr>
          <w:tab/>
        </w:r>
        <w:r w:rsidR="008D25FE" w:rsidRPr="008D25FE">
          <w:rPr>
            <w:vanish/>
          </w:rPr>
          <w:fldChar w:fldCharType="begin"/>
        </w:r>
        <w:r w:rsidR="008D25FE" w:rsidRPr="008D25FE">
          <w:rPr>
            <w:vanish/>
          </w:rPr>
          <w:instrText xml:space="preserve"> PAGEREF _Toc4661408 \h </w:instrText>
        </w:r>
        <w:r w:rsidR="008D25FE" w:rsidRPr="008D25FE">
          <w:rPr>
            <w:vanish/>
          </w:rPr>
        </w:r>
        <w:r w:rsidR="008D25FE" w:rsidRPr="008D25FE">
          <w:rPr>
            <w:vanish/>
          </w:rPr>
          <w:fldChar w:fldCharType="separate"/>
        </w:r>
        <w:r w:rsidR="008D25FE" w:rsidRPr="008D25FE">
          <w:rPr>
            <w:vanish/>
          </w:rPr>
          <w:t>69</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09" w:history="1">
        <w:r w:rsidRPr="00BF4AD3">
          <w:t>101</w:t>
        </w:r>
        <w:r>
          <w:rPr>
            <w:rFonts w:asciiTheme="minorHAnsi" w:hAnsiTheme="minorHAnsi" w:cstheme="minorBidi"/>
            <w:sz w:val="22"/>
            <w:szCs w:val="22"/>
            <w:lang w:eastAsia="en-AU"/>
          </w:rPr>
          <w:tab/>
        </w:r>
        <w:r w:rsidRPr="00BF4AD3">
          <w:t>Liability of occupiers</w:t>
        </w:r>
        <w:r>
          <w:tab/>
        </w:r>
        <w:r>
          <w:fldChar w:fldCharType="begin"/>
        </w:r>
        <w:r>
          <w:instrText xml:space="preserve"> PAGEREF _Toc4661409 \h </w:instrText>
        </w:r>
        <w:r>
          <w:fldChar w:fldCharType="separate"/>
        </w:r>
        <w:r>
          <w:t>69</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10" w:history="1">
        <w:r w:rsidR="008D25FE" w:rsidRPr="00BF4AD3">
          <w:t>Part 8.2</w:t>
        </w:r>
        <w:r w:rsidR="008D25FE">
          <w:rPr>
            <w:rFonts w:asciiTheme="minorHAnsi" w:hAnsiTheme="minorHAnsi" w:cstheme="minorBidi"/>
            <w:b w:val="0"/>
            <w:bCs w:val="0"/>
            <w:sz w:val="22"/>
            <w:szCs w:val="22"/>
            <w:lang w:eastAsia="en-AU"/>
          </w:rPr>
          <w:tab/>
        </w:r>
        <w:r w:rsidR="008D25FE" w:rsidRPr="00BF4AD3">
          <w:t>Liability for damage caused by animals</w:t>
        </w:r>
        <w:r w:rsidR="008D25FE" w:rsidRPr="008D25FE">
          <w:rPr>
            <w:vanish/>
          </w:rPr>
          <w:tab/>
        </w:r>
        <w:r w:rsidR="008D25FE" w:rsidRPr="008D25FE">
          <w:rPr>
            <w:vanish/>
          </w:rPr>
          <w:fldChar w:fldCharType="begin"/>
        </w:r>
        <w:r w:rsidR="008D25FE" w:rsidRPr="008D25FE">
          <w:rPr>
            <w:vanish/>
          </w:rPr>
          <w:instrText xml:space="preserve"> PAGEREF _Toc4661410 \h </w:instrText>
        </w:r>
        <w:r w:rsidR="008D25FE" w:rsidRPr="008D25FE">
          <w:rPr>
            <w:vanish/>
          </w:rPr>
        </w:r>
        <w:r w:rsidR="008D25FE" w:rsidRPr="008D25FE">
          <w:rPr>
            <w:vanish/>
          </w:rPr>
          <w:fldChar w:fldCharType="separate"/>
        </w:r>
        <w:r w:rsidR="008D25FE" w:rsidRPr="008D25FE">
          <w:rPr>
            <w:vanish/>
          </w:rPr>
          <w:t>71</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11" w:history="1">
        <w:r w:rsidRPr="00BF4AD3">
          <w:t>102</w:t>
        </w:r>
        <w:r>
          <w:rPr>
            <w:rFonts w:asciiTheme="minorHAnsi" w:hAnsiTheme="minorHAnsi" w:cstheme="minorBidi"/>
            <w:sz w:val="22"/>
            <w:szCs w:val="22"/>
            <w:lang w:eastAsia="en-AU"/>
          </w:rPr>
          <w:tab/>
        </w:r>
        <w:r w:rsidRPr="00BF4AD3">
          <w:t>Evidence of breach of duty for animals (CL(A)A s 8)</w:t>
        </w:r>
        <w:r>
          <w:tab/>
        </w:r>
        <w:r>
          <w:fldChar w:fldCharType="begin"/>
        </w:r>
        <w:r>
          <w:instrText xml:space="preserve"> PAGEREF _Toc4661411 \h </w:instrText>
        </w:r>
        <w:r>
          <w:fldChar w:fldCharType="separate"/>
        </w:r>
        <w:r>
          <w:t>71</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12" w:history="1">
        <w:r w:rsidR="008D25FE" w:rsidRPr="00BF4AD3">
          <w:t>Part 8.3</w:t>
        </w:r>
        <w:r w:rsidR="008D25FE">
          <w:rPr>
            <w:rFonts w:asciiTheme="minorHAnsi" w:hAnsiTheme="minorHAnsi" w:cstheme="minorBidi"/>
            <w:b w:val="0"/>
            <w:bCs w:val="0"/>
            <w:sz w:val="22"/>
            <w:szCs w:val="22"/>
            <w:lang w:eastAsia="en-AU"/>
          </w:rPr>
          <w:tab/>
        </w:r>
        <w:r w:rsidR="008D25FE" w:rsidRPr="00BF4AD3">
          <w:t>Liability for fires accidentally begun</w:t>
        </w:r>
        <w:r w:rsidR="008D25FE" w:rsidRPr="008D25FE">
          <w:rPr>
            <w:vanish/>
          </w:rPr>
          <w:tab/>
        </w:r>
        <w:r w:rsidR="008D25FE" w:rsidRPr="008D25FE">
          <w:rPr>
            <w:vanish/>
          </w:rPr>
          <w:fldChar w:fldCharType="begin"/>
        </w:r>
        <w:r w:rsidR="008D25FE" w:rsidRPr="008D25FE">
          <w:rPr>
            <w:vanish/>
          </w:rPr>
          <w:instrText xml:space="preserve"> PAGEREF _Toc4661412 \h </w:instrText>
        </w:r>
        <w:r w:rsidR="008D25FE" w:rsidRPr="008D25FE">
          <w:rPr>
            <w:vanish/>
          </w:rPr>
        </w:r>
        <w:r w:rsidR="008D25FE" w:rsidRPr="008D25FE">
          <w:rPr>
            <w:vanish/>
          </w:rPr>
          <w:fldChar w:fldCharType="separate"/>
        </w:r>
        <w:r w:rsidR="008D25FE" w:rsidRPr="008D25FE">
          <w:rPr>
            <w:vanish/>
          </w:rPr>
          <w:t>72</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13" w:history="1">
        <w:r w:rsidRPr="00BF4AD3">
          <w:t>103</w:t>
        </w:r>
        <w:r>
          <w:rPr>
            <w:rFonts w:asciiTheme="minorHAnsi" w:hAnsiTheme="minorHAnsi" w:cstheme="minorBidi"/>
            <w:sz w:val="22"/>
            <w:szCs w:val="22"/>
            <w:lang w:eastAsia="en-AU"/>
          </w:rPr>
          <w:tab/>
        </w:r>
        <w:r w:rsidRPr="00BF4AD3">
          <w:t>Actions do not lie for damage caused by accidental fires (LR(MP)A s 59)</w:t>
        </w:r>
        <w:r>
          <w:tab/>
        </w:r>
        <w:r>
          <w:fldChar w:fldCharType="begin"/>
        </w:r>
        <w:r>
          <w:instrText xml:space="preserve"> PAGEREF _Toc4661413 \h </w:instrText>
        </w:r>
        <w:r>
          <w:fldChar w:fldCharType="separate"/>
        </w:r>
        <w:r>
          <w:t>72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14" w:history="1">
        <w:r w:rsidRPr="00BF4AD3">
          <w:t>104</w:t>
        </w:r>
        <w:r>
          <w:rPr>
            <w:rFonts w:asciiTheme="minorHAnsi" w:hAnsiTheme="minorHAnsi" w:cstheme="minorBidi"/>
            <w:sz w:val="22"/>
            <w:szCs w:val="22"/>
            <w:lang w:eastAsia="en-AU"/>
          </w:rPr>
          <w:tab/>
        </w:r>
        <w:r w:rsidRPr="00BF4AD3">
          <w:t>Contract between landlord and tenant not affected (LR(MP)A s 60)</w:t>
        </w:r>
        <w:r>
          <w:tab/>
        </w:r>
        <w:r>
          <w:fldChar w:fldCharType="begin"/>
        </w:r>
        <w:r>
          <w:instrText xml:space="preserve"> PAGEREF _Toc4661414 \h </w:instrText>
        </w:r>
        <w:r>
          <w:fldChar w:fldCharType="separate"/>
        </w:r>
        <w:r>
          <w:t>72</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415" w:history="1">
        <w:r w:rsidR="008D25FE" w:rsidRPr="00BF4AD3">
          <w:t>Chapter 9</w:t>
        </w:r>
        <w:r w:rsidR="008D25FE">
          <w:rPr>
            <w:rFonts w:asciiTheme="minorHAnsi" w:hAnsiTheme="minorHAnsi" w:cstheme="minorBidi"/>
            <w:b w:val="0"/>
            <w:bCs w:val="0"/>
            <w:sz w:val="22"/>
            <w:szCs w:val="22"/>
            <w:lang w:eastAsia="en-AU"/>
          </w:rPr>
          <w:tab/>
        </w:r>
        <w:r w:rsidR="008D25FE" w:rsidRPr="00BF4AD3">
          <w:t>Misrepresentation</w:t>
        </w:r>
        <w:r w:rsidR="008D25FE" w:rsidRPr="008D25FE">
          <w:rPr>
            <w:vanish/>
          </w:rPr>
          <w:tab/>
        </w:r>
        <w:r w:rsidR="008D25FE" w:rsidRPr="008D25FE">
          <w:rPr>
            <w:vanish/>
          </w:rPr>
          <w:fldChar w:fldCharType="begin"/>
        </w:r>
        <w:r w:rsidR="008D25FE" w:rsidRPr="008D25FE">
          <w:rPr>
            <w:vanish/>
          </w:rPr>
          <w:instrText xml:space="preserve"> PAGEREF _Toc4661415 \h </w:instrText>
        </w:r>
        <w:r w:rsidR="008D25FE" w:rsidRPr="008D25FE">
          <w:rPr>
            <w:vanish/>
          </w:rPr>
        </w:r>
        <w:r w:rsidR="008D25FE" w:rsidRPr="008D25FE">
          <w:rPr>
            <w:vanish/>
          </w:rPr>
          <w:fldChar w:fldCharType="separate"/>
        </w:r>
        <w:r w:rsidR="008D25FE" w:rsidRPr="008D25FE">
          <w:rPr>
            <w:vanish/>
          </w:rPr>
          <w:t>73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16" w:history="1">
        <w:r w:rsidRPr="00BF4AD3">
          <w:t>105</w:t>
        </w:r>
        <w:r>
          <w:rPr>
            <w:rFonts w:asciiTheme="minorHAnsi" w:hAnsiTheme="minorHAnsi" w:cstheme="minorBidi"/>
            <w:sz w:val="22"/>
            <w:szCs w:val="22"/>
            <w:lang w:eastAsia="en-AU"/>
          </w:rPr>
          <w:tab/>
        </w:r>
        <w:r w:rsidRPr="00BF4AD3">
          <w:t>Definitions for ch 9 (LR(Mis)A s 2)</w:t>
        </w:r>
        <w:r>
          <w:tab/>
        </w:r>
        <w:r>
          <w:fldChar w:fldCharType="begin"/>
        </w:r>
        <w:r>
          <w:instrText xml:space="preserve"> PAGEREF _Toc4661416 \h </w:instrText>
        </w:r>
        <w:r>
          <w:fldChar w:fldCharType="separate"/>
        </w:r>
        <w:r>
          <w:t>73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17" w:history="1">
        <w:r w:rsidRPr="00BF4AD3">
          <w:t>106</w:t>
        </w:r>
        <w:r>
          <w:rPr>
            <w:rFonts w:asciiTheme="minorHAnsi" w:hAnsiTheme="minorHAnsi" w:cstheme="minorBidi"/>
            <w:sz w:val="22"/>
            <w:szCs w:val="22"/>
            <w:lang w:eastAsia="en-AU"/>
          </w:rPr>
          <w:tab/>
        </w:r>
        <w:r w:rsidRPr="00BF4AD3">
          <w:t>Removal of certain bars to rescission for misrepresentation (LR(Mis)A s 3)</w:t>
        </w:r>
        <w:r>
          <w:tab/>
        </w:r>
        <w:r>
          <w:fldChar w:fldCharType="begin"/>
        </w:r>
        <w:r>
          <w:instrText xml:space="preserve"> PAGEREF _Toc4661417 \h </w:instrText>
        </w:r>
        <w:r>
          <w:fldChar w:fldCharType="separate"/>
        </w:r>
        <w:r>
          <w:t>73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18" w:history="1">
        <w:r w:rsidRPr="00BF4AD3">
          <w:t>107</w:t>
        </w:r>
        <w:r>
          <w:rPr>
            <w:rFonts w:asciiTheme="minorHAnsi" w:hAnsiTheme="minorHAnsi" w:cstheme="minorBidi"/>
            <w:sz w:val="22"/>
            <w:szCs w:val="22"/>
            <w:lang w:eastAsia="en-AU"/>
          </w:rPr>
          <w:tab/>
        </w:r>
        <w:r w:rsidRPr="00BF4AD3">
          <w:t>Damages for misrepresentation (LR(Mis)A s 4)</w:t>
        </w:r>
        <w:r>
          <w:tab/>
        </w:r>
        <w:r>
          <w:fldChar w:fldCharType="begin"/>
        </w:r>
        <w:r>
          <w:instrText xml:space="preserve"> PAGEREF _Toc4661418 \h </w:instrText>
        </w:r>
        <w:r>
          <w:fldChar w:fldCharType="separate"/>
        </w:r>
        <w:r>
          <w:t>74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19" w:history="1">
        <w:r w:rsidRPr="00BF4AD3">
          <w:t>108</w:t>
        </w:r>
        <w:r>
          <w:rPr>
            <w:rFonts w:asciiTheme="minorHAnsi" w:hAnsiTheme="minorHAnsi" w:cstheme="minorBidi"/>
            <w:sz w:val="22"/>
            <w:szCs w:val="22"/>
            <w:lang w:eastAsia="en-AU"/>
          </w:rPr>
          <w:tab/>
        </w:r>
        <w:r w:rsidRPr="00BF4AD3">
          <w:t>Damages instead of rescission for misrepresentation (LR(Mis)A s 5)</w:t>
        </w:r>
        <w:r>
          <w:tab/>
        </w:r>
        <w:r>
          <w:fldChar w:fldCharType="begin"/>
        </w:r>
        <w:r>
          <w:instrText xml:space="preserve"> PAGEREF _Toc4661419 \h </w:instrText>
        </w:r>
        <w:r>
          <w:fldChar w:fldCharType="separate"/>
        </w:r>
        <w:r>
          <w:t>75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0" w:history="1">
        <w:r w:rsidRPr="00BF4AD3">
          <w:t>109</w:t>
        </w:r>
        <w:r>
          <w:rPr>
            <w:rFonts w:asciiTheme="minorHAnsi" w:hAnsiTheme="minorHAnsi" w:cstheme="minorBidi"/>
            <w:sz w:val="22"/>
            <w:szCs w:val="22"/>
            <w:lang w:eastAsia="en-AU"/>
          </w:rPr>
          <w:tab/>
        </w:r>
        <w:r w:rsidRPr="00BF4AD3">
          <w:t>Exclusion clauses—misrepresentation (LR(Mis)A s 6)</w:t>
        </w:r>
        <w:r>
          <w:tab/>
        </w:r>
        <w:r>
          <w:fldChar w:fldCharType="begin"/>
        </w:r>
        <w:r>
          <w:instrText xml:space="preserve"> PAGEREF _Toc4661420 \h </w:instrText>
        </w:r>
        <w:r>
          <w:fldChar w:fldCharType="separate"/>
        </w:r>
        <w:r>
          <w:t>75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1" w:history="1">
        <w:r w:rsidRPr="00BF4AD3">
          <w:t>110</w:t>
        </w:r>
        <w:r>
          <w:rPr>
            <w:rFonts w:asciiTheme="minorHAnsi" w:hAnsiTheme="minorHAnsi" w:cstheme="minorBidi"/>
            <w:sz w:val="22"/>
            <w:szCs w:val="22"/>
            <w:lang w:eastAsia="en-AU"/>
          </w:rPr>
          <w:tab/>
        </w:r>
        <w:r w:rsidRPr="00BF4AD3">
          <w:t>Misrepresentation in trade or commerce an offence (LR(Mis)A s 7)</w:t>
        </w:r>
        <w:r>
          <w:tab/>
        </w:r>
        <w:r>
          <w:fldChar w:fldCharType="begin"/>
        </w:r>
        <w:r>
          <w:instrText xml:space="preserve"> PAGEREF _Toc4661421 \h </w:instrText>
        </w:r>
        <w:r>
          <w:fldChar w:fldCharType="separate"/>
        </w:r>
        <w:r>
          <w:t>76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2" w:history="1">
        <w:r w:rsidRPr="00BF4AD3">
          <w:t>111</w:t>
        </w:r>
        <w:r>
          <w:rPr>
            <w:rFonts w:asciiTheme="minorHAnsi" w:hAnsiTheme="minorHAnsi" w:cstheme="minorBidi"/>
            <w:sz w:val="22"/>
            <w:szCs w:val="22"/>
            <w:lang w:eastAsia="en-AU"/>
          </w:rPr>
          <w:tab/>
        </w:r>
        <w:r w:rsidRPr="00BF4AD3">
          <w:t>Employer etc liable for misrepresentation (LR(Mis)A s 8)</w:t>
        </w:r>
        <w:r>
          <w:tab/>
        </w:r>
        <w:r>
          <w:fldChar w:fldCharType="begin"/>
        </w:r>
        <w:r>
          <w:instrText xml:space="preserve"> PAGEREF _Toc4661422 \h </w:instrText>
        </w:r>
        <w:r>
          <w:fldChar w:fldCharType="separate"/>
        </w:r>
        <w:r>
          <w:t>76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3" w:history="1">
        <w:r w:rsidRPr="00BF4AD3">
          <w:t>112</w:t>
        </w:r>
        <w:r>
          <w:rPr>
            <w:rFonts w:asciiTheme="minorHAnsi" w:hAnsiTheme="minorHAnsi" w:cstheme="minorBidi"/>
            <w:sz w:val="22"/>
            <w:szCs w:val="22"/>
            <w:lang w:eastAsia="en-AU"/>
          </w:rPr>
          <w:tab/>
        </w:r>
        <w:r w:rsidRPr="00BF4AD3">
          <w:t>Prosecutions for misrepresentation (LR(Mis)A s 9)</w:t>
        </w:r>
        <w:r>
          <w:tab/>
        </w:r>
        <w:r>
          <w:fldChar w:fldCharType="begin"/>
        </w:r>
        <w:r>
          <w:instrText xml:space="preserve"> PAGEREF _Toc4661423 \h </w:instrText>
        </w:r>
        <w:r>
          <w:fldChar w:fldCharType="separate"/>
        </w:r>
        <w:r>
          <w:t>77</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424" w:history="1">
        <w:r w:rsidR="008D25FE" w:rsidRPr="00BF4AD3">
          <w:t>Chapter 10</w:t>
        </w:r>
        <w:r w:rsidR="008D25FE">
          <w:rPr>
            <w:rFonts w:asciiTheme="minorHAnsi" w:hAnsiTheme="minorHAnsi" w:cstheme="minorBidi"/>
            <w:b w:val="0"/>
            <w:bCs w:val="0"/>
            <w:sz w:val="22"/>
            <w:szCs w:val="22"/>
            <w:lang w:eastAsia="en-AU"/>
          </w:rPr>
          <w:tab/>
        </w:r>
        <w:r w:rsidR="008D25FE" w:rsidRPr="00BF4AD3">
          <w:t>Limitations on legal costs</w:t>
        </w:r>
        <w:r w:rsidR="008D25FE" w:rsidRPr="008D25FE">
          <w:rPr>
            <w:vanish/>
          </w:rPr>
          <w:tab/>
        </w:r>
        <w:r w:rsidR="008D25FE" w:rsidRPr="008D25FE">
          <w:rPr>
            <w:vanish/>
          </w:rPr>
          <w:fldChar w:fldCharType="begin"/>
        </w:r>
        <w:r w:rsidR="008D25FE" w:rsidRPr="008D25FE">
          <w:rPr>
            <w:vanish/>
          </w:rPr>
          <w:instrText xml:space="preserve"> PAGEREF _Toc4661424 \h </w:instrText>
        </w:r>
        <w:r w:rsidR="008D25FE" w:rsidRPr="008D25FE">
          <w:rPr>
            <w:vanish/>
          </w:rPr>
        </w:r>
        <w:r w:rsidR="008D25FE" w:rsidRPr="008D25FE">
          <w:rPr>
            <w:vanish/>
          </w:rPr>
          <w:fldChar w:fldCharType="separate"/>
        </w:r>
        <w:r w:rsidR="008D25FE" w:rsidRPr="008D25FE">
          <w:rPr>
            <w:vanish/>
          </w:rPr>
          <w:t>78</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25" w:history="1">
        <w:r w:rsidRPr="00BF4AD3">
          <w:t>113</w:t>
        </w:r>
        <w:r>
          <w:rPr>
            <w:rFonts w:asciiTheme="minorHAnsi" w:hAnsiTheme="minorHAnsi" w:cstheme="minorBidi"/>
            <w:sz w:val="22"/>
            <w:szCs w:val="22"/>
            <w:lang w:eastAsia="en-AU"/>
          </w:rPr>
          <w:tab/>
        </w:r>
        <w:r w:rsidRPr="00BF4AD3">
          <w:t>Definitions for ch 10</w:t>
        </w:r>
        <w:r>
          <w:tab/>
        </w:r>
        <w:r>
          <w:fldChar w:fldCharType="begin"/>
        </w:r>
        <w:r>
          <w:instrText xml:space="preserve"> PAGEREF _Toc4661425 \h </w:instrText>
        </w:r>
        <w:r>
          <w:fldChar w:fldCharType="separate"/>
        </w:r>
        <w:r>
          <w:t>78</w:t>
        </w:r>
        <w:r>
          <w:fldChar w:fldCharType="end"/>
        </w:r>
      </w:hyperlink>
    </w:p>
    <w:p w:rsidR="008D25FE" w:rsidRDefault="008D25FE">
      <w:pPr>
        <w:pStyle w:val="TOC5"/>
        <w:rPr>
          <w:rFonts w:asciiTheme="minorHAnsi" w:hAnsiTheme="minorHAnsi" w:cstheme="minorBidi"/>
          <w:sz w:val="22"/>
          <w:szCs w:val="22"/>
          <w:lang w:eastAsia="en-AU"/>
        </w:rPr>
      </w:pPr>
      <w:r>
        <w:lastRenderedPageBreak/>
        <w:tab/>
      </w:r>
      <w:hyperlink w:anchor="_Toc4661426" w:history="1">
        <w:r w:rsidRPr="00BF4AD3">
          <w:t>114</w:t>
        </w:r>
        <w:r>
          <w:rPr>
            <w:rFonts w:asciiTheme="minorHAnsi" w:hAnsiTheme="minorHAnsi" w:cstheme="minorBidi"/>
            <w:sz w:val="22"/>
            <w:szCs w:val="22"/>
            <w:lang w:eastAsia="en-AU"/>
          </w:rPr>
          <w:tab/>
        </w:r>
        <w:r w:rsidRPr="00BF4AD3">
          <w:t>Maximum costs for claims of $50 000 or less</w:t>
        </w:r>
        <w:r>
          <w:tab/>
        </w:r>
        <w:r>
          <w:fldChar w:fldCharType="begin"/>
        </w:r>
        <w:r>
          <w:instrText xml:space="preserve"> PAGEREF _Toc4661426 \h </w:instrText>
        </w:r>
        <w:r>
          <w:fldChar w:fldCharType="separate"/>
        </w:r>
        <w:r>
          <w:t>78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7" w:history="1">
        <w:r w:rsidRPr="00BF4AD3">
          <w:t>115</w:t>
        </w:r>
        <w:r>
          <w:rPr>
            <w:rFonts w:asciiTheme="minorHAnsi" w:hAnsiTheme="minorHAnsi" w:cstheme="minorBidi"/>
            <w:sz w:val="22"/>
            <w:szCs w:val="22"/>
            <w:lang w:eastAsia="en-AU"/>
          </w:rPr>
          <w:tab/>
        </w:r>
        <w:r w:rsidRPr="00BF4AD3">
          <w:t>Costs incurred after offer of compromise not accepted</w:t>
        </w:r>
        <w:r>
          <w:tab/>
        </w:r>
        <w:r>
          <w:fldChar w:fldCharType="begin"/>
        </w:r>
        <w:r>
          <w:instrText xml:space="preserve"> PAGEREF _Toc4661427 \h </w:instrText>
        </w:r>
        <w:r>
          <w:fldChar w:fldCharType="separate"/>
        </w:r>
        <w:r>
          <w:t>80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8" w:history="1">
        <w:r w:rsidRPr="00BF4AD3">
          <w:t>116</w:t>
        </w:r>
        <w:r>
          <w:rPr>
            <w:rFonts w:asciiTheme="minorHAnsi" w:hAnsiTheme="minorHAnsi" w:cstheme="minorBidi"/>
            <w:sz w:val="22"/>
            <w:szCs w:val="22"/>
            <w:lang w:eastAsia="en-AU"/>
          </w:rPr>
          <w:tab/>
        </w:r>
        <w:r w:rsidRPr="00BF4AD3">
          <w:t>Exclusion of costs unnecessarily incurred etc</w:t>
        </w:r>
        <w:r>
          <w:tab/>
        </w:r>
        <w:r>
          <w:fldChar w:fldCharType="begin"/>
        </w:r>
        <w:r>
          <w:instrText xml:space="preserve"> PAGEREF _Toc4661428 \h </w:instrText>
        </w:r>
        <w:r>
          <w:fldChar w:fldCharType="separate"/>
        </w:r>
        <w:r>
          <w:t>81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29" w:history="1">
        <w:r w:rsidRPr="00BF4AD3">
          <w:t>117</w:t>
        </w:r>
        <w:r>
          <w:rPr>
            <w:rFonts w:asciiTheme="minorHAnsi" w:hAnsiTheme="minorHAnsi" w:cstheme="minorBidi"/>
            <w:sz w:val="22"/>
            <w:szCs w:val="22"/>
            <w:lang w:eastAsia="en-AU"/>
          </w:rPr>
          <w:tab/>
        </w:r>
        <w:r w:rsidRPr="00BF4AD3">
          <w:t>Court discretion to allow additional costs</w:t>
        </w:r>
        <w:r>
          <w:tab/>
        </w:r>
        <w:r>
          <w:fldChar w:fldCharType="begin"/>
        </w:r>
        <w:r>
          <w:instrText xml:space="preserve"> PAGEREF _Toc4661429 \h </w:instrText>
        </w:r>
        <w:r>
          <w:fldChar w:fldCharType="separate"/>
        </w:r>
        <w:r>
          <w:t>82</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0" w:history="1">
        <w:r w:rsidRPr="00BF4AD3">
          <w:t>118</w:t>
        </w:r>
        <w:r>
          <w:rPr>
            <w:rFonts w:asciiTheme="minorHAnsi" w:hAnsiTheme="minorHAnsi" w:cstheme="minorBidi"/>
            <w:sz w:val="22"/>
            <w:szCs w:val="22"/>
            <w:lang w:eastAsia="en-AU"/>
          </w:rPr>
          <w:tab/>
        </w:r>
        <w:r w:rsidRPr="00BF4AD3">
          <w:t>Apportionment of costs between lawyers</w:t>
        </w:r>
        <w:r>
          <w:tab/>
        </w:r>
        <w:r>
          <w:fldChar w:fldCharType="begin"/>
        </w:r>
        <w:r>
          <w:instrText xml:space="preserve"> PAGEREF _Toc4661430 \h </w:instrText>
        </w:r>
        <w:r>
          <w:fldChar w:fldCharType="separate"/>
        </w:r>
        <w:r>
          <w:t>82</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431" w:history="1">
        <w:r w:rsidR="008D25FE" w:rsidRPr="00BF4AD3">
          <w:t>Chapter 11</w:t>
        </w:r>
        <w:r w:rsidR="008D25FE">
          <w:rPr>
            <w:rFonts w:asciiTheme="minorHAnsi" w:hAnsiTheme="minorHAnsi" w:cstheme="minorBidi"/>
            <w:b w:val="0"/>
            <w:bCs w:val="0"/>
            <w:sz w:val="22"/>
            <w:szCs w:val="22"/>
            <w:lang w:eastAsia="en-AU"/>
          </w:rPr>
          <w:tab/>
        </w:r>
        <w:r w:rsidR="008D25FE" w:rsidRPr="00BF4AD3">
          <w:t>Miscellaneous</w:t>
        </w:r>
        <w:r w:rsidR="008D25FE" w:rsidRPr="008D25FE">
          <w:rPr>
            <w:vanish/>
          </w:rPr>
          <w:tab/>
        </w:r>
        <w:r w:rsidR="008D25FE" w:rsidRPr="008D25FE">
          <w:rPr>
            <w:vanish/>
          </w:rPr>
          <w:fldChar w:fldCharType="begin"/>
        </w:r>
        <w:r w:rsidR="008D25FE" w:rsidRPr="008D25FE">
          <w:rPr>
            <w:vanish/>
          </w:rPr>
          <w:instrText xml:space="preserve"> PAGEREF _Toc4661431 \h </w:instrText>
        </w:r>
        <w:r w:rsidR="008D25FE" w:rsidRPr="008D25FE">
          <w:rPr>
            <w:vanish/>
          </w:rPr>
        </w:r>
        <w:r w:rsidR="008D25FE" w:rsidRPr="008D25FE">
          <w:rPr>
            <w:vanish/>
          </w:rPr>
          <w:fldChar w:fldCharType="separate"/>
        </w:r>
        <w:r w:rsidR="008D25FE" w:rsidRPr="008D25FE">
          <w:rPr>
            <w:vanish/>
          </w:rPr>
          <w:t>83</w:t>
        </w:r>
        <w:r w:rsidR="008D25FE" w:rsidRPr="008D25FE">
          <w:rPr>
            <w:vanish/>
          </w:rP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32" w:history="1">
        <w:r w:rsidR="008D25FE" w:rsidRPr="00BF4AD3">
          <w:t>Part 11.1</w:t>
        </w:r>
        <w:r w:rsidR="008D25FE">
          <w:rPr>
            <w:rFonts w:asciiTheme="minorHAnsi" w:hAnsiTheme="minorHAnsi" w:cstheme="minorBidi"/>
            <w:b w:val="0"/>
            <w:bCs w:val="0"/>
            <w:sz w:val="22"/>
            <w:szCs w:val="22"/>
            <w:lang w:eastAsia="en-AU"/>
          </w:rPr>
          <w:tab/>
        </w:r>
        <w:r w:rsidR="008D25FE" w:rsidRPr="00BF4AD3">
          <w:t>Neutral evaluation</w:t>
        </w:r>
        <w:r w:rsidR="008D25FE" w:rsidRPr="008D25FE">
          <w:rPr>
            <w:vanish/>
          </w:rPr>
          <w:tab/>
        </w:r>
        <w:r w:rsidR="008D25FE" w:rsidRPr="008D25FE">
          <w:rPr>
            <w:vanish/>
          </w:rPr>
          <w:fldChar w:fldCharType="begin"/>
        </w:r>
        <w:r w:rsidR="008D25FE" w:rsidRPr="008D25FE">
          <w:rPr>
            <w:vanish/>
          </w:rPr>
          <w:instrText xml:space="preserve"> PAGEREF _Toc4661432 \h </w:instrText>
        </w:r>
        <w:r w:rsidR="008D25FE" w:rsidRPr="008D25FE">
          <w:rPr>
            <w:vanish/>
          </w:rPr>
        </w:r>
        <w:r w:rsidR="008D25FE" w:rsidRPr="008D25FE">
          <w:rPr>
            <w:vanish/>
          </w:rPr>
          <w:fldChar w:fldCharType="separate"/>
        </w:r>
        <w:r w:rsidR="008D25FE" w:rsidRPr="008D25FE">
          <w:rPr>
            <w:vanish/>
          </w:rPr>
          <w:t>83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33" w:history="1">
        <w:r w:rsidRPr="00BF4AD3">
          <w:t>119</w:t>
        </w:r>
        <w:r>
          <w:rPr>
            <w:rFonts w:asciiTheme="minorHAnsi" w:hAnsiTheme="minorHAnsi" w:cstheme="minorBidi"/>
            <w:sz w:val="22"/>
            <w:szCs w:val="22"/>
            <w:lang w:eastAsia="en-AU"/>
          </w:rPr>
          <w:tab/>
        </w:r>
        <w:r w:rsidRPr="00BF4AD3">
          <w:t>Purpose of pt 11.1 etc</w:t>
        </w:r>
        <w:r>
          <w:tab/>
        </w:r>
        <w:r>
          <w:fldChar w:fldCharType="begin"/>
        </w:r>
        <w:r>
          <w:instrText xml:space="preserve"> PAGEREF _Toc4661433 \h </w:instrText>
        </w:r>
        <w:r>
          <w:fldChar w:fldCharType="separate"/>
        </w:r>
        <w:r>
          <w:t>83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4" w:history="1">
        <w:r w:rsidRPr="00BF4AD3">
          <w:t>120</w:t>
        </w:r>
        <w:r>
          <w:rPr>
            <w:rFonts w:asciiTheme="minorHAnsi" w:hAnsiTheme="minorHAnsi" w:cstheme="minorBidi"/>
            <w:sz w:val="22"/>
            <w:szCs w:val="22"/>
            <w:lang w:eastAsia="en-AU"/>
          </w:rPr>
          <w:tab/>
        </w:r>
        <w:r w:rsidRPr="00BF4AD3">
          <w:t xml:space="preserve">Meaning of </w:t>
        </w:r>
        <w:r w:rsidRPr="00BF4AD3">
          <w:rPr>
            <w:i/>
            <w:iCs/>
          </w:rPr>
          <w:t>neutral evaluation</w:t>
        </w:r>
        <w:r w:rsidRPr="00BF4AD3">
          <w:t xml:space="preserve"> and </w:t>
        </w:r>
        <w:r w:rsidRPr="00BF4AD3">
          <w:rPr>
            <w:i/>
            <w:iCs/>
          </w:rPr>
          <w:t>neutral evaluation session</w:t>
        </w:r>
        <w:r>
          <w:tab/>
        </w:r>
        <w:r>
          <w:fldChar w:fldCharType="begin"/>
        </w:r>
        <w:r>
          <w:instrText xml:space="preserve"> PAGEREF _Toc4661434 \h </w:instrText>
        </w:r>
        <w:r>
          <w:fldChar w:fldCharType="separate"/>
        </w:r>
        <w:r>
          <w:t>83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5" w:history="1">
        <w:r w:rsidRPr="00BF4AD3">
          <w:t>121</w:t>
        </w:r>
        <w:r>
          <w:rPr>
            <w:rFonts w:asciiTheme="minorHAnsi" w:hAnsiTheme="minorHAnsi" w:cstheme="minorBidi"/>
            <w:sz w:val="22"/>
            <w:szCs w:val="22"/>
            <w:lang w:eastAsia="en-AU"/>
          </w:rPr>
          <w:tab/>
        </w:r>
        <w:r w:rsidRPr="00BF4AD3">
          <w:t>Who can be an evaluator</w:t>
        </w:r>
        <w:r>
          <w:tab/>
        </w:r>
        <w:r>
          <w:fldChar w:fldCharType="begin"/>
        </w:r>
        <w:r>
          <w:instrText xml:space="preserve"> PAGEREF _Toc4661435 \h </w:instrText>
        </w:r>
        <w:r>
          <w:fldChar w:fldCharType="separate"/>
        </w:r>
        <w:r>
          <w:t>83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6" w:history="1">
        <w:r w:rsidRPr="00BF4AD3">
          <w:t>122</w:t>
        </w:r>
        <w:r>
          <w:rPr>
            <w:rFonts w:asciiTheme="minorHAnsi" w:hAnsiTheme="minorHAnsi" w:cstheme="minorBidi"/>
            <w:sz w:val="22"/>
            <w:szCs w:val="22"/>
            <w:lang w:eastAsia="en-AU"/>
          </w:rPr>
          <w:tab/>
        </w:r>
        <w:r w:rsidRPr="00BF4AD3">
          <w:t>Referral by court or tribunal for neutral evaluation</w:t>
        </w:r>
        <w:r>
          <w:tab/>
        </w:r>
        <w:r>
          <w:fldChar w:fldCharType="begin"/>
        </w:r>
        <w:r>
          <w:instrText xml:space="preserve"> PAGEREF _Toc4661436 \h </w:instrText>
        </w:r>
        <w:r>
          <w:fldChar w:fldCharType="separate"/>
        </w:r>
        <w:r>
          <w:t>84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7" w:history="1">
        <w:r w:rsidRPr="00BF4AD3">
          <w:t>123</w:t>
        </w:r>
        <w:r>
          <w:rPr>
            <w:rFonts w:asciiTheme="minorHAnsi" w:hAnsiTheme="minorHAnsi" w:cstheme="minorBidi"/>
            <w:sz w:val="22"/>
            <w:szCs w:val="22"/>
            <w:lang w:eastAsia="en-AU"/>
          </w:rPr>
          <w:tab/>
        </w:r>
        <w:r w:rsidRPr="00BF4AD3">
          <w:t>Duty of parties to take part in neutral evaluations</w:t>
        </w:r>
        <w:r>
          <w:tab/>
        </w:r>
        <w:r>
          <w:fldChar w:fldCharType="begin"/>
        </w:r>
        <w:r>
          <w:instrText xml:space="preserve"> PAGEREF _Toc4661437 \h </w:instrText>
        </w:r>
        <w:r>
          <w:fldChar w:fldCharType="separate"/>
        </w:r>
        <w:r>
          <w:t>84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8" w:history="1">
        <w:r w:rsidRPr="00BF4AD3">
          <w:t>124</w:t>
        </w:r>
        <w:r>
          <w:rPr>
            <w:rFonts w:asciiTheme="minorHAnsi" w:hAnsiTheme="minorHAnsi" w:cstheme="minorBidi"/>
            <w:sz w:val="22"/>
            <w:szCs w:val="22"/>
            <w:lang w:eastAsia="en-AU"/>
          </w:rPr>
          <w:tab/>
        </w:r>
        <w:r w:rsidRPr="00BF4AD3">
          <w:t>Costs of neutral evaluation</w:t>
        </w:r>
        <w:r>
          <w:tab/>
        </w:r>
        <w:r>
          <w:fldChar w:fldCharType="begin"/>
        </w:r>
        <w:r>
          <w:instrText xml:space="preserve"> PAGEREF _Toc4661438 \h </w:instrText>
        </w:r>
        <w:r>
          <w:fldChar w:fldCharType="separate"/>
        </w:r>
        <w:r>
          <w:t>84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39" w:history="1">
        <w:r w:rsidRPr="00BF4AD3">
          <w:t>125</w:t>
        </w:r>
        <w:r>
          <w:rPr>
            <w:rFonts w:asciiTheme="minorHAnsi" w:hAnsiTheme="minorHAnsi" w:cstheme="minorBidi"/>
            <w:sz w:val="22"/>
            <w:szCs w:val="22"/>
            <w:lang w:eastAsia="en-AU"/>
          </w:rPr>
          <w:tab/>
        </w:r>
        <w:r w:rsidRPr="00BF4AD3">
          <w:t>Privilege for neutral evaluations</w:t>
        </w:r>
        <w:r>
          <w:tab/>
        </w:r>
        <w:r>
          <w:fldChar w:fldCharType="begin"/>
        </w:r>
        <w:r>
          <w:instrText xml:space="preserve"> PAGEREF _Toc4661439 \h </w:instrText>
        </w:r>
        <w:r>
          <w:fldChar w:fldCharType="separate"/>
        </w:r>
        <w:r>
          <w:t>84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0" w:history="1">
        <w:r w:rsidRPr="00BF4AD3">
          <w:t>126</w:t>
        </w:r>
        <w:r>
          <w:rPr>
            <w:rFonts w:asciiTheme="minorHAnsi" w:hAnsiTheme="minorHAnsi" w:cstheme="minorBidi"/>
            <w:sz w:val="22"/>
            <w:szCs w:val="22"/>
            <w:lang w:eastAsia="en-AU"/>
          </w:rPr>
          <w:tab/>
        </w:r>
        <w:r w:rsidRPr="00BF4AD3">
          <w:t>Secrecy by evaluators</w:t>
        </w:r>
        <w:r>
          <w:tab/>
        </w:r>
        <w:r>
          <w:fldChar w:fldCharType="begin"/>
        </w:r>
        <w:r>
          <w:instrText xml:space="preserve"> PAGEREF _Toc4661440 \h </w:instrText>
        </w:r>
        <w:r>
          <w:fldChar w:fldCharType="separate"/>
        </w:r>
        <w:r>
          <w:t>86</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1" w:history="1">
        <w:r w:rsidRPr="00BF4AD3">
          <w:t>127</w:t>
        </w:r>
        <w:r>
          <w:rPr>
            <w:rFonts w:asciiTheme="minorHAnsi" w:hAnsiTheme="minorHAnsi" w:cstheme="minorBidi"/>
            <w:sz w:val="22"/>
            <w:szCs w:val="22"/>
            <w:lang w:eastAsia="en-AU"/>
          </w:rPr>
          <w:tab/>
        </w:r>
        <w:r w:rsidRPr="00BF4AD3">
          <w:t>Protection from liability for evaluators</w:t>
        </w:r>
        <w:r>
          <w:tab/>
        </w:r>
        <w:r>
          <w:fldChar w:fldCharType="begin"/>
        </w:r>
        <w:r>
          <w:instrText xml:space="preserve"> PAGEREF _Toc4661441 \h </w:instrText>
        </w:r>
        <w:r>
          <w:fldChar w:fldCharType="separate"/>
        </w:r>
        <w:r>
          <w:t>86</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42" w:history="1">
        <w:r w:rsidR="008D25FE" w:rsidRPr="00BF4AD3">
          <w:t>Part 11.2</w:t>
        </w:r>
        <w:r w:rsidR="008D25FE">
          <w:rPr>
            <w:rFonts w:asciiTheme="minorHAnsi" w:hAnsiTheme="minorHAnsi" w:cstheme="minorBidi"/>
            <w:b w:val="0"/>
            <w:bCs w:val="0"/>
            <w:sz w:val="22"/>
            <w:szCs w:val="22"/>
            <w:lang w:eastAsia="en-AU"/>
          </w:rPr>
          <w:tab/>
        </w:r>
        <w:r w:rsidR="008D25FE" w:rsidRPr="00BF4AD3">
          <w:t>General reporting requirements of insurers</w:t>
        </w:r>
        <w:r w:rsidR="008D25FE" w:rsidRPr="008D25FE">
          <w:rPr>
            <w:vanish/>
          </w:rPr>
          <w:tab/>
        </w:r>
        <w:r w:rsidR="008D25FE" w:rsidRPr="008D25FE">
          <w:rPr>
            <w:vanish/>
          </w:rPr>
          <w:fldChar w:fldCharType="begin"/>
        </w:r>
        <w:r w:rsidR="008D25FE" w:rsidRPr="008D25FE">
          <w:rPr>
            <w:vanish/>
          </w:rPr>
          <w:instrText xml:space="preserve"> PAGEREF _Toc4661442 \h </w:instrText>
        </w:r>
        <w:r w:rsidR="008D25FE" w:rsidRPr="008D25FE">
          <w:rPr>
            <w:vanish/>
          </w:rPr>
        </w:r>
        <w:r w:rsidR="008D25FE" w:rsidRPr="008D25FE">
          <w:rPr>
            <w:vanish/>
          </w:rPr>
          <w:fldChar w:fldCharType="separate"/>
        </w:r>
        <w:r w:rsidR="008D25FE" w:rsidRPr="008D25FE">
          <w:rPr>
            <w:vanish/>
          </w:rPr>
          <w:t>87</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43" w:history="1">
        <w:r w:rsidRPr="00BF4AD3">
          <w:t>128</w:t>
        </w:r>
        <w:r>
          <w:rPr>
            <w:rFonts w:asciiTheme="minorHAnsi" w:hAnsiTheme="minorHAnsi" w:cstheme="minorBidi"/>
            <w:sz w:val="22"/>
            <w:szCs w:val="22"/>
            <w:lang w:eastAsia="en-AU"/>
          </w:rPr>
          <w:tab/>
        </w:r>
        <w:r w:rsidRPr="00BF4AD3">
          <w:t xml:space="preserve">Who is an </w:t>
        </w:r>
        <w:r w:rsidRPr="00BF4AD3">
          <w:rPr>
            <w:i/>
            <w:iCs/>
          </w:rPr>
          <w:t>insurer</w:t>
        </w:r>
        <w:r w:rsidRPr="00BF4AD3">
          <w:t xml:space="preserve"> for pt 11.2</w:t>
        </w:r>
        <w:r>
          <w:tab/>
        </w:r>
        <w:r>
          <w:fldChar w:fldCharType="begin"/>
        </w:r>
        <w:r>
          <w:instrText xml:space="preserve"> PAGEREF _Toc4661443 \h </w:instrText>
        </w:r>
        <w:r>
          <w:fldChar w:fldCharType="separate"/>
        </w:r>
        <w:r>
          <w:t>87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4" w:history="1">
        <w:r w:rsidRPr="00BF4AD3">
          <w:t>129</w:t>
        </w:r>
        <w:r>
          <w:rPr>
            <w:rFonts w:asciiTheme="minorHAnsi" w:hAnsiTheme="minorHAnsi" w:cstheme="minorBidi"/>
            <w:sz w:val="22"/>
            <w:szCs w:val="22"/>
            <w:lang w:eastAsia="en-AU"/>
          </w:rPr>
          <w:tab/>
        </w:r>
        <w:r w:rsidRPr="00BF4AD3">
          <w:t>Insurers reporting requirements</w:t>
        </w:r>
        <w:r>
          <w:tab/>
        </w:r>
        <w:r>
          <w:fldChar w:fldCharType="begin"/>
        </w:r>
        <w:r>
          <w:instrText xml:space="preserve"> PAGEREF _Toc4661444 \h </w:instrText>
        </w:r>
        <w:r>
          <w:fldChar w:fldCharType="separate"/>
        </w:r>
        <w:r>
          <w:t>87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5" w:history="1">
        <w:r w:rsidRPr="00BF4AD3">
          <w:t>130</w:t>
        </w:r>
        <w:r>
          <w:rPr>
            <w:rFonts w:asciiTheme="minorHAnsi" w:hAnsiTheme="minorHAnsi" w:cstheme="minorBidi"/>
            <w:sz w:val="22"/>
            <w:szCs w:val="22"/>
            <w:lang w:eastAsia="en-AU"/>
          </w:rPr>
          <w:tab/>
        </w:r>
        <w:r w:rsidRPr="00BF4AD3">
          <w:t>Confidentiality of general reports of insurers</w:t>
        </w:r>
        <w:r>
          <w:tab/>
        </w:r>
        <w:r>
          <w:fldChar w:fldCharType="begin"/>
        </w:r>
        <w:r>
          <w:instrText xml:space="preserve"> PAGEREF _Toc4661445 \h </w:instrText>
        </w:r>
        <w:r>
          <w:fldChar w:fldCharType="separate"/>
        </w:r>
        <w:r>
          <w:t>88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6" w:history="1">
        <w:r w:rsidRPr="00BF4AD3">
          <w:t>131</w:t>
        </w:r>
        <w:r>
          <w:rPr>
            <w:rFonts w:asciiTheme="minorHAnsi" w:hAnsiTheme="minorHAnsi" w:cstheme="minorBidi"/>
            <w:sz w:val="22"/>
            <w:szCs w:val="22"/>
            <w:lang w:eastAsia="en-AU"/>
          </w:rPr>
          <w:tab/>
        </w:r>
        <w:r w:rsidRPr="00BF4AD3">
          <w:t>Report to Legislative Assembly</w:t>
        </w:r>
        <w:r>
          <w:tab/>
        </w:r>
        <w:r>
          <w:fldChar w:fldCharType="begin"/>
        </w:r>
        <w:r>
          <w:instrText xml:space="preserve"> PAGEREF _Toc4661446 \h </w:instrText>
        </w:r>
        <w:r>
          <w:fldChar w:fldCharType="separate"/>
        </w:r>
        <w:r>
          <w:t>89</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47" w:history="1">
        <w:r w:rsidR="008D25FE" w:rsidRPr="00BF4AD3">
          <w:t>Part 11.3</w:t>
        </w:r>
        <w:r w:rsidR="008D25FE">
          <w:rPr>
            <w:rFonts w:asciiTheme="minorHAnsi" w:hAnsiTheme="minorHAnsi" w:cstheme="minorBidi"/>
            <w:b w:val="0"/>
            <w:bCs w:val="0"/>
            <w:sz w:val="22"/>
            <w:szCs w:val="22"/>
            <w:lang w:eastAsia="en-AU"/>
          </w:rPr>
          <w:tab/>
        </w:r>
        <w:r w:rsidR="008D25FE" w:rsidRPr="00BF4AD3">
          <w:t>Attachment of insurance money</w:t>
        </w:r>
        <w:r w:rsidR="008D25FE" w:rsidRPr="008D25FE">
          <w:rPr>
            <w:vanish/>
          </w:rPr>
          <w:tab/>
        </w:r>
        <w:r w:rsidR="008D25FE" w:rsidRPr="008D25FE">
          <w:rPr>
            <w:vanish/>
          </w:rPr>
          <w:fldChar w:fldCharType="begin"/>
        </w:r>
        <w:r w:rsidR="008D25FE" w:rsidRPr="008D25FE">
          <w:rPr>
            <w:vanish/>
          </w:rPr>
          <w:instrText xml:space="preserve"> PAGEREF _Toc4661447 \h </w:instrText>
        </w:r>
        <w:r w:rsidR="008D25FE" w:rsidRPr="008D25FE">
          <w:rPr>
            <w:vanish/>
          </w:rPr>
        </w:r>
        <w:r w:rsidR="008D25FE" w:rsidRPr="008D25FE">
          <w:rPr>
            <w:vanish/>
          </w:rPr>
          <w:fldChar w:fldCharType="separate"/>
        </w:r>
        <w:r w:rsidR="008D25FE" w:rsidRPr="008D25FE">
          <w:rPr>
            <w:vanish/>
          </w:rPr>
          <w:t>90</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48" w:history="1">
        <w:r w:rsidRPr="00BF4AD3">
          <w:t>132</w:t>
        </w:r>
        <w:r>
          <w:rPr>
            <w:rFonts w:asciiTheme="minorHAnsi" w:hAnsiTheme="minorHAnsi" w:cstheme="minorBidi"/>
            <w:sz w:val="22"/>
            <w:szCs w:val="22"/>
            <w:lang w:eastAsia="en-AU"/>
          </w:rPr>
          <w:tab/>
        </w:r>
        <w:r w:rsidRPr="00BF4AD3">
          <w:t>Amount of liability charge on insurance money payable against liability (LR(MP)A s 25)</w:t>
        </w:r>
        <w:r>
          <w:tab/>
        </w:r>
        <w:r>
          <w:fldChar w:fldCharType="begin"/>
        </w:r>
        <w:r>
          <w:instrText xml:space="preserve"> PAGEREF _Toc4661448 \h </w:instrText>
        </w:r>
        <w:r>
          <w:fldChar w:fldCharType="separate"/>
        </w:r>
        <w:r>
          <w:t>90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49" w:history="1">
        <w:r w:rsidRPr="00BF4AD3">
          <w:t>133</w:t>
        </w:r>
        <w:r>
          <w:rPr>
            <w:rFonts w:asciiTheme="minorHAnsi" w:hAnsiTheme="minorHAnsi" w:cstheme="minorBidi"/>
            <w:sz w:val="22"/>
            <w:szCs w:val="22"/>
            <w:lang w:eastAsia="en-AU"/>
          </w:rPr>
          <w:tab/>
        </w:r>
        <w:r w:rsidRPr="00BF4AD3">
          <w:t>Enforcement of charge on insurance money (LR(MP)A s 26)</w:t>
        </w:r>
        <w:r>
          <w:tab/>
        </w:r>
        <w:r>
          <w:fldChar w:fldCharType="begin"/>
        </w:r>
        <w:r>
          <w:instrText xml:space="preserve"> PAGEREF _Toc4661449 \h </w:instrText>
        </w:r>
        <w:r>
          <w:fldChar w:fldCharType="separate"/>
        </w:r>
        <w:r>
          <w:t>91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0" w:history="1">
        <w:r w:rsidRPr="00BF4AD3">
          <w:t>134</w:t>
        </w:r>
        <w:r>
          <w:rPr>
            <w:rFonts w:asciiTheme="minorHAnsi" w:hAnsiTheme="minorHAnsi" w:cstheme="minorBidi"/>
            <w:sz w:val="22"/>
            <w:szCs w:val="22"/>
            <w:lang w:eastAsia="en-AU"/>
          </w:rPr>
          <w:tab/>
        </w:r>
        <w:r w:rsidRPr="00BF4AD3">
          <w:t>Protection of insurer for pt 11.3 charge (LR(MP)A s 27)</w:t>
        </w:r>
        <w:r>
          <w:tab/>
        </w:r>
        <w:r>
          <w:fldChar w:fldCharType="begin"/>
        </w:r>
        <w:r>
          <w:instrText xml:space="preserve"> PAGEREF _Toc4661450 \h </w:instrText>
        </w:r>
        <w:r>
          <w:fldChar w:fldCharType="separate"/>
        </w:r>
        <w:r>
          <w:t>91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1" w:history="1">
        <w:r w:rsidRPr="00BF4AD3">
          <w:t>135</w:t>
        </w:r>
        <w:r>
          <w:rPr>
            <w:rFonts w:asciiTheme="minorHAnsi" w:hAnsiTheme="minorHAnsi" w:cstheme="minorBidi"/>
            <w:sz w:val="22"/>
            <w:szCs w:val="22"/>
            <w:lang w:eastAsia="en-AU"/>
          </w:rPr>
          <w:tab/>
        </w:r>
        <w:r w:rsidRPr="00BF4AD3">
          <w:t>Certain other provisions not affected by pt 11.3 (LR(MP)A s 28)</w:t>
        </w:r>
        <w:r>
          <w:tab/>
        </w:r>
        <w:r>
          <w:fldChar w:fldCharType="begin"/>
        </w:r>
        <w:r>
          <w:instrText xml:space="preserve"> PAGEREF _Toc4661451 \h </w:instrText>
        </w:r>
        <w:r>
          <w:fldChar w:fldCharType="separate"/>
        </w:r>
        <w:r>
          <w:t>92</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52" w:history="1">
        <w:r w:rsidR="008D25FE" w:rsidRPr="00BF4AD3">
          <w:t>Part 11.4</w:t>
        </w:r>
        <w:r w:rsidR="008D25FE">
          <w:rPr>
            <w:rFonts w:asciiTheme="minorHAnsi" w:hAnsiTheme="minorHAnsi" w:cstheme="minorBidi"/>
            <w:b w:val="0"/>
            <w:bCs w:val="0"/>
            <w:sz w:val="22"/>
            <w:szCs w:val="22"/>
            <w:lang w:eastAsia="en-AU"/>
          </w:rPr>
          <w:tab/>
        </w:r>
        <w:r w:rsidR="008D25FE" w:rsidRPr="00BF4AD3">
          <w:t>Abolition of certain common law actions, rules and remedies</w:t>
        </w:r>
        <w:r w:rsidR="008D25FE" w:rsidRPr="008D25FE">
          <w:rPr>
            <w:vanish/>
          </w:rPr>
          <w:tab/>
        </w:r>
        <w:r w:rsidR="008D25FE" w:rsidRPr="008D25FE">
          <w:rPr>
            <w:vanish/>
          </w:rPr>
          <w:fldChar w:fldCharType="begin"/>
        </w:r>
        <w:r w:rsidR="008D25FE" w:rsidRPr="008D25FE">
          <w:rPr>
            <w:vanish/>
          </w:rPr>
          <w:instrText xml:space="preserve"> PAGEREF _Toc4661452 \h </w:instrText>
        </w:r>
        <w:r w:rsidR="008D25FE" w:rsidRPr="008D25FE">
          <w:rPr>
            <w:vanish/>
          </w:rPr>
        </w:r>
        <w:r w:rsidR="008D25FE" w:rsidRPr="008D25FE">
          <w:rPr>
            <w:vanish/>
          </w:rPr>
          <w:fldChar w:fldCharType="separate"/>
        </w:r>
        <w:r w:rsidR="008D25FE" w:rsidRPr="008D25FE">
          <w:rPr>
            <w:vanish/>
          </w:rPr>
          <w:t>93</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53" w:history="1">
        <w:r w:rsidRPr="00BF4AD3">
          <w:t>136</w:t>
        </w:r>
        <w:r>
          <w:rPr>
            <w:rFonts w:asciiTheme="minorHAnsi" w:hAnsiTheme="minorHAnsi" w:cstheme="minorBidi"/>
            <w:sz w:val="22"/>
            <w:szCs w:val="22"/>
            <w:lang w:eastAsia="en-AU"/>
          </w:rPr>
          <w:tab/>
        </w:r>
        <w:r w:rsidRPr="00BF4AD3">
          <w:t>Abolition of seduction, enticement and harbouring</w:t>
        </w:r>
        <w:r>
          <w:tab/>
        </w:r>
        <w:r>
          <w:fldChar w:fldCharType="begin"/>
        </w:r>
        <w:r>
          <w:instrText xml:space="preserve"> PAGEREF _Toc4661453 \h </w:instrText>
        </w:r>
        <w:r>
          <w:fldChar w:fldCharType="separate"/>
        </w:r>
        <w:r>
          <w:t>93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4" w:history="1">
        <w:r w:rsidRPr="00BF4AD3">
          <w:t>137</w:t>
        </w:r>
        <w:r>
          <w:rPr>
            <w:rFonts w:asciiTheme="minorHAnsi" w:hAnsiTheme="minorHAnsi" w:cstheme="minorBidi"/>
            <w:sz w:val="22"/>
            <w:szCs w:val="22"/>
            <w:lang w:eastAsia="en-AU"/>
          </w:rPr>
          <w:tab/>
        </w:r>
        <w:r w:rsidRPr="00BF4AD3">
          <w:t>Abolition of rule about unity of spouses (MP(T)A s 4, s 5)</w:t>
        </w:r>
        <w:r>
          <w:tab/>
        </w:r>
        <w:r>
          <w:fldChar w:fldCharType="begin"/>
        </w:r>
        <w:r>
          <w:instrText xml:space="preserve"> PAGEREF _Toc4661454 \h </w:instrText>
        </w:r>
        <w:r>
          <w:fldChar w:fldCharType="separate"/>
        </w:r>
        <w:r>
          <w:t>93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5" w:history="1">
        <w:r w:rsidRPr="00BF4AD3">
          <w:t>138</w:t>
        </w:r>
        <w:r>
          <w:rPr>
            <w:rFonts w:asciiTheme="minorHAnsi" w:hAnsiTheme="minorHAnsi" w:cstheme="minorBidi"/>
            <w:sz w:val="22"/>
            <w:szCs w:val="22"/>
            <w:lang w:eastAsia="en-AU"/>
          </w:rPr>
          <w:tab/>
        </w:r>
        <w:r w:rsidRPr="00BF4AD3">
          <w:t>Abolition of action of cattle-trespass (CL(A)A s 4)</w:t>
        </w:r>
        <w:r>
          <w:tab/>
        </w:r>
        <w:r>
          <w:fldChar w:fldCharType="begin"/>
        </w:r>
        <w:r>
          <w:instrText xml:space="preserve"> PAGEREF _Toc4661455 \h </w:instrText>
        </w:r>
        <w:r>
          <w:fldChar w:fldCharType="separate"/>
        </w:r>
        <w:r>
          <w:t>93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6" w:history="1">
        <w:r w:rsidRPr="00BF4AD3">
          <w:t>139</w:t>
        </w:r>
        <w:r>
          <w:rPr>
            <w:rFonts w:asciiTheme="minorHAnsi" w:hAnsiTheme="minorHAnsi" w:cstheme="minorBidi"/>
            <w:sz w:val="22"/>
            <w:szCs w:val="22"/>
            <w:lang w:eastAsia="en-AU"/>
          </w:rPr>
          <w:tab/>
        </w:r>
        <w:r w:rsidRPr="00BF4AD3">
          <w:t>Abolition of distress damage feasant (CL(A)A s 5)</w:t>
        </w:r>
        <w:r>
          <w:tab/>
        </w:r>
        <w:r>
          <w:fldChar w:fldCharType="begin"/>
        </w:r>
        <w:r>
          <w:instrText xml:space="preserve"> PAGEREF _Toc4661456 \h </w:instrText>
        </w:r>
        <w:r>
          <w:fldChar w:fldCharType="separate"/>
        </w:r>
        <w:r>
          <w:t>93</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7" w:history="1">
        <w:r w:rsidRPr="00BF4AD3">
          <w:t>140</w:t>
        </w:r>
        <w:r>
          <w:rPr>
            <w:rFonts w:asciiTheme="minorHAnsi" w:hAnsiTheme="minorHAnsi" w:cstheme="minorBidi"/>
            <w:sz w:val="22"/>
            <w:szCs w:val="22"/>
            <w:lang w:eastAsia="en-AU"/>
          </w:rPr>
          <w:tab/>
        </w:r>
        <w:r w:rsidRPr="00BF4AD3">
          <w:t>Abolition of rules relating exclusively to liability for damage by animals (CL(A)A s 6)</w:t>
        </w:r>
        <w:r>
          <w:tab/>
        </w:r>
        <w:r>
          <w:fldChar w:fldCharType="begin"/>
        </w:r>
        <w:r>
          <w:instrText xml:space="preserve"> PAGEREF _Toc4661457 \h </w:instrText>
        </w:r>
        <w:r>
          <w:fldChar w:fldCharType="separate"/>
        </w:r>
        <w:r>
          <w:t>94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8" w:history="1">
        <w:r w:rsidRPr="00BF4AD3">
          <w:t>141</w:t>
        </w:r>
        <w:r>
          <w:rPr>
            <w:rFonts w:asciiTheme="minorHAnsi" w:hAnsiTheme="minorHAnsi" w:cstheme="minorBidi"/>
            <w:sz w:val="22"/>
            <w:szCs w:val="22"/>
            <w:lang w:eastAsia="en-AU"/>
          </w:rPr>
          <w:tab/>
        </w:r>
        <w:r w:rsidRPr="00BF4AD3">
          <w:t>Partial abolition of rule in Rylands</w:t>
        </w:r>
        <w:r w:rsidRPr="00BF4AD3">
          <w:rPr>
            <w:i/>
            <w:iCs/>
          </w:rPr>
          <w:t xml:space="preserve"> </w:t>
        </w:r>
        <w:r w:rsidRPr="00BF4AD3">
          <w:t>v</w:t>
        </w:r>
        <w:r w:rsidRPr="00BF4AD3">
          <w:rPr>
            <w:i/>
            <w:iCs/>
          </w:rPr>
          <w:t xml:space="preserve"> </w:t>
        </w:r>
        <w:r w:rsidRPr="00BF4AD3">
          <w:t>Fletcher</w:t>
        </w:r>
        <w:r w:rsidRPr="00BF4AD3">
          <w:rPr>
            <w:i/>
            <w:iCs/>
          </w:rPr>
          <w:t xml:space="preserve"> </w:t>
        </w:r>
        <w:r w:rsidRPr="00BF4AD3">
          <w:t>(CL(A)A s 7)</w:t>
        </w:r>
        <w:r>
          <w:tab/>
        </w:r>
        <w:r>
          <w:fldChar w:fldCharType="begin"/>
        </w:r>
        <w:r>
          <w:instrText xml:space="preserve"> PAGEREF _Toc4661458 \h </w:instrText>
        </w:r>
        <w:r>
          <w:fldChar w:fldCharType="separate"/>
        </w:r>
        <w:r>
          <w:t>94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59" w:history="1">
        <w:r w:rsidRPr="00BF4AD3">
          <w:t>142</w:t>
        </w:r>
        <w:r>
          <w:rPr>
            <w:rFonts w:asciiTheme="minorHAnsi" w:hAnsiTheme="minorHAnsi" w:cstheme="minorBidi"/>
            <w:sz w:val="22"/>
            <w:szCs w:val="22"/>
            <w:lang w:eastAsia="en-AU"/>
          </w:rPr>
          <w:tab/>
        </w:r>
        <w:r w:rsidRPr="00BF4AD3">
          <w:t>Abolition of rule of common employment (LR(MP)A s 21)</w:t>
        </w:r>
        <w:r>
          <w:tab/>
        </w:r>
        <w:r>
          <w:fldChar w:fldCharType="begin"/>
        </w:r>
        <w:r>
          <w:instrText xml:space="preserve"> PAGEREF _Toc4661459 \h </w:instrText>
        </w:r>
        <w:r>
          <w:fldChar w:fldCharType="separate"/>
        </w:r>
        <w:r>
          <w:t>94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0" w:history="1">
        <w:r w:rsidRPr="00BF4AD3">
          <w:t>143</w:t>
        </w:r>
        <w:r>
          <w:rPr>
            <w:rFonts w:asciiTheme="minorHAnsi" w:hAnsiTheme="minorHAnsi" w:cstheme="minorBidi"/>
            <w:sz w:val="22"/>
            <w:szCs w:val="22"/>
            <w:lang w:eastAsia="en-AU"/>
          </w:rPr>
          <w:tab/>
        </w:r>
        <w:r w:rsidRPr="00BF4AD3">
          <w:t>Abolition of husband’s liability for wife’s torts and premarital obligations (LR(MP)A s 9)</w:t>
        </w:r>
        <w:r>
          <w:tab/>
        </w:r>
        <w:r>
          <w:fldChar w:fldCharType="begin"/>
        </w:r>
        <w:r>
          <w:instrText xml:space="preserve"> PAGEREF _Toc4661460 \h </w:instrText>
        </w:r>
        <w:r>
          <w:fldChar w:fldCharType="separate"/>
        </w:r>
        <w:r>
          <w:t>94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1" w:history="1">
        <w:r w:rsidRPr="00BF4AD3">
          <w:t>144</w:t>
        </w:r>
        <w:r>
          <w:rPr>
            <w:rFonts w:asciiTheme="minorHAnsi" w:hAnsiTheme="minorHAnsi" w:cstheme="minorBidi"/>
            <w:sz w:val="22"/>
            <w:szCs w:val="22"/>
            <w:lang w:eastAsia="en-AU"/>
          </w:rPr>
          <w:tab/>
        </w:r>
        <w:r w:rsidRPr="00BF4AD3">
          <w:t>Abolition of action for loss of consortium (LR(MP)A s 32)</w:t>
        </w:r>
        <w:r>
          <w:tab/>
        </w:r>
        <w:r>
          <w:fldChar w:fldCharType="begin"/>
        </w:r>
        <w:r>
          <w:instrText xml:space="preserve"> PAGEREF _Toc4661461 \h </w:instrText>
        </w:r>
        <w:r>
          <w:fldChar w:fldCharType="separate"/>
        </w:r>
        <w:r>
          <w:t>94</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2" w:history="1">
        <w:r w:rsidRPr="00BF4AD3">
          <w:t>145</w:t>
        </w:r>
        <w:r>
          <w:rPr>
            <w:rFonts w:asciiTheme="minorHAnsi" w:hAnsiTheme="minorHAnsi" w:cstheme="minorBidi"/>
            <w:sz w:val="22"/>
            <w:szCs w:val="22"/>
            <w:lang w:eastAsia="en-AU"/>
          </w:rPr>
          <w:tab/>
        </w:r>
        <w:r w:rsidRPr="00BF4AD3">
          <w:t>Abolition of rule in Cavalier v Pope (LR(MP)A s 29)</w:t>
        </w:r>
        <w:r>
          <w:tab/>
        </w:r>
        <w:r>
          <w:fldChar w:fldCharType="begin"/>
        </w:r>
        <w:r>
          <w:instrText xml:space="preserve"> PAGEREF _Toc4661462 \h </w:instrText>
        </w:r>
        <w:r>
          <w:fldChar w:fldCharType="separate"/>
        </w:r>
        <w:r>
          <w:t>95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3" w:history="1">
        <w:r w:rsidRPr="00BF4AD3">
          <w:t>146</w:t>
        </w:r>
        <w:r>
          <w:rPr>
            <w:rFonts w:asciiTheme="minorHAnsi" w:hAnsiTheme="minorHAnsi" w:cstheme="minorBidi"/>
            <w:sz w:val="22"/>
            <w:szCs w:val="22"/>
            <w:lang w:eastAsia="en-AU"/>
          </w:rPr>
          <w:tab/>
        </w:r>
        <w:r w:rsidRPr="00BF4AD3">
          <w:t>Partial abolition of Mocambique rule (LR(MP)A s 34, s 35)</w:t>
        </w:r>
        <w:r>
          <w:tab/>
        </w:r>
        <w:r>
          <w:fldChar w:fldCharType="begin"/>
        </w:r>
        <w:r>
          <w:instrText xml:space="preserve"> PAGEREF _Toc4661463 \h </w:instrText>
        </w:r>
        <w:r>
          <w:fldChar w:fldCharType="separate"/>
        </w:r>
        <w:r>
          <w:t>95</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4" w:history="1">
        <w:r w:rsidRPr="00BF4AD3">
          <w:t>146A</w:t>
        </w:r>
        <w:r>
          <w:rPr>
            <w:rFonts w:asciiTheme="minorHAnsi" w:hAnsiTheme="minorHAnsi" w:cstheme="minorBidi"/>
            <w:sz w:val="22"/>
            <w:szCs w:val="22"/>
            <w:lang w:eastAsia="en-AU"/>
          </w:rPr>
          <w:tab/>
        </w:r>
        <w:r w:rsidRPr="00BF4AD3">
          <w:t>Abolition of torts of maintenance and champerty</w:t>
        </w:r>
        <w:r>
          <w:tab/>
        </w:r>
        <w:r>
          <w:fldChar w:fldCharType="begin"/>
        </w:r>
        <w:r>
          <w:instrText xml:space="preserve"> PAGEREF _Toc4661464 \h </w:instrText>
        </w:r>
        <w:r>
          <w:fldChar w:fldCharType="separate"/>
        </w:r>
        <w:r>
          <w:t>95</w:t>
        </w:r>
        <w:r>
          <w:fldChar w:fldCharType="end"/>
        </w:r>
      </w:hyperlink>
    </w:p>
    <w:p w:rsidR="008D25FE" w:rsidRDefault="001B7504">
      <w:pPr>
        <w:pStyle w:val="TOC2"/>
        <w:rPr>
          <w:rFonts w:asciiTheme="minorHAnsi" w:hAnsiTheme="minorHAnsi" w:cstheme="minorBidi"/>
          <w:b w:val="0"/>
          <w:bCs w:val="0"/>
          <w:sz w:val="22"/>
          <w:szCs w:val="22"/>
          <w:lang w:eastAsia="en-AU"/>
        </w:rPr>
      </w:pPr>
      <w:hyperlink w:anchor="_Toc4661465" w:history="1">
        <w:r w:rsidR="008D25FE" w:rsidRPr="00BF4AD3">
          <w:t>Part 11.5</w:t>
        </w:r>
        <w:r w:rsidR="008D25FE">
          <w:rPr>
            <w:rFonts w:asciiTheme="minorHAnsi" w:hAnsiTheme="minorHAnsi" w:cstheme="minorBidi"/>
            <w:b w:val="0"/>
            <w:bCs w:val="0"/>
            <w:sz w:val="22"/>
            <w:szCs w:val="22"/>
            <w:lang w:eastAsia="en-AU"/>
          </w:rPr>
          <w:tab/>
        </w:r>
        <w:r w:rsidR="008D25FE" w:rsidRPr="00BF4AD3">
          <w:t>Other provisions</w:t>
        </w:r>
        <w:r w:rsidR="008D25FE" w:rsidRPr="008D25FE">
          <w:rPr>
            <w:vanish/>
          </w:rPr>
          <w:tab/>
        </w:r>
        <w:r w:rsidR="008D25FE" w:rsidRPr="008D25FE">
          <w:rPr>
            <w:vanish/>
          </w:rPr>
          <w:fldChar w:fldCharType="begin"/>
        </w:r>
        <w:r w:rsidR="008D25FE" w:rsidRPr="008D25FE">
          <w:rPr>
            <w:vanish/>
          </w:rPr>
          <w:instrText xml:space="preserve"> PAGEREF _Toc4661465 \h </w:instrText>
        </w:r>
        <w:r w:rsidR="008D25FE" w:rsidRPr="008D25FE">
          <w:rPr>
            <w:vanish/>
          </w:rPr>
        </w:r>
        <w:r w:rsidR="008D25FE" w:rsidRPr="008D25FE">
          <w:rPr>
            <w:vanish/>
          </w:rPr>
          <w:fldChar w:fldCharType="separate"/>
        </w:r>
        <w:r w:rsidR="008D25FE" w:rsidRPr="008D25FE">
          <w:rPr>
            <w:vanish/>
          </w:rPr>
          <w:t>97</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66" w:history="1">
        <w:r w:rsidRPr="00BF4AD3">
          <w:t>147</w:t>
        </w:r>
        <w:r>
          <w:rPr>
            <w:rFonts w:asciiTheme="minorHAnsi" w:hAnsiTheme="minorHAnsi" w:cstheme="minorBidi"/>
            <w:sz w:val="22"/>
            <w:szCs w:val="22"/>
            <w:lang w:eastAsia="en-AU"/>
          </w:rPr>
          <w:tab/>
        </w:r>
        <w:r w:rsidRPr="00BF4AD3">
          <w:t>Approved forms</w:t>
        </w:r>
        <w:r>
          <w:tab/>
        </w:r>
        <w:r>
          <w:fldChar w:fldCharType="begin"/>
        </w:r>
        <w:r>
          <w:instrText xml:space="preserve"> PAGEREF _Toc4661466 \h </w:instrText>
        </w:r>
        <w:r>
          <w:fldChar w:fldCharType="separate"/>
        </w:r>
        <w:r>
          <w:t>97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7" w:history="1">
        <w:r w:rsidRPr="00BF4AD3">
          <w:t>148</w:t>
        </w:r>
        <w:r>
          <w:rPr>
            <w:rFonts w:asciiTheme="minorHAnsi" w:hAnsiTheme="minorHAnsi" w:cstheme="minorBidi"/>
            <w:sz w:val="22"/>
            <w:szCs w:val="22"/>
            <w:lang w:eastAsia="en-AU"/>
          </w:rPr>
          <w:tab/>
        </w:r>
        <w:r w:rsidRPr="00BF4AD3">
          <w:t>Regulation-making power</w:t>
        </w:r>
        <w:r>
          <w:tab/>
        </w:r>
        <w:r>
          <w:fldChar w:fldCharType="begin"/>
        </w:r>
        <w:r>
          <w:instrText xml:space="preserve"> PAGEREF _Toc4661467 \h </w:instrText>
        </w:r>
        <w:r>
          <w:fldChar w:fldCharType="separate"/>
        </w:r>
        <w:r>
          <w:t>97</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68" w:history="1">
        <w:r w:rsidRPr="00BF4AD3">
          <w:t>149</w:t>
        </w:r>
        <w:r>
          <w:rPr>
            <w:rFonts w:asciiTheme="minorHAnsi" w:hAnsiTheme="minorHAnsi" w:cstheme="minorBidi"/>
            <w:sz w:val="22"/>
            <w:szCs w:val="22"/>
            <w:lang w:eastAsia="en-AU"/>
          </w:rPr>
          <w:tab/>
        </w:r>
        <w:r w:rsidRPr="00BF4AD3">
          <w:t>Repealed and amended Acts</w:t>
        </w:r>
        <w:r>
          <w:tab/>
        </w:r>
        <w:r>
          <w:fldChar w:fldCharType="begin"/>
        </w:r>
        <w:r>
          <w:instrText xml:space="preserve"> PAGEREF _Toc4661468 \h </w:instrText>
        </w:r>
        <w:r>
          <w:fldChar w:fldCharType="separate"/>
        </w:r>
        <w:r>
          <w:t>97</w:t>
        </w:r>
        <w:r>
          <w:fldChar w:fldCharType="end"/>
        </w:r>
      </w:hyperlink>
    </w:p>
    <w:p w:rsidR="008D25FE" w:rsidRDefault="001B7504">
      <w:pPr>
        <w:pStyle w:val="TOC1"/>
        <w:rPr>
          <w:rFonts w:asciiTheme="minorHAnsi" w:hAnsiTheme="minorHAnsi" w:cstheme="minorBidi"/>
          <w:b w:val="0"/>
          <w:bCs w:val="0"/>
          <w:sz w:val="22"/>
          <w:szCs w:val="22"/>
          <w:lang w:eastAsia="en-AU"/>
        </w:rPr>
      </w:pPr>
      <w:hyperlink w:anchor="_Toc4661469" w:history="1">
        <w:r w:rsidR="008D25FE" w:rsidRPr="00BF4AD3">
          <w:t>Chapter 12</w:t>
        </w:r>
        <w:r w:rsidR="008D25FE">
          <w:rPr>
            <w:rFonts w:asciiTheme="minorHAnsi" w:hAnsiTheme="minorHAnsi" w:cstheme="minorBidi"/>
            <w:b w:val="0"/>
            <w:bCs w:val="0"/>
            <w:sz w:val="22"/>
            <w:szCs w:val="22"/>
            <w:lang w:eastAsia="en-AU"/>
          </w:rPr>
          <w:tab/>
        </w:r>
        <w:r w:rsidR="008D25FE" w:rsidRPr="00BF4AD3">
          <w:t>Transitional provisions</w:t>
        </w:r>
        <w:r w:rsidR="008D25FE" w:rsidRPr="008D25FE">
          <w:rPr>
            <w:vanish/>
          </w:rPr>
          <w:tab/>
        </w:r>
        <w:r w:rsidR="008D25FE" w:rsidRPr="008D25FE">
          <w:rPr>
            <w:vanish/>
          </w:rPr>
          <w:fldChar w:fldCharType="begin"/>
        </w:r>
        <w:r w:rsidR="008D25FE" w:rsidRPr="008D25FE">
          <w:rPr>
            <w:vanish/>
          </w:rPr>
          <w:instrText xml:space="preserve"> PAGEREF _Toc4661469 \h </w:instrText>
        </w:r>
        <w:r w:rsidR="008D25FE" w:rsidRPr="008D25FE">
          <w:rPr>
            <w:vanish/>
          </w:rPr>
        </w:r>
        <w:r w:rsidR="008D25FE" w:rsidRPr="008D25FE">
          <w:rPr>
            <w:vanish/>
          </w:rPr>
          <w:fldChar w:fldCharType="separate"/>
        </w:r>
        <w:r w:rsidR="008D25FE" w:rsidRPr="008D25FE">
          <w:rPr>
            <w:vanish/>
          </w:rPr>
          <w:t>98</w:t>
        </w:r>
        <w:r w:rsidR="008D25FE" w:rsidRPr="008D25FE">
          <w:rPr>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70" w:history="1">
        <w:r w:rsidRPr="00BF4AD3">
          <w:t>150</w:t>
        </w:r>
        <w:r>
          <w:tab/>
        </w:r>
        <w:r w:rsidRPr="00BF4AD3">
          <w:t>Application provisions—for certain new measures</w:t>
        </w:r>
        <w:r>
          <w:tab/>
        </w:r>
        <w:r>
          <w:fldChar w:fldCharType="begin"/>
        </w:r>
        <w:r>
          <w:instrText xml:space="preserve"> PAGEREF _Toc4661470 \h </w:instrText>
        </w:r>
        <w:r>
          <w:fldChar w:fldCharType="separate"/>
        </w:r>
        <w:r>
          <w:t>98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1" w:history="1">
        <w:r w:rsidRPr="00BF4AD3">
          <w:t>151</w:t>
        </w:r>
        <w:r>
          <w:rPr>
            <w:rFonts w:asciiTheme="minorHAnsi" w:hAnsiTheme="minorHAnsi" w:cstheme="minorBidi"/>
            <w:sz w:val="22"/>
            <w:szCs w:val="22"/>
            <w:lang w:eastAsia="en-AU"/>
          </w:rPr>
          <w:tab/>
        </w:r>
        <w:r w:rsidRPr="00BF4AD3">
          <w:t>Application provisions—for certain existing measures</w:t>
        </w:r>
        <w:r>
          <w:tab/>
        </w:r>
        <w:r>
          <w:fldChar w:fldCharType="begin"/>
        </w:r>
        <w:r>
          <w:instrText xml:space="preserve"> PAGEREF _Toc4661471 \h </w:instrText>
        </w:r>
        <w:r>
          <w:fldChar w:fldCharType="separate"/>
        </w:r>
        <w:r>
          <w:t>98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2" w:history="1">
        <w:r w:rsidRPr="00BF4AD3">
          <w:t>153</w:t>
        </w:r>
        <w:r>
          <w:rPr>
            <w:rFonts w:asciiTheme="minorHAnsi" w:hAnsiTheme="minorHAnsi" w:cstheme="minorBidi"/>
            <w:sz w:val="22"/>
            <w:szCs w:val="22"/>
            <w:lang w:eastAsia="en-AU"/>
          </w:rPr>
          <w:tab/>
        </w:r>
        <w:r w:rsidRPr="00BF4AD3">
          <w:t>Application of provisions of Civil Liability (Animals) Act 1984 (repealed) (CL(A)A s 9)</w:t>
        </w:r>
        <w:r>
          <w:tab/>
        </w:r>
        <w:r>
          <w:fldChar w:fldCharType="begin"/>
        </w:r>
        <w:r>
          <w:instrText xml:space="preserve"> PAGEREF _Toc4661472 \h </w:instrText>
        </w:r>
        <w:r>
          <w:fldChar w:fldCharType="separate"/>
        </w:r>
        <w:r>
          <w:t>99</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3" w:history="1">
        <w:r w:rsidRPr="00BF4AD3">
          <w:t>154</w:t>
        </w:r>
        <w:r>
          <w:rPr>
            <w:rFonts w:asciiTheme="minorHAnsi" w:hAnsiTheme="minorHAnsi" w:cstheme="minorBidi"/>
            <w:sz w:val="22"/>
            <w:szCs w:val="22"/>
            <w:lang w:eastAsia="en-AU"/>
          </w:rPr>
          <w:tab/>
        </w:r>
        <w:r w:rsidRPr="00BF4AD3">
          <w:t>Application of s 30 and s 31 (LR(MP)A s 23, s 24)</w:t>
        </w:r>
        <w:r>
          <w:tab/>
        </w:r>
        <w:r>
          <w:fldChar w:fldCharType="begin"/>
        </w:r>
        <w:r>
          <w:instrText xml:space="preserve"> PAGEREF _Toc4661473 \h </w:instrText>
        </w:r>
        <w:r>
          <w:fldChar w:fldCharType="separate"/>
        </w:r>
        <w:r>
          <w:t>100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4" w:history="1">
        <w:r w:rsidRPr="00BF4AD3">
          <w:t>154A</w:t>
        </w:r>
        <w:r>
          <w:rPr>
            <w:rFonts w:asciiTheme="minorHAnsi" w:hAnsiTheme="minorHAnsi" w:cstheme="minorBidi"/>
            <w:sz w:val="22"/>
            <w:szCs w:val="22"/>
            <w:lang w:eastAsia="en-AU"/>
          </w:rPr>
          <w:tab/>
        </w:r>
        <w:r w:rsidRPr="00BF4AD3">
          <w:t>Abolition of torts of maintenance and champerty—saving of existing rights and liabilities</w:t>
        </w:r>
        <w:r>
          <w:tab/>
        </w:r>
        <w:r>
          <w:fldChar w:fldCharType="begin"/>
        </w:r>
        <w:r>
          <w:instrText xml:space="preserve"> PAGEREF _Toc4661474 \h </w:instrText>
        </w:r>
        <w:r>
          <w:fldChar w:fldCharType="separate"/>
        </w:r>
        <w:r>
          <w:t>101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5" w:history="1">
        <w:r w:rsidRPr="00BF4AD3">
          <w:t>155</w:t>
        </w:r>
        <w:r>
          <w:rPr>
            <w:rFonts w:asciiTheme="minorHAnsi" w:hAnsiTheme="minorHAnsi" w:cstheme="minorBidi"/>
            <w:sz w:val="22"/>
            <w:szCs w:val="22"/>
            <w:lang w:eastAsia="en-AU"/>
          </w:rPr>
          <w:tab/>
        </w:r>
        <w:r w:rsidRPr="00BF4AD3">
          <w:t>Transitional regulations</w:t>
        </w:r>
        <w:r>
          <w:tab/>
        </w:r>
        <w:r>
          <w:fldChar w:fldCharType="begin"/>
        </w:r>
        <w:r>
          <w:instrText xml:space="preserve"> PAGEREF _Toc4661475 \h </w:instrText>
        </w:r>
        <w:r>
          <w:fldChar w:fldCharType="separate"/>
        </w:r>
        <w:r>
          <w:t>101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76" w:history="1">
        <w:r w:rsidRPr="00BF4AD3">
          <w:t>156</w:t>
        </w:r>
        <w:r>
          <w:rPr>
            <w:rFonts w:asciiTheme="minorHAnsi" w:hAnsiTheme="minorHAnsi" w:cstheme="minorBidi"/>
            <w:sz w:val="22"/>
            <w:szCs w:val="22"/>
            <w:lang w:eastAsia="en-AU"/>
          </w:rPr>
          <w:tab/>
        </w:r>
        <w:r w:rsidRPr="00BF4AD3">
          <w:t>Modification of ch 12’s operation</w:t>
        </w:r>
        <w:r>
          <w:tab/>
        </w:r>
        <w:r>
          <w:fldChar w:fldCharType="begin"/>
        </w:r>
        <w:r>
          <w:instrText xml:space="preserve"> PAGEREF _Toc4661476 \h </w:instrText>
        </w:r>
        <w:r>
          <w:fldChar w:fldCharType="separate"/>
        </w:r>
        <w:r>
          <w:t>101</w:t>
        </w:r>
        <w:r>
          <w:fldChar w:fldCharType="end"/>
        </w:r>
      </w:hyperlink>
    </w:p>
    <w:p w:rsidR="008D25FE" w:rsidRDefault="001B7504">
      <w:pPr>
        <w:pStyle w:val="TOC6"/>
        <w:rPr>
          <w:rFonts w:asciiTheme="minorHAnsi" w:hAnsiTheme="minorHAnsi" w:cstheme="minorBidi"/>
          <w:b w:val="0"/>
          <w:bCs w:val="0"/>
          <w:sz w:val="22"/>
          <w:szCs w:val="22"/>
          <w:lang w:eastAsia="en-AU"/>
        </w:rPr>
      </w:pPr>
      <w:hyperlink w:anchor="_Toc4661477" w:history="1">
        <w:r w:rsidR="008D25FE" w:rsidRPr="00BF4AD3">
          <w:t>Schedule 1</w:t>
        </w:r>
        <w:r w:rsidR="008D25FE">
          <w:rPr>
            <w:rFonts w:asciiTheme="minorHAnsi" w:hAnsiTheme="minorHAnsi" w:cstheme="minorBidi"/>
            <w:b w:val="0"/>
            <w:bCs w:val="0"/>
            <w:sz w:val="22"/>
            <w:szCs w:val="22"/>
            <w:lang w:eastAsia="en-AU"/>
          </w:rPr>
          <w:tab/>
        </w:r>
        <w:r w:rsidR="008D25FE" w:rsidRPr="00BF4AD3">
          <w:t>Traveller accommodation providers notice</w:t>
        </w:r>
        <w:r w:rsidR="008D25FE">
          <w:tab/>
        </w:r>
        <w:r w:rsidR="008D25FE" w:rsidRPr="008D25FE">
          <w:rPr>
            <w:b w:val="0"/>
            <w:sz w:val="20"/>
          </w:rPr>
          <w:fldChar w:fldCharType="begin"/>
        </w:r>
        <w:r w:rsidR="008D25FE" w:rsidRPr="008D25FE">
          <w:rPr>
            <w:b w:val="0"/>
            <w:sz w:val="20"/>
          </w:rPr>
          <w:instrText xml:space="preserve"> PAGEREF _Toc4661477 \h </w:instrText>
        </w:r>
        <w:r w:rsidR="008D25FE" w:rsidRPr="008D25FE">
          <w:rPr>
            <w:b w:val="0"/>
            <w:sz w:val="20"/>
          </w:rPr>
        </w:r>
        <w:r w:rsidR="008D25FE" w:rsidRPr="008D25FE">
          <w:rPr>
            <w:b w:val="0"/>
            <w:sz w:val="20"/>
          </w:rPr>
          <w:fldChar w:fldCharType="separate"/>
        </w:r>
        <w:r w:rsidR="008D25FE" w:rsidRPr="008D25FE">
          <w:rPr>
            <w:b w:val="0"/>
            <w:sz w:val="20"/>
          </w:rPr>
          <w:t>102</w:t>
        </w:r>
        <w:r w:rsidR="008D25FE" w:rsidRPr="008D25FE">
          <w:rPr>
            <w:b w:val="0"/>
            <w:sz w:val="20"/>
          </w:rPr>
          <w:fldChar w:fldCharType="end"/>
        </w:r>
      </w:hyperlink>
    </w:p>
    <w:p w:rsidR="008D25FE" w:rsidRDefault="001B7504">
      <w:pPr>
        <w:pStyle w:val="TOC6"/>
        <w:rPr>
          <w:rFonts w:asciiTheme="minorHAnsi" w:hAnsiTheme="minorHAnsi" w:cstheme="minorBidi"/>
          <w:b w:val="0"/>
          <w:bCs w:val="0"/>
          <w:sz w:val="22"/>
          <w:szCs w:val="22"/>
          <w:lang w:eastAsia="en-AU"/>
        </w:rPr>
      </w:pPr>
      <w:hyperlink w:anchor="_Toc4661478" w:history="1">
        <w:r w:rsidR="008D25FE" w:rsidRPr="00BF4AD3">
          <w:t>Schedule 2</w:t>
        </w:r>
        <w:r w:rsidR="008D25FE">
          <w:rPr>
            <w:rFonts w:asciiTheme="minorHAnsi" w:hAnsiTheme="minorHAnsi" w:cstheme="minorBidi"/>
            <w:b w:val="0"/>
            <w:bCs w:val="0"/>
            <w:sz w:val="22"/>
            <w:szCs w:val="22"/>
            <w:lang w:eastAsia="en-AU"/>
          </w:rPr>
          <w:tab/>
        </w:r>
        <w:r w:rsidR="008D25FE" w:rsidRPr="00BF4AD3">
          <w:t>Common carriers—goods subject to special limited liability</w:t>
        </w:r>
        <w:r w:rsidR="008D25FE">
          <w:tab/>
        </w:r>
        <w:r w:rsidR="008D25FE" w:rsidRPr="008D25FE">
          <w:rPr>
            <w:b w:val="0"/>
            <w:sz w:val="20"/>
          </w:rPr>
          <w:fldChar w:fldCharType="begin"/>
        </w:r>
        <w:r w:rsidR="008D25FE" w:rsidRPr="008D25FE">
          <w:rPr>
            <w:b w:val="0"/>
            <w:sz w:val="20"/>
          </w:rPr>
          <w:instrText xml:space="preserve"> PAGEREF _Toc4661478 \h </w:instrText>
        </w:r>
        <w:r w:rsidR="008D25FE" w:rsidRPr="008D25FE">
          <w:rPr>
            <w:b w:val="0"/>
            <w:sz w:val="20"/>
          </w:rPr>
        </w:r>
        <w:r w:rsidR="008D25FE" w:rsidRPr="008D25FE">
          <w:rPr>
            <w:b w:val="0"/>
            <w:sz w:val="20"/>
          </w:rPr>
          <w:fldChar w:fldCharType="separate"/>
        </w:r>
        <w:r w:rsidR="008D25FE" w:rsidRPr="008D25FE">
          <w:rPr>
            <w:b w:val="0"/>
            <w:sz w:val="20"/>
          </w:rPr>
          <w:t>103</w:t>
        </w:r>
        <w:r w:rsidR="008D25FE" w:rsidRPr="008D25FE">
          <w:rPr>
            <w:b w:val="0"/>
            <w:sz w:val="20"/>
          </w:rPr>
          <w:fldChar w:fldCharType="end"/>
        </w:r>
      </w:hyperlink>
    </w:p>
    <w:p w:rsidR="008D25FE" w:rsidRDefault="001B7504" w:rsidP="008D25FE">
      <w:pPr>
        <w:pStyle w:val="TOC7"/>
        <w:spacing w:before="480"/>
        <w:rPr>
          <w:rFonts w:asciiTheme="minorHAnsi" w:hAnsiTheme="minorHAnsi" w:cstheme="minorBidi"/>
          <w:b w:val="0"/>
          <w:bCs w:val="0"/>
          <w:sz w:val="22"/>
          <w:szCs w:val="22"/>
          <w:lang w:eastAsia="en-AU"/>
        </w:rPr>
      </w:pPr>
      <w:hyperlink w:anchor="_Toc4661479" w:history="1">
        <w:r w:rsidR="008D25FE">
          <w:t>Endnotes</w:t>
        </w:r>
        <w:r w:rsidR="008D25FE" w:rsidRPr="008D25FE">
          <w:rPr>
            <w:vanish/>
          </w:rPr>
          <w:tab/>
        </w:r>
        <w:r w:rsidR="008D25FE">
          <w:rPr>
            <w:vanish/>
          </w:rPr>
          <w:tab/>
        </w:r>
        <w:r w:rsidR="008D25FE" w:rsidRPr="008D25FE">
          <w:rPr>
            <w:b w:val="0"/>
            <w:vanish/>
          </w:rPr>
          <w:fldChar w:fldCharType="begin"/>
        </w:r>
        <w:r w:rsidR="008D25FE" w:rsidRPr="008D25FE">
          <w:rPr>
            <w:b w:val="0"/>
            <w:vanish/>
          </w:rPr>
          <w:instrText xml:space="preserve"> PAGEREF _Toc4661479 \h </w:instrText>
        </w:r>
        <w:r w:rsidR="008D25FE" w:rsidRPr="008D25FE">
          <w:rPr>
            <w:b w:val="0"/>
            <w:vanish/>
          </w:rPr>
        </w:r>
        <w:r w:rsidR="008D25FE" w:rsidRPr="008D25FE">
          <w:rPr>
            <w:b w:val="0"/>
            <w:vanish/>
          </w:rPr>
          <w:fldChar w:fldCharType="separate"/>
        </w:r>
        <w:r w:rsidR="008D25FE" w:rsidRPr="008D25FE">
          <w:rPr>
            <w:b w:val="0"/>
            <w:vanish/>
          </w:rPr>
          <w:t>110</w:t>
        </w:r>
        <w:r w:rsidR="008D25FE" w:rsidRPr="008D25FE">
          <w:rPr>
            <w:b w:val="0"/>
            <w:vanish/>
          </w:rPr>
          <w:fldChar w:fldCharType="end"/>
        </w:r>
      </w:hyperlink>
    </w:p>
    <w:p w:rsidR="008D25FE" w:rsidRDefault="008D25FE">
      <w:pPr>
        <w:pStyle w:val="TOC5"/>
        <w:rPr>
          <w:rFonts w:asciiTheme="minorHAnsi" w:hAnsiTheme="minorHAnsi" w:cstheme="minorBidi"/>
          <w:sz w:val="22"/>
          <w:szCs w:val="22"/>
          <w:lang w:eastAsia="en-AU"/>
        </w:rPr>
      </w:pPr>
      <w:r>
        <w:tab/>
      </w:r>
      <w:hyperlink w:anchor="_Toc4661480" w:history="1">
        <w:r w:rsidRPr="00BF4AD3">
          <w:t>1</w:t>
        </w:r>
        <w:r>
          <w:rPr>
            <w:rFonts w:asciiTheme="minorHAnsi" w:hAnsiTheme="minorHAnsi" w:cstheme="minorBidi"/>
            <w:sz w:val="22"/>
            <w:szCs w:val="22"/>
            <w:lang w:eastAsia="en-AU"/>
          </w:rPr>
          <w:tab/>
        </w:r>
        <w:r w:rsidRPr="00BF4AD3">
          <w:t>About the endnotes</w:t>
        </w:r>
        <w:r>
          <w:tab/>
        </w:r>
        <w:r>
          <w:fldChar w:fldCharType="begin"/>
        </w:r>
        <w:r>
          <w:instrText xml:space="preserve"> PAGEREF _Toc4661480 \h </w:instrText>
        </w:r>
        <w:r>
          <w:fldChar w:fldCharType="separate"/>
        </w:r>
        <w:r>
          <w:t>110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1" w:history="1">
        <w:r w:rsidRPr="00BF4AD3">
          <w:t>2</w:t>
        </w:r>
        <w:r>
          <w:rPr>
            <w:rFonts w:asciiTheme="minorHAnsi" w:hAnsiTheme="minorHAnsi" w:cstheme="minorBidi"/>
            <w:sz w:val="22"/>
            <w:szCs w:val="22"/>
            <w:lang w:eastAsia="en-AU"/>
          </w:rPr>
          <w:tab/>
        </w:r>
        <w:r w:rsidRPr="00BF4AD3">
          <w:t>Abbreviation key</w:t>
        </w:r>
        <w:r>
          <w:tab/>
        </w:r>
        <w:r>
          <w:fldChar w:fldCharType="begin"/>
        </w:r>
        <w:r>
          <w:instrText xml:space="preserve"> PAGEREF _Toc4661481 \h </w:instrText>
        </w:r>
        <w:r>
          <w:fldChar w:fldCharType="separate"/>
        </w:r>
        <w:r>
          <w:t>110</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2" w:history="1">
        <w:r w:rsidRPr="00BF4AD3">
          <w:t>3</w:t>
        </w:r>
        <w:r>
          <w:rPr>
            <w:rFonts w:asciiTheme="minorHAnsi" w:hAnsiTheme="minorHAnsi" w:cstheme="minorBidi"/>
            <w:sz w:val="22"/>
            <w:szCs w:val="22"/>
            <w:lang w:eastAsia="en-AU"/>
          </w:rPr>
          <w:tab/>
        </w:r>
        <w:r w:rsidRPr="00BF4AD3">
          <w:t>Legislation history</w:t>
        </w:r>
        <w:r>
          <w:tab/>
        </w:r>
        <w:r>
          <w:fldChar w:fldCharType="begin"/>
        </w:r>
        <w:r>
          <w:instrText xml:space="preserve"> PAGEREF _Toc4661482 \h </w:instrText>
        </w:r>
        <w:r>
          <w:fldChar w:fldCharType="separate"/>
        </w:r>
        <w:r>
          <w:t>111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3" w:history="1">
        <w:r w:rsidRPr="00BF4AD3">
          <w:t>4</w:t>
        </w:r>
        <w:r>
          <w:rPr>
            <w:rFonts w:asciiTheme="minorHAnsi" w:hAnsiTheme="minorHAnsi" w:cstheme="minorBidi"/>
            <w:sz w:val="22"/>
            <w:szCs w:val="22"/>
            <w:lang w:eastAsia="en-AU"/>
          </w:rPr>
          <w:tab/>
        </w:r>
        <w:r w:rsidRPr="00BF4AD3">
          <w:t>Amendment history</w:t>
        </w:r>
        <w:r>
          <w:tab/>
        </w:r>
        <w:r>
          <w:fldChar w:fldCharType="begin"/>
        </w:r>
        <w:r>
          <w:instrText xml:space="preserve"> PAGEREF _Toc4661483 \h </w:instrText>
        </w:r>
        <w:r>
          <w:fldChar w:fldCharType="separate"/>
        </w:r>
        <w:r>
          <w:t>111</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4" w:history="1">
        <w:r w:rsidRPr="00BF4AD3">
          <w:t>5</w:t>
        </w:r>
        <w:r>
          <w:rPr>
            <w:rFonts w:asciiTheme="minorHAnsi" w:hAnsiTheme="minorHAnsi" w:cstheme="minorBidi"/>
            <w:sz w:val="22"/>
            <w:szCs w:val="22"/>
            <w:lang w:eastAsia="en-AU"/>
          </w:rPr>
          <w:tab/>
        </w:r>
        <w:r w:rsidRPr="00BF4AD3">
          <w:t>Earlier republications</w:t>
        </w:r>
        <w:r>
          <w:tab/>
        </w:r>
        <w:r>
          <w:fldChar w:fldCharType="begin"/>
        </w:r>
        <w:r>
          <w:instrText xml:space="preserve"> PAGEREF _Toc4661484 \h </w:instrText>
        </w:r>
        <w:r>
          <w:fldChar w:fldCharType="separate"/>
        </w:r>
        <w:r>
          <w:t>118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5" w:history="1">
        <w:r w:rsidRPr="00BF4AD3">
          <w:t>6</w:t>
        </w:r>
        <w:r>
          <w:rPr>
            <w:rFonts w:asciiTheme="minorHAnsi" w:hAnsiTheme="minorHAnsi" w:cstheme="minorBidi"/>
            <w:sz w:val="22"/>
            <w:szCs w:val="22"/>
            <w:lang w:eastAsia="en-AU"/>
          </w:rPr>
          <w:tab/>
        </w:r>
        <w:r w:rsidRPr="00BF4AD3">
          <w:t>Modifications of republished law with temporary effect</w:t>
        </w:r>
        <w:r>
          <w:tab/>
        </w:r>
        <w:r>
          <w:fldChar w:fldCharType="begin"/>
        </w:r>
        <w:r>
          <w:instrText xml:space="preserve"> PAGEREF _Toc4661485 \h </w:instrText>
        </w:r>
        <w:r>
          <w:fldChar w:fldCharType="separate"/>
        </w:r>
        <w:r>
          <w:t>118</w:t>
        </w:r>
        <w:r>
          <w:fldChar w:fldCharType="end"/>
        </w:r>
      </w:hyperlink>
    </w:p>
    <w:p w:rsidR="008D25FE" w:rsidRDefault="008D25FE">
      <w:pPr>
        <w:pStyle w:val="TOC5"/>
        <w:rPr>
          <w:rFonts w:asciiTheme="minorHAnsi" w:hAnsiTheme="minorHAnsi" w:cstheme="minorBidi"/>
          <w:sz w:val="22"/>
          <w:szCs w:val="22"/>
          <w:lang w:eastAsia="en-AU"/>
        </w:rPr>
      </w:pPr>
      <w:r>
        <w:tab/>
      </w:r>
      <w:hyperlink w:anchor="_Toc4661486" w:history="1">
        <w:r w:rsidRPr="00BF4AD3">
          <w:t>7</w:t>
        </w:r>
        <w:r>
          <w:rPr>
            <w:rFonts w:asciiTheme="minorHAnsi" w:hAnsiTheme="minorHAnsi" w:cstheme="minorBidi"/>
            <w:sz w:val="22"/>
            <w:szCs w:val="22"/>
            <w:lang w:eastAsia="en-AU"/>
          </w:rPr>
          <w:tab/>
        </w:r>
        <w:r w:rsidRPr="00BF4AD3">
          <w:t>Uncommenced provisions</w:t>
        </w:r>
        <w:r>
          <w:tab/>
        </w:r>
        <w:r>
          <w:fldChar w:fldCharType="begin"/>
        </w:r>
        <w:r>
          <w:instrText xml:space="preserve"> PAGEREF _Toc4661486 \h </w:instrText>
        </w:r>
        <w:r>
          <w:fldChar w:fldCharType="separate"/>
        </w:r>
        <w:r>
          <w:t>119</w:t>
        </w:r>
        <w:r>
          <w:fldChar w:fldCharType="end"/>
        </w:r>
      </w:hyperlink>
    </w:p>
    <w:p w:rsidR="00BB6F9A" w:rsidRDefault="008D25FE">
      <w:pPr>
        <w:pStyle w:val="BillBasic"/>
      </w:pPr>
      <w:r>
        <w:fldChar w:fldCharType="end"/>
      </w:r>
    </w:p>
    <w:p w:rsidR="00BB6F9A" w:rsidRDefault="00BB6F9A">
      <w:pPr>
        <w:pStyle w:val="01Contents"/>
        <w:sectPr w:rsidR="00BB6F9A">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rsidR="00BB6F9A" w:rsidRDefault="00BB6F9A">
      <w:pPr>
        <w:jc w:val="center"/>
        <w:rPr>
          <w:sz w:val="16"/>
          <w:szCs w:val="16"/>
        </w:rPr>
      </w:pPr>
    </w:p>
    <w:p w:rsidR="00BB6F9A" w:rsidRDefault="00BD2D8C">
      <w:pPr>
        <w:jc w:val="center"/>
      </w:pPr>
      <w:r>
        <w:rPr>
          <w:noProof/>
        </w:rPr>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BB6F9A" w:rsidRDefault="00BB6F9A">
      <w:pPr>
        <w:jc w:val="center"/>
        <w:rPr>
          <w:rFonts w:ascii="Arial" w:hAnsi="Arial" w:cs="Arial"/>
        </w:rPr>
      </w:pPr>
      <w:r>
        <w:rPr>
          <w:rFonts w:ascii="Arial" w:hAnsi="Arial" w:cs="Arial"/>
        </w:rPr>
        <w:t>Australian Capital Territory</w:t>
      </w:r>
    </w:p>
    <w:p w:rsidR="00BB6F9A" w:rsidRDefault="00BD2D8C">
      <w:pPr>
        <w:pStyle w:val="Billname"/>
      </w:pPr>
      <w:bookmarkStart w:id="7" w:name="Citation"/>
      <w:r>
        <w:t>Civil Law (Wrongs) Act 2002</w:t>
      </w:r>
      <w:bookmarkEnd w:id="7"/>
    </w:p>
    <w:p w:rsidR="00BB6F9A" w:rsidRDefault="00BB6F9A">
      <w:pPr>
        <w:pStyle w:val="ActNo"/>
      </w:pPr>
    </w:p>
    <w:p w:rsidR="00BB6F9A" w:rsidRDefault="00BB6F9A">
      <w:pPr>
        <w:pStyle w:val="N-line3"/>
      </w:pPr>
    </w:p>
    <w:p w:rsidR="00BB6F9A" w:rsidRDefault="00BB6F9A">
      <w:pPr>
        <w:pStyle w:val="LongTitle"/>
      </w:pPr>
      <w:r>
        <w:t>An Act to consolidate and reform the statute law relating to wrongs, and for other purposes</w:t>
      </w:r>
    </w:p>
    <w:p w:rsidR="00BB6F9A" w:rsidRDefault="00BB6F9A">
      <w:pPr>
        <w:pStyle w:val="N-line3"/>
      </w:pPr>
    </w:p>
    <w:p w:rsidR="00BB6F9A" w:rsidRDefault="00BB6F9A">
      <w:pPr>
        <w:pStyle w:val="Placeholder"/>
      </w:pPr>
      <w:r>
        <w:rPr>
          <w:rStyle w:val="CharChapNo"/>
        </w:rPr>
        <w:t xml:space="preserve">  </w:t>
      </w:r>
      <w:r>
        <w:rPr>
          <w:rStyle w:val="CharChapText"/>
        </w:rPr>
        <w:t xml:space="preserve">  </w:t>
      </w:r>
    </w:p>
    <w:p w:rsidR="00BB6F9A" w:rsidRDefault="00BB6F9A">
      <w:pPr>
        <w:pStyle w:val="Placeholder"/>
      </w:pPr>
      <w:r>
        <w:rPr>
          <w:rStyle w:val="CharPartNo"/>
        </w:rPr>
        <w:t xml:space="preserve">  </w:t>
      </w:r>
      <w:r>
        <w:rPr>
          <w:rStyle w:val="CharPartText"/>
        </w:rPr>
        <w:t xml:space="preserve">  </w:t>
      </w:r>
    </w:p>
    <w:p w:rsidR="00BB6F9A" w:rsidRDefault="00BB6F9A">
      <w:pPr>
        <w:pStyle w:val="Placeholder"/>
      </w:pPr>
      <w:r>
        <w:rPr>
          <w:rStyle w:val="CharDivNo"/>
        </w:rPr>
        <w:t xml:space="preserve">  </w:t>
      </w:r>
      <w:r>
        <w:rPr>
          <w:rStyle w:val="CharDivText"/>
        </w:rPr>
        <w:t xml:space="preserve">  </w:t>
      </w:r>
    </w:p>
    <w:p w:rsidR="00BB6F9A" w:rsidRDefault="00BB6F9A">
      <w:pPr>
        <w:pStyle w:val="PageBreak"/>
      </w:pPr>
      <w:r>
        <w:br w:type="page"/>
      </w:r>
    </w:p>
    <w:p w:rsidR="00BB6F9A" w:rsidRDefault="00BB6F9A">
      <w:pPr>
        <w:pStyle w:val="AH1Chapter"/>
      </w:pPr>
      <w:bookmarkStart w:id="8" w:name="_Toc4661270"/>
      <w:r>
        <w:rPr>
          <w:rStyle w:val="CharChapNo"/>
        </w:rPr>
        <w:lastRenderedPageBreak/>
        <w:t>Chapter 1</w:t>
      </w:r>
      <w:r>
        <w:tab/>
      </w:r>
      <w:r>
        <w:rPr>
          <w:rStyle w:val="CharChapText"/>
        </w:rPr>
        <w:t>Preliminary</w:t>
      </w:r>
      <w:bookmarkEnd w:id="8"/>
    </w:p>
    <w:p w:rsidR="00BB6F9A" w:rsidRDefault="00BB6F9A">
      <w:pPr>
        <w:pStyle w:val="AH5Sec"/>
      </w:pPr>
      <w:bookmarkStart w:id="9" w:name="_Toc4661271"/>
      <w:r>
        <w:rPr>
          <w:rStyle w:val="CharSectNo"/>
        </w:rPr>
        <w:t>1</w:t>
      </w:r>
      <w:r>
        <w:tab/>
        <w:t>Name of Act</w:t>
      </w:r>
      <w:bookmarkEnd w:id="9"/>
    </w:p>
    <w:p w:rsidR="00BB6F9A" w:rsidRDefault="00BB6F9A">
      <w:pPr>
        <w:pStyle w:val="Amainreturn"/>
      </w:pPr>
      <w:r>
        <w:t xml:space="preserve">This Act is the </w:t>
      </w:r>
      <w:r>
        <w:rPr>
          <w:rStyle w:val="charItals"/>
        </w:rPr>
        <w:t>Civil Law (Wrongs) Act 2002</w:t>
      </w:r>
      <w:r>
        <w:t>.</w:t>
      </w:r>
    </w:p>
    <w:p w:rsidR="00BB6F9A" w:rsidRDefault="00BB6F9A">
      <w:pPr>
        <w:pStyle w:val="AH5Sec"/>
      </w:pPr>
      <w:bookmarkStart w:id="10" w:name="_Toc4661272"/>
      <w:r>
        <w:rPr>
          <w:rStyle w:val="CharSectNo"/>
        </w:rPr>
        <w:t>2</w:t>
      </w:r>
      <w:r>
        <w:tab/>
        <w:t>Commencement</w:t>
      </w:r>
      <w:bookmarkEnd w:id="10"/>
    </w:p>
    <w:p w:rsidR="00BB6F9A" w:rsidRDefault="00BB6F9A">
      <w:pPr>
        <w:pStyle w:val="Amain"/>
      </w:pPr>
      <w:r>
        <w:tab/>
        <w:t>(1)</w:t>
      </w:r>
      <w:r>
        <w:tab/>
        <w:t>Part 7.1 (Traveller accommodation providers liability) commences at 12 noon on 1 July 2003.</w:t>
      </w:r>
    </w:p>
    <w:p w:rsidR="00BB6F9A" w:rsidRDefault="00BB6F9A">
      <w:pPr>
        <w:pStyle w:val="Amain"/>
        <w:keepNext/>
      </w:pPr>
      <w:r>
        <w:tab/>
        <w:t>(2)</w:t>
      </w:r>
      <w:r>
        <w:tab/>
        <w:t>The remaining provisions commence on a day fixed by the Minister by written notice.</w:t>
      </w:r>
    </w:p>
    <w:p w:rsidR="00BB6F9A" w:rsidRDefault="00BB6F9A">
      <w:pPr>
        <w:pStyle w:val="aNote"/>
        <w:keepNext/>
      </w:pPr>
      <w:r>
        <w:rPr>
          <w:rStyle w:val="charItals"/>
        </w:rPr>
        <w:t>Note 1</w:t>
      </w:r>
      <w:r>
        <w:rPr>
          <w:rStyle w:val="charItals"/>
        </w:rPr>
        <w:tab/>
      </w:r>
      <w:r>
        <w:t xml:space="preserve">The naming and commencement provisions automatically commence on the notification day (see </w:t>
      </w:r>
      <w:r>
        <w:rPr>
          <w:rStyle w:val="charItals"/>
        </w:rPr>
        <w:t>Legislation Act 2001</w:t>
      </w:r>
      <w:r>
        <w:t>, s 75).</w:t>
      </w:r>
    </w:p>
    <w:p w:rsidR="00BB6F9A" w:rsidRDefault="00BB6F9A">
      <w:pPr>
        <w:pStyle w:val="aNote"/>
        <w:keepNext/>
      </w:pPr>
      <w:r>
        <w:rPr>
          <w:rStyle w:val="charItals"/>
        </w:rPr>
        <w:t>Note 2</w:t>
      </w:r>
      <w:r>
        <w:rPr>
          <w:rStyle w:val="charItals"/>
        </w:rPr>
        <w:tab/>
      </w:r>
      <w:r>
        <w:t xml:space="preserve">A single day or time may be fixed, or different days or times may be fixed, for the commencement of different provisions (see </w:t>
      </w:r>
      <w:r>
        <w:rPr>
          <w:rStyle w:val="charItals"/>
        </w:rPr>
        <w:t>Legislation Act 2001</w:t>
      </w:r>
      <w:r>
        <w:t>, s 77 (1)).</w:t>
      </w:r>
    </w:p>
    <w:p w:rsidR="00BB6F9A" w:rsidRDefault="00BB6F9A">
      <w:pPr>
        <w:pStyle w:val="aNote"/>
      </w:pPr>
      <w:r>
        <w:rPr>
          <w:rStyle w:val="charItals"/>
        </w:rPr>
        <w:t>Note 3</w:t>
      </w:r>
      <w:r>
        <w:rPr>
          <w:rStyle w:val="charItals"/>
        </w:rPr>
        <w:tab/>
      </w:r>
      <w:r>
        <w:t xml:space="preserve">If a provision has not commenced within 6 months beginning on the notification day, it automatically commences on the first day after that period (see </w:t>
      </w:r>
      <w:r>
        <w:rPr>
          <w:rStyle w:val="charItals"/>
        </w:rPr>
        <w:t>Legislation Act 2001</w:t>
      </w:r>
      <w:r>
        <w:t>, s 79).</w:t>
      </w:r>
    </w:p>
    <w:p w:rsidR="00BB6F9A" w:rsidRDefault="00BB6F9A">
      <w:pPr>
        <w:pStyle w:val="AH5Sec"/>
      </w:pPr>
      <w:bookmarkStart w:id="11" w:name="_Toc4661273"/>
      <w:r>
        <w:rPr>
          <w:rStyle w:val="CharSectNo"/>
        </w:rPr>
        <w:t>3</w:t>
      </w:r>
      <w:r>
        <w:tab/>
        <w:t>Dictionary</w:t>
      </w:r>
      <w:bookmarkEnd w:id="11"/>
    </w:p>
    <w:p w:rsidR="00BB6F9A" w:rsidRDefault="00BB6F9A">
      <w:pPr>
        <w:pStyle w:val="Amainreturn"/>
        <w:keepNext/>
      </w:pPr>
      <w:r>
        <w:t>The dictionary at the end of this Act is part of this Act.</w:t>
      </w:r>
    </w:p>
    <w:p w:rsidR="00BB6F9A" w:rsidRDefault="00BB6F9A">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w:t>
      </w:r>
    </w:p>
    <w:p w:rsidR="00BB6F9A" w:rsidRDefault="00BB6F9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rPr>
        <w:t>Legislation Act 2001</w:t>
      </w:r>
      <w:r>
        <w:t>, s 155 and s 156 (1)).</w:t>
      </w:r>
    </w:p>
    <w:p w:rsidR="00BB6F9A" w:rsidRDefault="00BB6F9A">
      <w:pPr>
        <w:pStyle w:val="AH5Sec"/>
      </w:pPr>
      <w:bookmarkStart w:id="12" w:name="_Toc4661274"/>
      <w:r>
        <w:rPr>
          <w:rStyle w:val="CharSectNo"/>
        </w:rPr>
        <w:lastRenderedPageBreak/>
        <w:t>4</w:t>
      </w:r>
      <w:r>
        <w:tab/>
        <w:t>Notes</w:t>
      </w:r>
      <w:bookmarkEnd w:id="12"/>
    </w:p>
    <w:p w:rsidR="00BB6F9A" w:rsidRDefault="00BB6F9A">
      <w:pPr>
        <w:pStyle w:val="Amain"/>
        <w:keepNext/>
      </w:pPr>
      <w:r>
        <w:tab/>
        <w:t>(1)</w:t>
      </w:r>
      <w:r>
        <w:tab/>
        <w:t>A note included in this Act is explanatory and is not part of this Act.</w:t>
      </w:r>
    </w:p>
    <w:p w:rsidR="00BB6F9A" w:rsidRDefault="00BB6F9A" w:rsidP="00B75CEF">
      <w:pPr>
        <w:pStyle w:val="aNote"/>
        <w:keepNext/>
      </w:pPr>
      <w:r>
        <w:rPr>
          <w:rStyle w:val="charItals"/>
        </w:rPr>
        <w:t>Note</w:t>
      </w:r>
      <w:r>
        <w:rPr>
          <w:rStyle w:val="charItals"/>
        </w:rPr>
        <w:tab/>
      </w:r>
      <w:r>
        <w:t xml:space="preserve">See </w:t>
      </w:r>
      <w:r>
        <w:rPr>
          <w:rStyle w:val="charItals"/>
        </w:rPr>
        <w:t>Legislation Act 2001</w:t>
      </w:r>
      <w:r>
        <w:t>, s 127 (1), (4) and (5) for the legal status of notes.</w:t>
      </w:r>
    </w:p>
    <w:p w:rsidR="00BB6F9A" w:rsidRDefault="00BB6F9A">
      <w:pPr>
        <w:pStyle w:val="Amain"/>
        <w:keepNext/>
      </w:pPr>
      <w:r>
        <w:tab/>
        <w:t>(2)</w:t>
      </w:r>
      <w:r>
        <w:tab/>
        <w:t>In this section:</w:t>
      </w:r>
    </w:p>
    <w:p w:rsidR="00BB6F9A" w:rsidRDefault="00BB6F9A">
      <w:pPr>
        <w:pStyle w:val="aDef"/>
        <w:keepNext/>
      </w:pPr>
      <w:r>
        <w:rPr>
          <w:rStyle w:val="charBoldItals"/>
        </w:rPr>
        <w:t xml:space="preserve">note </w:t>
      </w:r>
      <w:r>
        <w:t>includes material enclosed in brackets in section headings.</w:t>
      </w:r>
    </w:p>
    <w:p w:rsidR="00BB6F9A" w:rsidRDefault="00BB6F9A">
      <w:pPr>
        <w:pStyle w:val="aNote"/>
        <w:keepNext/>
      </w:pPr>
      <w:r>
        <w:rPr>
          <w:rStyle w:val="charItals"/>
        </w:rPr>
        <w:t>Note</w:t>
      </w:r>
      <w:r>
        <w:tab/>
        <w:t>For comparison, a number of sections of this Act contain bracketed notes in their headings drawing attention to equivalent or comparable (though not necessarily identical) provisions of other Acts.  Abbreviations in the notes include the following:</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CCA: </w:t>
      </w:r>
      <w:r>
        <w:rPr>
          <w:rStyle w:val="charItals"/>
        </w:rPr>
        <w:t>Common Carriers Act 1902</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C(FI)A: </w:t>
      </w:r>
      <w:r>
        <w:rPr>
          <w:rStyle w:val="charItals"/>
        </w:rPr>
        <w:t>Compensation (Fatal Injuries) Act 1968</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CL(A)A: </w:t>
      </w:r>
      <w:r>
        <w:rPr>
          <w:rStyle w:val="charItals"/>
        </w:rPr>
        <w:t>Civil Liability (Animals) Act 1984</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DA: </w:t>
      </w:r>
      <w:r>
        <w:rPr>
          <w:rStyle w:val="charItals"/>
        </w:rPr>
        <w:t>Defamation Act 2001</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ILA: </w:t>
      </w:r>
      <w:r>
        <w:rPr>
          <w:rStyle w:val="charItals"/>
        </w:rPr>
        <w:t>Innkeepers Liability Act 1902</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LR(MP)A: </w:t>
      </w:r>
      <w:r>
        <w:rPr>
          <w:rStyle w:val="charItals"/>
        </w:rPr>
        <w:t>Law Reform (Miscellaneous Provisions) Act 1955</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LR(Mis)A: </w:t>
      </w:r>
      <w:r>
        <w:rPr>
          <w:rStyle w:val="charItals"/>
        </w:rPr>
        <w:t>Law Reform (Misrepresentation) Act 1</w:t>
      </w:r>
      <w:r>
        <w:t>977</w:t>
      </w:r>
    </w:p>
    <w:p w:rsidR="00BB6F9A" w:rsidRDefault="00BB6F9A">
      <w:pPr>
        <w:pStyle w:val="aNote"/>
        <w:keepNext/>
        <w:tabs>
          <w:tab w:val="left" w:pos="360"/>
        </w:tabs>
        <w:ind w:left="1080" w:hanging="360"/>
      </w:pPr>
      <w:r>
        <w:rPr>
          <w:rFonts w:ascii="Symbol" w:hAnsi="Symbol" w:cs="Symbol"/>
        </w:rPr>
        <w:t></w:t>
      </w:r>
      <w:r>
        <w:rPr>
          <w:rFonts w:ascii="Symbol" w:hAnsi="Symbol" w:cs="Symbol"/>
        </w:rPr>
        <w:tab/>
      </w:r>
      <w:r>
        <w:t xml:space="preserve">MP(T)A: </w:t>
      </w:r>
      <w:r>
        <w:rPr>
          <w:rStyle w:val="charItals"/>
        </w:rPr>
        <w:t>Married Persons (Torts) Act 1968</w:t>
      </w:r>
    </w:p>
    <w:p w:rsidR="00BB6F9A" w:rsidRDefault="00BB6F9A">
      <w:pPr>
        <w:pStyle w:val="Amain"/>
      </w:pPr>
      <w:r>
        <w:tab/>
        <w:t>(3)</w:t>
      </w:r>
      <w:r>
        <w:tab/>
        <w:t>Subsection (2), the notes mentioned in subsection (2), and this subsection expire 1 year after this section commences.</w:t>
      </w:r>
    </w:p>
    <w:p w:rsidR="00BB6F9A" w:rsidRDefault="00BB6F9A">
      <w:pPr>
        <w:pStyle w:val="PageBreak"/>
      </w:pPr>
      <w:r>
        <w:br w:type="page"/>
      </w:r>
    </w:p>
    <w:p w:rsidR="00BB6F9A" w:rsidRDefault="00BB6F9A">
      <w:pPr>
        <w:pStyle w:val="AH1Chapter"/>
      </w:pPr>
      <w:bookmarkStart w:id="13" w:name="_Toc4661275"/>
      <w:r>
        <w:rPr>
          <w:rStyle w:val="CharChapNo"/>
        </w:rPr>
        <w:lastRenderedPageBreak/>
        <w:t>Chapter 2</w:t>
      </w:r>
      <w:r>
        <w:tab/>
      </w:r>
      <w:r>
        <w:rPr>
          <w:rStyle w:val="CharChapText"/>
        </w:rPr>
        <w:t>Provisions applying to wrongs generally</w:t>
      </w:r>
      <w:bookmarkEnd w:id="13"/>
    </w:p>
    <w:p w:rsidR="00BB6F9A" w:rsidRDefault="00BB6F9A">
      <w:pPr>
        <w:pStyle w:val="AH2Part"/>
      </w:pPr>
      <w:bookmarkStart w:id="14" w:name="_Toc4661276"/>
      <w:r>
        <w:rPr>
          <w:rStyle w:val="CharPartNo"/>
        </w:rPr>
        <w:t>Part 2.1</w:t>
      </w:r>
      <w:r>
        <w:tab/>
      </w:r>
      <w:r>
        <w:rPr>
          <w:rStyle w:val="CharPartText"/>
        </w:rPr>
        <w:t>Good samaritans</w:t>
      </w:r>
      <w:bookmarkEnd w:id="14"/>
    </w:p>
    <w:p w:rsidR="00BB6F9A" w:rsidRDefault="00BB6F9A">
      <w:pPr>
        <w:pStyle w:val="AH5Sec"/>
      </w:pPr>
      <w:bookmarkStart w:id="15" w:name="_Toc4661277"/>
      <w:r>
        <w:rPr>
          <w:rStyle w:val="CharSectNo"/>
        </w:rPr>
        <w:t>5</w:t>
      </w:r>
      <w:r>
        <w:tab/>
        <w:t>Protection of good samaritans from liability</w:t>
      </w:r>
      <w:bookmarkEnd w:id="15"/>
    </w:p>
    <w:p w:rsidR="00BB6F9A" w:rsidRDefault="00BB6F9A">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BB6F9A" w:rsidRDefault="00BB6F9A">
      <w:pPr>
        <w:pStyle w:val="Apara"/>
      </w:pPr>
      <w:r>
        <w:tab/>
        <w:t>(a)</w:t>
      </w:r>
      <w:r>
        <w:tab/>
        <w:t>injured or at risk of being injured; or</w:t>
      </w:r>
    </w:p>
    <w:p w:rsidR="00BB6F9A" w:rsidRDefault="00BB6F9A">
      <w:pPr>
        <w:pStyle w:val="Apara"/>
      </w:pPr>
      <w:r>
        <w:tab/>
        <w:t>(b)</w:t>
      </w:r>
      <w:r>
        <w:tab/>
        <w:t>in need of emergency medical assistance.</w:t>
      </w:r>
    </w:p>
    <w:p w:rsidR="00BB6F9A" w:rsidRDefault="00BB6F9A">
      <w:pPr>
        <w:pStyle w:val="Amain"/>
      </w:pPr>
      <w:r>
        <w:tab/>
        <w:t>(2)</w:t>
      </w:r>
      <w:r>
        <w:tab/>
        <w:t>However, the protection does not apply if—</w:t>
      </w:r>
    </w:p>
    <w:p w:rsidR="00BB6F9A" w:rsidRDefault="00BB6F9A">
      <w:pPr>
        <w:pStyle w:val="Apara"/>
      </w:pPr>
      <w:r>
        <w:tab/>
        <w:t>(a)</w:t>
      </w:r>
      <w:r>
        <w:tab/>
        <w:t>the liability falls within the ambit of a scheme of compulsory third party motor vehicle insurance; or</w:t>
      </w:r>
    </w:p>
    <w:p w:rsidR="00BB6F9A" w:rsidRDefault="00BB6F9A">
      <w:pPr>
        <w:pStyle w:val="Apara"/>
        <w:keepNext/>
      </w:pPr>
      <w:r>
        <w:tab/>
        <w:t>(b)</w:t>
      </w:r>
      <w:r>
        <w:tab/>
        <w:t>the good samaritan’s capacity to exercise appropriate care and skill was, at the relevant time, significantly impaired by a recreational drug.</w:t>
      </w:r>
    </w:p>
    <w:p w:rsidR="00BB6F9A" w:rsidRDefault="00BB6F9A">
      <w:pPr>
        <w:pStyle w:val="aExamHead"/>
      </w:pPr>
      <w:r>
        <w:t>Example of scheme of compulsory third party motor vehicle insurance</w:t>
      </w:r>
    </w:p>
    <w:p w:rsidR="00BB6F9A" w:rsidRDefault="00BB6F9A">
      <w:pPr>
        <w:pStyle w:val="aExam"/>
        <w:keepNext/>
      </w:pPr>
      <w:r>
        <w:rPr>
          <w:rStyle w:val="charItals"/>
        </w:rPr>
        <w:t>Road Transport (General) Act 1999</w:t>
      </w:r>
      <w:r>
        <w:t>, part 10 (Compulsory vehicle insurance)</w:t>
      </w:r>
    </w:p>
    <w:p w:rsidR="00BB6F9A" w:rsidRDefault="00BB6F9A">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BB6F9A" w:rsidRDefault="00BB6F9A">
      <w:pPr>
        <w:pStyle w:val="Amain"/>
        <w:keepNext/>
      </w:pPr>
      <w:r>
        <w:tab/>
        <w:t>(3)</w:t>
      </w:r>
      <w:r>
        <w:tab/>
        <w:t>In this section:</w:t>
      </w:r>
    </w:p>
    <w:p w:rsidR="00BB6F9A" w:rsidRDefault="00BB6F9A">
      <w:pPr>
        <w:pStyle w:val="aDef"/>
        <w:keepNext/>
      </w:pPr>
      <w:r>
        <w:rPr>
          <w:rStyle w:val="charBoldItals"/>
        </w:rPr>
        <w:t>good samaritan</w:t>
      </w:r>
      <w:r>
        <w:t xml:space="preserve"> means—</w:t>
      </w:r>
    </w:p>
    <w:p w:rsidR="00BB6F9A" w:rsidRDefault="00BB6F9A">
      <w:pPr>
        <w:pStyle w:val="aDefpara"/>
      </w:pPr>
      <w:r>
        <w:tab/>
        <w:t>(a)</w:t>
      </w:r>
      <w:r>
        <w:tab/>
        <w:t>a person who, acting without expectation of payment or other consideration, comes to the aid of a person who is apparently—</w:t>
      </w:r>
    </w:p>
    <w:p w:rsidR="00BB6F9A" w:rsidRDefault="00BB6F9A">
      <w:pPr>
        <w:pStyle w:val="Asubpara"/>
      </w:pPr>
      <w:r>
        <w:tab/>
        <w:t>(i)</w:t>
      </w:r>
      <w:r>
        <w:tab/>
        <w:t>injured or at risk of being injured; or</w:t>
      </w:r>
    </w:p>
    <w:p w:rsidR="00BB6F9A" w:rsidRDefault="00BB6F9A">
      <w:pPr>
        <w:pStyle w:val="Asubpara"/>
        <w:keepNext/>
      </w:pPr>
      <w:r>
        <w:lastRenderedPageBreak/>
        <w:tab/>
        <w:t>(ii)</w:t>
      </w:r>
      <w:r>
        <w:tab/>
        <w:t>in need of emergency medical assistance; or</w:t>
      </w:r>
    </w:p>
    <w:p w:rsidR="00BB6F9A" w:rsidRDefault="00BB6F9A">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BB6F9A" w:rsidRDefault="00BB6F9A">
      <w:pPr>
        <w:pStyle w:val="Asubpara"/>
      </w:pPr>
      <w:r>
        <w:tab/>
        <w:t>(i)</w:t>
      </w:r>
      <w:r>
        <w:tab/>
        <w:t>injured or at risk of being injured; or</w:t>
      </w:r>
    </w:p>
    <w:p w:rsidR="00BB6F9A" w:rsidRDefault="00BB6F9A">
      <w:pPr>
        <w:pStyle w:val="Asubpara"/>
      </w:pPr>
      <w:r>
        <w:tab/>
        <w:t>(ii)</w:t>
      </w:r>
      <w:r>
        <w:tab/>
        <w:t>in need of emergency medical assistance.</w:t>
      </w:r>
    </w:p>
    <w:p w:rsidR="00BB6F9A" w:rsidRDefault="00BB6F9A">
      <w:pPr>
        <w:pStyle w:val="aDef"/>
        <w:keepNext/>
      </w:pPr>
      <w:r>
        <w:rPr>
          <w:rStyle w:val="charBoldItals"/>
        </w:rPr>
        <w:t>medically qualified</w:t>
      </w:r>
      <w:r>
        <w:t xml:space="preserve">—a person is </w:t>
      </w:r>
      <w:r>
        <w:rPr>
          <w:rStyle w:val="charBoldItals"/>
        </w:rPr>
        <w:t>medically qualified</w:t>
      </w:r>
      <w:r>
        <w:t xml:space="preserve"> if the person—</w:t>
      </w:r>
    </w:p>
    <w:p w:rsidR="00BB6F9A" w:rsidRDefault="00BB6F9A">
      <w:pPr>
        <w:pStyle w:val="aDefpara"/>
      </w:pPr>
      <w:r>
        <w:tab/>
        <w:t>(a)</w:t>
      </w:r>
      <w:r>
        <w:tab/>
        <w:t>is a doctor; or</w:t>
      </w:r>
    </w:p>
    <w:p w:rsidR="00BB6F9A" w:rsidRDefault="00BB6F9A">
      <w:pPr>
        <w:pStyle w:val="aDefpara"/>
      </w:pPr>
      <w:r>
        <w:tab/>
        <w:t>(b)</w:t>
      </w:r>
      <w:r>
        <w:tab/>
        <w:t>has professional qualifications in a field of health care that are recognised under an Act; or</w:t>
      </w:r>
    </w:p>
    <w:p w:rsidR="00BB6F9A" w:rsidRDefault="00BB6F9A">
      <w:pPr>
        <w:pStyle w:val="aDefpara"/>
      </w:pPr>
      <w:r>
        <w:tab/>
        <w:t>(c)</w:t>
      </w:r>
      <w:r>
        <w:tab/>
        <w:t>works, or has worked, as an ambulance officer or in another paramedical capacity.</w:t>
      </w:r>
    </w:p>
    <w:p w:rsidR="00BB6F9A" w:rsidRDefault="00BB6F9A">
      <w:pPr>
        <w:pStyle w:val="PageBreak"/>
      </w:pPr>
      <w:r>
        <w:br w:type="page"/>
      </w:r>
    </w:p>
    <w:p w:rsidR="00BB6F9A" w:rsidRDefault="00BB6F9A">
      <w:pPr>
        <w:pStyle w:val="AH2Part"/>
      </w:pPr>
      <w:bookmarkStart w:id="16" w:name="_Toc4661278"/>
      <w:r>
        <w:rPr>
          <w:rStyle w:val="CharPartNo"/>
        </w:rPr>
        <w:lastRenderedPageBreak/>
        <w:t>Part 2.2</w:t>
      </w:r>
      <w:r>
        <w:tab/>
      </w:r>
      <w:r>
        <w:rPr>
          <w:rStyle w:val="CharPartText"/>
        </w:rPr>
        <w:t>Volunteers</w:t>
      </w:r>
      <w:bookmarkEnd w:id="16"/>
    </w:p>
    <w:p w:rsidR="00BB6F9A" w:rsidRDefault="00BB6F9A">
      <w:pPr>
        <w:pStyle w:val="AH5Sec"/>
      </w:pPr>
      <w:bookmarkStart w:id="17" w:name="_Toc4661279"/>
      <w:r>
        <w:rPr>
          <w:rStyle w:val="CharSectNo"/>
        </w:rPr>
        <w:t>6</w:t>
      </w:r>
      <w:r>
        <w:tab/>
        <w:t>Definitions for pt 2.2</w:t>
      </w:r>
      <w:bookmarkEnd w:id="17"/>
    </w:p>
    <w:p w:rsidR="00BB6F9A" w:rsidRDefault="00BB6F9A">
      <w:pPr>
        <w:pStyle w:val="Amainreturn"/>
        <w:keepNext/>
      </w:pPr>
      <w:r>
        <w:t>In this part:</w:t>
      </w:r>
    </w:p>
    <w:p w:rsidR="00BB6F9A" w:rsidRDefault="00BB6F9A">
      <w:pPr>
        <w:pStyle w:val="aDef"/>
      </w:pPr>
      <w:r>
        <w:rPr>
          <w:rStyle w:val="charBoldItals"/>
        </w:rPr>
        <w:t>community organisation</w:t>
      </w:r>
      <w:r>
        <w:t xml:space="preserve"> means a corporation that directs or coordinates the carrying out of community work by volunteers.</w:t>
      </w:r>
    </w:p>
    <w:p w:rsidR="00BB6F9A" w:rsidRDefault="00BB6F9A">
      <w:pPr>
        <w:pStyle w:val="aDef"/>
        <w:keepNext/>
      </w:pPr>
      <w:r>
        <w:rPr>
          <w:rStyle w:val="charBoldItals"/>
        </w:rPr>
        <w:t>voluntary basis</w:t>
      </w:r>
      <w:r>
        <w:t xml:space="preserve">—a person works on a </w:t>
      </w:r>
      <w:r>
        <w:rPr>
          <w:rStyle w:val="charBoldItals"/>
        </w:rPr>
        <w:t>voluntary basis</w:t>
      </w:r>
      <w:r>
        <w:t xml:space="preserve"> if the person—</w:t>
      </w:r>
    </w:p>
    <w:p w:rsidR="00BB6F9A" w:rsidRDefault="00BB6F9A">
      <w:pPr>
        <w:pStyle w:val="aDefpara"/>
      </w:pPr>
      <w:r>
        <w:tab/>
        <w:t>(a)</w:t>
      </w:r>
      <w:r>
        <w:tab/>
        <w:t>receives no remuneration for the work; or</w:t>
      </w:r>
    </w:p>
    <w:p w:rsidR="00BB6F9A" w:rsidRDefault="00BB6F9A">
      <w:pPr>
        <w:pStyle w:val="aDefpara"/>
      </w:pPr>
      <w:r>
        <w:tab/>
        <w:t>(b)</w:t>
      </w:r>
      <w:r>
        <w:tab/>
        <w:t>is remunerated for the work but within limits prescribed under the regulations for this definition.</w:t>
      </w:r>
    </w:p>
    <w:p w:rsidR="00BB6F9A" w:rsidRDefault="00BB6F9A">
      <w:pPr>
        <w:pStyle w:val="aDef"/>
      </w:pPr>
      <w:r>
        <w:rPr>
          <w:rStyle w:val="charBoldItals"/>
        </w:rPr>
        <w:t>volunteer</w:t>
      </w:r>
      <w:r>
        <w:t xml:space="preserve"> means a person who carries out community work on a voluntary basis.</w:t>
      </w:r>
    </w:p>
    <w:p w:rsidR="00BB6F9A" w:rsidRDefault="00BB6F9A">
      <w:pPr>
        <w:pStyle w:val="AH5Sec"/>
      </w:pPr>
      <w:bookmarkStart w:id="18" w:name="_Toc4661280"/>
      <w:r>
        <w:rPr>
          <w:rStyle w:val="CharSectNo"/>
        </w:rPr>
        <w:t>7</w:t>
      </w:r>
      <w:r>
        <w:tab/>
        <w:t xml:space="preserve">Meaning of </w:t>
      </w:r>
      <w:r>
        <w:rPr>
          <w:rStyle w:val="charItals"/>
        </w:rPr>
        <w:t>community work</w:t>
      </w:r>
      <w:bookmarkEnd w:id="18"/>
    </w:p>
    <w:p w:rsidR="00BB6F9A" w:rsidRDefault="00BB6F9A">
      <w:pPr>
        <w:pStyle w:val="Amain"/>
        <w:keepNext/>
      </w:pPr>
      <w:r>
        <w:tab/>
        <w:t>(1)</w:t>
      </w:r>
      <w:r>
        <w:tab/>
        <w:t>In this part:</w:t>
      </w:r>
    </w:p>
    <w:p w:rsidR="00BB6F9A" w:rsidRDefault="00BB6F9A">
      <w:pPr>
        <w:pStyle w:val="aDef"/>
        <w:keepNext/>
      </w:pPr>
      <w:r>
        <w:rPr>
          <w:rStyle w:val="charBoldItals"/>
        </w:rPr>
        <w:t>community work</w:t>
      </w:r>
      <w:r>
        <w:t xml:space="preserve"> means—</w:t>
      </w:r>
    </w:p>
    <w:p w:rsidR="00BB6F9A" w:rsidRDefault="00BB6F9A">
      <w:pPr>
        <w:pStyle w:val="aDefpara"/>
        <w:keepNext/>
      </w:pPr>
      <w:r>
        <w:tab/>
        <w:t>(a)</w:t>
      </w:r>
      <w:r>
        <w:tab/>
        <w:t>work for any 1 or more of the following purposes:</w:t>
      </w:r>
    </w:p>
    <w:p w:rsidR="00BB6F9A" w:rsidRDefault="00BB6F9A">
      <w:pPr>
        <w:pStyle w:val="aDefsubpara"/>
      </w:pPr>
      <w:r>
        <w:tab/>
        <w:t>(i)</w:t>
      </w:r>
      <w:r>
        <w:tab/>
        <w:t>a religious, educational, charitable or benevolent purpose;</w:t>
      </w:r>
    </w:p>
    <w:p w:rsidR="00BB6F9A" w:rsidRDefault="00BB6F9A">
      <w:pPr>
        <w:pStyle w:val="aDefsubpara"/>
      </w:pPr>
      <w:r>
        <w:tab/>
        <w:t>(ii)</w:t>
      </w:r>
      <w:r>
        <w:tab/>
        <w:t>promoting or encouraging literature, science or the arts;</w:t>
      </w:r>
    </w:p>
    <w:p w:rsidR="00BB6F9A" w:rsidRDefault="00BB6F9A">
      <w:pPr>
        <w:pStyle w:val="aDefsubpara"/>
      </w:pPr>
      <w:r>
        <w:tab/>
        <w:t>(iii)</w:t>
      </w:r>
      <w:r>
        <w:tab/>
        <w:t>looking after, or giving attention to, people who need care because of a physical or mental disability or condition;</w:t>
      </w:r>
    </w:p>
    <w:p w:rsidR="00BB6F9A" w:rsidRDefault="00BB6F9A">
      <w:pPr>
        <w:pStyle w:val="aDefsubpara"/>
      </w:pPr>
      <w:r>
        <w:tab/>
        <w:t>(iv)</w:t>
      </w:r>
      <w:r>
        <w:tab/>
        <w:t>sport, recreation or amusement;</w:t>
      </w:r>
    </w:p>
    <w:p w:rsidR="00BB6F9A" w:rsidRDefault="00BB6F9A">
      <w:pPr>
        <w:pStyle w:val="aDefsubpara"/>
      </w:pPr>
      <w:r>
        <w:tab/>
        <w:t>(v)</w:t>
      </w:r>
      <w:r>
        <w:tab/>
        <w:t>conserving resources or protecting the natural environment from harm;</w:t>
      </w:r>
    </w:p>
    <w:p w:rsidR="00BB6F9A" w:rsidRDefault="00BB6F9A">
      <w:pPr>
        <w:pStyle w:val="aDefsubpara"/>
      </w:pPr>
      <w:r>
        <w:tab/>
        <w:t>(vi)</w:t>
      </w:r>
      <w:r>
        <w:tab/>
        <w:t>preserving historical or cultural heritage;</w:t>
      </w:r>
    </w:p>
    <w:p w:rsidR="00BB6F9A" w:rsidRDefault="00BB6F9A">
      <w:pPr>
        <w:pStyle w:val="aDefsubpara"/>
      </w:pPr>
      <w:r>
        <w:tab/>
        <w:t>(vii)</w:t>
      </w:r>
      <w:r>
        <w:tab/>
        <w:t>a political purpose;</w:t>
      </w:r>
    </w:p>
    <w:p w:rsidR="00BB6F9A" w:rsidRDefault="00BB6F9A">
      <w:pPr>
        <w:pStyle w:val="aDefsubpara"/>
        <w:keepNext/>
      </w:pPr>
      <w:r>
        <w:lastRenderedPageBreak/>
        <w:tab/>
        <w:t>(viii)</w:t>
      </w:r>
      <w:r>
        <w:tab/>
        <w:t>protecting or promoting the common interests of the community generally or a particular section of the community; or</w:t>
      </w:r>
    </w:p>
    <w:p w:rsidR="00BB6F9A" w:rsidRDefault="00BB6F9A">
      <w:pPr>
        <w:pStyle w:val="aDefpara"/>
      </w:pPr>
      <w:r>
        <w:tab/>
        <w:t>(b)</w:t>
      </w:r>
      <w:r>
        <w:tab/>
        <w:t>work declared under the regulations to be community work.</w:t>
      </w:r>
    </w:p>
    <w:p w:rsidR="00BB6F9A" w:rsidRDefault="00BB6F9A">
      <w:pPr>
        <w:pStyle w:val="Amain"/>
      </w:pPr>
      <w:r>
        <w:tab/>
        <w:t>(2)</w:t>
      </w:r>
      <w:r>
        <w:tab/>
        <w:t xml:space="preserve">However, work is not </w:t>
      </w:r>
      <w:r>
        <w:rPr>
          <w:rStyle w:val="charBoldItals"/>
        </w:rPr>
        <w:t>community work</w:t>
      </w:r>
      <w:r>
        <w:t xml:space="preserve"> if it—</w:t>
      </w:r>
    </w:p>
    <w:p w:rsidR="00BB6F9A" w:rsidRDefault="00BB6F9A">
      <w:pPr>
        <w:pStyle w:val="Apara"/>
      </w:pPr>
      <w:r>
        <w:tab/>
        <w:t>(a)</w:t>
      </w:r>
      <w:r>
        <w:tab/>
        <w:t>involves acts or threats of violence; or</w:t>
      </w:r>
    </w:p>
    <w:p w:rsidR="00BB6F9A" w:rsidRDefault="00BB6F9A">
      <w:pPr>
        <w:pStyle w:val="Apara"/>
      </w:pPr>
      <w:r>
        <w:tab/>
        <w:t>(b)</w:t>
      </w:r>
      <w:r>
        <w:tab/>
        <w:t>creates a serious risk to the health or safety of the public or a section of the public; or</w:t>
      </w:r>
    </w:p>
    <w:p w:rsidR="00BB6F9A" w:rsidRDefault="00BB6F9A">
      <w:pPr>
        <w:pStyle w:val="Apara"/>
      </w:pPr>
      <w:r>
        <w:tab/>
        <w:t>(c)</w:t>
      </w:r>
      <w:r>
        <w:tab/>
        <w:t>is declared under the regulations not to be community work.</w:t>
      </w:r>
    </w:p>
    <w:p w:rsidR="00BB6F9A" w:rsidRDefault="00BB6F9A">
      <w:pPr>
        <w:pStyle w:val="AH5Sec"/>
      </w:pPr>
      <w:bookmarkStart w:id="19" w:name="_Toc4661281"/>
      <w:r>
        <w:rPr>
          <w:rStyle w:val="CharSectNo"/>
        </w:rPr>
        <w:t>8</w:t>
      </w:r>
      <w:r>
        <w:tab/>
        <w:t>Protection of volunteers from liability</w:t>
      </w:r>
      <w:bookmarkEnd w:id="19"/>
    </w:p>
    <w:p w:rsidR="00BB6F9A" w:rsidRDefault="00BB6F9A">
      <w:pPr>
        <w:pStyle w:val="Amain"/>
      </w:pPr>
      <w:r>
        <w:tab/>
        <w:t>(1)</w:t>
      </w:r>
      <w:r>
        <w:tab/>
        <w:t>A volunteer does not incur personal civil liability for an act done or omission made honestly and without recklessness while carrying out community work for a community organisation on a voluntary basis.</w:t>
      </w:r>
    </w:p>
    <w:p w:rsidR="00BB6F9A" w:rsidRDefault="00BB6F9A">
      <w:pPr>
        <w:pStyle w:val="Amain"/>
      </w:pPr>
      <w:r>
        <w:tab/>
        <w:t>(2)</w:t>
      </w:r>
      <w:r>
        <w:tab/>
        <w:t>However, the protection does not apply if—</w:t>
      </w:r>
    </w:p>
    <w:p w:rsidR="00BB6F9A" w:rsidRDefault="00BB6F9A">
      <w:pPr>
        <w:pStyle w:val="Apara"/>
      </w:pPr>
      <w:r>
        <w:tab/>
        <w:t>(a)</w:t>
      </w:r>
      <w:r>
        <w:tab/>
        <w:t>the liability falls within the ambit of a scheme of compulsory third party motor vehicle insurance; or</w:t>
      </w:r>
    </w:p>
    <w:p w:rsidR="00BB6F9A" w:rsidRDefault="00BB6F9A">
      <w:pPr>
        <w:pStyle w:val="Apara"/>
      </w:pPr>
      <w:r>
        <w:tab/>
        <w:t>(b)</w:t>
      </w:r>
      <w:r>
        <w:tab/>
        <w:t>the liability is for defamation; or</w:t>
      </w:r>
    </w:p>
    <w:p w:rsidR="00BB6F9A" w:rsidRDefault="00BB6F9A">
      <w:pPr>
        <w:pStyle w:val="Apara"/>
      </w:pPr>
      <w:r>
        <w:tab/>
        <w:t>(c)</w:t>
      </w:r>
      <w:r>
        <w:tab/>
        <w:t>the volunteer’s capacity to carry out the work properly was, at the relevant time, significantly impaired by a recreational drug; or</w:t>
      </w:r>
    </w:p>
    <w:p w:rsidR="00BB6F9A" w:rsidRDefault="00BB6F9A">
      <w:pPr>
        <w:pStyle w:val="Apara"/>
      </w:pPr>
      <w:r>
        <w:tab/>
        <w:t>(d)</w:t>
      </w:r>
      <w:r>
        <w:tab/>
        <w:t>the volunteer was acting, and knew or ought to have known that he or she was acting—</w:t>
      </w:r>
    </w:p>
    <w:p w:rsidR="00BB6F9A" w:rsidRDefault="00BB6F9A">
      <w:pPr>
        <w:pStyle w:val="Asubpara"/>
      </w:pPr>
      <w:r>
        <w:tab/>
        <w:t>(i)</w:t>
      </w:r>
      <w:r>
        <w:tab/>
        <w:t xml:space="preserve">outside the scope of the activities authorised by the community organisation; or </w:t>
      </w:r>
    </w:p>
    <w:p w:rsidR="00BB6F9A" w:rsidRDefault="00BB6F9A">
      <w:pPr>
        <w:pStyle w:val="Asubpara"/>
      </w:pPr>
      <w:r>
        <w:tab/>
        <w:t>(ii)</w:t>
      </w:r>
      <w:r>
        <w:tab/>
        <w:t>contrary to instructions given by the community organisation.</w:t>
      </w:r>
    </w:p>
    <w:p w:rsidR="00BB6F9A" w:rsidRDefault="00BB6F9A">
      <w:pPr>
        <w:pStyle w:val="AH5Sec"/>
      </w:pPr>
      <w:bookmarkStart w:id="20" w:name="_Toc4661282"/>
      <w:r>
        <w:rPr>
          <w:rStyle w:val="CharSectNo"/>
        </w:rPr>
        <w:lastRenderedPageBreak/>
        <w:t>9</w:t>
      </w:r>
      <w:r>
        <w:tab/>
        <w:t>Liability of community organisations for volunteers</w:t>
      </w:r>
      <w:bookmarkEnd w:id="20"/>
    </w:p>
    <w:p w:rsidR="00BB6F9A" w:rsidRDefault="00BB6F9A">
      <w:pPr>
        <w:pStyle w:val="Amain"/>
      </w:pPr>
      <w:r>
        <w:tab/>
        <w:t>(1)</w:t>
      </w:r>
      <w:r>
        <w:tab/>
        <w:t>A liability that would, apart from this part, attach to a volunteer, attaches instead to the community organisation for which the volunteer was carrying out the relevant community work.</w:t>
      </w:r>
    </w:p>
    <w:p w:rsidR="00BB6F9A" w:rsidRDefault="00BB6F9A">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BB6F9A" w:rsidRDefault="00BB6F9A">
      <w:pPr>
        <w:pStyle w:val="Apara"/>
      </w:pPr>
      <w:r>
        <w:tab/>
        <w:t>(a)</w:t>
      </w:r>
      <w:r>
        <w:tab/>
        <w:t>it is clear from the circumstances of the case that the protection given under section 8 does not apply to the case; or</w:t>
      </w:r>
    </w:p>
    <w:p w:rsidR="00BB6F9A" w:rsidRDefault="00BB6F9A">
      <w:pPr>
        <w:pStyle w:val="Apara"/>
      </w:pPr>
      <w:r>
        <w:tab/>
        <w:t>(b)</w:t>
      </w:r>
      <w:r>
        <w:tab/>
        <w:t>the injured person brings an action against the community organisation and the community organisation disputes, in a defence filed to the action, that it is liable for the act or omission of the volunteer.</w:t>
      </w:r>
    </w:p>
    <w:p w:rsidR="00BB6F9A" w:rsidRDefault="00BB6F9A">
      <w:pPr>
        <w:pStyle w:val="AH5Sec"/>
      </w:pPr>
      <w:bookmarkStart w:id="21" w:name="_Toc4661283"/>
      <w:r>
        <w:rPr>
          <w:rStyle w:val="CharSectNo"/>
        </w:rPr>
        <w:t>10</w:t>
      </w:r>
      <w:r>
        <w:tab/>
        <w:t>Territory may assume liability of community organisations for volunteers</w:t>
      </w:r>
      <w:bookmarkEnd w:id="21"/>
    </w:p>
    <w:p w:rsidR="00BB6F9A" w:rsidRDefault="00BB6F9A">
      <w:pPr>
        <w:pStyle w:val="Amain"/>
      </w:pPr>
      <w:r>
        <w:tab/>
        <w:t>(1)</w:t>
      </w:r>
      <w:r>
        <w:tab/>
        <w:t>This section applies if a community organisation carries out a function that is a recognised government responsibility.</w:t>
      </w:r>
    </w:p>
    <w:p w:rsidR="00BB6F9A" w:rsidRDefault="00BB6F9A">
      <w:pPr>
        <w:pStyle w:val="Amain"/>
      </w:pPr>
      <w:r>
        <w:tab/>
        <w:t>(2)</w:t>
      </w:r>
      <w:r>
        <w:tab/>
        <w:t>The Minister may, by agreement with the community organisation, assume on behalf of the Territory liabilities of the organisation that arise under section 9 in carrying out the function.</w:t>
      </w:r>
    </w:p>
    <w:p w:rsidR="00BB6F9A" w:rsidRDefault="00BB6F9A">
      <w:pPr>
        <w:pStyle w:val="Amain"/>
      </w:pPr>
      <w:r>
        <w:tab/>
        <w:t>(3)</w:t>
      </w:r>
      <w:r>
        <w:tab/>
        <w:t>The agreement may be subject to the conditions and limitations the Minister considers appropriate.</w:t>
      </w:r>
    </w:p>
    <w:p w:rsidR="00BB6F9A" w:rsidRDefault="00BB6F9A">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BB6F9A" w:rsidRDefault="00BB6F9A">
      <w:pPr>
        <w:pStyle w:val="Amain"/>
        <w:keepNext/>
      </w:pPr>
      <w:r>
        <w:lastRenderedPageBreak/>
        <w:tab/>
        <w:t>(5)</w:t>
      </w:r>
      <w:r>
        <w:tab/>
        <w:t>In this section:</w:t>
      </w:r>
    </w:p>
    <w:p w:rsidR="00BB6F9A" w:rsidRDefault="00BB6F9A">
      <w:pPr>
        <w:pStyle w:val="aDef"/>
      </w:pPr>
      <w:r>
        <w:rPr>
          <w:rStyle w:val="charBoldItals"/>
        </w:rPr>
        <w:t>recognised government responsibility</w:t>
      </w:r>
      <w:r>
        <w:t xml:space="preserve"> means a responsibility prescribed under the regulations as a recognised government responsibility.</w:t>
      </w:r>
    </w:p>
    <w:p w:rsidR="00BB6F9A" w:rsidRDefault="00BB6F9A">
      <w:pPr>
        <w:pStyle w:val="AH5Sec"/>
      </w:pPr>
      <w:bookmarkStart w:id="22" w:name="_Toc4661284"/>
      <w:r>
        <w:rPr>
          <w:rStyle w:val="CharSectNo"/>
        </w:rPr>
        <w:t>11</w:t>
      </w:r>
      <w:r>
        <w:tab/>
        <w:t>Directions to community organisations about insurance etc</w:t>
      </w:r>
      <w:bookmarkEnd w:id="22"/>
    </w:p>
    <w:p w:rsidR="00BB6F9A" w:rsidRDefault="00BB6F9A">
      <w:pPr>
        <w:pStyle w:val="Amain"/>
      </w:pPr>
      <w:r>
        <w:tab/>
        <w:t>(1)</w:t>
      </w:r>
      <w:r>
        <w:tab/>
        <w:t>The Minister may give written directions to community organisations about the taking out of insurance, or the adoption of risk management plans, in relation to liabilities to which this part applies.</w:t>
      </w:r>
    </w:p>
    <w:p w:rsidR="00BB6F9A" w:rsidRDefault="00BB6F9A">
      <w:pPr>
        <w:pStyle w:val="Amain"/>
        <w:keepNext/>
      </w:pPr>
      <w:r>
        <w:tab/>
        <w:t>(2)</w:t>
      </w:r>
      <w:r>
        <w:tab/>
        <w:t>A direction is a disallowable instrument.</w:t>
      </w:r>
    </w:p>
    <w:p w:rsidR="00BB6F9A" w:rsidRDefault="00BB6F9A">
      <w:pPr>
        <w:pStyle w:val="aNote"/>
      </w:pPr>
      <w:r>
        <w:rPr>
          <w:rStyle w:val="charItals"/>
        </w:rPr>
        <w:t>Note</w:t>
      </w:r>
      <w:r>
        <w:rPr>
          <w:rStyle w:val="charItals"/>
        </w:rPr>
        <w:tab/>
      </w:r>
      <w:r>
        <w:t xml:space="preserve">A disallowable instrument must be notified, and presented to the Legislative Assembly, under the </w:t>
      </w:r>
      <w:r>
        <w:rPr>
          <w:rStyle w:val="charItals"/>
        </w:rPr>
        <w:t>Legislation Act 2001</w:t>
      </w:r>
      <w:r>
        <w:t>.</w:t>
      </w:r>
    </w:p>
    <w:p w:rsidR="00BB6F9A" w:rsidRDefault="00BB6F9A">
      <w:pPr>
        <w:pStyle w:val="PageBreak"/>
      </w:pPr>
      <w:r>
        <w:br w:type="page"/>
      </w:r>
    </w:p>
    <w:p w:rsidR="00BB6F9A" w:rsidRDefault="00BB6F9A">
      <w:pPr>
        <w:pStyle w:val="AH2Part"/>
      </w:pPr>
      <w:bookmarkStart w:id="23" w:name="_Toc4661285"/>
      <w:r>
        <w:rPr>
          <w:rStyle w:val="CharPartNo"/>
        </w:rPr>
        <w:lastRenderedPageBreak/>
        <w:t>Part 2.3</w:t>
      </w:r>
      <w:r>
        <w:rPr>
          <w:rStyle w:val="CharPartText"/>
        </w:rPr>
        <w:tab/>
        <w:t>Survival of actions on death</w:t>
      </w:r>
      <w:bookmarkEnd w:id="23"/>
    </w:p>
    <w:p w:rsidR="00BB6F9A" w:rsidRDefault="00BB6F9A">
      <w:pPr>
        <w:pStyle w:val="AH5Sec"/>
      </w:pPr>
      <w:bookmarkStart w:id="24" w:name="_Toc4661286"/>
      <w:r>
        <w:rPr>
          <w:rStyle w:val="CharSectNo"/>
        </w:rPr>
        <w:t>12</w:t>
      </w:r>
      <w:r>
        <w:tab/>
        <w:t xml:space="preserve">Effect of death on certain causes of action </w:t>
      </w:r>
      <w:r>
        <w:rPr>
          <w:b w:val="0"/>
          <w:bCs w:val="0"/>
        </w:rPr>
        <w:t>(LR(MP)A s 4)</w:t>
      </w:r>
      <w:bookmarkEnd w:id="24"/>
    </w:p>
    <w:p w:rsidR="00BB6F9A" w:rsidRDefault="00BB6F9A">
      <w:pPr>
        <w:pStyle w:val="Amain"/>
      </w:pPr>
      <w:r>
        <w:tab/>
        <w:t>(1)</w:t>
      </w:r>
      <w:r>
        <w:tab/>
        <w:t>When a person dies—</w:t>
      </w:r>
    </w:p>
    <w:p w:rsidR="00BB6F9A" w:rsidRDefault="00BB6F9A">
      <w:pPr>
        <w:pStyle w:val="Apara"/>
      </w:pPr>
      <w:r>
        <w:tab/>
        <w:t>(a)</w:t>
      </w:r>
      <w:r>
        <w:tab/>
        <w:t>all causes of action vested in the person survive for the benefit of the person’s estate; and</w:t>
      </w:r>
    </w:p>
    <w:p w:rsidR="00BB6F9A" w:rsidRDefault="00BB6F9A">
      <w:pPr>
        <w:pStyle w:val="Apara"/>
      </w:pPr>
      <w:r>
        <w:tab/>
        <w:t>(b)</w:t>
      </w:r>
      <w:r>
        <w:tab/>
        <w:t>all causes of action existing against the person survive against the person’s estate.</w:t>
      </w:r>
    </w:p>
    <w:p w:rsidR="00BB6F9A" w:rsidRDefault="00BB6F9A">
      <w:pPr>
        <w:pStyle w:val="Amain"/>
      </w:pPr>
      <w:r>
        <w:tab/>
        <w:t>(2)</w:t>
      </w:r>
      <w:r>
        <w:tab/>
        <w:t>This section does not apply to causes of action for defamation.</w:t>
      </w:r>
    </w:p>
    <w:p w:rsidR="00BB6F9A" w:rsidRDefault="00BB6F9A">
      <w:pPr>
        <w:pStyle w:val="AH5Sec"/>
      </w:pPr>
      <w:bookmarkStart w:id="25" w:name="_Toc4661287"/>
      <w:r>
        <w:rPr>
          <w:rStyle w:val="CharSectNo"/>
        </w:rPr>
        <w:t>13</w:t>
      </w:r>
      <w:r>
        <w:tab/>
        <w:t xml:space="preserve">Damages in surviving cause of action </w:t>
      </w:r>
      <w:r>
        <w:rPr>
          <w:b w:val="0"/>
          <w:bCs w:val="0"/>
        </w:rPr>
        <w:t>(LR(MP)A s 5)</w:t>
      </w:r>
      <w:bookmarkEnd w:id="25"/>
    </w:p>
    <w:p w:rsidR="00BB6F9A" w:rsidRDefault="00BB6F9A">
      <w:pPr>
        <w:pStyle w:val="Amain"/>
      </w:pPr>
      <w:r>
        <w:tab/>
        <w:t>(1)</w:t>
      </w:r>
      <w:r>
        <w:tab/>
        <w:t>This section applies to a cause of action that survives under this part for the benefit of a dead person’s estate.</w:t>
      </w:r>
    </w:p>
    <w:p w:rsidR="00BB6F9A" w:rsidRDefault="00BB6F9A">
      <w:pPr>
        <w:pStyle w:val="Amain"/>
      </w:pPr>
      <w:r>
        <w:tab/>
        <w:t>(2)</w:t>
      </w:r>
      <w:r>
        <w:tab/>
        <w:t>The damages recoverable do not include exemplary damages.</w:t>
      </w:r>
    </w:p>
    <w:p w:rsidR="00BB6F9A" w:rsidRDefault="00BB6F9A">
      <w:pPr>
        <w:pStyle w:val="Amain"/>
      </w:pPr>
      <w:r>
        <w:tab/>
        <w:t>(3)</w:t>
      </w:r>
      <w:r>
        <w:tab/>
        <w:t>If the act or omission that gave rise to the cause of action caused the person’s death, the damages recoverable—</w:t>
      </w:r>
    </w:p>
    <w:p w:rsidR="00BB6F9A" w:rsidRDefault="00BB6F9A">
      <w:pPr>
        <w:pStyle w:val="Apara"/>
      </w:pPr>
      <w:r>
        <w:tab/>
        <w:t>(a)</w:t>
      </w:r>
      <w:r>
        <w:tab/>
        <w:t>must be calculated without regard to any loss or gain to the estate resulting from the death; and</w:t>
      </w:r>
    </w:p>
    <w:p w:rsidR="00BB6F9A" w:rsidRDefault="00BB6F9A">
      <w:pPr>
        <w:pStyle w:val="Apara"/>
      </w:pPr>
      <w:r>
        <w:tab/>
        <w:t>(b)</w:t>
      </w:r>
      <w:r>
        <w:tab/>
        <w:t>do not include damages for—</w:t>
      </w:r>
    </w:p>
    <w:p w:rsidR="00BB6F9A" w:rsidRDefault="00BB6F9A">
      <w:pPr>
        <w:pStyle w:val="Asubpara"/>
      </w:pPr>
      <w:r>
        <w:tab/>
        <w:t>(i)</w:t>
      </w:r>
      <w:r>
        <w:tab/>
        <w:t>the person’s pain or suffering or for any bodily or mental harm suffered by the person or for the loss of the person’s expectation of life; or</w:t>
      </w:r>
    </w:p>
    <w:p w:rsidR="00BB6F9A" w:rsidRDefault="00BB6F9A">
      <w:pPr>
        <w:pStyle w:val="Asubpara"/>
      </w:pPr>
      <w:r>
        <w:tab/>
        <w:t>(ii)</w:t>
      </w:r>
      <w:r>
        <w:tab/>
        <w:t>the person’s loss of capacity to earn or loss of future probable earnings; and</w:t>
      </w:r>
    </w:p>
    <w:p w:rsidR="00BB6F9A" w:rsidRDefault="00BB6F9A">
      <w:pPr>
        <w:pStyle w:val="Apara"/>
      </w:pPr>
      <w:r>
        <w:tab/>
        <w:t>(c)</w:t>
      </w:r>
      <w:r>
        <w:tab/>
        <w:t>do not include damages of the kind mentioned in section 39 (Damages for loss of capacity to perform domestic services).</w:t>
      </w:r>
    </w:p>
    <w:p w:rsidR="00BB6F9A" w:rsidRDefault="00BB6F9A">
      <w:pPr>
        <w:pStyle w:val="Amain"/>
      </w:pPr>
      <w:r>
        <w:tab/>
        <w:t>(4)</w:t>
      </w:r>
      <w:r>
        <w:tab/>
        <w:t>The damages may include an amount to compensate for any reasonable funeral expenses paid or payable by the estate.</w:t>
      </w:r>
    </w:p>
    <w:p w:rsidR="00BB6F9A" w:rsidRDefault="00BB6F9A">
      <w:pPr>
        <w:pStyle w:val="Amain"/>
      </w:pPr>
      <w:r>
        <w:lastRenderedPageBreak/>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BB6F9A" w:rsidRDefault="00BB6F9A">
      <w:pPr>
        <w:pStyle w:val="Amain"/>
      </w:pPr>
      <w:r>
        <w:tab/>
        <w:t>(6)</w:t>
      </w:r>
      <w:r>
        <w:tab/>
        <w:t>In deciding whether an expense is reasonable for subsection (4), regard must be had to the religious and cultural circumstances of the dead person and the members of the dead person’s family.</w:t>
      </w:r>
    </w:p>
    <w:p w:rsidR="00BB6F9A" w:rsidRDefault="00BB6F9A">
      <w:pPr>
        <w:pStyle w:val="Amain"/>
        <w:keepNext/>
      </w:pPr>
      <w:r>
        <w:tab/>
        <w:t>(7)</w:t>
      </w:r>
      <w:r>
        <w:tab/>
        <w:t>In this section:</w:t>
      </w:r>
    </w:p>
    <w:p w:rsidR="00BB6F9A" w:rsidRDefault="00BB6F9A">
      <w:pPr>
        <w:pStyle w:val="aDef"/>
      </w:pPr>
      <w:r>
        <w:rPr>
          <w:rStyle w:val="charBoldItals"/>
        </w:rPr>
        <w:t>member</w:t>
      </w:r>
      <w:r>
        <w:t>, of a dead person’s family—see section 20.</w:t>
      </w:r>
    </w:p>
    <w:p w:rsidR="00BB6F9A" w:rsidRDefault="00BB6F9A">
      <w:pPr>
        <w:pStyle w:val="AH5Sec"/>
      </w:pPr>
      <w:bookmarkStart w:id="26" w:name="_Toc4661288"/>
      <w:r>
        <w:rPr>
          <w:rStyle w:val="CharSectNo"/>
        </w:rPr>
        <w:t>14</w:t>
      </w:r>
      <w:r>
        <w:tab/>
        <w:t xml:space="preserve">If person liable dies before or at time of damage </w:t>
      </w:r>
      <w:r>
        <w:rPr>
          <w:b w:val="0"/>
          <w:bCs w:val="0"/>
        </w:rPr>
        <w:t>(LR(MP)A s 7)</w:t>
      </w:r>
      <w:bookmarkEnd w:id="26"/>
    </w:p>
    <w:p w:rsidR="00BB6F9A" w:rsidRDefault="00BB6F9A">
      <w:pPr>
        <w:pStyle w:val="Amain"/>
      </w:pPr>
      <w:r>
        <w:tab/>
        <w:t>(1)</w:t>
      </w:r>
      <w:r>
        <w:tab/>
        <w:t>This section applies if—</w:t>
      </w:r>
    </w:p>
    <w:p w:rsidR="00BB6F9A" w:rsidRDefault="00BB6F9A">
      <w:pPr>
        <w:pStyle w:val="Apara"/>
      </w:pPr>
      <w:r>
        <w:tab/>
        <w:t>(a)</w:t>
      </w:r>
      <w:r>
        <w:tab/>
        <w:t>damage was suffered because of an act or omission; and</w:t>
      </w:r>
    </w:p>
    <w:p w:rsidR="00BB6F9A" w:rsidRDefault="00BB6F9A">
      <w:pPr>
        <w:pStyle w:val="Apara"/>
      </w:pPr>
      <w:r>
        <w:tab/>
        <w:t>(b)</w:t>
      </w:r>
      <w:r>
        <w:tab/>
        <w:t>a person against whom there would have been a cause of action for the act or omission died before or at the same time as the damage was suffered.</w:t>
      </w:r>
    </w:p>
    <w:p w:rsidR="00BB6F9A" w:rsidRDefault="00BB6F9A">
      <w:pPr>
        <w:pStyle w:val="Amain"/>
      </w:pPr>
      <w:r>
        <w:tab/>
        <w:t>(2)</w:t>
      </w:r>
      <w:r>
        <w:tab/>
        <w:t>For this part, the cause of action is taken to have existed against the person before his or her death.</w:t>
      </w:r>
    </w:p>
    <w:p w:rsidR="00BB6F9A" w:rsidRDefault="00BB6F9A">
      <w:pPr>
        <w:pStyle w:val="AH5Sec"/>
      </w:pPr>
      <w:bookmarkStart w:id="27" w:name="_Toc4661289"/>
      <w:r>
        <w:rPr>
          <w:rStyle w:val="CharSectNo"/>
        </w:rPr>
        <w:t>15</w:t>
      </w:r>
      <w:r>
        <w:tab/>
        <w:t xml:space="preserve">Saving of rights additional to pt 2.3 </w:t>
      </w:r>
      <w:r>
        <w:rPr>
          <w:b w:val="0"/>
          <w:bCs w:val="0"/>
        </w:rPr>
        <w:t>(LR(MP)A s 8)</w:t>
      </w:r>
      <w:bookmarkEnd w:id="27"/>
    </w:p>
    <w:p w:rsidR="00BB6F9A" w:rsidRDefault="00BB6F9A">
      <w:pPr>
        <w:pStyle w:val="Amain"/>
      </w:pPr>
      <w:r>
        <w:tab/>
        <w:t>(1)</w:t>
      </w:r>
      <w:r>
        <w:tab/>
        <w:t>The rights given by this part for the benefit of estates of dead people are additional to, and do not limit, rights given by part 3.1 (Wrongful act or omission causing death).</w:t>
      </w:r>
    </w:p>
    <w:p w:rsidR="00BB6F9A" w:rsidRDefault="00BB6F9A">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BB6F9A" w:rsidRDefault="00BB6F9A">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val="0"/>
        </w:rPr>
        <w:t>,</w:t>
      </w:r>
      <w:r>
        <w:rPr>
          <w:rStyle w:val="charItals"/>
        </w:rPr>
        <w:t xml:space="preserve"> </w:t>
      </w:r>
      <w:r>
        <w:t>part 10 (Compulsory vehicle insurance).</w:t>
      </w:r>
    </w:p>
    <w:p w:rsidR="00BB6F9A" w:rsidRDefault="00BB6F9A">
      <w:pPr>
        <w:pStyle w:val="PageBreak"/>
      </w:pPr>
      <w:r>
        <w:br w:type="page"/>
      </w:r>
    </w:p>
    <w:p w:rsidR="00BB6F9A" w:rsidRDefault="00BB6F9A">
      <w:pPr>
        <w:pStyle w:val="AH2Part"/>
      </w:pPr>
      <w:bookmarkStart w:id="28" w:name="_Toc4661290"/>
      <w:r>
        <w:rPr>
          <w:rStyle w:val="CharPartNo"/>
        </w:rPr>
        <w:lastRenderedPageBreak/>
        <w:t>Part 2.4</w:t>
      </w:r>
      <w:r>
        <w:tab/>
      </w:r>
      <w:r>
        <w:rPr>
          <w:rStyle w:val="CharPartText"/>
        </w:rPr>
        <w:t>Proceedings against and contributions between wrongdoers</w:t>
      </w:r>
      <w:bookmarkEnd w:id="28"/>
    </w:p>
    <w:p w:rsidR="00BB6F9A" w:rsidRDefault="00BB6F9A">
      <w:pPr>
        <w:pStyle w:val="AH5Sec"/>
      </w:pPr>
      <w:bookmarkStart w:id="29" w:name="_Toc4661291"/>
      <w:r>
        <w:rPr>
          <w:rStyle w:val="CharSectNo"/>
        </w:rPr>
        <w:t>16</w:t>
      </w:r>
      <w:r>
        <w:tab/>
        <w:t xml:space="preserve">Definitions for pt 2.4 </w:t>
      </w:r>
      <w:r>
        <w:rPr>
          <w:b w:val="0"/>
          <w:bCs w:val="0"/>
        </w:rPr>
        <w:t>(LR(MP)A s 10)</w:t>
      </w:r>
      <w:bookmarkEnd w:id="29"/>
    </w:p>
    <w:p w:rsidR="00BB6F9A" w:rsidRDefault="00BB6F9A">
      <w:pPr>
        <w:pStyle w:val="Amainreturn"/>
        <w:keepNext/>
      </w:pPr>
      <w:r>
        <w:t>In this part:</w:t>
      </w:r>
    </w:p>
    <w:p w:rsidR="00BB6F9A" w:rsidRDefault="00BB6F9A">
      <w:pPr>
        <w:pStyle w:val="aDef"/>
        <w:rPr>
          <w:rStyle w:val="charBoldItals"/>
          <w:b w:val="0"/>
          <w:bCs w:val="0"/>
          <w:i w:val="0"/>
          <w:iCs w:val="0"/>
        </w:rPr>
      </w:pPr>
      <w:r>
        <w:rPr>
          <w:rStyle w:val="charBoldItals"/>
        </w:rPr>
        <w:t>court</w:t>
      </w:r>
      <w:r>
        <w:rPr>
          <w:rStyle w:val="charBoldItals"/>
          <w:b w:val="0"/>
          <w:bCs w:val="0"/>
          <w:i w:val="0"/>
          <w:iCs w:val="0"/>
        </w:rPr>
        <w:t xml:space="preserve"> includes arbitrator.</w:t>
      </w:r>
    </w:p>
    <w:p w:rsidR="00BB6F9A" w:rsidRDefault="00BB6F9A">
      <w:pPr>
        <w:pStyle w:val="aDef"/>
      </w:pPr>
      <w:r>
        <w:rPr>
          <w:rStyle w:val="charBoldItals"/>
        </w:rPr>
        <w:t>damage</w:t>
      </w:r>
      <w:r>
        <w:t xml:space="preserve"> means loss of any kind (including loss of life, personal injury, damage to property and economic loss).</w:t>
      </w:r>
    </w:p>
    <w:p w:rsidR="00BB6F9A" w:rsidRDefault="00BB6F9A">
      <w:pPr>
        <w:pStyle w:val="aDef"/>
        <w:keepNext/>
      </w:pPr>
      <w:r>
        <w:rPr>
          <w:rStyle w:val="charBoldItals"/>
        </w:rPr>
        <w:t>wrong</w:t>
      </w:r>
      <w:r>
        <w:t xml:space="preserve"> means an act or omission (whether or not an offence)—</w:t>
      </w:r>
    </w:p>
    <w:p w:rsidR="00BB6F9A" w:rsidRDefault="00BB6F9A">
      <w:pPr>
        <w:pStyle w:val="aDefpara"/>
      </w:pPr>
      <w:r>
        <w:tab/>
        <w:t>(a)</w:t>
      </w:r>
      <w:r>
        <w:tab/>
        <w:t>that gives rise to a liability in tort in relation to which a defence of contributory negligence is available at common law; or</w:t>
      </w:r>
    </w:p>
    <w:p w:rsidR="00BB6F9A" w:rsidRDefault="00BB6F9A">
      <w:pPr>
        <w:pStyle w:val="aDefpara"/>
      </w:pPr>
      <w:r>
        <w:tab/>
        <w:t>(b)</w:t>
      </w:r>
      <w:r>
        <w:tab/>
        <w:t xml:space="preserve">that amounts to a breach of a contractual duty of care that is concurrent and coextensive with a duty of care in tort. </w:t>
      </w:r>
    </w:p>
    <w:p w:rsidR="00BB6F9A" w:rsidRDefault="00BB6F9A">
      <w:pPr>
        <w:pStyle w:val="AH5Sec"/>
      </w:pPr>
      <w:bookmarkStart w:id="30" w:name="_Toc4661292"/>
      <w:r>
        <w:rPr>
          <w:rStyle w:val="CharSectNo"/>
        </w:rPr>
        <w:t>17</w:t>
      </w:r>
      <w:r>
        <w:tab/>
        <w:t xml:space="preserve">Each of several wrongdoers can be sued </w:t>
      </w:r>
      <w:r>
        <w:rPr>
          <w:b w:val="0"/>
          <w:bCs w:val="0"/>
        </w:rPr>
        <w:t>(LR(MP)A s 11)</w:t>
      </w:r>
      <w:bookmarkEnd w:id="30"/>
    </w:p>
    <w:p w:rsidR="00BB6F9A" w:rsidRDefault="00BB6F9A">
      <w:pPr>
        <w:pStyle w:val="Amain"/>
      </w:pPr>
      <w:r>
        <w:tab/>
        <w:t>(1)</w:t>
      </w:r>
      <w:r>
        <w:tab/>
        <w:t>A judgment or decision against a person for damage caused by a wrong does not bar an action against someone else who is also liable for the same damage.</w:t>
      </w:r>
    </w:p>
    <w:p w:rsidR="00BB6F9A" w:rsidRDefault="00BB6F9A">
      <w:pPr>
        <w:pStyle w:val="Amain"/>
      </w:pPr>
      <w:r>
        <w:tab/>
        <w:t>(2)</w:t>
      </w:r>
      <w:r>
        <w:tab/>
        <w:t>However, if separate actions are brought in relation to the same damage—</w:t>
      </w:r>
    </w:p>
    <w:p w:rsidR="00BB6F9A" w:rsidRDefault="00BB6F9A">
      <w:pPr>
        <w:pStyle w:val="Apara"/>
      </w:pPr>
      <w:r>
        <w:tab/>
        <w:t>(a)</w:t>
      </w:r>
      <w:r>
        <w:tab/>
        <w:t>the total amount recovered in the actions cannot exceed the amount of damages awarded in the judgment or decision given first or, if that amount is amended on appeal, the amount as amended; and</w:t>
      </w:r>
    </w:p>
    <w:p w:rsidR="00BB6F9A" w:rsidRDefault="00BB6F9A">
      <w:pPr>
        <w:pStyle w:val="Apara"/>
        <w:keepLines/>
      </w:pPr>
      <w:r>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BB6F9A" w:rsidRDefault="00BB6F9A">
      <w:pPr>
        <w:pStyle w:val="AH5Sec"/>
      </w:pPr>
      <w:bookmarkStart w:id="31" w:name="_Toc4661293"/>
      <w:r>
        <w:rPr>
          <w:rStyle w:val="CharSectNo"/>
        </w:rPr>
        <w:lastRenderedPageBreak/>
        <w:t>18</w:t>
      </w:r>
      <w:r>
        <w:tab/>
        <w:t xml:space="preserve">Right of contribution </w:t>
      </w:r>
      <w:r>
        <w:rPr>
          <w:b w:val="0"/>
          <w:bCs w:val="0"/>
        </w:rPr>
        <w:t>(LR(MP)A s 12)</w:t>
      </w:r>
      <w:bookmarkEnd w:id="31"/>
    </w:p>
    <w:p w:rsidR="00BB6F9A" w:rsidRDefault="00BB6F9A">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BB6F9A" w:rsidRDefault="00BB6F9A">
      <w:pPr>
        <w:pStyle w:val="Amain"/>
      </w:pPr>
      <w:r>
        <w:tab/>
        <w:t>(2)</w:t>
      </w:r>
      <w:r>
        <w:tab/>
        <w:t>The contribution must be an amount that the court considers just and equitable having regard to the extent of the contributory’s responsibility for the damage.</w:t>
      </w:r>
    </w:p>
    <w:p w:rsidR="00BB6F9A" w:rsidRDefault="00BB6F9A">
      <w:pPr>
        <w:pStyle w:val="Amain"/>
      </w:pPr>
      <w:r>
        <w:tab/>
        <w:t>(3)</w:t>
      </w:r>
      <w:r>
        <w:tab/>
        <w:t>However, the first person is not entitled to contribution under this section if—</w:t>
      </w:r>
    </w:p>
    <w:p w:rsidR="00BB6F9A" w:rsidRDefault="00BB6F9A">
      <w:pPr>
        <w:pStyle w:val="Apara"/>
      </w:pPr>
      <w:r>
        <w:tab/>
        <w:t>(a)</w:t>
      </w:r>
      <w:r>
        <w:tab/>
        <w:t>the first person is liable to indemnify the contributory against the contributory’s liability for the damage; or</w:t>
      </w:r>
    </w:p>
    <w:p w:rsidR="00BB6F9A" w:rsidRDefault="00BB6F9A">
      <w:pPr>
        <w:pStyle w:val="Apara"/>
      </w:pPr>
      <w:r>
        <w:tab/>
        <w:t>(b)</w:t>
      </w:r>
      <w:r>
        <w:tab/>
        <w:t>the court exempts the contributory from liability to make contribution; or</w:t>
      </w:r>
    </w:p>
    <w:p w:rsidR="00BB6F9A" w:rsidRDefault="00BB6F9A">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BB6F9A" w:rsidRDefault="00BB6F9A">
      <w:pPr>
        <w:pStyle w:val="AH5Sec"/>
      </w:pPr>
      <w:bookmarkStart w:id="32" w:name="_Toc4661294"/>
      <w:r>
        <w:rPr>
          <w:rStyle w:val="CharSectNo"/>
        </w:rPr>
        <w:t>19</w:t>
      </w:r>
      <w:r>
        <w:tab/>
        <w:t xml:space="preserve">Effect of pt 2.4 </w:t>
      </w:r>
      <w:r>
        <w:rPr>
          <w:b w:val="0"/>
          <w:bCs w:val="0"/>
        </w:rPr>
        <w:t>(LR(MP)A s 13)</w:t>
      </w:r>
      <w:bookmarkEnd w:id="32"/>
    </w:p>
    <w:p w:rsidR="00BB6F9A" w:rsidRDefault="00BB6F9A">
      <w:pPr>
        <w:pStyle w:val="Amain"/>
      </w:pPr>
      <w:r>
        <w:tab/>
        <w:t>(1)</w:t>
      </w:r>
      <w:r>
        <w:tab/>
        <w:t>This part does not—</w:t>
      </w:r>
    </w:p>
    <w:p w:rsidR="00BB6F9A" w:rsidRDefault="00BB6F9A">
      <w:pPr>
        <w:pStyle w:val="Apara"/>
      </w:pPr>
      <w:r>
        <w:tab/>
        <w:t>(a)</w:t>
      </w:r>
      <w:r>
        <w:tab/>
        <w:t>affect any criminal proceeding against a person in relation to an act or omission; or</w:t>
      </w:r>
    </w:p>
    <w:p w:rsidR="00BB6F9A" w:rsidRDefault="00BB6F9A">
      <w:pPr>
        <w:pStyle w:val="Apara"/>
      </w:pPr>
      <w:r>
        <w:tab/>
        <w:t>(b)</w:t>
      </w:r>
      <w:r>
        <w:tab/>
        <w:t>make enforceable an agreement for indemnity that would not have been enforceable if this part had not been enacted.</w:t>
      </w:r>
    </w:p>
    <w:p w:rsidR="00BB6F9A" w:rsidRDefault="00BB6F9A">
      <w:pPr>
        <w:pStyle w:val="Amain"/>
      </w:pPr>
      <w:r>
        <w:tab/>
        <w:t>(2)</w:t>
      </w:r>
      <w:r>
        <w:tab/>
        <w:t>This part has effect subject to the</w:t>
      </w:r>
      <w:r>
        <w:rPr>
          <w:rStyle w:val="charItals"/>
        </w:rPr>
        <w:t xml:space="preserve"> Construction Practitioners Registration Act 1998</w:t>
      </w:r>
      <w:r>
        <w:rPr>
          <w:rStyle w:val="charItals"/>
          <w:i w:val="0"/>
          <w:iCs w:val="0"/>
        </w:rPr>
        <w:t>,</w:t>
      </w:r>
      <w:r>
        <w:rPr>
          <w:rStyle w:val="charItals"/>
        </w:rPr>
        <w:t xml:space="preserve"> </w:t>
      </w:r>
      <w:r>
        <w:t>part 4 (Limitation of liability).</w:t>
      </w:r>
    </w:p>
    <w:p w:rsidR="00BB6F9A" w:rsidRDefault="00BB6F9A">
      <w:pPr>
        <w:pStyle w:val="PageBreak"/>
      </w:pPr>
      <w:r>
        <w:br w:type="page"/>
      </w:r>
    </w:p>
    <w:p w:rsidR="00BB6F9A" w:rsidRDefault="00BB6F9A">
      <w:pPr>
        <w:pStyle w:val="AH1Chapter"/>
      </w:pPr>
      <w:bookmarkStart w:id="33" w:name="_Toc4661295"/>
      <w:r>
        <w:rPr>
          <w:rStyle w:val="CharChapNo"/>
        </w:rPr>
        <w:lastRenderedPageBreak/>
        <w:t>Chapter 3</w:t>
      </w:r>
      <w:r>
        <w:tab/>
      </w:r>
      <w:r>
        <w:rPr>
          <w:rStyle w:val="CharChapText"/>
        </w:rPr>
        <w:t>Liability for death or injury</w:t>
      </w:r>
      <w:bookmarkEnd w:id="33"/>
    </w:p>
    <w:p w:rsidR="00BB6F9A" w:rsidRDefault="00BB6F9A">
      <w:pPr>
        <w:pStyle w:val="AH2Part"/>
      </w:pPr>
      <w:bookmarkStart w:id="34" w:name="_Toc4661296"/>
      <w:r>
        <w:rPr>
          <w:rStyle w:val="CharPartNo"/>
        </w:rPr>
        <w:t>Part 3.1</w:t>
      </w:r>
      <w:r>
        <w:tab/>
      </w:r>
      <w:r>
        <w:rPr>
          <w:rStyle w:val="CharPartText"/>
        </w:rPr>
        <w:t>Wrongful act or omission causing death</w:t>
      </w:r>
      <w:bookmarkEnd w:id="34"/>
    </w:p>
    <w:p w:rsidR="00BB6F9A" w:rsidRDefault="00BB6F9A">
      <w:pPr>
        <w:pStyle w:val="AH3Div"/>
      </w:pPr>
      <w:bookmarkStart w:id="35" w:name="_Toc4661297"/>
      <w:r>
        <w:rPr>
          <w:rStyle w:val="CharDivNo"/>
        </w:rPr>
        <w:t>Division 3.1.1</w:t>
      </w:r>
      <w:r>
        <w:tab/>
      </w:r>
      <w:r>
        <w:rPr>
          <w:rStyle w:val="CharDivText"/>
        </w:rPr>
        <w:t>Preliminary—liability for death</w:t>
      </w:r>
      <w:bookmarkEnd w:id="35"/>
    </w:p>
    <w:p w:rsidR="00BB6F9A" w:rsidRDefault="00BB6F9A">
      <w:pPr>
        <w:pStyle w:val="AH5Sec"/>
      </w:pPr>
      <w:bookmarkStart w:id="36" w:name="_Toc4661298"/>
      <w:r>
        <w:rPr>
          <w:rStyle w:val="CharSectNo"/>
        </w:rPr>
        <w:t>20</w:t>
      </w:r>
      <w:r>
        <w:tab/>
        <w:t xml:space="preserve">Definitions for pt 3.1 </w:t>
      </w:r>
      <w:r>
        <w:rPr>
          <w:b w:val="0"/>
          <w:bCs w:val="0"/>
        </w:rPr>
        <w:t>(C(FI)A s 2, s 3)</w:t>
      </w:r>
      <w:bookmarkEnd w:id="36"/>
    </w:p>
    <w:p w:rsidR="00BB6F9A" w:rsidRDefault="00BB6F9A">
      <w:pPr>
        <w:pStyle w:val="Amainreturn"/>
        <w:keepNext/>
      </w:pPr>
      <w:r>
        <w:t>In this part:</w:t>
      </w:r>
    </w:p>
    <w:p w:rsidR="00BB6F9A" w:rsidRDefault="00BB6F9A">
      <w:pPr>
        <w:pStyle w:val="aDef"/>
      </w:pPr>
      <w:r>
        <w:rPr>
          <w:rStyle w:val="charBoldItals"/>
        </w:rPr>
        <w:t>child</w:t>
      </w:r>
      <w:r>
        <w:t xml:space="preserve"> includes a grandchild and a stepchild.</w:t>
      </w:r>
    </w:p>
    <w:p w:rsidR="00BB6F9A" w:rsidRDefault="00BB6F9A">
      <w:pPr>
        <w:pStyle w:val="aDef"/>
        <w:keepNext/>
        <w:rPr>
          <w:rStyle w:val="charBoldItals"/>
          <w:b w:val="0"/>
          <w:bCs w:val="0"/>
          <w:i w:val="0"/>
          <w:iCs w:val="0"/>
        </w:rPr>
      </w:pPr>
      <w:r>
        <w:rPr>
          <w:rStyle w:val="charBoldItals"/>
        </w:rPr>
        <w:t>member</w:t>
      </w:r>
      <w:r>
        <w:rPr>
          <w:rStyle w:val="charBoldItals"/>
          <w:b w:val="0"/>
          <w:bCs w:val="0"/>
          <w:i w:val="0"/>
          <w:iCs w:val="0"/>
        </w:rPr>
        <w:t>, of a dead person’s family—</w:t>
      </w:r>
      <w:r>
        <w:t xml:space="preserve">each of the following people is a </w:t>
      </w:r>
      <w:r>
        <w:rPr>
          <w:rStyle w:val="charBoldItals"/>
        </w:rPr>
        <w:t>member</w:t>
      </w:r>
      <w:r>
        <w:t xml:space="preserve"> of a dead person’s family:</w:t>
      </w:r>
    </w:p>
    <w:p w:rsidR="00BB6F9A" w:rsidRDefault="00BB6F9A">
      <w:pPr>
        <w:pStyle w:val="Ipara"/>
        <w:keepNext/>
      </w:pPr>
      <w:r>
        <w:tab/>
        <w:t>(a)</w:t>
      </w:r>
      <w:r>
        <w:tab/>
        <w:t>a domestic partner; or</w:t>
      </w:r>
    </w:p>
    <w:p w:rsidR="00BB6F9A" w:rsidRDefault="00BB6F9A">
      <w:pPr>
        <w:pStyle w:val="aDefpara"/>
      </w:pPr>
      <w:r>
        <w:tab/>
        <w:t>(b)</w:t>
      </w:r>
      <w:r>
        <w:tab/>
        <w:t>a child of the person (including a child born alive after the death);</w:t>
      </w:r>
    </w:p>
    <w:p w:rsidR="00BB6F9A" w:rsidRDefault="00BB6F9A">
      <w:pPr>
        <w:pStyle w:val="aDefpara"/>
      </w:pPr>
      <w:r>
        <w:tab/>
        <w:t>(c)</w:t>
      </w:r>
      <w:r>
        <w:tab/>
        <w:t>a person to whom the dead person acted, immediately before his or her death, in place of a parent;</w:t>
      </w:r>
    </w:p>
    <w:p w:rsidR="00BB6F9A" w:rsidRDefault="00BB6F9A">
      <w:pPr>
        <w:pStyle w:val="aDefpara"/>
      </w:pPr>
      <w:r>
        <w:tab/>
        <w:t>(d)</w:t>
      </w:r>
      <w:r>
        <w:tab/>
        <w:t>a parent of the person;</w:t>
      </w:r>
    </w:p>
    <w:p w:rsidR="00BB6F9A" w:rsidRDefault="00BB6F9A">
      <w:pPr>
        <w:pStyle w:val="aDefpara"/>
      </w:pPr>
      <w:r>
        <w:tab/>
        <w:t>(e)</w:t>
      </w:r>
      <w:r>
        <w:tab/>
        <w:t>a person who acted, immediately before the dead person’s death, in place of a parent to the dead person;</w:t>
      </w:r>
    </w:p>
    <w:p w:rsidR="00BB6F9A" w:rsidRDefault="00BB6F9A">
      <w:pPr>
        <w:pStyle w:val="aDefpara"/>
      </w:pPr>
      <w:r>
        <w:tab/>
        <w:t>(f)</w:t>
      </w:r>
      <w:r>
        <w:tab/>
        <w:t>a brother, a sister, a half-brother and a half-sister of the person;</w:t>
      </w:r>
    </w:p>
    <w:p w:rsidR="00BB6F9A" w:rsidRDefault="00BB6F9A">
      <w:pPr>
        <w:pStyle w:val="aDefpara"/>
      </w:pPr>
      <w:r>
        <w:tab/>
        <w:t>(g)</w:t>
      </w:r>
      <w:r>
        <w:tab/>
        <w:t>a former spouse of the person.</w:t>
      </w:r>
    </w:p>
    <w:p w:rsidR="00BB6F9A" w:rsidRDefault="00BB6F9A">
      <w:pPr>
        <w:pStyle w:val="aDef"/>
      </w:pPr>
      <w:r>
        <w:rPr>
          <w:rStyle w:val="charBoldItals"/>
        </w:rPr>
        <w:t>parent</w:t>
      </w:r>
      <w:r>
        <w:t xml:space="preserve"> includes a stepfather, a stepmother, a grandfather and a grandmother.</w:t>
      </w:r>
    </w:p>
    <w:p w:rsidR="00BB6F9A" w:rsidRDefault="00BB6F9A">
      <w:pPr>
        <w:pStyle w:val="AH3Div"/>
      </w:pPr>
      <w:bookmarkStart w:id="37" w:name="_Toc4661299"/>
      <w:r>
        <w:rPr>
          <w:rStyle w:val="CharDivNo"/>
        </w:rPr>
        <w:lastRenderedPageBreak/>
        <w:t>Division 3.1.2</w:t>
      </w:r>
      <w:r>
        <w:tab/>
      </w:r>
      <w:r>
        <w:rPr>
          <w:rStyle w:val="CharDivText"/>
        </w:rPr>
        <w:t>Liability and damages for death</w:t>
      </w:r>
      <w:bookmarkEnd w:id="37"/>
    </w:p>
    <w:p w:rsidR="00BB6F9A" w:rsidRDefault="00BB6F9A">
      <w:pPr>
        <w:pStyle w:val="AH5Sec"/>
      </w:pPr>
      <w:bookmarkStart w:id="38" w:name="_Toc4661300"/>
      <w:r>
        <w:rPr>
          <w:rStyle w:val="CharSectNo"/>
        </w:rPr>
        <w:t>21</w:t>
      </w:r>
      <w:r>
        <w:tab/>
        <w:t xml:space="preserve">Liability for a person’s death </w:t>
      </w:r>
      <w:r>
        <w:rPr>
          <w:b w:val="0"/>
          <w:bCs w:val="0"/>
        </w:rPr>
        <w:t>(C(FI)A s 7)</w:t>
      </w:r>
      <w:bookmarkEnd w:id="38"/>
    </w:p>
    <w:p w:rsidR="00BB6F9A" w:rsidRDefault="00BB6F9A">
      <w:pPr>
        <w:pStyle w:val="Amainreturn"/>
      </w:pPr>
      <w:r>
        <w:t>If—</w:t>
      </w:r>
    </w:p>
    <w:p w:rsidR="00BB6F9A" w:rsidRDefault="00BB6F9A">
      <w:pPr>
        <w:pStyle w:val="Apara"/>
      </w:pPr>
      <w:r>
        <w:tab/>
        <w:t>(a)</w:t>
      </w:r>
      <w:r>
        <w:tab/>
        <w:t xml:space="preserve">a person’s death is caused by a wrongful act or omission (whether or not an offence); and </w:t>
      </w:r>
    </w:p>
    <w:p w:rsidR="00BB6F9A" w:rsidRDefault="00BB6F9A">
      <w:pPr>
        <w:pStyle w:val="Apara"/>
      </w:pPr>
      <w:r>
        <w:tab/>
        <w:t>(b)</w:t>
      </w:r>
      <w:r>
        <w:tab/>
        <w:t>the act or omission would, if death had not resulted, have entitled the person to recover damages in an action for personal injury;</w:t>
      </w:r>
    </w:p>
    <w:p w:rsidR="00BB6F9A" w:rsidRDefault="00BB6F9A">
      <w:pPr>
        <w:pStyle w:val="Amainreturn"/>
      </w:pPr>
      <w:r>
        <w:t>the person who would have been liable if the death had not resulted is liable to an action for damages despite the death and whether or not the death was caused by circumstances that were an offence.</w:t>
      </w:r>
    </w:p>
    <w:p w:rsidR="00BB6F9A" w:rsidRDefault="00BB6F9A">
      <w:pPr>
        <w:pStyle w:val="AH5Sec"/>
      </w:pPr>
      <w:bookmarkStart w:id="39" w:name="_Toc4661301"/>
      <w:r>
        <w:rPr>
          <w:rStyle w:val="CharSectNo"/>
        </w:rPr>
        <w:t>22</w:t>
      </w:r>
      <w:r>
        <w:tab/>
        <w:t xml:space="preserve">Damages for a person’s death </w:t>
      </w:r>
      <w:r>
        <w:rPr>
          <w:b w:val="0"/>
          <w:bCs w:val="0"/>
        </w:rPr>
        <w:t>(C(FI)A s 10)</w:t>
      </w:r>
      <w:bookmarkEnd w:id="39"/>
    </w:p>
    <w:p w:rsidR="00BB6F9A" w:rsidRDefault="00BB6F9A">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BB6F9A" w:rsidRDefault="00BB6F9A">
      <w:pPr>
        <w:pStyle w:val="Amain"/>
      </w:pPr>
      <w:r>
        <w:tab/>
        <w:t>(2)</w:t>
      </w:r>
      <w:r>
        <w:tab/>
        <w:t>Subsection (1) has effect subject to part 4.1 (General exclusions and limitations about damages).</w:t>
      </w:r>
    </w:p>
    <w:p w:rsidR="00BB6F9A" w:rsidRDefault="00BB6F9A">
      <w:pPr>
        <w:pStyle w:val="Amain"/>
      </w:pPr>
      <w:r>
        <w:tab/>
        <w:t>(3)</w:t>
      </w:r>
      <w:r>
        <w:tab/>
        <w:t>The amount of damages awarded must, after deducting the costs not recovered from the defendant, be divided between the beneficiaries in the shares the court decides.</w:t>
      </w:r>
    </w:p>
    <w:p w:rsidR="00BB6F9A" w:rsidRDefault="00BB6F9A">
      <w:pPr>
        <w:pStyle w:val="Amain"/>
        <w:keepNext/>
      </w:pPr>
      <w:r>
        <w:tab/>
        <w:t>(4)</w:t>
      </w:r>
      <w:r>
        <w:tab/>
        <w:t>The damages may include an amount to compensate for any of the following expenses paid or payable by a beneficiary:</w:t>
      </w:r>
    </w:p>
    <w:p w:rsidR="00BB6F9A" w:rsidRDefault="00BB6F9A">
      <w:pPr>
        <w:pStyle w:val="Apara"/>
      </w:pPr>
      <w:r>
        <w:tab/>
        <w:t>(a)</w:t>
      </w:r>
      <w:r>
        <w:tab/>
        <w:t>reasonable funeral expenses;</w:t>
      </w:r>
    </w:p>
    <w:p w:rsidR="00BB6F9A" w:rsidRDefault="00BB6F9A">
      <w:pPr>
        <w:pStyle w:val="Apara"/>
      </w:pPr>
      <w:r>
        <w:tab/>
        <w:t>(b)</w:t>
      </w:r>
      <w:r>
        <w:tab/>
        <w:t>reasonable medical or hospital expenses related to the injury that resulted in the death.</w:t>
      </w:r>
    </w:p>
    <w:p w:rsidR="00BB6F9A" w:rsidRDefault="00BB6F9A" w:rsidP="00B75CEF">
      <w:pPr>
        <w:pStyle w:val="Amain"/>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BB6F9A" w:rsidRDefault="00BB6F9A">
      <w:pPr>
        <w:pStyle w:val="Amain"/>
      </w:pPr>
      <w:r>
        <w:tab/>
        <w:t>(6)</w:t>
      </w:r>
      <w:r>
        <w:tab/>
        <w:t>In deciding whether an expense is reasonable for subsection (4) (a), regard must be had to the religious and cultural circumstances of the dead person and the members of the dead person’s family.</w:t>
      </w:r>
    </w:p>
    <w:p w:rsidR="00BB6F9A" w:rsidRDefault="00BB6F9A">
      <w:pPr>
        <w:pStyle w:val="AH5Sec"/>
      </w:pPr>
      <w:bookmarkStart w:id="40" w:name="_Toc4661302"/>
      <w:r>
        <w:rPr>
          <w:rStyle w:val="CharSectNo"/>
        </w:rPr>
        <w:t>23</w:t>
      </w:r>
      <w:r>
        <w:tab/>
        <w:t xml:space="preserve">Amounts not to be taken into account in assessing damages for death </w:t>
      </w:r>
      <w:r>
        <w:rPr>
          <w:b w:val="0"/>
          <w:bCs w:val="0"/>
        </w:rPr>
        <w:t>(C(FI)A s 10)</w:t>
      </w:r>
      <w:bookmarkEnd w:id="40"/>
    </w:p>
    <w:p w:rsidR="00BB6F9A" w:rsidRDefault="00BB6F9A">
      <w:pPr>
        <w:pStyle w:val="Amainreturn"/>
        <w:keepNext/>
      </w:pPr>
      <w:r>
        <w:t>In assessing damages in relation to liability under this part, the following must not be taken into account to reduce the damages:</w:t>
      </w:r>
    </w:p>
    <w:p w:rsidR="00BB6F9A" w:rsidRDefault="00BB6F9A">
      <w:pPr>
        <w:pStyle w:val="Apara"/>
      </w:pPr>
      <w:r>
        <w:tab/>
        <w:t>(a)</w:t>
      </w:r>
      <w:r>
        <w:tab/>
        <w:t xml:space="preserve">an amount paid or payable on the death of, or personal injury to, the dead person under a contract of insurance; </w:t>
      </w:r>
    </w:p>
    <w:p w:rsidR="00BB6F9A" w:rsidRDefault="00BB6F9A">
      <w:pPr>
        <w:pStyle w:val="Apara"/>
      </w:pPr>
      <w:r>
        <w:tab/>
        <w:t>(b)</w:t>
      </w:r>
      <w:r>
        <w:tab/>
        <w:t xml:space="preserve">an amount paid or payable out of a superannuation, provident or similar fund, or as a benefit from a friendly society, benefit society, lodge or trade union; </w:t>
      </w:r>
    </w:p>
    <w:p w:rsidR="00BB6F9A" w:rsidRDefault="00BB6F9A">
      <w:pPr>
        <w:pStyle w:val="Apara"/>
      </w:pPr>
      <w:r>
        <w:tab/>
        <w:t>(c)</w:t>
      </w:r>
      <w:r>
        <w:tab/>
        <w:t>an amount paid or payable because of the death or injury of the dead person that is—</w:t>
      </w:r>
    </w:p>
    <w:p w:rsidR="00BB6F9A" w:rsidRDefault="00BB6F9A">
      <w:pPr>
        <w:pStyle w:val="Asubpara"/>
      </w:pPr>
      <w:r>
        <w:tab/>
        <w:t>(i)</w:t>
      </w:r>
      <w:r>
        <w:tab/>
        <w:t>a payment instead of leave; or</w:t>
      </w:r>
    </w:p>
    <w:p w:rsidR="00BB6F9A" w:rsidRDefault="00BB6F9A">
      <w:pPr>
        <w:pStyle w:val="Asubpara"/>
      </w:pPr>
      <w:r>
        <w:tab/>
        <w:t>(ii)</w:t>
      </w:r>
      <w:r>
        <w:tab/>
        <w:t xml:space="preserve">a payment of a pension or another social security or veterans benefit; </w:t>
      </w:r>
    </w:p>
    <w:p w:rsidR="00BB6F9A" w:rsidRDefault="00BB6F9A">
      <w:pPr>
        <w:pStyle w:val="Apara"/>
      </w:pPr>
      <w:r>
        <w:tab/>
        <w:t>(d)</w:t>
      </w:r>
      <w:r>
        <w:tab/>
        <w:t xml:space="preserve">an amount paid or payable as a gratuity on the death of the dead person; </w:t>
      </w:r>
    </w:p>
    <w:p w:rsidR="00BB6F9A" w:rsidRDefault="00BB6F9A">
      <w:pPr>
        <w:pStyle w:val="Apara"/>
      </w:pPr>
      <w:r>
        <w:tab/>
        <w:t>(e)</w:t>
      </w:r>
      <w:r>
        <w:tab/>
        <w:t>an amount in relation to the acquisition by a member of the dead person’s family, after the death, of—</w:t>
      </w:r>
    </w:p>
    <w:p w:rsidR="00BB6F9A" w:rsidRDefault="00BB6F9A">
      <w:pPr>
        <w:pStyle w:val="Asubpara"/>
      </w:pPr>
      <w:r>
        <w:tab/>
        <w:t>(i)</w:t>
      </w:r>
      <w:r>
        <w:tab/>
        <w:t>a house, or an interest in a house, used at any time as the member’s home; or</w:t>
      </w:r>
    </w:p>
    <w:p w:rsidR="00BB6F9A" w:rsidRDefault="00BB6F9A">
      <w:pPr>
        <w:pStyle w:val="Asubpara"/>
      </w:pPr>
      <w:r>
        <w:lastRenderedPageBreak/>
        <w:tab/>
        <w:t>(ii)</w:t>
      </w:r>
      <w:r>
        <w:tab/>
        <w:t xml:space="preserve">the household contents, or an interest in the household contents, of the house; </w:t>
      </w:r>
    </w:p>
    <w:p w:rsidR="00BB6F9A" w:rsidRDefault="00BB6F9A">
      <w:pPr>
        <w:pStyle w:val="Apara"/>
      </w:pPr>
      <w:r>
        <w:tab/>
        <w:t>(f)</w:t>
      </w:r>
      <w:r>
        <w:tab/>
        <w:t>a premium that would have become payable under a contract of insurance on the life of the dead person if the person had lived beyond the time when he or she died.</w:t>
      </w:r>
    </w:p>
    <w:p w:rsidR="00BB6F9A" w:rsidRDefault="00BB6F9A">
      <w:pPr>
        <w:pStyle w:val="AH5Sec"/>
      </w:pPr>
      <w:bookmarkStart w:id="41" w:name="_Toc4661303"/>
      <w:r>
        <w:rPr>
          <w:rStyle w:val="CharSectNo"/>
        </w:rPr>
        <w:t>24</w:t>
      </w:r>
      <w:r>
        <w:tab/>
        <w:t xml:space="preserve">Contributory negligence not defence in relation to death </w:t>
      </w:r>
      <w:r>
        <w:rPr>
          <w:b w:val="0"/>
          <w:bCs w:val="0"/>
        </w:rPr>
        <w:t>(C(FI)A s 11)</w:t>
      </w:r>
      <w:bookmarkEnd w:id="41"/>
    </w:p>
    <w:p w:rsidR="00BB6F9A" w:rsidRDefault="00BB6F9A">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BB6F9A" w:rsidRDefault="00BB6F9A">
      <w:pPr>
        <w:pStyle w:val="Amain"/>
      </w:pPr>
      <w:r>
        <w:tab/>
        <w:t>(2)</w:t>
      </w:r>
      <w:r>
        <w:tab/>
        <w:t>Subsection (1) has effect subject to part 4.1 (General exclusions and limitations about damages).</w:t>
      </w:r>
    </w:p>
    <w:p w:rsidR="00BB6F9A" w:rsidRDefault="00BB6F9A">
      <w:pPr>
        <w:pStyle w:val="Amain"/>
        <w:keepNext/>
      </w:pPr>
      <w:r>
        <w:tab/>
        <w:t>(3)</w:t>
      </w:r>
      <w:r>
        <w:tab/>
        <w:t>In this section:</w:t>
      </w:r>
    </w:p>
    <w:p w:rsidR="00BB6F9A" w:rsidRDefault="00BB6F9A">
      <w:pPr>
        <w:pStyle w:val="aDef"/>
        <w:keepNext/>
      </w:pPr>
      <w:r>
        <w:rPr>
          <w:rStyle w:val="charBoldItals"/>
        </w:rPr>
        <w:t>wrong</w:t>
      </w:r>
      <w:r>
        <w:t xml:space="preserve"> means an act or omission (whether or not an offence)—</w:t>
      </w:r>
    </w:p>
    <w:p w:rsidR="00BB6F9A" w:rsidRDefault="00BB6F9A">
      <w:pPr>
        <w:pStyle w:val="aDefpara"/>
      </w:pPr>
      <w:r>
        <w:tab/>
        <w:t>(a)</w:t>
      </w:r>
      <w:r>
        <w:tab/>
        <w:t>that gives rise to a liability in tort; or</w:t>
      </w:r>
    </w:p>
    <w:p w:rsidR="00BB6F9A" w:rsidRDefault="00BB6F9A">
      <w:pPr>
        <w:pStyle w:val="aDefpara"/>
      </w:pPr>
      <w:r>
        <w:tab/>
        <w:t>(b)</w:t>
      </w:r>
      <w:r>
        <w:tab/>
        <w:t>that amounts to a breach of a contractual duty of care that is concurrent and coextensive with a duty of care in tort.</w:t>
      </w:r>
    </w:p>
    <w:p w:rsidR="00BB6F9A" w:rsidRDefault="00BB6F9A">
      <w:pPr>
        <w:pStyle w:val="AH3Div"/>
      </w:pPr>
      <w:bookmarkStart w:id="42" w:name="_Toc4661304"/>
      <w:r>
        <w:rPr>
          <w:rStyle w:val="CharDivNo"/>
        </w:rPr>
        <w:t>Division 3.1.3</w:t>
      </w:r>
      <w:r>
        <w:tab/>
      </w:r>
      <w:r>
        <w:rPr>
          <w:rStyle w:val="CharDivText"/>
        </w:rPr>
        <w:t>Procedural matters—action for death</w:t>
      </w:r>
      <w:bookmarkEnd w:id="42"/>
    </w:p>
    <w:p w:rsidR="00BB6F9A" w:rsidRDefault="00BB6F9A">
      <w:pPr>
        <w:pStyle w:val="AH5Sec"/>
      </w:pPr>
      <w:bookmarkStart w:id="43" w:name="_Toc4661305"/>
      <w:r>
        <w:rPr>
          <w:rStyle w:val="CharSectNo"/>
        </w:rPr>
        <w:t>25</w:t>
      </w:r>
      <w:r>
        <w:tab/>
        <w:t xml:space="preserve">One action for benefit of members of dead person’s family </w:t>
      </w:r>
      <w:r>
        <w:rPr>
          <w:b w:val="0"/>
          <w:bCs w:val="0"/>
        </w:rPr>
        <w:t>(C(FI)A s 8, s 13)</w:t>
      </w:r>
      <w:bookmarkEnd w:id="43"/>
    </w:p>
    <w:p w:rsidR="00BB6F9A" w:rsidRDefault="00BB6F9A">
      <w:pPr>
        <w:pStyle w:val="Amain"/>
      </w:pPr>
      <w:r>
        <w:tab/>
        <w:t>(1)</w:t>
      </w:r>
      <w:r>
        <w:tab/>
        <w:t>Not more than 1 action under this part may be brought against a person in relation to a death.</w:t>
      </w:r>
    </w:p>
    <w:p w:rsidR="00BB6F9A" w:rsidRDefault="00BB6F9A">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BB6F9A" w:rsidRDefault="00BB6F9A">
      <w:pPr>
        <w:pStyle w:val="Amain"/>
      </w:pPr>
      <w:r>
        <w:lastRenderedPageBreak/>
        <w:tab/>
        <w:t>(3)</w:t>
      </w:r>
      <w:r>
        <w:tab/>
        <w:t>However, if the action has not been begun by the personal representative within 6 months after the day of the death, any 1 or more of the beneficiaries may bring the action.</w:t>
      </w:r>
    </w:p>
    <w:p w:rsidR="00BB6F9A" w:rsidRDefault="00BB6F9A">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BB6F9A" w:rsidRDefault="00BB6F9A">
      <w:pPr>
        <w:pStyle w:val="AH5Sec"/>
        <w:rPr>
          <w:b w:val="0"/>
          <w:bCs w:val="0"/>
        </w:rPr>
      </w:pPr>
      <w:bookmarkStart w:id="44" w:name="_Toc4661306"/>
      <w:r>
        <w:rPr>
          <w:rStyle w:val="CharSectNo"/>
        </w:rPr>
        <w:t>26</w:t>
      </w:r>
      <w:r>
        <w:tab/>
        <w:t xml:space="preserve">Payment into court </w:t>
      </w:r>
      <w:r>
        <w:rPr>
          <w:b w:val="0"/>
          <w:bCs w:val="0"/>
        </w:rPr>
        <w:t>(C(FI)A s 12)</w:t>
      </w:r>
      <w:bookmarkEnd w:id="44"/>
    </w:p>
    <w:p w:rsidR="00BB6F9A" w:rsidRDefault="00BB6F9A">
      <w:pPr>
        <w:pStyle w:val="Amain"/>
      </w:pPr>
      <w:r>
        <w:tab/>
        <w:t>(1)</w:t>
      </w:r>
      <w:r>
        <w:tab/>
        <w:t>If an action is brought in the Magistrates Court under this part, the defendant may pay an amount into the Magistrates Court as compensation for the benefit of the people for whose benefit the action is brought, and who are entitled to compensation under this part, without stating the shares into which the amount is to be divided by the court.</w:t>
      </w:r>
    </w:p>
    <w:p w:rsidR="00BB6F9A" w:rsidRDefault="00BB6F9A">
      <w:pPr>
        <w:pStyle w:val="Amain"/>
      </w:pPr>
      <w:r>
        <w:tab/>
        <w:t>(2)</w:t>
      </w:r>
      <w:r>
        <w:tab/>
        <w:t>If an amount is paid into the Magistrates Court under subsection (1), no part of the amount can be paid out of court except under an order of the court.</w:t>
      </w:r>
    </w:p>
    <w:p w:rsidR="00BB6F9A" w:rsidRDefault="00BB6F9A">
      <w:pPr>
        <w:pStyle w:val="AH5Sec"/>
      </w:pPr>
      <w:bookmarkStart w:id="45" w:name="_Toc4661307"/>
      <w:r>
        <w:rPr>
          <w:rStyle w:val="CharSectNo"/>
        </w:rPr>
        <w:t>27</w:t>
      </w:r>
      <w:r>
        <w:tab/>
        <w:t xml:space="preserve">Special endorsement on originating process </w:t>
      </w:r>
      <w:r>
        <w:rPr>
          <w:b w:val="0"/>
          <w:bCs w:val="0"/>
        </w:rPr>
        <w:t>(C(FI)A s 14)</w:t>
      </w:r>
      <w:bookmarkEnd w:id="45"/>
    </w:p>
    <w:p w:rsidR="00BB6F9A" w:rsidRDefault="00BB6F9A">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BB6F9A" w:rsidRDefault="00BB6F9A">
      <w:pPr>
        <w:pStyle w:val="AH5Sec"/>
      </w:pPr>
      <w:bookmarkStart w:id="46" w:name="_Toc4661308"/>
      <w:r>
        <w:rPr>
          <w:rStyle w:val="CharSectNo"/>
        </w:rPr>
        <w:lastRenderedPageBreak/>
        <w:t>28</w:t>
      </w:r>
      <w:r>
        <w:tab/>
        <w:t xml:space="preserve">Powers of court to make orders in relation to actions </w:t>
      </w:r>
      <w:r>
        <w:rPr>
          <w:b w:val="0"/>
          <w:bCs w:val="0"/>
        </w:rPr>
        <w:t>(C(FI)A s 15)</w:t>
      </w:r>
      <w:bookmarkEnd w:id="46"/>
    </w:p>
    <w:p w:rsidR="00BB6F9A" w:rsidRDefault="00BB6F9A">
      <w:pPr>
        <w:pStyle w:val="Amain"/>
        <w:keepNext/>
      </w:pPr>
      <w:r>
        <w:tab/>
        <w:t>(1)</w:t>
      </w:r>
      <w:r>
        <w:tab/>
        <w:t>If—</w:t>
      </w:r>
    </w:p>
    <w:p w:rsidR="00BB6F9A" w:rsidRDefault="00BB6F9A" w:rsidP="00B75CEF">
      <w:pPr>
        <w:pStyle w:val="Apara"/>
        <w:keepNext/>
      </w:pPr>
      <w:r>
        <w:tab/>
        <w:t>(a)</w:t>
      </w:r>
      <w:r>
        <w:tab/>
        <w:t>an action under this part is begun in a court; and</w:t>
      </w:r>
    </w:p>
    <w:p w:rsidR="00BB6F9A" w:rsidRDefault="00BB6F9A" w:rsidP="00B75CEF">
      <w:pPr>
        <w:pStyle w:val="Apara"/>
        <w:keepLines/>
      </w:pPr>
      <w:r>
        <w:tab/>
        <w:t>(b)</w:t>
      </w:r>
      <w:r>
        <w:tab/>
        <w:t>the court is satisfied that a person whose name is not included in the names of the people for whose benefit the action is stated to have been brought is a person whose name should have been included;</w:t>
      </w:r>
    </w:p>
    <w:p w:rsidR="00BB6F9A" w:rsidRDefault="00BB6F9A">
      <w:pPr>
        <w:pStyle w:val="Amainreturn"/>
      </w:pPr>
      <w:r>
        <w:t>the court may (on its own initiative or on application by or on behalf of that person) order that the action must proceed as if the name of that person had been included.</w:t>
      </w:r>
    </w:p>
    <w:p w:rsidR="00BB6F9A" w:rsidRDefault="00BB6F9A">
      <w:pPr>
        <w:pStyle w:val="Amain"/>
      </w:pPr>
      <w:r>
        <w:tab/>
        <w:t>(2)</w:t>
      </w:r>
      <w:r>
        <w:tab/>
        <w:t xml:space="preserve">In an action under this part, the court may order that any 1 or more of the people for whose benefit the action has been brought must be separately represented by a lawyer. </w:t>
      </w:r>
    </w:p>
    <w:p w:rsidR="00BB6F9A" w:rsidRDefault="00BB6F9A">
      <w:pPr>
        <w:pStyle w:val="Amain"/>
      </w:pPr>
      <w:r>
        <w:tab/>
        <w:t>(3)</w:t>
      </w:r>
      <w:r>
        <w:tab/>
        <w:t>If the court makes an order under this section, the court may, at the same time or later, make the orders about procedure in the action that it considers appropriate.</w:t>
      </w:r>
    </w:p>
    <w:p w:rsidR="00BB6F9A" w:rsidRDefault="00BB6F9A">
      <w:pPr>
        <w:pStyle w:val="Amain"/>
      </w:pPr>
      <w:r>
        <w:tab/>
        <w:t>(4)</w:t>
      </w:r>
      <w:r>
        <w:tab/>
        <w:t>The powers of the court under this section are additional to any other powers of the court.</w:t>
      </w:r>
    </w:p>
    <w:p w:rsidR="00BB6F9A" w:rsidRDefault="00BB6F9A">
      <w:pPr>
        <w:pStyle w:val="PageBreak"/>
      </w:pPr>
      <w:r>
        <w:br w:type="page"/>
      </w:r>
    </w:p>
    <w:p w:rsidR="00BB6F9A" w:rsidRDefault="00BB6F9A">
      <w:pPr>
        <w:pStyle w:val="Placeholder"/>
      </w:pPr>
      <w:r>
        <w:rPr>
          <w:rStyle w:val="CharDivNo"/>
        </w:rPr>
        <w:lastRenderedPageBreak/>
        <w:t xml:space="preserve">  </w:t>
      </w:r>
      <w:r>
        <w:rPr>
          <w:rStyle w:val="CharDivText"/>
        </w:rPr>
        <w:t xml:space="preserve">  </w:t>
      </w:r>
    </w:p>
    <w:p w:rsidR="00BB6F9A" w:rsidRDefault="00BB6F9A">
      <w:pPr>
        <w:pStyle w:val="AH2Part"/>
      </w:pPr>
      <w:bookmarkStart w:id="47" w:name="_Toc4661309"/>
      <w:r>
        <w:rPr>
          <w:rStyle w:val="CharPartNo"/>
        </w:rPr>
        <w:t>Part 3.2</w:t>
      </w:r>
      <w:r>
        <w:tab/>
      </w:r>
      <w:r>
        <w:rPr>
          <w:rStyle w:val="CharPartText"/>
        </w:rPr>
        <w:t>Injury arising from mental or nervous shock</w:t>
      </w:r>
      <w:bookmarkEnd w:id="47"/>
    </w:p>
    <w:p w:rsidR="00BB6F9A" w:rsidRDefault="00BB6F9A">
      <w:pPr>
        <w:pStyle w:val="AH5Sec"/>
      </w:pPr>
      <w:bookmarkStart w:id="48" w:name="_Toc4661310"/>
      <w:r>
        <w:rPr>
          <w:rStyle w:val="CharSectNo"/>
        </w:rPr>
        <w:t>29</w:t>
      </w:r>
      <w:r>
        <w:tab/>
        <w:t xml:space="preserve">Definitions for pt 3.2 </w:t>
      </w:r>
      <w:r>
        <w:rPr>
          <w:b w:val="0"/>
          <w:bCs w:val="0"/>
        </w:rPr>
        <w:t>(LR(MP)  s 22)</w:t>
      </w:r>
      <w:bookmarkEnd w:id="48"/>
    </w:p>
    <w:p w:rsidR="00BB6F9A" w:rsidRDefault="00BB6F9A">
      <w:pPr>
        <w:pStyle w:val="Amainreturn"/>
        <w:keepNext/>
      </w:pPr>
      <w:r>
        <w:t>In this part:</w:t>
      </w:r>
    </w:p>
    <w:p w:rsidR="00BB6F9A" w:rsidRDefault="00BB6F9A">
      <w:pPr>
        <w:pStyle w:val="aDef"/>
      </w:pPr>
      <w:r>
        <w:rPr>
          <w:rStyle w:val="charBoldItals"/>
        </w:rPr>
        <w:t>child</w:t>
      </w:r>
      <w:r>
        <w:t>, of a person, means the son, daughter, grandson, granddaughter, stepson or stepdaughter of the person, or someone to whom the person is acting in place of a parent.</w:t>
      </w:r>
    </w:p>
    <w:p w:rsidR="00BB6F9A" w:rsidRDefault="00BB6F9A">
      <w:pPr>
        <w:pStyle w:val="aDef"/>
      </w:pPr>
      <w:r>
        <w:rPr>
          <w:rStyle w:val="charBoldItals"/>
        </w:rPr>
        <w:t>family member</w:t>
      </w:r>
      <w:r>
        <w:t>, of a person, means—</w:t>
      </w:r>
    </w:p>
    <w:p w:rsidR="00BB6F9A" w:rsidRDefault="00BB6F9A">
      <w:pPr>
        <w:pStyle w:val="Ipara"/>
        <w:keepNext/>
      </w:pPr>
      <w:r>
        <w:tab/>
        <w:t>(a)</w:t>
      </w:r>
      <w:r>
        <w:tab/>
        <w:t>a domestic partner;</w:t>
      </w:r>
    </w:p>
    <w:p w:rsidR="00BB6F9A" w:rsidRDefault="00BB6F9A">
      <w:pPr>
        <w:pStyle w:val="aDefpara"/>
      </w:pPr>
      <w:r>
        <w:tab/>
        <w:t>(b)</w:t>
      </w:r>
      <w:r>
        <w:tab/>
        <w:t>a parent or child of the person; or</w:t>
      </w:r>
    </w:p>
    <w:p w:rsidR="00BB6F9A" w:rsidRDefault="00BB6F9A">
      <w:pPr>
        <w:pStyle w:val="aDefpara"/>
      </w:pPr>
      <w:r>
        <w:tab/>
        <w:t>(c)</w:t>
      </w:r>
      <w:r>
        <w:tab/>
        <w:t>a brother, sister, half-brother or half-sister of the person.</w:t>
      </w:r>
    </w:p>
    <w:p w:rsidR="00BB6F9A" w:rsidRDefault="00BB6F9A">
      <w:pPr>
        <w:pStyle w:val="aDef"/>
      </w:pPr>
      <w:r>
        <w:rPr>
          <w:rStyle w:val="charBoldItals"/>
        </w:rPr>
        <w:t>parent</w:t>
      </w:r>
      <w:r>
        <w:t>, of a person, means the father, mother, grandfather, grandmother, stepfather or stepmother of the person, or someone acting in place of a parent to the person.</w:t>
      </w:r>
    </w:p>
    <w:p w:rsidR="00BB6F9A" w:rsidRDefault="00BB6F9A">
      <w:pPr>
        <w:pStyle w:val="AH5Sec"/>
      </w:pPr>
      <w:bookmarkStart w:id="49" w:name="_Toc4661311"/>
      <w:r>
        <w:rPr>
          <w:rStyle w:val="CharSectNo"/>
        </w:rPr>
        <w:t>30</w:t>
      </w:r>
      <w:r>
        <w:tab/>
        <w:t xml:space="preserve">Personal injury arising from mental or nervous shock </w:t>
      </w:r>
      <w:r>
        <w:rPr>
          <w:b w:val="0"/>
          <w:bCs w:val="0"/>
        </w:rPr>
        <w:t>(LR(MP)A s 23)</w:t>
      </w:r>
      <w:bookmarkEnd w:id="49"/>
    </w:p>
    <w:p w:rsidR="00BB6F9A" w:rsidRDefault="00BB6F9A">
      <w:pPr>
        <w:pStyle w:val="Amainreturn"/>
      </w:pPr>
      <w:r>
        <w:t>In an action for personal injury, the plaintiff is not prevented from recovering damages only because the injury arose completely or partly from mental or nervous shock.</w:t>
      </w:r>
    </w:p>
    <w:p w:rsidR="00BB6F9A" w:rsidRDefault="00BB6F9A">
      <w:pPr>
        <w:pStyle w:val="AH5Sec"/>
      </w:pPr>
      <w:bookmarkStart w:id="50" w:name="_Toc4661312"/>
      <w:r>
        <w:rPr>
          <w:rStyle w:val="CharSectNo"/>
        </w:rPr>
        <w:lastRenderedPageBreak/>
        <w:t>31</w:t>
      </w:r>
      <w:r>
        <w:tab/>
        <w:t xml:space="preserve">Extensions of liability under pt 3.2 in certain cases </w:t>
      </w:r>
      <w:r>
        <w:rPr>
          <w:b w:val="0"/>
          <w:bCs w:val="0"/>
        </w:rPr>
        <w:t>(LR(MP)A s 24)</w:t>
      </w:r>
      <w:bookmarkEnd w:id="50"/>
    </w:p>
    <w:p w:rsidR="00BB6F9A" w:rsidRDefault="00BB6F9A" w:rsidP="00B75CEF">
      <w:pPr>
        <w:pStyle w:val="Amain"/>
        <w:keepNext/>
        <w:keepLines/>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BB6F9A" w:rsidRDefault="00BB6F9A">
      <w:pPr>
        <w:pStyle w:val="Apara"/>
      </w:pPr>
      <w:r>
        <w:tab/>
        <w:t>(a)</w:t>
      </w:r>
      <w:r>
        <w:tab/>
        <w:t>a parent of A; or</w:t>
      </w:r>
    </w:p>
    <w:p w:rsidR="00BB6F9A" w:rsidRDefault="00BB6F9A">
      <w:pPr>
        <w:pStyle w:val="Ipara"/>
      </w:pPr>
      <w:r>
        <w:tab/>
        <w:t>(b)</w:t>
      </w:r>
      <w:r>
        <w:tab/>
        <w:t xml:space="preserve">a domestic partner of A; or </w:t>
      </w:r>
    </w:p>
    <w:p w:rsidR="00BB6F9A" w:rsidRDefault="00BB6F9A">
      <w:pPr>
        <w:pStyle w:val="Ipara"/>
      </w:pPr>
      <w:r>
        <w:tab/>
        <w:t>(c)</w:t>
      </w:r>
      <w:r>
        <w:tab/>
        <w:t>another family member of A, if A was killed, injured or put in danger within the sight or hearing of the other family member.</w:t>
      </w:r>
    </w:p>
    <w:p w:rsidR="00BB6F9A" w:rsidRDefault="00BB6F9A">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BB6F9A" w:rsidRDefault="00BB6F9A">
      <w:pPr>
        <w:pStyle w:val="Apara"/>
      </w:pPr>
      <w:r>
        <w:tab/>
        <w:t>(a)</w:t>
      </w:r>
      <w:r>
        <w:tab/>
        <w:t>which family members are parties to the action; and</w:t>
      </w:r>
    </w:p>
    <w:p w:rsidR="00BB6F9A" w:rsidRDefault="00BB6F9A">
      <w:pPr>
        <w:pStyle w:val="Apara"/>
      </w:pPr>
      <w:r>
        <w:tab/>
        <w:t>(b)</w:t>
      </w:r>
      <w:r>
        <w:tab/>
        <w:t>who is to have the conduct of the action.</w:t>
      </w:r>
    </w:p>
    <w:p w:rsidR="00BB6F9A" w:rsidRDefault="00BB6F9A">
      <w:pPr>
        <w:pStyle w:val="Amain"/>
      </w:pPr>
      <w:r>
        <w:tab/>
        <w:t>(3)</w:t>
      </w:r>
      <w:r>
        <w:tab/>
        <w:t>The action is for the benefit of all family members who are parties to the action.</w:t>
      </w:r>
    </w:p>
    <w:p w:rsidR="00BB6F9A" w:rsidRDefault="00BB6F9A">
      <w:pPr>
        <w:pStyle w:val="Amain"/>
      </w:pPr>
      <w:r>
        <w:tab/>
        <w:t>(4)</w:t>
      </w:r>
      <w:r>
        <w:tab/>
        <w:t>The court may award the damages that it considers to be proportional to the damage to the plaintiffs resulting from the wrongful act or omission.</w:t>
      </w:r>
    </w:p>
    <w:p w:rsidR="00BB6F9A" w:rsidRDefault="00BB6F9A">
      <w:pPr>
        <w:pStyle w:val="Amain"/>
      </w:pPr>
      <w:r>
        <w:tab/>
        <w:t>(5)</w:t>
      </w:r>
      <w:r>
        <w:tab/>
        <w:t>Subsection (4) has effect subject to part 4.1 (General exclusions and limitations about damages).</w:t>
      </w:r>
    </w:p>
    <w:p w:rsidR="00BB6F9A" w:rsidRDefault="00BB6F9A">
      <w:pPr>
        <w:pStyle w:val="Amain"/>
      </w:pPr>
      <w:r>
        <w:tab/>
        <w:t>(6)</w:t>
      </w:r>
      <w:r>
        <w:tab/>
        <w:t>The amount of damages awarded must, after deducting the costs not recovered from the defendant, be divided between the plaintiffs in the shares the court decides.</w:t>
      </w:r>
    </w:p>
    <w:p w:rsidR="00BB6F9A" w:rsidRDefault="00BB6F9A">
      <w:pPr>
        <w:pStyle w:val="PageBreak"/>
      </w:pPr>
      <w:r>
        <w:br w:type="page"/>
      </w:r>
    </w:p>
    <w:p w:rsidR="00BB6F9A" w:rsidRDefault="00BB6F9A">
      <w:pPr>
        <w:pStyle w:val="AH2Part"/>
      </w:pPr>
      <w:bookmarkStart w:id="51" w:name="_Toc4661313"/>
      <w:r>
        <w:rPr>
          <w:rStyle w:val="CharPartNo"/>
        </w:rPr>
        <w:lastRenderedPageBreak/>
        <w:t>Part 3.3</w:t>
      </w:r>
      <w:r>
        <w:tab/>
      </w:r>
      <w:r>
        <w:rPr>
          <w:rStyle w:val="CharPartText"/>
        </w:rPr>
        <w:t>Temporary exclusion of liability for terrorism-associated risks</w:t>
      </w:r>
      <w:bookmarkEnd w:id="51"/>
    </w:p>
    <w:p w:rsidR="00BB6F9A" w:rsidRDefault="00BB6F9A">
      <w:pPr>
        <w:pStyle w:val="AH5Sec"/>
      </w:pPr>
      <w:bookmarkStart w:id="52" w:name="_Toc4661314"/>
      <w:r>
        <w:rPr>
          <w:rStyle w:val="CharSectNo"/>
        </w:rPr>
        <w:t>31A</w:t>
      </w:r>
      <w:r>
        <w:tab/>
        <w:t xml:space="preserve">Meaning of </w:t>
      </w:r>
      <w:r>
        <w:rPr>
          <w:rStyle w:val="charItals"/>
        </w:rPr>
        <w:t xml:space="preserve">act of terrorism </w:t>
      </w:r>
      <w:r>
        <w:t>for pt 3.3</w:t>
      </w:r>
      <w:bookmarkEnd w:id="52"/>
    </w:p>
    <w:p w:rsidR="00BB6F9A" w:rsidRDefault="00BB6F9A">
      <w:pPr>
        <w:pStyle w:val="Amain"/>
        <w:keepNext/>
      </w:pPr>
      <w:r>
        <w:tab/>
        <w:t>(1)</w:t>
      </w:r>
      <w:r>
        <w:tab/>
        <w:t>In this part:</w:t>
      </w:r>
    </w:p>
    <w:p w:rsidR="00BB6F9A" w:rsidRDefault="00BB6F9A">
      <w:pPr>
        <w:pStyle w:val="aDef"/>
      </w:pPr>
      <w:r>
        <w:rPr>
          <w:rStyle w:val="charBoldItals"/>
        </w:rPr>
        <w:t>act of terrorism</w:t>
      </w:r>
      <w:r>
        <w:t xml:space="preserve"> means the use or threat of action if—</w:t>
      </w:r>
    </w:p>
    <w:p w:rsidR="00BB6F9A" w:rsidRDefault="00BB6F9A">
      <w:pPr>
        <w:pStyle w:val="Apara"/>
      </w:pPr>
      <w:r>
        <w:tab/>
        <w:t>(a)</w:t>
      </w:r>
      <w:r>
        <w:tab/>
        <w:t>the action falls within subsection (2); and</w:t>
      </w:r>
    </w:p>
    <w:p w:rsidR="00BB6F9A" w:rsidRDefault="00BB6F9A">
      <w:pPr>
        <w:pStyle w:val="Apara"/>
      </w:pPr>
      <w:r>
        <w:tab/>
        <w:t>(b)</w:t>
      </w:r>
      <w:r>
        <w:tab/>
        <w:t>the use or threat is designed to influence a government or to intimidate the public or a section of the public; and</w:t>
      </w:r>
    </w:p>
    <w:p w:rsidR="00BB6F9A" w:rsidRDefault="00BB6F9A">
      <w:pPr>
        <w:pStyle w:val="Apara"/>
      </w:pPr>
      <w:r>
        <w:tab/>
        <w:t>(c)</w:t>
      </w:r>
      <w:r>
        <w:tab/>
        <w:t>the use or threat is made for the purpose of advancing a political, religious or ideological cause.</w:t>
      </w:r>
    </w:p>
    <w:p w:rsidR="00BB6F9A" w:rsidRDefault="00BB6F9A">
      <w:pPr>
        <w:pStyle w:val="Amain"/>
      </w:pPr>
      <w:r>
        <w:tab/>
        <w:t>(2)</w:t>
      </w:r>
      <w:r>
        <w:tab/>
        <w:t>Action falls within this subsection if it—</w:t>
      </w:r>
    </w:p>
    <w:p w:rsidR="00BB6F9A" w:rsidRDefault="00BB6F9A">
      <w:pPr>
        <w:pStyle w:val="Apara"/>
      </w:pPr>
      <w:r>
        <w:tab/>
        <w:t>(a)</w:t>
      </w:r>
      <w:r>
        <w:tab/>
        <w:t>involves serious violence against a person; or</w:t>
      </w:r>
    </w:p>
    <w:p w:rsidR="00BB6F9A" w:rsidRDefault="00BB6F9A">
      <w:pPr>
        <w:pStyle w:val="Apara"/>
      </w:pPr>
      <w:r>
        <w:tab/>
        <w:t>(b)</w:t>
      </w:r>
      <w:r>
        <w:tab/>
        <w:t>involves serious damage to property; or</w:t>
      </w:r>
    </w:p>
    <w:p w:rsidR="00BB6F9A" w:rsidRDefault="00BB6F9A">
      <w:pPr>
        <w:pStyle w:val="Apara"/>
      </w:pPr>
      <w:r>
        <w:tab/>
        <w:t>(c)</w:t>
      </w:r>
      <w:r>
        <w:tab/>
        <w:t>endangers a person’s life, other than that of the person committing the action; or</w:t>
      </w:r>
    </w:p>
    <w:p w:rsidR="00BB6F9A" w:rsidRDefault="00BB6F9A">
      <w:pPr>
        <w:pStyle w:val="Apara"/>
      </w:pPr>
      <w:r>
        <w:tab/>
        <w:t>(d)</w:t>
      </w:r>
      <w:r>
        <w:tab/>
        <w:t>creates a serious risk to the health or safety of the public or a section of the public; or</w:t>
      </w:r>
    </w:p>
    <w:p w:rsidR="00BB6F9A" w:rsidRDefault="00BB6F9A">
      <w:pPr>
        <w:pStyle w:val="Apara"/>
      </w:pPr>
      <w:r>
        <w:tab/>
        <w:t>(e)</w:t>
      </w:r>
      <w:r>
        <w:tab/>
        <w:t>is designed seriously to interfere with or seriously to disrupt an electronic system.</w:t>
      </w:r>
    </w:p>
    <w:p w:rsidR="00BB6F9A" w:rsidRDefault="00BB6F9A">
      <w:pPr>
        <w:pStyle w:val="Amain"/>
      </w:pPr>
      <w:r>
        <w:tab/>
        <w:t>(3)</w:t>
      </w:r>
      <w:r>
        <w:tab/>
        <w:t>The use or threat of action falling within subsection (2) that involves the use of firearms or explosives is terrorism whether or not subsection (1) (b) is satisfied.</w:t>
      </w:r>
    </w:p>
    <w:p w:rsidR="00BB6F9A" w:rsidRDefault="00BB6F9A">
      <w:pPr>
        <w:pStyle w:val="Amain"/>
        <w:keepNext/>
      </w:pPr>
      <w:r>
        <w:lastRenderedPageBreak/>
        <w:tab/>
        <w:t>(4)</w:t>
      </w:r>
      <w:r>
        <w:tab/>
        <w:t>In this section:</w:t>
      </w:r>
    </w:p>
    <w:p w:rsidR="00BB6F9A" w:rsidRDefault="00BB6F9A" w:rsidP="00B75CEF">
      <w:pPr>
        <w:pStyle w:val="aDef"/>
        <w:keepNext/>
      </w:pPr>
      <w:r>
        <w:rPr>
          <w:rStyle w:val="charBoldItals"/>
        </w:rPr>
        <w:t>action</w:t>
      </w:r>
      <w:r>
        <w:t xml:space="preserve"> includes action outside the ACT or Australia.</w:t>
      </w:r>
    </w:p>
    <w:p w:rsidR="00BB6F9A" w:rsidRDefault="00BB6F9A">
      <w:pPr>
        <w:pStyle w:val="aDef"/>
      </w:pPr>
      <w:r>
        <w:rPr>
          <w:rStyle w:val="charBoldItals"/>
        </w:rPr>
        <w:t>government</w:t>
      </w:r>
      <w:r>
        <w:t xml:space="preserve"> includes the government of another Australian jurisdiction or a foreign country.</w:t>
      </w:r>
    </w:p>
    <w:p w:rsidR="00BB6F9A" w:rsidRDefault="00BB6F9A">
      <w:pPr>
        <w:pStyle w:val="aDef"/>
      </w:pPr>
      <w:r>
        <w:rPr>
          <w:rStyle w:val="charBoldItals"/>
        </w:rPr>
        <w:t>person</w:t>
      </w:r>
      <w:r>
        <w:t xml:space="preserve"> means a person anywhere, whether in or outside the ACT or Australia.</w:t>
      </w:r>
    </w:p>
    <w:p w:rsidR="00BB6F9A" w:rsidRDefault="00BB6F9A">
      <w:pPr>
        <w:pStyle w:val="aDef"/>
      </w:pPr>
      <w:r>
        <w:rPr>
          <w:rStyle w:val="charBoldItals"/>
        </w:rPr>
        <w:t>property</w:t>
      </w:r>
      <w:r>
        <w:t xml:space="preserve"> means property located anywhere, whether in or outside the ACT or Australia.</w:t>
      </w:r>
    </w:p>
    <w:p w:rsidR="00BB6F9A" w:rsidRDefault="00BB6F9A">
      <w:pPr>
        <w:pStyle w:val="aDef"/>
      </w:pPr>
      <w:r>
        <w:rPr>
          <w:rStyle w:val="charBoldItals"/>
        </w:rPr>
        <w:t>public</w:t>
      </w:r>
      <w:r>
        <w:t xml:space="preserve"> includes the public of a place outside the ACT or Australia.</w:t>
      </w:r>
    </w:p>
    <w:p w:rsidR="00BB6F9A" w:rsidRDefault="00BB6F9A">
      <w:pPr>
        <w:pStyle w:val="AH5Sec"/>
      </w:pPr>
      <w:bookmarkStart w:id="53" w:name="_Toc4661315"/>
      <w:r>
        <w:rPr>
          <w:rStyle w:val="CharSectNo"/>
        </w:rPr>
        <w:t>31B</w:t>
      </w:r>
      <w:r>
        <w:tab/>
        <w:t>Limitation of liability for acts of terrorism</w:t>
      </w:r>
      <w:bookmarkEnd w:id="53"/>
    </w:p>
    <w:p w:rsidR="00BB6F9A" w:rsidRDefault="00BB6F9A">
      <w:pPr>
        <w:pStyle w:val="Amain"/>
      </w:pPr>
      <w:r>
        <w:tab/>
        <w:t>(1)</w:t>
      </w:r>
      <w:r>
        <w:tab/>
        <w:t>There is no right of action for death or injury (or both) arising out of the use of a motor vehicle if the death or injury (or both) are caused by an act of terrorism committed before 1 October 2004.</w:t>
      </w:r>
    </w:p>
    <w:p w:rsidR="00BB6F9A" w:rsidRDefault="00BB6F9A">
      <w:pPr>
        <w:pStyle w:val="Amain"/>
      </w:pPr>
      <w:r>
        <w:tab/>
        <w:t>(2)</w:t>
      </w:r>
      <w:r>
        <w:tab/>
        <w:t>Subsection (1) does not remove the liability—</w:t>
      </w:r>
    </w:p>
    <w:p w:rsidR="00BB6F9A" w:rsidRDefault="00BB6F9A">
      <w:pPr>
        <w:pStyle w:val="Apara"/>
      </w:pPr>
      <w:r>
        <w:tab/>
        <w:t>(a)</w:t>
      </w:r>
      <w:r>
        <w:tab/>
        <w:t>of someone who commits or promotes the act of terrorism; or</w:t>
      </w:r>
    </w:p>
    <w:p w:rsidR="00BB6F9A" w:rsidRDefault="00BB6F9A">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BB6F9A" w:rsidRDefault="00BB6F9A">
      <w:pPr>
        <w:pStyle w:val="Amain"/>
      </w:pPr>
      <w:r>
        <w:tab/>
        <w:t>(3)</w:t>
      </w:r>
      <w:r>
        <w:tab/>
        <w:t xml:space="preserve">This section applies despite the </w:t>
      </w:r>
      <w:r>
        <w:rPr>
          <w:rStyle w:val="charItals"/>
        </w:rPr>
        <w:t>Road Transport (General) Act 1999</w:t>
      </w:r>
      <w:r>
        <w:t>, section 169 (1) (Indemnification of insured persons).</w:t>
      </w:r>
    </w:p>
    <w:p w:rsidR="00BB6F9A" w:rsidRDefault="00BB6F9A">
      <w:pPr>
        <w:pStyle w:val="AH5Sec"/>
      </w:pPr>
      <w:bookmarkStart w:id="54" w:name="_Toc4661316"/>
      <w:r>
        <w:rPr>
          <w:rStyle w:val="CharSectNo"/>
        </w:rPr>
        <w:t>31C</w:t>
      </w:r>
      <w:r>
        <w:tab/>
        <w:t>Expiry of pt 3.3</w:t>
      </w:r>
      <w:bookmarkEnd w:id="54"/>
    </w:p>
    <w:p w:rsidR="00BB6F9A" w:rsidRDefault="00BB6F9A">
      <w:pPr>
        <w:pStyle w:val="Amainreturn"/>
      </w:pPr>
      <w:r>
        <w:t>This part expires on 31 December 2004.</w:t>
      </w:r>
    </w:p>
    <w:p w:rsidR="00BB6F9A" w:rsidRDefault="00BB6F9A">
      <w:pPr>
        <w:pStyle w:val="PageBreak"/>
      </w:pPr>
      <w:r>
        <w:br w:type="page"/>
      </w:r>
    </w:p>
    <w:p w:rsidR="00BB6F9A" w:rsidRDefault="00BB6F9A">
      <w:pPr>
        <w:pStyle w:val="AH1Chapter"/>
      </w:pPr>
      <w:bookmarkStart w:id="55" w:name="_Toc4661317"/>
      <w:r>
        <w:rPr>
          <w:rStyle w:val="CharChapNo"/>
        </w:rPr>
        <w:lastRenderedPageBreak/>
        <w:t>Chapter 4</w:t>
      </w:r>
      <w:r>
        <w:tab/>
      </w:r>
      <w:r>
        <w:rPr>
          <w:rStyle w:val="CharChapText"/>
        </w:rPr>
        <w:t>Damages</w:t>
      </w:r>
      <w:bookmarkEnd w:id="55"/>
    </w:p>
    <w:p w:rsidR="00BB6F9A" w:rsidRDefault="00BB6F9A">
      <w:pPr>
        <w:pStyle w:val="PageBreak"/>
      </w:pPr>
    </w:p>
    <w:p w:rsidR="00BB6F9A" w:rsidRDefault="00BB6F9A">
      <w:pPr>
        <w:pStyle w:val="AH2Part"/>
      </w:pPr>
      <w:bookmarkStart w:id="56" w:name="_Toc4661318"/>
      <w:r>
        <w:rPr>
          <w:rStyle w:val="CharPartNo"/>
        </w:rPr>
        <w:t>Part 4.1</w:t>
      </w:r>
      <w:r>
        <w:tab/>
      </w:r>
      <w:r>
        <w:rPr>
          <w:rStyle w:val="CharPartText"/>
        </w:rPr>
        <w:t>General exclusions and limitations about damages</w:t>
      </w:r>
      <w:bookmarkEnd w:id="56"/>
    </w:p>
    <w:p w:rsidR="00BB6F9A" w:rsidRDefault="00BB6F9A">
      <w:pPr>
        <w:pStyle w:val="Placeholder"/>
      </w:pPr>
      <w:r>
        <w:rPr>
          <w:rStyle w:val="CharDivNo"/>
        </w:rPr>
        <w:t xml:space="preserve">  </w:t>
      </w:r>
      <w:r>
        <w:rPr>
          <w:rStyle w:val="CharDivText"/>
        </w:rPr>
        <w:t xml:space="preserve">  </w:t>
      </w:r>
    </w:p>
    <w:p w:rsidR="00BB6F9A" w:rsidRDefault="00BB6F9A">
      <w:pPr>
        <w:pStyle w:val="AH5Sec"/>
      </w:pPr>
      <w:bookmarkStart w:id="57" w:name="_Toc4661319"/>
      <w:r>
        <w:rPr>
          <w:rStyle w:val="CharSectNo"/>
        </w:rPr>
        <w:t>32</w:t>
      </w:r>
      <w:r>
        <w:tab/>
        <w:t>Definitions for pt 4.1</w:t>
      </w:r>
      <w:bookmarkEnd w:id="57"/>
    </w:p>
    <w:p w:rsidR="00BB6F9A" w:rsidRDefault="00BB6F9A">
      <w:pPr>
        <w:pStyle w:val="Amainreturn"/>
        <w:keepNext/>
      </w:pPr>
      <w:r>
        <w:t>In this part:</w:t>
      </w:r>
    </w:p>
    <w:p w:rsidR="00BB6F9A" w:rsidRDefault="00BB6F9A">
      <w:pPr>
        <w:pStyle w:val="aDef"/>
      </w:pPr>
      <w:r>
        <w:rPr>
          <w:rStyle w:val="charBoldItals"/>
        </w:rPr>
        <w:t>accident</w:t>
      </w:r>
      <w:r>
        <w:t xml:space="preserve"> means an incident out of which personal injury arises, and includes a motor accident.</w:t>
      </w:r>
    </w:p>
    <w:p w:rsidR="00BB6F9A" w:rsidRDefault="00BB6F9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BB6F9A" w:rsidRDefault="00BB6F9A">
      <w:pPr>
        <w:pStyle w:val="aDef"/>
      </w:pPr>
      <w:r>
        <w:rPr>
          <w:rStyle w:val="charBoldItals"/>
        </w:rPr>
        <w:t>court</w:t>
      </w:r>
      <w:r>
        <w:t xml:space="preserve"> includes arbitrator.</w:t>
      </w:r>
    </w:p>
    <w:p w:rsidR="00BB6F9A" w:rsidRDefault="00BB6F9A">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BB6F9A" w:rsidRDefault="00BB6F9A">
      <w:pPr>
        <w:pStyle w:val="aDef"/>
      </w:pPr>
      <w:r>
        <w:rPr>
          <w:rStyle w:val="charBoldItals"/>
        </w:rPr>
        <w:t xml:space="preserve">motor accident </w:t>
      </w:r>
      <w:r>
        <w:t>means an accident caused by, or arising out of the use of, a motor vehicle.</w:t>
      </w:r>
    </w:p>
    <w:p w:rsidR="00BB6F9A" w:rsidRDefault="00BB6F9A">
      <w:pPr>
        <w:pStyle w:val="aDef"/>
        <w:keepNext/>
      </w:pPr>
      <w:r>
        <w:rPr>
          <w:rStyle w:val="charBoldItals"/>
        </w:rPr>
        <w:t xml:space="preserve">motor vehicle </w:t>
      </w:r>
      <w:r>
        <w:t>means—</w:t>
      </w:r>
    </w:p>
    <w:p w:rsidR="00BB6F9A" w:rsidRDefault="00BB6F9A">
      <w:pPr>
        <w:pStyle w:val="aDefpara"/>
      </w:pPr>
      <w:r>
        <w:tab/>
        <w:t>(a)</w:t>
      </w:r>
      <w:r>
        <w:tab/>
        <w:t xml:space="preserve">a motor vehicle under the </w:t>
      </w:r>
      <w:r>
        <w:rPr>
          <w:rStyle w:val="charItals"/>
        </w:rPr>
        <w:t>Road Transport (General) Act 1999</w:t>
      </w:r>
      <w:r>
        <w:t>; or</w:t>
      </w:r>
    </w:p>
    <w:p w:rsidR="00BB6F9A" w:rsidRDefault="00BB6F9A">
      <w:pPr>
        <w:pStyle w:val="aDefpara"/>
      </w:pPr>
      <w:r>
        <w:tab/>
        <w:t>(b)</w:t>
      </w:r>
      <w:r>
        <w:tab/>
        <w:t>a vehicle operated on a railway or other fixed track.</w:t>
      </w:r>
    </w:p>
    <w:p w:rsidR="00BB6F9A" w:rsidRDefault="00BB6F9A">
      <w:pPr>
        <w:pStyle w:val="aDef"/>
        <w:keepNext/>
      </w:pPr>
      <w:r>
        <w:rPr>
          <w:rStyle w:val="charBoldItals"/>
        </w:rPr>
        <w:t>personal injury</w:t>
      </w:r>
      <w:r>
        <w:t xml:space="preserve"> means bodily injury, and includes—</w:t>
      </w:r>
    </w:p>
    <w:p w:rsidR="00BB6F9A" w:rsidRDefault="00BB6F9A">
      <w:pPr>
        <w:pStyle w:val="aDefpara"/>
        <w:keepNext/>
      </w:pPr>
      <w:r>
        <w:tab/>
        <w:t>(a)</w:t>
      </w:r>
      <w:r>
        <w:tab/>
        <w:t xml:space="preserve">mental or nervous shock; and </w:t>
      </w:r>
    </w:p>
    <w:p w:rsidR="00BB6F9A" w:rsidRDefault="00BB6F9A">
      <w:pPr>
        <w:pStyle w:val="aDefpara"/>
      </w:pPr>
      <w:r>
        <w:tab/>
        <w:t>(b)</w:t>
      </w:r>
      <w:r>
        <w:tab/>
        <w:t>death.</w:t>
      </w:r>
    </w:p>
    <w:p w:rsidR="00BB6F9A" w:rsidRDefault="00BB6F9A">
      <w:pPr>
        <w:pStyle w:val="AH5Sec"/>
      </w:pPr>
      <w:bookmarkStart w:id="58" w:name="_Toc4661320"/>
      <w:r>
        <w:rPr>
          <w:rStyle w:val="CharSectNo"/>
        </w:rPr>
        <w:lastRenderedPageBreak/>
        <w:t>33</w:t>
      </w:r>
      <w:r>
        <w:tab/>
        <w:t>Application of pt 4.1</w:t>
      </w:r>
      <w:bookmarkEnd w:id="58"/>
    </w:p>
    <w:p w:rsidR="00BB6F9A" w:rsidRDefault="00BB6F9A">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BB6F9A" w:rsidRDefault="00BB6F9A">
      <w:pPr>
        <w:pStyle w:val="Amain"/>
      </w:pPr>
      <w:r>
        <w:tab/>
        <w:t>(2)</w:t>
      </w:r>
      <w:r>
        <w:tab/>
        <w:t xml:space="preserve">However, this part does not apply to claims under the </w:t>
      </w:r>
      <w:r>
        <w:rPr>
          <w:rStyle w:val="charItals"/>
        </w:rPr>
        <w:t>Workers Compensation Act 1951</w:t>
      </w:r>
      <w:r>
        <w:t>.</w:t>
      </w:r>
    </w:p>
    <w:p w:rsidR="00BB6F9A" w:rsidRDefault="00BB6F9A">
      <w:pPr>
        <w:pStyle w:val="AH5Sec"/>
      </w:pPr>
      <w:bookmarkStart w:id="59" w:name="_Toc4661321"/>
      <w:r>
        <w:rPr>
          <w:rStyle w:val="CharSectNo"/>
        </w:rPr>
        <w:t>34</w:t>
      </w:r>
      <w:r>
        <w:tab/>
        <w:t>Exclusion of liability if conduct an offence</w:t>
      </w:r>
      <w:bookmarkEnd w:id="59"/>
    </w:p>
    <w:p w:rsidR="00BB6F9A" w:rsidRDefault="00BB6F9A">
      <w:pPr>
        <w:pStyle w:val="Amain"/>
      </w:pPr>
      <w:r>
        <w:tab/>
        <w:t>(1)</w:t>
      </w:r>
      <w:r>
        <w:tab/>
        <w:t>Liability for damages is excluded if the court—</w:t>
      </w:r>
    </w:p>
    <w:p w:rsidR="00BB6F9A" w:rsidRDefault="00BB6F9A">
      <w:pPr>
        <w:pStyle w:val="Apara"/>
      </w:pPr>
      <w:r>
        <w:tab/>
        <w:t>(a)</w:t>
      </w:r>
      <w:r>
        <w:tab/>
        <w:t>is satisfied on the balance of probabilities that the accident happened while the injured person was engaged in conduct that is an indictable offence; and</w:t>
      </w:r>
    </w:p>
    <w:p w:rsidR="00BB6F9A" w:rsidRDefault="00BB6F9A">
      <w:pPr>
        <w:pStyle w:val="Apara"/>
      </w:pPr>
      <w:r>
        <w:tab/>
        <w:t>(b)</w:t>
      </w:r>
      <w:r>
        <w:tab/>
        <w:t>is satisfied on the balance of probabilities that the injured person’s conduct contributed materially to the risk of injury.</w:t>
      </w:r>
    </w:p>
    <w:p w:rsidR="00BB6F9A" w:rsidRDefault="00BB6F9A">
      <w:pPr>
        <w:pStyle w:val="Amain"/>
      </w:pPr>
      <w:r>
        <w:tab/>
        <w:t>(2)</w:t>
      </w:r>
      <w:r>
        <w:tab/>
        <w:t>Despite this exclusion, the court may award damages in a particular case if satisfied that—</w:t>
      </w:r>
    </w:p>
    <w:p w:rsidR="00BB6F9A" w:rsidRDefault="00BB6F9A">
      <w:pPr>
        <w:pStyle w:val="Apara"/>
      </w:pPr>
      <w:r>
        <w:tab/>
        <w:t>(a)</w:t>
      </w:r>
      <w:r>
        <w:tab/>
        <w:t>the circumstances of the case are exceptional; and</w:t>
      </w:r>
    </w:p>
    <w:p w:rsidR="00BB6F9A" w:rsidRDefault="00BB6F9A">
      <w:pPr>
        <w:pStyle w:val="Apara"/>
      </w:pPr>
      <w:r>
        <w:tab/>
        <w:t>(b)</w:t>
      </w:r>
      <w:r>
        <w:tab/>
        <w:t>in the circumstances of the case, the exclusion would operate harshly and unjustly.</w:t>
      </w:r>
    </w:p>
    <w:p w:rsidR="00BB6F9A" w:rsidRDefault="00BB6F9A">
      <w:pPr>
        <w:pStyle w:val="AH5Sec"/>
      </w:pPr>
      <w:bookmarkStart w:id="60" w:name="_Toc4661322"/>
      <w:r>
        <w:rPr>
          <w:rStyle w:val="CharSectNo"/>
        </w:rPr>
        <w:t>35</w:t>
      </w:r>
      <w:r>
        <w:tab/>
        <w:t>Presumption of contributory negligence—injured person intoxicated</w:t>
      </w:r>
      <w:bookmarkEnd w:id="60"/>
    </w:p>
    <w:p w:rsidR="00BB6F9A" w:rsidRDefault="00BB6F9A">
      <w:pPr>
        <w:pStyle w:val="Amain"/>
      </w:pPr>
      <w:r>
        <w:tab/>
        <w:t>(1)</w:t>
      </w:r>
      <w:r>
        <w:tab/>
        <w:t>Contributory negligence must be presumed if the injured person was intoxicated at the time of the accident and the defendant claims contributory negligence.</w:t>
      </w:r>
    </w:p>
    <w:p w:rsidR="00BB6F9A" w:rsidRDefault="00BB6F9A">
      <w:pPr>
        <w:pStyle w:val="Amain"/>
      </w:pPr>
      <w:r>
        <w:tab/>
        <w:t>(2)</w:t>
      </w:r>
      <w:r>
        <w:tab/>
        <w:t>The presumption can be rebutted only if the injured person establishes, on the balance of probabilities, that—</w:t>
      </w:r>
    </w:p>
    <w:p w:rsidR="00BB6F9A" w:rsidRDefault="00BB6F9A">
      <w:pPr>
        <w:pStyle w:val="Apara"/>
      </w:pPr>
      <w:r>
        <w:tab/>
        <w:t>(a)</w:t>
      </w:r>
      <w:r>
        <w:tab/>
        <w:t>the intoxication did not contribute to the accident; or</w:t>
      </w:r>
    </w:p>
    <w:p w:rsidR="00BB6F9A" w:rsidRDefault="00BB6F9A">
      <w:pPr>
        <w:pStyle w:val="Apara"/>
      </w:pPr>
      <w:r>
        <w:tab/>
        <w:t>(b)</w:t>
      </w:r>
      <w:r>
        <w:tab/>
        <w:t>the intoxication was not self-induced.</w:t>
      </w:r>
    </w:p>
    <w:p w:rsidR="00BB6F9A" w:rsidRDefault="00BB6F9A">
      <w:pPr>
        <w:pStyle w:val="Amain"/>
      </w:pPr>
      <w:r>
        <w:lastRenderedPageBreak/>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BB6F9A" w:rsidRDefault="00BB6F9A">
      <w:pPr>
        <w:pStyle w:val="AH5Sec"/>
      </w:pPr>
      <w:bookmarkStart w:id="61" w:name="_Toc4661323"/>
      <w:r>
        <w:rPr>
          <w:rStyle w:val="CharSectNo"/>
        </w:rPr>
        <w:t>36</w:t>
      </w:r>
      <w:r>
        <w:tab/>
        <w:t>Presumption of contributory negligence—injured person relying on intoxicated person</w:t>
      </w:r>
      <w:bookmarkEnd w:id="61"/>
    </w:p>
    <w:p w:rsidR="00BB6F9A" w:rsidRDefault="00BB6F9A">
      <w:pPr>
        <w:pStyle w:val="Amain"/>
      </w:pPr>
      <w:r>
        <w:tab/>
        <w:t>(1)</w:t>
      </w:r>
      <w:r>
        <w:tab/>
        <w:t>Contributory negligence must be presumed if—</w:t>
      </w:r>
    </w:p>
    <w:p w:rsidR="00BB6F9A" w:rsidRDefault="00BB6F9A">
      <w:pPr>
        <w:pStyle w:val="Apara"/>
      </w:pPr>
      <w:r>
        <w:tab/>
        <w:t>(a)</w:t>
      </w:r>
      <w:r>
        <w:tab/>
        <w:t>the injured person—</w:t>
      </w:r>
    </w:p>
    <w:p w:rsidR="00BB6F9A" w:rsidRDefault="00BB6F9A">
      <w:pPr>
        <w:pStyle w:val="Asubpara"/>
      </w:pPr>
      <w:r>
        <w:tab/>
        <w:t>(i)</w:t>
      </w:r>
      <w:r>
        <w:tab/>
        <w:t xml:space="preserve">was at least 16 years old at the time of the accident; and </w:t>
      </w:r>
    </w:p>
    <w:p w:rsidR="00BB6F9A" w:rsidRDefault="00BB6F9A">
      <w:pPr>
        <w:pStyle w:val="Asubpara"/>
      </w:pPr>
      <w:r>
        <w:tab/>
        <w:t>(ii)</w:t>
      </w:r>
      <w:r>
        <w:tab/>
        <w:t>relied on the care and skill of a person (</w:t>
      </w:r>
      <w:r>
        <w:rPr>
          <w:rStyle w:val="charBoldItals"/>
        </w:rPr>
        <w:t>A</w:t>
      </w:r>
      <w:r>
        <w:t>) who was intoxicated at the time of the accident; and</w:t>
      </w:r>
    </w:p>
    <w:p w:rsidR="00BB6F9A" w:rsidRDefault="00BB6F9A">
      <w:pPr>
        <w:pStyle w:val="Asubpara"/>
      </w:pPr>
      <w:r>
        <w:tab/>
        <w:t>(iii)</w:t>
      </w:r>
      <w:r>
        <w:tab/>
        <w:t>knew, or ought to have known, that A was intoxicated; and</w:t>
      </w:r>
    </w:p>
    <w:p w:rsidR="00BB6F9A" w:rsidRDefault="00BB6F9A">
      <w:pPr>
        <w:pStyle w:val="Apara"/>
      </w:pPr>
      <w:r>
        <w:tab/>
        <w:t>(b)</w:t>
      </w:r>
      <w:r>
        <w:tab/>
        <w:t>the accident was caused by A’s negligence; and</w:t>
      </w:r>
    </w:p>
    <w:p w:rsidR="00BB6F9A" w:rsidRDefault="00BB6F9A">
      <w:pPr>
        <w:pStyle w:val="Apara"/>
      </w:pPr>
      <w:r>
        <w:tab/>
        <w:t>(c)</w:t>
      </w:r>
      <w:r>
        <w:tab/>
        <w:t>the defendant claims contributory negligence by the injured person.</w:t>
      </w:r>
    </w:p>
    <w:p w:rsidR="00BB6F9A" w:rsidRDefault="00BB6F9A">
      <w:pPr>
        <w:pStyle w:val="Amain"/>
      </w:pPr>
      <w:r>
        <w:tab/>
        <w:t>(2)</w:t>
      </w:r>
      <w:r>
        <w:tab/>
        <w:t>The presumption can be rebutted only if the injured person establishes, on the balance of probabilities, that—</w:t>
      </w:r>
    </w:p>
    <w:p w:rsidR="00BB6F9A" w:rsidRDefault="00BB6F9A">
      <w:pPr>
        <w:pStyle w:val="Apara"/>
      </w:pPr>
      <w:r>
        <w:tab/>
        <w:t>(a)</w:t>
      </w:r>
      <w:r>
        <w:tab/>
        <w:t>the intoxication did not contribute to the accident; or</w:t>
      </w:r>
    </w:p>
    <w:p w:rsidR="00BB6F9A" w:rsidRDefault="00BB6F9A">
      <w:pPr>
        <w:pStyle w:val="Apara"/>
      </w:pPr>
      <w:r>
        <w:tab/>
        <w:t>(b)</w:t>
      </w:r>
      <w:r>
        <w:tab/>
        <w:t>the injured person could not reasonably be expected to have avoided the risk.</w:t>
      </w:r>
    </w:p>
    <w:p w:rsidR="00BB6F9A" w:rsidRDefault="00BB6F9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BB6F9A" w:rsidRDefault="00BB6F9A">
      <w:pPr>
        <w:pStyle w:val="Amain"/>
      </w:pPr>
      <w:r>
        <w:tab/>
        <w:t>(4)</w:t>
      </w:r>
      <w:r>
        <w:tab/>
        <w:t>For this section, a passenger in a motor vehicle is taken to rely on the care and skill of the driver.</w:t>
      </w:r>
    </w:p>
    <w:p w:rsidR="00BB6F9A" w:rsidRDefault="00BB6F9A">
      <w:pPr>
        <w:pStyle w:val="Amain"/>
      </w:pPr>
      <w:r>
        <w:tab/>
        <w:t>(5)</w:t>
      </w:r>
      <w:r>
        <w:tab/>
        <w:t>The common law defence of voluntary assumption of risk does not apply to a matter to which this section applies.</w:t>
      </w:r>
    </w:p>
    <w:p w:rsidR="00BB6F9A" w:rsidRDefault="00BB6F9A">
      <w:pPr>
        <w:pStyle w:val="AH5Sec"/>
      </w:pPr>
      <w:bookmarkStart w:id="62" w:name="_Toc4661324"/>
      <w:r>
        <w:rPr>
          <w:rStyle w:val="CharSectNo"/>
        </w:rPr>
        <w:lastRenderedPageBreak/>
        <w:t>37</w:t>
      </w:r>
      <w:r>
        <w:tab/>
        <w:t>Presumption of contributory negligence—injured person not wearing seatbelt etc</w:t>
      </w:r>
      <w:bookmarkEnd w:id="62"/>
    </w:p>
    <w:p w:rsidR="00BB6F9A" w:rsidRDefault="00BB6F9A">
      <w:pPr>
        <w:pStyle w:val="Amain"/>
      </w:pPr>
      <w:r>
        <w:tab/>
        <w:t>(1)</w:t>
      </w:r>
      <w:r>
        <w:tab/>
        <w:t>Contributory negligence must be presumed if the injured person was injured in a motor accident and was at least 16 years old at the time of the accident and—</w:t>
      </w:r>
    </w:p>
    <w:p w:rsidR="00BB6F9A" w:rsidRDefault="00BB6F9A">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BB6F9A" w:rsidRDefault="00BB6F9A">
      <w:pPr>
        <w:pStyle w:val="Apara"/>
        <w:keepNext/>
      </w:pPr>
      <w:r>
        <w:tab/>
        <w:t>(b)</w:t>
      </w:r>
      <w:r>
        <w:tab/>
        <w:t>1 of the following factors contributed to the accident or the extent of the injury:</w:t>
      </w:r>
    </w:p>
    <w:p w:rsidR="00BB6F9A" w:rsidRDefault="00BB6F9A">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BB6F9A" w:rsidRDefault="00BB6F9A">
      <w:pPr>
        <w:pStyle w:val="Asubpara"/>
      </w:pPr>
      <w:r>
        <w:tab/>
        <w:t>(ii)</w:t>
      </w:r>
      <w:r>
        <w:tab/>
        <w:t>the injured person was a passenger in or on a motor vehicle with a passenger compartment but was not in the compartment at the time of the accident.</w:t>
      </w:r>
    </w:p>
    <w:p w:rsidR="00BB6F9A" w:rsidRDefault="00BB6F9A">
      <w:pPr>
        <w:pStyle w:val="Amain"/>
      </w:pPr>
      <w:r>
        <w:tab/>
        <w:t>(2)</w:t>
      </w:r>
      <w:r>
        <w:tab/>
        <w:t>The presumption can be rebutted only as provided in subsections (3) and (4).</w:t>
      </w:r>
    </w:p>
    <w:p w:rsidR="00BB6F9A" w:rsidRDefault="00BB6F9A">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BB6F9A" w:rsidRDefault="00BB6F9A">
      <w:pPr>
        <w:pStyle w:val="Amain"/>
      </w:pPr>
      <w:r>
        <w:tab/>
        <w:t>(4)</w:t>
      </w:r>
      <w:r>
        <w:tab/>
        <w:t>For subsection (1) (b) (ii), the presumption can be rebutted if the injured person establishes, on the balance of probabilities, that the injured person could not reasonably be expected to have avoided the risk.</w:t>
      </w:r>
    </w:p>
    <w:p w:rsidR="00BB6F9A" w:rsidRDefault="00BB6F9A">
      <w:pPr>
        <w:pStyle w:val="Amain"/>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BB6F9A" w:rsidRDefault="00BB6F9A">
      <w:pPr>
        <w:pStyle w:val="AH5Sec"/>
      </w:pPr>
      <w:bookmarkStart w:id="63" w:name="_Toc4661325"/>
      <w:r>
        <w:rPr>
          <w:rStyle w:val="CharSectNo"/>
        </w:rPr>
        <w:lastRenderedPageBreak/>
        <w:t>38</w:t>
      </w:r>
      <w:r>
        <w:tab/>
        <w:t>Damages for loss of earnings</w:t>
      </w:r>
      <w:bookmarkEnd w:id="63"/>
    </w:p>
    <w:p w:rsidR="00BB6F9A" w:rsidRDefault="00BB6F9A">
      <w:pPr>
        <w:pStyle w:val="Amain"/>
      </w:pPr>
      <w:r>
        <w:tab/>
        <w:t>(1)</w:t>
      </w:r>
      <w:r>
        <w:tab/>
        <w:t>In assessing damages for loss of earnings in relation to a claim, the court must disregard earnings above the limit mentioned in subsection (2).</w:t>
      </w:r>
    </w:p>
    <w:p w:rsidR="00BB6F9A" w:rsidRDefault="00BB6F9A">
      <w:pPr>
        <w:pStyle w:val="Amain"/>
      </w:pPr>
      <w:r>
        <w:tab/>
        <w:t>(2)</w:t>
      </w:r>
      <w:r>
        <w:tab/>
        <w:t>The limit is 3 times average weekly earnings a week.</w:t>
      </w:r>
    </w:p>
    <w:p w:rsidR="00BB6F9A" w:rsidRDefault="00BB6F9A">
      <w:pPr>
        <w:pStyle w:val="Amain"/>
        <w:keepNext/>
      </w:pPr>
      <w:r>
        <w:tab/>
        <w:t>(3)</w:t>
      </w:r>
      <w:r>
        <w:tab/>
        <w:t>In this section:</w:t>
      </w:r>
    </w:p>
    <w:p w:rsidR="00BB6F9A" w:rsidRDefault="00BB6F9A">
      <w:pPr>
        <w:pStyle w:val="aDef"/>
      </w:pPr>
      <w:r>
        <w:rPr>
          <w:rStyle w:val="charBoldItals"/>
        </w:rPr>
        <w:t>ABS</w:t>
      </w:r>
      <w:r>
        <w:t xml:space="preserve"> means the Australian Bureau of Statistics established under the </w:t>
      </w:r>
      <w:r>
        <w:rPr>
          <w:rStyle w:val="charItals"/>
        </w:rPr>
        <w:t xml:space="preserve">Australian Bureau of Statistics Act 1975 </w:t>
      </w:r>
      <w:r>
        <w:t>(Cwlth).</w:t>
      </w:r>
    </w:p>
    <w:p w:rsidR="00BB6F9A" w:rsidRDefault="00BB6F9A">
      <w:pPr>
        <w:pStyle w:val="aDef"/>
      </w:pPr>
      <w:r>
        <w:rPr>
          <w:rStyle w:val="charBoldItals"/>
        </w:rPr>
        <w:t>average weekly earnings</w:t>
      </w:r>
      <w:r>
        <w:t xml:space="preserve"> means the </w:t>
      </w:r>
      <w:r>
        <w:rPr>
          <w:rStyle w:val="charItals"/>
        </w:rPr>
        <w:t>Average weekly earnings</w:t>
      </w:r>
      <w:r>
        <w:t>, States and Territories, seasonally adjusted for the ACT (all males total earnings) issued by the ABS.</w:t>
      </w:r>
    </w:p>
    <w:p w:rsidR="00BB6F9A" w:rsidRDefault="00BB6F9A">
      <w:pPr>
        <w:pStyle w:val="aDef"/>
        <w:keepNext/>
      </w:pPr>
      <w:r>
        <w:rPr>
          <w:rStyle w:val="charBoldItals"/>
        </w:rPr>
        <w:t>loss of earnings</w:t>
      </w:r>
      <w:r>
        <w:t xml:space="preserve"> means—</w:t>
      </w:r>
    </w:p>
    <w:p w:rsidR="00BB6F9A" w:rsidRDefault="00BB6F9A">
      <w:pPr>
        <w:pStyle w:val="aDefpara"/>
        <w:keepNext/>
      </w:pPr>
      <w:r>
        <w:tab/>
        <w:t>(a)</w:t>
      </w:r>
      <w:r>
        <w:tab/>
        <w:t>past economic loss because of loss of earnings or the deprivation or impairment of earning capacity; and</w:t>
      </w:r>
    </w:p>
    <w:p w:rsidR="00BB6F9A" w:rsidRDefault="00BB6F9A">
      <w:pPr>
        <w:pStyle w:val="aDefpara"/>
      </w:pPr>
      <w:r>
        <w:tab/>
        <w:t>(b)</w:t>
      </w:r>
      <w:r>
        <w:tab/>
        <w:t>future economic loss because of loss of prospective earnings or the deprivation or impairment of prospective earning capacity.</w:t>
      </w:r>
    </w:p>
    <w:p w:rsidR="00BB6F9A" w:rsidRDefault="00BB6F9A">
      <w:pPr>
        <w:pStyle w:val="PageBreak"/>
      </w:pPr>
      <w:r>
        <w:br w:type="page"/>
      </w:r>
    </w:p>
    <w:p w:rsidR="00BB6F9A" w:rsidRDefault="00BB6F9A">
      <w:pPr>
        <w:pStyle w:val="AH2Part"/>
      </w:pPr>
      <w:bookmarkStart w:id="64" w:name="_Toc4661326"/>
      <w:r>
        <w:rPr>
          <w:rStyle w:val="CharPartNo"/>
        </w:rPr>
        <w:lastRenderedPageBreak/>
        <w:t>Part 4.2</w:t>
      </w:r>
      <w:r>
        <w:rPr>
          <w:rStyle w:val="CharPartText"/>
        </w:rPr>
        <w:tab/>
        <w:t>Loss of capacity to perform domestic services</w:t>
      </w:r>
      <w:bookmarkEnd w:id="64"/>
    </w:p>
    <w:p w:rsidR="00BB6F9A" w:rsidRDefault="00BB6F9A">
      <w:pPr>
        <w:pStyle w:val="AH5Sec"/>
      </w:pPr>
      <w:bookmarkStart w:id="65" w:name="_Toc4661327"/>
      <w:r>
        <w:rPr>
          <w:rStyle w:val="CharSectNo"/>
        </w:rPr>
        <w:t>39</w:t>
      </w:r>
      <w:r>
        <w:tab/>
        <w:t xml:space="preserve">Damages for loss of capacity to perform domestic services </w:t>
      </w:r>
      <w:r>
        <w:rPr>
          <w:b w:val="0"/>
          <w:bCs w:val="0"/>
        </w:rPr>
        <w:t>(LR(MP)A s 31, s 33)</w:t>
      </w:r>
      <w:bookmarkEnd w:id="65"/>
    </w:p>
    <w:p w:rsidR="00BB6F9A" w:rsidRDefault="00BB6F9A">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BB6F9A" w:rsidRDefault="00BB6F9A">
      <w:pPr>
        <w:pStyle w:val="Amain"/>
      </w:pPr>
      <w:r>
        <w:tab/>
        <w:t>(2)</w:t>
      </w:r>
      <w:r>
        <w:tab/>
        <w:t>In an action for the recovery of damages mentioned in subsection (1), it does not matter—</w:t>
      </w:r>
    </w:p>
    <w:p w:rsidR="00BB6F9A" w:rsidRDefault="00BB6F9A">
      <w:pPr>
        <w:pStyle w:val="Apara"/>
      </w:pPr>
      <w:r>
        <w:tab/>
        <w:t>(a)</w:t>
      </w:r>
      <w:r>
        <w:tab/>
        <w:t>whether the injured person performed the domestic services for the benefit of other members of the household or solely for his or her own benefit; or</w:t>
      </w:r>
    </w:p>
    <w:p w:rsidR="00BB6F9A" w:rsidRDefault="00BB6F9A">
      <w:pPr>
        <w:pStyle w:val="Apara"/>
      </w:pPr>
      <w:r>
        <w:tab/>
        <w:t>(b)</w:t>
      </w:r>
      <w:r>
        <w:tab/>
        <w:t>that the injured person was not paid to perform the services; or</w:t>
      </w:r>
    </w:p>
    <w:p w:rsidR="00BB6F9A" w:rsidRDefault="00BB6F9A">
      <w:pPr>
        <w:pStyle w:val="Apara"/>
      </w:pPr>
      <w:r>
        <w:tab/>
        <w:t>(c)</w:t>
      </w:r>
      <w:r>
        <w:tab/>
        <w:t>that the injured person has not been, and will not be, obliged to pay someone else to perform the services; or</w:t>
      </w:r>
    </w:p>
    <w:p w:rsidR="00BB6F9A" w:rsidRDefault="00BB6F9A">
      <w:pPr>
        <w:pStyle w:val="Apara"/>
      </w:pPr>
      <w:r>
        <w:tab/>
        <w:t>(d)</w:t>
      </w:r>
      <w:r>
        <w:tab/>
        <w:t>that the services have been, or are likely to be, performed (gratuitously or otherwise) by other people (whether members of the household or not).</w:t>
      </w:r>
    </w:p>
    <w:p w:rsidR="00BB6F9A" w:rsidRDefault="00BB6F9A">
      <w:pPr>
        <w:pStyle w:val="Amain"/>
        <w:keepNext/>
      </w:pPr>
      <w:r>
        <w:tab/>
        <w:t>(3)</w:t>
      </w:r>
      <w:r>
        <w:tab/>
        <w:t>In this section:</w:t>
      </w:r>
    </w:p>
    <w:p w:rsidR="00BB6F9A" w:rsidRDefault="00BB6F9A">
      <w:pPr>
        <w:pStyle w:val="aDef"/>
        <w:keepNext/>
      </w:pPr>
      <w:r>
        <w:rPr>
          <w:rStyle w:val="charBoldItals"/>
        </w:rPr>
        <w:t>wrong</w:t>
      </w:r>
      <w:r>
        <w:t xml:space="preserve"> means an act or omission (whether or not an offence)—</w:t>
      </w:r>
    </w:p>
    <w:p w:rsidR="00BB6F9A" w:rsidRDefault="00BB6F9A">
      <w:pPr>
        <w:pStyle w:val="aDefpara"/>
      </w:pPr>
      <w:r>
        <w:tab/>
        <w:t>(a)</w:t>
      </w:r>
      <w:r>
        <w:tab/>
        <w:t>that gives rise to a liability in tort; or</w:t>
      </w:r>
    </w:p>
    <w:p w:rsidR="00BB6F9A" w:rsidRDefault="00BB6F9A">
      <w:pPr>
        <w:pStyle w:val="aDefpara"/>
      </w:pPr>
      <w:r>
        <w:tab/>
        <w:t>(b)</w:t>
      </w:r>
      <w:r>
        <w:tab/>
        <w:t>that amounts to a breach of a contractual duty of care that is concurrent and coextensive with a duty of care in tort.</w:t>
      </w:r>
    </w:p>
    <w:p w:rsidR="00BB6F9A" w:rsidRDefault="00BB6F9A">
      <w:pPr>
        <w:pStyle w:val="PageBreak"/>
      </w:pPr>
      <w:r>
        <w:br w:type="page"/>
      </w:r>
    </w:p>
    <w:p w:rsidR="00BB6F9A" w:rsidRDefault="00BB6F9A">
      <w:pPr>
        <w:pStyle w:val="AH2Part"/>
      </w:pPr>
      <w:bookmarkStart w:id="66" w:name="_Toc4661328"/>
      <w:r>
        <w:rPr>
          <w:rStyle w:val="CharPartNo"/>
        </w:rPr>
        <w:lastRenderedPageBreak/>
        <w:t>Part 4.3</w:t>
      </w:r>
      <w:r>
        <w:rPr>
          <w:rStyle w:val="CharPartText"/>
        </w:rPr>
        <w:tab/>
        <w:t>Contributory negligence</w:t>
      </w:r>
      <w:bookmarkEnd w:id="66"/>
    </w:p>
    <w:p w:rsidR="00BB6F9A" w:rsidRDefault="00BB6F9A">
      <w:pPr>
        <w:pStyle w:val="AH5Sec"/>
      </w:pPr>
      <w:bookmarkStart w:id="67" w:name="_Toc4661329"/>
      <w:r>
        <w:rPr>
          <w:rStyle w:val="CharSectNo"/>
        </w:rPr>
        <w:t>40</w:t>
      </w:r>
      <w:r>
        <w:tab/>
        <w:t xml:space="preserve">Definitions for pt 4.3 </w:t>
      </w:r>
      <w:r>
        <w:rPr>
          <w:b w:val="0"/>
          <w:bCs w:val="0"/>
        </w:rPr>
        <w:t>(LR(MP)A s 14)</w:t>
      </w:r>
      <w:bookmarkEnd w:id="67"/>
    </w:p>
    <w:p w:rsidR="00BB6F9A" w:rsidRDefault="00BB6F9A">
      <w:pPr>
        <w:pStyle w:val="Amainreturn"/>
        <w:keepNext/>
      </w:pPr>
      <w:r>
        <w:t>In this part:</w:t>
      </w:r>
    </w:p>
    <w:p w:rsidR="00BB6F9A" w:rsidRDefault="00BB6F9A">
      <w:pPr>
        <w:pStyle w:val="aDef"/>
      </w:pPr>
      <w:r>
        <w:rPr>
          <w:rStyle w:val="charBoldItals"/>
        </w:rPr>
        <w:t>court</w:t>
      </w:r>
      <w:r>
        <w:t xml:space="preserve"> includes arbitrator.</w:t>
      </w:r>
    </w:p>
    <w:p w:rsidR="00BB6F9A" w:rsidRDefault="00BB6F9A">
      <w:pPr>
        <w:pStyle w:val="aDef"/>
        <w:numPr>
          <w:ilvl w:val="5"/>
          <w:numId w:val="0"/>
        </w:numPr>
        <w:ind w:left="700"/>
      </w:pPr>
      <w:r>
        <w:rPr>
          <w:rStyle w:val="charBoldItals"/>
        </w:rPr>
        <w:t>damage</w:t>
      </w:r>
      <w:r>
        <w:t xml:space="preserve"> means loss of any kind (including loss of life, personal injury, damage to property and economic loss).</w:t>
      </w:r>
    </w:p>
    <w:p w:rsidR="00BB6F9A" w:rsidRDefault="00BB6F9A">
      <w:pPr>
        <w:pStyle w:val="aDef"/>
        <w:keepNext/>
      </w:pPr>
      <w:r>
        <w:rPr>
          <w:rStyle w:val="charBoldItals"/>
        </w:rPr>
        <w:t>wrong</w:t>
      </w:r>
      <w:r>
        <w:t xml:space="preserve"> means an act or omission (whether or not an offence)—</w:t>
      </w:r>
    </w:p>
    <w:p w:rsidR="00BB6F9A" w:rsidRDefault="00BB6F9A">
      <w:pPr>
        <w:pStyle w:val="aDefpara"/>
      </w:pPr>
      <w:r>
        <w:tab/>
        <w:t>(a)</w:t>
      </w:r>
      <w:r>
        <w:tab/>
        <w:t>that gives rise to a liability in tort in relation to which a defence of contributory negligence is available at common law; or</w:t>
      </w:r>
    </w:p>
    <w:p w:rsidR="00BB6F9A" w:rsidRDefault="00BB6F9A">
      <w:pPr>
        <w:pStyle w:val="aDefpara"/>
      </w:pPr>
      <w:r>
        <w:tab/>
        <w:t>(b)</w:t>
      </w:r>
      <w:r>
        <w:tab/>
        <w:t xml:space="preserve">that amounts to a breach of a contractual duty of care that is concurrent and coextensive with a duty of care in tort. </w:t>
      </w:r>
    </w:p>
    <w:p w:rsidR="00BB6F9A" w:rsidRDefault="00BB6F9A">
      <w:pPr>
        <w:pStyle w:val="AH5Sec"/>
      </w:pPr>
      <w:bookmarkStart w:id="68" w:name="_Toc4661330"/>
      <w:r>
        <w:rPr>
          <w:rStyle w:val="CharSectNo"/>
        </w:rPr>
        <w:t>41</w:t>
      </w:r>
      <w:r>
        <w:tab/>
        <w:t xml:space="preserve">Apportionment of liability—contributory negligence </w:t>
      </w:r>
      <w:r>
        <w:rPr>
          <w:b w:val="0"/>
          <w:bCs w:val="0"/>
        </w:rPr>
        <w:t>(LR(MP)A s 15)</w:t>
      </w:r>
      <w:bookmarkEnd w:id="68"/>
    </w:p>
    <w:p w:rsidR="00BB6F9A" w:rsidRDefault="00BB6F9A">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BB6F9A" w:rsidRDefault="00BB6F9A">
      <w:pPr>
        <w:pStyle w:val="Apara"/>
      </w:pPr>
      <w:r>
        <w:tab/>
        <w:t>(a)</w:t>
      </w:r>
      <w:r>
        <w:tab/>
        <w:t>a claim for the damage is not defeated because of the claimant’s contributory negligence; and</w:t>
      </w:r>
    </w:p>
    <w:p w:rsidR="00BB6F9A" w:rsidRDefault="00BB6F9A">
      <w:pPr>
        <w:pStyle w:val="Apara"/>
      </w:pPr>
      <w:r>
        <w:tab/>
        <w:t>(b)</w:t>
      </w:r>
      <w:r>
        <w:tab/>
        <w:t>the damages recoverable for the wrong are to be reduced to the extent the court deciding the claim considers just and equitable having regard to the claimant’s share in the responsibility for the damage.</w:t>
      </w:r>
    </w:p>
    <w:p w:rsidR="00BB6F9A" w:rsidRDefault="00BB6F9A">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BB6F9A" w:rsidRDefault="00BB6F9A" w:rsidP="00E36BD6">
      <w:pPr>
        <w:pStyle w:val="Amain"/>
        <w:keepLines/>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BB6F9A" w:rsidRDefault="00BB6F9A">
      <w:pPr>
        <w:pStyle w:val="Amain"/>
      </w:pPr>
      <w:r>
        <w:tab/>
        <w:t>(4)</w:t>
      </w:r>
      <w:r>
        <w:tab/>
        <w:t>This section does not defeat any defence arising under a contract.</w:t>
      </w:r>
    </w:p>
    <w:p w:rsidR="00BB6F9A" w:rsidRDefault="00BB6F9A">
      <w:pPr>
        <w:pStyle w:val="Amain"/>
      </w:pPr>
      <w:r>
        <w:tab/>
        <w:t>(5)</w:t>
      </w:r>
      <w:r>
        <w:tab/>
        <w:t>This section has effect subject to part 4.1 (General exclusions and limitations about damages).</w:t>
      </w:r>
    </w:p>
    <w:p w:rsidR="00BB6F9A" w:rsidRDefault="00BB6F9A">
      <w:pPr>
        <w:pStyle w:val="AH5Sec"/>
      </w:pPr>
      <w:bookmarkStart w:id="69" w:name="_Toc4661331"/>
      <w:r>
        <w:rPr>
          <w:rStyle w:val="CharSectNo"/>
        </w:rPr>
        <w:t>42</w:t>
      </w:r>
      <w:r>
        <w:tab/>
        <w:t xml:space="preserve">Joint wrongdoers </w:t>
      </w:r>
      <w:r>
        <w:rPr>
          <w:b w:val="0"/>
          <w:bCs w:val="0"/>
        </w:rPr>
        <w:t>(LR(MP)A s 16)</w:t>
      </w:r>
      <w:bookmarkEnd w:id="69"/>
    </w:p>
    <w:p w:rsidR="00BB6F9A" w:rsidRDefault="00BB6F9A">
      <w:pPr>
        <w:pStyle w:val="Amainreturn"/>
      </w:pPr>
      <w:r>
        <w:t>Part 2.4 (Proceedings against and contributions between wrongdoers) applies if 2 or more people are liable (or, if they had all been sued, would have been liable) under section 41 for the damage suffered by a person.</w:t>
      </w:r>
    </w:p>
    <w:p w:rsidR="00BB6F9A" w:rsidRDefault="00BB6F9A">
      <w:pPr>
        <w:pStyle w:val="AH5Sec"/>
      </w:pPr>
      <w:bookmarkStart w:id="70" w:name="_Toc4661332"/>
      <w:r>
        <w:rPr>
          <w:rStyle w:val="CharSectNo"/>
        </w:rPr>
        <w:t>43</w:t>
      </w:r>
      <w:r>
        <w:tab/>
        <w:t xml:space="preserve">Claims by third parties—contributory negligence </w:t>
      </w:r>
      <w:r>
        <w:rPr>
          <w:b w:val="0"/>
          <w:bCs w:val="0"/>
        </w:rPr>
        <w:t>(LR(MP)A s 17)</w:t>
      </w:r>
      <w:bookmarkEnd w:id="70"/>
    </w:p>
    <w:p w:rsidR="00BB6F9A" w:rsidRDefault="00BB6F9A">
      <w:pPr>
        <w:pStyle w:val="Amain"/>
      </w:pPr>
      <w:r>
        <w:tab/>
        <w:t>(1)</w:t>
      </w:r>
      <w:r>
        <w:tab/>
        <w:t>This section applies if—</w:t>
      </w:r>
    </w:p>
    <w:p w:rsidR="00BB6F9A" w:rsidRDefault="00BB6F9A">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BB6F9A" w:rsidRDefault="00BB6F9A">
      <w:pPr>
        <w:pStyle w:val="Apara"/>
      </w:pPr>
      <w:r>
        <w:tab/>
        <w:t>(b)</w:t>
      </w:r>
      <w:r>
        <w:tab/>
        <w:t>because of the damage to the first person a third person suffers damage.</w:t>
      </w:r>
    </w:p>
    <w:p w:rsidR="00BB6F9A" w:rsidRDefault="00BB6F9A">
      <w:pPr>
        <w:pStyle w:val="Amain"/>
      </w:pPr>
      <w:r>
        <w:tab/>
        <w:t>(2)</w:t>
      </w:r>
      <w:r>
        <w:tab/>
        <w:t>In an action by the third person, the contributory negligence of the first person must be taken into account under section 41 (Apportionment of liability—contributory negligence) in reducing the damages recoverable by the third person for the damage as if the contributory negligence were a failure by the third person to take reasonable care.</w:t>
      </w:r>
    </w:p>
    <w:p w:rsidR="00BB6F9A" w:rsidRDefault="00BB6F9A">
      <w:pPr>
        <w:pStyle w:val="AH5Sec"/>
      </w:pPr>
      <w:bookmarkStart w:id="71" w:name="_Toc4661333"/>
      <w:r>
        <w:rPr>
          <w:rStyle w:val="CharSectNo"/>
        </w:rPr>
        <w:lastRenderedPageBreak/>
        <w:t>44</w:t>
      </w:r>
      <w:r>
        <w:tab/>
        <w:t xml:space="preserve">Pleading of statutory limitation period—contributory negligence </w:t>
      </w:r>
      <w:r>
        <w:rPr>
          <w:b w:val="0"/>
          <w:bCs w:val="0"/>
        </w:rPr>
        <w:t>(LR(MP)A s 18)</w:t>
      </w:r>
      <w:bookmarkEnd w:id="71"/>
    </w:p>
    <w:p w:rsidR="00BB6F9A" w:rsidRDefault="00BB6F9A">
      <w:pPr>
        <w:pStyle w:val="Amain"/>
      </w:pPr>
      <w:r>
        <w:tab/>
        <w:t>(1)</w:t>
      </w:r>
      <w:r>
        <w:tab/>
        <w:t>This section applies to a case to which section 41 (Apportionment of liability—contributory negligence) applies if—</w:t>
      </w:r>
    </w:p>
    <w:p w:rsidR="00BB6F9A" w:rsidRDefault="00BB6F9A">
      <w:pPr>
        <w:pStyle w:val="Apara"/>
      </w:pPr>
      <w:r>
        <w:tab/>
        <w:t>(a)</w:t>
      </w:r>
      <w:r>
        <w:tab/>
        <w:t>the claimant suffered damage partly because of the wrong of 2 or more people; and</w:t>
      </w:r>
    </w:p>
    <w:p w:rsidR="00BB6F9A" w:rsidRDefault="00BB6F9A">
      <w:pPr>
        <w:pStyle w:val="Apara"/>
      </w:pPr>
      <w:r>
        <w:tab/>
        <w:t>(b)</w:t>
      </w:r>
      <w:r>
        <w:tab/>
        <w:t>1 of those people avoids liability to another of those people (or his or her personal representative) by pleading a statutory limitation period on the time within which proceedings can be taken.</w:t>
      </w:r>
    </w:p>
    <w:p w:rsidR="00BB6F9A" w:rsidRDefault="00BB6F9A">
      <w:pPr>
        <w:pStyle w:val="Amain"/>
      </w:pPr>
      <w:r>
        <w:tab/>
        <w:t>(2)</w:t>
      </w:r>
      <w:r>
        <w:tab/>
        <w:t>The person who avoids liability is not entitled to recover damages or contribution from the other person (or his or her personal representative) because of section 41.</w:t>
      </w:r>
    </w:p>
    <w:p w:rsidR="00BB6F9A" w:rsidRDefault="00BB6F9A">
      <w:pPr>
        <w:pStyle w:val="PageBreak"/>
      </w:pPr>
      <w:r>
        <w:br w:type="page"/>
      </w:r>
    </w:p>
    <w:p w:rsidR="00BB6F9A" w:rsidRDefault="00BB6F9A">
      <w:pPr>
        <w:pStyle w:val="AH2Part"/>
      </w:pPr>
      <w:bookmarkStart w:id="72" w:name="_Toc4661334"/>
      <w:r>
        <w:rPr>
          <w:rStyle w:val="CharPartNo"/>
        </w:rPr>
        <w:lastRenderedPageBreak/>
        <w:t>Part 4.4</w:t>
      </w:r>
      <w:r>
        <w:tab/>
      </w:r>
      <w:r>
        <w:rPr>
          <w:rStyle w:val="CharPartText"/>
        </w:rPr>
        <w:t>Other provisions—damages</w:t>
      </w:r>
      <w:bookmarkEnd w:id="72"/>
    </w:p>
    <w:p w:rsidR="00BB6F9A" w:rsidRDefault="00BB6F9A">
      <w:pPr>
        <w:pStyle w:val="AH5Sec"/>
      </w:pPr>
      <w:bookmarkStart w:id="73" w:name="_Toc4661335"/>
      <w:r>
        <w:rPr>
          <w:rStyle w:val="CharSectNo"/>
        </w:rPr>
        <w:t>45</w:t>
      </w:r>
      <w:r>
        <w:tab/>
        <w:t>Court may make consent order for structured settlement</w:t>
      </w:r>
      <w:bookmarkEnd w:id="73"/>
    </w:p>
    <w:p w:rsidR="00BB6F9A" w:rsidRDefault="00BB6F9A">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BB6F9A" w:rsidRDefault="00BB6F9A">
      <w:pPr>
        <w:pStyle w:val="Amain"/>
      </w:pPr>
      <w:r>
        <w:tab/>
        <w:t>(2)</w:t>
      </w:r>
      <w:r>
        <w:tab/>
        <w:t>The court may make the order even though the payment of damages is not in the form of a lump sum award of damages.</w:t>
      </w:r>
    </w:p>
    <w:p w:rsidR="00BB6F9A" w:rsidRDefault="00BB6F9A">
      <w:pPr>
        <w:pStyle w:val="Amain"/>
        <w:keepNext/>
      </w:pPr>
      <w:r>
        <w:tab/>
        <w:t>(3)</w:t>
      </w:r>
      <w:r>
        <w:tab/>
        <w:t>In this section:</w:t>
      </w:r>
    </w:p>
    <w:p w:rsidR="00BB6F9A" w:rsidRDefault="00BB6F9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BB6F9A" w:rsidRDefault="00BB6F9A">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BB6F9A" w:rsidRDefault="00BB6F9A">
      <w:pPr>
        <w:pStyle w:val="AH5Sec"/>
      </w:pPr>
      <w:bookmarkStart w:id="74" w:name="_Toc4661336"/>
      <w:r>
        <w:rPr>
          <w:rStyle w:val="CharSectNo"/>
        </w:rPr>
        <w:t>46</w:t>
      </w:r>
      <w:r>
        <w:tab/>
        <w:t>Independent finding of liability and award of damages</w:t>
      </w:r>
      <w:bookmarkEnd w:id="74"/>
    </w:p>
    <w:p w:rsidR="00BB6F9A" w:rsidRDefault="00BB6F9A">
      <w:pPr>
        <w:pStyle w:val="Amainreturn"/>
      </w:pPr>
      <w:r>
        <w:t>To remove any doubt—</w:t>
      </w:r>
    </w:p>
    <w:p w:rsidR="00BB6F9A" w:rsidRDefault="00BB6F9A">
      <w:pPr>
        <w:pStyle w:val="Apara"/>
      </w:pPr>
      <w:r>
        <w:tab/>
        <w:t>(a)</w:t>
      </w:r>
      <w:r>
        <w:tab/>
        <w:t>a court may make a finding of liability on any claim for damages independently of making an award or interim award of damages on the claim; and</w:t>
      </w:r>
    </w:p>
    <w:p w:rsidR="00BB6F9A" w:rsidRDefault="00BB6F9A">
      <w:pPr>
        <w:pStyle w:val="Apara"/>
      </w:pPr>
      <w:r>
        <w:tab/>
        <w:t>(b)</w:t>
      </w:r>
      <w:r>
        <w:tab/>
        <w:t>a court may make an award or interim award of damages on any claim independently, but after, making a finding of liability on the claim.</w:t>
      </w:r>
    </w:p>
    <w:p w:rsidR="00BB6F9A" w:rsidRDefault="00BB6F9A">
      <w:pPr>
        <w:pStyle w:val="PageBreak"/>
      </w:pPr>
      <w:r>
        <w:br w:type="page"/>
      </w:r>
    </w:p>
    <w:p w:rsidR="00BB6F9A" w:rsidRDefault="00BB6F9A">
      <w:pPr>
        <w:pStyle w:val="AH1Chapter"/>
      </w:pPr>
      <w:bookmarkStart w:id="75" w:name="_Toc4661337"/>
      <w:r>
        <w:rPr>
          <w:rStyle w:val="CharChapNo"/>
        </w:rPr>
        <w:lastRenderedPageBreak/>
        <w:t>Chapter 5</w:t>
      </w:r>
      <w:r>
        <w:tab/>
      </w:r>
      <w:r>
        <w:rPr>
          <w:rStyle w:val="CharChapText"/>
        </w:rPr>
        <w:t>Defamation</w:t>
      </w:r>
      <w:bookmarkEnd w:id="75"/>
    </w:p>
    <w:p w:rsidR="00BB6F9A" w:rsidRDefault="00BB6F9A">
      <w:pPr>
        <w:pStyle w:val="PageBreak"/>
      </w:pPr>
    </w:p>
    <w:p w:rsidR="00BB6F9A" w:rsidRDefault="00BB6F9A">
      <w:pPr>
        <w:pStyle w:val="AH2Part"/>
      </w:pPr>
      <w:bookmarkStart w:id="76" w:name="_Toc4661338"/>
      <w:r>
        <w:rPr>
          <w:rStyle w:val="CharPartNo"/>
        </w:rPr>
        <w:t>Part 5.1</w:t>
      </w:r>
      <w:r>
        <w:tab/>
      </w:r>
      <w:r>
        <w:rPr>
          <w:rStyle w:val="CharPartText"/>
        </w:rPr>
        <w:t>Preliminary—defamation</w:t>
      </w:r>
      <w:bookmarkEnd w:id="76"/>
    </w:p>
    <w:p w:rsidR="00BB6F9A" w:rsidRDefault="00BB6F9A">
      <w:pPr>
        <w:pStyle w:val="AH5Sec"/>
      </w:pPr>
      <w:bookmarkStart w:id="77" w:name="_Toc4661339"/>
      <w:r>
        <w:rPr>
          <w:rStyle w:val="CharSectNo"/>
        </w:rPr>
        <w:t>47</w:t>
      </w:r>
      <w:r>
        <w:tab/>
        <w:t>Definitions for ch 5</w:t>
      </w:r>
      <w:bookmarkEnd w:id="77"/>
    </w:p>
    <w:p w:rsidR="00BB6F9A" w:rsidRDefault="00BB6F9A">
      <w:pPr>
        <w:pStyle w:val="Amainreturn"/>
        <w:keepNext/>
      </w:pPr>
      <w:r>
        <w:t>In this chapter:</w:t>
      </w:r>
    </w:p>
    <w:p w:rsidR="00BB6F9A" w:rsidRDefault="00BB6F9A">
      <w:pPr>
        <w:pStyle w:val="aDef"/>
      </w:pPr>
      <w:r>
        <w:rPr>
          <w:rStyle w:val="charBoldItals"/>
        </w:rPr>
        <w:t xml:space="preserve">action </w:t>
      </w:r>
      <w:r>
        <w:t>means an action for defamation.</w:t>
      </w:r>
    </w:p>
    <w:p w:rsidR="00BB6F9A" w:rsidRDefault="00BB6F9A">
      <w:pPr>
        <w:pStyle w:val="aDef"/>
        <w:rPr>
          <w:rStyle w:val="charBoldItals"/>
        </w:rPr>
      </w:pPr>
      <w:r>
        <w:rPr>
          <w:rStyle w:val="charBoldItals"/>
        </w:rPr>
        <w:t>aggrieved person</w:t>
      </w:r>
      <w:r>
        <w:t>, for part 5.2 (Resolution of disputes without litigation—defamation)—see section 48.</w:t>
      </w:r>
    </w:p>
    <w:p w:rsidR="00BB6F9A" w:rsidRDefault="00BB6F9A">
      <w:pPr>
        <w:pStyle w:val="aDef"/>
      </w:pPr>
      <w:r>
        <w:rPr>
          <w:rStyle w:val="charBoldItals"/>
        </w:rPr>
        <w:t>amends</w:t>
      </w:r>
      <w:r>
        <w:rPr>
          <w:rStyle w:val="charItals"/>
        </w:rPr>
        <w:t xml:space="preserve"> </w:t>
      </w:r>
      <w:r>
        <w:rPr>
          <w:rStyle w:val="charBoldItals"/>
        </w:rPr>
        <w:t>agreement</w:t>
      </w:r>
      <w:r>
        <w:t>, for part 5.2 (Resolution of disputes without litigation—defamation)—see section 51 (1).</w:t>
      </w:r>
    </w:p>
    <w:p w:rsidR="00BB6F9A" w:rsidRDefault="00BB6F9A">
      <w:pPr>
        <w:pStyle w:val="aDef"/>
      </w:pPr>
      <w:r>
        <w:rPr>
          <w:rStyle w:val="charBoldItals"/>
        </w:rPr>
        <w:t xml:space="preserve">country </w:t>
      </w:r>
      <w:r>
        <w:t>includes a federation, and a state, territory, province or other part of a federation.</w:t>
      </w:r>
    </w:p>
    <w:p w:rsidR="00BB6F9A" w:rsidRDefault="00BB6F9A">
      <w:pPr>
        <w:pStyle w:val="aDef"/>
      </w:pPr>
      <w:r>
        <w:rPr>
          <w:rStyle w:val="charBoldItals"/>
        </w:rPr>
        <w:t>court</w:t>
      </w:r>
      <w:r>
        <w:t>, in relation to an action for defamation, means a court of competent jurisdiction.</w:t>
      </w:r>
    </w:p>
    <w:p w:rsidR="00BB6F9A" w:rsidRDefault="00BB6F9A">
      <w:pPr>
        <w:pStyle w:val="aDef"/>
      </w:pPr>
      <w:r>
        <w:rPr>
          <w:rStyle w:val="charBoldItals"/>
        </w:rPr>
        <w:t>defamation</w:t>
      </w:r>
      <w:r>
        <w:t xml:space="preserve"> means libel or slander.</w:t>
      </w:r>
    </w:p>
    <w:p w:rsidR="00BB6F9A" w:rsidRDefault="00BB6F9A">
      <w:pPr>
        <w:pStyle w:val="aDef"/>
      </w:pPr>
      <w:r>
        <w:rPr>
          <w:rStyle w:val="charBoldItals"/>
        </w:rPr>
        <w:t>matter</w:t>
      </w:r>
      <w:r>
        <w:rPr>
          <w:b/>
          <w:bCs/>
        </w:rPr>
        <w:t xml:space="preserve"> </w:t>
      </w:r>
      <w:r>
        <w:rPr>
          <w:rStyle w:val="charBoldItals"/>
        </w:rPr>
        <w:t>in question</w:t>
      </w:r>
      <w:r>
        <w:t>, for part 5.2 (Resolution of disputes without litigation—defamation)—see section 48.</w:t>
      </w:r>
    </w:p>
    <w:p w:rsidR="00BB6F9A" w:rsidRDefault="00BB6F9A">
      <w:pPr>
        <w:pStyle w:val="aDef"/>
      </w:pPr>
      <w:r>
        <w:rPr>
          <w:rStyle w:val="charBoldItals"/>
        </w:rPr>
        <w:t>offer to make amends</w:t>
      </w:r>
      <w:r>
        <w:rPr>
          <w:b/>
          <w:bCs/>
          <w:color w:val="000000"/>
        </w:rPr>
        <w:t xml:space="preserve"> </w:t>
      </w:r>
      <w:r>
        <w:rPr>
          <w:color w:val="000000"/>
        </w:rPr>
        <w:t>means</w:t>
      </w:r>
      <w:r>
        <w:t xml:space="preserve"> an offer under section 49.</w:t>
      </w:r>
    </w:p>
    <w:p w:rsidR="00BB6F9A" w:rsidRDefault="00BB6F9A">
      <w:pPr>
        <w:pStyle w:val="aDef"/>
        <w:keepNext/>
      </w:pPr>
      <w:r>
        <w:rPr>
          <w:rStyle w:val="charBoldItals"/>
        </w:rPr>
        <w:t>parliamentary body</w:t>
      </w:r>
      <w:r>
        <w:rPr>
          <w:b/>
          <w:bCs/>
        </w:rPr>
        <w:t xml:space="preserve"> </w:t>
      </w:r>
      <w:r>
        <w:t>means any of the following:</w:t>
      </w:r>
    </w:p>
    <w:p w:rsidR="00BB6F9A" w:rsidRDefault="00BB6F9A">
      <w:pPr>
        <w:pStyle w:val="aDefpara"/>
      </w:pPr>
      <w:r>
        <w:tab/>
        <w:t>(a)</w:t>
      </w:r>
      <w:r>
        <w:tab/>
        <w:t>a parliament or legislature of any country;</w:t>
      </w:r>
    </w:p>
    <w:p w:rsidR="00BB6F9A" w:rsidRDefault="00BB6F9A">
      <w:pPr>
        <w:pStyle w:val="aDefpara"/>
      </w:pPr>
      <w:r>
        <w:tab/>
        <w:t>(b)</w:t>
      </w:r>
      <w:r>
        <w:tab/>
        <w:t>a house of a parliament or legislature of any country;</w:t>
      </w:r>
    </w:p>
    <w:p w:rsidR="00BB6F9A" w:rsidRDefault="00BB6F9A">
      <w:pPr>
        <w:pStyle w:val="aDefpara"/>
      </w:pPr>
      <w:r>
        <w:tab/>
        <w:t>(c)</w:t>
      </w:r>
      <w:r>
        <w:tab/>
        <w:t>a committee of a parliament or legislature of any country;</w:t>
      </w:r>
    </w:p>
    <w:p w:rsidR="00BB6F9A" w:rsidRDefault="00BB6F9A">
      <w:pPr>
        <w:pStyle w:val="aDefpara"/>
        <w:rPr>
          <w:b/>
          <w:bCs/>
        </w:rPr>
      </w:pPr>
      <w:r>
        <w:tab/>
        <w:t>(d)</w:t>
      </w:r>
      <w:r>
        <w:tab/>
        <w:t>a committee of a house or houses of a parliament or legislature of any country.</w:t>
      </w:r>
    </w:p>
    <w:p w:rsidR="00BB6F9A" w:rsidRDefault="00BB6F9A">
      <w:pPr>
        <w:pStyle w:val="aDef"/>
        <w:rPr>
          <w:rStyle w:val="charBoldItals"/>
        </w:rPr>
      </w:pPr>
      <w:r>
        <w:rPr>
          <w:rStyle w:val="charBoldItals"/>
        </w:rPr>
        <w:lastRenderedPageBreak/>
        <w:t>published matter</w:t>
      </w:r>
      <w:r>
        <w:t>, for part 5.3 (Rules governing litigation of civil claims—defamation)—see section 56.</w:t>
      </w:r>
    </w:p>
    <w:p w:rsidR="00BB6F9A" w:rsidRDefault="00BB6F9A">
      <w:pPr>
        <w:pStyle w:val="aDef"/>
      </w:pPr>
      <w:r>
        <w:rPr>
          <w:rStyle w:val="charBoldItals"/>
        </w:rPr>
        <w:t>publisher</w:t>
      </w:r>
      <w:r>
        <w:t>, for part 5.2 (Resolution of disputes without litigation—defamation)—see section 48.</w:t>
      </w:r>
    </w:p>
    <w:p w:rsidR="00BB6F9A" w:rsidRDefault="00BB6F9A">
      <w:pPr>
        <w:pStyle w:val="aDef"/>
        <w:rPr>
          <w:rStyle w:val="charBoldItals"/>
        </w:rPr>
      </w:pPr>
      <w:r>
        <w:rPr>
          <w:rStyle w:val="charBoldItals"/>
        </w:rPr>
        <w:t>qualified offer</w:t>
      </w:r>
      <w:r>
        <w:t>, for part 5.2 (Resolution of disputes without litigation—defamation)—see section 49 (2).</w:t>
      </w:r>
    </w:p>
    <w:p w:rsidR="00BB6F9A" w:rsidRDefault="00BB6F9A">
      <w:pPr>
        <w:pStyle w:val="aDef"/>
      </w:pPr>
      <w:r>
        <w:rPr>
          <w:rStyle w:val="charBoldItals"/>
        </w:rPr>
        <w:t>tribunal</w:t>
      </w:r>
      <w:r>
        <w:rPr>
          <w:b/>
          <w:bCs/>
        </w:rPr>
        <w:t xml:space="preserve"> </w:t>
      </w:r>
      <w:r>
        <w:t>means a tribunal of any country.</w:t>
      </w:r>
    </w:p>
    <w:p w:rsidR="00BB6F9A" w:rsidRDefault="00BB6F9A">
      <w:pPr>
        <w:pStyle w:val="PageBreak"/>
      </w:pPr>
      <w:r>
        <w:br w:type="page"/>
      </w:r>
    </w:p>
    <w:p w:rsidR="00BB6F9A" w:rsidRDefault="00BB6F9A">
      <w:pPr>
        <w:pStyle w:val="AH2Part"/>
      </w:pPr>
      <w:bookmarkStart w:id="78" w:name="_Toc4661340"/>
      <w:r>
        <w:rPr>
          <w:rStyle w:val="CharPartNo"/>
        </w:rPr>
        <w:lastRenderedPageBreak/>
        <w:t>Part 5.2</w:t>
      </w:r>
      <w:r>
        <w:tab/>
      </w:r>
      <w:r>
        <w:rPr>
          <w:rStyle w:val="CharPartText"/>
        </w:rPr>
        <w:t>Resolution of disputes without litigation—defamation</w:t>
      </w:r>
      <w:bookmarkEnd w:id="78"/>
    </w:p>
    <w:p w:rsidR="00BB6F9A" w:rsidRDefault="00BB6F9A">
      <w:pPr>
        <w:pStyle w:val="Placeholder"/>
      </w:pPr>
      <w:r>
        <w:rPr>
          <w:rStyle w:val="CharDivNo"/>
        </w:rPr>
        <w:t xml:space="preserve">  </w:t>
      </w:r>
      <w:r>
        <w:rPr>
          <w:rStyle w:val="CharDivText"/>
        </w:rPr>
        <w:t xml:space="preserve">  </w:t>
      </w:r>
    </w:p>
    <w:p w:rsidR="00BB6F9A" w:rsidRDefault="00BB6F9A">
      <w:pPr>
        <w:pStyle w:val="AH5Sec"/>
      </w:pPr>
      <w:bookmarkStart w:id="79" w:name="_Toc4661341"/>
      <w:r>
        <w:rPr>
          <w:rStyle w:val="CharSectNo"/>
        </w:rPr>
        <w:t>48</w:t>
      </w:r>
      <w:r>
        <w:tab/>
        <w:t>Application of pt 5.2</w:t>
      </w:r>
      <w:bookmarkEnd w:id="79"/>
    </w:p>
    <w:p w:rsidR="00BB6F9A" w:rsidRDefault="00BB6F9A">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BB6F9A" w:rsidRDefault="00BB6F9A">
      <w:pPr>
        <w:pStyle w:val="AH5Sec"/>
      </w:pPr>
      <w:bookmarkStart w:id="80" w:name="_Toc4661342"/>
      <w:r>
        <w:rPr>
          <w:rStyle w:val="CharSectNo"/>
        </w:rPr>
        <w:t>49</w:t>
      </w:r>
      <w:r>
        <w:tab/>
        <w:t xml:space="preserve">Offer to make amends—defamation </w:t>
      </w:r>
      <w:r>
        <w:rPr>
          <w:b w:val="0"/>
          <w:bCs w:val="0"/>
        </w:rPr>
        <w:t>(DA s 6)</w:t>
      </w:r>
      <w:bookmarkEnd w:id="80"/>
    </w:p>
    <w:p w:rsidR="00BB6F9A" w:rsidRDefault="00BB6F9A">
      <w:pPr>
        <w:pStyle w:val="Amain"/>
      </w:pPr>
      <w:r>
        <w:tab/>
        <w:t>(1)</w:t>
      </w:r>
      <w:r>
        <w:tab/>
        <w:t>The publisher may offer to make amends to the aggrieved person.</w:t>
      </w:r>
    </w:p>
    <w:p w:rsidR="00BB6F9A" w:rsidRDefault="00BB6F9A">
      <w:pPr>
        <w:pStyle w:val="Amain"/>
      </w:pPr>
      <w:r>
        <w:tab/>
        <w:t>(2)</w:t>
      </w:r>
      <w:r>
        <w:tab/>
        <w:t>The offer may be in relation to—</w:t>
      </w:r>
    </w:p>
    <w:p w:rsidR="00BB6F9A" w:rsidRDefault="00BB6F9A">
      <w:pPr>
        <w:pStyle w:val="Apara"/>
      </w:pPr>
      <w:r>
        <w:tab/>
        <w:t>(a)</w:t>
      </w:r>
      <w:r>
        <w:tab/>
        <w:t>the matter in question generally; or</w:t>
      </w:r>
    </w:p>
    <w:p w:rsidR="00BB6F9A" w:rsidRDefault="00BB6F9A">
      <w:pPr>
        <w:pStyle w:val="Apara"/>
      </w:pPr>
      <w:r>
        <w:tab/>
        <w:t>(b)</w:t>
      </w:r>
      <w:r>
        <w:tab/>
        <w:t>a particular defamatory meaning that the publisher accepts that the matter in question has (a</w:t>
      </w:r>
      <w:r>
        <w:rPr>
          <w:rStyle w:val="charBoldItals"/>
        </w:rPr>
        <w:t xml:space="preserve"> qualified offer</w:t>
      </w:r>
      <w:r>
        <w:t>).</w:t>
      </w:r>
    </w:p>
    <w:p w:rsidR="00BB6F9A" w:rsidRDefault="00BB6F9A">
      <w:pPr>
        <w:pStyle w:val="Amain"/>
      </w:pPr>
      <w:r>
        <w:tab/>
        <w:t>(3)</w:t>
      </w:r>
      <w:r>
        <w:tab/>
        <w:t>The offer to make amends—</w:t>
      </w:r>
    </w:p>
    <w:p w:rsidR="00BB6F9A" w:rsidRDefault="00BB6F9A">
      <w:pPr>
        <w:pStyle w:val="Apara"/>
      </w:pPr>
      <w:r>
        <w:tab/>
        <w:t>(a)</w:t>
      </w:r>
      <w:r>
        <w:tab/>
        <w:t>must be in writing; and</w:t>
      </w:r>
    </w:p>
    <w:p w:rsidR="00BB6F9A" w:rsidRDefault="00BB6F9A">
      <w:pPr>
        <w:pStyle w:val="Apara"/>
      </w:pPr>
      <w:r>
        <w:tab/>
        <w:t>(b)</w:t>
      </w:r>
      <w:r>
        <w:tab/>
        <w:t>must be readily identifiable as an offer to make amends under this part; and</w:t>
      </w:r>
    </w:p>
    <w:p w:rsidR="00BB6F9A" w:rsidRDefault="00BB6F9A">
      <w:pPr>
        <w:pStyle w:val="Apara"/>
      </w:pPr>
      <w:r>
        <w:tab/>
        <w:t>(c)</w:t>
      </w:r>
      <w:r>
        <w:tab/>
        <w:t>must include an offer to publish, or join in publishing, a reasonable correction (if any) of the matter in question; and</w:t>
      </w:r>
    </w:p>
    <w:p w:rsidR="00BB6F9A" w:rsidRDefault="00BB6F9A">
      <w:pPr>
        <w:pStyle w:val="Apara"/>
      </w:pPr>
      <w:r>
        <w:tab/>
        <w:t>(d)</w:t>
      </w:r>
      <w:r>
        <w:tab/>
        <w:t>must include an offer to publish, or join in publishing, a reasonable apology (if any) in relation to the matter; and</w:t>
      </w:r>
    </w:p>
    <w:p w:rsidR="00BB6F9A" w:rsidRDefault="00BB6F9A">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BB6F9A" w:rsidRDefault="00BB6F9A">
      <w:pPr>
        <w:pStyle w:val="Apara"/>
      </w:pPr>
      <w:r>
        <w:lastRenderedPageBreak/>
        <w:tab/>
        <w:t>(f)</w:t>
      </w:r>
      <w:r>
        <w:tab/>
        <w:t>must state whether it is a qualified offer and, if so, set out the defamatory meaning in relation to which it is made; and</w:t>
      </w:r>
    </w:p>
    <w:p w:rsidR="00BB6F9A" w:rsidRDefault="00BB6F9A">
      <w:pPr>
        <w:pStyle w:val="Apara"/>
      </w:pPr>
      <w:r>
        <w:tab/>
        <w:t>(g)</w:t>
      </w:r>
      <w:r>
        <w:tab/>
        <w:t>must include an offer to pay the expenses incurred by the aggrieved person; and</w:t>
      </w:r>
    </w:p>
    <w:p w:rsidR="00BB6F9A" w:rsidRDefault="00BB6F9A">
      <w:pPr>
        <w:pStyle w:val="Apara"/>
      </w:pPr>
      <w:r>
        <w:tab/>
        <w:t>(h)</w:t>
      </w:r>
      <w:r>
        <w:tab/>
        <w:t>may include particulars of any correction or apology made, or action taken, before the date of offer; and</w:t>
      </w:r>
    </w:p>
    <w:p w:rsidR="00BB6F9A" w:rsidRDefault="00BB6F9A">
      <w:pPr>
        <w:pStyle w:val="Apara"/>
      </w:pPr>
      <w:r>
        <w:tab/>
        <w:t>(i)</w:t>
      </w:r>
      <w:r>
        <w:tab/>
        <w:t>may include an offer to pay compensation for any economic loss of the aggrieved person; and</w:t>
      </w:r>
    </w:p>
    <w:p w:rsidR="00BB6F9A" w:rsidRDefault="00BB6F9A">
      <w:pPr>
        <w:pStyle w:val="Apara"/>
      </w:pPr>
      <w:r>
        <w:tab/>
        <w:t>(j)</w:t>
      </w:r>
      <w:r>
        <w:tab/>
        <w:t>may include an offer to pay compensation for the harm to the aggrieved person’s reputation only if the matter in question imputes criminal behaviour by the aggrieved person.</w:t>
      </w:r>
    </w:p>
    <w:p w:rsidR="00BB6F9A" w:rsidRDefault="00BB6F9A">
      <w:pPr>
        <w:pStyle w:val="Amain"/>
        <w:keepNext/>
      </w:pPr>
      <w:r>
        <w:tab/>
        <w:t>(4)</w:t>
      </w:r>
      <w:r>
        <w:tab/>
        <w:t>For subsection (3) (i) or (j), an offer to pay compensation may be in any of the following forms:</w:t>
      </w:r>
    </w:p>
    <w:p w:rsidR="00BB6F9A" w:rsidRDefault="00BB6F9A">
      <w:pPr>
        <w:pStyle w:val="Apara"/>
      </w:pPr>
      <w:r>
        <w:tab/>
        <w:t>(a)</w:t>
      </w:r>
      <w:r>
        <w:tab/>
        <w:t>an offer to pay a stated amount;</w:t>
      </w:r>
    </w:p>
    <w:p w:rsidR="00BB6F9A" w:rsidRDefault="00BB6F9A">
      <w:pPr>
        <w:pStyle w:val="Apara"/>
      </w:pPr>
      <w:r>
        <w:tab/>
        <w:t>(b)</w:t>
      </w:r>
      <w:r>
        <w:tab/>
        <w:t xml:space="preserve">an offer to pay an amount to be agreed between the publisher and the aggrieved person or, if an agreement is not made, the amount decided by a court; </w:t>
      </w:r>
    </w:p>
    <w:p w:rsidR="00BB6F9A" w:rsidRDefault="00BB6F9A">
      <w:pPr>
        <w:pStyle w:val="Apara"/>
      </w:pPr>
      <w:r>
        <w:tab/>
        <w:t>(c)</w:t>
      </w:r>
      <w:r>
        <w:tab/>
        <w:t>an offer to pay the amount decided by a court;</w:t>
      </w:r>
    </w:p>
    <w:p w:rsidR="00BB6F9A" w:rsidRDefault="00BB6F9A">
      <w:pPr>
        <w:pStyle w:val="Apara"/>
      </w:pPr>
      <w:r>
        <w:tab/>
        <w:t>(d)</w:t>
      </w:r>
      <w:r>
        <w:tab/>
        <w:t>an offer to—</w:t>
      </w:r>
    </w:p>
    <w:p w:rsidR="00BB6F9A" w:rsidRDefault="00BB6F9A">
      <w:pPr>
        <w:pStyle w:val="Asubpara"/>
      </w:pPr>
      <w:r>
        <w:tab/>
        <w:t>(i)</w:t>
      </w:r>
      <w:r>
        <w:tab/>
        <w:t xml:space="preserve">enter into an arbitration agreement within the meaning of the </w:t>
      </w:r>
      <w:r>
        <w:rPr>
          <w:rStyle w:val="charItals"/>
        </w:rPr>
        <w:t>Commercial Arbitration Act 1986</w:t>
      </w:r>
      <w:r>
        <w:t xml:space="preserve">; and </w:t>
      </w:r>
    </w:p>
    <w:p w:rsidR="00BB6F9A" w:rsidRDefault="00BB6F9A">
      <w:pPr>
        <w:pStyle w:val="Asubpara"/>
      </w:pPr>
      <w:r>
        <w:tab/>
        <w:t>(ii)</w:t>
      </w:r>
      <w:r>
        <w:tab/>
        <w:t>pay the amount decided by the arbitrator or, if an arbitration agreement is not made, the amount decided by a court.</w:t>
      </w:r>
    </w:p>
    <w:p w:rsidR="00BB6F9A" w:rsidRDefault="00BB6F9A">
      <w:pPr>
        <w:pStyle w:val="Amain"/>
        <w:keepNext/>
      </w:pPr>
      <w:r>
        <w:tab/>
        <w:t>(5)</w:t>
      </w:r>
      <w:r>
        <w:tab/>
        <w:t>The publisher may not make an offer to make amends after the earlier of—</w:t>
      </w:r>
    </w:p>
    <w:p w:rsidR="00BB6F9A" w:rsidRDefault="00BB6F9A">
      <w:pPr>
        <w:pStyle w:val="Apara"/>
      </w:pPr>
      <w:r>
        <w:tab/>
        <w:t>(a)</w:t>
      </w:r>
      <w:r>
        <w:tab/>
        <w:t>the end of 14 days after the day the aggrieved person tells the publisher that the matter in question is or may be defamatory of the person; and</w:t>
      </w:r>
    </w:p>
    <w:p w:rsidR="00BB6F9A" w:rsidRDefault="00BB6F9A">
      <w:pPr>
        <w:pStyle w:val="Apara"/>
      </w:pPr>
      <w:r>
        <w:lastRenderedPageBreak/>
        <w:tab/>
        <w:t>(b)</w:t>
      </w:r>
      <w:r>
        <w:tab/>
        <w:t>the service by the publisher of a defence in an action brought against the publisher by the aggrieved person in relation to the matter in question.</w:t>
      </w:r>
    </w:p>
    <w:p w:rsidR="00BB6F9A" w:rsidRDefault="00BB6F9A">
      <w:pPr>
        <w:pStyle w:val="Amain"/>
      </w:pPr>
      <w:r>
        <w:tab/>
        <w:t>(6)</w:t>
      </w:r>
      <w:r>
        <w:tab/>
        <w:t>If 2 or more people published the matter in question, an offer to make amends by 1 or more of them does not affect the liability of the other or others.</w:t>
      </w:r>
    </w:p>
    <w:p w:rsidR="00BB6F9A" w:rsidRDefault="00BB6F9A">
      <w:pPr>
        <w:pStyle w:val="Amain"/>
      </w:pPr>
      <w:r>
        <w:tab/>
        <w:t>(7)</w:t>
      </w:r>
      <w:r>
        <w:tab/>
        <w:t>An offer to make amends may be withdrawn before it is accepted and the renewal of a withdrawn offer is to be regarded as a new offer.</w:t>
      </w:r>
    </w:p>
    <w:p w:rsidR="00BB6F9A" w:rsidRDefault="00BB6F9A">
      <w:pPr>
        <w:pStyle w:val="AH5Sec"/>
      </w:pPr>
      <w:bookmarkStart w:id="81" w:name="_Toc4661343"/>
      <w:r>
        <w:rPr>
          <w:rStyle w:val="CharSectNo"/>
        </w:rPr>
        <w:t>50</w:t>
      </w:r>
      <w:r>
        <w:tab/>
        <w:t>Reasonable offer to make amends—defamation</w:t>
      </w:r>
      <w:r>
        <w:rPr>
          <w:b w:val="0"/>
          <w:bCs w:val="0"/>
        </w:rPr>
        <w:t xml:space="preserve"> (DA s 7)</w:t>
      </w:r>
      <w:bookmarkEnd w:id="81"/>
    </w:p>
    <w:p w:rsidR="00BB6F9A" w:rsidRDefault="00BB6F9A">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BB6F9A" w:rsidRDefault="00BB6F9A">
      <w:pPr>
        <w:pStyle w:val="Apara"/>
      </w:pPr>
      <w:r>
        <w:tab/>
        <w:t>(a)</w:t>
      </w:r>
      <w:r>
        <w:tab/>
        <w:t>the prominence given to the correction or apology as published in comparison to the prominence given to the matter in question as published; and</w:t>
      </w:r>
    </w:p>
    <w:p w:rsidR="00BB6F9A" w:rsidRDefault="00BB6F9A">
      <w:pPr>
        <w:pStyle w:val="Apara"/>
      </w:pPr>
      <w:r>
        <w:tab/>
        <w:t>(b)</w:t>
      </w:r>
      <w:r>
        <w:tab/>
        <w:t>the period between publication of the matter in question and publication of the correction or apology.</w:t>
      </w:r>
    </w:p>
    <w:p w:rsidR="00BB6F9A" w:rsidRDefault="00BB6F9A">
      <w:pPr>
        <w:pStyle w:val="Amain"/>
      </w:pPr>
      <w:r>
        <w:tab/>
        <w:t>(2)</w:t>
      </w:r>
      <w:r>
        <w:tab/>
        <w:t>However, subsection (1) does not limit the matters that the court may take into account in deciding whether an offer to make amends is reasonable.</w:t>
      </w:r>
    </w:p>
    <w:p w:rsidR="00BB6F9A" w:rsidRDefault="00BB6F9A">
      <w:pPr>
        <w:pStyle w:val="AH5Sec"/>
      </w:pPr>
      <w:bookmarkStart w:id="82" w:name="_Toc4661344"/>
      <w:r>
        <w:rPr>
          <w:rStyle w:val="CharSectNo"/>
        </w:rPr>
        <w:t>51</w:t>
      </w:r>
      <w:r>
        <w:tab/>
        <w:t xml:space="preserve">Acceptance of offer to make amends—defamation </w:t>
      </w:r>
      <w:r>
        <w:rPr>
          <w:b w:val="0"/>
          <w:bCs w:val="0"/>
        </w:rPr>
        <w:t>(DA s 8)</w:t>
      </w:r>
      <w:bookmarkEnd w:id="82"/>
    </w:p>
    <w:p w:rsidR="00BB6F9A" w:rsidRDefault="00BB6F9A">
      <w:pPr>
        <w:pStyle w:val="Amain"/>
        <w:keepNext/>
      </w:pPr>
      <w:r>
        <w:tab/>
        <w:t>(1)</w:t>
      </w:r>
      <w:r>
        <w:tab/>
        <w:t>If an offer to make amends is accepted, a court may—</w:t>
      </w:r>
    </w:p>
    <w:p w:rsidR="00BB6F9A" w:rsidRDefault="00BB6F9A">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BB6F9A" w:rsidRDefault="00BB6F9A">
      <w:pPr>
        <w:pStyle w:val="Apara"/>
      </w:pPr>
      <w:r>
        <w:lastRenderedPageBreak/>
        <w:tab/>
        <w:t>(b)</w:t>
      </w:r>
      <w:r>
        <w:tab/>
        <w:t>on the application of a party to the amends agreement, decide the amount of compensation mentioned in section 49 (4) (b), (c) or (d).</w:t>
      </w:r>
    </w:p>
    <w:p w:rsidR="00BB6F9A" w:rsidRDefault="00BB6F9A">
      <w:pPr>
        <w:pStyle w:val="Amain"/>
      </w:pPr>
      <w:r>
        <w:tab/>
        <w:t>(2)</w:t>
      </w:r>
      <w:r>
        <w:tab/>
        <w:t>If a question arises about what must be done to perform the amends agreement, the court may decide the question on the application of either party.</w:t>
      </w:r>
    </w:p>
    <w:p w:rsidR="00BB6F9A" w:rsidRDefault="00BB6F9A">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BB6F9A" w:rsidRDefault="00BB6F9A">
      <w:pPr>
        <w:pStyle w:val="AH5Sec"/>
      </w:pPr>
      <w:bookmarkStart w:id="83" w:name="_Toc4661345"/>
      <w:r>
        <w:rPr>
          <w:rStyle w:val="CharSectNo"/>
        </w:rPr>
        <w:t>52</w:t>
      </w:r>
      <w:r>
        <w:tab/>
        <w:t xml:space="preserve">False or misleading statement in correction </w:t>
      </w:r>
      <w:r>
        <w:rPr>
          <w:b w:val="0"/>
          <w:bCs w:val="0"/>
        </w:rPr>
        <w:t>(DA s 9)</w:t>
      </w:r>
      <w:bookmarkEnd w:id="83"/>
    </w:p>
    <w:p w:rsidR="00BB6F9A" w:rsidRDefault="00BB6F9A">
      <w:pPr>
        <w:pStyle w:val="Amainreturn"/>
      </w:pPr>
      <w:r>
        <w:t>The publisher must not knowingly make a statement in a correction published in purported compliance with the amends agreement that is false or misleading in a material particular.</w:t>
      </w:r>
    </w:p>
    <w:p w:rsidR="00BB6F9A" w:rsidRDefault="00BB6F9A">
      <w:pPr>
        <w:pStyle w:val="Penalty"/>
        <w:keepNext/>
      </w:pPr>
      <w:r>
        <w:t>Maximum penalty:  200 penalty units.</w:t>
      </w:r>
    </w:p>
    <w:p w:rsidR="00BB6F9A" w:rsidRDefault="00BB6F9A">
      <w:pPr>
        <w:pStyle w:val="AH5Sec"/>
      </w:pPr>
      <w:bookmarkStart w:id="84" w:name="_Toc4661346"/>
      <w:r>
        <w:rPr>
          <w:rStyle w:val="CharSectNo"/>
        </w:rPr>
        <w:t>53</w:t>
      </w:r>
      <w:r>
        <w:tab/>
        <w:t xml:space="preserve">Offer to make amends not accepted—defamation </w:t>
      </w:r>
      <w:r>
        <w:rPr>
          <w:b w:val="0"/>
          <w:bCs w:val="0"/>
        </w:rPr>
        <w:t>(DA s 10)</w:t>
      </w:r>
      <w:bookmarkEnd w:id="84"/>
    </w:p>
    <w:p w:rsidR="00BB6F9A" w:rsidRDefault="00BB6F9A">
      <w:pPr>
        <w:pStyle w:val="Amainreturn"/>
      </w:pPr>
      <w:r>
        <w:t>If an offer to make amends is not accepted, it is a defence to an action against the publisher in relation to the matter if—</w:t>
      </w:r>
    </w:p>
    <w:p w:rsidR="00BB6F9A" w:rsidRDefault="00BB6F9A">
      <w:pPr>
        <w:pStyle w:val="Apara"/>
      </w:pPr>
      <w:r>
        <w:tab/>
        <w:t>(a)</w:t>
      </w:r>
      <w:r>
        <w:tab/>
        <w:t>the publisher made the offer as soon as practicable after becoming aware that the matter is or may be defamatory; and</w:t>
      </w:r>
    </w:p>
    <w:p w:rsidR="00BB6F9A" w:rsidRDefault="00BB6F9A">
      <w:pPr>
        <w:pStyle w:val="Apara"/>
      </w:pPr>
      <w:r>
        <w:tab/>
        <w:t>(b)</w:t>
      </w:r>
      <w:r>
        <w:tab/>
        <w:t>at any time before the trial the publisher was ready and willing, on acceptance of the offer by the aggrieved person, to perform the terms of the offer; and</w:t>
      </w:r>
    </w:p>
    <w:p w:rsidR="00BB6F9A" w:rsidRDefault="00BB6F9A">
      <w:pPr>
        <w:pStyle w:val="Apara"/>
      </w:pPr>
      <w:r>
        <w:tab/>
        <w:t>(c)</w:t>
      </w:r>
      <w:r>
        <w:tab/>
        <w:t>in all the circumstances the offer was reasonable.</w:t>
      </w:r>
    </w:p>
    <w:p w:rsidR="00BB6F9A" w:rsidRDefault="00BB6F9A">
      <w:pPr>
        <w:pStyle w:val="AH5Sec"/>
      </w:pPr>
      <w:bookmarkStart w:id="85" w:name="_Toc4661347"/>
      <w:r>
        <w:rPr>
          <w:rStyle w:val="CharSectNo"/>
        </w:rPr>
        <w:lastRenderedPageBreak/>
        <w:t>54</w:t>
      </w:r>
      <w:r>
        <w:tab/>
        <w:t xml:space="preserve">Order to vindicate reputation if offer not made </w:t>
      </w:r>
      <w:r>
        <w:rPr>
          <w:b w:val="0"/>
          <w:bCs w:val="0"/>
        </w:rPr>
        <w:t>(DA s 11)</w:t>
      </w:r>
      <w:bookmarkEnd w:id="85"/>
    </w:p>
    <w:p w:rsidR="00BB6F9A" w:rsidRDefault="00BB6F9A">
      <w:pPr>
        <w:pStyle w:val="Amain"/>
      </w:pPr>
      <w:r>
        <w:tab/>
        <w:t>(1)</w:t>
      </w:r>
      <w:r>
        <w:tab/>
        <w:t>If an offer to make amends is not made, or no reasonable offer of amends is made, the aggrieved person may apply to the Supreme Court for an order to vindicate his or her reputation.</w:t>
      </w:r>
    </w:p>
    <w:p w:rsidR="00BB6F9A" w:rsidRDefault="00BB6F9A">
      <w:pPr>
        <w:pStyle w:val="Amain"/>
      </w:pPr>
      <w:r>
        <w:tab/>
        <w:t>(2)</w:t>
      </w:r>
      <w:r>
        <w:tab/>
        <w:t>The order may only be sought if the aggrieved person has given the publisher at least 7 days written notice of intention to apply to the Supreme Court for an order to vindicate his or her reputation.</w:t>
      </w:r>
    </w:p>
    <w:p w:rsidR="00BB6F9A" w:rsidRDefault="00BB6F9A">
      <w:pPr>
        <w:pStyle w:val="Amain"/>
      </w:pPr>
      <w:r>
        <w:tab/>
        <w:t>(3)</w:t>
      </w:r>
      <w:r>
        <w:tab/>
        <w:t>The notice must contain sufficient information to identify the matter in question.</w:t>
      </w:r>
    </w:p>
    <w:p w:rsidR="00BB6F9A" w:rsidRDefault="00BB6F9A">
      <w:pPr>
        <w:pStyle w:val="Amain"/>
      </w:pPr>
      <w:r>
        <w:tab/>
        <w:t>(4)</w:t>
      </w:r>
      <w:r>
        <w:tab/>
        <w:t>An order under subsection (1) does not prevent the aggrieved person bringing an action.</w:t>
      </w:r>
    </w:p>
    <w:p w:rsidR="00BB6F9A" w:rsidRDefault="00BB6F9A">
      <w:pPr>
        <w:pStyle w:val="PageBreak"/>
      </w:pPr>
      <w:r>
        <w:br w:type="page"/>
      </w:r>
    </w:p>
    <w:p w:rsidR="00BB6F9A" w:rsidRDefault="00BB6F9A">
      <w:pPr>
        <w:pStyle w:val="AH2Part"/>
      </w:pPr>
      <w:bookmarkStart w:id="86" w:name="_Toc4661348"/>
      <w:r>
        <w:rPr>
          <w:rStyle w:val="CharPartNo"/>
        </w:rPr>
        <w:lastRenderedPageBreak/>
        <w:t>Part 5.3</w:t>
      </w:r>
      <w:r>
        <w:tab/>
      </w:r>
      <w:r>
        <w:rPr>
          <w:rStyle w:val="CharPartText"/>
        </w:rPr>
        <w:t>Rules governing litigation of civil claims—defamation</w:t>
      </w:r>
      <w:bookmarkEnd w:id="86"/>
    </w:p>
    <w:p w:rsidR="00BB6F9A" w:rsidRDefault="00BB6F9A">
      <w:pPr>
        <w:pStyle w:val="Placeholder"/>
      </w:pPr>
      <w:r>
        <w:rPr>
          <w:rStyle w:val="CharDivNo"/>
        </w:rPr>
        <w:t xml:space="preserve">  </w:t>
      </w:r>
      <w:r>
        <w:rPr>
          <w:rStyle w:val="CharDivText"/>
        </w:rPr>
        <w:t xml:space="preserve">  </w:t>
      </w:r>
    </w:p>
    <w:p w:rsidR="00BB6F9A" w:rsidRDefault="00BB6F9A">
      <w:pPr>
        <w:pStyle w:val="AH5Sec"/>
      </w:pPr>
      <w:bookmarkStart w:id="87" w:name="_Toc4661349"/>
      <w:r>
        <w:rPr>
          <w:rStyle w:val="CharSectNo"/>
        </w:rPr>
        <w:t>55</w:t>
      </w:r>
      <w:r>
        <w:tab/>
        <w:t xml:space="preserve">Application of pt 5.3 </w:t>
      </w:r>
      <w:r>
        <w:rPr>
          <w:b w:val="0"/>
          <w:bCs w:val="0"/>
        </w:rPr>
        <w:t>(DA s 12)</w:t>
      </w:r>
      <w:bookmarkEnd w:id="87"/>
    </w:p>
    <w:p w:rsidR="00BB6F9A" w:rsidRDefault="00BB6F9A">
      <w:pPr>
        <w:pStyle w:val="Amainreturn"/>
        <w:rPr>
          <w:color w:val="000000"/>
        </w:rPr>
      </w:pPr>
      <w:r>
        <w:t>This part applies in relation to an action for defamation</w:t>
      </w:r>
      <w:r>
        <w:rPr>
          <w:color w:val="000000"/>
        </w:rPr>
        <w:t>.</w:t>
      </w:r>
    </w:p>
    <w:p w:rsidR="00BB6F9A" w:rsidRDefault="00BB6F9A">
      <w:pPr>
        <w:pStyle w:val="AH5Sec"/>
      </w:pPr>
      <w:bookmarkStart w:id="88" w:name="_Toc4661350"/>
      <w:r>
        <w:rPr>
          <w:rStyle w:val="CharSectNo"/>
        </w:rPr>
        <w:t>56</w:t>
      </w:r>
      <w:r>
        <w:tab/>
        <w:t xml:space="preserve">Meaning of </w:t>
      </w:r>
      <w:r>
        <w:rPr>
          <w:rStyle w:val="charItals"/>
        </w:rPr>
        <w:t>published matter</w:t>
      </w:r>
      <w:r>
        <w:t xml:space="preserve"> in pt 5.3 </w:t>
      </w:r>
      <w:r>
        <w:rPr>
          <w:b w:val="0"/>
          <w:bCs w:val="0"/>
        </w:rPr>
        <w:t>(DA s 13)</w:t>
      </w:r>
      <w:bookmarkEnd w:id="88"/>
    </w:p>
    <w:p w:rsidR="00BB6F9A" w:rsidRDefault="00BB6F9A">
      <w:pPr>
        <w:pStyle w:val="Amainreturn"/>
        <w:keepNext/>
      </w:pPr>
      <w:r>
        <w:t>In this part:</w:t>
      </w:r>
    </w:p>
    <w:p w:rsidR="00BB6F9A" w:rsidRDefault="00BB6F9A">
      <w:pPr>
        <w:pStyle w:val="aDef"/>
      </w:pPr>
      <w:r>
        <w:rPr>
          <w:rStyle w:val="charBoldItals"/>
        </w:rPr>
        <w:t>published matter</w:t>
      </w:r>
      <w:r>
        <w:t>, in relation to an action against a defendant for the publication of matter that is or may be defamatory, means the matter so published.</w:t>
      </w:r>
    </w:p>
    <w:p w:rsidR="00BB6F9A" w:rsidRDefault="00BB6F9A">
      <w:pPr>
        <w:pStyle w:val="AH5Sec"/>
      </w:pPr>
      <w:bookmarkStart w:id="89" w:name="_Toc4661351"/>
      <w:r>
        <w:rPr>
          <w:rStyle w:val="CharSectNo"/>
        </w:rPr>
        <w:t>57</w:t>
      </w:r>
      <w:r>
        <w:tab/>
        <w:t xml:space="preserve">Slander actionable without special damage </w:t>
      </w:r>
      <w:r>
        <w:rPr>
          <w:b w:val="0"/>
          <w:bCs w:val="0"/>
        </w:rPr>
        <w:t>(DA s 14)</w:t>
      </w:r>
      <w:bookmarkEnd w:id="89"/>
    </w:p>
    <w:p w:rsidR="00BB6F9A" w:rsidRDefault="00BB6F9A">
      <w:pPr>
        <w:pStyle w:val="Amainreturn"/>
      </w:pPr>
      <w:r>
        <w:t>Slander is actionable without special damage in the same way and to the same extent as libel is actionable without special damage.</w:t>
      </w:r>
    </w:p>
    <w:p w:rsidR="00BB6F9A" w:rsidRDefault="00BB6F9A">
      <w:pPr>
        <w:pStyle w:val="AH5Sec"/>
      </w:pPr>
      <w:bookmarkStart w:id="90" w:name="_Toc4661352"/>
      <w:r>
        <w:rPr>
          <w:rStyle w:val="CharSectNo"/>
        </w:rPr>
        <w:t>58</w:t>
      </w:r>
      <w:r>
        <w:tab/>
        <w:t xml:space="preserve">Plaintiff’s character not likely to be injured </w:t>
      </w:r>
      <w:r>
        <w:rPr>
          <w:b w:val="0"/>
          <w:bCs w:val="0"/>
        </w:rPr>
        <w:t>(DA s 15)</w:t>
      </w:r>
      <w:bookmarkEnd w:id="90"/>
    </w:p>
    <w:p w:rsidR="00BB6F9A" w:rsidRDefault="00BB6F9A">
      <w:pPr>
        <w:pStyle w:val="Amainreturn"/>
      </w:pPr>
      <w:r>
        <w:t>It is a defence if the defendant establishes that the circumstances of publication were such that the plaintiff was unlikely to suffer harm.</w:t>
      </w:r>
    </w:p>
    <w:p w:rsidR="00BB6F9A" w:rsidRDefault="00BB6F9A">
      <w:pPr>
        <w:pStyle w:val="AH5Sec"/>
      </w:pPr>
      <w:bookmarkStart w:id="91" w:name="_Toc4661353"/>
      <w:r>
        <w:rPr>
          <w:rStyle w:val="CharSectNo"/>
        </w:rPr>
        <w:t>59</w:t>
      </w:r>
      <w:r>
        <w:tab/>
        <w:t xml:space="preserve">Defence of truth and public benefit </w:t>
      </w:r>
      <w:r>
        <w:rPr>
          <w:b w:val="0"/>
          <w:bCs w:val="0"/>
        </w:rPr>
        <w:t>(DA s 16)</w:t>
      </w:r>
      <w:bookmarkEnd w:id="91"/>
    </w:p>
    <w:p w:rsidR="00BB6F9A" w:rsidRDefault="00BB6F9A">
      <w:pPr>
        <w:pStyle w:val="Amainreturn"/>
      </w:pPr>
      <w:r>
        <w:rPr>
          <w:color w:val="000000"/>
        </w:rPr>
        <w:t xml:space="preserve">It is a defence </w:t>
      </w:r>
      <w:r>
        <w:t>if the defendant establishes—</w:t>
      </w:r>
    </w:p>
    <w:p w:rsidR="00BB6F9A" w:rsidRDefault="00BB6F9A">
      <w:pPr>
        <w:pStyle w:val="Apara"/>
      </w:pPr>
      <w:r>
        <w:tab/>
        <w:t>(a)</w:t>
      </w:r>
      <w:r>
        <w:tab/>
        <w:t>the truth of the published matter in accordance with the common law; and</w:t>
      </w:r>
    </w:p>
    <w:p w:rsidR="00BB6F9A" w:rsidRDefault="00BB6F9A">
      <w:pPr>
        <w:pStyle w:val="Apara"/>
        <w:rPr>
          <w:b/>
          <w:bCs/>
        </w:rPr>
      </w:pPr>
      <w:r>
        <w:tab/>
        <w:t>(b)</w:t>
      </w:r>
      <w:r>
        <w:tab/>
        <w:t>that it was for the public benefit that the matter should be published.</w:t>
      </w:r>
    </w:p>
    <w:p w:rsidR="00BB6F9A" w:rsidRDefault="00BB6F9A">
      <w:pPr>
        <w:pStyle w:val="AH5Sec"/>
      </w:pPr>
      <w:bookmarkStart w:id="92" w:name="_Toc4661354"/>
      <w:r>
        <w:rPr>
          <w:rStyle w:val="CharSectNo"/>
        </w:rPr>
        <w:lastRenderedPageBreak/>
        <w:t>60</w:t>
      </w:r>
      <w:r>
        <w:tab/>
        <w:t xml:space="preserve">Publication of a proceeding of public concern </w:t>
      </w:r>
      <w:r>
        <w:rPr>
          <w:b w:val="0"/>
          <w:bCs w:val="0"/>
        </w:rPr>
        <w:t>(DA s 17)</w:t>
      </w:r>
      <w:bookmarkEnd w:id="92"/>
    </w:p>
    <w:p w:rsidR="00BB6F9A" w:rsidRDefault="00BB6F9A">
      <w:pPr>
        <w:pStyle w:val="Amain"/>
      </w:pPr>
      <w:r>
        <w:tab/>
        <w:t>(1)</w:t>
      </w:r>
      <w:r>
        <w:tab/>
      </w:r>
      <w:r>
        <w:tab/>
        <w:t>It is a defence if the defendant establishes that the published matter was, or was contained in, a fair report of a proceeding of public concern.</w:t>
      </w:r>
    </w:p>
    <w:p w:rsidR="00BB6F9A" w:rsidRDefault="00BB6F9A">
      <w:pPr>
        <w:pStyle w:val="Amain"/>
      </w:pPr>
      <w:r>
        <w:tab/>
        <w:t>(2)</w:t>
      </w:r>
      <w:r>
        <w:tab/>
      </w:r>
      <w:r>
        <w:tab/>
        <w:t>It is a defence if the defendant establishes that—</w:t>
      </w:r>
    </w:p>
    <w:p w:rsidR="00BB6F9A" w:rsidRDefault="00BB6F9A">
      <w:pPr>
        <w:pStyle w:val="Apara"/>
      </w:pPr>
      <w:r>
        <w:tab/>
        <w:t>(a)</w:t>
      </w:r>
      <w:r>
        <w:tab/>
        <w:t>the published matter was, or was contained in, an earlier published report of a proceeding of public concern; and</w:t>
      </w:r>
    </w:p>
    <w:p w:rsidR="00BB6F9A" w:rsidRDefault="00BB6F9A">
      <w:pPr>
        <w:pStyle w:val="Apara"/>
      </w:pPr>
      <w:r>
        <w:tab/>
        <w:t>(b)</w:t>
      </w:r>
      <w:r>
        <w:tab/>
        <w:t>the published matter was, or was contained in, a copy of, a fair summary of, or a fair extract from, the earlier published report; and</w:t>
      </w:r>
    </w:p>
    <w:p w:rsidR="00BB6F9A" w:rsidRDefault="00BB6F9A">
      <w:pPr>
        <w:pStyle w:val="Apara"/>
        <w:rPr>
          <w:b/>
          <w:bCs/>
        </w:rPr>
      </w:pPr>
      <w:r>
        <w:tab/>
        <w:t>(c)</w:t>
      </w:r>
      <w:r>
        <w:tab/>
        <w:t>the defendant had no knowledge that would reasonably make him or her aware that the earlier published report was not fair.</w:t>
      </w:r>
    </w:p>
    <w:p w:rsidR="00BB6F9A" w:rsidRDefault="00BB6F9A">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BB6F9A" w:rsidRDefault="00BB6F9A">
      <w:pPr>
        <w:pStyle w:val="Amain"/>
        <w:keepNext/>
      </w:pPr>
      <w:r>
        <w:tab/>
        <w:t>(4)</w:t>
      </w:r>
      <w:r>
        <w:tab/>
        <w:t xml:space="preserve">In this section, a </w:t>
      </w:r>
      <w:r>
        <w:rPr>
          <w:rStyle w:val="charBoldItals"/>
        </w:rPr>
        <w:t>proceeding of public concern</w:t>
      </w:r>
      <w:r>
        <w:t xml:space="preserve"> is any of the following:</w:t>
      </w:r>
    </w:p>
    <w:p w:rsidR="00BB6F9A" w:rsidRDefault="00BB6F9A">
      <w:pPr>
        <w:pStyle w:val="Apara"/>
      </w:pPr>
      <w:r>
        <w:tab/>
        <w:t>(a)</w:t>
      </w:r>
      <w:r>
        <w:tab/>
        <w:t>a proceeding in public of a parliamentary body;</w:t>
      </w:r>
    </w:p>
    <w:p w:rsidR="00BB6F9A" w:rsidRDefault="00BB6F9A">
      <w:pPr>
        <w:pStyle w:val="Apara"/>
      </w:pPr>
      <w:r>
        <w:tab/>
        <w:t>(b)</w:t>
      </w:r>
      <w:r>
        <w:tab/>
        <w:t>a proceeding in public of an international organisation of any countries or of governments of any countries;</w:t>
      </w:r>
    </w:p>
    <w:p w:rsidR="00BB6F9A" w:rsidRDefault="00BB6F9A">
      <w:pPr>
        <w:pStyle w:val="Apara"/>
      </w:pPr>
      <w:r>
        <w:tab/>
        <w:t>(c)</w:t>
      </w:r>
      <w:r>
        <w:tab/>
        <w:t>a proceeding in public of an international conference at which governments of any countries are represented;</w:t>
      </w:r>
    </w:p>
    <w:p w:rsidR="00BB6F9A" w:rsidRDefault="00BB6F9A">
      <w:pPr>
        <w:pStyle w:val="Apara"/>
      </w:pPr>
      <w:r>
        <w:tab/>
        <w:t>(d)</w:t>
      </w:r>
      <w:r>
        <w:tab/>
        <w:t>a proceeding in public of—</w:t>
      </w:r>
    </w:p>
    <w:p w:rsidR="00BB6F9A" w:rsidRDefault="00BB6F9A">
      <w:pPr>
        <w:pStyle w:val="Asubpara"/>
      </w:pPr>
      <w:r>
        <w:tab/>
        <w:t>(i)</w:t>
      </w:r>
      <w:r>
        <w:tab/>
        <w:t>the International Court of Justice, or any other judicial or arbitral tribunal, for the decision of any matter in dispute between nations; or</w:t>
      </w:r>
    </w:p>
    <w:p w:rsidR="00BB6F9A" w:rsidRDefault="00BB6F9A">
      <w:pPr>
        <w:pStyle w:val="Asubpara"/>
      </w:pPr>
      <w:r>
        <w:tab/>
        <w:t>(ii)</w:t>
      </w:r>
      <w:r>
        <w:tab/>
        <w:t>any other international judicial or arbitral tribunal;</w:t>
      </w:r>
    </w:p>
    <w:p w:rsidR="00BB6F9A" w:rsidRDefault="00BB6F9A">
      <w:pPr>
        <w:pStyle w:val="Apara"/>
      </w:pPr>
      <w:r>
        <w:lastRenderedPageBreak/>
        <w:tab/>
        <w:t>(e)</w:t>
      </w:r>
      <w:r>
        <w:tab/>
        <w:t>a proceeding in public of—</w:t>
      </w:r>
    </w:p>
    <w:p w:rsidR="00BB6F9A" w:rsidRDefault="00BB6F9A">
      <w:pPr>
        <w:pStyle w:val="Asubpara"/>
      </w:pPr>
      <w:r>
        <w:tab/>
        <w:t>(i)</w:t>
      </w:r>
      <w:r>
        <w:tab/>
        <w:t>a court of any country; or</w:t>
      </w:r>
    </w:p>
    <w:p w:rsidR="00BB6F9A" w:rsidRDefault="00BB6F9A">
      <w:pPr>
        <w:pStyle w:val="Asubpara"/>
      </w:pPr>
      <w:r>
        <w:tab/>
        <w:t>(ii)</w:t>
      </w:r>
      <w:r>
        <w:tab/>
        <w:t>an arbitral tribunal;</w:t>
      </w:r>
    </w:p>
    <w:p w:rsidR="00BB6F9A" w:rsidRDefault="00BB6F9A">
      <w:pPr>
        <w:pStyle w:val="Apara"/>
      </w:pPr>
      <w:r>
        <w:tab/>
        <w:t>(f)</w:t>
      </w:r>
      <w:r>
        <w:tab/>
        <w:t>a proceeding in public of an inquiry held under the law of any country or under the authority of the government of any country;</w:t>
      </w:r>
    </w:p>
    <w:p w:rsidR="00BB6F9A" w:rsidRDefault="00BB6F9A">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BB6F9A" w:rsidRDefault="00BB6F9A">
      <w:pPr>
        <w:pStyle w:val="Asubpara"/>
      </w:pPr>
      <w:r>
        <w:tab/>
        <w:t>(i)</w:t>
      </w:r>
      <w:r>
        <w:tab/>
        <w:t>a member or members of the society; or</w:t>
      </w:r>
    </w:p>
    <w:p w:rsidR="00BB6F9A" w:rsidRDefault="00BB6F9A">
      <w:pPr>
        <w:pStyle w:val="Asubpara"/>
      </w:pPr>
      <w:r>
        <w:tab/>
        <w:t>(ii)</w:t>
      </w:r>
      <w:r>
        <w:tab/>
        <w:t>a person subject by contract or otherwise by law to control by the society;</w:t>
      </w:r>
    </w:p>
    <w:p w:rsidR="00BB6F9A" w:rsidRDefault="00BB6F9A">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BB6F9A" w:rsidRDefault="00BB6F9A">
      <w:pPr>
        <w:pStyle w:val="Asubpara"/>
      </w:pPr>
      <w:r>
        <w:tab/>
        <w:t>(i)</w:t>
      </w:r>
      <w:r>
        <w:tab/>
        <w:t>a member or members of the society; or</w:t>
      </w:r>
    </w:p>
    <w:p w:rsidR="00BB6F9A" w:rsidRDefault="00BB6F9A">
      <w:pPr>
        <w:pStyle w:val="Asubpara"/>
      </w:pPr>
      <w:r>
        <w:tab/>
        <w:t>(ii)</w:t>
      </w:r>
      <w:r>
        <w:tab/>
        <w:t>a person subject by contract or otherwise by law to control by the association;</w:t>
      </w:r>
    </w:p>
    <w:p w:rsidR="00BB6F9A" w:rsidRDefault="00BB6F9A">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BB6F9A" w:rsidRDefault="00BB6F9A">
      <w:pPr>
        <w:pStyle w:val="Asubpara"/>
      </w:pPr>
      <w:r>
        <w:tab/>
        <w:t>(i)</w:t>
      </w:r>
      <w:r>
        <w:tab/>
        <w:t>a member or members of the society; or</w:t>
      </w:r>
    </w:p>
    <w:p w:rsidR="00BB6F9A" w:rsidRDefault="00BB6F9A">
      <w:pPr>
        <w:pStyle w:val="Asubpara"/>
      </w:pPr>
      <w:r>
        <w:tab/>
        <w:t>(ii)</w:t>
      </w:r>
      <w:r>
        <w:tab/>
        <w:t>a person subject by contract or otherwise by law to control by the association;</w:t>
      </w:r>
    </w:p>
    <w:p w:rsidR="00BB6F9A" w:rsidRDefault="00BB6F9A" w:rsidP="008F35AF">
      <w:pPr>
        <w:pStyle w:val="Apara"/>
        <w:keepLines/>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BB6F9A" w:rsidRDefault="00BB6F9A">
      <w:pPr>
        <w:pStyle w:val="Apara"/>
      </w:pPr>
      <w:r>
        <w:tab/>
        <w:t>(k)</w:t>
      </w:r>
      <w:r>
        <w:tab/>
        <w:t>a proceeding of an ombudsman of any country if the proceeding relates to a report of the ombudsman;</w:t>
      </w:r>
    </w:p>
    <w:p w:rsidR="00BB6F9A" w:rsidRDefault="00BB6F9A">
      <w:pPr>
        <w:pStyle w:val="Apara"/>
      </w:pPr>
      <w:r>
        <w:tab/>
        <w:t>(l)</w:t>
      </w:r>
      <w:r>
        <w:tab/>
        <w:t>a proceeding in public of a law reform body of any country, or a proceeding in public at an inquiry conducted by a law reform body of any country.</w:t>
      </w:r>
    </w:p>
    <w:p w:rsidR="00BB6F9A" w:rsidRDefault="00BB6F9A">
      <w:pPr>
        <w:pStyle w:val="Amain"/>
        <w:keepNext/>
      </w:pPr>
      <w:r>
        <w:tab/>
        <w:t>(5)</w:t>
      </w:r>
      <w:r>
        <w:tab/>
        <w:t>In this section:</w:t>
      </w:r>
    </w:p>
    <w:p w:rsidR="00BB6F9A" w:rsidRDefault="00BB6F9A">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BB6F9A" w:rsidRDefault="00BB6F9A">
      <w:pPr>
        <w:pStyle w:val="aDef"/>
        <w:keepNext/>
      </w:pPr>
      <w:r>
        <w:rPr>
          <w:rStyle w:val="charBoldItals"/>
        </w:rPr>
        <w:t>learned society</w:t>
      </w:r>
      <w:r>
        <w:rPr>
          <w:b/>
          <w:bCs/>
        </w:rPr>
        <w:t xml:space="preserve"> </w:t>
      </w:r>
      <w:r>
        <w:t>means a body, wherever formed—</w:t>
      </w:r>
    </w:p>
    <w:p w:rsidR="00BB6F9A" w:rsidRDefault="00BB6F9A">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BB6F9A" w:rsidRDefault="00BB6F9A">
      <w:pPr>
        <w:pStyle w:val="aDefpara"/>
        <w:rPr>
          <w:b/>
          <w:bCs/>
        </w:rPr>
      </w:pPr>
      <w:r>
        <w:tab/>
        <w:t>(b)</w:t>
      </w:r>
      <w:r>
        <w:tab/>
        <w:t>authorised by its constitution—</w:t>
      </w:r>
    </w:p>
    <w:p w:rsidR="00BB6F9A" w:rsidRDefault="00BB6F9A">
      <w:pPr>
        <w:pStyle w:val="aDefsubpara"/>
      </w:pPr>
      <w:r>
        <w:tab/>
        <w:t>(i)</w:t>
      </w:r>
      <w:r>
        <w:tab/>
        <w:t>to exercise control over, or adjudicate on, matters connected with its principal objects; and</w:t>
      </w:r>
    </w:p>
    <w:p w:rsidR="00BB6F9A" w:rsidRDefault="00BB6F9A">
      <w:pPr>
        <w:pStyle w:val="aDefsubpara"/>
        <w:rPr>
          <w:b/>
          <w:bCs/>
        </w:rPr>
      </w:pPr>
      <w:r>
        <w:tab/>
        <w:t>(ii)</w:t>
      </w:r>
      <w:r>
        <w:tab/>
        <w:t>to make findings or decisions having effect, by law or custom, in any part of Australia.</w:t>
      </w:r>
    </w:p>
    <w:p w:rsidR="00BB6F9A" w:rsidRDefault="00BB6F9A">
      <w:pPr>
        <w:pStyle w:val="aDef"/>
        <w:rPr>
          <w:b/>
          <w:bCs/>
        </w:rPr>
      </w:pPr>
      <w:r>
        <w:rPr>
          <w:rStyle w:val="charBoldItals"/>
        </w:rPr>
        <w:t>ombudsman</w:t>
      </w:r>
      <w:r>
        <w:rPr>
          <w:b/>
          <w:bCs/>
        </w:rPr>
        <w:t xml:space="preserve"> </w:t>
      </w:r>
      <w:r>
        <w:t>includes an officer (however described) whose duties are similar to those of the Territory ombudsman.</w:t>
      </w:r>
    </w:p>
    <w:p w:rsidR="00BB6F9A" w:rsidRDefault="00BB6F9A">
      <w:pPr>
        <w:pStyle w:val="aDef"/>
        <w:keepNext/>
      </w:pPr>
      <w:r>
        <w:rPr>
          <w:rStyle w:val="charBoldItals"/>
        </w:rPr>
        <w:lastRenderedPageBreak/>
        <w:t>sport or recreation association</w:t>
      </w:r>
      <w:r>
        <w:rPr>
          <w:b/>
          <w:bCs/>
        </w:rPr>
        <w:t xml:space="preserve"> </w:t>
      </w:r>
      <w:r>
        <w:t>means a body, wherever formed—</w:t>
      </w:r>
    </w:p>
    <w:p w:rsidR="00BB6F9A" w:rsidRDefault="00BB6F9A">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BB6F9A" w:rsidRDefault="00BB6F9A">
      <w:pPr>
        <w:pStyle w:val="aDefpara"/>
      </w:pPr>
      <w:r>
        <w:tab/>
        <w:t>(b)</w:t>
      </w:r>
      <w:r>
        <w:tab/>
        <w:t>authorised by its constitution—</w:t>
      </w:r>
    </w:p>
    <w:p w:rsidR="00BB6F9A" w:rsidRDefault="00BB6F9A">
      <w:pPr>
        <w:pStyle w:val="aDefsubpara"/>
      </w:pPr>
      <w:r>
        <w:tab/>
        <w:t>(i)</w:t>
      </w:r>
      <w:r>
        <w:tab/>
        <w:t>to exercise control over, or adjudicate on, matters connected with the game, sport, or pastime; and</w:t>
      </w:r>
    </w:p>
    <w:p w:rsidR="00BB6F9A" w:rsidRDefault="00BB6F9A">
      <w:pPr>
        <w:pStyle w:val="aDefsubpara"/>
      </w:pPr>
      <w:r>
        <w:tab/>
        <w:t>(ii)</w:t>
      </w:r>
      <w:r>
        <w:tab/>
        <w:t>to make findings or decisions having effect, by law or custom, in any part of Australia.</w:t>
      </w:r>
    </w:p>
    <w:p w:rsidR="00BB6F9A" w:rsidRDefault="00BB6F9A">
      <w:pPr>
        <w:pStyle w:val="aDef"/>
        <w:keepNext/>
      </w:pPr>
      <w:r>
        <w:rPr>
          <w:rStyle w:val="charBoldItals"/>
        </w:rPr>
        <w:t>trade association</w:t>
      </w:r>
      <w:r>
        <w:rPr>
          <w:b/>
          <w:bCs/>
        </w:rPr>
        <w:t xml:space="preserve"> </w:t>
      </w:r>
      <w:r>
        <w:t>means a body, wherever formed—</w:t>
      </w:r>
    </w:p>
    <w:p w:rsidR="00BB6F9A" w:rsidRDefault="00BB6F9A">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BB6F9A" w:rsidRDefault="00BB6F9A">
      <w:pPr>
        <w:pStyle w:val="aDefpara"/>
      </w:pPr>
      <w:r>
        <w:tab/>
        <w:t>(b)</w:t>
      </w:r>
      <w:r>
        <w:tab/>
        <w:t>authorised by its constitution—</w:t>
      </w:r>
    </w:p>
    <w:p w:rsidR="00BB6F9A" w:rsidRDefault="00BB6F9A">
      <w:pPr>
        <w:pStyle w:val="aDefsubpara"/>
      </w:pPr>
      <w:r>
        <w:tab/>
        <w:t>(i)</w:t>
      </w:r>
      <w:r>
        <w:tab/>
        <w:t>to exercise control over, or adjudicate on, matters connected with a calling or the conduct of people engaged in the calling; and</w:t>
      </w:r>
    </w:p>
    <w:p w:rsidR="00BB6F9A" w:rsidRDefault="00BB6F9A">
      <w:pPr>
        <w:pStyle w:val="aDefsubpara"/>
      </w:pPr>
      <w:r>
        <w:tab/>
        <w:t>(ii)</w:t>
      </w:r>
      <w:r>
        <w:tab/>
        <w:t>to make findings or decisions having effect, by law or custom, in any part of Australia.</w:t>
      </w:r>
    </w:p>
    <w:p w:rsidR="00BB6F9A" w:rsidRDefault="00BB6F9A">
      <w:pPr>
        <w:pStyle w:val="AH5Sec"/>
      </w:pPr>
      <w:bookmarkStart w:id="93" w:name="_Toc4661355"/>
      <w:r>
        <w:rPr>
          <w:rStyle w:val="CharSectNo"/>
        </w:rPr>
        <w:t>61</w:t>
      </w:r>
      <w:r>
        <w:tab/>
        <w:t xml:space="preserve">Publication of public document </w:t>
      </w:r>
      <w:r>
        <w:rPr>
          <w:b w:val="0"/>
          <w:bCs w:val="0"/>
        </w:rPr>
        <w:t>(DA s 18)</w:t>
      </w:r>
      <w:bookmarkEnd w:id="93"/>
    </w:p>
    <w:p w:rsidR="00BB6F9A" w:rsidRDefault="00BB6F9A">
      <w:pPr>
        <w:pStyle w:val="Amain"/>
      </w:pPr>
      <w:r>
        <w:tab/>
        <w:t>(1)</w:t>
      </w:r>
      <w:r>
        <w:tab/>
        <w:t>It is a defence if the defendant establishes that the published matter was contained in—</w:t>
      </w:r>
    </w:p>
    <w:p w:rsidR="00BB6F9A" w:rsidRDefault="00BB6F9A">
      <w:pPr>
        <w:pStyle w:val="Apara"/>
      </w:pPr>
      <w:r>
        <w:tab/>
        <w:t>(a)</w:t>
      </w:r>
      <w:r>
        <w:tab/>
        <w:t>a public document or a fair copy of a public document; or</w:t>
      </w:r>
    </w:p>
    <w:p w:rsidR="00BB6F9A" w:rsidRDefault="00BB6F9A">
      <w:pPr>
        <w:pStyle w:val="Apara"/>
      </w:pPr>
      <w:r>
        <w:tab/>
        <w:t>(b)</w:t>
      </w:r>
      <w:r>
        <w:tab/>
        <w:t>a fair summary of, or a fair extract from, a public document.</w:t>
      </w:r>
    </w:p>
    <w:p w:rsidR="00BB6F9A" w:rsidRDefault="00BB6F9A">
      <w:pPr>
        <w:pStyle w:val="Amain"/>
      </w:pPr>
      <w:r>
        <w:lastRenderedPageBreak/>
        <w:tab/>
        <w:t>(2)</w:t>
      </w:r>
      <w:r>
        <w:tab/>
        <w:t>For subsection (1), if a report or other document under the law of a country would be a public document except for compliance with a provision of that law about—</w:t>
      </w:r>
    </w:p>
    <w:p w:rsidR="00BB6F9A" w:rsidRDefault="00BB6F9A">
      <w:pPr>
        <w:pStyle w:val="Apara"/>
      </w:pPr>
      <w:r>
        <w:tab/>
        <w:t>(a)</w:t>
      </w:r>
      <w:r>
        <w:tab/>
        <w:t>the form of the report or document; or</w:t>
      </w:r>
    </w:p>
    <w:p w:rsidR="00BB6F9A" w:rsidRDefault="00BB6F9A">
      <w:pPr>
        <w:pStyle w:val="Apara"/>
      </w:pPr>
      <w:r>
        <w:tab/>
        <w:t>(b)</w:t>
      </w:r>
      <w:r>
        <w:tab/>
        <w:t>the content of the report or document; or</w:t>
      </w:r>
    </w:p>
    <w:p w:rsidR="00BB6F9A" w:rsidRDefault="00BB6F9A">
      <w:pPr>
        <w:pStyle w:val="Apara"/>
      </w:pPr>
      <w:r>
        <w:tab/>
        <w:t>(c)</w:t>
      </w:r>
      <w:r>
        <w:tab/>
        <w:t>the time within which the report or document is prepared, or presented, submitted, tabled or laid to or before an entity;</w:t>
      </w:r>
    </w:p>
    <w:p w:rsidR="00BB6F9A" w:rsidRDefault="00BB6F9A">
      <w:pPr>
        <w:pStyle w:val="Amainreturn"/>
      </w:pPr>
      <w:r>
        <w:rPr>
          <w:color w:val="000000"/>
        </w:rPr>
        <w:t xml:space="preserve">the </w:t>
      </w:r>
      <w:r>
        <w:t xml:space="preserve">report or </w:t>
      </w:r>
      <w:r>
        <w:rPr>
          <w:color w:val="000000"/>
        </w:rPr>
        <w:t xml:space="preserve">document is </w:t>
      </w:r>
      <w:r>
        <w:t>a public document despite that noncompliance.</w:t>
      </w:r>
    </w:p>
    <w:p w:rsidR="00BB6F9A" w:rsidRDefault="00BB6F9A">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BB6F9A" w:rsidRDefault="00BB6F9A">
      <w:pPr>
        <w:pStyle w:val="Amain"/>
        <w:keepNext/>
      </w:pPr>
      <w:r>
        <w:tab/>
        <w:t>(4)</w:t>
      </w:r>
      <w:r>
        <w:tab/>
        <w:t>In this section:</w:t>
      </w:r>
    </w:p>
    <w:p w:rsidR="00BB6F9A" w:rsidRDefault="00BB6F9A">
      <w:pPr>
        <w:pStyle w:val="aDef"/>
        <w:rPr>
          <w:rStyle w:val="charBoldItals"/>
        </w:rPr>
      </w:pPr>
      <w:r>
        <w:rPr>
          <w:rStyle w:val="charBoldItals"/>
        </w:rPr>
        <w:t>Australian jurisdiction</w:t>
      </w:r>
      <w:r>
        <w:t xml:space="preserve"> means the Territory, the Commonwealth or a State or another Territory.</w:t>
      </w:r>
    </w:p>
    <w:p w:rsidR="00BB6F9A" w:rsidRDefault="00BB6F9A">
      <w:pPr>
        <w:pStyle w:val="aDef"/>
        <w:keepNext/>
      </w:pPr>
      <w:r>
        <w:rPr>
          <w:rStyle w:val="charBoldItals"/>
        </w:rPr>
        <w:t>Australian record or document</w:t>
      </w:r>
      <w:r>
        <w:t xml:space="preserve"> means a record or document kept–</w:t>
      </w:r>
    </w:p>
    <w:p w:rsidR="00BB6F9A" w:rsidRDefault="00BB6F9A">
      <w:pPr>
        <w:pStyle w:val="aDefpara"/>
      </w:pPr>
      <w:r>
        <w:tab/>
        <w:t>(a)</w:t>
      </w:r>
      <w:r>
        <w:tab/>
        <w:t>by an Australian jurisdiction; or</w:t>
      </w:r>
    </w:p>
    <w:p w:rsidR="00BB6F9A" w:rsidRDefault="00BB6F9A">
      <w:pPr>
        <w:pStyle w:val="aDefpara"/>
      </w:pPr>
      <w:r>
        <w:tab/>
        <w:t>(b)</w:t>
      </w:r>
      <w:r>
        <w:tab/>
        <w:t>by a statutory authority of an Australian jurisdiction; or</w:t>
      </w:r>
    </w:p>
    <w:p w:rsidR="00BB6F9A" w:rsidRDefault="00BB6F9A">
      <w:pPr>
        <w:pStyle w:val="aDefpara"/>
      </w:pPr>
      <w:r>
        <w:tab/>
        <w:t>(c)</w:t>
      </w:r>
      <w:r>
        <w:tab/>
        <w:t>by a court of an Australian jurisdiction; or</w:t>
      </w:r>
    </w:p>
    <w:p w:rsidR="00BB6F9A" w:rsidRDefault="00BB6F9A">
      <w:pPr>
        <w:pStyle w:val="aDefpara"/>
      </w:pPr>
      <w:r>
        <w:tab/>
        <w:t>(d)</w:t>
      </w:r>
      <w:r>
        <w:tab/>
        <w:t>under legislation of an Australian jurisdiction.</w:t>
      </w:r>
    </w:p>
    <w:p w:rsidR="00BB6F9A" w:rsidRDefault="00BB6F9A">
      <w:pPr>
        <w:pStyle w:val="aDef"/>
      </w:pPr>
      <w:r>
        <w:rPr>
          <w:rStyle w:val="charBoldItals"/>
        </w:rPr>
        <w:t>entity</w:t>
      </w:r>
      <w:r>
        <w:t xml:space="preserve"> includes a parliamentary body.</w:t>
      </w:r>
    </w:p>
    <w:p w:rsidR="00BB6F9A" w:rsidRDefault="00BB6F9A">
      <w:pPr>
        <w:pStyle w:val="aDef"/>
      </w:pPr>
      <w:r>
        <w:rPr>
          <w:rStyle w:val="charBoldItals"/>
        </w:rPr>
        <w:t>judgment</w:t>
      </w:r>
      <w:r>
        <w:t xml:space="preserve"> includes a decree, order or sentence.</w:t>
      </w:r>
    </w:p>
    <w:p w:rsidR="00BB6F9A" w:rsidRDefault="00BB6F9A">
      <w:pPr>
        <w:pStyle w:val="aDef"/>
      </w:pPr>
      <w:r>
        <w:rPr>
          <w:rStyle w:val="charBoldItals"/>
        </w:rPr>
        <w:t>publication</w:t>
      </w:r>
      <w:r>
        <w:t>, of matter, includes publication in a way that the matter will become accessible or will be broadcast or sent to other people through a computer network.</w:t>
      </w:r>
    </w:p>
    <w:p w:rsidR="00BB6F9A" w:rsidRDefault="00BB6F9A">
      <w:pPr>
        <w:pStyle w:val="aDef"/>
        <w:keepNext/>
      </w:pPr>
      <w:r>
        <w:rPr>
          <w:rStyle w:val="charBoldItals"/>
        </w:rPr>
        <w:lastRenderedPageBreak/>
        <w:t>public document</w:t>
      </w:r>
      <w:r>
        <w:t xml:space="preserve"> means any of the following:</w:t>
      </w:r>
    </w:p>
    <w:p w:rsidR="00BB6F9A" w:rsidRDefault="00BB6F9A">
      <w:pPr>
        <w:pStyle w:val="aDefpara"/>
      </w:pPr>
      <w:r>
        <w:tab/>
        <w:t>(a)</w:t>
      </w:r>
      <w:r>
        <w:tab/>
        <w:t>a report or paper published by a parliamentary body, or a record of votes, debates or other proceedings relating to a parliamentary body published under the authority of the body;</w:t>
      </w:r>
    </w:p>
    <w:p w:rsidR="00BB6F9A" w:rsidRDefault="00BB6F9A">
      <w:pPr>
        <w:pStyle w:val="aDefpara"/>
      </w:pPr>
      <w:r>
        <w:tab/>
        <w:t>(b)</w:t>
      </w:r>
      <w:r>
        <w:tab/>
        <w:t>a judgment of a court of any country in a civil proceeding, or a record of the court relating to the judgment or to its enforcement or satisfaction;</w:t>
      </w:r>
    </w:p>
    <w:p w:rsidR="00BB6F9A" w:rsidRDefault="00BB6F9A">
      <w:pPr>
        <w:pStyle w:val="aDefpara"/>
      </w:pPr>
      <w:r>
        <w:tab/>
        <w:t>(c)</w:t>
      </w:r>
      <w:r>
        <w:tab/>
        <w:t>a report, or other document, that under the law of any country—</w:t>
      </w:r>
    </w:p>
    <w:p w:rsidR="00BB6F9A" w:rsidRDefault="00BB6F9A">
      <w:pPr>
        <w:pStyle w:val="aDefsubpara"/>
      </w:pPr>
      <w:r>
        <w:tab/>
        <w:t>(i)</w:t>
      </w:r>
      <w:r>
        <w:tab/>
        <w:t>is authorised to be published; or</w:t>
      </w:r>
    </w:p>
    <w:p w:rsidR="00BB6F9A" w:rsidRDefault="00BB6F9A">
      <w:pPr>
        <w:pStyle w:val="aDefsubpara"/>
        <w:keepNext/>
      </w:pPr>
      <w:r>
        <w:tab/>
        <w:t>(ii)</w:t>
      </w:r>
      <w:r>
        <w:tab/>
        <w:t>is required to be presented or submitted to, tabled in, or laid before, a parliamentary body;</w:t>
      </w:r>
    </w:p>
    <w:p w:rsidR="00BB6F9A" w:rsidRDefault="00BB6F9A">
      <w:pPr>
        <w:pStyle w:val="aDefpara"/>
      </w:pPr>
      <w:r>
        <w:tab/>
        <w:t>(d)</w:t>
      </w:r>
      <w:r>
        <w:tab/>
        <w:t>a document issued by the government or a local government of a country, or by an officer, employee or agency of the country or local government, for the information of the public;</w:t>
      </w:r>
    </w:p>
    <w:p w:rsidR="00BB6F9A" w:rsidRDefault="00BB6F9A">
      <w:pPr>
        <w:pStyle w:val="aDefpara"/>
      </w:pPr>
      <w:r>
        <w:tab/>
        <w:t>(e)</w:t>
      </w:r>
      <w:r>
        <w:tab/>
        <w:t>an Australian record or document that is open to inspection by the public;</w:t>
      </w:r>
    </w:p>
    <w:p w:rsidR="00BB6F9A" w:rsidRDefault="00BB6F9A">
      <w:pPr>
        <w:pStyle w:val="aDefpara"/>
      </w:pPr>
      <w:r>
        <w:tab/>
        <w:t>(f)</w:t>
      </w:r>
      <w:r>
        <w:tab/>
        <w:t>a report of a tribunal about its decision and the reasons for its decision.</w:t>
      </w:r>
    </w:p>
    <w:p w:rsidR="00BB6F9A" w:rsidRDefault="00BB6F9A">
      <w:pPr>
        <w:pStyle w:val="AH5Sec"/>
      </w:pPr>
      <w:bookmarkStart w:id="94" w:name="_Toc4661356"/>
      <w:r>
        <w:rPr>
          <w:rStyle w:val="CharSectNo"/>
        </w:rPr>
        <w:t>62</w:t>
      </w:r>
      <w:r>
        <w:tab/>
        <w:t xml:space="preserve">Publication under contract </w:t>
      </w:r>
      <w:r>
        <w:rPr>
          <w:b w:val="0"/>
          <w:bCs w:val="0"/>
        </w:rPr>
        <w:t>(DA s 19)</w:t>
      </w:r>
      <w:bookmarkEnd w:id="94"/>
    </w:p>
    <w:p w:rsidR="00BB6F9A" w:rsidRDefault="00BB6F9A">
      <w:pPr>
        <w:pStyle w:val="Amain"/>
      </w:pPr>
      <w:r>
        <w:tab/>
        <w:t>(1)</w:t>
      </w:r>
      <w:r>
        <w:tab/>
        <w:t>It is a defence if the defendant establishes that the publication of the published matter was a reasonable publication under a contract.</w:t>
      </w:r>
    </w:p>
    <w:p w:rsidR="00BB6F9A" w:rsidRDefault="00BB6F9A">
      <w:pPr>
        <w:pStyle w:val="Amain"/>
      </w:pPr>
      <w:r>
        <w:tab/>
        <w:t>(2)</w:t>
      </w:r>
      <w:r>
        <w:tab/>
        <w:t>For subsection (1), a publication is reasonable if—</w:t>
      </w:r>
    </w:p>
    <w:p w:rsidR="00BB6F9A" w:rsidRDefault="00BB6F9A">
      <w:pPr>
        <w:pStyle w:val="Apara"/>
      </w:pPr>
      <w:r>
        <w:tab/>
        <w:t>(a)</w:t>
      </w:r>
      <w:r>
        <w:tab/>
        <w:t>the publication was in answer to an inquiry made under the</w:t>
      </w:r>
      <w:r>
        <w:rPr>
          <w:b/>
          <w:bCs/>
        </w:rPr>
        <w:t xml:space="preserve"> </w:t>
      </w:r>
      <w:r>
        <w:t>contract; and</w:t>
      </w:r>
    </w:p>
    <w:p w:rsidR="00BB6F9A" w:rsidRDefault="00BB6F9A">
      <w:pPr>
        <w:pStyle w:val="Apara"/>
      </w:pPr>
      <w:r>
        <w:tab/>
        <w:t>(b)</w:t>
      </w:r>
      <w:r>
        <w:tab/>
        <w:t>the published matter was relevant to the subject of the inquiry; and</w:t>
      </w:r>
    </w:p>
    <w:p w:rsidR="00BB6F9A" w:rsidRDefault="00BB6F9A">
      <w:pPr>
        <w:pStyle w:val="Apara"/>
      </w:pPr>
      <w:r>
        <w:tab/>
        <w:t>(c)</w:t>
      </w:r>
      <w:r>
        <w:tab/>
        <w:t>the manner and extent of the publication were reasonable; and</w:t>
      </w:r>
    </w:p>
    <w:p w:rsidR="00BB6F9A" w:rsidRDefault="00BB6F9A">
      <w:pPr>
        <w:pStyle w:val="Apara"/>
      </w:pPr>
      <w:r>
        <w:lastRenderedPageBreak/>
        <w:tab/>
        <w:t>(d)</w:t>
      </w:r>
      <w:r>
        <w:tab/>
        <w:t>the defendant was not motivated by ill will to the plaintiff, or by any other improper motive; and</w:t>
      </w:r>
    </w:p>
    <w:p w:rsidR="00BB6F9A" w:rsidRDefault="00BB6F9A">
      <w:pPr>
        <w:pStyle w:val="Apara"/>
      </w:pPr>
      <w:r>
        <w:tab/>
        <w:t>(e)</w:t>
      </w:r>
      <w:r>
        <w:tab/>
        <w:t>the defendant had, at the time of publication, reasonable grounds to believe the published matter to be true.</w:t>
      </w:r>
    </w:p>
    <w:p w:rsidR="00BB6F9A" w:rsidRDefault="00BB6F9A">
      <w:pPr>
        <w:pStyle w:val="AH5Sec"/>
      </w:pPr>
      <w:bookmarkStart w:id="95" w:name="_Toc4661357"/>
      <w:r>
        <w:rPr>
          <w:rStyle w:val="CharSectNo"/>
        </w:rPr>
        <w:t>63</w:t>
      </w:r>
      <w:r>
        <w:tab/>
        <w:t>Evidence of apology admissible in mitigation—defamation</w:t>
      </w:r>
      <w:r>
        <w:rPr>
          <w:b w:val="0"/>
          <w:bCs w:val="0"/>
        </w:rPr>
        <w:t xml:space="preserve"> (DA s 20)</w:t>
      </w:r>
      <w:bookmarkEnd w:id="95"/>
    </w:p>
    <w:p w:rsidR="00BB6F9A" w:rsidRDefault="00BB6F9A">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BB6F9A" w:rsidRDefault="00BB6F9A">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BB6F9A" w:rsidRDefault="00BB6F9A">
      <w:pPr>
        <w:pStyle w:val="AH5Sec"/>
      </w:pPr>
      <w:bookmarkStart w:id="96" w:name="_Toc4661358"/>
      <w:r>
        <w:rPr>
          <w:rStyle w:val="CharSectNo"/>
        </w:rPr>
        <w:t>64</w:t>
      </w:r>
      <w:r>
        <w:tab/>
        <w:t xml:space="preserve">Payment into court—defamation </w:t>
      </w:r>
      <w:r>
        <w:rPr>
          <w:b w:val="0"/>
          <w:bCs w:val="0"/>
        </w:rPr>
        <w:t>(DA s 21)</w:t>
      </w:r>
      <w:bookmarkEnd w:id="96"/>
    </w:p>
    <w:p w:rsidR="00BB6F9A" w:rsidRDefault="00BB6F9A">
      <w:pPr>
        <w:pStyle w:val="Amainreturn"/>
      </w:pPr>
      <w:r>
        <w:tab/>
        <w:t>The defendant, or 1</w:t>
      </w:r>
      <w:r>
        <w:rPr>
          <w:b/>
          <w:bCs/>
        </w:rPr>
        <w:t xml:space="preserve"> </w:t>
      </w:r>
      <w:r>
        <w:t>or more of several defendants, may pay into court an amount by way of compensation, satisfaction and amends.</w:t>
      </w:r>
    </w:p>
    <w:p w:rsidR="00BB6F9A" w:rsidRDefault="00BB6F9A">
      <w:pPr>
        <w:pStyle w:val="AH5Sec"/>
      </w:pPr>
      <w:bookmarkStart w:id="97" w:name="_Toc4661359"/>
      <w:r>
        <w:rPr>
          <w:rStyle w:val="CharSectNo"/>
        </w:rPr>
        <w:t>65</w:t>
      </w:r>
      <w:r>
        <w:tab/>
        <w:t>Defence of apology and payment into court—defamation</w:t>
      </w:r>
      <w:r>
        <w:rPr>
          <w:b w:val="0"/>
          <w:bCs w:val="0"/>
        </w:rPr>
        <w:t xml:space="preserve"> (DA s 22)</w:t>
      </w:r>
      <w:bookmarkEnd w:id="97"/>
    </w:p>
    <w:p w:rsidR="00BB6F9A" w:rsidRDefault="00BB6F9A">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BB6F9A" w:rsidRDefault="00BB6F9A">
      <w:pPr>
        <w:pStyle w:val="Amain"/>
      </w:pPr>
      <w:r>
        <w:tab/>
        <w:t>(2)</w:t>
      </w:r>
      <w:r>
        <w:tab/>
        <w:t>After filing a defence under subsection (1), the defendant may pay into court an amount by way of amends for the libel.</w:t>
      </w:r>
    </w:p>
    <w:p w:rsidR="00BB6F9A" w:rsidRDefault="00BB6F9A">
      <w:pPr>
        <w:pStyle w:val="AH5Sec"/>
      </w:pPr>
      <w:bookmarkStart w:id="98" w:name="_Toc4661360"/>
      <w:r>
        <w:rPr>
          <w:rStyle w:val="CharSectNo"/>
        </w:rPr>
        <w:lastRenderedPageBreak/>
        <w:t>66</w:t>
      </w:r>
      <w:r>
        <w:tab/>
        <w:t xml:space="preserve">Defence for defamation—defendant not negligent </w:t>
      </w:r>
      <w:r>
        <w:rPr>
          <w:b w:val="0"/>
          <w:bCs w:val="0"/>
        </w:rPr>
        <w:t>(DA s 23)</w:t>
      </w:r>
      <w:bookmarkEnd w:id="98"/>
    </w:p>
    <w:p w:rsidR="00BB6F9A" w:rsidRDefault="00BB6F9A">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BB6F9A" w:rsidRDefault="00BB6F9A">
      <w:pPr>
        <w:pStyle w:val="Amain"/>
      </w:pPr>
      <w:r>
        <w:tab/>
        <w:t>(2)</w:t>
      </w:r>
      <w:r>
        <w:rPr>
          <w:b/>
          <w:bCs/>
          <w:noProof/>
        </w:rPr>
        <w:tab/>
      </w:r>
      <w:r>
        <w:t>For subsection (1), it is sufficient if—</w:t>
      </w:r>
    </w:p>
    <w:p w:rsidR="00BB6F9A" w:rsidRDefault="00BB6F9A">
      <w:pPr>
        <w:pStyle w:val="Apara"/>
      </w:pPr>
      <w:r>
        <w:tab/>
        <w:t>(a)</w:t>
      </w:r>
      <w:r>
        <w:tab/>
        <w:t>the defendant establishes that the defendant took reasonable steps to ensure the accuracy of the published matter; and</w:t>
      </w:r>
    </w:p>
    <w:p w:rsidR="00BB6F9A" w:rsidRDefault="00BB6F9A">
      <w:pPr>
        <w:pStyle w:val="Apara"/>
      </w:pPr>
      <w:r>
        <w:tab/>
        <w:t>(b)</w:t>
      </w:r>
      <w:r>
        <w:tab/>
        <w:t>the defendant gave the plaintiff a reasonable opportunity to comment on the published matter before it was published.</w:t>
      </w:r>
    </w:p>
    <w:p w:rsidR="00BB6F9A" w:rsidRDefault="00BB6F9A">
      <w:pPr>
        <w:pStyle w:val="AH5Sec"/>
      </w:pPr>
      <w:bookmarkStart w:id="99" w:name="_Toc4661361"/>
      <w:r>
        <w:rPr>
          <w:rStyle w:val="CharSectNo"/>
        </w:rPr>
        <w:t>67</w:t>
      </w:r>
      <w:r>
        <w:tab/>
        <w:t xml:space="preserve">Compensation etc provable in mitigation—defamation </w:t>
      </w:r>
      <w:r>
        <w:rPr>
          <w:b w:val="0"/>
          <w:bCs w:val="0"/>
        </w:rPr>
        <w:t>(DA s 24)</w:t>
      </w:r>
      <w:bookmarkEnd w:id="99"/>
    </w:p>
    <w:p w:rsidR="00BB6F9A" w:rsidRDefault="00BB6F9A">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BB6F9A" w:rsidRDefault="00BB6F9A">
      <w:pPr>
        <w:pStyle w:val="AH5Sec"/>
      </w:pPr>
      <w:bookmarkStart w:id="100" w:name="_Toc4661362"/>
      <w:r>
        <w:rPr>
          <w:rStyle w:val="CharSectNo"/>
        </w:rPr>
        <w:t>68</w:t>
      </w:r>
      <w:r>
        <w:tab/>
        <w:t xml:space="preserve">Damages—defamation </w:t>
      </w:r>
      <w:r>
        <w:rPr>
          <w:b w:val="0"/>
          <w:bCs w:val="0"/>
        </w:rPr>
        <w:t>(DA s 25)</w:t>
      </w:r>
      <w:bookmarkEnd w:id="100"/>
    </w:p>
    <w:p w:rsidR="00BB6F9A" w:rsidRDefault="00BB6F9A">
      <w:pPr>
        <w:pStyle w:val="Amainreturn"/>
        <w:keepNext/>
      </w:pPr>
      <w:r>
        <w:t>In deciding the amount of damages to be awarded, a court must—</w:t>
      </w:r>
    </w:p>
    <w:p w:rsidR="00BB6F9A" w:rsidRDefault="00BB6F9A">
      <w:pPr>
        <w:pStyle w:val="Apara"/>
      </w:pPr>
      <w:r>
        <w:tab/>
        <w:t>(a)</w:t>
      </w:r>
      <w:r>
        <w:tab/>
        <w:t>ensure that there is an appropriate and rational relationship between the relevant harm and the amount of damages awarded; and</w:t>
      </w:r>
    </w:p>
    <w:p w:rsidR="00BB6F9A" w:rsidRDefault="00BB6F9A">
      <w:pPr>
        <w:pStyle w:val="Apara"/>
      </w:pPr>
      <w:r>
        <w:tab/>
        <w:t>(b)</w:t>
      </w:r>
      <w:r>
        <w:tab/>
        <w:t>take into account the ordinary level of general damages component in personal injury awards in the ACT.</w:t>
      </w:r>
    </w:p>
    <w:p w:rsidR="00BB6F9A" w:rsidRDefault="00BB6F9A">
      <w:pPr>
        <w:pStyle w:val="AH5Sec"/>
      </w:pPr>
      <w:bookmarkStart w:id="101" w:name="_Toc4661363"/>
      <w:r>
        <w:rPr>
          <w:rStyle w:val="CharSectNo"/>
        </w:rPr>
        <w:lastRenderedPageBreak/>
        <w:t>69</w:t>
      </w:r>
      <w:r>
        <w:tab/>
        <w:t xml:space="preserve">Disclosure of name of contributor </w:t>
      </w:r>
      <w:r>
        <w:rPr>
          <w:b w:val="0"/>
          <w:bCs w:val="0"/>
        </w:rPr>
        <w:t>(DA s 26)</w:t>
      </w:r>
      <w:bookmarkEnd w:id="101"/>
    </w:p>
    <w:p w:rsidR="00BB6F9A" w:rsidRDefault="00BB6F9A" w:rsidP="008F35AF">
      <w:pPr>
        <w:pStyle w:val="Amain"/>
        <w:keepNext/>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BB6F9A" w:rsidRDefault="00BB6F9A">
      <w:pPr>
        <w:pStyle w:val="Amain"/>
      </w:pPr>
      <w:r>
        <w:tab/>
        <w:t>(2)</w:t>
      </w:r>
      <w:r>
        <w:tab/>
        <w:t>The editor may comply with the request.</w:t>
      </w:r>
    </w:p>
    <w:p w:rsidR="00BB6F9A" w:rsidRDefault="00BB6F9A">
      <w:pPr>
        <w:pStyle w:val="Amain"/>
      </w:pPr>
      <w:r>
        <w:tab/>
        <w:t>(3)</w:t>
      </w:r>
      <w:r>
        <w:tab/>
        <w:t>If the editor does not comply with the request within 14 days, the plaintiff may apply to a court.</w:t>
      </w:r>
    </w:p>
    <w:p w:rsidR="00BB6F9A" w:rsidRDefault="00BB6F9A">
      <w:pPr>
        <w:pStyle w:val="Amain"/>
      </w:pPr>
      <w:r>
        <w:tab/>
        <w:t>(4)</w:t>
      </w:r>
      <w:r>
        <w:tab/>
        <w:t>After hearing the proprietor, the court may direct that the name and address be given to the person.</w:t>
      </w:r>
    </w:p>
    <w:p w:rsidR="00BB6F9A" w:rsidRDefault="00BB6F9A">
      <w:pPr>
        <w:pStyle w:val="Amain"/>
        <w:keepNext/>
      </w:pPr>
      <w:r>
        <w:tab/>
        <w:t>(5)</w:t>
      </w:r>
      <w:r>
        <w:tab/>
        <w:t>In this section:</w:t>
      </w:r>
    </w:p>
    <w:p w:rsidR="00BB6F9A" w:rsidRDefault="00BB6F9A">
      <w:pPr>
        <w:pStyle w:val="aDef"/>
      </w:pPr>
      <w:r>
        <w:rPr>
          <w:rStyle w:val="charBoldItals"/>
        </w:rPr>
        <w:t>newspaper</w:t>
      </w:r>
      <w:r>
        <w:t xml:space="preserve"> includes any newspaper, review, magazine, or other writing or print, published periodically.</w:t>
      </w:r>
    </w:p>
    <w:p w:rsidR="00BB6F9A" w:rsidRDefault="00BB6F9A">
      <w:pPr>
        <w:pStyle w:val="PageBreak"/>
      </w:pPr>
      <w:r>
        <w:br w:type="page"/>
      </w:r>
    </w:p>
    <w:p w:rsidR="00BB6F9A" w:rsidRDefault="00BB6F9A">
      <w:pPr>
        <w:pStyle w:val="AH2Part"/>
      </w:pPr>
      <w:bookmarkStart w:id="102" w:name="_Toc4661364"/>
      <w:r>
        <w:rPr>
          <w:rStyle w:val="CharPartNo"/>
        </w:rPr>
        <w:lastRenderedPageBreak/>
        <w:t>Part 5.4</w:t>
      </w:r>
      <w:r>
        <w:tab/>
      </w:r>
      <w:r>
        <w:rPr>
          <w:rStyle w:val="CharPartText"/>
        </w:rPr>
        <w:t>Other provisions—defamation</w:t>
      </w:r>
      <w:bookmarkEnd w:id="102"/>
    </w:p>
    <w:p w:rsidR="00BB6F9A" w:rsidRDefault="00BB6F9A">
      <w:pPr>
        <w:pStyle w:val="Placeholder"/>
      </w:pPr>
      <w:r>
        <w:rPr>
          <w:rStyle w:val="CharDivNo"/>
        </w:rPr>
        <w:t xml:space="preserve">  </w:t>
      </w:r>
      <w:r>
        <w:rPr>
          <w:rStyle w:val="CharDivText"/>
        </w:rPr>
        <w:t xml:space="preserve">  </w:t>
      </w:r>
    </w:p>
    <w:p w:rsidR="00BB6F9A" w:rsidRDefault="00BB6F9A">
      <w:pPr>
        <w:pStyle w:val="AH5Sec"/>
      </w:pPr>
      <w:bookmarkStart w:id="103" w:name="_Toc4661365"/>
      <w:r>
        <w:rPr>
          <w:rStyle w:val="CharSectNo"/>
        </w:rPr>
        <w:t>70</w:t>
      </w:r>
      <w:r>
        <w:tab/>
      </w:r>
      <w:r>
        <w:rPr>
          <w:rStyle w:val="CharPartText"/>
        </w:rPr>
        <w:t xml:space="preserve">Scope of defences not limited </w:t>
      </w:r>
      <w:r>
        <w:rPr>
          <w:b w:val="0"/>
          <w:bCs w:val="0"/>
        </w:rPr>
        <w:t>(DA s 40)</w:t>
      </w:r>
      <w:bookmarkEnd w:id="103"/>
    </w:p>
    <w:p w:rsidR="00BB6F9A" w:rsidRDefault="00BB6F9A">
      <w:pPr>
        <w:pStyle w:val="Amainreturn"/>
      </w:pPr>
      <w:r>
        <w:t>A defence under this chapter is additional to any other defence available to the defendant and does not limit any other defence.</w:t>
      </w:r>
    </w:p>
    <w:p w:rsidR="00BB6F9A" w:rsidRDefault="00BB6F9A">
      <w:pPr>
        <w:pStyle w:val="AH5Sec"/>
      </w:pPr>
      <w:bookmarkStart w:id="104" w:name="_Toc4661366"/>
      <w:r>
        <w:rPr>
          <w:rStyle w:val="CharSectNo"/>
        </w:rPr>
        <w:t>71</w:t>
      </w:r>
      <w:r>
        <w:tab/>
        <w:t xml:space="preserve">Time not to be extended except by leave </w:t>
      </w:r>
      <w:r>
        <w:rPr>
          <w:b w:val="0"/>
          <w:bCs w:val="0"/>
        </w:rPr>
        <w:t>(DA s 41)</w:t>
      </w:r>
      <w:bookmarkEnd w:id="104"/>
    </w:p>
    <w:p w:rsidR="00BB6F9A" w:rsidRDefault="00BB6F9A">
      <w:pPr>
        <w:pStyle w:val="Amainreturn"/>
      </w:pPr>
      <w:r>
        <w:t>The time for delivering, amending, or filing any pleading or document in an action for defamation in a court may be extended only with the leave of the court.</w:t>
      </w:r>
    </w:p>
    <w:p w:rsidR="00BB6F9A" w:rsidRDefault="00BB6F9A">
      <w:pPr>
        <w:pStyle w:val="AH5Sec"/>
      </w:pPr>
      <w:bookmarkStart w:id="105" w:name="_Toc4661367"/>
      <w:r>
        <w:rPr>
          <w:rStyle w:val="CharSectNo"/>
        </w:rPr>
        <w:t>72</w:t>
      </w:r>
      <w:r>
        <w:tab/>
        <w:t xml:space="preserve">Review of certain provisions of ch 5 </w:t>
      </w:r>
      <w:r>
        <w:rPr>
          <w:b w:val="0"/>
          <w:bCs w:val="0"/>
        </w:rPr>
        <w:t>(DA s 42)</w:t>
      </w:r>
      <w:bookmarkEnd w:id="105"/>
    </w:p>
    <w:p w:rsidR="00BB6F9A" w:rsidRDefault="00BB6F9A">
      <w:pPr>
        <w:pStyle w:val="Amain"/>
      </w:pPr>
      <w:r>
        <w:tab/>
        <w:t>(1)</w:t>
      </w:r>
      <w:r>
        <w:tab/>
        <w:t>The Minister must review the operation of part 5.2 (Resolution of disputes without litigation—defamation) and section 66 (Defence for defamation—defendant not negligent) as soon as practicable after 1 July 2004.</w:t>
      </w:r>
    </w:p>
    <w:p w:rsidR="00BB6F9A" w:rsidRDefault="00BB6F9A">
      <w:pPr>
        <w:pStyle w:val="Amain"/>
      </w:pPr>
      <w:r>
        <w:tab/>
        <w:t>(2)</w:t>
      </w:r>
      <w:r>
        <w:tab/>
        <w:t>The Minister must present to the Legislative Assembly the report of the review within 6 months after the review begins.</w:t>
      </w:r>
    </w:p>
    <w:p w:rsidR="00BB6F9A" w:rsidRDefault="00BB6F9A">
      <w:pPr>
        <w:pStyle w:val="Amain"/>
      </w:pPr>
      <w:r>
        <w:tab/>
        <w:t>(3)</w:t>
      </w:r>
      <w:r>
        <w:tab/>
        <w:t>This section expires on 1 January 2005.</w:t>
      </w:r>
    </w:p>
    <w:p w:rsidR="00BB6F9A" w:rsidRDefault="00BB6F9A">
      <w:pPr>
        <w:pStyle w:val="PageBreak"/>
      </w:pPr>
      <w:r>
        <w:br w:type="page"/>
      </w:r>
    </w:p>
    <w:p w:rsidR="00BB6F9A" w:rsidRDefault="00BB6F9A">
      <w:pPr>
        <w:pStyle w:val="PageBreak"/>
      </w:pPr>
    </w:p>
    <w:p w:rsidR="00BB6F9A" w:rsidRDefault="00BB6F9A">
      <w:pPr>
        <w:pStyle w:val="Placeholder"/>
      </w:pPr>
      <w:r>
        <w:rPr>
          <w:rStyle w:val="CharPartNo"/>
        </w:rPr>
        <w:t xml:space="preserve">  </w:t>
      </w:r>
      <w:r>
        <w:rPr>
          <w:rStyle w:val="CharPartText"/>
        </w:rPr>
        <w:t xml:space="preserve">  </w:t>
      </w:r>
    </w:p>
    <w:p w:rsidR="00BB6F9A" w:rsidRDefault="00BB6F9A">
      <w:pPr>
        <w:pStyle w:val="AH1Chapter"/>
      </w:pPr>
      <w:bookmarkStart w:id="106" w:name="_Toc4661368"/>
      <w:r>
        <w:rPr>
          <w:rStyle w:val="CharChapNo"/>
        </w:rPr>
        <w:t>Chapter 6</w:t>
      </w:r>
      <w:r>
        <w:tab/>
      </w:r>
      <w:r>
        <w:rPr>
          <w:rStyle w:val="CharChapText"/>
        </w:rPr>
        <w:t>Trespass</w:t>
      </w:r>
      <w:bookmarkEnd w:id="106"/>
    </w:p>
    <w:p w:rsidR="00BB6F9A" w:rsidRDefault="00BB6F9A">
      <w:pPr>
        <w:pStyle w:val="AH5Sec"/>
      </w:pPr>
      <w:bookmarkStart w:id="107" w:name="_Toc4661369"/>
      <w:r>
        <w:rPr>
          <w:rStyle w:val="CharSectNo"/>
        </w:rPr>
        <w:t>73</w:t>
      </w:r>
      <w:r>
        <w:tab/>
        <w:t>Defence to action for trespass to land</w:t>
      </w:r>
      <w:bookmarkEnd w:id="107"/>
    </w:p>
    <w:p w:rsidR="00BB6F9A" w:rsidRDefault="00BB6F9A">
      <w:pPr>
        <w:pStyle w:val="Amainreturn"/>
      </w:pPr>
      <w:r>
        <w:t>It is a defence to an action for trespass to land if the defendant establishes that—</w:t>
      </w:r>
    </w:p>
    <w:p w:rsidR="00BB6F9A" w:rsidRDefault="00BB6F9A">
      <w:pPr>
        <w:pStyle w:val="Apara"/>
      </w:pPr>
      <w:r>
        <w:tab/>
        <w:t>(a)</w:t>
      </w:r>
      <w:r>
        <w:tab/>
        <w:t>the defendant does not claim any interest in the land; and</w:t>
      </w:r>
    </w:p>
    <w:p w:rsidR="00BB6F9A" w:rsidRDefault="00BB6F9A">
      <w:pPr>
        <w:pStyle w:val="Apara"/>
      </w:pPr>
      <w:r>
        <w:tab/>
        <w:t>(b)</w:t>
      </w:r>
      <w:r>
        <w:tab/>
        <w:t>the trespass was because of negligence or was not intentional; and</w:t>
      </w:r>
    </w:p>
    <w:p w:rsidR="00BB6F9A" w:rsidRDefault="00BB6F9A">
      <w:pPr>
        <w:pStyle w:val="Apara"/>
        <w:keepNext/>
      </w:pPr>
      <w:r>
        <w:tab/>
        <w:t>(c)</w:t>
      </w:r>
      <w:r>
        <w:tab/>
        <w:t>the defendant made a reasonable offer to make amends to the plaintiff before the action was brought.</w:t>
      </w:r>
    </w:p>
    <w:p w:rsidR="00BB6F9A" w:rsidRDefault="00BB6F9A">
      <w:pPr>
        <w:pStyle w:val="aNote"/>
      </w:pPr>
      <w:r>
        <w:rPr>
          <w:rStyle w:val="charItals"/>
        </w:rPr>
        <w:t>Note</w:t>
      </w:r>
      <w:r>
        <w:rPr>
          <w:rStyle w:val="charItals"/>
        </w:rPr>
        <w:tab/>
      </w:r>
      <w:r>
        <w:t xml:space="preserve">This section is based on the Actions for Trespass Act 1623 21 Jas 1 c 16, s 5 (After judgment or nonsuit in a </w:t>
      </w:r>
      <w:r>
        <w:rPr>
          <w:rStyle w:val="charItals"/>
        </w:rPr>
        <w:t>quare clausum fregit</w:t>
      </w:r>
      <w:r>
        <w:t>, plaintiff barred).</w:t>
      </w:r>
    </w:p>
    <w:p w:rsidR="00BB6F9A" w:rsidRDefault="00BB6F9A">
      <w:pPr>
        <w:pStyle w:val="AH5Sec"/>
      </w:pPr>
      <w:bookmarkStart w:id="108" w:name="_Toc4661370"/>
      <w:r>
        <w:rPr>
          <w:rStyle w:val="CharSectNo"/>
        </w:rPr>
        <w:t>74</w:t>
      </w:r>
      <w:r>
        <w:tab/>
        <w:t xml:space="preserve">Action for use and occupation of land—amount of damages </w:t>
      </w:r>
      <w:r>
        <w:rPr>
          <w:b w:val="0"/>
          <w:bCs w:val="0"/>
        </w:rPr>
        <w:t>(LR(MP)A s 58)</w:t>
      </w:r>
      <w:bookmarkEnd w:id="108"/>
    </w:p>
    <w:p w:rsidR="00BB6F9A" w:rsidRDefault="00BB6F9A">
      <w:pPr>
        <w:pStyle w:val="Amain"/>
      </w:pPr>
      <w:r>
        <w:tab/>
        <w:t>(1)</w:t>
      </w:r>
      <w:r>
        <w:tab/>
        <w:t>This section applies to an action for damages for use and occupation of land.</w:t>
      </w:r>
    </w:p>
    <w:p w:rsidR="00BB6F9A" w:rsidRDefault="00BB6F9A">
      <w:pPr>
        <w:pStyle w:val="Amain"/>
      </w:pPr>
      <w:r>
        <w:tab/>
        <w:t>(2)</w:t>
      </w:r>
      <w:r>
        <w:tab/>
        <w:t>Evidence may be given of a lease of the land (whether by deed, orally or otherwise) and of the rent payable under the lease.</w:t>
      </w:r>
    </w:p>
    <w:p w:rsidR="00BB6F9A" w:rsidRDefault="00BB6F9A">
      <w:pPr>
        <w:pStyle w:val="Amain"/>
      </w:pPr>
      <w:r>
        <w:tab/>
        <w:t>(3)</w:t>
      </w:r>
      <w:r>
        <w:tab/>
        <w:t>The evidence must be received by the court as evidence of the amount of damages for the use and occupation of the land.</w:t>
      </w:r>
    </w:p>
    <w:p w:rsidR="00BB6F9A" w:rsidRDefault="00BB6F9A">
      <w:pPr>
        <w:pStyle w:val="Amain"/>
        <w:keepNext/>
      </w:pPr>
      <w:r>
        <w:tab/>
        <w:t>(4)</w:t>
      </w:r>
      <w:r>
        <w:tab/>
        <w:t>Proof of a lease of the land is not a defence to the action.</w:t>
      </w:r>
    </w:p>
    <w:p w:rsidR="00BB6F9A" w:rsidRDefault="00BB6F9A">
      <w:pPr>
        <w:pStyle w:val="aNote"/>
      </w:pPr>
      <w:r>
        <w:rPr>
          <w:rStyle w:val="charItals"/>
        </w:rPr>
        <w:t>Note</w:t>
      </w:r>
      <w:r>
        <w:rPr>
          <w:rStyle w:val="charItals"/>
        </w:rPr>
        <w:tab/>
      </w:r>
      <w:r>
        <w:t xml:space="preserve">This section is based on the </w:t>
      </w:r>
      <w:r>
        <w:rPr>
          <w:rStyle w:val="charItals"/>
        </w:rPr>
        <w:t>Law Reform (Miscellaneous Provisions) Act 1955</w:t>
      </w:r>
      <w:r>
        <w:t>, division 12.9 which was substituted for 11 Geo. 2 c 19 (1737), s 14.</w:t>
      </w:r>
    </w:p>
    <w:p w:rsidR="00BB6F9A" w:rsidRDefault="00BB6F9A">
      <w:pPr>
        <w:pStyle w:val="PageBreak"/>
      </w:pPr>
      <w:r>
        <w:br w:type="page"/>
      </w:r>
    </w:p>
    <w:p w:rsidR="00BB6F9A" w:rsidRDefault="00BB6F9A">
      <w:pPr>
        <w:pStyle w:val="AH1Chapter"/>
      </w:pPr>
      <w:bookmarkStart w:id="109" w:name="_Toc4661371"/>
      <w:r>
        <w:rPr>
          <w:rStyle w:val="CharChapNo"/>
        </w:rPr>
        <w:lastRenderedPageBreak/>
        <w:t>Chapter 7</w:t>
      </w:r>
      <w:r>
        <w:tab/>
      </w:r>
      <w:r>
        <w:rPr>
          <w:rStyle w:val="CharChapText"/>
        </w:rPr>
        <w:t>Mitigation of strict liability</w:t>
      </w:r>
      <w:bookmarkEnd w:id="109"/>
    </w:p>
    <w:p w:rsidR="00BB6F9A" w:rsidRDefault="00BB6F9A">
      <w:pPr>
        <w:pStyle w:val="AH2PartSymb"/>
      </w:pPr>
      <w:r>
        <w:rPr>
          <w:rStyle w:val="charSymb"/>
        </w:rPr>
        <w:t> </w:t>
      </w:r>
      <w:bookmarkStart w:id="110" w:name="_Toc4661372"/>
      <w:r>
        <w:rPr>
          <w:rStyle w:val="charSymb"/>
        </w:rPr>
        <w:t>U </w:t>
      </w:r>
      <w:r>
        <w:tab/>
      </w:r>
      <w:r>
        <w:rPr>
          <w:rStyle w:val="CharPartNo"/>
        </w:rPr>
        <w:t>Part 7.1</w:t>
      </w:r>
      <w:r>
        <w:rPr>
          <w:i/>
          <w:iCs/>
        </w:rPr>
        <w:tab/>
      </w:r>
      <w:r>
        <w:rPr>
          <w:rStyle w:val="CharPartText"/>
        </w:rPr>
        <w:t>Traveller accommodation providers liability</w:t>
      </w:r>
      <w:bookmarkEnd w:id="110"/>
    </w:p>
    <w:p w:rsidR="00BB6F9A" w:rsidRDefault="00BB6F9A">
      <w:pPr>
        <w:pStyle w:val="AH3DivSymb"/>
      </w:pPr>
      <w:r>
        <w:rPr>
          <w:rStyle w:val="charSymb"/>
        </w:rPr>
        <w:t> </w:t>
      </w:r>
      <w:bookmarkStart w:id="111" w:name="_Toc4661373"/>
      <w:r>
        <w:rPr>
          <w:rStyle w:val="charSymb"/>
        </w:rPr>
        <w:t>U </w:t>
      </w:r>
      <w:r>
        <w:tab/>
      </w:r>
      <w:r>
        <w:rPr>
          <w:rStyle w:val="CharDivNo"/>
        </w:rPr>
        <w:t>Division 7.1.1</w:t>
      </w:r>
      <w:r>
        <w:rPr>
          <w:i/>
          <w:iCs/>
        </w:rPr>
        <w:tab/>
      </w:r>
      <w:r>
        <w:rPr>
          <w:rStyle w:val="CharDivText"/>
        </w:rPr>
        <w:t>Preliminary</w:t>
      </w:r>
      <w:bookmarkEnd w:id="111"/>
    </w:p>
    <w:p w:rsidR="00BB6F9A" w:rsidRDefault="00BB6F9A">
      <w:pPr>
        <w:pStyle w:val="AH5SecSymb"/>
      </w:pPr>
      <w:r>
        <w:rPr>
          <w:rStyle w:val="charSymb"/>
        </w:rPr>
        <w:t> </w:t>
      </w:r>
      <w:bookmarkStart w:id="112" w:name="_Toc4661374"/>
      <w:r>
        <w:rPr>
          <w:rStyle w:val="charSymb"/>
        </w:rPr>
        <w:t>U </w:t>
      </w:r>
      <w:r>
        <w:tab/>
      </w:r>
      <w:r>
        <w:rPr>
          <w:rStyle w:val="CharSectNo"/>
        </w:rPr>
        <w:t>75</w:t>
      </w:r>
      <w:r>
        <w:rPr>
          <w:i/>
          <w:iCs/>
          <w:snapToGrid w:val="0"/>
        </w:rPr>
        <w:tab/>
        <w:t>Purpose of pt 7.1</w:t>
      </w:r>
      <w:bookmarkEnd w:id="112"/>
    </w:p>
    <w:p w:rsidR="00BB6F9A" w:rsidRDefault="00BB6F9A">
      <w:pPr>
        <w:pStyle w:val="Amainreturn"/>
        <w:rPr>
          <w:snapToGrid w:val="0"/>
        </w:rPr>
      </w:pPr>
      <w:r>
        <w:rPr>
          <w:i/>
          <w:iCs/>
          <w:snapToGrid w:val="0"/>
        </w:rPr>
        <w:t>The purpose of this part is to mitigate some of the harsh consequences of innkeeper’s liability at common law.</w:t>
      </w:r>
    </w:p>
    <w:p w:rsidR="00BB6F9A" w:rsidRDefault="00BB6F9A">
      <w:pPr>
        <w:pStyle w:val="AH5SecSymb"/>
        <w:rPr>
          <w:i/>
          <w:iCs/>
          <w:snapToGrid w:val="0"/>
        </w:rPr>
      </w:pPr>
      <w:r>
        <w:rPr>
          <w:rStyle w:val="charSymb"/>
        </w:rPr>
        <w:t> </w:t>
      </w:r>
      <w:bookmarkStart w:id="113" w:name="_Toc4661375"/>
      <w:r>
        <w:rPr>
          <w:rStyle w:val="charSymb"/>
        </w:rPr>
        <w:t>U </w:t>
      </w:r>
      <w:r>
        <w:tab/>
      </w:r>
      <w:r>
        <w:rPr>
          <w:rStyle w:val="CharSectNo"/>
        </w:rPr>
        <w:t>76</w:t>
      </w:r>
      <w:r>
        <w:rPr>
          <w:i/>
          <w:iCs/>
          <w:snapToGrid w:val="0"/>
        </w:rPr>
        <w:tab/>
      </w:r>
      <w:r>
        <w:rPr>
          <w:rStyle w:val="charItals"/>
        </w:rPr>
        <w:t>Definitions for pt 7.1</w:t>
      </w:r>
      <w:bookmarkEnd w:id="113"/>
    </w:p>
    <w:p w:rsidR="00BB6F9A" w:rsidRDefault="00BB6F9A">
      <w:pPr>
        <w:pStyle w:val="Amainreturn"/>
        <w:keepNext/>
        <w:rPr>
          <w:i/>
          <w:iCs/>
        </w:rPr>
      </w:pPr>
      <w:r>
        <w:rPr>
          <w:i/>
          <w:iCs/>
        </w:rPr>
        <w:t>In this part:</w:t>
      </w:r>
    </w:p>
    <w:p w:rsidR="00BB6F9A" w:rsidRDefault="00BB6F9A">
      <w:pPr>
        <w:pStyle w:val="aDef"/>
        <w:rPr>
          <w:rFonts w:ascii="Times-Roman" w:hAnsi="Times-Roman" w:cs="Times-Roman"/>
          <w:i/>
          <w:iCs/>
          <w:snapToGrid w:val="0"/>
        </w:rPr>
      </w:pPr>
      <w:r>
        <w:rPr>
          <w:rStyle w:val="charBoldItals"/>
        </w:rPr>
        <w:t>accommodation unit</w:t>
      </w:r>
      <w:r>
        <w:rPr>
          <w:rFonts w:ascii="Times-Bold" w:hAnsi="Times-Bold" w:cs="Times-Bold"/>
          <w:b/>
          <w:bCs/>
          <w:i/>
          <w:iCs/>
          <w:snapToGrid w:val="0"/>
        </w:rPr>
        <w:t xml:space="preserve"> </w:t>
      </w:r>
      <w:r>
        <w:rPr>
          <w:i/>
          <w:iCs/>
          <w:snapToGrid w:val="0"/>
        </w:rPr>
        <w:t>means an area of traveller accommodation that is designed to be used by a guest of the accommodation provider for sleeping</w:t>
      </w:r>
      <w:r>
        <w:rPr>
          <w:rFonts w:ascii="Times-Roman" w:hAnsi="Times-Roman" w:cs="Times-Roman"/>
          <w:i/>
          <w:iCs/>
          <w:snapToGrid w:val="0"/>
        </w:rPr>
        <w:t>.</w:t>
      </w:r>
    </w:p>
    <w:p w:rsidR="00BB6F9A" w:rsidRDefault="00BB6F9A">
      <w:pPr>
        <w:pStyle w:val="aDef"/>
        <w:keepNext/>
        <w:rPr>
          <w:i/>
          <w:iCs/>
          <w:snapToGrid w:val="0"/>
        </w:rPr>
      </w:pPr>
      <w:r>
        <w:rPr>
          <w:rStyle w:val="charBoldItals"/>
        </w:rPr>
        <w:t>agent</w:t>
      </w:r>
      <w:r>
        <w:rPr>
          <w:i/>
          <w:iCs/>
          <w:snapToGrid w:val="0"/>
        </w:rPr>
        <w:t>, of an accommodation provider, includes—</w:t>
      </w:r>
    </w:p>
    <w:p w:rsidR="00BB6F9A" w:rsidRDefault="00BB6F9A">
      <w:pPr>
        <w:pStyle w:val="aDefpara"/>
        <w:rPr>
          <w:i/>
          <w:iCs/>
          <w:snapToGrid w:val="0"/>
        </w:rPr>
      </w:pPr>
      <w:r>
        <w:rPr>
          <w:i/>
          <w:iCs/>
          <w:snapToGrid w:val="0"/>
        </w:rPr>
        <w:tab/>
        <w:t>(a)</w:t>
      </w:r>
      <w:r>
        <w:rPr>
          <w:i/>
          <w:iCs/>
          <w:snapToGrid w:val="0"/>
        </w:rPr>
        <w:tab/>
        <w:t>an employee of the accommodation provider; and</w:t>
      </w:r>
    </w:p>
    <w:p w:rsidR="00BB6F9A" w:rsidRDefault="00BB6F9A">
      <w:pPr>
        <w:pStyle w:val="aDefpara"/>
        <w:rPr>
          <w:i/>
          <w:iCs/>
          <w:snapToGrid w:val="0"/>
        </w:rPr>
      </w:pPr>
      <w:r>
        <w:rPr>
          <w:i/>
          <w:iCs/>
          <w:snapToGrid w:val="0"/>
        </w:rPr>
        <w:tab/>
        <w:t>(b)</w:t>
      </w:r>
      <w:r>
        <w:rPr>
          <w:i/>
          <w:iCs/>
          <w:snapToGrid w:val="0"/>
        </w:rPr>
        <w:tab/>
        <w:t>an apparent agent or employee of the accommodation provider.</w:t>
      </w:r>
    </w:p>
    <w:p w:rsidR="00BB6F9A" w:rsidRDefault="00BB6F9A">
      <w:pPr>
        <w:pStyle w:val="aDef"/>
        <w:rPr>
          <w:i/>
          <w:iCs/>
          <w:snapToGrid w:val="0"/>
        </w:rPr>
      </w:pPr>
      <w:r>
        <w:rPr>
          <w:rStyle w:val="charBoldItals"/>
        </w:rPr>
        <w:t>fault</w:t>
      </w:r>
      <w:r>
        <w:rPr>
          <w:rFonts w:ascii="Times-Bold" w:hAnsi="Times-Bold" w:cs="Times-Bold"/>
          <w:b/>
          <w:bCs/>
          <w:i/>
          <w:iCs/>
          <w:snapToGrid w:val="0"/>
        </w:rPr>
        <w:t xml:space="preserve"> </w:t>
      </w:r>
      <w:r>
        <w:rPr>
          <w:i/>
          <w:iCs/>
          <w:snapToGrid w:val="0"/>
        </w:rPr>
        <w:t>means negligence or another act or omission giving rise to a liability.</w:t>
      </w:r>
    </w:p>
    <w:p w:rsidR="00BB6F9A" w:rsidRDefault="00BB6F9A">
      <w:pPr>
        <w:pStyle w:val="aDef"/>
        <w:rPr>
          <w:i/>
          <w:iCs/>
          <w:snapToGrid w:val="0"/>
        </w:rPr>
      </w:pPr>
      <w:r>
        <w:rPr>
          <w:rStyle w:val="charBoldItals"/>
        </w:rPr>
        <w:t>limitation amount</w:t>
      </w:r>
      <w:r>
        <w:rPr>
          <w:i/>
          <w:iCs/>
          <w:snapToGrid w:val="0"/>
        </w:rPr>
        <w:t xml:space="preserve"> means the amount prescribed under the regulations.</w:t>
      </w:r>
    </w:p>
    <w:p w:rsidR="00BB6F9A" w:rsidRDefault="00BB6F9A">
      <w:pPr>
        <w:pStyle w:val="aDef"/>
        <w:rPr>
          <w:i/>
          <w:iCs/>
          <w:snapToGrid w:val="0"/>
        </w:rPr>
      </w:pPr>
      <w:r>
        <w:rPr>
          <w:rStyle w:val="charBoldItals"/>
        </w:rPr>
        <w:t>loss</w:t>
      </w:r>
      <w:r>
        <w:rPr>
          <w:i/>
          <w:iCs/>
          <w:snapToGrid w:val="0"/>
        </w:rPr>
        <w:t>, of property, includes damage to, or destruction of, the property.</w:t>
      </w:r>
    </w:p>
    <w:p w:rsidR="00BB6F9A" w:rsidRDefault="00BB6F9A">
      <w:pPr>
        <w:pStyle w:val="aDef"/>
        <w:rPr>
          <w:i/>
          <w:iCs/>
          <w:snapToGrid w:val="0"/>
        </w:rPr>
      </w:pPr>
      <w:r>
        <w:rPr>
          <w:rStyle w:val="charBoldItals"/>
        </w:rPr>
        <w:t>motor vehicle</w:t>
      </w:r>
      <w:r>
        <w:rPr>
          <w:rFonts w:ascii="Times-Bold" w:hAnsi="Times-Bold" w:cs="Times-Bold"/>
          <w:b/>
          <w:bCs/>
          <w:i/>
          <w:iCs/>
          <w:snapToGrid w:val="0"/>
        </w:rPr>
        <w:t xml:space="preserve"> </w:t>
      </w:r>
      <w:r>
        <w:rPr>
          <w:i/>
          <w:iCs/>
          <w:snapToGrid w:val="0"/>
        </w:rPr>
        <w:t>includes a boat, caravan and trailer attached to a motor vehicle.</w:t>
      </w:r>
    </w:p>
    <w:p w:rsidR="00BB6F9A" w:rsidRDefault="00BB6F9A">
      <w:pPr>
        <w:pStyle w:val="aDef"/>
        <w:rPr>
          <w:i/>
          <w:iCs/>
          <w:snapToGrid w:val="0"/>
        </w:rPr>
      </w:pPr>
      <w:r>
        <w:rPr>
          <w:rStyle w:val="charBoldItals"/>
        </w:rPr>
        <w:t>provide</w:t>
      </w:r>
      <w:r>
        <w:rPr>
          <w:i/>
          <w:iCs/>
          <w:snapToGrid w:val="0"/>
        </w:rPr>
        <w:t xml:space="preserve"> traveller accommodation includes offering to provide the traveller accommodation.</w:t>
      </w:r>
    </w:p>
    <w:p w:rsidR="00BB6F9A" w:rsidRDefault="00BB6F9A">
      <w:pPr>
        <w:pStyle w:val="aDef"/>
        <w:rPr>
          <w:snapToGrid w:val="0"/>
        </w:rPr>
      </w:pPr>
      <w:r>
        <w:rPr>
          <w:rStyle w:val="charBoldItals"/>
        </w:rPr>
        <w:lastRenderedPageBreak/>
        <w:t>safe custody facilities</w:t>
      </w:r>
      <w:r>
        <w:rPr>
          <w:i/>
          <w:iCs/>
          <w:snapToGrid w:val="0"/>
        </w:rPr>
        <w:t>—see section 85 (1).</w:t>
      </w:r>
      <w:r>
        <w:rPr>
          <w:snapToGrid w:val="0"/>
        </w:rPr>
        <w:t xml:space="preserve"> </w:t>
      </w:r>
    </w:p>
    <w:p w:rsidR="00BB6F9A" w:rsidRDefault="00BB6F9A">
      <w:pPr>
        <w:pStyle w:val="AH5SecSymb"/>
        <w:rPr>
          <w:rStyle w:val="charItals"/>
        </w:rPr>
      </w:pPr>
      <w:r>
        <w:rPr>
          <w:rStyle w:val="charSymb"/>
        </w:rPr>
        <w:t> </w:t>
      </w:r>
      <w:bookmarkStart w:id="114" w:name="_Toc4661376"/>
      <w:r>
        <w:rPr>
          <w:rStyle w:val="charSymb"/>
        </w:rPr>
        <w:t>U </w:t>
      </w:r>
      <w:r>
        <w:tab/>
      </w:r>
      <w:r>
        <w:rPr>
          <w:rStyle w:val="CharSectNo"/>
        </w:rPr>
        <w:t>77</w:t>
      </w:r>
      <w:r>
        <w:rPr>
          <w:i/>
          <w:iCs/>
          <w:snapToGrid w:val="0"/>
        </w:rPr>
        <w:tab/>
        <w:t xml:space="preserve">Meaning of </w:t>
      </w:r>
      <w:r>
        <w:rPr>
          <w:rStyle w:val="charItals"/>
        </w:rPr>
        <w:t>traveller accommodation</w:t>
      </w:r>
      <w:bookmarkEnd w:id="114"/>
    </w:p>
    <w:p w:rsidR="00BB6F9A" w:rsidRDefault="00BB6F9A">
      <w:pPr>
        <w:pStyle w:val="Amain"/>
        <w:rPr>
          <w:i/>
          <w:iCs/>
        </w:rPr>
      </w:pPr>
      <w:r>
        <w:rPr>
          <w:i/>
          <w:iCs/>
        </w:rPr>
        <w:tab/>
        <w:t>(1)</w:t>
      </w:r>
      <w:r>
        <w:rPr>
          <w:i/>
          <w:iCs/>
        </w:rPr>
        <w:tab/>
      </w:r>
      <w:r>
        <w:rPr>
          <w:rStyle w:val="charBoldItals"/>
        </w:rPr>
        <w:t>Traveller accommodation</w:t>
      </w:r>
      <w:r>
        <w:rPr>
          <w:i/>
          <w:iCs/>
        </w:rPr>
        <w:t xml:space="preserve"> is accommodation provided for use by members of the travelling public as part of a commercial transaction.</w:t>
      </w:r>
    </w:p>
    <w:p w:rsidR="00BB6F9A" w:rsidRDefault="00BB6F9A">
      <w:pPr>
        <w:pStyle w:val="Amain"/>
        <w:keepNext/>
        <w:rPr>
          <w:i/>
          <w:iCs/>
        </w:rPr>
      </w:pPr>
      <w:r>
        <w:rPr>
          <w:i/>
          <w:iCs/>
        </w:rPr>
        <w:tab/>
        <w:t>(2)</w:t>
      </w:r>
      <w:r>
        <w:rPr>
          <w:i/>
          <w:iCs/>
        </w:rPr>
        <w:tab/>
      </w:r>
      <w:r>
        <w:rPr>
          <w:i/>
          <w:iCs/>
          <w:snapToGrid w:val="0"/>
        </w:rPr>
        <w:t xml:space="preserve">Without limiting subsection (1), traveller accommodation includes </w:t>
      </w:r>
      <w:r>
        <w:rPr>
          <w:i/>
          <w:iCs/>
        </w:rPr>
        <w:t>the following types of accommodation:</w:t>
      </w:r>
    </w:p>
    <w:p w:rsidR="00BB6F9A" w:rsidRDefault="00BB6F9A">
      <w:pPr>
        <w:pStyle w:val="Apara"/>
        <w:rPr>
          <w:i/>
          <w:iCs/>
          <w:snapToGrid w:val="0"/>
        </w:rPr>
      </w:pPr>
      <w:r>
        <w:rPr>
          <w:i/>
          <w:iCs/>
          <w:snapToGrid w:val="0"/>
        </w:rPr>
        <w:tab/>
        <w:t>(a)</w:t>
      </w:r>
      <w:r>
        <w:rPr>
          <w:i/>
          <w:iCs/>
          <w:snapToGrid w:val="0"/>
        </w:rPr>
        <w:tab/>
        <w:t xml:space="preserve">backpacker; </w:t>
      </w:r>
    </w:p>
    <w:p w:rsidR="00BB6F9A" w:rsidRDefault="00BB6F9A">
      <w:pPr>
        <w:pStyle w:val="Apara"/>
        <w:rPr>
          <w:i/>
          <w:iCs/>
          <w:snapToGrid w:val="0"/>
        </w:rPr>
      </w:pPr>
      <w:r>
        <w:rPr>
          <w:i/>
          <w:iCs/>
          <w:snapToGrid w:val="0"/>
        </w:rPr>
        <w:tab/>
        <w:t>(b)</w:t>
      </w:r>
      <w:r>
        <w:rPr>
          <w:i/>
          <w:iCs/>
          <w:snapToGrid w:val="0"/>
        </w:rPr>
        <w:tab/>
        <w:t xml:space="preserve">bed and breakfast; </w:t>
      </w:r>
    </w:p>
    <w:p w:rsidR="00BB6F9A" w:rsidRDefault="00BB6F9A">
      <w:pPr>
        <w:pStyle w:val="Apara"/>
        <w:rPr>
          <w:i/>
          <w:iCs/>
          <w:snapToGrid w:val="0"/>
        </w:rPr>
      </w:pPr>
      <w:r>
        <w:rPr>
          <w:i/>
          <w:iCs/>
          <w:snapToGrid w:val="0"/>
        </w:rPr>
        <w:tab/>
        <w:t>(c)</w:t>
      </w:r>
      <w:r>
        <w:rPr>
          <w:i/>
          <w:iCs/>
          <w:snapToGrid w:val="0"/>
        </w:rPr>
        <w:tab/>
        <w:t xml:space="preserve">hotel; </w:t>
      </w:r>
    </w:p>
    <w:p w:rsidR="00BB6F9A" w:rsidRDefault="00BB6F9A">
      <w:pPr>
        <w:pStyle w:val="Apara"/>
        <w:rPr>
          <w:i/>
          <w:iCs/>
          <w:snapToGrid w:val="0"/>
        </w:rPr>
      </w:pPr>
      <w:r>
        <w:rPr>
          <w:i/>
          <w:iCs/>
          <w:snapToGrid w:val="0"/>
        </w:rPr>
        <w:tab/>
        <w:t>(d)</w:t>
      </w:r>
      <w:r>
        <w:rPr>
          <w:i/>
          <w:iCs/>
          <w:snapToGrid w:val="0"/>
        </w:rPr>
        <w:tab/>
        <w:t xml:space="preserve">motel; </w:t>
      </w:r>
    </w:p>
    <w:p w:rsidR="00BB6F9A" w:rsidRDefault="00BB6F9A">
      <w:pPr>
        <w:pStyle w:val="Apara"/>
        <w:rPr>
          <w:i/>
          <w:iCs/>
          <w:snapToGrid w:val="0"/>
        </w:rPr>
      </w:pPr>
      <w:r>
        <w:rPr>
          <w:i/>
          <w:iCs/>
          <w:snapToGrid w:val="0"/>
        </w:rPr>
        <w:tab/>
        <w:t>(e)</w:t>
      </w:r>
      <w:r>
        <w:rPr>
          <w:i/>
          <w:iCs/>
          <w:snapToGrid w:val="0"/>
        </w:rPr>
        <w:tab/>
        <w:t>resort;</w:t>
      </w:r>
    </w:p>
    <w:p w:rsidR="00BB6F9A" w:rsidRDefault="00BB6F9A">
      <w:pPr>
        <w:pStyle w:val="Apara"/>
        <w:rPr>
          <w:i/>
          <w:iCs/>
          <w:snapToGrid w:val="0"/>
        </w:rPr>
      </w:pPr>
      <w:r>
        <w:rPr>
          <w:i/>
          <w:iCs/>
          <w:snapToGrid w:val="0"/>
        </w:rPr>
        <w:tab/>
        <w:t>(f)</w:t>
      </w:r>
      <w:r>
        <w:rPr>
          <w:i/>
          <w:iCs/>
          <w:snapToGrid w:val="0"/>
        </w:rPr>
        <w:tab/>
        <w:t>serviced apartment.</w:t>
      </w:r>
    </w:p>
    <w:p w:rsidR="00BB6F9A" w:rsidRDefault="00BB6F9A">
      <w:pPr>
        <w:pStyle w:val="Amain"/>
        <w:keepNext/>
        <w:rPr>
          <w:i/>
          <w:iCs/>
          <w:snapToGrid w:val="0"/>
        </w:rPr>
      </w:pPr>
      <w:r>
        <w:rPr>
          <w:i/>
          <w:iCs/>
          <w:snapToGrid w:val="0"/>
        </w:rPr>
        <w:tab/>
        <w:t>(3)</w:t>
      </w:r>
      <w:r>
        <w:rPr>
          <w:i/>
          <w:iCs/>
          <w:snapToGrid w:val="0"/>
        </w:rPr>
        <w:tab/>
        <w:t>Accommodation is traveller accommodation even if the accommodation is provided without charge as long as the accommodation is provided as part of a commercial transaction.</w:t>
      </w:r>
    </w:p>
    <w:p w:rsidR="00BB6F9A" w:rsidRDefault="00BB6F9A">
      <w:pPr>
        <w:pStyle w:val="aExamHead"/>
        <w:rPr>
          <w:i/>
          <w:iCs/>
          <w:snapToGrid w:val="0"/>
        </w:rPr>
      </w:pPr>
      <w:r>
        <w:rPr>
          <w:i/>
          <w:iCs/>
          <w:snapToGrid w:val="0"/>
        </w:rPr>
        <w:t>Examples of accommodation supplied as part of commercial transaction</w:t>
      </w:r>
    </w:p>
    <w:p w:rsidR="00BB6F9A" w:rsidRDefault="00BB6F9A">
      <w:pPr>
        <w:pStyle w:val="aExamNum"/>
        <w:rPr>
          <w:i/>
          <w:iCs/>
          <w:snapToGrid w:val="0"/>
        </w:rPr>
      </w:pPr>
      <w:r>
        <w:rPr>
          <w:i/>
          <w:iCs/>
          <w:snapToGrid w:val="0"/>
        </w:rPr>
        <w:t>1</w:t>
      </w:r>
      <w:r>
        <w:rPr>
          <w:i/>
          <w:iCs/>
          <w:snapToGrid w:val="0"/>
        </w:rPr>
        <w:tab/>
        <w:t>resort holidays supplied to purchasers of electrical goods from retail outlets</w:t>
      </w:r>
    </w:p>
    <w:p w:rsidR="00BB6F9A" w:rsidRDefault="00BB6F9A">
      <w:pPr>
        <w:pStyle w:val="aExamNum"/>
        <w:keepNext/>
        <w:rPr>
          <w:i/>
          <w:iCs/>
          <w:snapToGrid w:val="0"/>
        </w:rPr>
      </w:pPr>
      <w:r>
        <w:rPr>
          <w:i/>
          <w:iCs/>
          <w:snapToGrid w:val="0"/>
        </w:rPr>
        <w:t>2</w:t>
      </w:r>
      <w:r>
        <w:rPr>
          <w:i/>
          <w:iCs/>
          <w:snapToGrid w:val="0"/>
        </w:rPr>
        <w:tab/>
        <w:t>accommodation supplied to members of the travel industry or the public generally for promoting the accommodation</w:t>
      </w:r>
    </w:p>
    <w:p w:rsidR="00BB6F9A" w:rsidRDefault="00BB6F9A">
      <w:pPr>
        <w:pStyle w:val="aNote"/>
        <w:rPr>
          <w:i/>
          <w:iCs/>
          <w:snapToGrid w:val="0"/>
        </w:rPr>
      </w:pPr>
      <w:r>
        <w:rPr>
          <w:rStyle w:val="charItals"/>
        </w:rPr>
        <w:t>Note</w:t>
      </w:r>
      <w:r>
        <w:rPr>
          <w:i/>
          <w:iCs/>
        </w:rPr>
        <w:tab/>
        <w:t xml:space="preserve">An example is part of the Act, is not exhaustive and may extend, but does not limit, the meaning of the provision in which it appears (see </w:t>
      </w:r>
      <w:r>
        <w:rPr>
          <w:rStyle w:val="charItals"/>
        </w:rPr>
        <w:t>Legislation Act 2001</w:t>
      </w:r>
      <w:r>
        <w:rPr>
          <w:i/>
          <w:iCs/>
        </w:rPr>
        <w:t>, s 126 and s 132).</w:t>
      </w:r>
    </w:p>
    <w:p w:rsidR="00BB6F9A" w:rsidRDefault="00BB6F9A">
      <w:pPr>
        <w:pStyle w:val="Amain"/>
        <w:rPr>
          <w:i/>
          <w:iCs/>
          <w:snapToGrid w:val="0"/>
        </w:rPr>
      </w:pPr>
      <w:r>
        <w:rPr>
          <w:i/>
          <w:iCs/>
          <w:snapToGrid w:val="0"/>
        </w:rPr>
        <w:tab/>
        <w:t>(4)</w:t>
      </w:r>
      <w:r>
        <w:rPr>
          <w:i/>
          <w:iCs/>
          <w:snapToGrid w:val="0"/>
        </w:rPr>
        <w:tab/>
        <w:t>Despite subsections (1) to (3)—</w:t>
      </w:r>
    </w:p>
    <w:p w:rsidR="00BB6F9A" w:rsidRDefault="00BB6F9A">
      <w:pPr>
        <w:pStyle w:val="Apara"/>
        <w:rPr>
          <w:i/>
          <w:iCs/>
          <w:snapToGrid w:val="0"/>
        </w:rPr>
      </w:pPr>
      <w:r>
        <w:rPr>
          <w:i/>
          <w:iCs/>
          <w:snapToGrid w:val="0"/>
        </w:rPr>
        <w:tab/>
        <w:t>(a)</w:t>
      </w:r>
      <w:r>
        <w:rPr>
          <w:i/>
          <w:iCs/>
          <w:snapToGrid w:val="0"/>
        </w:rPr>
        <w:tab/>
        <w:t>accommodation is traveller accommodation only if it includes an accommodation unit; and</w:t>
      </w:r>
    </w:p>
    <w:p w:rsidR="00BB6F9A" w:rsidRDefault="00BB6F9A">
      <w:pPr>
        <w:pStyle w:val="Apara"/>
        <w:rPr>
          <w:snapToGrid w:val="0"/>
        </w:rPr>
      </w:pPr>
      <w:r>
        <w:rPr>
          <w:i/>
          <w:iCs/>
          <w:snapToGrid w:val="0"/>
        </w:rPr>
        <w:tab/>
        <w:t>(b)</w:t>
      </w:r>
      <w:r>
        <w:rPr>
          <w:i/>
          <w:iCs/>
          <w:snapToGrid w:val="0"/>
        </w:rPr>
        <w:tab/>
        <w:t>accommodation in or on something, that is a means of transport, is not traveller accommodation if the particular thing is being used, or is ordinarily used, for transport.</w:t>
      </w:r>
    </w:p>
    <w:p w:rsidR="00BB6F9A" w:rsidRDefault="00BB6F9A">
      <w:pPr>
        <w:pStyle w:val="AH5SecSymb"/>
        <w:rPr>
          <w:i/>
          <w:iCs/>
          <w:snapToGrid w:val="0"/>
        </w:rPr>
      </w:pPr>
      <w:r>
        <w:rPr>
          <w:rStyle w:val="charSymb"/>
        </w:rPr>
        <w:lastRenderedPageBreak/>
        <w:t> </w:t>
      </w:r>
      <w:bookmarkStart w:id="115" w:name="_Toc4661377"/>
      <w:r>
        <w:rPr>
          <w:rStyle w:val="charSymb"/>
        </w:rPr>
        <w:t>U </w:t>
      </w:r>
      <w:r>
        <w:tab/>
      </w:r>
      <w:r>
        <w:rPr>
          <w:rStyle w:val="CharSectNo"/>
        </w:rPr>
        <w:t>78</w:t>
      </w:r>
      <w:r>
        <w:rPr>
          <w:i/>
          <w:iCs/>
          <w:snapToGrid w:val="0"/>
        </w:rPr>
        <w:tab/>
        <w:t xml:space="preserve">Meaning of </w:t>
      </w:r>
      <w:r>
        <w:rPr>
          <w:rStyle w:val="charItals"/>
        </w:rPr>
        <w:t>accommodation provider</w:t>
      </w:r>
      <w:bookmarkEnd w:id="115"/>
    </w:p>
    <w:p w:rsidR="00BB6F9A" w:rsidRDefault="00BB6F9A">
      <w:pPr>
        <w:pStyle w:val="Amain"/>
        <w:rPr>
          <w:i/>
          <w:iCs/>
          <w:snapToGrid w:val="0"/>
        </w:rPr>
      </w:pPr>
      <w:r>
        <w:rPr>
          <w:i/>
          <w:iCs/>
          <w:snapToGrid w:val="0"/>
        </w:rPr>
        <w:tab/>
        <w:t>(1)</w:t>
      </w:r>
      <w:r>
        <w:rPr>
          <w:i/>
          <w:iCs/>
          <w:snapToGrid w:val="0"/>
        </w:rPr>
        <w:tab/>
        <w:t xml:space="preserve">An </w:t>
      </w:r>
      <w:r>
        <w:rPr>
          <w:rStyle w:val="charBoldItals"/>
        </w:rPr>
        <w:t>accommodation provider</w:t>
      </w:r>
      <w:r>
        <w:rPr>
          <w:b/>
          <w:bCs/>
          <w:i/>
          <w:iCs/>
          <w:snapToGrid w:val="0"/>
        </w:rPr>
        <w:t xml:space="preserve"> </w:t>
      </w:r>
      <w:r>
        <w:rPr>
          <w:i/>
          <w:iCs/>
          <w:snapToGrid w:val="0"/>
        </w:rPr>
        <w:t>is the person who operates a business that includes providing traveller accommodation.</w:t>
      </w:r>
    </w:p>
    <w:p w:rsidR="00BB6F9A" w:rsidRDefault="00BB6F9A">
      <w:pPr>
        <w:pStyle w:val="Amain"/>
        <w:keepNext/>
        <w:rPr>
          <w:i/>
          <w:iCs/>
          <w:snapToGrid w:val="0"/>
        </w:rPr>
      </w:pPr>
      <w:r>
        <w:rPr>
          <w:i/>
          <w:iCs/>
          <w:snapToGrid w:val="0"/>
        </w:rPr>
        <w:tab/>
        <w:t>(2)</w:t>
      </w:r>
      <w:r>
        <w:rPr>
          <w:i/>
          <w:iCs/>
          <w:snapToGrid w:val="0"/>
        </w:rPr>
        <w:tab/>
        <w:t>To remove any doubt, the owner of traveller accommodation is not necessarily the accommodation provider.</w:t>
      </w:r>
    </w:p>
    <w:p w:rsidR="00BB6F9A" w:rsidRDefault="00BB6F9A">
      <w:pPr>
        <w:pStyle w:val="aExamHead"/>
        <w:rPr>
          <w:i/>
          <w:iCs/>
          <w:snapToGrid w:val="0"/>
        </w:rPr>
      </w:pPr>
      <w:r>
        <w:rPr>
          <w:i/>
          <w:iCs/>
          <w:snapToGrid w:val="0"/>
        </w:rPr>
        <w:t>Example of accommodation provider</w:t>
      </w:r>
    </w:p>
    <w:p w:rsidR="00BB6F9A" w:rsidRDefault="00BB6F9A">
      <w:pPr>
        <w:pStyle w:val="aExam"/>
        <w:keepNext/>
        <w:rPr>
          <w:rFonts w:ascii="Times-Roman" w:hAnsi="Times-Roman" w:cs="Times-Roman"/>
          <w:i/>
          <w:iCs/>
          <w:snapToGrid w:val="0"/>
        </w:rPr>
      </w:pPr>
      <w:r>
        <w:rPr>
          <w:i/>
          <w:iCs/>
          <w:snapToGrid w:val="0"/>
        </w:rPr>
        <w:t xml:space="preserve">The letting agent for, or the manager of, serviced apartments is the accommodation </w:t>
      </w:r>
      <w:r>
        <w:rPr>
          <w:rFonts w:ascii="Times-Roman" w:hAnsi="Times-Roman" w:cs="Times-Roman"/>
          <w:i/>
          <w:iCs/>
          <w:snapToGrid w:val="0"/>
        </w:rPr>
        <w:t>provider and not the owner of the apartments.</w:t>
      </w:r>
    </w:p>
    <w:p w:rsidR="00BB6F9A" w:rsidRDefault="00BB6F9A">
      <w:pPr>
        <w:pStyle w:val="aNote"/>
        <w:rPr>
          <w:snapToGrid w:val="0"/>
        </w:rPr>
      </w:pPr>
      <w:r>
        <w:rPr>
          <w:rStyle w:val="charItals"/>
        </w:rPr>
        <w:t>Note</w:t>
      </w:r>
      <w:r>
        <w:rPr>
          <w:i/>
          <w:iCs/>
        </w:rPr>
        <w:tab/>
        <w:t xml:space="preserve">An example is part of the Act, is not exhaustive and may extend, but does not limit, the meaning of the provision in which it appears (see </w:t>
      </w:r>
      <w:r>
        <w:rPr>
          <w:rStyle w:val="charItals"/>
        </w:rPr>
        <w:t>Legislation Act 2001</w:t>
      </w:r>
      <w:r>
        <w:rPr>
          <w:i/>
          <w:iCs/>
        </w:rPr>
        <w:t>, s 126 and s 132).</w:t>
      </w:r>
    </w:p>
    <w:p w:rsidR="00BB6F9A" w:rsidRDefault="00BB6F9A">
      <w:pPr>
        <w:pStyle w:val="AH5SecSymb"/>
        <w:rPr>
          <w:rStyle w:val="charItals"/>
          <w:i w:val="0"/>
          <w:iCs w:val="0"/>
        </w:rPr>
      </w:pPr>
      <w:r>
        <w:rPr>
          <w:rStyle w:val="charSymb"/>
        </w:rPr>
        <w:t> </w:t>
      </w:r>
      <w:bookmarkStart w:id="116" w:name="_Toc4661378"/>
      <w:r>
        <w:rPr>
          <w:rStyle w:val="charSymb"/>
        </w:rPr>
        <w:t>U </w:t>
      </w:r>
      <w:r>
        <w:tab/>
      </w:r>
      <w:r>
        <w:rPr>
          <w:rStyle w:val="CharSectNo"/>
        </w:rPr>
        <w:t>79</w:t>
      </w:r>
      <w:r>
        <w:rPr>
          <w:i/>
          <w:iCs/>
          <w:snapToGrid w:val="0"/>
        </w:rPr>
        <w:tab/>
        <w:t xml:space="preserve">Meaning of </w:t>
      </w:r>
      <w:r>
        <w:rPr>
          <w:rStyle w:val="charItals"/>
        </w:rPr>
        <w:t>innkeeper’s liability</w:t>
      </w:r>
      <w:bookmarkEnd w:id="116"/>
    </w:p>
    <w:p w:rsidR="00BB6F9A" w:rsidRDefault="00BB6F9A">
      <w:pPr>
        <w:pStyle w:val="Amain"/>
        <w:rPr>
          <w:i/>
          <w:iCs/>
          <w:snapToGrid w:val="0"/>
        </w:rPr>
      </w:pPr>
      <w:r>
        <w:rPr>
          <w:i/>
          <w:iCs/>
          <w:snapToGrid w:val="0"/>
        </w:rPr>
        <w:tab/>
        <w:t>(1)</w:t>
      </w:r>
      <w:r>
        <w:rPr>
          <w:i/>
          <w:iCs/>
          <w:snapToGrid w:val="0"/>
        </w:rPr>
        <w:tab/>
        <w:t>For this part</w:t>
      </w:r>
      <w:r>
        <w:rPr>
          <w:snapToGrid w:val="0"/>
        </w:rPr>
        <w:t xml:space="preserve">, </w:t>
      </w:r>
      <w:r>
        <w:rPr>
          <w:rStyle w:val="charBoldItals"/>
        </w:rPr>
        <w:t>innkeeper’s liability</w:t>
      </w:r>
      <w:r>
        <w:rPr>
          <w:b/>
          <w:bCs/>
          <w:i/>
          <w:iCs/>
          <w:snapToGrid w:val="0"/>
        </w:rPr>
        <w:t xml:space="preserve"> </w:t>
      </w:r>
      <w:r>
        <w:rPr>
          <w:i/>
          <w:iCs/>
          <w:snapToGrid w:val="0"/>
        </w:rPr>
        <w:t>is innkeeper’s liability under the common law but only in relation to the strict liability imposed on an innkeeper for failing to safeguard property of the innkeeper’s guests that is brought to the innkeeper’s inn.</w:t>
      </w:r>
    </w:p>
    <w:p w:rsidR="00BB6F9A" w:rsidRDefault="00BB6F9A">
      <w:pPr>
        <w:pStyle w:val="Amain"/>
        <w:rPr>
          <w:i/>
          <w:iCs/>
          <w:snapToGrid w:val="0"/>
        </w:rPr>
      </w:pPr>
      <w:r>
        <w:rPr>
          <w:i/>
          <w:iCs/>
          <w:snapToGrid w:val="0"/>
        </w:rPr>
        <w:tab/>
        <w:t>(2)</w:t>
      </w:r>
      <w:r>
        <w:rPr>
          <w:i/>
          <w:iCs/>
          <w:snapToGrid w:val="0"/>
        </w:rPr>
        <w:tab/>
        <w:t>To remove any doubt, for innkeeper’s liability, loss of a guest’s property includes damage to, or destruction of, the property.</w:t>
      </w:r>
    </w:p>
    <w:p w:rsidR="00BB6F9A" w:rsidRDefault="00BB6F9A">
      <w:pPr>
        <w:pStyle w:val="Amain"/>
        <w:rPr>
          <w:i/>
          <w:iCs/>
          <w:snapToGrid w:val="0"/>
        </w:rPr>
      </w:pPr>
      <w:r>
        <w:rPr>
          <w:i/>
          <w:iCs/>
          <w:snapToGrid w:val="0"/>
        </w:rPr>
        <w:tab/>
        <w:t>(3)</w:t>
      </w:r>
      <w:r>
        <w:rPr>
          <w:i/>
          <w:iCs/>
          <w:snapToGrid w:val="0"/>
        </w:rPr>
        <w:tab/>
        <w:t>For innkeeper’s liability—</w:t>
      </w:r>
    </w:p>
    <w:p w:rsidR="00BB6F9A" w:rsidRDefault="00BB6F9A">
      <w:pPr>
        <w:pStyle w:val="Apara"/>
        <w:rPr>
          <w:i/>
          <w:iCs/>
          <w:snapToGrid w:val="0"/>
        </w:rPr>
      </w:pPr>
      <w:r>
        <w:rPr>
          <w:i/>
          <w:iCs/>
          <w:snapToGrid w:val="0"/>
        </w:rPr>
        <w:tab/>
        <w:t>(a)</w:t>
      </w:r>
      <w:r>
        <w:rPr>
          <w:i/>
          <w:iCs/>
          <w:snapToGrid w:val="0"/>
        </w:rPr>
        <w:tab/>
        <w:t>an accommodation provider, and only an accommodation provider, is an innkeeper; and</w:t>
      </w:r>
    </w:p>
    <w:p w:rsidR="00BB6F9A" w:rsidRDefault="00BB6F9A">
      <w:pPr>
        <w:pStyle w:val="Apara"/>
        <w:rPr>
          <w:snapToGrid w:val="0"/>
        </w:rPr>
      </w:pPr>
      <w:r>
        <w:rPr>
          <w:i/>
          <w:iCs/>
          <w:snapToGrid w:val="0"/>
        </w:rPr>
        <w:tab/>
        <w:t>(b)</w:t>
      </w:r>
      <w:r>
        <w:rPr>
          <w:i/>
          <w:iCs/>
          <w:snapToGrid w:val="0"/>
        </w:rPr>
        <w:tab/>
        <w:t>traveller accommodation, and only traveller accommodation, is an inn.</w:t>
      </w:r>
    </w:p>
    <w:p w:rsidR="00BB6F9A" w:rsidRDefault="00BB6F9A">
      <w:pPr>
        <w:pStyle w:val="AH5SecSymb"/>
        <w:rPr>
          <w:i/>
          <w:iCs/>
          <w:snapToGrid w:val="0"/>
        </w:rPr>
      </w:pPr>
      <w:r>
        <w:rPr>
          <w:rStyle w:val="charSymb"/>
        </w:rPr>
        <w:t> </w:t>
      </w:r>
      <w:bookmarkStart w:id="117" w:name="_Toc4661379"/>
      <w:r>
        <w:rPr>
          <w:rStyle w:val="charSymb"/>
        </w:rPr>
        <w:t>U </w:t>
      </w:r>
      <w:r>
        <w:tab/>
      </w:r>
      <w:r>
        <w:rPr>
          <w:rStyle w:val="CharSectNo"/>
        </w:rPr>
        <w:t>80</w:t>
      </w:r>
      <w:r>
        <w:rPr>
          <w:i/>
          <w:iCs/>
          <w:snapToGrid w:val="0"/>
        </w:rPr>
        <w:tab/>
        <w:t xml:space="preserve">Meaning of </w:t>
      </w:r>
      <w:r>
        <w:rPr>
          <w:rStyle w:val="charItals"/>
        </w:rPr>
        <w:t>guest</w:t>
      </w:r>
      <w:bookmarkEnd w:id="117"/>
    </w:p>
    <w:p w:rsidR="00BB6F9A" w:rsidRDefault="00BB6F9A">
      <w:pPr>
        <w:pStyle w:val="Amain"/>
        <w:rPr>
          <w:i/>
          <w:iCs/>
          <w:snapToGrid w:val="0"/>
        </w:rPr>
      </w:pPr>
      <w:r>
        <w:rPr>
          <w:i/>
          <w:iCs/>
          <w:snapToGrid w:val="0"/>
        </w:rPr>
        <w:tab/>
        <w:t>(1)</w:t>
      </w:r>
      <w:r>
        <w:rPr>
          <w:i/>
          <w:iCs/>
          <w:snapToGrid w:val="0"/>
        </w:rPr>
        <w:tab/>
        <w:t xml:space="preserve">A </w:t>
      </w:r>
      <w:r>
        <w:rPr>
          <w:rStyle w:val="charBoldItals"/>
        </w:rPr>
        <w:t>guest</w:t>
      </w:r>
      <w:r>
        <w:rPr>
          <w:i/>
          <w:iCs/>
          <w:snapToGrid w:val="0"/>
        </w:rPr>
        <w:t xml:space="preserve"> is a person to whom, or for whom, traveller accommodation is provided by an accommodation provider.</w:t>
      </w:r>
    </w:p>
    <w:p w:rsidR="00BB6F9A" w:rsidRDefault="00BB6F9A">
      <w:pPr>
        <w:pStyle w:val="Amain"/>
        <w:rPr>
          <w:i/>
          <w:iCs/>
          <w:snapToGrid w:val="0"/>
        </w:rPr>
      </w:pPr>
      <w:r>
        <w:rPr>
          <w:i/>
          <w:iCs/>
          <w:snapToGrid w:val="0"/>
        </w:rPr>
        <w:tab/>
        <w:t>(2)</w:t>
      </w:r>
      <w:r>
        <w:rPr>
          <w:i/>
          <w:iCs/>
          <w:snapToGrid w:val="0"/>
        </w:rPr>
        <w:tab/>
        <w:t>However, the person is a guest only on a day when the person is provided with the use of an accommodation unit at the traveller accommodation.</w:t>
      </w:r>
    </w:p>
    <w:p w:rsidR="00BB6F9A" w:rsidRDefault="00BB6F9A">
      <w:pPr>
        <w:pStyle w:val="Amain"/>
        <w:rPr>
          <w:i/>
          <w:iCs/>
          <w:snapToGrid w:val="0"/>
        </w:rPr>
      </w:pPr>
      <w:r>
        <w:rPr>
          <w:i/>
          <w:iCs/>
          <w:snapToGrid w:val="0"/>
        </w:rPr>
        <w:lastRenderedPageBreak/>
        <w:tab/>
        <w:t>(3)</w:t>
      </w:r>
      <w:r>
        <w:rPr>
          <w:i/>
          <w:iCs/>
          <w:snapToGrid w:val="0"/>
        </w:rPr>
        <w:tab/>
        <w:t>A guest does not include a person—</w:t>
      </w:r>
    </w:p>
    <w:p w:rsidR="00BB6F9A" w:rsidRDefault="00BB6F9A">
      <w:pPr>
        <w:pStyle w:val="Apara"/>
        <w:rPr>
          <w:rFonts w:ascii="Times-Roman" w:hAnsi="Times-Roman" w:cs="Times-Roman"/>
          <w:i/>
          <w:iCs/>
          <w:snapToGrid w:val="0"/>
        </w:rPr>
      </w:pPr>
      <w:r>
        <w:rPr>
          <w:rFonts w:ascii="Times-Roman" w:hAnsi="Times-Roman" w:cs="Times-Roman"/>
          <w:i/>
          <w:iCs/>
          <w:snapToGrid w:val="0"/>
        </w:rPr>
        <w:tab/>
        <w:t>(a)</w:t>
      </w:r>
      <w:r>
        <w:rPr>
          <w:rFonts w:ascii="Times-Roman" w:hAnsi="Times-Roman" w:cs="Times-Roman"/>
          <w:i/>
          <w:iCs/>
          <w:snapToGrid w:val="0"/>
        </w:rPr>
        <w:tab/>
      </w:r>
      <w:r>
        <w:rPr>
          <w:i/>
          <w:iCs/>
          <w:snapToGrid w:val="0"/>
        </w:rPr>
        <w:t>who is at the traveller accommodation only to obtain beverages or food or to visit someone else; or</w:t>
      </w:r>
    </w:p>
    <w:p w:rsidR="00BB6F9A" w:rsidRDefault="00BB6F9A">
      <w:pPr>
        <w:pStyle w:val="Apara"/>
        <w:rPr>
          <w:snapToGrid w:val="0"/>
        </w:rPr>
      </w:pPr>
      <w:r>
        <w:rPr>
          <w:i/>
          <w:iCs/>
          <w:snapToGrid w:val="0"/>
        </w:rPr>
        <w:tab/>
        <w:t>(b)</w:t>
      </w:r>
      <w:r>
        <w:rPr>
          <w:i/>
          <w:iCs/>
          <w:snapToGrid w:val="0"/>
        </w:rPr>
        <w:tab/>
        <w:t>who usually lives at the traveller accommodation.</w:t>
      </w:r>
    </w:p>
    <w:p w:rsidR="00BB6F9A" w:rsidRDefault="00BB6F9A">
      <w:pPr>
        <w:pStyle w:val="AH5SecSymb"/>
        <w:rPr>
          <w:i/>
          <w:iCs/>
          <w:snapToGrid w:val="0"/>
        </w:rPr>
      </w:pPr>
      <w:r>
        <w:rPr>
          <w:rStyle w:val="charSymb"/>
        </w:rPr>
        <w:t> </w:t>
      </w:r>
      <w:bookmarkStart w:id="118" w:name="_Toc4661380"/>
      <w:r>
        <w:rPr>
          <w:rStyle w:val="charSymb"/>
        </w:rPr>
        <w:t>U </w:t>
      </w:r>
      <w:r>
        <w:tab/>
      </w:r>
      <w:r>
        <w:rPr>
          <w:rStyle w:val="CharSectNo"/>
        </w:rPr>
        <w:t>81</w:t>
      </w:r>
      <w:r>
        <w:rPr>
          <w:i/>
          <w:iCs/>
          <w:snapToGrid w:val="0"/>
        </w:rPr>
        <w:tab/>
        <w:t xml:space="preserve">Meaning of </w:t>
      </w:r>
      <w:r>
        <w:rPr>
          <w:rStyle w:val="charItals"/>
        </w:rPr>
        <w:t>property</w:t>
      </w:r>
      <w:r>
        <w:rPr>
          <w:i/>
          <w:iCs/>
          <w:snapToGrid w:val="0"/>
        </w:rPr>
        <w:t xml:space="preserve"> of guest</w:t>
      </w:r>
      <w:bookmarkEnd w:id="118"/>
    </w:p>
    <w:p w:rsidR="00BB6F9A" w:rsidRDefault="00BB6F9A">
      <w:pPr>
        <w:pStyle w:val="Amain"/>
        <w:rPr>
          <w:i/>
          <w:iCs/>
          <w:snapToGrid w:val="0"/>
        </w:rPr>
      </w:pPr>
      <w:r>
        <w:rPr>
          <w:i/>
          <w:iCs/>
          <w:snapToGrid w:val="0"/>
        </w:rPr>
        <w:tab/>
        <w:t>(1)</w:t>
      </w:r>
      <w:r>
        <w:rPr>
          <w:i/>
          <w:iCs/>
          <w:snapToGrid w:val="0"/>
        </w:rPr>
        <w:tab/>
      </w:r>
      <w:r>
        <w:rPr>
          <w:rStyle w:val="charBoldItals"/>
        </w:rPr>
        <w:t>Property</w:t>
      </w:r>
      <w:r>
        <w:rPr>
          <w:b/>
          <w:bCs/>
          <w:i/>
          <w:iCs/>
          <w:snapToGrid w:val="0"/>
        </w:rPr>
        <w:t xml:space="preserve"> </w:t>
      </w:r>
      <w:r>
        <w:rPr>
          <w:i/>
          <w:iCs/>
          <w:snapToGrid w:val="0"/>
        </w:rPr>
        <w:t>of a guest is the property brought to the traveller accommodation or its precincts by or for the guest.</w:t>
      </w:r>
    </w:p>
    <w:p w:rsidR="00BB6F9A" w:rsidRDefault="00BB6F9A">
      <w:pPr>
        <w:pStyle w:val="Amain"/>
        <w:rPr>
          <w:i/>
          <w:iCs/>
          <w:snapToGrid w:val="0"/>
        </w:rPr>
      </w:pPr>
      <w:r>
        <w:rPr>
          <w:i/>
          <w:iCs/>
          <w:snapToGrid w:val="0"/>
        </w:rPr>
        <w:tab/>
        <w:t>(2)</w:t>
      </w:r>
      <w:r>
        <w:rPr>
          <w:i/>
          <w:iCs/>
          <w:snapToGrid w:val="0"/>
        </w:rPr>
        <w:tab/>
        <w:t xml:space="preserve">However, </w:t>
      </w:r>
      <w:r>
        <w:rPr>
          <w:rStyle w:val="charBoldItals"/>
        </w:rPr>
        <w:t>property</w:t>
      </w:r>
      <w:r>
        <w:rPr>
          <w:i/>
          <w:iCs/>
          <w:snapToGrid w:val="0"/>
        </w:rPr>
        <w:t xml:space="preserve"> of a guest does not include—</w:t>
      </w:r>
    </w:p>
    <w:p w:rsidR="00BB6F9A" w:rsidRDefault="00BB6F9A">
      <w:pPr>
        <w:pStyle w:val="Apara"/>
        <w:rPr>
          <w:rFonts w:ascii="Times-Roman" w:hAnsi="Times-Roman" w:cs="Times-Roman"/>
          <w:i/>
          <w:iCs/>
          <w:snapToGrid w:val="0"/>
        </w:rPr>
      </w:pPr>
      <w:r>
        <w:rPr>
          <w:rFonts w:ascii="Times-Roman" w:hAnsi="Times-Roman" w:cs="Times-Roman"/>
          <w:i/>
          <w:iCs/>
          <w:snapToGrid w:val="0"/>
        </w:rPr>
        <w:tab/>
        <w:t>(a)</w:t>
      </w:r>
      <w:r>
        <w:rPr>
          <w:rFonts w:ascii="Times-Roman" w:hAnsi="Times-Roman" w:cs="Times-Roman"/>
          <w:i/>
          <w:iCs/>
          <w:snapToGrid w:val="0"/>
        </w:rPr>
        <w:tab/>
      </w:r>
      <w:r>
        <w:rPr>
          <w:i/>
          <w:iCs/>
          <w:snapToGrid w:val="0"/>
        </w:rPr>
        <w:t>a motor vehicle brought to the traveller accommodation or its surrounds by or for the guest, or other things owned by the guest left in or on the motor vehicle; or</w:t>
      </w:r>
    </w:p>
    <w:p w:rsidR="00BB6F9A" w:rsidRDefault="00BB6F9A">
      <w:pPr>
        <w:pStyle w:val="Apara"/>
        <w:rPr>
          <w:rFonts w:ascii="Times-Roman" w:hAnsi="Times-Roman" w:cs="Times-Roman"/>
          <w:snapToGrid w:val="0"/>
        </w:rPr>
      </w:pPr>
      <w:r>
        <w:rPr>
          <w:rFonts w:ascii="Times-Roman" w:hAnsi="Times-Roman" w:cs="Times-Roman"/>
          <w:i/>
          <w:iCs/>
          <w:snapToGrid w:val="0"/>
        </w:rPr>
        <w:tab/>
        <w:t>(b)</w:t>
      </w:r>
      <w:r>
        <w:rPr>
          <w:rFonts w:ascii="Times-Roman" w:hAnsi="Times-Roman" w:cs="Times-Roman"/>
          <w:i/>
          <w:iCs/>
          <w:snapToGrid w:val="0"/>
        </w:rPr>
        <w:tab/>
      </w:r>
      <w:r>
        <w:rPr>
          <w:i/>
          <w:iCs/>
          <w:snapToGrid w:val="0"/>
        </w:rPr>
        <w:t>property taken from the traveller accommodation or its surrounds by or for the guest.</w:t>
      </w:r>
    </w:p>
    <w:p w:rsidR="00BB6F9A" w:rsidRDefault="00BB6F9A">
      <w:pPr>
        <w:pStyle w:val="AH3DivSymb"/>
      </w:pPr>
      <w:r>
        <w:rPr>
          <w:rStyle w:val="charSymb"/>
        </w:rPr>
        <w:lastRenderedPageBreak/>
        <w:t> </w:t>
      </w:r>
      <w:bookmarkStart w:id="119" w:name="_Toc4661381"/>
      <w:r>
        <w:rPr>
          <w:rStyle w:val="charSymb"/>
        </w:rPr>
        <w:t>U </w:t>
      </w:r>
      <w:r>
        <w:tab/>
      </w:r>
      <w:r>
        <w:rPr>
          <w:rStyle w:val="CharDivNo"/>
        </w:rPr>
        <w:t>Division 7.1.2</w:t>
      </w:r>
      <w:r>
        <w:rPr>
          <w:i/>
          <w:iCs/>
        </w:rPr>
        <w:tab/>
      </w:r>
      <w:r>
        <w:rPr>
          <w:rStyle w:val="CharDivText"/>
        </w:rPr>
        <w:t>Liability of accommodation providers</w:t>
      </w:r>
      <w:bookmarkEnd w:id="119"/>
    </w:p>
    <w:p w:rsidR="00BB6F9A" w:rsidRDefault="00BB6F9A">
      <w:pPr>
        <w:pStyle w:val="AH5SecSymb"/>
      </w:pPr>
      <w:r>
        <w:rPr>
          <w:rStyle w:val="charSymb"/>
        </w:rPr>
        <w:t> </w:t>
      </w:r>
      <w:bookmarkStart w:id="120" w:name="_Toc4661382"/>
      <w:r>
        <w:rPr>
          <w:rStyle w:val="charSymb"/>
        </w:rPr>
        <w:t>U </w:t>
      </w:r>
      <w:r>
        <w:tab/>
      </w:r>
      <w:r>
        <w:rPr>
          <w:rStyle w:val="CharSectNo"/>
        </w:rPr>
        <w:t>82</w:t>
      </w:r>
      <w:r>
        <w:rPr>
          <w:i/>
          <w:iCs/>
          <w:snapToGrid w:val="0"/>
        </w:rPr>
        <w:tab/>
        <w:t>Application of div 7.1.2</w:t>
      </w:r>
      <w:bookmarkEnd w:id="120"/>
    </w:p>
    <w:p w:rsidR="00BB6F9A" w:rsidRDefault="00BB6F9A" w:rsidP="00076C31">
      <w:pPr>
        <w:pStyle w:val="Amainreturn"/>
        <w:keepNext/>
        <w:keepLines/>
        <w:rPr>
          <w:snapToGrid w:val="0"/>
        </w:rPr>
      </w:pPr>
      <w:r>
        <w:rPr>
          <w:i/>
          <w:iCs/>
          <w:snapToGrid w:val="0"/>
        </w:rPr>
        <w:t>This division applies to the property of a guest after the accommodation provider, or the provider’s agent, knows or is told about the arrival of the guest or the guest’s property at the traveller accommodation or its surrounds.</w:t>
      </w:r>
    </w:p>
    <w:p w:rsidR="00BB6F9A" w:rsidRDefault="00BB6F9A">
      <w:pPr>
        <w:pStyle w:val="AH5SecSymb"/>
        <w:rPr>
          <w:i/>
          <w:iCs/>
          <w:snapToGrid w:val="0"/>
        </w:rPr>
      </w:pPr>
      <w:r>
        <w:rPr>
          <w:rStyle w:val="charSymb"/>
        </w:rPr>
        <w:t> </w:t>
      </w:r>
      <w:bookmarkStart w:id="121" w:name="_Toc4661383"/>
      <w:r>
        <w:rPr>
          <w:rStyle w:val="charSymb"/>
        </w:rPr>
        <w:t>U </w:t>
      </w:r>
      <w:r>
        <w:tab/>
      </w:r>
      <w:r>
        <w:rPr>
          <w:rStyle w:val="CharSectNo"/>
        </w:rPr>
        <w:t>83</w:t>
      </w:r>
      <w:r>
        <w:rPr>
          <w:i/>
          <w:iCs/>
          <w:snapToGrid w:val="0"/>
        </w:rPr>
        <w:tab/>
        <w:t xml:space="preserve">Limitation on strict liability under innkeeper’s liability </w:t>
      </w:r>
      <w:r>
        <w:rPr>
          <w:b w:val="0"/>
          <w:bCs w:val="0"/>
          <w:i/>
          <w:iCs/>
          <w:snapToGrid w:val="0"/>
        </w:rPr>
        <w:t>(ILA s 4)</w:t>
      </w:r>
      <w:bookmarkEnd w:id="121"/>
    </w:p>
    <w:p w:rsidR="00BB6F9A" w:rsidRDefault="00BB6F9A" w:rsidP="00076C31">
      <w:pPr>
        <w:pStyle w:val="Amain"/>
        <w:keepNext/>
        <w:rPr>
          <w:i/>
          <w:iCs/>
          <w:snapToGrid w:val="0"/>
        </w:rPr>
      </w:pPr>
      <w:r>
        <w:rPr>
          <w:i/>
          <w:iCs/>
          <w:snapToGrid w:val="0"/>
        </w:rPr>
        <w:tab/>
        <w:t>(1)</w:t>
      </w:r>
      <w:r>
        <w:rPr>
          <w:i/>
          <w:iCs/>
          <w:snapToGrid w:val="0"/>
        </w:rPr>
        <w:tab/>
        <w:t>This section applies to an accommodation provider’s liability under innkeeper’s liability for a loss of the guest’s property.</w:t>
      </w:r>
    </w:p>
    <w:p w:rsidR="00BB6F9A" w:rsidRDefault="00BB6F9A" w:rsidP="00076C31">
      <w:pPr>
        <w:pStyle w:val="Amain"/>
        <w:keepNext/>
        <w:rPr>
          <w:i/>
          <w:iCs/>
          <w:snapToGrid w:val="0"/>
        </w:rPr>
      </w:pPr>
      <w:r>
        <w:rPr>
          <w:i/>
          <w:iCs/>
          <w:snapToGrid w:val="0"/>
        </w:rPr>
        <w:tab/>
        <w:t>(2)</w:t>
      </w:r>
      <w:r>
        <w:rPr>
          <w:i/>
          <w:iCs/>
          <w:snapToGrid w:val="0"/>
        </w:rPr>
        <w:tab/>
        <w:t>The liability for the loss is limited to the limitation amount for each accommodation unit provided for the use of the guest on the day of the loss, despite—</w:t>
      </w:r>
    </w:p>
    <w:p w:rsidR="00BB6F9A" w:rsidRDefault="00BB6F9A">
      <w:pPr>
        <w:pStyle w:val="Apara"/>
        <w:rPr>
          <w:i/>
          <w:iCs/>
          <w:snapToGrid w:val="0"/>
        </w:rPr>
      </w:pPr>
      <w:r>
        <w:rPr>
          <w:i/>
          <w:iCs/>
          <w:snapToGrid w:val="0"/>
        </w:rPr>
        <w:tab/>
        <w:t>(a)</w:t>
      </w:r>
      <w:r>
        <w:rPr>
          <w:i/>
          <w:iCs/>
          <w:snapToGrid w:val="0"/>
        </w:rPr>
        <w:tab/>
        <w:t>the amount of the loss on the day; or</w:t>
      </w:r>
    </w:p>
    <w:p w:rsidR="00BB6F9A" w:rsidRDefault="00BB6F9A">
      <w:pPr>
        <w:pStyle w:val="Apara"/>
        <w:rPr>
          <w:i/>
          <w:iCs/>
          <w:snapToGrid w:val="0"/>
        </w:rPr>
      </w:pPr>
      <w:r>
        <w:rPr>
          <w:i/>
          <w:iCs/>
          <w:snapToGrid w:val="0"/>
        </w:rPr>
        <w:tab/>
        <w:t>(b)</w:t>
      </w:r>
      <w:r>
        <w:rPr>
          <w:i/>
          <w:iCs/>
          <w:snapToGrid w:val="0"/>
        </w:rPr>
        <w:tab/>
        <w:t>the number of guests who, on the day, are provided with the use of the accommodation unit and suffer a loss of property.</w:t>
      </w:r>
    </w:p>
    <w:p w:rsidR="00BB6F9A" w:rsidRDefault="00BB6F9A">
      <w:pPr>
        <w:pStyle w:val="Amain"/>
        <w:rPr>
          <w:snapToGrid w:val="0"/>
        </w:rPr>
      </w:pPr>
      <w:r>
        <w:rPr>
          <w:i/>
          <w:iCs/>
          <w:snapToGrid w:val="0"/>
        </w:rPr>
        <w:tab/>
        <w:t>(3)</w:t>
      </w:r>
      <w:r>
        <w:rPr>
          <w:i/>
          <w:iCs/>
          <w:snapToGrid w:val="0"/>
        </w:rPr>
        <w:tab/>
        <w:t>Despite the limitation on the liability to the limitation amount, the accommodation provider’s liability is subject to the defences available at common law for an innkeeper, including the perils of travel defences.</w:t>
      </w:r>
    </w:p>
    <w:p w:rsidR="00BB6F9A" w:rsidRDefault="00BB6F9A">
      <w:pPr>
        <w:pStyle w:val="AH5SecSymb"/>
        <w:rPr>
          <w:i/>
          <w:iCs/>
          <w:snapToGrid w:val="0"/>
        </w:rPr>
      </w:pPr>
      <w:r>
        <w:rPr>
          <w:rStyle w:val="charSymb"/>
        </w:rPr>
        <w:t> </w:t>
      </w:r>
      <w:bookmarkStart w:id="122" w:name="_Toc4661384"/>
      <w:r>
        <w:rPr>
          <w:rStyle w:val="charSymb"/>
        </w:rPr>
        <w:t>U </w:t>
      </w:r>
      <w:r>
        <w:tab/>
      </w:r>
      <w:r>
        <w:rPr>
          <w:rStyle w:val="CharSectNo"/>
        </w:rPr>
        <w:t>84</w:t>
      </w:r>
      <w:r>
        <w:rPr>
          <w:i/>
          <w:iCs/>
          <w:snapToGrid w:val="0"/>
        </w:rPr>
        <w:tab/>
        <w:t>Circumstances when limitation does not apply</w:t>
      </w:r>
      <w:r>
        <w:rPr>
          <w:b w:val="0"/>
          <w:bCs w:val="0"/>
          <w:i/>
          <w:iCs/>
          <w:snapToGrid w:val="0"/>
        </w:rPr>
        <w:t xml:space="preserve"> (ILA s 4)</w:t>
      </w:r>
      <w:bookmarkEnd w:id="122"/>
    </w:p>
    <w:p w:rsidR="00BB6F9A" w:rsidRDefault="00BB6F9A">
      <w:pPr>
        <w:pStyle w:val="Amain"/>
        <w:rPr>
          <w:i/>
          <w:iCs/>
          <w:snapToGrid w:val="0"/>
        </w:rPr>
      </w:pPr>
      <w:r>
        <w:rPr>
          <w:i/>
          <w:iCs/>
          <w:snapToGrid w:val="0"/>
        </w:rPr>
        <w:tab/>
        <w:t>(1)</w:t>
      </w:r>
      <w:r>
        <w:rPr>
          <w:i/>
          <w:iCs/>
          <w:snapToGrid w:val="0"/>
        </w:rPr>
        <w:tab/>
        <w:t>The limitation on the accommodation provider’s liability under section 83 (2) does not apply if the loss of a guest’s property—</w:t>
      </w:r>
    </w:p>
    <w:p w:rsidR="00BB6F9A" w:rsidRDefault="00BB6F9A">
      <w:pPr>
        <w:pStyle w:val="Apara"/>
        <w:rPr>
          <w:i/>
          <w:iCs/>
          <w:snapToGrid w:val="0"/>
        </w:rPr>
      </w:pPr>
      <w:r>
        <w:rPr>
          <w:i/>
          <w:iCs/>
          <w:snapToGrid w:val="0"/>
        </w:rPr>
        <w:tab/>
        <w:t>(a)</w:t>
      </w:r>
      <w:r>
        <w:rPr>
          <w:i/>
          <w:iCs/>
          <w:snapToGrid w:val="0"/>
        </w:rPr>
        <w:tab/>
        <w:t>is caused by the fault of the accommodation provider or the provider’s agent; or</w:t>
      </w:r>
    </w:p>
    <w:p w:rsidR="00BB6F9A" w:rsidRDefault="00BB6F9A">
      <w:pPr>
        <w:pStyle w:val="Apara"/>
        <w:rPr>
          <w:i/>
          <w:iCs/>
          <w:snapToGrid w:val="0"/>
        </w:rPr>
      </w:pPr>
      <w:r>
        <w:rPr>
          <w:i/>
          <w:iCs/>
          <w:snapToGrid w:val="0"/>
        </w:rPr>
        <w:lastRenderedPageBreak/>
        <w:tab/>
        <w:t>(b)</w:t>
      </w:r>
      <w:r>
        <w:rPr>
          <w:i/>
          <w:iCs/>
          <w:snapToGrid w:val="0"/>
        </w:rPr>
        <w:tab/>
        <w:t>happens after the accommodation provider, or the provider’s agent, accepts the property for depositing in safe custody facilities; or</w:t>
      </w:r>
    </w:p>
    <w:p w:rsidR="00BB6F9A" w:rsidRDefault="00BB6F9A">
      <w:pPr>
        <w:pStyle w:val="Apara"/>
        <w:rPr>
          <w:i/>
          <w:iCs/>
          <w:snapToGrid w:val="0"/>
        </w:rPr>
      </w:pPr>
      <w:r>
        <w:rPr>
          <w:i/>
          <w:iCs/>
          <w:snapToGrid w:val="0"/>
        </w:rPr>
        <w:tab/>
        <w:t>(c)</w:t>
      </w:r>
      <w:r>
        <w:rPr>
          <w:i/>
          <w:iCs/>
          <w:snapToGrid w:val="0"/>
        </w:rPr>
        <w:tab/>
        <w:t>happens while the property is left, at the invitation of the accommodation provider or the provider’s agent, at a particular place outside of the accommodation unit provided to the guest.</w:t>
      </w:r>
    </w:p>
    <w:p w:rsidR="00BB6F9A" w:rsidRDefault="00BB6F9A">
      <w:pPr>
        <w:pStyle w:val="Amain"/>
        <w:rPr>
          <w:rFonts w:ascii="Times-Roman" w:hAnsi="Times-Roman" w:cs="Times-Roman"/>
          <w:i/>
          <w:iCs/>
          <w:snapToGrid w:val="0"/>
        </w:rPr>
      </w:pPr>
      <w:r>
        <w:rPr>
          <w:rFonts w:ascii="Times-Roman" w:hAnsi="Times-Roman" w:cs="Times-Roman"/>
          <w:i/>
          <w:iCs/>
          <w:snapToGrid w:val="0"/>
        </w:rPr>
        <w:tab/>
        <w:t>(2)</w:t>
      </w:r>
      <w:r>
        <w:rPr>
          <w:rFonts w:ascii="Times-Roman" w:hAnsi="Times-Roman" w:cs="Times-Roman"/>
          <w:i/>
          <w:iCs/>
          <w:snapToGrid w:val="0"/>
        </w:rPr>
        <w:tab/>
      </w:r>
      <w:r>
        <w:rPr>
          <w:i/>
          <w:iCs/>
          <w:snapToGrid w:val="0"/>
        </w:rPr>
        <w:t>Also, the limitation on the accommodation provider’s liability under section 83 (2) does not apply if—</w:t>
      </w:r>
    </w:p>
    <w:p w:rsidR="00BB6F9A" w:rsidRDefault="00BB6F9A">
      <w:pPr>
        <w:pStyle w:val="Apara"/>
        <w:rPr>
          <w:i/>
          <w:iCs/>
          <w:snapToGrid w:val="0"/>
        </w:rPr>
      </w:pPr>
      <w:r>
        <w:rPr>
          <w:i/>
          <w:iCs/>
          <w:snapToGrid w:val="0"/>
        </w:rPr>
        <w:tab/>
        <w:t>(a)</w:t>
      </w:r>
      <w:r>
        <w:rPr>
          <w:i/>
          <w:iCs/>
          <w:snapToGrid w:val="0"/>
        </w:rPr>
        <w:tab/>
        <w:t>at the time the guest is provided with the use of an accommodation unit, the accommodation provider did not comply with section 86 (1) (a) (Notice about pt 7.1); or</w:t>
      </w:r>
    </w:p>
    <w:p w:rsidR="00BB6F9A" w:rsidRDefault="00BB6F9A">
      <w:pPr>
        <w:pStyle w:val="Apara"/>
        <w:keepNext/>
        <w:rPr>
          <w:i/>
          <w:iCs/>
          <w:snapToGrid w:val="0"/>
        </w:rPr>
      </w:pPr>
      <w:r>
        <w:rPr>
          <w:i/>
          <w:iCs/>
          <w:snapToGrid w:val="0"/>
        </w:rPr>
        <w:tab/>
        <w:t>(b)</w:t>
      </w:r>
      <w:r>
        <w:rPr>
          <w:i/>
          <w:iCs/>
          <w:snapToGrid w:val="0"/>
        </w:rPr>
        <w:tab/>
        <w:t>during all of the period the guest is provided with the use of an accommodation unit, the accommodation provider did not do 1 of the following:</w:t>
      </w:r>
    </w:p>
    <w:p w:rsidR="00BB6F9A" w:rsidRDefault="00BB6F9A">
      <w:pPr>
        <w:pStyle w:val="Asubpara"/>
        <w:rPr>
          <w:i/>
          <w:iCs/>
          <w:snapToGrid w:val="0"/>
        </w:rPr>
      </w:pPr>
      <w:r>
        <w:rPr>
          <w:i/>
          <w:iCs/>
          <w:snapToGrid w:val="0"/>
        </w:rPr>
        <w:tab/>
        <w:t>(i)</w:t>
      </w:r>
      <w:r>
        <w:rPr>
          <w:i/>
          <w:iCs/>
          <w:snapToGrid w:val="0"/>
        </w:rPr>
        <w:tab/>
        <w:t>comply with section 86 (1) (b) in relation to the accommodation unit;</w:t>
      </w:r>
    </w:p>
    <w:p w:rsidR="00BB6F9A" w:rsidRDefault="00BB6F9A">
      <w:pPr>
        <w:pStyle w:val="Asubpara"/>
        <w:rPr>
          <w:snapToGrid w:val="0"/>
        </w:rPr>
      </w:pPr>
      <w:r>
        <w:rPr>
          <w:i/>
          <w:iCs/>
          <w:snapToGrid w:val="0"/>
        </w:rPr>
        <w:tab/>
        <w:t>(ii)</w:t>
      </w:r>
      <w:r>
        <w:rPr>
          <w:i/>
          <w:iCs/>
          <w:snapToGrid w:val="0"/>
        </w:rPr>
        <w:tab/>
        <w:t>have a system in operation as mentioned in section 86 </w:t>
      </w:r>
      <w:r>
        <w:rPr>
          <w:i/>
          <w:iCs/>
        </w:rPr>
        <w:t>(2)</w:t>
      </w:r>
      <w:r>
        <w:rPr>
          <w:i/>
          <w:iCs/>
          <w:snapToGrid w:val="0"/>
        </w:rPr>
        <w:t>.</w:t>
      </w:r>
    </w:p>
    <w:p w:rsidR="00BB6F9A" w:rsidRDefault="00BB6F9A">
      <w:pPr>
        <w:pStyle w:val="AH5SecSymb"/>
        <w:rPr>
          <w:i/>
          <w:iCs/>
          <w:snapToGrid w:val="0"/>
        </w:rPr>
      </w:pPr>
      <w:r>
        <w:rPr>
          <w:rStyle w:val="charSymb"/>
        </w:rPr>
        <w:t> </w:t>
      </w:r>
      <w:bookmarkStart w:id="123" w:name="_Toc4661385"/>
      <w:r>
        <w:rPr>
          <w:rStyle w:val="charSymb"/>
        </w:rPr>
        <w:t>U </w:t>
      </w:r>
      <w:r>
        <w:tab/>
      </w:r>
      <w:r>
        <w:rPr>
          <w:rStyle w:val="CharSectNo"/>
        </w:rPr>
        <w:t>85</w:t>
      </w:r>
      <w:r>
        <w:rPr>
          <w:i/>
          <w:iCs/>
          <w:snapToGrid w:val="0"/>
        </w:rPr>
        <w:tab/>
        <w:t xml:space="preserve">Safe custody facilities </w:t>
      </w:r>
      <w:r>
        <w:rPr>
          <w:b w:val="0"/>
          <w:bCs w:val="0"/>
          <w:i/>
          <w:iCs/>
          <w:snapToGrid w:val="0"/>
        </w:rPr>
        <w:t>(ILA s 4, 5)</w:t>
      </w:r>
      <w:bookmarkEnd w:id="123"/>
    </w:p>
    <w:p w:rsidR="00BB6F9A" w:rsidRDefault="00BB6F9A">
      <w:pPr>
        <w:pStyle w:val="Amain"/>
        <w:rPr>
          <w:i/>
          <w:iCs/>
          <w:snapToGrid w:val="0"/>
        </w:rPr>
      </w:pPr>
      <w:r>
        <w:rPr>
          <w:i/>
          <w:iCs/>
          <w:snapToGrid w:val="0"/>
        </w:rPr>
        <w:tab/>
        <w:t>(1)</w:t>
      </w:r>
      <w:r>
        <w:rPr>
          <w:i/>
          <w:iCs/>
          <w:snapToGrid w:val="0"/>
        </w:rPr>
        <w:tab/>
        <w:t xml:space="preserve">This section applies if an accommodation provider, or the provider’s agent, accepts a guest’s property for safekeeping in facilities controlled by the accommodation provider or the provider’s agent </w:t>
      </w:r>
      <w:r>
        <w:rPr>
          <w:snapToGrid w:val="0"/>
        </w:rPr>
        <w:t>(</w:t>
      </w:r>
      <w:r>
        <w:rPr>
          <w:rStyle w:val="charBoldItals"/>
        </w:rPr>
        <w:t>safe custody facilities</w:t>
      </w:r>
      <w:r>
        <w:rPr>
          <w:snapToGrid w:val="0"/>
        </w:rPr>
        <w:t>),</w:t>
      </w:r>
      <w:r>
        <w:rPr>
          <w:i/>
          <w:iCs/>
          <w:snapToGrid w:val="0"/>
        </w:rPr>
        <w:t xml:space="preserve"> other than facilities located in an accommodation unit for the safekeeping of property.</w:t>
      </w:r>
    </w:p>
    <w:p w:rsidR="00BB6F9A" w:rsidRDefault="00BB6F9A">
      <w:pPr>
        <w:pStyle w:val="Amain"/>
        <w:rPr>
          <w:i/>
          <w:iCs/>
          <w:snapToGrid w:val="0"/>
        </w:rPr>
      </w:pPr>
      <w:r>
        <w:rPr>
          <w:i/>
          <w:iCs/>
          <w:snapToGrid w:val="0"/>
        </w:rPr>
        <w:tab/>
        <w:t>(2)</w:t>
      </w:r>
      <w:r>
        <w:rPr>
          <w:i/>
          <w:iCs/>
          <w:snapToGrid w:val="0"/>
        </w:rPr>
        <w:tab/>
        <w:t>The accommodation provider is liable for the loss of the guest’s property if it happens after the accommodation provider, or the provider’s agent, accepts the property for deposit in the safe custody facilities.</w:t>
      </w:r>
    </w:p>
    <w:p w:rsidR="00BB6F9A" w:rsidRDefault="00BB6F9A">
      <w:pPr>
        <w:pStyle w:val="Amain"/>
        <w:rPr>
          <w:i/>
          <w:iCs/>
          <w:snapToGrid w:val="0"/>
        </w:rPr>
      </w:pPr>
      <w:r>
        <w:rPr>
          <w:i/>
          <w:iCs/>
          <w:snapToGrid w:val="0"/>
        </w:rPr>
        <w:tab/>
        <w:t>(3)</w:t>
      </w:r>
      <w:r>
        <w:rPr>
          <w:i/>
          <w:iCs/>
          <w:snapToGrid w:val="0"/>
        </w:rPr>
        <w:tab/>
        <w:t>An accommodation provider, or the provider’s agent, may require a guest who asks to use safe custody facilities for the guest’s property to place the property in a container and fasten or seal the container.</w:t>
      </w:r>
    </w:p>
    <w:p w:rsidR="00BB6F9A" w:rsidRDefault="00BB6F9A">
      <w:pPr>
        <w:pStyle w:val="Amain"/>
        <w:rPr>
          <w:i/>
          <w:iCs/>
          <w:snapToGrid w:val="0"/>
        </w:rPr>
      </w:pPr>
      <w:r>
        <w:rPr>
          <w:i/>
          <w:iCs/>
          <w:snapToGrid w:val="0"/>
        </w:rPr>
        <w:lastRenderedPageBreak/>
        <w:tab/>
        <w:t>(4)</w:t>
      </w:r>
      <w:r>
        <w:rPr>
          <w:i/>
          <w:iCs/>
          <w:snapToGrid w:val="0"/>
        </w:rPr>
        <w:tab/>
        <w:t>If the accommodation provider provides safe custody facilities, the accommodation provider must accept a guest’s property for deposit in the safe custody facilities unless—</w:t>
      </w:r>
    </w:p>
    <w:p w:rsidR="00BB6F9A" w:rsidRDefault="00BB6F9A">
      <w:pPr>
        <w:pStyle w:val="Apara"/>
        <w:rPr>
          <w:i/>
          <w:iCs/>
          <w:snapToGrid w:val="0"/>
        </w:rPr>
      </w:pPr>
      <w:r>
        <w:rPr>
          <w:i/>
          <w:iCs/>
          <w:snapToGrid w:val="0"/>
        </w:rPr>
        <w:tab/>
        <w:t>(a)</w:t>
      </w:r>
      <w:r>
        <w:rPr>
          <w:i/>
          <w:iCs/>
          <w:snapToGrid w:val="0"/>
        </w:rPr>
        <w:tab/>
        <w:t>the guest does not place the property in a container and fasten or seal it, in response to a requirement under subsection (3); or</w:t>
      </w:r>
    </w:p>
    <w:p w:rsidR="00BB6F9A" w:rsidRDefault="00BB6F9A">
      <w:pPr>
        <w:pStyle w:val="Apara"/>
        <w:rPr>
          <w:i/>
          <w:iCs/>
          <w:snapToGrid w:val="0"/>
        </w:rPr>
      </w:pPr>
      <w:r>
        <w:rPr>
          <w:i/>
          <w:iCs/>
          <w:snapToGrid w:val="0"/>
        </w:rPr>
        <w:tab/>
        <w:t>(b)</w:t>
      </w:r>
      <w:r>
        <w:rPr>
          <w:i/>
          <w:iCs/>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BB6F9A" w:rsidRDefault="00BB6F9A">
      <w:pPr>
        <w:pStyle w:val="Amain"/>
        <w:rPr>
          <w:snapToGrid w:val="0"/>
        </w:rPr>
      </w:pPr>
      <w:r>
        <w:rPr>
          <w:i/>
          <w:iCs/>
          <w:snapToGrid w:val="0"/>
        </w:rPr>
        <w:tab/>
        <w:t>(5)</w:t>
      </w:r>
      <w:r>
        <w:rPr>
          <w:i/>
          <w:iCs/>
          <w:snapToGrid w:val="0"/>
        </w:rPr>
        <w:tab/>
        <w:t>This section does not require an accommodation provider to provide safe custody facilities.</w:t>
      </w:r>
    </w:p>
    <w:p w:rsidR="00BB6F9A" w:rsidRDefault="00BB6F9A">
      <w:pPr>
        <w:pStyle w:val="AH5SecSymb"/>
        <w:rPr>
          <w:i/>
          <w:iCs/>
          <w:snapToGrid w:val="0"/>
        </w:rPr>
      </w:pPr>
      <w:r>
        <w:rPr>
          <w:rStyle w:val="charSymb"/>
        </w:rPr>
        <w:t> </w:t>
      </w:r>
      <w:bookmarkStart w:id="124" w:name="_Toc4661386"/>
      <w:r>
        <w:rPr>
          <w:rStyle w:val="charSymb"/>
        </w:rPr>
        <w:t>U </w:t>
      </w:r>
      <w:r>
        <w:tab/>
      </w:r>
      <w:r>
        <w:rPr>
          <w:rStyle w:val="CharSectNo"/>
        </w:rPr>
        <w:t>86</w:t>
      </w:r>
      <w:r>
        <w:rPr>
          <w:i/>
          <w:iCs/>
          <w:snapToGrid w:val="0"/>
        </w:rPr>
        <w:tab/>
        <w:t xml:space="preserve">Notice about pt 7.1 </w:t>
      </w:r>
      <w:r>
        <w:rPr>
          <w:b w:val="0"/>
          <w:bCs w:val="0"/>
          <w:i/>
          <w:iCs/>
          <w:snapToGrid w:val="0"/>
        </w:rPr>
        <w:t>(ILA s 6)</w:t>
      </w:r>
      <w:bookmarkEnd w:id="124"/>
    </w:p>
    <w:p w:rsidR="00BB6F9A" w:rsidRDefault="00BB6F9A">
      <w:pPr>
        <w:pStyle w:val="Amain"/>
        <w:rPr>
          <w:i/>
          <w:iCs/>
          <w:snapToGrid w:val="0"/>
        </w:rPr>
      </w:pPr>
      <w:r>
        <w:rPr>
          <w:i/>
          <w:iCs/>
          <w:snapToGrid w:val="0"/>
        </w:rPr>
        <w:tab/>
        <w:t>(1)</w:t>
      </w:r>
      <w:r>
        <w:rPr>
          <w:i/>
          <w:iCs/>
          <w:snapToGrid w:val="0"/>
        </w:rPr>
        <w:tab/>
        <w:t>An accommodation provider must ensure that the notice set out in schedule 1 is conspicuously displayed so it can be easily read by a person when the person is—</w:t>
      </w:r>
    </w:p>
    <w:p w:rsidR="00BB6F9A" w:rsidRDefault="00BB6F9A">
      <w:pPr>
        <w:pStyle w:val="Apara"/>
        <w:rPr>
          <w:i/>
          <w:iCs/>
          <w:snapToGrid w:val="0"/>
        </w:rPr>
      </w:pPr>
      <w:r>
        <w:rPr>
          <w:i/>
          <w:iCs/>
          <w:snapToGrid w:val="0"/>
        </w:rPr>
        <w:tab/>
        <w:t>(a)</w:t>
      </w:r>
      <w:r>
        <w:rPr>
          <w:i/>
          <w:iCs/>
          <w:snapToGrid w:val="0"/>
        </w:rPr>
        <w:tab/>
        <w:t>in the reception area for, or main entrance to, the traveller accommodation; and</w:t>
      </w:r>
    </w:p>
    <w:p w:rsidR="00BB6F9A" w:rsidRDefault="00BB6F9A">
      <w:pPr>
        <w:pStyle w:val="Apara"/>
        <w:rPr>
          <w:i/>
          <w:iCs/>
          <w:snapToGrid w:val="0"/>
        </w:rPr>
      </w:pPr>
      <w:r>
        <w:rPr>
          <w:i/>
          <w:iCs/>
          <w:snapToGrid w:val="0"/>
        </w:rPr>
        <w:tab/>
        <w:t>(b)</w:t>
      </w:r>
      <w:r>
        <w:rPr>
          <w:i/>
          <w:iCs/>
          <w:snapToGrid w:val="0"/>
        </w:rPr>
        <w:tab/>
        <w:t>in an accommodation unit.</w:t>
      </w:r>
    </w:p>
    <w:p w:rsidR="00BB6F9A" w:rsidRDefault="00BB6F9A">
      <w:pPr>
        <w:pStyle w:val="Amain"/>
        <w:rPr>
          <w:i/>
          <w:iCs/>
          <w:snapToGrid w:val="0"/>
        </w:rPr>
      </w:pPr>
      <w:r>
        <w:rPr>
          <w:i/>
          <w:iCs/>
          <w:snapToGrid w:val="0"/>
        </w:rPr>
        <w:tab/>
        <w:t>(2)</w:t>
      </w:r>
      <w:r>
        <w:rPr>
          <w:i/>
          <w:iCs/>
          <w:snapToGrid w:val="0"/>
        </w:rPr>
        <w:tab/>
        <w:t>However, subsection (1) (b) does not apply if the accommodation provider has a system in operation under which—</w:t>
      </w:r>
    </w:p>
    <w:p w:rsidR="00BB6F9A" w:rsidRDefault="00BB6F9A">
      <w:pPr>
        <w:pStyle w:val="Apara"/>
        <w:rPr>
          <w:i/>
          <w:iCs/>
          <w:snapToGrid w:val="0"/>
        </w:rPr>
      </w:pPr>
      <w:r>
        <w:rPr>
          <w:i/>
          <w:iCs/>
          <w:snapToGrid w:val="0"/>
        </w:rPr>
        <w:tab/>
        <w:t>(a)</w:t>
      </w:r>
      <w:r>
        <w:rPr>
          <w:i/>
          <w:iCs/>
          <w:snapToGrid w:val="0"/>
        </w:rPr>
        <w:tab/>
        <w:t>for each accommodation unit provided for the use of a guest—the guest is given a copy of the notice, including, for example, as part of the key tag or access card for, or in the compendium in, the accommodation unit; and</w:t>
      </w:r>
    </w:p>
    <w:p w:rsidR="00BB6F9A" w:rsidRDefault="00BB6F9A">
      <w:pPr>
        <w:pStyle w:val="Apara"/>
        <w:rPr>
          <w:i/>
          <w:iCs/>
          <w:snapToGrid w:val="0"/>
        </w:rPr>
      </w:pPr>
      <w:r>
        <w:rPr>
          <w:i/>
          <w:iCs/>
          <w:snapToGrid w:val="0"/>
        </w:rPr>
        <w:tab/>
        <w:t>(b)</w:t>
      </w:r>
      <w:r>
        <w:rPr>
          <w:i/>
          <w:iCs/>
          <w:snapToGrid w:val="0"/>
        </w:rPr>
        <w:tab/>
        <w:t>the guest is told about the notice and where it is located at the time the guest checks in to the traveller accommodation.</w:t>
      </w:r>
    </w:p>
    <w:p w:rsidR="00BB6F9A" w:rsidRDefault="00BB6F9A">
      <w:pPr>
        <w:pStyle w:val="AH5SecSymb"/>
        <w:rPr>
          <w:i/>
          <w:iCs/>
        </w:rPr>
      </w:pPr>
      <w:r>
        <w:rPr>
          <w:rStyle w:val="charSymb"/>
          <w:i/>
          <w:iCs/>
        </w:rPr>
        <w:lastRenderedPageBreak/>
        <w:t> </w:t>
      </w:r>
      <w:bookmarkStart w:id="125" w:name="_Toc4661387"/>
      <w:r>
        <w:rPr>
          <w:rStyle w:val="charSymb"/>
        </w:rPr>
        <w:t>U</w:t>
      </w:r>
      <w:r>
        <w:rPr>
          <w:rStyle w:val="charSymb"/>
          <w:i/>
          <w:iCs/>
        </w:rPr>
        <w:t> </w:t>
      </w:r>
      <w:r>
        <w:rPr>
          <w:i/>
          <w:iCs/>
        </w:rPr>
        <w:tab/>
      </w:r>
      <w:r>
        <w:rPr>
          <w:rStyle w:val="CharSectNo"/>
        </w:rPr>
        <w:t>87</w:t>
      </w:r>
      <w:r>
        <w:rPr>
          <w:i/>
          <w:iCs/>
        </w:rPr>
        <w:tab/>
        <w:t>Repeal of Innkeepers Liability Act 1902</w:t>
      </w:r>
      <w:bookmarkEnd w:id="125"/>
    </w:p>
    <w:p w:rsidR="00BB6F9A" w:rsidRDefault="00BB6F9A">
      <w:pPr>
        <w:pStyle w:val="Amainreturn"/>
        <w:rPr>
          <w:rStyle w:val="charItals"/>
          <w:i w:val="0"/>
          <w:iCs w:val="0"/>
        </w:rPr>
      </w:pPr>
      <w:r>
        <w:rPr>
          <w:i/>
          <w:iCs/>
        </w:rPr>
        <w:t xml:space="preserve">The </w:t>
      </w:r>
      <w:r>
        <w:rPr>
          <w:rStyle w:val="charItals"/>
        </w:rPr>
        <w:t>Innkeepers Liability Act 1902 No 64 is repealed.</w:t>
      </w:r>
    </w:p>
    <w:p w:rsidR="00BB6F9A" w:rsidRDefault="00BB6F9A">
      <w:pPr>
        <w:pStyle w:val="PageBreak"/>
      </w:pPr>
      <w:r>
        <w:br w:type="page"/>
      </w:r>
    </w:p>
    <w:p w:rsidR="00BB6F9A" w:rsidRDefault="00BB6F9A">
      <w:pPr>
        <w:pStyle w:val="AH2Part"/>
      </w:pPr>
      <w:bookmarkStart w:id="126" w:name="_Toc4661388"/>
      <w:r>
        <w:rPr>
          <w:rStyle w:val="CharPartNo"/>
        </w:rPr>
        <w:lastRenderedPageBreak/>
        <w:t>Part 7.2</w:t>
      </w:r>
      <w:r>
        <w:tab/>
      </w:r>
      <w:r>
        <w:rPr>
          <w:rStyle w:val="CharPartText"/>
        </w:rPr>
        <w:t>Common carriers</w:t>
      </w:r>
      <w:bookmarkEnd w:id="126"/>
    </w:p>
    <w:p w:rsidR="00BB6F9A" w:rsidRDefault="00BB6F9A">
      <w:pPr>
        <w:pStyle w:val="AH3Div"/>
      </w:pPr>
      <w:bookmarkStart w:id="127" w:name="_Toc4661389"/>
      <w:r>
        <w:rPr>
          <w:rStyle w:val="CharDivNo"/>
        </w:rPr>
        <w:t>Division 7.2.1</w:t>
      </w:r>
      <w:r>
        <w:tab/>
      </w:r>
      <w:r>
        <w:rPr>
          <w:rStyle w:val="CharDivText"/>
        </w:rPr>
        <w:t>Preliminary—common carriers</w:t>
      </w:r>
      <w:bookmarkEnd w:id="127"/>
    </w:p>
    <w:p w:rsidR="00BB6F9A" w:rsidRDefault="00BB6F9A">
      <w:pPr>
        <w:pStyle w:val="AH5Sec"/>
      </w:pPr>
      <w:bookmarkStart w:id="128" w:name="_Toc4661390"/>
      <w:r>
        <w:rPr>
          <w:rStyle w:val="CharSectNo"/>
        </w:rPr>
        <w:t>88</w:t>
      </w:r>
      <w:r>
        <w:tab/>
        <w:t>Purpose of pt 7.2</w:t>
      </w:r>
      <w:bookmarkEnd w:id="128"/>
    </w:p>
    <w:p w:rsidR="00BB6F9A" w:rsidRDefault="00BB6F9A">
      <w:pPr>
        <w:pStyle w:val="Amainreturn"/>
      </w:pPr>
      <w:r>
        <w:t>The purpose of this part is to mitigate some of the harsh consequences of common carriers’ liability at common law.</w:t>
      </w:r>
    </w:p>
    <w:p w:rsidR="00BB6F9A" w:rsidRDefault="00BB6F9A">
      <w:pPr>
        <w:pStyle w:val="AH5Sec"/>
      </w:pPr>
      <w:bookmarkStart w:id="129" w:name="_Toc4661391"/>
      <w:r>
        <w:rPr>
          <w:rStyle w:val="CharSectNo"/>
        </w:rPr>
        <w:t>89</w:t>
      </w:r>
      <w:r>
        <w:tab/>
        <w:t xml:space="preserve">Definitions for pt 7.2 </w:t>
      </w:r>
      <w:r>
        <w:rPr>
          <w:b w:val="0"/>
          <w:bCs w:val="0"/>
        </w:rPr>
        <w:t>(CCA s 3)</w:t>
      </w:r>
      <w:bookmarkEnd w:id="129"/>
    </w:p>
    <w:p w:rsidR="00BB6F9A" w:rsidRDefault="00BB6F9A">
      <w:pPr>
        <w:pStyle w:val="Amainreturn"/>
        <w:keepNext/>
      </w:pPr>
      <w:r>
        <w:t>In this part:</w:t>
      </w:r>
    </w:p>
    <w:p w:rsidR="00BB6F9A" w:rsidRDefault="00BB6F9A">
      <w:pPr>
        <w:pStyle w:val="aDef"/>
      </w:pPr>
      <w:r>
        <w:rPr>
          <w:rStyle w:val="charBoldItals"/>
        </w:rPr>
        <w:t>common carrier</w:t>
      </w:r>
      <w:r>
        <w:t xml:space="preserve"> means a common carrier by land.</w:t>
      </w:r>
    </w:p>
    <w:p w:rsidR="00BB6F9A" w:rsidRDefault="00BB6F9A">
      <w:pPr>
        <w:pStyle w:val="aDef"/>
      </w:pPr>
      <w:r>
        <w:rPr>
          <w:rStyle w:val="charBoldItals"/>
        </w:rPr>
        <w:t>schedule 2 packaged goods</w:t>
      </w:r>
      <w:r>
        <w:t>—see section 92 (1) (Liability of carriers for certain goods worth more than $20).</w:t>
      </w:r>
    </w:p>
    <w:p w:rsidR="00BB6F9A" w:rsidRDefault="00BB6F9A">
      <w:pPr>
        <w:pStyle w:val="aDef"/>
        <w:keepNext/>
      </w:pPr>
      <w:r>
        <w:rPr>
          <w:rStyle w:val="charBoldItals"/>
        </w:rPr>
        <w:t>transport</w:t>
      </w:r>
      <w:r>
        <w:t xml:space="preserve"> means carriage—</w:t>
      </w:r>
    </w:p>
    <w:p w:rsidR="00BB6F9A" w:rsidRDefault="00BB6F9A">
      <w:pPr>
        <w:pStyle w:val="aDefpara"/>
      </w:pPr>
      <w:r>
        <w:tab/>
        <w:t>(a)</w:t>
      </w:r>
      <w:r>
        <w:tab/>
        <w:t xml:space="preserve">under a contract of carriage; or </w:t>
      </w:r>
    </w:p>
    <w:p w:rsidR="00BB6F9A" w:rsidRDefault="00BB6F9A">
      <w:pPr>
        <w:pStyle w:val="aDefpara"/>
      </w:pPr>
      <w:r>
        <w:tab/>
        <w:t>(b)</w:t>
      </w:r>
      <w:r>
        <w:tab/>
        <w:t>incidental to the carriage of a person for reward.</w:t>
      </w:r>
    </w:p>
    <w:p w:rsidR="00BB6F9A" w:rsidRDefault="00BB6F9A">
      <w:pPr>
        <w:pStyle w:val="AH3Div"/>
      </w:pPr>
      <w:bookmarkStart w:id="130" w:name="_Toc4661392"/>
      <w:r>
        <w:rPr>
          <w:rStyle w:val="CharDivNo"/>
        </w:rPr>
        <w:t>Division 7.2.2</w:t>
      </w:r>
      <w:r>
        <w:rPr>
          <w:snapToGrid w:val="0"/>
        </w:rPr>
        <w:tab/>
      </w:r>
      <w:r>
        <w:rPr>
          <w:rStyle w:val="CharDivText"/>
          <w:snapToGrid w:val="0"/>
        </w:rPr>
        <w:t>When common law liability of carriers not affected</w:t>
      </w:r>
      <w:bookmarkEnd w:id="130"/>
    </w:p>
    <w:p w:rsidR="00BB6F9A" w:rsidRDefault="00BB6F9A">
      <w:pPr>
        <w:pStyle w:val="AH5Sec"/>
      </w:pPr>
      <w:bookmarkStart w:id="131" w:name="_Toc4661393"/>
      <w:r>
        <w:rPr>
          <w:rStyle w:val="CharSectNo"/>
        </w:rPr>
        <w:t>90</w:t>
      </w:r>
      <w:r>
        <w:tab/>
        <w:t xml:space="preserve">Certain things not protected by pt 7.2 </w:t>
      </w:r>
      <w:r>
        <w:rPr>
          <w:b w:val="0"/>
          <w:bCs w:val="0"/>
        </w:rPr>
        <w:t>(CCA s 10)</w:t>
      </w:r>
      <w:bookmarkEnd w:id="131"/>
    </w:p>
    <w:p w:rsidR="00BB6F9A" w:rsidRDefault="00BB6F9A">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BB6F9A" w:rsidRDefault="00BB6F9A">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BB6F9A" w:rsidRDefault="00BB6F9A">
      <w:pPr>
        <w:pStyle w:val="AH5Sec"/>
      </w:pPr>
      <w:bookmarkStart w:id="132" w:name="_Toc4661394"/>
      <w:r>
        <w:rPr>
          <w:rStyle w:val="CharSectNo"/>
        </w:rPr>
        <w:lastRenderedPageBreak/>
        <w:t>91</w:t>
      </w:r>
      <w:r>
        <w:tab/>
        <w:t xml:space="preserve">Public notices by carrier not to affect liability </w:t>
      </w:r>
      <w:r>
        <w:rPr>
          <w:b w:val="0"/>
          <w:bCs w:val="0"/>
        </w:rPr>
        <w:t>(CCA s 7)</w:t>
      </w:r>
      <w:bookmarkEnd w:id="132"/>
    </w:p>
    <w:p w:rsidR="00BB6F9A" w:rsidRDefault="00BB6F9A">
      <w:pPr>
        <w:pStyle w:val="Amainreturn"/>
      </w:pPr>
      <w:r>
        <w:t>A public notice (other than a notice mentioned in section 93 (1) (Notice of increased charge for transport of certain goods) or section 98 (1) (Notice of increased charge for transport of certain animals)) or declaration does not limit or otherwise affect a common carrier’s liability under the common law.</w:t>
      </w:r>
    </w:p>
    <w:p w:rsidR="00BB6F9A" w:rsidRDefault="00BB6F9A">
      <w:pPr>
        <w:pStyle w:val="AH3Div"/>
      </w:pPr>
      <w:bookmarkStart w:id="133" w:name="_Toc4661395"/>
      <w:r>
        <w:rPr>
          <w:rStyle w:val="CharDivNo"/>
        </w:rPr>
        <w:t>Division 7.2.3</w:t>
      </w:r>
      <w:r>
        <w:tab/>
      </w:r>
      <w:r>
        <w:rPr>
          <w:rStyle w:val="CharDivText"/>
        </w:rPr>
        <w:t>Liability of common carriers for certain goods worth more than $20</w:t>
      </w:r>
      <w:bookmarkEnd w:id="133"/>
    </w:p>
    <w:p w:rsidR="00BB6F9A" w:rsidRDefault="00BB6F9A">
      <w:pPr>
        <w:pStyle w:val="AH5Sec"/>
      </w:pPr>
      <w:bookmarkStart w:id="134" w:name="_Toc4661396"/>
      <w:r>
        <w:rPr>
          <w:rStyle w:val="CharSectNo"/>
        </w:rPr>
        <w:t>92</w:t>
      </w:r>
      <w:r>
        <w:tab/>
        <w:t xml:space="preserve">Liability of carriers for certain goods worth more than $20 </w:t>
      </w:r>
      <w:r>
        <w:rPr>
          <w:b w:val="0"/>
          <w:bCs w:val="0"/>
        </w:rPr>
        <w:t>(CCA s 4)</w:t>
      </w:r>
      <w:bookmarkEnd w:id="134"/>
    </w:p>
    <w:p w:rsidR="00BB6F9A" w:rsidRDefault="00BB6F9A">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BB6F9A" w:rsidRDefault="00BB6F9A">
      <w:pPr>
        <w:pStyle w:val="Amain"/>
      </w:pPr>
      <w:r>
        <w:tab/>
        <w:t>(2)</w:t>
      </w:r>
      <w:r>
        <w:tab/>
        <w:t>The common carrier is not liable for more than $20 for the loss of, or damage to, the goods.</w:t>
      </w:r>
    </w:p>
    <w:p w:rsidR="00BB6F9A" w:rsidRDefault="00BB6F9A">
      <w:pPr>
        <w:pStyle w:val="Amain"/>
      </w:pPr>
      <w:r>
        <w:tab/>
        <w:t>(3)</w:t>
      </w:r>
      <w:r>
        <w:tab/>
        <w:t>However, subsection (2) does not apply if—</w:t>
      </w:r>
    </w:p>
    <w:p w:rsidR="00BB6F9A" w:rsidRDefault="00BB6F9A">
      <w:pPr>
        <w:pStyle w:val="Apara"/>
      </w:pPr>
      <w:r>
        <w:tab/>
        <w:t>(a)</w:t>
      </w:r>
      <w:r>
        <w:tab/>
        <w:t>at or before the time the goods are given to the carrier for transport, the person giving the goods declares the nature and value of the goods in the parcel or package; and</w:t>
      </w:r>
    </w:p>
    <w:p w:rsidR="00BB6F9A" w:rsidRDefault="00BB6F9A">
      <w:pPr>
        <w:pStyle w:val="Apara"/>
      </w:pPr>
      <w:r>
        <w:tab/>
        <w:t>(b)</w:t>
      </w:r>
      <w:r>
        <w:tab/>
        <w:t>the person giving the goods pays, or agrees to pay, any increased charge mentioned in section 93 (1) that is asked for by the carrier for the transport of the goods; and</w:t>
      </w:r>
    </w:p>
    <w:p w:rsidR="00BB6F9A" w:rsidRDefault="00BB6F9A">
      <w:pPr>
        <w:pStyle w:val="Apara"/>
      </w:pPr>
      <w:r>
        <w:tab/>
        <w:t>(c)</w:t>
      </w:r>
      <w:r>
        <w:tab/>
        <w:t>the carrier receives the goods for transport.</w:t>
      </w:r>
    </w:p>
    <w:p w:rsidR="00BB6F9A" w:rsidRDefault="00BB6F9A">
      <w:pPr>
        <w:pStyle w:val="AH5Sec"/>
      </w:pPr>
      <w:bookmarkStart w:id="135" w:name="_Toc4661397"/>
      <w:r>
        <w:rPr>
          <w:rStyle w:val="CharSectNo"/>
        </w:rPr>
        <w:lastRenderedPageBreak/>
        <w:t>93</w:t>
      </w:r>
      <w:r>
        <w:tab/>
        <w:t xml:space="preserve">Notice of increased charge for transport of certain goods </w:t>
      </w:r>
      <w:r>
        <w:rPr>
          <w:b w:val="0"/>
          <w:bCs w:val="0"/>
        </w:rPr>
        <w:t>(CCA s 5 (2) and (3), s 6 (2))</w:t>
      </w:r>
      <w:bookmarkEnd w:id="135"/>
    </w:p>
    <w:p w:rsidR="00BB6F9A" w:rsidRDefault="00BB6F9A" w:rsidP="00076C31">
      <w:pPr>
        <w:pStyle w:val="Amain"/>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BB6F9A" w:rsidRDefault="00BB6F9A">
      <w:pPr>
        <w:pStyle w:val="Amain"/>
      </w:pPr>
      <w:r>
        <w:tab/>
        <w:t>(2)</w:t>
      </w:r>
      <w:r>
        <w:tab/>
        <w:t>A person is bound by the notice even if the person does not have actual knowledge of it.</w:t>
      </w:r>
    </w:p>
    <w:p w:rsidR="00BB6F9A" w:rsidRDefault="00BB6F9A">
      <w:pPr>
        <w:pStyle w:val="Amain"/>
      </w:pPr>
      <w:r>
        <w:tab/>
        <w:t>(3)</w:t>
      </w:r>
      <w:r>
        <w:tab/>
        <w:t>If a common carrier receives schedule 2 packaged goods from a person for transport in the circumstances mentioned in section 92 (3) (Liability of carriers for certain goods worth more than $20), but does not comply with subsection (1)—</w:t>
      </w:r>
    </w:p>
    <w:p w:rsidR="00BB6F9A" w:rsidRDefault="00BB6F9A">
      <w:pPr>
        <w:pStyle w:val="Apara"/>
      </w:pPr>
      <w:r>
        <w:tab/>
        <w:t>(a)</w:t>
      </w:r>
      <w:r>
        <w:tab/>
        <w:t>the carrier is liable under the common law for the loss of, or damage to, the goods; and</w:t>
      </w:r>
    </w:p>
    <w:p w:rsidR="00BB6F9A" w:rsidRDefault="00BB6F9A">
      <w:pPr>
        <w:pStyle w:val="Apara"/>
      </w:pPr>
      <w:r>
        <w:tab/>
        <w:t>(b)</w:t>
      </w:r>
      <w:r>
        <w:tab/>
        <w:t>if the person has paid an increased charge for the transport—the carrier must refund the increased charge.</w:t>
      </w:r>
    </w:p>
    <w:p w:rsidR="00BB6F9A" w:rsidRDefault="00BB6F9A">
      <w:pPr>
        <w:pStyle w:val="AH5Sec"/>
      </w:pPr>
      <w:bookmarkStart w:id="136" w:name="_Toc4661398"/>
      <w:r>
        <w:rPr>
          <w:rStyle w:val="CharSectNo"/>
        </w:rPr>
        <w:t>94</w:t>
      </w:r>
      <w:r>
        <w:tab/>
        <w:t xml:space="preserve">Receipt of carrier for increased charge </w:t>
      </w:r>
      <w:r>
        <w:rPr>
          <w:b w:val="0"/>
          <w:bCs w:val="0"/>
        </w:rPr>
        <w:t>(CCA s 6)</w:t>
      </w:r>
      <w:bookmarkEnd w:id="136"/>
    </w:p>
    <w:p w:rsidR="00BB6F9A" w:rsidRDefault="00BB6F9A">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BB6F9A" w:rsidRDefault="00BB6F9A">
      <w:pPr>
        <w:pStyle w:val="Amain"/>
      </w:pPr>
      <w:r>
        <w:tab/>
        <w:t>(2)</w:t>
      </w:r>
      <w:r>
        <w:tab/>
        <w:t>If the carrier does not give the person the receipt—</w:t>
      </w:r>
    </w:p>
    <w:p w:rsidR="00BB6F9A" w:rsidRDefault="00BB6F9A">
      <w:pPr>
        <w:pStyle w:val="Apara"/>
      </w:pPr>
      <w:r>
        <w:tab/>
        <w:t>(a)</w:t>
      </w:r>
      <w:r>
        <w:tab/>
        <w:t>section 92 (2) (Liability of carriers for certain goods worth more than $20) does not apply to the carrier; and</w:t>
      </w:r>
    </w:p>
    <w:p w:rsidR="00BB6F9A" w:rsidRDefault="00BB6F9A">
      <w:pPr>
        <w:pStyle w:val="Apara"/>
      </w:pPr>
      <w:r>
        <w:tab/>
        <w:t>(b)</w:t>
      </w:r>
      <w:r>
        <w:tab/>
        <w:t>the carrier is liable under the common law for the loss of, or damage to, the goods; and</w:t>
      </w:r>
    </w:p>
    <w:p w:rsidR="00BB6F9A" w:rsidRDefault="00BB6F9A">
      <w:pPr>
        <w:pStyle w:val="Apara"/>
      </w:pPr>
      <w:r>
        <w:tab/>
        <w:t>(c)</w:t>
      </w:r>
      <w:r>
        <w:tab/>
        <w:t>if the person has paid an increased charge for the transport—the carrier must refund the increased charge.</w:t>
      </w:r>
    </w:p>
    <w:p w:rsidR="00BB6F9A" w:rsidRDefault="00BB6F9A">
      <w:pPr>
        <w:pStyle w:val="AH5Sec"/>
      </w:pPr>
      <w:bookmarkStart w:id="137" w:name="_Toc4661399"/>
      <w:r>
        <w:rPr>
          <w:rStyle w:val="CharSectNo"/>
        </w:rPr>
        <w:lastRenderedPageBreak/>
        <w:t>95</w:t>
      </w:r>
      <w:r>
        <w:tab/>
        <w:t xml:space="preserve">Carrier only liable for proven amount for certain goods </w:t>
      </w:r>
      <w:r>
        <w:rPr>
          <w:b w:val="0"/>
          <w:bCs w:val="0"/>
        </w:rPr>
        <w:t>(CCA s 11)</w:t>
      </w:r>
      <w:bookmarkEnd w:id="137"/>
    </w:p>
    <w:p w:rsidR="00BB6F9A" w:rsidRDefault="00BB6F9A">
      <w:pPr>
        <w:pStyle w:val="Amain"/>
      </w:pPr>
      <w:r>
        <w:tab/>
        <w:t>(1)</w:t>
      </w:r>
      <w:r>
        <w:tab/>
        <w:t>If—</w:t>
      </w:r>
    </w:p>
    <w:p w:rsidR="00BB6F9A" w:rsidRDefault="00BB6F9A">
      <w:pPr>
        <w:pStyle w:val="Apara"/>
      </w:pPr>
      <w:r>
        <w:tab/>
        <w:t>(a)</w:t>
      </w:r>
      <w:r>
        <w:tab/>
        <w:t>a person gives schedule 2 packaged goods to a common carrier for transport; and</w:t>
      </w:r>
    </w:p>
    <w:p w:rsidR="00BB6F9A" w:rsidRDefault="00BB6F9A">
      <w:pPr>
        <w:pStyle w:val="Apara"/>
      </w:pPr>
      <w:r>
        <w:tab/>
        <w:t>(b)</w:t>
      </w:r>
      <w:r>
        <w:tab/>
        <w:t>the person declares the nature and value of the goods in accordance with this division; and</w:t>
      </w:r>
    </w:p>
    <w:p w:rsidR="00BB6F9A" w:rsidRDefault="00BB6F9A">
      <w:pPr>
        <w:pStyle w:val="Apara"/>
      </w:pPr>
      <w:r>
        <w:tab/>
        <w:t>(c)</w:t>
      </w:r>
      <w:r>
        <w:tab/>
        <w:t>the person pays, or agrees to pay, any increased charge mentioned in section 93 (1) that is asked for by the carrier for the transport of the goods; and</w:t>
      </w:r>
    </w:p>
    <w:p w:rsidR="00BB6F9A" w:rsidRDefault="00BB6F9A">
      <w:pPr>
        <w:pStyle w:val="Apara"/>
      </w:pPr>
      <w:r>
        <w:tab/>
        <w:t>(d)</w:t>
      </w:r>
      <w:r>
        <w:tab/>
        <w:t>the carrier receives the goods for transport, but the goods are lost or damaged;</w:t>
      </w:r>
    </w:p>
    <w:p w:rsidR="00BB6F9A" w:rsidRDefault="00BB6F9A">
      <w:pPr>
        <w:pStyle w:val="Amainreturn"/>
      </w:pPr>
      <w:r>
        <w:t>the carrier is liable for not more than the proven amount for the goods.</w:t>
      </w:r>
    </w:p>
    <w:p w:rsidR="00BB6F9A" w:rsidRDefault="00BB6F9A">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BB6F9A" w:rsidRDefault="00BB6F9A">
      <w:pPr>
        <w:pStyle w:val="Amain"/>
        <w:keepNext/>
      </w:pPr>
      <w:r>
        <w:tab/>
        <w:t>(3)</w:t>
      </w:r>
      <w:r>
        <w:tab/>
        <w:t>In this section:</w:t>
      </w:r>
    </w:p>
    <w:p w:rsidR="00BB6F9A" w:rsidRDefault="00BB6F9A">
      <w:pPr>
        <w:pStyle w:val="aDef"/>
      </w:pPr>
      <w:r>
        <w:rPr>
          <w:rStyle w:val="charBoldItals"/>
        </w:rPr>
        <w:t>proven amount</w:t>
      </w:r>
      <w:r>
        <w:t>, for goods, means the lesser of the actual or declared value of the goods.</w:t>
      </w:r>
    </w:p>
    <w:p w:rsidR="00BB6F9A" w:rsidRDefault="00BB6F9A">
      <w:pPr>
        <w:pStyle w:val="AH3Div"/>
      </w:pPr>
      <w:bookmarkStart w:id="138" w:name="_Toc4661400"/>
      <w:r>
        <w:rPr>
          <w:rStyle w:val="CharDivNo"/>
        </w:rPr>
        <w:t>Division 7.2.4</w:t>
      </w:r>
      <w:r>
        <w:tab/>
      </w:r>
      <w:r>
        <w:rPr>
          <w:rStyle w:val="CharDivText"/>
        </w:rPr>
        <w:t>Liability of common carriers for certain animals</w:t>
      </w:r>
      <w:bookmarkEnd w:id="138"/>
    </w:p>
    <w:p w:rsidR="00BB6F9A" w:rsidRDefault="00BB6F9A">
      <w:pPr>
        <w:pStyle w:val="AH5Sec"/>
      </w:pPr>
      <w:bookmarkStart w:id="139" w:name="_Toc4661401"/>
      <w:r>
        <w:rPr>
          <w:rStyle w:val="CharSectNo"/>
        </w:rPr>
        <w:t>96</w:t>
      </w:r>
      <w:r>
        <w:tab/>
        <w:t>Definitions for div 7.2.4</w:t>
      </w:r>
      <w:bookmarkEnd w:id="139"/>
    </w:p>
    <w:p w:rsidR="00BB6F9A" w:rsidRDefault="00BB6F9A">
      <w:pPr>
        <w:pStyle w:val="Amainreturn"/>
        <w:keepNext/>
      </w:pPr>
      <w:r>
        <w:t>In this division:</w:t>
      </w:r>
    </w:p>
    <w:p w:rsidR="00BB6F9A" w:rsidRDefault="00BB6F9A">
      <w:pPr>
        <w:pStyle w:val="aDef"/>
      </w:pPr>
      <w:r>
        <w:rPr>
          <w:rStyle w:val="charBoldItals"/>
        </w:rPr>
        <w:t>animal</w:t>
      </w:r>
      <w:r>
        <w:t xml:space="preserve"> means a horse, cattle, sheep or pig.</w:t>
      </w:r>
    </w:p>
    <w:p w:rsidR="00BB6F9A" w:rsidRDefault="00BB6F9A">
      <w:pPr>
        <w:pStyle w:val="aDef"/>
      </w:pPr>
      <w:r>
        <w:rPr>
          <w:rStyle w:val="charBoldItals"/>
        </w:rPr>
        <w:t>default value</w:t>
      </w:r>
      <w:r>
        <w:t>, for an animal, means the amount mentioned in section 97, table 1, column 3 for the animal.</w:t>
      </w:r>
    </w:p>
    <w:p w:rsidR="00BB6F9A" w:rsidRDefault="00BB6F9A">
      <w:pPr>
        <w:pStyle w:val="AH5Sec"/>
      </w:pPr>
      <w:bookmarkStart w:id="140" w:name="_Toc4661402"/>
      <w:r>
        <w:rPr>
          <w:rStyle w:val="CharSectNo"/>
        </w:rPr>
        <w:lastRenderedPageBreak/>
        <w:t>97</w:t>
      </w:r>
      <w:r>
        <w:tab/>
        <w:t xml:space="preserve">Liability of carriers for certain animals </w:t>
      </w:r>
      <w:r>
        <w:rPr>
          <w:b w:val="0"/>
          <w:bCs w:val="0"/>
        </w:rPr>
        <w:t>(CCA s 9 (b))</w:t>
      </w:r>
      <w:bookmarkEnd w:id="140"/>
    </w:p>
    <w:p w:rsidR="00BB6F9A" w:rsidRDefault="00BB6F9A">
      <w:pPr>
        <w:pStyle w:val="Amain"/>
      </w:pPr>
      <w:r>
        <w:tab/>
        <w:t>(1)</w:t>
      </w:r>
      <w:r>
        <w:tab/>
        <w:t>This section applies if—</w:t>
      </w:r>
    </w:p>
    <w:p w:rsidR="00BB6F9A" w:rsidRDefault="00BB6F9A">
      <w:pPr>
        <w:pStyle w:val="Apara"/>
      </w:pPr>
      <w:r>
        <w:tab/>
        <w:t>(a)</w:t>
      </w:r>
      <w:r>
        <w:tab/>
        <w:t>an animal is given to a common carrier for transport; and</w:t>
      </w:r>
    </w:p>
    <w:p w:rsidR="00BB6F9A" w:rsidRDefault="00BB6F9A">
      <w:pPr>
        <w:pStyle w:val="Apara"/>
      </w:pPr>
      <w:r>
        <w:tab/>
        <w:t>(b)</w:t>
      </w:r>
      <w:r>
        <w:tab/>
        <w:t>the animal is worth more than the default value.</w:t>
      </w:r>
    </w:p>
    <w:p w:rsidR="00BB6F9A" w:rsidRDefault="00BB6F9A">
      <w:pPr>
        <w:pStyle w:val="Amain"/>
      </w:pPr>
      <w:r>
        <w:tab/>
        <w:t>(2)</w:t>
      </w:r>
      <w:r>
        <w:tab/>
        <w:t>The common carrier is not liable for more than the default value for the loss of, or damage to, the animal.</w:t>
      </w:r>
    </w:p>
    <w:p w:rsidR="00BB6F9A" w:rsidRDefault="00BB6F9A">
      <w:pPr>
        <w:pStyle w:val="Amain"/>
      </w:pPr>
      <w:r>
        <w:tab/>
        <w:t>(3)</w:t>
      </w:r>
      <w:r>
        <w:tab/>
        <w:t>However, subsection (2) does not apply if—</w:t>
      </w:r>
    </w:p>
    <w:p w:rsidR="00BB6F9A" w:rsidRDefault="00BB6F9A">
      <w:pPr>
        <w:pStyle w:val="Apara"/>
      </w:pPr>
      <w:r>
        <w:tab/>
        <w:t>(a)</w:t>
      </w:r>
      <w:r>
        <w:tab/>
        <w:t>at or before the time the animal is given to the carrier for transport, the person giving the animal declares the value of the animal; and</w:t>
      </w:r>
    </w:p>
    <w:p w:rsidR="00BB6F9A" w:rsidRDefault="00BB6F9A">
      <w:pPr>
        <w:pStyle w:val="Apara"/>
      </w:pPr>
      <w:r>
        <w:tab/>
        <w:t>(b)</w:t>
      </w:r>
      <w:r>
        <w:tab/>
        <w:t>the person giving the animal pays, or agrees to pay, any increased charge mentioned in section 98 (1) that is asked for by the carrier for the transport of the animal; and</w:t>
      </w:r>
    </w:p>
    <w:p w:rsidR="00BB6F9A" w:rsidRDefault="00BB6F9A">
      <w:pPr>
        <w:pStyle w:val="Apara"/>
      </w:pPr>
      <w:r>
        <w:tab/>
        <w:t>(c)</w:t>
      </w:r>
      <w:r>
        <w:tab/>
        <w:t>the carrier receives the animal for transport.</w:t>
      </w:r>
    </w:p>
    <w:p w:rsidR="00BB6F9A" w:rsidRDefault="00BB6F9A">
      <w:pPr>
        <w:pStyle w:val="TableHd"/>
        <w:ind w:hanging="480"/>
      </w:pPr>
      <w:r>
        <w:t>Table 1</w:t>
      </w:r>
      <w:r>
        <w:tab/>
      </w:r>
      <w:r>
        <w:tab/>
        <w:t>Default value for certain animals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BB6F9A">
        <w:trPr>
          <w:cantSplit/>
          <w:tblHeader/>
        </w:trPr>
        <w:tc>
          <w:tcPr>
            <w:tcW w:w="1440" w:type="dxa"/>
          </w:tcPr>
          <w:p w:rsidR="00BB6F9A" w:rsidRDefault="00BB6F9A">
            <w:pPr>
              <w:pStyle w:val="TableColHd"/>
            </w:pPr>
            <w:r>
              <w:t>column 1</w:t>
            </w:r>
          </w:p>
          <w:p w:rsidR="00BB6F9A" w:rsidRDefault="00BB6F9A">
            <w:pPr>
              <w:pStyle w:val="TableColHd"/>
            </w:pPr>
            <w:r>
              <w:t>item</w:t>
            </w:r>
          </w:p>
        </w:tc>
        <w:tc>
          <w:tcPr>
            <w:tcW w:w="1920" w:type="dxa"/>
          </w:tcPr>
          <w:p w:rsidR="00BB6F9A" w:rsidRDefault="00BB6F9A">
            <w:pPr>
              <w:pStyle w:val="TableColHd"/>
            </w:pPr>
            <w:r>
              <w:t>column 2</w:t>
            </w:r>
            <w:r>
              <w:br/>
              <w:t>animal</w:t>
            </w:r>
          </w:p>
        </w:tc>
        <w:tc>
          <w:tcPr>
            <w:tcW w:w="2040" w:type="dxa"/>
          </w:tcPr>
          <w:p w:rsidR="00BB6F9A" w:rsidRDefault="00BB6F9A">
            <w:pPr>
              <w:pStyle w:val="TableColHd"/>
            </w:pPr>
            <w:r>
              <w:t>column 3</w:t>
            </w:r>
            <w:r>
              <w:br/>
              <w:t>amount per animal</w:t>
            </w:r>
          </w:p>
        </w:tc>
      </w:tr>
      <w:tr w:rsidR="00BB6F9A">
        <w:trPr>
          <w:cantSplit/>
        </w:trPr>
        <w:tc>
          <w:tcPr>
            <w:tcW w:w="1440" w:type="dxa"/>
          </w:tcPr>
          <w:p w:rsidR="00BB6F9A" w:rsidRDefault="00BB6F9A">
            <w:pPr>
              <w:pStyle w:val="TableText"/>
            </w:pPr>
            <w:r>
              <w:t>1</w:t>
            </w:r>
          </w:p>
        </w:tc>
        <w:tc>
          <w:tcPr>
            <w:tcW w:w="1920" w:type="dxa"/>
          </w:tcPr>
          <w:p w:rsidR="00BB6F9A" w:rsidRDefault="00BB6F9A">
            <w:pPr>
              <w:pStyle w:val="TableText"/>
            </w:pPr>
            <w:r>
              <w:t>horse</w:t>
            </w:r>
          </w:p>
        </w:tc>
        <w:tc>
          <w:tcPr>
            <w:tcW w:w="2040" w:type="dxa"/>
          </w:tcPr>
          <w:p w:rsidR="00BB6F9A" w:rsidRDefault="00BB6F9A">
            <w:pPr>
              <w:pStyle w:val="TableText"/>
            </w:pPr>
            <w:r>
              <w:t>$100</w:t>
            </w:r>
          </w:p>
        </w:tc>
      </w:tr>
      <w:tr w:rsidR="00BB6F9A">
        <w:trPr>
          <w:cantSplit/>
        </w:trPr>
        <w:tc>
          <w:tcPr>
            <w:tcW w:w="1440" w:type="dxa"/>
          </w:tcPr>
          <w:p w:rsidR="00BB6F9A" w:rsidRDefault="00BB6F9A">
            <w:pPr>
              <w:pStyle w:val="TableText"/>
            </w:pPr>
            <w:r>
              <w:t>2</w:t>
            </w:r>
          </w:p>
        </w:tc>
        <w:tc>
          <w:tcPr>
            <w:tcW w:w="1920" w:type="dxa"/>
          </w:tcPr>
          <w:p w:rsidR="00BB6F9A" w:rsidRDefault="00BB6F9A">
            <w:pPr>
              <w:pStyle w:val="TableText"/>
            </w:pPr>
            <w:r>
              <w:t>cattle</w:t>
            </w:r>
          </w:p>
        </w:tc>
        <w:tc>
          <w:tcPr>
            <w:tcW w:w="2040" w:type="dxa"/>
          </w:tcPr>
          <w:p w:rsidR="00BB6F9A" w:rsidRDefault="00BB6F9A">
            <w:pPr>
              <w:pStyle w:val="TableText"/>
            </w:pPr>
            <w:r>
              <w:t>$30</w:t>
            </w:r>
          </w:p>
        </w:tc>
      </w:tr>
      <w:tr w:rsidR="00BB6F9A">
        <w:trPr>
          <w:cantSplit/>
        </w:trPr>
        <w:tc>
          <w:tcPr>
            <w:tcW w:w="1440" w:type="dxa"/>
          </w:tcPr>
          <w:p w:rsidR="00BB6F9A" w:rsidRDefault="00BB6F9A">
            <w:pPr>
              <w:pStyle w:val="TableText"/>
            </w:pPr>
            <w:r>
              <w:t>3</w:t>
            </w:r>
          </w:p>
        </w:tc>
        <w:tc>
          <w:tcPr>
            <w:tcW w:w="1920" w:type="dxa"/>
          </w:tcPr>
          <w:p w:rsidR="00BB6F9A" w:rsidRDefault="00BB6F9A">
            <w:pPr>
              <w:pStyle w:val="TableText"/>
            </w:pPr>
            <w:r>
              <w:t>sheep</w:t>
            </w:r>
          </w:p>
        </w:tc>
        <w:tc>
          <w:tcPr>
            <w:tcW w:w="2040" w:type="dxa"/>
          </w:tcPr>
          <w:p w:rsidR="00BB6F9A" w:rsidRDefault="00BB6F9A">
            <w:pPr>
              <w:pStyle w:val="TableText"/>
            </w:pPr>
            <w:r>
              <w:t>$4</w:t>
            </w:r>
          </w:p>
        </w:tc>
      </w:tr>
      <w:tr w:rsidR="00BB6F9A">
        <w:trPr>
          <w:cantSplit/>
        </w:trPr>
        <w:tc>
          <w:tcPr>
            <w:tcW w:w="1440" w:type="dxa"/>
          </w:tcPr>
          <w:p w:rsidR="00BB6F9A" w:rsidRDefault="00BB6F9A">
            <w:pPr>
              <w:pStyle w:val="TableText"/>
            </w:pPr>
            <w:r>
              <w:t>4</w:t>
            </w:r>
          </w:p>
        </w:tc>
        <w:tc>
          <w:tcPr>
            <w:tcW w:w="1920" w:type="dxa"/>
          </w:tcPr>
          <w:p w:rsidR="00BB6F9A" w:rsidRDefault="00BB6F9A">
            <w:pPr>
              <w:pStyle w:val="TableText"/>
            </w:pPr>
            <w:r>
              <w:t>pig</w:t>
            </w:r>
          </w:p>
        </w:tc>
        <w:tc>
          <w:tcPr>
            <w:tcW w:w="2040" w:type="dxa"/>
          </w:tcPr>
          <w:p w:rsidR="00BB6F9A" w:rsidRDefault="00BB6F9A">
            <w:pPr>
              <w:pStyle w:val="TableText"/>
            </w:pPr>
            <w:r>
              <w:t>$4</w:t>
            </w:r>
          </w:p>
        </w:tc>
      </w:tr>
    </w:tbl>
    <w:p w:rsidR="00BB6F9A" w:rsidRDefault="00BB6F9A">
      <w:pPr>
        <w:pStyle w:val="AH5Sec"/>
      </w:pPr>
      <w:bookmarkStart w:id="141" w:name="_Toc4661403"/>
      <w:r>
        <w:rPr>
          <w:rStyle w:val="CharSectNo"/>
        </w:rPr>
        <w:lastRenderedPageBreak/>
        <w:t>98</w:t>
      </w:r>
      <w:r>
        <w:tab/>
        <w:t xml:space="preserve">Notice of increased charge for transport of certain animals </w:t>
      </w:r>
      <w:r>
        <w:rPr>
          <w:b w:val="0"/>
          <w:bCs w:val="0"/>
        </w:rPr>
        <w:t>(CCA s 9 (b))</w:t>
      </w:r>
      <w:bookmarkEnd w:id="141"/>
    </w:p>
    <w:p w:rsidR="00BB6F9A" w:rsidRDefault="00BB6F9A" w:rsidP="00076C31">
      <w:pPr>
        <w:pStyle w:val="Amain"/>
        <w:keepLines/>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BB6F9A" w:rsidRDefault="00BB6F9A">
      <w:pPr>
        <w:pStyle w:val="Amain"/>
      </w:pPr>
      <w:r>
        <w:tab/>
        <w:t>(2)</w:t>
      </w:r>
      <w:r>
        <w:tab/>
        <w:t>A person is bound by the notice even if the person does not have actual knowledge of it.</w:t>
      </w:r>
    </w:p>
    <w:p w:rsidR="00BB6F9A" w:rsidRDefault="00BB6F9A">
      <w:pPr>
        <w:pStyle w:val="AH5Sec"/>
      </w:pPr>
      <w:bookmarkStart w:id="142" w:name="_Toc4661404"/>
      <w:r>
        <w:rPr>
          <w:rStyle w:val="CharSectNo"/>
        </w:rPr>
        <w:t>99</w:t>
      </w:r>
      <w:r>
        <w:tab/>
        <w:t xml:space="preserve">Carrier only liable for proven amount for certain animals </w:t>
      </w:r>
      <w:r>
        <w:rPr>
          <w:b w:val="0"/>
          <w:bCs w:val="0"/>
        </w:rPr>
        <w:t>(CCA s 11)</w:t>
      </w:r>
      <w:bookmarkEnd w:id="142"/>
    </w:p>
    <w:p w:rsidR="00BB6F9A" w:rsidRDefault="00BB6F9A">
      <w:pPr>
        <w:pStyle w:val="Amain"/>
      </w:pPr>
      <w:r>
        <w:tab/>
        <w:t>(1)</w:t>
      </w:r>
      <w:r>
        <w:tab/>
        <w:t>If—</w:t>
      </w:r>
    </w:p>
    <w:p w:rsidR="00BB6F9A" w:rsidRDefault="00BB6F9A">
      <w:pPr>
        <w:pStyle w:val="Apara"/>
      </w:pPr>
      <w:r>
        <w:tab/>
        <w:t>(a)</w:t>
      </w:r>
      <w:r>
        <w:tab/>
        <w:t>a person gives an animal to a common carrier for transport; and</w:t>
      </w:r>
    </w:p>
    <w:p w:rsidR="00BB6F9A" w:rsidRDefault="00BB6F9A">
      <w:pPr>
        <w:pStyle w:val="Apara"/>
      </w:pPr>
      <w:r>
        <w:tab/>
        <w:t>(b)</w:t>
      </w:r>
      <w:r>
        <w:tab/>
        <w:t>the person declares the value of the animal in accordance with this division; and</w:t>
      </w:r>
    </w:p>
    <w:p w:rsidR="00BB6F9A" w:rsidRDefault="00BB6F9A">
      <w:pPr>
        <w:pStyle w:val="Apara"/>
      </w:pPr>
      <w:r>
        <w:tab/>
        <w:t>(c)</w:t>
      </w:r>
      <w:r>
        <w:tab/>
        <w:t>the person pays, or agrees to pay, any increased charge mentioned in section 98 (1) that is asked for by the carrier for the transport of the animal; and</w:t>
      </w:r>
    </w:p>
    <w:p w:rsidR="00BB6F9A" w:rsidRDefault="00BB6F9A">
      <w:pPr>
        <w:pStyle w:val="Apara"/>
      </w:pPr>
      <w:r>
        <w:tab/>
        <w:t>(d)</w:t>
      </w:r>
      <w:r>
        <w:tab/>
        <w:t>the carrier receives the animal for transport, but the animal is lost or damaged;</w:t>
      </w:r>
    </w:p>
    <w:p w:rsidR="00BB6F9A" w:rsidRDefault="00BB6F9A">
      <w:pPr>
        <w:pStyle w:val="Amainreturn"/>
      </w:pPr>
      <w:r>
        <w:t>the carrier is liable for not more than the proven amount for the animal.</w:t>
      </w:r>
    </w:p>
    <w:p w:rsidR="00BB6F9A" w:rsidRDefault="00BB6F9A">
      <w:pPr>
        <w:pStyle w:val="Amain"/>
      </w:pPr>
      <w:r>
        <w:tab/>
        <w:t>(2)</w:t>
      </w:r>
      <w:r>
        <w:tab/>
        <w:t>Subsection (1) has effect despite the declaration of the value of the animal or the acceptance of the declared value by the common carrier before or at the time the animal was accepted for transport.</w:t>
      </w:r>
    </w:p>
    <w:p w:rsidR="00BB6F9A" w:rsidRDefault="00BB6F9A">
      <w:pPr>
        <w:pStyle w:val="Amain"/>
        <w:keepNext/>
      </w:pPr>
      <w:r>
        <w:tab/>
        <w:t>(3)</w:t>
      </w:r>
      <w:r>
        <w:tab/>
        <w:t>In this section:</w:t>
      </w:r>
    </w:p>
    <w:p w:rsidR="00BB6F9A" w:rsidRDefault="00BB6F9A">
      <w:pPr>
        <w:pStyle w:val="aDef"/>
      </w:pPr>
      <w:r>
        <w:rPr>
          <w:rStyle w:val="charBoldItals"/>
        </w:rPr>
        <w:t>proven amount</w:t>
      </w:r>
      <w:r>
        <w:t>, for an animal, means the lesser of the actual or declared value of the animal.</w:t>
      </w:r>
    </w:p>
    <w:p w:rsidR="00BB6F9A" w:rsidRDefault="00BB6F9A">
      <w:pPr>
        <w:pStyle w:val="AH3Div"/>
      </w:pPr>
      <w:bookmarkStart w:id="143" w:name="_Toc4661405"/>
      <w:r>
        <w:rPr>
          <w:rStyle w:val="CharDivNo"/>
        </w:rPr>
        <w:lastRenderedPageBreak/>
        <w:t>Division 7.2.5</w:t>
      </w:r>
      <w:r>
        <w:tab/>
      </w:r>
      <w:r>
        <w:rPr>
          <w:rStyle w:val="CharDivText"/>
        </w:rPr>
        <w:t>Notice, condition or declaration of carrier</w:t>
      </w:r>
      <w:bookmarkEnd w:id="143"/>
    </w:p>
    <w:p w:rsidR="00BB6F9A" w:rsidRDefault="00BB6F9A">
      <w:pPr>
        <w:pStyle w:val="AH5Sec"/>
      </w:pPr>
      <w:bookmarkStart w:id="144" w:name="_Toc4661406"/>
      <w:r>
        <w:rPr>
          <w:rStyle w:val="CharSectNo"/>
        </w:rPr>
        <w:t>100</w:t>
      </w:r>
      <w:r>
        <w:tab/>
        <w:t xml:space="preserve">Carrier liable for neglect or default despite notice etc </w:t>
      </w:r>
      <w:r>
        <w:rPr>
          <w:b w:val="0"/>
          <w:bCs w:val="0"/>
        </w:rPr>
        <w:t>(CCA s 9 , 9 (a), (c))</w:t>
      </w:r>
      <w:bookmarkEnd w:id="144"/>
    </w:p>
    <w:p w:rsidR="00BB6F9A" w:rsidRDefault="00BB6F9A">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BB6F9A" w:rsidRDefault="00BB6F9A">
      <w:pPr>
        <w:pStyle w:val="Amain"/>
      </w:pPr>
      <w:r>
        <w:tab/>
        <w:t>(2)</w:t>
      </w:r>
      <w:r>
        <w:tab/>
        <w:t>A notice, condition or declaration mentioned in subsection (1) is void.</w:t>
      </w:r>
    </w:p>
    <w:p w:rsidR="00BB6F9A" w:rsidRDefault="00BB6F9A">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BB6F9A" w:rsidRDefault="00BB6F9A">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BB6F9A" w:rsidRDefault="00BB6F9A">
      <w:pPr>
        <w:pStyle w:val="Amain"/>
        <w:rPr>
          <w:snapToGrid w:val="0"/>
        </w:rPr>
      </w:pPr>
      <w:r>
        <w:rPr>
          <w:snapToGrid w:val="0"/>
        </w:rPr>
        <w:tab/>
        <w:t>(5)</w:t>
      </w:r>
      <w:r>
        <w:rPr>
          <w:snapToGrid w:val="0"/>
        </w:rPr>
        <w:tab/>
      </w:r>
      <w:r>
        <w:t>This section does not affect a common carrier’s rights or liabilities under division 7.2.3 (Certain goods worth more than $20).</w:t>
      </w:r>
    </w:p>
    <w:p w:rsidR="00BB6F9A" w:rsidRDefault="00BB6F9A">
      <w:pPr>
        <w:pStyle w:val="Amain"/>
        <w:keepNext/>
        <w:rPr>
          <w:snapToGrid w:val="0"/>
        </w:rPr>
      </w:pPr>
      <w:r>
        <w:rPr>
          <w:snapToGrid w:val="0"/>
        </w:rPr>
        <w:tab/>
        <w:t>(6)</w:t>
      </w:r>
      <w:r>
        <w:rPr>
          <w:snapToGrid w:val="0"/>
        </w:rPr>
        <w:tab/>
        <w:t>In this section:</w:t>
      </w:r>
    </w:p>
    <w:p w:rsidR="00BB6F9A" w:rsidRDefault="00BB6F9A">
      <w:pPr>
        <w:pStyle w:val="aDef"/>
        <w:rPr>
          <w:snapToGrid w:val="0"/>
        </w:rPr>
      </w:pPr>
      <w:r>
        <w:rPr>
          <w:rStyle w:val="charBoldItals"/>
        </w:rPr>
        <w:t>notice</w:t>
      </w:r>
      <w:r>
        <w:rPr>
          <w:snapToGrid w:val="0"/>
        </w:rPr>
        <w:t xml:space="preserve"> does not include</w:t>
      </w:r>
      <w:r>
        <w:t xml:space="preserve"> a notice mentioned in section 93 (1) (Notice of increased charge for transport of certain goods) or section 98 (1) (Notice of increased charge for transport of certain animals).</w:t>
      </w:r>
    </w:p>
    <w:p w:rsidR="00BB6F9A" w:rsidRDefault="00BB6F9A">
      <w:pPr>
        <w:pStyle w:val="PageBreak"/>
      </w:pPr>
      <w:r>
        <w:br w:type="page"/>
      </w:r>
    </w:p>
    <w:p w:rsidR="00BB6F9A" w:rsidRDefault="00BB6F9A">
      <w:pPr>
        <w:pStyle w:val="AH1Chapter"/>
      </w:pPr>
      <w:bookmarkStart w:id="145" w:name="_Toc4661407"/>
      <w:r>
        <w:rPr>
          <w:rStyle w:val="CharChapNo"/>
        </w:rPr>
        <w:lastRenderedPageBreak/>
        <w:t>Chapter 8</w:t>
      </w:r>
      <w:r>
        <w:tab/>
      </w:r>
      <w:r>
        <w:rPr>
          <w:rStyle w:val="CharChapText"/>
        </w:rPr>
        <w:t>Other liability provisions</w:t>
      </w:r>
      <w:bookmarkEnd w:id="145"/>
    </w:p>
    <w:p w:rsidR="00BB6F9A" w:rsidRDefault="00BB6F9A">
      <w:pPr>
        <w:pStyle w:val="AH2Part"/>
      </w:pPr>
      <w:bookmarkStart w:id="146" w:name="_Toc4661408"/>
      <w:r>
        <w:rPr>
          <w:rStyle w:val="CharPartNo"/>
        </w:rPr>
        <w:t>Part 8.1</w:t>
      </w:r>
      <w:r>
        <w:tab/>
      </w:r>
      <w:r>
        <w:rPr>
          <w:rStyle w:val="CharPartText"/>
        </w:rPr>
        <w:t>Occupiers liability</w:t>
      </w:r>
      <w:bookmarkEnd w:id="146"/>
    </w:p>
    <w:p w:rsidR="00BB6F9A" w:rsidRDefault="00BB6F9A">
      <w:pPr>
        <w:pStyle w:val="Placeholder"/>
      </w:pPr>
      <w:r>
        <w:rPr>
          <w:rStyle w:val="CharDivNo"/>
        </w:rPr>
        <w:t xml:space="preserve">  </w:t>
      </w:r>
      <w:r>
        <w:rPr>
          <w:rStyle w:val="CharDivText"/>
        </w:rPr>
        <w:t xml:space="preserve">  </w:t>
      </w:r>
    </w:p>
    <w:p w:rsidR="00BB6F9A" w:rsidRDefault="00BB6F9A">
      <w:pPr>
        <w:pStyle w:val="AH5Sec"/>
      </w:pPr>
      <w:bookmarkStart w:id="147" w:name="_Toc4661409"/>
      <w:r>
        <w:rPr>
          <w:rStyle w:val="CharSectNo"/>
        </w:rPr>
        <w:t>101</w:t>
      </w:r>
      <w:r>
        <w:tab/>
        <w:t>Liability of occupiers</w:t>
      </w:r>
      <w:bookmarkEnd w:id="147"/>
    </w:p>
    <w:p w:rsidR="00BB6F9A" w:rsidRDefault="00BB6F9A">
      <w:pPr>
        <w:pStyle w:val="Amain"/>
      </w:pPr>
      <w:r>
        <w:tab/>
        <w:t>(1)</w:t>
      </w:r>
      <w:r>
        <w:tab/>
        <w:t>An occupier of premises owes a duty to take all care that is reasonable in the circumstances to ensure that anyone on the premises does not suffer injury or damage because of—</w:t>
      </w:r>
    </w:p>
    <w:p w:rsidR="00BB6F9A" w:rsidRDefault="00BB6F9A">
      <w:pPr>
        <w:pStyle w:val="Apara"/>
      </w:pPr>
      <w:r>
        <w:tab/>
        <w:t>(a)</w:t>
      </w:r>
      <w:r>
        <w:tab/>
        <w:t xml:space="preserve">the state of the premises; or </w:t>
      </w:r>
    </w:p>
    <w:p w:rsidR="00BB6F9A" w:rsidRDefault="00BB6F9A">
      <w:pPr>
        <w:pStyle w:val="Apara"/>
      </w:pPr>
      <w:r>
        <w:tab/>
        <w:t>(b)</w:t>
      </w:r>
      <w:r>
        <w:tab/>
        <w:t xml:space="preserve">things done or omitted to be done about the state of the premises. </w:t>
      </w:r>
    </w:p>
    <w:p w:rsidR="00BB6F9A" w:rsidRDefault="00BB6F9A">
      <w:pPr>
        <w:pStyle w:val="Amain"/>
        <w:keepNext/>
      </w:pPr>
      <w:r>
        <w:tab/>
        <w:t>(2)</w:t>
      </w:r>
      <w:r>
        <w:tab/>
        <w:t>Without limiting subsection (1), in deciding whether the duty of care has been discharged consideration must be given to the following:</w:t>
      </w:r>
    </w:p>
    <w:p w:rsidR="00BB6F9A" w:rsidRDefault="00BB6F9A">
      <w:pPr>
        <w:pStyle w:val="Apara"/>
      </w:pPr>
      <w:r>
        <w:tab/>
        <w:t>(a)</w:t>
      </w:r>
      <w:r>
        <w:tab/>
        <w:t xml:space="preserve">the gravity and likelihood of the probable injury; </w:t>
      </w:r>
    </w:p>
    <w:p w:rsidR="00BB6F9A" w:rsidRDefault="00BB6F9A">
      <w:pPr>
        <w:pStyle w:val="Apara"/>
      </w:pPr>
      <w:r>
        <w:tab/>
        <w:t>(b)</w:t>
      </w:r>
      <w:r>
        <w:tab/>
        <w:t xml:space="preserve">the circumstances of the entry onto the premises; </w:t>
      </w:r>
    </w:p>
    <w:p w:rsidR="00BB6F9A" w:rsidRDefault="00BB6F9A">
      <w:pPr>
        <w:pStyle w:val="Apara"/>
      </w:pPr>
      <w:r>
        <w:tab/>
        <w:t>(c)</w:t>
      </w:r>
      <w:r>
        <w:tab/>
        <w:t xml:space="preserve">the nature of the premises; </w:t>
      </w:r>
    </w:p>
    <w:p w:rsidR="00BB6F9A" w:rsidRDefault="00BB6F9A">
      <w:pPr>
        <w:pStyle w:val="Apara"/>
      </w:pPr>
      <w:r>
        <w:tab/>
        <w:t>(d)</w:t>
      </w:r>
      <w:r>
        <w:tab/>
        <w:t xml:space="preserve">the knowledge the occupier has or should have about the likelihood of people or property being on the premises; </w:t>
      </w:r>
    </w:p>
    <w:p w:rsidR="00BB6F9A" w:rsidRDefault="00BB6F9A">
      <w:pPr>
        <w:pStyle w:val="Apara"/>
      </w:pPr>
      <w:r>
        <w:tab/>
        <w:t>(e)</w:t>
      </w:r>
      <w:r>
        <w:tab/>
        <w:t xml:space="preserve">the age of the person entering the premises; </w:t>
      </w:r>
    </w:p>
    <w:p w:rsidR="00BB6F9A" w:rsidRDefault="00BB6F9A">
      <w:pPr>
        <w:pStyle w:val="Apara"/>
      </w:pPr>
      <w:r>
        <w:tab/>
        <w:t>(f)</w:t>
      </w:r>
      <w:r>
        <w:tab/>
        <w:t xml:space="preserve">the ability of the person entering the premises to appreciate the danger; </w:t>
      </w:r>
    </w:p>
    <w:p w:rsidR="00BB6F9A" w:rsidRDefault="00BB6F9A">
      <w:pPr>
        <w:pStyle w:val="Apara"/>
      </w:pPr>
      <w:r>
        <w:tab/>
        <w:t>(g)</w:t>
      </w:r>
      <w:r>
        <w:tab/>
        <w:t>the burden on the occupier of removing the danger or protecting the person entering the premises from the danger as compared to the risk of the danger to the person.</w:t>
      </w:r>
    </w:p>
    <w:p w:rsidR="00BB6F9A" w:rsidRDefault="00BB6F9A">
      <w:pPr>
        <w:pStyle w:val="Amain"/>
        <w:keepLines/>
      </w:pPr>
      <w:r>
        <w:tab/>
        <w:t>(3)</w:t>
      </w:r>
      <w:r>
        <w:tab/>
        <w:t>Part 4.1 (General exclusions and limitations about damages) and part 4.3 (Contributory negligence), other than section 41 (2), apply in relation to a claim brought by a person against an occupier of premises in relation to injury or damage.</w:t>
      </w:r>
    </w:p>
    <w:p w:rsidR="00BB6F9A" w:rsidRDefault="00BB6F9A">
      <w:pPr>
        <w:pStyle w:val="Amain"/>
      </w:pPr>
      <w:r>
        <w:lastRenderedPageBreak/>
        <w:tab/>
        <w:t>(4)</w:t>
      </w:r>
      <w:r>
        <w:tab/>
        <w:t>This section replaces the common law rules about the standard of care an occupier of premises must show to people entering on the premises in relation to any dangers to them.</w:t>
      </w:r>
    </w:p>
    <w:p w:rsidR="00BB6F9A" w:rsidRDefault="00BB6F9A">
      <w:pPr>
        <w:pStyle w:val="Amain"/>
      </w:pPr>
      <w:r>
        <w:tab/>
        <w:t>(5)</w:t>
      </w:r>
      <w:r>
        <w:tab/>
        <w:t>This section does not affect—</w:t>
      </w:r>
    </w:p>
    <w:p w:rsidR="00BB6F9A" w:rsidRDefault="00BB6F9A">
      <w:pPr>
        <w:pStyle w:val="Apara"/>
      </w:pPr>
      <w:r>
        <w:tab/>
        <w:t>(a)</w:t>
      </w:r>
      <w:r>
        <w:tab/>
        <w:t>other common law rules about the liability of occupiers to people entering on their premises; or</w:t>
      </w:r>
    </w:p>
    <w:p w:rsidR="00BB6F9A" w:rsidRDefault="00BB6F9A">
      <w:pPr>
        <w:pStyle w:val="Apara"/>
      </w:pPr>
      <w:r>
        <w:tab/>
        <w:t>(b)</w:t>
      </w:r>
      <w:r>
        <w:tab/>
        <w:t>any obligation an occupier of premises has under another Act or any statutory instrument or contract.</w:t>
      </w:r>
    </w:p>
    <w:p w:rsidR="00BB6F9A" w:rsidRDefault="00BB6F9A">
      <w:pPr>
        <w:pStyle w:val="Amain"/>
        <w:keepNext/>
      </w:pPr>
      <w:r>
        <w:tab/>
        <w:t>(6)</w:t>
      </w:r>
      <w:r>
        <w:tab/>
        <w:t>In this section:</w:t>
      </w:r>
    </w:p>
    <w:p w:rsidR="00BB6F9A" w:rsidRDefault="00BB6F9A">
      <w:pPr>
        <w:pStyle w:val="aDef"/>
        <w:keepNext/>
      </w:pPr>
      <w:r>
        <w:rPr>
          <w:rStyle w:val="charBoldItals"/>
        </w:rPr>
        <w:t>occupier</w:t>
      </w:r>
      <w:r>
        <w:t>, of premises, includes the lessor of premises let under a tenancy who—</w:t>
      </w:r>
    </w:p>
    <w:p w:rsidR="00BB6F9A" w:rsidRDefault="00BB6F9A">
      <w:pPr>
        <w:pStyle w:val="aDefpara"/>
      </w:pPr>
      <w:r>
        <w:tab/>
        <w:t>(a)</w:t>
      </w:r>
      <w:r>
        <w:tab/>
        <w:t>is under an obligation to the tenant to maintain or repair the premises; or</w:t>
      </w:r>
    </w:p>
    <w:p w:rsidR="00BB6F9A" w:rsidRDefault="00BB6F9A">
      <w:pPr>
        <w:pStyle w:val="aDefpara"/>
      </w:pPr>
      <w:r>
        <w:tab/>
        <w:t>(b)</w:t>
      </w:r>
      <w:r>
        <w:tab/>
        <w:t>could exercise a right to enter the premises to carry out maintenance or repairs.</w:t>
      </w:r>
    </w:p>
    <w:p w:rsidR="00BB6F9A" w:rsidRDefault="00BB6F9A">
      <w:pPr>
        <w:pStyle w:val="PageBreak"/>
      </w:pPr>
      <w:r>
        <w:br w:type="page"/>
      </w:r>
    </w:p>
    <w:p w:rsidR="00BB6F9A" w:rsidRDefault="00BB6F9A">
      <w:pPr>
        <w:pStyle w:val="AH2Part"/>
      </w:pPr>
      <w:bookmarkStart w:id="148" w:name="_Toc4661410"/>
      <w:r>
        <w:rPr>
          <w:rStyle w:val="CharPartNo"/>
        </w:rPr>
        <w:lastRenderedPageBreak/>
        <w:t>Part 8.2</w:t>
      </w:r>
      <w:r>
        <w:tab/>
      </w:r>
      <w:r>
        <w:rPr>
          <w:rStyle w:val="CharPartText"/>
        </w:rPr>
        <w:t>Liability for damage caused by animals</w:t>
      </w:r>
      <w:bookmarkEnd w:id="148"/>
    </w:p>
    <w:p w:rsidR="00BB6F9A" w:rsidRDefault="00BB6F9A">
      <w:pPr>
        <w:pStyle w:val="AH5Sec"/>
      </w:pPr>
      <w:bookmarkStart w:id="149" w:name="_Toc4661411"/>
      <w:r>
        <w:rPr>
          <w:rStyle w:val="CharSectNo"/>
        </w:rPr>
        <w:t>102</w:t>
      </w:r>
      <w:r>
        <w:tab/>
        <w:t xml:space="preserve">Evidence of breach of duty for animals </w:t>
      </w:r>
      <w:r>
        <w:rPr>
          <w:b w:val="0"/>
          <w:bCs w:val="0"/>
        </w:rPr>
        <w:t>(CL(A)A s 8)</w:t>
      </w:r>
      <w:bookmarkEnd w:id="149"/>
    </w:p>
    <w:p w:rsidR="00BB6F9A" w:rsidRDefault="00BB6F9A">
      <w:pPr>
        <w:pStyle w:val="Amain"/>
      </w:pPr>
      <w:r>
        <w:tab/>
        <w:t>(1)</w:t>
      </w:r>
      <w:r>
        <w:tab/>
        <w:t>This section applies if an animal (other than a dog or cat) was on premises and—</w:t>
      </w:r>
    </w:p>
    <w:p w:rsidR="00BB6F9A" w:rsidRDefault="00BB6F9A">
      <w:pPr>
        <w:pStyle w:val="Apara"/>
      </w:pPr>
      <w:r>
        <w:tab/>
        <w:t>(a)</w:t>
      </w:r>
      <w:r>
        <w:tab/>
        <w:t>the occupier of the premises—</w:t>
      </w:r>
    </w:p>
    <w:p w:rsidR="00BB6F9A" w:rsidRDefault="00BB6F9A">
      <w:pPr>
        <w:pStyle w:val="Asubpara"/>
      </w:pPr>
      <w:r>
        <w:tab/>
        <w:t>(i)</w:t>
      </w:r>
      <w:r>
        <w:tab/>
        <w:t>could not lawfully prevent the animal from being on the premises; or</w:t>
      </w:r>
    </w:p>
    <w:p w:rsidR="00BB6F9A" w:rsidRDefault="00BB6F9A">
      <w:pPr>
        <w:pStyle w:val="Asubpara"/>
      </w:pPr>
      <w:r>
        <w:tab/>
        <w:t>(ii)</w:t>
      </w:r>
      <w:r>
        <w:tab/>
        <w:t>had not consented to the animal being on the premises; and</w:t>
      </w:r>
    </w:p>
    <w:p w:rsidR="00BB6F9A" w:rsidRDefault="00BB6F9A">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BB6F9A" w:rsidRDefault="00BB6F9A">
      <w:pPr>
        <w:pStyle w:val="Apara"/>
      </w:pPr>
      <w:r>
        <w:tab/>
        <w:t>(c)</w:t>
      </w:r>
      <w:r>
        <w:tab/>
        <w:t>the animal caused damage to the other person.</w:t>
      </w:r>
    </w:p>
    <w:p w:rsidR="00BB6F9A" w:rsidRDefault="00BB6F9A">
      <w:pPr>
        <w:pStyle w:val="Amain"/>
      </w:pPr>
      <w:r>
        <w:tab/>
        <w:t>(2)</w:t>
      </w:r>
      <w:r>
        <w:tab/>
        <w:t>The fact that the animal was on the premises when the damage was caused is evidence of breach of the duty.</w:t>
      </w:r>
    </w:p>
    <w:p w:rsidR="00BB6F9A" w:rsidRDefault="00BB6F9A">
      <w:pPr>
        <w:pStyle w:val="Amain"/>
        <w:keepNext/>
      </w:pPr>
      <w:r>
        <w:tab/>
        <w:t>(3)</w:t>
      </w:r>
      <w:r>
        <w:tab/>
        <w:t>In this section:</w:t>
      </w:r>
    </w:p>
    <w:p w:rsidR="00BB6F9A" w:rsidRDefault="00BB6F9A">
      <w:pPr>
        <w:pStyle w:val="aDef"/>
      </w:pPr>
      <w:r>
        <w:rPr>
          <w:rStyle w:val="charBoldItals"/>
        </w:rPr>
        <w:t>on</w:t>
      </w:r>
      <w:r>
        <w:t xml:space="preserve"> includes in.</w:t>
      </w:r>
    </w:p>
    <w:p w:rsidR="00BB6F9A" w:rsidRDefault="00BB6F9A">
      <w:pPr>
        <w:pStyle w:val="aDef"/>
      </w:pPr>
      <w:r>
        <w:rPr>
          <w:rStyle w:val="charBoldItals"/>
        </w:rPr>
        <w:t>premises</w:t>
      </w:r>
      <w:r>
        <w:t xml:space="preserve"> does not include a place that is open to or used by the public as a road. </w:t>
      </w:r>
    </w:p>
    <w:p w:rsidR="00BB6F9A" w:rsidRDefault="00BB6F9A">
      <w:pPr>
        <w:pStyle w:val="PageBreak"/>
      </w:pPr>
      <w:r>
        <w:br w:type="page"/>
      </w:r>
    </w:p>
    <w:p w:rsidR="00BB6F9A" w:rsidRDefault="00BB6F9A">
      <w:pPr>
        <w:pStyle w:val="AH2Part"/>
      </w:pPr>
      <w:bookmarkStart w:id="150" w:name="_Toc4661412"/>
      <w:r>
        <w:rPr>
          <w:rStyle w:val="CharPartNo"/>
        </w:rPr>
        <w:lastRenderedPageBreak/>
        <w:t>Part 8.3</w:t>
      </w:r>
      <w:r>
        <w:tab/>
      </w:r>
      <w:r>
        <w:rPr>
          <w:rStyle w:val="CharPartText"/>
        </w:rPr>
        <w:t>Liability for fires accidentally begun</w:t>
      </w:r>
      <w:bookmarkEnd w:id="150"/>
    </w:p>
    <w:p w:rsidR="00BB6F9A" w:rsidRDefault="00BB6F9A">
      <w:pPr>
        <w:pStyle w:val="aNote"/>
      </w:pPr>
      <w:r>
        <w:rPr>
          <w:rStyle w:val="charItals"/>
        </w:rPr>
        <w:t>Note</w:t>
      </w:r>
      <w:r>
        <w:rPr>
          <w:rStyle w:val="charItals"/>
        </w:rPr>
        <w:tab/>
      </w:r>
      <w:r>
        <w:t xml:space="preserve">This part is based on the </w:t>
      </w:r>
      <w:r>
        <w:rPr>
          <w:rStyle w:val="charItals"/>
        </w:rPr>
        <w:t>Law Reform (Miscellaneous Provisions) Act 1955</w:t>
      </w:r>
      <w:r>
        <w:t>, division 12.10 which was substituted for 24 Geo. 3 c 78 (1774), s 86.</w:t>
      </w:r>
    </w:p>
    <w:p w:rsidR="00BB6F9A" w:rsidRDefault="00BB6F9A">
      <w:pPr>
        <w:pStyle w:val="AH5Sec"/>
      </w:pPr>
      <w:bookmarkStart w:id="151" w:name="_Toc4661413"/>
      <w:r>
        <w:rPr>
          <w:rStyle w:val="CharSectNo"/>
        </w:rPr>
        <w:t>103</w:t>
      </w:r>
      <w:r>
        <w:tab/>
        <w:t xml:space="preserve">Actions do not lie for damage caused by accidental fires </w:t>
      </w:r>
      <w:r>
        <w:rPr>
          <w:b w:val="0"/>
          <w:bCs w:val="0"/>
        </w:rPr>
        <w:t>(LR(MP)A s 59)</w:t>
      </w:r>
      <w:bookmarkEnd w:id="151"/>
    </w:p>
    <w:p w:rsidR="00BB6F9A" w:rsidRDefault="00BB6F9A">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BB6F9A" w:rsidRDefault="00BB6F9A">
      <w:pPr>
        <w:pStyle w:val="Amain"/>
      </w:pPr>
      <w:r>
        <w:tab/>
        <w:t>(2)</w:t>
      </w:r>
      <w:r>
        <w:tab/>
        <w:t>Subsection (1) applies despite any other Territory law or any usage or custom in force in the ACT.</w:t>
      </w:r>
    </w:p>
    <w:p w:rsidR="00BB6F9A" w:rsidRDefault="00BB6F9A">
      <w:pPr>
        <w:pStyle w:val="Amain"/>
      </w:pPr>
      <w:r>
        <w:tab/>
        <w:t>(3)</w:t>
      </w:r>
      <w:r>
        <w:tab/>
        <w:t>For subsection (1), a fire must not be taken to have started accidentally if it was started deliberately or negligently.</w:t>
      </w:r>
    </w:p>
    <w:p w:rsidR="00BB6F9A" w:rsidRDefault="00BB6F9A">
      <w:pPr>
        <w:pStyle w:val="AH5Sec"/>
      </w:pPr>
      <w:bookmarkStart w:id="152" w:name="_Toc4661414"/>
      <w:r>
        <w:rPr>
          <w:rStyle w:val="CharSectNo"/>
        </w:rPr>
        <w:t>104</w:t>
      </w:r>
      <w:r>
        <w:tab/>
        <w:t xml:space="preserve">Contract between landlord and tenant not affected </w:t>
      </w:r>
      <w:r>
        <w:rPr>
          <w:b w:val="0"/>
          <w:bCs w:val="0"/>
        </w:rPr>
        <w:t>(LR(MP)A s 60)</w:t>
      </w:r>
      <w:bookmarkEnd w:id="152"/>
    </w:p>
    <w:p w:rsidR="00BB6F9A" w:rsidRDefault="00BB6F9A">
      <w:pPr>
        <w:pStyle w:val="Amainreturn"/>
      </w:pPr>
      <w:r>
        <w:t>Section 103 does not affect, or make void, any term of a contract or agreement made between a landlord and tenant about the leasing or letting of premises, or a part of premises, by the landlord to the tenant.</w:t>
      </w:r>
    </w:p>
    <w:p w:rsidR="00BB6F9A" w:rsidRDefault="00BB6F9A">
      <w:pPr>
        <w:pStyle w:val="Placeholder"/>
      </w:pPr>
      <w:r>
        <w:br w:type="page"/>
      </w:r>
      <w:r>
        <w:rPr>
          <w:rStyle w:val="CharPartText"/>
        </w:rPr>
        <w:lastRenderedPageBreak/>
        <w:t xml:space="preserve"> </w:t>
      </w:r>
    </w:p>
    <w:p w:rsidR="00BB6F9A" w:rsidRDefault="00BB6F9A">
      <w:pPr>
        <w:pStyle w:val="PageBreak"/>
      </w:pPr>
    </w:p>
    <w:p w:rsidR="00BB6F9A" w:rsidRDefault="00BB6F9A">
      <w:pPr>
        <w:pStyle w:val="AH1Chapter"/>
      </w:pPr>
      <w:bookmarkStart w:id="153" w:name="_Toc4661415"/>
      <w:r>
        <w:rPr>
          <w:rStyle w:val="CharChapNo"/>
        </w:rPr>
        <w:t>Chapter 9</w:t>
      </w:r>
      <w:r>
        <w:tab/>
      </w:r>
      <w:r>
        <w:rPr>
          <w:rStyle w:val="CharChapText"/>
        </w:rPr>
        <w:t>Misrepresentation</w:t>
      </w:r>
      <w:bookmarkEnd w:id="153"/>
    </w:p>
    <w:p w:rsidR="00076C31" w:rsidRDefault="00076C31" w:rsidP="008D25FE">
      <w:pPr>
        <w:pStyle w:val="Placeholder"/>
        <w:suppressLineNumbers/>
      </w:pPr>
      <w:r>
        <w:rPr>
          <w:rStyle w:val="CharPartNo"/>
        </w:rPr>
        <w:t xml:space="preserve">  </w:t>
      </w:r>
      <w:r>
        <w:rPr>
          <w:rStyle w:val="CharPartText"/>
        </w:rPr>
        <w:t xml:space="preserve">  </w:t>
      </w:r>
    </w:p>
    <w:p w:rsidR="00BB6F9A" w:rsidRDefault="00BB6F9A">
      <w:pPr>
        <w:pStyle w:val="AH5Sec"/>
      </w:pPr>
      <w:bookmarkStart w:id="154" w:name="_Toc4661416"/>
      <w:r>
        <w:rPr>
          <w:rStyle w:val="CharSectNo"/>
        </w:rPr>
        <w:t>105</w:t>
      </w:r>
      <w:r>
        <w:rPr>
          <w:rStyle w:val="CharSectNo"/>
        </w:rPr>
        <w:tab/>
      </w:r>
      <w:r>
        <w:t xml:space="preserve">Definitions for ch 9 </w:t>
      </w:r>
      <w:r>
        <w:rPr>
          <w:b w:val="0"/>
          <w:bCs w:val="0"/>
        </w:rPr>
        <w:t>(LR(Mis)A s 2)</w:t>
      </w:r>
      <w:bookmarkEnd w:id="154"/>
    </w:p>
    <w:p w:rsidR="00BB6F9A" w:rsidRDefault="00BB6F9A">
      <w:pPr>
        <w:pStyle w:val="Amainreturn"/>
        <w:keepNext/>
      </w:pPr>
      <w:r>
        <w:t>In this chapter:</w:t>
      </w:r>
    </w:p>
    <w:p w:rsidR="00BB6F9A" w:rsidRDefault="00BB6F9A">
      <w:pPr>
        <w:pStyle w:val="aDef"/>
      </w:pPr>
      <w:r>
        <w:rPr>
          <w:rStyle w:val="charBoldItals"/>
        </w:rPr>
        <w:t>court</w:t>
      </w:r>
      <w:r>
        <w:t xml:space="preserve"> includes an arbitrator.</w:t>
      </w:r>
    </w:p>
    <w:p w:rsidR="00BB6F9A" w:rsidRDefault="00BB6F9A">
      <w:pPr>
        <w:pStyle w:val="aDef"/>
      </w:pPr>
      <w:r>
        <w:rPr>
          <w:rStyle w:val="charBoldItals"/>
        </w:rPr>
        <w:t>non-fraudulent misrepresentation</w:t>
      </w:r>
      <w:r>
        <w:t xml:space="preserve"> means a misrepresentation that was not made fraudulently.</w:t>
      </w:r>
    </w:p>
    <w:p w:rsidR="00BB6F9A" w:rsidRDefault="00BB6F9A">
      <w:pPr>
        <w:pStyle w:val="AH5Sec"/>
      </w:pPr>
      <w:bookmarkStart w:id="155" w:name="_Toc4661417"/>
      <w:r>
        <w:rPr>
          <w:rStyle w:val="CharSectNo"/>
        </w:rPr>
        <w:t>106</w:t>
      </w:r>
      <w:r>
        <w:tab/>
        <w:t xml:space="preserve">Removal of certain bars to rescission for misrepresentation </w:t>
      </w:r>
      <w:r>
        <w:rPr>
          <w:b w:val="0"/>
          <w:bCs w:val="0"/>
        </w:rPr>
        <w:t>(LR(Mis)A s 3)</w:t>
      </w:r>
      <w:bookmarkEnd w:id="155"/>
    </w:p>
    <w:p w:rsidR="00BB6F9A" w:rsidRDefault="00BB6F9A">
      <w:pPr>
        <w:pStyle w:val="Amain"/>
      </w:pPr>
      <w:r>
        <w:tab/>
        <w:t>(1)</w:t>
      </w:r>
      <w:r>
        <w:tab/>
        <w:t>This section applies if—</w:t>
      </w:r>
    </w:p>
    <w:p w:rsidR="00BB6F9A" w:rsidRDefault="00BB6F9A">
      <w:pPr>
        <w:pStyle w:val="Apara"/>
      </w:pPr>
      <w:r>
        <w:tab/>
        <w:t>(a)</w:t>
      </w:r>
      <w:r>
        <w:tab/>
        <w:t>a person enters into a contract after a misrepresentation is made to the person; and</w:t>
      </w:r>
    </w:p>
    <w:p w:rsidR="00BB6F9A" w:rsidRDefault="00BB6F9A">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BB6F9A" w:rsidRDefault="00BB6F9A">
      <w:pPr>
        <w:pStyle w:val="Asubpara"/>
      </w:pPr>
      <w:r>
        <w:tab/>
        <w:t>(i)</w:t>
      </w:r>
      <w:r>
        <w:tab/>
        <w:t>the misrepresentation has become a term of the contract;</w:t>
      </w:r>
    </w:p>
    <w:p w:rsidR="00BB6F9A" w:rsidRDefault="00BB6F9A">
      <w:pPr>
        <w:pStyle w:val="Asubpara"/>
      </w:pPr>
      <w:r>
        <w:tab/>
        <w:t>(ii)</w:t>
      </w:r>
      <w:r>
        <w:tab/>
        <w:t>the contract has been performed;</w:t>
      </w:r>
    </w:p>
    <w:p w:rsidR="00BB6F9A" w:rsidRDefault="00BB6F9A">
      <w:pPr>
        <w:pStyle w:val="Asubpara"/>
      </w:pPr>
      <w:r>
        <w:tab/>
        <w:t>(iii)</w:t>
      </w:r>
      <w:r>
        <w:tab/>
        <w:t>a conveyance, transfer or other document has been registered under a Territory law or a law of the Commonwealth, a State or another Territory because of the contract.</w:t>
      </w:r>
    </w:p>
    <w:p w:rsidR="00BB6F9A" w:rsidRDefault="00BB6F9A">
      <w:pPr>
        <w:pStyle w:val="Amain"/>
      </w:pPr>
      <w:r>
        <w:tab/>
        <w:t>(2)</w:t>
      </w:r>
      <w:r>
        <w:tab/>
        <w:t>The person may rescind the contract even though 1 or more of the former bars apply.</w:t>
      </w:r>
    </w:p>
    <w:p w:rsidR="00BB6F9A" w:rsidRDefault="00BB6F9A">
      <w:pPr>
        <w:pStyle w:val="Amain"/>
        <w:keepNext/>
      </w:pPr>
      <w:r>
        <w:lastRenderedPageBreak/>
        <w:tab/>
        <w:t>(3)</w:t>
      </w:r>
      <w:r>
        <w:tab/>
        <w:t>This section is subject to the following sections:</w:t>
      </w:r>
    </w:p>
    <w:p w:rsidR="00BB6F9A" w:rsidRDefault="00BB6F9A">
      <w:pPr>
        <w:pStyle w:val="Amainbullet"/>
        <w:keepNext/>
        <w:tabs>
          <w:tab w:val="left" w:pos="1200"/>
        </w:tabs>
      </w:pPr>
      <w:r>
        <w:rPr>
          <w:rFonts w:ascii="Symbol" w:hAnsi="Symbol" w:cs="Symbol"/>
          <w:sz w:val="20"/>
          <w:szCs w:val="20"/>
        </w:rPr>
        <w:t></w:t>
      </w:r>
      <w:r>
        <w:rPr>
          <w:rFonts w:ascii="Symbol" w:hAnsi="Symbol" w:cs="Symbol"/>
          <w:sz w:val="20"/>
          <w:szCs w:val="20"/>
        </w:rPr>
        <w:tab/>
      </w:r>
      <w:r>
        <w:t>section 108 (Damages instead of rescission for misrepresentation)</w:t>
      </w:r>
    </w:p>
    <w:p w:rsidR="00BB6F9A" w:rsidRDefault="00BB6F9A">
      <w:pPr>
        <w:pStyle w:val="Amainbullet"/>
        <w:tabs>
          <w:tab w:val="left" w:pos="1200"/>
        </w:tabs>
      </w:pPr>
      <w:r>
        <w:rPr>
          <w:rFonts w:ascii="Symbol" w:hAnsi="Symbol" w:cs="Symbol"/>
          <w:sz w:val="20"/>
          <w:szCs w:val="20"/>
        </w:rPr>
        <w:t></w:t>
      </w:r>
      <w:r>
        <w:rPr>
          <w:rFonts w:ascii="Symbol" w:hAnsi="Symbol" w:cs="Symbol"/>
          <w:sz w:val="20"/>
          <w:szCs w:val="20"/>
        </w:rPr>
        <w:tab/>
      </w:r>
      <w:r>
        <w:t>section 109 (3) (Exclusion clauses—misrepresentation).</w:t>
      </w:r>
    </w:p>
    <w:p w:rsidR="00BB6F9A" w:rsidRDefault="00BB6F9A">
      <w:pPr>
        <w:pStyle w:val="AH5Sec"/>
      </w:pPr>
      <w:bookmarkStart w:id="156" w:name="_Toc4661418"/>
      <w:r>
        <w:rPr>
          <w:rStyle w:val="CharSectNo"/>
        </w:rPr>
        <w:t>107</w:t>
      </w:r>
      <w:r>
        <w:tab/>
        <w:t xml:space="preserve">Damages for misrepresentation </w:t>
      </w:r>
      <w:r>
        <w:rPr>
          <w:b w:val="0"/>
          <w:bCs w:val="0"/>
        </w:rPr>
        <w:t>(LR(Mis)A s 4)</w:t>
      </w:r>
      <w:bookmarkEnd w:id="156"/>
    </w:p>
    <w:p w:rsidR="00BB6F9A" w:rsidRDefault="00BB6F9A">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BB6F9A" w:rsidRDefault="00BB6F9A">
      <w:pPr>
        <w:pStyle w:val="Apara"/>
      </w:pPr>
      <w:r>
        <w:tab/>
        <w:t>(a)</w:t>
      </w:r>
      <w:r>
        <w:tab/>
        <w:t>another party to the contract; or</w:t>
      </w:r>
    </w:p>
    <w:p w:rsidR="00BB6F9A" w:rsidRDefault="00BB6F9A">
      <w:pPr>
        <w:pStyle w:val="Apara"/>
      </w:pPr>
      <w:r>
        <w:tab/>
        <w:t>(b)</w:t>
      </w:r>
      <w:r>
        <w:tab/>
        <w:t>a person acting for another party to the contract; or</w:t>
      </w:r>
    </w:p>
    <w:p w:rsidR="00BB6F9A" w:rsidRDefault="00BB6F9A">
      <w:pPr>
        <w:pStyle w:val="Apara"/>
      </w:pPr>
      <w:r>
        <w:tab/>
        <w:t>(c)</w:t>
      </w:r>
      <w:r>
        <w:tab/>
        <w:t>a person who receives any direct or indirect material advantage because of the formation of the contract.</w:t>
      </w:r>
    </w:p>
    <w:p w:rsidR="00BB6F9A" w:rsidRDefault="00BB6F9A">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BB6F9A" w:rsidRDefault="00BB6F9A">
      <w:pPr>
        <w:pStyle w:val="Amain"/>
      </w:pPr>
      <w:r>
        <w:tab/>
        <w:t>(3)</w:t>
      </w:r>
      <w:r>
        <w:tab/>
        <w:t>It is a defence to an action under subsection (2) that—</w:t>
      </w:r>
    </w:p>
    <w:p w:rsidR="00BB6F9A" w:rsidRDefault="00BB6F9A">
      <w:pPr>
        <w:pStyle w:val="Apara"/>
      </w:pPr>
      <w:r>
        <w:tab/>
        <w:t>(a)</w:t>
      </w:r>
      <w:r>
        <w:tab/>
        <w:t>if the representation was made by the defendant—the defendant had reasonable grounds for believing, and did believe up to the time the contract was made, that the representation was true; or</w:t>
      </w:r>
    </w:p>
    <w:p w:rsidR="00BB6F9A" w:rsidRDefault="00BB6F9A">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BB6F9A" w:rsidRDefault="00BB6F9A">
      <w:pPr>
        <w:pStyle w:val="AH5Sec"/>
      </w:pPr>
      <w:bookmarkStart w:id="157" w:name="_Toc4661419"/>
      <w:r>
        <w:rPr>
          <w:rStyle w:val="CharSectNo"/>
        </w:rPr>
        <w:lastRenderedPageBreak/>
        <w:t>108</w:t>
      </w:r>
      <w:r>
        <w:tab/>
        <w:t xml:space="preserve">Damages instead of rescission for misrepresentation </w:t>
      </w:r>
      <w:r>
        <w:rPr>
          <w:b w:val="0"/>
          <w:bCs w:val="0"/>
        </w:rPr>
        <w:t>(LR(Mis)A s 5)</w:t>
      </w:r>
      <w:bookmarkEnd w:id="157"/>
    </w:p>
    <w:p w:rsidR="00BB6F9A" w:rsidRDefault="00BB6F9A">
      <w:pPr>
        <w:pStyle w:val="Amain"/>
      </w:pPr>
      <w:r>
        <w:tab/>
        <w:t>(1)</w:t>
      </w:r>
      <w:r>
        <w:tab/>
        <w:t>This section applies if, in an action arising out of a contract, a person has rescinded, or may rescind, the contract on the ground of non-fraudulent misrepresentation.</w:t>
      </w:r>
    </w:p>
    <w:p w:rsidR="00BB6F9A" w:rsidRDefault="00BB6F9A">
      <w:pPr>
        <w:pStyle w:val="Amain"/>
      </w:pPr>
      <w:r>
        <w:tab/>
        <w:t>(2)</w:t>
      </w:r>
      <w:r>
        <w:tab/>
        <w:t>The court may declare the contract to be existing and award damages, or award damages instead of ordering rescission, if the court considers that—</w:t>
      </w:r>
    </w:p>
    <w:p w:rsidR="00BB6F9A" w:rsidRDefault="00BB6F9A">
      <w:pPr>
        <w:pStyle w:val="Apara"/>
      </w:pPr>
      <w:r>
        <w:tab/>
        <w:t>(a)</w:t>
      </w:r>
      <w:r>
        <w:tab/>
        <w:t>the consequences of a declaration are preferable to the consequences of rescission in the circumstances of the case; and</w:t>
      </w:r>
    </w:p>
    <w:p w:rsidR="00BB6F9A" w:rsidRDefault="00BB6F9A">
      <w:pPr>
        <w:pStyle w:val="Apara"/>
      </w:pPr>
      <w:r>
        <w:tab/>
        <w:t>(b)</w:t>
      </w:r>
      <w:r>
        <w:tab/>
        <w:t>it is just and equitable to do so.</w:t>
      </w:r>
    </w:p>
    <w:p w:rsidR="00BB6F9A" w:rsidRDefault="00BB6F9A">
      <w:pPr>
        <w:pStyle w:val="Amain"/>
      </w:pPr>
      <w:r>
        <w:tab/>
        <w:t>(3)</w:t>
      </w:r>
      <w:r>
        <w:tab/>
        <w:t>Damages may be awarded against a person under subsection (2) even if the person is not liable for damages under section 107.</w:t>
      </w:r>
    </w:p>
    <w:p w:rsidR="00BB6F9A" w:rsidRDefault="00BB6F9A">
      <w:pPr>
        <w:pStyle w:val="Amain"/>
      </w:pPr>
      <w:r>
        <w:tab/>
        <w:t>(4)</w:t>
      </w:r>
      <w:r>
        <w:tab/>
        <w:t>However, a court must take into account—</w:t>
      </w:r>
    </w:p>
    <w:p w:rsidR="00BB6F9A" w:rsidRDefault="00BB6F9A">
      <w:pPr>
        <w:pStyle w:val="Apara"/>
      </w:pPr>
      <w:r>
        <w:tab/>
        <w:t>(a)</w:t>
      </w:r>
      <w:r>
        <w:tab/>
        <w:t>in assessing damages under section 107 or this section—any award of damages under section 107 or this section, or damages or compensation under any other law; or</w:t>
      </w:r>
    </w:p>
    <w:p w:rsidR="00BB6F9A" w:rsidRDefault="00BB6F9A">
      <w:pPr>
        <w:pStyle w:val="Apara"/>
      </w:pPr>
      <w:r>
        <w:tab/>
        <w:t>(b)</w:t>
      </w:r>
      <w:r>
        <w:tab/>
        <w:t>in assessing damages or compensation under any other law relating to a contract—any award of damages under this chapter.</w:t>
      </w:r>
    </w:p>
    <w:p w:rsidR="00BB6F9A" w:rsidRDefault="00BB6F9A">
      <w:pPr>
        <w:pStyle w:val="AH5Sec"/>
      </w:pPr>
      <w:bookmarkStart w:id="158" w:name="_Toc4661420"/>
      <w:r>
        <w:rPr>
          <w:rStyle w:val="CharSectNo"/>
        </w:rPr>
        <w:t>109</w:t>
      </w:r>
      <w:r>
        <w:tab/>
        <w:t xml:space="preserve">Exclusion clauses—misrepresentation </w:t>
      </w:r>
      <w:r>
        <w:rPr>
          <w:b w:val="0"/>
          <w:bCs w:val="0"/>
        </w:rPr>
        <w:t>(LR(Mis)A s 6)</w:t>
      </w:r>
      <w:bookmarkEnd w:id="158"/>
    </w:p>
    <w:p w:rsidR="00BB6F9A" w:rsidRDefault="00BB6F9A">
      <w:pPr>
        <w:pStyle w:val="Amain"/>
      </w:pPr>
      <w:r>
        <w:tab/>
        <w:t>(1)</w:t>
      </w:r>
      <w:r>
        <w:tab/>
        <w:t>This section applies if an agreement contains a provision that would, apart from this section, exclude or restrict—</w:t>
      </w:r>
    </w:p>
    <w:p w:rsidR="00BB6F9A" w:rsidRDefault="00BB6F9A">
      <w:pPr>
        <w:pStyle w:val="Apara"/>
      </w:pPr>
      <w:r>
        <w:tab/>
        <w:t>(a)</w:t>
      </w:r>
      <w:r>
        <w:tab/>
        <w:t>any liability of a party to a contract because of a misrepresentation made by the party before the contract was made; or</w:t>
      </w:r>
    </w:p>
    <w:p w:rsidR="00BB6F9A" w:rsidRDefault="00BB6F9A">
      <w:pPr>
        <w:pStyle w:val="Apara"/>
      </w:pPr>
      <w:r>
        <w:tab/>
        <w:t>(b)</w:t>
      </w:r>
      <w:r>
        <w:tab/>
        <w:t>any remedy available to another party to the contract because of a misrepresentation mentioned in paragraph (a).</w:t>
      </w:r>
    </w:p>
    <w:p w:rsidR="00BB6F9A" w:rsidRDefault="00BB6F9A">
      <w:pPr>
        <w:pStyle w:val="Amain"/>
      </w:pPr>
      <w:r>
        <w:tab/>
        <w:t>(2)</w:t>
      </w:r>
      <w:r>
        <w:tab/>
        <w:t>The provision is of no effect.</w:t>
      </w:r>
    </w:p>
    <w:p w:rsidR="00BB6F9A" w:rsidRDefault="00BB6F9A">
      <w:pPr>
        <w:pStyle w:val="Amain"/>
      </w:pPr>
      <w:r>
        <w:lastRenderedPageBreak/>
        <w:tab/>
        <w:t>(3)</w:t>
      </w:r>
      <w:r>
        <w:tab/>
        <w:t>However, in an action arising out of the contract, the court may allow the provision to be relied on if the court considers it fair and reasonable in the circumstances to rely on it.</w:t>
      </w:r>
    </w:p>
    <w:p w:rsidR="00BB6F9A" w:rsidRDefault="00BB6F9A">
      <w:pPr>
        <w:pStyle w:val="AH5Sec"/>
      </w:pPr>
      <w:bookmarkStart w:id="159" w:name="_Toc4661421"/>
      <w:r>
        <w:rPr>
          <w:rStyle w:val="CharSectNo"/>
        </w:rPr>
        <w:t>110</w:t>
      </w:r>
      <w:r>
        <w:tab/>
        <w:t xml:space="preserve">Misrepresentation in trade or commerce an offence </w:t>
      </w:r>
      <w:r>
        <w:rPr>
          <w:b w:val="0"/>
          <w:bCs w:val="0"/>
        </w:rPr>
        <w:t>(LR(Mis)A s 7)</w:t>
      </w:r>
      <w:bookmarkEnd w:id="159"/>
    </w:p>
    <w:p w:rsidR="00BB6F9A" w:rsidRDefault="00BB6F9A">
      <w:pPr>
        <w:pStyle w:val="Amain"/>
      </w:pPr>
      <w:r>
        <w:tab/>
        <w:t>(1)</w:t>
      </w:r>
      <w:r>
        <w:tab/>
        <w:t>A person must not make a misrepresentation, in the course of trade or commerce—</w:t>
      </w:r>
    </w:p>
    <w:p w:rsidR="00BB6F9A" w:rsidRDefault="00BB6F9A">
      <w:pPr>
        <w:pStyle w:val="Apara"/>
      </w:pPr>
      <w:r>
        <w:tab/>
        <w:t>(a)</w:t>
      </w:r>
      <w:r>
        <w:tab/>
        <w:t>to make or induce someone else to enter into a contract; or</w:t>
      </w:r>
    </w:p>
    <w:p w:rsidR="00BB6F9A" w:rsidRDefault="00BB6F9A">
      <w:pPr>
        <w:pStyle w:val="Apara"/>
      </w:pPr>
      <w:r>
        <w:tab/>
        <w:t>(b)</w:t>
      </w:r>
      <w:r>
        <w:tab/>
        <w:t>to make or induce someone else to pay an amount, or to transfer real or personal property, to the person or to someone else.</w:t>
      </w:r>
    </w:p>
    <w:p w:rsidR="00BB6F9A" w:rsidRDefault="00BB6F9A">
      <w:pPr>
        <w:pStyle w:val="Penalty"/>
        <w:keepNext/>
      </w:pPr>
      <w:r>
        <w:t>Maximum penalty:  200 penalty units</w:t>
      </w:r>
    </w:p>
    <w:p w:rsidR="00BB6F9A" w:rsidRDefault="00BB6F9A">
      <w:pPr>
        <w:pStyle w:val="Amain"/>
      </w:pPr>
      <w:r>
        <w:tab/>
        <w:t>(2)</w:t>
      </w:r>
      <w:r>
        <w:tab/>
        <w:t>It is a defence to a prosecution for an offence against this section that the person who made the representation believed on reasonable grounds that the representation was true.</w:t>
      </w:r>
    </w:p>
    <w:p w:rsidR="00BB6F9A" w:rsidRDefault="00BB6F9A">
      <w:pPr>
        <w:pStyle w:val="AH5Sec"/>
      </w:pPr>
      <w:bookmarkStart w:id="160" w:name="_Toc4661422"/>
      <w:r>
        <w:rPr>
          <w:rStyle w:val="CharSectNo"/>
        </w:rPr>
        <w:t>111</w:t>
      </w:r>
      <w:r>
        <w:tab/>
        <w:t xml:space="preserve">Employer etc liable for misrepresentation </w:t>
      </w:r>
      <w:r>
        <w:rPr>
          <w:b w:val="0"/>
          <w:bCs w:val="0"/>
        </w:rPr>
        <w:t>(LR(Mis)A s 8)</w:t>
      </w:r>
      <w:bookmarkEnd w:id="160"/>
    </w:p>
    <w:p w:rsidR="00BB6F9A" w:rsidRDefault="00BB6F9A">
      <w:pPr>
        <w:pStyle w:val="Amain"/>
      </w:pPr>
      <w:r>
        <w:tab/>
        <w:t>(1)</w:t>
      </w:r>
      <w:r>
        <w:tab/>
        <w:t>If the misrepresentation mentioned in section 110 (1) is made by a person acting in the course of his or her employment, the person’s employer commits an offence.</w:t>
      </w:r>
    </w:p>
    <w:p w:rsidR="00BB6F9A" w:rsidRDefault="00BB6F9A">
      <w:pPr>
        <w:pStyle w:val="Penalty"/>
      </w:pPr>
      <w:r>
        <w:t>Maximum penalty:  200 penalty units.</w:t>
      </w:r>
    </w:p>
    <w:p w:rsidR="00BB6F9A" w:rsidRDefault="00BB6F9A">
      <w:pPr>
        <w:pStyle w:val="Amain"/>
        <w:keepNext/>
      </w:pPr>
      <w:r>
        <w:tab/>
        <w:t>(2)</w:t>
      </w:r>
      <w:r>
        <w:tab/>
        <w:t>If the misrepresentation mentioned in section 110 (1) is made by a person authorised to act for someone else, the other person commits an offence.</w:t>
      </w:r>
    </w:p>
    <w:p w:rsidR="00BB6F9A" w:rsidRDefault="00BB6F9A">
      <w:pPr>
        <w:pStyle w:val="Penalty"/>
        <w:keepNext/>
      </w:pPr>
      <w:r>
        <w:t>Maximum penalty:  200 penalty units.</w:t>
      </w:r>
    </w:p>
    <w:p w:rsidR="00BB6F9A" w:rsidRDefault="00BB6F9A">
      <w:pPr>
        <w:pStyle w:val="Amain"/>
      </w:pPr>
      <w:r>
        <w:tab/>
        <w:t>(3)</w:t>
      </w:r>
      <w:r>
        <w:tab/>
        <w:t>It is a defence to a prosecution for an offence against this section—</w:t>
      </w:r>
    </w:p>
    <w:p w:rsidR="00BB6F9A" w:rsidRDefault="00BB6F9A">
      <w:pPr>
        <w:pStyle w:val="Apara"/>
      </w:pPr>
      <w:r>
        <w:tab/>
        <w:t>(a)</w:t>
      </w:r>
      <w:r>
        <w:tab/>
        <w:t>that the defendant took reasonable precautions to prevent misrepresentations being made by the defendant’s employees or people acting for the defendant; or</w:t>
      </w:r>
    </w:p>
    <w:p w:rsidR="00BB6F9A" w:rsidRDefault="00BB6F9A">
      <w:pPr>
        <w:pStyle w:val="Apara"/>
      </w:pPr>
      <w:r>
        <w:lastRenderedPageBreak/>
        <w:tab/>
        <w:t>(b)</w:t>
      </w:r>
      <w:r>
        <w:tab/>
        <w:t>that the defendant did not know, and could not reasonably be expected to have known, that the representation was made or that it was untrue.</w:t>
      </w:r>
    </w:p>
    <w:p w:rsidR="00BB6F9A" w:rsidRDefault="00BB6F9A">
      <w:pPr>
        <w:pStyle w:val="AH5Sec"/>
      </w:pPr>
      <w:bookmarkStart w:id="161" w:name="_Toc4661423"/>
      <w:r>
        <w:rPr>
          <w:rStyle w:val="CharSectNo"/>
        </w:rPr>
        <w:t>112</w:t>
      </w:r>
      <w:r>
        <w:tab/>
        <w:t xml:space="preserve">Prosecutions for misrepresentation </w:t>
      </w:r>
      <w:r>
        <w:rPr>
          <w:b w:val="0"/>
          <w:bCs w:val="0"/>
        </w:rPr>
        <w:t>(LR(Mis)A s 9)</w:t>
      </w:r>
      <w:bookmarkEnd w:id="161"/>
    </w:p>
    <w:p w:rsidR="00BB6F9A" w:rsidRDefault="00BB6F9A">
      <w:pPr>
        <w:pStyle w:val="Amain"/>
      </w:pPr>
      <w:r>
        <w:tab/>
        <w:t>(1)</w:t>
      </w:r>
      <w:r>
        <w:tab/>
        <w:t>This section applies if in a prosecution for an offence against section 110 or 111, it is proved that—</w:t>
      </w:r>
    </w:p>
    <w:p w:rsidR="00BB6F9A" w:rsidRDefault="00BB6F9A">
      <w:pPr>
        <w:pStyle w:val="Apara"/>
      </w:pPr>
      <w:r>
        <w:tab/>
        <w:t>(a)</w:t>
      </w:r>
      <w:r>
        <w:tab/>
        <w:t>a misrepresentation was in fact a material inducement to a person—</w:t>
      </w:r>
    </w:p>
    <w:p w:rsidR="00BB6F9A" w:rsidRDefault="00BB6F9A">
      <w:pPr>
        <w:pStyle w:val="Asubpara"/>
      </w:pPr>
      <w:r>
        <w:tab/>
        <w:t>(i)</w:t>
      </w:r>
      <w:r>
        <w:tab/>
        <w:t>to enter into a contract; or</w:t>
      </w:r>
    </w:p>
    <w:p w:rsidR="00BB6F9A" w:rsidRDefault="00BB6F9A">
      <w:pPr>
        <w:pStyle w:val="Asubpara"/>
      </w:pPr>
      <w:r>
        <w:tab/>
        <w:t>(ii)</w:t>
      </w:r>
      <w:r>
        <w:tab/>
        <w:t>to pay an amount, or to transfer real or personal property, to the person who made the misrepresentation or someone else; and</w:t>
      </w:r>
    </w:p>
    <w:p w:rsidR="00BB6F9A" w:rsidRDefault="00BB6F9A">
      <w:pPr>
        <w:pStyle w:val="Apara"/>
      </w:pPr>
      <w:r>
        <w:tab/>
        <w:t>(b)</w:t>
      </w:r>
      <w:r>
        <w:tab/>
        <w:t>the person who made the misrepresentation received a direct or indirect material advantage because of the contract, payment or transfer.</w:t>
      </w:r>
    </w:p>
    <w:p w:rsidR="00BB6F9A" w:rsidRDefault="00BB6F9A">
      <w:pPr>
        <w:pStyle w:val="Amain"/>
      </w:pPr>
      <w:r>
        <w:tab/>
        <w:t>(2)</w:t>
      </w:r>
      <w:r>
        <w:tab/>
        <w:t>It must be assumed, unless the contrary is proven, that the misrepresentation was made to induce the person to whom it was made to enter into the contract, make the payment or transfer the property.</w:t>
      </w:r>
    </w:p>
    <w:p w:rsidR="00BB6F9A" w:rsidRDefault="00BB6F9A">
      <w:pPr>
        <w:pStyle w:val="PageBreak"/>
      </w:pPr>
      <w:r>
        <w:br w:type="page"/>
      </w:r>
    </w:p>
    <w:p w:rsidR="00BB6F9A" w:rsidRDefault="00BB6F9A">
      <w:pPr>
        <w:pStyle w:val="AH1Chapter"/>
      </w:pPr>
      <w:bookmarkStart w:id="162" w:name="_Toc4661424"/>
      <w:r>
        <w:rPr>
          <w:rStyle w:val="CharChapNo"/>
        </w:rPr>
        <w:lastRenderedPageBreak/>
        <w:t>Chapter 10</w:t>
      </w:r>
      <w:r>
        <w:tab/>
      </w:r>
      <w:r>
        <w:rPr>
          <w:rStyle w:val="CharChapText"/>
        </w:rPr>
        <w:t>Limitations on legal costs</w:t>
      </w:r>
      <w:bookmarkEnd w:id="162"/>
    </w:p>
    <w:p w:rsidR="00BB6F9A" w:rsidRDefault="00BB6F9A">
      <w:pPr>
        <w:pStyle w:val="AH5Sec"/>
      </w:pPr>
      <w:bookmarkStart w:id="163" w:name="_Toc4661425"/>
      <w:r>
        <w:rPr>
          <w:rStyle w:val="CharSectNo"/>
        </w:rPr>
        <w:t>113</w:t>
      </w:r>
      <w:r>
        <w:tab/>
        <w:t>Definitions for ch 10</w:t>
      </w:r>
      <w:bookmarkEnd w:id="163"/>
    </w:p>
    <w:p w:rsidR="00BB6F9A" w:rsidRDefault="00BB6F9A">
      <w:pPr>
        <w:pStyle w:val="Amainreturn"/>
        <w:keepNext/>
      </w:pPr>
      <w:r>
        <w:t>In this part:</w:t>
      </w:r>
    </w:p>
    <w:p w:rsidR="00BB6F9A" w:rsidRDefault="00BB6F9A">
      <w:pPr>
        <w:pStyle w:val="aDef"/>
        <w:keepNext/>
      </w:pPr>
      <w:r>
        <w:rPr>
          <w:rStyle w:val="charBoldItals"/>
        </w:rPr>
        <w:t>costs</w:t>
      </w:r>
      <w:r>
        <w:t xml:space="preserve"> do not include—</w:t>
      </w:r>
    </w:p>
    <w:p w:rsidR="00BB6F9A" w:rsidRDefault="00BB6F9A">
      <w:pPr>
        <w:pStyle w:val="aDefpara"/>
      </w:pPr>
      <w:r>
        <w:tab/>
        <w:t>(a)</w:t>
      </w:r>
      <w:r>
        <w:tab/>
        <w:t xml:space="preserve">disbursements that are charges for services other than legal services; or </w:t>
      </w:r>
    </w:p>
    <w:p w:rsidR="00BB6F9A" w:rsidRDefault="00BB6F9A">
      <w:pPr>
        <w:pStyle w:val="aDefpara"/>
      </w:pPr>
      <w:r>
        <w:tab/>
        <w:t>(b)</w:t>
      </w:r>
      <w:r>
        <w:tab/>
        <w:t>disbursements that are counsel’s fees on a brief to appear in an action; or</w:t>
      </w:r>
    </w:p>
    <w:p w:rsidR="00BB6F9A" w:rsidRDefault="00BB6F9A">
      <w:pPr>
        <w:pStyle w:val="aDefpara"/>
      </w:pPr>
      <w:r>
        <w:tab/>
        <w:t>(c)</w:t>
      </w:r>
      <w:r>
        <w:tab/>
        <w:t>any other disbursements.</w:t>
      </w:r>
    </w:p>
    <w:p w:rsidR="00BB6F9A" w:rsidRDefault="00BB6F9A">
      <w:pPr>
        <w:pStyle w:val="aDef"/>
      </w:pPr>
      <w:r>
        <w:rPr>
          <w:rStyle w:val="charBoldItals"/>
        </w:rPr>
        <w:t>court</w:t>
      </w:r>
      <w:r>
        <w:t xml:space="preserve"> includes a tribunal or arbitrator.</w:t>
      </w:r>
    </w:p>
    <w:p w:rsidR="00BB6F9A" w:rsidRDefault="00BB6F9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BB6F9A" w:rsidRDefault="00BB6F9A">
      <w:pPr>
        <w:pStyle w:val="AH5Sec"/>
      </w:pPr>
      <w:bookmarkStart w:id="164" w:name="_Toc4661426"/>
      <w:r>
        <w:rPr>
          <w:rStyle w:val="CharSectNo"/>
        </w:rPr>
        <w:t>114</w:t>
      </w:r>
      <w:r>
        <w:tab/>
        <w:t>Maximum costs for claims of $50 000 or less</w:t>
      </w:r>
      <w:bookmarkEnd w:id="164"/>
    </w:p>
    <w:p w:rsidR="00BB6F9A" w:rsidRDefault="00BB6F9A">
      <w:pPr>
        <w:pStyle w:val="Amain"/>
      </w:pPr>
      <w:r>
        <w:tab/>
        <w:t>(1)</w:t>
      </w:r>
      <w:r>
        <w:tab/>
        <w:t>This section applies if the amount recovered on a claim for personal injury damages is $50 000 or less.</w:t>
      </w:r>
    </w:p>
    <w:p w:rsidR="00BB6F9A" w:rsidRDefault="00BB6F9A">
      <w:pPr>
        <w:pStyle w:val="Amain"/>
      </w:pPr>
      <w:r>
        <w:tab/>
        <w:t>(2)</w:t>
      </w:r>
      <w:r>
        <w:tab/>
        <w:t>If this section applies—</w:t>
      </w:r>
    </w:p>
    <w:p w:rsidR="00BB6F9A" w:rsidRDefault="00BB6F9A">
      <w:pPr>
        <w:pStyle w:val="Apara"/>
      </w:pPr>
      <w:r>
        <w:tab/>
        <w:t>(a)</w:t>
      </w:r>
      <w:r>
        <w:tab/>
        <w:t>a lawyer is not entitled to be paid; and</w:t>
      </w:r>
    </w:p>
    <w:p w:rsidR="00BB6F9A" w:rsidRDefault="00BB6F9A">
      <w:pPr>
        <w:pStyle w:val="Apara"/>
      </w:pPr>
      <w:r>
        <w:tab/>
        <w:t>(b)</w:t>
      </w:r>
      <w:r>
        <w:tab/>
        <w:t>a court (or a taxing officer) must not decide that a lawyer is entitled to be paid; and</w:t>
      </w:r>
    </w:p>
    <w:p w:rsidR="00BB6F9A" w:rsidRDefault="00BB6F9A">
      <w:pPr>
        <w:pStyle w:val="Apara"/>
      </w:pPr>
      <w:r>
        <w:tab/>
        <w:t>(c)</w:t>
      </w:r>
      <w:r>
        <w:tab/>
        <w:t>a court must not order anyone to pay to a lawyer;</w:t>
      </w:r>
    </w:p>
    <w:p w:rsidR="00BB6F9A" w:rsidRDefault="00BB6F9A">
      <w:pPr>
        <w:pStyle w:val="Amainreturn"/>
      </w:pPr>
      <w:r>
        <w:t>an amount for legal services in relation to the claim that (or that together with other amounts) is more than the maximum costs allowable under this section.</w:t>
      </w:r>
    </w:p>
    <w:p w:rsidR="00BB6F9A" w:rsidRDefault="00BB6F9A">
      <w:pPr>
        <w:pStyle w:val="Amain"/>
        <w:keepNext/>
      </w:pPr>
      <w:r>
        <w:lastRenderedPageBreak/>
        <w:tab/>
        <w:t>(3)</w:t>
      </w:r>
      <w:r>
        <w:tab/>
        <w:t>Subsection (2) is subject to the following sections:</w:t>
      </w:r>
    </w:p>
    <w:p w:rsidR="00BB6F9A" w:rsidRDefault="00BB6F9A">
      <w:pPr>
        <w:pStyle w:val="Amainbullet"/>
        <w:tabs>
          <w:tab w:val="left" w:pos="1200"/>
        </w:tabs>
      </w:pPr>
      <w:r>
        <w:rPr>
          <w:rFonts w:ascii="Symbol" w:hAnsi="Symbol" w:cs="Symbol"/>
          <w:sz w:val="20"/>
          <w:szCs w:val="20"/>
        </w:rPr>
        <w:t></w:t>
      </w:r>
      <w:r>
        <w:rPr>
          <w:rFonts w:ascii="Symbol" w:hAnsi="Symbol" w:cs="Symbol"/>
          <w:sz w:val="20"/>
          <w:szCs w:val="20"/>
        </w:rPr>
        <w:tab/>
      </w:r>
      <w:r>
        <w:t>section 115 (Costs incurred after offer of compromise not accepted)</w:t>
      </w:r>
    </w:p>
    <w:p w:rsidR="00BB6F9A" w:rsidRDefault="00BB6F9A">
      <w:pPr>
        <w:pStyle w:val="Amainbullet"/>
        <w:tabs>
          <w:tab w:val="left" w:pos="1200"/>
        </w:tabs>
      </w:pPr>
      <w:r>
        <w:rPr>
          <w:rFonts w:ascii="Symbol" w:hAnsi="Symbol" w:cs="Symbol"/>
          <w:sz w:val="20"/>
          <w:szCs w:val="20"/>
        </w:rPr>
        <w:t></w:t>
      </w:r>
      <w:r>
        <w:rPr>
          <w:rFonts w:ascii="Symbol" w:hAnsi="Symbol" w:cs="Symbol"/>
          <w:sz w:val="20"/>
          <w:szCs w:val="20"/>
        </w:rPr>
        <w:tab/>
      </w:r>
      <w:r>
        <w:t>section 116 (Exclusion of costs unnecessarily incurred etc)</w:t>
      </w:r>
    </w:p>
    <w:p w:rsidR="00BB6F9A" w:rsidRDefault="00BB6F9A">
      <w:pPr>
        <w:pStyle w:val="Amainbullet"/>
        <w:tabs>
          <w:tab w:val="left" w:pos="1200"/>
        </w:tabs>
      </w:pPr>
      <w:r>
        <w:rPr>
          <w:rFonts w:ascii="Symbol" w:hAnsi="Symbol" w:cs="Symbol"/>
          <w:sz w:val="20"/>
          <w:szCs w:val="20"/>
        </w:rPr>
        <w:t></w:t>
      </w:r>
      <w:r>
        <w:rPr>
          <w:rFonts w:ascii="Symbol" w:hAnsi="Symbol" w:cs="Symbol"/>
          <w:sz w:val="20"/>
          <w:szCs w:val="20"/>
        </w:rPr>
        <w:tab/>
      </w:r>
      <w:r>
        <w:t>section 117 (Court discretion to allow additional costs).</w:t>
      </w:r>
    </w:p>
    <w:p w:rsidR="00BB6F9A" w:rsidRDefault="00BB6F9A">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BB6F9A" w:rsidRDefault="00BB6F9A">
      <w:pPr>
        <w:pStyle w:val="Apara"/>
      </w:pPr>
      <w:r>
        <w:tab/>
        <w:t>(a)</w:t>
      </w:r>
      <w:r>
        <w:tab/>
        <w:t>the relevant percentage of the amount recovered; and</w:t>
      </w:r>
    </w:p>
    <w:p w:rsidR="00BB6F9A" w:rsidRDefault="00BB6F9A">
      <w:pPr>
        <w:pStyle w:val="Apara"/>
      </w:pPr>
      <w:r>
        <w:tab/>
        <w:t>(b)</w:t>
      </w:r>
      <w:r>
        <w:tab/>
        <w:t>the relevant amount.</w:t>
      </w:r>
    </w:p>
    <w:p w:rsidR="00BB6F9A" w:rsidRDefault="00BB6F9A">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BB6F9A" w:rsidRDefault="00BB6F9A">
      <w:pPr>
        <w:pStyle w:val="Apara"/>
      </w:pPr>
      <w:r>
        <w:tab/>
        <w:t>(a)</w:t>
      </w:r>
      <w:r>
        <w:tab/>
        <w:t>the relevant percentage of the amount sought to be recovered by the plaintiff; and</w:t>
      </w:r>
    </w:p>
    <w:p w:rsidR="00BB6F9A" w:rsidRDefault="00BB6F9A">
      <w:pPr>
        <w:pStyle w:val="Apara"/>
      </w:pPr>
      <w:r>
        <w:tab/>
        <w:t>(b)</w:t>
      </w:r>
      <w:r>
        <w:tab/>
        <w:t>the relevant amount.</w:t>
      </w:r>
    </w:p>
    <w:p w:rsidR="00BB6F9A" w:rsidRDefault="00BB6F9A">
      <w:pPr>
        <w:pStyle w:val="Amain"/>
        <w:keepNext/>
      </w:pPr>
      <w:r>
        <w:tab/>
        <w:t>(6)</w:t>
      </w:r>
      <w:r>
        <w:tab/>
        <w:t>In this section:</w:t>
      </w:r>
    </w:p>
    <w:p w:rsidR="00BB6F9A" w:rsidRDefault="00BB6F9A">
      <w:pPr>
        <w:pStyle w:val="aDef"/>
        <w:keepNext/>
      </w:pPr>
      <w:r>
        <w:rPr>
          <w:rStyle w:val="charBoldItals"/>
        </w:rPr>
        <w:t>amount recovered</w:t>
      </w:r>
      <w:r>
        <w:t>, on a claim—</w:t>
      </w:r>
    </w:p>
    <w:p w:rsidR="00BB6F9A" w:rsidRDefault="00BB6F9A">
      <w:pPr>
        <w:pStyle w:val="aDefpara"/>
      </w:pPr>
      <w:r>
        <w:tab/>
        <w:t>(a)</w:t>
      </w:r>
      <w:r>
        <w:tab/>
        <w:t>includes an amount paid under a compromise or settlement of the claim, whether or not an action has been begun; but</w:t>
      </w:r>
    </w:p>
    <w:p w:rsidR="00BB6F9A" w:rsidRDefault="00BB6F9A">
      <w:pPr>
        <w:pStyle w:val="aDefpara"/>
      </w:pPr>
      <w:r>
        <w:tab/>
        <w:t>(b)</w:t>
      </w:r>
      <w:r>
        <w:tab/>
        <w:t>does not include an amount attributable to costs or to the addition of interest.</w:t>
      </w:r>
    </w:p>
    <w:p w:rsidR="00BB6F9A" w:rsidRDefault="00BB6F9A">
      <w:pPr>
        <w:pStyle w:val="aDef"/>
      </w:pPr>
      <w:r>
        <w:rPr>
          <w:rStyle w:val="charBoldItals"/>
        </w:rPr>
        <w:t>amount sought to be recovered</w:t>
      </w:r>
      <w:r>
        <w:t xml:space="preserve"> by a plaintiff means, if an action is begun—</w:t>
      </w:r>
    </w:p>
    <w:p w:rsidR="00BB6F9A" w:rsidRDefault="00BB6F9A">
      <w:pPr>
        <w:pStyle w:val="Apara"/>
      </w:pPr>
      <w:r>
        <w:tab/>
        <w:t>(a)</w:t>
      </w:r>
      <w:r>
        <w:tab/>
        <w:t>the amount sought to be proved by the plaintiff at the hearing of the claim; or</w:t>
      </w:r>
    </w:p>
    <w:p w:rsidR="00BB6F9A" w:rsidRDefault="00BB6F9A">
      <w:pPr>
        <w:pStyle w:val="Apara"/>
      </w:pPr>
      <w:r>
        <w:tab/>
        <w:t>(b)</w:t>
      </w:r>
      <w:r>
        <w:tab/>
        <w:t>if the claim is for unliquidated damages—the amount that the court (or a taxing officer) decides is, for this section, the amount sought to be recovered by the plaintiff on the claim.</w:t>
      </w:r>
    </w:p>
    <w:p w:rsidR="00BB6F9A" w:rsidRDefault="00BB6F9A">
      <w:pPr>
        <w:pStyle w:val="aDef"/>
        <w:keepNext/>
      </w:pPr>
      <w:r>
        <w:rPr>
          <w:rStyle w:val="charBoldItals"/>
        </w:rPr>
        <w:lastRenderedPageBreak/>
        <w:t>relevant amount</w:t>
      </w:r>
      <w:r>
        <w:t xml:space="preserve"> means $10 000 or, if another amount is prescribed under the regulations for this definition, the prescribed amount.</w:t>
      </w:r>
    </w:p>
    <w:p w:rsidR="00BB6F9A" w:rsidRDefault="00BB6F9A">
      <w:pPr>
        <w:pStyle w:val="aDef"/>
      </w:pPr>
      <w:r>
        <w:rPr>
          <w:rStyle w:val="charBoldItals"/>
        </w:rPr>
        <w:t>relevant percentage</w:t>
      </w:r>
      <w:r>
        <w:t xml:space="preserve"> means 20% or, if another percentage is prescribed under the regulations for this definition, the prescribed percentage.</w:t>
      </w:r>
    </w:p>
    <w:p w:rsidR="00BB6F9A" w:rsidRDefault="00BB6F9A">
      <w:pPr>
        <w:pStyle w:val="AH5Sec"/>
      </w:pPr>
      <w:bookmarkStart w:id="165" w:name="_Toc4661427"/>
      <w:r>
        <w:rPr>
          <w:rStyle w:val="CharSectNo"/>
        </w:rPr>
        <w:t>115</w:t>
      </w:r>
      <w:r>
        <w:tab/>
        <w:t>Costs incurred after offer of compromise not accepted</w:t>
      </w:r>
      <w:bookmarkEnd w:id="165"/>
    </w:p>
    <w:p w:rsidR="00BB6F9A" w:rsidRDefault="00BB6F9A">
      <w:pPr>
        <w:pStyle w:val="Amain"/>
      </w:pPr>
      <w:r>
        <w:tab/>
        <w:t>(1)</w:t>
      </w:r>
      <w:r>
        <w:tab/>
        <w:t>This section applies if—</w:t>
      </w:r>
    </w:p>
    <w:p w:rsidR="00BB6F9A" w:rsidRDefault="00BB6F9A">
      <w:pPr>
        <w:pStyle w:val="Apara"/>
      </w:pPr>
      <w:r>
        <w:tab/>
        <w:t>(a)</w:t>
      </w:r>
      <w:r>
        <w:tab/>
        <w:t>a party to a claim for personal injury damages makes an offer of compromise on the claim; and</w:t>
      </w:r>
    </w:p>
    <w:p w:rsidR="00BB6F9A" w:rsidRDefault="00BB6F9A">
      <w:pPr>
        <w:pStyle w:val="Apara"/>
      </w:pPr>
      <w:r>
        <w:tab/>
        <w:t>(b)</w:t>
      </w:r>
      <w:r>
        <w:tab/>
        <w:t>the offer is expressed to be made for this section; and</w:t>
      </w:r>
    </w:p>
    <w:p w:rsidR="00BB6F9A" w:rsidRDefault="00BB6F9A">
      <w:pPr>
        <w:pStyle w:val="Apara"/>
      </w:pPr>
      <w:r>
        <w:tab/>
        <w:t>(c)</w:t>
      </w:r>
      <w:r>
        <w:tab/>
        <w:t>the offer is not accepted; and</w:t>
      </w:r>
    </w:p>
    <w:p w:rsidR="00BB6F9A" w:rsidRDefault="00BB6F9A">
      <w:pPr>
        <w:pStyle w:val="Apara"/>
      </w:pPr>
      <w:r>
        <w:tab/>
        <w:t>(d)</w:t>
      </w:r>
      <w:r>
        <w:tab/>
        <w:t>the court decides or makes an order or award on the claim that is no less favourable to the party than the terms of the offer.</w:t>
      </w:r>
    </w:p>
    <w:p w:rsidR="00BB6F9A" w:rsidRDefault="00BB6F9A">
      <w:pPr>
        <w:pStyle w:val="Amain"/>
      </w:pPr>
      <w:r>
        <w:tab/>
        <w:t>(2)</w:t>
      </w:r>
      <w:r>
        <w:tab/>
        <w:t>Section 114 (Maximum costs for claims of $50 000 or more) does not prevent the awarding of costs against another party, to be assessed on an indemnity basis, for legal services provided after the offer is made.</w:t>
      </w:r>
    </w:p>
    <w:p w:rsidR="00BB6F9A" w:rsidRDefault="00BB6F9A">
      <w:pPr>
        <w:pStyle w:val="Amain"/>
      </w:pPr>
      <w:r>
        <w:tab/>
        <w:t>(3)</w:t>
      </w:r>
      <w:r>
        <w:tab/>
        <w:t>The regulations may—</w:t>
      </w:r>
    </w:p>
    <w:p w:rsidR="00BB6F9A" w:rsidRDefault="00BB6F9A">
      <w:pPr>
        <w:pStyle w:val="Apara"/>
      </w:pPr>
      <w:r>
        <w:tab/>
        <w:t>(a)</w:t>
      </w:r>
      <w:r>
        <w:tab/>
        <w:t>require lawyers to give their clients information about the effect of this section if an offer of compromise is not accepted; and</w:t>
      </w:r>
    </w:p>
    <w:p w:rsidR="00BB6F9A" w:rsidRDefault="00BB6F9A">
      <w:pPr>
        <w:pStyle w:val="Apara"/>
        <w:keepNext/>
      </w:pPr>
      <w:r>
        <w:tab/>
        <w:t>(b)</w:t>
      </w:r>
      <w:r>
        <w:tab/>
        <w:t>make provision in relation to the requirement, including, for example, what information must be given and how and when it must be given.</w:t>
      </w:r>
    </w:p>
    <w:p w:rsidR="00BB6F9A" w:rsidRDefault="00BB6F9A">
      <w:pPr>
        <w:pStyle w:val="aNote"/>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BB6F9A" w:rsidRDefault="00BB6F9A">
      <w:pPr>
        <w:pStyle w:val="Amain"/>
        <w:keepNext/>
      </w:pPr>
      <w:r>
        <w:lastRenderedPageBreak/>
        <w:tab/>
        <w:t>(4)</w:t>
      </w:r>
      <w:r>
        <w:tab/>
        <w:t>If the court considers that—</w:t>
      </w:r>
    </w:p>
    <w:p w:rsidR="00BB6F9A" w:rsidRDefault="00BB6F9A" w:rsidP="00076C31">
      <w:pPr>
        <w:pStyle w:val="Apara"/>
        <w:keepNext/>
      </w:pPr>
      <w:r>
        <w:tab/>
        <w:t>(a)</w:t>
      </w:r>
      <w:r>
        <w:tab/>
        <w:t>a lawyer has contravened regulations made for this section; and</w:t>
      </w:r>
    </w:p>
    <w:p w:rsidR="00BB6F9A" w:rsidRDefault="00BB6F9A">
      <w:pPr>
        <w:pStyle w:val="Apara"/>
      </w:pPr>
      <w:r>
        <w:tab/>
        <w:t>(b)</w:t>
      </w:r>
      <w:r>
        <w:tab/>
        <w:t>the lawyer’s client has incurred an increased liability for costs for not accepting an offer of compromise;</w:t>
      </w:r>
    </w:p>
    <w:p w:rsidR="00BB6F9A" w:rsidRDefault="00BB6F9A">
      <w:pPr>
        <w:pStyle w:val="Amainreturn"/>
      </w:pPr>
      <w:r>
        <w:t>the court may (on its own initiative or on application by the client) make either or both of the orders mentioned in subsection (5).</w:t>
      </w:r>
    </w:p>
    <w:p w:rsidR="00BB6F9A" w:rsidRDefault="00BB6F9A">
      <w:pPr>
        <w:pStyle w:val="Amain"/>
      </w:pPr>
      <w:r>
        <w:tab/>
        <w:t>(5)</w:t>
      </w:r>
      <w:r>
        <w:tab/>
        <w:t>The orders are—</w:t>
      </w:r>
    </w:p>
    <w:p w:rsidR="00BB6F9A" w:rsidRDefault="00BB6F9A">
      <w:pPr>
        <w:pStyle w:val="Apara"/>
      </w:pPr>
      <w:r>
        <w:tab/>
        <w:t>(a)</w:t>
      </w:r>
      <w:r>
        <w:tab/>
        <w:t>an order directing the lawyer to repay to the client (or to pay) all or part of the increased costs that the client has been ordered to pay to another party; and</w:t>
      </w:r>
    </w:p>
    <w:p w:rsidR="00BB6F9A" w:rsidRDefault="00BB6F9A">
      <w:pPr>
        <w:pStyle w:val="Apara"/>
      </w:pPr>
      <w:r>
        <w:tab/>
        <w:t>(b)</w:t>
      </w:r>
      <w:r>
        <w:tab/>
        <w:t>an order directing the lawyer to indemnify a party other than the client against all or part of the costs payable by the party for legal services provided after the offer was made.</w:t>
      </w:r>
    </w:p>
    <w:p w:rsidR="00BB6F9A" w:rsidRDefault="00BB6F9A">
      <w:pPr>
        <w:pStyle w:val="Amain"/>
      </w:pPr>
      <w:r>
        <w:tab/>
        <w:t>(6)</w:t>
      </w:r>
      <w:r>
        <w:tab/>
        <w:t>The regulations may prohibit or restrict the making of offers of compromise otherwise than under this section.</w:t>
      </w:r>
    </w:p>
    <w:p w:rsidR="00BB6F9A" w:rsidRDefault="00BB6F9A">
      <w:pPr>
        <w:pStyle w:val="AH5Sec"/>
      </w:pPr>
      <w:bookmarkStart w:id="166" w:name="_Toc4661428"/>
      <w:r>
        <w:rPr>
          <w:rStyle w:val="CharSectNo"/>
        </w:rPr>
        <w:t>116</w:t>
      </w:r>
      <w:r>
        <w:tab/>
        <w:t>Exclusion of costs unnecessarily incurred etc</w:t>
      </w:r>
      <w:bookmarkEnd w:id="166"/>
    </w:p>
    <w:p w:rsidR="00BB6F9A" w:rsidRDefault="00BB6F9A">
      <w:pPr>
        <w:pStyle w:val="Amain"/>
      </w:pPr>
      <w:r>
        <w:tab/>
        <w:t>(1)</w:t>
      </w:r>
      <w:r>
        <w:tab/>
        <w:t>This section applies to legal services provided to a party to a claim for personal injury damages if a court is satisfied that—</w:t>
      </w:r>
    </w:p>
    <w:p w:rsidR="00BB6F9A" w:rsidRDefault="00BB6F9A">
      <w:pPr>
        <w:pStyle w:val="Apara"/>
      </w:pPr>
      <w:r>
        <w:tab/>
        <w:t>(a)</w:t>
      </w:r>
      <w:r>
        <w:tab/>
        <w:t>the legal services were provided in response to action on the claim by or on behalf of the other party to the claim; and</w:t>
      </w:r>
    </w:p>
    <w:p w:rsidR="00BB6F9A" w:rsidRDefault="00BB6F9A">
      <w:pPr>
        <w:pStyle w:val="Apara"/>
      </w:pPr>
      <w:r>
        <w:tab/>
        <w:t>(b)</w:t>
      </w:r>
      <w:r>
        <w:tab/>
        <w:t>in the circumstances, the action was not necessary or reasonable for the advancement of the party’s case or was intended, or was reasonably likely, to unnecessarily delay or complicate determination of the claim.</w:t>
      </w:r>
    </w:p>
    <w:p w:rsidR="00BB6F9A" w:rsidRDefault="00BB6F9A">
      <w:pPr>
        <w:pStyle w:val="Amain"/>
      </w:pPr>
      <w:r>
        <w:tab/>
        <w:t>(2)</w:t>
      </w:r>
      <w:r>
        <w:tab/>
        <w:t>The court may order that the costs for the legal services are to be excluded from the operation of section 114 (Maximum costs for claims of $50 000 or less).</w:t>
      </w:r>
    </w:p>
    <w:p w:rsidR="00BB6F9A" w:rsidRDefault="00BB6F9A">
      <w:pPr>
        <w:pStyle w:val="AH5Sec"/>
      </w:pPr>
      <w:bookmarkStart w:id="167" w:name="_Toc4661429"/>
      <w:r>
        <w:rPr>
          <w:rStyle w:val="CharSectNo"/>
        </w:rPr>
        <w:lastRenderedPageBreak/>
        <w:t>117</w:t>
      </w:r>
      <w:r>
        <w:tab/>
        <w:t>Court discretion to allow additional costs</w:t>
      </w:r>
      <w:bookmarkEnd w:id="167"/>
    </w:p>
    <w:p w:rsidR="00BB6F9A" w:rsidRDefault="00BB6F9A">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BB6F9A" w:rsidRDefault="00BB6F9A">
      <w:pPr>
        <w:pStyle w:val="Apara"/>
      </w:pPr>
      <w:r>
        <w:tab/>
        <w:t>(a)</w:t>
      </w:r>
      <w:r>
        <w:tab/>
        <w:t xml:space="preserve">the complexity of the claim; or </w:t>
      </w:r>
    </w:p>
    <w:p w:rsidR="00BB6F9A" w:rsidRDefault="00BB6F9A">
      <w:pPr>
        <w:pStyle w:val="Apara"/>
      </w:pPr>
      <w:r>
        <w:tab/>
        <w:t>(b)</w:t>
      </w:r>
      <w:r>
        <w:tab/>
        <w:t>the behaviour of 1 or more of the parties to the claim.</w:t>
      </w:r>
    </w:p>
    <w:p w:rsidR="00BB6F9A" w:rsidRDefault="00BB6F9A">
      <w:pPr>
        <w:pStyle w:val="Amain"/>
      </w:pPr>
      <w:r>
        <w:tab/>
        <w:t>(2)</w:t>
      </w:r>
      <w:r>
        <w:tab/>
        <w:t>The court or taxing officer may order that the lawyer who provided the services is entitled to stated additional costs.</w:t>
      </w:r>
    </w:p>
    <w:p w:rsidR="00BB6F9A" w:rsidRDefault="00BB6F9A">
      <w:pPr>
        <w:pStyle w:val="Amain"/>
      </w:pPr>
      <w:r>
        <w:tab/>
        <w:t>(3)</w:t>
      </w:r>
      <w:r>
        <w:tab/>
        <w:t>If the court or taxing officer makes an order under subsection (2), the court or taxing officer may state who is to pay the additional costs.</w:t>
      </w:r>
    </w:p>
    <w:p w:rsidR="00BB6F9A" w:rsidRDefault="00BB6F9A">
      <w:pPr>
        <w:pStyle w:val="Amain"/>
      </w:pPr>
      <w:r>
        <w:tab/>
        <w:t>(4)</w:t>
      </w:r>
      <w:r>
        <w:tab/>
        <w:t>The regulations may make provision in relation to the making of orders under this section.</w:t>
      </w:r>
    </w:p>
    <w:p w:rsidR="00BB6F9A" w:rsidRDefault="00BB6F9A">
      <w:pPr>
        <w:pStyle w:val="AH5Sec"/>
      </w:pPr>
      <w:bookmarkStart w:id="168" w:name="_Toc4661430"/>
      <w:r>
        <w:rPr>
          <w:rStyle w:val="CharSectNo"/>
        </w:rPr>
        <w:t>118</w:t>
      </w:r>
      <w:r>
        <w:tab/>
        <w:t>Apportionment of costs between lawyers</w:t>
      </w:r>
      <w:bookmarkEnd w:id="168"/>
    </w:p>
    <w:p w:rsidR="00BB6F9A" w:rsidRDefault="00BB6F9A">
      <w:pPr>
        <w:pStyle w:val="Amainreturn"/>
      </w:pPr>
      <w:r>
        <w:t>If more than 1 lawyer provides legal services to a party in relation to a claim for personal injury damages, the maximum costs allowable under this part (including any additional amount allowed under section 117) are to be apportioned between them as agreed by them or, if they do not agree, as ordered by the court (or a taxing officer).</w:t>
      </w:r>
    </w:p>
    <w:p w:rsidR="00BB6F9A" w:rsidRDefault="00BB6F9A">
      <w:pPr>
        <w:pStyle w:val="PageBreak"/>
      </w:pPr>
      <w:r>
        <w:br w:type="page"/>
      </w:r>
    </w:p>
    <w:p w:rsidR="00BB6F9A" w:rsidRDefault="00BB6F9A">
      <w:pPr>
        <w:pStyle w:val="AH1Chapter"/>
      </w:pPr>
      <w:bookmarkStart w:id="169" w:name="_Toc4661431"/>
      <w:r>
        <w:rPr>
          <w:rStyle w:val="CharChapNo"/>
        </w:rPr>
        <w:lastRenderedPageBreak/>
        <w:t>Chapter 11</w:t>
      </w:r>
      <w:r>
        <w:tab/>
      </w:r>
      <w:r>
        <w:rPr>
          <w:rStyle w:val="CharChapText"/>
        </w:rPr>
        <w:t>Miscellaneous</w:t>
      </w:r>
      <w:bookmarkEnd w:id="169"/>
    </w:p>
    <w:p w:rsidR="00BB6F9A" w:rsidRDefault="00BB6F9A">
      <w:pPr>
        <w:pStyle w:val="AH2Part"/>
      </w:pPr>
      <w:bookmarkStart w:id="170" w:name="_Toc4661432"/>
      <w:r>
        <w:rPr>
          <w:rStyle w:val="CharPartNo"/>
        </w:rPr>
        <w:t>Part 11.1</w:t>
      </w:r>
      <w:r>
        <w:rPr>
          <w:i/>
          <w:iCs/>
        </w:rPr>
        <w:tab/>
      </w:r>
      <w:r>
        <w:rPr>
          <w:rStyle w:val="CharPartText"/>
        </w:rPr>
        <w:t>Neutral evaluation</w:t>
      </w:r>
      <w:bookmarkEnd w:id="170"/>
    </w:p>
    <w:p w:rsidR="00BB6F9A" w:rsidRDefault="00BB6F9A">
      <w:pPr>
        <w:pStyle w:val="AH5Sec"/>
      </w:pPr>
      <w:bookmarkStart w:id="171" w:name="_Toc4661433"/>
      <w:r>
        <w:rPr>
          <w:rStyle w:val="CharSectNo"/>
        </w:rPr>
        <w:t>119</w:t>
      </w:r>
      <w:r>
        <w:rPr>
          <w:i/>
          <w:iCs/>
        </w:rPr>
        <w:tab/>
      </w:r>
      <w:r>
        <w:t>Purpose of pt 11.1 etc</w:t>
      </w:r>
      <w:bookmarkEnd w:id="171"/>
    </w:p>
    <w:p w:rsidR="00BB6F9A" w:rsidRDefault="00BB6F9A">
      <w:pPr>
        <w:pStyle w:val="Amain"/>
      </w:pPr>
      <w:r>
        <w:tab/>
        <w:t>(1)</w:t>
      </w:r>
      <w:r>
        <w:tab/>
        <w:t>The purpose of this part is to enable a court or tribunal to refer matters for neutral evaluation.</w:t>
      </w:r>
    </w:p>
    <w:p w:rsidR="00BB6F9A" w:rsidRDefault="00BB6F9A">
      <w:pPr>
        <w:pStyle w:val="Amain"/>
      </w:pPr>
      <w:r>
        <w:tab/>
        <w:t>(2)</w:t>
      </w:r>
      <w:r>
        <w:tab/>
        <w:t>This part does not prevent the parties to a proceeding from agreeing to, and arranging for, neutral evaluation of any matter otherwise than under this part.</w:t>
      </w:r>
    </w:p>
    <w:p w:rsidR="00BB6F9A" w:rsidRDefault="00BB6F9A">
      <w:pPr>
        <w:pStyle w:val="Amain"/>
      </w:pPr>
      <w:r>
        <w:tab/>
        <w:t>(3)</w:t>
      </w:r>
      <w:r>
        <w:tab/>
        <w:t>This part does not apply to criminal proceedings.</w:t>
      </w:r>
    </w:p>
    <w:p w:rsidR="00BB6F9A" w:rsidRDefault="00BB6F9A">
      <w:pPr>
        <w:pStyle w:val="AH5Sec"/>
      </w:pPr>
      <w:bookmarkStart w:id="172" w:name="_Toc4661434"/>
      <w:r>
        <w:rPr>
          <w:rStyle w:val="CharSectNo"/>
        </w:rPr>
        <w:t>120</w:t>
      </w:r>
      <w:r>
        <w:rPr>
          <w:i/>
          <w:iCs/>
        </w:rPr>
        <w:tab/>
      </w:r>
      <w:r>
        <w:t xml:space="preserve">Meaning of </w:t>
      </w:r>
      <w:r>
        <w:rPr>
          <w:rStyle w:val="charItals"/>
        </w:rPr>
        <w:t>neutral evaluation</w:t>
      </w:r>
      <w:r>
        <w:t xml:space="preserve"> and </w:t>
      </w:r>
      <w:r>
        <w:rPr>
          <w:rStyle w:val="charItals"/>
        </w:rPr>
        <w:t>neutral evaluation session</w:t>
      </w:r>
      <w:bookmarkEnd w:id="172"/>
    </w:p>
    <w:p w:rsidR="00BB6F9A" w:rsidRDefault="00BB6F9A">
      <w:pPr>
        <w:pStyle w:val="Amain"/>
      </w:pPr>
      <w:r>
        <w:tab/>
        <w:t>(1)</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BB6F9A" w:rsidRDefault="00BB6F9A">
      <w:pPr>
        <w:pStyle w:val="Amain"/>
      </w:pPr>
      <w:r>
        <w:tab/>
        <w:t>(2)</w:t>
      </w:r>
      <w:r>
        <w:tab/>
        <w:t>The evaluator’s role includes assessing the relative strengths and weaknesses of each party’s case and offering an opinion about the likely outcome of the proceeding, including any likely findings of liability or the award of damages.</w:t>
      </w:r>
    </w:p>
    <w:p w:rsidR="00BB6F9A" w:rsidRDefault="00BB6F9A">
      <w:pPr>
        <w:pStyle w:val="Amain"/>
      </w:pPr>
      <w:r>
        <w:tab/>
        <w:t>(3)</w:t>
      </w:r>
      <w:r>
        <w:tab/>
        <w:t xml:space="preserve">For this part, </w:t>
      </w:r>
      <w:r>
        <w:rPr>
          <w:rStyle w:val="charBoldItals"/>
        </w:rPr>
        <w:t>neutral evaluation session</w:t>
      </w:r>
      <w:r>
        <w:t xml:space="preserve"> means a meeting arranged for the neutral evaluation of a matter under this part.</w:t>
      </w:r>
    </w:p>
    <w:p w:rsidR="00BB6F9A" w:rsidRDefault="00BB6F9A">
      <w:pPr>
        <w:pStyle w:val="AH5Sec"/>
      </w:pPr>
      <w:bookmarkStart w:id="173" w:name="_Toc4661435"/>
      <w:r>
        <w:rPr>
          <w:rStyle w:val="CharSectNo"/>
        </w:rPr>
        <w:t>121</w:t>
      </w:r>
      <w:r>
        <w:rPr>
          <w:i/>
          <w:iCs/>
        </w:rPr>
        <w:tab/>
      </w:r>
      <w:r>
        <w:t>Who can be an evaluator</w:t>
      </w:r>
      <w:bookmarkEnd w:id="173"/>
    </w:p>
    <w:p w:rsidR="00BB6F9A" w:rsidRDefault="00BB6F9A">
      <w:pPr>
        <w:pStyle w:val="Amainreturn"/>
        <w:keepNext/>
      </w:pPr>
      <w:r>
        <w:t>The following people can be an evaluator:</w:t>
      </w:r>
    </w:p>
    <w:p w:rsidR="00BB6F9A" w:rsidRDefault="00BB6F9A">
      <w:pPr>
        <w:pStyle w:val="Apara"/>
      </w:pPr>
      <w:r>
        <w:tab/>
        <w:t>(a)</w:t>
      </w:r>
      <w:r>
        <w:tab/>
        <w:t xml:space="preserve">a registrar of a court or tribunal; </w:t>
      </w:r>
    </w:p>
    <w:p w:rsidR="00BB6F9A" w:rsidRDefault="00BB6F9A">
      <w:pPr>
        <w:pStyle w:val="Apara"/>
      </w:pPr>
      <w:r>
        <w:tab/>
        <w:t>(b)</w:t>
      </w:r>
      <w:r>
        <w:tab/>
        <w:t>a deputy registrar of a court or tribunal;</w:t>
      </w:r>
    </w:p>
    <w:p w:rsidR="00BB6F9A" w:rsidRDefault="00BB6F9A">
      <w:pPr>
        <w:pStyle w:val="Apara"/>
      </w:pPr>
      <w:r>
        <w:lastRenderedPageBreak/>
        <w:tab/>
        <w:t>(c)</w:t>
      </w:r>
      <w:r>
        <w:tab/>
        <w:t>someone else that a court or tribunal considers has the skills and qualifications to be an evaluator and appoints as an evaluator.</w:t>
      </w:r>
    </w:p>
    <w:p w:rsidR="00BB6F9A" w:rsidRDefault="00BB6F9A">
      <w:pPr>
        <w:pStyle w:val="AH5Sec"/>
      </w:pPr>
      <w:bookmarkStart w:id="174" w:name="_Toc4661436"/>
      <w:r>
        <w:rPr>
          <w:rStyle w:val="CharSectNo"/>
        </w:rPr>
        <w:t>122</w:t>
      </w:r>
      <w:r>
        <w:rPr>
          <w:i/>
          <w:iCs/>
        </w:rPr>
        <w:tab/>
      </w:r>
      <w:r>
        <w:t>Referral by court or tribunal for neutral evaluation</w:t>
      </w:r>
      <w:bookmarkEnd w:id="174"/>
    </w:p>
    <w:p w:rsidR="00BB6F9A" w:rsidRDefault="00BB6F9A">
      <w:pPr>
        <w:pStyle w:val="Amain"/>
      </w:pPr>
      <w:r>
        <w:tab/>
        <w:t>(1)</w:t>
      </w:r>
      <w:r>
        <w:tab/>
        <w:t>A court or tribunal may, by order, refer any proceeding, or any part of a proceeding, before it for neutral evaluation, and may do so either with or without the consent of the parties to the proceeding.</w:t>
      </w:r>
    </w:p>
    <w:p w:rsidR="00BB6F9A" w:rsidRDefault="00BB6F9A">
      <w:pPr>
        <w:pStyle w:val="Amain"/>
      </w:pPr>
      <w:r>
        <w:tab/>
        <w:t>(2)</w:t>
      </w:r>
      <w:r>
        <w:tab/>
        <w:t>The neutral evaluation is to be undertaken by an evaluator appointed by the court or tribunal.</w:t>
      </w:r>
    </w:p>
    <w:p w:rsidR="00BB6F9A" w:rsidRDefault="00BB6F9A">
      <w:pPr>
        <w:pStyle w:val="AH5Sec"/>
      </w:pPr>
      <w:bookmarkStart w:id="175" w:name="_Toc4661437"/>
      <w:r>
        <w:rPr>
          <w:rStyle w:val="CharSectNo"/>
        </w:rPr>
        <w:t>123</w:t>
      </w:r>
      <w:r>
        <w:rPr>
          <w:i/>
          <w:iCs/>
        </w:rPr>
        <w:tab/>
      </w:r>
      <w:r>
        <w:t>Duty of parties to take part in neutral evaluations</w:t>
      </w:r>
      <w:bookmarkEnd w:id="175"/>
    </w:p>
    <w:p w:rsidR="00BB6F9A" w:rsidRDefault="00BB6F9A">
      <w:pPr>
        <w:pStyle w:val="Amainreturn"/>
      </w:pPr>
      <w:r>
        <w:t>It is the duty of each party to a proceeding referred for neutral evaluation under section 122 to take part, genuinely and sincerely, in the neutral evaluation.</w:t>
      </w:r>
    </w:p>
    <w:p w:rsidR="00BB6F9A" w:rsidRDefault="00BB6F9A">
      <w:pPr>
        <w:pStyle w:val="AH5Sec"/>
      </w:pPr>
      <w:bookmarkStart w:id="176" w:name="_Toc4661438"/>
      <w:r>
        <w:rPr>
          <w:rStyle w:val="CharSectNo"/>
        </w:rPr>
        <w:t>124</w:t>
      </w:r>
      <w:r>
        <w:rPr>
          <w:i/>
          <w:iCs/>
        </w:rPr>
        <w:tab/>
      </w:r>
      <w:r>
        <w:t>Costs of neutral evaluation</w:t>
      </w:r>
      <w:bookmarkEnd w:id="176"/>
    </w:p>
    <w:p w:rsidR="00BB6F9A" w:rsidRDefault="00BB6F9A">
      <w:pPr>
        <w:pStyle w:val="Amainreturn"/>
      </w:pPr>
      <w:r>
        <w:t>The costs of a neutral evaluation are payable—</w:t>
      </w:r>
    </w:p>
    <w:p w:rsidR="00BB6F9A" w:rsidRDefault="00BB6F9A">
      <w:pPr>
        <w:pStyle w:val="Apara"/>
      </w:pPr>
      <w:r>
        <w:tab/>
        <w:t>(a)</w:t>
      </w:r>
      <w:r>
        <w:tab/>
        <w:t>by the parties to the proceeding, in the proportions they agree among themselves; or</w:t>
      </w:r>
    </w:p>
    <w:p w:rsidR="00BB6F9A" w:rsidRDefault="00BB6F9A">
      <w:pPr>
        <w:pStyle w:val="Apara"/>
      </w:pPr>
      <w:r>
        <w:tab/>
        <w:t>(b)</w:t>
      </w:r>
      <w:r>
        <w:tab/>
        <w:t>if a court or tribunal makes an order about the payment of the costs—by 1 or more of the parties, in the way stated in the order.</w:t>
      </w:r>
    </w:p>
    <w:p w:rsidR="00BB6F9A" w:rsidRDefault="00BB6F9A">
      <w:pPr>
        <w:pStyle w:val="AH5Sec"/>
      </w:pPr>
      <w:bookmarkStart w:id="177" w:name="_Toc4661439"/>
      <w:r>
        <w:rPr>
          <w:rStyle w:val="CharSectNo"/>
        </w:rPr>
        <w:t>125</w:t>
      </w:r>
      <w:r>
        <w:rPr>
          <w:i/>
          <w:iCs/>
        </w:rPr>
        <w:tab/>
      </w:r>
      <w:r>
        <w:t>Privilege for neutral evaluations</w:t>
      </w:r>
      <w:bookmarkEnd w:id="177"/>
    </w:p>
    <w:p w:rsidR="00BB6F9A" w:rsidRDefault="00BB6F9A">
      <w:pPr>
        <w:pStyle w:val="Amain"/>
      </w:pPr>
      <w:r>
        <w:tab/>
        <w:t>(1)</w:t>
      </w:r>
      <w:r>
        <w:tab/>
        <w:t>The same privilege in relation to defamation that exists for a judicial proceeding, and a document produced in a judicial proceeding, exists for—</w:t>
      </w:r>
    </w:p>
    <w:p w:rsidR="00BB6F9A" w:rsidRDefault="00BB6F9A">
      <w:pPr>
        <w:pStyle w:val="Apara"/>
      </w:pPr>
      <w:r>
        <w:tab/>
        <w:t>(a)</w:t>
      </w:r>
      <w:r>
        <w:tab/>
        <w:t>a neutral evaluation session; or</w:t>
      </w:r>
    </w:p>
    <w:p w:rsidR="00BB6F9A" w:rsidRDefault="00BB6F9A">
      <w:pPr>
        <w:pStyle w:val="Apara"/>
      </w:pPr>
      <w:r>
        <w:tab/>
        <w:t>(b)</w:t>
      </w:r>
      <w:r>
        <w:tab/>
        <w:t>a document or other material sent to or produced to an evaluator, or sent to or produced at a court or tribunal or the registry of a court or tribunal, for the purpose of enabling a neutral evaluation session to be arranged.</w:t>
      </w:r>
    </w:p>
    <w:p w:rsidR="00BB6F9A" w:rsidRDefault="00BB6F9A">
      <w:pPr>
        <w:pStyle w:val="Amain"/>
      </w:pPr>
      <w:r>
        <w:lastRenderedPageBreak/>
        <w:tab/>
        <w:t>(2)</w:t>
      </w:r>
      <w:r>
        <w:tab/>
        <w:t>However, the privilege under subsection (1) only extends to a publication made—</w:t>
      </w:r>
    </w:p>
    <w:p w:rsidR="00BB6F9A" w:rsidRDefault="00BB6F9A">
      <w:pPr>
        <w:pStyle w:val="Apara"/>
      </w:pPr>
      <w:r>
        <w:tab/>
        <w:t>(a)</w:t>
      </w:r>
      <w:r>
        <w:tab/>
        <w:t>at a neutral evaluation session; or</w:t>
      </w:r>
    </w:p>
    <w:p w:rsidR="00BB6F9A" w:rsidRDefault="00BB6F9A">
      <w:pPr>
        <w:pStyle w:val="Apara"/>
      </w:pPr>
      <w:r>
        <w:tab/>
        <w:t>(b)</w:t>
      </w:r>
      <w:r>
        <w:tab/>
        <w:t>as provided by subsection (1) (b); or</w:t>
      </w:r>
    </w:p>
    <w:p w:rsidR="00BB6F9A" w:rsidRDefault="00BB6F9A">
      <w:pPr>
        <w:pStyle w:val="Apara"/>
      </w:pPr>
      <w:r>
        <w:tab/>
        <w:t>(c)</w:t>
      </w:r>
      <w:r>
        <w:tab/>
        <w:t>as provided in section 126.</w:t>
      </w:r>
    </w:p>
    <w:p w:rsidR="00BB6F9A" w:rsidRDefault="00BB6F9A">
      <w:pPr>
        <w:pStyle w:val="Amain"/>
      </w:pPr>
      <w:r>
        <w:tab/>
        <w:t>(3)</w:t>
      </w:r>
      <w:r>
        <w:tab/>
        <w:t>Evidence of anything said, or of any admission made, in a neutral evaluation session is not admissible in a proceeding before a court, tribunal or other entity.</w:t>
      </w:r>
    </w:p>
    <w:p w:rsidR="00BB6F9A" w:rsidRDefault="00BB6F9A">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BB6F9A" w:rsidRDefault="00BB6F9A">
      <w:pPr>
        <w:pStyle w:val="Amain"/>
      </w:pPr>
      <w:r>
        <w:tab/>
        <w:t>(5)</w:t>
      </w:r>
      <w:r>
        <w:tab/>
        <w:t>Subsections (3) and (4) do not apply to any evidence or document—</w:t>
      </w:r>
    </w:p>
    <w:p w:rsidR="00BB6F9A" w:rsidRDefault="00BB6F9A">
      <w:pPr>
        <w:pStyle w:val="Apara"/>
      </w:pPr>
      <w:r>
        <w:tab/>
        <w:t>(a)</w:t>
      </w:r>
      <w:r>
        <w:tab/>
        <w:t>for evidence—if the people in attendance at, or identified during, the neutral evaluation session consent to the admission of the evidence; or</w:t>
      </w:r>
    </w:p>
    <w:p w:rsidR="00BB6F9A" w:rsidRDefault="00BB6F9A">
      <w:pPr>
        <w:pStyle w:val="Apara"/>
      </w:pPr>
      <w:r>
        <w:tab/>
        <w:t>(b)</w:t>
      </w:r>
      <w:r>
        <w:tab/>
        <w:t>for a document—if the people in attendance at, or identified during, the neutral evaluation session and all people identified in the document, consent to the admission of the document; or</w:t>
      </w:r>
    </w:p>
    <w:p w:rsidR="00BB6F9A" w:rsidRDefault="00BB6F9A">
      <w:pPr>
        <w:pStyle w:val="Apara"/>
      </w:pPr>
      <w:r>
        <w:tab/>
        <w:t>(c)</w:t>
      </w:r>
      <w:r>
        <w:tab/>
        <w:t>in a proceeding (including a criminal proceeding) brought in relation to an act or omission in relation to which a disclosure has been made under section 126 (c).</w:t>
      </w:r>
    </w:p>
    <w:p w:rsidR="00BB6F9A" w:rsidRDefault="00BB6F9A">
      <w:pPr>
        <w:pStyle w:val="Amain"/>
        <w:keepNext/>
      </w:pPr>
      <w:r>
        <w:tab/>
        <w:t>(6)</w:t>
      </w:r>
      <w:r>
        <w:tab/>
        <w:t>In this section:</w:t>
      </w:r>
    </w:p>
    <w:p w:rsidR="00BB6F9A" w:rsidRDefault="00BB6F9A">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BB6F9A" w:rsidRDefault="00BB6F9A">
      <w:pPr>
        <w:pStyle w:val="AH5Sec"/>
      </w:pPr>
      <w:bookmarkStart w:id="178" w:name="_Toc4661440"/>
      <w:r>
        <w:rPr>
          <w:rStyle w:val="CharSectNo"/>
        </w:rPr>
        <w:lastRenderedPageBreak/>
        <w:t>126</w:t>
      </w:r>
      <w:r>
        <w:rPr>
          <w:i/>
          <w:iCs/>
        </w:rPr>
        <w:tab/>
      </w:r>
      <w:r>
        <w:t>Secrecy by evaluators</w:t>
      </w:r>
      <w:bookmarkEnd w:id="178"/>
    </w:p>
    <w:p w:rsidR="00BB6F9A" w:rsidRDefault="00BB6F9A">
      <w:pPr>
        <w:pStyle w:val="Amainreturn"/>
        <w:keepNext/>
      </w:pPr>
      <w:r>
        <w:t xml:space="preserve">An evaluator may disclose information obtained in relation to the administration or execution of this part only in the following circumstances: </w:t>
      </w:r>
    </w:p>
    <w:p w:rsidR="00BB6F9A" w:rsidRDefault="00BB6F9A">
      <w:pPr>
        <w:pStyle w:val="Apara"/>
      </w:pPr>
      <w:r>
        <w:tab/>
        <w:t>(a)</w:t>
      </w:r>
      <w:r>
        <w:tab/>
        <w:t xml:space="preserve">with the consent of the person from whom the information was obtained; </w:t>
      </w:r>
    </w:p>
    <w:p w:rsidR="00BB6F9A" w:rsidRDefault="00BB6F9A">
      <w:pPr>
        <w:pStyle w:val="Apara"/>
      </w:pPr>
      <w:r>
        <w:tab/>
        <w:t>(b)</w:t>
      </w:r>
      <w:r>
        <w:tab/>
        <w:t xml:space="preserve">for the administration or execution of this part; </w:t>
      </w:r>
    </w:p>
    <w:p w:rsidR="00BB6F9A" w:rsidRDefault="00BB6F9A">
      <w:pPr>
        <w:pStyle w:val="Apara"/>
      </w:pPr>
      <w:r>
        <w:tab/>
        <w:t>(c)</w:t>
      </w:r>
      <w:r>
        <w:tab/>
        <w:t xml:space="preserve">if there are reasonable grounds to believe that the disclosure is necessary to prevent or minimise the danger of death or injury to anyone or damage to any property; </w:t>
      </w:r>
    </w:p>
    <w:p w:rsidR="00BB6F9A" w:rsidRDefault="00BB6F9A">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BB6F9A" w:rsidRDefault="00BB6F9A">
      <w:pPr>
        <w:pStyle w:val="Apara"/>
      </w:pPr>
      <w:r>
        <w:tab/>
        <w:t>(e)</w:t>
      </w:r>
      <w:r>
        <w:tab/>
        <w:t>in accordance with a requirement imposed under a Territory or Commonwealth law (other than a requirement imposed by a subpoena or other compulsory process).</w:t>
      </w:r>
    </w:p>
    <w:p w:rsidR="00BB6F9A" w:rsidRDefault="00BB6F9A">
      <w:pPr>
        <w:pStyle w:val="AH5Sec"/>
      </w:pPr>
      <w:bookmarkStart w:id="179" w:name="_Toc4661441"/>
      <w:r>
        <w:rPr>
          <w:rStyle w:val="CharSectNo"/>
        </w:rPr>
        <w:t>127</w:t>
      </w:r>
      <w:r>
        <w:rPr>
          <w:i/>
          <w:iCs/>
        </w:rPr>
        <w:tab/>
      </w:r>
      <w:r>
        <w:t>Protection from liability for evaluators</w:t>
      </w:r>
      <w:bookmarkEnd w:id="179"/>
    </w:p>
    <w:p w:rsidR="00BB6F9A" w:rsidRDefault="00BB6F9A">
      <w:pPr>
        <w:pStyle w:val="Amainreturn"/>
      </w:pPr>
      <w:r>
        <w:t>An evaluator is not subject to civil liability for anything done or omitted to be done honestly for a neutral evaluation session under this part.</w:t>
      </w:r>
    </w:p>
    <w:p w:rsidR="00BB6F9A" w:rsidRDefault="00BB6F9A">
      <w:pPr>
        <w:pStyle w:val="PageBreak"/>
      </w:pPr>
      <w:r>
        <w:br w:type="page"/>
      </w:r>
    </w:p>
    <w:p w:rsidR="00BB6F9A" w:rsidRDefault="00BB6F9A">
      <w:pPr>
        <w:pStyle w:val="AH2Part"/>
      </w:pPr>
      <w:bookmarkStart w:id="180" w:name="_Toc4661442"/>
      <w:r>
        <w:rPr>
          <w:rStyle w:val="CharPartNo"/>
        </w:rPr>
        <w:lastRenderedPageBreak/>
        <w:t>Part 11.2</w:t>
      </w:r>
      <w:r>
        <w:tab/>
      </w:r>
      <w:r>
        <w:rPr>
          <w:rStyle w:val="CharPartText"/>
        </w:rPr>
        <w:t>General reporting requirements of insurers</w:t>
      </w:r>
      <w:bookmarkEnd w:id="180"/>
    </w:p>
    <w:p w:rsidR="00BB6F9A" w:rsidRDefault="00BB6F9A">
      <w:pPr>
        <w:pStyle w:val="AH5Sec"/>
        <w:rPr>
          <w:rStyle w:val="charItals"/>
        </w:rPr>
      </w:pPr>
      <w:bookmarkStart w:id="181" w:name="_Toc4661443"/>
      <w:r>
        <w:rPr>
          <w:rStyle w:val="CharSectNo"/>
        </w:rPr>
        <w:t>128</w:t>
      </w:r>
      <w:r>
        <w:tab/>
        <w:t xml:space="preserve">Who is an </w:t>
      </w:r>
      <w:r>
        <w:rPr>
          <w:rStyle w:val="charItals"/>
        </w:rPr>
        <w:t>insurer</w:t>
      </w:r>
      <w:r>
        <w:t xml:space="preserve"> for pt 11.2</w:t>
      </w:r>
      <w:bookmarkEnd w:id="181"/>
    </w:p>
    <w:p w:rsidR="00BB6F9A" w:rsidRDefault="00BB6F9A">
      <w:pPr>
        <w:pStyle w:val="Amainreturn"/>
      </w:pPr>
      <w:r>
        <w:t xml:space="preserve">In this part, an </w:t>
      </w:r>
      <w:r>
        <w:rPr>
          <w:rStyle w:val="charBoldItals"/>
        </w:rPr>
        <w:t>insurer</w:t>
      </w:r>
      <w:r>
        <w:t xml:space="preserve"> is a person who carries on the business of insurance, or an activity declared under the regulations to be the business of insurance, in relation to—</w:t>
      </w:r>
    </w:p>
    <w:p w:rsidR="00BB6F9A" w:rsidRDefault="00BB6F9A">
      <w:pPr>
        <w:pStyle w:val="Apara"/>
      </w:pPr>
      <w:r>
        <w:tab/>
        <w:t>(a)</w:t>
      </w:r>
      <w:r>
        <w:tab/>
        <w:t>property located in the ACT; or</w:t>
      </w:r>
    </w:p>
    <w:p w:rsidR="00BB6F9A" w:rsidRDefault="00BB6F9A">
      <w:pPr>
        <w:pStyle w:val="Apara"/>
      </w:pPr>
      <w:r>
        <w:tab/>
        <w:t>(b)</w:t>
      </w:r>
      <w:r>
        <w:tab/>
        <w:t>an act or omission happening in the ACT.</w:t>
      </w:r>
    </w:p>
    <w:p w:rsidR="00BB6F9A" w:rsidRDefault="00BB6F9A">
      <w:pPr>
        <w:pStyle w:val="AH5Sec"/>
      </w:pPr>
      <w:bookmarkStart w:id="182" w:name="_Toc4661444"/>
      <w:r>
        <w:rPr>
          <w:rStyle w:val="CharSectNo"/>
        </w:rPr>
        <w:t>129</w:t>
      </w:r>
      <w:r>
        <w:tab/>
        <w:t>Insurers reporting requirements</w:t>
      </w:r>
      <w:bookmarkEnd w:id="182"/>
    </w:p>
    <w:p w:rsidR="00BB6F9A" w:rsidRDefault="00BB6F9A">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BB6F9A" w:rsidRDefault="00BB6F9A">
      <w:pPr>
        <w:pStyle w:val="Apara"/>
      </w:pPr>
      <w:r>
        <w:tab/>
        <w:t>(a)</w:t>
      </w:r>
      <w:r>
        <w:tab/>
        <w:t>property located in the ACT; or</w:t>
      </w:r>
    </w:p>
    <w:p w:rsidR="00BB6F9A" w:rsidRDefault="00BB6F9A">
      <w:pPr>
        <w:pStyle w:val="Apara"/>
      </w:pPr>
      <w:r>
        <w:tab/>
        <w:t>(b)</w:t>
      </w:r>
      <w:r>
        <w:tab/>
        <w:t>an act or omission happening in the ACT.</w:t>
      </w:r>
    </w:p>
    <w:p w:rsidR="00BB6F9A" w:rsidRDefault="00BB6F9A">
      <w:pPr>
        <w:pStyle w:val="Penalty"/>
        <w:keepNext/>
      </w:pPr>
      <w:r>
        <w:t>Maximum penalty:  100 penalty units.</w:t>
      </w:r>
    </w:p>
    <w:p w:rsidR="00BB6F9A" w:rsidRDefault="00BB6F9A">
      <w:pPr>
        <w:pStyle w:val="Amain"/>
      </w:pPr>
      <w:r>
        <w:tab/>
        <w:t>(2)</w:t>
      </w:r>
      <w:r>
        <w:tab/>
        <w:t>The report must state for each class of policy prescribed in the regulations—</w:t>
      </w:r>
    </w:p>
    <w:p w:rsidR="00BB6F9A" w:rsidRDefault="00BB6F9A">
      <w:pPr>
        <w:pStyle w:val="Apara"/>
      </w:pPr>
      <w:r>
        <w:tab/>
        <w:t>(a)</w:t>
      </w:r>
      <w:r>
        <w:tab/>
        <w:t>the premium paid to the insurer; and</w:t>
      </w:r>
    </w:p>
    <w:p w:rsidR="00BB6F9A" w:rsidRDefault="00BB6F9A">
      <w:pPr>
        <w:pStyle w:val="Apara"/>
      </w:pPr>
      <w:r>
        <w:tab/>
        <w:t>(b)</w:t>
      </w:r>
      <w:r>
        <w:tab/>
        <w:t>the number of claims; and</w:t>
      </w:r>
    </w:p>
    <w:p w:rsidR="00BB6F9A" w:rsidRDefault="00BB6F9A">
      <w:pPr>
        <w:pStyle w:val="Apara"/>
      </w:pPr>
      <w:r>
        <w:tab/>
        <w:t>(c)</w:t>
      </w:r>
      <w:r>
        <w:tab/>
        <w:t>the number of claims that were paid; and</w:t>
      </w:r>
    </w:p>
    <w:p w:rsidR="00BB6F9A" w:rsidRDefault="00BB6F9A">
      <w:pPr>
        <w:pStyle w:val="Apara"/>
      </w:pPr>
      <w:r>
        <w:tab/>
        <w:t>(d)</w:t>
      </w:r>
      <w:r>
        <w:tab/>
        <w:t>the number of claims that were refused; and</w:t>
      </w:r>
    </w:p>
    <w:p w:rsidR="00BB6F9A" w:rsidRDefault="00BB6F9A">
      <w:pPr>
        <w:pStyle w:val="Apara"/>
      </w:pPr>
      <w:r>
        <w:tab/>
        <w:t>(e)</w:t>
      </w:r>
      <w:r>
        <w:tab/>
        <w:t>anything else required under the regulations.</w:t>
      </w:r>
    </w:p>
    <w:p w:rsidR="00BB6F9A" w:rsidRDefault="00BB6F9A">
      <w:pPr>
        <w:pStyle w:val="Amain"/>
      </w:pPr>
      <w:r>
        <w:tab/>
        <w:t>(3)</w:t>
      </w:r>
      <w:r>
        <w:tab/>
        <w:t>The report must be given in the way required under the regulations.</w:t>
      </w:r>
    </w:p>
    <w:p w:rsidR="00BB6F9A" w:rsidRDefault="00BB6F9A">
      <w:pPr>
        <w:pStyle w:val="AH5Sec"/>
      </w:pPr>
      <w:bookmarkStart w:id="183" w:name="_Toc4661445"/>
      <w:r>
        <w:rPr>
          <w:rStyle w:val="CharSectNo"/>
        </w:rPr>
        <w:lastRenderedPageBreak/>
        <w:t>130</w:t>
      </w:r>
      <w:r>
        <w:tab/>
        <w:t>Confidentiality of general reports of insurers</w:t>
      </w:r>
      <w:bookmarkEnd w:id="183"/>
    </w:p>
    <w:p w:rsidR="00BB6F9A" w:rsidRDefault="00BB6F9A">
      <w:pPr>
        <w:pStyle w:val="Amain"/>
      </w:pPr>
      <w:r>
        <w:tab/>
        <w:t>(1)</w:t>
      </w:r>
      <w:r>
        <w:tab/>
        <w:t>Information in a report under this part by an insurer is commercially sensitive and confidential.</w:t>
      </w:r>
    </w:p>
    <w:p w:rsidR="00BB6F9A" w:rsidRDefault="00BB6F9A">
      <w:pPr>
        <w:pStyle w:val="Amain"/>
      </w:pPr>
      <w:r>
        <w:tab/>
        <w:t>(2)</w:t>
      </w:r>
      <w:r>
        <w:tab/>
        <w:t>A person must not use any confidential information obtained in carrying out the person’s functions under this part to obtain, directly or indirectly, a financial or other advantage for himself or herself or anyone else.</w:t>
      </w:r>
    </w:p>
    <w:p w:rsidR="00BB6F9A" w:rsidRDefault="00BB6F9A">
      <w:pPr>
        <w:pStyle w:val="Penalty"/>
        <w:keepNext/>
      </w:pPr>
      <w:r>
        <w:t>Maximum penalty:  100 penalty units, imprisonment for 1 year or both.</w:t>
      </w:r>
    </w:p>
    <w:p w:rsidR="00BB6F9A" w:rsidRDefault="00BB6F9A">
      <w:pPr>
        <w:pStyle w:val="Amain"/>
      </w:pPr>
      <w:r>
        <w:tab/>
        <w:t>(3)</w:t>
      </w:r>
      <w:r>
        <w:tab/>
        <w:t>A person must not disclose any confidential information obtained in carrying out the person’s functions under this part, except in accordance with subsection (4).</w:t>
      </w:r>
    </w:p>
    <w:p w:rsidR="00BB6F9A" w:rsidRDefault="00BB6F9A">
      <w:pPr>
        <w:pStyle w:val="Penalty"/>
        <w:keepNext/>
      </w:pPr>
      <w:r>
        <w:t>Maximum penalty:  100 penalty units, imprisonment for 1 year or both.</w:t>
      </w:r>
    </w:p>
    <w:p w:rsidR="00BB6F9A" w:rsidRDefault="00BB6F9A">
      <w:pPr>
        <w:pStyle w:val="Amain"/>
      </w:pPr>
      <w:r>
        <w:tab/>
        <w:t>(4)</w:t>
      </w:r>
      <w:r>
        <w:tab/>
        <w:t>A person may disclose confidential information if—</w:t>
      </w:r>
    </w:p>
    <w:p w:rsidR="00BB6F9A" w:rsidRDefault="00BB6F9A">
      <w:pPr>
        <w:pStyle w:val="Apara"/>
      </w:pPr>
      <w:r>
        <w:tab/>
        <w:t>(a)</w:t>
      </w:r>
      <w:r>
        <w:tab/>
        <w:t>the disclosure does not identify the insurer that supplied the information; or</w:t>
      </w:r>
    </w:p>
    <w:p w:rsidR="00BB6F9A" w:rsidRDefault="00BB6F9A">
      <w:pPr>
        <w:pStyle w:val="Apara"/>
      </w:pPr>
      <w:r>
        <w:tab/>
        <w:t>(b)</w:t>
      </w:r>
      <w:r>
        <w:tab/>
        <w:t>the disclosure is made in the exercise of a function under this Act or any other Territory law permitting the disclosure; or</w:t>
      </w:r>
    </w:p>
    <w:p w:rsidR="00BB6F9A" w:rsidRDefault="00BB6F9A">
      <w:pPr>
        <w:pStyle w:val="Apara"/>
      </w:pPr>
      <w:r>
        <w:tab/>
        <w:t>(c)</w:t>
      </w:r>
      <w:r>
        <w:tab/>
        <w:t>the disclosure is made with the agreement of the insurer that supplied the information; or</w:t>
      </w:r>
    </w:p>
    <w:p w:rsidR="00BB6F9A" w:rsidRDefault="00BB6F9A">
      <w:pPr>
        <w:pStyle w:val="Apara"/>
      </w:pPr>
      <w:r>
        <w:tab/>
        <w:t>(d)</w:t>
      </w:r>
      <w:r>
        <w:tab/>
        <w:t>the disclosure is made in a legal proceeding at the direction of a court; or</w:t>
      </w:r>
    </w:p>
    <w:p w:rsidR="00BB6F9A" w:rsidRDefault="00BB6F9A">
      <w:pPr>
        <w:pStyle w:val="Apara"/>
      </w:pPr>
      <w:r>
        <w:tab/>
        <w:t>(e)</w:t>
      </w:r>
      <w:r>
        <w:tab/>
        <w:t>the information is already in the public domain; or</w:t>
      </w:r>
    </w:p>
    <w:p w:rsidR="00BB6F9A" w:rsidRDefault="00BB6F9A">
      <w:pPr>
        <w:pStyle w:val="Apara"/>
      </w:pPr>
      <w:r>
        <w:tab/>
        <w:t>(f)</w:t>
      </w:r>
      <w:r>
        <w:tab/>
        <w:t>the disclosure is to a person, or for a purpose, prescribed under the regulations.</w:t>
      </w:r>
    </w:p>
    <w:p w:rsidR="00BB6F9A" w:rsidRDefault="00BB6F9A">
      <w:pPr>
        <w:pStyle w:val="AH5Sec"/>
      </w:pPr>
      <w:bookmarkStart w:id="184" w:name="_Toc4661446"/>
      <w:r>
        <w:rPr>
          <w:rStyle w:val="CharSectNo"/>
        </w:rPr>
        <w:lastRenderedPageBreak/>
        <w:t>131</w:t>
      </w:r>
      <w:r>
        <w:tab/>
        <w:t>Report to Legislative Assembly</w:t>
      </w:r>
      <w:bookmarkEnd w:id="184"/>
      <w:r>
        <w:t xml:space="preserve">  </w:t>
      </w:r>
    </w:p>
    <w:p w:rsidR="00BB6F9A" w:rsidRDefault="00BB6F9A">
      <w:pPr>
        <w:pStyle w:val="Amainreturn"/>
        <w:keepLines/>
      </w:pPr>
      <w:r>
        <w:t>On or before 31 October in each year, the Minister must present to the Legislative Assembly a report about the key findings arising from the reports given to the Minister under section 129 in the financial year ending on the previous 30 June.</w:t>
      </w:r>
    </w:p>
    <w:p w:rsidR="00BB6F9A" w:rsidRDefault="00BB6F9A">
      <w:pPr>
        <w:pStyle w:val="PageBreak"/>
      </w:pPr>
      <w:r>
        <w:br w:type="page"/>
      </w:r>
    </w:p>
    <w:p w:rsidR="00BB6F9A" w:rsidRDefault="00BB6F9A">
      <w:pPr>
        <w:pStyle w:val="AH2Part"/>
      </w:pPr>
      <w:bookmarkStart w:id="185" w:name="_Toc4661447"/>
      <w:r>
        <w:rPr>
          <w:rStyle w:val="CharPartNo"/>
        </w:rPr>
        <w:lastRenderedPageBreak/>
        <w:t>Part 11.3</w:t>
      </w:r>
      <w:r>
        <w:tab/>
      </w:r>
      <w:r>
        <w:rPr>
          <w:rStyle w:val="CharPartText"/>
        </w:rPr>
        <w:t>Attachment of insurance money</w:t>
      </w:r>
      <w:bookmarkEnd w:id="185"/>
    </w:p>
    <w:p w:rsidR="00BB6F9A" w:rsidRDefault="00BB6F9A">
      <w:pPr>
        <w:pStyle w:val="AH5Sec"/>
      </w:pPr>
      <w:bookmarkStart w:id="186" w:name="_Toc4661448"/>
      <w:r>
        <w:rPr>
          <w:rStyle w:val="CharSectNo"/>
        </w:rPr>
        <w:t>132</w:t>
      </w:r>
      <w:r>
        <w:tab/>
        <w:t xml:space="preserve">Amount of liability charge on insurance money payable against liability </w:t>
      </w:r>
      <w:r>
        <w:rPr>
          <w:b w:val="0"/>
          <w:bCs w:val="0"/>
        </w:rPr>
        <w:t>(LR(MP)A s 25)</w:t>
      </w:r>
      <w:bookmarkEnd w:id="186"/>
    </w:p>
    <w:p w:rsidR="00BB6F9A" w:rsidRDefault="00BB6F9A">
      <w:pPr>
        <w:pStyle w:val="Amain"/>
      </w:pPr>
      <w:r>
        <w:tab/>
        <w:t>(1)</w:t>
      </w:r>
      <w:r>
        <w:tab/>
        <w:t>This section applies if—</w:t>
      </w:r>
    </w:p>
    <w:p w:rsidR="00BB6F9A" w:rsidRDefault="00BB6F9A">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BB6F9A" w:rsidRDefault="00BB6F9A">
      <w:pPr>
        <w:pStyle w:val="Apara"/>
      </w:pPr>
      <w:r>
        <w:tab/>
        <w:t>(b)</w:t>
      </w:r>
      <w:r>
        <w:tab/>
        <w:t>an event happens that gives rise to a claim against the insured for damages or compensation</w:t>
      </w:r>
    </w:p>
    <w:p w:rsidR="00BB6F9A" w:rsidRDefault="00BB6F9A">
      <w:pPr>
        <w:pStyle w:val="Amain"/>
      </w:pPr>
      <w:r>
        <w:tab/>
        <w:t>(2)</w:t>
      </w:r>
      <w:r>
        <w:tab/>
        <w:t>On the happening of the event, the amount of the insured’s liability in relation to the event becomes a charge on all insurance money that is or may become payable in relation to the liability.</w:t>
      </w:r>
    </w:p>
    <w:p w:rsidR="00BB6F9A" w:rsidRDefault="00BB6F9A">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BB6F9A" w:rsidRDefault="00BB6F9A">
      <w:pPr>
        <w:pStyle w:val="Amain"/>
      </w:pPr>
      <w:r>
        <w:tab/>
        <w:t>(4)</w:t>
      </w:r>
      <w:r>
        <w:tab/>
        <w:t>A charge under this section has priority over all other charges affecting the insurance money.</w:t>
      </w:r>
    </w:p>
    <w:p w:rsidR="00BB6F9A" w:rsidRDefault="00BB6F9A">
      <w:pPr>
        <w:pStyle w:val="Amain"/>
      </w:pPr>
      <w:r>
        <w:tab/>
        <w:t>(5)</w:t>
      </w:r>
      <w:r>
        <w:tab/>
        <w:t>However, if the insurance money is subject to 2 or more charges under this section—</w:t>
      </w:r>
    </w:p>
    <w:p w:rsidR="00BB6F9A" w:rsidRDefault="00BB6F9A">
      <w:pPr>
        <w:pStyle w:val="Apara"/>
      </w:pPr>
      <w:r>
        <w:tab/>
        <w:t>(a)</w:t>
      </w:r>
      <w:r>
        <w:tab/>
        <w:t>the charges have priority between themselves in the order of the happening of the events out of which the liabilities arose; and</w:t>
      </w:r>
    </w:p>
    <w:p w:rsidR="00BB6F9A" w:rsidRDefault="00BB6F9A">
      <w:pPr>
        <w:pStyle w:val="Apara"/>
      </w:pPr>
      <w:r>
        <w:tab/>
        <w:t>(b)</w:t>
      </w:r>
      <w:r>
        <w:tab/>
        <w:t>charges that arise out of events happening on the same day rank equally between themselves.</w:t>
      </w:r>
    </w:p>
    <w:p w:rsidR="00BB6F9A" w:rsidRDefault="00BB6F9A">
      <w:pPr>
        <w:pStyle w:val="AH5Sec"/>
      </w:pPr>
      <w:bookmarkStart w:id="187" w:name="_Toc4661449"/>
      <w:r>
        <w:rPr>
          <w:rStyle w:val="CharSectNo"/>
        </w:rPr>
        <w:lastRenderedPageBreak/>
        <w:t>133</w:t>
      </w:r>
      <w:r>
        <w:tab/>
        <w:t xml:space="preserve">Enforcement of charge on insurance money </w:t>
      </w:r>
      <w:r>
        <w:rPr>
          <w:b w:val="0"/>
          <w:bCs w:val="0"/>
        </w:rPr>
        <w:t>(LR(MP)A s 26)</w:t>
      </w:r>
      <w:bookmarkEnd w:id="187"/>
    </w:p>
    <w:p w:rsidR="00BB6F9A" w:rsidRDefault="00BB6F9A">
      <w:pPr>
        <w:pStyle w:val="Amain"/>
      </w:pPr>
      <w:r>
        <w:tab/>
        <w:t>(1)</w:t>
      </w:r>
      <w:r>
        <w:tab/>
        <w:t>A charge under section 132 is enforceable by an action against the insurer in the same way and in the same court as if the action were an action to recover damages or compensation from the insured.</w:t>
      </w:r>
    </w:p>
    <w:p w:rsidR="00BB6F9A" w:rsidRDefault="00BB6F9A">
      <w:pPr>
        <w:pStyle w:val="Amain"/>
      </w:pPr>
      <w:r>
        <w:tab/>
        <w:t>(2)</w:t>
      </w:r>
      <w:r>
        <w:tab/>
        <w:t>The parties have, to the extent of the charge, the same rights and liabilities in relation to the action, and the judgment given in the action, as if the action were against the insured.</w:t>
      </w:r>
    </w:p>
    <w:p w:rsidR="00BB6F9A" w:rsidRDefault="00BB6F9A">
      <w:pPr>
        <w:pStyle w:val="Amain"/>
      </w:pPr>
      <w:r>
        <w:tab/>
        <w:t>(3)</w:t>
      </w:r>
      <w:r>
        <w:tab/>
        <w:t>The court has the same powers in relation to the action, and the judgment given in the action, as if the action were against the insured.</w:t>
      </w:r>
    </w:p>
    <w:p w:rsidR="00BB6F9A" w:rsidRDefault="00BB6F9A">
      <w:pPr>
        <w:pStyle w:val="Amain"/>
      </w:pPr>
      <w:r>
        <w:tab/>
        <w:t>(4)</w:t>
      </w:r>
      <w:r>
        <w:tab/>
        <w:t>Unless section 132 (3) applies, the action cannot be begun without the leave of the court.</w:t>
      </w:r>
    </w:p>
    <w:p w:rsidR="00BB6F9A" w:rsidRDefault="00BB6F9A">
      <w:pPr>
        <w:pStyle w:val="Amain"/>
      </w:pPr>
      <w:r>
        <w:tab/>
        <w:t>(5)</w:t>
      </w:r>
      <w:r>
        <w:tab/>
        <w:t>Leave must not be given if the court is satisfied that—</w:t>
      </w:r>
    </w:p>
    <w:p w:rsidR="00BB6F9A" w:rsidRDefault="00BB6F9A">
      <w:pPr>
        <w:pStyle w:val="Apara"/>
      </w:pPr>
      <w:r>
        <w:tab/>
        <w:t>(a)</w:t>
      </w:r>
      <w:r>
        <w:tab/>
        <w:t xml:space="preserve">the insurer is entitled under the terms of the contract of insurance to disclaim liability; and </w:t>
      </w:r>
    </w:p>
    <w:p w:rsidR="00BB6F9A" w:rsidRDefault="00BB6F9A">
      <w:pPr>
        <w:pStyle w:val="Apara"/>
      </w:pPr>
      <w:r>
        <w:tab/>
        <w:t>(b)</w:t>
      </w:r>
      <w:r>
        <w:tab/>
        <w:t>any proceeding, including any arbitration proceeding, necessary to establish that entitlement have been taken.</w:t>
      </w:r>
    </w:p>
    <w:p w:rsidR="00BB6F9A" w:rsidRDefault="00BB6F9A">
      <w:pPr>
        <w:pStyle w:val="Amain"/>
      </w:pPr>
      <w:r>
        <w:tab/>
        <w:t>(6)</w:t>
      </w:r>
      <w:r>
        <w:tab/>
        <w:t>The action can be brought although judgment has already been recovered against the insured for damages or compensation in relation to the same matter.</w:t>
      </w:r>
    </w:p>
    <w:p w:rsidR="00BB6F9A" w:rsidRDefault="00BB6F9A">
      <w:pPr>
        <w:pStyle w:val="AH5Sec"/>
      </w:pPr>
      <w:bookmarkStart w:id="188" w:name="_Toc4661450"/>
      <w:r>
        <w:rPr>
          <w:rStyle w:val="CharSectNo"/>
        </w:rPr>
        <w:t>134</w:t>
      </w:r>
      <w:r>
        <w:tab/>
        <w:t xml:space="preserve">Protection of insurer for pt 11.3 charge </w:t>
      </w:r>
      <w:r>
        <w:rPr>
          <w:b w:val="0"/>
          <w:bCs w:val="0"/>
        </w:rPr>
        <w:t>(LR(MP)A s 27)</w:t>
      </w:r>
      <w:bookmarkEnd w:id="188"/>
    </w:p>
    <w:p w:rsidR="00BB6F9A" w:rsidRDefault="00BB6F9A">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BB6F9A" w:rsidRDefault="00BB6F9A">
      <w:pPr>
        <w:pStyle w:val="Amain"/>
      </w:pPr>
      <w:r>
        <w:tab/>
        <w:t>(2)</w:t>
      </w:r>
      <w:r>
        <w:tab/>
        <w:t>An insurer is not liable under this part for any greater amount than is fixed by the contract of insurance between the insurer and the insured.</w:t>
      </w:r>
    </w:p>
    <w:p w:rsidR="00BB6F9A" w:rsidRDefault="00BB6F9A">
      <w:pPr>
        <w:pStyle w:val="AH5Sec"/>
      </w:pPr>
      <w:bookmarkStart w:id="189" w:name="_Toc4661451"/>
      <w:r>
        <w:rPr>
          <w:rStyle w:val="CharSectNo"/>
        </w:rPr>
        <w:lastRenderedPageBreak/>
        <w:t>135</w:t>
      </w:r>
      <w:r>
        <w:tab/>
        <w:t xml:space="preserve">Certain other provisions not affected by pt 11.3 </w:t>
      </w:r>
      <w:r>
        <w:rPr>
          <w:b w:val="0"/>
          <w:bCs w:val="0"/>
        </w:rPr>
        <w:t>(LR(MP)A s 28)</w:t>
      </w:r>
      <w:bookmarkEnd w:id="189"/>
    </w:p>
    <w:p w:rsidR="00BB6F9A" w:rsidRDefault="00BB6F9A">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val="0"/>
        </w:rPr>
        <w:t>,</w:t>
      </w:r>
      <w:r>
        <w:rPr>
          <w:rStyle w:val="charItals"/>
        </w:rPr>
        <w:t xml:space="preserve"> </w:t>
      </w:r>
      <w:r>
        <w:t>part 10 (Compulsory vehicle insurance)</w:t>
      </w:r>
      <w:r>
        <w:rPr>
          <w:rStyle w:val="charItals"/>
        </w:rPr>
        <w:t>.</w:t>
      </w:r>
    </w:p>
    <w:p w:rsidR="00BB6F9A" w:rsidRDefault="00BB6F9A">
      <w:pPr>
        <w:pStyle w:val="PageBreak"/>
      </w:pPr>
      <w:r>
        <w:br w:type="page"/>
      </w:r>
    </w:p>
    <w:p w:rsidR="00BB6F9A" w:rsidRDefault="00BB6F9A">
      <w:pPr>
        <w:pStyle w:val="AH2Part"/>
      </w:pPr>
      <w:bookmarkStart w:id="190" w:name="_Toc4661452"/>
      <w:r>
        <w:rPr>
          <w:rStyle w:val="CharPartNo"/>
        </w:rPr>
        <w:lastRenderedPageBreak/>
        <w:t>Part 11.4</w:t>
      </w:r>
      <w:r>
        <w:tab/>
      </w:r>
      <w:r>
        <w:rPr>
          <w:rStyle w:val="CharPartText"/>
        </w:rPr>
        <w:t>Abolition of certain common law actions, rules and remedies</w:t>
      </w:r>
      <w:bookmarkEnd w:id="190"/>
    </w:p>
    <w:p w:rsidR="00BB6F9A" w:rsidRDefault="00BB6F9A">
      <w:pPr>
        <w:pStyle w:val="AH5Sec"/>
      </w:pPr>
      <w:bookmarkStart w:id="191" w:name="_Toc4661453"/>
      <w:r>
        <w:rPr>
          <w:rStyle w:val="CharSectNo"/>
        </w:rPr>
        <w:t>136</w:t>
      </w:r>
      <w:r>
        <w:tab/>
        <w:t>Abolition of seduction, enticement and harbouring</w:t>
      </w:r>
      <w:bookmarkEnd w:id="191"/>
    </w:p>
    <w:p w:rsidR="00BB6F9A" w:rsidRDefault="00BB6F9A">
      <w:pPr>
        <w:pStyle w:val="Amainreturn"/>
        <w:keepNext/>
      </w:pPr>
      <w:r>
        <w:t>The following actions at common law are abolished:</w:t>
      </w:r>
    </w:p>
    <w:p w:rsidR="00BB6F9A" w:rsidRDefault="00BB6F9A">
      <w:pPr>
        <w:pStyle w:val="Apara"/>
      </w:pPr>
      <w:r>
        <w:tab/>
        <w:t>(a)</w:t>
      </w:r>
      <w:r>
        <w:tab/>
        <w:t>seduction;</w:t>
      </w:r>
    </w:p>
    <w:p w:rsidR="00BB6F9A" w:rsidRDefault="00BB6F9A">
      <w:pPr>
        <w:pStyle w:val="Apara"/>
      </w:pPr>
      <w:r>
        <w:tab/>
        <w:t>(b)</w:t>
      </w:r>
      <w:r>
        <w:tab/>
        <w:t>enticement;</w:t>
      </w:r>
    </w:p>
    <w:p w:rsidR="00BB6F9A" w:rsidRDefault="00BB6F9A">
      <w:pPr>
        <w:pStyle w:val="Apara"/>
      </w:pPr>
      <w:r>
        <w:tab/>
        <w:t>(c)</w:t>
      </w:r>
      <w:r>
        <w:tab/>
        <w:t>harbouring.</w:t>
      </w:r>
    </w:p>
    <w:p w:rsidR="00BB6F9A" w:rsidRDefault="00BB6F9A">
      <w:pPr>
        <w:pStyle w:val="AH5Sec"/>
        <w:rPr>
          <w:b w:val="0"/>
          <w:bCs w:val="0"/>
        </w:rPr>
      </w:pPr>
      <w:bookmarkStart w:id="192" w:name="_Toc4661454"/>
      <w:r>
        <w:rPr>
          <w:rStyle w:val="CharSectNo"/>
        </w:rPr>
        <w:t>137</w:t>
      </w:r>
      <w:r>
        <w:tab/>
        <w:t xml:space="preserve">Abolition of rule about unity of spouses </w:t>
      </w:r>
      <w:r>
        <w:rPr>
          <w:b w:val="0"/>
          <w:bCs w:val="0"/>
        </w:rPr>
        <w:t>(MP(T)A s 4, s 5)</w:t>
      </w:r>
      <w:bookmarkEnd w:id="192"/>
    </w:p>
    <w:p w:rsidR="00BB6F9A" w:rsidRDefault="00BB6F9A">
      <w:pPr>
        <w:pStyle w:val="Amainreturn"/>
      </w:pPr>
      <w:r>
        <w:t>The rights of action that a person has in tort against someone are not affected by the fact that they are or were married to each other.</w:t>
      </w:r>
    </w:p>
    <w:p w:rsidR="00BB6F9A" w:rsidRDefault="00BB6F9A">
      <w:pPr>
        <w:pStyle w:val="AH5Sec"/>
      </w:pPr>
      <w:bookmarkStart w:id="193" w:name="_Toc4661455"/>
      <w:r>
        <w:rPr>
          <w:rStyle w:val="CharSectNo"/>
        </w:rPr>
        <w:t>138</w:t>
      </w:r>
      <w:r>
        <w:tab/>
        <w:t xml:space="preserve">Abolition of action of cattle-trespass </w:t>
      </w:r>
      <w:r>
        <w:rPr>
          <w:b w:val="0"/>
          <w:bCs w:val="0"/>
        </w:rPr>
        <w:t>(CL(A)A s 4)</w:t>
      </w:r>
      <w:bookmarkEnd w:id="193"/>
    </w:p>
    <w:p w:rsidR="00BB6F9A" w:rsidRDefault="00BB6F9A">
      <w:pPr>
        <w:pStyle w:val="Amain"/>
      </w:pPr>
      <w:r>
        <w:tab/>
        <w:t>(1)</w:t>
      </w:r>
      <w:r>
        <w:tab/>
        <w:t>The common law action of cattle-trespass is abolished.</w:t>
      </w:r>
    </w:p>
    <w:p w:rsidR="00BB6F9A" w:rsidRDefault="00BB6F9A">
      <w:pPr>
        <w:pStyle w:val="Amain"/>
      </w:pPr>
      <w:r>
        <w:tab/>
        <w:t>(2)</w:t>
      </w:r>
      <w:r>
        <w:tab/>
        <w:t>This section does not affect—</w:t>
      </w:r>
    </w:p>
    <w:p w:rsidR="00BB6F9A" w:rsidRDefault="00BB6F9A">
      <w:pPr>
        <w:pStyle w:val="Apara"/>
      </w:pPr>
      <w:r>
        <w:tab/>
        <w:t>(a)</w:t>
      </w:r>
      <w:r>
        <w:tab/>
        <w:t>the common law action for trespass committed by a person by means of cattle; or</w:t>
      </w:r>
    </w:p>
    <w:p w:rsidR="00BB6F9A" w:rsidRDefault="00BB6F9A">
      <w:pPr>
        <w:pStyle w:val="Apara"/>
      </w:pPr>
      <w:r>
        <w:tab/>
        <w:t>(b)</w:t>
      </w:r>
      <w:r>
        <w:tab/>
        <w:t>the law relating to liability of an occupier of land for damages for tort for the death of, or injury to, cattle trespassing on the land.</w:t>
      </w:r>
    </w:p>
    <w:p w:rsidR="00BB6F9A" w:rsidRDefault="00BB6F9A">
      <w:pPr>
        <w:pStyle w:val="AH5Sec"/>
      </w:pPr>
      <w:bookmarkStart w:id="194" w:name="_Toc4661456"/>
      <w:r>
        <w:rPr>
          <w:rStyle w:val="CharSectNo"/>
        </w:rPr>
        <w:t>139</w:t>
      </w:r>
      <w:r>
        <w:tab/>
        <w:t xml:space="preserve">Abolition of distress damage feasant </w:t>
      </w:r>
      <w:r>
        <w:rPr>
          <w:b w:val="0"/>
          <w:bCs w:val="0"/>
        </w:rPr>
        <w:t>(CL(A)A s 5)</w:t>
      </w:r>
      <w:bookmarkEnd w:id="194"/>
    </w:p>
    <w:p w:rsidR="00BB6F9A" w:rsidRDefault="00BB6F9A">
      <w:pPr>
        <w:pStyle w:val="Amainreturn"/>
      </w:pPr>
      <w:r>
        <w:t>The common law remedy of distress of an animal damage feasant is abolished.</w:t>
      </w:r>
    </w:p>
    <w:p w:rsidR="00BB6F9A" w:rsidRDefault="00BB6F9A">
      <w:pPr>
        <w:pStyle w:val="AH5Sec"/>
      </w:pPr>
      <w:bookmarkStart w:id="195" w:name="_Toc4661457"/>
      <w:r>
        <w:rPr>
          <w:rStyle w:val="CharSectNo"/>
        </w:rPr>
        <w:lastRenderedPageBreak/>
        <w:t>140</w:t>
      </w:r>
      <w:r>
        <w:tab/>
        <w:t xml:space="preserve">Abolition of rules relating exclusively to liability for damage by animals </w:t>
      </w:r>
      <w:r>
        <w:rPr>
          <w:b w:val="0"/>
          <w:bCs w:val="0"/>
        </w:rPr>
        <w:t>(CL(A)A s 6)</w:t>
      </w:r>
      <w:bookmarkEnd w:id="195"/>
    </w:p>
    <w:p w:rsidR="00BB6F9A" w:rsidRDefault="00BB6F9A">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BB6F9A" w:rsidRDefault="00BB6F9A">
      <w:pPr>
        <w:pStyle w:val="AH5Sec"/>
      </w:pPr>
      <w:bookmarkStart w:id="196" w:name="_Toc4661458"/>
      <w:r>
        <w:rPr>
          <w:rStyle w:val="CharSectNo"/>
        </w:rPr>
        <w:t>141</w:t>
      </w:r>
      <w:r>
        <w:tab/>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r>
        <w:rPr>
          <w:rStyle w:val="charItals"/>
        </w:rPr>
        <w:t xml:space="preserve"> </w:t>
      </w:r>
      <w:r>
        <w:rPr>
          <w:b w:val="0"/>
          <w:bCs w:val="0"/>
        </w:rPr>
        <w:t>(CL(A)A s 7)</w:t>
      </w:r>
      <w:bookmarkEnd w:id="196"/>
    </w:p>
    <w:p w:rsidR="00BB6F9A" w:rsidRDefault="00BB6F9A">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BB6F9A" w:rsidRDefault="00BB6F9A">
      <w:pPr>
        <w:pStyle w:val="AH5Sec"/>
      </w:pPr>
      <w:bookmarkStart w:id="197" w:name="_Toc4661459"/>
      <w:r>
        <w:rPr>
          <w:rStyle w:val="CharSectNo"/>
        </w:rPr>
        <w:t>142</w:t>
      </w:r>
      <w:r>
        <w:tab/>
        <w:t xml:space="preserve">Abolition of rule of common employment </w:t>
      </w:r>
      <w:r>
        <w:rPr>
          <w:b w:val="0"/>
          <w:bCs w:val="0"/>
        </w:rPr>
        <w:t>(LR(MP)A s 21)</w:t>
      </w:r>
      <w:bookmarkEnd w:id="197"/>
    </w:p>
    <w:p w:rsidR="00BB6F9A" w:rsidRDefault="00BB6F9A">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BB6F9A" w:rsidRDefault="00BB6F9A">
      <w:pPr>
        <w:pStyle w:val="AH5Sec"/>
      </w:pPr>
      <w:bookmarkStart w:id="198" w:name="_Toc4661460"/>
      <w:r>
        <w:rPr>
          <w:rStyle w:val="CharSectNo"/>
        </w:rPr>
        <w:t>143</w:t>
      </w:r>
      <w:r>
        <w:tab/>
        <w:t xml:space="preserve">Abolition of husband’s liability for wife’s torts and premarital obligations </w:t>
      </w:r>
      <w:r>
        <w:rPr>
          <w:b w:val="0"/>
          <w:bCs w:val="0"/>
        </w:rPr>
        <w:t>(LR(MP)A s 9)</w:t>
      </w:r>
      <w:bookmarkEnd w:id="198"/>
    </w:p>
    <w:p w:rsidR="00BB6F9A" w:rsidRDefault="00BB6F9A">
      <w:pPr>
        <w:pStyle w:val="Amainreturn"/>
      </w:pPr>
      <w:r>
        <w:t>A husband is not, only because of being the husband, liable—</w:t>
      </w:r>
    </w:p>
    <w:p w:rsidR="00BB6F9A" w:rsidRDefault="00BB6F9A">
      <w:pPr>
        <w:pStyle w:val="Apara"/>
      </w:pPr>
      <w:r>
        <w:tab/>
        <w:t>(a)</w:t>
      </w:r>
      <w:r>
        <w:tab/>
        <w:t>in relation to a tort committed by his wife, whether before or after the marriage, or in relation to a contract entered into, or a debt or obligation incurred, by his wife before the marriage; or</w:t>
      </w:r>
    </w:p>
    <w:p w:rsidR="00BB6F9A" w:rsidRDefault="00BB6F9A">
      <w:pPr>
        <w:pStyle w:val="Apara"/>
      </w:pPr>
      <w:r>
        <w:tab/>
        <w:t>(b)</w:t>
      </w:r>
      <w:r>
        <w:tab/>
        <w:t>to be sued, or made a party to a legal proceeding brought, in relation to the tort, contract, debt or obligation.</w:t>
      </w:r>
    </w:p>
    <w:p w:rsidR="00BB6F9A" w:rsidRDefault="00BB6F9A">
      <w:pPr>
        <w:pStyle w:val="AH5Sec"/>
      </w:pPr>
      <w:bookmarkStart w:id="199" w:name="_Toc4661461"/>
      <w:r>
        <w:rPr>
          <w:rStyle w:val="CharSectNo"/>
        </w:rPr>
        <w:t>144</w:t>
      </w:r>
      <w:r>
        <w:tab/>
        <w:t xml:space="preserve">Abolition of action for loss of consortium </w:t>
      </w:r>
      <w:r>
        <w:rPr>
          <w:b w:val="0"/>
          <w:bCs w:val="0"/>
        </w:rPr>
        <w:t>(LR(MP)A s 32)</w:t>
      </w:r>
      <w:bookmarkEnd w:id="199"/>
    </w:p>
    <w:p w:rsidR="00BB6F9A" w:rsidRDefault="00BB6F9A">
      <w:pPr>
        <w:pStyle w:val="Amainreturn"/>
      </w:pPr>
      <w:r>
        <w:t>If a wife has been injured because of the negligence of a person other than her husband, the person is not liable to the husband for any resulting impairment or loss of consortium.</w:t>
      </w:r>
    </w:p>
    <w:p w:rsidR="00BB6F9A" w:rsidRDefault="00BB6F9A">
      <w:pPr>
        <w:pStyle w:val="AH5Sec"/>
      </w:pPr>
      <w:bookmarkStart w:id="200" w:name="_Toc4661462"/>
      <w:r>
        <w:rPr>
          <w:rStyle w:val="CharSectNo"/>
        </w:rPr>
        <w:lastRenderedPageBreak/>
        <w:t>145</w:t>
      </w:r>
      <w:r>
        <w:tab/>
        <w:t xml:space="preserve">Abolition of rule in Cavalier v Pope </w:t>
      </w:r>
      <w:r>
        <w:rPr>
          <w:b w:val="0"/>
          <w:bCs w:val="0"/>
        </w:rPr>
        <w:t>(LR(MP)A s 29)</w:t>
      </w:r>
      <w:bookmarkEnd w:id="200"/>
    </w:p>
    <w:p w:rsidR="00BB6F9A" w:rsidRDefault="00BB6F9A">
      <w:pPr>
        <w:pStyle w:val="Amainreturn"/>
      </w:pPr>
      <w:r>
        <w:t>A lessor of premises is not exempt from owing a duty of care to people on the premises only because the lessor is not the occupier of the premises.</w:t>
      </w:r>
    </w:p>
    <w:p w:rsidR="00BB6F9A" w:rsidRDefault="00BB6F9A">
      <w:pPr>
        <w:pStyle w:val="AH5Sec"/>
      </w:pPr>
      <w:bookmarkStart w:id="201" w:name="_Toc4661463"/>
      <w:r>
        <w:rPr>
          <w:rStyle w:val="CharSectNo"/>
        </w:rPr>
        <w:t>146</w:t>
      </w:r>
      <w:r>
        <w:tab/>
        <w:t xml:space="preserve">Partial abolition of Mocambique rule </w:t>
      </w:r>
      <w:r>
        <w:rPr>
          <w:b w:val="0"/>
          <w:bCs w:val="0"/>
        </w:rPr>
        <w:t>(LR(MP)A s 34, s 35)</w:t>
      </w:r>
      <w:bookmarkEnd w:id="201"/>
    </w:p>
    <w:p w:rsidR="00BB6F9A" w:rsidRDefault="00BB6F9A">
      <w:pPr>
        <w:pStyle w:val="Amain"/>
      </w:pPr>
      <w:r>
        <w:tab/>
        <w:t>(1)</w:t>
      </w:r>
      <w:r>
        <w:tab/>
        <w:t>The jurisdiction of a court in any proceeding is not excluded or limited only because the proceeding relates to land or other immovable property outside the ACT.</w:t>
      </w:r>
    </w:p>
    <w:p w:rsidR="00BB6F9A" w:rsidRDefault="00BB6F9A">
      <w:pPr>
        <w:pStyle w:val="Amain"/>
      </w:pPr>
      <w:r>
        <w:tab/>
        <w:t>(2)</w:t>
      </w:r>
      <w:r>
        <w:tab/>
        <w:t>Subsection (1) does not authorise a court to adjudicate on title to, or the right to the possession of, land or other immovable property outside the ACT.</w:t>
      </w:r>
    </w:p>
    <w:p w:rsidR="00BB6F9A" w:rsidRDefault="00BB6F9A">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BB6F9A" w:rsidRDefault="00BB6F9A">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BB6F9A" w:rsidRDefault="00BB6F9A">
      <w:pPr>
        <w:pStyle w:val="aNoteBullet"/>
      </w:pPr>
      <w:r>
        <w:rPr>
          <w:rFonts w:ascii="Symbol" w:hAnsi="Symbol" w:cs="Symbol"/>
        </w:rPr>
        <w:t></w:t>
      </w:r>
      <w:r>
        <w:rPr>
          <w:rFonts w:ascii="Symbol" w:hAnsi="Symbol" w:cs="Symbol"/>
        </w:rPr>
        <w:tab/>
      </w:r>
      <w:r>
        <w:t>the estate pur autre vie</w:t>
      </w:r>
    </w:p>
    <w:p w:rsidR="00BB6F9A" w:rsidRDefault="00BB6F9A">
      <w:pPr>
        <w:pStyle w:val="aNoteBullet"/>
      </w:pPr>
      <w:r>
        <w:rPr>
          <w:rFonts w:ascii="Symbol" w:hAnsi="Symbol" w:cs="Symbol"/>
        </w:rPr>
        <w:t></w:t>
      </w:r>
      <w:r>
        <w:rPr>
          <w:rFonts w:ascii="Symbol" w:hAnsi="Symbol" w:cs="Symbol"/>
        </w:rPr>
        <w:tab/>
      </w:r>
      <w:r>
        <w:t>the common law misdemeanours of criminal libel, blasphemous libel, seditious libel and obscene libel</w:t>
      </w:r>
    </w:p>
    <w:p w:rsidR="00BB6F9A" w:rsidRDefault="00BB6F9A">
      <w:pPr>
        <w:pStyle w:val="aNoteBullet"/>
      </w:pPr>
      <w:r>
        <w:rPr>
          <w:rFonts w:ascii="Symbol" w:hAnsi="Symbol" w:cs="Symbol"/>
        </w:rPr>
        <w:t></w:t>
      </w:r>
      <w:r>
        <w:rPr>
          <w:rFonts w:ascii="Symbol" w:hAnsi="Symbol" w:cs="Symbol"/>
        </w:rPr>
        <w:tab/>
      </w:r>
      <w:r>
        <w:t>the right to levy or make distress for rent.</w:t>
      </w:r>
    </w:p>
    <w:p w:rsidR="00BB6F9A" w:rsidRDefault="00BB6F9A">
      <w:pPr>
        <w:pStyle w:val="AH5Sec"/>
      </w:pPr>
      <w:bookmarkStart w:id="202" w:name="_Toc4661464"/>
      <w:r>
        <w:rPr>
          <w:rStyle w:val="CharSectNo"/>
        </w:rPr>
        <w:t>146A</w:t>
      </w:r>
      <w:r>
        <w:tab/>
        <w:t>Abolition of torts of maintenance and champerty</w:t>
      </w:r>
      <w:bookmarkEnd w:id="202"/>
    </w:p>
    <w:p w:rsidR="00BB6F9A" w:rsidRDefault="00BB6F9A">
      <w:pPr>
        <w:pStyle w:val="Amain"/>
        <w:keepNext/>
      </w:pPr>
      <w:r>
        <w:tab/>
        <w:t>(1)</w:t>
      </w:r>
      <w:r>
        <w:tab/>
        <w:t>The torts of maintenance and champerty are abolished.</w:t>
      </w:r>
    </w:p>
    <w:p w:rsidR="00BB6F9A" w:rsidRDefault="00BB6F9A">
      <w:pPr>
        <w:pStyle w:val="aNote"/>
      </w:pPr>
      <w:r>
        <w:rPr>
          <w:rStyle w:val="charItals"/>
        </w:rPr>
        <w:t>Note</w:t>
      </w:r>
      <w:r>
        <w:rPr>
          <w:rStyle w:val="charItals"/>
        </w:rPr>
        <w:tab/>
      </w:r>
      <w:r>
        <w:t xml:space="preserve">For the abolition of the common law offences of maintenance, champerty and being a common barrator, see </w:t>
      </w:r>
      <w:r>
        <w:rPr>
          <w:rStyle w:val="charItals"/>
        </w:rPr>
        <w:t>Law Reform (Miscellaneous Provisions) Act 1955</w:t>
      </w:r>
      <w:r>
        <w:t>, s 68.</w:t>
      </w:r>
    </w:p>
    <w:p w:rsidR="00BB6F9A" w:rsidRDefault="00BB6F9A">
      <w:pPr>
        <w:pStyle w:val="Amain"/>
      </w:pPr>
      <w:r>
        <w:tab/>
        <w:t>(2)</w:t>
      </w:r>
      <w:r>
        <w:tab/>
        <w:t>Subsection (1) does not affect any rule of law about—</w:t>
      </w:r>
    </w:p>
    <w:p w:rsidR="00BB6F9A" w:rsidRDefault="00BB6F9A">
      <w:pPr>
        <w:pStyle w:val="Apara"/>
      </w:pPr>
      <w:r>
        <w:tab/>
        <w:t>(a)</w:t>
      </w:r>
      <w:r>
        <w:tab/>
        <w:t>the illegality or avoidance of contracts that are tainted with maintenance or are champertous; or</w:t>
      </w:r>
    </w:p>
    <w:p w:rsidR="00BB6F9A" w:rsidRDefault="00BB6F9A">
      <w:pPr>
        <w:pStyle w:val="Apara"/>
      </w:pPr>
      <w:r>
        <w:lastRenderedPageBreak/>
        <w:tab/>
        <w:t>(b)</w:t>
      </w:r>
      <w:r>
        <w:tab/>
        <w:t>the misconduct of a lawyer who—</w:t>
      </w:r>
    </w:p>
    <w:p w:rsidR="00BB6F9A" w:rsidRDefault="00BB6F9A">
      <w:pPr>
        <w:pStyle w:val="Asubpara"/>
      </w:pPr>
      <w:r>
        <w:tab/>
        <w:t>(i)</w:t>
      </w:r>
      <w:r>
        <w:tab/>
        <w:t>engages in conduct that would have been maintenance at common law; or</w:t>
      </w:r>
    </w:p>
    <w:p w:rsidR="00BB6F9A" w:rsidRDefault="00BB6F9A">
      <w:pPr>
        <w:pStyle w:val="Asubpara"/>
      </w:pPr>
      <w:r>
        <w:tab/>
        <w:t>(ii)</w:t>
      </w:r>
      <w:r>
        <w:tab/>
        <w:t>is a party to a champertous agreement.</w:t>
      </w:r>
    </w:p>
    <w:p w:rsidR="00BB6F9A" w:rsidRDefault="00BB6F9A">
      <w:pPr>
        <w:pStyle w:val="PageBreak"/>
      </w:pPr>
      <w:r>
        <w:br w:type="page"/>
      </w:r>
    </w:p>
    <w:p w:rsidR="00BB6F9A" w:rsidRDefault="00BB6F9A">
      <w:pPr>
        <w:pStyle w:val="AH2Part"/>
      </w:pPr>
      <w:bookmarkStart w:id="203" w:name="_Toc4661465"/>
      <w:r>
        <w:rPr>
          <w:rStyle w:val="CharPartNo"/>
        </w:rPr>
        <w:lastRenderedPageBreak/>
        <w:t>Part 11.5</w:t>
      </w:r>
      <w:r>
        <w:tab/>
      </w:r>
      <w:r>
        <w:rPr>
          <w:rStyle w:val="CharPartText"/>
        </w:rPr>
        <w:t>Other provisions</w:t>
      </w:r>
      <w:bookmarkEnd w:id="203"/>
    </w:p>
    <w:p w:rsidR="00BB6F9A" w:rsidRDefault="00BB6F9A">
      <w:pPr>
        <w:pStyle w:val="AH5Sec"/>
      </w:pPr>
      <w:bookmarkStart w:id="204" w:name="_Toc4661466"/>
      <w:r>
        <w:rPr>
          <w:rStyle w:val="CharSectNo"/>
        </w:rPr>
        <w:t>147</w:t>
      </w:r>
      <w:r>
        <w:tab/>
        <w:t>Approved forms</w:t>
      </w:r>
      <w:bookmarkEnd w:id="204"/>
    </w:p>
    <w:p w:rsidR="00BB6F9A" w:rsidRDefault="00BB6F9A">
      <w:pPr>
        <w:pStyle w:val="Amain"/>
      </w:pPr>
      <w:r>
        <w:tab/>
        <w:t>(1)</w:t>
      </w:r>
      <w:r>
        <w:tab/>
        <w:t>The Minister may, in writing, approve forms for this Act.</w:t>
      </w:r>
    </w:p>
    <w:p w:rsidR="00BB6F9A" w:rsidRDefault="00BB6F9A">
      <w:pPr>
        <w:pStyle w:val="Amain"/>
        <w:keepNext/>
      </w:pPr>
      <w:r>
        <w:tab/>
        <w:t>(2)</w:t>
      </w:r>
      <w:r>
        <w:tab/>
        <w:t>If the Minister approves a form for a particular purpose, the approved form must be used for that purpose.</w:t>
      </w:r>
    </w:p>
    <w:p w:rsidR="00BB6F9A" w:rsidRDefault="00BB6F9A">
      <w:pPr>
        <w:pStyle w:val="aNote"/>
      </w:pPr>
      <w:r>
        <w:rPr>
          <w:rStyle w:val="charItals"/>
        </w:rPr>
        <w:t>Note</w:t>
      </w:r>
      <w:r>
        <w:tab/>
        <w:t xml:space="preserve">For other provisions about forms, see </w:t>
      </w:r>
      <w:r>
        <w:rPr>
          <w:rStyle w:val="charItals"/>
        </w:rPr>
        <w:t>Legislation Act 2001</w:t>
      </w:r>
      <w:r>
        <w:t>, s 255.</w:t>
      </w:r>
    </w:p>
    <w:p w:rsidR="00BB6F9A" w:rsidRDefault="00BB6F9A">
      <w:pPr>
        <w:pStyle w:val="Amain"/>
        <w:keepNext/>
      </w:pPr>
      <w:r>
        <w:tab/>
        <w:t>(3)</w:t>
      </w:r>
      <w:r>
        <w:tab/>
        <w:t>An approved form is a notifiable instrument.</w:t>
      </w:r>
    </w:p>
    <w:p w:rsidR="00BB6F9A" w:rsidRDefault="00BB6F9A">
      <w:pPr>
        <w:pStyle w:val="aNote"/>
      </w:pPr>
      <w:r>
        <w:rPr>
          <w:rStyle w:val="charItals"/>
        </w:rPr>
        <w:t>Note</w:t>
      </w:r>
      <w:r>
        <w:rPr>
          <w:rStyle w:val="charItals"/>
        </w:rPr>
        <w:tab/>
      </w:r>
      <w:r>
        <w:t xml:space="preserve">A notifiable instrument must be notified under the </w:t>
      </w:r>
      <w:r>
        <w:rPr>
          <w:rStyle w:val="charItals"/>
        </w:rPr>
        <w:t>Legislation Act 2001</w:t>
      </w:r>
      <w:r>
        <w:t>.</w:t>
      </w:r>
    </w:p>
    <w:p w:rsidR="00BB6F9A" w:rsidRDefault="00BB6F9A">
      <w:pPr>
        <w:pStyle w:val="AH5Sec"/>
      </w:pPr>
      <w:bookmarkStart w:id="205" w:name="_Toc4661467"/>
      <w:r>
        <w:rPr>
          <w:rStyle w:val="CharSectNo"/>
        </w:rPr>
        <w:t>148</w:t>
      </w:r>
      <w:r>
        <w:tab/>
        <w:t>Regulation-making power</w:t>
      </w:r>
      <w:bookmarkEnd w:id="205"/>
    </w:p>
    <w:p w:rsidR="00BB6F9A" w:rsidRDefault="00BB6F9A">
      <w:pPr>
        <w:pStyle w:val="Amainreturn"/>
        <w:keepNext/>
      </w:pPr>
      <w:r>
        <w:t>The Executive may make regulations for this Act.</w:t>
      </w:r>
    </w:p>
    <w:p w:rsidR="00BB6F9A" w:rsidRDefault="00BB6F9A">
      <w:pPr>
        <w:pStyle w:val="aNote"/>
      </w:pPr>
      <w:r>
        <w:rPr>
          <w:rStyle w:val="charItals"/>
        </w:rPr>
        <w:t>Note</w:t>
      </w:r>
      <w:r>
        <w:rPr>
          <w:rStyle w:val="charItals"/>
        </w:rPr>
        <w:tab/>
      </w:r>
      <w:r>
        <w:t xml:space="preserve">Regulations must be notified, and presented to the Legislative Assembly, under the </w:t>
      </w:r>
      <w:r>
        <w:rPr>
          <w:rStyle w:val="charItals"/>
        </w:rPr>
        <w:t>Legislation Act 2001</w:t>
      </w:r>
      <w:r>
        <w:t>.</w:t>
      </w:r>
    </w:p>
    <w:p w:rsidR="00BB6F9A" w:rsidRDefault="00BB6F9A">
      <w:pPr>
        <w:pStyle w:val="AH5Sec"/>
      </w:pPr>
      <w:bookmarkStart w:id="206" w:name="_Toc4661468"/>
      <w:r>
        <w:rPr>
          <w:rStyle w:val="CharSectNo"/>
        </w:rPr>
        <w:t>149</w:t>
      </w:r>
      <w:r>
        <w:tab/>
        <w:t>Repealed and amended Acts</w:t>
      </w:r>
      <w:bookmarkEnd w:id="206"/>
    </w:p>
    <w:p w:rsidR="00BB6F9A" w:rsidRDefault="00BB6F9A">
      <w:pPr>
        <w:pStyle w:val="Amainreturn"/>
      </w:pPr>
      <w:r>
        <w:t>Schedule 3 repeals or amends the Acts mentioned in it.</w:t>
      </w:r>
    </w:p>
    <w:p w:rsidR="00BB6F9A" w:rsidRDefault="00BB6F9A">
      <w:pPr>
        <w:pStyle w:val="PageBreak"/>
      </w:pPr>
      <w:r>
        <w:br w:type="page"/>
      </w:r>
    </w:p>
    <w:p w:rsidR="00BB6F9A" w:rsidRDefault="00BB6F9A">
      <w:pPr>
        <w:pStyle w:val="AH1Chapter"/>
      </w:pPr>
      <w:bookmarkStart w:id="207" w:name="_Toc4661469"/>
      <w:r>
        <w:rPr>
          <w:rStyle w:val="CharChapNo"/>
        </w:rPr>
        <w:lastRenderedPageBreak/>
        <w:t>Chapter 12</w:t>
      </w:r>
      <w:r>
        <w:tab/>
      </w:r>
      <w:r>
        <w:rPr>
          <w:rStyle w:val="CharChapText"/>
        </w:rPr>
        <w:t>Transitional provisions</w:t>
      </w:r>
      <w:bookmarkEnd w:id="207"/>
    </w:p>
    <w:p w:rsidR="00BB6F9A" w:rsidRDefault="00BB6F9A">
      <w:pPr>
        <w:pStyle w:val="Placeholder"/>
      </w:pPr>
      <w:r>
        <w:rPr>
          <w:rStyle w:val="CharPartNo"/>
        </w:rPr>
        <w:t xml:space="preserve">  </w:t>
      </w:r>
      <w:r>
        <w:rPr>
          <w:rStyle w:val="CharPartText"/>
        </w:rPr>
        <w:t xml:space="preserve">  </w:t>
      </w:r>
    </w:p>
    <w:p w:rsidR="00BB6F9A" w:rsidRDefault="00BB6F9A">
      <w:pPr>
        <w:pStyle w:val="AH5SecSymb"/>
      </w:pPr>
      <w:r>
        <w:rPr>
          <w:rStyle w:val="charSymb"/>
        </w:rPr>
        <w:t> </w:t>
      </w:r>
      <w:bookmarkStart w:id="208" w:name="_Toc4661470"/>
      <w:r>
        <w:rPr>
          <w:rStyle w:val="charSymb"/>
        </w:rPr>
        <w:t>M </w:t>
      </w:r>
      <w:r>
        <w:tab/>
      </w:r>
      <w:r>
        <w:rPr>
          <w:rStyle w:val="CharSectNo"/>
        </w:rPr>
        <w:t>150</w:t>
      </w:r>
      <w:r>
        <w:tab/>
        <w:t>Application provisions—for certain new measures</w:t>
      </w:r>
      <w:bookmarkEnd w:id="208"/>
    </w:p>
    <w:p w:rsidR="00BB6F9A" w:rsidRDefault="00BB6F9A">
      <w:pPr>
        <w:pStyle w:val="Amain"/>
      </w:pPr>
      <w:r>
        <w:tab/>
        <w:t>(1)</w:t>
      </w:r>
      <w:r>
        <w:tab/>
        <w:t>Part 2.1 (Good samaritans) does not apply in relation to an act or omission that happened before the commencement of the part.</w:t>
      </w:r>
    </w:p>
    <w:p w:rsidR="00BB6F9A" w:rsidRDefault="00BB6F9A">
      <w:pPr>
        <w:pStyle w:val="Amain"/>
      </w:pPr>
      <w:r>
        <w:tab/>
        <w:t>(2)</w:t>
      </w:r>
      <w:r>
        <w:tab/>
        <w:t>Part 4.1 (General exclusions and limitations about damages) does not apply to a claim arising out of an accident that happened before the commencement of the part.</w:t>
      </w:r>
    </w:p>
    <w:p w:rsidR="00BB6F9A" w:rsidRDefault="00BB6F9A">
      <w:pPr>
        <w:pStyle w:val="Amain"/>
      </w:pPr>
      <w:r>
        <w:tab/>
        <w:t>(3)</w:t>
      </w:r>
      <w:r>
        <w:tab/>
        <w:t>Chapter 10 (Limitations on legal costs) does not apply to a plaintiff or defendant’s legal costs in relation to a claim if—</w:t>
      </w:r>
    </w:p>
    <w:p w:rsidR="00BB6F9A" w:rsidRDefault="00BB6F9A">
      <w:pPr>
        <w:pStyle w:val="Apara"/>
      </w:pPr>
      <w:r>
        <w:tab/>
        <w:t>(a)</w:t>
      </w:r>
      <w:r>
        <w:tab/>
        <w:t>the costs for the claim are covered by an agreement or arrangement about costs between the plaintiff or defendant and his or her lawyer; and</w:t>
      </w:r>
    </w:p>
    <w:p w:rsidR="00BB6F9A" w:rsidRDefault="00BB6F9A">
      <w:pPr>
        <w:pStyle w:val="Apara"/>
      </w:pPr>
      <w:r>
        <w:tab/>
        <w:t>(b)</w:t>
      </w:r>
      <w:r>
        <w:tab/>
        <w:t>the agreement or arrangement was entered into before the commencement of the part.</w:t>
      </w:r>
    </w:p>
    <w:p w:rsidR="00BB6F9A" w:rsidRDefault="00BB6F9A">
      <w:pPr>
        <w:pStyle w:val="Amain"/>
      </w:pPr>
      <w:r>
        <w:tab/>
        <w:t>(4)</w:t>
      </w:r>
      <w:r>
        <w:tab/>
        <w:t>This section expires 3 years after it commences.</w:t>
      </w:r>
    </w:p>
    <w:p w:rsidR="00BB6F9A" w:rsidRDefault="00BB6F9A">
      <w:pPr>
        <w:pStyle w:val="Amain"/>
      </w:pPr>
      <w:r>
        <w:tab/>
        <w:t>(5)</w:t>
      </w:r>
      <w:r>
        <w:tab/>
        <w:t xml:space="preserve">Subsections (1) to (3) are declared to be provisions to which the </w:t>
      </w:r>
      <w:r>
        <w:rPr>
          <w:rStyle w:val="charItals"/>
        </w:rPr>
        <w:t>Legislation Act 2001</w:t>
      </w:r>
      <w:r>
        <w:t>, section 88 (Repeal does not end transitional or validating effect etc) applies.</w:t>
      </w:r>
    </w:p>
    <w:p w:rsidR="00BB6F9A" w:rsidRDefault="00BB6F9A">
      <w:pPr>
        <w:pStyle w:val="AH5Sec"/>
      </w:pPr>
      <w:bookmarkStart w:id="209" w:name="_Toc4661471"/>
      <w:r>
        <w:rPr>
          <w:rStyle w:val="CharSectNo"/>
        </w:rPr>
        <w:t>151</w:t>
      </w:r>
      <w:r>
        <w:tab/>
        <w:t>Application provisions—for certain existing measures</w:t>
      </w:r>
      <w:bookmarkEnd w:id="209"/>
    </w:p>
    <w:p w:rsidR="00BB6F9A" w:rsidRDefault="00BB6F9A">
      <w:pPr>
        <w:pStyle w:val="Amain"/>
      </w:pPr>
      <w:r>
        <w:tab/>
        <w:t>(1)</w:t>
      </w:r>
      <w:r>
        <w:tab/>
        <w:t>Part 2.4 (Proceedings against and contributions between wrongdoers) does not apply in relation to a wrong committed before 31 March 1955.</w:t>
      </w:r>
    </w:p>
    <w:p w:rsidR="00BB6F9A" w:rsidRDefault="00BB6F9A">
      <w:pPr>
        <w:pStyle w:val="Amain"/>
      </w:pPr>
      <w:r>
        <w:tab/>
        <w:t>(2)</w:t>
      </w:r>
      <w:r>
        <w:tab/>
        <w:t>Part 3.1 (Wrongful act or omission causing death) applies to the death of a person after 12 June 1968, even if the act or omission that caused the person’s death happened on or before that date.</w:t>
      </w:r>
    </w:p>
    <w:p w:rsidR="00BB6F9A" w:rsidRDefault="00BB6F9A">
      <w:pPr>
        <w:pStyle w:val="Amain"/>
      </w:pPr>
      <w:r>
        <w:tab/>
        <w:t>(3)</w:t>
      </w:r>
      <w:r>
        <w:tab/>
        <w:t>Section 24 (Contributory negligence not defence) does not apply to a cause of action under part 3.1 (Wrongful act or omission causing death) that arose before 6 December 1991.</w:t>
      </w:r>
    </w:p>
    <w:p w:rsidR="00BB6F9A" w:rsidRDefault="00BB6F9A">
      <w:pPr>
        <w:pStyle w:val="Amain"/>
      </w:pPr>
      <w:r>
        <w:lastRenderedPageBreak/>
        <w:tab/>
        <w:t>(4)</w:t>
      </w:r>
      <w:r>
        <w:tab/>
        <w:t>Part 4.2 (Loss of capacity to perform domestic services) and section 144 (Abolition of action for loss of consortium) do not apply in relation to a cause of action that arose before 6 December 1991.</w:t>
      </w:r>
    </w:p>
    <w:p w:rsidR="00BB6F9A" w:rsidRDefault="00BB6F9A">
      <w:pPr>
        <w:pStyle w:val="Amain"/>
      </w:pPr>
      <w:r>
        <w:tab/>
        <w:t>(5)</w:t>
      </w:r>
      <w:r>
        <w:tab/>
        <w:t>Section 41 (1) (Apportionment of liability—contributory negligence) does not apply to a cause of action that arose before 31 March 1955.</w:t>
      </w:r>
    </w:p>
    <w:p w:rsidR="00BB6F9A" w:rsidRDefault="00BB6F9A">
      <w:pPr>
        <w:pStyle w:val="Amain"/>
      </w:pPr>
      <w:r>
        <w:tab/>
        <w:t>(6)</w:t>
      </w:r>
      <w:r>
        <w:tab/>
        <w:t>Section 41 (2) (Apportionment of liability—contributory negligence) does not apply to a cause of action that arose before 6 December 1991.</w:t>
      </w:r>
    </w:p>
    <w:p w:rsidR="00BB6F9A" w:rsidRDefault="00BB6F9A">
      <w:pPr>
        <w:pStyle w:val="Amain"/>
      </w:pPr>
      <w:r>
        <w:tab/>
        <w:t>(7)</w:t>
      </w:r>
      <w:r>
        <w:tab/>
        <w:t>Chapter 9 (Misrepresentation) does not apply in relation to a misrepresentation, or an agreement, made before 30 May 1977.</w:t>
      </w:r>
    </w:p>
    <w:p w:rsidR="00BB6F9A" w:rsidRDefault="00BB6F9A">
      <w:pPr>
        <w:pStyle w:val="Amain"/>
      </w:pPr>
      <w:r>
        <w:tab/>
        <w:t>(8)</w:t>
      </w:r>
      <w:r>
        <w:tab/>
        <w:t>Section 137 (Abolition of rule about unity of spouses) does not apply to a cause of action that arose, or would, apart from the existence of a marriage, have arisen, before 22 August 1968.</w:t>
      </w:r>
    </w:p>
    <w:p w:rsidR="00BB6F9A" w:rsidRDefault="00BB6F9A">
      <w:pPr>
        <w:pStyle w:val="Amain"/>
      </w:pPr>
      <w:r>
        <w:tab/>
        <w:t>(9)</w:t>
      </w:r>
      <w:r>
        <w:tab/>
        <w:t>Section 142 (Abolition of rule of common employment) applies to death, injury or damage arising from a wrongful act or omission committed after 30 March 1955, even if the contract of employment was made on or before that date.</w:t>
      </w:r>
    </w:p>
    <w:p w:rsidR="00BB6F9A" w:rsidRDefault="00BB6F9A">
      <w:pPr>
        <w:pStyle w:val="Amain"/>
      </w:pPr>
      <w:r>
        <w:tab/>
        <w:t>(10)</w:t>
      </w:r>
      <w:r>
        <w:tab/>
        <w:t>Section 143 (Abolition of husband’s liability for wife’s torts and premarital obligations) does not affect a legal proceeding in relation to a tort if the proceeding was begun before 31 March 1955.</w:t>
      </w:r>
    </w:p>
    <w:p w:rsidR="00BB6F9A" w:rsidRDefault="00BB6F9A">
      <w:pPr>
        <w:pStyle w:val="Amain"/>
      </w:pPr>
      <w:r>
        <w:tab/>
        <w:t>(11)</w:t>
      </w:r>
      <w:r>
        <w:tab/>
        <w:t>This section expires 1 year after it commences.</w:t>
      </w:r>
    </w:p>
    <w:p w:rsidR="00BB6F9A" w:rsidRDefault="00BB6F9A">
      <w:pPr>
        <w:pStyle w:val="Amain"/>
      </w:pPr>
      <w:r>
        <w:tab/>
        <w:t>(12)</w:t>
      </w:r>
      <w:r>
        <w:tab/>
        <w:t xml:space="preserve">Subsections (1) to (10) are declared to be provisions to which the </w:t>
      </w:r>
      <w:r>
        <w:rPr>
          <w:rStyle w:val="charItals"/>
        </w:rPr>
        <w:t>Legislation Act 2001</w:t>
      </w:r>
      <w:r>
        <w:t>, section 88 (Repeal does not end transitional or validating effect etc) applies.</w:t>
      </w:r>
    </w:p>
    <w:p w:rsidR="00BB6F9A" w:rsidRDefault="00BB6F9A">
      <w:pPr>
        <w:pStyle w:val="AH5Sec"/>
      </w:pPr>
      <w:bookmarkStart w:id="210" w:name="_Toc4661472"/>
      <w:r>
        <w:rPr>
          <w:rStyle w:val="CharSectNo"/>
        </w:rPr>
        <w:t>153</w:t>
      </w:r>
      <w:r>
        <w:tab/>
        <w:t xml:space="preserve">Application of provisions of Civil Liability (Animals) Act 1984 (repealed) </w:t>
      </w:r>
      <w:r>
        <w:rPr>
          <w:b w:val="0"/>
          <w:bCs w:val="0"/>
        </w:rPr>
        <w:t>(CL(A)A s 9)</w:t>
      </w:r>
      <w:bookmarkEnd w:id="210"/>
    </w:p>
    <w:p w:rsidR="00BB6F9A" w:rsidRDefault="00BB6F9A">
      <w:pPr>
        <w:pStyle w:val="Amain"/>
      </w:pPr>
      <w:r>
        <w:tab/>
        <w:t>(1)</w:t>
      </w:r>
      <w:r>
        <w:tab/>
        <w:t>Section 138 (Abolition of action of cattle-trespass) does not apply to a case of cattle-trespass if the cause of action accrued before 23 July 1984.</w:t>
      </w:r>
    </w:p>
    <w:p w:rsidR="00BB6F9A" w:rsidRDefault="00BB6F9A">
      <w:pPr>
        <w:pStyle w:val="Amain"/>
      </w:pPr>
      <w:r>
        <w:lastRenderedPageBreak/>
        <w:tab/>
        <w:t>(2)</w:t>
      </w:r>
      <w:r>
        <w:tab/>
        <w:t>Section 139 (Abolition of distress damage feasant) does not apply to the distraint of an animal damage feasant before 23 July 1984.</w:t>
      </w:r>
    </w:p>
    <w:p w:rsidR="00BB6F9A" w:rsidRDefault="00BB6F9A">
      <w:pPr>
        <w:pStyle w:val="Amain"/>
        <w:keepNext/>
      </w:pPr>
      <w:r>
        <w:tab/>
        <w:t>(3)</w:t>
      </w:r>
      <w:r>
        <w:tab/>
        <w:t>The following provisions do not apply in relation to any question of liability if the acts or omissions giving rise to the question happened before 23 July 1984:</w:t>
      </w:r>
    </w:p>
    <w:p w:rsidR="00BB6F9A" w:rsidRDefault="00BB6F9A">
      <w:pPr>
        <w:pStyle w:val="Apara"/>
      </w:pPr>
      <w:r>
        <w:tab/>
        <w:t>(a)</w:t>
      </w:r>
      <w:r>
        <w:tab/>
        <w:t>section 102 (Evidence of breach of duty for animals);</w:t>
      </w:r>
    </w:p>
    <w:p w:rsidR="00BB6F9A" w:rsidRDefault="00BB6F9A">
      <w:pPr>
        <w:pStyle w:val="Apara"/>
      </w:pPr>
      <w:r>
        <w:tab/>
        <w:t>(b)</w:t>
      </w:r>
      <w:r>
        <w:tab/>
        <w:t>section 140 (Abolition of rules relating exclusively to liability for damage by animals);</w:t>
      </w:r>
    </w:p>
    <w:p w:rsidR="00BB6F9A" w:rsidRDefault="00BB6F9A">
      <w:pPr>
        <w:pStyle w:val="Apara"/>
        <w:rPr>
          <w:rStyle w:val="charItals"/>
          <w:i w:val="0"/>
          <w:iCs w:val="0"/>
        </w:rPr>
      </w:pPr>
      <w:r>
        <w:rPr>
          <w:rStyle w:val="charItals"/>
          <w:i w:val="0"/>
          <w:iCs w:val="0"/>
        </w:rPr>
        <w:tab/>
        <w:t>(c)</w:t>
      </w:r>
      <w:r>
        <w:rPr>
          <w:rStyle w:val="charItals"/>
          <w:i w:val="0"/>
          <w:iCs w:val="0"/>
        </w:rPr>
        <w:tab/>
      </w:r>
      <w:r>
        <w:t xml:space="preserve">section 141 (Partial abolition of rule in </w:t>
      </w:r>
      <w:r>
        <w:rPr>
          <w:rStyle w:val="charItals"/>
        </w:rPr>
        <w:t>Rylands</w:t>
      </w:r>
      <w:r>
        <w:t xml:space="preserve"> </w:t>
      </w:r>
      <w:r>
        <w:rPr>
          <w:rStyle w:val="charItals"/>
        </w:rPr>
        <w:t>v</w:t>
      </w:r>
      <w:r>
        <w:t xml:space="preserve"> </w:t>
      </w:r>
      <w:r>
        <w:rPr>
          <w:rStyle w:val="charItals"/>
        </w:rPr>
        <w:t>Fletcher</w:t>
      </w:r>
      <w:r>
        <w:rPr>
          <w:rStyle w:val="charItals"/>
          <w:i w:val="0"/>
          <w:iCs w:val="0"/>
        </w:rPr>
        <w:t>).</w:t>
      </w:r>
    </w:p>
    <w:p w:rsidR="00BB6F9A" w:rsidRDefault="00BB6F9A">
      <w:pPr>
        <w:pStyle w:val="Amain"/>
      </w:pPr>
      <w:r>
        <w:tab/>
        <w:t>(4)</w:t>
      </w:r>
      <w:r>
        <w:tab/>
        <w:t>This section expires 1 year after it commences.</w:t>
      </w:r>
    </w:p>
    <w:p w:rsidR="00BB6F9A" w:rsidRDefault="00BB6F9A">
      <w:pPr>
        <w:pStyle w:val="Amain"/>
      </w:pPr>
      <w:r>
        <w:tab/>
        <w:t>(5)</w:t>
      </w:r>
      <w:r>
        <w:tab/>
        <w:t xml:space="preserve">Subsections (1) to (3) are declared to be provisions to which the </w:t>
      </w:r>
      <w:r>
        <w:rPr>
          <w:rStyle w:val="charItals"/>
        </w:rPr>
        <w:t>Legislation Act 2001</w:t>
      </w:r>
      <w:r>
        <w:t>, section 88 (Repeal does not end transitional or validating effect etc) applies.</w:t>
      </w:r>
    </w:p>
    <w:p w:rsidR="00BB6F9A" w:rsidRDefault="00BB6F9A">
      <w:pPr>
        <w:pStyle w:val="AH5Sec"/>
      </w:pPr>
      <w:bookmarkStart w:id="211" w:name="_Toc4661473"/>
      <w:r>
        <w:rPr>
          <w:rStyle w:val="CharSectNo"/>
        </w:rPr>
        <w:t>154</w:t>
      </w:r>
      <w:r>
        <w:tab/>
        <w:t xml:space="preserve">Application of s 30 and s 31 </w:t>
      </w:r>
      <w:r>
        <w:rPr>
          <w:b w:val="0"/>
          <w:bCs w:val="0"/>
        </w:rPr>
        <w:t>(LR(MP)A s 23, s 24)</w:t>
      </w:r>
      <w:bookmarkEnd w:id="211"/>
    </w:p>
    <w:p w:rsidR="00BB6F9A" w:rsidRDefault="00BB6F9A">
      <w:pPr>
        <w:pStyle w:val="Amain"/>
      </w:pPr>
      <w:r>
        <w:tab/>
        <w:t>(1)</w:t>
      </w:r>
      <w:r>
        <w:tab/>
        <w:t>Section 30 (Personal injury arising from mental or nervous shock) and section 31 (Extensions of liability under pt 3.2 in certain cases) do not apply in relation to an injury caused before 31 March 1955.</w:t>
      </w:r>
    </w:p>
    <w:p w:rsidR="00BB6F9A" w:rsidRDefault="00BB6F9A">
      <w:pPr>
        <w:pStyle w:val="Amain"/>
      </w:pPr>
      <w:r>
        <w:tab/>
        <w:t>(2)</w:t>
      </w:r>
      <w:r>
        <w:tab/>
        <w:t xml:space="preserve">In deciding a question of liability for personal injury caused before 31 March 1955, no regard must be paid to the fact that section 30 has (or the </w:t>
      </w:r>
      <w:r>
        <w:rPr>
          <w:rStyle w:val="charItals"/>
        </w:rPr>
        <w:t>Law Reform (Miscellaneous Provisions) Act 1955</w:t>
      </w:r>
      <w:r>
        <w:t>, section 23 had) been enacted or to the provisions of section 30 (or section 23).</w:t>
      </w:r>
    </w:p>
    <w:p w:rsidR="00BB6F9A" w:rsidRDefault="00BB6F9A">
      <w:pPr>
        <w:pStyle w:val="Amain"/>
      </w:pPr>
      <w:r>
        <w:tab/>
        <w:t>(3)</w:t>
      </w:r>
      <w:r>
        <w:tab/>
        <w:t>This section expires 1 year after it commences.</w:t>
      </w:r>
    </w:p>
    <w:p w:rsidR="00BB6F9A" w:rsidRDefault="00BB6F9A">
      <w:pPr>
        <w:pStyle w:val="Amain"/>
      </w:pPr>
      <w:r>
        <w:tab/>
        <w:t>(4)</w:t>
      </w:r>
      <w:r>
        <w:tab/>
        <w:t xml:space="preserve">Subsections (1) and (2) are declared to be provisions to which the </w:t>
      </w:r>
      <w:r>
        <w:rPr>
          <w:rStyle w:val="charItals"/>
        </w:rPr>
        <w:t>Legislation Act 2001</w:t>
      </w:r>
      <w:r>
        <w:t>, section 88 (Repeal does not end transitional or validating effect etc) applies.</w:t>
      </w:r>
    </w:p>
    <w:p w:rsidR="00BB6F9A" w:rsidRDefault="00BB6F9A">
      <w:pPr>
        <w:pStyle w:val="AH5Sec"/>
      </w:pPr>
      <w:bookmarkStart w:id="212" w:name="_Toc4661474"/>
      <w:r>
        <w:rPr>
          <w:rStyle w:val="CharSectNo"/>
        </w:rPr>
        <w:lastRenderedPageBreak/>
        <w:t>154A</w:t>
      </w:r>
      <w:r>
        <w:tab/>
        <w:t>Abolition of torts of maintenance and champerty—saving of existing rights and liabilities</w:t>
      </w:r>
      <w:bookmarkEnd w:id="212"/>
    </w:p>
    <w:p w:rsidR="00BB6F9A" w:rsidRDefault="00BB6F9A">
      <w:pPr>
        <w:pStyle w:val="Amain"/>
      </w:pPr>
      <w:r>
        <w:tab/>
        <w:t>(1)</w:t>
      </w:r>
      <w:r>
        <w:tab/>
        <w:t xml:space="preserve">The </w:t>
      </w:r>
      <w:r>
        <w:rPr>
          <w:rStyle w:val="charItals"/>
        </w:rPr>
        <w:t>Legislation Act 2001</w:t>
      </w:r>
      <w:r>
        <w:t>, section 84 (Saving of operation of repealed and amended laws) applies to the abolition of a tort under section 151A as if the section repealed a law.</w:t>
      </w:r>
    </w:p>
    <w:p w:rsidR="00BB6F9A" w:rsidRDefault="00BB6F9A">
      <w:pPr>
        <w:pStyle w:val="Amain"/>
      </w:pPr>
      <w:r>
        <w:tab/>
        <w:t>(2)</w:t>
      </w:r>
      <w:r>
        <w:tab/>
        <w:t>This section expires on the expiry of section 150.</w:t>
      </w:r>
    </w:p>
    <w:p w:rsidR="00BB6F9A" w:rsidRDefault="00BB6F9A">
      <w:pPr>
        <w:pStyle w:val="Amain"/>
      </w:pPr>
      <w:r>
        <w:tab/>
        <w:t>(3)</w:t>
      </w:r>
      <w:r>
        <w:tab/>
        <w:t xml:space="preserve">Subsection (1) is declared to be a provision to which the </w:t>
      </w:r>
      <w:r>
        <w:rPr>
          <w:rStyle w:val="charItals"/>
        </w:rPr>
        <w:t>Legislation Act 2001</w:t>
      </w:r>
      <w:r>
        <w:t>, section 88 (Repeal does not end transitional or validating effect etc) applies.</w:t>
      </w:r>
    </w:p>
    <w:p w:rsidR="00BB6F9A" w:rsidRDefault="00BB6F9A">
      <w:pPr>
        <w:pStyle w:val="AH5Sec"/>
      </w:pPr>
      <w:bookmarkStart w:id="213" w:name="_Toc4661475"/>
      <w:r>
        <w:rPr>
          <w:rStyle w:val="CharSectNo"/>
        </w:rPr>
        <w:t>155</w:t>
      </w:r>
      <w:r>
        <w:tab/>
        <w:t>Transitional regulations</w:t>
      </w:r>
      <w:bookmarkEnd w:id="213"/>
    </w:p>
    <w:p w:rsidR="00BB6F9A" w:rsidRDefault="00BB6F9A">
      <w:pPr>
        <w:pStyle w:val="Amain"/>
        <w:keepNext/>
      </w:pPr>
      <w:r>
        <w:tab/>
        <w:t>(1)</w:t>
      </w:r>
      <w:r>
        <w:tab/>
        <w:t>The regulations may prescribe savings or transitional matters necessary or convenient to be prescribed because of the enactment of this Act.</w:t>
      </w:r>
    </w:p>
    <w:p w:rsidR="00BB6F9A" w:rsidRDefault="00BB6F9A">
      <w:pPr>
        <w:pStyle w:val="Amain"/>
      </w:pPr>
      <w:r>
        <w:tab/>
        <w:t>(2)</w:t>
      </w:r>
      <w:r>
        <w:tab/>
        <w:t>Regulations made for this section must not be taken to be inconsistent with this Act (or any Act amended by this Act) so far as they can operate concurrently with this Act (or that Act).</w:t>
      </w:r>
    </w:p>
    <w:p w:rsidR="00BB6F9A" w:rsidRDefault="00BB6F9A">
      <w:pPr>
        <w:pStyle w:val="Amain"/>
        <w:rPr>
          <w:color w:val="000000"/>
        </w:rPr>
      </w:pPr>
      <w:r>
        <w:rPr>
          <w:color w:val="000000"/>
        </w:rPr>
        <w:tab/>
        <w:t>(3)</w:t>
      </w:r>
      <w:r>
        <w:rPr>
          <w:color w:val="000000"/>
        </w:rPr>
        <w:tab/>
        <w:t>This section is additional to, and does not limit, section 156.</w:t>
      </w:r>
    </w:p>
    <w:p w:rsidR="00BB6F9A" w:rsidRDefault="00BB6F9A">
      <w:pPr>
        <w:pStyle w:val="Amain"/>
        <w:rPr>
          <w:color w:val="000000"/>
        </w:rPr>
      </w:pPr>
      <w:r>
        <w:rPr>
          <w:color w:val="000000"/>
        </w:rPr>
        <w:tab/>
        <w:t>(4)</w:t>
      </w:r>
      <w:r>
        <w:rPr>
          <w:color w:val="000000"/>
        </w:rPr>
        <w:tab/>
        <w:t>This section expires 1 year after it commences.</w:t>
      </w:r>
    </w:p>
    <w:p w:rsidR="00BB6F9A" w:rsidRDefault="00BB6F9A">
      <w:pPr>
        <w:pStyle w:val="AH5Sec"/>
        <w:rPr>
          <w:color w:val="000000"/>
        </w:rPr>
      </w:pPr>
      <w:bookmarkStart w:id="214" w:name="_Toc4661476"/>
      <w:r>
        <w:rPr>
          <w:rStyle w:val="CharSectNo"/>
        </w:rPr>
        <w:t>156</w:t>
      </w:r>
      <w:r>
        <w:rPr>
          <w:color w:val="000000"/>
        </w:rPr>
        <w:tab/>
        <w:t>Modification of ch 12’s operation</w:t>
      </w:r>
      <w:bookmarkEnd w:id="214"/>
    </w:p>
    <w:p w:rsidR="00BB6F9A" w:rsidRDefault="00BB6F9A">
      <w:pPr>
        <w:pStyle w:val="Amain"/>
      </w:pPr>
      <w:r>
        <w:tab/>
        <w:t>(1)</w:t>
      </w:r>
      <w:r>
        <w:tab/>
        <w:t>The regulations may modify this part to make provision in relation to any matter that, in the Executive’s opinion, is not, or is not adequately, dealt with in this chapter.</w:t>
      </w:r>
    </w:p>
    <w:p w:rsidR="00BB6F9A" w:rsidRDefault="00BB6F9A">
      <w:pPr>
        <w:pStyle w:val="Amain"/>
      </w:pPr>
      <w:r>
        <w:tab/>
        <w:t>(2)</w:t>
      </w:r>
      <w:r>
        <w:tab/>
        <w:t>This section expires 1 year after it commences.</w:t>
      </w:r>
    </w:p>
    <w:p w:rsidR="00BB6F9A" w:rsidRDefault="00BB6F9A">
      <w:pPr>
        <w:pStyle w:val="02Text"/>
        <w:sectPr w:rsidR="00BB6F9A">
          <w:headerReference w:type="even" r:id="rId19"/>
          <w:headerReference w:type="default" r:id="rId20"/>
          <w:footerReference w:type="even" r:id="rId21"/>
          <w:footerReference w:type="default" r:id="rId22"/>
          <w:footerReference w:type="first" r:id="rId23"/>
          <w:pgSz w:w="11907" w:h="16839" w:code="9"/>
          <w:pgMar w:top="3000" w:right="2300" w:bottom="2500" w:left="2300" w:header="2480" w:footer="2100" w:gutter="0"/>
          <w:pgNumType w:start="1"/>
          <w:cols w:space="720"/>
          <w:titlePg/>
        </w:sectPr>
      </w:pPr>
    </w:p>
    <w:p w:rsidR="00BB6F9A" w:rsidRDefault="00BB6F9A">
      <w:pPr>
        <w:pStyle w:val="PageBreak"/>
      </w:pPr>
      <w:r>
        <w:br w:type="page"/>
      </w:r>
    </w:p>
    <w:p w:rsidR="00BB6F9A" w:rsidRDefault="00BB6F9A">
      <w:pPr>
        <w:pStyle w:val="Sched-heading"/>
      </w:pPr>
      <w:bookmarkStart w:id="215" w:name="_Toc4661477"/>
      <w:r>
        <w:rPr>
          <w:rStyle w:val="CharChapNo"/>
        </w:rPr>
        <w:lastRenderedPageBreak/>
        <w:t>Schedule 1</w:t>
      </w:r>
      <w:r>
        <w:tab/>
      </w:r>
      <w:r>
        <w:rPr>
          <w:rStyle w:val="CharChapText"/>
        </w:rPr>
        <w:t>Traveller accommodation providers notice</w:t>
      </w:r>
      <w:bookmarkEnd w:id="215"/>
    </w:p>
    <w:p w:rsidR="00BB6F9A" w:rsidRDefault="00BB6F9A">
      <w:pPr>
        <w:pStyle w:val="ref"/>
      </w:pPr>
      <w:r>
        <w:t>(see s 86)</w:t>
      </w:r>
    </w:p>
    <w:p w:rsidR="00BB6F9A" w:rsidRDefault="00BB6F9A">
      <w:pPr>
        <w:pStyle w:val="ISchclauseheading"/>
        <w:rPr>
          <w:snapToGrid w:val="0"/>
        </w:rPr>
      </w:pPr>
      <w:r>
        <w:rPr>
          <w:snapToGrid w:val="0"/>
        </w:rPr>
        <w:tab/>
        <w:t>Notice about loss of guest’s property</w:t>
      </w:r>
    </w:p>
    <w:p w:rsidR="00BB6F9A" w:rsidRDefault="00BB6F9A">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BB6F9A" w:rsidRDefault="00BB6F9A">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BB6F9A" w:rsidRDefault="00BB6F9A">
      <w:pPr>
        <w:pStyle w:val="Amainreturn"/>
        <w:rPr>
          <w:snapToGrid w:val="0"/>
        </w:rPr>
      </w:pPr>
      <w:r>
        <w:rPr>
          <w:snapToGrid w:val="0"/>
        </w:rPr>
        <w:t>The strict liability of the accommodation provider under the Act—</w:t>
      </w:r>
    </w:p>
    <w:p w:rsidR="00BB6F9A" w:rsidRDefault="00BB6F9A">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applies only to a guest of the accommodation provider on a day when an </w:t>
      </w:r>
      <w:r>
        <w:rPr>
          <w:rStyle w:val="charBoldItals"/>
        </w:rPr>
        <w:t xml:space="preserve">accommodation unit </w:t>
      </w:r>
      <w:r>
        <w:rPr>
          <w:snapToGrid w:val="0"/>
        </w:rPr>
        <w:t>is</w:t>
      </w:r>
      <w:r>
        <w:rPr>
          <w:rStyle w:val="charBoldItals"/>
        </w:rPr>
        <w:t xml:space="preserve"> provided </w:t>
      </w:r>
      <w:r>
        <w:rPr>
          <w:snapToGrid w:val="0"/>
        </w:rPr>
        <w:t>for the use of the guest</w:t>
      </w:r>
    </w:p>
    <w:p w:rsidR="00BB6F9A" w:rsidRDefault="00BB6F9A">
      <w:pPr>
        <w:pStyle w:val="Amainreturn"/>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 xml:space="preserve">is limited to the </w:t>
      </w:r>
      <w:r>
        <w:rPr>
          <w:rStyle w:val="charBoldItals"/>
        </w:rPr>
        <w:t>limitation amount</w:t>
      </w:r>
      <w:r>
        <w:rPr>
          <w:snapToGrid w:val="0"/>
        </w:rPr>
        <w:t xml:space="preserve"> for each accommodation unit provided for the use of the guest on the day, unless the guest’s property was placed in </w:t>
      </w:r>
      <w:r>
        <w:rPr>
          <w:rStyle w:val="charBoldItals"/>
        </w:rPr>
        <w:t>safe custody facilities</w:t>
      </w:r>
    </w:p>
    <w:p w:rsidR="00BB6F9A" w:rsidRDefault="00BB6F9A">
      <w:pPr>
        <w:pStyle w:val="Amainreturn"/>
        <w:keepNext/>
        <w:tabs>
          <w:tab w:val="left" w:pos="1220"/>
        </w:tabs>
        <w:ind w:left="1220" w:hanging="520"/>
        <w:rPr>
          <w:snapToGrid w:val="0"/>
        </w:rPr>
      </w:pPr>
      <w:r>
        <w:rPr>
          <w:rFonts w:ascii="Symbol" w:hAnsi="Symbol" w:cs="Symbol"/>
          <w:snapToGrid w:val="0"/>
          <w:sz w:val="20"/>
          <w:szCs w:val="20"/>
        </w:rPr>
        <w:t></w:t>
      </w:r>
      <w:r>
        <w:rPr>
          <w:rFonts w:ascii="Symbol" w:hAnsi="Symbol" w:cs="Symbol"/>
          <w:snapToGrid w:val="0"/>
          <w:sz w:val="20"/>
          <w:szCs w:val="20"/>
        </w:rPr>
        <w:tab/>
      </w:r>
      <w:r>
        <w:rPr>
          <w:snapToGrid w:val="0"/>
        </w:rPr>
        <w:t>does not cover</w:t>
      </w:r>
      <w:r>
        <w:rPr>
          <w:rStyle w:val="charBoldItals"/>
        </w:rPr>
        <w:t xml:space="preserve"> motor vehicles </w:t>
      </w:r>
      <w:r>
        <w:rPr>
          <w:snapToGrid w:val="0"/>
        </w:rPr>
        <w:t>and things owned by the guest left in or on motor vehicles.</w:t>
      </w:r>
    </w:p>
    <w:p w:rsidR="00BB6F9A" w:rsidRDefault="00BB6F9A">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BB6F9A" w:rsidRDefault="00BB6F9A">
      <w:pPr>
        <w:pStyle w:val="PageBreak"/>
      </w:pPr>
      <w:r>
        <w:br w:type="page"/>
      </w:r>
    </w:p>
    <w:p w:rsidR="00BB6F9A" w:rsidRDefault="00BB6F9A">
      <w:pPr>
        <w:pStyle w:val="Sched-heading"/>
      </w:pPr>
      <w:bookmarkStart w:id="216" w:name="_Toc4661478"/>
      <w:r>
        <w:rPr>
          <w:rStyle w:val="CharChapNo"/>
        </w:rPr>
        <w:lastRenderedPageBreak/>
        <w:t>Schedule 2</w:t>
      </w:r>
      <w:r>
        <w:tab/>
      </w:r>
      <w:r>
        <w:rPr>
          <w:rStyle w:val="CharChapText"/>
        </w:rPr>
        <w:t>Common carriers—goods subject to special limited liability</w:t>
      </w:r>
      <w:bookmarkEnd w:id="216"/>
    </w:p>
    <w:p w:rsidR="00BB6F9A" w:rsidRDefault="00BB6F9A">
      <w:pPr>
        <w:pStyle w:val="ref"/>
      </w:pPr>
      <w:r>
        <w:t>(see s 92 (1))</w:t>
      </w:r>
    </w:p>
    <w:tbl>
      <w:tblPr>
        <w:tblW w:w="0" w:type="auto"/>
        <w:tblLayout w:type="fixed"/>
        <w:tblLook w:val="0000" w:firstRow="0" w:lastRow="0" w:firstColumn="0" w:lastColumn="0" w:noHBand="0" w:noVBand="0"/>
      </w:tblPr>
      <w:tblGrid>
        <w:gridCol w:w="1200"/>
        <w:gridCol w:w="6322"/>
      </w:tblGrid>
      <w:tr w:rsidR="00BB6F9A">
        <w:trPr>
          <w:cantSplit/>
          <w:tblHeader/>
        </w:trPr>
        <w:tc>
          <w:tcPr>
            <w:tcW w:w="1200" w:type="dxa"/>
            <w:tcBorders>
              <w:top w:val="nil"/>
              <w:left w:val="nil"/>
              <w:bottom w:val="single" w:sz="4" w:space="0" w:color="auto"/>
              <w:right w:val="nil"/>
            </w:tcBorders>
          </w:tcPr>
          <w:p w:rsidR="00BB6F9A" w:rsidRDefault="00BB6F9A">
            <w:pPr>
              <w:pStyle w:val="TableColHd"/>
            </w:pPr>
            <w:r>
              <w:t>column 1</w:t>
            </w:r>
          </w:p>
          <w:p w:rsidR="00BB6F9A" w:rsidRDefault="00BB6F9A">
            <w:pPr>
              <w:pStyle w:val="TableColHd"/>
            </w:pPr>
            <w:r>
              <w:t>item</w:t>
            </w:r>
          </w:p>
        </w:tc>
        <w:tc>
          <w:tcPr>
            <w:tcW w:w="6322" w:type="dxa"/>
            <w:tcBorders>
              <w:top w:val="nil"/>
              <w:left w:val="nil"/>
              <w:bottom w:val="single" w:sz="4" w:space="0" w:color="auto"/>
              <w:right w:val="nil"/>
            </w:tcBorders>
          </w:tcPr>
          <w:p w:rsidR="00BB6F9A" w:rsidRDefault="00BB6F9A">
            <w:pPr>
              <w:pStyle w:val="TableColHd"/>
            </w:pPr>
            <w:r>
              <w:t>column 2</w:t>
            </w:r>
            <w:r>
              <w:br/>
              <w:t>goods</w:t>
            </w:r>
          </w:p>
        </w:tc>
      </w:tr>
      <w:tr w:rsidR="00BB6F9A">
        <w:trPr>
          <w:cantSplit/>
        </w:trPr>
        <w:tc>
          <w:tcPr>
            <w:tcW w:w="1200" w:type="dxa"/>
            <w:tcBorders>
              <w:top w:val="nil"/>
              <w:left w:val="nil"/>
              <w:bottom w:val="nil"/>
              <w:right w:val="nil"/>
            </w:tcBorders>
          </w:tcPr>
          <w:p w:rsidR="00BB6F9A" w:rsidRDefault="00BB6F9A">
            <w:pPr>
              <w:pStyle w:val="TableText"/>
            </w:pPr>
            <w:r>
              <w:t>1</w:t>
            </w:r>
          </w:p>
        </w:tc>
        <w:tc>
          <w:tcPr>
            <w:tcW w:w="6322" w:type="dxa"/>
            <w:tcBorders>
              <w:top w:val="nil"/>
              <w:left w:val="nil"/>
              <w:bottom w:val="nil"/>
              <w:right w:val="nil"/>
            </w:tcBorders>
          </w:tcPr>
          <w:p w:rsidR="00BB6F9A" w:rsidRDefault="00BB6F9A">
            <w:pPr>
              <w:pStyle w:val="TableText"/>
            </w:pPr>
            <w:r>
              <w:t>gold or silver coin of Australia or a foreign country</w:t>
            </w:r>
          </w:p>
        </w:tc>
      </w:tr>
      <w:tr w:rsidR="00BB6F9A">
        <w:trPr>
          <w:cantSplit/>
        </w:trPr>
        <w:tc>
          <w:tcPr>
            <w:tcW w:w="1200" w:type="dxa"/>
            <w:tcBorders>
              <w:top w:val="nil"/>
              <w:left w:val="nil"/>
              <w:bottom w:val="nil"/>
              <w:right w:val="nil"/>
            </w:tcBorders>
          </w:tcPr>
          <w:p w:rsidR="00BB6F9A" w:rsidRDefault="00BB6F9A">
            <w:pPr>
              <w:pStyle w:val="TableText"/>
            </w:pPr>
            <w:r>
              <w:t>2</w:t>
            </w:r>
          </w:p>
        </w:tc>
        <w:tc>
          <w:tcPr>
            <w:tcW w:w="6322" w:type="dxa"/>
            <w:tcBorders>
              <w:top w:val="nil"/>
              <w:left w:val="nil"/>
              <w:bottom w:val="nil"/>
              <w:right w:val="nil"/>
            </w:tcBorders>
          </w:tcPr>
          <w:p w:rsidR="00BB6F9A" w:rsidRDefault="00BB6F9A">
            <w:pPr>
              <w:pStyle w:val="TableText"/>
            </w:pPr>
            <w:r>
              <w:t>gold or silver in a manufactured or unmanufactured state</w:t>
            </w:r>
          </w:p>
        </w:tc>
      </w:tr>
      <w:tr w:rsidR="00BB6F9A">
        <w:trPr>
          <w:cantSplit/>
        </w:trPr>
        <w:tc>
          <w:tcPr>
            <w:tcW w:w="1200" w:type="dxa"/>
            <w:tcBorders>
              <w:top w:val="nil"/>
              <w:left w:val="nil"/>
              <w:bottom w:val="nil"/>
              <w:right w:val="nil"/>
            </w:tcBorders>
          </w:tcPr>
          <w:p w:rsidR="00BB6F9A" w:rsidRDefault="00BB6F9A">
            <w:pPr>
              <w:pStyle w:val="TableText"/>
            </w:pPr>
            <w:r>
              <w:t>3</w:t>
            </w:r>
          </w:p>
        </w:tc>
        <w:tc>
          <w:tcPr>
            <w:tcW w:w="6322" w:type="dxa"/>
            <w:tcBorders>
              <w:top w:val="nil"/>
              <w:left w:val="nil"/>
              <w:bottom w:val="nil"/>
              <w:right w:val="nil"/>
            </w:tcBorders>
          </w:tcPr>
          <w:p w:rsidR="00BB6F9A" w:rsidRDefault="00BB6F9A">
            <w:pPr>
              <w:pStyle w:val="TableText"/>
            </w:pPr>
            <w:r>
              <w:t>precious stones, jewellery, watches, clocks or time-pieces of any description</w:t>
            </w:r>
          </w:p>
        </w:tc>
      </w:tr>
      <w:tr w:rsidR="00BB6F9A">
        <w:trPr>
          <w:cantSplit/>
        </w:trPr>
        <w:tc>
          <w:tcPr>
            <w:tcW w:w="1200" w:type="dxa"/>
            <w:tcBorders>
              <w:top w:val="nil"/>
              <w:left w:val="nil"/>
              <w:bottom w:val="nil"/>
              <w:right w:val="nil"/>
            </w:tcBorders>
          </w:tcPr>
          <w:p w:rsidR="00BB6F9A" w:rsidRDefault="00BB6F9A">
            <w:pPr>
              <w:pStyle w:val="TableText"/>
            </w:pPr>
            <w:r>
              <w:t>4</w:t>
            </w:r>
          </w:p>
        </w:tc>
        <w:tc>
          <w:tcPr>
            <w:tcW w:w="6322" w:type="dxa"/>
            <w:tcBorders>
              <w:top w:val="nil"/>
              <w:left w:val="nil"/>
              <w:bottom w:val="nil"/>
              <w:right w:val="nil"/>
            </w:tcBorders>
          </w:tcPr>
          <w:p w:rsidR="00BB6F9A" w:rsidRDefault="00BB6F9A">
            <w:pPr>
              <w:pStyle w:val="TableText"/>
            </w:pPr>
            <w:r>
              <w:t>trinkets, gold or silver ores, bills, notes of any bank, orders, notes or securities for the payment of money</w:t>
            </w:r>
          </w:p>
        </w:tc>
      </w:tr>
      <w:tr w:rsidR="00BB6F9A">
        <w:trPr>
          <w:cantSplit/>
        </w:trPr>
        <w:tc>
          <w:tcPr>
            <w:tcW w:w="1200" w:type="dxa"/>
            <w:tcBorders>
              <w:top w:val="nil"/>
              <w:left w:val="nil"/>
              <w:bottom w:val="nil"/>
              <w:right w:val="nil"/>
            </w:tcBorders>
          </w:tcPr>
          <w:p w:rsidR="00BB6F9A" w:rsidRDefault="00BB6F9A">
            <w:pPr>
              <w:pStyle w:val="TableText"/>
            </w:pPr>
            <w:r>
              <w:t>5</w:t>
            </w:r>
          </w:p>
        </w:tc>
        <w:tc>
          <w:tcPr>
            <w:tcW w:w="6322" w:type="dxa"/>
            <w:tcBorders>
              <w:top w:val="nil"/>
              <w:left w:val="nil"/>
              <w:bottom w:val="nil"/>
              <w:right w:val="nil"/>
            </w:tcBorders>
          </w:tcPr>
          <w:p w:rsidR="00BB6F9A" w:rsidRDefault="00BB6F9A">
            <w:pPr>
              <w:pStyle w:val="TableText"/>
            </w:pPr>
            <w:r>
              <w:t>Australian stamps or a foreign country’s stamps</w:t>
            </w:r>
          </w:p>
        </w:tc>
      </w:tr>
      <w:tr w:rsidR="00BB6F9A">
        <w:trPr>
          <w:cantSplit/>
        </w:trPr>
        <w:tc>
          <w:tcPr>
            <w:tcW w:w="1200" w:type="dxa"/>
            <w:tcBorders>
              <w:top w:val="nil"/>
              <w:left w:val="nil"/>
              <w:bottom w:val="nil"/>
              <w:right w:val="nil"/>
            </w:tcBorders>
          </w:tcPr>
          <w:p w:rsidR="00BB6F9A" w:rsidRDefault="00BB6F9A">
            <w:pPr>
              <w:pStyle w:val="TableText"/>
            </w:pPr>
            <w:r>
              <w:t>6</w:t>
            </w:r>
          </w:p>
        </w:tc>
        <w:tc>
          <w:tcPr>
            <w:tcW w:w="6322" w:type="dxa"/>
            <w:tcBorders>
              <w:top w:val="nil"/>
              <w:left w:val="nil"/>
              <w:bottom w:val="nil"/>
              <w:right w:val="nil"/>
            </w:tcBorders>
          </w:tcPr>
          <w:p w:rsidR="00BB6F9A" w:rsidRDefault="00BB6F9A">
            <w:pPr>
              <w:pStyle w:val="TableText"/>
            </w:pPr>
            <w:r>
              <w:t>maps, writings or title-deeds</w:t>
            </w:r>
          </w:p>
        </w:tc>
      </w:tr>
      <w:tr w:rsidR="00BB6F9A">
        <w:trPr>
          <w:cantSplit/>
        </w:trPr>
        <w:tc>
          <w:tcPr>
            <w:tcW w:w="1200" w:type="dxa"/>
            <w:tcBorders>
              <w:top w:val="nil"/>
              <w:left w:val="nil"/>
              <w:bottom w:val="nil"/>
              <w:right w:val="nil"/>
            </w:tcBorders>
          </w:tcPr>
          <w:p w:rsidR="00BB6F9A" w:rsidRDefault="00BB6F9A">
            <w:pPr>
              <w:pStyle w:val="TableText"/>
            </w:pPr>
            <w:r>
              <w:t>7</w:t>
            </w:r>
          </w:p>
        </w:tc>
        <w:tc>
          <w:tcPr>
            <w:tcW w:w="6322" w:type="dxa"/>
            <w:tcBorders>
              <w:top w:val="nil"/>
              <w:left w:val="nil"/>
              <w:bottom w:val="nil"/>
              <w:right w:val="nil"/>
            </w:tcBorders>
          </w:tcPr>
          <w:p w:rsidR="00BB6F9A" w:rsidRDefault="00BB6F9A">
            <w:pPr>
              <w:pStyle w:val="TableText"/>
            </w:pPr>
            <w:r>
              <w:t>paintings, engravings or pictures</w:t>
            </w:r>
          </w:p>
        </w:tc>
      </w:tr>
      <w:tr w:rsidR="00BB6F9A">
        <w:trPr>
          <w:cantSplit/>
        </w:trPr>
        <w:tc>
          <w:tcPr>
            <w:tcW w:w="1200" w:type="dxa"/>
            <w:tcBorders>
              <w:top w:val="nil"/>
              <w:left w:val="nil"/>
              <w:bottom w:val="nil"/>
              <w:right w:val="nil"/>
            </w:tcBorders>
          </w:tcPr>
          <w:p w:rsidR="00BB6F9A" w:rsidRDefault="00BB6F9A">
            <w:pPr>
              <w:pStyle w:val="TableText"/>
            </w:pPr>
            <w:r>
              <w:t>8</w:t>
            </w:r>
          </w:p>
        </w:tc>
        <w:tc>
          <w:tcPr>
            <w:tcW w:w="6322" w:type="dxa"/>
            <w:tcBorders>
              <w:top w:val="nil"/>
              <w:left w:val="nil"/>
              <w:bottom w:val="nil"/>
              <w:right w:val="nil"/>
            </w:tcBorders>
          </w:tcPr>
          <w:p w:rsidR="00BB6F9A" w:rsidRDefault="00BB6F9A">
            <w:pPr>
              <w:pStyle w:val="TableText"/>
            </w:pPr>
            <w:r>
              <w:t>gold or silver plate or plated articles, glass or china</w:t>
            </w:r>
          </w:p>
        </w:tc>
      </w:tr>
      <w:tr w:rsidR="00BB6F9A">
        <w:trPr>
          <w:cantSplit/>
        </w:trPr>
        <w:tc>
          <w:tcPr>
            <w:tcW w:w="1200" w:type="dxa"/>
            <w:tcBorders>
              <w:top w:val="nil"/>
              <w:left w:val="nil"/>
              <w:bottom w:val="nil"/>
              <w:right w:val="nil"/>
            </w:tcBorders>
          </w:tcPr>
          <w:p w:rsidR="00BB6F9A" w:rsidRDefault="00BB6F9A">
            <w:pPr>
              <w:pStyle w:val="TableText"/>
            </w:pPr>
            <w:r>
              <w:t>9</w:t>
            </w:r>
          </w:p>
        </w:tc>
        <w:tc>
          <w:tcPr>
            <w:tcW w:w="6322" w:type="dxa"/>
            <w:tcBorders>
              <w:top w:val="nil"/>
              <w:left w:val="nil"/>
              <w:bottom w:val="nil"/>
              <w:right w:val="nil"/>
            </w:tcBorders>
          </w:tcPr>
          <w:p w:rsidR="00BB6F9A" w:rsidRDefault="00BB6F9A">
            <w:pPr>
              <w:pStyle w:val="TableText"/>
            </w:pPr>
            <w:r>
              <w:t>silk in a manufactured or unmanufactured state (including silk ornamented with other materials), furs or lace</w:t>
            </w:r>
          </w:p>
        </w:tc>
      </w:tr>
    </w:tbl>
    <w:p w:rsidR="00BB6F9A" w:rsidRDefault="00BB6F9A">
      <w:pPr>
        <w:pStyle w:val="03Schedule"/>
        <w:sectPr w:rsidR="00BB6F9A">
          <w:headerReference w:type="even" r:id="rId24"/>
          <w:headerReference w:type="default" r:id="rId25"/>
          <w:footerReference w:type="even" r:id="rId26"/>
          <w:footerReference w:type="default" r:id="rId27"/>
          <w:type w:val="continuous"/>
          <w:pgSz w:w="11907" w:h="16839" w:code="9"/>
          <w:pgMar w:top="3000" w:right="2300" w:bottom="2500" w:left="2300" w:header="2480" w:footer="2100" w:gutter="0"/>
          <w:cols w:space="720"/>
        </w:sectPr>
      </w:pPr>
    </w:p>
    <w:p w:rsidR="00BB6F9A" w:rsidRDefault="00BB6F9A">
      <w:pPr>
        <w:pStyle w:val="PageBreak"/>
      </w:pPr>
      <w:r>
        <w:br w:type="page"/>
      </w:r>
    </w:p>
    <w:p w:rsidR="00BB6F9A" w:rsidRDefault="00BB6F9A">
      <w:pPr>
        <w:pStyle w:val="IDict-Heading"/>
      </w:pPr>
      <w:r>
        <w:lastRenderedPageBreak/>
        <w:t>Dictionary</w:t>
      </w:r>
    </w:p>
    <w:p w:rsidR="00BB6F9A" w:rsidRDefault="00BB6F9A">
      <w:pPr>
        <w:pStyle w:val="ref"/>
        <w:keepNext/>
      </w:pPr>
      <w:r>
        <w:t>(see s 3)</w:t>
      </w:r>
    </w:p>
    <w:p w:rsidR="00BB6F9A" w:rsidRDefault="00BB6F9A">
      <w:pPr>
        <w:pStyle w:val="aNote"/>
        <w:keepNext/>
      </w:pPr>
      <w:r>
        <w:rPr>
          <w:rStyle w:val="charItals"/>
        </w:rPr>
        <w:t>Note 1</w:t>
      </w:r>
      <w:r>
        <w:rPr>
          <w:rStyle w:val="charItals"/>
        </w:rPr>
        <w:tab/>
      </w:r>
      <w:r>
        <w:t xml:space="preserve">The </w:t>
      </w:r>
      <w:r>
        <w:rPr>
          <w:rStyle w:val="charItals"/>
        </w:rPr>
        <w:t>Legislation Act 2001</w:t>
      </w:r>
      <w:r>
        <w:t xml:space="preserve"> contains definitions and other provisions relevant to this Act.</w:t>
      </w:r>
    </w:p>
    <w:p w:rsidR="00BB6F9A" w:rsidRDefault="00BB6F9A">
      <w:pPr>
        <w:pStyle w:val="aNote"/>
        <w:keepNext/>
      </w:pPr>
      <w:r>
        <w:rPr>
          <w:rStyle w:val="charItals"/>
        </w:rPr>
        <w:t>Note 2</w:t>
      </w:r>
      <w:r>
        <w:rPr>
          <w:rStyle w:val="charItals"/>
        </w:rPr>
        <w:tab/>
      </w:r>
      <w:r>
        <w:t xml:space="preserve">In particular, the </w:t>
      </w:r>
      <w:r>
        <w:rPr>
          <w:rStyle w:val="charItals"/>
        </w:rPr>
        <w:t>Legislation Act 2001</w:t>
      </w:r>
      <w:r>
        <w:t>, dict, pt 1, defines the following terms:</w:t>
      </w:r>
    </w:p>
    <w:p w:rsidR="00BB6F9A" w:rsidRDefault="00BB6F9A">
      <w:pPr>
        <w:pStyle w:val="aNoteBullet"/>
      </w:pPr>
      <w:r>
        <w:rPr>
          <w:rFonts w:ascii="Symbol" w:hAnsi="Symbol" w:cs="Symbol"/>
        </w:rPr>
        <w:t></w:t>
      </w:r>
      <w:r>
        <w:rPr>
          <w:rFonts w:ascii="Symbol" w:hAnsi="Symbol" w:cs="Symbol"/>
        </w:rPr>
        <w:tab/>
      </w:r>
      <w:r>
        <w:t>doctor</w:t>
      </w:r>
    </w:p>
    <w:p w:rsidR="00BB6F9A" w:rsidRDefault="00BB6F9A">
      <w:pPr>
        <w:pStyle w:val="aNoteBullet"/>
      </w:pPr>
      <w:r>
        <w:rPr>
          <w:rFonts w:ascii="Symbol" w:hAnsi="Symbol" w:cs="Symbol"/>
        </w:rPr>
        <w:t></w:t>
      </w:r>
      <w:r>
        <w:rPr>
          <w:rFonts w:ascii="Symbol" w:hAnsi="Symbol" w:cs="Symbol"/>
        </w:rPr>
        <w:tab/>
      </w:r>
      <w:r>
        <w:t>domestic partner (see s 169)</w:t>
      </w:r>
    </w:p>
    <w:p w:rsidR="00BB6F9A" w:rsidRDefault="00BB6F9A">
      <w:pPr>
        <w:pStyle w:val="aNoteBullet"/>
      </w:pPr>
      <w:r>
        <w:rPr>
          <w:rFonts w:ascii="Symbol" w:hAnsi="Symbol" w:cs="Symbol"/>
        </w:rPr>
        <w:t></w:t>
      </w:r>
      <w:r>
        <w:rPr>
          <w:rFonts w:ascii="Symbol" w:hAnsi="Symbol" w:cs="Symbol"/>
        </w:rPr>
        <w:tab/>
      </w:r>
      <w:r>
        <w:t>entity</w:t>
      </w:r>
    </w:p>
    <w:p w:rsidR="00BB6F9A" w:rsidRDefault="00BB6F9A">
      <w:pPr>
        <w:pStyle w:val="aNoteBullet"/>
      </w:pPr>
      <w:r>
        <w:rPr>
          <w:rFonts w:ascii="Symbol" w:hAnsi="Symbol" w:cs="Symbol"/>
        </w:rPr>
        <w:t></w:t>
      </w:r>
      <w:r>
        <w:rPr>
          <w:rFonts w:ascii="Symbol" w:hAnsi="Symbol" w:cs="Symbol"/>
        </w:rPr>
        <w:tab/>
      </w:r>
      <w:r>
        <w:t>foreign country</w:t>
      </w:r>
    </w:p>
    <w:p w:rsidR="00BB6F9A" w:rsidRDefault="00BB6F9A">
      <w:pPr>
        <w:pStyle w:val="aNoteBullet"/>
      </w:pPr>
      <w:r>
        <w:rPr>
          <w:rFonts w:ascii="Symbol" w:hAnsi="Symbol" w:cs="Symbol"/>
        </w:rPr>
        <w:t></w:t>
      </w:r>
      <w:r>
        <w:rPr>
          <w:rFonts w:ascii="Symbol" w:hAnsi="Symbol" w:cs="Symbol"/>
        </w:rPr>
        <w:tab/>
      </w:r>
      <w:r>
        <w:t>indictable offence (see s 190 (1))</w:t>
      </w:r>
    </w:p>
    <w:p w:rsidR="00BB6F9A" w:rsidRDefault="00BB6F9A">
      <w:pPr>
        <w:pStyle w:val="aNoteBullet"/>
      </w:pPr>
      <w:r>
        <w:rPr>
          <w:rFonts w:ascii="Symbol" w:hAnsi="Symbol" w:cs="Symbol"/>
        </w:rPr>
        <w:t></w:t>
      </w:r>
      <w:r>
        <w:rPr>
          <w:rFonts w:ascii="Symbol" w:hAnsi="Symbol" w:cs="Symbol"/>
        </w:rPr>
        <w:tab/>
      </w:r>
      <w:r>
        <w:t>lawyer</w:t>
      </w:r>
    </w:p>
    <w:p w:rsidR="00BB6F9A" w:rsidRDefault="00BB6F9A">
      <w:pPr>
        <w:pStyle w:val="aNoteBullet"/>
      </w:pPr>
      <w:r>
        <w:rPr>
          <w:rFonts w:ascii="Symbol" w:hAnsi="Symbol" w:cs="Symbol"/>
        </w:rPr>
        <w:t></w:t>
      </w:r>
      <w:r>
        <w:rPr>
          <w:rFonts w:ascii="Symbol" w:hAnsi="Symbol" w:cs="Symbol"/>
        </w:rPr>
        <w:tab/>
      </w:r>
      <w:r>
        <w:t>Minister (see s 162)</w:t>
      </w:r>
    </w:p>
    <w:p w:rsidR="00BB6F9A" w:rsidRDefault="00BB6F9A">
      <w:pPr>
        <w:pStyle w:val="aNoteBullet"/>
      </w:pPr>
      <w:r>
        <w:rPr>
          <w:rFonts w:ascii="Symbol" w:hAnsi="Symbol" w:cs="Symbol"/>
        </w:rPr>
        <w:t></w:t>
      </w:r>
      <w:r>
        <w:rPr>
          <w:rFonts w:ascii="Symbol" w:hAnsi="Symbol" w:cs="Symbol"/>
        </w:rPr>
        <w:tab/>
      </w:r>
      <w:r>
        <w:t>proceeding</w:t>
      </w:r>
    </w:p>
    <w:p w:rsidR="00BB6F9A" w:rsidRDefault="00BB6F9A">
      <w:pPr>
        <w:pStyle w:val="aNoteBullet"/>
      </w:pPr>
      <w:r>
        <w:rPr>
          <w:rFonts w:ascii="Symbol" w:hAnsi="Symbol" w:cs="Symbol"/>
        </w:rPr>
        <w:t></w:t>
      </w:r>
      <w:r>
        <w:rPr>
          <w:rFonts w:ascii="Symbol" w:hAnsi="Symbol" w:cs="Symbol"/>
        </w:rPr>
        <w:tab/>
      </w:r>
      <w:r>
        <w:t>property</w:t>
      </w:r>
    </w:p>
    <w:p w:rsidR="00BB6F9A" w:rsidRDefault="00BB6F9A">
      <w:pPr>
        <w:pStyle w:val="aNoteBullet"/>
      </w:pPr>
      <w:r>
        <w:rPr>
          <w:rFonts w:ascii="Symbol" w:hAnsi="Symbol" w:cs="Symbol"/>
        </w:rPr>
        <w:t></w:t>
      </w:r>
      <w:r>
        <w:rPr>
          <w:rFonts w:ascii="Symbol" w:hAnsi="Symbol" w:cs="Symbol"/>
        </w:rPr>
        <w:tab/>
      </w:r>
      <w:r>
        <w:t>(the) Territory</w:t>
      </w:r>
    </w:p>
    <w:p w:rsidR="00BB6F9A" w:rsidRDefault="00BB6F9A">
      <w:pPr>
        <w:pStyle w:val="aDef"/>
      </w:pPr>
      <w:r>
        <w:rPr>
          <w:rStyle w:val="charBoldItals"/>
        </w:rPr>
        <w:t>accident</w:t>
      </w:r>
      <w:r>
        <w:t>, for part 4.1 (General exclusions and limitations about damages)—see section 32.</w:t>
      </w:r>
    </w:p>
    <w:p w:rsidR="00BB6F9A" w:rsidRDefault="00BB6F9A">
      <w:pPr>
        <w:pStyle w:val="aDef"/>
        <w:rPr>
          <w:snapToGrid w:val="0"/>
        </w:rPr>
      </w:pPr>
      <w:r>
        <w:rPr>
          <w:rStyle w:val="charBoldItals"/>
        </w:rPr>
        <w:t>accommodation provider</w:t>
      </w:r>
      <w:r>
        <w:rPr>
          <w:snapToGrid w:val="0"/>
        </w:rPr>
        <w:t>—see section 78.</w:t>
      </w:r>
    </w:p>
    <w:p w:rsidR="00BB6F9A" w:rsidRDefault="00BB6F9A">
      <w:pPr>
        <w:pStyle w:val="aDef"/>
        <w:rPr>
          <w:rFonts w:ascii="Times-Roman" w:hAnsi="Times-Roman" w:cs="Times-Roman"/>
          <w:snapToGrid w:val="0"/>
        </w:rPr>
      </w:pPr>
      <w:r>
        <w:rPr>
          <w:rStyle w:val="charBoldItals"/>
        </w:rPr>
        <w:t>accommodation unit</w:t>
      </w:r>
      <w:r>
        <w:rPr>
          <w:snapToGrid w:val="0"/>
        </w:rPr>
        <w:t>—see section 76.</w:t>
      </w:r>
    </w:p>
    <w:p w:rsidR="00BB6F9A" w:rsidRDefault="00BB6F9A">
      <w:pPr>
        <w:pStyle w:val="aDef"/>
      </w:pPr>
      <w:r>
        <w:rPr>
          <w:rStyle w:val="charBoldItals"/>
        </w:rPr>
        <w:t>action</w:t>
      </w:r>
      <w:r>
        <w:t>, for chapter 5 (Defamation)—see section 47.</w:t>
      </w:r>
    </w:p>
    <w:p w:rsidR="00BB6F9A" w:rsidRDefault="00BB6F9A">
      <w:pPr>
        <w:pStyle w:val="aDef"/>
        <w:rPr>
          <w:snapToGrid w:val="0"/>
        </w:rPr>
      </w:pPr>
      <w:r>
        <w:rPr>
          <w:rStyle w:val="charBoldItals"/>
        </w:rPr>
        <w:t>agent</w:t>
      </w:r>
      <w:r>
        <w:rPr>
          <w:snapToGrid w:val="0"/>
        </w:rPr>
        <w:t>, of an accommodation provider—see section 76.</w:t>
      </w:r>
    </w:p>
    <w:p w:rsidR="00BB6F9A" w:rsidRDefault="00BB6F9A">
      <w:pPr>
        <w:pStyle w:val="aDef"/>
        <w:rPr>
          <w:rStyle w:val="charBoldItals"/>
        </w:rPr>
      </w:pPr>
      <w:r>
        <w:rPr>
          <w:rStyle w:val="charBoldItals"/>
        </w:rPr>
        <w:t>aggrieved person</w:t>
      </w:r>
      <w:r>
        <w:t xml:space="preserve"> for part 5.2 (Resolution of disputes without litigation—defamation)—see section 48.</w:t>
      </w:r>
    </w:p>
    <w:p w:rsidR="00BB6F9A" w:rsidRDefault="00BB6F9A">
      <w:pPr>
        <w:pStyle w:val="aDef"/>
      </w:pPr>
      <w:r>
        <w:rPr>
          <w:rStyle w:val="charBoldItals"/>
        </w:rPr>
        <w:t>amends</w:t>
      </w:r>
      <w:r>
        <w:rPr>
          <w:rStyle w:val="charItals"/>
        </w:rPr>
        <w:t xml:space="preserve"> </w:t>
      </w:r>
      <w:r>
        <w:rPr>
          <w:rStyle w:val="charBoldItals"/>
        </w:rPr>
        <w:t>agreement</w:t>
      </w:r>
      <w:r>
        <w:t>, for part 5.2 (Resolution of disputes without litigation—defamation)—see section 51 (1).</w:t>
      </w:r>
    </w:p>
    <w:p w:rsidR="00BB6F9A" w:rsidRDefault="00BB6F9A">
      <w:pPr>
        <w:pStyle w:val="aDef"/>
      </w:pPr>
      <w:r>
        <w:rPr>
          <w:rStyle w:val="charBoldItals"/>
        </w:rPr>
        <w:t>animal</w:t>
      </w:r>
      <w:r>
        <w:t>, for division 7.2.4 (Liability of common carriers for certain animals)—see section 96.</w:t>
      </w:r>
    </w:p>
    <w:p w:rsidR="00BB6F9A" w:rsidRDefault="00BB6F9A">
      <w:pPr>
        <w:pStyle w:val="aDef"/>
        <w:keepNext/>
      </w:pPr>
      <w:r>
        <w:rPr>
          <w:rStyle w:val="charBoldItals"/>
        </w:rPr>
        <w:lastRenderedPageBreak/>
        <w:t>child</w:t>
      </w:r>
      <w:r>
        <w:t>—</w:t>
      </w:r>
    </w:p>
    <w:p w:rsidR="00BB6F9A" w:rsidRDefault="00BB6F9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20; and</w:t>
      </w:r>
    </w:p>
    <w:p w:rsidR="00BB6F9A" w:rsidRDefault="00BB6F9A">
      <w:pPr>
        <w:pStyle w:val="aDefpara"/>
        <w:rPr>
          <w:rStyle w:val="CharPartText"/>
        </w:rPr>
      </w:pPr>
      <w:r>
        <w:rPr>
          <w:rStyle w:val="CharPartText"/>
        </w:rPr>
        <w:tab/>
        <w:t>(b)</w:t>
      </w:r>
      <w:r>
        <w:rPr>
          <w:rStyle w:val="CharPartText"/>
        </w:rPr>
        <w:tab/>
      </w:r>
      <w:r>
        <w:t>for part 3.2 (</w:t>
      </w:r>
      <w:r>
        <w:rPr>
          <w:rStyle w:val="CharPartText"/>
        </w:rPr>
        <w:t>Injury arising from mental or nervous shock)—</w:t>
      </w:r>
      <w:r>
        <w:t>see section 29.</w:t>
      </w:r>
    </w:p>
    <w:p w:rsidR="00BB6F9A" w:rsidRDefault="00BB6F9A">
      <w:pPr>
        <w:pStyle w:val="aDef"/>
      </w:pPr>
      <w:r>
        <w:rPr>
          <w:rStyle w:val="charBoldItals"/>
        </w:rPr>
        <w:t>claim</w:t>
      </w:r>
      <w:r>
        <w:t>, for part 4.1 (General exclusions and limitations about damages)—see section 32.</w:t>
      </w:r>
    </w:p>
    <w:p w:rsidR="00BB6F9A" w:rsidRDefault="00BB6F9A">
      <w:pPr>
        <w:pStyle w:val="aDef"/>
      </w:pPr>
      <w:r>
        <w:rPr>
          <w:rStyle w:val="charBoldItals"/>
        </w:rPr>
        <w:t>common carrier</w:t>
      </w:r>
      <w:r>
        <w:rPr>
          <w:snapToGrid w:val="0"/>
        </w:rPr>
        <w:t>—</w:t>
      </w:r>
      <w:r>
        <w:t>see section 89.</w:t>
      </w:r>
    </w:p>
    <w:p w:rsidR="00BB6F9A" w:rsidRDefault="00BB6F9A">
      <w:pPr>
        <w:pStyle w:val="aDef"/>
      </w:pPr>
      <w:r>
        <w:rPr>
          <w:rStyle w:val="charBoldItals"/>
        </w:rPr>
        <w:t>community organisation</w:t>
      </w:r>
      <w:r>
        <w:rPr>
          <w:snapToGrid w:val="0"/>
        </w:rPr>
        <w:t>—</w:t>
      </w:r>
      <w:r>
        <w:t>see section 6.</w:t>
      </w:r>
    </w:p>
    <w:p w:rsidR="00BB6F9A" w:rsidRDefault="00BB6F9A">
      <w:pPr>
        <w:pStyle w:val="aDef"/>
      </w:pPr>
      <w:r>
        <w:rPr>
          <w:rStyle w:val="charBoldItals"/>
        </w:rPr>
        <w:t>community work</w:t>
      </w:r>
      <w:r>
        <w:rPr>
          <w:snapToGrid w:val="0"/>
        </w:rPr>
        <w:t>—</w:t>
      </w:r>
      <w:r>
        <w:t>see section 7.</w:t>
      </w:r>
    </w:p>
    <w:p w:rsidR="00BB6F9A" w:rsidRDefault="00BB6F9A">
      <w:pPr>
        <w:pStyle w:val="aDef"/>
      </w:pPr>
      <w:r>
        <w:rPr>
          <w:rStyle w:val="charBoldItals"/>
        </w:rPr>
        <w:t>costs</w:t>
      </w:r>
      <w:r>
        <w:t>, for chapter 10 (Limitations on legal costs) —see section 113.</w:t>
      </w:r>
    </w:p>
    <w:p w:rsidR="00BB6F9A" w:rsidRDefault="00BB6F9A">
      <w:pPr>
        <w:pStyle w:val="aDef"/>
      </w:pPr>
      <w:r>
        <w:rPr>
          <w:rStyle w:val="charBoldItals"/>
        </w:rPr>
        <w:t>country</w:t>
      </w:r>
      <w:r>
        <w:t>, for chapter 5 (Defamation)—see section 47.</w:t>
      </w:r>
    </w:p>
    <w:p w:rsidR="00BB6F9A" w:rsidRDefault="00BB6F9A">
      <w:pPr>
        <w:pStyle w:val="aDef"/>
        <w:keepNext/>
        <w:rPr>
          <w:rStyle w:val="CharPartText"/>
        </w:rPr>
      </w:pPr>
      <w:r>
        <w:rPr>
          <w:rStyle w:val="charBoldItals"/>
        </w:rPr>
        <w:t>court</w:t>
      </w:r>
      <w:r>
        <w:rPr>
          <w:rStyle w:val="CharPartText"/>
        </w:rPr>
        <w:t>—</w:t>
      </w:r>
    </w:p>
    <w:p w:rsidR="00BB6F9A" w:rsidRDefault="00BB6F9A">
      <w:pPr>
        <w:pStyle w:val="aDefpara"/>
        <w:keepNext/>
        <w:rPr>
          <w:rStyle w:val="CharPartText"/>
        </w:rPr>
      </w:pPr>
      <w:r>
        <w:rPr>
          <w:rStyle w:val="CharPartText"/>
        </w:rPr>
        <w:tab/>
        <w:t>(a)</w:t>
      </w:r>
      <w:r>
        <w:rPr>
          <w:rStyle w:val="CharPartText"/>
        </w:rPr>
        <w:tab/>
        <w:t>for part 2.4 (Proceedings against and contributions between wrongdoers)—see section 16; and</w:t>
      </w:r>
    </w:p>
    <w:p w:rsidR="00BB6F9A" w:rsidRDefault="00BB6F9A">
      <w:pPr>
        <w:pStyle w:val="aDefpara"/>
        <w:keepNext/>
        <w:rPr>
          <w:rStyle w:val="CharPartText"/>
        </w:rPr>
      </w:pPr>
      <w:r>
        <w:rPr>
          <w:rStyle w:val="CharPartText"/>
        </w:rPr>
        <w:tab/>
        <w:t>(b)</w:t>
      </w:r>
      <w:r>
        <w:rPr>
          <w:rStyle w:val="CharPartText"/>
        </w:rPr>
        <w:tab/>
        <w:t>for part 4.1 (General exclusions and limitations about damages)—see section 32.</w:t>
      </w:r>
    </w:p>
    <w:p w:rsidR="00BB6F9A" w:rsidRDefault="00BB6F9A">
      <w:pPr>
        <w:pStyle w:val="aDefpara"/>
        <w:keepNext/>
        <w:rPr>
          <w:rStyle w:val="CharPartText"/>
        </w:rPr>
      </w:pPr>
      <w:r>
        <w:rPr>
          <w:rStyle w:val="CharPartText"/>
        </w:rPr>
        <w:tab/>
        <w:t>(c)</w:t>
      </w:r>
      <w:r>
        <w:rPr>
          <w:rStyle w:val="CharPartText"/>
        </w:rPr>
        <w:tab/>
        <w:t>for part 4.3 (Contributory negligence)—see section 40; and</w:t>
      </w:r>
    </w:p>
    <w:p w:rsidR="00BB6F9A" w:rsidRDefault="00BB6F9A">
      <w:pPr>
        <w:pStyle w:val="aDefpara"/>
      </w:pPr>
      <w:r>
        <w:tab/>
        <w:t>(d)</w:t>
      </w:r>
      <w:r>
        <w:tab/>
        <w:t>for chapter 5 (Defamation)—see section 47; and</w:t>
      </w:r>
    </w:p>
    <w:p w:rsidR="00BB6F9A" w:rsidRDefault="00BB6F9A">
      <w:pPr>
        <w:pStyle w:val="aDefpara"/>
        <w:keepNext/>
        <w:rPr>
          <w:rStyle w:val="CharPartText"/>
        </w:rPr>
      </w:pPr>
      <w:r>
        <w:rPr>
          <w:rStyle w:val="CharPartText"/>
        </w:rPr>
        <w:tab/>
        <w:t>(e)</w:t>
      </w:r>
      <w:r>
        <w:rPr>
          <w:rStyle w:val="CharPartText"/>
        </w:rPr>
        <w:tab/>
        <w:t>for chapter 9 (Misrepresentation)—see section 105; and</w:t>
      </w:r>
    </w:p>
    <w:p w:rsidR="00BB6F9A" w:rsidRDefault="00BB6F9A">
      <w:pPr>
        <w:pStyle w:val="aDefpara"/>
      </w:pPr>
      <w:r>
        <w:tab/>
        <w:t>(f)</w:t>
      </w:r>
      <w:r>
        <w:tab/>
        <w:t>for chapter 10 (Limitations on legal costs)—see section 113; and</w:t>
      </w:r>
    </w:p>
    <w:p w:rsidR="00BB6F9A" w:rsidRDefault="00BB6F9A">
      <w:pPr>
        <w:pStyle w:val="aDef"/>
        <w:keepNext/>
      </w:pPr>
      <w:r>
        <w:rPr>
          <w:rStyle w:val="charBoldItals"/>
        </w:rPr>
        <w:t>damage</w:t>
      </w:r>
      <w:r>
        <w:t>—</w:t>
      </w:r>
    </w:p>
    <w:p w:rsidR="00BB6F9A" w:rsidRDefault="00BB6F9A">
      <w:pPr>
        <w:pStyle w:val="aDefpara"/>
        <w:keepNext/>
        <w:rPr>
          <w:rStyle w:val="CharPartText"/>
        </w:rPr>
      </w:pPr>
      <w:r>
        <w:rPr>
          <w:rStyle w:val="CharPartText"/>
        </w:rPr>
        <w:tab/>
        <w:t>(a)</w:t>
      </w:r>
      <w:r>
        <w:rPr>
          <w:rStyle w:val="CharPartText"/>
        </w:rPr>
        <w:tab/>
      </w:r>
      <w:r>
        <w:t>for part 2.4 (</w:t>
      </w:r>
      <w:r>
        <w:rPr>
          <w:rStyle w:val="CharPartText"/>
        </w:rPr>
        <w:t>Proceedings against and contributions between wrongdoers)—see section 16; and</w:t>
      </w:r>
    </w:p>
    <w:p w:rsidR="00BB6F9A" w:rsidRDefault="00BB6F9A">
      <w:pPr>
        <w:pStyle w:val="aDefpara"/>
        <w:rPr>
          <w:rStyle w:val="CharPartText"/>
        </w:rPr>
      </w:pPr>
      <w:r>
        <w:rPr>
          <w:rStyle w:val="CharPartText"/>
        </w:rPr>
        <w:tab/>
        <w:t>(b)</w:t>
      </w:r>
      <w:r>
        <w:rPr>
          <w:rStyle w:val="CharPartText"/>
        </w:rPr>
        <w:tab/>
      </w:r>
      <w:r>
        <w:t>for part 4.3 (</w:t>
      </w:r>
      <w:r>
        <w:rPr>
          <w:rStyle w:val="CharPartText"/>
        </w:rPr>
        <w:t>Contributory negligence)—see section 40.</w:t>
      </w:r>
    </w:p>
    <w:p w:rsidR="00BB6F9A" w:rsidRDefault="00BB6F9A">
      <w:pPr>
        <w:pStyle w:val="aDef"/>
      </w:pPr>
      <w:r>
        <w:rPr>
          <w:rStyle w:val="charBoldItals"/>
        </w:rPr>
        <w:t>defamation</w:t>
      </w:r>
      <w:r>
        <w:t>—see section 47.</w:t>
      </w:r>
    </w:p>
    <w:p w:rsidR="00BB6F9A" w:rsidRDefault="00BB6F9A">
      <w:pPr>
        <w:pStyle w:val="aDef"/>
      </w:pPr>
      <w:r>
        <w:rPr>
          <w:rStyle w:val="charBoldItals"/>
        </w:rPr>
        <w:lastRenderedPageBreak/>
        <w:t>default value</w:t>
      </w:r>
      <w:r>
        <w:t>, for division 7.2.4 (Liability of common carriers for certain animals)—see section 96.</w:t>
      </w:r>
    </w:p>
    <w:p w:rsidR="00BB6F9A" w:rsidRDefault="00BB6F9A">
      <w:pPr>
        <w:pStyle w:val="aDef"/>
      </w:pPr>
      <w:r>
        <w:rPr>
          <w:rStyle w:val="charBoldItals"/>
        </w:rPr>
        <w:t>family member</w:t>
      </w:r>
      <w:r>
        <w:t>, of a person, for part 3.2 (</w:t>
      </w:r>
      <w:r>
        <w:rPr>
          <w:rStyle w:val="CharPartText"/>
        </w:rPr>
        <w:t>Injury arising from mental or nervous shock</w:t>
      </w:r>
      <w:r>
        <w:t>)—see section 29.</w:t>
      </w:r>
    </w:p>
    <w:p w:rsidR="00BB6F9A" w:rsidRDefault="00BB6F9A">
      <w:pPr>
        <w:pStyle w:val="aDef"/>
        <w:rPr>
          <w:snapToGrid w:val="0"/>
        </w:rPr>
      </w:pPr>
      <w:r>
        <w:rPr>
          <w:rStyle w:val="charBoldItals"/>
        </w:rPr>
        <w:t>fault</w:t>
      </w:r>
      <w:r>
        <w:rPr>
          <w:snapToGrid w:val="0"/>
        </w:rPr>
        <w:t>, for part 7.1 (Traveller accommodation providers liability)—see section 76.</w:t>
      </w:r>
    </w:p>
    <w:p w:rsidR="00BB6F9A" w:rsidRDefault="00BB6F9A">
      <w:pPr>
        <w:pStyle w:val="aDef"/>
        <w:keepNext/>
      </w:pPr>
      <w:r>
        <w:rPr>
          <w:rStyle w:val="charBoldItals"/>
        </w:rPr>
        <w:t>funeral expenses</w:t>
      </w:r>
      <w:r>
        <w:t xml:space="preserve"> includes costs related to any of the following:</w:t>
      </w:r>
    </w:p>
    <w:p w:rsidR="00BB6F9A" w:rsidRDefault="00BB6F9A">
      <w:pPr>
        <w:pStyle w:val="aDefpara"/>
      </w:pPr>
      <w:r>
        <w:tab/>
        <w:t>(a)</w:t>
      </w:r>
      <w:r>
        <w:tab/>
        <w:t>the publication of death and funeral notices;</w:t>
      </w:r>
    </w:p>
    <w:p w:rsidR="00BB6F9A" w:rsidRDefault="00BB6F9A">
      <w:pPr>
        <w:pStyle w:val="aDefpara"/>
      </w:pPr>
      <w:r>
        <w:tab/>
        <w:t>(b)</w:t>
      </w:r>
      <w:r>
        <w:tab/>
        <w:t>the services of an undertaker, including the supply of vehicles;</w:t>
      </w:r>
    </w:p>
    <w:p w:rsidR="00BB6F9A" w:rsidRDefault="00BB6F9A">
      <w:pPr>
        <w:pStyle w:val="aDefpara"/>
      </w:pPr>
      <w:r>
        <w:tab/>
        <w:t>(c)</w:t>
      </w:r>
      <w:r>
        <w:tab/>
        <w:t>wreaths or floral tributes;</w:t>
      </w:r>
    </w:p>
    <w:p w:rsidR="00BB6F9A" w:rsidRDefault="00BB6F9A">
      <w:pPr>
        <w:pStyle w:val="aDefpara"/>
      </w:pPr>
      <w:r>
        <w:tab/>
        <w:t>(d)</w:t>
      </w:r>
      <w:r>
        <w:tab/>
        <w:t>a funeral service;</w:t>
      </w:r>
    </w:p>
    <w:p w:rsidR="00BB6F9A" w:rsidRDefault="00BB6F9A">
      <w:pPr>
        <w:pStyle w:val="aDefpara"/>
      </w:pPr>
      <w:r>
        <w:tab/>
        <w:t>(e)</w:t>
      </w:r>
      <w:r>
        <w:tab/>
        <w:t>a service at the burial or cremation site;</w:t>
      </w:r>
    </w:p>
    <w:p w:rsidR="00BB6F9A" w:rsidRDefault="00BB6F9A">
      <w:pPr>
        <w:pStyle w:val="aDefpara"/>
      </w:pPr>
      <w:r>
        <w:tab/>
        <w:t>(f)</w:t>
      </w:r>
      <w:r>
        <w:tab/>
        <w:t>burial or cremation;</w:t>
      </w:r>
    </w:p>
    <w:p w:rsidR="00BB6F9A" w:rsidRDefault="00BB6F9A">
      <w:pPr>
        <w:pStyle w:val="aDefpara"/>
      </w:pPr>
      <w:r>
        <w:tab/>
        <w:t>(g)</w:t>
      </w:r>
      <w:r>
        <w:tab/>
        <w:t>a headstone, plaque, tablet or other memorial.</w:t>
      </w:r>
    </w:p>
    <w:p w:rsidR="00BB6F9A" w:rsidRDefault="00BB6F9A">
      <w:pPr>
        <w:pStyle w:val="aDef"/>
      </w:pPr>
      <w:r>
        <w:rPr>
          <w:rStyle w:val="charBoldItals"/>
        </w:rPr>
        <w:t>guest</w:t>
      </w:r>
      <w:r>
        <w:rPr>
          <w:snapToGrid w:val="0"/>
        </w:rPr>
        <w:t>—</w:t>
      </w:r>
      <w:r>
        <w:t>see section 80.</w:t>
      </w:r>
    </w:p>
    <w:p w:rsidR="00BB6F9A" w:rsidRDefault="00BB6F9A">
      <w:pPr>
        <w:pStyle w:val="aDef"/>
      </w:pPr>
      <w:r>
        <w:rPr>
          <w:rStyle w:val="charBoldItals"/>
        </w:rPr>
        <w:t>innkeeper’s liability</w:t>
      </w:r>
      <w:r>
        <w:rPr>
          <w:snapToGrid w:val="0"/>
        </w:rPr>
        <w:t>—</w:t>
      </w:r>
      <w:r>
        <w:t>see section 79.</w:t>
      </w:r>
    </w:p>
    <w:p w:rsidR="00BB6F9A" w:rsidRDefault="00BB6F9A">
      <w:pPr>
        <w:pStyle w:val="aDef"/>
      </w:pPr>
      <w:r>
        <w:rPr>
          <w:rStyle w:val="charBoldItals"/>
        </w:rPr>
        <w:t>insured</w:t>
      </w:r>
      <w:r>
        <w:t>, for part 11.3 (Attachment of insurance money)—see section 132 (1).</w:t>
      </w:r>
    </w:p>
    <w:p w:rsidR="00BB6F9A" w:rsidRDefault="00BB6F9A">
      <w:pPr>
        <w:pStyle w:val="aDef"/>
      </w:pPr>
      <w:r>
        <w:rPr>
          <w:rStyle w:val="charBoldItals"/>
        </w:rPr>
        <w:t>insurer</w:t>
      </w:r>
      <w:r>
        <w:t>, for part 11.2 (General reporting requirements of insurers)—see section 128.</w:t>
      </w:r>
    </w:p>
    <w:p w:rsidR="00BB6F9A" w:rsidRDefault="00BB6F9A">
      <w:pPr>
        <w:pStyle w:val="aDef"/>
      </w:pPr>
      <w:r>
        <w:rPr>
          <w:rStyle w:val="charBoldItals"/>
        </w:rPr>
        <w:t>intoxicated</w:t>
      </w:r>
      <w:r>
        <w:rPr>
          <w:snapToGrid w:val="0"/>
        </w:rPr>
        <w:t>—</w:t>
      </w:r>
      <w:r>
        <w:t>see section 32.</w:t>
      </w:r>
    </w:p>
    <w:p w:rsidR="00BB6F9A" w:rsidRDefault="00BB6F9A">
      <w:pPr>
        <w:pStyle w:val="aDef"/>
      </w:pPr>
      <w:r>
        <w:rPr>
          <w:rStyle w:val="charBoldItals"/>
        </w:rPr>
        <w:t>legal services</w:t>
      </w:r>
      <w:r>
        <w:t xml:space="preserve"> means legal services provided by a lawyer or the lawyer’s agent or employee.</w:t>
      </w:r>
    </w:p>
    <w:p w:rsidR="00BB6F9A" w:rsidRDefault="00BB6F9A">
      <w:pPr>
        <w:pStyle w:val="aDef"/>
        <w:rPr>
          <w:snapToGrid w:val="0"/>
        </w:rPr>
      </w:pPr>
      <w:r>
        <w:rPr>
          <w:rStyle w:val="charBoldItals"/>
        </w:rPr>
        <w:t>limitation amount</w:t>
      </w:r>
      <w:r>
        <w:rPr>
          <w:snapToGrid w:val="0"/>
        </w:rPr>
        <w:t>, for part 7.1 (Traveller accommodation providers liability)—see section 76.</w:t>
      </w:r>
    </w:p>
    <w:p w:rsidR="00BB6F9A" w:rsidRDefault="00BB6F9A">
      <w:pPr>
        <w:pStyle w:val="aDef"/>
        <w:rPr>
          <w:snapToGrid w:val="0"/>
        </w:rPr>
      </w:pPr>
      <w:r>
        <w:rPr>
          <w:rStyle w:val="charBoldItals"/>
        </w:rPr>
        <w:t>loss</w:t>
      </w:r>
      <w:r>
        <w:rPr>
          <w:snapToGrid w:val="0"/>
        </w:rPr>
        <w:t>, of property, for part 7.1 (Traveller accommodation providers liability)—see section 76.</w:t>
      </w:r>
    </w:p>
    <w:p w:rsidR="00BB6F9A" w:rsidRDefault="00BB6F9A">
      <w:pPr>
        <w:pStyle w:val="aDef"/>
      </w:pPr>
      <w:r>
        <w:rPr>
          <w:rStyle w:val="charBoldItals"/>
        </w:rPr>
        <w:lastRenderedPageBreak/>
        <w:t>matter</w:t>
      </w:r>
      <w:r>
        <w:rPr>
          <w:b/>
          <w:bCs/>
        </w:rPr>
        <w:t xml:space="preserve"> </w:t>
      </w:r>
      <w:r>
        <w:rPr>
          <w:rStyle w:val="charBoldItals"/>
        </w:rPr>
        <w:t>in question</w:t>
      </w:r>
      <w:r>
        <w:t>, for part 5.2 (Resolution of disputes without litigation—defamation)—see section 48.</w:t>
      </w:r>
    </w:p>
    <w:p w:rsidR="00BB6F9A" w:rsidRDefault="00BB6F9A">
      <w:pPr>
        <w:pStyle w:val="aDef"/>
      </w:pPr>
      <w:r>
        <w:rPr>
          <w:rStyle w:val="charBoldItals"/>
        </w:rPr>
        <w:t>member</w:t>
      </w:r>
      <w:r>
        <w:rPr>
          <w:rStyle w:val="charBoldItals"/>
          <w:b w:val="0"/>
          <w:bCs w:val="0"/>
          <w:i w:val="0"/>
          <w:iCs w:val="0"/>
        </w:rPr>
        <w:t>, of a dead person’s family</w:t>
      </w:r>
      <w:r>
        <w:t>, for part 3.1 (Wrongful act or omission causing death</w:t>
      </w:r>
      <w:r>
        <w:rPr>
          <w:rStyle w:val="CharPartText"/>
        </w:rPr>
        <w:t>)—see section 20.</w:t>
      </w:r>
    </w:p>
    <w:p w:rsidR="00BB6F9A" w:rsidRDefault="00BB6F9A">
      <w:pPr>
        <w:pStyle w:val="aDef"/>
      </w:pPr>
      <w:r>
        <w:rPr>
          <w:rStyle w:val="charBoldItals"/>
        </w:rPr>
        <w:t>motor accident</w:t>
      </w:r>
      <w:r>
        <w:t>—see section 32.</w:t>
      </w:r>
    </w:p>
    <w:p w:rsidR="00BB6F9A" w:rsidRDefault="00BB6F9A">
      <w:pPr>
        <w:pStyle w:val="aDef"/>
        <w:keepNext/>
      </w:pPr>
      <w:r>
        <w:rPr>
          <w:rStyle w:val="charBoldItals"/>
        </w:rPr>
        <w:t>motor vehicle</w:t>
      </w:r>
      <w:r>
        <w:t>—</w:t>
      </w:r>
    </w:p>
    <w:p w:rsidR="00BB6F9A" w:rsidRDefault="00BB6F9A">
      <w:pPr>
        <w:pStyle w:val="aDefpara"/>
      </w:pPr>
      <w:r>
        <w:tab/>
        <w:t>(a)</w:t>
      </w:r>
      <w:r>
        <w:tab/>
        <w:t>for part 4.1 (General exclusions and limitations about damages)—see section 32; and</w:t>
      </w:r>
    </w:p>
    <w:p w:rsidR="00BB6F9A" w:rsidRDefault="00BB6F9A">
      <w:pPr>
        <w:pStyle w:val="aDefpara"/>
        <w:rPr>
          <w:snapToGrid w:val="0"/>
        </w:rPr>
      </w:pPr>
      <w:r>
        <w:rPr>
          <w:snapToGrid w:val="0"/>
        </w:rPr>
        <w:tab/>
        <w:t>(b)</w:t>
      </w:r>
      <w:r>
        <w:rPr>
          <w:snapToGrid w:val="0"/>
        </w:rPr>
        <w:tab/>
        <w:t>for part 7.1 (Traveller accommodation providers liability)—see section 76.</w:t>
      </w:r>
    </w:p>
    <w:p w:rsidR="00BB6F9A" w:rsidRDefault="00BB6F9A">
      <w:pPr>
        <w:pStyle w:val="aDef"/>
      </w:pPr>
      <w:r>
        <w:rPr>
          <w:rStyle w:val="charBoldItals"/>
        </w:rPr>
        <w:t>neutral evaluation</w:t>
      </w:r>
      <w:r>
        <w:t xml:space="preserve">—see section 120. </w:t>
      </w:r>
    </w:p>
    <w:p w:rsidR="00BB6F9A" w:rsidRDefault="00BB6F9A">
      <w:pPr>
        <w:pStyle w:val="aDef"/>
      </w:pPr>
      <w:r>
        <w:rPr>
          <w:rStyle w:val="charBoldItals"/>
        </w:rPr>
        <w:t>neutral evaluation session</w:t>
      </w:r>
      <w:r>
        <w:t xml:space="preserve">—see section 120. </w:t>
      </w:r>
    </w:p>
    <w:p w:rsidR="00BB6F9A" w:rsidRDefault="00BB6F9A">
      <w:pPr>
        <w:pStyle w:val="aDef"/>
      </w:pPr>
      <w:r>
        <w:rPr>
          <w:rStyle w:val="charBoldItals"/>
        </w:rPr>
        <w:t>non-fraudulent misrepresentation</w:t>
      </w:r>
      <w:r>
        <w:t>, for chapter 9 (Misrepresentation)—see section 105.</w:t>
      </w:r>
    </w:p>
    <w:p w:rsidR="00BB6F9A" w:rsidRDefault="00BB6F9A">
      <w:pPr>
        <w:pStyle w:val="aDef"/>
      </w:pPr>
      <w:r>
        <w:rPr>
          <w:rStyle w:val="charBoldItals"/>
        </w:rPr>
        <w:t>offer to make amends</w:t>
      </w:r>
      <w:r>
        <w:rPr>
          <w:color w:val="000000"/>
        </w:rPr>
        <w:t>, for chapter 5 (Defamation)—</w:t>
      </w:r>
      <w:r>
        <w:t>see section 47.</w:t>
      </w:r>
    </w:p>
    <w:p w:rsidR="00BB6F9A" w:rsidRDefault="00BB6F9A">
      <w:pPr>
        <w:pStyle w:val="aDef"/>
        <w:keepNext/>
      </w:pPr>
      <w:r>
        <w:rPr>
          <w:rStyle w:val="charBoldItals"/>
        </w:rPr>
        <w:t>parent</w:t>
      </w:r>
      <w:r>
        <w:t>—</w:t>
      </w:r>
    </w:p>
    <w:p w:rsidR="00BB6F9A" w:rsidRDefault="00BB6F9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20; and</w:t>
      </w:r>
    </w:p>
    <w:p w:rsidR="00BB6F9A" w:rsidRDefault="00BB6F9A">
      <w:pPr>
        <w:pStyle w:val="aDefpara"/>
        <w:rPr>
          <w:rStyle w:val="CharPartText"/>
        </w:rPr>
      </w:pPr>
      <w:r>
        <w:rPr>
          <w:rStyle w:val="CharPartText"/>
        </w:rPr>
        <w:tab/>
        <w:t>(b)</w:t>
      </w:r>
      <w:r>
        <w:rPr>
          <w:rStyle w:val="CharPartText"/>
        </w:rPr>
        <w:tab/>
      </w:r>
      <w:r>
        <w:t>for part 3.2 (</w:t>
      </w:r>
      <w:r>
        <w:rPr>
          <w:rStyle w:val="CharPartText"/>
        </w:rPr>
        <w:t>Injury arising from mental or nervous shock)—</w:t>
      </w:r>
      <w:r>
        <w:t xml:space="preserve"> see section 29.</w:t>
      </w:r>
    </w:p>
    <w:p w:rsidR="00BB6F9A" w:rsidRDefault="00BB6F9A">
      <w:pPr>
        <w:pStyle w:val="aDef"/>
      </w:pPr>
      <w:r>
        <w:rPr>
          <w:rStyle w:val="charBoldItals"/>
        </w:rPr>
        <w:t>parliamentary body</w:t>
      </w:r>
      <w:r>
        <w:t>—see section 47.</w:t>
      </w:r>
    </w:p>
    <w:p w:rsidR="00BB6F9A" w:rsidRDefault="00BB6F9A">
      <w:pPr>
        <w:pStyle w:val="aDef"/>
      </w:pPr>
      <w:r>
        <w:rPr>
          <w:rStyle w:val="charBoldItals"/>
        </w:rPr>
        <w:t>personal injury damages</w:t>
      </w:r>
      <w:r>
        <w:t>, for chapter 10 (Limitations on legal costs) see section 113.</w:t>
      </w:r>
    </w:p>
    <w:p w:rsidR="00BB6F9A" w:rsidRDefault="00BB6F9A">
      <w:pPr>
        <w:pStyle w:val="aDef"/>
      </w:pPr>
      <w:r>
        <w:rPr>
          <w:rStyle w:val="charBoldItals"/>
        </w:rPr>
        <w:t>personal injury</w:t>
      </w:r>
      <w:r>
        <w:t>, for part 4.1 (General exclusions and limitations about damages)—see section 32.</w:t>
      </w:r>
    </w:p>
    <w:p w:rsidR="00BB6F9A" w:rsidRDefault="00BB6F9A" w:rsidP="008D25FE">
      <w:pPr>
        <w:pStyle w:val="aDef"/>
        <w:keepLines/>
      </w:pPr>
      <w:r>
        <w:rPr>
          <w:rStyle w:val="charBoldItals"/>
        </w:rPr>
        <w:lastRenderedPageBreak/>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BB6F9A" w:rsidRDefault="00BB6F9A">
      <w:pPr>
        <w:pStyle w:val="aDef"/>
      </w:pPr>
      <w:r>
        <w:rPr>
          <w:rStyle w:val="charBoldItals"/>
        </w:rPr>
        <w:t>premises</w:t>
      </w:r>
      <w:r>
        <w:t xml:space="preserve"> includes any land or building, any fixed or moveable structure erected on any land, and any vehicle, vessel or aircraft.</w:t>
      </w:r>
    </w:p>
    <w:p w:rsidR="00BB6F9A" w:rsidRDefault="00BB6F9A">
      <w:pPr>
        <w:pStyle w:val="aDef"/>
        <w:rPr>
          <w:snapToGrid w:val="0"/>
        </w:rPr>
      </w:pPr>
      <w:r>
        <w:rPr>
          <w:rStyle w:val="charBoldItals"/>
        </w:rPr>
        <w:t>property</w:t>
      </w:r>
      <w:r>
        <w:rPr>
          <w:snapToGrid w:val="0"/>
        </w:rPr>
        <w:t>, of a guest—see section 81.</w:t>
      </w:r>
    </w:p>
    <w:p w:rsidR="00BB6F9A" w:rsidRDefault="00BB6F9A">
      <w:pPr>
        <w:pStyle w:val="aDef"/>
        <w:rPr>
          <w:snapToGrid w:val="0"/>
        </w:rPr>
      </w:pPr>
      <w:r>
        <w:rPr>
          <w:rStyle w:val="charBoldItals"/>
        </w:rPr>
        <w:t>provide</w:t>
      </w:r>
      <w:r>
        <w:rPr>
          <w:snapToGrid w:val="0"/>
        </w:rPr>
        <w:t xml:space="preserve"> traveller accommodation—see section 76.</w:t>
      </w:r>
    </w:p>
    <w:p w:rsidR="00BB6F9A" w:rsidRDefault="00BB6F9A">
      <w:pPr>
        <w:pStyle w:val="aDef"/>
        <w:rPr>
          <w:rStyle w:val="charBoldItals"/>
        </w:rPr>
      </w:pPr>
      <w:r>
        <w:rPr>
          <w:rStyle w:val="charBoldItals"/>
        </w:rPr>
        <w:t>published matter</w:t>
      </w:r>
      <w:r>
        <w:t>, for part 5.3 (Rules governing litigation of civil claims—defamation)—see section 56.</w:t>
      </w:r>
    </w:p>
    <w:p w:rsidR="00BB6F9A" w:rsidRDefault="00BB6F9A">
      <w:pPr>
        <w:pStyle w:val="aDef"/>
      </w:pPr>
      <w:r>
        <w:rPr>
          <w:rStyle w:val="charBoldItals"/>
        </w:rPr>
        <w:t>publisher</w:t>
      </w:r>
      <w:r>
        <w:t>, for part 5.2 (Resolution of disputes without litigation—defamation)—see section 48.</w:t>
      </w:r>
    </w:p>
    <w:p w:rsidR="00BB6F9A" w:rsidRDefault="00BB6F9A">
      <w:pPr>
        <w:pStyle w:val="aDef"/>
        <w:rPr>
          <w:rStyle w:val="charBoldItals"/>
        </w:rPr>
      </w:pPr>
      <w:r>
        <w:rPr>
          <w:rStyle w:val="charBoldItals"/>
        </w:rPr>
        <w:t>qualified offer</w:t>
      </w:r>
      <w:r>
        <w:t>, for part 5.2 (Resolution of disputes without litigation—defamation)—see section 49 (2).</w:t>
      </w:r>
    </w:p>
    <w:p w:rsidR="00BB6F9A" w:rsidRDefault="00BB6F9A">
      <w:pPr>
        <w:pStyle w:val="aDef"/>
      </w:pPr>
      <w:r>
        <w:rPr>
          <w:rStyle w:val="charBoldItals"/>
        </w:rPr>
        <w:t>recreational drug</w:t>
      </w:r>
      <w:r>
        <w:t xml:space="preserve"> means a drug consumed voluntarily for non-medicinal purposes, and includes alcohol.</w:t>
      </w:r>
    </w:p>
    <w:p w:rsidR="00BB6F9A" w:rsidRDefault="00BB6F9A">
      <w:pPr>
        <w:pStyle w:val="aDef"/>
      </w:pPr>
      <w:r>
        <w:rPr>
          <w:rStyle w:val="charBoldItals"/>
        </w:rPr>
        <w:t>safe custody facilities</w:t>
      </w:r>
      <w:r>
        <w:rPr>
          <w:snapToGrid w:val="0"/>
        </w:rPr>
        <w:t>, for part 7.1 (Traveller accommodation providers liability)—see section 85 (1).</w:t>
      </w:r>
    </w:p>
    <w:p w:rsidR="00BB6F9A" w:rsidRDefault="00BB6F9A">
      <w:pPr>
        <w:pStyle w:val="aDef"/>
      </w:pPr>
      <w:r>
        <w:rPr>
          <w:rStyle w:val="charBoldItals"/>
        </w:rPr>
        <w:t xml:space="preserve">schedule 2 packaged goods, </w:t>
      </w:r>
      <w:r>
        <w:t>for part 7.2 (Common carriers)—see section 92 (1) (Liability of carriers for certain goods worth more than $20).</w:t>
      </w:r>
    </w:p>
    <w:p w:rsidR="00BB6F9A" w:rsidRDefault="00BB6F9A">
      <w:pPr>
        <w:pStyle w:val="aDef"/>
      </w:pPr>
      <w:r>
        <w:rPr>
          <w:rStyle w:val="charBoldItals"/>
        </w:rPr>
        <w:t>transport</w:t>
      </w:r>
      <w:r>
        <w:t>, for part</w:t>
      </w:r>
      <w:r>
        <w:rPr>
          <w:rStyle w:val="charBoldItals"/>
        </w:rPr>
        <w:t xml:space="preserve"> </w:t>
      </w:r>
      <w:r>
        <w:t>7.2 (Common carriers)—see section 89.</w:t>
      </w:r>
    </w:p>
    <w:p w:rsidR="00BB6F9A" w:rsidRDefault="00BB6F9A">
      <w:pPr>
        <w:pStyle w:val="aDef"/>
      </w:pPr>
      <w:r>
        <w:rPr>
          <w:rStyle w:val="charBoldItals"/>
        </w:rPr>
        <w:t>traveller accommodation</w:t>
      </w:r>
      <w:r>
        <w:rPr>
          <w:snapToGrid w:val="0"/>
        </w:rPr>
        <w:t>—</w:t>
      </w:r>
      <w:r>
        <w:t>see section 77.</w:t>
      </w:r>
    </w:p>
    <w:p w:rsidR="00BB6F9A" w:rsidRDefault="00BB6F9A">
      <w:pPr>
        <w:pStyle w:val="aDef"/>
      </w:pPr>
      <w:r>
        <w:rPr>
          <w:rStyle w:val="charBoldItals"/>
        </w:rPr>
        <w:t>tribunal</w:t>
      </w:r>
      <w:r>
        <w:t>, for chapter 5 (Defamation)—see section 47.</w:t>
      </w:r>
    </w:p>
    <w:p w:rsidR="00BB6F9A" w:rsidRDefault="00BB6F9A">
      <w:pPr>
        <w:pStyle w:val="aDef"/>
      </w:pPr>
      <w:r>
        <w:rPr>
          <w:rStyle w:val="charBoldItals"/>
        </w:rPr>
        <w:t>voluntary basis</w:t>
      </w:r>
      <w:r>
        <w:t>—see section 6.</w:t>
      </w:r>
    </w:p>
    <w:p w:rsidR="00BB6F9A" w:rsidRDefault="00BB6F9A">
      <w:pPr>
        <w:pStyle w:val="aDef"/>
      </w:pPr>
      <w:r>
        <w:rPr>
          <w:rStyle w:val="charBoldItals"/>
        </w:rPr>
        <w:t>volunteer</w:t>
      </w:r>
      <w:r>
        <w:t>—see section 6.</w:t>
      </w:r>
    </w:p>
    <w:p w:rsidR="00BB6F9A" w:rsidRDefault="00BB6F9A">
      <w:pPr>
        <w:pStyle w:val="aDef"/>
        <w:keepNext/>
      </w:pPr>
      <w:r>
        <w:rPr>
          <w:rStyle w:val="charBoldItals"/>
        </w:rPr>
        <w:lastRenderedPageBreak/>
        <w:t>wrong</w:t>
      </w:r>
      <w:r>
        <w:t>—</w:t>
      </w:r>
    </w:p>
    <w:p w:rsidR="00BB6F9A" w:rsidRDefault="00BB6F9A">
      <w:pPr>
        <w:pStyle w:val="aDefpara"/>
        <w:keepNext/>
        <w:rPr>
          <w:rStyle w:val="CharPartText"/>
        </w:rPr>
      </w:pPr>
      <w:r>
        <w:rPr>
          <w:rStyle w:val="CharPartText"/>
        </w:rPr>
        <w:tab/>
        <w:t>(a)</w:t>
      </w:r>
      <w:r>
        <w:rPr>
          <w:rStyle w:val="CharPartText"/>
        </w:rPr>
        <w:tab/>
      </w:r>
      <w:r>
        <w:t>for part 2.4 (</w:t>
      </w:r>
      <w:r>
        <w:rPr>
          <w:rStyle w:val="CharPartText"/>
        </w:rPr>
        <w:t>Proceedings against and contributions between wrongdoers)—see section 16; and</w:t>
      </w:r>
    </w:p>
    <w:p w:rsidR="00BB6F9A" w:rsidRDefault="00BB6F9A">
      <w:pPr>
        <w:pStyle w:val="aDefpara"/>
        <w:rPr>
          <w:rStyle w:val="CharPartText"/>
        </w:rPr>
      </w:pPr>
      <w:r>
        <w:rPr>
          <w:rStyle w:val="CharPartText"/>
        </w:rPr>
        <w:tab/>
        <w:t>(b)</w:t>
      </w:r>
      <w:r>
        <w:rPr>
          <w:rStyle w:val="CharPartText"/>
        </w:rPr>
        <w:tab/>
      </w:r>
      <w:r>
        <w:t>for part 4.3 (</w:t>
      </w:r>
      <w:r>
        <w:rPr>
          <w:rStyle w:val="CharPartText"/>
        </w:rPr>
        <w:t>Contributory negligence)—see section 40.</w:t>
      </w:r>
    </w:p>
    <w:p w:rsidR="00BB6F9A" w:rsidRDefault="00BB6F9A">
      <w:pPr>
        <w:pStyle w:val="04Dictionary"/>
        <w:sectPr w:rsidR="00BB6F9A">
          <w:headerReference w:type="even" r:id="rId28"/>
          <w:headerReference w:type="default" r:id="rId29"/>
          <w:footerReference w:type="even" r:id="rId30"/>
          <w:footerReference w:type="default" r:id="rId31"/>
          <w:type w:val="continuous"/>
          <w:pgSz w:w="11907" w:h="16839" w:code="9"/>
          <w:pgMar w:top="3000" w:right="2300" w:bottom="2500" w:left="2300" w:header="2480" w:footer="2100" w:gutter="0"/>
          <w:cols w:space="720"/>
        </w:sectPr>
      </w:pPr>
    </w:p>
    <w:p w:rsidR="00BB6F9A" w:rsidRDefault="00BB6F9A">
      <w:pPr>
        <w:pStyle w:val="Endnote1"/>
      </w:pPr>
      <w:bookmarkStart w:id="217" w:name="_Toc4661479"/>
      <w:r>
        <w:lastRenderedPageBreak/>
        <w:t>Endnotes</w:t>
      </w:r>
      <w:bookmarkEnd w:id="217"/>
    </w:p>
    <w:p w:rsidR="00BB6F9A" w:rsidRDefault="00BB6F9A">
      <w:pPr>
        <w:pStyle w:val="Endnote2"/>
      </w:pPr>
      <w:bookmarkStart w:id="218" w:name="_Toc4661480"/>
      <w:r>
        <w:rPr>
          <w:rStyle w:val="charTableNo"/>
        </w:rPr>
        <w:t>1</w:t>
      </w:r>
      <w:r>
        <w:tab/>
      </w:r>
      <w:r>
        <w:rPr>
          <w:rStyle w:val="charTableText"/>
        </w:rPr>
        <w:t>About the endnotes</w:t>
      </w:r>
      <w:bookmarkEnd w:id="218"/>
    </w:p>
    <w:p w:rsidR="00BB6F9A" w:rsidRDefault="00BB6F9A">
      <w:pPr>
        <w:pStyle w:val="EndNoteTextEPS"/>
      </w:pPr>
      <w:r>
        <w:t>Amending and modifying laws are annotated in the legislation history and the amendment history.  Current modifications are not included in the republished law but are set out in the endnotes.</w:t>
      </w:r>
    </w:p>
    <w:p w:rsidR="00BB6F9A" w:rsidRDefault="00BB6F9A">
      <w:pPr>
        <w:pStyle w:val="EndNoteTextEPS"/>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BB6F9A" w:rsidRDefault="00BB6F9A">
      <w:pPr>
        <w:pStyle w:val="EndNoteTextEPS"/>
      </w:pPr>
      <w:r>
        <w:t>Uncommenced amending laws and expiries are listed in the legislation history and the amendment history.  These details are underlined.  Uncommenced provisions and amendments are not included in the republished law but are set out in the last endnote.</w:t>
      </w:r>
    </w:p>
    <w:p w:rsidR="00BB6F9A" w:rsidRDefault="00BB6F9A">
      <w:pPr>
        <w:pStyle w:val="EndNoteTextEPS"/>
      </w:pPr>
      <w:r>
        <w:t xml:space="preserve">If all the provisions of the law have been renumbered, a table of renumbered provisions gives details of previous and current numbering.  </w:t>
      </w:r>
    </w:p>
    <w:p w:rsidR="00BB6F9A" w:rsidRDefault="00BB6F9A">
      <w:pPr>
        <w:pStyle w:val="EndNoteTextEPS"/>
      </w:pPr>
      <w:r>
        <w:t>The endnotes also include a table of earlier republications.</w:t>
      </w:r>
    </w:p>
    <w:p w:rsidR="00BB6F9A" w:rsidRDefault="00BB6F9A">
      <w:pPr>
        <w:pStyle w:val="EndNoteTextEPS"/>
      </w:pPr>
      <w:r>
        <w:t>If the republished law includes penalties, current information about penalty unit values appears on the republication inside front cover.</w:t>
      </w:r>
    </w:p>
    <w:p w:rsidR="00BB6F9A" w:rsidRDefault="00BB6F9A">
      <w:pPr>
        <w:pStyle w:val="Endnote2"/>
      </w:pPr>
      <w:bookmarkStart w:id="219" w:name="_Toc4661481"/>
      <w:r>
        <w:rPr>
          <w:rStyle w:val="charTableNo"/>
        </w:rPr>
        <w:t>2</w:t>
      </w:r>
      <w:r>
        <w:tab/>
      </w:r>
      <w:r>
        <w:rPr>
          <w:rStyle w:val="charTableText"/>
        </w:rPr>
        <w:t>Abbreviation key</w:t>
      </w:r>
      <w:bookmarkEnd w:id="219"/>
    </w:p>
    <w:p w:rsidR="00BB6F9A" w:rsidRDefault="00BB6F9A">
      <w:pPr>
        <w:rPr>
          <w:sz w:val="4"/>
          <w:szCs w:val="4"/>
        </w:rPr>
      </w:pPr>
    </w:p>
    <w:tbl>
      <w:tblPr>
        <w:tblW w:w="0" w:type="auto"/>
        <w:tblInd w:w="708" w:type="dxa"/>
        <w:tblLayout w:type="fixed"/>
        <w:tblLook w:val="0000" w:firstRow="0" w:lastRow="0" w:firstColumn="0" w:lastColumn="0" w:noHBand="0" w:noVBand="0"/>
      </w:tblPr>
      <w:tblGrid>
        <w:gridCol w:w="3720"/>
        <w:gridCol w:w="3336"/>
      </w:tblGrid>
      <w:tr w:rsidR="00BB6F9A">
        <w:tc>
          <w:tcPr>
            <w:tcW w:w="3720" w:type="dxa"/>
            <w:tcBorders>
              <w:top w:val="nil"/>
              <w:left w:val="nil"/>
              <w:bottom w:val="nil"/>
              <w:right w:val="nil"/>
            </w:tcBorders>
          </w:tcPr>
          <w:p w:rsidR="00BB6F9A" w:rsidRDefault="00BB6F9A">
            <w:pPr>
              <w:pStyle w:val="EndnotesAbbrev"/>
            </w:pPr>
            <w:r>
              <w:t>am = amended</w:t>
            </w:r>
          </w:p>
        </w:tc>
        <w:tc>
          <w:tcPr>
            <w:tcW w:w="3336" w:type="dxa"/>
            <w:tcBorders>
              <w:top w:val="nil"/>
              <w:left w:val="nil"/>
              <w:bottom w:val="nil"/>
              <w:right w:val="nil"/>
            </w:tcBorders>
          </w:tcPr>
          <w:p w:rsidR="00BB6F9A" w:rsidRDefault="00BB6F9A">
            <w:pPr>
              <w:pStyle w:val="EndnotesAbbrev"/>
            </w:pPr>
            <w:r>
              <w:t>ord = ordinance</w:t>
            </w:r>
          </w:p>
        </w:tc>
      </w:tr>
      <w:tr w:rsidR="00BB6F9A">
        <w:tc>
          <w:tcPr>
            <w:tcW w:w="3720" w:type="dxa"/>
            <w:tcBorders>
              <w:top w:val="nil"/>
              <w:left w:val="nil"/>
              <w:bottom w:val="nil"/>
              <w:right w:val="nil"/>
            </w:tcBorders>
          </w:tcPr>
          <w:p w:rsidR="00BB6F9A" w:rsidRDefault="00BB6F9A">
            <w:pPr>
              <w:pStyle w:val="EndnotesAbbrev"/>
            </w:pPr>
            <w:r>
              <w:t>amdt = amendment</w:t>
            </w:r>
          </w:p>
        </w:tc>
        <w:tc>
          <w:tcPr>
            <w:tcW w:w="3336" w:type="dxa"/>
            <w:tcBorders>
              <w:top w:val="nil"/>
              <w:left w:val="nil"/>
              <w:bottom w:val="nil"/>
              <w:right w:val="nil"/>
            </w:tcBorders>
          </w:tcPr>
          <w:p w:rsidR="00BB6F9A" w:rsidRDefault="00BB6F9A">
            <w:pPr>
              <w:pStyle w:val="EndnotesAbbrev"/>
            </w:pPr>
            <w:r>
              <w:t>orig = original</w:t>
            </w:r>
          </w:p>
        </w:tc>
      </w:tr>
      <w:tr w:rsidR="00BB6F9A">
        <w:tc>
          <w:tcPr>
            <w:tcW w:w="3720" w:type="dxa"/>
            <w:tcBorders>
              <w:top w:val="nil"/>
              <w:left w:val="nil"/>
              <w:bottom w:val="nil"/>
              <w:right w:val="nil"/>
            </w:tcBorders>
          </w:tcPr>
          <w:p w:rsidR="00BB6F9A" w:rsidRDefault="00BB6F9A">
            <w:pPr>
              <w:pStyle w:val="EndnotesAbbrev"/>
            </w:pPr>
            <w:r>
              <w:t>ch = chapter</w:t>
            </w:r>
          </w:p>
        </w:tc>
        <w:tc>
          <w:tcPr>
            <w:tcW w:w="3336" w:type="dxa"/>
            <w:tcBorders>
              <w:top w:val="nil"/>
              <w:left w:val="nil"/>
              <w:bottom w:val="nil"/>
              <w:right w:val="nil"/>
            </w:tcBorders>
          </w:tcPr>
          <w:p w:rsidR="00BB6F9A" w:rsidRDefault="00BB6F9A">
            <w:pPr>
              <w:pStyle w:val="EndnotesAbbrev"/>
            </w:pPr>
            <w:r>
              <w:t>p = page</w:t>
            </w:r>
          </w:p>
        </w:tc>
      </w:tr>
      <w:tr w:rsidR="00BB6F9A">
        <w:tc>
          <w:tcPr>
            <w:tcW w:w="3720" w:type="dxa"/>
            <w:tcBorders>
              <w:top w:val="nil"/>
              <w:left w:val="nil"/>
              <w:bottom w:val="nil"/>
              <w:right w:val="nil"/>
            </w:tcBorders>
          </w:tcPr>
          <w:p w:rsidR="00BB6F9A" w:rsidRDefault="00BB6F9A">
            <w:pPr>
              <w:pStyle w:val="EndnotesAbbrev"/>
            </w:pPr>
            <w:r>
              <w:t>cl = clause</w:t>
            </w:r>
          </w:p>
        </w:tc>
        <w:tc>
          <w:tcPr>
            <w:tcW w:w="3336" w:type="dxa"/>
            <w:tcBorders>
              <w:top w:val="nil"/>
              <w:left w:val="nil"/>
              <w:bottom w:val="nil"/>
              <w:right w:val="nil"/>
            </w:tcBorders>
          </w:tcPr>
          <w:p w:rsidR="00BB6F9A" w:rsidRDefault="00BB6F9A">
            <w:pPr>
              <w:pStyle w:val="EndnotesAbbrev"/>
            </w:pPr>
            <w:r>
              <w:t>par = paragraph</w:t>
            </w:r>
          </w:p>
        </w:tc>
      </w:tr>
      <w:tr w:rsidR="00BB6F9A">
        <w:tc>
          <w:tcPr>
            <w:tcW w:w="3720" w:type="dxa"/>
            <w:tcBorders>
              <w:top w:val="nil"/>
              <w:left w:val="nil"/>
              <w:bottom w:val="nil"/>
              <w:right w:val="nil"/>
            </w:tcBorders>
          </w:tcPr>
          <w:p w:rsidR="00BB6F9A" w:rsidRDefault="00BB6F9A">
            <w:pPr>
              <w:pStyle w:val="EndnotesAbbrev"/>
            </w:pPr>
            <w:r>
              <w:t>def = definition</w:t>
            </w:r>
          </w:p>
        </w:tc>
        <w:tc>
          <w:tcPr>
            <w:tcW w:w="3336" w:type="dxa"/>
            <w:tcBorders>
              <w:top w:val="nil"/>
              <w:left w:val="nil"/>
              <w:bottom w:val="nil"/>
              <w:right w:val="nil"/>
            </w:tcBorders>
          </w:tcPr>
          <w:p w:rsidR="00BB6F9A" w:rsidRDefault="00BB6F9A">
            <w:pPr>
              <w:pStyle w:val="EndnotesAbbrev"/>
            </w:pPr>
            <w:r>
              <w:t>pres = present</w:t>
            </w:r>
          </w:p>
        </w:tc>
      </w:tr>
      <w:tr w:rsidR="00BB6F9A">
        <w:tc>
          <w:tcPr>
            <w:tcW w:w="3720" w:type="dxa"/>
            <w:tcBorders>
              <w:top w:val="nil"/>
              <w:left w:val="nil"/>
              <w:bottom w:val="nil"/>
              <w:right w:val="nil"/>
            </w:tcBorders>
          </w:tcPr>
          <w:p w:rsidR="00BB6F9A" w:rsidRDefault="00BB6F9A">
            <w:pPr>
              <w:pStyle w:val="EndnotesAbbrev"/>
            </w:pPr>
            <w:r>
              <w:t>dict = dictionary</w:t>
            </w:r>
          </w:p>
        </w:tc>
        <w:tc>
          <w:tcPr>
            <w:tcW w:w="3336" w:type="dxa"/>
            <w:tcBorders>
              <w:top w:val="nil"/>
              <w:left w:val="nil"/>
              <w:bottom w:val="nil"/>
              <w:right w:val="nil"/>
            </w:tcBorders>
          </w:tcPr>
          <w:p w:rsidR="00BB6F9A" w:rsidRDefault="00BB6F9A">
            <w:pPr>
              <w:pStyle w:val="EndnotesAbbrev"/>
            </w:pPr>
            <w:r>
              <w:t>prev = previous</w:t>
            </w:r>
          </w:p>
        </w:tc>
      </w:tr>
      <w:tr w:rsidR="00BB6F9A">
        <w:tc>
          <w:tcPr>
            <w:tcW w:w="3720" w:type="dxa"/>
            <w:tcBorders>
              <w:top w:val="nil"/>
              <w:left w:val="nil"/>
              <w:bottom w:val="nil"/>
              <w:right w:val="nil"/>
            </w:tcBorders>
          </w:tcPr>
          <w:p w:rsidR="00BB6F9A" w:rsidRDefault="00BB6F9A">
            <w:pPr>
              <w:pStyle w:val="EndnotesAbbrev"/>
            </w:pPr>
            <w:r>
              <w:t xml:space="preserve">disallowed = disallowed by the Legislative </w:t>
            </w:r>
          </w:p>
        </w:tc>
        <w:tc>
          <w:tcPr>
            <w:tcW w:w="3336" w:type="dxa"/>
            <w:tcBorders>
              <w:top w:val="nil"/>
              <w:left w:val="nil"/>
              <w:bottom w:val="nil"/>
              <w:right w:val="nil"/>
            </w:tcBorders>
          </w:tcPr>
          <w:p w:rsidR="00BB6F9A" w:rsidRDefault="00BB6F9A">
            <w:pPr>
              <w:pStyle w:val="EndnotesAbbrev"/>
            </w:pPr>
            <w:r>
              <w:t>(prev...) = previously</w:t>
            </w:r>
          </w:p>
        </w:tc>
      </w:tr>
      <w:tr w:rsidR="00BB6F9A">
        <w:tc>
          <w:tcPr>
            <w:tcW w:w="3720" w:type="dxa"/>
            <w:tcBorders>
              <w:top w:val="nil"/>
              <w:left w:val="nil"/>
              <w:bottom w:val="nil"/>
              <w:right w:val="nil"/>
            </w:tcBorders>
          </w:tcPr>
          <w:p w:rsidR="00BB6F9A" w:rsidRDefault="00BB6F9A">
            <w:pPr>
              <w:pStyle w:val="EndnotesAbbrev"/>
              <w:ind w:left="972"/>
            </w:pPr>
            <w:r>
              <w:t>Assembly</w:t>
            </w:r>
          </w:p>
        </w:tc>
        <w:tc>
          <w:tcPr>
            <w:tcW w:w="3336" w:type="dxa"/>
            <w:tcBorders>
              <w:top w:val="nil"/>
              <w:left w:val="nil"/>
              <w:bottom w:val="nil"/>
              <w:right w:val="nil"/>
            </w:tcBorders>
          </w:tcPr>
          <w:p w:rsidR="00BB6F9A" w:rsidRDefault="00BB6F9A">
            <w:pPr>
              <w:pStyle w:val="EndnotesAbbrev"/>
            </w:pPr>
            <w:r>
              <w:t>prov = provision</w:t>
            </w:r>
          </w:p>
        </w:tc>
      </w:tr>
      <w:tr w:rsidR="00BB6F9A">
        <w:tc>
          <w:tcPr>
            <w:tcW w:w="3720" w:type="dxa"/>
            <w:tcBorders>
              <w:top w:val="nil"/>
              <w:left w:val="nil"/>
              <w:bottom w:val="nil"/>
              <w:right w:val="nil"/>
            </w:tcBorders>
          </w:tcPr>
          <w:p w:rsidR="00BB6F9A" w:rsidRDefault="00BB6F9A">
            <w:pPr>
              <w:pStyle w:val="EndnotesAbbrev"/>
            </w:pPr>
            <w:r>
              <w:t>div = division</w:t>
            </w:r>
          </w:p>
        </w:tc>
        <w:tc>
          <w:tcPr>
            <w:tcW w:w="3336" w:type="dxa"/>
            <w:tcBorders>
              <w:top w:val="nil"/>
              <w:left w:val="nil"/>
              <w:bottom w:val="nil"/>
              <w:right w:val="nil"/>
            </w:tcBorders>
          </w:tcPr>
          <w:p w:rsidR="00BB6F9A" w:rsidRDefault="00BB6F9A">
            <w:pPr>
              <w:pStyle w:val="EndnotesAbbrev"/>
            </w:pPr>
            <w:r>
              <w:t>pt = part</w:t>
            </w:r>
          </w:p>
        </w:tc>
      </w:tr>
      <w:tr w:rsidR="00BB6F9A">
        <w:tc>
          <w:tcPr>
            <w:tcW w:w="3720" w:type="dxa"/>
            <w:tcBorders>
              <w:top w:val="nil"/>
              <w:left w:val="nil"/>
              <w:bottom w:val="nil"/>
              <w:right w:val="nil"/>
            </w:tcBorders>
          </w:tcPr>
          <w:p w:rsidR="00BB6F9A" w:rsidRDefault="00BB6F9A">
            <w:pPr>
              <w:pStyle w:val="EndnotesAbbrev"/>
            </w:pPr>
            <w:r>
              <w:t>exp = expires/expired</w:t>
            </w:r>
          </w:p>
        </w:tc>
        <w:tc>
          <w:tcPr>
            <w:tcW w:w="3336" w:type="dxa"/>
            <w:tcBorders>
              <w:top w:val="nil"/>
              <w:left w:val="nil"/>
              <w:bottom w:val="nil"/>
              <w:right w:val="nil"/>
            </w:tcBorders>
          </w:tcPr>
          <w:p w:rsidR="00BB6F9A" w:rsidRDefault="00BB6F9A">
            <w:pPr>
              <w:pStyle w:val="EndnotesAbbrev"/>
            </w:pPr>
            <w:r>
              <w:t>r = rule/subrule</w:t>
            </w:r>
          </w:p>
        </w:tc>
      </w:tr>
      <w:tr w:rsidR="00BB6F9A">
        <w:tc>
          <w:tcPr>
            <w:tcW w:w="3720" w:type="dxa"/>
            <w:tcBorders>
              <w:top w:val="nil"/>
              <w:left w:val="nil"/>
              <w:bottom w:val="nil"/>
              <w:right w:val="nil"/>
            </w:tcBorders>
          </w:tcPr>
          <w:p w:rsidR="00BB6F9A" w:rsidRDefault="00BB6F9A">
            <w:pPr>
              <w:pStyle w:val="EndnotesAbbrev"/>
            </w:pPr>
            <w:r>
              <w:t>Gaz = Gazette</w:t>
            </w:r>
          </w:p>
        </w:tc>
        <w:tc>
          <w:tcPr>
            <w:tcW w:w="3336" w:type="dxa"/>
            <w:tcBorders>
              <w:top w:val="nil"/>
              <w:left w:val="nil"/>
              <w:bottom w:val="nil"/>
              <w:right w:val="nil"/>
            </w:tcBorders>
          </w:tcPr>
          <w:p w:rsidR="00BB6F9A" w:rsidRDefault="00BB6F9A">
            <w:pPr>
              <w:pStyle w:val="EndnotesAbbrev"/>
            </w:pPr>
            <w:r>
              <w:t>reg = regulation/subregulation</w:t>
            </w:r>
          </w:p>
        </w:tc>
      </w:tr>
      <w:tr w:rsidR="00BB6F9A">
        <w:tc>
          <w:tcPr>
            <w:tcW w:w="3720" w:type="dxa"/>
            <w:tcBorders>
              <w:top w:val="nil"/>
              <w:left w:val="nil"/>
              <w:bottom w:val="nil"/>
              <w:right w:val="nil"/>
            </w:tcBorders>
          </w:tcPr>
          <w:p w:rsidR="00BB6F9A" w:rsidRDefault="00BB6F9A">
            <w:pPr>
              <w:pStyle w:val="EndnotesAbbrev"/>
            </w:pPr>
            <w:r>
              <w:t>hdg = heading</w:t>
            </w:r>
          </w:p>
        </w:tc>
        <w:tc>
          <w:tcPr>
            <w:tcW w:w="3336" w:type="dxa"/>
            <w:tcBorders>
              <w:top w:val="nil"/>
              <w:left w:val="nil"/>
              <w:bottom w:val="nil"/>
              <w:right w:val="nil"/>
            </w:tcBorders>
          </w:tcPr>
          <w:p w:rsidR="00BB6F9A" w:rsidRDefault="00BB6F9A">
            <w:pPr>
              <w:pStyle w:val="EndnotesAbbrev"/>
            </w:pPr>
            <w:r>
              <w:t>renum = renumbered</w:t>
            </w:r>
          </w:p>
        </w:tc>
      </w:tr>
      <w:tr w:rsidR="00BB6F9A">
        <w:tc>
          <w:tcPr>
            <w:tcW w:w="3720" w:type="dxa"/>
            <w:tcBorders>
              <w:top w:val="nil"/>
              <w:left w:val="nil"/>
              <w:bottom w:val="nil"/>
              <w:right w:val="nil"/>
            </w:tcBorders>
          </w:tcPr>
          <w:p w:rsidR="00BB6F9A" w:rsidRDefault="00BB6F9A">
            <w:pPr>
              <w:pStyle w:val="EndnotesAbbrev"/>
            </w:pPr>
            <w:r>
              <w:t>IA = Interpretation Act 1967</w:t>
            </w:r>
          </w:p>
        </w:tc>
        <w:tc>
          <w:tcPr>
            <w:tcW w:w="3336" w:type="dxa"/>
            <w:tcBorders>
              <w:top w:val="nil"/>
              <w:left w:val="nil"/>
              <w:bottom w:val="nil"/>
              <w:right w:val="nil"/>
            </w:tcBorders>
          </w:tcPr>
          <w:p w:rsidR="00BB6F9A" w:rsidRDefault="00BB6F9A">
            <w:pPr>
              <w:pStyle w:val="EndnotesAbbrev"/>
            </w:pPr>
            <w:r>
              <w:t>reloc = relocated</w:t>
            </w:r>
          </w:p>
        </w:tc>
      </w:tr>
      <w:tr w:rsidR="00BB6F9A">
        <w:tc>
          <w:tcPr>
            <w:tcW w:w="3720" w:type="dxa"/>
            <w:tcBorders>
              <w:top w:val="nil"/>
              <w:left w:val="nil"/>
              <w:bottom w:val="nil"/>
              <w:right w:val="nil"/>
            </w:tcBorders>
          </w:tcPr>
          <w:p w:rsidR="00BB6F9A" w:rsidRDefault="00BB6F9A">
            <w:pPr>
              <w:pStyle w:val="EndnotesAbbrev"/>
            </w:pPr>
            <w:r>
              <w:t>ins = inserted/added</w:t>
            </w:r>
          </w:p>
        </w:tc>
        <w:tc>
          <w:tcPr>
            <w:tcW w:w="3336" w:type="dxa"/>
            <w:tcBorders>
              <w:top w:val="nil"/>
              <w:left w:val="nil"/>
              <w:bottom w:val="nil"/>
              <w:right w:val="nil"/>
            </w:tcBorders>
          </w:tcPr>
          <w:p w:rsidR="00BB6F9A" w:rsidRDefault="00BB6F9A">
            <w:pPr>
              <w:pStyle w:val="EndnotesAbbrev"/>
            </w:pPr>
            <w:r>
              <w:t>R[X] = Republication No</w:t>
            </w:r>
          </w:p>
        </w:tc>
      </w:tr>
      <w:tr w:rsidR="00BB6F9A">
        <w:tc>
          <w:tcPr>
            <w:tcW w:w="3720" w:type="dxa"/>
            <w:tcBorders>
              <w:top w:val="nil"/>
              <w:left w:val="nil"/>
              <w:bottom w:val="nil"/>
              <w:right w:val="nil"/>
            </w:tcBorders>
          </w:tcPr>
          <w:p w:rsidR="00BB6F9A" w:rsidRDefault="00BB6F9A">
            <w:pPr>
              <w:pStyle w:val="EndnotesAbbrev"/>
            </w:pPr>
            <w:r>
              <w:t>LA = Legislation Act 2001</w:t>
            </w:r>
          </w:p>
        </w:tc>
        <w:tc>
          <w:tcPr>
            <w:tcW w:w="3336" w:type="dxa"/>
            <w:tcBorders>
              <w:top w:val="nil"/>
              <w:left w:val="nil"/>
              <w:bottom w:val="nil"/>
              <w:right w:val="nil"/>
            </w:tcBorders>
          </w:tcPr>
          <w:p w:rsidR="00BB6F9A" w:rsidRDefault="00BB6F9A">
            <w:pPr>
              <w:pStyle w:val="EndnotesAbbrev"/>
            </w:pPr>
            <w:r>
              <w:t>RI = reissue</w:t>
            </w:r>
          </w:p>
        </w:tc>
      </w:tr>
      <w:tr w:rsidR="00BB6F9A">
        <w:tc>
          <w:tcPr>
            <w:tcW w:w="3720" w:type="dxa"/>
            <w:tcBorders>
              <w:top w:val="nil"/>
              <w:left w:val="nil"/>
              <w:bottom w:val="nil"/>
              <w:right w:val="nil"/>
            </w:tcBorders>
          </w:tcPr>
          <w:p w:rsidR="00BB6F9A" w:rsidRDefault="00BB6F9A">
            <w:pPr>
              <w:pStyle w:val="EndnotesAbbrev"/>
            </w:pPr>
            <w:r>
              <w:t>LR = legislation register</w:t>
            </w:r>
          </w:p>
        </w:tc>
        <w:tc>
          <w:tcPr>
            <w:tcW w:w="3336" w:type="dxa"/>
            <w:tcBorders>
              <w:top w:val="nil"/>
              <w:left w:val="nil"/>
              <w:bottom w:val="nil"/>
              <w:right w:val="nil"/>
            </w:tcBorders>
          </w:tcPr>
          <w:p w:rsidR="00BB6F9A" w:rsidRDefault="00BB6F9A">
            <w:pPr>
              <w:pStyle w:val="EndnotesAbbrev"/>
            </w:pPr>
            <w:r>
              <w:t>s = section/subsection</w:t>
            </w:r>
          </w:p>
        </w:tc>
      </w:tr>
      <w:tr w:rsidR="00BB6F9A">
        <w:tc>
          <w:tcPr>
            <w:tcW w:w="3720" w:type="dxa"/>
            <w:tcBorders>
              <w:top w:val="nil"/>
              <w:left w:val="nil"/>
              <w:bottom w:val="nil"/>
              <w:right w:val="nil"/>
            </w:tcBorders>
          </w:tcPr>
          <w:p w:rsidR="00BB6F9A" w:rsidRDefault="00BB6F9A">
            <w:pPr>
              <w:pStyle w:val="EndnotesAbbrev"/>
            </w:pPr>
            <w:r>
              <w:t>LRA = Legislation (Republication) Act 1996</w:t>
            </w:r>
          </w:p>
        </w:tc>
        <w:tc>
          <w:tcPr>
            <w:tcW w:w="3336" w:type="dxa"/>
            <w:tcBorders>
              <w:top w:val="nil"/>
              <w:left w:val="nil"/>
              <w:bottom w:val="nil"/>
              <w:right w:val="nil"/>
            </w:tcBorders>
          </w:tcPr>
          <w:p w:rsidR="00BB6F9A" w:rsidRDefault="00BB6F9A">
            <w:pPr>
              <w:pStyle w:val="EndnotesAbbrev"/>
            </w:pPr>
            <w:r>
              <w:t>sch = schedule</w:t>
            </w:r>
          </w:p>
        </w:tc>
      </w:tr>
      <w:tr w:rsidR="00BB6F9A">
        <w:tc>
          <w:tcPr>
            <w:tcW w:w="3720" w:type="dxa"/>
            <w:tcBorders>
              <w:top w:val="nil"/>
              <w:left w:val="nil"/>
              <w:bottom w:val="nil"/>
              <w:right w:val="nil"/>
            </w:tcBorders>
          </w:tcPr>
          <w:p w:rsidR="00BB6F9A" w:rsidRDefault="00BB6F9A">
            <w:pPr>
              <w:pStyle w:val="EndnotesAbbrev"/>
            </w:pPr>
            <w:r>
              <w:t>mod = modified / modification</w:t>
            </w:r>
          </w:p>
        </w:tc>
        <w:tc>
          <w:tcPr>
            <w:tcW w:w="3336" w:type="dxa"/>
            <w:tcBorders>
              <w:top w:val="nil"/>
              <w:left w:val="nil"/>
              <w:bottom w:val="nil"/>
              <w:right w:val="nil"/>
            </w:tcBorders>
          </w:tcPr>
          <w:p w:rsidR="00BB6F9A" w:rsidRDefault="00BB6F9A">
            <w:pPr>
              <w:pStyle w:val="EndnotesAbbrev"/>
            </w:pPr>
            <w:r>
              <w:t>sdiv = subdivision</w:t>
            </w:r>
          </w:p>
        </w:tc>
      </w:tr>
      <w:tr w:rsidR="00BB6F9A">
        <w:tc>
          <w:tcPr>
            <w:tcW w:w="3720" w:type="dxa"/>
            <w:tcBorders>
              <w:top w:val="nil"/>
              <w:left w:val="nil"/>
              <w:bottom w:val="nil"/>
              <w:right w:val="nil"/>
            </w:tcBorders>
          </w:tcPr>
          <w:p w:rsidR="00BB6F9A" w:rsidRDefault="00BB6F9A">
            <w:pPr>
              <w:pStyle w:val="EndnotesAbbrev"/>
            </w:pPr>
            <w:r>
              <w:t>No = number</w:t>
            </w:r>
          </w:p>
        </w:tc>
        <w:tc>
          <w:tcPr>
            <w:tcW w:w="3336" w:type="dxa"/>
            <w:tcBorders>
              <w:top w:val="nil"/>
              <w:left w:val="nil"/>
              <w:bottom w:val="nil"/>
              <w:right w:val="nil"/>
            </w:tcBorders>
          </w:tcPr>
          <w:p w:rsidR="00BB6F9A" w:rsidRDefault="00BB6F9A">
            <w:pPr>
              <w:pStyle w:val="EndnotesAbbrev"/>
            </w:pPr>
            <w:r>
              <w:t>sub = substituted</w:t>
            </w:r>
          </w:p>
        </w:tc>
      </w:tr>
      <w:tr w:rsidR="00BB6F9A">
        <w:tc>
          <w:tcPr>
            <w:tcW w:w="3720" w:type="dxa"/>
            <w:tcBorders>
              <w:top w:val="nil"/>
              <w:left w:val="nil"/>
              <w:bottom w:val="nil"/>
              <w:right w:val="nil"/>
            </w:tcBorders>
          </w:tcPr>
          <w:p w:rsidR="00BB6F9A" w:rsidRDefault="00BB6F9A">
            <w:pPr>
              <w:pStyle w:val="EndnotesAbbrev"/>
            </w:pPr>
            <w:r>
              <w:t>num = numbered</w:t>
            </w:r>
          </w:p>
        </w:tc>
        <w:tc>
          <w:tcPr>
            <w:tcW w:w="3336" w:type="dxa"/>
            <w:tcBorders>
              <w:top w:val="nil"/>
              <w:left w:val="nil"/>
              <w:bottom w:val="nil"/>
              <w:right w:val="nil"/>
            </w:tcBorders>
          </w:tcPr>
          <w:p w:rsidR="00BB6F9A" w:rsidRDefault="00BB6F9A">
            <w:pPr>
              <w:pStyle w:val="EndnotesAbbrev"/>
            </w:pPr>
            <w:r>
              <w:t>SL  = Subordinate Law</w:t>
            </w:r>
          </w:p>
        </w:tc>
      </w:tr>
      <w:tr w:rsidR="00BB6F9A">
        <w:tc>
          <w:tcPr>
            <w:tcW w:w="3720" w:type="dxa"/>
            <w:tcBorders>
              <w:top w:val="nil"/>
              <w:left w:val="nil"/>
              <w:bottom w:val="nil"/>
              <w:right w:val="nil"/>
            </w:tcBorders>
          </w:tcPr>
          <w:p w:rsidR="00BB6F9A" w:rsidRDefault="00BB6F9A">
            <w:pPr>
              <w:pStyle w:val="EndnotesAbbrev"/>
            </w:pPr>
            <w:r>
              <w:t>o = order</w:t>
            </w:r>
          </w:p>
        </w:tc>
        <w:tc>
          <w:tcPr>
            <w:tcW w:w="3336" w:type="dxa"/>
            <w:tcBorders>
              <w:top w:val="nil"/>
              <w:left w:val="nil"/>
              <w:bottom w:val="nil"/>
              <w:right w:val="nil"/>
            </w:tcBorders>
          </w:tcPr>
          <w:p w:rsidR="00BB6F9A" w:rsidRDefault="00BB6F9A">
            <w:pPr>
              <w:pStyle w:val="EndnotesAbbrev"/>
            </w:pPr>
            <w:r>
              <w:rPr>
                <w:u w:val="single"/>
              </w:rPr>
              <w:t>underlining</w:t>
            </w:r>
            <w:r>
              <w:t xml:space="preserve"> = whole or part not commenced</w:t>
            </w:r>
          </w:p>
        </w:tc>
      </w:tr>
      <w:tr w:rsidR="00BB6F9A">
        <w:tc>
          <w:tcPr>
            <w:tcW w:w="3720" w:type="dxa"/>
            <w:tcBorders>
              <w:top w:val="nil"/>
              <w:left w:val="nil"/>
              <w:bottom w:val="nil"/>
              <w:right w:val="nil"/>
            </w:tcBorders>
          </w:tcPr>
          <w:p w:rsidR="00BB6F9A" w:rsidRDefault="00BB6F9A">
            <w:pPr>
              <w:pStyle w:val="EndnotesAbbrev"/>
            </w:pPr>
            <w:r>
              <w:t>om = omitted/repealed</w:t>
            </w:r>
          </w:p>
        </w:tc>
        <w:tc>
          <w:tcPr>
            <w:tcW w:w="3336" w:type="dxa"/>
            <w:tcBorders>
              <w:top w:val="nil"/>
              <w:left w:val="nil"/>
              <w:bottom w:val="nil"/>
              <w:right w:val="nil"/>
            </w:tcBorders>
          </w:tcPr>
          <w:p w:rsidR="00BB6F9A" w:rsidRDefault="00BB6F9A">
            <w:pPr>
              <w:pStyle w:val="EndnotesAbbrev"/>
              <w:ind w:left="972"/>
            </w:pPr>
            <w:r>
              <w:t>or to be expired</w:t>
            </w:r>
          </w:p>
        </w:tc>
      </w:tr>
    </w:tbl>
    <w:p w:rsidR="00BB6F9A" w:rsidRDefault="00BB6F9A">
      <w:pPr>
        <w:pStyle w:val="Endnote2"/>
      </w:pPr>
      <w:bookmarkStart w:id="220" w:name="_Toc4661482"/>
      <w:r>
        <w:rPr>
          <w:rStyle w:val="charTableNo"/>
        </w:rPr>
        <w:lastRenderedPageBreak/>
        <w:t>3</w:t>
      </w:r>
      <w:r>
        <w:tab/>
      </w:r>
      <w:r>
        <w:rPr>
          <w:rStyle w:val="charTableText"/>
        </w:rPr>
        <w:t>Legislation history</w:t>
      </w:r>
      <w:bookmarkEnd w:id="220"/>
    </w:p>
    <w:p w:rsidR="00BB6F9A" w:rsidRDefault="00BB6F9A">
      <w:pPr>
        <w:pStyle w:val="NewAct"/>
      </w:pPr>
      <w:r>
        <w:t>Civil Law (Wrongs) Act 2002 No 40</w:t>
      </w:r>
    </w:p>
    <w:p w:rsidR="00BB6F9A" w:rsidRDefault="00BB6F9A">
      <w:pPr>
        <w:pStyle w:val="Actdetails"/>
        <w:keepNext/>
      </w:pPr>
      <w:r>
        <w:t xml:space="preserve">notified LR 10 October 2002 </w:t>
      </w:r>
    </w:p>
    <w:p w:rsidR="00BB6F9A" w:rsidRDefault="00BB6F9A">
      <w:pPr>
        <w:pStyle w:val="Actdetails"/>
        <w:keepNext/>
      </w:pPr>
      <w:r>
        <w:t>s 1, s 2 commenced 10 October 2002 (LA s 75 (1))</w:t>
      </w:r>
    </w:p>
    <w:p w:rsidR="00BB6F9A" w:rsidRDefault="00BB6F9A">
      <w:pPr>
        <w:pStyle w:val="Actdetails"/>
        <w:rPr>
          <w:rStyle w:val="charUnderline"/>
        </w:rPr>
      </w:pPr>
      <w:r>
        <w:rPr>
          <w:rStyle w:val="charUnderline"/>
        </w:rPr>
        <w:t>pt 7.1 commences at 12 noon on 1 July 2003 (s 2 (1))</w:t>
      </w:r>
    </w:p>
    <w:p w:rsidR="00BB6F9A" w:rsidRDefault="00BB6F9A">
      <w:pPr>
        <w:pStyle w:val="Actdetails"/>
        <w:rPr>
          <w:rStyle w:val="charUnderline"/>
          <w:u w:val="none"/>
        </w:rPr>
      </w:pPr>
      <w:r>
        <w:rPr>
          <w:rStyle w:val="charUnderline"/>
          <w:u w:val="none"/>
        </w:rPr>
        <w:t>ch 10 commenced 1 January 2003 (s 2 (2) and CN2002-13)</w:t>
      </w:r>
    </w:p>
    <w:p w:rsidR="00BB6F9A" w:rsidRDefault="00BB6F9A">
      <w:pPr>
        <w:pStyle w:val="Actdetails"/>
      </w:pPr>
      <w:r>
        <w:t xml:space="preserve">pt 11.1 commenced </w:t>
      </w:r>
      <w:r w:rsidR="00FB1CA1">
        <w:t>1</w:t>
      </w:r>
      <w:r>
        <w:t xml:space="preserve">0 April 2003 (s 2 (2) and </w:t>
      </w:r>
      <w:r w:rsidR="00FB1CA1">
        <w:t>LA s 79</w:t>
      </w:r>
      <w:r>
        <w:t>)</w:t>
      </w:r>
    </w:p>
    <w:p w:rsidR="00BB6F9A" w:rsidRDefault="00BB6F9A">
      <w:pPr>
        <w:pStyle w:val="Actdetails"/>
      </w:pPr>
      <w:r>
        <w:t>remainder commenced 1 November 2002 (s 2 (2) and CN2002-13)</w:t>
      </w:r>
    </w:p>
    <w:p w:rsidR="00BB6F9A" w:rsidRDefault="00BB6F9A">
      <w:pPr>
        <w:pStyle w:val="Asamby"/>
      </w:pPr>
      <w:r>
        <w:t>as modified by</w:t>
      </w:r>
    </w:p>
    <w:p w:rsidR="00BB6F9A" w:rsidRDefault="00BB6F9A">
      <w:pPr>
        <w:pStyle w:val="NewReg"/>
        <w:rPr>
          <w:snapToGrid w:val="0"/>
        </w:rPr>
      </w:pPr>
      <w:r>
        <w:rPr>
          <w:snapToGrid w:val="0"/>
        </w:rPr>
        <w:t>Civil Law (Wrongs) Regulations 2002 SL2002-41</w:t>
      </w:r>
    </w:p>
    <w:p w:rsidR="00BB6F9A" w:rsidRDefault="00BB6F9A">
      <w:pPr>
        <w:pStyle w:val="Actdetails"/>
        <w:rPr>
          <w:snapToGrid w:val="0"/>
        </w:rPr>
      </w:pPr>
      <w:r>
        <w:rPr>
          <w:snapToGrid w:val="0"/>
        </w:rPr>
        <w:t>notified LR 20 December 2002</w:t>
      </w:r>
      <w:r>
        <w:rPr>
          <w:snapToGrid w:val="0"/>
        </w:rPr>
        <w:br/>
        <w:t>reg 1, reg 2 commenced 20 December 2002 (LA s 75 (1))</w:t>
      </w:r>
      <w:r>
        <w:rPr>
          <w:snapToGrid w:val="0"/>
        </w:rPr>
        <w:br/>
        <w:t>remainder commenced 21 December 2002 (reg 2)</w:t>
      </w:r>
    </w:p>
    <w:p w:rsidR="00BB6F9A" w:rsidRDefault="00BB6F9A">
      <w:pPr>
        <w:pStyle w:val="Asamby"/>
      </w:pPr>
      <w:r>
        <w:t>as amended by</w:t>
      </w:r>
    </w:p>
    <w:p w:rsidR="00BB6F9A" w:rsidRDefault="00BB6F9A">
      <w:pPr>
        <w:pStyle w:val="NewAct"/>
      </w:pPr>
      <w:r>
        <w:t>Statute Law Amendment Act 2002 (No 2) No 49 pt 3.2</w:t>
      </w:r>
    </w:p>
    <w:p w:rsidR="00BB6F9A" w:rsidRDefault="00BB6F9A">
      <w:pPr>
        <w:pStyle w:val="Actdetails"/>
        <w:keepNext/>
      </w:pPr>
      <w:r>
        <w:t>notified LR 20 December 2002</w:t>
      </w:r>
    </w:p>
    <w:p w:rsidR="00BB6F9A" w:rsidRDefault="00BB6F9A">
      <w:pPr>
        <w:pStyle w:val="Actdetails"/>
        <w:rPr>
          <w:rStyle w:val="charUnderline"/>
          <w:u w:val="none"/>
        </w:rPr>
      </w:pPr>
      <w:r>
        <w:rPr>
          <w:rStyle w:val="charUnderline"/>
          <w:u w:val="none"/>
        </w:rPr>
        <w:t>s 1, s 2 taken to have commenced 7 October 1994 (LA s 75 (2))</w:t>
      </w:r>
    </w:p>
    <w:p w:rsidR="00BB6F9A" w:rsidRDefault="00BB6F9A">
      <w:pPr>
        <w:pStyle w:val="Actdetails"/>
      </w:pPr>
      <w:r>
        <w:t>pt 3.2 commenced 17 January 2002 (s 2 (1))</w:t>
      </w:r>
    </w:p>
    <w:p w:rsidR="00BB6F9A" w:rsidRDefault="00BB6F9A">
      <w:pPr>
        <w:pStyle w:val="NewAct"/>
      </w:pPr>
      <w:r>
        <w:t>Civil Law (Wrongs) Amendment Act 2003 A2003-6</w:t>
      </w:r>
    </w:p>
    <w:p w:rsidR="00BB6F9A" w:rsidRDefault="00BB6F9A">
      <w:pPr>
        <w:pStyle w:val="Actdetails"/>
        <w:keepNext/>
      </w:pPr>
      <w:r>
        <w:t>notified LR 27 March 2003</w:t>
      </w:r>
    </w:p>
    <w:p w:rsidR="00BB6F9A" w:rsidRDefault="00BB6F9A">
      <w:pPr>
        <w:pStyle w:val="Actdetails"/>
        <w:keepNext/>
      </w:pPr>
      <w:r>
        <w:t>s 1, s 2 commenced 27 March 2003 (LA s 75 (1))</w:t>
      </w:r>
    </w:p>
    <w:p w:rsidR="00BB6F9A" w:rsidRDefault="00BB6F9A">
      <w:pPr>
        <w:pStyle w:val="Actdetails"/>
      </w:pPr>
      <w:r>
        <w:t>remainder commenced 28 March 2003 (s 2)</w:t>
      </w:r>
    </w:p>
    <w:p w:rsidR="00BB6F9A" w:rsidRDefault="00BB6F9A">
      <w:pPr>
        <w:pStyle w:val="NewAct"/>
      </w:pPr>
      <w:r>
        <w:t>Legislation (Gay, Lesbian and Transgender) Amendment Act 2003 A2003-14 sch 1 pt 1.5</w:t>
      </w:r>
    </w:p>
    <w:p w:rsidR="00BB6F9A" w:rsidRDefault="00BB6F9A">
      <w:pPr>
        <w:pStyle w:val="Actdetails"/>
        <w:keepNext/>
      </w:pPr>
      <w:r>
        <w:t>notified LR 27 March 2003</w:t>
      </w:r>
    </w:p>
    <w:p w:rsidR="00BB6F9A" w:rsidRDefault="00BB6F9A">
      <w:pPr>
        <w:pStyle w:val="Actdetails"/>
        <w:keepNext/>
      </w:pPr>
      <w:r>
        <w:t>s 1, s 2 commenced 27 March 2003 (LA s 75 (1))</w:t>
      </w:r>
    </w:p>
    <w:p w:rsidR="00BB6F9A" w:rsidRDefault="00BB6F9A">
      <w:pPr>
        <w:pStyle w:val="Actdetails"/>
      </w:pPr>
      <w:r>
        <w:t>sch 1 pt 1.5 commenced 28 March 2003 (s 2)</w:t>
      </w:r>
    </w:p>
    <w:p w:rsidR="00BB6F9A" w:rsidRDefault="00BB6F9A">
      <w:pPr>
        <w:pStyle w:val="Endnote2"/>
      </w:pPr>
      <w:bookmarkStart w:id="221" w:name="_Toc4661483"/>
      <w:r>
        <w:rPr>
          <w:rStyle w:val="charTableNo"/>
        </w:rPr>
        <w:t>4</w:t>
      </w:r>
      <w:r>
        <w:tab/>
      </w:r>
      <w:r>
        <w:rPr>
          <w:rStyle w:val="charTableText"/>
        </w:rPr>
        <w:t>Amendment history</w:t>
      </w:r>
      <w:bookmarkEnd w:id="221"/>
    </w:p>
    <w:p w:rsidR="00BB6F9A" w:rsidRDefault="00BB6F9A">
      <w:pPr>
        <w:pStyle w:val="AmdtsEntryHd"/>
      </w:pPr>
      <w:r>
        <w:t>Notes</w:t>
      </w:r>
    </w:p>
    <w:p w:rsidR="00BB6F9A" w:rsidRDefault="00BB6F9A">
      <w:pPr>
        <w:pStyle w:val="AmdtsEntries"/>
      </w:pPr>
      <w:r>
        <w:t>s 4</w:t>
      </w:r>
      <w:r>
        <w:tab/>
      </w:r>
      <w:r>
        <w:rPr>
          <w:rStyle w:val="charUnderline"/>
        </w:rPr>
        <w:t>(2), (3) exp 1 November 2003 (s 4 (3))</w:t>
      </w:r>
    </w:p>
    <w:p w:rsidR="00BB6F9A" w:rsidRDefault="00BB6F9A">
      <w:pPr>
        <w:pStyle w:val="AmdtsEntryHd"/>
      </w:pPr>
      <w:r>
        <w:t>Effect of death on certain causes of action</w:t>
      </w:r>
    </w:p>
    <w:p w:rsidR="00BB6F9A" w:rsidRDefault="00BB6F9A">
      <w:pPr>
        <w:pStyle w:val="AmdtsEntries"/>
      </w:pPr>
      <w:r>
        <w:t>s 12 hdg</w:t>
      </w:r>
      <w:r>
        <w:tab/>
      </w:r>
      <w:r>
        <w:rPr>
          <w:rStyle w:val="charUnderline"/>
        </w:rPr>
        <w:t>bracketed note exp 1 November 2003 (s 4 (3))</w:t>
      </w:r>
    </w:p>
    <w:p w:rsidR="00BB6F9A" w:rsidRDefault="00BB6F9A">
      <w:pPr>
        <w:pStyle w:val="AmdtsEntryHd"/>
      </w:pPr>
      <w:r>
        <w:lastRenderedPageBreak/>
        <w:t>Damages in surviving cause of action</w:t>
      </w:r>
    </w:p>
    <w:p w:rsidR="00BB6F9A" w:rsidRDefault="00BB6F9A">
      <w:pPr>
        <w:pStyle w:val="AmdtsEntries"/>
      </w:pPr>
      <w:r>
        <w:t>s 13 hdg</w:t>
      </w:r>
      <w:r>
        <w:tab/>
      </w:r>
      <w:r>
        <w:rPr>
          <w:rStyle w:val="charUnderline"/>
        </w:rPr>
        <w:t>bracketed note exp 1 November 2003 (s 4 (3))</w:t>
      </w:r>
    </w:p>
    <w:p w:rsidR="00BB6F9A" w:rsidRDefault="00BB6F9A">
      <w:pPr>
        <w:pStyle w:val="AmdtsEntryHd"/>
      </w:pPr>
      <w:r>
        <w:t>If person liable dies before or at time of damage</w:t>
      </w:r>
    </w:p>
    <w:p w:rsidR="00BB6F9A" w:rsidRDefault="00BB6F9A">
      <w:pPr>
        <w:pStyle w:val="AmdtsEntries"/>
      </w:pPr>
      <w:r>
        <w:t>s 14 hdg</w:t>
      </w:r>
      <w:r>
        <w:tab/>
      </w:r>
      <w:r>
        <w:rPr>
          <w:rStyle w:val="charUnderline"/>
        </w:rPr>
        <w:t>bracketed note exp 1 November 2003 (s 4 (3))</w:t>
      </w:r>
    </w:p>
    <w:p w:rsidR="00BB6F9A" w:rsidRDefault="00BB6F9A">
      <w:pPr>
        <w:pStyle w:val="AmdtsEntryHd"/>
      </w:pPr>
      <w:r>
        <w:t>Saving of rights additional to pt 2.3</w:t>
      </w:r>
    </w:p>
    <w:p w:rsidR="00BB6F9A" w:rsidRDefault="00BB6F9A">
      <w:pPr>
        <w:pStyle w:val="AmdtsEntries"/>
      </w:pPr>
      <w:r>
        <w:t>s 15 hdg</w:t>
      </w:r>
      <w:r>
        <w:tab/>
      </w:r>
      <w:r>
        <w:rPr>
          <w:rStyle w:val="charUnderline"/>
        </w:rPr>
        <w:t>bracketed note exp 1 November 2003 (s 4 (3))</w:t>
      </w:r>
    </w:p>
    <w:p w:rsidR="00BB6F9A" w:rsidRDefault="00BB6F9A">
      <w:pPr>
        <w:pStyle w:val="AmdtsEntryHd"/>
      </w:pPr>
      <w:r>
        <w:t>Definitions for pt 2.4</w:t>
      </w:r>
    </w:p>
    <w:p w:rsidR="00BB6F9A" w:rsidRDefault="00BB6F9A">
      <w:pPr>
        <w:pStyle w:val="AmdtsEntries"/>
      </w:pPr>
      <w:r>
        <w:t>s 16 hdg</w:t>
      </w:r>
      <w:r>
        <w:tab/>
      </w:r>
      <w:r>
        <w:rPr>
          <w:rStyle w:val="charUnderline"/>
        </w:rPr>
        <w:t>bracketed note exp 1 November 2003 (s 4 (3))</w:t>
      </w:r>
    </w:p>
    <w:p w:rsidR="00BB6F9A" w:rsidRDefault="00BB6F9A">
      <w:pPr>
        <w:pStyle w:val="AmdtsEntryHd"/>
      </w:pPr>
      <w:r>
        <w:t>Each of several wrongdoers can be sued</w:t>
      </w:r>
    </w:p>
    <w:p w:rsidR="00BB6F9A" w:rsidRDefault="00BB6F9A">
      <w:pPr>
        <w:pStyle w:val="AmdtsEntries"/>
      </w:pPr>
      <w:r>
        <w:t>s 17 hdg</w:t>
      </w:r>
      <w:r>
        <w:tab/>
      </w:r>
      <w:r>
        <w:rPr>
          <w:rStyle w:val="charUnderline"/>
        </w:rPr>
        <w:t>bracketed note exp 1 November 2003 (s 4 (3))</w:t>
      </w:r>
    </w:p>
    <w:p w:rsidR="00BB6F9A" w:rsidRDefault="00BB6F9A">
      <w:pPr>
        <w:pStyle w:val="AmdtsEntryHd"/>
      </w:pPr>
      <w:r>
        <w:t>Right of contribution</w:t>
      </w:r>
    </w:p>
    <w:p w:rsidR="00BB6F9A" w:rsidRDefault="00BB6F9A">
      <w:pPr>
        <w:pStyle w:val="AmdtsEntries"/>
      </w:pPr>
      <w:r>
        <w:t>s 18 hdg</w:t>
      </w:r>
      <w:r>
        <w:tab/>
      </w:r>
      <w:r>
        <w:rPr>
          <w:rStyle w:val="charUnderline"/>
        </w:rPr>
        <w:t>bracketed note exp 1 November 2003 (s 4 (3))</w:t>
      </w:r>
    </w:p>
    <w:p w:rsidR="00BB6F9A" w:rsidRDefault="00BB6F9A">
      <w:pPr>
        <w:pStyle w:val="AmdtsEntryHd"/>
      </w:pPr>
      <w:r>
        <w:t>Effect of pt 2.4</w:t>
      </w:r>
    </w:p>
    <w:p w:rsidR="00BB6F9A" w:rsidRDefault="00BB6F9A">
      <w:pPr>
        <w:pStyle w:val="AmdtsEntries"/>
      </w:pPr>
      <w:r>
        <w:t>s 19 hdg</w:t>
      </w:r>
      <w:r>
        <w:tab/>
      </w:r>
      <w:r>
        <w:rPr>
          <w:rStyle w:val="charUnderline"/>
        </w:rPr>
        <w:t>bracketed note exp 1 November 2003 (s 4 (3))</w:t>
      </w:r>
    </w:p>
    <w:p w:rsidR="00BB6F9A" w:rsidRDefault="00BB6F9A">
      <w:pPr>
        <w:pStyle w:val="AmdtsEntryHd"/>
      </w:pPr>
      <w:r>
        <w:t>Definitions for pt 3.1</w:t>
      </w:r>
    </w:p>
    <w:p w:rsidR="00BB6F9A" w:rsidRDefault="00BB6F9A">
      <w:pPr>
        <w:pStyle w:val="AmdtsEntries"/>
        <w:keepNext/>
      </w:pPr>
      <w:r>
        <w:t>s 20 hdg</w:t>
      </w:r>
      <w:r>
        <w:tab/>
      </w:r>
      <w:r>
        <w:rPr>
          <w:rStyle w:val="charUnderline"/>
        </w:rPr>
        <w:t>bracketed note exp 1 November 2003 (s 4 (3))</w:t>
      </w:r>
    </w:p>
    <w:p w:rsidR="00BB6F9A" w:rsidRDefault="00BB6F9A">
      <w:pPr>
        <w:pStyle w:val="AmdtsEntries"/>
      </w:pPr>
      <w:r>
        <w:t>s 20</w:t>
      </w:r>
      <w:r>
        <w:tab/>
        <w:t xml:space="preserve">def </w:t>
      </w:r>
      <w:r>
        <w:rPr>
          <w:rStyle w:val="charBoldItals"/>
        </w:rPr>
        <w:t xml:space="preserve">member </w:t>
      </w:r>
      <w:r>
        <w:t>am A2003-14 amdt 1.12; pars renum R6 LA (see A2003-14 amdt 1.13)</w:t>
      </w:r>
    </w:p>
    <w:p w:rsidR="00BB6F9A" w:rsidRDefault="00BB6F9A">
      <w:pPr>
        <w:pStyle w:val="AmdtsEntryHd"/>
      </w:pPr>
      <w:r>
        <w:t>Liability for a person’s death</w:t>
      </w:r>
    </w:p>
    <w:p w:rsidR="00BB6F9A" w:rsidRDefault="00BB6F9A">
      <w:pPr>
        <w:pStyle w:val="AmdtsEntries"/>
      </w:pPr>
      <w:r>
        <w:t>s 21 hdg</w:t>
      </w:r>
      <w:r>
        <w:tab/>
      </w:r>
      <w:r>
        <w:rPr>
          <w:rStyle w:val="charUnderline"/>
        </w:rPr>
        <w:t>bracketed note exp 1 November 2003 (s 4 (3))</w:t>
      </w:r>
    </w:p>
    <w:p w:rsidR="00BB6F9A" w:rsidRDefault="00BB6F9A">
      <w:pPr>
        <w:pStyle w:val="AmdtsEntryHd"/>
      </w:pPr>
      <w:r>
        <w:t>Damages for a person’s death</w:t>
      </w:r>
    </w:p>
    <w:p w:rsidR="00BB6F9A" w:rsidRDefault="00BB6F9A">
      <w:pPr>
        <w:pStyle w:val="AmdtsEntries"/>
      </w:pPr>
      <w:r>
        <w:t>s 22 hdg</w:t>
      </w:r>
      <w:r>
        <w:tab/>
      </w:r>
      <w:r>
        <w:rPr>
          <w:rStyle w:val="charUnderline"/>
        </w:rPr>
        <w:t>bracketed note exp 1 November 2003 (s 4 (3))</w:t>
      </w:r>
    </w:p>
    <w:p w:rsidR="00BB6F9A" w:rsidRDefault="00BB6F9A">
      <w:pPr>
        <w:pStyle w:val="AmdtsEntryHd"/>
      </w:pPr>
      <w:r>
        <w:t>Amounts not to be taken into account in assessing damages for death</w:t>
      </w:r>
    </w:p>
    <w:p w:rsidR="00BB6F9A" w:rsidRDefault="00BB6F9A">
      <w:pPr>
        <w:pStyle w:val="AmdtsEntries"/>
      </w:pPr>
      <w:r>
        <w:t>s 23 hdg</w:t>
      </w:r>
      <w:r>
        <w:tab/>
      </w:r>
      <w:r>
        <w:rPr>
          <w:rStyle w:val="charUnderline"/>
        </w:rPr>
        <w:t>bracketed note exp 1 November 2003 (s 4 (3))</w:t>
      </w:r>
    </w:p>
    <w:p w:rsidR="00BB6F9A" w:rsidRDefault="00BB6F9A">
      <w:pPr>
        <w:pStyle w:val="AmdtsEntryHd"/>
      </w:pPr>
      <w:r>
        <w:t>Contributory negligence not defence in relation to death</w:t>
      </w:r>
    </w:p>
    <w:p w:rsidR="00BB6F9A" w:rsidRDefault="00BB6F9A">
      <w:pPr>
        <w:pStyle w:val="AmdtsEntries"/>
      </w:pPr>
      <w:r>
        <w:t>s 24 hdg</w:t>
      </w:r>
      <w:r>
        <w:tab/>
      </w:r>
      <w:r>
        <w:rPr>
          <w:rStyle w:val="charUnderline"/>
        </w:rPr>
        <w:t>bracketed note exp 1 November 2003 (s 4 (3))</w:t>
      </w:r>
    </w:p>
    <w:p w:rsidR="00BB6F9A" w:rsidRDefault="00BB6F9A">
      <w:pPr>
        <w:pStyle w:val="AmdtsEntryHd"/>
      </w:pPr>
      <w:r>
        <w:t>One action for benefit of members of dead person’s family</w:t>
      </w:r>
    </w:p>
    <w:p w:rsidR="00BB6F9A" w:rsidRDefault="00BB6F9A">
      <w:pPr>
        <w:pStyle w:val="AmdtsEntries"/>
      </w:pPr>
      <w:r>
        <w:t>s 25 hdg</w:t>
      </w:r>
      <w:r>
        <w:tab/>
      </w:r>
      <w:r>
        <w:rPr>
          <w:rStyle w:val="charUnderline"/>
        </w:rPr>
        <w:t>bracketed note exp 1 November 2003 (s 4 (3))</w:t>
      </w:r>
    </w:p>
    <w:p w:rsidR="00BB6F9A" w:rsidRDefault="00BB6F9A">
      <w:pPr>
        <w:pStyle w:val="AmdtsEntryHd"/>
      </w:pPr>
      <w:r>
        <w:t>Payment into court</w:t>
      </w:r>
    </w:p>
    <w:p w:rsidR="00BB6F9A" w:rsidRDefault="00BB6F9A">
      <w:pPr>
        <w:pStyle w:val="AmdtsEntries"/>
      </w:pPr>
      <w:r>
        <w:t>s 26 hdg</w:t>
      </w:r>
      <w:r>
        <w:tab/>
      </w:r>
      <w:r>
        <w:rPr>
          <w:rStyle w:val="charUnderline"/>
        </w:rPr>
        <w:t>bracketed note exp 1 November 2003 (s 4 (3))</w:t>
      </w:r>
    </w:p>
    <w:p w:rsidR="00BB6F9A" w:rsidRDefault="00BB6F9A">
      <w:pPr>
        <w:pStyle w:val="AmdtsEntryHd"/>
      </w:pPr>
      <w:r>
        <w:t>Special endorsement on originating process</w:t>
      </w:r>
    </w:p>
    <w:p w:rsidR="00BB6F9A" w:rsidRDefault="00BB6F9A">
      <w:pPr>
        <w:pStyle w:val="AmdtsEntries"/>
      </w:pPr>
      <w:r>
        <w:t>s 27 hdg</w:t>
      </w:r>
      <w:r>
        <w:tab/>
      </w:r>
      <w:r>
        <w:rPr>
          <w:rStyle w:val="charUnderline"/>
        </w:rPr>
        <w:t>bracketed note exp 1 November 2003 (s 4 (3))</w:t>
      </w:r>
    </w:p>
    <w:p w:rsidR="00BB6F9A" w:rsidRDefault="00BB6F9A">
      <w:pPr>
        <w:pStyle w:val="AmdtsEntryHd"/>
      </w:pPr>
      <w:r>
        <w:t>Powers of court to make orders in relation to actions</w:t>
      </w:r>
    </w:p>
    <w:p w:rsidR="00BB6F9A" w:rsidRDefault="00BB6F9A">
      <w:pPr>
        <w:pStyle w:val="AmdtsEntries"/>
      </w:pPr>
      <w:r>
        <w:t>s 28 hdg</w:t>
      </w:r>
      <w:r>
        <w:tab/>
      </w:r>
      <w:r>
        <w:rPr>
          <w:rStyle w:val="charUnderline"/>
        </w:rPr>
        <w:t>bracketed note exp 1 November 2003 (s 4 (3))</w:t>
      </w:r>
    </w:p>
    <w:p w:rsidR="00BB6F9A" w:rsidRDefault="00BB6F9A">
      <w:pPr>
        <w:pStyle w:val="AmdtsEntryHd"/>
      </w:pPr>
      <w:r>
        <w:t>Definitions for pt 3.2</w:t>
      </w:r>
    </w:p>
    <w:p w:rsidR="00BB6F9A" w:rsidRDefault="00BB6F9A">
      <w:pPr>
        <w:pStyle w:val="AmdtsEntries"/>
        <w:keepNext/>
      </w:pPr>
      <w:r>
        <w:t>s 29 hdg</w:t>
      </w:r>
      <w:r>
        <w:tab/>
      </w:r>
      <w:r>
        <w:rPr>
          <w:rStyle w:val="charUnderline"/>
        </w:rPr>
        <w:t>bracketed note exp 1 November 2003 (s 4 (3))</w:t>
      </w:r>
    </w:p>
    <w:p w:rsidR="00BB6F9A" w:rsidRDefault="00BB6F9A">
      <w:pPr>
        <w:pStyle w:val="AmdtsEntries"/>
      </w:pPr>
      <w:r>
        <w:t>s 29</w:t>
      </w:r>
      <w:r>
        <w:tab/>
        <w:t xml:space="preserve">def </w:t>
      </w:r>
      <w:r>
        <w:rPr>
          <w:rStyle w:val="charBoldItals"/>
        </w:rPr>
        <w:t xml:space="preserve">family member </w:t>
      </w:r>
      <w:r>
        <w:t>am A2003-14 amdt 1.14; pars renum R6 LA (see A2003-14 amdt 1.15)</w:t>
      </w:r>
    </w:p>
    <w:p w:rsidR="00BB6F9A" w:rsidRDefault="00BB6F9A">
      <w:pPr>
        <w:pStyle w:val="AmdtsEntryHd"/>
      </w:pPr>
      <w:r>
        <w:lastRenderedPageBreak/>
        <w:t>Personal injury arising from mental or nervous shock</w:t>
      </w:r>
    </w:p>
    <w:p w:rsidR="00BB6F9A" w:rsidRDefault="00BB6F9A">
      <w:pPr>
        <w:pStyle w:val="AmdtsEntries"/>
      </w:pPr>
      <w:r>
        <w:t>s 30 hdg</w:t>
      </w:r>
      <w:r>
        <w:tab/>
      </w:r>
      <w:r>
        <w:rPr>
          <w:rStyle w:val="charUnderline"/>
        </w:rPr>
        <w:t>bracketed note exp 1 November 2003 (s 4 (3))</w:t>
      </w:r>
    </w:p>
    <w:p w:rsidR="00BB6F9A" w:rsidRDefault="00BB6F9A">
      <w:pPr>
        <w:pStyle w:val="AmdtsEntryHd"/>
      </w:pPr>
      <w:r>
        <w:t>Extensions of liability under pt 3.2 in certain cases</w:t>
      </w:r>
    </w:p>
    <w:p w:rsidR="00BB6F9A" w:rsidRDefault="00BB6F9A">
      <w:pPr>
        <w:pStyle w:val="AmdtsEntries"/>
        <w:keepNext/>
      </w:pPr>
      <w:r>
        <w:t>s 31 hdg</w:t>
      </w:r>
      <w:r>
        <w:tab/>
      </w:r>
      <w:r>
        <w:rPr>
          <w:rStyle w:val="charUnderline"/>
        </w:rPr>
        <w:t>bracketed note exp 1 November 2003 (s 4 (3))</w:t>
      </w:r>
    </w:p>
    <w:p w:rsidR="00BB6F9A" w:rsidRDefault="00BB6F9A">
      <w:pPr>
        <w:pStyle w:val="AmdtsEntries"/>
      </w:pPr>
      <w:r>
        <w:t>s 31</w:t>
      </w:r>
      <w:r>
        <w:tab/>
        <w:t>am A2003-14 amdt 1.16</w:t>
      </w:r>
    </w:p>
    <w:p w:rsidR="00BB6F9A" w:rsidRDefault="00BB6F9A">
      <w:pPr>
        <w:pStyle w:val="AmdtsEntryHd"/>
      </w:pPr>
      <w:r>
        <w:t>Temporary exclusion of liability for terrorism-associated risks</w:t>
      </w:r>
    </w:p>
    <w:p w:rsidR="00BB6F9A" w:rsidRDefault="00BB6F9A">
      <w:pPr>
        <w:pStyle w:val="AmdtsEntries"/>
        <w:keepNext/>
      </w:pPr>
      <w:r>
        <w:t>pt 3.3 hdg</w:t>
      </w:r>
      <w:r>
        <w:tab/>
        <w:t>ins A2003-6 s 4</w:t>
      </w:r>
    </w:p>
    <w:p w:rsidR="00BB6F9A" w:rsidRDefault="00BB6F9A">
      <w:pPr>
        <w:pStyle w:val="AmdtsEntries"/>
        <w:rPr>
          <w:rStyle w:val="charUnderline"/>
        </w:rPr>
      </w:pPr>
      <w:r>
        <w:tab/>
      </w:r>
      <w:r>
        <w:rPr>
          <w:rStyle w:val="charUnderline"/>
        </w:rPr>
        <w:t>exp 31 December 2004 (s 31C)</w:t>
      </w:r>
    </w:p>
    <w:p w:rsidR="00BB6F9A" w:rsidRDefault="00BB6F9A">
      <w:pPr>
        <w:pStyle w:val="AmdtsEntryHd"/>
      </w:pPr>
      <w:r>
        <w:t xml:space="preserve">Meaning of </w:t>
      </w:r>
      <w:r>
        <w:rPr>
          <w:i/>
          <w:iCs/>
        </w:rPr>
        <w:t xml:space="preserve">act of terrorism </w:t>
      </w:r>
      <w:r>
        <w:t>for pt 3.3</w:t>
      </w:r>
    </w:p>
    <w:p w:rsidR="00BB6F9A" w:rsidRDefault="00BB6F9A">
      <w:pPr>
        <w:pStyle w:val="AmdtsEntries"/>
        <w:keepNext/>
      </w:pPr>
      <w:r>
        <w:t>s 31A</w:t>
      </w:r>
      <w:r>
        <w:tab/>
        <w:t>ins A2003-6 s 4</w:t>
      </w:r>
    </w:p>
    <w:p w:rsidR="00BB6F9A" w:rsidRDefault="00BB6F9A">
      <w:pPr>
        <w:pStyle w:val="AmdtsEntries"/>
        <w:rPr>
          <w:rStyle w:val="charUnderline"/>
        </w:rPr>
      </w:pPr>
      <w:r>
        <w:tab/>
      </w:r>
      <w:r>
        <w:rPr>
          <w:rStyle w:val="charUnderline"/>
        </w:rPr>
        <w:t>exp 31 December 2004 (s 31C)</w:t>
      </w:r>
    </w:p>
    <w:p w:rsidR="00BB6F9A" w:rsidRDefault="00BB6F9A">
      <w:pPr>
        <w:pStyle w:val="AmdtsEntryHd"/>
      </w:pPr>
      <w:r>
        <w:t>Limitation of liability for acts of terrorism</w:t>
      </w:r>
    </w:p>
    <w:p w:rsidR="00BB6F9A" w:rsidRDefault="00BB6F9A">
      <w:pPr>
        <w:pStyle w:val="AmdtsEntries"/>
        <w:keepNext/>
      </w:pPr>
      <w:r>
        <w:t>s 31B</w:t>
      </w:r>
      <w:r>
        <w:tab/>
        <w:t>ins A2003-6 s 4</w:t>
      </w:r>
    </w:p>
    <w:p w:rsidR="00BB6F9A" w:rsidRDefault="00BB6F9A">
      <w:pPr>
        <w:pStyle w:val="AmdtsEntries"/>
        <w:rPr>
          <w:rStyle w:val="charUnderline"/>
        </w:rPr>
      </w:pPr>
      <w:r>
        <w:tab/>
      </w:r>
      <w:r>
        <w:rPr>
          <w:rStyle w:val="charUnderline"/>
        </w:rPr>
        <w:t>exp 31 December 2004 (s 31C)</w:t>
      </w:r>
    </w:p>
    <w:p w:rsidR="00BB6F9A" w:rsidRDefault="00BB6F9A">
      <w:pPr>
        <w:pStyle w:val="AmdtsEntryHd"/>
      </w:pPr>
      <w:r>
        <w:t>Expiry of pt 3.3</w:t>
      </w:r>
    </w:p>
    <w:p w:rsidR="00BB6F9A" w:rsidRDefault="00BB6F9A">
      <w:pPr>
        <w:pStyle w:val="AmdtsEntries"/>
        <w:keepNext/>
      </w:pPr>
      <w:r>
        <w:t>s 31C</w:t>
      </w:r>
      <w:r>
        <w:tab/>
        <w:t>ins A2003-6 s 4</w:t>
      </w:r>
    </w:p>
    <w:p w:rsidR="00BB6F9A" w:rsidRDefault="00BB6F9A">
      <w:pPr>
        <w:pStyle w:val="AmdtsEntries"/>
        <w:rPr>
          <w:rStyle w:val="charUnderline"/>
        </w:rPr>
      </w:pPr>
      <w:r>
        <w:tab/>
      </w:r>
      <w:r>
        <w:rPr>
          <w:rStyle w:val="charUnderline"/>
        </w:rPr>
        <w:t>exp 31 December 2004 (s 31C)</w:t>
      </w:r>
    </w:p>
    <w:p w:rsidR="00BB6F9A" w:rsidRDefault="00BB6F9A">
      <w:pPr>
        <w:pStyle w:val="AmdtsEntryHd"/>
      </w:pPr>
      <w:r>
        <w:t>Damages for loss of capacity to perform domestic services</w:t>
      </w:r>
    </w:p>
    <w:p w:rsidR="00BB6F9A" w:rsidRDefault="00BB6F9A">
      <w:pPr>
        <w:pStyle w:val="AmdtsEntries"/>
      </w:pPr>
      <w:r>
        <w:t>s 39 hdg</w:t>
      </w:r>
      <w:r>
        <w:tab/>
      </w:r>
      <w:r>
        <w:rPr>
          <w:rStyle w:val="charUnderline"/>
        </w:rPr>
        <w:t>bracketed note exp 1 November 2003 (s 4 (3))</w:t>
      </w:r>
    </w:p>
    <w:p w:rsidR="00BB6F9A" w:rsidRDefault="00BB6F9A">
      <w:pPr>
        <w:pStyle w:val="AmdtsEntryHd"/>
      </w:pPr>
      <w:r>
        <w:t>Definitions for pt 4.3</w:t>
      </w:r>
    </w:p>
    <w:p w:rsidR="00BB6F9A" w:rsidRDefault="00BB6F9A">
      <w:pPr>
        <w:pStyle w:val="AmdtsEntries"/>
      </w:pPr>
      <w:r>
        <w:t>s 40 hdg</w:t>
      </w:r>
      <w:r>
        <w:tab/>
      </w:r>
      <w:r>
        <w:rPr>
          <w:rStyle w:val="charUnderline"/>
        </w:rPr>
        <w:t>bracketed note exp 1 November 2003 (s 4 (3))</w:t>
      </w:r>
    </w:p>
    <w:p w:rsidR="00BB6F9A" w:rsidRDefault="00BB6F9A">
      <w:pPr>
        <w:pStyle w:val="AmdtsEntryHd"/>
      </w:pPr>
      <w:r>
        <w:t>Apportionment of liability—contributory negligence</w:t>
      </w:r>
    </w:p>
    <w:p w:rsidR="00BB6F9A" w:rsidRDefault="00BB6F9A">
      <w:pPr>
        <w:pStyle w:val="AmdtsEntries"/>
      </w:pPr>
      <w:r>
        <w:t>s 41 hdg</w:t>
      </w:r>
      <w:r>
        <w:tab/>
      </w:r>
      <w:r>
        <w:rPr>
          <w:rStyle w:val="charUnderline"/>
        </w:rPr>
        <w:t>bracketed note exp 1 November 2003 (s 4 (3))</w:t>
      </w:r>
    </w:p>
    <w:p w:rsidR="00BB6F9A" w:rsidRDefault="00BB6F9A">
      <w:pPr>
        <w:pStyle w:val="AmdtsEntryHd"/>
      </w:pPr>
      <w:r>
        <w:t>Joint wrongdoers</w:t>
      </w:r>
    </w:p>
    <w:p w:rsidR="00BB6F9A" w:rsidRDefault="00BB6F9A">
      <w:pPr>
        <w:pStyle w:val="AmdtsEntries"/>
      </w:pPr>
      <w:r>
        <w:t>s 42 hdg</w:t>
      </w:r>
      <w:r>
        <w:tab/>
      </w:r>
      <w:r>
        <w:rPr>
          <w:rStyle w:val="charUnderline"/>
        </w:rPr>
        <w:t>bracketed note exp 1 November 2003 (s 4 (3))</w:t>
      </w:r>
    </w:p>
    <w:p w:rsidR="00BB6F9A" w:rsidRDefault="00BB6F9A">
      <w:pPr>
        <w:pStyle w:val="AmdtsEntryHd"/>
      </w:pPr>
      <w:r>
        <w:t>Claims by third parties—contributory negligence</w:t>
      </w:r>
    </w:p>
    <w:p w:rsidR="00BB6F9A" w:rsidRDefault="00BB6F9A">
      <w:pPr>
        <w:pStyle w:val="AmdtsEntries"/>
      </w:pPr>
      <w:r>
        <w:t>s 43 hdg</w:t>
      </w:r>
      <w:r>
        <w:tab/>
      </w:r>
      <w:r>
        <w:rPr>
          <w:rStyle w:val="charUnderline"/>
        </w:rPr>
        <w:t>bracketed note exp 1 November 2003 (s 4 (3))</w:t>
      </w:r>
    </w:p>
    <w:p w:rsidR="00BB6F9A" w:rsidRDefault="00BB6F9A">
      <w:pPr>
        <w:pStyle w:val="AmdtsEntryHd"/>
      </w:pPr>
      <w:r>
        <w:t>Pleading of statutory limitation period—contributory negligence</w:t>
      </w:r>
    </w:p>
    <w:p w:rsidR="00BB6F9A" w:rsidRDefault="00BB6F9A">
      <w:pPr>
        <w:pStyle w:val="AmdtsEntries"/>
      </w:pPr>
      <w:r>
        <w:t>s 44 hdg</w:t>
      </w:r>
      <w:r>
        <w:tab/>
      </w:r>
      <w:r>
        <w:rPr>
          <w:rStyle w:val="charUnderline"/>
        </w:rPr>
        <w:t>bracketed note exp 1 November 2003 (s 4 (3))</w:t>
      </w:r>
    </w:p>
    <w:p w:rsidR="00BB6F9A" w:rsidRDefault="00BB6F9A">
      <w:pPr>
        <w:pStyle w:val="AmdtsEntryHd"/>
      </w:pPr>
      <w:r>
        <w:t>Reasonable offer to make amends—defamation</w:t>
      </w:r>
    </w:p>
    <w:p w:rsidR="00BB6F9A" w:rsidRDefault="00BB6F9A">
      <w:pPr>
        <w:pStyle w:val="AmdtsEntries"/>
      </w:pPr>
      <w:r>
        <w:t>s 50 hdg</w:t>
      </w:r>
      <w:r>
        <w:tab/>
      </w:r>
      <w:r>
        <w:rPr>
          <w:rStyle w:val="charUnderline"/>
        </w:rPr>
        <w:t>bracketed note exp 1 November 2003 (s 4 (3))</w:t>
      </w:r>
    </w:p>
    <w:p w:rsidR="00BB6F9A" w:rsidRDefault="00BB6F9A">
      <w:pPr>
        <w:pStyle w:val="AmdtsEntryHd"/>
      </w:pPr>
      <w:r>
        <w:t>Acceptance of offer to make amends—defamation</w:t>
      </w:r>
    </w:p>
    <w:p w:rsidR="00BB6F9A" w:rsidRDefault="00BB6F9A">
      <w:pPr>
        <w:pStyle w:val="AmdtsEntries"/>
      </w:pPr>
      <w:r>
        <w:t>s 51 hdg</w:t>
      </w:r>
      <w:r>
        <w:tab/>
      </w:r>
      <w:r>
        <w:rPr>
          <w:rStyle w:val="charUnderline"/>
        </w:rPr>
        <w:t>bracketed note exp 1 November 2003 (s 4 (3))</w:t>
      </w:r>
    </w:p>
    <w:p w:rsidR="00BB6F9A" w:rsidRDefault="00BB6F9A">
      <w:pPr>
        <w:pStyle w:val="AmdtsEntryHd"/>
      </w:pPr>
      <w:r>
        <w:t>False or misleading statement in correction</w:t>
      </w:r>
    </w:p>
    <w:p w:rsidR="00BB6F9A" w:rsidRDefault="00BB6F9A">
      <w:pPr>
        <w:pStyle w:val="AmdtsEntries"/>
      </w:pPr>
      <w:r>
        <w:t>s 52 hdg</w:t>
      </w:r>
      <w:r>
        <w:tab/>
      </w:r>
      <w:r>
        <w:rPr>
          <w:rStyle w:val="charUnderline"/>
        </w:rPr>
        <w:t>bracketed note exp 1 November 2003 (s 4 (3))</w:t>
      </w:r>
    </w:p>
    <w:p w:rsidR="00BB6F9A" w:rsidRDefault="00BB6F9A">
      <w:pPr>
        <w:pStyle w:val="AmdtsEntryHd"/>
      </w:pPr>
      <w:r>
        <w:t>Offer to make amends not accepted—defamation</w:t>
      </w:r>
    </w:p>
    <w:p w:rsidR="00BB6F9A" w:rsidRDefault="00BB6F9A">
      <w:pPr>
        <w:pStyle w:val="AmdtsEntries"/>
      </w:pPr>
      <w:r>
        <w:t>s 53 hdg</w:t>
      </w:r>
      <w:r>
        <w:tab/>
      </w:r>
      <w:r>
        <w:rPr>
          <w:rStyle w:val="charUnderline"/>
        </w:rPr>
        <w:t>bracketed note exp 1 November 2003 (s 4 (3))</w:t>
      </w:r>
    </w:p>
    <w:p w:rsidR="00BB6F9A" w:rsidRDefault="00BB6F9A">
      <w:pPr>
        <w:pStyle w:val="AmdtsEntryHd"/>
      </w:pPr>
      <w:r>
        <w:t>Order to vindicate reputation if offer not made</w:t>
      </w:r>
    </w:p>
    <w:p w:rsidR="00BB6F9A" w:rsidRDefault="00BB6F9A">
      <w:pPr>
        <w:pStyle w:val="AmdtsEntries"/>
      </w:pPr>
      <w:r>
        <w:t>s 54 hdg</w:t>
      </w:r>
      <w:r>
        <w:tab/>
      </w:r>
      <w:r>
        <w:rPr>
          <w:rStyle w:val="charUnderline"/>
        </w:rPr>
        <w:t>bracketed note exp 1 November 2003 (s 4 (3))</w:t>
      </w:r>
    </w:p>
    <w:p w:rsidR="00BB6F9A" w:rsidRDefault="00BB6F9A">
      <w:pPr>
        <w:pStyle w:val="AmdtsEntryHd"/>
      </w:pPr>
      <w:r>
        <w:lastRenderedPageBreak/>
        <w:t>Application of pt 5.3</w:t>
      </w:r>
    </w:p>
    <w:p w:rsidR="00BB6F9A" w:rsidRDefault="00BB6F9A">
      <w:pPr>
        <w:pStyle w:val="AmdtsEntries"/>
      </w:pPr>
      <w:r>
        <w:t>s 55 hdg</w:t>
      </w:r>
      <w:r>
        <w:tab/>
      </w:r>
      <w:r>
        <w:rPr>
          <w:rStyle w:val="charUnderline"/>
        </w:rPr>
        <w:t>bracketed note exp 1 November 2003 (s 4 (3))</w:t>
      </w:r>
    </w:p>
    <w:p w:rsidR="00BB6F9A" w:rsidRDefault="00BB6F9A">
      <w:pPr>
        <w:pStyle w:val="AmdtsEntryHd"/>
      </w:pPr>
      <w:r>
        <w:t xml:space="preserve">Meaning of </w:t>
      </w:r>
      <w:r>
        <w:rPr>
          <w:rStyle w:val="charItals"/>
        </w:rPr>
        <w:t>published matter</w:t>
      </w:r>
      <w:r>
        <w:t xml:space="preserve"> in pt 5.3</w:t>
      </w:r>
    </w:p>
    <w:p w:rsidR="00BB6F9A" w:rsidRDefault="00BB6F9A">
      <w:pPr>
        <w:pStyle w:val="AmdtsEntries"/>
      </w:pPr>
      <w:r>
        <w:t>s 56 hdg</w:t>
      </w:r>
      <w:r>
        <w:tab/>
      </w:r>
      <w:r>
        <w:rPr>
          <w:rStyle w:val="charUnderline"/>
        </w:rPr>
        <w:t>bracketed note exp 1 November 2003 (s 4 (3))</w:t>
      </w:r>
    </w:p>
    <w:p w:rsidR="00BB6F9A" w:rsidRDefault="00BB6F9A">
      <w:pPr>
        <w:pStyle w:val="AmdtsEntryHd"/>
      </w:pPr>
      <w:r>
        <w:t>Slander actionable without special damage</w:t>
      </w:r>
    </w:p>
    <w:p w:rsidR="00BB6F9A" w:rsidRDefault="00BB6F9A">
      <w:pPr>
        <w:pStyle w:val="AmdtsEntries"/>
      </w:pPr>
      <w:r>
        <w:t>s 57 hdg</w:t>
      </w:r>
      <w:r>
        <w:tab/>
      </w:r>
      <w:r>
        <w:rPr>
          <w:rStyle w:val="charUnderline"/>
        </w:rPr>
        <w:t>bracketed note exp 1 November 2003 (s 4 (3))</w:t>
      </w:r>
    </w:p>
    <w:p w:rsidR="00BB6F9A" w:rsidRDefault="00BB6F9A">
      <w:pPr>
        <w:pStyle w:val="AmdtsEntryHd"/>
      </w:pPr>
      <w:r>
        <w:t>Plaintiff’s character not likely to be injured</w:t>
      </w:r>
    </w:p>
    <w:p w:rsidR="00BB6F9A" w:rsidRDefault="00BB6F9A">
      <w:pPr>
        <w:pStyle w:val="AmdtsEntries"/>
      </w:pPr>
      <w:r>
        <w:t>s 58 hdg</w:t>
      </w:r>
      <w:r>
        <w:tab/>
      </w:r>
      <w:r>
        <w:rPr>
          <w:rStyle w:val="charUnderline"/>
        </w:rPr>
        <w:t>bracketed note exp 1 November 2003 (s 4 (3))</w:t>
      </w:r>
    </w:p>
    <w:p w:rsidR="00BB6F9A" w:rsidRDefault="00BB6F9A">
      <w:pPr>
        <w:pStyle w:val="AmdtsEntryHd"/>
      </w:pPr>
      <w:r>
        <w:t>Defence of truth and public benefit</w:t>
      </w:r>
    </w:p>
    <w:p w:rsidR="00BB6F9A" w:rsidRDefault="00BB6F9A">
      <w:pPr>
        <w:pStyle w:val="AmdtsEntries"/>
      </w:pPr>
      <w:r>
        <w:t>s 59 hdg</w:t>
      </w:r>
      <w:r>
        <w:tab/>
      </w:r>
      <w:r>
        <w:rPr>
          <w:rStyle w:val="charUnderline"/>
        </w:rPr>
        <w:t>bracketed note exp 1 November 2003 (s 4 (3))</w:t>
      </w:r>
    </w:p>
    <w:p w:rsidR="00BB6F9A" w:rsidRDefault="00BB6F9A">
      <w:pPr>
        <w:pStyle w:val="AmdtsEntryHd"/>
      </w:pPr>
      <w:r>
        <w:t>Publication of a proceeding of public concern</w:t>
      </w:r>
    </w:p>
    <w:p w:rsidR="00BB6F9A" w:rsidRDefault="00BB6F9A">
      <w:pPr>
        <w:pStyle w:val="AmdtsEntries"/>
      </w:pPr>
      <w:r>
        <w:t>s 60 hdg</w:t>
      </w:r>
      <w:r>
        <w:tab/>
      </w:r>
      <w:r>
        <w:rPr>
          <w:rStyle w:val="charUnderline"/>
        </w:rPr>
        <w:t>bracketed note exp 1 November 2003 (s 4 (3))</w:t>
      </w:r>
    </w:p>
    <w:p w:rsidR="00BB6F9A" w:rsidRDefault="00BB6F9A">
      <w:pPr>
        <w:pStyle w:val="AmdtsEntryHd"/>
      </w:pPr>
      <w:r>
        <w:t>Publication of public document</w:t>
      </w:r>
    </w:p>
    <w:p w:rsidR="00BB6F9A" w:rsidRDefault="00BB6F9A">
      <w:pPr>
        <w:pStyle w:val="AmdtsEntries"/>
      </w:pPr>
      <w:r>
        <w:t>s 61 hdg</w:t>
      </w:r>
      <w:r>
        <w:tab/>
      </w:r>
      <w:r>
        <w:rPr>
          <w:rStyle w:val="charUnderline"/>
        </w:rPr>
        <w:t>bracketed note exp 1 November 2003 (s 4 (3))</w:t>
      </w:r>
    </w:p>
    <w:p w:rsidR="00BB6F9A" w:rsidRDefault="00BB6F9A">
      <w:pPr>
        <w:pStyle w:val="AmdtsEntryHd"/>
      </w:pPr>
      <w:r>
        <w:t>Publication under contract</w:t>
      </w:r>
    </w:p>
    <w:p w:rsidR="00BB6F9A" w:rsidRDefault="00BB6F9A">
      <w:pPr>
        <w:pStyle w:val="AmdtsEntries"/>
      </w:pPr>
      <w:r>
        <w:t>s 62 hdg</w:t>
      </w:r>
      <w:r>
        <w:tab/>
      </w:r>
      <w:r>
        <w:rPr>
          <w:rStyle w:val="charUnderline"/>
        </w:rPr>
        <w:t>bracketed note exp 1 November 2003 (s 4 (3))</w:t>
      </w:r>
    </w:p>
    <w:p w:rsidR="00BB6F9A" w:rsidRDefault="00BB6F9A">
      <w:pPr>
        <w:pStyle w:val="AmdtsEntryHd"/>
      </w:pPr>
      <w:r>
        <w:t>Evidence of apology admissible in mitigation—defamation</w:t>
      </w:r>
    </w:p>
    <w:p w:rsidR="00BB6F9A" w:rsidRDefault="00BB6F9A">
      <w:pPr>
        <w:pStyle w:val="AmdtsEntries"/>
      </w:pPr>
      <w:r>
        <w:t>s 63 hdg</w:t>
      </w:r>
      <w:r>
        <w:tab/>
      </w:r>
      <w:r>
        <w:rPr>
          <w:rStyle w:val="charUnderline"/>
        </w:rPr>
        <w:t>bracketed note exp 1 November 2003 (s 4 (3))</w:t>
      </w:r>
    </w:p>
    <w:p w:rsidR="00BB6F9A" w:rsidRDefault="00BB6F9A">
      <w:pPr>
        <w:pStyle w:val="AmdtsEntryHd"/>
      </w:pPr>
      <w:r>
        <w:t>Payment into court—defamation</w:t>
      </w:r>
    </w:p>
    <w:p w:rsidR="00BB6F9A" w:rsidRDefault="00BB6F9A">
      <w:pPr>
        <w:pStyle w:val="AmdtsEntries"/>
      </w:pPr>
      <w:r>
        <w:t>s 64 hdg</w:t>
      </w:r>
      <w:r>
        <w:tab/>
      </w:r>
      <w:r>
        <w:rPr>
          <w:rStyle w:val="charUnderline"/>
        </w:rPr>
        <w:t>bracketed note exp 1 November 2003 (s 4 (3))</w:t>
      </w:r>
    </w:p>
    <w:p w:rsidR="00BB6F9A" w:rsidRDefault="00BB6F9A">
      <w:pPr>
        <w:pStyle w:val="AmdtsEntryHd"/>
      </w:pPr>
      <w:r>
        <w:t>Defence of apology and payment into court—defamation</w:t>
      </w:r>
    </w:p>
    <w:p w:rsidR="00BB6F9A" w:rsidRDefault="00BB6F9A">
      <w:pPr>
        <w:pStyle w:val="AmdtsEntries"/>
      </w:pPr>
      <w:r>
        <w:t>s 65 hdg</w:t>
      </w:r>
      <w:r>
        <w:tab/>
      </w:r>
      <w:r>
        <w:rPr>
          <w:rStyle w:val="charUnderline"/>
        </w:rPr>
        <w:t>bracketed note exp 1 November 2003 (s 4 (3))</w:t>
      </w:r>
    </w:p>
    <w:p w:rsidR="00BB6F9A" w:rsidRDefault="00BB6F9A">
      <w:pPr>
        <w:pStyle w:val="AmdtsEntryHd"/>
      </w:pPr>
      <w:r>
        <w:t>Defence for defamation—defendant not negligent</w:t>
      </w:r>
    </w:p>
    <w:p w:rsidR="00BB6F9A" w:rsidRDefault="00BB6F9A">
      <w:pPr>
        <w:pStyle w:val="AmdtsEntries"/>
      </w:pPr>
      <w:r>
        <w:t>s 66 hdg</w:t>
      </w:r>
      <w:r>
        <w:tab/>
      </w:r>
      <w:r>
        <w:rPr>
          <w:rStyle w:val="charUnderline"/>
        </w:rPr>
        <w:t>bracketed note exp 1 November 2003 (s 4 (3))</w:t>
      </w:r>
    </w:p>
    <w:p w:rsidR="00BB6F9A" w:rsidRDefault="00BB6F9A">
      <w:pPr>
        <w:pStyle w:val="AmdtsEntryHd"/>
      </w:pPr>
      <w:r>
        <w:t>Compensation etc provable in mitigation—defamation</w:t>
      </w:r>
    </w:p>
    <w:p w:rsidR="00BB6F9A" w:rsidRDefault="00BB6F9A">
      <w:pPr>
        <w:pStyle w:val="AmdtsEntries"/>
      </w:pPr>
      <w:r>
        <w:t>s 67 hdg</w:t>
      </w:r>
      <w:r>
        <w:tab/>
      </w:r>
      <w:r>
        <w:rPr>
          <w:rStyle w:val="charUnderline"/>
        </w:rPr>
        <w:t>bracketed note exp 1 November 2003 (s 4 (3))</w:t>
      </w:r>
    </w:p>
    <w:p w:rsidR="00BB6F9A" w:rsidRDefault="00BB6F9A">
      <w:pPr>
        <w:pStyle w:val="AmdtsEntryHd"/>
      </w:pPr>
      <w:r>
        <w:t>Damages—defamation</w:t>
      </w:r>
    </w:p>
    <w:p w:rsidR="00BB6F9A" w:rsidRDefault="00BB6F9A">
      <w:pPr>
        <w:pStyle w:val="AmdtsEntries"/>
      </w:pPr>
      <w:r>
        <w:t>s 68 hdg</w:t>
      </w:r>
      <w:r>
        <w:tab/>
      </w:r>
      <w:r>
        <w:rPr>
          <w:rStyle w:val="charUnderline"/>
        </w:rPr>
        <w:t>bracketed note exp 1 November 2003 (s 4 (3))</w:t>
      </w:r>
    </w:p>
    <w:p w:rsidR="00BB6F9A" w:rsidRDefault="00BB6F9A">
      <w:pPr>
        <w:pStyle w:val="AmdtsEntryHd"/>
      </w:pPr>
      <w:r>
        <w:t>Disclosure of name of contributor</w:t>
      </w:r>
    </w:p>
    <w:p w:rsidR="00BB6F9A" w:rsidRDefault="00BB6F9A">
      <w:pPr>
        <w:pStyle w:val="AmdtsEntries"/>
      </w:pPr>
      <w:r>
        <w:t>s 69 hdg</w:t>
      </w:r>
      <w:r>
        <w:tab/>
      </w:r>
      <w:r>
        <w:rPr>
          <w:rStyle w:val="charUnderline"/>
        </w:rPr>
        <w:t>bracketed note exp 1 November 2003 (s 4 (3))</w:t>
      </w:r>
    </w:p>
    <w:p w:rsidR="00BB6F9A" w:rsidRDefault="00BB6F9A">
      <w:pPr>
        <w:pStyle w:val="AmdtsEntryHd"/>
        <w:rPr>
          <w:rStyle w:val="CharPartText"/>
        </w:rPr>
      </w:pPr>
      <w:r>
        <w:rPr>
          <w:rStyle w:val="CharPartText"/>
        </w:rPr>
        <w:t>Scope of defences not limited</w:t>
      </w:r>
    </w:p>
    <w:p w:rsidR="00BB6F9A" w:rsidRDefault="00BB6F9A">
      <w:pPr>
        <w:pStyle w:val="AmdtsEntries"/>
        <w:rPr>
          <w:rStyle w:val="CharPartText"/>
        </w:rPr>
      </w:pPr>
      <w:r>
        <w:rPr>
          <w:rStyle w:val="CharPartText"/>
        </w:rPr>
        <w:t>s 70</w:t>
      </w:r>
      <w:r>
        <w:t xml:space="preserve"> hdg</w:t>
      </w:r>
      <w:r>
        <w:rPr>
          <w:rStyle w:val="CharPartText"/>
        </w:rPr>
        <w:tab/>
      </w:r>
      <w:r>
        <w:rPr>
          <w:rStyle w:val="charUnderline"/>
        </w:rPr>
        <w:t>bracketed note exp 1 November 2003 (s 4 (3))</w:t>
      </w:r>
    </w:p>
    <w:p w:rsidR="00BB6F9A" w:rsidRDefault="00BB6F9A">
      <w:pPr>
        <w:pStyle w:val="AmdtsEntryHd"/>
      </w:pPr>
      <w:r>
        <w:t>Time not to be extended except by leave</w:t>
      </w:r>
    </w:p>
    <w:p w:rsidR="00BB6F9A" w:rsidRDefault="00BB6F9A">
      <w:pPr>
        <w:pStyle w:val="AmdtsEntries"/>
      </w:pPr>
      <w:r>
        <w:t>s 71 hdg</w:t>
      </w:r>
      <w:r>
        <w:tab/>
      </w:r>
      <w:r>
        <w:rPr>
          <w:rStyle w:val="charUnderline"/>
        </w:rPr>
        <w:t>bracketed note exp 1 November 2003 (s 4 (3))</w:t>
      </w:r>
    </w:p>
    <w:p w:rsidR="00BB6F9A" w:rsidRDefault="00BB6F9A">
      <w:pPr>
        <w:pStyle w:val="AmdtsEntryHd"/>
      </w:pPr>
      <w:r>
        <w:t>Review of certain provisions of ch 5</w:t>
      </w:r>
    </w:p>
    <w:p w:rsidR="00BB6F9A" w:rsidRDefault="00BB6F9A">
      <w:pPr>
        <w:pStyle w:val="AmdtsEntries"/>
        <w:keepNext/>
      </w:pPr>
      <w:r>
        <w:t>s 72 hdg</w:t>
      </w:r>
      <w:r>
        <w:tab/>
      </w:r>
      <w:r>
        <w:rPr>
          <w:rStyle w:val="charUnderline"/>
        </w:rPr>
        <w:t>bracketed note exp 1 November 2003 (s 4 (3))</w:t>
      </w:r>
    </w:p>
    <w:p w:rsidR="00BB6F9A" w:rsidRDefault="00BB6F9A">
      <w:pPr>
        <w:pStyle w:val="AmdtsEntries"/>
        <w:rPr>
          <w:u w:val="single"/>
        </w:rPr>
      </w:pPr>
      <w:r>
        <w:t>s 72</w:t>
      </w:r>
      <w:r>
        <w:tab/>
      </w:r>
      <w:r>
        <w:rPr>
          <w:u w:val="single"/>
        </w:rPr>
        <w:t>exp 1 January 2005 (s 72 (3))</w:t>
      </w:r>
    </w:p>
    <w:p w:rsidR="00BB6F9A" w:rsidRDefault="00BB6F9A">
      <w:pPr>
        <w:pStyle w:val="AmdtsEntryHd"/>
      </w:pPr>
      <w:r>
        <w:lastRenderedPageBreak/>
        <w:t>Action for use and occupation of land—amount of damages</w:t>
      </w:r>
    </w:p>
    <w:p w:rsidR="00BB6F9A" w:rsidRDefault="00BB6F9A">
      <w:pPr>
        <w:pStyle w:val="AmdtsEntries"/>
      </w:pPr>
      <w:r>
        <w:t>s 74 hdg</w:t>
      </w:r>
      <w:r>
        <w:tab/>
      </w:r>
      <w:r>
        <w:rPr>
          <w:rStyle w:val="charUnderline"/>
        </w:rPr>
        <w:t>bracketed note exp 1 November 2003 (s 4 (3))</w:t>
      </w:r>
    </w:p>
    <w:p w:rsidR="00BB6F9A" w:rsidRDefault="00BB6F9A">
      <w:pPr>
        <w:pStyle w:val="AmdtsEntryHd"/>
        <w:rPr>
          <w:i/>
          <w:iCs/>
          <w:snapToGrid w:val="0"/>
        </w:rPr>
      </w:pPr>
      <w:r>
        <w:rPr>
          <w:i/>
          <w:iCs/>
          <w:snapToGrid w:val="0"/>
        </w:rPr>
        <w:t xml:space="preserve">Limitation on strict liability under </w:t>
      </w:r>
      <w:r>
        <w:rPr>
          <w:i/>
          <w:iCs/>
        </w:rPr>
        <w:t>innkeeper’s</w:t>
      </w:r>
      <w:r>
        <w:rPr>
          <w:i/>
          <w:iCs/>
          <w:snapToGrid w:val="0"/>
        </w:rPr>
        <w:t xml:space="preserve"> liability</w:t>
      </w:r>
    </w:p>
    <w:p w:rsidR="00BB6F9A" w:rsidRDefault="00BB6F9A">
      <w:pPr>
        <w:pStyle w:val="AmdtsEntries"/>
        <w:rPr>
          <w:i/>
          <w:iCs/>
          <w:snapToGrid w:val="0"/>
        </w:rPr>
      </w:pPr>
      <w:r>
        <w:rPr>
          <w:i/>
          <w:iCs/>
          <w:snapToGrid w:val="0"/>
        </w:rPr>
        <w:t>s 83</w:t>
      </w:r>
      <w:r>
        <w:t xml:space="preserve"> </w:t>
      </w:r>
      <w:r>
        <w:rPr>
          <w:i/>
          <w:iCs/>
        </w:rPr>
        <w:t>hdg</w:t>
      </w:r>
      <w:r>
        <w:tab/>
      </w:r>
      <w:r>
        <w:rPr>
          <w:rStyle w:val="charUnderline"/>
        </w:rPr>
        <w:t>bracketed note exp 1 November 2003 (s 4 (3))</w:t>
      </w:r>
    </w:p>
    <w:p w:rsidR="00BB6F9A" w:rsidRDefault="00BB6F9A">
      <w:pPr>
        <w:pStyle w:val="AmdtsEntryHd"/>
        <w:rPr>
          <w:i/>
          <w:iCs/>
          <w:snapToGrid w:val="0"/>
        </w:rPr>
      </w:pPr>
      <w:r>
        <w:rPr>
          <w:i/>
          <w:iCs/>
          <w:snapToGrid w:val="0"/>
        </w:rPr>
        <w:t>Circumstances when limitation does not apply</w:t>
      </w:r>
    </w:p>
    <w:p w:rsidR="00BB6F9A" w:rsidRDefault="00BB6F9A">
      <w:pPr>
        <w:pStyle w:val="AmdtsEntries"/>
        <w:rPr>
          <w:i/>
          <w:iCs/>
          <w:snapToGrid w:val="0"/>
        </w:rPr>
      </w:pPr>
      <w:r>
        <w:rPr>
          <w:i/>
          <w:iCs/>
          <w:snapToGrid w:val="0"/>
        </w:rPr>
        <w:t>s 84</w:t>
      </w:r>
      <w:r>
        <w:t xml:space="preserve"> </w:t>
      </w:r>
      <w:r>
        <w:rPr>
          <w:i/>
          <w:iCs/>
        </w:rPr>
        <w:t>hdg</w:t>
      </w:r>
      <w:r>
        <w:tab/>
      </w:r>
      <w:r>
        <w:rPr>
          <w:rStyle w:val="charUnderline"/>
        </w:rPr>
        <w:t>bracketed note exp 1 November 2003 (s 4 (3))</w:t>
      </w:r>
    </w:p>
    <w:p w:rsidR="00BB6F9A" w:rsidRDefault="00BB6F9A">
      <w:pPr>
        <w:pStyle w:val="AmdtsEntryHd"/>
        <w:rPr>
          <w:i/>
          <w:iCs/>
          <w:snapToGrid w:val="0"/>
        </w:rPr>
      </w:pPr>
      <w:r>
        <w:rPr>
          <w:i/>
          <w:iCs/>
          <w:snapToGrid w:val="0"/>
        </w:rPr>
        <w:t>Safe custody facilities</w:t>
      </w:r>
    </w:p>
    <w:p w:rsidR="00BB6F9A" w:rsidRDefault="00BB6F9A">
      <w:pPr>
        <w:pStyle w:val="AmdtsEntries"/>
        <w:rPr>
          <w:i/>
          <w:iCs/>
          <w:snapToGrid w:val="0"/>
        </w:rPr>
      </w:pPr>
      <w:r>
        <w:rPr>
          <w:i/>
          <w:iCs/>
          <w:snapToGrid w:val="0"/>
        </w:rPr>
        <w:t>s 85</w:t>
      </w:r>
      <w:r>
        <w:t xml:space="preserve"> </w:t>
      </w:r>
      <w:r>
        <w:rPr>
          <w:i/>
          <w:iCs/>
        </w:rPr>
        <w:t>hdg</w:t>
      </w:r>
      <w:r>
        <w:tab/>
      </w:r>
      <w:r>
        <w:rPr>
          <w:rStyle w:val="charUnderline"/>
        </w:rPr>
        <w:t>bracketed note exp 1 November 2003 (s 4 (3))</w:t>
      </w:r>
    </w:p>
    <w:p w:rsidR="00BB6F9A" w:rsidRDefault="00BB6F9A">
      <w:pPr>
        <w:pStyle w:val="AmdtsEntryHd"/>
        <w:rPr>
          <w:i/>
          <w:iCs/>
          <w:snapToGrid w:val="0"/>
        </w:rPr>
      </w:pPr>
      <w:r>
        <w:rPr>
          <w:i/>
          <w:iCs/>
          <w:snapToGrid w:val="0"/>
        </w:rPr>
        <w:t xml:space="preserve">Notice </w:t>
      </w:r>
      <w:r>
        <w:rPr>
          <w:i/>
          <w:iCs/>
        </w:rPr>
        <w:t>about</w:t>
      </w:r>
      <w:r>
        <w:rPr>
          <w:i/>
          <w:iCs/>
          <w:snapToGrid w:val="0"/>
        </w:rPr>
        <w:t xml:space="preserve"> pt 7.1</w:t>
      </w:r>
    </w:p>
    <w:p w:rsidR="00BB6F9A" w:rsidRDefault="00BB6F9A">
      <w:pPr>
        <w:pStyle w:val="AmdtsEntries"/>
        <w:rPr>
          <w:i/>
          <w:iCs/>
          <w:snapToGrid w:val="0"/>
        </w:rPr>
      </w:pPr>
      <w:r>
        <w:rPr>
          <w:i/>
          <w:iCs/>
          <w:snapToGrid w:val="0"/>
        </w:rPr>
        <w:t>s 86</w:t>
      </w:r>
      <w:r>
        <w:t xml:space="preserve"> </w:t>
      </w:r>
      <w:r>
        <w:rPr>
          <w:i/>
          <w:iCs/>
        </w:rPr>
        <w:t>hdg</w:t>
      </w:r>
      <w:r>
        <w:tab/>
      </w:r>
      <w:r>
        <w:rPr>
          <w:rStyle w:val="charUnderline"/>
        </w:rPr>
        <w:t>bracketed note exp 1 November 2003 (s 4 (3))</w:t>
      </w:r>
    </w:p>
    <w:p w:rsidR="00BB6F9A" w:rsidRDefault="00BB6F9A">
      <w:pPr>
        <w:pStyle w:val="AmdtsEntryHd"/>
      </w:pPr>
      <w:r>
        <w:t xml:space="preserve">Definitions for </w:t>
      </w:r>
      <w:r>
        <w:rPr>
          <w:i/>
          <w:iCs/>
          <w:snapToGrid w:val="0"/>
        </w:rPr>
        <w:t>pt</w:t>
      </w:r>
      <w:r>
        <w:t xml:space="preserve"> 7.2</w:t>
      </w:r>
    </w:p>
    <w:p w:rsidR="00BB6F9A" w:rsidRDefault="00BB6F9A">
      <w:pPr>
        <w:pStyle w:val="AmdtsEntries"/>
      </w:pPr>
      <w:r>
        <w:t>s 89 hdg</w:t>
      </w:r>
      <w:r>
        <w:tab/>
      </w:r>
      <w:r>
        <w:rPr>
          <w:rStyle w:val="charUnderline"/>
        </w:rPr>
        <w:t>bracketed note exp 1 November 2003 (s 4 (3))</w:t>
      </w:r>
    </w:p>
    <w:p w:rsidR="00BB6F9A" w:rsidRDefault="00BB6F9A">
      <w:pPr>
        <w:pStyle w:val="AmdtsEntryHd"/>
      </w:pPr>
      <w:r>
        <w:t xml:space="preserve">Certain things not </w:t>
      </w:r>
      <w:r>
        <w:rPr>
          <w:i/>
          <w:iCs/>
          <w:snapToGrid w:val="0"/>
        </w:rPr>
        <w:t>protected</w:t>
      </w:r>
      <w:r>
        <w:t xml:space="preserve"> by pt 7.2</w:t>
      </w:r>
    </w:p>
    <w:p w:rsidR="00BB6F9A" w:rsidRDefault="00BB6F9A">
      <w:pPr>
        <w:pStyle w:val="AmdtsEntries"/>
      </w:pPr>
      <w:r>
        <w:t>s 90 hdg</w:t>
      </w:r>
      <w:r>
        <w:tab/>
      </w:r>
      <w:r>
        <w:rPr>
          <w:rStyle w:val="charUnderline"/>
        </w:rPr>
        <w:t>bracketed note exp 1 November 2003 (s 4 (3))</w:t>
      </w:r>
    </w:p>
    <w:p w:rsidR="00BB6F9A" w:rsidRDefault="00BB6F9A">
      <w:pPr>
        <w:pStyle w:val="AmdtsEntryHd"/>
      </w:pPr>
      <w:r>
        <w:t xml:space="preserve">Public notices by carrier not </w:t>
      </w:r>
      <w:r>
        <w:rPr>
          <w:i/>
          <w:iCs/>
          <w:snapToGrid w:val="0"/>
        </w:rPr>
        <w:t>to</w:t>
      </w:r>
      <w:r>
        <w:t xml:space="preserve"> affect liability</w:t>
      </w:r>
    </w:p>
    <w:p w:rsidR="00BB6F9A" w:rsidRDefault="00BB6F9A">
      <w:pPr>
        <w:pStyle w:val="AmdtsEntries"/>
      </w:pPr>
      <w:r>
        <w:t>s 91 hdg</w:t>
      </w:r>
      <w:r>
        <w:tab/>
      </w:r>
      <w:r>
        <w:rPr>
          <w:rStyle w:val="charUnderline"/>
        </w:rPr>
        <w:t>bracketed note exp 1 November 2003 (s 4 (3))</w:t>
      </w:r>
    </w:p>
    <w:p w:rsidR="00BB6F9A" w:rsidRDefault="00BB6F9A">
      <w:pPr>
        <w:pStyle w:val="AmdtsEntryHd"/>
      </w:pPr>
      <w:r>
        <w:t xml:space="preserve">Liability of carriers for certain </w:t>
      </w:r>
      <w:r>
        <w:rPr>
          <w:i/>
          <w:iCs/>
          <w:snapToGrid w:val="0"/>
        </w:rPr>
        <w:t>goods</w:t>
      </w:r>
      <w:r>
        <w:t xml:space="preserve"> worth more than $20</w:t>
      </w:r>
    </w:p>
    <w:p w:rsidR="00BB6F9A" w:rsidRDefault="00BB6F9A">
      <w:pPr>
        <w:pStyle w:val="AmdtsEntries"/>
      </w:pPr>
      <w:r>
        <w:t>s 92 hdg</w:t>
      </w:r>
      <w:r>
        <w:tab/>
      </w:r>
      <w:r>
        <w:rPr>
          <w:rStyle w:val="charUnderline"/>
        </w:rPr>
        <w:t>bracketed note exp 1 November 2003 (s 4 (3))</w:t>
      </w:r>
    </w:p>
    <w:p w:rsidR="00BB6F9A" w:rsidRDefault="00BB6F9A">
      <w:pPr>
        <w:pStyle w:val="AmdtsEntryHd"/>
      </w:pPr>
      <w:r>
        <w:t>Notice of increased charge for transport of certain goods</w:t>
      </w:r>
    </w:p>
    <w:p w:rsidR="00BB6F9A" w:rsidRDefault="00BB6F9A">
      <w:pPr>
        <w:pStyle w:val="AmdtsEntries"/>
      </w:pPr>
      <w:r>
        <w:t>s 93 hdg</w:t>
      </w:r>
      <w:r>
        <w:tab/>
      </w:r>
      <w:r>
        <w:rPr>
          <w:rStyle w:val="charUnderline"/>
        </w:rPr>
        <w:t>bracketed note exp 1 November 2003 (s 4 (3))</w:t>
      </w:r>
    </w:p>
    <w:p w:rsidR="00BB6F9A" w:rsidRDefault="00BB6F9A">
      <w:pPr>
        <w:pStyle w:val="AmdtsEntryHd"/>
      </w:pPr>
      <w:r>
        <w:t xml:space="preserve">Receipt of carrier for </w:t>
      </w:r>
      <w:r>
        <w:rPr>
          <w:i/>
          <w:iCs/>
          <w:snapToGrid w:val="0"/>
        </w:rPr>
        <w:t>increased</w:t>
      </w:r>
      <w:r>
        <w:t xml:space="preserve"> charge</w:t>
      </w:r>
    </w:p>
    <w:p w:rsidR="00BB6F9A" w:rsidRDefault="00BB6F9A">
      <w:pPr>
        <w:pStyle w:val="AmdtsEntries"/>
      </w:pPr>
      <w:r>
        <w:t>s 94 hdg</w:t>
      </w:r>
      <w:r>
        <w:tab/>
      </w:r>
      <w:r>
        <w:rPr>
          <w:rStyle w:val="charUnderline"/>
        </w:rPr>
        <w:t>bracketed note exp 1 November 2003 (s 4 (3))</w:t>
      </w:r>
    </w:p>
    <w:p w:rsidR="00BB6F9A" w:rsidRDefault="00BB6F9A">
      <w:pPr>
        <w:pStyle w:val="AmdtsEntryHd"/>
      </w:pPr>
      <w:r>
        <w:t>Carrier only liable for proven amount for certain goods</w:t>
      </w:r>
    </w:p>
    <w:p w:rsidR="00BB6F9A" w:rsidRDefault="00BB6F9A">
      <w:pPr>
        <w:pStyle w:val="AmdtsEntries"/>
      </w:pPr>
      <w:r>
        <w:t>s 95 hdg</w:t>
      </w:r>
      <w:r>
        <w:tab/>
      </w:r>
      <w:r>
        <w:rPr>
          <w:rStyle w:val="charUnderline"/>
        </w:rPr>
        <w:t>bracketed note exp 1 November 2003 (s 4 (3))</w:t>
      </w:r>
    </w:p>
    <w:p w:rsidR="00BB6F9A" w:rsidRDefault="00BB6F9A">
      <w:pPr>
        <w:pStyle w:val="AmdtsEntryHd"/>
      </w:pPr>
      <w:r>
        <w:t xml:space="preserve">Liability of carriers for </w:t>
      </w:r>
      <w:r>
        <w:rPr>
          <w:i/>
          <w:iCs/>
          <w:snapToGrid w:val="0"/>
        </w:rPr>
        <w:t>certain</w:t>
      </w:r>
      <w:r>
        <w:t xml:space="preserve"> animals</w:t>
      </w:r>
    </w:p>
    <w:p w:rsidR="00BB6F9A" w:rsidRDefault="00BB6F9A">
      <w:pPr>
        <w:pStyle w:val="AmdtsEntries"/>
      </w:pPr>
      <w:r>
        <w:t>s 97 hdg</w:t>
      </w:r>
      <w:r>
        <w:tab/>
      </w:r>
      <w:r>
        <w:rPr>
          <w:rStyle w:val="charUnderline"/>
        </w:rPr>
        <w:t>bracketed note exp 1 November 2003 (s 4 (3))</w:t>
      </w:r>
    </w:p>
    <w:p w:rsidR="00BB6F9A" w:rsidRDefault="00BB6F9A">
      <w:pPr>
        <w:pStyle w:val="AmdtsEntryHd"/>
      </w:pPr>
      <w:r>
        <w:t xml:space="preserve">Notice of increased </w:t>
      </w:r>
      <w:r>
        <w:rPr>
          <w:i/>
          <w:iCs/>
          <w:snapToGrid w:val="0"/>
        </w:rPr>
        <w:t>charge</w:t>
      </w:r>
      <w:r>
        <w:t xml:space="preserve"> for transport of certain animals</w:t>
      </w:r>
    </w:p>
    <w:p w:rsidR="00BB6F9A" w:rsidRDefault="00BB6F9A">
      <w:pPr>
        <w:pStyle w:val="AmdtsEntries"/>
      </w:pPr>
      <w:r>
        <w:t>s 98 hdg</w:t>
      </w:r>
      <w:r>
        <w:tab/>
      </w:r>
      <w:r>
        <w:rPr>
          <w:rStyle w:val="charUnderline"/>
        </w:rPr>
        <w:t>bracketed note exp 1 November 2003 (s 4 (3))</w:t>
      </w:r>
    </w:p>
    <w:p w:rsidR="00BB6F9A" w:rsidRDefault="00BB6F9A">
      <w:pPr>
        <w:pStyle w:val="AmdtsEntryHd"/>
      </w:pPr>
      <w:r>
        <w:t xml:space="preserve">Carrier only liable for </w:t>
      </w:r>
      <w:r>
        <w:rPr>
          <w:i/>
          <w:iCs/>
          <w:snapToGrid w:val="0"/>
        </w:rPr>
        <w:t>proven</w:t>
      </w:r>
      <w:r>
        <w:t xml:space="preserve"> amount for certain animals</w:t>
      </w:r>
    </w:p>
    <w:p w:rsidR="00BB6F9A" w:rsidRDefault="00BB6F9A">
      <w:pPr>
        <w:pStyle w:val="AmdtsEntries"/>
      </w:pPr>
      <w:r>
        <w:t>s 99 hdg</w:t>
      </w:r>
      <w:r>
        <w:tab/>
      </w:r>
      <w:r>
        <w:rPr>
          <w:rStyle w:val="charUnderline"/>
        </w:rPr>
        <w:t>bracketed note exp 1 November 2003 (s 4 (3))</w:t>
      </w:r>
    </w:p>
    <w:p w:rsidR="00BB6F9A" w:rsidRDefault="00BB6F9A">
      <w:pPr>
        <w:pStyle w:val="AmdtsEntryHd"/>
      </w:pPr>
      <w:r>
        <w:t>Carrier liable for neglect or default despite notice etc</w:t>
      </w:r>
    </w:p>
    <w:p w:rsidR="00BB6F9A" w:rsidRDefault="00BB6F9A">
      <w:pPr>
        <w:pStyle w:val="AmdtsEntries"/>
      </w:pPr>
      <w:r>
        <w:t>s 100 hdg</w:t>
      </w:r>
      <w:r>
        <w:tab/>
      </w:r>
      <w:r>
        <w:rPr>
          <w:rStyle w:val="charUnderline"/>
        </w:rPr>
        <w:t>bracketed note exp 1 November 2003 (s 4 (3))</w:t>
      </w:r>
    </w:p>
    <w:p w:rsidR="00BB6F9A" w:rsidRDefault="00BB6F9A">
      <w:pPr>
        <w:pStyle w:val="AmdtsEntryHd"/>
      </w:pPr>
      <w:r>
        <w:t>Evidence of breach of duty for animals</w:t>
      </w:r>
    </w:p>
    <w:p w:rsidR="00BB6F9A" w:rsidRDefault="00BB6F9A">
      <w:pPr>
        <w:pStyle w:val="AmdtsEntries"/>
      </w:pPr>
      <w:r>
        <w:t>s 102 hdg</w:t>
      </w:r>
      <w:r>
        <w:tab/>
      </w:r>
      <w:r>
        <w:rPr>
          <w:rStyle w:val="charUnderline"/>
        </w:rPr>
        <w:t>bracketed note exp 1 November 2003 (s 4 (3))</w:t>
      </w:r>
    </w:p>
    <w:p w:rsidR="00BB6F9A" w:rsidRDefault="00BB6F9A">
      <w:pPr>
        <w:pStyle w:val="AmdtsEntryHd"/>
      </w:pPr>
      <w:r>
        <w:t>Actions do not lie for damage caused by accidental fires</w:t>
      </w:r>
    </w:p>
    <w:p w:rsidR="00BB6F9A" w:rsidRDefault="00BB6F9A">
      <w:pPr>
        <w:pStyle w:val="AmdtsEntries"/>
      </w:pPr>
      <w:r>
        <w:t>s 103 hdg</w:t>
      </w:r>
      <w:r>
        <w:tab/>
      </w:r>
      <w:r>
        <w:rPr>
          <w:rStyle w:val="charUnderline"/>
        </w:rPr>
        <w:t>bracketed note exp 1 November 2003 (s 4 (3))</w:t>
      </w:r>
    </w:p>
    <w:p w:rsidR="00BB6F9A" w:rsidRDefault="00BB6F9A">
      <w:pPr>
        <w:pStyle w:val="AmdtsEntryHd"/>
      </w:pPr>
      <w:r>
        <w:t>Contract between landlord and tenant not affected</w:t>
      </w:r>
    </w:p>
    <w:p w:rsidR="00BB6F9A" w:rsidRDefault="00BB6F9A">
      <w:pPr>
        <w:pStyle w:val="AmdtsEntries"/>
      </w:pPr>
      <w:r>
        <w:t>s 104 hdg</w:t>
      </w:r>
      <w:r>
        <w:tab/>
      </w:r>
      <w:r>
        <w:rPr>
          <w:rStyle w:val="charUnderline"/>
        </w:rPr>
        <w:t>bracketed note exp 1 November 2003 (s 4 (3))</w:t>
      </w:r>
    </w:p>
    <w:p w:rsidR="00BB6F9A" w:rsidRDefault="00BB6F9A">
      <w:pPr>
        <w:pStyle w:val="AmdtsEntryHd"/>
      </w:pPr>
      <w:r>
        <w:lastRenderedPageBreak/>
        <w:t>Definitions for ch 9</w:t>
      </w:r>
    </w:p>
    <w:p w:rsidR="00BB6F9A" w:rsidRDefault="00BB6F9A">
      <w:pPr>
        <w:pStyle w:val="AmdtsEntries"/>
      </w:pPr>
      <w:r>
        <w:t>s 105 hdg</w:t>
      </w:r>
      <w:r>
        <w:tab/>
      </w:r>
      <w:r>
        <w:rPr>
          <w:rStyle w:val="charUnderline"/>
        </w:rPr>
        <w:t>bracketed note exp 1 November 2003 (s 4 (3))</w:t>
      </w:r>
    </w:p>
    <w:p w:rsidR="00BB6F9A" w:rsidRDefault="00BB6F9A">
      <w:pPr>
        <w:pStyle w:val="AmdtsEntryHd"/>
      </w:pPr>
      <w:r>
        <w:t>Removal of certain bars to rescission for misrepresentation</w:t>
      </w:r>
    </w:p>
    <w:p w:rsidR="00BB6F9A" w:rsidRDefault="00BB6F9A">
      <w:pPr>
        <w:pStyle w:val="AmdtsEntries"/>
      </w:pPr>
      <w:r>
        <w:t>s 106 hdg</w:t>
      </w:r>
      <w:r>
        <w:tab/>
      </w:r>
      <w:r>
        <w:rPr>
          <w:rStyle w:val="charUnderline"/>
        </w:rPr>
        <w:t>bracketed note exp 1 November 2003 (s 4 (3))</w:t>
      </w:r>
    </w:p>
    <w:p w:rsidR="00BB6F9A" w:rsidRDefault="00BB6F9A">
      <w:pPr>
        <w:pStyle w:val="AmdtsEntryHd"/>
      </w:pPr>
      <w:r>
        <w:t>Damages for misrepresentation</w:t>
      </w:r>
    </w:p>
    <w:p w:rsidR="00BB6F9A" w:rsidRDefault="00BB6F9A">
      <w:pPr>
        <w:pStyle w:val="AmdtsEntries"/>
      </w:pPr>
      <w:r>
        <w:t>s 107 hdg</w:t>
      </w:r>
      <w:r>
        <w:tab/>
      </w:r>
      <w:r>
        <w:rPr>
          <w:rStyle w:val="charUnderline"/>
        </w:rPr>
        <w:t>bracketed note exp 1 November 2003 (s 4 (3))</w:t>
      </w:r>
    </w:p>
    <w:p w:rsidR="00BB6F9A" w:rsidRDefault="00BB6F9A">
      <w:pPr>
        <w:pStyle w:val="AmdtsEntryHd"/>
      </w:pPr>
      <w:r>
        <w:t>Damages instead of rescission for misrepresentation</w:t>
      </w:r>
    </w:p>
    <w:p w:rsidR="00BB6F9A" w:rsidRDefault="00BB6F9A">
      <w:pPr>
        <w:pStyle w:val="AmdtsEntries"/>
      </w:pPr>
      <w:r>
        <w:t>s 108 hdg</w:t>
      </w:r>
      <w:r>
        <w:tab/>
      </w:r>
      <w:r>
        <w:rPr>
          <w:rStyle w:val="charUnderline"/>
        </w:rPr>
        <w:t>bracketed note exp 1 November 2003 (s 4 (3))</w:t>
      </w:r>
    </w:p>
    <w:p w:rsidR="00BB6F9A" w:rsidRDefault="00BB6F9A">
      <w:pPr>
        <w:pStyle w:val="AmdtsEntryHd"/>
      </w:pPr>
      <w:r>
        <w:t>Exclusion clauses—misrepresentation</w:t>
      </w:r>
    </w:p>
    <w:p w:rsidR="00BB6F9A" w:rsidRDefault="00BB6F9A">
      <w:pPr>
        <w:pStyle w:val="AmdtsEntries"/>
      </w:pPr>
      <w:r>
        <w:t>s 109 hdg</w:t>
      </w:r>
      <w:r>
        <w:tab/>
      </w:r>
      <w:r>
        <w:rPr>
          <w:rStyle w:val="charUnderline"/>
        </w:rPr>
        <w:t>bracketed note exp 1 November 2003 (s 4 (3))</w:t>
      </w:r>
    </w:p>
    <w:p w:rsidR="00BB6F9A" w:rsidRDefault="00BB6F9A">
      <w:pPr>
        <w:pStyle w:val="AmdtsEntryHd"/>
      </w:pPr>
      <w:r>
        <w:t>Misrepresentation in trade or commerce an offence</w:t>
      </w:r>
    </w:p>
    <w:p w:rsidR="00BB6F9A" w:rsidRDefault="00BB6F9A">
      <w:pPr>
        <w:pStyle w:val="AmdtsEntries"/>
      </w:pPr>
      <w:r>
        <w:t>s 110 hdg</w:t>
      </w:r>
      <w:r>
        <w:tab/>
      </w:r>
      <w:r>
        <w:rPr>
          <w:rStyle w:val="charUnderline"/>
        </w:rPr>
        <w:t>bracketed note exp 1 November 2003 (s 4 (3))</w:t>
      </w:r>
    </w:p>
    <w:p w:rsidR="00BB6F9A" w:rsidRDefault="00BB6F9A">
      <w:pPr>
        <w:pStyle w:val="AmdtsEntryHd"/>
      </w:pPr>
      <w:r>
        <w:t>Employer etc liable for misrepresentation</w:t>
      </w:r>
    </w:p>
    <w:p w:rsidR="00BB6F9A" w:rsidRDefault="00BB6F9A">
      <w:pPr>
        <w:pStyle w:val="AmdtsEntries"/>
      </w:pPr>
      <w:r>
        <w:t>s 111 hdg</w:t>
      </w:r>
      <w:r>
        <w:tab/>
      </w:r>
      <w:r>
        <w:rPr>
          <w:rStyle w:val="charUnderline"/>
        </w:rPr>
        <w:t>bracketed note exp 1 November 2003 (s 4 (3))</w:t>
      </w:r>
    </w:p>
    <w:p w:rsidR="00BB6F9A" w:rsidRDefault="00BB6F9A">
      <w:pPr>
        <w:pStyle w:val="AmdtsEntryHd"/>
      </w:pPr>
      <w:r>
        <w:t>Prosecutions for misrepresentation</w:t>
      </w:r>
    </w:p>
    <w:p w:rsidR="00BB6F9A" w:rsidRDefault="00BB6F9A">
      <w:pPr>
        <w:pStyle w:val="AmdtsEntries"/>
      </w:pPr>
      <w:r>
        <w:t>s 112 hdg</w:t>
      </w:r>
      <w:r>
        <w:tab/>
      </w:r>
      <w:r>
        <w:rPr>
          <w:rStyle w:val="charUnderline"/>
        </w:rPr>
        <w:t>bracketed note exp 1 November 2003 (s 4 (3))</w:t>
      </w:r>
    </w:p>
    <w:p w:rsidR="00BB6F9A" w:rsidRDefault="00BB6F9A">
      <w:pPr>
        <w:pStyle w:val="AmdtsEntryHd"/>
      </w:pPr>
      <w:r>
        <w:t>Amount of liability charge on insurance money payable against liability</w:t>
      </w:r>
    </w:p>
    <w:p w:rsidR="00BB6F9A" w:rsidRDefault="00BB6F9A">
      <w:pPr>
        <w:pStyle w:val="AmdtsEntries"/>
      </w:pPr>
      <w:r>
        <w:t>s 132 hdg</w:t>
      </w:r>
      <w:r>
        <w:tab/>
      </w:r>
      <w:r>
        <w:rPr>
          <w:rStyle w:val="charUnderline"/>
        </w:rPr>
        <w:t>bracketed note exp 1 November 2003 (s 4 (3))</w:t>
      </w:r>
    </w:p>
    <w:p w:rsidR="00BB6F9A" w:rsidRDefault="00BB6F9A">
      <w:pPr>
        <w:pStyle w:val="AmdtsEntryHd"/>
      </w:pPr>
      <w:r>
        <w:t>Enforcement of charge on insurance money</w:t>
      </w:r>
    </w:p>
    <w:p w:rsidR="00BB6F9A" w:rsidRDefault="00BB6F9A">
      <w:pPr>
        <w:pStyle w:val="AmdtsEntries"/>
      </w:pPr>
      <w:r>
        <w:t>s 133 hdg</w:t>
      </w:r>
      <w:r>
        <w:tab/>
      </w:r>
      <w:r>
        <w:rPr>
          <w:rStyle w:val="charUnderline"/>
        </w:rPr>
        <w:t>bracketed note exp 1 November 2003 (s 4 (3))</w:t>
      </w:r>
    </w:p>
    <w:p w:rsidR="00BB6F9A" w:rsidRDefault="00BB6F9A">
      <w:pPr>
        <w:pStyle w:val="AmdtsEntryHd"/>
      </w:pPr>
      <w:r>
        <w:t>Protection of insurer for pt 11.3 charge</w:t>
      </w:r>
    </w:p>
    <w:p w:rsidR="00BB6F9A" w:rsidRDefault="00BB6F9A">
      <w:pPr>
        <w:pStyle w:val="AmdtsEntries"/>
      </w:pPr>
      <w:r>
        <w:t>s 134 hdg</w:t>
      </w:r>
      <w:r>
        <w:tab/>
      </w:r>
      <w:r>
        <w:rPr>
          <w:rStyle w:val="charUnderline"/>
        </w:rPr>
        <w:t>bracketed note exp 1 November 2003 (s 4 (3))</w:t>
      </w:r>
    </w:p>
    <w:p w:rsidR="00BB6F9A" w:rsidRDefault="00BB6F9A">
      <w:pPr>
        <w:pStyle w:val="AmdtsEntryHd"/>
      </w:pPr>
      <w:r>
        <w:t>Certain other provisions not affected by pt 11.3</w:t>
      </w:r>
    </w:p>
    <w:p w:rsidR="00BB6F9A" w:rsidRDefault="00BB6F9A">
      <w:pPr>
        <w:pStyle w:val="AmdtsEntries"/>
      </w:pPr>
      <w:r>
        <w:t>s 135 hdg</w:t>
      </w:r>
      <w:r>
        <w:tab/>
      </w:r>
      <w:r>
        <w:rPr>
          <w:rStyle w:val="charUnderline"/>
        </w:rPr>
        <w:t>bracketed note exp 1 November 2003 (s 4 (3))</w:t>
      </w:r>
    </w:p>
    <w:p w:rsidR="00BB6F9A" w:rsidRDefault="00BB6F9A">
      <w:pPr>
        <w:pStyle w:val="AmdtsEntryHd"/>
      </w:pPr>
      <w:r>
        <w:t>Abolition of rule about unity of spouses</w:t>
      </w:r>
    </w:p>
    <w:p w:rsidR="00BB6F9A" w:rsidRDefault="00BB6F9A">
      <w:pPr>
        <w:pStyle w:val="AmdtsEntries"/>
      </w:pPr>
      <w:r>
        <w:t>s 137 hdg</w:t>
      </w:r>
      <w:r>
        <w:tab/>
      </w:r>
      <w:r>
        <w:rPr>
          <w:rStyle w:val="charUnderline"/>
        </w:rPr>
        <w:t>bracketed note exp 1 November 2003 (s 4 (3))</w:t>
      </w:r>
    </w:p>
    <w:p w:rsidR="00BB6F9A" w:rsidRDefault="00BB6F9A">
      <w:pPr>
        <w:pStyle w:val="AmdtsEntryHd"/>
      </w:pPr>
      <w:r>
        <w:t>Abolition of action of cattle-trespass</w:t>
      </w:r>
    </w:p>
    <w:p w:rsidR="00BB6F9A" w:rsidRDefault="00BB6F9A">
      <w:pPr>
        <w:pStyle w:val="AmdtsEntries"/>
      </w:pPr>
      <w:r>
        <w:t>s 138 hdg</w:t>
      </w:r>
      <w:r>
        <w:tab/>
      </w:r>
      <w:r>
        <w:rPr>
          <w:rStyle w:val="charUnderline"/>
        </w:rPr>
        <w:t>bracketed note exp 1 November 2003 (s 4 (3))</w:t>
      </w:r>
    </w:p>
    <w:p w:rsidR="00BB6F9A" w:rsidRDefault="00BB6F9A">
      <w:pPr>
        <w:pStyle w:val="AmdtsEntryHd"/>
      </w:pPr>
      <w:r>
        <w:t>Abolition of distress damage feasant</w:t>
      </w:r>
    </w:p>
    <w:p w:rsidR="00BB6F9A" w:rsidRDefault="00BB6F9A">
      <w:pPr>
        <w:pStyle w:val="AmdtsEntries"/>
      </w:pPr>
      <w:r>
        <w:t>s 139 hdg</w:t>
      </w:r>
      <w:r>
        <w:tab/>
      </w:r>
      <w:r>
        <w:rPr>
          <w:rStyle w:val="charUnderline"/>
        </w:rPr>
        <w:t>bracketed note exp 1 November 2003 (s 4 (3))</w:t>
      </w:r>
    </w:p>
    <w:p w:rsidR="00BB6F9A" w:rsidRDefault="00BB6F9A">
      <w:pPr>
        <w:pStyle w:val="AmdtsEntryHd"/>
      </w:pPr>
      <w:r>
        <w:t>Abolition of rules relating exclusively to liability for damage by animals</w:t>
      </w:r>
    </w:p>
    <w:p w:rsidR="00BB6F9A" w:rsidRDefault="00BB6F9A">
      <w:pPr>
        <w:pStyle w:val="AmdtsEntries"/>
      </w:pPr>
      <w:r>
        <w:t>s 140 hdg</w:t>
      </w:r>
      <w:r>
        <w:tab/>
      </w:r>
      <w:r>
        <w:rPr>
          <w:rStyle w:val="charUnderline"/>
        </w:rPr>
        <w:t>bracketed note exp 1 November 2003 (s 4 (3))</w:t>
      </w:r>
    </w:p>
    <w:p w:rsidR="00BB6F9A" w:rsidRDefault="00BB6F9A">
      <w:pPr>
        <w:pStyle w:val="AmdtsEntryHd"/>
        <w:rPr>
          <w:rStyle w:val="charItals"/>
          <w:i w:val="0"/>
          <w:iCs w:val="0"/>
        </w:rPr>
      </w:pPr>
      <w:r>
        <w:t xml:space="preserve">Partial abolition of rule in </w:t>
      </w:r>
      <w:r>
        <w:rPr>
          <w:rStyle w:val="charItals"/>
          <w:i w:val="0"/>
          <w:iCs w:val="0"/>
        </w:rPr>
        <w:t>Rylands</w:t>
      </w:r>
      <w:r>
        <w:rPr>
          <w:rStyle w:val="charItals"/>
        </w:rPr>
        <w:t xml:space="preserve"> </w:t>
      </w:r>
      <w:r>
        <w:rPr>
          <w:rStyle w:val="charItals"/>
          <w:i w:val="0"/>
          <w:iCs w:val="0"/>
        </w:rPr>
        <w:t>v</w:t>
      </w:r>
      <w:r>
        <w:rPr>
          <w:rStyle w:val="charItals"/>
        </w:rPr>
        <w:t xml:space="preserve"> </w:t>
      </w:r>
      <w:r>
        <w:rPr>
          <w:rStyle w:val="charItals"/>
          <w:i w:val="0"/>
          <w:iCs w:val="0"/>
        </w:rPr>
        <w:t>Fletcher</w:t>
      </w:r>
    </w:p>
    <w:p w:rsidR="00BB6F9A" w:rsidRDefault="00BB6F9A">
      <w:pPr>
        <w:pStyle w:val="AmdtsEntries"/>
        <w:rPr>
          <w:rStyle w:val="charItals"/>
          <w:i w:val="0"/>
          <w:iCs w:val="0"/>
        </w:rPr>
      </w:pPr>
      <w:r>
        <w:rPr>
          <w:rStyle w:val="charItals"/>
          <w:i w:val="0"/>
          <w:iCs w:val="0"/>
        </w:rPr>
        <w:t>s 141</w:t>
      </w:r>
      <w:r>
        <w:t xml:space="preserve"> hdg</w:t>
      </w:r>
      <w:r>
        <w:tab/>
      </w:r>
      <w:r>
        <w:rPr>
          <w:rStyle w:val="charUnderline"/>
        </w:rPr>
        <w:t>bracketed note exp 1 November 2003 (s 4 (3))</w:t>
      </w:r>
    </w:p>
    <w:p w:rsidR="00BB6F9A" w:rsidRDefault="00BB6F9A">
      <w:pPr>
        <w:pStyle w:val="AmdtsEntryHd"/>
      </w:pPr>
      <w:r>
        <w:t>Abolition of rule of common employment</w:t>
      </w:r>
    </w:p>
    <w:p w:rsidR="00BB6F9A" w:rsidRDefault="00BB6F9A">
      <w:pPr>
        <w:pStyle w:val="AmdtsEntries"/>
      </w:pPr>
      <w:r>
        <w:t>s 142 hdg</w:t>
      </w:r>
      <w:r>
        <w:tab/>
      </w:r>
      <w:r>
        <w:rPr>
          <w:rStyle w:val="charUnderline"/>
        </w:rPr>
        <w:t>bracketed note exp 1 November 2003 (s 4 (3))</w:t>
      </w:r>
    </w:p>
    <w:p w:rsidR="00BB6F9A" w:rsidRDefault="00BB6F9A">
      <w:pPr>
        <w:pStyle w:val="AmdtsEntryHd"/>
      </w:pPr>
      <w:r>
        <w:t>Abolition of husband’s liability for wife’s torts and premarital obligations</w:t>
      </w:r>
    </w:p>
    <w:p w:rsidR="00BB6F9A" w:rsidRDefault="00BB6F9A">
      <w:pPr>
        <w:pStyle w:val="AmdtsEntries"/>
      </w:pPr>
      <w:r>
        <w:t>s 143 hdg</w:t>
      </w:r>
      <w:r>
        <w:tab/>
      </w:r>
      <w:r>
        <w:rPr>
          <w:rStyle w:val="charUnderline"/>
        </w:rPr>
        <w:t>bracketed note exp 1 November 2003 (s 4 (3))</w:t>
      </w:r>
    </w:p>
    <w:p w:rsidR="00BB6F9A" w:rsidRDefault="00BB6F9A">
      <w:pPr>
        <w:pStyle w:val="AmdtsEntryHd"/>
      </w:pPr>
      <w:r>
        <w:lastRenderedPageBreak/>
        <w:t>Abolition of action for loss of consortium</w:t>
      </w:r>
    </w:p>
    <w:p w:rsidR="00BB6F9A" w:rsidRDefault="00BB6F9A">
      <w:pPr>
        <w:pStyle w:val="AmdtsEntries"/>
      </w:pPr>
      <w:r>
        <w:t>s 144 hdg</w:t>
      </w:r>
      <w:r>
        <w:tab/>
      </w:r>
      <w:r>
        <w:rPr>
          <w:rStyle w:val="charUnderline"/>
        </w:rPr>
        <w:t>bracketed note exp 1 November 2003 (s 4 (3))</w:t>
      </w:r>
    </w:p>
    <w:p w:rsidR="00BB6F9A" w:rsidRDefault="00BB6F9A">
      <w:pPr>
        <w:pStyle w:val="AmdtsEntryHd"/>
      </w:pPr>
      <w:r>
        <w:t>Abolition of rule in Cavalier v Pope</w:t>
      </w:r>
    </w:p>
    <w:p w:rsidR="00BB6F9A" w:rsidRDefault="00BB6F9A">
      <w:pPr>
        <w:pStyle w:val="AmdtsEntries"/>
      </w:pPr>
      <w:r>
        <w:t>s 145 hdg</w:t>
      </w:r>
      <w:r>
        <w:tab/>
      </w:r>
      <w:r>
        <w:rPr>
          <w:rStyle w:val="charUnderline"/>
        </w:rPr>
        <w:t>bracketed note exp 1 November 2003 (s 4 (3))</w:t>
      </w:r>
    </w:p>
    <w:p w:rsidR="00BB6F9A" w:rsidRDefault="00BB6F9A">
      <w:pPr>
        <w:pStyle w:val="AmdtsEntryHd"/>
      </w:pPr>
      <w:r>
        <w:t>Partial abolition of Mocambique rule</w:t>
      </w:r>
    </w:p>
    <w:p w:rsidR="00BB6F9A" w:rsidRDefault="00BB6F9A">
      <w:pPr>
        <w:pStyle w:val="AmdtsEntries"/>
      </w:pPr>
      <w:r>
        <w:t>s 146 hdg</w:t>
      </w:r>
      <w:r>
        <w:tab/>
      </w:r>
      <w:r>
        <w:rPr>
          <w:rStyle w:val="charUnderline"/>
        </w:rPr>
        <w:t>bracketed note exp 1 November 2003 (s 4 (3))</w:t>
      </w:r>
    </w:p>
    <w:p w:rsidR="00BB6F9A" w:rsidRDefault="00BB6F9A">
      <w:pPr>
        <w:pStyle w:val="AmdtsEntryHd"/>
      </w:pPr>
      <w:r>
        <w:t>Abolition of torts of maintenance and champerty</w:t>
      </w:r>
    </w:p>
    <w:p w:rsidR="00BB6F9A" w:rsidRDefault="00BB6F9A">
      <w:pPr>
        <w:pStyle w:val="AmdtsEntries"/>
      </w:pPr>
      <w:r>
        <w:t>s 146A</w:t>
      </w:r>
      <w:r>
        <w:tab/>
        <w:t>ins 2002 No 49 amdt 3.2</w:t>
      </w:r>
    </w:p>
    <w:p w:rsidR="00BB6F9A" w:rsidRDefault="00BB6F9A">
      <w:pPr>
        <w:pStyle w:val="AmdtsEntryHd"/>
      </w:pPr>
      <w:r>
        <w:t>Application provisions—for certain new measures</w:t>
      </w:r>
    </w:p>
    <w:p w:rsidR="00BB6F9A" w:rsidRDefault="00BB6F9A">
      <w:pPr>
        <w:pStyle w:val="AmdtsEntries"/>
        <w:keepNext/>
      </w:pPr>
      <w:r>
        <w:t>s 150</w:t>
      </w:r>
      <w:r>
        <w:tab/>
        <w:t>mod SL2002-41 reg 3</w:t>
      </w:r>
    </w:p>
    <w:p w:rsidR="00BB6F9A" w:rsidRDefault="00BB6F9A">
      <w:pPr>
        <w:pStyle w:val="AmdtsEntries"/>
      </w:pPr>
      <w:r>
        <w:tab/>
      </w:r>
      <w:r>
        <w:rPr>
          <w:u w:val="single"/>
        </w:rPr>
        <w:t>exp 1 November 2005 (s 150 (4))</w:t>
      </w:r>
    </w:p>
    <w:p w:rsidR="00BB6F9A" w:rsidRDefault="00BB6F9A">
      <w:pPr>
        <w:pStyle w:val="AmdtsEntryHd"/>
      </w:pPr>
      <w:r>
        <w:t>Application provisions—for certain existing measures</w:t>
      </w:r>
    </w:p>
    <w:p w:rsidR="00BB6F9A" w:rsidRDefault="00BB6F9A">
      <w:pPr>
        <w:pStyle w:val="AmdtsEntries"/>
      </w:pPr>
      <w:r>
        <w:t>s 151</w:t>
      </w:r>
      <w:r>
        <w:tab/>
      </w:r>
      <w:r>
        <w:rPr>
          <w:u w:val="single"/>
        </w:rPr>
        <w:t>exp 1 November 2003 (s 151 (11))</w:t>
      </w:r>
    </w:p>
    <w:p w:rsidR="00BB6F9A" w:rsidRDefault="00BB6F9A">
      <w:pPr>
        <w:pStyle w:val="AmdtsEntryHd"/>
      </w:pPr>
      <w:r>
        <w:t>Application of pts 2.4 and 4.3</w:t>
      </w:r>
    </w:p>
    <w:p w:rsidR="00BB6F9A" w:rsidRDefault="00BB6F9A">
      <w:pPr>
        <w:pStyle w:val="AmdtsEntries"/>
      </w:pPr>
      <w:r>
        <w:t>s 152</w:t>
      </w:r>
      <w:r>
        <w:tab/>
        <w:t>exp 1 January 2003 (s 152 (3))</w:t>
      </w:r>
    </w:p>
    <w:p w:rsidR="00BB6F9A" w:rsidRDefault="00BB6F9A">
      <w:pPr>
        <w:pStyle w:val="AmdtsEntryHd"/>
      </w:pPr>
      <w:r>
        <w:t>Application of provisions of Civil Liability (Animals) Act 1984 (repealed)</w:t>
      </w:r>
    </w:p>
    <w:p w:rsidR="00BB6F9A" w:rsidRDefault="00BB6F9A">
      <w:pPr>
        <w:pStyle w:val="AmdtsEntries"/>
        <w:keepNext/>
        <w:rPr>
          <w:rStyle w:val="charUnderline"/>
        </w:rPr>
      </w:pPr>
      <w:r>
        <w:t>s 153 hdg</w:t>
      </w:r>
      <w:r>
        <w:tab/>
      </w:r>
      <w:r>
        <w:rPr>
          <w:rStyle w:val="charUnderline"/>
        </w:rPr>
        <w:t>bracketed note exp 1 November 2003 (s 4 (3))</w:t>
      </w:r>
    </w:p>
    <w:p w:rsidR="00BB6F9A" w:rsidRDefault="00BB6F9A">
      <w:pPr>
        <w:pStyle w:val="AmdtsEntries"/>
      </w:pPr>
      <w:r>
        <w:t>s 153</w:t>
      </w:r>
      <w:r>
        <w:tab/>
      </w:r>
      <w:r>
        <w:rPr>
          <w:rStyle w:val="charUnderline"/>
        </w:rPr>
        <w:t>exp 1 November 2003 (s 153 (4))</w:t>
      </w:r>
    </w:p>
    <w:p w:rsidR="00BB6F9A" w:rsidRDefault="00BB6F9A">
      <w:pPr>
        <w:pStyle w:val="AmdtsEntryHd"/>
      </w:pPr>
      <w:r>
        <w:t>Application of s 30 and s 31</w:t>
      </w:r>
    </w:p>
    <w:p w:rsidR="00BB6F9A" w:rsidRDefault="00BB6F9A">
      <w:pPr>
        <w:pStyle w:val="AmdtsEntries"/>
        <w:keepNext/>
        <w:rPr>
          <w:rStyle w:val="charUnderline"/>
        </w:rPr>
      </w:pPr>
      <w:r>
        <w:t>s 154 hdg</w:t>
      </w:r>
      <w:r>
        <w:tab/>
      </w:r>
      <w:r>
        <w:rPr>
          <w:rStyle w:val="charUnderline"/>
        </w:rPr>
        <w:t>bracketed note exp 1 November 2003 (s 4 (3))</w:t>
      </w:r>
    </w:p>
    <w:p w:rsidR="00BB6F9A" w:rsidRDefault="00BB6F9A">
      <w:pPr>
        <w:pStyle w:val="AmdtsEntries"/>
      </w:pPr>
      <w:r>
        <w:t>s 154</w:t>
      </w:r>
      <w:r>
        <w:tab/>
      </w:r>
      <w:r>
        <w:rPr>
          <w:rStyle w:val="charUnderline"/>
        </w:rPr>
        <w:t>exp 1 November 2003 (s 154 (3))</w:t>
      </w:r>
    </w:p>
    <w:p w:rsidR="00BB6F9A" w:rsidRDefault="00BB6F9A">
      <w:pPr>
        <w:pStyle w:val="AmdtsEntryHd"/>
      </w:pPr>
      <w:r>
        <w:t>Abolition of torts of maintenance and champerty—saving of existing rights and liabilities</w:t>
      </w:r>
    </w:p>
    <w:p w:rsidR="00BB6F9A" w:rsidRDefault="00BB6F9A">
      <w:pPr>
        <w:pStyle w:val="AmdtsEntries"/>
        <w:keepNext/>
        <w:rPr>
          <w:u w:val="single"/>
        </w:rPr>
      </w:pPr>
      <w:r>
        <w:t>s 154A</w:t>
      </w:r>
      <w:r>
        <w:tab/>
        <w:t>ins 2002 No 49 amdt 3.3</w:t>
      </w:r>
    </w:p>
    <w:p w:rsidR="00BB6F9A" w:rsidRDefault="00BB6F9A">
      <w:pPr>
        <w:pStyle w:val="AmdtsEntries"/>
      </w:pPr>
      <w:r>
        <w:tab/>
      </w:r>
      <w:r>
        <w:rPr>
          <w:u w:val="single"/>
        </w:rPr>
        <w:t>exp 1 November 2005 (s 154A (2) and s 150 (4))</w:t>
      </w:r>
    </w:p>
    <w:p w:rsidR="00BB6F9A" w:rsidRDefault="00BB6F9A">
      <w:pPr>
        <w:pStyle w:val="AmdtsEntryHd"/>
      </w:pPr>
      <w:r>
        <w:t>Transitional regulations</w:t>
      </w:r>
    </w:p>
    <w:p w:rsidR="00BB6F9A" w:rsidRDefault="00BB6F9A">
      <w:pPr>
        <w:pStyle w:val="AmdtsEntries"/>
        <w:rPr>
          <w:rStyle w:val="charUnderline"/>
        </w:rPr>
      </w:pPr>
      <w:r>
        <w:t>s 155</w:t>
      </w:r>
      <w:r>
        <w:tab/>
      </w:r>
      <w:r>
        <w:rPr>
          <w:rStyle w:val="charUnderline"/>
        </w:rPr>
        <w:t>exp 1 November 2003 (s 155 (4))</w:t>
      </w:r>
    </w:p>
    <w:p w:rsidR="00BB6F9A" w:rsidRDefault="00BB6F9A">
      <w:pPr>
        <w:pStyle w:val="AmdtsEntryHd"/>
        <w:rPr>
          <w:color w:val="000000"/>
        </w:rPr>
      </w:pPr>
      <w:r>
        <w:t>Modification</w:t>
      </w:r>
      <w:r>
        <w:rPr>
          <w:color w:val="000000"/>
        </w:rPr>
        <w:t xml:space="preserve"> of ch 12’s operation</w:t>
      </w:r>
    </w:p>
    <w:p w:rsidR="00BB6F9A" w:rsidRDefault="00BB6F9A">
      <w:pPr>
        <w:pStyle w:val="AmdtsEntries"/>
      </w:pPr>
      <w:r>
        <w:rPr>
          <w:color w:val="000000"/>
        </w:rPr>
        <w:t>s 156</w:t>
      </w:r>
      <w:r>
        <w:rPr>
          <w:color w:val="000000"/>
        </w:rPr>
        <w:tab/>
      </w:r>
      <w:r>
        <w:rPr>
          <w:rStyle w:val="charUnderline"/>
        </w:rPr>
        <w:t>exp 1 November 2003 (s 156 (2))</w:t>
      </w:r>
    </w:p>
    <w:p w:rsidR="00BB6F9A" w:rsidRDefault="00BB6F9A">
      <w:pPr>
        <w:pStyle w:val="AmdtsEntryHd"/>
      </w:pPr>
      <w:r>
        <w:t>Repeals and amendments</w:t>
      </w:r>
    </w:p>
    <w:p w:rsidR="00BB6F9A" w:rsidRDefault="00BB6F9A">
      <w:pPr>
        <w:pStyle w:val="AmdtsEntries"/>
      </w:pPr>
      <w:r>
        <w:t>sch 3</w:t>
      </w:r>
      <w:r>
        <w:tab/>
        <w:t>om LA s 89 (3)</w:t>
      </w:r>
    </w:p>
    <w:p w:rsidR="00BB6F9A" w:rsidRDefault="00BB6F9A">
      <w:pPr>
        <w:pStyle w:val="AmdtsEntryHd"/>
      </w:pPr>
      <w:r>
        <w:t>Dictionary</w:t>
      </w:r>
    </w:p>
    <w:p w:rsidR="00BB6F9A" w:rsidRDefault="00BB6F9A">
      <w:pPr>
        <w:pStyle w:val="AmdtsEntries"/>
      </w:pPr>
      <w:r>
        <w:t>dict</w:t>
      </w:r>
      <w:r>
        <w:tab/>
        <w:t>am A2003-14 amdt 1.17</w:t>
      </w:r>
    </w:p>
    <w:p w:rsidR="008D25FE" w:rsidRPr="008D25FE" w:rsidRDefault="008D25FE" w:rsidP="008D25FE">
      <w:pPr>
        <w:pStyle w:val="PageBreak"/>
      </w:pPr>
      <w:r w:rsidRPr="008D25FE">
        <w:br w:type="page"/>
      </w:r>
    </w:p>
    <w:p w:rsidR="00BB6F9A" w:rsidRDefault="00BB6F9A">
      <w:pPr>
        <w:pStyle w:val="Endnote2"/>
      </w:pPr>
      <w:bookmarkStart w:id="222" w:name="_Toc4661484"/>
      <w:r>
        <w:rPr>
          <w:rStyle w:val="charTableNo"/>
        </w:rPr>
        <w:lastRenderedPageBreak/>
        <w:t>5</w:t>
      </w:r>
      <w:r>
        <w:tab/>
      </w:r>
      <w:r>
        <w:rPr>
          <w:rStyle w:val="charTableText"/>
        </w:rPr>
        <w:t>Earlier republications</w:t>
      </w:r>
      <w:bookmarkEnd w:id="222"/>
    </w:p>
    <w:p w:rsidR="00BB6F9A" w:rsidRDefault="00BB6F9A">
      <w:pPr>
        <w:pStyle w:val="EndNoteTextEPS"/>
        <w:keepNext/>
      </w:pPr>
      <w:r>
        <w:t xml:space="preserve">Some earlier republications were not numbered. The number in column 1 refers to the publication order.  </w:t>
      </w:r>
    </w:p>
    <w:p w:rsidR="00BB6F9A" w:rsidRDefault="00BB6F9A">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rsidR="00BB6F9A" w:rsidRDefault="00BB6F9A">
      <w:pPr>
        <w:pStyle w:val="EndNoteTextEPS"/>
        <w:keepNext/>
      </w:pPr>
    </w:p>
    <w:tbl>
      <w:tblPr>
        <w:tblW w:w="0" w:type="auto"/>
        <w:tblInd w:w="828" w:type="dxa"/>
        <w:tblLayout w:type="fixed"/>
        <w:tblLook w:val="0000" w:firstRow="0" w:lastRow="0" w:firstColumn="0" w:lastColumn="0" w:noHBand="0" w:noVBand="0"/>
      </w:tblPr>
      <w:tblGrid>
        <w:gridCol w:w="1930"/>
        <w:gridCol w:w="2350"/>
        <w:gridCol w:w="2350"/>
      </w:tblGrid>
      <w:tr w:rsidR="00BB6F9A">
        <w:trPr>
          <w:tblHeader/>
        </w:trPr>
        <w:tc>
          <w:tcPr>
            <w:tcW w:w="1930" w:type="dxa"/>
            <w:tcBorders>
              <w:top w:val="nil"/>
              <w:left w:val="nil"/>
              <w:bottom w:val="nil"/>
              <w:right w:val="nil"/>
            </w:tcBorders>
          </w:tcPr>
          <w:p w:rsidR="00BB6F9A" w:rsidRDefault="00BB6F9A">
            <w:pPr>
              <w:pStyle w:val="EarlierRepubHdg"/>
            </w:pPr>
            <w:r>
              <w:t>Republication No</w:t>
            </w:r>
          </w:p>
        </w:tc>
        <w:tc>
          <w:tcPr>
            <w:tcW w:w="2350" w:type="dxa"/>
            <w:tcBorders>
              <w:top w:val="nil"/>
              <w:left w:val="nil"/>
              <w:bottom w:val="nil"/>
              <w:right w:val="nil"/>
            </w:tcBorders>
          </w:tcPr>
          <w:p w:rsidR="00BB6F9A" w:rsidRDefault="00BB6F9A">
            <w:pPr>
              <w:pStyle w:val="EarlierRepubHdg"/>
            </w:pPr>
            <w:r>
              <w:t>Amendments to</w:t>
            </w:r>
          </w:p>
        </w:tc>
        <w:tc>
          <w:tcPr>
            <w:tcW w:w="2350" w:type="dxa"/>
            <w:tcBorders>
              <w:top w:val="nil"/>
              <w:left w:val="nil"/>
              <w:bottom w:val="nil"/>
              <w:right w:val="nil"/>
            </w:tcBorders>
          </w:tcPr>
          <w:p w:rsidR="00BB6F9A" w:rsidRDefault="00BB6F9A">
            <w:pPr>
              <w:pStyle w:val="EarlierRepubHdg"/>
            </w:pPr>
            <w:r>
              <w:t>Republication date</w:t>
            </w:r>
          </w:p>
        </w:tc>
      </w:tr>
      <w:tr w:rsidR="00BB6F9A">
        <w:trPr>
          <w:cantSplit/>
        </w:trPr>
        <w:tc>
          <w:tcPr>
            <w:tcW w:w="1930" w:type="dxa"/>
            <w:tcBorders>
              <w:top w:val="nil"/>
              <w:left w:val="nil"/>
              <w:bottom w:val="nil"/>
              <w:right w:val="nil"/>
            </w:tcBorders>
          </w:tcPr>
          <w:p w:rsidR="00BB6F9A" w:rsidRDefault="00BB6F9A">
            <w:pPr>
              <w:pStyle w:val="EarlierRepubEntries"/>
            </w:pPr>
            <w:r>
              <w:t>1</w:t>
            </w:r>
          </w:p>
        </w:tc>
        <w:tc>
          <w:tcPr>
            <w:tcW w:w="2350" w:type="dxa"/>
            <w:tcBorders>
              <w:top w:val="nil"/>
              <w:left w:val="nil"/>
              <w:bottom w:val="nil"/>
              <w:right w:val="nil"/>
            </w:tcBorders>
          </w:tcPr>
          <w:p w:rsidR="00BB6F9A" w:rsidRDefault="00BB6F9A">
            <w:pPr>
              <w:pStyle w:val="EarlierRepubEntries"/>
            </w:pPr>
            <w:r>
              <w:t>not amended</w:t>
            </w:r>
          </w:p>
        </w:tc>
        <w:tc>
          <w:tcPr>
            <w:tcW w:w="2350" w:type="dxa"/>
            <w:tcBorders>
              <w:top w:val="nil"/>
              <w:left w:val="nil"/>
              <w:bottom w:val="nil"/>
              <w:right w:val="nil"/>
            </w:tcBorders>
          </w:tcPr>
          <w:p w:rsidR="00BB6F9A" w:rsidRDefault="00BB6F9A">
            <w:pPr>
              <w:pStyle w:val="EarlierRepubEntries"/>
            </w:pPr>
            <w:r>
              <w:t>1 November 2002</w:t>
            </w:r>
          </w:p>
        </w:tc>
      </w:tr>
      <w:tr w:rsidR="00BB6F9A">
        <w:trPr>
          <w:cantSplit/>
        </w:trPr>
        <w:tc>
          <w:tcPr>
            <w:tcW w:w="1930" w:type="dxa"/>
            <w:tcBorders>
              <w:top w:val="nil"/>
              <w:left w:val="nil"/>
              <w:bottom w:val="nil"/>
              <w:right w:val="nil"/>
            </w:tcBorders>
          </w:tcPr>
          <w:p w:rsidR="00BB6F9A" w:rsidRDefault="00BB6F9A">
            <w:pPr>
              <w:pStyle w:val="EarlierRepubEntries"/>
            </w:pPr>
            <w:r>
              <w:t>2</w:t>
            </w:r>
          </w:p>
        </w:tc>
        <w:tc>
          <w:tcPr>
            <w:tcW w:w="2350" w:type="dxa"/>
            <w:tcBorders>
              <w:top w:val="nil"/>
              <w:left w:val="nil"/>
              <w:bottom w:val="nil"/>
              <w:right w:val="nil"/>
            </w:tcBorders>
          </w:tcPr>
          <w:p w:rsidR="00BB6F9A" w:rsidRDefault="00BB6F9A">
            <w:pPr>
              <w:pStyle w:val="EarlierRepubEntries"/>
            </w:pPr>
            <w:r>
              <w:t>SL2002-41</w:t>
            </w:r>
          </w:p>
        </w:tc>
        <w:tc>
          <w:tcPr>
            <w:tcW w:w="2350" w:type="dxa"/>
            <w:tcBorders>
              <w:top w:val="nil"/>
              <w:left w:val="nil"/>
              <w:bottom w:val="nil"/>
              <w:right w:val="nil"/>
            </w:tcBorders>
          </w:tcPr>
          <w:p w:rsidR="00BB6F9A" w:rsidRDefault="00BB6F9A">
            <w:pPr>
              <w:pStyle w:val="EarlierRepubEntries"/>
            </w:pPr>
            <w:r>
              <w:t>21 December 2002</w:t>
            </w:r>
          </w:p>
        </w:tc>
      </w:tr>
      <w:tr w:rsidR="00BB6F9A">
        <w:trPr>
          <w:cantSplit/>
        </w:trPr>
        <w:tc>
          <w:tcPr>
            <w:tcW w:w="1930" w:type="dxa"/>
            <w:tcBorders>
              <w:top w:val="nil"/>
              <w:left w:val="nil"/>
              <w:bottom w:val="nil"/>
              <w:right w:val="nil"/>
            </w:tcBorders>
          </w:tcPr>
          <w:p w:rsidR="00BB6F9A" w:rsidRDefault="00BB6F9A">
            <w:pPr>
              <w:pStyle w:val="EarlierRepubEntries"/>
            </w:pPr>
            <w:r>
              <w:t>3</w:t>
            </w:r>
          </w:p>
        </w:tc>
        <w:tc>
          <w:tcPr>
            <w:tcW w:w="2350" w:type="dxa"/>
            <w:tcBorders>
              <w:top w:val="nil"/>
              <w:left w:val="nil"/>
              <w:bottom w:val="nil"/>
              <w:right w:val="nil"/>
            </w:tcBorders>
          </w:tcPr>
          <w:p w:rsidR="00BB6F9A" w:rsidRDefault="00BB6F9A">
            <w:pPr>
              <w:pStyle w:val="EarlierRepubEntries"/>
            </w:pPr>
            <w:r>
              <w:t>Act 2002 No 49</w:t>
            </w:r>
          </w:p>
        </w:tc>
        <w:tc>
          <w:tcPr>
            <w:tcW w:w="2350" w:type="dxa"/>
            <w:tcBorders>
              <w:top w:val="nil"/>
              <w:left w:val="nil"/>
              <w:bottom w:val="nil"/>
              <w:right w:val="nil"/>
            </w:tcBorders>
          </w:tcPr>
          <w:p w:rsidR="00BB6F9A" w:rsidRDefault="00BB6F9A">
            <w:pPr>
              <w:pStyle w:val="EarlierRepubEntries"/>
            </w:pPr>
            <w:r>
              <w:t>1 January 2003</w:t>
            </w:r>
          </w:p>
        </w:tc>
      </w:tr>
      <w:tr w:rsidR="00BB6F9A">
        <w:trPr>
          <w:cantSplit/>
        </w:trPr>
        <w:tc>
          <w:tcPr>
            <w:tcW w:w="1930" w:type="dxa"/>
            <w:tcBorders>
              <w:top w:val="nil"/>
              <w:left w:val="nil"/>
              <w:bottom w:val="nil"/>
              <w:right w:val="nil"/>
            </w:tcBorders>
          </w:tcPr>
          <w:p w:rsidR="00BB6F9A" w:rsidRDefault="00BB6F9A">
            <w:pPr>
              <w:pStyle w:val="EarlierRepubEntries"/>
            </w:pPr>
            <w:r>
              <w:t>4</w:t>
            </w:r>
          </w:p>
        </w:tc>
        <w:tc>
          <w:tcPr>
            <w:tcW w:w="2350" w:type="dxa"/>
            <w:tcBorders>
              <w:top w:val="nil"/>
              <w:left w:val="nil"/>
              <w:bottom w:val="nil"/>
              <w:right w:val="nil"/>
            </w:tcBorders>
          </w:tcPr>
          <w:p w:rsidR="00BB6F9A" w:rsidRDefault="00BB6F9A">
            <w:pPr>
              <w:pStyle w:val="EarlierRepubEntries"/>
            </w:pPr>
            <w:r>
              <w:t>Act 2002 No 49</w:t>
            </w:r>
          </w:p>
        </w:tc>
        <w:tc>
          <w:tcPr>
            <w:tcW w:w="2350" w:type="dxa"/>
            <w:tcBorders>
              <w:top w:val="nil"/>
              <w:left w:val="nil"/>
              <w:bottom w:val="nil"/>
              <w:right w:val="nil"/>
            </w:tcBorders>
          </w:tcPr>
          <w:p w:rsidR="00BB6F9A" w:rsidRDefault="00BB6F9A">
            <w:pPr>
              <w:pStyle w:val="EarlierRepubEntries"/>
            </w:pPr>
            <w:r>
              <w:t>2 January 2003</w:t>
            </w:r>
          </w:p>
        </w:tc>
      </w:tr>
      <w:tr w:rsidR="00BB6F9A">
        <w:trPr>
          <w:cantSplit/>
        </w:trPr>
        <w:tc>
          <w:tcPr>
            <w:tcW w:w="1930" w:type="dxa"/>
            <w:tcBorders>
              <w:top w:val="nil"/>
              <w:left w:val="nil"/>
              <w:bottom w:val="nil"/>
              <w:right w:val="nil"/>
            </w:tcBorders>
          </w:tcPr>
          <w:p w:rsidR="00BB6F9A" w:rsidRDefault="00BB6F9A">
            <w:pPr>
              <w:pStyle w:val="EarlierRepubEntries"/>
            </w:pPr>
            <w:r>
              <w:t>5</w:t>
            </w:r>
          </w:p>
        </w:tc>
        <w:tc>
          <w:tcPr>
            <w:tcW w:w="2350" w:type="dxa"/>
            <w:tcBorders>
              <w:top w:val="nil"/>
              <w:left w:val="nil"/>
              <w:bottom w:val="nil"/>
              <w:right w:val="nil"/>
            </w:tcBorders>
          </w:tcPr>
          <w:p w:rsidR="00BB6F9A" w:rsidRDefault="00BB6F9A">
            <w:pPr>
              <w:pStyle w:val="EarlierRepubEntries"/>
            </w:pPr>
            <w:r>
              <w:t>Act 2002 No 49</w:t>
            </w:r>
          </w:p>
        </w:tc>
        <w:tc>
          <w:tcPr>
            <w:tcW w:w="2350" w:type="dxa"/>
            <w:tcBorders>
              <w:top w:val="nil"/>
              <w:left w:val="nil"/>
              <w:bottom w:val="nil"/>
              <w:right w:val="nil"/>
            </w:tcBorders>
          </w:tcPr>
          <w:p w:rsidR="00BB6F9A" w:rsidRDefault="00BB6F9A">
            <w:pPr>
              <w:pStyle w:val="EarlierRepubEntries"/>
            </w:pPr>
            <w:r>
              <w:t>17 January 2003</w:t>
            </w:r>
          </w:p>
        </w:tc>
      </w:tr>
      <w:tr w:rsidR="00BB6F9A">
        <w:trPr>
          <w:cantSplit/>
        </w:trPr>
        <w:tc>
          <w:tcPr>
            <w:tcW w:w="1930" w:type="dxa"/>
            <w:tcBorders>
              <w:top w:val="nil"/>
              <w:left w:val="nil"/>
              <w:bottom w:val="nil"/>
              <w:right w:val="nil"/>
            </w:tcBorders>
          </w:tcPr>
          <w:p w:rsidR="00BB6F9A" w:rsidRDefault="00BB6F9A">
            <w:pPr>
              <w:pStyle w:val="EarlierRepubEntries"/>
            </w:pPr>
            <w:r>
              <w:t>6</w:t>
            </w:r>
          </w:p>
        </w:tc>
        <w:tc>
          <w:tcPr>
            <w:tcW w:w="2350" w:type="dxa"/>
            <w:tcBorders>
              <w:top w:val="nil"/>
              <w:left w:val="nil"/>
              <w:bottom w:val="nil"/>
              <w:right w:val="nil"/>
            </w:tcBorders>
          </w:tcPr>
          <w:p w:rsidR="00BB6F9A" w:rsidRDefault="00BB6F9A">
            <w:pPr>
              <w:pStyle w:val="EarlierRepubEntries"/>
            </w:pPr>
            <w:r>
              <w:t>A2003-14</w:t>
            </w:r>
          </w:p>
        </w:tc>
        <w:tc>
          <w:tcPr>
            <w:tcW w:w="2350" w:type="dxa"/>
            <w:tcBorders>
              <w:top w:val="nil"/>
              <w:left w:val="nil"/>
              <w:bottom w:val="nil"/>
              <w:right w:val="nil"/>
            </w:tcBorders>
          </w:tcPr>
          <w:p w:rsidR="00BB6F9A" w:rsidRDefault="00BB6F9A">
            <w:pPr>
              <w:pStyle w:val="EarlierRepubEntries"/>
            </w:pPr>
            <w:r>
              <w:t>28 March 2003</w:t>
            </w:r>
          </w:p>
        </w:tc>
      </w:tr>
    </w:tbl>
    <w:p w:rsidR="00BB6F9A" w:rsidRDefault="00BB6F9A">
      <w:pPr>
        <w:pStyle w:val="Endnote2"/>
      </w:pPr>
      <w:bookmarkStart w:id="223" w:name="_Toc4661485"/>
      <w:r>
        <w:rPr>
          <w:rStyle w:val="charTableNo"/>
        </w:rPr>
        <w:t>6</w:t>
      </w:r>
      <w:r>
        <w:rPr>
          <w:color w:val="000000"/>
        </w:rPr>
        <w:tab/>
      </w:r>
      <w:r>
        <w:rPr>
          <w:rStyle w:val="charTableText"/>
        </w:rPr>
        <w:t>Modifications of republished law with temporary effect</w:t>
      </w:r>
      <w:bookmarkEnd w:id="223"/>
    </w:p>
    <w:p w:rsidR="00BB6F9A" w:rsidRDefault="00BB6F9A">
      <w:pPr>
        <w:pStyle w:val="EndNoteTextEPS"/>
        <w:keepNext/>
      </w:pPr>
      <w:r>
        <w:t>The following modifications have not been included in this republication:</w:t>
      </w:r>
    </w:p>
    <w:p w:rsidR="00BB6F9A" w:rsidRDefault="00BB6F9A">
      <w:pPr>
        <w:pStyle w:val="Endnote4"/>
      </w:pPr>
      <w:r>
        <w:tab/>
        <w:t>Civil Law (Wrongs) Regulations 2002 SL2002-41 reg 3</w:t>
      </w:r>
    </w:p>
    <w:p w:rsidR="00BB6F9A" w:rsidRDefault="00BB6F9A">
      <w:pPr>
        <w:pStyle w:val="IH5Sec"/>
      </w:pPr>
      <w:r>
        <w:rPr>
          <w:rStyle w:val="charTableNo"/>
        </w:rPr>
        <w:t>3</w:t>
      </w:r>
      <w:r>
        <w:rPr>
          <w:color w:val="000000"/>
        </w:rPr>
        <w:tab/>
      </w:r>
      <w:r>
        <w:rPr>
          <w:rStyle w:val="charTableText"/>
        </w:rPr>
        <w:t>Modification of Act, ch 12—Act, s 156</w:t>
      </w:r>
    </w:p>
    <w:p w:rsidR="00BB6F9A" w:rsidRDefault="00BB6F9A">
      <w:pPr>
        <w:pStyle w:val="Amainreturn"/>
        <w:keepNext/>
      </w:pPr>
      <w:r>
        <w:t>The Act, section 150 is modified by inserting the following subsection:</w:t>
      </w:r>
    </w:p>
    <w:p w:rsidR="00BB6F9A" w:rsidRDefault="00BB6F9A">
      <w:pPr>
        <w:pStyle w:val="Ipara"/>
      </w:pPr>
      <w:r>
        <w:rPr>
          <w:rStyle w:val="charTableText"/>
        </w:rPr>
        <w:tab/>
        <w:t>(3A)</w:t>
      </w:r>
      <w:r>
        <w:rPr>
          <w:rStyle w:val="charTableText"/>
        </w:rPr>
        <w:tab/>
        <w:t>Also, chapter 10 does not apply to a claim based on a cause of action that arose before the commencement of the chapter.</w:t>
      </w:r>
    </w:p>
    <w:p w:rsidR="00BB6F9A" w:rsidRDefault="00BB6F9A">
      <w:pPr>
        <w:pStyle w:val="Endnote2"/>
      </w:pPr>
      <w:bookmarkStart w:id="224" w:name="_Toc4661486"/>
      <w:r>
        <w:rPr>
          <w:rStyle w:val="charTableNo"/>
        </w:rPr>
        <w:lastRenderedPageBreak/>
        <w:t>7</w:t>
      </w:r>
      <w:r>
        <w:rPr>
          <w:rStyle w:val="charTableText"/>
        </w:rPr>
        <w:tab/>
        <w:t>Uncommenced provisions</w:t>
      </w:r>
      <w:bookmarkEnd w:id="224"/>
    </w:p>
    <w:p w:rsidR="00BB6F9A" w:rsidRDefault="00BB6F9A">
      <w:pPr>
        <w:pStyle w:val="EndNoteTextEPS"/>
        <w:keepNext/>
      </w:pPr>
      <w:r>
        <w:t>The following provisions have been included in this republication in italics because they were uncommenced at the republication date:</w:t>
      </w:r>
    </w:p>
    <w:p w:rsidR="00BB6F9A" w:rsidRDefault="00BB6F9A">
      <w:pPr>
        <w:pStyle w:val="Endnote4"/>
      </w:pPr>
      <w:r>
        <w:tab/>
        <w:t>Civil Law (Wrongs) Act 2002 No 40 pt 7.1</w:t>
      </w:r>
    </w:p>
    <w:p w:rsidR="00BB6F9A" w:rsidRDefault="00BB6F9A">
      <w:pPr>
        <w:pStyle w:val="IH2Part"/>
      </w:pPr>
      <w:r>
        <w:rPr>
          <w:rStyle w:val="CharPartNo"/>
        </w:rPr>
        <w:t>Part 7.1</w:t>
      </w:r>
      <w:r>
        <w:tab/>
      </w:r>
      <w:r>
        <w:rPr>
          <w:rStyle w:val="CharPartText"/>
        </w:rPr>
        <w:t>Traveller accommodation providers liability</w:t>
      </w:r>
    </w:p>
    <w:p w:rsidR="00BB6F9A" w:rsidRDefault="00BB6F9A">
      <w:pPr>
        <w:pStyle w:val="IH3Div"/>
      </w:pPr>
      <w:r>
        <w:rPr>
          <w:rStyle w:val="CharDivNo"/>
        </w:rPr>
        <w:t>Division 7.1.1</w:t>
      </w:r>
      <w:r>
        <w:tab/>
      </w:r>
      <w:r>
        <w:rPr>
          <w:rStyle w:val="CharDivText"/>
        </w:rPr>
        <w:t>Preliminary</w:t>
      </w:r>
    </w:p>
    <w:p w:rsidR="00BB6F9A" w:rsidRDefault="00BB6F9A">
      <w:pPr>
        <w:pStyle w:val="IH5Sec"/>
        <w:rPr>
          <w:snapToGrid w:val="0"/>
        </w:rPr>
      </w:pPr>
      <w:r>
        <w:rPr>
          <w:rStyle w:val="CharSectNo"/>
        </w:rPr>
        <w:t>75</w:t>
      </w:r>
      <w:r>
        <w:rPr>
          <w:snapToGrid w:val="0"/>
        </w:rPr>
        <w:tab/>
        <w:t>Purpose of pt 7.1</w:t>
      </w:r>
    </w:p>
    <w:p w:rsidR="00BB6F9A" w:rsidRDefault="00BB6F9A">
      <w:pPr>
        <w:pStyle w:val="Amainreturn"/>
        <w:rPr>
          <w:snapToGrid w:val="0"/>
        </w:rPr>
      </w:pPr>
      <w:r>
        <w:rPr>
          <w:snapToGrid w:val="0"/>
        </w:rPr>
        <w:t>The purpose of this part is to mitigate some of the harsh consequences of innkeeper’s liability at common law.</w:t>
      </w:r>
    </w:p>
    <w:p w:rsidR="00BB6F9A" w:rsidRDefault="00BB6F9A">
      <w:pPr>
        <w:pStyle w:val="IH5Sec"/>
        <w:rPr>
          <w:snapToGrid w:val="0"/>
        </w:rPr>
      </w:pPr>
      <w:r>
        <w:rPr>
          <w:rStyle w:val="CharSectNo"/>
        </w:rPr>
        <w:t>76</w:t>
      </w:r>
      <w:r>
        <w:rPr>
          <w:snapToGrid w:val="0"/>
        </w:rPr>
        <w:tab/>
        <w:t>Definitions for pt 7.1</w:t>
      </w:r>
    </w:p>
    <w:p w:rsidR="00BB6F9A" w:rsidRDefault="00BB6F9A">
      <w:pPr>
        <w:pStyle w:val="Amainreturn"/>
        <w:keepNext/>
      </w:pPr>
      <w:r>
        <w:t>In this part:</w:t>
      </w:r>
    </w:p>
    <w:p w:rsidR="00BB6F9A" w:rsidRDefault="00BB6F9A">
      <w:pPr>
        <w:pStyle w:val="aDef"/>
        <w:rPr>
          <w:rFonts w:ascii="Times-Roman" w:hAnsi="Times-Roman" w:cs="Times-Roman"/>
          <w:snapToGrid w:val="0"/>
        </w:rPr>
      </w:pPr>
      <w:r>
        <w:rPr>
          <w:rStyle w:val="charBoldItals"/>
        </w:rPr>
        <w:t>accommodation unit</w:t>
      </w:r>
      <w:r>
        <w:rPr>
          <w:rFonts w:ascii="Times-Bold" w:hAnsi="Times-Bold" w:cs="Times-Bold"/>
          <w:b/>
          <w:bCs/>
          <w:snapToGrid w:val="0"/>
        </w:rPr>
        <w:t xml:space="preserve"> </w:t>
      </w:r>
      <w:r>
        <w:rPr>
          <w:snapToGrid w:val="0"/>
        </w:rPr>
        <w:t>means an area of traveller accommodation that is designed to be used by a guest of the accommodation provider for sleeping</w:t>
      </w:r>
      <w:r>
        <w:rPr>
          <w:rFonts w:ascii="Times-Roman" w:hAnsi="Times-Roman" w:cs="Times-Roman"/>
          <w:snapToGrid w:val="0"/>
        </w:rPr>
        <w:t>.</w:t>
      </w:r>
    </w:p>
    <w:p w:rsidR="00BB6F9A" w:rsidRDefault="00BB6F9A">
      <w:pPr>
        <w:pStyle w:val="aDef"/>
        <w:rPr>
          <w:snapToGrid w:val="0"/>
        </w:rPr>
      </w:pPr>
      <w:r>
        <w:rPr>
          <w:rStyle w:val="charBoldItals"/>
        </w:rPr>
        <w:t>agent</w:t>
      </w:r>
      <w:r>
        <w:rPr>
          <w:snapToGrid w:val="0"/>
        </w:rPr>
        <w:t>, of an accommodation provider, includes—</w:t>
      </w:r>
    </w:p>
    <w:p w:rsidR="00BB6F9A" w:rsidRDefault="00BB6F9A">
      <w:pPr>
        <w:pStyle w:val="Idefpara"/>
        <w:rPr>
          <w:snapToGrid w:val="0"/>
        </w:rPr>
      </w:pPr>
      <w:r>
        <w:rPr>
          <w:snapToGrid w:val="0"/>
        </w:rPr>
        <w:tab/>
        <w:t>(a)</w:t>
      </w:r>
      <w:r>
        <w:rPr>
          <w:snapToGrid w:val="0"/>
        </w:rPr>
        <w:tab/>
        <w:t>an employee of the accommodation provider; and</w:t>
      </w:r>
    </w:p>
    <w:p w:rsidR="00BB6F9A" w:rsidRDefault="00BB6F9A">
      <w:pPr>
        <w:pStyle w:val="Idefpara"/>
        <w:rPr>
          <w:snapToGrid w:val="0"/>
        </w:rPr>
      </w:pPr>
      <w:r>
        <w:rPr>
          <w:snapToGrid w:val="0"/>
        </w:rPr>
        <w:tab/>
        <w:t>(b)</w:t>
      </w:r>
      <w:r>
        <w:rPr>
          <w:snapToGrid w:val="0"/>
        </w:rPr>
        <w:tab/>
        <w:t>an apparent agent or employee of the accommodation provider.</w:t>
      </w:r>
    </w:p>
    <w:p w:rsidR="00BB6F9A" w:rsidRDefault="00BB6F9A">
      <w:pPr>
        <w:pStyle w:val="aDef"/>
        <w:rPr>
          <w:snapToGrid w:val="0"/>
        </w:rPr>
      </w:pPr>
      <w:r>
        <w:rPr>
          <w:rStyle w:val="charBoldItals"/>
        </w:rPr>
        <w:t>fault</w:t>
      </w:r>
      <w:r>
        <w:rPr>
          <w:rFonts w:ascii="Times-Bold" w:hAnsi="Times-Bold" w:cs="Times-Bold"/>
          <w:b/>
          <w:bCs/>
          <w:snapToGrid w:val="0"/>
        </w:rPr>
        <w:t xml:space="preserve"> </w:t>
      </w:r>
      <w:r>
        <w:rPr>
          <w:snapToGrid w:val="0"/>
        </w:rPr>
        <w:t>means negligence or another act or omission giving rise to a liability.</w:t>
      </w:r>
    </w:p>
    <w:p w:rsidR="00BB6F9A" w:rsidRDefault="00BB6F9A">
      <w:pPr>
        <w:pStyle w:val="aDef"/>
        <w:rPr>
          <w:snapToGrid w:val="0"/>
        </w:rPr>
      </w:pPr>
      <w:r>
        <w:rPr>
          <w:rStyle w:val="charBoldItals"/>
        </w:rPr>
        <w:t>limitation amount</w:t>
      </w:r>
      <w:r>
        <w:rPr>
          <w:snapToGrid w:val="0"/>
        </w:rPr>
        <w:t xml:space="preserve"> means the amount prescribed under the regulations.</w:t>
      </w:r>
    </w:p>
    <w:p w:rsidR="00BB6F9A" w:rsidRDefault="00BB6F9A">
      <w:pPr>
        <w:pStyle w:val="aDef"/>
        <w:rPr>
          <w:snapToGrid w:val="0"/>
        </w:rPr>
      </w:pPr>
      <w:r>
        <w:rPr>
          <w:rStyle w:val="charBoldItals"/>
        </w:rPr>
        <w:t>loss</w:t>
      </w:r>
      <w:r>
        <w:rPr>
          <w:snapToGrid w:val="0"/>
        </w:rPr>
        <w:t>, of property, includes damage to, or destruction of, the property.</w:t>
      </w:r>
    </w:p>
    <w:p w:rsidR="00BB6F9A" w:rsidRDefault="00BB6F9A">
      <w:pPr>
        <w:pStyle w:val="aDef"/>
        <w:rPr>
          <w:snapToGrid w:val="0"/>
        </w:rPr>
      </w:pPr>
      <w:r>
        <w:rPr>
          <w:rStyle w:val="charBoldItals"/>
        </w:rPr>
        <w:t>motor vehicle</w:t>
      </w:r>
      <w:r>
        <w:rPr>
          <w:rFonts w:ascii="Times-Bold" w:hAnsi="Times-Bold" w:cs="Times-Bold"/>
          <w:b/>
          <w:bCs/>
          <w:snapToGrid w:val="0"/>
        </w:rPr>
        <w:t xml:space="preserve"> </w:t>
      </w:r>
      <w:r>
        <w:rPr>
          <w:snapToGrid w:val="0"/>
        </w:rPr>
        <w:t>includes a boat, caravan and trailer attached to a motor vehicle.</w:t>
      </w:r>
    </w:p>
    <w:p w:rsidR="00BB6F9A" w:rsidRDefault="00BB6F9A">
      <w:pPr>
        <w:pStyle w:val="aDef"/>
        <w:rPr>
          <w:snapToGrid w:val="0"/>
        </w:rPr>
      </w:pPr>
      <w:r>
        <w:rPr>
          <w:rStyle w:val="charBoldItals"/>
        </w:rPr>
        <w:lastRenderedPageBreak/>
        <w:t>provide</w:t>
      </w:r>
      <w:r>
        <w:rPr>
          <w:snapToGrid w:val="0"/>
        </w:rPr>
        <w:t xml:space="preserve"> traveller accommodation includes offering to provide the traveller accommodation.</w:t>
      </w:r>
    </w:p>
    <w:p w:rsidR="00BB6F9A" w:rsidRDefault="00BB6F9A">
      <w:pPr>
        <w:pStyle w:val="aDef"/>
        <w:rPr>
          <w:snapToGrid w:val="0"/>
        </w:rPr>
      </w:pPr>
      <w:r>
        <w:rPr>
          <w:rStyle w:val="charBoldItals"/>
        </w:rPr>
        <w:t>safe custody facilities</w:t>
      </w:r>
      <w:r>
        <w:rPr>
          <w:snapToGrid w:val="0"/>
        </w:rPr>
        <w:t xml:space="preserve">—see section 85 (1). </w:t>
      </w:r>
    </w:p>
    <w:p w:rsidR="00BB6F9A" w:rsidRDefault="00BB6F9A">
      <w:pPr>
        <w:pStyle w:val="IH5Sec"/>
        <w:rPr>
          <w:rStyle w:val="charItals"/>
        </w:rPr>
      </w:pPr>
      <w:r>
        <w:rPr>
          <w:rStyle w:val="CharSectNo"/>
        </w:rPr>
        <w:t>77</w:t>
      </w:r>
      <w:r>
        <w:rPr>
          <w:snapToGrid w:val="0"/>
        </w:rPr>
        <w:tab/>
        <w:t xml:space="preserve">Meaning of </w:t>
      </w:r>
      <w:r>
        <w:rPr>
          <w:rStyle w:val="charItals"/>
        </w:rPr>
        <w:t>traveller accommodation</w:t>
      </w:r>
    </w:p>
    <w:p w:rsidR="00BB6F9A" w:rsidRDefault="00BB6F9A">
      <w:pPr>
        <w:pStyle w:val="IMain"/>
      </w:pPr>
      <w:r>
        <w:tab/>
        <w:t>(1)</w:t>
      </w:r>
      <w:r>
        <w:tab/>
      </w:r>
      <w:r>
        <w:rPr>
          <w:rStyle w:val="charBoldItals"/>
        </w:rPr>
        <w:t>Traveller accommodation</w:t>
      </w:r>
      <w:r>
        <w:t xml:space="preserve"> is accommodation provided for use by members of the travelling public as part of a commercial transaction.</w:t>
      </w:r>
    </w:p>
    <w:p w:rsidR="00BB6F9A" w:rsidRDefault="00BB6F9A">
      <w:pPr>
        <w:pStyle w:val="IMain"/>
        <w:keepNext/>
      </w:pPr>
      <w:r>
        <w:tab/>
        <w:t>(2)</w:t>
      </w:r>
      <w:r>
        <w:tab/>
      </w:r>
      <w:r>
        <w:rPr>
          <w:snapToGrid w:val="0"/>
        </w:rPr>
        <w:t xml:space="preserve">Without limiting subsection (1), traveller accommodation includes </w:t>
      </w:r>
      <w:r>
        <w:t>the following types of accommodation:</w:t>
      </w:r>
    </w:p>
    <w:p w:rsidR="00BB6F9A" w:rsidRDefault="00BB6F9A">
      <w:pPr>
        <w:pStyle w:val="Ipara"/>
        <w:rPr>
          <w:snapToGrid w:val="0"/>
        </w:rPr>
      </w:pPr>
      <w:r>
        <w:rPr>
          <w:snapToGrid w:val="0"/>
        </w:rPr>
        <w:tab/>
        <w:t>(a)</w:t>
      </w:r>
      <w:r>
        <w:rPr>
          <w:snapToGrid w:val="0"/>
        </w:rPr>
        <w:tab/>
        <w:t xml:space="preserve">backpacker; </w:t>
      </w:r>
    </w:p>
    <w:p w:rsidR="00BB6F9A" w:rsidRDefault="00BB6F9A">
      <w:pPr>
        <w:pStyle w:val="Ipara"/>
        <w:rPr>
          <w:snapToGrid w:val="0"/>
        </w:rPr>
      </w:pPr>
      <w:r>
        <w:rPr>
          <w:snapToGrid w:val="0"/>
        </w:rPr>
        <w:tab/>
        <w:t>(b)</w:t>
      </w:r>
      <w:r>
        <w:rPr>
          <w:snapToGrid w:val="0"/>
        </w:rPr>
        <w:tab/>
        <w:t xml:space="preserve">bed and breakfast; </w:t>
      </w:r>
    </w:p>
    <w:p w:rsidR="00BB6F9A" w:rsidRDefault="00BB6F9A">
      <w:pPr>
        <w:pStyle w:val="Ipara"/>
        <w:rPr>
          <w:snapToGrid w:val="0"/>
        </w:rPr>
      </w:pPr>
      <w:r>
        <w:rPr>
          <w:snapToGrid w:val="0"/>
        </w:rPr>
        <w:tab/>
        <w:t>(c)</w:t>
      </w:r>
      <w:r>
        <w:rPr>
          <w:snapToGrid w:val="0"/>
        </w:rPr>
        <w:tab/>
        <w:t xml:space="preserve">hotel; </w:t>
      </w:r>
    </w:p>
    <w:p w:rsidR="00BB6F9A" w:rsidRDefault="00BB6F9A">
      <w:pPr>
        <w:pStyle w:val="Ipara"/>
        <w:rPr>
          <w:snapToGrid w:val="0"/>
        </w:rPr>
      </w:pPr>
      <w:r>
        <w:rPr>
          <w:snapToGrid w:val="0"/>
        </w:rPr>
        <w:tab/>
        <w:t>(d)</w:t>
      </w:r>
      <w:r>
        <w:rPr>
          <w:snapToGrid w:val="0"/>
        </w:rPr>
        <w:tab/>
        <w:t xml:space="preserve">motel; </w:t>
      </w:r>
    </w:p>
    <w:p w:rsidR="00BB6F9A" w:rsidRDefault="00BB6F9A">
      <w:pPr>
        <w:pStyle w:val="Ipara"/>
        <w:rPr>
          <w:snapToGrid w:val="0"/>
        </w:rPr>
      </w:pPr>
      <w:r>
        <w:rPr>
          <w:snapToGrid w:val="0"/>
        </w:rPr>
        <w:tab/>
        <w:t>(e)</w:t>
      </w:r>
      <w:r>
        <w:rPr>
          <w:snapToGrid w:val="0"/>
        </w:rPr>
        <w:tab/>
        <w:t>resort;</w:t>
      </w:r>
    </w:p>
    <w:p w:rsidR="00BB6F9A" w:rsidRDefault="00BB6F9A">
      <w:pPr>
        <w:pStyle w:val="Ipara"/>
        <w:rPr>
          <w:snapToGrid w:val="0"/>
        </w:rPr>
      </w:pPr>
      <w:r>
        <w:rPr>
          <w:snapToGrid w:val="0"/>
        </w:rPr>
        <w:tab/>
        <w:t>(f)</w:t>
      </w:r>
      <w:r>
        <w:rPr>
          <w:snapToGrid w:val="0"/>
        </w:rPr>
        <w:tab/>
        <w:t>serviced apartment.</w:t>
      </w:r>
    </w:p>
    <w:p w:rsidR="00BB6F9A" w:rsidRDefault="00BB6F9A">
      <w:pPr>
        <w:pStyle w:val="I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BB6F9A" w:rsidRDefault="00BB6F9A">
      <w:pPr>
        <w:pStyle w:val="aExamHead"/>
        <w:rPr>
          <w:snapToGrid w:val="0"/>
        </w:rPr>
      </w:pPr>
      <w:r>
        <w:rPr>
          <w:snapToGrid w:val="0"/>
        </w:rPr>
        <w:t>Examples of accommodation supplied as part of commercial transaction</w:t>
      </w:r>
    </w:p>
    <w:p w:rsidR="00BB6F9A" w:rsidRDefault="00BB6F9A">
      <w:pPr>
        <w:pStyle w:val="aExamNum"/>
        <w:rPr>
          <w:snapToGrid w:val="0"/>
        </w:rPr>
      </w:pPr>
      <w:r>
        <w:rPr>
          <w:snapToGrid w:val="0"/>
        </w:rPr>
        <w:t>1</w:t>
      </w:r>
      <w:r>
        <w:rPr>
          <w:snapToGrid w:val="0"/>
        </w:rPr>
        <w:tab/>
        <w:t>resort holidays supplied to purchasers of electrical goods from retail outlets</w:t>
      </w:r>
    </w:p>
    <w:p w:rsidR="00BB6F9A" w:rsidRDefault="00BB6F9A">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BB6F9A" w:rsidRDefault="00BB6F9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BB6F9A" w:rsidRDefault="00BB6F9A">
      <w:pPr>
        <w:pStyle w:val="IMain"/>
        <w:rPr>
          <w:snapToGrid w:val="0"/>
        </w:rPr>
      </w:pPr>
      <w:r>
        <w:rPr>
          <w:snapToGrid w:val="0"/>
        </w:rPr>
        <w:tab/>
        <w:t>(4)</w:t>
      </w:r>
      <w:r>
        <w:rPr>
          <w:snapToGrid w:val="0"/>
        </w:rPr>
        <w:tab/>
        <w:t>Despite subsections (1) to (3)—</w:t>
      </w:r>
    </w:p>
    <w:p w:rsidR="00BB6F9A" w:rsidRDefault="00BB6F9A">
      <w:pPr>
        <w:pStyle w:val="Ipara"/>
        <w:rPr>
          <w:snapToGrid w:val="0"/>
        </w:rPr>
      </w:pPr>
      <w:r>
        <w:rPr>
          <w:snapToGrid w:val="0"/>
        </w:rPr>
        <w:tab/>
        <w:t>(a)</w:t>
      </w:r>
      <w:r>
        <w:rPr>
          <w:snapToGrid w:val="0"/>
        </w:rPr>
        <w:tab/>
        <w:t>accommodation is traveller accommodation only if it includes an accommodation unit; and</w:t>
      </w:r>
    </w:p>
    <w:p w:rsidR="00BB6F9A" w:rsidRDefault="00BB6F9A">
      <w:pPr>
        <w:pStyle w:val="I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BB6F9A" w:rsidRDefault="00BB6F9A">
      <w:pPr>
        <w:pStyle w:val="IH5Sec"/>
        <w:rPr>
          <w:snapToGrid w:val="0"/>
        </w:rPr>
      </w:pPr>
      <w:r>
        <w:rPr>
          <w:rStyle w:val="CharSectNo"/>
        </w:rPr>
        <w:t>78</w:t>
      </w:r>
      <w:r>
        <w:rPr>
          <w:snapToGrid w:val="0"/>
        </w:rPr>
        <w:tab/>
        <w:t xml:space="preserve">Meaning of </w:t>
      </w:r>
      <w:r>
        <w:rPr>
          <w:rStyle w:val="charItals"/>
        </w:rPr>
        <w:t>accommodation provider</w:t>
      </w:r>
    </w:p>
    <w:p w:rsidR="00BB6F9A" w:rsidRDefault="00BB6F9A">
      <w:pPr>
        <w:pStyle w:val="I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BB6F9A" w:rsidRDefault="00BB6F9A">
      <w:pPr>
        <w:pStyle w:val="IMain"/>
        <w:keepNext/>
        <w:rPr>
          <w:snapToGrid w:val="0"/>
        </w:rPr>
      </w:pPr>
      <w:r>
        <w:rPr>
          <w:snapToGrid w:val="0"/>
        </w:rPr>
        <w:tab/>
        <w:t>(2)</w:t>
      </w:r>
      <w:r>
        <w:rPr>
          <w:snapToGrid w:val="0"/>
        </w:rPr>
        <w:tab/>
        <w:t>To remove any doubt, the owner of traveller accommodation is not necessarily the accommodation provider.</w:t>
      </w:r>
    </w:p>
    <w:p w:rsidR="00BB6F9A" w:rsidRDefault="00BB6F9A">
      <w:pPr>
        <w:pStyle w:val="aExamHead"/>
        <w:rPr>
          <w:snapToGrid w:val="0"/>
        </w:rPr>
      </w:pPr>
      <w:r>
        <w:rPr>
          <w:snapToGrid w:val="0"/>
        </w:rPr>
        <w:t>Example of accommodation provider</w:t>
      </w:r>
    </w:p>
    <w:p w:rsidR="00BB6F9A" w:rsidRDefault="00BB6F9A">
      <w:pPr>
        <w:pStyle w:val="aExam"/>
        <w:keepNext/>
        <w:rPr>
          <w:rFonts w:ascii="Times-Roman" w:hAnsi="Times-Roman" w:cs="Times-Roman"/>
          <w:snapToGrid w:val="0"/>
        </w:rPr>
      </w:pPr>
      <w:r>
        <w:rPr>
          <w:snapToGrid w:val="0"/>
        </w:rPr>
        <w:t xml:space="preserve">The letting agent for, or the manager of, serviced apartments is the accommodation </w:t>
      </w:r>
      <w:r>
        <w:rPr>
          <w:rFonts w:ascii="Times-Roman" w:hAnsi="Times-Roman" w:cs="Times-Roman"/>
          <w:snapToGrid w:val="0"/>
        </w:rPr>
        <w:t>provider and not the owner of the apartments.</w:t>
      </w:r>
    </w:p>
    <w:p w:rsidR="00BB6F9A" w:rsidRDefault="00BB6F9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rPr>
        <w:t>Legislation Act 2001</w:t>
      </w:r>
      <w:r>
        <w:t>, s 126 and s 132).</w:t>
      </w:r>
    </w:p>
    <w:p w:rsidR="00BB6F9A" w:rsidRDefault="00BB6F9A">
      <w:pPr>
        <w:pStyle w:val="IH5Sec"/>
        <w:rPr>
          <w:rStyle w:val="charItals"/>
        </w:rPr>
      </w:pPr>
      <w:r>
        <w:rPr>
          <w:rStyle w:val="CharSectNo"/>
        </w:rPr>
        <w:t>79</w:t>
      </w:r>
      <w:r>
        <w:rPr>
          <w:snapToGrid w:val="0"/>
        </w:rPr>
        <w:tab/>
        <w:t xml:space="preserve">Meaning of </w:t>
      </w:r>
      <w:r>
        <w:rPr>
          <w:rStyle w:val="charItals"/>
        </w:rPr>
        <w:t>innkeeper’s liability</w:t>
      </w:r>
    </w:p>
    <w:p w:rsidR="00BB6F9A" w:rsidRDefault="00BB6F9A">
      <w:pPr>
        <w:pStyle w:val="I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BB6F9A" w:rsidRDefault="00BB6F9A">
      <w:pPr>
        <w:pStyle w:val="IMain"/>
        <w:rPr>
          <w:snapToGrid w:val="0"/>
        </w:rPr>
      </w:pPr>
      <w:r>
        <w:rPr>
          <w:snapToGrid w:val="0"/>
        </w:rPr>
        <w:tab/>
        <w:t>(2)</w:t>
      </w:r>
      <w:r>
        <w:rPr>
          <w:snapToGrid w:val="0"/>
        </w:rPr>
        <w:tab/>
        <w:t>To remove any doubt, for innkeeper’s liability, loss of a guest’s property includes damage to, or destruction of, the property.</w:t>
      </w:r>
    </w:p>
    <w:p w:rsidR="00BB6F9A" w:rsidRDefault="00BB6F9A">
      <w:pPr>
        <w:pStyle w:val="IMain"/>
        <w:rPr>
          <w:snapToGrid w:val="0"/>
        </w:rPr>
      </w:pPr>
      <w:r>
        <w:rPr>
          <w:snapToGrid w:val="0"/>
        </w:rPr>
        <w:tab/>
        <w:t>(3)</w:t>
      </w:r>
      <w:r>
        <w:rPr>
          <w:snapToGrid w:val="0"/>
        </w:rPr>
        <w:tab/>
        <w:t>For innkeeper’s liability—</w:t>
      </w:r>
    </w:p>
    <w:p w:rsidR="00BB6F9A" w:rsidRDefault="00BB6F9A">
      <w:pPr>
        <w:pStyle w:val="Ipara"/>
        <w:rPr>
          <w:snapToGrid w:val="0"/>
        </w:rPr>
      </w:pPr>
      <w:r>
        <w:rPr>
          <w:snapToGrid w:val="0"/>
        </w:rPr>
        <w:tab/>
        <w:t>(a)</w:t>
      </w:r>
      <w:r>
        <w:rPr>
          <w:snapToGrid w:val="0"/>
        </w:rPr>
        <w:tab/>
        <w:t>an accommodation provider, and only an accommodation provider, is an innkeeper; and</w:t>
      </w:r>
    </w:p>
    <w:p w:rsidR="00BB6F9A" w:rsidRDefault="00BB6F9A">
      <w:pPr>
        <w:pStyle w:val="Ipara"/>
        <w:rPr>
          <w:snapToGrid w:val="0"/>
        </w:rPr>
      </w:pPr>
      <w:r>
        <w:rPr>
          <w:snapToGrid w:val="0"/>
        </w:rPr>
        <w:tab/>
        <w:t>(b)</w:t>
      </w:r>
      <w:r>
        <w:rPr>
          <w:snapToGrid w:val="0"/>
        </w:rPr>
        <w:tab/>
        <w:t>traveller accommodation, and only traveller accommodation, is an inn.</w:t>
      </w:r>
    </w:p>
    <w:p w:rsidR="00BB6F9A" w:rsidRDefault="00BB6F9A">
      <w:pPr>
        <w:pStyle w:val="IH5Sec"/>
        <w:rPr>
          <w:snapToGrid w:val="0"/>
        </w:rPr>
      </w:pPr>
      <w:r>
        <w:rPr>
          <w:rStyle w:val="CharSectNo"/>
        </w:rPr>
        <w:lastRenderedPageBreak/>
        <w:t>80</w:t>
      </w:r>
      <w:r>
        <w:rPr>
          <w:snapToGrid w:val="0"/>
        </w:rPr>
        <w:tab/>
        <w:t xml:space="preserve">Meaning of </w:t>
      </w:r>
      <w:r>
        <w:rPr>
          <w:rStyle w:val="charItals"/>
        </w:rPr>
        <w:t>guest</w:t>
      </w:r>
    </w:p>
    <w:p w:rsidR="00BB6F9A" w:rsidRDefault="00BB6F9A" w:rsidP="008D25FE">
      <w:pPr>
        <w:pStyle w:val="IMain"/>
        <w:keepNext/>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BB6F9A" w:rsidRDefault="00BB6F9A">
      <w:pPr>
        <w:pStyle w:val="IMain"/>
        <w:rPr>
          <w:snapToGrid w:val="0"/>
        </w:rPr>
      </w:pPr>
      <w:r>
        <w:rPr>
          <w:snapToGrid w:val="0"/>
        </w:rPr>
        <w:tab/>
        <w:t>(2)</w:t>
      </w:r>
      <w:r>
        <w:rPr>
          <w:snapToGrid w:val="0"/>
        </w:rPr>
        <w:tab/>
        <w:t>However, the person is a guest only on a day when the person is provided with the use of an accommodation unit at the traveller accommodation.</w:t>
      </w:r>
    </w:p>
    <w:p w:rsidR="00BB6F9A" w:rsidRDefault="00BB6F9A">
      <w:pPr>
        <w:pStyle w:val="IMain"/>
        <w:rPr>
          <w:snapToGrid w:val="0"/>
        </w:rPr>
      </w:pPr>
      <w:r>
        <w:rPr>
          <w:snapToGrid w:val="0"/>
        </w:rPr>
        <w:tab/>
        <w:t>(3)</w:t>
      </w:r>
      <w:r>
        <w:rPr>
          <w:snapToGrid w:val="0"/>
        </w:rPr>
        <w:tab/>
        <w:t>A guest does not include a person—</w:t>
      </w:r>
    </w:p>
    <w:p w:rsidR="00BB6F9A" w:rsidRDefault="00BB6F9A">
      <w:pPr>
        <w:pStyle w:val="Ipara"/>
        <w:rPr>
          <w:snapToGrid w:val="0"/>
        </w:rPr>
      </w:pPr>
      <w:r>
        <w:rPr>
          <w:rFonts w:ascii="Times-Roman" w:hAnsi="Times-Roman" w:cs="Times-Roman"/>
          <w:snapToGrid w:val="0"/>
        </w:rPr>
        <w:tab/>
        <w:t>(a)</w:t>
      </w:r>
      <w:r>
        <w:rPr>
          <w:rFonts w:ascii="Times-Roman" w:hAnsi="Times-Roman" w:cs="Times-Roman"/>
          <w:snapToGrid w:val="0"/>
        </w:rPr>
        <w:tab/>
      </w:r>
      <w:r>
        <w:rPr>
          <w:snapToGrid w:val="0"/>
        </w:rPr>
        <w:t>who is at the traveller accommodation only to obtain beverages or food or to visit someone else; or</w:t>
      </w:r>
    </w:p>
    <w:p w:rsidR="00BB6F9A" w:rsidRDefault="00BB6F9A">
      <w:pPr>
        <w:pStyle w:val="Ipara"/>
        <w:rPr>
          <w:snapToGrid w:val="0"/>
        </w:rPr>
      </w:pPr>
      <w:r>
        <w:rPr>
          <w:snapToGrid w:val="0"/>
        </w:rPr>
        <w:tab/>
        <w:t>(b)</w:t>
      </w:r>
      <w:r>
        <w:rPr>
          <w:snapToGrid w:val="0"/>
        </w:rPr>
        <w:tab/>
        <w:t>who usually lives at the traveller accommodation.</w:t>
      </w:r>
    </w:p>
    <w:p w:rsidR="00BB6F9A" w:rsidRDefault="00BB6F9A">
      <w:pPr>
        <w:pStyle w:val="IH5Sec"/>
        <w:rPr>
          <w:snapToGrid w:val="0"/>
        </w:rPr>
      </w:pPr>
      <w:r>
        <w:rPr>
          <w:rStyle w:val="CharSectNo"/>
        </w:rPr>
        <w:t>81</w:t>
      </w:r>
      <w:r>
        <w:rPr>
          <w:snapToGrid w:val="0"/>
        </w:rPr>
        <w:tab/>
        <w:t xml:space="preserve">Meaning of </w:t>
      </w:r>
      <w:r>
        <w:rPr>
          <w:rStyle w:val="charItals"/>
        </w:rPr>
        <w:t>property</w:t>
      </w:r>
      <w:r>
        <w:rPr>
          <w:snapToGrid w:val="0"/>
        </w:rPr>
        <w:t xml:space="preserve"> of guest</w:t>
      </w:r>
    </w:p>
    <w:p w:rsidR="00BB6F9A" w:rsidRDefault="00BB6F9A">
      <w:pPr>
        <w:pStyle w:val="I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BB6F9A" w:rsidRDefault="00BB6F9A">
      <w:pPr>
        <w:pStyle w:val="I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BB6F9A" w:rsidRDefault="00BB6F9A">
      <w:pPr>
        <w:pStyle w:val="Ipara"/>
        <w:rPr>
          <w:snapToGrid w:val="0"/>
        </w:rPr>
      </w:pPr>
      <w:r>
        <w:rPr>
          <w:rFonts w:ascii="Times-Roman" w:hAnsi="Times-Roman" w:cs="Times-Roman"/>
          <w:snapToGrid w:val="0"/>
        </w:rPr>
        <w:tab/>
        <w:t>(a)</w:t>
      </w:r>
      <w:r>
        <w:rPr>
          <w:rFonts w:ascii="Times-Roman" w:hAnsi="Times-Roman" w:cs="Times-Roman"/>
          <w:snapToGrid w:val="0"/>
        </w:rPr>
        <w:tab/>
      </w:r>
      <w:r>
        <w:rPr>
          <w:snapToGrid w:val="0"/>
        </w:rPr>
        <w:t>a motor vehicle brought to the traveller accommodation or its surrounds by or for the guest, or other things owned by the guest left in or on the motor vehicle; or</w:t>
      </w:r>
    </w:p>
    <w:p w:rsidR="00BB6F9A" w:rsidRDefault="00BB6F9A">
      <w:pPr>
        <w:pStyle w:val="Ipara"/>
        <w:rPr>
          <w:snapToGrid w:val="0"/>
        </w:rPr>
      </w:pPr>
      <w:r>
        <w:rPr>
          <w:snapToGrid w:val="0"/>
        </w:rPr>
        <w:tab/>
        <w:t>(b)</w:t>
      </w:r>
      <w:r>
        <w:rPr>
          <w:snapToGrid w:val="0"/>
        </w:rPr>
        <w:tab/>
        <w:t>property taken from the traveller accommodation or its surrounds by or for the guest.</w:t>
      </w:r>
    </w:p>
    <w:p w:rsidR="00BB6F9A" w:rsidRDefault="00BB6F9A">
      <w:pPr>
        <w:pStyle w:val="IH3Div"/>
      </w:pPr>
      <w:r>
        <w:rPr>
          <w:rStyle w:val="CharDivNo"/>
        </w:rPr>
        <w:t>Division 7.1.2</w:t>
      </w:r>
      <w:r>
        <w:tab/>
      </w:r>
      <w:r>
        <w:rPr>
          <w:rStyle w:val="CharDivText"/>
        </w:rPr>
        <w:t>Liability of accommodation providers</w:t>
      </w:r>
    </w:p>
    <w:p w:rsidR="00BB6F9A" w:rsidRDefault="00BB6F9A">
      <w:pPr>
        <w:pStyle w:val="IH5Sec"/>
        <w:rPr>
          <w:snapToGrid w:val="0"/>
        </w:rPr>
      </w:pPr>
      <w:r>
        <w:rPr>
          <w:rStyle w:val="CharSectNo"/>
        </w:rPr>
        <w:t>82</w:t>
      </w:r>
      <w:r>
        <w:rPr>
          <w:snapToGrid w:val="0"/>
        </w:rPr>
        <w:tab/>
        <w:t>Application of div 7.1.2</w:t>
      </w:r>
    </w:p>
    <w:p w:rsidR="00BB6F9A" w:rsidRDefault="00BB6F9A">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BB6F9A" w:rsidRDefault="00BB6F9A">
      <w:pPr>
        <w:pStyle w:val="IH5Sec"/>
        <w:rPr>
          <w:snapToGrid w:val="0"/>
        </w:rPr>
      </w:pPr>
      <w:r>
        <w:rPr>
          <w:rStyle w:val="CharSectNo"/>
        </w:rPr>
        <w:lastRenderedPageBreak/>
        <w:t>83</w:t>
      </w:r>
      <w:r>
        <w:rPr>
          <w:snapToGrid w:val="0"/>
        </w:rPr>
        <w:tab/>
        <w:t xml:space="preserve">Limitation on strict liability under innkeeper’s liability </w:t>
      </w:r>
      <w:r>
        <w:rPr>
          <w:b w:val="0"/>
          <w:bCs w:val="0"/>
          <w:snapToGrid w:val="0"/>
        </w:rPr>
        <w:t>(ILA s 4)</w:t>
      </w:r>
    </w:p>
    <w:p w:rsidR="00BB6F9A" w:rsidRDefault="00BB6F9A">
      <w:pPr>
        <w:pStyle w:val="IMain"/>
        <w:rPr>
          <w:snapToGrid w:val="0"/>
        </w:rPr>
      </w:pPr>
      <w:r>
        <w:rPr>
          <w:snapToGrid w:val="0"/>
        </w:rPr>
        <w:tab/>
        <w:t>(1)</w:t>
      </w:r>
      <w:r>
        <w:rPr>
          <w:snapToGrid w:val="0"/>
        </w:rPr>
        <w:tab/>
        <w:t>This section applies to an accommodation provider’s liability under innkeeper’s liability for a loss of the guest’s property.</w:t>
      </w:r>
    </w:p>
    <w:p w:rsidR="00BB6F9A" w:rsidRDefault="00BB6F9A">
      <w:pPr>
        <w:pStyle w:val="I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BB6F9A" w:rsidRDefault="00BB6F9A">
      <w:pPr>
        <w:pStyle w:val="Ipara"/>
        <w:rPr>
          <w:snapToGrid w:val="0"/>
        </w:rPr>
      </w:pPr>
      <w:r>
        <w:rPr>
          <w:snapToGrid w:val="0"/>
        </w:rPr>
        <w:tab/>
        <w:t>(a)</w:t>
      </w:r>
      <w:r>
        <w:rPr>
          <w:snapToGrid w:val="0"/>
        </w:rPr>
        <w:tab/>
        <w:t>the amount of the loss on the day; or</w:t>
      </w:r>
    </w:p>
    <w:p w:rsidR="00BB6F9A" w:rsidRDefault="00BB6F9A">
      <w:pPr>
        <w:pStyle w:val="Ipara"/>
        <w:rPr>
          <w:snapToGrid w:val="0"/>
        </w:rPr>
      </w:pPr>
      <w:r>
        <w:rPr>
          <w:snapToGrid w:val="0"/>
        </w:rPr>
        <w:tab/>
        <w:t>(b)</w:t>
      </w:r>
      <w:r>
        <w:rPr>
          <w:snapToGrid w:val="0"/>
        </w:rPr>
        <w:tab/>
        <w:t>the number of guests who, on the day, are provided with the use of the accommodation unit and suffer a loss of property.</w:t>
      </w:r>
    </w:p>
    <w:p w:rsidR="00BB6F9A" w:rsidRDefault="00BB6F9A">
      <w:pPr>
        <w:pStyle w:val="I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BB6F9A" w:rsidRDefault="00BB6F9A">
      <w:pPr>
        <w:pStyle w:val="IH5Sec"/>
        <w:rPr>
          <w:snapToGrid w:val="0"/>
        </w:rPr>
      </w:pPr>
      <w:r>
        <w:rPr>
          <w:rStyle w:val="CharSectNo"/>
        </w:rPr>
        <w:t>84</w:t>
      </w:r>
      <w:r>
        <w:rPr>
          <w:snapToGrid w:val="0"/>
        </w:rPr>
        <w:tab/>
        <w:t>Circumstances when limitation does not apply</w:t>
      </w:r>
      <w:r>
        <w:rPr>
          <w:b w:val="0"/>
          <w:bCs w:val="0"/>
          <w:snapToGrid w:val="0"/>
        </w:rPr>
        <w:t xml:space="preserve"> (ILA s 4)</w:t>
      </w:r>
    </w:p>
    <w:p w:rsidR="00BB6F9A" w:rsidRDefault="00BB6F9A">
      <w:pPr>
        <w:pStyle w:val="IMain"/>
        <w:rPr>
          <w:snapToGrid w:val="0"/>
        </w:rPr>
      </w:pPr>
      <w:r>
        <w:rPr>
          <w:snapToGrid w:val="0"/>
        </w:rPr>
        <w:tab/>
        <w:t>(1)</w:t>
      </w:r>
      <w:r>
        <w:rPr>
          <w:snapToGrid w:val="0"/>
        </w:rPr>
        <w:tab/>
        <w:t>The limitation on the accommodation provider’s liability under section 83 (2) does not apply if the loss of a guest’s property—</w:t>
      </w:r>
    </w:p>
    <w:p w:rsidR="00BB6F9A" w:rsidRDefault="00BB6F9A">
      <w:pPr>
        <w:pStyle w:val="Ipara"/>
        <w:rPr>
          <w:snapToGrid w:val="0"/>
        </w:rPr>
      </w:pPr>
      <w:r>
        <w:rPr>
          <w:snapToGrid w:val="0"/>
        </w:rPr>
        <w:tab/>
        <w:t>(a)</w:t>
      </w:r>
      <w:r>
        <w:rPr>
          <w:snapToGrid w:val="0"/>
        </w:rPr>
        <w:tab/>
        <w:t>is caused by the fault of the accommodation provider or the provider’s agent; or</w:t>
      </w:r>
    </w:p>
    <w:p w:rsidR="00BB6F9A" w:rsidRDefault="00BB6F9A">
      <w:pPr>
        <w:pStyle w:val="Ipara"/>
        <w:rPr>
          <w:snapToGrid w:val="0"/>
        </w:rPr>
      </w:pPr>
      <w:r>
        <w:rPr>
          <w:snapToGrid w:val="0"/>
        </w:rPr>
        <w:tab/>
        <w:t>(b)</w:t>
      </w:r>
      <w:r>
        <w:rPr>
          <w:snapToGrid w:val="0"/>
        </w:rPr>
        <w:tab/>
        <w:t>happens after the accommodation provider, or the provider’s agent, accepts the property for depositing in safe custody facilities; or</w:t>
      </w:r>
    </w:p>
    <w:p w:rsidR="00BB6F9A" w:rsidRDefault="00BB6F9A">
      <w:pPr>
        <w:pStyle w:val="I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BB6F9A" w:rsidRDefault="00BB6F9A">
      <w:pPr>
        <w:pStyle w:val="IMain"/>
        <w:rPr>
          <w:snapToGrid w:val="0"/>
        </w:rPr>
      </w:pPr>
      <w:r>
        <w:rPr>
          <w:rFonts w:ascii="Times-Roman" w:hAnsi="Times-Roman" w:cs="Times-Roman"/>
          <w:snapToGrid w:val="0"/>
        </w:rPr>
        <w:tab/>
        <w:t>(2)</w:t>
      </w:r>
      <w:r>
        <w:rPr>
          <w:rFonts w:ascii="Times-Roman" w:hAnsi="Times-Roman" w:cs="Times-Roman"/>
          <w:snapToGrid w:val="0"/>
        </w:rPr>
        <w:tab/>
      </w:r>
      <w:r>
        <w:rPr>
          <w:snapToGrid w:val="0"/>
        </w:rPr>
        <w:t>Also, the limitation on the accommodation provider’s liability under section 83 (2) does not apply if—</w:t>
      </w:r>
    </w:p>
    <w:p w:rsidR="00BB6F9A" w:rsidRDefault="00BB6F9A">
      <w:pPr>
        <w:pStyle w:val="Ipara"/>
        <w:rPr>
          <w:snapToGrid w:val="0"/>
        </w:rPr>
      </w:pPr>
      <w:r>
        <w:rPr>
          <w:snapToGrid w:val="0"/>
        </w:rPr>
        <w:tab/>
        <w:t>(a)</w:t>
      </w:r>
      <w:r>
        <w:rPr>
          <w:snapToGrid w:val="0"/>
        </w:rPr>
        <w:tab/>
        <w:t>at the time the guest is provided with the use of an accommodation unit, the accommodation provider did not comply with section 86 (1) (a) (Notice about pt 7.1); or</w:t>
      </w:r>
    </w:p>
    <w:p w:rsidR="00BB6F9A" w:rsidRDefault="00BB6F9A">
      <w:pPr>
        <w:pStyle w:val="Ipara"/>
        <w:keepNext/>
        <w:rPr>
          <w:snapToGrid w:val="0"/>
        </w:rPr>
      </w:pPr>
      <w:r>
        <w:rPr>
          <w:snapToGrid w:val="0"/>
        </w:rPr>
        <w:lastRenderedPageBreak/>
        <w:tab/>
        <w:t>(b)</w:t>
      </w:r>
      <w:r>
        <w:rPr>
          <w:snapToGrid w:val="0"/>
        </w:rPr>
        <w:tab/>
        <w:t>during all of the period the guest is provided with the use of an accommodation unit, the accommodation provider did not do 1 of the following:</w:t>
      </w:r>
    </w:p>
    <w:p w:rsidR="00BB6F9A" w:rsidRDefault="00BB6F9A">
      <w:pPr>
        <w:pStyle w:val="Isubpara"/>
        <w:rPr>
          <w:snapToGrid w:val="0"/>
        </w:rPr>
      </w:pPr>
      <w:r>
        <w:rPr>
          <w:snapToGrid w:val="0"/>
        </w:rPr>
        <w:tab/>
        <w:t>(i)</w:t>
      </w:r>
      <w:r>
        <w:rPr>
          <w:snapToGrid w:val="0"/>
        </w:rPr>
        <w:tab/>
        <w:t>comply with section 86 (1) (b) in relation to the accommodation unit;</w:t>
      </w:r>
    </w:p>
    <w:p w:rsidR="00BB6F9A" w:rsidRDefault="00BB6F9A">
      <w:pPr>
        <w:pStyle w:val="Isubpara"/>
        <w:rPr>
          <w:snapToGrid w:val="0"/>
        </w:rPr>
      </w:pPr>
      <w:r>
        <w:rPr>
          <w:snapToGrid w:val="0"/>
        </w:rPr>
        <w:tab/>
        <w:t>(ii)</w:t>
      </w:r>
      <w:r>
        <w:rPr>
          <w:snapToGrid w:val="0"/>
        </w:rPr>
        <w:tab/>
        <w:t>have a system in operation as mentioned in section 86 </w:t>
      </w:r>
      <w:r>
        <w:t>(2)</w:t>
      </w:r>
      <w:r>
        <w:rPr>
          <w:snapToGrid w:val="0"/>
        </w:rPr>
        <w:t>.</w:t>
      </w:r>
    </w:p>
    <w:p w:rsidR="00BB6F9A" w:rsidRDefault="00BB6F9A">
      <w:pPr>
        <w:pStyle w:val="IH5Sec"/>
        <w:rPr>
          <w:snapToGrid w:val="0"/>
        </w:rPr>
      </w:pPr>
      <w:r>
        <w:rPr>
          <w:rStyle w:val="CharSectNo"/>
        </w:rPr>
        <w:t>85</w:t>
      </w:r>
      <w:r>
        <w:rPr>
          <w:snapToGrid w:val="0"/>
        </w:rPr>
        <w:tab/>
        <w:t xml:space="preserve">Safe custody facilities </w:t>
      </w:r>
      <w:r>
        <w:rPr>
          <w:b w:val="0"/>
          <w:bCs w:val="0"/>
          <w:snapToGrid w:val="0"/>
        </w:rPr>
        <w:t>(ILA s 4, 5)</w:t>
      </w:r>
    </w:p>
    <w:p w:rsidR="00BB6F9A" w:rsidRDefault="00BB6F9A">
      <w:pPr>
        <w:pStyle w:val="I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BB6F9A" w:rsidRDefault="00BB6F9A">
      <w:pPr>
        <w:pStyle w:val="I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BB6F9A" w:rsidRDefault="00BB6F9A">
      <w:pPr>
        <w:pStyle w:val="I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BB6F9A" w:rsidRDefault="00BB6F9A">
      <w:pPr>
        <w:pStyle w:val="I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BB6F9A" w:rsidRDefault="00BB6F9A">
      <w:pPr>
        <w:pStyle w:val="Ipara"/>
        <w:rPr>
          <w:snapToGrid w:val="0"/>
        </w:rPr>
      </w:pPr>
      <w:r>
        <w:rPr>
          <w:snapToGrid w:val="0"/>
        </w:rPr>
        <w:tab/>
        <w:t>(a)</w:t>
      </w:r>
      <w:r>
        <w:rPr>
          <w:snapToGrid w:val="0"/>
        </w:rPr>
        <w:tab/>
        <w:t>the guest does not place the property in a container and fasten or seal it, in response to a requirement under subsection (3); or</w:t>
      </w:r>
    </w:p>
    <w:p w:rsidR="00BB6F9A" w:rsidRDefault="00BB6F9A">
      <w:pPr>
        <w:pStyle w:val="Ipara"/>
        <w:keepLines/>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BB6F9A" w:rsidRDefault="00BB6F9A">
      <w:pPr>
        <w:pStyle w:val="IMain"/>
        <w:rPr>
          <w:snapToGrid w:val="0"/>
        </w:rPr>
      </w:pPr>
      <w:r>
        <w:rPr>
          <w:snapToGrid w:val="0"/>
        </w:rPr>
        <w:tab/>
        <w:t>(5)</w:t>
      </w:r>
      <w:r>
        <w:rPr>
          <w:snapToGrid w:val="0"/>
        </w:rPr>
        <w:tab/>
        <w:t>This section does not require an accommodation provider to provide safe custody facilities.</w:t>
      </w:r>
    </w:p>
    <w:p w:rsidR="00BB6F9A" w:rsidRDefault="00BB6F9A">
      <w:pPr>
        <w:pStyle w:val="IH5Sec"/>
        <w:rPr>
          <w:snapToGrid w:val="0"/>
        </w:rPr>
      </w:pPr>
      <w:r>
        <w:rPr>
          <w:rStyle w:val="CharSectNo"/>
        </w:rPr>
        <w:lastRenderedPageBreak/>
        <w:t>86</w:t>
      </w:r>
      <w:r>
        <w:rPr>
          <w:snapToGrid w:val="0"/>
        </w:rPr>
        <w:tab/>
        <w:t xml:space="preserve">Notice about pt 7.1 </w:t>
      </w:r>
      <w:r>
        <w:rPr>
          <w:b w:val="0"/>
          <w:bCs w:val="0"/>
          <w:snapToGrid w:val="0"/>
        </w:rPr>
        <w:t>(ILA s 6)</w:t>
      </w:r>
    </w:p>
    <w:p w:rsidR="00BB6F9A" w:rsidRDefault="00BB6F9A">
      <w:pPr>
        <w:pStyle w:val="I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BB6F9A" w:rsidRDefault="00BB6F9A">
      <w:pPr>
        <w:pStyle w:val="Ipara"/>
        <w:rPr>
          <w:snapToGrid w:val="0"/>
        </w:rPr>
      </w:pPr>
      <w:r>
        <w:rPr>
          <w:snapToGrid w:val="0"/>
        </w:rPr>
        <w:tab/>
        <w:t>(a)</w:t>
      </w:r>
      <w:r>
        <w:rPr>
          <w:snapToGrid w:val="0"/>
        </w:rPr>
        <w:tab/>
        <w:t>in the reception area for, or main entrance to, the traveller accommodation; and</w:t>
      </w:r>
    </w:p>
    <w:p w:rsidR="00BB6F9A" w:rsidRDefault="00BB6F9A">
      <w:pPr>
        <w:pStyle w:val="Ipara"/>
        <w:rPr>
          <w:snapToGrid w:val="0"/>
        </w:rPr>
      </w:pPr>
      <w:r>
        <w:rPr>
          <w:snapToGrid w:val="0"/>
        </w:rPr>
        <w:tab/>
        <w:t>(b)</w:t>
      </w:r>
      <w:r>
        <w:rPr>
          <w:snapToGrid w:val="0"/>
        </w:rPr>
        <w:tab/>
        <w:t>in an accommodation unit.</w:t>
      </w:r>
    </w:p>
    <w:p w:rsidR="00BB6F9A" w:rsidRDefault="00BB6F9A">
      <w:pPr>
        <w:pStyle w:val="IMain"/>
        <w:rPr>
          <w:snapToGrid w:val="0"/>
        </w:rPr>
      </w:pPr>
      <w:r>
        <w:rPr>
          <w:snapToGrid w:val="0"/>
        </w:rPr>
        <w:tab/>
        <w:t>(2)</w:t>
      </w:r>
      <w:r>
        <w:rPr>
          <w:snapToGrid w:val="0"/>
        </w:rPr>
        <w:tab/>
        <w:t>However, subsection (1) (b) does not apply if the accommodation provider has a system in operation under which—</w:t>
      </w:r>
    </w:p>
    <w:p w:rsidR="00BB6F9A" w:rsidRDefault="00BB6F9A">
      <w:pPr>
        <w:pStyle w:val="I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BB6F9A" w:rsidRDefault="00BB6F9A">
      <w:pPr>
        <w:pStyle w:val="Ipara"/>
        <w:rPr>
          <w:snapToGrid w:val="0"/>
        </w:rPr>
      </w:pPr>
      <w:r>
        <w:rPr>
          <w:snapToGrid w:val="0"/>
        </w:rPr>
        <w:tab/>
        <w:t>(b)</w:t>
      </w:r>
      <w:r>
        <w:rPr>
          <w:snapToGrid w:val="0"/>
        </w:rPr>
        <w:tab/>
        <w:t>the guest is told about the notice and where it is located at the time the guest checks in to the traveller accommodation.</w:t>
      </w:r>
    </w:p>
    <w:p w:rsidR="00BB6F9A" w:rsidRDefault="00BB6F9A">
      <w:pPr>
        <w:pStyle w:val="IH5Sec"/>
      </w:pPr>
      <w:r>
        <w:rPr>
          <w:rStyle w:val="CharSectNo"/>
        </w:rPr>
        <w:t>87</w:t>
      </w:r>
      <w:r>
        <w:tab/>
        <w:t>Repeal of Innkeepers Liability Act 1902</w:t>
      </w:r>
    </w:p>
    <w:p w:rsidR="00BB6F9A" w:rsidRDefault="00BB6F9A">
      <w:pPr>
        <w:pStyle w:val="Amainreturn"/>
        <w:rPr>
          <w:rStyle w:val="charItals"/>
          <w:i w:val="0"/>
          <w:iCs w:val="0"/>
        </w:rPr>
      </w:pPr>
      <w:r>
        <w:t xml:space="preserve">The </w:t>
      </w:r>
      <w:r>
        <w:rPr>
          <w:rStyle w:val="charItals"/>
        </w:rPr>
        <w:t>Innkeepers Liability Act 1902</w:t>
      </w:r>
      <w:r>
        <w:rPr>
          <w:rStyle w:val="charItals"/>
          <w:i w:val="0"/>
          <w:iCs w:val="0"/>
        </w:rPr>
        <w:t xml:space="preserve"> No 64 is repealed.</w:t>
      </w:r>
    </w:p>
    <w:p w:rsidR="00BB6F9A" w:rsidRDefault="00BB6F9A">
      <w:pPr>
        <w:pStyle w:val="05EndNote"/>
        <w:sectPr w:rsidR="00BB6F9A">
          <w:headerReference w:type="even" r:id="rId32"/>
          <w:headerReference w:type="default" r:id="rId33"/>
          <w:footerReference w:type="even" r:id="rId34"/>
          <w:footerReference w:type="default" r:id="rId35"/>
          <w:pgSz w:w="11907" w:h="16839" w:code="9"/>
          <w:pgMar w:top="3000" w:right="2300" w:bottom="2500" w:left="2300" w:header="2480" w:footer="2100" w:gutter="0"/>
          <w:cols w:space="720"/>
        </w:sectPr>
      </w:pPr>
    </w:p>
    <w:p w:rsidR="00BB6F9A" w:rsidRDefault="00BB6F9A">
      <w:pPr>
        <w:rPr>
          <w:color w:val="000000"/>
          <w:sz w:val="20"/>
          <w:szCs w:val="20"/>
        </w:rPr>
      </w:pPr>
    </w:p>
    <w:p w:rsidR="00BB6F9A" w:rsidRDefault="00BB6F9A">
      <w:pPr>
        <w:rPr>
          <w:color w:val="000000"/>
          <w:sz w:val="22"/>
          <w:szCs w:val="22"/>
        </w:rPr>
      </w:pPr>
    </w:p>
    <w:p w:rsidR="00BB6F9A" w:rsidRDefault="00BB6F9A">
      <w:pPr>
        <w:rPr>
          <w:color w:val="000000"/>
          <w:sz w:val="22"/>
          <w:szCs w:val="22"/>
        </w:rPr>
      </w:pPr>
    </w:p>
    <w:p w:rsidR="00BB6F9A" w:rsidRDefault="00BB6F9A">
      <w:pPr>
        <w:rPr>
          <w:color w:val="000000"/>
          <w:sz w:val="22"/>
          <w:szCs w:val="22"/>
        </w:rPr>
      </w:pPr>
      <w:r>
        <w:rPr>
          <w:color w:val="000000"/>
          <w:sz w:val="22"/>
          <w:szCs w:val="22"/>
        </w:rPr>
        <w:t>©  Australian Capital Territory 2003</w:t>
      </w:r>
    </w:p>
    <w:p w:rsidR="00BB6F9A" w:rsidRDefault="00BB6F9A">
      <w:pPr>
        <w:pStyle w:val="06Copyright"/>
        <w:sectPr w:rsidR="00BB6F9A">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3000" w:right="2300" w:bottom="2500" w:left="2300" w:header="2480" w:footer="2100" w:gutter="0"/>
          <w:pgNumType w:fmt="lowerRoman"/>
          <w:cols w:space="720"/>
          <w:titlePg/>
        </w:sectPr>
      </w:pPr>
    </w:p>
    <w:p w:rsidR="00BB6F9A" w:rsidRDefault="00BB6F9A"/>
    <w:sectPr w:rsidR="00BB6F9A">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5FE" w:rsidRDefault="008D25FE">
      <w:r>
        <w:separator/>
      </w:r>
    </w:p>
  </w:endnote>
  <w:endnote w:type="continuationSeparator" w:id="0">
    <w:p w:rsidR="008D25FE" w:rsidRDefault="008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alibri"/>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Pr="001B7504" w:rsidRDefault="001B7504" w:rsidP="001B7504">
    <w:pPr>
      <w:pStyle w:val="Status"/>
    </w:pPr>
    <w:r w:rsidRPr="001B7504">
      <w:fldChar w:fldCharType="begin"/>
    </w:r>
    <w:r w:rsidRPr="001B7504">
      <w:instrText xml:space="preserve"> DOCPROPERTY "Status" *\charformat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D25FE">
      <w:trPr>
        <w:jc w:val="center"/>
      </w:trPr>
      <w:tc>
        <w:tcPr>
          <w:tcW w:w="1240" w:type="dxa"/>
          <w:tcBorders>
            <w:top w:val="single" w:sz="4" w:space="0" w:color="auto"/>
            <w:left w:val="nil"/>
            <w:bottom w:val="nil"/>
            <w:right w:val="nil"/>
          </w:tcBorders>
        </w:tcPr>
        <w:p w:rsidR="008D25FE" w:rsidRDefault="008D25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553" w:type="dxa"/>
          <w:tcBorders>
            <w:top w:val="single" w:sz="4" w:space="0" w:color="auto"/>
            <w:left w:val="nil"/>
            <w:bottom w:val="nil"/>
            <w:right w:val="nil"/>
          </w:tcBorders>
        </w:tcPr>
        <w:p w:rsidR="008D25FE" w:rsidRDefault="001B7504">
          <w:pPr>
            <w:pStyle w:val="Footer"/>
            <w:jc w:val="right"/>
          </w:pPr>
          <w:r>
            <w:fldChar w:fldCharType="begin"/>
          </w:r>
          <w:r>
            <w:instrText xml:space="preserve"> DOCPROPERTY "Category"  </w:instrText>
          </w:r>
          <w:r>
            <w:fldChar w:fldCharType="separate"/>
          </w:r>
          <w:r w:rsidR="008D25FE">
            <w:t>R7</w:t>
          </w:r>
          <w: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D25FE">
      <w:trPr>
        <w:jc w:val="center"/>
      </w:trPr>
      <w:tc>
        <w:tcPr>
          <w:tcW w:w="1240" w:type="dxa"/>
          <w:tcBorders>
            <w:top w:val="single" w:sz="4" w:space="0" w:color="auto"/>
            <w:left w:val="nil"/>
            <w:bottom w:val="nil"/>
            <w:right w:val="nil"/>
          </w:tcBorders>
        </w:tcPr>
        <w:p w:rsidR="008D25FE" w:rsidRDefault="008D25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108</w:t>
          </w:r>
          <w:r>
            <w:rPr>
              <w:rStyle w:val="PageNumber"/>
            </w:rP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553" w:type="dxa"/>
          <w:tcBorders>
            <w:top w:val="single" w:sz="4" w:space="0" w:color="auto"/>
            <w:left w:val="nil"/>
            <w:bottom w:val="nil"/>
            <w:right w:val="nil"/>
          </w:tcBorders>
        </w:tcPr>
        <w:p w:rsidR="008D25FE" w:rsidRDefault="001B7504">
          <w:pPr>
            <w:pStyle w:val="Footer"/>
            <w:jc w:val="right"/>
          </w:pPr>
          <w:r>
            <w:fldChar w:fldCharType="begin"/>
          </w:r>
          <w:r>
            <w:instrText xml:space="preserve"> DOCPROPERTY "Category"  </w:instrText>
          </w:r>
          <w:r>
            <w:fldChar w:fldCharType="separate"/>
          </w:r>
          <w:r w:rsidR="008D25FE">
            <w:t>R7</w:t>
          </w:r>
          <w: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107</w:t>
          </w:r>
          <w:r>
            <w:rPr>
              <w:rStyle w:val="PageNumber"/>
            </w:rP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D25FE">
      <w:trPr>
        <w:jc w:val="center"/>
      </w:trPr>
      <w:tc>
        <w:tcPr>
          <w:tcW w:w="1240" w:type="dxa"/>
          <w:tcBorders>
            <w:top w:val="single" w:sz="4" w:space="0" w:color="auto"/>
            <w:left w:val="nil"/>
            <w:bottom w:val="nil"/>
            <w:right w:val="nil"/>
          </w:tcBorders>
        </w:tcPr>
        <w:p w:rsidR="008D25FE" w:rsidRDefault="008D25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553" w:type="dxa"/>
          <w:tcBorders>
            <w:top w:val="single" w:sz="4" w:space="0" w:color="auto"/>
            <w:left w:val="nil"/>
            <w:bottom w:val="nil"/>
            <w:right w:val="nil"/>
          </w:tcBorders>
        </w:tcPr>
        <w:p w:rsidR="008D25FE" w:rsidRDefault="001B7504">
          <w:pPr>
            <w:pStyle w:val="Footer"/>
            <w:jc w:val="right"/>
          </w:pPr>
          <w:r>
            <w:fldChar w:fldCharType="begin"/>
          </w:r>
          <w:r>
            <w:instrText xml:space="preserve"> DOCPROPERTY "Category"  </w:instrText>
          </w:r>
          <w:r>
            <w:fldChar w:fldCharType="separate"/>
          </w:r>
          <w:r w:rsidR="008D25FE">
            <w:t>R7</w:t>
          </w:r>
          <w: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123</w:t>
          </w:r>
          <w:r>
            <w:rPr>
              <w:rStyle w:val="PageNumber"/>
            </w:rP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Pr="001B7504" w:rsidRDefault="001B7504" w:rsidP="001B7504">
    <w:pPr>
      <w:pStyle w:val="Footer"/>
      <w:jc w:val="center"/>
      <w:rPr>
        <w:sz w:val="14"/>
      </w:rPr>
    </w:pPr>
    <w:r w:rsidRPr="001B7504">
      <w:rPr>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Pr="001B7504" w:rsidRDefault="008D25FE" w:rsidP="001B7504">
    <w:pPr>
      <w:pStyle w:val="Footer"/>
      <w:jc w:val="center"/>
      <w:rPr>
        <w:sz w:val="14"/>
      </w:rPr>
    </w:pPr>
    <w:r w:rsidRPr="001B7504">
      <w:rPr>
        <w:sz w:val="14"/>
      </w:rPr>
      <w:fldChar w:fldCharType="begin"/>
    </w:r>
    <w:r w:rsidRPr="001B7504">
      <w:rPr>
        <w:sz w:val="14"/>
      </w:rPr>
      <w:instrText xml:space="preserve"> COMMENTS  \* MERGEFORMAT </w:instrText>
    </w:r>
    <w:r w:rsidRPr="001B7504">
      <w:rPr>
        <w:sz w:val="14"/>
      </w:rPr>
      <w:fldChar w:fldCharType="end"/>
    </w:r>
    <w:r w:rsidR="001B7504" w:rsidRPr="001B7504">
      <w:rPr>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Pr="001B7504" w:rsidRDefault="001B7504" w:rsidP="001B7504">
    <w:pPr>
      <w:pStyle w:val="Footer"/>
      <w:jc w:val="center"/>
      <w:rPr>
        <w:sz w:val="14"/>
      </w:rPr>
    </w:pPr>
    <w:r w:rsidRPr="001B7504">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Pr="001B7504" w:rsidRDefault="008D25FE" w:rsidP="001B7504">
    <w:pPr>
      <w:pStyle w:val="Footer"/>
      <w:jc w:val="center"/>
      <w:rPr>
        <w:sz w:val="14"/>
      </w:rPr>
    </w:pPr>
    <w:r w:rsidRPr="001B7504">
      <w:rPr>
        <w:sz w:val="14"/>
      </w:rPr>
      <w:fldChar w:fldCharType="begin"/>
    </w:r>
    <w:r w:rsidRPr="001B7504">
      <w:rPr>
        <w:sz w:val="14"/>
      </w:rPr>
      <w:instrText xml:space="preserve"> COMMENTS  \* MERGEFORMAT </w:instrText>
    </w:r>
    <w:r w:rsidRPr="001B7504">
      <w:rPr>
        <w:sz w:val="14"/>
      </w:rPr>
      <w:fldChar w:fldCharType="end"/>
    </w:r>
    <w:r w:rsidR="001B7504" w:rsidRPr="001B7504">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04" w:rsidRPr="001B7504" w:rsidRDefault="001B7504" w:rsidP="001B7504">
    <w:pPr>
      <w:pStyle w:val="Footer"/>
      <w:jc w:val="center"/>
      <w:rPr>
        <w:sz w:val="14"/>
      </w:rPr>
    </w:pPr>
    <w:r w:rsidRPr="001B7504">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D25FE">
      <w:trPr>
        <w:jc w:val="center"/>
      </w:trPr>
      <w:tc>
        <w:tcPr>
          <w:tcW w:w="1240" w:type="dxa"/>
          <w:tcBorders>
            <w:top w:val="single" w:sz="4" w:space="0" w:color="auto"/>
            <w:left w:val="nil"/>
            <w:bottom w:val="nil"/>
            <w:right w:val="nil"/>
          </w:tcBorders>
        </w:tcPr>
        <w:p w:rsidR="008D25FE" w:rsidRDefault="008D25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553" w:type="dxa"/>
          <w:tcBorders>
            <w:top w:val="single" w:sz="4" w:space="0" w:color="auto"/>
            <w:left w:val="nil"/>
            <w:bottom w:val="nil"/>
            <w:right w:val="nil"/>
          </w:tcBorders>
        </w:tcPr>
        <w:p w:rsidR="008D25FE" w:rsidRDefault="001B7504">
          <w:pPr>
            <w:pStyle w:val="Footer"/>
            <w:jc w:val="right"/>
          </w:pPr>
          <w:r>
            <w:fldChar w:fldCharType="begin"/>
          </w:r>
          <w:r>
            <w:instrText xml:space="preserve"> DOCPROPERTY "Category"  </w:instrText>
          </w:r>
          <w:r>
            <w:fldChar w:fldCharType="separate"/>
          </w:r>
          <w:r w:rsidR="008D25FE">
            <w:t>R7</w:t>
          </w:r>
          <w: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8D25FE" w:rsidRPr="001B7504" w:rsidRDefault="001B7504" w:rsidP="001B7504">
    <w:pPr>
      <w:pStyle w:val="Status"/>
      <w:rPr>
        <w:szCs w:val="16"/>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D25FE" w:rsidRPr="001B7504" w:rsidRDefault="001B7504" w:rsidP="001B7504">
    <w:pPr>
      <w:pStyle w:val="Status"/>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D25FE">
      <w:trPr>
        <w:jc w:val="center"/>
      </w:trPr>
      <w:tc>
        <w:tcPr>
          <w:tcW w:w="1240" w:type="dxa"/>
          <w:tcBorders>
            <w:top w:val="single" w:sz="4" w:space="0" w:color="auto"/>
            <w:left w:val="nil"/>
            <w:bottom w:val="nil"/>
            <w:right w:val="nil"/>
          </w:tcBorders>
        </w:tcPr>
        <w:p w:rsidR="008D25FE" w:rsidRDefault="008D25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553" w:type="dxa"/>
          <w:tcBorders>
            <w:top w:val="single" w:sz="4" w:space="0" w:color="auto"/>
            <w:left w:val="nil"/>
            <w:bottom w:val="nil"/>
            <w:right w:val="nil"/>
          </w:tcBorders>
        </w:tcPr>
        <w:p w:rsidR="008D25FE" w:rsidRDefault="001B7504">
          <w:pPr>
            <w:pStyle w:val="Footer"/>
            <w:jc w:val="right"/>
          </w:pPr>
          <w:r>
            <w:fldChar w:fldCharType="begin"/>
          </w:r>
          <w:r>
            <w:instrText xml:space="preserve"> DOCPROPERTY "Category"  </w:instrText>
          </w:r>
          <w:r>
            <w:fldChar w:fldCharType="separate"/>
          </w:r>
          <w:r w:rsidR="008D25FE">
            <w:t>R7</w:t>
          </w:r>
          <w:r>
            <w:fldChar w:fldCharType="end"/>
          </w:r>
        </w:p>
      </w:tc>
    </w:tr>
  </w:tbl>
  <w:p w:rsidR="008D25FE" w:rsidRPr="001B7504" w:rsidRDefault="001B7504" w:rsidP="001B7504">
    <w:pPr>
      <w:pStyle w:val="Status"/>
      <w:rPr>
        <w:szCs w:val="18"/>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8D25FE" w:rsidRPr="001B7504" w:rsidRDefault="001B7504" w:rsidP="001B7504">
    <w:pPr>
      <w:pStyle w:val="Status"/>
      <w:rPr>
        <w:szCs w:val="18"/>
      </w:rPr>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D25FE">
      <w:trPr>
        <w:jc w:val="center"/>
      </w:trPr>
      <w:tc>
        <w:tcPr>
          <w:tcW w:w="1553" w:type="dxa"/>
          <w:tcBorders>
            <w:top w:val="single" w:sz="4" w:space="0" w:color="auto"/>
            <w:left w:val="nil"/>
            <w:bottom w:val="nil"/>
            <w:right w:val="nil"/>
          </w:tcBorders>
        </w:tcPr>
        <w:p w:rsidR="008D25FE" w:rsidRDefault="001B7504">
          <w:pPr>
            <w:pStyle w:val="Footer"/>
          </w:pPr>
          <w:r>
            <w:fldChar w:fldCharType="begin"/>
          </w:r>
          <w:r>
            <w:instrText xml:space="preserve"> DOCPROPERTY "Category"  </w:instrText>
          </w:r>
          <w:r>
            <w:fldChar w:fldCharType="separate"/>
          </w:r>
          <w:r w:rsidR="008D25FE">
            <w:t>R7</w:t>
          </w:r>
          <w:r>
            <w:fldChar w:fldCharType="end"/>
          </w:r>
        </w:p>
      </w:tc>
      <w:tc>
        <w:tcPr>
          <w:tcW w:w="4527" w:type="dxa"/>
          <w:tcBorders>
            <w:top w:val="single" w:sz="4" w:space="0" w:color="auto"/>
            <w:left w:val="nil"/>
            <w:bottom w:val="nil"/>
            <w:right w:val="nil"/>
          </w:tcBorders>
        </w:tcPr>
        <w:p w:rsidR="008D25FE" w:rsidRDefault="001B7504">
          <w:pPr>
            <w:pStyle w:val="Footer"/>
            <w:jc w:val="center"/>
          </w:pPr>
          <w:r>
            <w:fldChar w:fldCharType="begin"/>
          </w:r>
          <w:r>
            <w:instrText xml:space="preserve"> REF Citation *\charformat </w:instrText>
          </w:r>
          <w:r>
            <w:fldChar w:fldCharType="separate"/>
          </w:r>
          <w:r w:rsidR="008D25FE">
            <w:t>Civil Law (Wrongs) Act 2002</w:t>
          </w:r>
          <w:r>
            <w:fldChar w:fldCharType="end"/>
          </w:r>
        </w:p>
      </w:tc>
      <w:tc>
        <w:tcPr>
          <w:tcW w:w="1240" w:type="dxa"/>
          <w:tcBorders>
            <w:top w:val="single" w:sz="4" w:space="0" w:color="auto"/>
            <w:left w:val="nil"/>
            <w:bottom w:val="nil"/>
            <w:right w:val="nil"/>
          </w:tcBorders>
        </w:tcPr>
        <w:p w:rsidR="008D25FE" w:rsidRDefault="008D25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D25FE" w:rsidRPr="001B7504" w:rsidRDefault="001B7504" w:rsidP="001B7504">
    <w:pPr>
      <w:pStyle w:val="Status"/>
    </w:pPr>
    <w:r w:rsidRPr="001B7504">
      <w:fldChar w:fldCharType="begin"/>
    </w:r>
    <w:r w:rsidRPr="001B7504">
      <w:instrText xml:space="preserve"> DOCPROPERTY "Status" </w:instrText>
    </w:r>
    <w:r w:rsidRPr="001B7504">
      <w:fldChar w:fldCharType="separate"/>
    </w:r>
    <w:r w:rsidR="008D25FE" w:rsidRPr="001B7504">
      <w:t xml:space="preserve"> </w:t>
    </w:r>
    <w:r w:rsidRPr="001B7504">
      <w:fldChar w:fldCharType="end"/>
    </w:r>
    <w:r w:rsidRPr="001B7504">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5FE" w:rsidRDefault="008D25FE">
      <w:r>
        <w:separator/>
      </w:r>
    </w:p>
  </w:footnote>
  <w:footnote w:type="continuationSeparator" w:id="0">
    <w:p w:rsidR="008D25FE" w:rsidRDefault="008D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04" w:rsidRDefault="001B750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8D25FE">
      <w:trPr>
        <w:jc w:val="center"/>
      </w:trPr>
      <w:tc>
        <w:tcPr>
          <w:tcW w:w="1234" w:type="dxa"/>
          <w:tcBorders>
            <w:top w:val="nil"/>
            <w:left w:val="nil"/>
            <w:bottom w:val="nil"/>
            <w:right w:val="nil"/>
          </w:tcBorders>
        </w:tcPr>
        <w:p w:rsidR="008D25FE" w:rsidRDefault="008D25FE">
          <w:pPr>
            <w:pStyle w:val="HeaderEven"/>
          </w:pPr>
        </w:p>
      </w:tc>
      <w:tc>
        <w:tcPr>
          <w:tcW w:w="6062" w:type="dxa"/>
          <w:tcBorders>
            <w:top w:val="nil"/>
            <w:left w:val="nil"/>
            <w:bottom w:val="nil"/>
            <w:right w:val="nil"/>
          </w:tcBorders>
        </w:tcPr>
        <w:p w:rsidR="008D25FE" w:rsidRDefault="008D25FE">
          <w:pPr>
            <w:pStyle w:val="HeaderEven"/>
          </w:pPr>
        </w:p>
      </w:tc>
    </w:tr>
    <w:tr w:rsidR="008D25FE">
      <w:trPr>
        <w:jc w:val="center"/>
      </w:trPr>
      <w:tc>
        <w:tcPr>
          <w:tcW w:w="1234" w:type="dxa"/>
          <w:tcBorders>
            <w:top w:val="nil"/>
            <w:left w:val="nil"/>
            <w:bottom w:val="nil"/>
            <w:right w:val="nil"/>
          </w:tcBorders>
        </w:tcPr>
        <w:p w:rsidR="008D25FE" w:rsidRDefault="008D25FE">
          <w:pPr>
            <w:pStyle w:val="HeaderEven"/>
          </w:pPr>
        </w:p>
      </w:tc>
      <w:tc>
        <w:tcPr>
          <w:tcW w:w="6062" w:type="dxa"/>
          <w:tcBorders>
            <w:top w:val="nil"/>
            <w:left w:val="nil"/>
            <w:bottom w:val="nil"/>
            <w:right w:val="nil"/>
          </w:tcBorders>
        </w:tcPr>
        <w:p w:rsidR="008D25FE" w:rsidRDefault="008D25FE">
          <w:pPr>
            <w:pStyle w:val="HeaderEven"/>
          </w:pP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Even6"/>
          </w:pPr>
          <w:r>
            <w:t>Dictionary</w:t>
          </w:r>
        </w:p>
      </w:tc>
    </w:tr>
  </w:tbl>
  <w:p w:rsidR="008D25FE" w:rsidRDefault="008D25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8D25FE">
      <w:trPr>
        <w:jc w:val="center"/>
      </w:trPr>
      <w:tc>
        <w:tcPr>
          <w:tcW w:w="6062" w:type="dxa"/>
          <w:tcBorders>
            <w:top w:val="nil"/>
            <w:left w:val="nil"/>
            <w:bottom w:val="nil"/>
            <w:right w:val="nil"/>
          </w:tcBorders>
        </w:tcPr>
        <w:p w:rsidR="008D25FE" w:rsidRDefault="008D25FE">
          <w:pPr>
            <w:pStyle w:val="HeaderOdd"/>
          </w:pPr>
        </w:p>
      </w:tc>
      <w:tc>
        <w:tcPr>
          <w:tcW w:w="1234" w:type="dxa"/>
          <w:tcBorders>
            <w:top w:val="nil"/>
            <w:left w:val="nil"/>
            <w:bottom w:val="nil"/>
            <w:right w:val="nil"/>
          </w:tcBorders>
        </w:tcPr>
        <w:p w:rsidR="008D25FE" w:rsidRDefault="008D25FE">
          <w:pPr>
            <w:pStyle w:val="HeaderOdd"/>
          </w:pPr>
        </w:p>
      </w:tc>
    </w:tr>
    <w:tr w:rsidR="008D25FE">
      <w:trPr>
        <w:jc w:val="center"/>
      </w:trPr>
      <w:tc>
        <w:tcPr>
          <w:tcW w:w="6062" w:type="dxa"/>
          <w:tcBorders>
            <w:top w:val="nil"/>
            <w:left w:val="nil"/>
            <w:bottom w:val="nil"/>
            <w:right w:val="nil"/>
          </w:tcBorders>
        </w:tcPr>
        <w:p w:rsidR="008D25FE" w:rsidRDefault="008D25FE">
          <w:pPr>
            <w:pStyle w:val="HeaderOdd"/>
          </w:pPr>
        </w:p>
      </w:tc>
      <w:tc>
        <w:tcPr>
          <w:tcW w:w="1234" w:type="dxa"/>
          <w:tcBorders>
            <w:top w:val="nil"/>
            <w:left w:val="nil"/>
            <w:bottom w:val="nil"/>
            <w:right w:val="nil"/>
          </w:tcBorders>
        </w:tcPr>
        <w:p w:rsidR="008D25FE" w:rsidRDefault="008D25FE">
          <w:pPr>
            <w:pStyle w:val="HeaderOdd"/>
          </w:pP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Odd6"/>
          </w:pPr>
          <w:r>
            <w:t>Dictionary</w:t>
          </w:r>
        </w:p>
      </w:tc>
    </w:tr>
  </w:tbl>
  <w:p w:rsidR="008D25FE" w:rsidRDefault="008D25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8D25FE">
      <w:trPr>
        <w:jc w:val="center"/>
      </w:trPr>
      <w:tc>
        <w:tcPr>
          <w:tcW w:w="1234" w:type="dxa"/>
          <w:gridSpan w:val="2"/>
          <w:tcBorders>
            <w:top w:val="nil"/>
            <w:left w:val="nil"/>
            <w:bottom w:val="nil"/>
            <w:right w:val="nil"/>
          </w:tcBorders>
        </w:tcPr>
        <w:p w:rsidR="008D25FE" w:rsidRDefault="008D25FE">
          <w:pPr>
            <w:pStyle w:val="HeaderEven"/>
            <w:rPr>
              <w:b/>
              <w:bCs/>
            </w:rPr>
          </w:pPr>
          <w:r>
            <w:rPr>
              <w:b/>
              <w:bCs/>
            </w:rPr>
            <w:t>Endnotes</w:t>
          </w:r>
        </w:p>
      </w:tc>
      <w:tc>
        <w:tcPr>
          <w:tcW w:w="6062" w:type="dxa"/>
          <w:tcBorders>
            <w:top w:val="nil"/>
            <w:left w:val="nil"/>
            <w:bottom w:val="nil"/>
            <w:right w:val="nil"/>
          </w:tcBorders>
        </w:tcPr>
        <w:p w:rsidR="008D25FE" w:rsidRDefault="008D25FE">
          <w:pPr>
            <w:pStyle w:val="HeaderEven"/>
          </w:pPr>
        </w:p>
      </w:tc>
    </w:tr>
    <w:tr w:rsidR="008D25FE">
      <w:trPr>
        <w:cantSplit/>
        <w:jc w:val="center"/>
      </w:trPr>
      <w:tc>
        <w:tcPr>
          <w:tcW w:w="7296" w:type="dxa"/>
          <w:gridSpan w:val="3"/>
          <w:tcBorders>
            <w:top w:val="nil"/>
            <w:left w:val="nil"/>
            <w:bottom w:val="nil"/>
            <w:right w:val="nil"/>
          </w:tcBorders>
        </w:tcPr>
        <w:p w:rsidR="008D25FE" w:rsidRDefault="008D25FE">
          <w:pPr>
            <w:pStyle w:val="HeaderEven"/>
          </w:pPr>
        </w:p>
      </w:tc>
    </w:tr>
    <w:tr w:rsidR="008D25FE">
      <w:trPr>
        <w:cantSplit/>
        <w:jc w:val="center"/>
      </w:trPr>
      <w:tc>
        <w:tcPr>
          <w:tcW w:w="700" w:type="dxa"/>
          <w:tcBorders>
            <w:top w:val="nil"/>
            <w:left w:val="nil"/>
            <w:bottom w:val="single" w:sz="4" w:space="0" w:color="auto"/>
            <w:right w:val="nil"/>
          </w:tcBorders>
        </w:tcPr>
        <w:p w:rsidR="008D25FE" w:rsidRDefault="001B7504">
          <w:pPr>
            <w:pStyle w:val="HeaderEven6"/>
          </w:pPr>
          <w:r>
            <w:rPr>
              <w:noProof/>
            </w:rPr>
            <w:fldChar w:fldCharType="begin"/>
          </w:r>
          <w:r>
            <w:rPr>
              <w:noProof/>
            </w:rPr>
            <w:instrText xml:space="preserve"> STYLEREF charTableNo \*charformat </w:instrText>
          </w:r>
          <w:r>
            <w:rPr>
              <w:noProof/>
            </w:rPr>
            <w:fldChar w:fldCharType="separate"/>
          </w:r>
          <w:r>
            <w:rPr>
              <w:noProof/>
            </w:rPr>
            <w:t>7</w:t>
          </w:r>
          <w:r>
            <w:rPr>
              <w:noProof/>
            </w:rPr>
            <w:fldChar w:fldCharType="end"/>
          </w:r>
        </w:p>
      </w:tc>
      <w:tc>
        <w:tcPr>
          <w:tcW w:w="6600" w:type="dxa"/>
          <w:gridSpan w:val="2"/>
          <w:tcBorders>
            <w:top w:val="nil"/>
            <w:left w:val="nil"/>
            <w:bottom w:val="single" w:sz="4" w:space="0" w:color="auto"/>
            <w:right w:val="nil"/>
          </w:tcBorders>
        </w:tcPr>
        <w:p w:rsidR="008D25FE" w:rsidRDefault="001B7504">
          <w:pPr>
            <w:pStyle w:val="HeaderEven6"/>
          </w:pPr>
          <w:r>
            <w:rPr>
              <w:noProof/>
            </w:rPr>
            <w:fldChar w:fldCharType="begin"/>
          </w:r>
          <w:r>
            <w:rPr>
              <w:noProof/>
            </w:rPr>
            <w:instrText xml:space="preserve"> STYLEREF charTableText \*charformat </w:instrText>
          </w:r>
          <w:r>
            <w:rPr>
              <w:noProof/>
            </w:rPr>
            <w:fldChar w:fldCharType="separate"/>
          </w:r>
          <w:r>
            <w:rPr>
              <w:noProof/>
            </w:rPr>
            <w:t>Uncommenced provisions</w:t>
          </w:r>
          <w:r>
            <w:rPr>
              <w:noProof/>
            </w:rPr>
            <w:fldChar w:fldCharType="end"/>
          </w:r>
        </w:p>
      </w:tc>
    </w:tr>
  </w:tbl>
  <w:p w:rsidR="008D25FE" w:rsidRDefault="008D25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8D25FE">
      <w:trPr>
        <w:jc w:val="center"/>
      </w:trPr>
      <w:tc>
        <w:tcPr>
          <w:tcW w:w="5741" w:type="dxa"/>
          <w:tcBorders>
            <w:top w:val="nil"/>
            <w:left w:val="nil"/>
            <w:bottom w:val="nil"/>
            <w:right w:val="nil"/>
          </w:tcBorders>
        </w:tcPr>
        <w:p w:rsidR="008D25FE" w:rsidRDefault="008D25FE">
          <w:pPr>
            <w:pStyle w:val="HeaderEven"/>
            <w:jc w:val="right"/>
          </w:pPr>
        </w:p>
      </w:tc>
      <w:tc>
        <w:tcPr>
          <w:tcW w:w="1560" w:type="dxa"/>
          <w:gridSpan w:val="2"/>
          <w:tcBorders>
            <w:top w:val="nil"/>
            <w:left w:val="nil"/>
            <w:bottom w:val="nil"/>
            <w:right w:val="nil"/>
          </w:tcBorders>
        </w:tcPr>
        <w:p w:rsidR="008D25FE" w:rsidRDefault="008D25FE">
          <w:pPr>
            <w:pStyle w:val="HeaderEven"/>
            <w:jc w:val="right"/>
            <w:rPr>
              <w:b/>
              <w:bCs/>
            </w:rPr>
          </w:pPr>
          <w:r>
            <w:rPr>
              <w:b/>
              <w:bCs/>
            </w:rPr>
            <w:t>Endnotes</w:t>
          </w:r>
        </w:p>
      </w:tc>
    </w:tr>
    <w:tr w:rsidR="008D25FE">
      <w:trPr>
        <w:cantSplit/>
        <w:jc w:val="center"/>
      </w:trPr>
      <w:tc>
        <w:tcPr>
          <w:tcW w:w="7301" w:type="dxa"/>
          <w:gridSpan w:val="3"/>
          <w:tcBorders>
            <w:top w:val="nil"/>
            <w:left w:val="nil"/>
            <w:bottom w:val="nil"/>
            <w:right w:val="nil"/>
          </w:tcBorders>
        </w:tcPr>
        <w:p w:rsidR="008D25FE" w:rsidRDefault="008D25FE">
          <w:pPr>
            <w:pStyle w:val="HeaderEven"/>
            <w:jc w:val="right"/>
            <w:rPr>
              <w:b/>
              <w:bCs/>
            </w:rPr>
          </w:pPr>
        </w:p>
      </w:tc>
    </w:tr>
    <w:tr w:rsidR="008D25FE">
      <w:trPr>
        <w:cantSplit/>
        <w:jc w:val="center"/>
      </w:trPr>
      <w:tc>
        <w:tcPr>
          <w:tcW w:w="6600" w:type="dxa"/>
          <w:gridSpan w:val="2"/>
          <w:tcBorders>
            <w:top w:val="nil"/>
            <w:left w:val="nil"/>
            <w:bottom w:val="single" w:sz="4" w:space="0" w:color="auto"/>
            <w:right w:val="nil"/>
          </w:tcBorders>
        </w:tcPr>
        <w:p w:rsidR="008D25FE" w:rsidRDefault="001B7504">
          <w:pPr>
            <w:pStyle w:val="HeaderOdd6"/>
          </w:pPr>
          <w:r>
            <w:rPr>
              <w:noProof/>
            </w:rPr>
            <w:fldChar w:fldCharType="begin"/>
          </w:r>
          <w:r>
            <w:rPr>
              <w:noProof/>
            </w:rPr>
            <w:instrText xml:space="preserve"> STYLEREF charTableText \*charformat </w:instrText>
          </w:r>
          <w:r>
            <w:rPr>
              <w:noProof/>
            </w:rPr>
            <w:fldChar w:fldCharType="separate"/>
          </w:r>
          <w:r>
            <w:rPr>
              <w:noProof/>
            </w:rPr>
            <w:t>Uncommenced provisions</w:t>
          </w:r>
          <w:r>
            <w:rPr>
              <w:noProof/>
            </w:rPr>
            <w:fldChar w:fldCharType="end"/>
          </w:r>
        </w:p>
      </w:tc>
      <w:tc>
        <w:tcPr>
          <w:tcW w:w="700" w:type="dxa"/>
          <w:tcBorders>
            <w:top w:val="nil"/>
            <w:left w:val="nil"/>
            <w:bottom w:val="single" w:sz="4" w:space="0" w:color="auto"/>
            <w:right w:val="nil"/>
          </w:tcBorders>
        </w:tcPr>
        <w:p w:rsidR="008D25FE" w:rsidRDefault="001B7504">
          <w:pPr>
            <w:pStyle w:val="HeaderOdd6"/>
          </w:pPr>
          <w:r>
            <w:rPr>
              <w:noProof/>
            </w:rPr>
            <w:fldChar w:fldCharType="begin"/>
          </w:r>
          <w:r>
            <w:rPr>
              <w:noProof/>
            </w:rPr>
            <w:instrText xml:space="preserve"> STYLEREF charTableNo \*charformat </w:instrText>
          </w:r>
          <w:r>
            <w:rPr>
              <w:noProof/>
            </w:rPr>
            <w:fldChar w:fldCharType="separate"/>
          </w:r>
          <w:r>
            <w:rPr>
              <w:noProof/>
            </w:rPr>
            <w:t>7</w:t>
          </w:r>
          <w:r>
            <w:rPr>
              <w:noProof/>
            </w:rPr>
            <w:fldChar w:fldCharType="end"/>
          </w:r>
        </w:p>
      </w:tc>
    </w:tr>
  </w:tbl>
  <w:p w:rsidR="008D25FE" w:rsidRDefault="008D25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FE" w:rsidRDefault="008D2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04" w:rsidRDefault="001B7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504" w:rsidRDefault="001B75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8D25FE">
      <w:trPr>
        <w:jc w:val="center"/>
      </w:trPr>
      <w:tc>
        <w:tcPr>
          <w:tcW w:w="1234" w:type="dxa"/>
          <w:tcBorders>
            <w:top w:val="nil"/>
            <w:left w:val="nil"/>
            <w:bottom w:val="nil"/>
            <w:right w:val="nil"/>
          </w:tcBorders>
        </w:tcPr>
        <w:p w:rsidR="008D25FE" w:rsidRDefault="008D25FE">
          <w:pPr>
            <w:pStyle w:val="HeaderEven"/>
          </w:pPr>
        </w:p>
      </w:tc>
      <w:tc>
        <w:tcPr>
          <w:tcW w:w="6062" w:type="dxa"/>
          <w:tcBorders>
            <w:top w:val="nil"/>
            <w:left w:val="nil"/>
            <w:bottom w:val="nil"/>
            <w:right w:val="nil"/>
          </w:tcBorders>
        </w:tcPr>
        <w:p w:rsidR="008D25FE" w:rsidRDefault="008D25FE">
          <w:pPr>
            <w:pStyle w:val="HeaderEven"/>
          </w:pP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Even6"/>
          </w:pPr>
          <w:r>
            <w:t>Contents</w:t>
          </w:r>
        </w:p>
      </w:tc>
    </w:tr>
  </w:tbl>
  <w:p w:rsidR="008D25FE" w:rsidRDefault="008D25FE">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8D25FE">
      <w:trPr>
        <w:jc w:val="center"/>
      </w:trPr>
      <w:tc>
        <w:tcPr>
          <w:tcW w:w="6062" w:type="dxa"/>
          <w:tcBorders>
            <w:top w:val="nil"/>
            <w:left w:val="nil"/>
            <w:bottom w:val="nil"/>
            <w:right w:val="nil"/>
          </w:tcBorders>
        </w:tcPr>
        <w:p w:rsidR="008D25FE" w:rsidRDefault="008D25FE">
          <w:pPr>
            <w:pStyle w:val="HeaderOdd"/>
          </w:pPr>
        </w:p>
      </w:tc>
      <w:tc>
        <w:tcPr>
          <w:tcW w:w="1234" w:type="dxa"/>
          <w:tcBorders>
            <w:top w:val="nil"/>
            <w:left w:val="nil"/>
            <w:bottom w:val="nil"/>
            <w:right w:val="nil"/>
          </w:tcBorders>
        </w:tcPr>
        <w:p w:rsidR="008D25FE" w:rsidRDefault="008D25FE">
          <w:pPr>
            <w:pStyle w:val="HeaderOdd"/>
          </w:pP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Odd6"/>
          </w:pPr>
          <w:r>
            <w:t>Contents</w:t>
          </w:r>
        </w:p>
      </w:tc>
    </w:tr>
  </w:tbl>
  <w:p w:rsidR="008D25FE" w:rsidRDefault="008D25FE">
    <w:pPr>
      <w:pStyle w:val="N-9pt"/>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8D25FE">
      <w:trPr>
        <w:jc w:val="center"/>
      </w:trPr>
      <w:tc>
        <w:tcPr>
          <w:tcW w:w="1560" w:type="dxa"/>
          <w:tcBorders>
            <w:top w:val="nil"/>
            <w:left w:val="nil"/>
            <w:bottom w:val="nil"/>
            <w:right w:val="nil"/>
          </w:tcBorders>
        </w:tcPr>
        <w:p w:rsidR="008D25FE" w:rsidRDefault="008D25FE">
          <w:pPr>
            <w:pStyle w:val="HeaderEven"/>
            <w:rPr>
              <w:b/>
              <w:bCs/>
            </w:rPr>
          </w:pPr>
          <w:r>
            <w:rPr>
              <w:b/>
              <w:bCs/>
            </w:rPr>
            <w:fldChar w:fldCharType="begin"/>
          </w:r>
          <w:r>
            <w:rPr>
              <w:b/>
              <w:bCs/>
            </w:rPr>
            <w:instrText xml:space="preserve"> STYLEREF CharChapNo \*charformat  </w:instrText>
          </w:r>
          <w:r>
            <w:rPr>
              <w:b/>
              <w:bCs/>
            </w:rPr>
            <w:fldChar w:fldCharType="separate"/>
          </w:r>
          <w:r w:rsidR="001B7504">
            <w:rPr>
              <w:b/>
              <w:bCs/>
              <w:noProof/>
            </w:rPr>
            <w:t>Chapter 12</w:t>
          </w:r>
          <w:r>
            <w:rPr>
              <w:b/>
              <w:bCs/>
            </w:rPr>
            <w:fldChar w:fldCharType="end"/>
          </w:r>
        </w:p>
      </w:tc>
      <w:tc>
        <w:tcPr>
          <w:tcW w:w="5741" w:type="dxa"/>
          <w:tcBorders>
            <w:top w:val="nil"/>
            <w:left w:val="nil"/>
            <w:bottom w:val="nil"/>
            <w:right w:val="nil"/>
          </w:tcBorders>
        </w:tcPr>
        <w:p w:rsidR="008D25FE" w:rsidRDefault="001B7504">
          <w:pPr>
            <w:pStyle w:val="HeaderEven"/>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r>
    <w:tr w:rsidR="008D25FE">
      <w:trPr>
        <w:jc w:val="center"/>
      </w:trPr>
      <w:tc>
        <w:tcPr>
          <w:tcW w:w="1560" w:type="dxa"/>
          <w:tcBorders>
            <w:top w:val="nil"/>
            <w:left w:val="nil"/>
            <w:bottom w:val="nil"/>
            <w:right w:val="nil"/>
          </w:tcBorders>
        </w:tcPr>
        <w:p w:rsidR="008D25FE" w:rsidRDefault="008D25FE">
          <w:pPr>
            <w:pStyle w:val="HeaderEven"/>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nil"/>
            <w:right w:val="nil"/>
          </w:tcBorders>
        </w:tcPr>
        <w:p w:rsidR="008D25FE" w:rsidRDefault="001B7504">
          <w:pPr>
            <w:pStyle w:val="HeaderEven"/>
          </w:pPr>
          <w:r>
            <w:rPr>
              <w:noProof/>
            </w:rPr>
            <w:fldChar w:fldCharType="begin"/>
          </w:r>
          <w:r>
            <w:rPr>
              <w:noProof/>
            </w:rPr>
            <w:instrText xml:space="preserve"> STYLEREF CharPartText \*charformat </w:instrText>
          </w:r>
          <w:r>
            <w:rPr>
              <w:noProof/>
            </w:rPr>
            <w:fldChar w:fldCharType="end"/>
          </w:r>
        </w:p>
      </w:tc>
    </w:tr>
    <w:tr w:rsidR="008D25FE">
      <w:trPr>
        <w:jc w:val="center"/>
      </w:trPr>
      <w:tc>
        <w:tcPr>
          <w:tcW w:w="1560" w:type="dxa"/>
          <w:tcBorders>
            <w:top w:val="nil"/>
            <w:left w:val="nil"/>
            <w:bottom w:val="nil"/>
            <w:right w:val="nil"/>
          </w:tcBorders>
        </w:tcPr>
        <w:p w:rsidR="008D25FE" w:rsidRDefault="008D25FE">
          <w:pPr>
            <w:pStyle w:val="HeaderEven"/>
            <w:rPr>
              <w:b/>
              <w:bCs/>
            </w:rPr>
          </w:pPr>
          <w:r>
            <w:rPr>
              <w:b/>
              <w:bCs/>
            </w:rPr>
            <w:fldChar w:fldCharType="begin"/>
          </w:r>
          <w:r>
            <w:rPr>
              <w:b/>
              <w:bCs/>
            </w:rPr>
            <w:instrText xml:space="preserve"> STYLEREF CharDivNo \*charformat </w:instrText>
          </w:r>
          <w:r>
            <w:rPr>
              <w:b/>
              <w:bCs/>
            </w:rPr>
            <w:fldChar w:fldCharType="end"/>
          </w:r>
        </w:p>
      </w:tc>
      <w:tc>
        <w:tcPr>
          <w:tcW w:w="5741" w:type="dxa"/>
          <w:tcBorders>
            <w:top w:val="nil"/>
            <w:left w:val="nil"/>
            <w:bottom w:val="nil"/>
            <w:right w:val="nil"/>
          </w:tcBorders>
        </w:tcPr>
        <w:p w:rsidR="008D25FE" w:rsidRDefault="008D25FE">
          <w:pPr>
            <w:pStyle w:val="HeaderEven"/>
          </w:pPr>
          <w:r>
            <w:fldChar w:fldCharType="begin"/>
          </w:r>
          <w:r>
            <w:instrText xml:space="preserve"> STYLEREF CharDivText \*charformat </w:instrText>
          </w:r>
          <w:r>
            <w:fldChar w:fldCharType="end"/>
          </w: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Even6"/>
          </w:pPr>
          <w:r>
            <w:t xml:space="preserve">Section </w:t>
          </w:r>
          <w:r w:rsidR="001B7504">
            <w:rPr>
              <w:noProof/>
            </w:rPr>
            <w:fldChar w:fldCharType="begin"/>
          </w:r>
          <w:r w:rsidR="001B7504">
            <w:rPr>
              <w:noProof/>
            </w:rPr>
            <w:instrText xml:space="preserve"> STYLEREF CharSectNo \*charformat </w:instrText>
          </w:r>
          <w:r w:rsidR="001B7504">
            <w:rPr>
              <w:noProof/>
            </w:rPr>
            <w:fldChar w:fldCharType="separate"/>
          </w:r>
          <w:r w:rsidR="001B7504">
            <w:rPr>
              <w:noProof/>
            </w:rPr>
            <w:t>154</w:t>
          </w:r>
          <w:r w:rsidR="001B7504">
            <w:rPr>
              <w:noProof/>
            </w:rPr>
            <w:fldChar w:fldCharType="end"/>
          </w:r>
        </w:p>
      </w:tc>
    </w:tr>
  </w:tbl>
  <w:p w:rsidR="008D25FE" w:rsidRDefault="008D25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8D25FE">
      <w:trPr>
        <w:jc w:val="center"/>
      </w:trPr>
      <w:tc>
        <w:tcPr>
          <w:tcW w:w="5741" w:type="dxa"/>
          <w:tcBorders>
            <w:top w:val="nil"/>
            <w:left w:val="nil"/>
            <w:bottom w:val="nil"/>
            <w:right w:val="nil"/>
          </w:tcBorders>
        </w:tcPr>
        <w:p w:rsidR="008D25FE" w:rsidRDefault="001B7504">
          <w:pPr>
            <w:pStyle w:val="HeaderEven"/>
            <w:jc w:val="right"/>
          </w:pPr>
          <w:r>
            <w:rPr>
              <w:noProof/>
            </w:rPr>
            <w:fldChar w:fldCharType="begin"/>
          </w:r>
          <w:r>
            <w:rPr>
              <w:noProof/>
            </w:rPr>
            <w:instrText xml:space="preserve"> STYLEREF CharChapText \*charformat  </w:instrText>
          </w:r>
          <w:r>
            <w:rPr>
              <w:noProof/>
            </w:rPr>
            <w:fldChar w:fldCharType="separate"/>
          </w:r>
          <w:r>
            <w:rPr>
              <w:noProof/>
            </w:rPr>
            <w:t>Transitional provisions</w:t>
          </w:r>
          <w:r>
            <w:rPr>
              <w:noProof/>
            </w:rPr>
            <w:fldChar w:fldCharType="end"/>
          </w:r>
        </w:p>
      </w:tc>
      <w:tc>
        <w:tcPr>
          <w:tcW w:w="1560" w:type="dxa"/>
          <w:tcBorders>
            <w:top w:val="nil"/>
            <w:left w:val="nil"/>
            <w:bottom w:val="nil"/>
            <w:right w:val="nil"/>
          </w:tcBorders>
        </w:tcPr>
        <w:p w:rsidR="008D25FE" w:rsidRDefault="008D25FE">
          <w:pPr>
            <w:pStyle w:val="HeaderEven"/>
            <w:jc w:val="right"/>
            <w:rPr>
              <w:b/>
              <w:bCs/>
            </w:rPr>
          </w:pPr>
          <w:r>
            <w:rPr>
              <w:b/>
              <w:bCs/>
            </w:rPr>
            <w:fldChar w:fldCharType="begin"/>
          </w:r>
          <w:r>
            <w:rPr>
              <w:b/>
              <w:bCs/>
            </w:rPr>
            <w:instrText xml:space="preserve"> STYLEREF CharChapNo \*charformat  </w:instrText>
          </w:r>
          <w:r>
            <w:rPr>
              <w:b/>
              <w:bCs/>
            </w:rPr>
            <w:fldChar w:fldCharType="separate"/>
          </w:r>
          <w:r w:rsidR="001B7504">
            <w:rPr>
              <w:b/>
              <w:bCs/>
              <w:noProof/>
            </w:rPr>
            <w:t>Chapter 12</w:t>
          </w:r>
          <w:r>
            <w:rPr>
              <w:b/>
              <w:bCs/>
            </w:rPr>
            <w:fldChar w:fldCharType="end"/>
          </w:r>
        </w:p>
      </w:tc>
    </w:tr>
    <w:tr w:rsidR="008D25FE">
      <w:trPr>
        <w:jc w:val="center"/>
      </w:trPr>
      <w:tc>
        <w:tcPr>
          <w:tcW w:w="5741" w:type="dxa"/>
          <w:tcBorders>
            <w:top w:val="nil"/>
            <w:left w:val="nil"/>
            <w:bottom w:val="nil"/>
            <w:right w:val="nil"/>
          </w:tcBorders>
        </w:tcPr>
        <w:p w:rsidR="008D25FE" w:rsidRDefault="001B7504">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Borders>
            <w:top w:val="nil"/>
            <w:left w:val="nil"/>
            <w:bottom w:val="nil"/>
            <w:right w:val="nil"/>
          </w:tcBorders>
        </w:tcPr>
        <w:p w:rsidR="008D25FE" w:rsidRDefault="008D25FE">
          <w:pPr>
            <w:pStyle w:val="HeaderEven"/>
            <w:jc w:val="right"/>
            <w:rPr>
              <w:b/>
              <w:bCs/>
            </w:rPr>
          </w:pPr>
          <w:r>
            <w:rPr>
              <w:b/>
              <w:bCs/>
            </w:rPr>
            <w:fldChar w:fldCharType="begin"/>
          </w:r>
          <w:r>
            <w:rPr>
              <w:b/>
              <w:bCs/>
            </w:rPr>
            <w:instrText xml:space="preserve"> STYLEREF CharPartNo \*charformat </w:instrText>
          </w:r>
          <w:r>
            <w:rPr>
              <w:b/>
              <w:bCs/>
            </w:rPr>
            <w:fldChar w:fldCharType="end"/>
          </w:r>
        </w:p>
      </w:tc>
    </w:tr>
    <w:tr w:rsidR="008D25FE">
      <w:trPr>
        <w:jc w:val="center"/>
      </w:trPr>
      <w:tc>
        <w:tcPr>
          <w:tcW w:w="5741" w:type="dxa"/>
          <w:tcBorders>
            <w:top w:val="nil"/>
            <w:left w:val="nil"/>
            <w:bottom w:val="nil"/>
            <w:right w:val="nil"/>
          </w:tcBorders>
        </w:tcPr>
        <w:p w:rsidR="008D25FE" w:rsidRDefault="008D25FE">
          <w:pPr>
            <w:pStyle w:val="HeaderEven"/>
            <w:jc w:val="right"/>
          </w:pPr>
          <w:r>
            <w:fldChar w:fldCharType="begin"/>
          </w:r>
          <w:r>
            <w:instrText xml:space="preserve"> STYLEREF CharDivText \*charformat </w:instrText>
          </w:r>
          <w:r>
            <w:fldChar w:fldCharType="end"/>
          </w:r>
        </w:p>
      </w:tc>
      <w:tc>
        <w:tcPr>
          <w:tcW w:w="1560" w:type="dxa"/>
          <w:tcBorders>
            <w:top w:val="nil"/>
            <w:left w:val="nil"/>
            <w:bottom w:val="nil"/>
            <w:right w:val="nil"/>
          </w:tcBorders>
        </w:tcPr>
        <w:p w:rsidR="008D25FE" w:rsidRDefault="008D25FE">
          <w:pPr>
            <w:pStyle w:val="HeaderEven"/>
            <w:jc w:val="right"/>
            <w:rPr>
              <w:b/>
              <w:bCs/>
            </w:rPr>
          </w:pPr>
          <w:r>
            <w:rPr>
              <w:b/>
              <w:bCs/>
            </w:rPr>
            <w:fldChar w:fldCharType="begin"/>
          </w:r>
          <w:r>
            <w:rPr>
              <w:b/>
              <w:bCs/>
            </w:rPr>
            <w:instrText xml:space="preserve"> STYLEREF CharDivNo \*charformat </w:instrText>
          </w:r>
          <w:r>
            <w:rPr>
              <w:b/>
              <w:bCs/>
            </w:rPr>
            <w:fldChar w:fldCharType="end"/>
          </w:r>
        </w:p>
      </w:tc>
    </w:tr>
    <w:tr w:rsidR="008D25FE">
      <w:trPr>
        <w:cantSplit/>
        <w:jc w:val="center"/>
      </w:trPr>
      <w:tc>
        <w:tcPr>
          <w:tcW w:w="7296" w:type="dxa"/>
          <w:gridSpan w:val="2"/>
          <w:tcBorders>
            <w:top w:val="nil"/>
            <w:left w:val="nil"/>
            <w:bottom w:val="single" w:sz="4" w:space="0" w:color="auto"/>
            <w:right w:val="nil"/>
          </w:tcBorders>
        </w:tcPr>
        <w:p w:rsidR="008D25FE" w:rsidRDefault="008D25FE">
          <w:pPr>
            <w:pStyle w:val="HeaderOdd6"/>
          </w:pPr>
          <w:r>
            <w:t xml:space="preserve">Section </w:t>
          </w:r>
          <w:r w:rsidR="001B7504">
            <w:rPr>
              <w:noProof/>
            </w:rPr>
            <w:fldChar w:fldCharType="begin"/>
          </w:r>
          <w:r w:rsidR="001B7504">
            <w:rPr>
              <w:noProof/>
            </w:rPr>
            <w:instrText xml:space="preserve"> STYLEREF CharSectNo \*charformat </w:instrText>
          </w:r>
          <w:r w:rsidR="001B7504">
            <w:rPr>
              <w:noProof/>
            </w:rPr>
            <w:fldChar w:fldCharType="separate"/>
          </w:r>
          <w:r w:rsidR="001B7504">
            <w:rPr>
              <w:noProof/>
            </w:rPr>
            <w:t>154A</w:t>
          </w:r>
          <w:r w:rsidR="001B7504">
            <w:rPr>
              <w:noProof/>
            </w:rPr>
            <w:fldChar w:fldCharType="end"/>
          </w:r>
        </w:p>
      </w:tc>
    </w:tr>
  </w:tbl>
  <w:p w:rsidR="008D25FE" w:rsidRDefault="008D25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Look w:val="0000" w:firstRow="0" w:lastRow="0" w:firstColumn="0" w:lastColumn="0" w:noHBand="0" w:noVBand="0"/>
    </w:tblPr>
    <w:tblGrid>
      <w:gridCol w:w="1560"/>
      <w:gridCol w:w="5741"/>
    </w:tblGrid>
    <w:tr w:rsidR="008D25FE">
      <w:trPr>
        <w:jc w:val="center"/>
      </w:trPr>
      <w:tc>
        <w:tcPr>
          <w:tcW w:w="1560" w:type="dxa"/>
          <w:tcBorders>
            <w:top w:val="nil"/>
            <w:left w:val="nil"/>
            <w:bottom w:val="nil"/>
            <w:right w:val="nil"/>
          </w:tcBorders>
        </w:tcPr>
        <w:p w:rsidR="008D25FE" w:rsidRDefault="008D25FE">
          <w:pPr>
            <w:pStyle w:val="HeaderEven"/>
            <w:rPr>
              <w:b/>
              <w:bCs/>
            </w:rPr>
          </w:pPr>
          <w:r>
            <w:rPr>
              <w:b/>
              <w:bCs/>
            </w:rPr>
            <w:fldChar w:fldCharType="begin"/>
          </w:r>
          <w:r>
            <w:rPr>
              <w:b/>
              <w:bCs/>
            </w:rPr>
            <w:instrText xml:space="preserve"> STYLEREF CharChapNo \*charformat </w:instrText>
          </w:r>
          <w:r>
            <w:rPr>
              <w:b/>
              <w:bCs/>
            </w:rPr>
            <w:fldChar w:fldCharType="separate"/>
          </w:r>
          <w:r w:rsidR="001B7504">
            <w:rPr>
              <w:b/>
              <w:bCs/>
              <w:noProof/>
            </w:rPr>
            <w:t>Schedule 1</w:t>
          </w:r>
          <w:r>
            <w:rPr>
              <w:b/>
              <w:bCs/>
            </w:rPr>
            <w:fldChar w:fldCharType="end"/>
          </w:r>
        </w:p>
      </w:tc>
      <w:tc>
        <w:tcPr>
          <w:tcW w:w="5741" w:type="dxa"/>
          <w:tcBorders>
            <w:top w:val="nil"/>
            <w:left w:val="nil"/>
            <w:bottom w:val="nil"/>
            <w:right w:val="nil"/>
          </w:tcBorders>
        </w:tcPr>
        <w:p w:rsidR="008D25FE" w:rsidRDefault="001B7504">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8D25FE">
      <w:trPr>
        <w:jc w:val="center"/>
      </w:trPr>
      <w:tc>
        <w:tcPr>
          <w:tcW w:w="1560" w:type="dxa"/>
          <w:tcBorders>
            <w:top w:val="nil"/>
            <w:left w:val="nil"/>
            <w:bottom w:val="single" w:sz="4" w:space="0" w:color="auto"/>
            <w:right w:val="nil"/>
          </w:tcBorders>
        </w:tcPr>
        <w:p w:rsidR="008D25FE" w:rsidRDefault="008D25FE">
          <w:pPr>
            <w:pStyle w:val="HeaderEven"/>
            <w:spacing w:after="60"/>
            <w:rPr>
              <w:b/>
              <w:bCs/>
            </w:rPr>
          </w:pPr>
          <w:r>
            <w:rPr>
              <w:b/>
              <w:bCs/>
            </w:rPr>
            <w:fldChar w:fldCharType="begin"/>
          </w:r>
          <w:r>
            <w:rPr>
              <w:b/>
              <w:bCs/>
            </w:rPr>
            <w:instrText xml:space="preserve"> STYLEREF CharPartNo \*charformat </w:instrText>
          </w:r>
          <w:r>
            <w:rPr>
              <w:b/>
              <w:bCs/>
            </w:rPr>
            <w:fldChar w:fldCharType="end"/>
          </w:r>
        </w:p>
      </w:tc>
      <w:tc>
        <w:tcPr>
          <w:tcW w:w="5741" w:type="dxa"/>
          <w:tcBorders>
            <w:top w:val="nil"/>
            <w:left w:val="nil"/>
            <w:bottom w:val="single" w:sz="4" w:space="0" w:color="auto"/>
            <w:right w:val="nil"/>
          </w:tcBorders>
        </w:tcPr>
        <w:p w:rsidR="008D25FE" w:rsidRDefault="008D25FE">
          <w:pPr>
            <w:pStyle w:val="HeaderEven"/>
            <w:spacing w:after="60"/>
          </w:pPr>
          <w:r>
            <w:fldChar w:fldCharType="begin"/>
          </w:r>
          <w:r>
            <w:instrText xml:space="preserve"> STYLEREF CharPartText \*charformat </w:instrText>
          </w:r>
          <w:r>
            <w:fldChar w:fldCharType="end"/>
          </w:r>
        </w:p>
      </w:tc>
    </w:tr>
  </w:tbl>
  <w:p w:rsidR="008D25FE" w:rsidRDefault="008D25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8D25FE">
      <w:trPr>
        <w:jc w:val="center"/>
      </w:trPr>
      <w:tc>
        <w:tcPr>
          <w:tcW w:w="5741" w:type="dxa"/>
          <w:tcBorders>
            <w:top w:val="nil"/>
            <w:left w:val="nil"/>
            <w:bottom w:val="nil"/>
            <w:right w:val="nil"/>
          </w:tcBorders>
        </w:tcPr>
        <w:p w:rsidR="008D25FE" w:rsidRDefault="001B7504">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Borders>
            <w:top w:val="nil"/>
            <w:left w:val="nil"/>
            <w:bottom w:val="nil"/>
            <w:right w:val="nil"/>
          </w:tcBorders>
        </w:tcPr>
        <w:p w:rsidR="008D25FE" w:rsidRDefault="008D25FE">
          <w:pPr>
            <w:pStyle w:val="HeaderEven"/>
            <w:jc w:val="right"/>
            <w:rPr>
              <w:b/>
              <w:bCs/>
            </w:rPr>
          </w:pPr>
          <w:r>
            <w:rPr>
              <w:b/>
              <w:bCs/>
            </w:rPr>
            <w:fldChar w:fldCharType="begin"/>
          </w:r>
          <w:r>
            <w:rPr>
              <w:b/>
              <w:bCs/>
            </w:rPr>
            <w:instrText xml:space="preserve"> STYLEREF CharChapNo \*charformat </w:instrText>
          </w:r>
          <w:r>
            <w:rPr>
              <w:b/>
              <w:bCs/>
            </w:rPr>
            <w:fldChar w:fldCharType="separate"/>
          </w:r>
          <w:r w:rsidR="001B7504">
            <w:rPr>
              <w:b/>
              <w:bCs/>
              <w:noProof/>
            </w:rPr>
            <w:t>Schedule 2</w:t>
          </w:r>
          <w:r>
            <w:rPr>
              <w:b/>
              <w:bCs/>
            </w:rPr>
            <w:fldChar w:fldCharType="end"/>
          </w:r>
        </w:p>
      </w:tc>
    </w:tr>
    <w:tr w:rsidR="008D25FE">
      <w:trPr>
        <w:jc w:val="center"/>
      </w:trPr>
      <w:tc>
        <w:tcPr>
          <w:tcW w:w="5741" w:type="dxa"/>
          <w:tcBorders>
            <w:top w:val="nil"/>
            <w:left w:val="nil"/>
            <w:bottom w:val="single" w:sz="4" w:space="0" w:color="auto"/>
            <w:right w:val="nil"/>
          </w:tcBorders>
        </w:tcPr>
        <w:p w:rsidR="008D25FE" w:rsidRDefault="008D25FE">
          <w:pPr>
            <w:pStyle w:val="HeaderEven"/>
            <w:spacing w:after="60"/>
            <w:jc w:val="right"/>
          </w:pPr>
          <w:r>
            <w:fldChar w:fldCharType="begin"/>
          </w:r>
          <w:r>
            <w:instrText xml:space="preserve"> STYLEREF CharPartText \*charformat </w:instrText>
          </w:r>
          <w:r>
            <w:fldChar w:fldCharType="end"/>
          </w:r>
        </w:p>
      </w:tc>
      <w:tc>
        <w:tcPr>
          <w:tcW w:w="1560" w:type="dxa"/>
          <w:tcBorders>
            <w:top w:val="nil"/>
            <w:left w:val="nil"/>
            <w:bottom w:val="single" w:sz="4" w:space="0" w:color="auto"/>
            <w:right w:val="nil"/>
          </w:tcBorders>
        </w:tcPr>
        <w:p w:rsidR="008D25FE" w:rsidRDefault="008D25FE">
          <w:pPr>
            <w:pStyle w:val="HeaderEven"/>
            <w:spacing w:after="60"/>
            <w:jc w:val="right"/>
            <w:rPr>
              <w:b/>
              <w:bCs/>
            </w:rPr>
          </w:pPr>
          <w:r>
            <w:rPr>
              <w:b/>
              <w:bCs/>
            </w:rPr>
            <w:fldChar w:fldCharType="begin"/>
          </w:r>
          <w:r>
            <w:rPr>
              <w:b/>
              <w:bCs/>
            </w:rPr>
            <w:instrText xml:space="preserve"> STYLEREF CharPartNo \*charformat </w:instrText>
          </w:r>
          <w:r>
            <w:rPr>
              <w:b/>
              <w:bCs/>
            </w:rPr>
            <w:fldChar w:fldCharType="end"/>
          </w:r>
        </w:p>
      </w:tc>
    </w:tr>
  </w:tbl>
  <w:p w:rsidR="008D25FE" w:rsidRDefault="008D2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A0A4658"/>
    <w:multiLevelType w:val="multilevel"/>
    <w:tmpl w:val="F8764BC4"/>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abstractNum w:abstractNumId="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 w15:restartNumberingAfterBreak="0">
    <w:nsid w:val="0D1F0F52"/>
    <w:multiLevelType w:val="multilevel"/>
    <w:tmpl w:val="5BFC7020"/>
    <w:name w:val="ChapHeadings"/>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lowerLetter"/>
      <w:pStyle w:val="Heading7"/>
      <w:lvlText w:val="(%7)"/>
      <w:lvlJc w:val="right"/>
      <w:pPr>
        <w:tabs>
          <w:tab w:val="num" w:pos="1200"/>
        </w:tabs>
        <w:ind w:left="1200" w:hanging="200"/>
      </w:pPr>
      <w:rPr>
        <w:b w:val="0"/>
        <w:bCs w:val="0"/>
        <w:i w:val="0"/>
        <w:iCs w:val="0"/>
      </w:r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bCs w:val="0"/>
        <w:i w:val="0"/>
        <w:iCs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81D004D"/>
    <w:multiLevelType w:val="singleLevel"/>
    <w:tmpl w:val="B6A6922A"/>
    <w:lvl w:ilvl="0">
      <w:start w:val="1"/>
      <w:numFmt w:val="decimal"/>
      <w:lvlRestart w:val="0"/>
      <w:pStyle w:val="ListNumber4"/>
      <w:lvlText w:val="%1"/>
      <w:lvlJc w:val="left"/>
      <w:pPr>
        <w:tabs>
          <w:tab w:val="num" w:pos="1300"/>
        </w:tabs>
        <w:ind w:left="1300" w:hanging="600"/>
      </w:pPr>
      <w:rPr>
        <w:b w:val="0"/>
        <w:bCs w:val="0"/>
        <w:i w:val="0"/>
        <w:iCs w:val="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5423923"/>
    <w:multiLevelType w:val="singleLevel"/>
    <w:tmpl w:val="10FACC86"/>
    <w:lvl w:ilvl="0">
      <w:start w:val="1"/>
      <w:numFmt w:val="bullet"/>
      <w:pStyle w:val="Actbullet"/>
      <w:lvlText w:val=""/>
      <w:lvlJc w:val="left"/>
      <w:pPr>
        <w:tabs>
          <w:tab w:val="num" w:pos="2300"/>
        </w:tabs>
        <w:ind w:left="2300" w:hanging="300"/>
      </w:pPr>
      <w:rPr>
        <w:rFonts w:ascii="Symbol" w:hAnsi="Symbol" w:cs="Symbol" w:hint="default"/>
        <w:color w:val="auto"/>
        <w:sz w:val="20"/>
        <w:szCs w:val="20"/>
      </w:r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9"/>
  </w:num>
  <w:num w:numId="10">
    <w:abstractNumId w:val="9"/>
  </w:num>
  <w:num w:numId="11">
    <w:abstractNumId w:val="15"/>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evenAndOddHeader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4B5"/>
    <w:rsid w:val="00076C31"/>
    <w:rsid w:val="000C2490"/>
    <w:rsid w:val="001B7504"/>
    <w:rsid w:val="00204B96"/>
    <w:rsid w:val="00710B62"/>
    <w:rsid w:val="008C5792"/>
    <w:rsid w:val="008D25FE"/>
    <w:rsid w:val="008F35AF"/>
    <w:rsid w:val="00AC04B5"/>
    <w:rsid w:val="00B75CEF"/>
    <w:rsid w:val="00BB6F9A"/>
    <w:rsid w:val="00BD2D8C"/>
    <w:rsid w:val="00E36BD6"/>
    <w:rsid w:val="00FB1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DD321363-A44D-4A42-A987-F2F787D1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aliases w:val="h1,Part,H1"/>
    <w:basedOn w:val="Normal"/>
    <w:next w:val="Normal"/>
    <w:link w:val="Heading1Char"/>
    <w:uiPriority w:val="99"/>
    <w:qFormat/>
    <w:pPr>
      <w:keepNext/>
      <w:numPr>
        <w:numId w:val="1"/>
      </w:numPr>
      <w:spacing w:before="240" w:after="60"/>
      <w:outlineLvl w:val="0"/>
    </w:pPr>
    <w:rPr>
      <w:rFonts w:ascii="Arial" w:hAnsi="Arial" w:cs="Arial"/>
      <w:b/>
      <w:bCs/>
      <w:kern w:val="28"/>
      <w:sz w:val="28"/>
      <w:szCs w:val="28"/>
    </w:rPr>
  </w:style>
  <w:style w:type="paragraph" w:styleId="Heading2">
    <w:name w:val="heading 2"/>
    <w:aliases w:val="h2"/>
    <w:basedOn w:val="Normal"/>
    <w:next w:val="Normal"/>
    <w:link w:val="Heading2Char"/>
    <w:uiPriority w:val="99"/>
    <w:qFormat/>
    <w:pPr>
      <w:keepNext/>
      <w:numPr>
        <w:ilvl w:val="1"/>
        <w:numId w:val="1"/>
      </w:numPr>
      <w:spacing w:before="240" w:after="60"/>
      <w:outlineLvl w:val="1"/>
    </w:pPr>
    <w:rPr>
      <w:rFonts w:ascii="Arial" w:hAnsi="Arial" w:cs="Arial"/>
      <w:b/>
      <w:bCs/>
      <w:i/>
      <w:iCs/>
    </w:rPr>
  </w:style>
  <w:style w:type="paragraph" w:styleId="Heading3">
    <w:name w:val="heading 3"/>
    <w:aliases w:val="h3"/>
    <w:basedOn w:val="Normal"/>
    <w:next w:val="Normal"/>
    <w:link w:val="Heading3Char"/>
    <w:uiPriority w:val="9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basedOn w:val="DefaultParagraphFont"/>
    <w:link w:val="Heading1"/>
    <w:uiPriority w:val="99"/>
    <w:rPr>
      <w:rFonts w:ascii="Arial" w:hAnsi="Arial" w:cs="Arial"/>
      <w:b/>
      <w:bCs/>
      <w:kern w:val="28"/>
      <w:sz w:val="28"/>
      <w:szCs w:val="28"/>
      <w:lang w:eastAsia="en-US"/>
    </w:rPr>
  </w:style>
  <w:style w:type="character" w:customStyle="1" w:styleId="Heading2Char">
    <w:name w:val="Heading 2 Char"/>
    <w:aliases w:val="h2 Char"/>
    <w:basedOn w:val="DefaultParagraphFont"/>
    <w:link w:val="Heading2"/>
    <w:uiPriority w:val="99"/>
    <w:rPr>
      <w:rFonts w:ascii="Arial" w:hAnsi="Arial" w:cs="Arial"/>
      <w:b/>
      <w:bCs/>
      <w:i/>
      <w:iCs/>
      <w:sz w:val="24"/>
      <w:szCs w:val="24"/>
      <w:lang w:eastAsia="en-US"/>
    </w:rPr>
  </w:style>
  <w:style w:type="character" w:customStyle="1" w:styleId="Heading3Char">
    <w:name w:val="Heading 3 Char"/>
    <w:aliases w:val="h3 Char"/>
    <w:basedOn w:val="DefaultParagraphFont"/>
    <w:link w:val="Heading3"/>
    <w:uiPriority w:val="99"/>
    <w:rPr>
      <w:rFonts w:ascii="Arial" w:hAnsi="Arial" w:cs="Arial"/>
      <w:sz w:val="24"/>
      <w:szCs w:val="24"/>
      <w:lang w:eastAsia="en-US"/>
    </w:rPr>
  </w:style>
  <w:style w:type="character" w:customStyle="1" w:styleId="Heading4Char">
    <w:name w:val="Heading 4 Char"/>
    <w:basedOn w:val="DefaultParagraphFont"/>
    <w:link w:val="Heading4"/>
    <w:uiPriority w:val="99"/>
    <w:rPr>
      <w:rFonts w:ascii="Arial" w:hAnsi="Arial" w:cs="Arial"/>
      <w:b/>
      <w:bCs/>
      <w:sz w:val="24"/>
      <w:szCs w:val="24"/>
      <w:lang w:eastAsia="en-US"/>
    </w:rPr>
  </w:style>
  <w:style w:type="character" w:customStyle="1" w:styleId="Heading5Char">
    <w:name w:val="Heading 5 Char"/>
    <w:basedOn w:val="DefaultParagraphFont"/>
    <w:link w:val="Heading5"/>
    <w:uiPriority w:val="99"/>
    <w:rPr>
      <w:rFonts w:ascii="Times New Roman" w:hAnsi="Times New Roman" w:cs="Times New Roman"/>
      <w:lang w:eastAsia="en-US"/>
    </w:rPr>
  </w:style>
  <w:style w:type="character" w:customStyle="1" w:styleId="Heading6Char">
    <w:name w:val="Heading 6 Char"/>
    <w:basedOn w:val="DefaultParagraphFont"/>
    <w:link w:val="Heading6"/>
    <w:uiPriority w:val="99"/>
    <w:rPr>
      <w:rFonts w:ascii="Times New Roman" w:hAnsi="Times New Roman" w:cs="Times New Roman"/>
      <w:i/>
      <w:iCs/>
      <w:lang w:eastAsia="en-US"/>
    </w:rPr>
  </w:style>
  <w:style w:type="character" w:customStyle="1" w:styleId="Heading7Char">
    <w:name w:val="Heading 7 Char"/>
    <w:basedOn w:val="DefaultParagraphFont"/>
    <w:link w:val="Heading7"/>
    <w:uiPriority w:val="99"/>
    <w:rPr>
      <w:rFonts w:ascii="Arial" w:hAnsi="Arial" w:cs="Arial"/>
      <w:sz w:val="20"/>
      <w:szCs w:val="20"/>
      <w:lang w:eastAsia="en-US"/>
    </w:rPr>
  </w:style>
  <w:style w:type="character" w:customStyle="1" w:styleId="Heading8Char">
    <w:name w:val="Heading 8 Char"/>
    <w:basedOn w:val="DefaultParagraphFont"/>
    <w:link w:val="Heading8"/>
    <w:uiPriority w:val="99"/>
    <w:rPr>
      <w:rFonts w:ascii="Arial" w:hAnsi="Arial" w:cs="Arial"/>
      <w:i/>
      <w:iCs/>
      <w:sz w:val="20"/>
      <w:szCs w:val="20"/>
      <w:lang w:eastAsia="en-US"/>
    </w:rPr>
  </w:style>
  <w:style w:type="character" w:customStyle="1" w:styleId="Heading9Char">
    <w:name w:val="Heading 9 Char"/>
    <w:basedOn w:val="DefaultParagraphFont"/>
    <w:link w:val="Heading9"/>
    <w:uiPriority w:val="99"/>
    <w:rPr>
      <w:rFonts w:ascii="Arial" w:hAnsi="Arial" w:cs="Arial"/>
      <w:b/>
      <w:bCs/>
      <w:i/>
      <w:iCs/>
      <w:sz w:val="18"/>
      <w:szCs w:val="18"/>
      <w:lang w:eastAsia="en-US"/>
    </w:rPr>
  </w:style>
  <w:style w:type="paragraph" w:customStyle="1" w:styleId="Norm-5pt">
    <w:name w:val="Norm-5pt"/>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BillBasic">
    <w:name w:val="BillBasic"/>
    <w:uiPriority w:val="99"/>
    <w:pPr>
      <w:spacing w:before="80" w:after="60" w:line="240" w:lineRule="auto"/>
      <w:jc w:val="both"/>
    </w:pPr>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s>
      <w:spacing w:before="1220" w:after="100"/>
    </w:pPr>
    <w:rPr>
      <w:rFonts w:ascii="Arial" w:hAnsi="Arial" w:cs="Arial"/>
      <w:b/>
      <w:bCs/>
      <w:sz w:val="40"/>
      <w:szCs w:val="40"/>
    </w:rPr>
  </w:style>
  <w:style w:type="paragraph" w:customStyle="1" w:styleId="BillBasicHeading">
    <w:name w:val="BillBasicHeading"/>
    <w:basedOn w:val="BillBasic"/>
    <w:uiPriority w:val="99"/>
    <w:pPr>
      <w:tabs>
        <w:tab w:val="left" w:pos="2600"/>
      </w:tabs>
    </w:pPr>
    <w:rPr>
      <w:rFonts w:ascii="Arial" w:hAnsi="Arial" w:cs="Arial"/>
    </w:rPr>
  </w:style>
  <w:style w:type="paragraph" w:customStyle="1" w:styleId="EnactingWordsRules">
    <w:name w:val="EnactingWordsRules"/>
    <w:basedOn w:val="EnactingWords"/>
    <w:uiPriority w:val="99"/>
    <w:pPr>
      <w:spacing w:before="240"/>
    </w:pPr>
  </w:style>
  <w:style w:type="paragraph" w:customStyle="1" w:styleId="EnactingWords">
    <w:name w:val="EnactingWords"/>
    <w:basedOn w:val="BillBasic"/>
    <w:uiPriority w:val="99"/>
    <w:pPr>
      <w:spacing w:before="60"/>
    </w:pPr>
  </w:style>
  <w:style w:type="paragraph" w:customStyle="1" w:styleId="BillCrest">
    <w:name w:val="Bill Crest"/>
    <w:basedOn w:val="Normal"/>
    <w:next w:val="Normal"/>
    <w:uiPriority w:val="99"/>
    <w:pPr>
      <w:tabs>
        <w:tab w:val="center" w:pos="3160"/>
      </w:tabs>
      <w:spacing w:after="60"/>
    </w:pPr>
    <w:rPr>
      <w:sz w:val="216"/>
      <w:szCs w:val="216"/>
    </w:rPr>
  </w:style>
  <w:style w:type="paragraph" w:customStyle="1" w:styleId="Amain">
    <w:name w:val="A main"/>
    <w:basedOn w:val="BillBasic"/>
    <w:uiPriority w:val="99"/>
    <w:pPr>
      <w:tabs>
        <w:tab w:val="right" w:pos="500"/>
        <w:tab w:val="left" w:pos="700"/>
      </w:tabs>
      <w:ind w:left="700" w:hanging="700"/>
      <w:outlineLvl w:val="5"/>
    </w:pPr>
  </w:style>
  <w:style w:type="paragraph" w:customStyle="1" w:styleId="Amainreturn">
    <w:name w:val="A main return"/>
    <w:basedOn w:val="BillBasic"/>
    <w:uiPriority w:val="99"/>
    <w:pPr>
      <w:ind w:left="700"/>
    </w:pPr>
  </w:style>
  <w:style w:type="paragraph" w:customStyle="1" w:styleId="Apara">
    <w:name w:val="A para"/>
    <w:basedOn w:val="BillBasic"/>
    <w:uiPriority w:val="99"/>
    <w:pPr>
      <w:tabs>
        <w:tab w:val="right" w:pos="1000"/>
        <w:tab w:val="left" w:pos="1200"/>
      </w:tabs>
      <w:ind w:left="1200" w:hanging="1200"/>
      <w:outlineLvl w:val="6"/>
    </w:pPr>
  </w:style>
  <w:style w:type="paragraph" w:customStyle="1" w:styleId="Asubpara">
    <w:name w:val="A subpara"/>
    <w:basedOn w:val="BillBasic"/>
    <w:uiPriority w:val="99"/>
    <w:pPr>
      <w:tabs>
        <w:tab w:val="right" w:pos="1540"/>
        <w:tab w:val="left" w:pos="1740"/>
      </w:tabs>
      <w:ind w:left="1740" w:hanging="1740"/>
      <w:outlineLvl w:val="7"/>
    </w:pPr>
  </w:style>
  <w:style w:type="paragraph" w:customStyle="1" w:styleId="Asubsubpara">
    <w:name w:val="A subsubpara"/>
    <w:basedOn w:val="BillBasic"/>
    <w:uiPriority w:val="99"/>
    <w:pPr>
      <w:tabs>
        <w:tab w:val="right" w:pos="2060"/>
        <w:tab w:val="left" w:pos="2260"/>
      </w:tabs>
      <w:ind w:left="2260" w:hanging="2260"/>
      <w:outlineLvl w:val="8"/>
    </w:pPr>
  </w:style>
  <w:style w:type="paragraph" w:customStyle="1" w:styleId="aDef">
    <w:name w:val="aDef"/>
    <w:basedOn w:val="BillBasic"/>
    <w:uiPriority w:val="99"/>
    <w:pPr>
      <w:ind w:left="700"/>
    </w:pPr>
  </w:style>
  <w:style w:type="paragraph" w:customStyle="1" w:styleId="aExamHead">
    <w:name w:val="aExam Head"/>
    <w:basedOn w:val="BillBasicHeading"/>
    <w:next w:val="aExam"/>
    <w:uiPriority w:val="99"/>
    <w:pPr>
      <w:keepNext/>
      <w:ind w:left="700"/>
      <w:outlineLvl w:val="5"/>
    </w:pPr>
    <w:rPr>
      <w:b/>
      <w:bCs/>
      <w:sz w:val="18"/>
      <w:szCs w:val="18"/>
    </w:rPr>
  </w:style>
  <w:style w:type="paragraph" w:customStyle="1" w:styleId="aExam">
    <w:name w:val="aExam"/>
    <w:basedOn w:val="aNote"/>
    <w:uiPriority w:val="99"/>
    <w:pPr>
      <w:spacing w:before="0"/>
      <w:ind w:left="700" w:firstLine="0"/>
    </w:pPr>
  </w:style>
  <w:style w:type="paragraph" w:customStyle="1" w:styleId="aNote">
    <w:name w:val="aNote"/>
    <w:basedOn w:val="BillBasic"/>
    <w:uiPriority w:val="99"/>
    <w:pPr>
      <w:tabs>
        <w:tab w:val="left" w:pos="1500"/>
      </w:tabs>
      <w:ind w:left="1500" w:hanging="800"/>
    </w:pPr>
    <w:rPr>
      <w:sz w:val="20"/>
      <w:szCs w:val="20"/>
    </w:r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N-9pt">
    <w:name w:val="N-9pt"/>
    <w:basedOn w:val="BillBasic"/>
    <w:next w:val="BillBasic"/>
    <w:uiPriority w:val="99"/>
    <w:pPr>
      <w:tabs>
        <w:tab w:val="right" w:pos="7272"/>
      </w:tabs>
      <w:spacing w:before="120" w:after="20"/>
    </w:pPr>
    <w:rPr>
      <w:rFonts w:ascii="Arial" w:hAnsi="Arial" w:cs="Arial"/>
      <w:sz w:val="18"/>
      <w:szCs w:val="18"/>
    </w:rPr>
  </w:style>
  <w:style w:type="paragraph" w:customStyle="1" w:styleId="N-14pt">
    <w:name w:val="N-14pt"/>
    <w:basedOn w:val="BillBasic"/>
    <w:uiPriority w:val="99"/>
    <w:pPr>
      <w:spacing w:before="0"/>
    </w:pPr>
    <w:rPr>
      <w:b/>
      <w:bCs/>
      <w:sz w:val="28"/>
      <w:szCs w:val="28"/>
    </w:rPr>
  </w:style>
  <w:style w:type="paragraph" w:customStyle="1" w:styleId="N-16pt">
    <w:name w:val="N-16pt"/>
    <w:basedOn w:val="BillBasic"/>
    <w:uiPriority w:val="99"/>
    <w:pPr>
      <w:spacing w:before="800"/>
    </w:pPr>
    <w:rPr>
      <w:b/>
      <w:bCs/>
      <w:sz w:val="32"/>
      <w:szCs w:val="32"/>
    </w:rPr>
  </w:style>
  <w:style w:type="paragraph" w:customStyle="1" w:styleId="N-line3">
    <w:name w:val="N-line3"/>
    <w:basedOn w:val="BillBasic"/>
    <w:next w:val="BillBasic"/>
    <w:uiPriority w:val="99"/>
    <w:pPr>
      <w:pBdr>
        <w:bottom w:val="single" w:sz="12" w:space="1" w:color="auto"/>
      </w:pBdr>
      <w:spacing w:before="0" w:after="0"/>
    </w:pPr>
  </w:style>
  <w:style w:type="paragraph" w:customStyle="1" w:styleId="Comment">
    <w:name w:val="Comment"/>
    <w:basedOn w:val="BillBasic"/>
    <w:uiPriority w:val="99"/>
    <w:pPr>
      <w:tabs>
        <w:tab w:val="left" w:pos="1400"/>
      </w:tabs>
      <w:ind w:left="900"/>
      <w:jc w:val="left"/>
    </w:pPr>
    <w:rPr>
      <w:b/>
      <w:bCs/>
      <w:sz w:val="18"/>
      <w:szCs w:val="18"/>
    </w:r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spacing w:before="320"/>
      <w:ind w:left="2600" w:hanging="2600"/>
      <w:jc w:val="left"/>
      <w:outlineLvl w:val="0"/>
    </w:pPr>
    <w:rPr>
      <w:b/>
      <w:bCs/>
      <w:sz w:val="34"/>
      <w:szCs w:val="34"/>
    </w:rPr>
  </w:style>
  <w:style w:type="paragraph" w:customStyle="1" w:styleId="AH2Part">
    <w:name w:val="A H2 Part"/>
    <w:basedOn w:val="BillBasicHeading"/>
    <w:next w:val="AH3Div"/>
    <w:uiPriority w:val="99"/>
    <w:pPr>
      <w:keepNext/>
      <w:spacing w:before="320"/>
      <w:ind w:left="2600" w:hanging="2600"/>
      <w:jc w:val="left"/>
      <w:outlineLvl w:val="1"/>
    </w:pPr>
    <w:rPr>
      <w:b/>
      <w:bCs/>
      <w:sz w:val="32"/>
      <w:szCs w:val="32"/>
    </w:rPr>
  </w:style>
  <w:style w:type="paragraph" w:customStyle="1" w:styleId="AH3Div">
    <w:name w:val="A H3 Div"/>
    <w:basedOn w:val="BillBasicHeading"/>
    <w:next w:val="AH5Sec"/>
    <w:uiPriority w:val="99"/>
    <w:pPr>
      <w:keepNext/>
      <w:spacing w:before="180"/>
      <w:ind w:left="2600" w:hanging="2600"/>
      <w:jc w:val="left"/>
      <w:outlineLvl w:val="2"/>
    </w:pPr>
    <w:rPr>
      <w:b/>
      <w:bCs/>
      <w:sz w:val="28"/>
      <w:szCs w:val="28"/>
    </w:rPr>
  </w:style>
  <w:style w:type="paragraph" w:customStyle="1" w:styleId="AH5Sec">
    <w:name w:val="A H5 Sec"/>
    <w:basedOn w:val="BillBasicHeading"/>
    <w:next w:val="Amain"/>
    <w:uiPriority w:val="99"/>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uiPriority w:val="99"/>
    <w:pPr>
      <w:keepNext/>
      <w:spacing w:before="180"/>
      <w:ind w:left="2600" w:hanging="2600"/>
      <w:outlineLvl w:val="3"/>
    </w:pPr>
    <w:rPr>
      <w:b/>
      <w:bCs/>
      <w:sz w:val="26"/>
      <w:szCs w:val="26"/>
    </w:rPr>
  </w:style>
  <w:style w:type="paragraph" w:customStyle="1" w:styleId="Sched-heading">
    <w:name w:val="Sched-heading"/>
    <w:basedOn w:val="BillBasicHeading"/>
    <w:next w:val="ref"/>
    <w:uiPriority w:val="99"/>
    <w:pPr>
      <w:keepNext/>
      <w:spacing w:before="320"/>
      <w:ind w:left="2600" w:hanging="2600"/>
      <w:jc w:val="left"/>
      <w:outlineLvl w:val="0"/>
    </w:pPr>
    <w:rPr>
      <w:b/>
      <w:bCs/>
      <w:sz w:val="34"/>
      <w:szCs w:val="34"/>
    </w:rPr>
  </w:style>
  <w:style w:type="paragraph" w:customStyle="1" w:styleId="ref">
    <w:name w:val="ref"/>
    <w:basedOn w:val="BillBasic"/>
    <w:next w:val="Sched-Part"/>
    <w:uiPriority w:val="99"/>
    <w:pPr>
      <w:spacing w:before="0"/>
    </w:pPr>
    <w:rPr>
      <w:sz w:val="18"/>
      <w:szCs w:val="18"/>
    </w:rPr>
  </w:style>
  <w:style w:type="paragraph" w:customStyle="1" w:styleId="Sched-Part">
    <w:name w:val="Sched-Part"/>
    <w:basedOn w:val="BillBasicHeading"/>
    <w:next w:val="Sched-Form"/>
    <w:uiPriority w:val="99"/>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uiPriority w:val="99"/>
    <w:pPr>
      <w:keepNext/>
      <w:tabs>
        <w:tab w:val="right" w:pos="7200"/>
      </w:tabs>
      <w:spacing w:before="180"/>
      <w:ind w:left="2600" w:hanging="2600"/>
      <w:jc w:val="left"/>
      <w:outlineLvl w:val="2"/>
    </w:pPr>
    <w:rPr>
      <w:b/>
      <w:bCs/>
      <w:sz w:val="28"/>
      <w:szCs w:val="28"/>
    </w:rPr>
  </w:style>
  <w:style w:type="paragraph" w:customStyle="1" w:styleId="Schclauseheading">
    <w:name w:val="Sch clause heading"/>
    <w:basedOn w:val="BillBasic"/>
    <w:next w:val="Amain"/>
    <w:uiPriority w:val="99"/>
    <w:pPr>
      <w:keepNext/>
      <w:tabs>
        <w:tab w:val="left" w:pos="700"/>
      </w:tabs>
      <w:spacing w:before="160" w:after="0"/>
      <w:ind w:left="700" w:hanging="700"/>
      <w:jc w:val="left"/>
      <w:outlineLvl w:val="4"/>
    </w:pPr>
    <w:rPr>
      <w:rFonts w:ascii="Arial" w:hAnsi="Arial" w:cs="Arial"/>
      <w:b/>
      <w:bCs/>
    </w:rPr>
  </w:style>
  <w:style w:type="paragraph" w:customStyle="1" w:styleId="ShadedSchClause">
    <w:name w:val="Shaded Sch Clause"/>
    <w:basedOn w:val="Schclauseheading"/>
    <w:next w:val="direction"/>
    <w:uiPriority w:val="99"/>
    <w:pPr>
      <w:shd w:val="pct15" w:color="auto" w:fill="auto"/>
      <w:outlineLvl w:val="3"/>
    </w:pPr>
  </w:style>
  <w:style w:type="paragraph" w:customStyle="1" w:styleId="direction">
    <w:name w:val="direction"/>
    <w:basedOn w:val="BillBasic"/>
    <w:next w:val="Amainreturn"/>
    <w:uiPriority w:val="99"/>
    <w:pPr>
      <w:ind w:left="700"/>
    </w:pPr>
    <w:rPr>
      <w:i/>
      <w:iCs/>
    </w:rPr>
  </w:style>
  <w:style w:type="paragraph" w:customStyle="1" w:styleId="Dict-Heading">
    <w:name w:val="Dict-Heading"/>
    <w:basedOn w:val="BillBasicHeading"/>
    <w:next w:val="ref"/>
    <w:uiPriority w:val="99"/>
    <w:pPr>
      <w:keepNext/>
      <w:spacing w:before="320"/>
      <w:ind w:left="2600" w:hanging="2600"/>
      <w:outlineLvl w:val="0"/>
    </w:pPr>
    <w:rPr>
      <w:b/>
      <w:bCs/>
      <w:sz w:val="34"/>
      <w:szCs w:val="34"/>
    </w:rPr>
  </w:style>
  <w:style w:type="paragraph" w:styleId="TOC7">
    <w:name w:val="toc 7"/>
    <w:basedOn w:val="TOC2"/>
    <w:next w:val="Normal"/>
    <w:autoRedefine/>
    <w:uiPriority w:val="39"/>
    <w:pPr>
      <w:keepNext w:val="0"/>
      <w:spacing w:before="120"/>
    </w:pPr>
    <w:rPr>
      <w:sz w:val="20"/>
      <w:szCs w:val="20"/>
    </w:rPr>
  </w:style>
  <w:style w:type="paragraph" w:styleId="TOC2">
    <w:name w:val="toc 2"/>
    <w:basedOn w:val="Normal"/>
    <w:next w:val="Normal"/>
    <w:autoRedefine/>
    <w:uiPriority w:val="39"/>
    <w:pPr>
      <w:keepNext/>
      <w:tabs>
        <w:tab w:val="left" w:pos="1800"/>
        <w:tab w:val="right" w:pos="7266"/>
      </w:tabs>
      <w:spacing w:before="240" w:after="20"/>
      <w:ind w:left="1800" w:right="600" w:hanging="1800"/>
    </w:pPr>
    <w:rPr>
      <w:rFonts w:ascii="Arial" w:hAnsi="Arial" w:cs="Arial"/>
      <w:b/>
      <w:bCs/>
      <w:noProof/>
    </w:rPr>
  </w:style>
  <w:style w:type="paragraph" w:customStyle="1" w:styleId="Endnote1">
    <w:name w:val="Endnote1"/>
    <w:basedOn w:val="BillBasic"/>
    <w:next w:val="Endnote2"/>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700"/>
      </w:tabs>
      <w:spacing w:before="320" w:after="60"/>
    </w:pPr>
    <w:rPr>
      <w:rFonts w:ascii="Arial" w:hAnsi="Arial" w:cs="Arial"/>
      <w:b/>
      <w:bCs/>
    </w:rPr>
  </w:style>
  <w:style w:type="paragraph" w:customStyle="1" w:styleId="EndNote20">
    <w:name w:val="EndNote2"/>
    <w:basedOn w:val="BillBasic"/>
    <w:uiPriority w:val="99"/>
    <w:pPr>
      <w:keepNext/>
      <w:tabs>
        <w:tab w:val="left" w:pos="240"/>
      </w:tabs>
      <w:spacing w:before="160" w:after="80"/>
      <w:jc w:val="left"/>
    </w:pPr>
    <w:rPr>
      <w:b/>
      <w:bCs/>
      <w:sz w:val="18"/>
      <w:szCs w:val="18"/>
    </w:r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IMain"/>
    <w:uiPriority w:val="99"/>
    <w:pPr>
      <w:keepNext/>
      <w:tabs>
        <w:tab w:val="clear" w:pos="2600"/>
        <w:tab w:val="left" w:pos="700"/>
      </w:tabs>
      <w:spacing w:before="180"/>
      <w:ind w:left="700" w:hanging="700"/>
      <w:jc w:val="left"/>
    </w:pPr>
    <w:rPr>
      <w:b/>
      <w:bCs/>
    </w:rPr>
  </w:style>
  <w:style w:type="paragraph" w:customStyle="1" w:styleId="IMain">
    <w:name w:val="I Main"/>
    <w:basedOn w:val="Amain"/>
    <w:uiPriority w:val="99"/>
  </w:style>
  <w:style w:type="paragraph" w:customStyle="1" w:styleId="IH4SubDiv">
    <w:name w:val="I H4 SubDiv"/>
    <w:basedOn w:val="BillBasicHeading"/>
    <w:next w:val="IH5Sec"/>
    <w:uiPriority w:val="99"/>
    <w:pPr>
      <w:keepNext/>
      <w:spacing w:before="180"/>
      <w:ind w:left="2600" w:hanging="2600"/>
    </w:pPr>
    <w:rPr>
      <w:b/>
      <w:bCs/>
      <w:sz w:val="26"/>
      <w:szCs w:val="26"/>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N-line1">
    <w:name w:val="N-line1"/>
    <w:basedOn w:val="BillBasic"/>
    <w:uiPriority w:val="99"/>
    <w:pPr>
      <w:pBdr>
        <w:bottom w:val="single" w:sz="4" w:space="0" w:color="auto"/>
      </w:pBdr>
      <w:spacing w:before="100" w:after="200"/>
      <w:ind w:left="2980" w:right="3020"/>
      <w:jc w:val="center"/>
    </w:pPr>
  </w:style>
  <w:style w:type="paragraph" w:customStyle="1" w:styleId="N-line2">
    <w:name w:val="N-line2"/>
    <w:basedOn w:val="Normal"/>
    <w:uiPriority w:val="99"/>
    <w:pPr>
      <w:pBdr>
        <w:bottom w:val="single" w:sz="8" w:space="0" w:color="auto"/>
      </w:pBdr>
    </w:pPr>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Heading">
    <w:name w:val="EndNoteHeading"/>
    <w:basedOn w:val="BillBasicHeading"/>
    <w:uiPriority w:val="99"/>
    <w:pPr>
      <w:keepNext/>
      <w:tabs>
        <w:tab w:val="left" w:pos="700"/>
      </w:tabs>
      <w:spacing w:before="160" w:after="160"/>
      <w:ind w:left="700" w:hanging="700"/>
    </w:pPr>
    <w:rPr>
      <w:b/>
      <w:bCs/>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jc w:val="left"/>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uiPriority w:val="99"/>
    <w:pPr>
      <w:keepNext/>
      <w:tabs>
        <w:tab w:val="left" w:pos="700"/>
      </w:tabs>
      <w:spacing w:before="160" w:after="0"/>
      <w:ind w:left="700" w:hanging="700"/>
      <w:jc w:val="left"/>
    </w:pPr>
    <w:rPr>
      <w:rFonts w:ascii="Arial" w:hAnsi="Arial" w:cs="Arial"/>
      <w:b/>
      <w:bCs/>
    </w:rPr>
  </w:style>
  <w:style w:type="paragraph" w:customStyle="1" w:styleId="Ipara">
    <w:name w:val="I para"/>
    <w:basedOn w:val="Apara"/>
    <w:uiPriority w:val="99"/>
  </w:style>
  <w:style w:type="paragraph" w:customStyle="1" w:styleId="Isubpara">
    <w:name w:val="I subpara"/>
    <w:basedOn w:val="Asubpara"/>
    <w:uiPriority w:val="99"/>
  </w:style>
  <w:style w:type="paragraph" w:customStyle="1" w:styleId="Isubsubpara">
    <w:name w:val="I subsubpara"/>
    <w:basedOn w:val="Asubsubpara"/>
    <w:uiPriority w:val="99"/>
  </w:style>
  <w:style w:type="character" w:customStyle="1" w:styleId="CharSectNo">
    <w:name w:val="CharSectNo"/>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PartText">
    <w:name w:val="CharPartText"/>
    <w:basedOn w:val="DefaultParagraphFont"/>
  </w:style>
  <w:style w:type="paragraph" w:styleId="TOC1">
    <w:name w:val="toc 1"/>
    <w:basedOn w:val="Normal"/>
    <w:next w:val="Normal"/>
    <w:autoRedefine/>
    <w:uiPriority w:val="39"/>
    <w:pPr>
      <w:keepNext/>
      <w:tabs>
        <w:tab w:val="left" w:pos="1800"/>
        <w:tab w:val="right" w:pos="7266"/>
      </w:tabs>
      <w:spacing w:before="480" w:after="20"/>
      <w:ind w:left="1800" w:right="600" w:hanging="1800"/>
    </w:pPr>
    <w:rPr>
      <w:rFonts w:ascii="Arial" w:hAnsi="Arial" w:cs="Arial"/>
      <w:b/>
      <w:bCs/>
      <w:noProof/>
    </w:rPr>
  </w:style>
  <w:style w:type="paragraph" w:styleId="TOC3">
    <w:name w:val="toc 3"/>
    <w:basedOn w:val="Normal"/>
    <w:next w:val="Normal"/>
    <w:autoRedefine/>
    <w:uiPriority w:val="39"/>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rPr>
      <w:rFonts w:ascii="Times New Roman" w:hAnsi="Times New Roman" w:cs="Times New Roman"/>
      <w:sz w:val="24"/>
      <w:szCs w:val="24"/>
      <w:lang w:eastAsia="en-US"/>
    </w:rPr>
  </w:style>
  <w:style w:type="paragraph" w:customStyle="1" w:styleId="ActNo">
    <w:name w:val="ActNo"/>
    <w:basedOn w:val="BillBasicHeading"/>
    <w:uiPriority w:val="99"/>
    <w:pPr>
      <w:spacing w:before="240"/>
    </w:pPr>
    <w:rPr>
      <w:b/>
      <w:bCs/>
    </w:rPr>
  </w:style>
  <w:style w:type="paragraph" w:customStyle="1" w:styleId="aParaNote">
    <w:name w:val="aParaNote"/>
    <w:basedOn w:val="BillBasic"/>
    <w:uiPriority w:val="99"/>
    <w:pPr>
      <w:ind w:left="2040" w:hanging="840"/>
    </w:pPr>
    <w:rPr>
      <w:sz w:val="20"/>
      <w:szCs w:val="20"/>
    </w:rPr>
  </w:style>
  <w:style w:type="paragraph" w:customStyle="1" w:styleId="aExamNum">
    <w:name w:val="aExamNum"/>
    <w:basedOn w:val="aExam"/>
    <w:uiPriority w:val="99"/>
    <w:pPr>
      <w:tabs>
        <w:tab w:val="left" w:pos="1100"/>
      </w:tabs>
      <w:ind w:left="1100" w:hanging="400"/>
    </w:pPr>
  </w:style>
  <w:style w:type="paragraph" w:customStyle="1" w:styleId="LongTitle">
    <w:name w:val="LongTitle"/>
    <w:basedOn w:val="BillBasic"/>
    <w:uiPriority w:val="99"/>
    <w:pPr>
      <w:spacing w:before="240"/>
    </w:pPr>
  </w:style>
  <w:style w:type="paragraph" w:customStyle="1" w:styleId="Minister">
    <w:name w:val="Minister"/>
    <w:basedOn w:val="BillBasic"/>
    <w:uiPriority w:val="99"/>
    <w:pPr>
      <w:spacing w:before="880"/>
      <w:jc w:val="right"/>
    </w:pPr>
    <w:rPr>
      <w:caps/>
    </w:rPr>
  </w:style>
  <w:style w:type="paragraph" w:customStyle="1" w:styleId="DateLine">
    <w:name w:val="DateLine"/>
    <w:basedOn w:val="BillBasic"/>
    <w:uiPriority w:val="99"/>
    <w:pPr>
      <w:tabs>
        <w:tab w:val="left" w:pos="4320"/>
      </w:tabs>
    </w:pPr>
  </w:style>
  <w:style w:type="paragraph" w:customStyle="1" w:styleId="madeunder">
    <w:name w:val="made under"/>
    <w:basedOn w:val="BillBasic"/>
    <w:uiPriority w:val="99"/>
    <w:pPr>
      <w:spacing w:before="180"/>
    </w:pPr>
  </w:style>
  <w:style w:type="paragraph" w:customStyle="1" w:styleId="EndNoteSubHeading">
    <w:name w:val="EndNoteSubHeading"/>
    <w:basedOn w:val="Normal"/>
    <w:next w:val="EndNoteText"/>
    <w:uiPriority w:val="99"/>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uiPriority w:val="99"/>
    <w:pPr>
      <w:tabs>
        <w:tab w:val="left" w:pos="700"/>
        <w:tab w:val="left" w:pos="3760"/>
        <w:tab w:val="left" w:pos="5760"/>
      </w:tabs>
      <w:ind w:left="700" w:hanging="700"/>
    </w:pPr>
    <w:rPr>
      <w:sz w:val="20"/>
      <w:szCs w:val="20"/>
    </w:rPr>
  </w:style>
  <w:style w:type="paragraph" w:customStyle="1" w:styleId="BillBasicItalics">
    <w:name w:val="BillBasicItalics"/>
    <w:basedOn w:val="BillBasic"/>
    <w:uiPriority w:val="99"/>
    <w:rPr>
      <w:i/>
      <w:iCs/>
    </w:rPr>
  </w:style>
  <w:style w:type="paragraph" w:customStyle="1" w:styleId="00SigningPage">
    <w:name w:val="00SigningPage"/>
    <w:basedOn w:val="Normal"/>
    <w:uiPriority w:val="99"/>
  </w:style>
  <w:style w:type="paragraph" w:customStyle="1" w:styleId="Aparareturn">
    <w:name w:val="A para return"/>
    <w:basedOn w:val="BillBasic"/>
    <w:uiPriority w:val="99"/>
    <w:pPr>
      <w:ind w:left="1200"/>
    </w:pPr>
  </w:style>
  <w:style w:type="paragraph" w:customStyle="1" w:styleId="Asubparareturn">
    <w:name w:val="A subpara return"/>
    <w:basedOn w:val="BillBasic"/>
    <w:uiPriority w:val="99"/>
    <w:pPr>
      <w:ind w:left="1740"/>
    </w:pPr>
  </w:style>
  <w:style w:type="paragraph" w:customStyle="1" w:styleId="CommentNum">
    <w:name w:val="CommentNum"/>
    <w:basedOn w:val="Comment"/>
    <w:uiPriority w:val="99"/>
    <w:pPr>
      <w:ind w:left="1400" w:hanging="1400"/>
    </w:pPr>
  </w:style>
  <w:style w:type="paragraph" w:styleId="TOC8">
    <w:name w:val="toc 8"/>
    <w:basedOn w:val="TOC3"/>
    <w:next w:val="Normal"/>
    <w:autoRedefine/>
    <w:uiPriority w:val="39"/>
    <w:pPr>
      <w:keepNext w:val="0"/>
    </w:pPr>
  </w:style>
  <w:style w:type="paragraph" w:customStyle="1" w:styleId="Judges">
    <w:name w:val="Judges"/>
    <w:basedOn w:val="Minister"/>
    <w:uiPriority w:val="99"/>
    <w:pPr>
      <w:spacing w:before="180" w:after="40"/>
    </w:pPr>
  </w:style>
  <w:style w:type="paragraph" w:customStyle="1" w:styleId="BillFor">
    <w:name w:val="BillFor"/>
    <w:basedOn w:val="BillBasicHeading"/>
    <w:uiPriority w:val="99"/>
    <w:pPr>
      <w:spacing w:before="320"/>
    </w:pPr>
    <w:rPr>
      <w:b/>
      <w:bCs/>
      <w:sz w:val="28"/>
      <w:szCs w:val="28"/>
    </w:rPr>
  </w:style>
  <w:style w:type="paragraph" w:customStyle="1" w:styleId="draft">
    <w:name w:val="draft"/>
    <w:basedOn w:val="Normal"/>
    <w:uiPriority w:val="99"/>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uiPriority w:val="99"/>
    <w:pPr>
      <w:spacing w:line="260" w:lineRule="atLeast"/>
      <w:jc w:val="center"/>
    </w:pPr>
  </w:style>
  <w:style w:type="paragraph" w:customStyle="1" w:styleId="Amainbullet">
    <w:name w:val="A main bullet"/>
    <w:basedOn w:val="BillBasic"/>
    <w:uiPriority w:val="99"/>
    <w:pPr>
      <w:spacing w:before="0" w:after="40"/>
      <w:ind w:left="1200" w:hanging="500"/>
    </w:pPr>
  </w:style>
  <w:style w:type="paragraph" w:customStyle="1" w:styleId="Aparabullet">
    <w:name w:val="A para bullet"/>
    <w:basedOn w:val="BillBasic"/>
    <w:uiPriority w:val="99"/>
    <w:pPr>
      <w:spacing w:before="0" w:after="40"/>
      <w:ind w:left="1740" w:hanging="540"/>
    </w:pPr>
  </w:style>
  <w:style w:type="paragraph" w:customStyle="1" w:styleId="Asubparabullet">
    <w:name w:val="A subpara bullet"/>
    <w:basedOn w:val="BillBasic"/>
    <w:uiPriority w:val="99"/>
    <w:pPr>
      <w:spacing w:before="0" w:after="40"/>
      <w:ind w:left="2260" w:hanging="52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Idefpara">
    <w:name w:val="I def para"/>
    <w:basedOn w:val="Ipara"/>
    <w:uiPriority w:val="99"/>
    <w:pPr>
      <w:outlineLvl w:val="9"/>
    </w:pPr>
  </w:style>
  <w:style w:type="paragraph" w:customStyle="1" w:styleId="Idefsubpara">
    <w:name w:val="I def subpara"/>
    <w:basedOn w:val="Isubpara"/>
    <w:uiPriority w:val="99"/>
    <w:pPr>
      <w:outlineLvl w:val="9"/>
    </w:pPr>
  </w:style>
  <w:style w:type="paragraph" w:customStyle="1" w:styleId="Notified">
    <w:name w:val="Notified"/>
    <w:basedOn w:val="BillBasic"/>
    <w:uiPriority w:val="99"/>
    <w:pPr>
      <w:spacing w:before="360"/>
      <w:jc w:val="right"/>
    </w:pPr>
    <w:rPr>
      <w:i/>
      <w:iCs/>
    </w:rPr>
  </w:style>
  <w:style w:type="paragraph" w:customStyle="1" w:styleId="03ScheduleLandscape">
    <w:name w:val="03ScheduleLandscape"/>
    <w:basedOn w:val="Normal"/>
    <w:uiPriority w:val="99"/>
  </w:style>
  <w:style w:type="paragraph" w:customStyle="1" w:styleId="IDict-Heading">
    <w:name w:val="I Dict-Heading"/>
    <w:basedOn w:val="BillBasicHeading"/>
    <w:uiPriority w:val="99"/>
    <w:pPr>
      <w:keepNext/>
      <w:spacing w:before="320"/>
      <w:ind w:left="2600" w:hanging="2600"/>
    </w:pPr>
    <w:rPr>
      <w:b/>
      <w:bCs/>
      <w:sz w:val="34"/>
      <w:szCs w:val="34"/>
    </w:rPr>
  </w:style>
  <w:style w:type="paragraph" w:customStyle="1" w:styleId="02TextLandscape">
    <w:name w:val="02TextLandscape"/>
    <w:basedOn w:val="Normal"/>
    <w:uiPriority w:val="99"/>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imes New Roman" w:hAnsi="Times New Roman" w:cs="Times New Roman"/>
      <w:sz w:val="24"/>
      <w:szCs w:val="24"/>
      <w:lang w:eastAsia="en-US"/>
    </w:rPr>
  </w:style>
  <w:style w:type="paragraph" w:customStyle="1" w:styleId="aNoteBullet">
    <w:name w:val="aNoteBullet"/>
    <w:basedOn w:val="aNote"/>
    <w:uiPriority w:val="99"/>
    <w:pPr>
      <w:tabs>
        <w:tab w:val="left" w:pos="1800"/>
      </w:tabs>
      <w:spacing w:before="0" w:after="40"/>
      <w:ind w:left="1800" w:hanging="300"/>
    </w:pPr>
  </w:style>
  <w:style w:type="paragraph" w:customStyle="1" w:styleId="aParaNoteBullet">
    <w:name w:val="aParaNoteBullet"/>
    <w:basedOn w:val="aParaNote"/>
    <w:uiPriority w:val="99"/>
    <w:pPr>
      <w:tabs>
        <w:tab w:val="left" w:pos="2300"/>
      </w:tabs>
      <w:spacing w:before="0" w:after="40"/>
      <w:ind w:left="2300" w:hanging="300"/>
    </w:pPr>
  </w:style>
  <w:style w:type="paragraph" w:customStyle="1" w:styleId="MinisterWord">
    <w:name w:val="MinisterWord"/>
    <w:basedOn w:val="Normal"/>
    <w:uiPriority w:val="99"/>
    <w:pPr>
      <w:jc w:val="right"/>
    </w:pPr>
  </w:style>
  <w:style w:type="paragraph" w:customStyle="1" w:styleId="aExamPara">
    <w:name w:val="aExamPara"/>
    <w:basedOn w:val="aExam"/>
    <w:uiPriority w:val="99"/>
    <w:pPr>
      <w:tabs>
        <w:tab w:val="right" w:pos="1320"/>
        <w:tab w:val="left" w:pos="1600"/>
      </w:tabs>
      <w:ind w:left="1600" w:hanging="900"/>
    </w:pPr>
  </w:style>
  <w:style w:type="paragraph" w:customStyle="1" w:styleId="aExamNumText">
    <w:name w:val="aExamNumText"/>
    <w:basedOn w:val="aExam"/>
    <w:uiPriority w:val="99"/>
    <w:pPr>
      <w:ind w:left="1100"/>
    </w:pPr>
  </w:style>
  <w:style w:type="paragraph" w:customStyle="1" w:styleId="aExamBullet">
    <w:name w:val="aExamBullet"/>
    <w:basedOn w:val="aExam"/>
    <w:uiPriority w:val="99"/>
    <w:pPr>
      <w:tabs>
        <w:tab w:val="left" w:pos="1100"/>
      </w:tabs>
      <w:spacing w:after="40"/>
      <w:ind w:left="1100" w:hanging="400"/>
    </w:pPr>
  </w:style>
  <w:style w:type="paragraph" w:customStyle="1" w:styleId="aNotePara">
    <w:name w:val="aNotePara"/>
    <w:basedOn w:val="aNote"/>
    <w:uiPriority w:val="99"/>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uiPriority w:val="99"/>
    <w:pPr>
      <w:keepNext/>
    </w:pPr>
    <w:rPr>
      <w:b/>
      <w:bCs/>
      <w:sz w:val="18"/>
      <w:szCs w:val="18"/>
    </w:rPr>
  </w:style>
  <w:style w:type="paragraph" w:customStyle="1" w:styleId="aExplanText">
    <w:name w:val="aExplanText"/>
    <w:basedOn w:val="BillBasic"/>
    <w:uiPriority w:val="99"/>
    <w:rPr>
      <w:sz w:val="20"/>
      <w:szCs w:val="20"/>
    </w:rPr>
  </w:style>
  <w:style w:type="paragraph" w:customStyle="1" w:styleId="aParaNotePara">
    <w:name w:val="aParaNotePara"/>
    <w:basedOn w:val="aNotePara"/>
    <w:uiPriority w:val="99"/>
    <w:pPr>
      <w:tabs>
        <w:tab w:val="clear" w:pos="1740"/>
        <w:tab w:val="clear" w:pos="2000"/>
        <w:tab w:val="right" w:pos="2244"/>
      </w:tabs>
      <w:ind w:left="2520" w:hanging="1320"/>
    </w:pPr>
  </w:style>
  <w:style w:type="character" w:customStyle="1" w:styleId="charBold">
    <w:name w:val="charBold"/>
    <w:basedOn w:val="DefaultParagraphFont"/>
    <w:uiPriority w:val="99"/>
    <w:rPr>
      <w:b/>
      <w:bCs/>
    </w:rPr>
  </w:style>
  <w:style w:type="character" w:customStyle="1" w:styleId="charBoldItals">
    <w:name w:val="charBoldItals"/>
    <w:basedOn w:val="DefaultParagraphFont"/>
    <w:uiPriority w:val="99"/>
    <w:rPr>
      <w:b/>
      <w:bCs/>
      <w:i/>
      <w:iCs/>
    </w:rPr>
  </w:style>
  <w:style w:type="character" w:customStyle="1" w:styleId="charItals">
    <w:name w:val="charItals"/>
    <w:basedOn w:val="DefaultParagraphFont"/>
    <w:uiPriority w:val="99"/>
    <w:rPr>
      <w:i/>
      <w:iCs/>
    </w:rPr>
  </w:style>
  <w:style w:type="character" w:customStyle="1" w:styleId="charUnderline">
    <w:name w:val="charUnderline"/>
    <w:basedOn w:val="DefaultParagraphFont"/>
    <w:uiPriority w:val="99"/>
    <w:rPr>
      <w:u w:val="single"/>
    </w:rPr>
  </w:style>
  <w:style w:type="paragraph" w:customStyle="1" w:styleId="TableHd">
    <w:name w:val="TableHd"/>
    <w:basedOn w:val="Normal"/>
    <w:uiPriority w:val="99"/>
    <w:pPr>
      <w:keepNext/>
      <w:spacing w:before="240" w:after="120"/>
      <w:ind w:left="1200" w:hanging="1200"/>
    </w:pPr>
    <w:rPr>
      <w:rFonts w:ascii="Arial" w:hAnsi="Arial" w:cs="Arial"/>
      <w:b/>
      <w:bCs/>
      <w:sz w:val="20"/>
      <w:szCs w:val="20"/>
    </w:rPr>
  </w:style>
  <w:style w:type="paragraph" w:customStyle="1" w:styleId="TableColHd">
    <w:name w:val="TableColHd"/>
    <w:basedOn w:val="Normal"/>
    <w:uiPriority w:val="99"/>
    <w:pPr>
      <w:keepNext/>
      <w:spacing w:after="60"/>
    </w:pPr>
    <w:rPr>
      <w:rFonts w:ascii="Arial" w:hAnsi="Arial" w:cs="Arial"/>
      <w:b/>
      <w:bCs/>
      <w:sz w:val="18"/>
      <w:szCs w:val="18"/>
    </w:rPr>
  </w:style>
  <w:style w:type="paragraph" w:customStyle="1" w:styleId="PenaltyPara">
    <w:name w:val="PenaltyPara"/>
    <w:basedOn w:val="Normal"/>
    <w:uiPriority w:val="99"/>
    <w:pPr>
      <w:tabs>
        <w:tab w:val="right" w:pos="960"/>
      </w:tabs>
      <w:spacing w:after="40"/>
      <w:ind w:left="1200" w:hanging="1200"/>
      <w:jc w:val="both"/>
    </w:pPr>
  </w:style>
  <w:style w:type="paragraph" w:customStyle="1" w:styleId="tablepara">
    <w:name w:val="table para"/>
    <w:basedOn w:val="Normal"/>
    <w:uiPriority w:val="99"/>
    <w:pPr>
      <w:tabs>
        <w:tab w:val="right" w:pos="400"/>
        <w:tab w:val="left" w:pos="700"/>
      </w:tabs>
      <w:spacing w:before="80" w:after="60"/>
      <w:ind w:left="700" w:hanging="700"/>
    </w:pPr>
  </w:style>
  <w:style w:type="paragraph" w:customStyle="1" w:styleId="tablesubpara">
    <w:name w:val="table subpara"/>
    <w:basedOn w:val="Normal"/>
    <w:uiPriority w:val="99"/>
    <w:pPr>
      <w:tabs>
        <w:tab w:val="right" w:pos="1100"/>
        <w:tab w:val="left" w:pos="1400"/>
      </w:tabs>
      <w:spacing w:before="80" w:after="60"/>
      <w:ind w:left="1400" w:hanging="1400"/>
    </w:pPr>
  </w:style>
  <w:style w:type="paragraph" w:customStyle="1" w:styleId="TableText">
    <w:name w:val="TableText"/>
    <w:basedOn w:val="Normal"/>
    <w:uiPriority w:val="99"/>
    <w:pPr>
      <w:spacing w:before="60" w:after="60"/>
    </w:pPr>
  </w:style>
  <w:style w:type="paragraph" w:customStyle="1" w:styleId="IshadedH5Sec">
    <w:name w:val="I shaded H5 Sec"/>
    <w:basedOn w:val="AH5Sec"/>
    <w:uiPriority w:val="99"/>
    <w:pPr>
      <w:shd w:val="pct15" w:color="auto" w:fill="auto"/>
      <w:outlineLvl w:val="9"/>
    </w:pPr>
  </w:style>
  <w:style w:type="paragraph" w:customStyle="1" w:styleId="IshadedSchClause">
    <w:name w:val="I shaded Sch Clause"/>
    <w:basedOn w:val="ShadedSchClause"/>
    <w:uiPriority w:val="99"/>
    <w:pPr>
      <w:outlineLvl w:val="9"/>
    </w:pPr>
  </w:style>
  <w:style w:type="paragraph" w:customStyle="1" w:styleId="Letterhead">
    <w:name w:val="Letterhead"/>
    <w:uiPriority w:val="99"/>
    <w:pPr>
      <w:widowControl w:val="0"/>
      <w:spacing w:after="180" w:line="240" w:lineRule="auto"/>
      <w:jc w:val="right"/>
    </w:pPr>
    <w:rPr>
      <w:rFonts w:ascii="Arial" w:hAnsi="Arial" w:cs="Arial"/>
      <w:sz w:val="32"/>
      <w:szCs w:val="32"/>
      <w:lang w:eastAsia="en-US"/>
    </w:rPr>
  </w:style>
  <w:style w:type="character" w:styleId="PageNumber">
    <w:name w:val="page number"/>
    <w:basedOn w:val="DefaultParagraphFont"/>
    <w:uiPriority w:val="99"/>
  </w:style>
  <w:style w:type="paragraph" w:customStyle="1" w:styleId="AH5SecSymb">
    <w:name w:val="A H5 Sec Symb"/>
    <w:basedOn w:val="AH5Sec"/>
    <w:uiPriority w:val="99"/>
    <w:pPr>
      <w:tabs>
        <w:tab w:val="left" w:pos="0"/>
      </w:tabs>
      <w:ind w:hanging="1180"/>
    </w:pPr>
  </w:style>
  <w:style w:type="paragraph" w:customStyle="1" w:styleId="ModH5Sec">
    <w:name w:val="Mod H5 Sec"/>
    <w:basedOn w:val="IH5Sec"/>
    <w:uiPriority w:val="99"/>
    <w:pPr>
      <w:tabs>
        <w:tab w:val="clear" w:pos="700"/>
        <w:tab w:val="left" w:pos="1400"/>
      </w:tabs>
      <w:ind w:left="1400"/>
    </w:pPr>
  </w:style>
  <w:style w:type="paragraph" w:customStyle="1" w:styleId="Actbullet">
    <w:name w:val="Act bullet"/>
    <w:basedOn w:val="Normal"/>
    <w:uiPriority w:val="99"/>
    <w:pPr>
      <w:numPr>
        <w:numId w:val="11"/>
      </w:numPr>
      <w:tabs>
        <w:tab w:val="left" w:pos="900"/>
        <w:tab w:val="num" w:pos="960"/>
        <w:tab w:val="num" w:pos="2600"/>
      </w:tabs>
      <w:spacing w:before="20"/>
      <w:ind w:left="900" w:right="-60"/>
    </w:pPr>
    <w:rPr>
      <w:rFonts w:ascii="Arial" w:hAnsi="Arial" w:cs="Arial"/>
      <w:sz w:val="18"/>
      <w:szCs w:val="18"/>
      <w:lang w:val="en-US"/>
    </w:rPr>
  </w:style>
  <w:style w:type="paragraph" w:customStyle="1" w:styleId="DefinitionList">
    <w:name w:val="Definition List"/>
    <w:basedOn w:val="Normal"/>
    <w:next w:val="Normal"/>
    <w:uiPriority w:val="99"/>
    <w:pPr>
      <w:ind w:left="360"/>
    </w:pPr>
  </w:style>
  <w:style w:type="paragraph" w:customStyle="1" w:styleId="allsections">
    <w:name w:val="all sections"/>
    <w:uiPriority w:val="99"/>
    <w:pPr>
      <w:spacing w:before="80" w:after="80" w:line="240" w:lineRule="auto"/>
      <w:ind w:firstLine="400"/>
      <w:jc w:val="both"/>
    </w:pPr>
    <w:rPr>
      <w:rFonts w:ascii="Times" w:hAnsi="Times" w:cs="Times"/>
      <w:sz w:val="24"/>
      <w:szCs w:val="24"/>
      <w:lang w:val="en-US" w:eastAsia="en-US"/>
    </w:rPr>
  </w:style>
  <w:style w:type="paragraph" w:customStyle="1" w:styleId="aindent">
    <w:name w:val="a indent"/>
    <w:basedOn w:val="Normal"/>
    <w:uiPriority w:val="99"/>
    <w:pPr>
      <w:tabs>
        <w:tab w:val="right" w:pos="700"/>
      </w:tabs>
      <w:spacing w:before="80" w:after="60"/>
      <w:ind w:left="900" w:hanging="900"/>
      <w:jc w:val="both"/>
    </w:pPr>
    <w:rPr>
      <w:rFonts w:ascii="Times" w:hAnsi="Times" w:cs="Times"/>
    </w:rPr>
  </w:style>
  <w:style w:type="paragraph" w:styleId="ListBullet">
    <w:name w:val="List Bullet"/>
    <w:basedOn w:val="Normal"/>
    <w:autoRedefine/>
    <w:uiPriority w:val="99"/>
    <w:pPr>
      <w:numPr>
        <w:numId w:val="2"/>
      </w:numPr>
      <w:tabs>
        <w:tab w:val="clear" w:pos="360"/>
        <w:tab w:val="num" w:pos="2300"/>
      </w:tabs>
    </w:pPr>
  </w:style>
  <w:style w:type="paragraph" w:styleId="ListBullet2">
    <w:name w:val="List Bullet 2"/>
    <w:basedOn w:val="Normal"/>
    <w:autoRedefine/>
    <w:uiPriority w:val="99"/>
    <w:pPr>
      <w:tabs>
        <w:tab w:val="num" w:pos="643"/>
        <w:tab w:val="num" w:pos="2300"/>
      </w:tabs>
      <w:ind w:left="643" w:hanging="360"/>
    </w:pPr>
  </w:style>
  <w:style w:type="paragraph" w:styleId="ListBullet3">
    <w:name w:val="List Bullet 3"/>
    <w:basedOn w:val="Normal"/>
    <w:autoRedefine/>
    <w:uiPriority w:val="99"/>
    <w:pPr>
      <w:tabs>
        <w:tab w:val="num" w:pos="926"/>
        <w:tab w:val="num" w:pos="1800"/>
      </w:tabs>
      <w:ind w:left="926" w:hanging="360"/>
    </w:pPr>
  </w:style>
  <w:style w:type="paragraph" w:styleId="ListBullet5">
    <w:name w:val="List Bullet 5"/>
    <w:basedOn w:val="Normal"/>
    <w:autoRedefine/>
    <w:uiPriority w:val="99"/>
    <w:pPr>
      <w:tabs>
        <w:tab w:val="num" w:pos="1492"/>
        <w:tab w:val="num" w:pos="2300"/>
      </w:tabs>
      <w:ind w:left="1492" w:hanging="360"/>
    </w:pPr>
  </w:style>
  <w:style w:type="paragraph" w:styleId="ListNumber">
    <w:name w:val="List Number"/>
    <w:basedOn w:val="Normal"/>
    <w:uiPriority w:val="99"/>
    <w:pPr>
      <w:tabs>
        <w:tab w:val="num" w:pos="2600"/>
      </w:tabs>
      <w:ind w:left="360" w:hanging="360"/>
    </w:pPr>
  </w:style>
  <w:style w:type="paragraph" w:styleId="ListNumber2">
    <w:name w:val="List Number 2"/>
    <w:basedOn w:val="Normal"/>
    <w:uiPriority w:val="99"/>
    <w:pPr>
      <w:tabs>
        <w:tab w:val="num" w:pos="643"/>
        <w:tab w:val="num" w:pos="2600"/>
      </w:tabs>
      <w:ind w:left="643" w:hanging="360"/>
    </w:pPr>
  </w:style>
  <w:style w:type="paragraph" w:styleId="ListNumber3">
    <w:name w:val="List Number 3"/>
    <w:basedOn w:val="Normal"/>
    <w:uiPriority w:val="99"/>
    <w:pPr>
      <w:tabs>
        <w:tab w:val="num" w:pos="926"/>
        <w:tab w:val="num" w:pos="2600"/>
      </w:tabs>
      <w:ind w:left="926" w:hanging="360"/>
    </w:pPr>
  </w:style>
  <w:style w:type="paragraph" w:styleId="ListNumber4">
    <w:name w:val="List Number 4"/>
    <w:basedOn w:val="Normal"/>
    <w:uiPriority w:val="99"/>
    <w:pPr>
      <w:numPr>
        <w:numId w:val="9"/>
      </w:numPr>
      <w:tabs>
        <w:tab w:val="num" w:pos="1209"/>
      </w:tabs>
      <w:ind w:left="1209" w:hanging="360"/>
    </w:pPr>
  </w:style>
  <w:style w:type="paragraph" w:styleId="ListNumber5">
    <w:name w:val="List Number 5"/>
    <w:basedOn w:val="Normal"/>
    <w:uiPriority w:val="99"/>
    <w:pPr>
      <w:tabs>
        <w:tab w:val="num" w:pos="1300"/>
        <w:tab w:val="num" w:pos="1492"/>
      </w:tabs>
      <w:ind w:left="1492" w:hanging="360"/>
    </w:pPr>
  </w:style>
  <w:style w:type="paragraph" w:styleId="TOC9">
    <w:name w:val="toc 9"/>
    <w:basedOn w:val="Normal"/>
    <w:next w:val="Normal"/>
    <w:autoRedefine/>
    <w:uiPriority w:val="39"/>
    <w:pPr>
      <w:ind w:left="1920" w:right="600"/>
    </w:pPr>
  </w:style>
  <w:style w:type="paragraph" w:customStyle="1" w:styleId="1Indent">
    <w:name w:val="1 Indent"/>
    <w:basedOn w:val="Normal"/>
    <w:uiPriority w:val="99"/>
    <w:pPr>
      <w:spacing w:before="120"/>
      <w:ind w:left="567" w:right="-20"/>
      <w:jc w:val="both"/>
    </w:pPr>
    <w:rPr>
      <w:rFonts w:ascii="Times" w:hAnsi="Times" w:cs="Times"/>
    </w:rPr>
  </w:style>
  <w:style w:type="paragraph" w:customStyle="1" w:styleId="Billcrest0">
    <w:name w:val="Billcrest"/>
    <w:basedOn w:val="Normal"/>
    <w:uiPriority w:val="99"/>
    <w:pPr>
      <w:tabs>
        <w:tab w:val="left" w:pos="2880"/>
      </w:tabs>
      <w:spacing w:after="60"/>
      <w:ind w:left="2800"/>
    </w:pPr>
    <w:rPr>
      <w:rFonts w:ascii="ACTCrest" w:hAnsi="ACTCrest" w:cs="ACTCrest"/>
      <w:sz w:val="216"/>
      <w:szCs w:val="216"/>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left" w:pos="0"/>
      </w:tabs>
      <w:ind w:left="2480" w:hanging="2960"/>
    </w:p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RepubNo">
    <w:name w:val="RepubNo"/>
    <w:basedOn w:val="BillBasicHeading"/>
    <w:uiPriority w:val="99"/>
    <w:pPr>
      <w:spacing w:before="600"/>
    </w:pPr>
    <w:rPr>
      <w:b/>
      <w:bCs/>
      <w:sz w:val="26"/>
      <w:szCs w:val="26"/>
    </w:rPr>
  </w:style>
  <w:style w:type="paragraph" w:customStyle="1" w:styleId="NewAct">
    <w:name w:val="New Act"/>
    <w:basedOn w:val="Normal"/>
    <w:next w:val="Actdetails"/>
    <w:uiPriority w:val="99"/>
    <w:pPr>
      <w:keepNext/>
      <w:spacing w:before="180"/>
      <w:ind w:left="700"/>
    </w:pPr>
    <w:rPr>
      <w:rFonts w:ascii="Arial" w:hAnsi="Arial" w:cs="Arial"/>
      <w:b/>
      <w:bCs/>
      <w:sz w:val="20"/>
      <w:szCs w:val="20"/>
    </w:rPr>
  </w:style>
  <w:style w:type="paragraph" w:customStyle="1" w:styleId="Actdetails">
    <w:name w:val="Act details"/>
    <w:basedOn w:val="Normal"/>
    <w:uiPriority w:val="99"/>
    <w:pPr>
      <w:spacing w:before="20"/>
      <w:ind w:left="1000" w:right="-60"/>
    </w:pPr>
    <w:rPr>
      <w:rFonts w:ascii="Arial" w:hAnsi="Arial" w:cs="Arial"/>
      <w:sz w:val="20"/>
      <w:szCs w:val="20"/>
    </w:rPr>
  </w:style>
  <w:style w:type="paragraph" w:customStyle="1" w:styleId="CoverInForce">
    <w:name w:val="CoverInForce"/>
    <w:basedOn w:val="BillBasicHeading"/>
    <w:uiPriority w:val="99"/>
    <w:pPr>
      <w:spacing w:before="200"/>
      <w:jc w:val="left"/>
    </w:p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paragraph" w:customStyle="1" w:styleId="CoverActName">
    <w:name w:val="CoverActName"/>
    <w:basedOn w:val="BillBasicHeading"/>
    <w:uiPriority w:val="99"/>
    <w:pPr>
      <w:spacing w:before="200"/>
    </w:pPr>
    <w:rPr>
      <w:b/>
      <w:bCs/>
    </w:r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SchSubClause">
    <w:name w:val="Sch SubClause"/>
    <w:basedOn w:val="Schclauseheading"/>
    <w:uiPriority w:val="99"/>
    <w:rPr>
      <w:b w:val="0"/>
      <w:bCs w:val="0"/>
    </w:rPr>
  </w:style>
  <w:style w:type="paragraph" w:customStyle="1" w:styleId="Asamby">
    <w:name w:val="As am by"/>
    <w:basedOn w:val="Normal"/>
    <w:next w:val="NewAct"/>
    <w:uiPriority w:val="99"/>
    <w:pPr>
      <w:spacing w:before="240"/>
      <w:ind w:left="700"/>
    </w:pPr>
    <w:rPr>
      <w:rFonts w:ascii="Arial" w:hAnsi="Arial" w:cs="Arial"/>
      <w:sz w:val="20"/>
      <w:szCs w:val="20"/>
    </w:rPr>
  </w:style>
  <w:style w:type="paragraph" w:customStyle="1" w:styleId="AmdtsEntries">
    <w:name w:val="AmdtsEntries"/>
    <w:basedOn w:val="BillBasicHeading"/>
    <w:uiPriority w:val="99"/>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paragraph" w:customStyle="1" w:styleId="AmdtsEntryHd">
    <w:name w:val="AmdtsEntryHd"/>
    <w:basedOn w:val="BillBasicHeading"/>
    <w:next w:val="AmdtsEntries"/>
    <w:uiPriority w:val="99"/>
    <w:pPr>
      <w:keepNext/>
      <w:spacing w:before="120" w:after="0"/>
      <w:ind w:left="700"/>
    </w:pPr>
    <w:rPr>
      <w:b/>
      <w:bCs/>
      <w:sz w:val="18"/>
      <w:szCs w:val="18"/>
    </w:rPr>
  </w:style>
  <w:style w:type="paragraph" w:customStyle="1" w:styleId="EndNoteParas">
    <w:name w:val="EndNoteParas"/>
    <w:basedOn w:val="EndNoteTextEPS"/>
    <w:uiPriority w:val="99"/>
    <w:pPr>
      <w:tabs>
        <w:tab w:val="right" w:pos="1032"/>
      </w:tabs>
      <w:spacing w:after="0"/>
      <w:ind w:left="1440" w:hanging="1440"/>
    </w:pPr>
  </w:style>
  <w:style w:type="paragraph" w:customStyle="1" w:styleId="EndNoteTextEPS">
    <w:name w:val="EndNoteTextEPS"/>
    <w:basedOn w:val="Normal"/>
    <w:uiPriority w:val="99"/>
    <w:pPr>
      <w:spacing w:after="40"/>
      <w:ind w:left="700"/>
      <w:jc w:val="both"/>
    </w:pPr>
    <w:rPr>
      <w:sz w:val="20"/>
      <w:szCs w:val="20"/>
    </w:rPr>
  </w:style>
  <w:style w:type="paragraph" w:customStyle="1" w:styleId="NewReg">
    <w:name w:val="New Reg"/>
    <w:basedOn w:val="NewAct"/>
    <w:next w:val="Actdetails"/>
    <w:uiPriority w:val="99"/>
  </w:style>
  <w:style w:type="paragraph" w:customStyle="1" w:styleId="Endnote3">
    <w:name w:val="Endnote3"/>
    <w:basedOn w:val="Normal"/>
    <w:uiPriority w:val="99"/>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uiPriority w:val="99"/>
  </w:style>
  <w:style w:type="character" w:customStyle="1" w:styleId="charTableText">
    <w:name w:val="charTableText"/>
    <w:basedOn w:val="DefaultParagraphFont"/>
    <w:uiPriority w:val="99"/>
  </w:style>
  <w:style w:type="paragraph" w:customStyle="1" w:styleId="TLegEntries">
    <w:name w:val="TLegEntries"/>
    <w:basedOn w:val="Normal"/>
    <w:uiPriority w:val="99"/>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700"/>
      </w:tabs>
      <w:spacing w:after="0"/>
      <w:ind w:left="2700" w:hanging="2000"/>
      <w:jc w:val="left"/>
    </w:pPr>
    <w:rPr>
      <w:sz w:val="18"/>
      <w:szCs w:val="18"/>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OldAmdt2ndLine">
    <w:name w:val="OldAmdt2ndLine"/>
    <w:basedOn w:val="OldAmdtsEntries"/>
    <w:uiPriority w:val="99"/>
    <w:pPr>
      <w:tabs>
        <w:tab w:val="left" w:pos="2700"/>
      </w:tabs>
      <w:spacing w:before="0"/>
    </w:pPr>
  </w:style>
  <w:style w:type="paragraph" w:customStyle="1" w:styleId="EarlierRepubEntries">
    <w:name w:val="EarlierRepubEntries"/>
    <w:basedOn w:val="Normal"/>
    <w:uiPriority w:val="99"/>
    <w:pPr>
      <w:spacing w:before="60"/>
    </w:pPr>
    <w:rPr>
      <w:rFonts w:ascii="Arial" w:hAnsi="Arial" w:cs="Arial"/>
      <w:sz w:val="18"/>
      <w:szCs w:val="18"/>
    </w:rPr>
  </w:style>
  <w:style w:type="paragraph" w:customStyle="1" w:styleId="RenumProvEntries">
    <w:name w:val="RenumProvEntries"/>
    <w:basedOn w:val="Normal"/>
    <w:uiPriority w:val="99"/>
    <w:pPr>
      <w:spacing w:before="60"/>
    </w:pPr>
    <w:rPr>
      <w:rFonts w:ascii="Arial" w:hAnsi="Arial" w:cs="Arial"/>
      <w:sz w:val="20"/>
      <w:szCs w:val="20"/>
    </w:rPr>
  </w:style>
  <w:style w:type="paragraph" w:customStyle="1" w:styleId="CoverSubHdg">
    <w:name w:val="CoverSubHdg"/>
    <w:basedOn w:val="CoverHeading"/>
    <w:uiPriority w:val="99"/>
    <w:pPr>
      <w:spacing w:before="60"/>
    </w:pPr>
    <w:rPr>
      <w:sz w:val="20"/>
      <w:szCs w:val="20"/>
    </w:rPr>
  </w:style>
  <w:style w:type="paragraph" w:customStyle="1" w:styleId="CoverTextPara">
    <w:name w:val="CoverTextPara"/>
    <w:basedOn w:val="CoverText"/>
    <w:uiPriority w:val="99"/>
    <w:rPr>
      <w:color w:val="000000"/>
    </w:rPr>
  </w:style>
  <w:style w:type="character" w:customStyle="1" w:styleId="charSymb">
    <w:name w:val="charSymb"/>
    <w:basedOn w:val="DefaultParagraphFont"/>
    <w:uiPriority w:val="99"/>
    <w:rPr>
      <w:rFonts w:ascii="Arial" w:hAnsi="Arial" w:cs="Arial"/>
      <w:sz w:val="24"/>
      <w:szCs w:val="24"/>
      <w:bdr w:val="single" w:sz="4" w:space="0" w:color="auto"/>
    </w:rPr>
  </w:style>
  <w:style w:type="paragraph" w:customStyle="1" w:styleId="AH3DivSymb">
    <w:name w:val="A H3 Div Symb"/>
    <w:basedOn w:val="AH3Div"/>
    <w:uiPriority w:val="99"/>
    <w:pPr>
      <w:tabs>
        <w:tab w:val="left" w:pos="0"/>
      </w:tabs>
      <w:ind w:left="2480" w:hanging="2960"/>
    </w:pPr>
  </w:style>
  <w:style w:type="paragraph" w:customStyle="1" w:styleId="AH4SubDivSymb">
    <w:name w:val="A H4 SubDiv Symb"/>
    <w:basedOn w:val="AH4SubDiv"/>
    <w:uiPriority w:val="99"/>
    <w:pPr>
      <w:tabs>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580" w:hanging="1060"/>
    </w:pPr>
  </w:style>
  <w:style w:type="paragraph" w:customStyle="1" w:styleId="TLegAsAmBy">
    <w:name w:val="TLegAsAmBy"/>
    <w:basedOn w:val="TLegEntries"/>
    <w:uiPriority w:val="99"/>
    <w:pPr>
      <w:ind w:firstLine="0"/>
    </w:pPr>
    <w:rPr>
      <w:b/>
      <w:bCs/>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sEntries"/>
    <w:uiPriority w:val="99"/>
    <w:pPr>
      <w:tabs>
        <w:tab w:val="clear" w:pos="2200"/>
        <w:tab w:val="left" w:pos="2600"/>
      </w:tabs>
      <w:ind w:left="2800" w:hanging="2100"/>
    </w:pPr>
  </w:style>
  <w:style w:type="paragraph" w:customStyle="1" w:styleId="06Copyright">
    <w:name w:val="06Copyright"/>
    <w:basedOn w:val="Normal"/>
    <w:uiPriority w:val="99"/>
  </w:style>
  <w:style w:type="paragraph" w:customStyle="1" w:styleId="AFHdg">
    <w:name w:val="AFHdg"/>
    <w:basedOn w:val="BillBasicHeading"/>
    <w:uiPriority w:val="99"/>
    <w:rPr>
      <w:b/>
      <w:bCs/>
      <w:sz w:val="32"/>
      <w:szCs w:val="32"/>
    </w:rPr>
  </w:style>
  <w:style w:type="paragraph" w:customStyle="1" w:styleId="LegHistNote">
    <w:name w:val="LegHistNote"/>
    <w:basedOn w:val="Actdetails"/>
    <w:uiPriority w:val="99"/>
    <w:pPr>
      <w:spacing w:before="60"/>
      <w:ind w:left="2300" w:hanging="1300"/>
    </w:pPr>
    <w:rPr>
      <w:sz w:val="18"/>
      <w:szCs w:val="18"/>
    </w:rPr>
  </w:style>
  <w:style w:type="paragraph" w:customStyle="1" w:styleId="MH1Chapter">
    <w:name w:val="M H1 Chapter"/>
    <w:basedOn w:val="AH1Chapter"/>
    <w:uiPriority w:val="99"/>
    <w:pPr>
      <w:tabs>
        <w:tab w:val="clear" w:pos="2600"/>
        <w:tab w:val="left" w:pos="2720"/>
      </w:tabs>
      <w:ind w:left="4000" w:hanging="3300"/>
    </w:pPr>
  </w:style>
  <w:style w:type="paragraph" w:customStyle="1" w:styleId="ModH1Chapter">
    <w:name w:val="Mod H1 Chapter"/>
    <w:basedOn w:val="IH1Chap"/>
    <w:uiPriority w:val="99"/>
    <w:pPr>
      <w:tabs>
        <w:tab w:val="clear" w:pos="2600"/>
        <w:tab w:val="left" w:pos="3300"/>
      </w:tabs>
      <w:ind w:left="3300"/>
    </w:pPr>
  </w:style>
  <w:style w:type="paragraph" w:customStyle="1" w:styleId="ModH2Part">
    <w:name w:val="Mod H2 Part"/>
    <w:basedOn w:val="IH2Part"/>
    <w:uiPriority w:val="99"/>
    <w:pPr>
      <w:tabs>
        <w:tab w:val="clear" w:pos="2600"/>
        <w:tab w:val="left" w:pos="3300"/>
      </w:tabs>
      <w:ind w:left="3300"/>
    </w:pPr>
  </w:style>
  <w:style w:type="paragraph" w:customStyle="1" w:styleId="ModH3Div">
    <w:name w:val="Mod H3 Div"/>
    <w:basedOn w:val="IH3Div"/>
    <w:uiPriority w:val="99"/>
    <w:pPr>
      <w:tabs>
        <w:tab w:val="clear" w:pos="2600"/>
        <w:tab w:val="left" w:pos="3300"/>
      </w:tabs>
      <w:ind w:left="3300"/>
    </w:pPr>
  </w:style>
  <w:style w:type="paragraph" w:customStyle="1" w:styleId="ModH4SubDiv">
    <w:name w:val="Mod H4 SubDiv"/>
    <w:basedOn w:val="IH4SubDiv"/>
    <w:uiPriority w:val="99"/>
    <w:pPr>
      <w:tabs>
        <w:tab w:val="clear" w:pos="2600"/>
        <w:tab w:val="left" w:pos="3300"/>
      </w:tabs>
      <w:ind w:left="3300"/>
    </w:pPr>
  </w:style>
  <w:style w:type="paragraph" w:customStyle="1" w:styleId="Modmain">
    <w:name w:val="Mod main"/>
    <w:basedOn w:val="Amain"/>
    <w:uiPriority w:val="99"/>
    <w:pPr>
      <w:tabs>
        <w:tab w:val="clear" w:pos="500"/>
        <w:tab w:val="clear" w:pos="700"/>
        <w:tab w:val="right" w:pos="1200"/>
        <w:tab w:val="left" w:pos="1400"/>
      </w:tabs>
      <w:ind w:left="1400"/>
    </w:pPr>
  </w:style>
  <w:style w:type="paragraph" w:customStyle="1" w:styleId="Modpara">
    <w:name w:val="Mod para"/>
    <w:basedOn w:val="BillBasic"/>
    <w:uiPriority w:val="99"/>
    <w:pPr>
      <w:tabs>
        <w:tab w:val="right" w:pos="1700"/>
        <w:tab w:val="left" w:pos="1900"/>
      </w:tabs>
      <w:ind w:left="1900" w:hanging="1200"/>
      <w:outlineLvl w:val="6"/>
    </w:pPr>
  </w:style>
  <w:style w:type="paragraph" w:customStyle="1" w:styleId="Modsubpara">
    <w:name w:val="Mod subpara"/>
    <w:basedOn w:val="Asubpara"/>
    <w:uiPriority w:val="99"/>
    <w:pPr>
      <w:tabs>
        <w:tab w:val="clear" w:pos="1540"/>
        <w:tab w:val="clear" w:pos="1740"/>
        <w:tab w:val="right" w:pos="2240"/>
        <w:tab w:val="left" w:pos="2440"/>
      </w:tabs>
      <w:ind w:left="2440"/>
    </w:pPr>
  </w:style>
  <w:style w:type="paragraph" w:customStyle="1" w:styleId="Modsubsubpara">
    <w:name w:val="Mod subsubpara"/>
    <w:basedOn w:val="Asubsubpara"/>
    <w:uiPriority w:val="99"/>
    <w:pPr>
      <w:tabs>
        <w:tab w:val="clear" w:pos="2060"/>
        <w:tab w:val="clear" w:pos="2260"/>
        <w:tab w:val="right" w:pos="2760"/>
        <w:tab w:val="left" w:pos="2960"/>
      </w:tabs>
      <w:ind w:left="2960"/>
    </w:pPr>
  </w:style>
  <w:style w:type="paragraph" w:customStyle="1" w:styleId="Modmainreturn">
    <w:name w:val="Mod main return"/>
    <w:basedOn w:val="Amainreturn"/>
    <w:uiPriority w:val="99"/>
    <w:pPr>
      <w:ind w:left="1400"/>
    </w:pPr>
  </w:style>
  <w:style w:type="paragraph" w:customStyle="1" w:styleId="Modparareturn">
    <w:name w:val="Mod para return"/>
    <w:basedOn w:val="Aparareturn"/>
    <w:uiPriority w:val="99"/>
    <w:pPr>
      <w:ind w:left="1900"/>
    </w:pPr>
  </w:style>
  <w:style w:type="paragraph" w:customStyle="1" w:styleId="Modsubparareturn">
    <w:name w:val="Mod subpara return"/>
    <w:basedOn w:val="Asubparareturn"/>
    <w:uiPriority w:val="99"/>
    <w:pPr>
      <w:ind w:left="2640"/>
    </w:pPr>
  </w:style>
  <w:style w:type="paragraph" w:customStyle="1" w:styleId="Modref">
    <w:name w:val="Mod ref"/>
    <w:basedOn w:val="ref"/>
    <w:uiPriority w:val="99"/>
    <w:pPr>
      <w:ind w:left="700"/>
    </w:pPr>
  </w:style>
  <w:style w:type="paragraph" w:customStyle="1" w:styleId="ModaNote">
    <w:name w:val="Mod aNote"/>
    <w:basedOn w:val="aNote"/>
    <w:uiPriority w:val="99"/>
    <w:pPr>
      <w:tabs>
        <w:tab w:val="clear" w:pos="1500"/>
        <w:tab w:val="left" w:pos="2200"/>
      </w:tabs>
      <w:ind w:left="2200"/>
    </w:pPr>
  </w:style>
  <w:style w:type="paragraph" w:customStyle="1" w:styleId="ModNote">
    <w:name w:val="Mod Note"/>
    <w:basedOn w:val="aNote"/>
    <w:uiPriority w:val="99"/>
    <w:pPr>
      <w:tabs>
        <w:tab w:val="clear" w:pos="1500"/>
        <w:tab w:val="left" w:pos="2200"/>
      </w:tabs>
      <w:ind w:left="2200"/>
    </w:pPr>
  </w:style>
  <w:style w:type="paragraph" w:customStyle="1" w:styleId="ApprFormHd">
    <w:name w:val="ApprFormHd"/>
    <w:basedOn w:val="Sched-heading"/>
    <w:uiPriority w:val="99"/>
    <w:pPr>
      <w:ind w:left="0" w:firstLine="0"/>
    </w:p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EarlierRepubHdg">
    <w:name w:val="EarlierRepubHdg"/>
    <w:basedOn w:val="Normal"/>
    <w:uiPriority w:val="99"/>
    <w:pPr>
      <w:keepNext/>
      <w:spacing w:before="120" w:after="120"/>
    </w:pPr>
    <w:rPr>
      <w:rFonts w:ascii="Arial" w:hAnsi="Arial" w:cs="Arial"/>
      <w:b/>
      <w:bCs/>
      <w:sz w:val="20"/>
      <w:szCs w:val="20"/>
    </w:rPr>
  </w:style>
  <w:style w:type="paragraph" w:customStyle="1" w:styleId="RenumProvHdg">
    <w:name w:val="RenumProvHdg"/>
    <w:basedOn w:val="Normal"/>
    <w:uiPriority w:val="99"/>
    <w:rPr>
      <w:rFonts w:ascii="Arial" w:hAnsi="Arial" w:cs="Arial"/>
      <w:b/>
      <w:bCs/>
      <w:sz w:val="22"/>
      <w:szCs w:val="22"/>
    </w:rPr>
  </w:style>
  <w:style w:type="paragraph" w:customStyle="1" w:styleId="RenumProvHeader">
    <w:name w:val="RenumProvHeader"/>
    <w:basedOn w:val="Normal"/>
    <w:uiPriority w:val="99"/>
    <w:rPr>
      <w:rFonts w:ascii="Arial" w:hAnsi="Arial" w:cs="Arial"/>
      <w:b/>
      <w:bCs/>
      <w:sz w:val="22"/>
      <w:szCs w:val="22"/>
    </w:rPr>
  </w:style>
  <w:style w:type="paragraph" w:customStyle="1" w:styleId="RenumTableHdg">
    <w:name w:val="RenumTableHdg"/>
    <w:basedOn w:val="Normal"/>
    <w:uiPriority w:val="99"/>
    <w:pPr>
      <w:spacing w:before="120"/>
    </w:pPr>
    <w:rPr>
      <w:rFonts w:ascii="Arial" w:hAnsi="Arial" w:cs="Arial"/>
      <w:b/>
      <w:bCs/>
      <w:sz w:val="20"/>
      <w:szCs w:val="20"/>
    </w:rPr>
  </w:style>
  <w:style w:type="paragraph" w:customStyle="1" w:styleId="EPSCoverTop">
    <w:name w:val="EPSCoverTop"/>
    <w:basedOn w:val="Normal"/>
    <w:uiPriority w:val="99"/>
    <w:pPr>
      <w:jc w:val="right"/>
    </w:pPr>
    <w:rPr>
      <w:rFonts w:ascii="Arial" w:hAnsi="Arial" w:cs="Arial"/>
      <w:sz w:val="20"/>
      <w:szCs w:val="20"/>
    </w:rPr>
  </w:style>
  <w:style w:type="paragraph" w:customStyle="1" w:styleId="AmainSymb">
    <w:name w:val="A main Symb"/>
    <w:basedOn w:val="Amain"/>
    <w:uiPriority w:val="99"/>
    <w:pPr>
      <w:tabs>
        <w:tab w:val="clear" w:pos="500"/>
        <w:tab w:val="left" w:pos="0"/>
        <w:tab w:val="right" w:pos="480"/>
      </w:tabs>
      <w:ind w:left="720" w:hanging="1200"/>
    </w:pPr>
  </w:style>
  <w:style w:type="paragraph" w:customStyle="1" w:styleId="AparaSymb">
    <w:name w:val="A para Symb"/>
    <w:basedOn w:val="Apara"/>
    <w:uiPriority w:val="99"/>
    <w:pPr>
      <w:tabs>
        <w:tab w:val="left" w:pos="0"/>
      </w:tabs>
      <w:ind w:hanging="1680"/>
    </w:pPr>
  </w:style>
  <w:style w:type="paragraph" w:customStyle="1" w:styleId="AsubparaSymb">
    <w:name w:val="A subpara Symb"/>
    <w:basedOn w:val="Asubpara"/>
    <w:uiPriority w:val="99"/>
    <w:pPr>
      <w:tabs>
        <w:tab w:val="left" w:pos="0"/>
      </w:tabs>
      <w:ind w:left="1704" w:hanging="2184"/>
    </w:pPr>
  </w:style>
  <w:style w:type="paragraph" w:customStyle="1" w:styleId="RenumProvSubsectEntries">
    <w:name w:val="RenumProvSubsectEntries"/>
    <w:basedOn w:val="RenumProvEntries"/>
    <w:uiPriority w:val="99"/>
    <w:pPr>
      <w:ind w:left="252"/>
    </w:pPr>
  </w:style>
  <w:style w:type="paragraph" w:customStyle="1" w:styleId="Endnote4">
    <w:name w:val="Endnote4"/>
    <w:basedOn w:val="Endnote2"/>
    <w:uiPriority w:val="99"/>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uiPriority w:val="99"/>
    <w:pPr>
      <w:keepNext/>
      <w:tabs>
        <w:tab w:val="clear" w:pos="500"/>
        <w:tab w:val="clear" w:pos="700"/>
      </w:tabs>
      <w:spacing w:before="240"/>
      <w:ind w:firstLine="0"/>
      <w:outlineLvl w:val="9"/>
    </w:pPr>
    <w:rPr>
      <w:i/>
      <w:iCs/>
    </w:rPr>
  </w:style>
  <w:style w:type="paragraph" w:customStyle="1" w:styleId="Penalty">
    <w:name w:val="Penalty"/>
    <w:basedOn w:val="Amainreturn"/>
    <w:uiPriority w:val="99"/>
  </w:style>
  <w:style w:type="paragraph" w:customStyle="1" w:styleId="LongTitleSymb">
    <w:name w:val="LongTitleSymb"/>
    <w:basedOn w:val="LongTitle"/>
    <w:uiPriority w:val="99"/>
    <w:pPr>
      <w:ind w:hanging="480"/>
    </w:pPr>
  </w:style>
  <w:style w:type="paragraph" w:customStyle="1" w:styleId="EffectiveDate">
    <w:name w:val="EffectiveDate"/>
    <w:basedOn w:val="Normal"/>
    <w:uiPriority w:val="99"/>
    <w:pPr>
      <w:spacing w:before="40" w:after="200"/>
    </w:pPr>
    <w:rPr>
      <w:rFonts w:ascii="Arial" w:hAnsi="Arial" w:cs="Arial"/>
      <w:b/>
      <w:bCs/>
      <w:sz w:val="26"/>
      <w:szCs w:val="26"/>
    </w:rPr>
  </w:style>
  <w:style w:type="paragraph" w:customStyle="1" w:styleId="DetailsNo">
    <w:name w:val="Details No"/>
    <w:basedOn w:val="Actdetails"/>
    <w:uiPriority w:val="99"/>
    <w:pPr>
      <w:ind w:left="0"/>
    </w:pPr>
    <w:rPr>
      <w:sz w:val="18"/>
      <w:szCs w:val="18"/>
      <w:lang w:val="en-US"/>
    </w:rPr>
  </w:style>
  <w:style w:type="paragraph" w:customStyle="1" w:styleId="aNoteText">
    <w:name w:val="aNoteText"/>
    <w:basedOn w:val="aNote"/>
    <w:uiPriority w:val="99"/>
    <w:pPr>
      <w:spacing w:before="2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137</Pages>
  <Words>27700</Words>
  <Characters>133715</Characters>
  <Application>Microsoft Office Word</Application>
  <DocSecurity>0</DocSecurity>
  <Lines>3406</Lines>
  <Paragraphs>1996</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bill</Manager>
  <Company>ACT Government</Company>
  <LinksUpToDate>false</LinksUpToDate>
  <CharactersWithSpaces>160451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Julie Thompson</dc:creator>
  <cp:keywords/>
  <dc:description/>
  <cp:lastModifiedBy>PCODCS</cp:lastModifiedBy>
  <cp:revision>4</cp:revision>
  <cp:lastPrinted>2003-04-29T04:11:00Z</cp:lastPrinted>
  <dcterms:created xsi:type="dcterms:W3CDTF">2019-04-17T01:54:00Z</dcterms:created>
  <dcterms:modified xsi:type="dcterms:W3CDTF">2019-04-17T01:54:00Z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10/04/03</vt:lpwstr>
  </property>
  <property fmtid="{D5CDD505-2E9C-101B-9397-08002B2CF9AE}" pid="5" name="Eff">
    <vt:lpwstr>Effective:  </vt:lpwstr>
  </property>
  <property fmtid="{D5CDD505-2E9C-101B-9397-08002B2CF9AE}" pid="6" name="StartDt">
    <vt:lpwstr>10/04/03</vt:lpwstr>
  </property>
  <property fmtid="{D5CDD505-2E9C-101B-9397-08002B2CF9AE}" pid="7" name="EndDt">
    <vt:lpwstr>-30/06/03</vt:lpwstr>
  </property>
</Properties>
</file>