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97" w:rsidRDefault="00635397" w:rsidP="00635397">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5397" w:rsidRDefault="00635397" w:rsidP="00635397">
      <w:pPr>
        <w:jc w:val="center"/>
        <w:rPr>
          <w:rFonts w:ascii="Arial" w:hAnsi="Arial"/>
        </w:rPr>
      </w:pPr>
      <w:r>
        <w:rPr>
          <w:rFonts w:ascii="Arial" w:hAnsi="Arial"/>
        </w:rPr>
        <w:t>Australian Capital Territory</w:t>
      </w:r>
    </w:p>
    <w:p w:rsidR="00635397" w:rsidRDefault="00A66D89" w:rsidP="00635397">
      <w:pPr>
        <w:pStyle w:val="Billname1"/>
      </w:pPr>
      <w:r>
        <w:fldChar w:fldCharType="begin"/>
      </w:r>
      <w:r>
        <w:instrText xml:space="preserve"> REF Citation \*charformat </w:instrText>
      </w:r>
      <w:r>
        <w:fldChar w:fldCharType="separate"/>
      </w:r>
      <w:r w:rsidR="00CE71D4">
        <w:t>Casino (Electronic Gaming) Act 2017</w:t>
      </w:r>
      <w:r>
        <w:fldChar w:fldCharType="end"/>
      </w:r>
      <w:r w:rsidR="00635397">
        <w:t xml:space="preserve">    </w:t>
      </w:r>
    </w:p>
    <w:p w:rsidR="00635397" w:rsidRDefault="0003076A" w:rsidP="00635397">
      <w:pPr>
        <w:pStyle w:val="ActNo"/>
      </w:pPr>
      <w:bookmarkStart w:id="1" w:name="LawNo"/>
      <w:r>
        <w:t>A2017-42</w:t>
      </w:r>
      <w:bookmarkEnd w:id="1"/>
    </w:p>
    <w:p w:rsidR="00635397" w:rsidRDefault="00635397" w:rsidP="00635397">
      <w:pPr>
        <w:pStyle w:val="RepubNo"/>
      </w:pPr>
      <w:r>
        <w:t xml:space="preserve">Republication No </w:t>
      </w:r>
      <w:bookmarkStart w:id="2" w:name="RepubNo"/>
      <w:r w:rsidR="0003076A">
        <w:t>3</w:t>
      </w:r>
      <w:bookmarkEnd w:id="2"/>
    </w:p>
    <w:p w:rsidR="00635397" w:rsidRDefault="00635397" w:rsidP="00635397">
      <w:pPr>
        <w:pStyle w:val="EffectiveDate"/>
      </w:pPr>
      <w:r>
        <w:t xml:space="preserve">Effective:  </w:t>
      </w:r>
      <w:bookmarkStart w:id="3" w:name="EffectiveDate"/>
      <w:r w:rsidR="0003076A">
        <w:t>16 June 2018</w:t>
      </w:r>
      <w:bookmarkEnd w:id="3"/>
      <w:r w:rsidR="003F38DA">
        <w:t xml:space="preserve"> – </w:t>
      </w:r>
      <w:bookmarkStart w:id="4" w:name="EndEffDate"/>
      <w:r w:rsidR="0003076A">
        <w:t>3 December 2018</w:t>
      </w:r>
      <w:bookmarkEnd w:id="4"/>
    </w:p>
    <w:p w:rsidR="00635397" w:rsidRDefault="00635397" w:rsidP="00635397">
      <w:pPr>
        <w:pStyle w:val="CoverInForce"/>
      </w:pPr>
      <w:r>
        <w:t xml:space="preserve">Republication date: </w:t>
      </w:r>
      <w:bookmarkStart w:id="5" w:name="InForceDate"/>
      <w:r w:rsidR="0003076A">
        <w:t>16 June 2018</w:t>
      </w:r>
      <w:bookmarkEnd w:id="5"/>
    </w:p>
    <w:p w:rsidR="00635397" w:rsidRPr="00E75795" w:rsidRDefault="00635397" w:rsidP="00635397">
      <w:pPr>
        <w:pStyle w:val="CoverInForce"/>
      </w:pPr>
      <w:r>
        <w:t xml:space="preserve">Last amendment made by </w:t>
      </w:r>
      <w:bookmarkStart w:id="6" w:name="LastAmdt"/>
      <w:r w:rsidRPr="00635397">
        <w:rPr>
          <w:rStyle w:val="charCitHyperlinkAbbrev"/>
        </w:rPr>
        <w:fldChar w:fldCharType="begin"/>
      </w:r>
      <w:r w:rsidR="0003076A">
        <w:rPr>
          <w:rStyle w:val="charCitHyperlinkAbbrev"/>
        </w:rPr>
        <w:instrText>HYPERLINK "http://www.legislation.act.gov.au/a/2018-21/default.asp" \o "Casino and Other Gaming Legislation Amendment Act 2018"</w:instrText>
      </w:r>
      <w:r w:rsidRPr="00635397">
        <w:rPr>
          <w:rStyle w:val="charCitHyperlinkAbbrev"/>
        </w:rPr>
        <w:fldChar w:fldCharType="separate"/>
      </w:r>
      <w:r w:rsidR="0003076A">
        <w:rPr>
          <w:rStyle w:val="charCitHyperlinkAbbrev"/>
        </w:rPr>
        <w:t>A2018</w:t>
      </w:r>
      <w:r w:rsidR="0003076A">
        <w:rPr>
          <w:rStyle w:val="charCitHyperlinkAbbrev"/>
        </w:rPr>
        <w:noBreakHyphen/>
        <w:t>21</w:t>
      </w:r>
      <w:r w:rsidRPr="00635397">
        <w:rPr>
          <w:rStyle w:val="charCitHyperlinkAbbrev"/>
        </w:rPr>
        <w:fldChar w:fldCharType="end"/>
      </w:r>
      <w:bookmarkEnd w:id="6"/>
      <w:r w:rsidR="00E75795" w:rsidRPr="00E75795">
        <w:rPr>
          <w:rStyle w:val="charCitHyperlinkAbbrev"/>
        </w:rPr>
        <w:br/>
      </w:r>
      <w:r w:rsidR="00E75795" w:rsidRPr="00E75795">
        <w:t>(republication for expiry of provisions (s 54A and sch 5))</w:t>
      </w:r>
    </w:p>
    <w:p w:rsidR="00635397" w:rsidRDefault="00635397" w:rsidP="00635397"/>
    <w:p w:rsidR="00635397" w:rsidRDefault="00635397" w:rsidP="00635397"/>
    <w:p w:rsidR="00635397" w:rsidRDefault="00635397" w:rsidP="00635397"/>
    <w:p w:rsidR="00635397" w:rsidRDefault="00635397" w:rsidP="00635397"/>
    <w:p w:rsidR="00635397" w:rsidRDefault="00635397" w:rsidP="00635397"/>
    <w:p w:rsidR="00635397" w:rsidRDefault="00635397" w:rsidP="00635397">
      <w:pPr>
        <w:spacing w:after="240"/>
        <w:rPr>
          <w:rFonts w:ascii="Arial" w:hAnsi="Arial"/>
        </w:rPr>
      </w:pPr>
    </w:p>
    <w:p w:rsidR="00635397" w:rsidRPr="00101B4C" w:rsidRDefault="00635397" w:rsidP="00635397">
      <w:pPr>
        <w:pStyle w:val="PageBreak"/>
      </w:pPr>
      <w:r w:rsidRPr="00101B4C">
        <w:br w:type="page"/>
      </w:r>
    </w:p>
    <w:p w:rsidR="00635397" w:rsidRDefault="00635397" w:rsidP="00635397">
      <w:pPr>
        <w:pStyle w:val="CoverHeading"/>
      </w:pPr>
      <w:r>
        <w:lastRenderedPageBreak/>
        <w:t>About this republication</w:t>
      </w:r>
    </w:p>
    <w:p w:rsidR="00635397" w:rsidRDefault="00635397" w:rsidP="00635397">
      <w:pPr>
        <w:pStyle w:val="CoverSubHdg"/>
      </w:pPr>
      <w:r>
        <w:t>The republished law</w:t>
      </w:r>
    </w:p>
    <w:p w:rsidR="00635397" w:rsidRDefault="00635397" w:rsidP="00635397">
      <w:pPr>
        <w:pStyle w:val="CoverText"/>
      </w:pPr>
      <w:r>
        <w:t xml:space="preserve">This is a republication of the </w:t>
      </w:r>
      <w:r w:rsidRPr="0003076A">
        <w:rPr>
          <w:i/>
        </w:rPr>
        <w:fldChar w:fldCharType="begin"/>
      </w:r>
      <w:r w:rsidRPr="0003076A">
        <w:rPr>
          <w:i/>
        </w:rPr>
        <w:instrText xml:space="preserve"> REF citation *\charformat  \* MERGEFORMAT </w:instrText>
      </w:r>
      <w:r w:rsidRPr="0003076A">
        <w:rPr>
          <w:i/>
        </w:rPr>
        <w:fldChar w:fldCharType="separate"/>
      </w:r>
      <w:r w:rsidR="00CE71D4" w:rsidRPr="00CE71D4">
        <w:rPr>
          <w:i/>
        </w:rPr>
        <w:t>Casino (Electronic Gaming) Act 2017</w:t>
      </w:r>
      <w:r w:rsidRPr="0003076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66D89">
        <w:fldChar w:fldCharType="begin"/>
      </w:r>
      <w:r w:rsidR="00A66D89">
        <w:instrText xml:space="preserve"> REF InForceDate *\charformat </w:instrText>
      </w:r>
      <w:r w:rsidR="00A66D89">
        <w:fldChar w:fldCharType="separate"/>
      </w:r>
      <w:r w:rsidR="00CE71D4">
        <w:t>16 June 2018</w:t>
      </w:r>
      <w:r w:rsidR="00A66D89">
        <w:fldChar w:fldCharType="end"/>
      </w:r>
      <w:r w:rsidRPr="0074598E">
        <w:rPr>
          <w:rStyle w:val="charItals"/>
        </w:rPr>
        <w:t xml:space="preserve">.  </w:t>
      </w:r>
      <w:r>
        <w:t xml:space="preserve">It also includes any commencement, amendment, repeal or expiry affecting this republished law to </w:t>
      </w:r>
      <w:r w:rsidR="00A66D89">
        <w:fldChar w:fldCharType="begin"/>
      </w:r>
      <w:r w:rsidR="00A66D89">
        <w:instrText xml:space="preserve"> REF EffectiveDate *\charformat </w:instrText>
      </w:r>
      <w:r w:rsidR="00A66D89">
        <w:fldChar w:fldCharType="separate"/>
      </w:r>
      <w:r w:rsidR="00CE71D4">
        <w:t>16 June 2018</w:t>
      </w:r>
      <w:r w:rsidR="00A66D89">
        <w:fldChar w:fldCharType="end"/>
      </w:r>
      <w:r>
        <w:t xml:space="preserve">.  </w:t>
      </w:r>
    </w:p>
    <w:p w:rsidR="00635397" w:rsidRDefault="00635397" w:rsidP="00635397">
      <w:pPr>
        <w:pStyle w:val="CoverText"/>
      </w:pPr>
      <w:r>
        <w:t xml:space="preserve">The legislation history and amendment history of the republished law are set out in endnotes 3 and 4. </w:t>
      </w:r>
    </w:p>
    <w:p w:rsidR="00635397" w:rsidRDefault="00635397" w:rsidP="00635397">
      <w:pPr>
        <w:pStyle w:val="CoverSubHdg"/>
      </w:pPr>
      <w:r>
        <w:t>Kinds of republications</w:t>
      </w:r>
    </w:p>
    <w:p w:rsidR="00635397" w:rsidRDefault="00635397" w:rsidP="0063539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635397" w:rsidRDefault="00635397" w:rsidP="0063539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635397" w:rsidRDefault="00635397" w:rsidP="00635397">
      <w:pPr>
        <w:pStyle w:val="CoverTextBullet"/>
        <w:tabs>
          <w:tab w:val="clear" w:pos="0"/>
        </w:tabs>
        <w:ind w:left="357" w:hanging="357"/>
      </w:pPr>
      <w:r>
        <w:t>unauthorised republications.</w:t>
      </w:r>
    </w:p>
    <w:p w:rsidR="00635397" w:rsidRDefault="00635397" w:rsidP="00635397">
      <w:pPr>
        <w:pStyle w:val="CoverText"/>
      </w:pPr>
      <w:r>
        <w:t>The status of this republication appears on the bottom of each page.</w:t>
      </w:r>
    </w:p>
    <w:p w:rsidR="00635397" w:rsidRDefault="00635397" w:rsidP="00635397">
      <w:pPr>
        <w:pStyle w:val="CoverSubHdg"/>
      </w:pPr>
      <w:r>
        <w:t>Editorial changes</w:t>
      </w:r>
    </w:p>
    <w:p w:rsidR="00635397" w:rsidRDefault="00635397" w:rsidP="0063539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35397" w:rsidRDefault="00635397" w:rsidP="00635397">
      <w:pPr>
        <w:pStyle w:val="CoverText"/>
      </w:pPr>
      <w:r>
        <w:t>This republication</w:t>
      </w:r>
      <w:r w:rsidR="00A276A1">
        <w:t xml:space="preserve"> does not include</w:t>
      </w:r>
      <w:r>
        <w:t xml:space="preserve"> amendments made under part 11.3 (see endnote 1).</w:t>
      </w:r>
    </w:p>
    <w:p w:rsidR="00635397" w:rsidRDefault="00635397" w:rsidP="00635397">
      <w:pPr>
        <w:pStyle w:val="CoverSubHdg"/>
      </w:pPr>
      <w:r>
        <w:t>Uncommenced provisions and amendments</w:t>
      </w:r>
    </w:p>
    <w:p w:rsidR="00635397" w:rsidRDefault="00635397" w:rsidP="0063539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635397" w:rsidRDefault="00635397" w:rsidP="00635397">
      <w:pPr>
        <w:pStyle w:val="CoverSubHdg"/>
      </w:pPr>
      <w:r>
        <w:t>Modifications</w:t>
      </w:r>
    </w:p>
    <w:p w:rsidR="00635397" w:rsidRDefault="00635397" w:rsidP="0063539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635397" w:rsidRDefault="00635397" w:rsidP="00635397">
      <w:pPr>
        <w:pStyle w:val="CoverSubHdg"/>
      </w:pPr>
      <w:r>
        <w:t>Penalties</w:t>
      </w:r>
    </w:p>
    <w:p w:rsidR="00635397" w:rsidRPr="003765DF" w:rsidRDefault="00635397" w:rsidP="00635397">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635397" w:rsidRDefault="00635397" w:rsidP="00635397">
      <w:pPr>
        <w:pStyle w:val="00SigningPage"/>
        <w:sectPr w:rsidR="00635397" w:rsidSect="0063539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635397" w:rsidRDefault="00635397" w:rsidP="00635397">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5397" w:rsidRDefault="00635397" w:rsidP="00635397">
      <w:pPr>
        <w:jc w:val="center"/>
        <w:rPr>
          <w:rFonts w:ascii="Arial" w:hAnsi="Arial"/>
        </w:rPr>
      </w:pPr>
      <w:r>
        <w:rPr>
          <w:rFonts w:ascii="Arial" w:hAnsi="Arial"/>
        </w:rPr>
        <w:t>Australian Capital Territory</w:t>
      </w:r>
    </w:p>
    <w:p w:rsidR="00635397" w:rsidRDefault="00A66D89" w:rsidP="00635397">
      <w:pPr>
        <w:pStyle w:val="Billname"/>
      </w:pPr>
      <w:r>
        <w:fldChar w:fldCharType="begin"/>
      </w:r>
      <w:r>
        <w:instrText xml:space="preserve"> REF Citation \*charformat  \* MERGEFORMAT </w:instrText>
      </w:r>
      <w:r>
        <w:fldChar w:fldCharType="separate"/>
      </w:r>
      <w:r w:rsidR="00CE71D4">
        <w:t>Casino (Electronic Gaming) Act 2017</w:t>
      </w:r>
      <w:r>
        <w:fldChar w:fldCharType="end"/>
      </w:r>
    </w:p>
    <w:p w:rsidR="00635397" w:rsidRDefault="00635397" w:rsidP="00635397">
      <w:pPr>
        <w:pStyle w:val="ActNo"/>
      </w:pPr>
    </w:p>
    <w:p w:rsidR="00635397" w:rsidRDefault="00635397" w:rsidP="00635397">
      <w:pPr>
        <w:pStyle w:val="Placeholder"/>
      </w:pPr>
      <w:r>
        <w:rPr>
          <w:rStyle w:val="charContents"/>
          <w:sz w:val="16"/>
        </w:rPr>
        <w:t xml:space="preserve">  </w:t>
      </w:r>
      <w:r>
        <w:rPr>
          <w:rStyle w:val="charPage"/>
        </w:rPr>
        <w:t xml:space="preserve">  </w:t>
      </w:r>
    </w:p>
    <w:p w:rsidR="00635397" w:rsidRDefault="00635397" w:rsidP="00635397">
      <w:pPr>
        <w:pStyle w:val="N-TOCheading"/>
      </w:pPr>
      <w:r>
        <w:rPr>
          <w:rStyle w:val="charContents"/>
        </w:rPr>
        <w:t>Contents</w:t>
      </w:r>
    </w:p>
    <w:p w:rsidR="00635397" w:rsidRDefault="00635397" w:rsidP="00635397">
      <w:pPr>
        <w:pStyle w:val="N-9pt"/>
      </w:pPr>
      <w:r>
        <w:tab/>
      </w:r>
      <w:r>
        <w:rPr>
          <w:rStyle w:val="charPage"/>
        </w:rPr>
        <w:t>Page</w:t>
      </w:r>
    </w:p>
    <w:p w:rsidR="00951C4D" w:rsidRDefault="00951C4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6729738" w:history="1">
        <w:r w:rsidRPr="00452B32">
          <w:t>Part 1</w:t>
        </w:r>
        <w:r>
          <w:rPr>
            <w:rFonts w:asciiTheme="minorHAnsi" w:eastAsiaTheme="minorEastAsia" w:hAnsiTheme="minorHAnsi" w:cstheme="minorBidi"/>
            <w:b w:val="0"/>
            <w:sz w:val="22"/>
            <w:szCs w:val="22"/>
            <w:lang w:eastAsia="en-AU"/>
          </w:rPr>
          <w:tab/>
        </w:r>
        <w:r w:rsidRPr="00452B32">
          <w:t>Preliminary</w:t>
        </w:r>
        <w:r w:rsidRPr="00951C4D">
          <w:rPr>
            <w:vanish/>
          </w:rPr>
          <w:tab/>
        </w:r>
        <w:r w:rsidRPr="00951C4D">
          <w:rPr>
            <w:vanish/>
          </w:rPr>
          <w:fldChar w:fldCharType="begin"/>
        </w:r>
        <w:r w:rsidRPr="00951C4D">
          <w:rPr>
            <w:vanish/>
          </w:rPr>
          <w:instrText xml:space="preserve"> PAGEREF _Toc516729738 \h </w:instrText>
        </w:r>
        <w:r w:rsidRPr="00951C4D">
          <w:rPr>
            <w:vanish/>
          </w:rPr>
        </w:r>
        <w:r w:rsidRPr="00951C4D">
          <w:rPr>
            <w:vanish/>
          </w:rPr>
          <w:fldChar w:fldCharType="separate"/>
        </w:r>
        <w:r w:rsidR="00CE71D4">
          <w:rPr>
            <w:vanish/>
          </w:rPr>
          <w:t>2</w:t>
        </w:r>
        <w:r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39" w:history="1">
        <w:r w:rsidRPr="00452B32">
          <w:t>1</w:t>
        </w:r>
        <w:r>
          <w:rPr>
            <w:rFonts w:asciiTheme="minorHAnsi" w:eastAsiaTheme="minorEastAsia" w:hAnsiTheme="minorHAnsi" w:cstheme="minorBidi"/>
            <w:sz w:val="22"/>
            <w:szCs w:val="22"/>
            <w:lang w:eastAsia="en-AU"/>
          </w:rPr>
          <w:tab/>
        </w:r>
        <w:r w:rsidRPr="00452B32">
          <w:t>Name of Act</w:t>
        </w:r>
        <w:r>
          <w:tab/>
        </w:r>
        <w:r>
          <w:fldChar w:fldCharType="begin"/>
        </w:r>
        <w:r>
          <w:instrText xml:space="preserve"> PAGEREF _Toc516729739 \h </w:instrText>
        </w:r>
        <w:r>
          <w:fldChar w:fldCharType="separate"/>
        </w:r>
        <w:r w:rsidR="00CE71D4">
          <w:t>2</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0" w:history="1">
        <w:r w:rsidRPr="00452B32">
          <w:t>2</w:t>
        </w:r>
        <w:r>
          <w:rPr>
            <w:rFonts w:asciiTheme="minorHAnsi" w:eastAsiaTheme="minorEastAsia" w:hAnsiTheme="minorHAnsi" w:cstheme="minorBidi"/>
            <w:sz w:val="22"/>
            <w:szCs w:val="22"/>
            <w:lang w:eastAsia="en-AU"/>
          </w:rPr>
          <w:tab/>
        </w:r>
        <w:r w:rsidRPr="00452B32">
          <w:t>Commencement</w:t>
        </w:r>
        <w:r>
          <w:tab/>
        </w:r>
        <w:r>
          <w:fldChar w:fldCharType="begin"/>
        </w:r>
        <w:r>
          <w:instrText xml:space="preserve"> PAGEREF _Toc516729740 \h </w:instrText>
        </w:r>
        <w:r>
          <w:fldChar w:fldCharType="separate"/>
        </w:r>
        <w:r w:rsidR="00CE71D4">
          <w:t>2</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1" w:history="1">
        <w:r w:rsidRPr="00452B32">
          <w:t>3</w:t>
        </w:r>
        <w:r>
          <w:rPr>
            <w:rFonts w:asciiTheme="minorHAnsi" w:eastAsiaTheme="minorEastAsia" w:hAnsiTheme="minorHAnsi" w:cstheme="minorBidi"/>
            <w:sz w:val="22"/>
            <w:szCs w:val="22"/>
            <w:lang w:eastAsia="en-AU"/>
          </w:rPr>
          <w:tab/>
        </w:r>
        <w:r w:rsidRPr="00452B32">
          <w:t>Dictionary</w:t>
        </w:r>
        <w:r>
          <w:tab/>
        </w:r>
        <w:r>
          <w:fldChar w:fldCharType="begin"/>
        </w:r>
        <w:r>
          <w:instrText xml:space="preserve"> PAGEREF _Toc516729741 \h </w:instrText>
        </w:r>
        <w:r>
          <w:fldChar w:fldCharType="separate"/>
        </w:r>
        <w:r w:rsidR="00CE71D4">
          <w:t>2</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2" w:history="1">
        <w:r w:rsidRPr="00452B32">
          <w:t>4</w:t>
        </w:r>
        <w:r>
          <w:rPr>
            <w:rFonts w:asciiTheme="minorHAnsi" w:eastAsiaTheme="minorEastAsia" w:hAnsiTheme="minorHAnsi" w:cstheme="minorBidi"/>
            <w:sz w:val="22"/>
            <w:szCs w:val="22"/>
            <w:lang w:eastAsia="en-AU"/>
          </w:rPr>
          <w:tab/>
        </w:r>
        <w:r w:rsidRPr="00452B32">
          <w:t>Notes</w:t>
        </w:r>
        <w:r>
          <w:tab/>
        </w:r>
        <w:r>
          <w:fldChar w:fldCharType="begin"/>
        </w:r>
        <w:r>
          <w:instrText xml:space="preserve"> PAGEREF _Toc516729742 \h </w:instrText>
        </w:r>
        <w:r>
          <w:fldChar w:fldCharType="separate"/>
        </w:r>
        <w:r w:rsidR="00CE71D4">
          <w:t>3</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3" w:history="1">
        <w:r w:rsidRPr="00452B32">
          <w:t>5</w:t>
        </w:r>
        <w:r>
          <w:rPr>
            <w:rFonts w:asciiTheme="minorHAnsi" w:eastAsiaTheme="minorEastAsia" w:hAnsiTheme="minorHAnsi" w:cstheme="minorBidi"/>
            <w:sz w:val="22"/>
            <w:szCs w:val="22"/>
            <w:lang w:eastAsia="en-AU"/>
          </w:rPr>
          <w:tab/>
        </w:r>
        <w:r w:rsidRPr="00452B32">
          <w:t>Offences against Act—application of Criminal Code etc</w:t>
        </w:r>
        <w:r>
          <w:tab/>
        </w:r>
        <w:r>
          <w:fldChar w:fldCharType="begin"/>
        </w:r>
        <w:r>
          <w:instrText xml:space="preserve"> PAGEREF _Toc516729743 \h </w:instrText>
        </w:r>
        <w:r>
          <w:fldChar w:fldCharType="separate"/>
        </w:r>
        <w:r w:rsidR="00CE71D4">
          <w:t>3</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44" w:history="1">
        <w:r w:rsidR="00951C4D" w:rsidRPr="00452B32">
          <w:t>Part 2</w:t>
        </w:r>
        <w:r w:rsidR="00951C4D">
          <w:rPr>
            <w:rFonts w:asciiTheme="minorHAnsi" w:eastAsiaTheme="minorEastAsia" w:hAnsiTheme="minorHAnsi" w:cstheme="minorBidi"/>
            <w:b w:val="0"/>
            <w:sz w:val="22"/>
            <w:szCs w:val="22"/>
            <w:lang w:eastAsia="en-AU"/>
          </w:rPr>
          <w:tab/>
        </w:r>
        <w:r w:rsidR="00951C4D" w:rsidRPr="00452B32">
          <w:t>Important concepts</w:t>
        </w:r>
        <w:r w:rsidR="00951C4D" w:rsidRPr="00951C4D">
          <w:rPr>
            <w:vanish/>
          </w:rPr>
          <w:tab/>
        </w:r>
        <w:r w:rsidR="00951C4D" w:rsidRPr="00951C4D">
          <w:rPr>
            <w:vanish/>
          </w:rPr>
          <w:fldChar w:fldCharType="begin"/>
        </w:r>
        <w:r w:rsidR="00951C4D" w:rsidRPr="00951C4D">
          <w:rPr>
            <w:vanish/>
          </w:rPr>
          <w:instrText xml:space="preserve"> PAGEREF _Toc516729744 \h </w:instrText>
        </w:r>
        <w:r w:rsidR="00951C4D" w:rsidRPr="00951C4D">
          <w:rPr>
            <w:vanish/>
          </w:rPr>
        </w:r>
        <w:r w:rsidR="00951C4D" w:rsidRPr="00951C4D">
          <w:rPr>
            <w:vanish/>
          </w:rPr>
          <w:fldChar w:fldCharType="separate"/>
        </w:r>
        <w:r w:rsidR="00CE71D4">
          <w:rPr>
            <w:vanish/>
          </w:rPr>
          <w:t>4</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5" w:history="1">
        <w:r w:rsidRPr="00452B32">
          <w:t>6</w:t>
        </w:r>
        <w:r>
          <w:rPr>
            <w:rFonts w:asciiTheme="minorHAnsi" w:eastAsiaTheme="minorEastAsia" w:hAnsiTheme="minorHAnsi" w:cstheme="minorBidi"/>
            <w:sz w:val="22"/>
            <w:szCs w:val="22"/>
            <w:lang w:eastAsia="en-AU"/>
          </w:rPr>
          <w:tab/>
        </w:r>
        <w:r w:rsidRPr="00452B32">
          <w:t>Casino gaming machine authorisation certificate—</w:t>
        </w:r>
        <w:r w:rsidRPr="00452B32">
          <w:rPr>
            <w:i/>
          </w:rPr>
          <w:t>maximum possible number</w:t>
        </w:r>
        <w:r w:rsidRPr="00452B32">
          <w:t xml:space="preserve"> of authorisations</w:t>
        </w:r>
        <w:r>
          <w:tab/>
        </w:r>
        <w:r>
          <w:fldChar w:fldCharType="begin"/>
        </w:r>
        <w:r>
          <w:instrText xml:space="preserve"> PAGEREF _Toc516729745 \h </w:instrText>
        </w:r>
        <w:r>
          <w:fldChar w:fldCharType="separate"/>
        </w:r>
        <w:r w:rsidR="00CE71D4">
          <w:t>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6" w:history="1">
        <w:r w:rsidRPr="00452B32">
          <w:t>7</w:t>
        </w:r>
        <w:r>
          <w:rPr>
            <w:rFonts w:asciiTheme="minorHAnsi" w:eastAsiaTheme="minorEastAsia" w:hAnsiTheme="minorHAnsi" w:cstheme="minorBidi"/>
            <w:sz w:val="22"/>
            <w:szCs w:val="22"/>
            <w:lang w:eastAsia="en-AU"/>
          </w:rPr>
          <w:tab/>
        </w:r>
        <w:r w:rsidRPr="00452B32">
          <w:t>Casino FATG authorisation certificate—</w:t>
        </w:r>
        <w:r w:rsidRPr="00452B32">
          <w:rPr>
            <w:i/>
          </w:rPr>
          <w:t>maximum possible number</w:t>
        </w:r>
        <w:r w:rsidRPr="00452B32">
          <w:t xml:space="preserve"> of authorisations</w:t>
        </w:r>
        <w:r>
          <w:tab/>
        </w:r>
        <w:r>
          <w:fldChar w:fldCharType="begin"/>
        </w:r>
        <w:r>
          <w:instrText xml:space="preserve"> PAGEREF _Toc516729746 \h </w:instrText>
        </w:r>
        <w:r>
          <w:fldChar w:fldCharType="separate"/>
        </w:r>
        <w:r w:rsidR="00CE71D4">
          <w:t>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7" w:history="1">
        <w:r w:rsidRPr="00452B32">
          <w:t>8</w:t>
        </w:r>
        <w:r>
          <w:rPr>
            <w:rFonts w:asciiTheme="minorHAnsi" w:eastAsiaTheme="minorEastAsia" w:hAnsiTheme="minorHAnsi" w:cstheme="minorBidi"/>
            <w:sz w:val="22"/>
            <w:szCs w:val="22"/>
            <w:lang w:eastAsia="en-AU"/>
          </w:rPr>
          <w:tab/>
        </w:r>
        <w:r w:rsidRPr="00452B32">
          <w:t xml:space="preserve">Meaning of </w:t>
        </w:r>
        <w:r w:rsidRPr="00452B32">
          <w:rPr>
            <w:i/>
          </w:rPr>
          <w:t>social impact assessment</w:t>
        </w:r>
        <w:r>
          <w:tab/>
        </w:r>
        <w:r>
          <w:fldChar w:fldCharType="begin"/>
        </w:r>
        <w:r>
          <w:instrText xml:space="preserve"> PAGEREF _Toc516729747 \h </w:instrText>
        </w:r>
        <w:r>
          <w:fldChar w:fldCharType="separate"/>
        </w:r>
        <w:r w:rsidR="00CE71D4">
          <w:t>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48" w:history="1">
        <w:r w:rsidRPr="00452B32">
          <w:t>9</w:t>
        </w:r>
        <w:r>
          <w:rPr>
            <w:rFonts w:asciiTheme="minorHAnsi" w:eastAsiaTheme="minorEastAsia" w:hAnsiTheme="minorHAnsi" w:cstheme="minorBidi"/>
            <w:sz w:val="22"/>
            <w:szCs w:val="22"/>
            <w:lang w:eastAsia="en-AU"/>
          </w:rPr>
          <w:tab/>
        </w:r>
        <w:r w:rsidRPr="00452B32">
          <w:t>Social impact assessment—publication</w:t>
        </w:r>
        <w:r>
          <w:tab/>
        </w:r>
        <w:r>
          <w:fldChar w:fldCharType="begin"/>
        </w:r>
        <w:r>
          <w:instrText xml:space="preserve"> PAGEREF _Toc516729748 \h </w:instrText>
        </w:r>
        <w:r>
          <w:fldChar w:fldCharType="separate"/>
        </w:r>
        <w:r w:rsidR="00CE71D4">
          <w:t>5</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49" w:history="1">
        <w:r w:rsidR="00951C4D" w:rsidRPr="00452B32">
          <w:t>Part 3</w:t>
        </w:r>
        <w:r w:rsidR="00951C4D">
          <w:rPr>
            <w:rFonts w:asciiTheme="minorHAnsi" w:eastAsiaTheme="minorEastAsia" w:hAnsiTheme="minorHAnsi" w:cstheme="minorBidi"/>
            <w:b w:val="0"/>
            <w:sz w:val="22"/>
            <w:szCs w:val="22"/>
            <w:lang w:eastAsia="en-AU"/>
          </w:rPr>
          <w:tab/>
        </w:r>
        <w:r w:rsidR="00951C4D" w:rsidRPr="00452B32">
          <w:t>Authorisations for electronic gaming</w:t>
        </w:r>
        <w:r w:rsidR="00951C4D" w:rsidRPr="00951C4D">
          <w:rPr>
            <w:vanish/>
          </w:rPr>
          <w:tab/>
        </w:r>
        <w:r w:rsidR="00951C4D" w:rsidRPr="00951C4D">
          <w:rPr>
            <w:vanish/>
          </w:rPr>
          <w:fldChar w:fldCharType="begin"/>
        </w:r>
        <w:r w:rsidR="00951C4D" w:rsidRPr="00951C4D">
          <w:rPr>
            <w:vanish/>
          </w:rPr>
          <w:instrText xml:space="preserve"> PAGEREF _Toc516729749 \h </w:instrText>
        </w:r>
        <w:r w:rsidR="00951C4D" w:rsidRPr="00951C4D">
          <w:rPr>
            <w:vanish/>
          </w:rPr>
        </w:r>
        <w:r w:rsidR="00951C4D" w:rsidRPr="00951C4D">
          <w:rPr>
            <w:vanish/>
          </w:rPr>
          <w:fldChar w:fldCharType="separate"/>
        </w:r>
        <w:r w:rsidR="00CE71D4">
          <w:rPr>
            <w:vanish/>
          </w:rPr>
          <w:t>8</w:t>
        </w:r>
        <w:r w:rsidR="00951C4D" w:rsidRPr="00951C4D">
          <w:rPr>
            <w:vanish/>
          </w:rPr>
          <w:fldChar w:fldCharType="end"/>
        </w:r>
      </w:hyperlink>
    </w:p>
    <w:p w:rsidR="00951C4D" w:rsidRDefault="00A66D89">
      <w:pPr>
        <w:pStyle w:val="TOC3"/>
        <w:rPr>
          <w:rFonts w:asciiTheme="minorHAnsi" w:eastAsiaTheme="minorEastAsia" w:hAnsiTheme="minorHAnsi" w:cstheme="minorBidi"/>
          <w:b w:val="0"/>
          <w:sz w:val="22"/>
          <w:szCs w:val="22"/>
          <w:lang w:eastAsia="en-AU"/>
        </w:rPr>
      </w:pPr>
      <w:hyperlink w:anchor="_Toc516729750" w:history="1">
        <w:r w:rsidR="00951C4D" w:rsidRPr="00452B32">
          <w:t>Division 3.1</w:t>
        </w:r>
        <w:r w:rsidR="00951C4D">
          <w:rPr>
            <w:rFonts w:asciiTheme="minorHAnsi" w:eastAsiaTheme="minorEastAsia" w:hAnsiTheme="minorHAnsi" w:cstheme="minorBidi"/>
            <w:b w:val="0"/>
            <w:sz w:val="22"/>
            <w:szCs w:val="22"/>
            <w:lang w:eastAsia="en-AU"/>
          </w:rPr>
          <w:tab/>
        </w:r>
        <w:r w:rsidR="00951C4D" w:rsidRPr="00452B32">
          <w:t>Casino gaming machine authorisation certificate</w:t>
        </w:r>
        <w:r w:rsidR="00951C4D" w:rsidRPr="00951C4D">
          <w:rPr>
            <w:vanish/>
          </w:rPr>
          <w:tab/>
        </w:r>
        <w:r w:rsidR="00951C4D" w:rsidRPr="00951C4D">
          <w:rPr>
            <w:vanish/>
          </w:rPr>
          <w:fldChar w:fldCharType="begin"/>
        </w:r>
        <w:r w:rsidR="00951C4D" w:rsidRPr="00951C4D">
          <w:rPr>
            <w:vanish/>
          </w:rPr>
          <w:instrText xml:space="preserve"> PAGEREF _Toc516729750 \h </w:instrText>
        </w:r>
        <w:r w:rsidR="00951C4D" w:rsidRPr="00951C4D">
          <w:rPr>
            <w:vanish/>
          </w:rPr>
        </w:r>
        <w:r w:rsidR="00951C4D" w:rsidRPr="00951C4D">
          <w:rPr>
            <w:vanish/>
          </w:rPr>
          <w:fldChar w:fldCharType="separate"/>
        </w:r>
        <w:r w:rsidR="00CE71D4">
          <w:rPr>
            <w:vanish/>
          </w:rPr>
          <w:t>8</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1" w:history="1">
        <w:r w:rsidRPr="00452B32">
          <w:t>10</w:t>
        </w:r>
        <w:r>
          <w:rPr>
            <w:rFonts w:asciiTheme="minorHAnsi" w:eastAsiaTheme="minorEastAsia" w:hAnsiTheme="minorHAnsi" w:cstheme="minorBidi"/>
            <w:sz w:val="22"/>
            <w:szCs w:val="22"/>
            <w:lang w:eastAsia="en-AU"/>
          </w:rPr>
          <w:tab/>
        </w:r>
        <w:r w:rsidRPr="00452B32">
          <w:t>Casino gaming machine authorisation certificate—application</w:t>
        </w:r>
        <w:r>
          <w:tab/>
        </w:r>
        <w:r>
          <w:fldChar w:fldCharType="begin"/>
        </w:r>
        <w:r>
          <w:instrText xml:space="preserve"> PAGEREF _Toc516729751 \h </w:instrText>
        </w:r>
        <w:r>
          <w:fldChar w:fldCharType="separate"/>
        </w:r>
        <w:r w:rsidR="00CE71D4">
          <w:t>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2" w:history="1">
        <w:r w:rsidRPr="00452B32">
          <w:t>11</w:t>
        </w:r>
        <w:r>
          <w:rPr>
            <w:rFonts w:asciiTheme="minorHAnsi" w:eastAsiaTheme="minorEastAsia" w:hAnsiTheme="minorHAnsi" w:cstheme="minorBidi"/>
            <w:sz w:val="22"/>
            <w:szCs w:val="22"/>
            <w:lang w:eastAsia="en-AU"/>
          </w:rPr>
          <w:tab/>
        </w:r>
        <w:r w:rsidRPr="00452B32">
          <w:t>Casino gaming machine authorisation certificate—decision on application</w:t>
        </w:r>
        <w:r>
          <w:tab/>
        </w:r>
        <w:r>
          <w:fldChar w:fldCharType="begin"/>
        </w:r>
        <w:r>
          <w:instrText xml:space="preserve"> PAGEREF _Toc516729752 \h </w:instrText>
        </w:r>
        <w:r>
          <w:fldChar w:fldCharType="separate"/>
        </w:r>
        <w:r w:rsidR="00CE71D4">
          <w:t>9</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3" w:history="1">
        <w:r w:rsidRPr="00452B32">
          <w:t>12</w:t>
        </w:r>
        <w:r>
          <w:rPr>
            <w:rFonts w:asciiTheme="minorHAnsi" w:eastAsiaTheme="minorEastAsia" w:hAnsiTheme="minorHAnsi" w:cstheme="minorBidi"/>
            <w:sz w:val="22"/>
            <w:szCs w:val="22"/>
            <w:lang w:eastAsia="en-AU"/>
          </w:rPr>
          <w:tab/>
        </w:r>
        <w:r w:rsidRPr="00452B32">
          <w:t>Casino gaming machine authorisation certificate—form</w:t>
        </w:r>
        <w:r>
          <w:tab/>
        </w:r>
        <w:r>
          <w:fldChar w:fldCharType="begin"/>
        </w:r>
        <w:r>
          <w:instrText xml:space="preserve"> PAGEREF _Toc516729753 \h </w:instrText>
        </w:r>
        <w:r>
          <w:fldChar w:fldCharType="separate"/>
        </w:r>
        <w:r w:rsidR="00CE71D4">
          <w:t>9</w:t>
        </w:r>
        <w:r>
          <w:fldChar w:fldCharType="end"/>
        </w:r>
      </w:hyperlink>
    </w:p>
    <w:p w:rsidR="00951C4D" w:rsidRDefault="00A66D89">
      <w:pPr>
        <w:pStyle w:val="TOC3"/>
        <w:rPr>
          <w:rFonts w:asciiTheme="minorHAnsi" w:eastAsiaTheme="minorEastAsia" w:hAnsiTheme="minorHAnsi" w:cstheme="minorBidi"/>
          <w:b w:val="0"/>
          <w:sz w:val="22"/>
          <w:szCs w:val="22"/>
          <w:lang w:eastAsia="en-AU"/>
        </w:rPr>
      </w:pPr>
      <w:hyperlink w:anchor="_Toc516729754" w:history="1">
        <w:r w:rsidR="00951C4D" w:rsidRPr="00452B32">
          <w:t>Division 3.2</w:t>
        </w:r>
        <w:r w:rsidR="00951C4D">
          <w:rPr>
            <w:rFonts w:asciiTheme="minorHAnsi" w:eastAsiaTheme="minorEastAsia" w:hAnsiTheme="minorHAnsi" w:cstheme="minorBidi"/>
            <w:b w:val="0"/>
            <w:sz w:val="22"/>
            <w:szCs w:val="22"/>
            <w:lang w:eastAsia="en-AU"/>
          </w:rPr>
          <w:tab/>
        </w:r>
        <w:r w:rsidR="00951C4D" w:rsidRPr="00452B32">
          <w:t>Casino FATG authorisation certificate</w:t>
        </w:r>
        <w:r w:rsidR="00951C4D" w:rsidRPr="00951C4D">
          <w:rPr>
            <w:vanish/>
          </w:rPr>
          <w:tab/>
        </w:r>
        <w:r w:rsidR="00951C4D" w:rsidRPr="00951C4D">
          <w:rPr>
            <w:vanish/>
          </w:rPr>
          <w:fldChar w:fldCharType="begin"/>
        </w:r>
        <w:r w:rsidR="00951C4D" w:rsidRPr="00951C4D">
          <w:rPr>
            <w:vanish/>
          </w:rPr>
          <w:instrText xml:space="preserve"> PAGEREF _Toc516729754 \h </w:instrText>
        </w:r>
        <w:r w:rsidR="00951C4D" w:rsidRPr="00951C4D">
          <w:rPr>
            <w:vanish/>
          </w:rPr>
        </w:r>
        <w:r w:rsidR="00951C4D" w:rsidRPr="00951C4D">
          <w:rPr>
            <w:vanish/>
          </w:rPr>
          <w:fldChar w:fldCharType="separate"/>
        </w:r>
        <w:r w:rsidR="00CE71D4">
          <w:rPr>
            <w:vanish/>
          </w:rPr>
          <w:t>10</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5" w:history="1">
        <w:r w:rsidRPr="00452B32">
          <w:t>13</w:t>
        </w:r>
        <w:r>
          <w:rPr>
            <w:rFonts w:asciiTheme="minorHAnsi" w:eastAsiaTheme="minorEastAsia" w:hAnsiTheme="minorHAnsi" w:cstheme="minorBidi"/>
            <w:sz w:val="22"/>
            <w:szCs w:val="22"/>
            <w:lang w:eastAsia="en-AU"/>
          </w:rPr>
          <w:tab/>
        </w:r>
        <w:r w:rsidRPr="00452B32">
          <w:t>Casino FATG authorisation certificate—application</w:t>
        </w:r>
        <w:r>
          <w:tab/>
        </w:r>
        <w:r>
          <w:fldChar w:fldCharType="begin"/>
        </w:r>
        <w:r>
          <w:instrText xml:space="preserve"> PAGEREF _Toc516729755 \h </w:instrText>
        </w:r>
        <w:r>
          <w:fldChar w:fldCharType="separate"/>
        </w:r>
        <w:r w:rsidR="00CE71D4">
          <w:t>10</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6" w:history="1">
        <w:r w:rsidRPr="00452B32">
          <w:t>14</w:t>
        </w:r>
        <w:r>
          <w:rPr>
            <w:rFonts w:asciiTheme="minorHAnsi" w:eastAsiaTheme="minorEastAsia" w:hAnsiTheme="minorHAnsi" w:cstheme="minorBidi"/>
            <w:sz w:val="22"/>
            <w:szCs w:val="22"/>
            <w:lang w:eastAsia="en-AU"/>
          </w:rPr>
          <w:tab/>
        </w:r>
        <w:r w:rsidRPr="00452B32">
          <w:t>Casino FATG authorisation certificate—decision on application</w:t>
        </w:r>
        <w:r>
          <w:tab/>
        </w:r>
        <w:r>
          <w:fldChar w:fldCharType="begin"/>
        </w:r>
        <w:r>
          <w:instrText xml:space="preserve"> PAGEREF _Toc516729756 \h </w:instrText>
        </w:r>
        <w:r>
          <w:fldChar w:fldCharType="separate"/>
        </w:r>
        <w:r w:rsidR="00CE71D4">
          <w:t>11</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7" w:history="1">
        <w:r w:rsidRPr="00452B32">
          <w:t>15</w:t>
        </w:r>
        <w:r>
          <w:rPr>
            <w:rFonts w:asciiTheme="minorHAnsi" w:eastAsiaTheme="minorEastAsia" w:hAnsiTheme="minorHAnsi" w:cstheme="minorBidi"/>
            <w:sz w:val="22"/>
            <w:szCs w:val="22"/>
            <w:lang w:eastAsia="en-AU"/>
          </w:rPr>
          <w:tab/>
        </w:r>
        <w:r w:rsidRPr="00452B32">
          <w:t>Casino FATG authorisation certificate—form</w:t>
        </w:r>
        <w:r>
          <w:tab/>
        </w:r>
        <w:r>
          <w:fldChar w:fldCharType="begin"/>
        </w:r>
        <w:r>
          <w:instrText xml:space="preserve"> PAGEREF _Toc516729757 \h </w:instrText>
        </w:r>
        <w:r>
          <w:fldChar w:fldCharType="separate"/>
        </w:r>
        <w:r w:rsidR="00CE71D4">
          <w:t>12</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58" w:history="1">
        <w:r w:rsidR="00951C4D" w:rsidRPr="00452B32">
          <w:t>Part 4</w:t>
        </w:r>
        <w:r w:rsidR="00951C4D">
          <w:rPr>
            <w:rFonts w:asciiTheme="minorHAnsi" w:eastAsiaTheme="minorEastAsia" w:hAnsiTheme="minorHAnsi" w:cstheme="minorBidi"/>
            <w:b w:val="0"/>
            <w:sz w:val="22"/>
            <w:szCs w:val="22"/>
            <w:lang w:eastAsia="en-AU"/>
          </w:rPr>
          <w:tab/>
        </w:r>
        <w:r w:rsidR="00951C4D" w:rsidRPr="00452B32">
          <w:t>Acquiring authorisations</w:t>
        </w:r>
        <w:r w:rsidR="00951C4D" w:rsidRPr="00951C4D">
          <w:rPr>
            <w:vanish/>
          </w:rPr>
          <w:tab/>
        </w:r>
        <w:r w:rsidR="00951C4D" w:rsidRPr="00951C4D">
          <w:rPr>
            <w:vanish/>
          </w:rPr>
          <w:fldChar w:fldCharType="begin"/>
        </w:r>
        <w:r w:rsidR="00951C4D" w:rsidRPr="00951C4D">
          <w:rPr>
            <w:vanish/>
          </w:rPr>
          <w:instrText xml:space="preserve"> PAGEREF _Toc516729758 \h </w:instrText>
        </w:r>
        <w:r w:rsidR="00951C4D" w:rsidRPr="00951C4D">
          <w:rPr>
            <w:vanish/>
          </w:rPr>
        </w:r>
        <w:r w:rsidR="00951C4D" w:rsidRPr="00951C4D">
          <w:rPr>
            <w:vanish/>
          </w:rPr>
          <w:fldChar w:fldCharType="separate"/>
        </w:r>
        <w:r w:rsidR="00CE71D4">
          <w:rPr>
            <w:vanish/>
          </w:rPr>
          <w:t>13</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59" w:history="1">
        <w:r w:rsidRPr="00452B32">
          <w:t>16</w:t>
        </w:r>
        <w:r>
          <w:rPr>
            <w:rFonts w:asciiTheme="minorHAnsi" w:eastAsiaTheme="minorEastAsia" w:hAnsiTheme="minorHAnsi" w:cstheme="minorBidi"/>
            <w:sz w:val="22"/>
            <w:szCs w:val="22"/>
            <w:lang w:eastAsia="en-AU"/>
          </w:rPr>
          <w:tab/>
        </w:r>
        <w:r w:rsidRPr="00452B32">
          <w:t>Acquiring authorisations for casino gaming machines and casino FATG terminals</w:t>
        </w:r>
        <w:r>
          <w:tab/>
        </w:r>
        <w:r>
          <w:fldChar w:fldCharType="begin"/>
        </w:r>
        <w:r>
          <w:instrText xml:space="preserve"> PAGEREF _Toc516729759 \h </w:instrText>
        </w:r>
        <w:r>
          <w:fldChar w:fldCharType="separate"/>
        </w:r>
        <w:r w:rsidR="00CE71D4">
          <w:t>13</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0" w:history="1">
        <w:r w:rsidRPr="00452B32">
          <w:t>17</w:t>
        </w:r>
        <w:r>
          <w:rPr>
            <w:rFonts w:asciiTheme="minorHAnsi" w:eastAsiaTheme="minorEastAsia" w:hAnsiTheme="minorHAnsi" w:cstheme="minorBidi"/>
            <w:sz w:val="22"/>
            <w:szCs w:val="22"/>
            <w:lang w:eastAsia="en-AU"/>
          </w:rPr>
          <w:tab/>
        </w:r>
        <w:r w:rsidRPr="00452B32">
          <w:t>Acquiring authorisations—forfeiture requirement</w:t>
        </w:r>
        <w:r>
          <w:tab/>
        </w:r>
        <w:r>
          <w:fldChar w:fldCharType="begin"/>
        </w:r>
        <w:r>
          <w:instrText xml:space="preserve"> PAGEREF _Toc516729760 \h </w:instrText>
        </w:r>
        <w:r>
          <w:fldChar w:fldCharType="separate"/>
        </w:r>
        <w:r w:rsidR="00CE71D4">
          <w:t>14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1" w:history="1">
        <w:r w:rsidRPr="00452B32">
          <w:t>18</w:t>
        </w:r>
        <w:r>
          <w:rPr>
            <w:rFonts w:asciiTheme="minorHAnsi" w:eastAsiaTheme="minorEastAsia" w:hAnsiTheme="minorHAnsi" w:cstheme="minorBidi"/>
            <w:sz w:val="22"/>
            <w:szCs w:val="22"/>
            <w:lang w:eastAsia="en-AU"/>
          </w:rPr>
          <w:tab/>
        </w:r>
        <w:r w:rsidRPr="00452B32">
          <w:t>Offence—acquiring authorisations</w:t>
        </w:r>
        <w:r>
          <w:tab/>
        </w:r>
        <w:r>
          <w:fldChar w:fldCharType="begin"/>
        </w:r>
        <w:r>
          <w:instrText xml:space="preserve"> PAGEREF _Toc516729761 \h </w:instrText>
        </w:r>
        <w:r>
          <w:fldChar w:fldCharType="separate"/>
        </w:r>
        <w:r w:rsidR="00CE71D4">
          <w:t>15</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2" w:history="1">
        <w:r w:rsidRPr="00452B32">
          <w:t>19</w:t>
        </w:r>
        <w:r>
          <w:rPr>
            <w:rFonts w:asciiTheme="minorHAnsi" w:eastAsiaTheme="minorEastAsia" w:hAnsiTheme="minorHAnsi" w:cstheme="minorBidi"/>
            <w:sz w:val="22"/>
            <w:szCs w:val="22"/>
            <w:lang w:eastAsia="en-AU"/>
          </w:rPr>
          <w:tab/>
        </w:r>
        <w:r w:rsidRPr="00452B32">
          <w:t>Disposal of gaming machines—application for storage permit</w:t>
        </w:r>
        <w:r>
          <w:tab/>
        </w:r>
        <w:r>
          <w:fldChar w:fldCharType="begin"/>
        </w:r>
        <w:r>
          <w:instrText xml:space="preserve"> PAGEREF _Toc516729762 \h </w:instrText>
        </w:r>
        <w:r>
          <w:fldChar w:fldCharType="separate"/>
        </w:r>
        <w:r w:rsidR="00CE71D4">
          <w:t>15</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3" w:history="1">
        <w:r w:rsidRPr="00452B32">
          <w:t>20</w:t>
        </w:r>
        <w:r>
          <w:rPr>
            <w:rFonts w:asciiTheme="minorHAnsi" w:eastAsiaTheme="minorEastAsia" w:hAnsiTheme="minorHAnsi" w:cstheme="minorBidi"/>
            <w:sz w:val="22"/>
            <w:szCs w:val="22"/>
            <w:lang w:eastAsia="en-AU"/>
          </w:rPr>
          <w:tab/>
        </w:r>
        <w:r w:rsidRPr="00452B32">
          <w:t>Restricted status of acquired authorisations</w:t>
        </w:r>
        <w:r>
          <w:tab/>
        </w:r>
        <w:r>
          <w:fldChar w:fldCharType="begin"/>
        </w:r>
        <w:r>
          <w:instrText xml:space="preserve"> PAGEREF _Toc516729763 \h </w:instrText>
        </w:r>
        <w:r>
          <w:fldChar w:fldCharType="separate"/>
        </w:r>
        <w:r w:rsidR="00CE71D4">
          <w:t>16</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64" w:history="1">
        <w:r w:rsidR="00951C4D" w:rsidRPr="00452B32">
          <w:t>Part 5</w:t>
        </w:r>
        <w:r w:rsidR="00951C4D">
          <w:rPr>
            <w:rFonts w:asciiTheme="minorHAnsi" w:eastAsiaTheme="minorEastAsia" w:hAnsiTheme="minorHAnsi" w:cstheme="minorBidi"/>
            <w:b w:val="0"/>
            <w:sz w:val="22"/>
            <w:szCs w:val="22"/>
            <w:lang w:eastAsia="en-AU"/>
          </w:rPr>
          <w:tab/>
        </w:r>
        <w:r w:rsidR="00951C4D" w:rsidRPr="00452B32">
          <w:t>Conversion of restricted authorisations</w:t>
        </w:r>
        <w:r w:rsidR="00951C4D" w:rsidRPr="00951C4D">
          <w:rPr>
            <w:vanish/>
          </w:rPr>
          <w:tab/>
        </w:r>
        <w:r w:rsidR="00951C4D" w:rsidRPr="00951C4D">
          <w:rPr>
            <w:vanish/>
          </w:rPr>
          <w:fldChar w:fldCharType="begin"/>
        </w:r>
        <w:r w:rsidR="00951C4D" w:rsidRPr="00951C4D">
          <w:rPr>
            <w:vanish/>
          </w:rPr>
          <w:instrText xml:space="preserve"> PAGEREF _Toc516729764 \h </w:instrText>
        </w:r>
        <w:r w:rsidR="00951C4D" w:rsidRPr="00951C4D">
          <w:rPr>
            <w:vanish/>
          </w:rPr>
        </w:r>
        <w:r w:rsidR="00951C4D" w:rsidRPr="00951C4D">
          <w:rPr>
            <w:vanish/>
          </w:rPr>
          <w:fldChar w:fldCharType="separate"/>
        </w:r>
        <w:r w:rsidR="00CE71D4">
          <w:rPr>
            <w:vanish/>
          </w:rPr>
          <w:t>17</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5" w:history="1">
        <w:r w:rsidRPr="00452B32">
          <w:t>21</w:t>
        </w:r>
        <w:r>
          <w:rPr>
            <w:rFonts w:asciiTheme="minorHAnsi" w:eastAsiaTheme="minorEastAsia" w:hAnsiTheme="minorHAnsi" w:cstheme="minorBidi"/>
            <w:sz w:val="22"/>
            <w:szCs w:val="22"/>
            <w:lang w:eastAsia="en-AU"/>
          </w:rPr>
          <w:tab/>
        </w:r>
        <w:r w:rsidRPr="00452B32">
          <w:t>Conversion of restricted authorisations—application</w:t>
        </w:r>
        <w:r>
          <w:tab/>
        </w:r>
        <w:r>
          <w:fldChar w:fldCharType="begin"/>
        </w:r>
        <w:r>
          <w:instrText xml:space="preserve"> PAGEREF _Toc516729765 \h </w:instrText>
        </w:r>
        <w:r>
          <w:fldChar w:fldCharType="separate"/>
        </w:r>
        <w:r w:rsidR="00CE71D4">
          <w:t>17</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6" w:history="1">
        <w:r w:rsidRPr="00452B32">
          <w:t>22</w:t>
        </w:r>
        <w:r>
          <w:rPr>
            <w:rFonts w:asciiTheme="minorHAnsi" w:eastAsiaTheme="minorEastAsia" w:hAnsiTheme="minorHAnsi" w:cstheme="minorBidi"/>
            <w:sz w:val="22"/>
            <w:szCs w:val="22"/>
            <w:lang w:eastAsia="en-AU"/>
          </w:rPr>
          <w:tab/>
        </w:r>
        <w:r w:rsidRPr="00452B32">
          <w:t>Conversion of restricted authorisations—decision</w:t>
        </w:r>
        <w:r>
          <w:tab/>
        </w:r>
        <w:r>
          <w:fldChar w:fldCharType="begin"/>
        </w:r>
        <w:r>
          <w:instrText xml:space="preserve"> PAGEREF _Toc516729766 \h </w:instrText>
        </w:r>
        <w:r>
          <w:fldChar w:fldCharType="separate"/>
        </w:r>
        <w:r w:rsidR="00CE71D4">
          <w:t>19</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7" w:history="1">
        <w:r w:rsidRPr="00452B32">
          <w:t>23</w:t>
        </w:r>
        <w:r>
          <w:rPr>
            <w:rFonts w:asciiTheme="minorHAnsi" w:eastAsiaTheme="minorEastAsia" w:hAnsiTheme="minorHAnsi" w:cstheme="minorBidi"/>
            <w:sz w:val="22"/>
            <w:szCs w:val="22"/>
            <w:lang w:eastAsia="en-AU"/>
          </w:rPr>
          <w:tab/>
        </w:r>
        <w:r w:rsidRPr="00452B32">
          <w:t>Status of restricted authorisations if development approval ends under Planning and Development Act 2007, s 184 or because no approval given</w:t>
        </w:r>
        <w:r>
          <w:tab/>
        </w:r>
        <w:r>
          <w:fldChar w:fldCharType="begin"/>
        </w:r>
        <w:r>
          <w:instrText xml:space="preserve"> PAGEREF _Toc516729767 \h </w:instrText>
        </w:r>
        <w:r>
          <w:fldChar w:fldCharType="separate"/>
        </w:r>
        <w:r w:rsidR="00CE71D4">
          <w:t>21</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8" w:history="1">
        <w:r w:rsidRPr="00452B32">
          <w:t>24</w:t>
        </w:r>
        <w:r>
          <w:rPr>
            <w:rFonts w:asciiTheme="minorHAnsi" w:eastAsiaTheme="minorEastAsia" w:hAnsiTheme="minorHAnsi" w:cstheme="minorBidi"/>
            <w:sz w:val="22"/>
            <w:szCs w:val="22"/>
            <w:lang w:eastAsia="en-AU"/>
          </w:rPr>
          <w:tab/>
        </w:r>
        <w:r w:rsidRPr="00452B32">
          <w:t>Status of restricted authorisations if development approval ends in other circumstances</w:t>
        </w:r>
        <w:r>
          <w:tab/>
        </w:r>
        <w:r>
          <w:fldChar w:fldCharType="begin"/>
        </w:r>
        <w:r>
          <w:instrText xml:space="preserve"> PAGEREF _Toc516729768 \h </w:instrText>
        </w:r>
        <w:r>
          <w:fldChar w:fldCharType="separate"/>
        </w:r>
        <w:r w:rsidR="00CE71D4">
          <w:t>21</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69" w:history="1">
        <w:r w:rsidRPr="00452B32">
          <w:t>25</w:t>
        </w:r>
        <w:r>
          <w:rPr>
            <w:rFonts w:asciiTheme="minorHAnsi" w:eastAsiaTheme="minorEastAsia" w:hAnsiTheme="minorHAnsi" w:cstheme="minorBidi"/>
            <w:sz w:val="22"/>
            <w:szCs w:val="22"/>
            <w:lang w:eastAsia="en-AU"/>
          </w:rPr>
          <w:tab/>
        </w:r>
        <w:r w:rsidRPr="00452B32">
          <w:t>Status of converted authorisations if development approval ends</w:t>
        </w:r>
        <w:r>
          <w:tab/>
        </w:r>
        <w:r>
          <w:fldChar w:fldCharType="begin"/>
        </w:r>
        <w:r>
          <w:instrText xml:space="preserve"> PAGEREF _Toc516729769 \h </w:instrText>
        </w:r>
        <w:r>
          <w:fldChar w:fldCharType="separate"/>
        </w:r>
        <w:r w:rsidR="00CE71D4">
          <w:t>23</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70" w:history="1">
        <w:r w:rsidR="00951C4D" w:rsidRPr="00452B32">
          <w:t>Part 6</w:t>
        </w:r>
        <w:r w:rsidR="00951C4D">
          <w:rPr>
            <w:rFonts w:asciiTheme="minorHAnsi" w:eastAsiaTheme="minorEastAsia" w:hAnsiTheme="minorHAnsi" w:cstheme="minorBidi"/>
            <w:b w:val="0"/>
            <w:sz w:val="22"/>
            <w:szCs w:val="22"/>
            <w:lang w:eastAsia="en-AU"/>
          </w:rPr>
          <w:tab/>
        </w:r>
        <w:r w:rsidR="00951C4D" w:rsidRPr="00452B32">
          <w:t>Acquiring casino gaming machines and casino FATG terminals</w:t>
        </w:r>
        <w:r w:rsidR="00951C4D" w:rsidRPr="00951C4D">
          <w:rPr>
            <w:vanish/>
          </w:rPr>
          <w:tab/>
        </w:r>
        <w:r w:rsidR="00951C4D" w:rsidRPr="00951C4D">
          <w:rPr>
            <w:vanish/>
          </w:rPr>
          <w:fldChar w:fldCharType="begin"/>
        </w:r>
        <w:r w:rsidR="00951C4D" w:rsidRPr="00951C4D">
          <w:rPr>
            <w:vanish/>
          </w:rPr>
          <w:instrText xml:space="preserve"> PAGEREF _Toc516729770 \h </w:instrText>
        </w:r>
        <w:r w:rsidR="00951C4D" w:rsidRPr="00951C4D">
          <w:rPr>
            <w:vanish/>
          </w:rPr>
        </w:r>
        <w:r w:rsidR="00951C4D" w:rsidRPr="00951C4D">
          <w:rPr>
            <w:vanish/>
          </w:rPr>
          <w:fldChar w:fldCharType="separate"/>
        </w:r>
        <w:r w:rsidR="00CE71D4">
          <w:rPr>
            <w:vanish/>
          </w:rPr>
          <w:t>24</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1" w:history="1">
        <w:r w:rsidRPr="00452B32">
          <w:t>26</w:t>
        </w:r>
        <w:r>
          <w:rPr>
            <w:rFonts w:asciiTheme="minorHAnsi" w:eastAsiaTheme="minorEastAsia" w:hAnsiTheme="minorHAnsi" w:cstheme="minorBidi"/>
            <w:sz w:val="22"/>
            <w:szCs w:val="22"/>
            <w:lang w:eastAsia="en-AU"/>
          </w:rPr>
          <w:tab/>
        </w:r>
        <w:r w:rsidRPr="00452B32">
          <w:t>Acquiring casino gaming machine under authorisation</w:t>
        </w:r>
        <w:r>
          <w:tab/>
        </w:r>
        <w:r>
          <w:fldChar w:fldCharType="begin"/>
        </w:r>
        <w:r>
          <w:instrText xml:space="preserve"> PAGEREF _Toc516729771 \h </w:instrText>
        </w:r>
        <w:r>
          <w:fldChar w:fldCharType="separate"/>
        </w:r>
        <w:r w:rsidR="00CE71D4">
          <w:t>24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2" w:history="1">
        <w:r w:rsidRPr="00452B32">
          <w:t>27</w:t>
        </w:r>
        <w:r>
          <w:rPr>
            <w:rFonts w:asciiTheme="minorHAnsi" w:eastAsiaTheme="minorEastAsia" w:hAnsiTheme="minorHAnsi" w:cstheme="minorBidi"/>
            <w:sz w:val="22"/>
            <w:szCs w:val="22"/>
            <w:lang w:eastAsia="en-AU"/>
          </w:rPr>
          <w:tab/>
        </w:r>
        <w:r w:rsidRPr="00452B32">
          <w:t>Offence—operating etc casino gaming machines without casino gaming machine authorisation</w:t>
        </w:r>
        <w:r>
          <w:tab/>
        </w:r>
        <w:r>
          <w:fldChar w:fldCharType="begin"/>
        </w:r>
        <w:r>
          <w:instrText xml:space="preserve"> PAGEREF _Toc516729772 \h </w:instrText>
        </w:r>
        <w:r>
          <w:fldChar w:fldCharType="separate"/>
        </w:r>
        <w:r w:rsidR="00CE71D4">
          <w:t>25</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3" w:history="1">
        <w:r w:rsidRPr="00452B32">
          <w:t>28</w:t>
        </w:r>
        <w:r>
          <w:rPr>
            <w:rFonts w:asciiTheme="minorHAnsi" w:eastAsiaTheme="minorEastAsia" w:hAnsiTheme="minorHAnsi" w:cstheme="minorBidi"/>
            <w:sz w:val="22"/>
            <w:szCs w:val="22"/>
            <w:lang w:eastAsia="en-AU"/>
          </w:rPr>
          <w:tab/>
        </w:r>
        <w:r w:rsidRPr="00452B32">
          <w:t>Acquiring casino FATG terminal under authorisation</w:t>
        </w:r>
        <w:r>
          <w:tab/>
        </w:r>
        <w:r>
          <w:fldChar w:fldCharType="begin"/>
        </w:r>
        <w:r>
          <w:instrText xml:space="preserve"> PAGEREF _Toc516729773 \h </w:instrText>
        </w:r>
        <w:r>
          <w:fldChar w:fldCharType="separate"/>
        </w:r>
        <w:r w:rsidR="00CE71D4">
          <w:t>26</w:t>
        </w:r>
        <w:r>
          <w:fldChar w:fldCharType="end"/>
        </w:r>
      </w:hyperlink>
    </w:p>
    <w:p w:rsidR="00951C4D" w:rsidRDefault="00951C4D">
      <w:pPr>
        <w:pStyle w:val="TOC5"/>
        <w:rPr>
          <w:rFonts w:asciiTheme="minorHAnsi" w:eastAsiaTheme="minorEastAsia" w:hAnsiTheme="minorHAnsi" w:cstheme="minorBidi"/>
          <w:sz w:val="22"/>
          <w:szCs w:val="22"/>
          <w:lang w:eastAsia="en-AU"/>
        </w:rPr>
      </w:pPr>
      <w:r>
        <w:lastRenderedPageBreak/>
        <w:tab/>
      </w:r>
      <w:hyperlink w:anchor="_Toc516729774" w:history="1">
        <w:r w:rsidRPr="00452B32">
          <w:t>29</w:t>
        </w:r>
        <w:r>
          <w:rPr>
            <w:rFonts w:asciiTheme="minorHAnsi" w:eastAsiaTheme="minorEastAsia" w:hAnsiTheme="minorHAnsi" w:cstheme="minorBidi"/>
            <w:sz w:val="22"/>
            <w:szCs w:val="22"/>
            <w:lang w:eastAsia="en-AU"/>
          </w:rPr>
          <w:tab/>
        </w:r>
        <w:r w:rsidRPr="00452B32">
          <w:t>Offence—operating etc casino FATG terminals without casino FATG terminal authorisation</w:t>
        </w:r>
        <w:r>
          <w:tab/>
        </w:r>
        <w:r>
          <w:fldChar w:fldCharType="begin"/>
        </w:r>
        <w:r>
          <w:instrText xml:space="preserve"> PAGEREF _Toc516729774 \h </w:instrText>
        </w:r>
        <w:r>
          <w:fldChar w:fldCharType="separate"/>
        </w:r>
        <w:r w:rsidR="00CE71D4">
          <w:t>27</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75" w:history="1">
        <w:r w:rsidR="00951C4D" w:rsidRPr="00452B32">
          <w:t>Part 7</w:t>
        </w:r>
        <w:r w:rsidR="00951C4D">
          <w:rPr>
            <w:rFonts w:asciiTheme="minorHAnsi" w:eastAsiaTheme="minorEastAsia" w:hAnsiTheme="minorHAnsi" w:cstheme="minorBidi"/>
            <w:b w:val="0"/>
            <w:sz w:val="22"/>
            <w:szCs w:val="22"/>
            <w:lang w:eastAsia="en-AU"/>
          </w:rPr>
          <w:tab/>
        </w:r>
        <w:r w:rsidR="00951C4D" w:rsidRPr="00452B32">
          <w:t>Casino gaming machines—pre</w:t>
        </w:r>
        <w:r w:rsidR="00951C4D" w:rsidRPr="00452B32">
          <w:noBreakHyphen/>
          <w:t>commitment system</w:t>
        </w:r>
        <w:r w:rsidR="00951C4D" w:rsidRPr="00951C4D">
          <w:rPr>
            <w:vanish/>
          </w:rPr>
          <w:tab/>
        </w:r>
        <w:r w:rsidR="00951C4D" w:rsidRPr="00951C4D">
          <w:rPr>
            <w:vanish/>
          </w:rPr>
          <w:fldChar w:fldCharType="begin"/>
        </w:r>
        <w:r w:rsidR="00951C4D" w:rsidRPr="00951C4D">
          <w:rPr>
            <w:vanish/>
          </w:rPr>
          <w:instrText xml:space="preserve"> PAGEREF _Toc516729775 \h </w:instrText>
        </w:r>
        <w:r w:rsidR="00951C4D" w:rsidRPr="00951C4D">
          <w:rPr>
            <w:vanish/>
          </w:rPr>
        </w:r>
        <w:r w:rsidR="00951C4D" w:rsidRPr="00951C4D">
          <w:rPr>
            <w:vanish/>
          </w:rPr>
          <w:fldChar w:fldCharType="separate"/>
        </w:r>
        <w:r w:rsidR="00CE71D4">
          <w:rPr>
            <w:vanish/>
          </w:rPr>
          <w:t>28</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6" w:history="1">
        <w:r w:rsidRPr="00452B32">
          <w:t>30</w:t>
        </w:r>
        <w:r>
          <w:rPr>
            <w:rFonts w:asciiTheme="minorHAnsi" w:eastAsiaTheme="minorEastAsia" w:hAnsiTheme="minorHAnsi" w:cstheme="minorBidi"/>
            <w:sz w:val="22"/>
            <w:szCs w:val="22"/>
            <w:lang w:eastAsia="en-AU"/>
          </w:rPr>
          <w:tab/>
        </w:r>
        <w:r w:rsidRPr="00452B32">
          <w:t>Definitions—pt 7</w:t>
        </w:r>
        <w:r>
          <w:tab/>
        </w:r>
        <w:r>
          <w:fldChar w:fldCharType="begin"/>
        </w:r>
        <w:r>
          <w:instrText xml:space="preserve"> PAGEREF _Toc516729776 \h </w:instrText>
        </w:r>
        <w:r>
          <w:fldChar w:fldCharType="separate"/>
        </w:r>
        <w:r w:rsidR="00CE71D4">
          <w:t>28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7" w:history="1">
        <w:r w:rsidRPr="00452B32">
          <w:t>31</w:t>
        </w:r>
        <w:r>
          <w:rPr>
            <w:rFonts w:asciiTheme="minorHAnsi" w:eastAsiaTheme="minorEastAsia" w:hAnsiTheme="minorHAnsi" w:cstheme="minorBidi"/>
            <w:sz w:val="22"/>
            <w:szCs w:val="22"/>
            <w:lang w:eastAsia="en-AU"/>
          </w:rPr>
          <w:tab/>
        </w:r>
        <w:r w:rsidRPr="00452B32">
          <w:t xml:space="preserve">Meaning of </w:t>
        </w:r>
        <w:r w:rsidRPr="00452B32">
          <w:rPr>
            <w:i/>
          </w:rPr>
          <w:t>pre-commitment system</w:t>
        </w:r>
        <w:r w:rsidRPr="00452B32">
          <w:t>—pt 7</w:t>
        </w:r>
        <w:r>
          <w:tab/>
        </w:r>
        <w:r>
          <w:fldChar w:fldCharType="begin"/>
        </w:r>
        <w:r>
          <w:instrText xml:space="preserve"> PAGEREF _Toc516729777 \h </w:instrText>
        </w:r>
        <w:r>
          <w:fldChar w:fldCharType="separate"/>
        </w:r>
        <w:r w:rsidR="00CE71D4">
          <w:t>28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8" w:history="1">
        <w:r w:rsidRPr="00452B32">
          <w:t>32</w:t>
        </w:r>
        <w:r>
          <w:rPr>
            <w:rFonts w:asciiTheme="minorHAnsi" w:eastAsiaTheme="minorEastAsia" w:hAnsiTheme="minorHAnsi" w:cstheme="minorBidi"/>
            <w:sz w:val="22"/>
            <w:szCs w:val="22"/>
            <w:lang w:eastAsia="en-AU"/>
          </w:rPr>
          <w:tab/>
        </w:r>
        <w:r w:rsidRPr="00452B32">
          <w:t>Casino licensee must provide PCS for casino gaming machines</w:t>
        </w:r>
        <w:r>
          <w:tab/>
        </w:r>
        <w:r>
          <w:fldChar w:fldCharType="begin"/>
        </w:r>
        <w:r>
          <w:instrText xml:space="preserve"> PAGEREF _Toc516729778 \h </w:instrText>
        </w:r>
        <w:r>
          <w:fldChar w:fldCharType="separate"/>
        </w:r>
        <w:r w:rsidR="00CE71D4">
          <w:t>29</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79" w:history="1">
        <w:r w:rsidRPr="00452B32">
          <w:t>33</w:t>
        </w:r>
        <w:r>
          <w:rPr>
            <w:rFonts w:asciiTheme="minorHAnsi" w:eastAsiaTheme="minorEastAsia" w:hAnsiTheme="minorHAnsi" w:cstheme="minorBidi"/>
            <w:sz w:val="22"/>
            <w:szCs w:val="22"/>
            <w:lang w:eastAsia="en-AU"/>
          </w:rPr>
          <w:tab/>
        </w:r>
        <w:r w:rsidRPr="00452B32">
          <w:t>PCS—offences</w:t>
        </w:r>
        <w:r>
          <w:tab/>
        </w:r>
        <w:r>
          <w:fldChar w:fldCharType="begin"/>
        </w:r>
        <w:r>
          <w:instrText xml:space="preserve"> PAGEREF _Toc516729779 \h </w:instrText>
        </w:r>
        <w:r>
          <w:fldChar w:fldCharType="separate"/>
        </w:r>
        <w:r w:rsidR="00CE71D4">
          <w:t>30</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0" w:history="1">
        <w:r w:rsidRPr="00452B32">
          <w:t>34</w:t>
        </w:r>
        <w:r>
          <w:rPr>
            <w:rFonts w:asciiTheme="minorHAnsi" w:eastAsiaTheme="minorEastAsia" w:hAnsiTheme="minorHAnsi" w:cstheme="minorBidi"/>
            <w:sz w:val="22"/>
            <w:szCs w:val="22"/>
            <w:lang w:eastAsia="en-AU"/>
          </w:rPr>
          <w:tab/>
        </w:r>
        <w:r w:rsidRPr="00452B32">
          <w:t>PCS—use or disclosure of pre-commitment information</w:t>
        </w:r>
        <w:r>
          <w:tab/>
        </w:r>
        <w:r>
          <w:fldChar w:fldCharType="begin"/>
        </w:r>
        <w:r>
          <w:instrText xml:space="preserve"> PAGEREF _Toc516729780 \h </w:instrText>
        </w:r>
        <w:r>
          <w:fldChar w:fldCharType="separate"/>
        </w:r>
        <w:r w:rsidR="00CE71D4">
          <w:t>31</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1" w:history="1">
        <w:r w:rsidRPr="00452B32">
          <w:t>35</w:t>
        </w:r>
        <w:r>
          <w:rPr>
            <w:rFonts w:asciiTheme="minorHAnsi" w:eastAsiaTheme="minorEastAsia" w:hAnsiTheme="minorHAnsi" w:cstheme="minorBidi"/>
            <w:sz w:val="22"/>
            <w:szCs w:val="22"/>
            <w:lang w:eastAsia="en-AU"/>
          </w:rPr>
          <w:tab/>
        </w:r>
        <w:r w:rsidRPr="00452B32">
          <w:t>Regulations about PCS</w:t>
        </w:r>
        <w:r>
          <w:tab/>
        </w:r>
        <w:r>
          <w:fldChar w:fldCharType="begin"/>
        </w:r>
        <w:r>
          <w:instrText xml:space="preserve"> PAGEREF _Toc516729781 \h </w:instrText>
        </w:r>
        <w:r>
          <w:fldChar w:fldCharType="separate"/>
        </w:r>
        <w:r w:rsidR="00CE71D4">
          <w:t>32</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82" w:history="1">
        <w:r w:rsidR="00951C4D" w:rsidRPr="00452B32">
          <w:t>Part 8</w:t>
        </w:r>
        <w:r w:rsidR="00951C4D">
          <w:rPr>
            <w:rFonts w:asciiTheme="minorHAnsi" w:eastAsiaTheme="minorEastAsia" w:hAnsiTheme="minorHAnsi" w:cstheme="minorBidi"/>
            <w:b w:val="0"/>
            <w:sz w:val="22"/>
            <w:szCs w:val="22"/>
            <w:lang w:eastAsia="en-AU"/>
          </w:rPr>
          <w:tab/>
        </w:r>
        <w:r w:rsidR="00951C4D" w:rsidRPr="00452B32">
          <w:t>Amendment, surrender and cancellation of authorisation certificates and authorisation schedules</w:t>
        </w:r>
        <w:r w:rsidR="00951C4D" w:rsidRPr="00951C4D">
          <w:rPr>
            <w:vanish/>
          </w:rPr>
          <w:tab/>
        </w:r>
        <w:r w:rsidR="00951C4D" w:rsidRPr="00951C4D">
          <w:rPr>
            <w:vanish/>
          </w:rPr>
          <w:fldChar w:fldCharType="begin"/>
        </w:r>
        <w:r w:rsidR="00951C4D" w:rsidRPr="00951C4D">
          <w:rPr>
            <w:vanish/>
          </w:rPr>
          <w:instrText xml:space="preserve"> PAGEREF _Toc516729782 \h </w:instrText>
        </w:r>
        <w:r w:rsidR="00951C4D" w:rsidRPr="00951C4D">
          <w:rPr>
            <w:vanish/>
          </w:rPr>
        </w:r>
        <w:r w:rsidR="00951C4D" w:rsidRPr="00951C4D">
          <w:rPr>
            <w:vanish/>
          </w:rPr>
          <w:fldChar w:fldCharType="separate"/>
        </w:r>
        <w:r w:rsidR="00CE71D4">
          <w:rPr>
            <w:vanish/>
          </w:rPr>
          <w:t>33</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3" w:history="1">
        <w:r w:rsidRPr="00452B32">
          <w:t>36</w:t>
        </w:r>
        <w:r>
          <w:rPr>
            <w:rFonts w:asciiTheme="minorHAnsi" w:eastAsiaTheme="minorEastAsia" w:hAnsiTheme="minorHAnsi" w:cstheme="minorBidi"/>
            <w:sz w:val="22"/>
            <w:szCs w:val="22"/>
            <w:lang w:eastAsia="en-AU"/>
          </w:rPr>
          <w:tab/>
        </w:r>
        <w:r w:rsidRPr="00452B32">
          <w:t>Authorisation certificate amendment—application</w:t>
        </w:r>
        <w:r>
          <w:tab/>
        </w:r>
        <w:r>
          <w:fldChar w:fldCharType="begin"/>
        </w:r>
        <w:r>
          <w:instrText xml:space="preserve"> PAGEREF _Toc516729783 \h </w:instrText>
        </w:r>
        <w:r>
          <w:fldChar w:fldCharType="separate"/>
        </w:r>
        <w:r w:rsidR="00CE71D4">
          <w:t>33</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4" w:history="1">
        <w:r w:rsidRPr="00452B32">
          <w:t>37</w:t>
        </w:r>
        <w:r>
          <w:rPr>
            <w:rFonts w:asciiTheme="minorHAnsi" w:eastAsiaTheme="minorEastAsia" w:hAnsiTheme="minorHAnsi" w:cstheme="minorBidi"/>
            <w:sz w:val="22"/>
            <w:szCs w:val="22"/>
            <w:lang w:eastAsia="en-AU"/>
          </w:rPr>
          <w:tab/>
        </w:r>
        <w:r w:rsidRPr="00452B32">
          <w:t>Authorisation certificate amendment—contents of application</w:t>
        </w:r>
        <w:r>
          <w:tab/>
        </w:r>
        <w:r>
          <w:fldChar w:fldCharType="begin"/>
        </w:r>
        <w:r>
          <w:instrText xml:space="preserve"> PAGEREF _Toc516729784 \h </w:instrText>
        </w:r>
        <w:r>
          <w:fldChar w:fldCharType="separate"/>
        </w:r>
        <w:r w:rsidR="00CE71D4">
          <w:t>34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5" w:history="1">
        <w:r w:rsidRPr="00452B32">
          <w:t>38</w:t>
        </w:r>
        <w:r>
          <w:rPr>
            <w:rFonts w:asciiTheme="minorHAnsi" w:eastAsiaTheme="minorEastAsia" w:hAnsiTheme="minorHAnsi" w:cstheme="minorBidi"/>
            <w:sz w:val="22"/>
            <w:szCs w:val="22"/>
            <w:lang w:eastAsia="en-AU"/>
          </w:rPr>
          <w:tab/>
        </w:r>
        <w:r w:rsidRPr="00452B32">
          <w:t>Authorisation certificate amendment decision—gaming area amendment</w:t>
        </w:r>
        <w:r>
          <w:tab/>
        </w:r>
        <w:r>
          <w:fldChar w:fldCharType="begin"/>
        </w:r>
        <w:r>
          <w:instrText xml:space="preserve"> PAGEREF _Toc516729785 \h </w:instrText>
        </w:r>
        <w:r>
          <w:fldChar w:fldCharType="separate"/>
        </w:r>
        <w:r w:rsidR="00CE71D4">
          <w:t>34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6" w:history="1">
        <w:r w:rsidRPr="00452B32">
          <w:t>39</w:t>
        </w:r>
        <w:r>
          <w:rPr>
            <w:rFonts w:asciiTheme="minorHAnsi" w:eastAsiaTheme="minorEastAsia" w:hAnsiTheme="minorHAnsi" w:cstheme="minorBidi"/>
            <w:sz w:val="22"/>
            <w:szCs w:val="22"/>
            <w:lang w:eastAsia="en-AU"/>
          </w:rPr>
          <w:tab/>
        </w:r>
        <w:r w:rsidRPr="00452B32">
          <w:t>Amendment of authorisation certificate and authorisation schedule</w:t>
        </w:r>
        <w:r>
          <w:tab/>
        </w:r>
        <w:r>
          <w:fldChar w:fldCharType="begin"/>
        </w:r>
        <w:r>
          <w:instrText xml:space="preserve"> PAGEREF _Toc516729786 \h </w:instrText>
        </w:r>
        <w:r>
          <w:fldChar w:fldCharType="separate"/>
        </w:r>
        <w:r w:rsidR="00CE71D4">
          <w:t>35</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7" w:history="1">
        <w:r w:rsidRPr="00452B32">
          <w:t>40</w:t>
        </w:r>
        <w:r>
          <w:rPr>
            <w:rFonts w:asciiTheme="minorHAnsi" w:eastAsiaTheme="minorEastAsia" w:hAnsiTheme="minorHAnsi" w:cstheme="minorBidi"/>
            <w:sz w:val="22"/>
            <w:szCs w:val="22"/>
            <w:lang w:eastAsia="en-AU"/>
          </w:rPr>
          <w:tab/>
        </w:r>
        <w:r w:rsidRPr="00452B32">
          <w:t>Re-issue of amended authorisation certificate and authorisation schedule</w:t>
        </w:r>
        <w:r>
          <w:tab/>
        </w:r>
        <w:r>
          <w:fldChar w:fldCharType="begin"/>
        </w:r>
        <w:r>
          <w:instrText xml:space="preserve"> PAGEREF _Toc516729787 \h </w:instrText>
        </w:r>
        <w:r>
          <w:fldChar w:fldCharType="separate"/>
        </w:r>
        <w:r w:rsidR="00CE71D4">
          <w:t>37</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8" w:history="1">
        <w:r w:rsidRPr="00452B32">
          <w:t>41</w:t>
        </w:r>
        <w:r>
          <w:rPr>
            <w:rFonts w:asciiTheme="minorHAnsi" w:eastAsiaTheme="minorEastAsia" w:hAnsiTheme="minorHAnsi" w:cstheme="minorBidi"/>
            <w:sz w:val="22"/>
            <w:szCs w:val="22"/>
            <w:lang w:eastAsia="en-AU"/>
          </w:rPr>
          <w:tab/>
        </w:r>
        <w:r w:rsidRPr="00452B32">
          <w:t>Cancellation of authorisation certificates and authorisations on surrender of casino licence</w:t>
        </w:r>
        <w:r>
          <w:tab/>
        </w:r>
        <w:r>
          <w:fldChar w:fldCharType="begin"/>
        </w:r>
        <w:r>
          <w:instrText xml:space="preserve"> PAGEREF _Toc516729788 \h </w:instrText>
        </w:r>
        <w:r>
          <w:fldChar w:fldCharType="separate"/>
        </w:r>
        <w:r w:rsidR="00CE71D4">
          <w:t>38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89" w:history="1">
        <w:r w:rsidRPr="00452B32">
          <w:t>42</w:t>
        </w:r>
        <w:r>
          <w:rPr>
            <w:rFonts w:asciiTheme="minorHAnsi" w:eastAsiaTheme="minorEastAsia" w:hAnsiTheme="minorHAnsi" w:cstheme="minorBidi"/>
            <w:sz w:val="22"/>
            <w:szCs w:val="22"/>
            <w:lang w:eastAsia="en-AU"/>
          </w:rPr>
          <w:tab/>
        </w:r>
        <w:r w:rsidRPr="00452B32">
          <w:t>Cancellation of authorisation certificates and authorisations—forfeiture</w:t>
        </w:r>
        <w:r>
          <w:tab/>
        </w:r>
        <w:r>
          <w:fldChar w:fldCharType="begin"/>
        </w:r>
        <w:r>
          <w:instrText xml:space="preserve"> PAGEREF _Toc516729789 \h </w:instrText>
        </w:r>
        <w:r>
          <w:fldChar w:fldCharType="separate"/>
        </w:r>
        <w:r w:rsidR="00CE71D4">
          <w:t>39</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0" w:history="1">
        <w:r w:rsidRPr="00452B32">
          <w:t>43</w:t>
        </w:r>
        <w:r>
          <w:rPr>
            <w:rFonts w:asciiTheme="minorHAnsi" w:eastAsiaTheme="minorEastAsia" w:hAnsiTheme="minorHAnsi" w:cstheme="minorBidi"/>
            <w:sz w:val="22"/>
            <w:szCs w:val="22"/>
            <w:lang w:eastAsia="en-AU"/>
          </w:rPr>
          <w:tab/>
        </w:r>
        <w:r w:rsidRPr="00452B32">
          <w:t>Surrender of authorisation certificates and authorisations</w:t>
        </w:r>
        <w:r>
          <w:tab/>
        </w:r>
        <w:r>
          <w:fldChar w:fldCharType="begin"/>
        </w:r>
        <w:r>
          <w:instrText xml:space="preserve"> PAGEREF _Toc516729790 \h </w:instrText>
        </w:r>
        <w:r>
          <w:fldChar w:fldCharType="separate"/>
        </w:r>
        <w:r w:rsidR="00CE71D4">
          <w:t>39</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1" w:history="1">
        <w:r w:rsidRPr="00452B32">
          <w:t>44</w:t>
        </w:r>
        <w:r>
          <w:rPr>
            <w:rFonts w:asciiTheme="minorHAnsi" w:eastAsiaTheme="minorEastAsia" w:hAnsiTheme="minorHAnsi" w:cstheme="minorBidi"/>
            <w:sz w:val="22"/>
            <w:szCs w:val="22"/>
            <w:lang w:eastAsia="en-AU"/>
          </w:rPr>
          <w:tab/>
        </w:r>
        <w:r w:rsidRPr="00452B32">
          <w:t>Offence—failure to dispose of casino gaming machines and casino FATG terminals</w:t>
        </w:r>
        <w:r>
          <w:tab/>
        </w:r>
        <w:r>
          <w:fldChar w:fldCharType="begin"/>
        </w:r>
        <w:r>
          <w:instrText xml:space="preserve"> PAGEREF _Toc516729791 \h </w:instrText>
        </w:r>
        <w:r>
          <w:fldChar w:fldCharType="separate"/>
        </w:r>
        <w:r w:rsidR="00CE71D4">
          <w:t>40</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92" w:history="1">
        <w:r w:rsidR="00951C4D" w:rsidRPr="00452B32">
          <w:t>Part 9</w:t>
        </w:r>
        <w:r w:rsidR="00951C4D">
          <w:rPr>
            <w:rFonts w:asciiTheme="minorHAnsi" w:eastAsiaTheme="minorEastAsia" w:hAnsiTheme="minorHAnsi" w:cstheme="minorBidi"/>
            <w:b w:val="0"/>
            <w:sz w:val="22"/>
            <w:szCs w:val="22"/>
            <w:lang w:eastAsia="en-AU"/>
          </w:rPr>
          <w:tab/>
        </w:r>
        <w:r w:rsidR="00951C4D" w:rsidRPr="00452B32">
          <w:t>Notification and review of decisions</w:t>
        </w:r>
        <w:r w:rsidR="00951C4D" w:rsidRPr="00951C4D">
          <w:rPr>
            <w:vanish/>
          </w:rPr>
          <w:tab/>
        </w:r>
        <w:r w:rsidR="00951C4D" w:rsidRPr="00951C4D">
          <w:rPr>
            <w:vanish/>
          </w:rPr>
          <w:fldChar w:fldCharType="begin"/>
        </w:r>
        <w:r w:rsidR="00951C4D" w:rsidRPr="00951C4D">
          <w:rPr>
            <w:vanish/>
          </w:rPr>
          <w:instrText xml:space="preserve"> PAGEREF _Toc516729792 \h </w:instrText>
        </w:r>
        <w:r w:rsidR="00951C4D" w:rsidRPr="00951C4D">
          <w:rPr>
            <w:vanish/>
          </w:rPr>
        </w:r>
        <w:r w:rsidR="00951C4D" w:rsidRPr="00951C4D">
          <w:rPr>
            <w:vanish/>
          </w:rPr>
          <w:fldChar w:fldCharType="separate"/>
        </w:r>
        <w:r w:rsidR="00CE71D4">
          <w:rPr>
            <w:vanish/>
          </w:rPr>
          <w:t>42</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3" w:history="1">
        <w:r w:rsidRPr="00452B32">
          <w:t>45</w:t>
        </w:r>
        <w:r>
          <w:rPr>
            <w:rFonts w:asciiTheme="minorHAnsi" w:eastAsiaTheme="minorEastAsia" w:hAnsiTheme="minorHAnsi" w:cstheme="minorBidi"/>
            <w:sz w:val="22"/>
            <w:szCs w:val="22"/>
            <w:lang w:eastAsia="en-AU"/>
          </w:rPr>
          <w:tab/>
        </w:r>
        <w:r w:rsidRPr="00452B32">
          <w:t xml:space="preserve">Meaning of </w:t>
        </w:r>
        <w:r w:rsidRPr="00452B32">
          <w:rPr>
            <w:i/>
          </w:rPr>
          <w:t>reviewable decision</w:t>
        </w:r>
        <w:r w:rsidRPr="00452B32">
          <w:t>—pt 9</w:t>
        </w:r>
        <w:r>
          <w:tab/>
        </w:r>
        <w:r>
          <w:fldChar w:fldCharType="begin"/>
        </w:r>
        <w:r>
          <w:instrText xml:space="preserve"> PAGEREF _Toc516729793 \h </w:instrText>
        </w:r>
        <w:r>
          <w:fldChar w:fldCharType="separate"/>
        </w:r>
        <w:r w:rsidR="00CE71D4">
          <w:t>42</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4" w:history="1">
        <w:r w:rsidRPr="00452B32">
          <w:t>46</w:t>
        </w:r>
        <w:r>
          <w:rPr>
            <w:rFonts w:asciiTheme="minorHAnsi" w:eastAsiaTheme="minorEastAsia" w:hAnsiTheme="minorHAnsi" w:cstheme="minorBidi"/>
            <w:sz w:val="22"/>
            <w:szCs w:val="22"/>
            <w:lang w:eastAsia="en-AU"/>
          </w:rPr>
          <w:tab/>
        </w:r>
        <w:r w:rsidRPr="00452B32">
          <w:t>Reviewable decision notices</w:t>
        </w:r>
        <w:r>
          <w:tab/>
        </w:r>
        <w:r>
          <w:fldChar w:fldCharType="begin"/>
        </w:r>
        <w:r>
          <w:instrText xml:space="preserve"> PAGEREF _Toc516729794 \h </w:instrText>
        </w:r>
        <w:r>
          <w:fldChar w:fldCharType="separate"/>
        </w:r>
        <w:r w:rsidR="00CE71D4">
          <w:t>42</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5" w:history="1">
        <w:r w:rsidRPr="00452B32">
          <w:t>47</w:t>
        </w:r>
        <w:r>
          <w:rPr>
            <w:rFonts w:asciiTheme="minorHAnsi" w:eastAsiaTheme="minorEastAsia" w:hAnsiTheme="minorHAnsi" w:cstheme="minorBidi"/>
            <w:sz w:val="22"/>
            <w:szCs w:val="22"/>
            <w:lang w:eastAsia="en-AU"/>
          </w:rPr>
          <w:tab/>
        </w:r>
        <w:r w:rsidRPr="00452B32">
          <w:t>Applications for review</w:t>
        </w:r>
        <w:r>
          <w:tab/>
        </w:r>
        <w:r>
          <w:fldChar w:fldCharType="begin"/>
        </w:r>
        <w:r>
          <w:instrText xml:space="preserve"> PAGEREF _Toc516729795 \h </w:instrText>
        </w:r>
        <w:r>
          <w:fldChar w:fldCharType="separate"/>
        </w:r>
        <w:r w:rsidR="00CE71D4">
          <w:t>42</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796" w:history="1">
        <w:r w:rsidR="00951C4D" w:rsidRPr="00452B32">
          <w:t>Part 10</w:t>
        </w:r>
        <w:r w:rsidR="00951C4D">
          <w:rPr>
            <w:rFonts w:asciiTheme="minorHAnsi" w:eastAsiaTheme="minorEastAsia" w:hAnsiTheme="minorHAnsi" w:cstheme="minorBidi"/>
            <w:b w:val="0"/>
            <w:sz w:val="22"/>
            <w:szCs w:val="22"/>
            <w:lang w:eastAsia="en-AU"/>
          </w:rPr>
          <w:tab/>
        </w:r>
        <w:r w:rsidR="00951C4D" w:rsidRPr="00452B32">
          <w:t>Notifiable actions</w:t>
        </w:r>
        <w:r w:rsidR="00951C4D" w:rsidRPr="00951C4D">
          <w:rPr>
            <w:vanish/>
          </w:rPr>
          <w:tab/>
        </w:r>
        <w:r w:rsidR="00951C4D" w:rsidRPr="00951C4D">
          <w:rPr>
            <w:vanish/>
          </w:rPr>
          <w:fldChar w:fldCharType="begin"/>
        </w:r>
        <w:r w:rsidR="00951C4D" w:rsidRPr="00951C4D">
          <w:rPr>
            <w:vanish/>
          </w:rPr>
          <w:instrText xml:space="preserve"> PAGEREF _Toc516729796 \h </w:instrText>
        </w:r>
        <w:r w:rsidR="00951C4D" w:rsidRPr="00951C4D">
          <w:rPr>
            <w:vanish/>
          </w:rPr>
        </w:r>
        <w:r w:rsidR="00951C4D" w:rsidRPr="00951C4D">
          <w:rPr>
            <w:vanish/>
          </w:rPr>
          <w:fldChar w:fldCharType="separate"/>
        </w:r>
        <w:r w:rsidR="00CE71D4">
          <w:rPr>
            <w:vanish/>
          </w:rPr>
          <w:t>43</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7" w:history="1">
        <w:r w:rsidRPr="00452B32">
          <w:t>48</w:t>
        </w:r>
        <w:r>
          <w:rPr>
            <w:rFonts w:asciiTheme="minorHAnsi" w:eastAsiaTheme="minorEastAsia" w:hAnsiTheme="minorHAnsi" w:cstheme="minorBidi"/>
            <w:sz w:val="22"/>
            <w:szCs w:val="22"/>
            <w:lang w:eastAsia="en-AU"/>
          </w:rPr>
          <w:tab/>
        </w:r>
        <w:r w:rsidRPr="00452B32">
          <w:t>Definitions—Act</w:t>
        </w:r>
        <w:r>
          <w:tab/>
        </w:r>
        <w:r>
          <w:fldChar w:fldCharType="begin"/>
        </w:r>
        <w:r>
          <w:instrText xml:space="preserve"> PAGEREF _Toc516729797 \h </w:instrText>
        </w:r>
        <w:r>
          <w:fldChar w:fldCharType="separate"/>
        </w:r>
        <w:r w:rsidR="00CE71D4">
          <w:t>43</w:t>
        </w:r>
        <w:r>
          <w:fldChar w:fldCharType="end"/>
        </w:r>
      </w:hyperlink>
    </w:p>
    <w:p w:rsidR="00951C4D" w:rsidRDefault="00951C4D">
      <w:pPr>
        <w:pStyle w:val="TOC5"/>
        <w:rPr>
          <w:rFonts w:asciiTheme="minorHAnsi" w:eastAsiaTheme="minorEastAsia" w:hAnsiTheme="minorHAnsi" w:cstheme="minorBidi"/>
          <w:sz w:val="22"/>
          <w:szCs w:val="22"/>
          <w:lang w:eastAsia="en-AU"/>
        </w:rPr>
      </w:pPr>
      <w:r>
        <w:lastRenderedPageBreak/>
        <w:tab/>
      </w:r>
      <w:hyperlink w:anchor="_Toc516729798" w:history="1">
        <w:r w:rsidRPr="00452B32">
          <w:t>49</w:t>
        </w:r>
        <w:r>
          <w:rPr>
            <w:rFonts w:asciiTheme="minorHAnsi" w:eastAsiaTheme="minorEastAsia" w:hAnsiTheme="minorHAnsi" w:cstheme="minorBidi"/>
            <w:sz w:val="22"/>
            <w:szCs w:val="22"/>
            <w:lang w:eastAsia="en-AU"/>
          </w:rPr>
          <w:tab/>
        </w:r>
        <w:r w:rsidRPr="00452B32">
          <w:t>Notifiable actions</w:t>
        </w:r>
        <w:r>
          <w:tab/>
        </w:r>
        <w:r>
          <w:fldChar w:fldCharType="begin"/>
        </w:r>
        <w:r>
          <w:instrText xml:space="preserve"> PAGEREF _Toc516729798 \h </w:instrText>
        </w:r>
        <w:r>
          <w:fldChar w:fldCharType="separate"/>
        </w:r>
        <w:r w:rsidR="00CE71D4">
          <w:t>43</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799" w:history="1">
        <w:r w:rsidRPr="00452B32">
          <w:t>50</w:t>
        </w:r>
        <w:r>
          <w:rPr>
            <w:rFonts w:asciiTheme="minorHAnsi" w:eastAsiaTheme="minorEastAsia" w:hAnsiTheme="minorHAnsi" w:cstheme="minorBidi"/>
            <w:sz w:val="22"/>
            <w:szCs w:val="22"/>
            <w:lang w:eastAsia="en-AU"/>
          </w:rPr>
          <w:tab/>
        </w:r>
        <w:r w:rsidRPr="00452B32">
          <w:t>Notifiable actions—date of effect</w:t>
        </w:r>
        <w:r>
          <w:tab/>
        </w:r>
        <w:r>
          <w:fldChar w:fldCharType="begin"/>
        </w:r>
        <w:r>
          <w:instrText xml:space="preserve"> PAGEREF _Toc516729799 \h </w:instrText>
        </w:r>
        <w:r>
          <w:fldChar w:fldCharType="separate"/>
        </w:r>
        <w:r w:rsidR="00CE71D4">
          <w:t>44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00" w:history="1">
        <w:r w:rsidRPr="00452B32">
          <w:t>51</w:t>
        </w:r>
        <w:r>
          <w:rPr>
            <w:rFonts w:asciiTheme="minorHAnsi" w:eastAsiaTheme="minorEastAsia" w:hAnsiTheme="minorHAnsi" w:cstheme="minorBidi"/>
            <w:sz w:val="22"/>
            <w:szCs w:val="22"/>
            <w:lang w:eastAsia="en-AU"/>
          </w:rPr>
          <w:tab/>
        </w:r>
        <w:r w:rsidRPr="00452B32">
          <w:t>Notifiable action—amendment or cancellation</w:t>
        </w:r>
        <w:r>
          <w:tab/>
        </w:r>
        <w:r>
          <w:fldChar w:fldCharType="begin"/>
        </w:r>
        <w:r>
          <w:instrText xml:space="preserve"> PAGEREF _Toc516729800 \h </w:instrText>
        </w:r>
        <w:r>
          <w:fldChar w:fldCharType="separate"/>
        </w:r>
        <w:r w:rsidR="00CE71D4">
          <w:t>44</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01" w:history="1">
        <w:r w:rsidRPr="00452B32">
          <w:t>52</w:t>
        </w:r>
        <w:r>
          <w:rPr>
            <w:rFonts w:asciiTheme="minorHAnsi" w:eastAsiaTheme="minorEastAsia" w:hAnsiTheme="minorHAnsi" w:cstheme="minorBidi"/>
            <w:sz w:val="22"/>
            <w:szCs w:val="22"/>
            <w:lang w:eastAsia="en-AU"/>
          </w:rPr>
          <w:tab/>
        </w:r>
        <w:r w:rsidRPr="00452B32">
          <w:t>Notifiable actions—s 43</w:t>
        </w:r>
        <w:r>
          <w:tab/>
        </w:r>
        <w:r>
          <w:fldChar w:fldCharType="begin"/>
        </w:r>
        <w:r>
          <w:instrText xml:space="preserve"> PAGEREF _Toc516729801 \h </w:instrText>
        </w:r>
        <w:r>
          <w:fldChar w:fldCharType="separate"/>
        </w:r>
        <w:r w:rsidR="00CE71D4">
          <w:t>45</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802" w:history="1">
        <w:r w:rsidR="00951C4D" w:rsidRPr="00452B32">
          <w:t>Part 11</w:t>
        </w:r>
        <w:r w:rsidR="00951C4D">
          <w:rPr>
            <w:rFonts w:asciiTheme="minorHAnsi" w:eastAsiaTheme="minorEastAsia" w:hAnsiTheme="minorHAnsi" w:cstheme="minorBidi"/>
            <w:b w:val="0"/>
            <w:sz w:val="22"/>
            <w:szCs w:val="22"/>
            <w:lang w:eastAsia="en-AU"/>
          </w:rPr>
          <w:tab/>
        </w:r>
        <w:r w:rsidR="00951C4D" w:rsidRPr="00452B32">
          <w:t>Miscellaneous</w:t>
        </w:r>
        <w:r w:rsidR="00951C4D" w:rsidRPr="00951C4D">
          <w:rPr>
            <w:vanish/>
          </w:rPr>
          <w:tab/>
        </w:r>
        <w:r w:rsidR="00951C4D" w:rsidRPr="00951C4D">
          <w:rPr>
            <w:vanish/>
          </w:rPr>
          <w:fldChar w:fldCharType="begin"/>
        </w:r>
        <w:r w:rsidR="00951C4D" w:rsidRPr="00951C4D">
          <w:rPr>
            <w:vanish/>
          </w:rPr>
          <w:instrText xml:space="preserve"> PAGEREF _Toc516729802 \h </w:instrText>
        </w:r>
        <w:r w:rsidR="00951C4D" w:rsidRPr="00951C4D">
          <w:rPr>
            <w:vanish/>
          </w:rPr>
        </w:r>
        <w:r w:rsidR="00951C4D" w:rsidRPr="00951C4D">
          <w:rPr>
            <w:vanish/>
          </w:rPr>
          <w:fldChar w:fldCharType="separate"/>
        </w:r>
        <w:r w:rsidR="00CE71D4">
          <w:rPr>
            <w:vanish/>
          </w:rPr>
          <w:t>47</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03" w:history="1">
        <w:r w:rsidRPr="00452B32">
          <w:t>53</w:t>
        </w:r>
        <w:r>
          <w:rPr>
            <w:rFonts w:asciiTheme="minorHAnsi" w:eastAsiaTheme="minorEastAsia" w:hAnsiTheme="minorHAnsi" w:cstheme="minorBidi"/>
            <w:sz w:val="22"/>
            <w:szCs w:val="22"/>
            <w:lang w:eastAsia="en-AU"/>
          </w:rPr>
          <w:tab/>
        </w:r>
        <w:r w:rsidRPr="00452B32">
          <w:t>Determination of fees</w:t>
        </w:r>
        <w:r>
          <w:tab/>
        </w:r>
        <w:r>
          <w:fldChar w:fldCharType="begin"/>
        </w:r>
        <w:r>
          <w:instrText xml:space="preserve"> PAGEREF _Toc516729803 \h </w:instrText>
        </w:r>
        <w:r>
          <w:fldChar w:fldCharType="separate"/>
        </w:r>
        <w:r w:rsidR="00CE71D4">
          <w:t>47</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04" w:history="1">
        <w:r w:rsidRPr="00452B32">
          <w:t>54</w:t>
        </w:r>
        <w:r>
          <w:rPr>
            <w:rFonts w:asciiTheme="minorHAnsi" w:eastAsiaTheme="minorEastAsia" w:hAnsiTheme="minorHAnsi" w:cstheme="minorBidi"/>
            <w:sz w:val="22"/>
            <w:szCs w:val="22"/>
            <w:lang w:eastAsia="en-AU"/>
          </w:rPr>
          <w:tab/>
        </w:r>
        <w:r w:rsidRPr="00452B32">
          <w:t>Regulation-making power</w:t>
        </w:r>
        <w:r>
          <w:tab/>
        </w:r>
        <w:r>
          <w:fldChar w:fldCharType="begin"/>
        </w:r>
        <w:r>
          <w:instrText xml:space="preserve"> PAGEREF _Toc516729804 \h </w:instrText>
        </w:r>
        <w:r>
          <w:fldChar w:fldCharType="separate"/>
        </w:r>
        <w:r w:rsidR="00CE71D4">
          <w:t>47</w:t>
        </w:r>
        <w:r>
          <w:fldChar w:fldCharType="end"/>
        </w:r>
      </w:hyperlink>
    </w:p>
    <w:p w:rsidR="00951C4D" w:rsidRDefault="00A66D89">
      <w:pPr>
        <w:pStyle w:val="TOC2"/>
        <w:rPr>
          <w:rFonts w:asciiTheme="minorHAnsi" w:eastAsiaTheme="minorEastAsia" w:hAnsiTheme="minorHAnsi" w:cstheme="minorBidi"/>
          <w:b w:val="0"/>
          <w:sz w:val="22"/>
          <w:szCs w:val="22"/>
          <w:lang w:eastAsia="en-AU"/>
        </w:rPr>
      </w:pPr>
      <w:hyperlink w:anchor="_Toc516729805" w:history="1">
        <w:r w:rsidR="00951C4D" w:rsidRPr="00452B32">
          <w:t>Part 12</w:t>
        </w:r>
        <w:r w:rsidR="00951C4D">
          <w:rPr>
            <w:rFonts w:asciiTheme="minorHAnsi" w:eastAsiaTheme="minorEastAsia" w:hAnsiTheme="minorHAnsi" w:cstheme="minorBidi"/>
            <w:b w:val="0"/>
            <w:sz w:val="22"/>
            <w:szCs w:val="22"/>
            <w:lang w:eastAsia="en-AU"/>
          </w:rPr>
          <w:tab/>
        </w:r>
        <w:r w:rsidR="00951C4D" w:rsidRPr="00452B32">
          <w:t>Consequential amendments</w:t>
        </w:r>
        <w:r w:rsidR="00951C4D" w:rsidRPr="00951C4D">
          <w:rPr>
            <w:vanish/>
          </w:rPr>
          <w:tab/>
        </w:r>
        <w:r w:rsidR="00951C4D" w:rsidRPr="00951C4D">
          <w:rPr>
            <w:vanish/>
          </w:rPr>
          <w:fldChar w:fldCharType="begin"/>
        </w:r>
        <w:r w:rsidR="00951C4D" w:rsidRPr="00951C4D">
          <w:rPr>
            <w:vanish/>
          </w:rPr>
          <w:instrText xml:space="preserve"> PAGEREF _Toc516729805 \h </w:instrText>
        </w:r>
        <w:r w:rsidR="00951C4D" w:rsidRPr="00951C4D">
          <w:rPr>
            <w:vanish/>
          </w:rPr>
        </w:r>
        <w:r w:rsidR="00951C4D" w:rsidRPr="00951C4D">
          <w:rPr>
            <w:vanish/>
          </w:rPr>
          <w:fldChar w:fldCharType="separate"/>
        </w:r>
        <w:r w:rsidR="00CE71D4">
          <w:rPr>
            <w:vanish/>
          </w:rPr>
          <w:t>48</w:t>
        </w:r>
        <w:r w:rsidR="00951C4D" w:rsidRPr="00951C4D">
          <w:rPr>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06" w:history="1">
        <w:r w:rsidRPr="00452B32">
          <w:t>55</w:t>
        </w:r>
        <w:r>
          <w:rPr>
            <w:rFonts w:asciiTheme="minorHAnsi" w:eastAsiaTheme="minorEastAsia" w:hAnsiTheme="minorHAnsi" w:cstheme="minorBidi"/>
            <w:sz w:val="22"/>
            <w:szCs w:val="22"/>
            <w:lang w:eastAsia="en-AU"/>
          </w:rPr>
          <w:tab/>
        </w:r>
        <w:r w:rsidRPr="00452B32">
          <w:t>Legislation amended—schs 3 and 4</w:t>
        </w:r>
        <w:r>
          <w:tab/>
        </w:r>
        <w:r>
          <w:fldChar w:fldCharType="begin"/>
        </w:r>
        <w:r>
          <w:instrText xml:space="preserve"> PAGEREF _Toc516729806 \h </w:instrText>
        </w:r>
        <w:r>
          <w:fldChar w:fldCharType="separate"/>
        </w:r>
        <w:r w:rsidR="00CE71D4">
          <w:t>48</w:t>
        </w:r>
        <w:r>
          <w:fldChar w:fldCharType="end"/>
        </w:r>
      </w:hyperlink>
    </w:p>
    <w:p w:rsidR="00951C4D" w:rsidRDefault="00A66D89">
      <w:pPr>
        <w:pStyle w:val="TOC6"/>
        <w:rPr>
          <w:rFonts w:asciiTheme="minorHAnsi" w:eastAsiaTheme="minorEastAsia" w:hAnsiTheme="minorHAnsi" w:cstheme="minorBidi"/>
          <w:b w:val="0"/>
          <w:sz w:val="22"/>
          <w:szCs w:val="22"/>
          <w:lang w:eastAsia="en-AU"/>
        </w:rPr>
      </w:pPr>
      <w:hyperlink w:anchor="_Toc516729807" w:history="1">
        <w:r w:rsidR="00951C4D" w:rsidRPr="00452B32">
          <w:t>Schedule 1</w:t>
        </w:r>
        <w:r w:rsidR="00951C4D">
          <w:rPr>
            <w:rFonts w:asciiTheme="minorHAnsi" w:eastAsiaTheme="minorEastAsia" w:hAnsiTheme="minorHAnsi" w:cstheme="minorBidi"/>
            <w:b w:val="0"/>
            <w:sz w:val="22"/>
            <w:szCs w:val="22"/>
            <w:lang w:eastAsia="en-AU"/>
          </w:rPr>
          <w:tab/>
        </w:r>
        <w:r w:rsidR="00951C4D" w:rsidRPr="00452B32">
          <w:t>Reviewable decisions</w:t>
        </w:r>
        <w:r w:rsidR="00951C4D">
          <w:tab/>
        </w:r>
        <w:r w:rsidR="00951C4D" w:rsidRPr="00951C4D">
          <w:rPr>
            <w:b w:val="0"/>
            <w:sz w:val="20"/>
          </w:rPr>
          <w:fldChar w:fldCharType="begin"/>
        </w:r>
        <w:r w:rsidR="00951C4D" w:rsidRPr="00951C4D">
          <w:rPr>
            <w:b w:val="0"/>
            <w:sz w:val="20"/>
          </w:rPr>
          <w:instrText xml:space="preserve"> PAGEREF _Toc516729807 \h </w:instrText>
        </w:r>
        <w:r w:rsidR="00951C4D" w:rsidRPr="00951C4D">
          <w:rPr>
            <w:b w:val="0"/>
            <w:sz w:val="20"/>
          </w:rPr>
        </w:r>
        <w:r w:rsidR="00951C4D" w:rsidRPr="00951C4D">
          <w:rPr>
            <w:b w:val="0"/>
            <w:sz w:val="20"/>
          </w:rPr>
          <w:fldChar w:fldCharType="separate"/>
        </w:r>
        <w:r w:rsidR="00CE71D4">
          <w:rPr>
            <w:b w:val="0"/>
            <w:sz w:val="20"/>
          </w:rPr>
          <w:t>49</w:t>
        </w:r>
        <w:r w:rsidR="00951C4D" w:rsidRPr="00951C4D">
          <w:rPr>
            <w:b w:val="0"/>
            <w:sz w:val="20"/>
          </w:rPr>
          <w:fldChar w:fldCharType="end"/>
        </w:r>
      </w:hyperlink>
    </w:p>
    <w:p w:rsidR="00951C4D" w:rsidRDefault="00A66D89">
      <w:pPr>
        <w:pStyle w:val="TOC6"/>
        <w:rPr>
          <w:rFonts w:asciiTheme="minorHAnsi" w:eastAsiaTheme="minorEastAsia" w:hAnsiTheme="minorHAnsi" w:cstheme="minorBidi"/>
          <w:b w:val="0"/>
          <w:sz w:val="22"/>
          <w:szCs w:val="22"/>
          <w:lang w:eastAsia="en-AU"/>
        </w:rPr>
      </w:pPr>
      <w:hyperlink w:anchor="_Toc516729808" w:history="1">
        <w:r w:rsidR="00951C4D" w:rsidRPr="00452B32">
          <w:t>Schedule 2</w:t>
        </w:r>
        <w:r w:rsidR="00951C4D">
          <w:rPr>
            <w:rFonts w:asciiTheme="minorHAnsi" w:eastAsiaTheme="minorEastAsia" w:hAnsiTheme="minorHAnsi" w:cstheme="minorBidi"/>
            <w:b w:val="0"/>
            <w:sz w:val="22"/>
            <w:szCs w:val="22"/>
            <w:lang w:eastAsia="en-AU"/>
          </w:rPr>
          <w:tab/>
        </w:r>
        <w:r w:rsidR="00951C4D" w:rsidRPr="00452B32">
          <w:t>Notifiable actions</w:t>
        </w:r>
        <w:r w:rsidR="00951C4D">
          <w:tab/>
        </w:r>
        <w:r w:rsidR="00951C4D" w:rsidRPr="00951C4D">
          <w:rPr>
            <w:b w:val="0"/>
            <w:sz w:val="20"/>
          </w:rPr>
          <w:fldChar w:fldCharType="begin"/>
        </w:r>
        <w:r w:rsidR="00951C4D" w:rsidRPr="00951C4D">
          <w:rPr>
            <w:b w:val="0"/>
            <w:sz w:val="20"/>
          </w:rPr>
          <w:instrText xml:space="preserve"> PAGEREF _Toc516729808 \h </w:instrText>
        </w:r>
        <w:r w:rsidR="00951C4D" w:rsidRPr="00951C4D">
          <w:rPr>
            <w:b w:val="0"/>
            <w:sz w:val="20"/>
          </w:rPr>
        </w:r>
        <w:r w:rsidR="00951C4D" w:rsidRPr="00951C4D">
          <w:rPr>
            <w:b w:val="0"/>
            <w:sz w:val="20"/>
          </w:rPr>
          <w:fldChar w:fldCharType="separate"/>
        </w:r>
        <w:r w:rsidR="00CE71D4">
          <w:rPr>
            <w:b w:val="0"/>
            <w:sz w:val="20"/>
          </w:rPr>
          <w:t>50</w:t>
        </w:r>
        <w:r w:rsidR="00951C4D" w:rsidRPr="00951C4D">
          <w:rPr>
            <w:b w:val="0"/>
            <w:sz w:val="20"/>
          </w:rPr>
          <w:fldChar w:fldCharType="end"/>
        </w:r>
      </w:hyperlink>
    </w:p>
    <w:p w:rsidR="00951C4D" w:rsidRDefault="00A66D89">
      <w:pPr>
        <w:pStyle w:val="TOC6"/>
        <w:rPr>
          <w:rFonts w:asciiTheme="minorHAnsi" w:eastAsiaTheme="minorEastAsia" w:hAnsiTheme="minorHAnsi" w:cstheme="minorBidi"/>
          <w:b w:val="0"/>
          <w:sz w:val="22"/>
          <w:szCs w:val="22"/>
          <w:lang w:eastAsia="en-AU"/>
        </w:rPr>
      </w:pPr>
      <w:hyperlink w:anchor="_Toc516729809" w:history="1">
        <w:r w:rsidR="00951C4D" w:rsidRPr="00452B32">
          <w:t>Schedule 4</w:t>
        </w:r>
        <w:r w:rsidR="00951C4D">
          <w:rPr>
            <w:rFonts w:asciiTheme="minorHAnsi" w:eastAsiaTheme="minorEastAsia" w:hAnsiTheme="minorHAnsi" w:cstheme="minorBidi"/>
            <w:b w:val="0"/>
            <w:sz w:val="22"/>
            <w:szCs w:val="22"/>
            <w:lang w:eastAsia="en-AU"/>
          </w:rPr>
          <w:tab/>
        </w:r>
        <w:r w:rsidR="00951C4D" w:rsidRPr="00452B32">
          <w:t>Other amendments—maximum authorisation numbers</w:t>
        </w:r>
        <w:r w:rsidR="00951C4D">
          <w:tab/>
        </w:r>
        <w:r w:rsidR="00951C4D" w:rsidRPr="00951C4D">
          <w:rPr>
            <w:b w:val="0"/>
            <w:sz w:val="20"/>
          </w:rPr>
          <w:fldChar w:fldCharType="begin"/>
        </w:r>
        <w:r w:rsidR="00951C4D" w:rsidRPr="00951C4D">
          <w:rPr>
            <w:b w:val="0"/>
            <w:sz w:val="20"/>
          </w:rPr>
          <w:instrText xml:space="preserve"> PAGEREF _Toc516729809 \h </w:instrText>
        </w:r>
        <w:r w:rsidR="00951C4D" w:rsidRPr="00951C4D">
          <w:rPr>
            <w:b w:val="0"/>
            <w:sz w:val="20"/>
          </w:rPr>
        </w:r>
        <w:r w:rsidR="00951C4D" w:rsidRPr="00951C4D">
          <w:rPr>
            <w:b w:val="0"/>
            <w:sz w:val="20"/>
          </w:rPr>
          <w:fldChar w:fldCharType="separate"/>
        </w:r>
        <w:r w:rsidR="00CE71D4">
          <w:rPr>
            <w:b w:val="0"/>
            <w:sz w:val="20"/>
          </w:rPr>
          <w:t>51</w:t>
        </w:r>
        <w:r w:rsidR="00951C4D" w:rsidRPr="00951C4D">
          <w:rPr>
            <w:b w:val="0"/>
            <w:sz w:val="20"/>
          </w:rPr>
          <w:fldChar w:fldCharType="end"/>
        </w:r>
      </w:hyperlink>
    </w:p>
    <w:p w:rsidR="00951C4D" w:rsidRDefault="00A66D89">
      <w:pPr>
        <w:pStyle w:val="TOC7"/>
        <w:rPr>
          <w:rFonts w:asciiTheme="minorHAnsi" w:eastAsiaTheme="minorEastAsia" w:hAnsiTheme="minorHAnsi" w:cstheme="minorBidi"/>
          <w:b w:val="0"/>
          <w:sz w:val="22"/>
          <w:szCs w:val="22"/>
          <w:lang w:eastAsia="en-AU"/>
        </w:rPr>
      </w:pPr>
      <w:hyperlink w:anchor="_Toc516729810" w:history="1">
        <w:r w:rsidR="00951C4D" w:rsidRPr="00452B32">
          <w:t>Part 4.1</w:t>
        </w:r>
        <w:r w:rsidR="00951C4D">
          <w:rPr>
            <w:rFonts w:asciiTheme="minorHAnsi" w:eastAsiaTheme="minorEastAsia" w:hAnsiTheme="minorHAnsi" w:cstheme="minorBidi"/>
            <w:b w:val="0"/>
            <w:sz w:val="22"/>
            <w:szCs w:val="22"/>
            <w:lang w:eastAsia="en-AU"/>
          </w:rPr>
          <w:tab/>
        </w:r>
        <w:r w:rsidR="00951C4D" w:rsidRPr="00452B32">
          <w:t>Gambling and Racing Control Act 1999</w:t>
        </w:r>
        <w:r w:rsidR="00951C4D">
          <w:tab/>
        </w:r>
        <w:r w:rsidR="00951C4D" w:rsidRPr="00951C4D">
          <w:rPr>
            <w:b w:val="0"/>
          </w:rPr>
          <w:fldChar w:fldCharType="begin"/>
        </w:r>
        <w:r w:rsidR="00951C4D" w:rsidRPr="00951C4D">
          <w:rPr>
            <w:b w:val="0"/>
          </w:rPr>
          <w:instrText xml:space="preserve"> PAGEREF _Toc516729810 \h </w:instrText>
        </w:r>
        <w:r w:rsidR="00951C4D" w:rsidRPr="00951C4D">
          <w:rPr>
            <w:b w:val="0"/>
          </w:rPr>
        </w:r>
        <w:r w:rsidR="00951C4D" w:rsidRPr="00951C4D">
          <w:rPr>
            <w:b w:val="0"/>
          </w:rPr>
          <w:fldChar w:fldCharType="separate"/>
        </w:r>
        <w:r w:rsidR="00CE71D4">
          <w:rPr>
            <w:b w:val="0"/>
          </w:rPr>
          <w:t>51</w:t>
        </w:r>
        <w:r w:rsidR="00951C4D" w:rsidRPr="00951C4D">
          <w:rPr>
            <w:b w:val="0"/>
          </w:rPr>
          <w:fldChar w:fldCharType="end"/>
        </w:r>
      </w:hyperlink>
    </w:p>
    <w:p w:rsidR="00951C4D" w:rsidRDefault="00A66D89">
      <w:pPr>
        <w:pStyle w:val="TOC7"/>
        <w:rPr>
          <w:rFonts w:asciiTheme="minorHAnsi" w:eastAsiaTheme="minorEastAsia" w:hAnsiTheme="minorHAnsi" w:cstheme="minorBidi"/>
          <w:b w:val="0"/>
          <w:sz w:val="22"/>
          <w:szCs w:val="22"/>
          <w:lang w:eastAsia="en-AU"/>
        </w:rPr>
      </w:pPr>
      <w:hyperlink w:anchor="_Toc516729812" w:history="1">
        <w:r w:rsidR="00951C4D" w:rsidRPr="00452B32">
          <w:t>Part 4.2</w:t>
        </w:r>
        <w:r w:rsidR="00951C4D">
          <w:rPr>
            <w:rFonts w:asciiTheme="minorHAnsi" w:eastAsiaTheme="minorEastAsia" w:hAnsiTheme="minorHAnsi" w:cstheme="minorBidi"/>
            <w:b w:val="0"/>
            <w:sz w:val="22"/>
            <w:szCs w:val="22"/>
            <w:lang w:eastAsia="en-AU"/>
          </w:rPr>
          <w:tab/>
        </w:r>
        <w:r w:rsidR="00951C4D" w:rsidRPr="00452B32">
          <w:t>Gaming Machine Act 2004</w:t>
        </w:r>
        <w:r w:rsidR="00951C4D">
          <w:tab/>
        </w:r>
        <w:r w:rsidR="00951C4D" w:rsidRPr="00951C4D">
          <w:rPr>
            <w:b w:val="0"/>
          </w:rPr>
          <w:fldChar w:fldCharType="begin"/>
        </w:r>
        <w:r w:rsidR="00951C4D" w:rsidRPr="00951C4D">
          <w:rPr>
            <w:b w:val="0"/>
          </w:rPr>
          <w:instrText xml:space="preserve"> PAGEREF _Toc516729812 \h </w:instrText>
        </w:r>
        <w:r w:rsidR="00951C4D" w:rsidRPr="00951C4D">
          <w:rPr>
            <w:b w:val="0"/>
          </w:rPr>
        </w:r>
        <w:r w:rsidR="00951C4D" w:rsidRPr="00951C4D">
          <w:rPr>
            <w:b w:val="0"/>
          </w:rPr>
          <w:fldChar w:fldCharType="separate"/>
        </w:r>
        <w:r w:rsidR="00CE71D4">
          <w:rPr>
            <w:b w:val="0"/>
          </w:rPr>
          <w:t>52</w:t>
        </w:r>
        <w:r w:rsidR="00951C4D" w:rsidRPr="00951C4D">
          <w:rPr>
            <w:b w:val="0"/>
          </w:rPr>
          <w:fldChar w:fldCharType="end"/>
        </w:r>
      </w:hyperlink>
    </w:p>
    <w:p w:rsidR="00951C4D" w:rsidRDefault="00A66D89">
      <w:pPr>
        <w:pStyle w:val="TOC6"/>
        <w:rPr>
          <w:rFonts w:asciiTheme="minorHAnsi" w:eastAsiaTheme="minorEastAsia" w:hAnsiTheme="minorHAnsi" w:cstheme="minorBidi"/>
          <w:b w:val="0"/>
          <w:sz w:val="22"/>
          <w:szCs w:val="22"/>
          <w:lang w:eastAsia="en-AU"/>
        </w:rPr>
      </w:pPr>
      <w:hyperlink w:anchor="_Toc516729815" w:history="1">
        <w:r w:rsidR="00951C4D" w:rsidRPr="00452B32">
          <w:t>Dictionary</w:t>
        </w:r>
        <w:r w:rsidR="00951C4D">
          <w:tab/>
        </w:r>
        <w:r w:rsidR="00951C4D">
          <w:tab/>
        </w:r>
        <w:r w:rsidR="00951C4D" w:rsidRPr="00951C4D">
          <w:rPr>
            <w:b w:val="0"/>
            <w:sz w:val="20"/>
          </w:rPr>
          <w:fldChar w:fldCharType="begin"/>
        </w:r>
        <w:r w:rsidR="00951C4D" w:rsidRPr="00951C4D">
          <w:rPr>
            <w:b w:val="0"/>
            <w:sz w:val="20"/>
          </w:rPr>
          <w:instrText xml:space="preserve"> PAGEREF _Toc516729815 \h </w:instrText>
        </w:r>
        <w:r w:rsidR="00951C4D" w:rsidRPr="00951C4D">
          <w:rPr>
            <w:b w:val="0"/>
            <w:sz w:val="20"/>
          </w:rPr>
        </w:r>
        <w:r w:rsidR="00951C4D" w:rsidRPr="00951C4D">
          <w:rPr>
            <w:b w:val="0"/>
            <w:sz w:val="20"/>
          </w:rPr>
          <w:fldChar w:fldCharType="separate"/>
        </w:r>
        <w:r w:rsidR="00CE71D4">
          <w:rPr>
            <w:b w:val="0"/>
            <w:sz w:val="20"/>
          </w:rPr>
          <w:t>53</w:t>
        </w:r>
        <w:r w:rsidR="00951C4D" w:rsidRPr="00951C4D">
          <w:rPr>
            <w:b w:val="0"/>
            <w:sz w:val="20"/>
          </w:rPr>
          <w:fldChar w:fldCharType="end"/>
        </w:r>
      </w:hyperlink>
    </w:p>
    <w:p w:rsidR="00951C4D" w:rsidRDefault="00A66D89" w:rsidP="00951C4D">
      <w:pPr>
        <w:pStyle w:val="TOC7"/>
        <w:spacing w:before="480"/>
        <w:rPr>
          <w:rFonts w:asciiTheme="minorHAnsi" w:eastAsiaTheme="minorEastAsia" w:hAnsiTheme="minorHAnsi" w:cstheme="minorBidi"/>
          <w:b w:val="0"/>
          <w:sz w:val="22"/>
          <w:szCs w:val="22"/>
          <w:lang w:eastAsia="en-AU"/>
        </w:rPr>
      </w:pPr>
      <w:hyperlink w:anchor="_Toc516729816" w:history="1">
        <w:r w:rsidR="00951C4D">
          <w:t>Endnotes</w:t>
        </w:r>
        <w:r w:rsidR="00951C4D" w:rsidRPr="00951C4D">
          <w:rPr>
            <w:vanish/>
          </w:rPr>
          <w:tab/>
        </w:r>
        <w:r w:rsidR="00951C4D">
          <w:rPr>
            <w:vanish/>
          </w:rPr>
          <w:tab/>
        </w:r>
        <w:r w:rsidR="00951C4D" w:rsidRPr="00951C4D">
          <w:rPr>
            <w:b w:val="0"/>
            <w:vanish/>
          </w:rPr>
          <w:fldChar w:fldCharType="begin"/>
        </w:r>
        <w:r w:rsidR="00951C4D" w:rsidRPr="00951C4D">
          <w:rPr>
            <w:b w:val="0"/>
            <w:vanish/>
          </w:rPr>
          <w:instrText xml:space="preserve"> PAGEREF _Toc516729816 \h </w:instrText>
        </w:r>
        <w:r w:rsidR="00951C4D" w:rsidRPr="00951C4D">
          <w:rPr>
            <w:b w:val="0"/>
            <w:vanish/>
          </w:rPr>
        </w:r>
        <w:r w:rsidR="00951C4D" w:rsidRPr="00951C4D">
          <w:rPr>
            <w:b w:val="0"/>
            <w:vanish/>
          </w:rPr>
          <w:fldChar w:fldCharType="separate"/>
        </w:r>
        <w:r w:rsidR="00CE71D4">
          <w:rPr>
            <w:b w:val="0"/>
            <w:vanish/>
          </w:rPr>
          <w:t>57</w:t>
        </w:r>
        <w:r w:rsidR="00951C4D" w:rsidRPr="00951C4D">
          <w:rPr>
            <w:b w:val="0"/>
            <w:vanish/>
          </w:rP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17" w:history="1">
        <w:r w:rsidRPr="00452B32">
          <w:t>1</w:t>
        </w:r>
        <w:r>
          <w:rPr>
            <w:rFonts w:asciiTheme="minorHAnsi" w:eastAsiaTheme="minorEastAsia" w:hAnsiTheme="minorHAnsi" w:cstheme="minorBidi"/>
            <w:sz w:val="22"/>
            <w:szCs w:val="22"/>
            <w:lang w:eastAsia="en-AU"/>
          </w:rPr>
          <w:tab/>
        </w:r>
        <w:r w:rsidRPr="00452B32">
          <w:t>About the endnotes</w:t>
        </w:r>
        <w:r>
          <w:tab/>
        </w:r>
        <w:r>
          <w:fldChar w:fldCharType="begin"/>
        </w:r>
        <w:r>
          <w:instrText xml:space="preserve"> PAGEREF _Toc516729817 \h </w:instrText>
        </w:r>
        <w:r>
          <w:fldChar w:fldCharType="separate"/>
        </w:r>
        <w:r w:rsidR="00CE71D4">
          <w:t>57</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18" w:history="1">
        <w:r w:rsidRPr="00452B32">
          <w:t>2</w:t>
        </w:r>
        <w:r>
          <w:rPr>
            <w:rFonts w:asciiTheme="minorHAnsi" w:eastAsiaTheme="minorEastAsia" w:hAnsiTheme="minorHAnsi" w:cstheme="minorBidi"/>
            <w:sz w:val="22"/>
            <w:szCs w:val="22"/>
            <w:lang w:eastAsia="en-AU"/>
          </w:rPr>
          <w:tab/>
        </w:r>
        <w:r w:rsidRPr="00452B32">
          <w:t>Abbreviation key</w:t>
        </w:r>
        <w:r>
          <w:tab/>
        </w:r>
        <w:r>
          <w:fldChar w:fldCharType="begin"/>
        </w:r>
        <w:r>
          <w:instrText xml:space="preserve"> PAGEREF _Toc516729818 \h </w:instrText>
        </w:r>
        <w:r>
          <w:fldChar w:fldCharType="separate"/>
        </w:r>
        <w:r w:rsidR="00CE71D4">
          <w:t>57</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19" w:history="1">
        <w:r w:rsidRPr="00452B32">
          <w:t>3</w:t>
        </w:r>
        <w:r>
          <w:rPr>
            <w:rFonts w:asciiTheme="minorHAnsi" w:eastAsiaTheme="minorEastAsia" w:hAnsiTheme="minorHAnsi" w:cstheme="minorBidi"/>
            <w:sz w:val="22"/>
            <w:szCs w:val="22"/>
            <w:lang w:eastAsia="en-AU"/>
          </w:rPr>
          <w:tab/>
        </w:r>
        <w:r w:rsidRPr="00452B32">
          <w:t>Legislation history</w:t>
        </w:r>
        <w:r>
          <w:tab/>
        </w:r>
        <w:r>
          <w:fldChar w:fldCharType="begin"/>
        </w:r>
        <w:r>
          <w:instrText xml:space="preserve"> PAGEREF _Toc516729819 \h </w:instrText>
        </w:r>
        <w:r>
          <w:fldChar w:fldCharType="separate"/>
        </w:r>
        <w:r w:rsidR="00CE71D4">
          <w:t>58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20" w:history="1">
        <w:r w:rsidRPr="00452B32">
          <w:t>4</w:t>
        </w:r>
        <w:r>
          <w:rPr>
            <w:rFonts w:asciiTheme="minorHAnsi" w:eastAsiaTheme="minorEastAsia" w:hAnsiTheme="minorHAnsi" w:cstheme="minorBidi"/>
            <w:sz w:val="22"/>
            <w:szCs w:val="22"/>
            <w:lang w:eastAsia="en-AU"/>
          </w:rPr>
          <w:tab/>
        </w:r>
        <w:r w:rsidRPr="00452B32">
          <w:t>Amendment history</w:t>
        </w:r>
        <w:r>
          <w:tab/>
        </w:r>
        <w:r>
          <w:fldChar w:fldCharType="begin"/>
        </w:r>
        <w:r>
          <w:instrText xml:space="preserve"> PAGEREF _Toc516729820 \h </w:instrText>
        </w:r>
        <w:r>
          <w:fldChar w:fldCharType="separate"/>
        </w:r>
        <w:r w:rsidR="00CE71D4">
          <w:t>58</w:t>
        </w:r>
        <w:r>
          <w:fldChar w:fldCharType="end"/>
        </w:r>
      </w:hyperlink>
    </w:p>
    <w:p w:rsidR="00951C4D" w:rsidRDefault="00951C4D">
      <w:pPr>
        <w:pStyle w:val="TOC5"/>
        <w:rPr>
          <w:rFonts w:asciiTheme="minorHAnsi" w:eastAsiaTheme="minorEastAsia" w:hAnsiTheme="minorHAnsi" w:cstheme="minorBidi"/>
          <w:sz w:val="22"/>
          <w:szCs w:val="22"/>
          <w:lang w:eastAsia="en-AU"/>
        </w:rPr>
      </w:pPr>
      <w:r>
        <w:tab/>
      </w:r>
      <w:hyperlink w:anchor="_Toc516729821" w:history="1">
        <w:r w:rsidRPr="00452B32">
          <w:t>5</w:t>
        </w:r>
        <w:r>
          <w:rPr>
            <w:rFonts w:asciiTheme="minorHAnsi" w:eastAsiaTheme="minorEastAsia" w:hAnsiTheme="minorHAnsi" w:cstheme="minorBidi"/>
            <w:sz w:val="22"/>
            <w:szCs w:val="22"/>
            <w:lang w:eastAsia="en-AU"/>
          </w:rPr>
          <w:tab/>
        </w:r>
        <w:r w:rsidRPr="00452B32">
          <w:t>Earlier republications</w:t>
        </w:r>
        <w:r>
          <w:tab/>
        </w:r>
        <w:r>
          <w:fldChar w:fldCharType="begin"/>
        </w:r>
        <w:r>
          <w:instrText xml:space="preserve"> PAGEREF _Toc516729821 \h </w:instrText>
        </w:r>
        <w:r>
          <w:fldChar w:fldCharType="separate"/>
        </w:r>
        <w:r w:rsidR="00CE71D4">
          <w:t>59</w:t>
        </w:r>
        <w:r>
          <w:fldChar w:fldCharType="end"/>
        </w:r>
      </w:hyperlink>
    </w:p>
    <w:p w:rsidR="00635397" w:rsidRDefault="00951C4D" w:rsidP="00635397">
      <w:pPr>
        <w:pStyle w:val="BillBasic"/>
      </w:pPr>
      <w:r>
        <w:fldChar w:fldCharType="end"/>
      </w:r>
    </w:p>
    <w:p w:rsidR="00635397" w:rsidRDefault="00635397" w:rsidP="00635397">
      <w:pPr>
        <w:pStyle w:val="01Contents"/>
        <w:sectPr w:rsidR="0063539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635397" w:rsidRDefault="00635397" w:rsidP="0063539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5397" w:rsidRDefault="00635397" w:rsidP="00635397">
      <w:pPr>
        <w:jc w:val="center"/>
        <w:rPr>
          <w:rFonts w:ascii="Arial" w:hAnsi="Arial"/>
        </w:rPr>
      </w:pPr>
      <w:r>
        <w:rPr>
          <w:rFonts w:ascii="Arial" w:hAnsi="Arial"/>
        </w:rPr>
        <w:t>Australian Capital Territory</w:t>
      </w:r>
    </w:p>
    <w:p w:rsidR="00635397" w:rsidRDefault="0003076A" w:rsidP="00635397">
      <w:pPr>
        <w:pStyle w:val="Billname"/>
      </w:pPr>
      <w:bookmarkStart w:id="7" w:name="Citation"/>
      <w:r>
        <w:t>Casino (Electronic Gaming) Act 2017</w:t>
      </w:r>
      <w:bookmarkEnd w:id="7"/>
    </w:p>
    <w:p w:rsidR="00635397" w:rsidRDefault="00635397" w:rsidP="00635397">
      <w:pPr>
        <w:pStyle w:val="ActNo"/>
      </w:pPr>
    </w:p>
    <w:p w:rsidR="00635397" w:rsidRDefault="00635397" w:rsidP="00635397">
      <w:pPr>
        <w:pStyle w:val="N-line3"/>
      </w:pPr>
    </w:p>
    <w:p w:rsidR="00635397" w:rsidRDefault="00635397" w:rsidP="00635397">
      <w:pPr>
        <w:pStyle w:val="LongTitle"/>
      </w:pPr>
      <w:r>
        <w:t>An Act to regulate electronic gaming in the casino, and for other purposes</w:t>
      </w:r>
    </w:p>
    <w:p w:rsidR="00635397" w:rsidRDefault="00635397" w:rsidP="00635397">
      <w:pPr>
        <w:pStyle w:val="N-line3"/>
      </w:pPr>
    </w:p>
    <w:p w:rsidR="00635397" w:rsidRDefault="00635397" w:rsidP="00635397">
      <w:pPr>
        <w:pStyle w:val="Placeholder"/>
      </w:pPr>
      <w:r>
        <w:rPr>
          <w:rStyle w:val="charContents"/>
          <w:sz w:val="16"/>
        </w:rPr>
        <w:t xml:space="preserve">  </w:t>
      </w:r>
      <w:r>
        <w:rPr>
          <w:rStyle w:val="charPage"/>
        </w:rPr>
        <w:t xml:space="preserve">  </w:t>
      </w:r>
    </w:p>
    <w:p w:rsidR="00635397" w:rsidRDefault="00635397" w:rsidP="00635397">
      <w:pPr>
        <w:pStyle w:val="Placeholder"/>
      </w:pPr>
      <w:r>
        <w:rPr>
          <w:rStyle w:val="CharChapNo"/>
        </w:rPr>
        <w:t xml:space="preserve">  </w:t>
      </w:r>
      <w:r>
        <w:rPr>
          <w:rStyle w:val="CharChapText"/>
        </w:rPr>
        <w:t xml:space="preserve">  </w:t>
      </w:r>
    </w:p>
    <w:p w:rsidR="00635397" w:rsidRDefault="00635397" w:rsidP="00635397">
      <w:pPr>
        <w:pStyle w:val="Placeholder"/>
      </w:pPr>
      <w:r>
        <w:rPr>
          <w:rStyle w:val="CharPartNo"/>
        </w:rPr>
        <w:t xml:space="preserve">  </w:t>
      </w:r>
      <w:r>
        <w:rPr>
          <w:rStyle w:val="CharPartText"/>
        </w:rPr>
        <w:t xml:space="preserve">  </w:t>
      </w:r>
    </w:p>
    <w:p w:rsidR="00635397" w:rsidRDefault="00635397" w:rsidP="00635397">
      <w:pPr>
        <w:pStyle w:val="Placeholder"/>
      </w:pPr>
      <w:r>
        <w:rPr>
          <w:rStyle w:val="CharDivNo"/>
        </w:rPr>
        <w:t xml:space="preserve">  </w:t>
      </w:r>
      <w:r>
        <w:rPr>
          <w:rStyle w:val="CharDivText"/>
        </w:rPr>
        <w:t xml:space="preserve">  </w:t>
      </w:r>
    </w:p>
    <w:p w:rsidR="00635397" w:rsidRPr="00CA74E4" w:rsidRDefault="00635397" w:rsidP="00635397">
      <w:pPr>
        <w:pStyle w:val="PageBreak"/>
      </w:pPr>
      <w:r w:rsidRPr="00CA74E4">
        <w:br w:type="page"/>
      </w:r>
    </w:p>
    <w:p w:rsidR="00EF1417" w:rsidRPr="00951C4D" w:rsidRDefault="006814CB" w:rsidP="006814CB">
      <w:pPr>
        <w:pStyle w:val="AH2Part"/>
      </w:pPr>
      <w:bookmarkStart w:id="8" w:name="_Toc516729738"/>
      <w:r w:rsidRPr="00951C4D">
        <w:rPr>
          <w:rStyle w:val="CharPartNo"/>
        </w:rPr>
        <w:lastRenderedPageBreak/>
        <w:t>Part 1</w:t>
      </w:r>
      <w:r w:rsidRPr="006814CB">
        <w:tab/>
      </w:r>
      <w:r w:rsidR="00EF1417" w:rsidRPr="00951C4D">
        <w:rPr>
          <w:rStyle w:val="CharPartText"/>
        </w:rPr>
        <w:t>Preliminary</w:t>
      </w:r>
      <w:bookmarkEnd w:id="8"/>
    </w:p>
    <w:p w:rsidR="0044665D" w:rsidRPr="006814CB" w:rsidRDefault="006814CB" w:rsidP="006814CB">
      <w:pPr>
        <w:pStyle w:val="AH5Sec"/>
      </w:pPr>
      <w:bookmarkStart w:id="9" w:name="_Toc516729739"/>
      <w:r w:rsidRPr="00951C4D">
        <w:rPr>
          <w:rStyle w:val="CharSectNo"/>
        </w:rPr>
        <w:t>1</w:t>
      </w:r>
      <w:r w:rsidRPr="006814CB">
        <w:tab/>
      </w:r>
      <w:r w:rsidR="0044665D" w:rsidRPr="006814CB">
        <w:t>Name of Act</w:t>
      </w:r>
      <w:bookmarkEnd w:id="9"/>
    </w:p>
    <w:p w:rsidR="0044665D" w:rsidRPr="006814CB" w:rsidRDefault="0044665D">
      <w:pPr>
        <w:pStyle w:val="Amainreturn"/>
      </w:pPr>
      <w:r w:rsidRPr="006814CB">
        <w:t xml:space="preserve">This Act is the </w:t>
      </w:r>
      <w:r w:rsidR="00C75C37" w:rsidRPr="006814CB">
        <w:rPr>
          <w:i/>
        </w:rPr>
        <w:fldChar w:fldCharType="begin"/>
      </w:r>
      <w:r w:rsidRPr="006814CB">
        <w:rPr>
          <w:i/>
        </w:rPr>
        <w:instrText xml:space="preserve"> TITLE</w:instrText>
      </w:r>
      <w:r w:rsidR="00C75C37" w:rsidRPr="006814CB">
        <w:rPr>
          <w:i/>
        </w:rPr>
        <w:fldChar w:fldCharType="separate"/>
      </w:r>
      <w:r w:rsidR="00CE71D4">
        <w:rPr>
          <w:i/>
        </w:rPr>
        <w:t>Casino (Electronic Gaming) Act 2017</w:t>
      </w:r>
      <w:r w:rsidR="00C75C37" w:rsidRPr="006814CB">
        <w:rPr>
          <w:i/>
        </w:rPr>
        <w:fldChar w:fldCharType="end"/>
      </w:r>
      <w:r w:rsidRPr="006814CB">
        <w:t>.</w:t>
      </w:r>
    </w:p>
    <w:p w:rsidR="0044665D" w:rsidRPr="006814CB" w:rsidRDefault="006814CB" w:rsidP="006814CB">
      <w:pPr>
        <w:pStyle w:val="AH5Sec"/>
      </w:pPr>
      <w:bookmarkStart w:id="10" w:name="_Toc516729740"/>
      <w:r w:rsidRPr="00951C4D">
        <w:rPr>
          <w:rStyle w:val="CharSectNo"/>
        </w:rPr>
        <w:t>2</w:t>
      </w:r>
      <w:r w:rsidRPr="006814CB">
        <w:tab/>
      </w:r>
      <w:r w:rsidR="0044665D" w:rsidRPr="006814CB">
        <w:t>Commencement</w:t>
      </w:r>
      <w:bookmarkEnd w:id="10"/>
    </w:p>
    <w:p w:rsidR="0044665D" w:rsidRPr="006814CB" w:rsidRDefault="006814CB" w:rsidP="006814CB">
      <w:pPr>
        <w:pStyle w:val="Amain"/>
        <w:keepNext/>
      </w:pPr>
      <w:r>
        <w:tab/>
      </w:r>
      <w:r w:rsidRPr="006814CB">
        <w:t>(1)</w:t>
      </w:r>
      <w:r w:rsidRPr="006814CB">
        <w:tab/>
      </w:r>
      <w:r w:rsidR="0044665D" w:rsidRPr="006814CB">
        <w:t xml:space="preserve">This Act </w:t>
      </w:r>
      <w:r w:rsidR="00985CCD" w:rsidRPr="006814CB">
        <w:t xml:space="preserve">(other than schedule </w:t>
      </w:r>
      <w:r w:rsidR="006657C0" w:rsidRPr="006814CB">
        <w:t>4</w:t>
      </w:r>
      <w:r w:rsidR="00985CCD" w:rsidRPr="006814CB">
        <w:t xml:space="preserve">) </w:t>
      </w:r>
      <w:r w:rsidR="0044665D" w:rsidRPr="006814CB">
        <w:t>commences on a day fixed by the Minister by written notice.</w:t>
      </w:r>
    </w:p>
    <w:p w:rsidR="0021248D" w:rsidRPr="006814CB" w:rsidRDefault="0021248D" w:rsidP="006814CB">
      <w:pPr>
        <w:pStyle w:val="aNote"/>
        <w:keepNext/>
      </w:pPr>
      <w:r w:rsidRPr="006814CB">
        <w:rPr>
          <w:rStyle w:val="charItals"/>
        </w:rPr>
        <w:t>Note 1</w:t>
      </w:r>
      <w:r w:rsidRPr="006814CB">
        <w:rPr>
          <w:rStyle w:val="charItals"/>
        </w:rPr>
        <w:tab/>
      </w:r>
      <w:r w:rsidRPr="006814CB">
        <w:t xml:space="preserve">The naming and commencement provisions automatically commence on the notification day (see </w:t>
      </w:r>
      <w:hyperlink r:id="rId28" w:tooltip="A2001-14" w:history="1">
        <w:r w:rsidR="00253379" w:rsidRPr="006814CB">
          <w:rPr>
            <w:rStyle w:val="charCitHyperlinkAbbrev"/>
          </w:rPr>
          <w:t>Legislation Act</w:t>
        </w:r>
      </w:hyperlink>
      <w:r w:rsidRPr="006814CB">
        <w:t>, s 75 (1)).</w:t>
      </w:r>
    </w:p>
    <w:p w:rsidR="0021248D" w:rsidRPr="006814CB" w:rsidRDefault="0021248D" w:rsidP="006814CB">
      <w:pPr>
        <w:pStyle w:val="aNote"/>
        <w:keepNext/>
      </w:pPr>
      <w:r w:rsidRPr="006814CB">
        <w:rPr>
          <w:rStyle w:val="charItals"/>
        </w:rPr>
        <w:t>Note 2</w:t>
      </w:r>
      <w:r w:rsidRPr="006814CB">
        <w:rPr>
          <w:rStyle w:val="charItals"/>
        </w:rPr>
        <w:tab/>
      </w:r>
      <w:r w:rsidRPr="006814CB">
        <w:t xml:space="preserve">A single day or time may be fixed, or different days or times may be fixed, for the commencement of different provisions (see </w:t>
      </w:r>
      <w:hyperlink r:id="rId29" w:tooltip="A2001-14" w:history="1">
        <w:r w:rsidR="00253379" w:rsidRPr="006814CB">
          <w:rPr>
            <w:rStyle w:val="charCitHyperlinkAbbrev"/>
          </w:rPr>
          <w:t>Legislation Act</w:t>
        </w:r>
      </w:hyperlink>
      <w:r w:rsidRPr="006814CB">
        <w:t>, s 77 (1)).</w:t>
      </w:r>
    </w:p>
    <w:p w:rsidR="0021248D" w:rsidRPr="006814CB" w:rsidRDefault="0021248D">
      <w:pPr>
        <w:pStyle w:val="aNote"/>
      </w:pPr>
      <w:r w:rsidRPr="006814CB">
        <w:rPr>
          <w:rStyle w:val="charItals"/>
        </w:rPr>
        <w:t>Note 3</w:t>
      </w:r>
      <w:r w:rsidRPr="006814CB">
        <w:rPr>
          <w:rStyle w:val="charItals"/>
        </w:rPr>
        <w:tab/>
      </w:r>
      <w:r w:rsidRPr="006814CB">
        <w:t xml:space="preserve">If a provision has not commenced within 6 months beginning on the notification day, it automatically commences on the first day after that period (see </w:t>
      </w:r>
      <w:hyperlink r:id="rId30" w:tooltip="A2001-14" w:history="1">
        <w:r w:rsidR="00253379" w:rsidRPr="006814CB">
          <w:rPr>
            <w:rStyle w:val="charCitHyperlinkAbbrev"/>
          </w:rPr>
          <w:t>Legislation Act</w:t>
        </w:r>
      </w:hyperlink>
      <w:r w:rsidRPr="006814CB">
        <w:t>, s 79).</w:t>
      </w:r>
    </w:p>
    <w:p w:rsidR="00985CCD" w:rsidRPr="006814CB" w:rsidRDefault="006814CB" w:rsidP="006814CB">
      <w:pPr>
        <w:pStyle w:val="Amain"/>
      </w:pPr>
      <w:r>
        <w:tab/>
      </w:r>
      <w:r w:rsidRPr="006814CB">
        <w:t>(2)</w:t>
      </w:r>
      <w:r w:rsidRPr="006814CB">
        <w:tab/>
      </w:r>
      <w:r w:rsidR="00985CCD" w:rsidRPr="006814CB">
        <w:t xml:space="preserve">Schedule </w:t>
      </w:r>
      <w:r w:rsidR="006657C0" w:rsidRPr="006814CB">
        <w:t>4</w:t>
      </w:r>
      <w:r w:rsidR="00985CCD" w:rsidRPr="006814CB">
        <w:t xml:space="preserve"> commence</w:t>
      </w:r>
      <w:r w:rsidR="006657C0" w:rsidRPr="006814CB">
        <w:t>s</w:t>
      </w:r>
      <w:r w:rsidR="00985CCD" w:rsidRPr="006814CB">
        <w:t xml:space="preserve"> </w:t>
      </w:r>
      <w:r w:rsidR="00E03785" w:rsidRPr="006814CB">
        <w:t>on</w:t>
      </w:r>
      <w:r w:rsidR="00985CCD" w:rsidRPr="006814CB">
        <w:t xml:space="preserve"> the commencement of the </w:t>
      </w:r>
      <w:hyperlink r:id="rId31" w:tooltip="A2015-21" w:history="1">
        <w:r w:rsidR="00253379" w:rsidRPr="006814CB">
          <w:rPr>
            <w:rStyle w:val="charCitHyperlinkItal"/>
          </w:rPr>
          <w:t>Gaming Machine (Reform) Amendment Act 2015</w:t>
        </w:r>
      </w:hyperlink>
      <w:r w:rsidR="00495273" w:rsidRPr="006814CB">
        <w:t>, schedule 1.</w:t>
      </w:r>
    </w:p>
    <w:p w:rsidR="0044665D" w:rsidRPr="006814CB" w:rsidRDefault="006814CB" w:rsidP="006814CB">
      <w:pPr>
        <w:pStyle w:val="AH5Sec"/>
      </w:pPr>
      <w:bookmarkStart w:id="11" w:name="_Toc516729741"/>
      <w:r w:rsidRPr="00951C4D">
        <w:rPr>
          <w:rStyle w:val="CharSectNo"/>
        </w:rPr>
        <w:t>3</w:t>
      </w:r>
      <w:r w:rsidRPr="006814CB">
        <w:tab/>
      </w:r>
      <w:r w:rsidR="0044665D" w:rsidRPr="006814CB">
        <w:t>Dictionary</w:t>
      </w:r>
      <w:bookmarkEnd w:id="11"/>
    </w:p>
    <w:p w:rsidR="0044665D" w:rsidRPr="006814CB" w:rsidRDefault="0044665D" w:rsidP="006814CB">
      <w:pPr>
        <w:pStyle w:val="Amainreturn"/>
        <w:keepNext/>
      </w:pPr>
      <w:r w:rsidRPr="006814CB">
        <w:t>The dictionary at the end of this Act is part of this Act.</w:t>
      </w:r>
    </w:p>
    <w:p w:rsidR="0044665D" w:rsidRPr="006814CB" w:rsidRDefault="0044665D">
      <w:pPr>
        <w:pStyle w:val="aNote"/>
      </w:pPr>
      <w:r w:rsidRPr="006814CB">
        <w:rPr>
          <w:rStyle w:val="charItals"/>
        </w:rPr>
        <w:t>Note 1</w:t>
      </w:r>
      <w:r w:rsidRPr="006814CB">
        <w:tab/>
        <w:t>The dictionary at the end of this Act defines certain terms used in this Act, and includes references (</w:t>
      </w:r>
      <w:r w:rsidRPr="006814CB">
        <w:rPr>
          <w:rStyle w:val="charBoldItals"/>
        </w:rPr>
        <w:t>signpost definitions</w:t>
      </w:r>
      <w:r w:rsidRPr="006814CB">
        <w:t>) to other terms defined elsewhere.</w:t>
      </w:r>
    </w:p>
    <w:p w:rsidR="0044665D" w:rsidRPr="006814CB" w:rsidRDefault="0044665D" w:rsidP="006814CB">
      <w:pPr>
        <w:pStyle w:val="aNoteTextss"/>
        <w:keepNext/>
      </w:pPr>
      <w:r w:rsidRPr="006814CB">
        <w:t>For example, the signpost definition ‘</w:t>
      </w:r>
      <w:r w:rsidR="00AB4D04" w:rsidRPr="006814CB">
        <w:rPr>
          <w:rStyle w:val="charBoldItals"/>
        </w:rPr>
        <w:t>casino licensee</w:t>
      </w:r>
      <w:r w:rsidRPr="006814CB">
        <w:t xml:space="preserve">—see </w:t>
      </w:r>
      <w:r w:rsidR="00AB4D04" w:rsidRPr="006814CB">
        <w:t xml:space="preserve">the </w:t>
      </w:r>
      <w:hyperlink r:id="rId32" w:tooltip="A2006-2" w:history="1">
        <w:r w:rsidR="00253379" w:rsidRPr="006814CB">
          <w:rPr>
            <w:rStyle w:val="charCitHyperlinkItal"/>
          </w:rPr>
          <w:t>Casino Control Act 2006</w:t>
        </w:r>
      </w:hyperlink>
      <w:r w:rsidRPr="006814CB">
        <w:t>, dictionary.’ means that the term ‘</w:t>
      </w:r>
      <w:r w:rsidR="00AB4D04" w:rsidRPr="006814CB">
        <w:t>casino license</w:t>
      </w:r>
      <w:r w:rsidRPr="006814CB">
        <w:t>e’ is defined in that dictionary and the definition applies to this Act.</w:t>
      </w:r>
    </w:p>
    <w:p w:rsidR="0044665D" w:rsidRPr="006814CB" w:rsidRDefault="0044665D">
      <w:pPr>
        <w:pStyle w:val="aNote"/>
      </w:pPr>
      <w:r w:rsidRPr="006814CB">
        <w:rPr>
          <w:rStyle w:val="charItals"/>
        </w:rPr>
        <w:t>Note 2</w:t>
      </w:r>
      <w:r w:rsidRPr="006814CB">
        <w:tab/>
        <w:t xml:space="preserve">A definition in the dictionary (including a signpost definition) applies to the entire Act unless the definition, or another provision of the Act, provides otherwise or the contrary intention otherwise appears (see </w:t>
      </w:r>
      <w:hyperlink r:id="rId33" w:tooltip="A2001-14" w:history="1">
        <w:r w:rsidR="00253379" w:rsidRPr="006814CB">
          <w:rPr>
            <w:rStyle w:val="charCitHyperlinkAbbrev"/>
          </w:rPr>
          <w:t>Legislation Act</w:t>
        </w:r>
      </w:hyperlink>
      <w:r w:rsidRPr="006814CB">
        <w:t>, s 155 and s 156 (1)).</w:t>
      </w:r>
    </w:p>
    <w:p w:rsidR="0044665D" w:rsidRPr="006814CB" w:rsidRDefault="006814CB" w:rsidP="006814CB">
      <w:pPr>
        <w:pStyle w:val="AH5Sec"/>
      </w:pPr>
      <w:bookmarkStart w:id="12" w:name="_Toc516729742"/>
      <w:r w:rsidRPr="00951C4D">
        <w:rPr>
          <w:rStyle w:val="CharSectNo"/>
        </w:rPr>
        <w:lastRenderedPageBreak/>
        <w:t>4</w:t>
      </w:r>
      <w:r w:rsidRPr="006814CB">
        <w:tab/>
      </w:r>
      <w:r w:rsidR="0044665D" w:rsidRPr="006814CB">
        <w:t>Notes</w:t>
      </w:r>
      <w:bookmarkEnd w:id="12"/>
    </w:p>
    <w:p w:rsidR="0044665D" w:rsidRPr="006814CB" w:rsidRDefault="0044665D" w:rsidP="006814CB">
      <w:pPr>
        <w:pStyle w:val="Amainreturn"/>
        <w:keepNext/>
      </w:pPr>
      <w:r w:rsidRPr="006814CB">
        <w:t>A note included in this Act is explanatory and is not part of this Act.</w:t>
      </w:r>
    </w:p>
    <w:p w:rsidR="0044665D" w:rsidRPr="006814CB" w:rsidRDefault="0044665D">
      <w:pPr>
        <w:pStyle w:val="aNote"/>
      </w:pPr>
      <w:r w:rsidRPr="006814CB">
        <w:rPr>
          <w:rStyle w:val="charItals"/>
        </w:rPr>
        <w:t>Note</w:t>
      </w:r>
      <w:r w:rsidRPr="006814CB">
        <w:rPr>
          <w:rStyle w:val="charItals"/>
        </w:rPr>
        <w:tab/>
      </w:r>
      <w:r w:rsidRPr="006814CB">
        <w:t xml:space="preserve">See the </w:t>
      </w:r>
      <w:hyperlink r:id="rId34" w:tooltip="A2001-14" w:history="1">
        <w:r w:rsidR="00253379" w:rsidRPr="006814CB">
          <w:rPr>
            <w:rStyle w:val="charCitHyperlinkAbbrev"/>
          </w:rPr>
          <w:t>Legislation Act</w:t>
        </w:r>
      </w:hyperlink>
      <w:r w:rsidRPr="006814CB">
        <w:t>, s 127 (1), (4) and (5) for the legal status of notes.</w:t>
      </w:r>
    </w:p>
    <w:p w:rsidR="0044665D" w:rsidRPr="006814CB" w:rsidRDefault="006814CB" w:rsidP="006814CB">
      <w:pPr>
        <w:pStyle w:val="AH5Sec"/>
      </w:pPr>
      <w:bookmarkStart w:id="13" w:name="_Toc516729743"/>
      <w:r w:rsidRPr="00951C4D">
        <w:rPr>
          <w:rStyle w:val="CharSectNo"/>
        </w:rPr>
        <w:t>5</w:t>
      </w:r>
      <w:r w:rsidRPr="006814CB">
        <w:tab/>
      </w:r>
      <w:r w:rsidR="0044665D" w:rsidRPr="006814CB">
        <w:t>Offences against Act—application of Criminal Code etc</w:t>
      </w:r>
      <w:bookmarkEnd w:id="13"/>
    </w:p>
    <w:p w:rsidR="0044665D" w:rsidRPr="006814CB" w:rsidRDefault="0044665D" w:rsidP="006814CB">
      <w:pPr>
        <w:pStyle w:val="Amainreturn"/>
        <w:keepNext/>
      </w:pPr>
      <w:r w:rsidRPr="006814CB">
        <w:t>Other legislation applies in relation to offences against this Act.</w:t>
      </w:r>
    </w:p>
    <w:p w:rsidR="0044665D" w:rsidRPr="006814CB" w:rsidRDefault="0044665D" w:rsidP="006814CB">
      <w:pPr>
        <w:pStyle w:val="aNote"/>
        <w:keepNext/>
      </w:pPr>
      <w:r w:rsidRPr="006814CB">
        <w:rPr>
          <w:rStyle w:val="charItals"/>
        </w:rPr>
        <w:t>Note 1</w:t>
      </w:r>
      <w:r w:rsidRPr="006814CB">
        <w:tab/>
      </w:r>
      <w:r w:rsidRPr="006814CB">
        <w:rPr>
          <w:rStyle w:val="charItals"/>
        </w:rPr>
        <w:t>Criminal Code</w:t>
      </w:r>
    </w:p>
    <w:p w:rsidR="0044665D" w:rsidRPr="006814CB" w:rsidRDefault="0044665D">
      <w:pPr>
        <w:pStyle w:val="aNote"/>
        <w:spacing w:before="20"/>
        <w:ind w:firstLine="0"/>
      </w:pPr>
      <w:r w:rsidRPr="006814CB">
        <w:t xml:space="preserve">The </w:t>
      </w:r>
      <w:hyperlink r:id="rId35" w:tooltip="A2002-51" w:history="1">
        <w:r w:rsidR="00253379" w:rsidRPr="006814CB">
          <w:rPr>
            <w:rStyle w:val="charCitHyperlinkAbbrev"/>
          </w:rPr>
          <w:t>Criminal Code</w:t>
        </w:r>
      </w:hyperlink>
      <w:r w:rsidRPr="006814CB">
        <w:t xml:space="preserve">, ch 2 applies to all offences against this Act (see Code, pt 2.1).  </w:t>
      </w:r>
    </w:p>
    <w:p w:rsidR="0044665D" w:rsidRPr="006814CB" w:rsidRDefault="0044665D" w:rsidP="006814CB">
      <w:pPr>
        <w:pStyle w:val="aNoteTextss"/>
        <w:keepNext/>
      </w:pPr>
      <w:r w:rsidRPr="006814CB">
        <w:t>The chapter sets out the general principles of criminal responsibility (including burdens of proof and general defences), and defines terms used for offences to which the Code applies (eg </w:t>
      </w:r>
      <w:r w:rsidRPr="006814CB">
        <w:rPr>
          <w:rStyle w:val="charBoldItals"/>
        </w:rPr>
        <w:t>conduct</w:t>
      </w:r>
      <w:r w:rsidRPr="006814CB">
        <w:t xml:space="preserve">, </w:t>
      </w:r>
      <w:r w:rsidRPr="006814CB">
        <w:rPr>
          <w:rStyle w:val="charBoldItals"/>
        </w:rPr>
        <w:t>intention</w:t>
      </w:r>
      <w:r w:rsidRPr="006814CB">
        <w:t xml:space="preserve">, </w:t>
      </w:r>
      <w:r w:rsidRPr="006814CB">
        <w:rPr>
          <w:rStyle w:val="charBoldItals"/>
        </w:rPr>
        <w:t>recklessness</w:t>
      </w:r>
      <w:r w:rsidRPr="006814CB">
        <w:t xml:space="preserve"> and </w:t>
      </w:r>
      <w:r w:rsidRPr="006814CB">
        <w:rPr>
          <w:rStyle w:val="charBoldItals"/>
        </w:rPr>
        <w:t>strict liability</w:t>
      </w:r>
      <w:r w:rsidRPr="006814CB">
        <w:t>).</w:t>
      </w:r>
    </w:p>
    <w:p w:rsidR="0044665D" w:rsidRPr="006814CB" w:rsidRDefault="0044665D">
      <w:pPr>
        <w:pStyle w:val="aNote"/>
        <w:rPr>
          <w:rStyle w:val="charItals"/>
        </w:rPr>
      </w:pPr>
      <w:r w:rsidRPr="006814CB">
        <w:rPr>
          <w:rStyle w:val="charItals"/>
        </w:rPr>
        <w:t>Note 2</w:t>
      </w:r>
      <w:r w:rsidRPr="006814CB">
        <w:rPr>
          <w:rStyle w:val="charItals"/>
        </w:rPr>
        <w:tab/>
        <w:t>Penalty units</w:t>
      </w:r>
    </w:p>
    <w:p w:rsidR="0044665D" w:rsidRPr="006814CB" w:rsidRDefault="0044665D" w:rsidP="00EF1417">
      <w:pPr>
        <w:pStyle w:val="aNoteTextss"/>
      </w:pPr>
      <w:r w:rsidRPr="006814CB">
        <w:t xml:space="preserve">The </w:t>
      </w:r>
      <w:hyperlink r:id="rId36" w:tooltip="A2001-14" w:history="1">
        <w:r w:rsidR="00253379" w:rsidRPr="006814CB">
          <w:rPr>
            <w:rStyle w:val="charCitHyperlinkAbbrev"/>
          </w:rPr>
          <w:t>Legislation Act</w:t>
        </w:r>
      </w:hyperlink>
      <w:r w:rsidRPr="006814CB">
        <w:t>, s 133 deals with the meaning of offence penalties that are expressed in penalty units.</w:t>
      </w:r>
    </w:p>
    <w:p w:rsidR="00EF1417" w:rsidRPr="006814CB" w:rsidRDefault="00EF1417" w:rsidP="006814CB">
      <w:pPr>
        <w:pStyle w:val="PageBreak"/>
        <w:suppressLineNumbers/>
      </w:pPr>
      <w:r w:rsidRPr="006814CB">
        <w:br w:type="page"/>
      </w:r>
    </w:p>
    <w:p w:rsidR="001B3431" w:rsidRPr="00951C4D" w:rsidRDefault="006814CB" w:rsidP="006814CB">
      <w:pPr>
        <w:pStyle w:val="AH2Part"/>
      </w:pPr>
      <w:bookmarkStart w:id="14" w:name="_Toc516729744"/>
      <w:r w:rsidRPr="00951C4D">
        <w:rPr>
          <w:rStyle w:val="CharPartNo"/>
        </w:rPr>
        <w:lastRenderedPageBreak/>
        <w:t>Part 2</w:t>
      </w:r>
      <w:r w:rsidRPr="006814CB">
        <w:tab/>
      </w:r>
      <w:r w:rsidR="001B3431" w:rsidRPr="00951C4D">
        <w:rPr>
          <w:rStyle w:val="CharPartText"/>
        </w:rPr>
        <w:t>Important concepts</w:t>
      </w:r>
      <w:bookmarkEnd w:id="14"/>
    </w:p>
    <w:p w:rsidR="001B3431" w:rsidRPr="006814CB" w:rsidRDefault="006814CB" w:rsidP="006814CB">
      <w:pPr>
        <w:pStyle w:val="AH5Sec"/>
      </w:pPr>
      <w:bookmarkStart w:id="15" w:name="_Toc516729745"/>
      <w:r w:rsidRPr="00951C4D">
        <w:rPr>
          <w:rStyle w:val="CharSectNo"/>
        </w:rPr>
        <w:t>6</w:t>
      </w:r>
      <w:r w:rsidRPr="006814CB">
        <w:tab/>
      </w:r>
      <w:r w:rsidR="001B3431" w:rsidRPr="006814CB">
        <w:t>Casino gaming machine authorisation certificate—</w:t>
      </w:r>
      <w:r w:rsidR="001B3431" w:rsidRPr="006814CB">
        <w:rPr>
          <w:rStyle w:val="charItals"/>
        </w:rPr>
        <w:t xml:space="preserve">maximum </w:t>
      </w:r>
      <w:r w:rsidR="00447089" w:rsidRPr="006814CB">
        <w:rPr>
          <w:rStyle w:val="charItals"/>
        </w:rPr>
        <w:t xml:space="preserve">possible </w:t>
      </w:r>
      <w:r w:rsidR="001B3431" w:rsidRPr="006814CB">
        <w:rPr>
          <w:rStyle w:val="charItals"/>
        </w:rPr>
        <w:t>number</w:t>
      </w:r>
      <w:r w:rsidR="001B3431" w:rsidRPr="006814CB">
        <w:t xml:space="preserve"> of authorisations</w:t>
      </w:r>
      <w:bookmarkEnd w:id="15"/>
    </w:p>
    <w:p w:rsidR="001B3431" w:rsidRPr="006814CB" w:rsidRDefault="001B3431" w:rsidP="001B3431">
      <w:pPr>
        <w:pStyle w:val="Amainreturn"/>
      </w:pPr>
      <w:r w:rsidRPr="006814CB">
        <w:t xml:space="preserve">The </w:t>
      </w:r>
      <w:r w:rsidRPr="006814CB">
        <w:rPr>
          <w:rStyle w:val="charBoldItals"/>
        </w:rPr>
        <w:t xml:space="preserve">maximum </w:t>
      </w:r>
      <w:r w:rsidR="00447089" w:rsidRPr="006814CB">
        <w:rPr>
          <w:rStyle w:val="charBoldItals"/>
        </w:rPr>
        <w:t xml:space="preserve">possible </w:t>
      </w:r>
      <w:r w:rsidRPr="006814CB">
        <w:rPr>
          <w:rStyle w:val="charBoldItals"/>
        </w:rPr>
        <w:t>number</w:t>
      </w:r>
      <w:r w:rsidRPr="006814CB">
        <w:t xml:space="preserve"> of </w:t>
      </w:r>
      <w:r w:rsidR="00213F7A" w:rsidRPr="006814CB">
        <w:t xml:space="preserve">casino gaming machine </w:t>
      </w:r>
      <w:r w:rsidRPr="006814CB">
        <w:t>authorisation</w:t>
      </w:r>
      <w:r w:rsidR="00213F7A" w:rsidRPr="006814CB">
        <w:t>s</w:t>
      </w:r>
      <w:r w:rsidRPr="006814CB">
        <w:t xml:space="preserve"> allowed under a casino gaming machine authorisation certificate is 200.</w:t>
      </w:r>
    </w:p>
    <w:p w:rsidR="001B3431" w:rsidRPr="006814CB" w:rsidRDefault="006814CB" w:rsidP="006814CB">
      <w:pPr>
        <w:pStyle w:val="AH5Sec"/>
      </w:pPr>
      <w:bookmarkStart w:id="16" w:name="_Toc516729746"/>
      <w:r w:rsidRPr="00951C4D">
        <w:rPr>
          <w:rStyle w:val="CharSectNo"/>
        </w:rPr>
        <w:t>7</w:t>
      </w:r>
      <w:r w:rsidRPr="006814CB">
        <w:tab/>
      </w:r>
      <w:r w:rsidR="001B3431" w:rsidRPr="006814CB">
        <w:t>Casino FATG authorisation certificate—</w:t>
      </w:r>
      <w:r w:rsidR="001B3431" w:rsidRPr="006814CB">
        <w:rPr>
          <w:rStyle w:val="charItals"/>
        </w:rPr>
        <w:t xml:space="preserve">maximum </w:t>
      </w:r>
      <w:r w:rsidR="00447089" w:rsidRPr="006814CB">
        <w:rPr>
          <w:rStyle w:val="charItals"/>
        </w:rPr>
        <w:t xml:space="preserve">possible </w:t>
      </w:r>
      <w:r w:rsidR="001B3431" w:rsidRPr="006814CB">
        <w:rPr>
          <w:rStyle w:val="charItals"/>
        </w:rPr>
        <w:t>number</w:t>
      </w:r>
      <w:r w:rsidR="001B3431" w:rsidRPr="006814CB">
        <w:t xml:space="preserve"> of authorisations</w:t>
      </w:r>
      <w:bookmarkEnd w:id="16"/>
    </w:p>
    <w:p w:rsidR="001B3431" w:rsidRPr="006814CB" w:rsidRDefault="001B3431" w:rsidP="001B3431">
      <w:pPr>
        <w:pStyle w:val="Amainreturn"/>
      </w:pPr>
      <w:r w:rsidRPr="006814CB">
        <w:t xml:space="preserve">The </w:t>
      </w:r>
      <w:r w:rsidRPr="006814CB">
        <w:rPr>
          <w:rStyle w:val="charBoldItals"/>
        </w:rPr>
        <w:t xml:space="preserve">maximum </w:t>
      </w:r>
      <w:r w:rsidR="00447089" w:rsidRPr="006814CB">
        <w:rPr>
          <w:rStyle w:val="charBoldItals"/>
        </w:rPr>
        <w:t xml:space="preserve">possible </w:t>
      </w:r>
      <w:r w:rsidRPr="006814CB">
        <w:rPr>
          <w:rStyle w:val="charBoldItals"/>
        </w:rPr>
        <w:t>number</w:t>
      </w:r>
      <w:r w:rsidRPr="006814CB">
        <w:t xml:space="preserve"> of </w:t>
      </w:r>
      <w:r w:rsidR="00213F7A" w:rsidRPr="006814CB">
        <w:t xml:space="preserve">casino FATG terminal </w:t>
      </w:r>
      <w:r w:rsidRPr="006814CB">
        <w:t xml:space="preserve">authorisations allowed under a casino FATG authorisation certificate is </w:t>
      </w:r>
      <w:r w:rsidR="0022348D" w:rsidRPr="006814CB">
        <w:t>60.</w:t>
      </w:r>
    </w:p>
    <w:p w:rsidR="004F5504" w:rsidRPr="006814CB" w:rsidRDefault="006814CB" w:rsidP="006814CB">
      <w:pPr>
        <w:pStyle w:val="AH5Sec"/>
      </w:pPr>
      <w:bookmarkStart w:id="17" w:name="_Toc516729747"/>
      <w:r w:rsidRPr="00951C4D">
        <w:rPr>
          <w:rStyle w:val="CharSectNo"/>
        </w:rPr>
        <w:t>8</w:t>
      </w:r>
      <w:r w:rsidRPr="006814CB">
        <w:tab/>
      </w:r>
      <w:r w:rsidR="004F5504" w:rsidRPr="006814CB">
        <w:t xml:space="preserve">Meaning of </w:t>
      </w:r>
      <w:r w:rsidR="004F5504" w:rsidRPr="006814CB">
        <w:rPr>
          <w:rStyle w:val="charItals"/>
        </w:rPr>
        <w:t>social impact assessment</w:t>
      </w:r>
      <w:bookmarkEnd w:id="17"/>
    </w:p>
    <w:p w:rsidR="004F5504" w:rsidRPr="006814CB" w:rsidRDefault="006814CB" w:rsidP="006814CB">
      <w:pPr>
        <w:pStyle w:val="Amain"/>
        <w:keepNext/>
      </w:pPr>
      <w:r>
        <w:tab/>
      </w:r>
      <w:r w:rsidRPr="006814CB">
        <w:t>(1)</w:t>
      </w:r>
      <w:r w:rsidRPr="006814CB">
        <w:tab/>
      </w:r>
      <w:r w:rsidR="004F5504" w:rsidRPr="006814CB">
        <w:t xml:space="preserve">For this Act, a </w:t>
      </w:r>
      <w:r w:rsidR="004F5504" w:rsidRPr="006814CB">
        <w:rPr>
          <w:rStyle w:val="charBoldItals"/>
        </w:rPr>
        <w:t>social impact assessment</w:t>
      </w:r>
      <w:r w:rsidR="004F5504" w:rsidRPr="006814CB">
        <w:t xml:space="preserve"> for an application for an authorisation certificate is a written assessment of the likely economic and social impact of the operation of casino gaming machines or FATGs under the proposed authorisation certificate.</w:t>
      </w:r>
    </w:p>
    <w:p w:rsidR="004F5504" w:rsidRPr="006814CB" w:rsidRDefault="004F5504" w:rsidP="004F5504">
      <w:pPr>
        <w:pStyle w:val="aNote"/>
        <w:keepNext/>
      </w:pPr>
      <w:r w:rsidRPr="006814CB">
        <w:rPr>
          <w:rStyle w:val="charItals"/>
        </w:rPr>
        <w:t>Note</w:t>
      </w:r>
      <w:r w:rsidRPr="006814CB">
        <w:rPr>
          <w:rStyle w:val="charItals"/>
        </w:rPr>
        <w:tab/>
      </w:r>
      <w:r w:rsidRPr="006814CB">
        <w:t>A social impact assessment is required for—</w:t>
      </w:r>
    </w:p>
    <w:p w:rsidR="004F5504" w:rsidRPr="006814CB" w:rsidRDefault="004F5504" w:rsidP="004F5504">
      <w:pPr>
        <w:pStyle w:val="aNotePara"/>
        <w:keepNext/>
      </w:pPr>
      <w:r w:rsidRPr="006814CB">
        <w:tab/>
        <w:t>(a)</w:t>
      </w:r>
      <w:r w:rsidRPr="006814CB">
        <w:tab/>
        <w:t>an application for a casino gaming machine authorisation certificate (see s </w:t>
      </w:r>
      <w:r w:rsidR="002E0DF3" w:rsidRPr="006814CB">
        <w:t>10</w:t>
      </w:r>
      <w:r w:rsidRPr="006814CB">
        <w:t>); and</w:t>
      </w:r>
    </w:p>
    <w:p w:rsidR="004F5504" w:rsidRPr="006814CB" w:rsidRDefault="004F5504" w:rsidP="004F5504">
      <w:pPr>
        <w:pStyle w:val="aNotePara"/>
        <w:keepNext/>
      </w:pPr>
      <w:r w:rsidRPr="006814CB">
        <w:tab/>
        <w:t>(b)</w:t>
      </w:r>
      <w:r w:rsidRPr="006814CB">
        <w:tab/>
        <w:t>an application for a casino FATG authorisation certificate (see s </w:t>
      </w:r>
      <w:r w:rsidR="002E0DF3" w:rsidRPr="006814CB">
        <w:t>13</w:t>
      </w:r>
      <w:r w:rsidRPr="006814CB">
        <w:t>).</w:t>
      </w:r>
    </w:p>
    <w:p w:rsidR="004F5504" w:rsidRPr="006814CB" w:rsidRDefault="006814CB" w:rsidP="006814CB">
      <w:pPr>
        <w:pStyle w:val="Amain"/>
      </w:pPr>
      <w:r>
        <w:tab/>
      </w:r>
      <w:r w:rsidRPr="006814CB">
        <w:t>(2)</w:t>
      </w:r>
      <w:r w:rsidRPr="006814CB">
        <w:tab/>
      </w:r>
      <w:r w:rsidR="004F5504" w:rsidRPr="006814CB">
        <w:t>A regulation may make provision in relation to social impact assessments, including the following:</w:t>
      </w:r>
    </w:p>
    <w:p w:rsidR="004F5504" w:rsidRPr="006814CB" w:rsidRDefault="006814CB" w:rsidP="006814CB">
      <w:pPr>
        <w:pStyle w:val="Apara"/>
      </w:pPr>
      <w:r>
        <w:tab/>
      </w:r>
      <w:r w:rsidRPr="006814CB">
        <w:t>(a)</w:t>
      </w:r>
      <w:r w:rsidRPr="006814CB">
        <w:tab/>
      </w:r>
      <w:r w:rsidR="004F5504" w:rsidRPr="006814CB">
        <w:t xml:space="preserve">the requirements that must be satisfied by a social impact assessment; </w:t>
      </w:r>
    </w:p>
    <w:p w:rsidR="004F5504" w:rsidRPr="006814CB" w:rsidRDefault="006814CB" w:rsidP="006814CB">
      <w:pPr>
        <w:pStyle w:val="Apara"/>
      </w:pPr>
      <w:r>
        <w:tab/>
      </w:r>
      <w:r w:rsidRPr="006814CB">
        <w:t>(b)</w:t>
      </w:r>
      <w:r w:rsidRPr="006814CB">
        <w:tab/>
      </w:r>
      <w:r w:rsidR="004F5504" w:rsidRPr="006814CB">
        <w:t xml:space="preserve">the matters to be addressed by a social impact assessment; </w:t>
      </w:r>
    </w:p>
    <w:p w:rsidR="004F5504" w:rsidRPr="006814CB" w:rsidRDefault="006814CB" w:rsidP="006814CB">
      <w:pPr>
        <w:pStyle w:val="Apara"/>
      </w:pPr>
      <w:r>
        <w:tab/>
      </w:r>
      <w:r w:rsidRPr="006814CB">
        <w:t>(c)</w:t>
      </w:r>
      <w:r w:rsidRPr="006814CB">
        <w:tab/>
      </w:r>
      <w:r w:rsidR="004F5504" w:rsidRPr="006814CB">
        <w:t>the information to be given in a social impact assessment.</w:t>
      </w:r>
    </w:p>
    <w:p w:rsidR="004F5504" w:rsidRPr="006814CB" w:rsidRDefault="006814CB" w:rsidP="006814CB">
      <w:pPr>
        <w:pStyle w:val="AH5Sec"/>
      </w:pPr>
      <w:bookmarkStart w:id="18" w:name="_Toc516729748"/>
      <w:r w:rsidRPr="00951C4D">
        <w:rPr>
          <w:rStyle w:val="CharSectNo"/>
        </w:rPr>
        <w:t>9</w:t>
      </w:r>
      <w:r w:rsidRPr="006814CB">
        <w:tab/>
      </w:r>
      <w:r w:rsidR="004F5504" w:rsidRPr="006814CB">
        <w:t>Social impact assessment—publication</w:t>
      </w:r>
      <w:bookmarkEnd w:id="18"/>
    </w:p>
    <w:p w:rsidR="004F5504" w:rsidRPr="006814CB" w:rsidRDefault="006814CB" w:rsidP="006814CB">
      <w:pPr>
        <w:pStyle w:val="Amain"/>
      </w:pPr>
      <w:r>
        <w:tab/>
      </w:r>
      <w:r w:rsidRPr="006814CB">
        <w:t>(1)</w:t>
      </w:r>
      <w:r w:rsidRPr="006814CB">
        <w:tab/>
      </w:r>
      <w:r w:rsidR="004F5504" w:rsidRPr="006814CB">
        <w:t xml:space="preserve">This section applies if </w:t>
      </w:r>
      <w:r w:rsidR="007614EC" w:rsidRPr="006814CB">
        <w:t>the casino licensee applies</w:t>
      </w:r>
      <w:r w:rsidR="004F5504" w:rsidRPr="006814CB">
        <w:t xml:space="preserve"> for </w:t>
      </w:r>
      <w:r w:rsidR="007614EC" w:rsidRPr="006814CB">
        <w:t>either</w:t>
      </w:r>
      <w:r w:rsidR="004F5504" w:rsidRPr="006814CB">
        <w:t xml:space="preserve"> of the following </w:t>
      </w:r>
      <w:r w:rsidR="007614EC" w:rsidRPr="006814CB">
        <w:t xml:space="preserve">and </w:t>
      </w:r>
      <w:r w:rsidR="004F5504" w:rsidRPr="006814CB">
        <w:t>is required to provide a social impact assessment with the application:</w:t>
      </w:r>
    </w:p>
    <w:p w:rsidR="004F5504" w:rsidRPr="006814CB" w:rsidRDefault="006814CB" w:rsidP="006814CB">
      <w:pPr>
        <w:pStyle w:val="Apara"/>
      </w:pPr>
      <w:r>
        <w:tab/>
      </w:r>
      <w:r w:rsidRPr="006814CB">
        <w:t>(a)</w:t>
      </w:r>
      <w:r w:rsidRPr="006814CB">
        <w:tab/>
      </w:r>
      <w:r w:rsidR="007614EC" w:rsidRPr="006814CB">
        <w:t>a casino gaming machine</w:t>
      </w:r>
      <w:r w:rsidR="004F5504" w:rsidRPr="006814CB">
        <w:t xml:space="preserve"> authorisation certificate;</w:t>
      </w:r>
    </w:p>
    <w:p w:rsidR="007614EC" w:rsidRPr="006814CB" w:rsidRDefault="006814CB" w:rsidP="006814CB">
      <w:pPr>
        <w:pStyle w:val="Apara"/>
      </w:pPr>
      <w:r>
        <w:tab/>
      </w:r>
      <w:r w:rsidRPr="006814CB">
        <w:t>(b)</w:t>
      </w:r>
      <w:r w:rsidRPr="006814CB">
        <w:tab/>
      </w:r>
      <w:r w:rsidR="007614EC" w:rsidRPr="006814CB">
        <w:t>a casino FATG authorisation certificate.</w:t>
      </w:r>
    </w:p>
    <w:p w:rsidR="004F5504" w:rsidRPr="006814CB" w:rsidRDefault="006814CB" w:rsidP="006814CB">
      <w:pPr>
        <w:pStyle w:val="Amain"/>
      </w:pPr>
      <w:r>
        <w:tab/>
      </w:r>
      <w:r w:rsidRPr="006814CB">
        <w:t>(2)</w:t>
      </w:r>
      <w:r w:rsidRPr="006814CB">
        <w:tab/>
      </w:r>
      <w:r w:rsidR="004F5504" w:rsidRPr="006814CB">
        <w:t xml:space="preserve">The casino licensee must give public notice of </w:t>
      </w:r>
      <w:r w:rsidR="007614EC" w:rsidRPr="006814CB">
        <w:t>the</w:t>
      </w:r>
      <w:r w:rsidR="004F5504" w:rsidRPr="006814CB">
        <w:t xml:space="preserve"> application, stating that—</w:t>
      </w:r>
    </w:p>
    <w:p w:rsidR="00117222" w:rsidRPr="006814CB" w:rsidRDefault="006814CB" w:rsidP="006814CB">
      <w:pPr>
        <w:pStyle w:val="Apara"/>
        <w:rPr>
          <w:lang w:eastAsia="en-AU"/>
        </w:rPr>
      </w:pPr>
      <w:r>
        <w:rPr>
          <w:lang w:eastAsia="en-AU"/>
        </w:rPr>
        <w:tab/>
      </w:r>
      <w:r w:rsidRPr="006814CB">
        <w:rPr>
          <w:lang w:eastAsia="en-AU"/>
        </w:rPr>
        <w:t>(a)</w:t>
      </w:r>
      <w:r w:rsidRPr="006814CB">
        <w:rPr>
          <w:lang w:eastAsia="en-AU"/>
        </w:rPr>
        <w:tab/>
      </w:r>
      <w:r w:rsidR="00117222" w:rsidRPr="006814CB">
        <w:rPr>
          <w:lang w:eastAsia="en-AU"/>
        </w:rPr>
        <w:t xml:space="preserve">the social impact assessment for the application will be available for inspection by members of the public for </w:t>
      </w:r>
      <w:r w:rsidR="00C7278D" w:rsidRPr="006814CB">
        <w:rPr>
          <w:lang w:eastAsia="en-AU"/>
        </w:rPr>
        <w:t>8</w:t>
      </w:r>
      <w:r w:rsidR="00117222" w:rsidRPr="006814CB">
        <w:rPr>
          <w:lang w:eastAsia="en-AU"/>
        </w:rPr>
        <w:t xml:space="preserve"> weeks after a day stated in the public notice (the </w:t>
      </w:r>
      <w:r w:rsidR="00117222" w:rsidRPr="006814CB">
        <w:rPr>
          <w:rStyle w:val="charBoldItals"/>
        </w:rPr>
        <w:t>comment period</w:t>
      </w:r>
      <w:r w:rsidR="00117222" w:rsidRPr="006814CB">
        <w:rPr>
          <w:lang w:eastAsia="en-AU"/>
        </w:rPr>
        <w:t>)—</w:t>
      </w:r>
    </w:p>
    <w:p w:rsidR="00117222" w:rsidRPr="006814CB" w:rsidRDefault="006814CB" w:rsidP="006814CB">
      <w:pPr>
        <w:pStyle w:val="Asubpara"/>
        <w:rPr>
          <w:lang w:eastAsia="en-AU"/>
        </w:rPr>
      </w:pPr>
      <w:r>
        <w:rPr>
          <w:lang w:eastAsia="en-AU"/>
        </w:rPr>
        <w:tab/>
      </w:r>
      <w:r w:rsidRPr="006814CB">
        <w:rPr>
          <w:lang w:eastAsia="en-AU"/>
        </w:rPr>
        <w:t>(i)</w:t>
      </w:r>
      <w:r w:rsidRPr="006814CB">
        <w:rPr>
          <w:lang w:eastAsia="en-AU"/>
        </w:rPr>
        <w:tab/>
      </w:r>
      <w:r w:rsidR="00117222" w:rsidRPr="006814CB">
        <w:rPr>
          <w:lang w:eastAsia="en-AU"/>
        </w:rPr>
        <w:t>at a place in the ACT named on the commission’s website during ordinary business hours; and</w:t>
      </w:r>
    </w:p>
    <w:p w:rsidR="00117222" w:rsidRPr="006814CB" w:rsidRDefault="006814CB" w:rsidP="006814CB">
      <w:pPr>
        <w:pStyle w:val="Asubpara"/>
      </w:pPr>
      <w:r>
        <w:tab/>
      </w:r>
      <w:r w:rsidRPr="006814CB">
        <w:t>(ii)</w:t>
      </w:r>
      <w:r w:rsidRPr="006814CB">
        <w:tab/>
      </w:r>
      <w:r w:rsidR="00117222" w:rsidRPr="006814CB">
        <w:rPr>
          <w:lang w:eastAsia="en-AU"/>
        </w:rPr>
        <w:t>on the commission’s website; and</w:t>
      </w:r>
    </w:p>
    <w:p w:rsidR="004F5504" w:rsidRPr="006814CB" w:rsidRDefault="006814CB" w:rsidP="006814CB">
      <w:pPr>
        <w:pStyle w:val="Apara"/>
        <w:keepNext/>
      </w:pPr>
      <w:r>
        <w:tab/>
      </w:r>
      <w:r w:rsidRPr="006814CB">
        <w:t>(b)</w:t>
      </w:r>
      <w:r w:rsidRPr="006814CB">
        <w:tab/>
      </w:r>
      <w:r w:rsidR="004F5504" w:rsidRPr="006814CB">
        <w:t>any written submissions about the social impact assessment may be made to the commission within the comment period.</w:t>
      </w:r>
    </w:p>
    <w:p w:rsidR="004F5504" w:rsidRPr="006814CB" w:rsidRDefault="004F5504" w:rsidP="004F5504">
      <w:pPr>
        <w:pStyle w:val="aNote"/>
        <w:keepNext/>
      </w:pPr>
      <w:r w:rsidRPr="006814CB">
        <w:rPr>
          <w:rStyle w:val="charItals"/>
        </w:rPr>
        <w:t>Note 1</w:t>
      </w:r>
      <w:r w:rsidRPr="006814CB">
        <w:rPr>
          <w:rStyle w:val="charItals"/>
        </w:rPr>
        <w:tab/>
      </w:r>
      <w:r w:rsidRPr="006814CB">
        <w:rPr>
          <w:rStyle w:val="charBoldItals"/>
        </w:rPr>
        <w:t xml:space="preserve">Public notice </w:t>
      </w:r>
      <w:r w:rsidRPr="006814CB">
        <w:t xml:space="preserve">means notice on an ACT government website or in a daily newspaper circulating in the ACT (see </w:t>
      </w:r>
      <w:hyperlink r:id="rId37" w:tooltip="A2001-14" w:history="1">
        <w:r w:rsidR="00253379" w:rsidRPr="006814CB">
          <w:rPr>
            <w:rStyle w:val="charCitHyperlinkAbbrev"/>
          </w:rPr>
          <w:t>Legislation Act</w:t>
        </w:r>
      </w:hyperlink>
      <w:r w:rsidRPr="006814CB">
        <w:t>, dict, pt 1).</w:t>
      </w:r>
    </w:p>
    <w:p w:rsidR="004F5504" w:rsidRPr="006814CB" w:rsidRDefault="004F5504" w:rsidP="004F5504">
      <w:pPr>
        <w:pStyle w:val="aNote"/>
      </w:pPr>
      <w:r w:rsidRPr="006814CB">
        <w:rPr>
          <w:rStyle w:val="charItals"/>
        </w:rPr>
        <w:t>Note 2</w:t>
      </w:r>
      <w:r w:rsidRPr="006814CB">
        <w:rPr>
          <w:rStyle w:val="charItals"/>
        </w:rPr>
        <w:tab/>
      </w:r>
      <w:r w:rsidRPr="006814CB">
        <w:t xml:space="preserve">If a form is approved under the </w:t>
      </w:r>
      <w:hyperlink r:id="rId38" w:tooltip="Gambling and Racing Control Act 1999" w:history="1">
        <w:r w:rsidR="000B28BA" w:rsidRPr="006814CB">
          <w:rPr>
            <w:rStyle w:val="charCitHyperlinkAbbrev"/>
          </w:rPr>
          <w:t>Control Act</w:t>
        </w:r>
      </w:hyperlink>
      <w:r w:rsidRPr="006814CB">
        <w:t>, s 53D for a public notice, the form must be used.</w:t>
      </w:r>
    </w:p>
    <w:p w:rsidR="004F5504" w:rsidRPr="006814CB" w:rsidRDefault="006814CB" w:rsidP="006814CB">
      <w:pPr>
        <w:pStyle w:val="Amain"/>
      </w:pPr>
      <w:r>
        <w:tab/>
      </w:r>
      <w:r w:rsidRPr="006814CB">
        <w:t>(3)</w:t>
      </w:r>
      <w:r w:rsidRPr="006814CB">
        <w:tab/>
      </w:r>
      <w:r w:rsidR="004F5504" w:rsidRPr="006814CB">
        <w:t xml:space="preserve">Before the comment period begins, the </w:t>
      </w:r>
      <w:r w:rsidR="007614EC" w:rsidRPr="006814CB">
        <w:t>casino licensee</w:t>
      </w:r>
      <w:r w:rsidR="004F5504" w:rsidRPr="006814CB">
        <w:t xml:space="preserve"> must give the commission—</w:t>
      </w:r>
    </w:p>
    <w:p w:rsidR="004F5504" w:rsidRPr="006814CB" w:rsidRDefault="006814CB" w:rsidP="006814CB">
      <w:pPr>
        <w:pStyle w:val="Apara"/>
      </w:pPr>
      <w:r>
        <w:tab/>
      </w:r>
      <w:r w:rsidRPr="006814CB">
        <w:t>(a)</w:t>
      </w:r>
      <w:r w:rsidRPr="006814CB">
        <w:tab/>
      </w:r>
      <w:r w:rsidR="004F5504" w:rsidRPr="006814CB">
        <w:t>the social impact assessment for the application; and</w:t>
      </w:r>
    </w:p>
    <w:p w:rsidR="004F5504" w:rsidRPr="006814CB" w:rsidRDefault="006814CB" w:rsidP="006814CB">
      <w:pPr>
        <w:pStyle w:val="Apara"/>
      </w:pPr>
      <w:r>
        <w:tab/>
      </w:r>
      <w:r w:rsidRPr="006814CB">
        <w:t>(b)</w:t>
      </w:r>
      <w:r w:rsidRPr="006814CB">
        <w:tab/>
      </w:r>
      <w:r w:rsidR="004F5504" w:rsidRPr="006814CB">
        <w:t>a copy of the public notice.</w:t>
      </w:r>
    </w:p>
    <w:p w:rsidR="004F5504" w:rsidRPr="006814CB" w:rsidRDefault="006814CB" w:rsidP="00480B76">
      <w:pPr>
        <w:pStyle w:val="Amain"/>
        <w:keepNext/>
      </w:pPr>
      <w:r>
        <w:tab/>
      </w:r>
      <w:r w:rsidRPr="006814CB">
        <w:t>(4)</w:t>
      </w:r>
      <w:r w:rsidRPr="006814CB">
        <w:tab/>
      </w:r>
      <w:r w:rsidR="004F5504" w:rsidRPr="006814CB">
        <w:t xml:space="preserve">The </w:t>
      </w:r>
      <w:r w:rsidR="007614EC" w:rsidRPr="006814CB">
        <w:t>casino licensee</w:t>
      </w:r>
      <w:r w:rsidR="004F5504" w:rsidRPr="006814CB">
        <w:t xml:space="preserve"> must—</w:t>
      </w:r>
    </w:p>
    <w:p w:rsidR="004F5504" w:rsidRPr="006814CB" w:rsidRDefault="006814CB" w:rsidP="00480B76">
      <w:pPr>
        <w:pStyle w:val="Apara"/>
        <w:keepLines/>
      </w:pPr>
      <w:r>
        <w:tab/>
      </w:r>
      <w:r w:rsidRPr="006814CB">
        <w:t>(a)</w:t>
      </w:r>
      <w:r w:rsidRPr="006814CB">
        <w:tab/>
      </w:r>
      <w:r w:rsidR="004F5504" w:rsidRPr="006814CB">
        <w:t xml:space="preserve">on or before the day the public notice is given, place a sign (the </w:t>
      </w:r>
      <w:r w:rsidR="004F5504" w:rsidRPr="006814CB">
        <w:rPr>
          <w:rStyle w:val="charBoldItals"/>
        </w:rPr>
        <w:t>information sign</w:t>
      </w:r>
      <w:r w:rsidR="004F5504" w:rsidRPr="006814CB">
        <w:t>) containing information about the appl</w:t>
      </w:r>
      <w:r w:rsidR="007614EC" w:rsidRPr="006814CB">
        <w:t>ication in a prominent position outside each public entrance to the premises to which the application relates; and</w:t>
      </w:r>
    </w:p>
    <w:p w:rsidR="004F5504" w:rsidRPr="006814CB" w:rsidRDefault="006814CB" w:rsidP="006814CB">
      <w:pPr>
        <w:pStyle w:val="Apara"/>
      </w:pPr>
      <w:r>
        <w:tab/>
      </w:r>
      <w:r w:rsidRPr="006814CB">
        <w:t>(b)</w:t>
      </w:r>
      <w:r w:rsidRPr="006814CB">
        <w:tab/>
      </w:r>
      <w:r w:rsidR="004F5504" w:rsidRPr="006814CB">
        <w:t>ensure that the sign stays there for the comment period.</w:t>
      </w:r>
    </w:p>
    <w:p w:rsidR="004F5504" w:rsidRPr="006814CB" w:rsidRDefault="006814CB" w:rsidP="006814CB">
      <w:pPr>
        <w:pStyle w:val="Amain"/>
      </w:pPr>
      <w:r>
        <w:tab/>
      </w:r>
      <w:r w:rsidRPr="006814CB">
        <w:t>(5)</w:t>
      </w:r>
      <w:r w:rsidRPr="006814CB">
        <w:tab/>
      </w:r>
      <w:r w:rsidR="004F5504" w:rsidRPr="006814CB">
        <w:t xml:space="preserve">However, </w:t>
      </w:r>
      <w:r w:rsidR="007614EC" w:rsidRPr="006814CB">
        <w:t>the casino licensee</w:t>
      </w:r>
      <w:r w:rsidR="004F5504" w:rsidRPr="006814CB">
        <w:t xml:space="preserve"> need not comply with subsection (4) if it would be impractical to do so.</w:t>
      </w:r>
    </w:p>
    <w:p w:rsidR="004F5504" w:rsidRPr="006814CB" w:rsidRDefault="004F5504" w:rsidP="004F5504">
      <w:pPr>
        <w:pStyle w:val="aExamHdgss"/>
      </w:pPr>
      <w:r w:rsidRPr="006814CB">
        <w:t>Examples—impractical to place sign at address</w:t>
      </w:r>
    </w:p>
    <w:p w:rsidR="004F5504" w:rsidRPr="006814CB" w:rsidRDefault="004F5504" w:rsidP="004F5504">
      <w:pPr>
        <w:pStyle w:val="aExamINumss"/>
        <w:keepNext/>
      </w:pPr>
      <w:r w:rsidRPr="006814CB">
        <w:t>1</w:t>
      </w:r>
      <w:r w:rsidRPr="006814CB">
        <w:tab/>
        <w:t>there is no road access to the address</w:t>
      </w:r>
    </w:p>
    <w:p w:rsidR="004F5504" w:rsidRPr="006814CB" w:rsidRDefault="004F5504" w:rsidP="004F5504">
      <w:pPr>
        <w:pStyle w:val="aExamINumss"/>
        <w:keepNext/>
      </w:pPr>
      <w:r w:rsidRPr="006814CB">
        <w:t>2</w:t>
      </w:r>
      <w:r w:rsidRPr="006814CB">
        <w:tab/>
        <w:t>building work is being carried out at the address</w:t>
      </w:r>
    </w:p>
    <w:p w:rsidR="004F5504" w:rsidRPr="006814CB" w:rsidRDefault="004F5504" w:rsidP="004F5504">
      <w:pPr>
        <w:pStyle w:val="aNote"/>
      </w:pPr>
      <w:r w:rsidRPr="006814CB">
        <w:rPr>
          <w:rStyle w:val="charItals"/>
        </w:rPr>
        <w:t>Note</w:t>
      </w:r>
      <w:r w:rsidRPr="006814CB">
        <w:tab/>
        <w:t xml:space="preserve">An example is part of the Act, is not exhaustive and may extend, but does not limit, the meaning of the provision in which it appears (see </w:t>
      </w:r>
      <w:hyperlink r:id="rId39" w:tooltip="A2001-14" w:history="1">
        <w:r w:rsidR="00253379" w:rsidRPr="006814CB">
          <w:rPr>
            <w:rStyle w:val="charCitHyperlinkAbbrev"/>
          </w:rPr>
          <w:t>Legislation Act</w:t>
        </w:r>
      </w:hyperlink>
      <w:r w:rsidRPr="006814CB">
        <w:t>, s 126 and s 132).</w:t>
      </w:r>
    </w:p>
    <w:p w:rsidR="004F5504" w:rsidRPr="006814CB" w:rsidRDefault="006814CB" w:rsidP="006814CB">
      <w:pPr>
        <w:pStyle w:val="Amain"/>
      </w:pPr>
      <w:r>
        <w:tab/>
      </w:r>
      <w:r w:rsidRPr="006814CB">
        <w:t>(6)</w:t>
      </w:r>
      <w:r w:rsidRPr="006814CB">
        <w:tab/>
      </w:r>
      <w:r w:rsidR="004F5504" w:rsidRPr="006814CB">
        <w:t>The information sign must include the following:</w:t>
      </w:r>
    </w:p>
    <w:p w:rsidR="004F5504" w:rsidRPr="006814CB" w:rsidRDefault="006814CB" w:rsidP="006814CB">
      <w:pPr>
        <w:pStyle w:val="Apara"/>
      </w:pPr>
      <w:r>
        <w:tab/>
      </w:r>
      <w:r w:rsidRPr="006814CB">
        <w:t>(a)</w:t>
      </w:r>
      <w:r w:rsidRPr="006814CB">
        <w:tab/>
      </w:r>
      <w:r w:rsidR="004F5504" w:rsidRPr="006814CB">
        <w:t>a description of the application;</w:t>
      </w:r>
    </w:p>
    <w:p w:rsidR="004F5504" w:rsidRPr="006814CB" w:rsidRDefault="006814CB" w:rsidP="006814CB">
      <w:pPr>
        <w:pStyle w:val="Apara"/>
      </w:pPr>
      <w:r>
        <w:tab/>
      </w:r>
      <w:r w:rsidRPr="006814CB">
        <w:t>(b)</w:t>
      </w:r>
      <w:r w:rsidRPr="006814CB">
        <w:tab/>
      </w:r>
      <w:r w:rsidR="004F5504" w:rsidRPr="006814CB">
        <w:t>a statement of when and where the social impact assessment for the application will be available;</w:t>
      </w:r>
    </w:p>
    <w:p w:rsidR="004F5504" w:rsidRPr="006814CB" w:rsidRDefault="006814CB" w:rsidP="006814CB">
      <w:pPr>
        <w:pStyle w:val="Apara"/>
      </w:pPr>
      <w:r>
        <w:tab/>
      </w:r>
      <w:r w:rsidRPr="006814CB">
        <w:t>(c)</w:t>
      </w:r>
      <w:r w:rsidRPr="006814CB">
        <w:tab/>
      </w:r>
      <w:r w:rsidR="004F5504" w:rsidRPr="006814CB">
        <w:t>an invitation to make written submissions to the commission about the social impact assessment within the comment period;</w:t>
      </w:r>
    </w:p>
    <w:p w:rsidR="004F5504" w:rsidRPr="006814CB" w:rsidRDefault="006814CB" w:rsidP="006814CB">
      <w:pPr>
        <w:pStyle w:val="Apara"/>
      </w:pPr>
      <w:r>
        <w:tab/>
      </w:r>
      <w:r w:rsidRPr="006814CB">
        <w:t>(d)</w:t>
      </w:r>
      <w:r w:rsidRPr="006814CB">
        <w:tab/>
      </w:r>
      <w:r w:rsidR="004F5504" w:rsidRPr="006814CB">
        <w:t>when the comment period ends;</w:t>
      </w:r>
    </w:p>
    <w:p w:rsidR="004F5504" w:rsidRPr="006814CB" w:rsidRDefault="006814CB" w:rsidP="006814CB">
      <w:pPr>
        <w:pStyle w:val="Apara"/>
      </w:pPr>
      <w:r>
        <w:tab/>
      </w:r>
      <w:r w:rsidRPr="006814CB">
        <w:t>(e)</w:t>
      </w:r>
      <w:r w:rsidRPr="006814CB">
        <w:tab/>
      </w:r>
      <w:r w:rsidR="004F5504" w:rsidRPr="006814CB">
        <w:t>details of where to get more information about the application.</w:t>
      </w:r>
    </w:p>
    <w:p w:rsidR="00117222" w:rsidRPr="006814CB" w:rsidRDefault="006814CB" w:rsidP="00480B76">
      <w:pPr>
        <w:pStyle w:val="Amain"/>
        <w:keepNext/>
        <w:rPr>
          <w:lang w:eastAsia="en-AU"/>
        </w:rPr>
      </w:pPr>
      <w:r>
        <w:rPr>
          <w:lang w:eastAsia="en-AU"/>
        </w:rPr>
        <w:tab/>
      </w:r>
      <w:r w:rsidRPr="006814CB">
        <w:rPr>
          <w:lang w:eastAsia="en-AU"/>
        </w:rPr>
        <w:t>(7)</w:t>
      </w:r>
      <w:r w:rsidRPr="006814CB">
        <w:rPr>
          <w:lang w:eastAsia="en-AU"/>
        </w:rPr>
        <w:tab/>
      </w:r>
      <w:r w:rsidR="00117222" w:rsidRPr="006814CB">
        <w:rPr>
          <w:lang w:eastAsia="en-AU"/>
        </w:rPr>
        <w:t>The commission must make the social impact assessment available for inspection by members of the public during the comment period—</w:t>
      </w:r>
    </w:p>
    <w:p w:rsidR="00117222" w:rsidRPr="006814CB" w:rsidRDefault="006814CB" w:rsidP="00480B76">
      <w:pPr>
        <w:pStyle w:val="Apara"/>
        <w:keepNext/>
        <w:rPr>
          <w:lang w:eastAsia="en-AU"/>
        </w:rPr>
      </w:pPr>
      <w:r>
        <w:rPr>
          <w:lang w:eastAsia="en-AU"/>
        </w:rPr>
        <w:tab/>
      </w:r>
      <w:r w:rsidRPr="006814CB">
        <w:rPr>
          <w:lang w:eastAsia="en-AU"/>
        </w:rPr>
        <w:t>(a)</w:t>
      </w:r>
      <w:r w:rsidRPr="006814CB">
        <w:rPr>
          <w:lang w:eastAsia="en-AU"/>
        </w:rPr>
        <w:tab/>
      </w:r>
      <w:r w:rsidR="00117222" w:rsidRPr="006814CB">
        <w:rPr>
          <w:lang w:eastAsia="en-AU"/>
        </w:rPr>
        <w:t>at a place in the ACT named on the commission’s website during ordinary business hours; and</w:t>
      </w:r>
    </w:p>
    <w:p w:rsidR="00117222" w:rsidRPr="006814CB" w:rsidRDefault="006814CB" w:rsidP="00480B76">
      <w:pPr>
        <w:pStyle w:val="Apara"/>
        <w:keepNext/>
        <w:rPr>
          <w:lang w:eastAsia="en-AU"/>
        </w:rPr>
      </w:pPr>
      <w:r>
        <w:rPr>
          <w:lang w:eastAsia="en-AU"/>
        </w:rPr>
        <w:tab/>
      </w:r>
      <w:r w:rsidRPr="006814CB">
        <w:rPr>
          <w:lang w:eastAsia="en-AU"/>
        </w:rPr>
        <w:t>(b)</w:t>
      </w:r>
      <w:r w:rsidRPr="006814CB">
        <w:rPr>
          <w:lang w:eastAsia="en-AU"/>
        </w:rPr>
        <w:tab/>
      </w:r>
      <w:r w:rsidR="00117222" w:rsidRPr="006814CB">
        <w:rPr>
          <w:lang w:eastAsia="en-AU"/>
        </w:rPr>
        <w:t>by publishing the assessment on the commission’s website.</w:t>
      </w:r>
    </w:p>
    <w:p w:rsidR="008502BB" w:rsidRPr="006814CB" w:rsidRDefault="006814CB" w:rsidP="006814CB">
      <w:pPr>
        <w:pStyle w:val="Amain"/>
      </w:pPr>
      <w:r>
        <w:tab/>
      </w:r>
      <w:r w:rsidRPr="006814CB">
        <w:t>(8)</w:t>
      </w:r>
      <w:r w:rsidRPr="006814CB">
        <w:tab/>
      </w:r>
      <w:r w:rsidR="004F5504" w:rsidRPr="006814CB">
        <w:t>The commission must not decide the application until the comment period has ended.</w:t>
      </w:r>
    </w:p>
    <w:p w:rsidR="008502BB" w:rsidRPr="006814CB" w:rsidRDefault="008502BB" w:rsidP="006814CB">
      <w:pPr>
        <w:pStyle w:val="PageBreak"/>
        <w:suppressLineNumbers/>
      </w:pPr>
      <w:r w:rsidRPr="006814CB">
        <w:br w:type="page"/>
      </w:r>
    </w:p>
    <w:p w:rsidR="00EF1417" w:rsidRPr="00951C4D" w:rsidRDefault="006814CB" w:rsidP="006814CB">
      <w:pPr>
        <w:pStyle w:val="AH2Part"/>
      </w:pPr>
      <w:bookmarkStart w:id="19" w:name="_Toc516729749"/>
      <w:r w:rsidRPr="00951C4D">
        <w:rPr>
          <w:rStyle w:val="CharPartNo"/>
        </w:rPr>
        <w:t>Part 3</w:t>
      </w:r>
      <w:r w:rsidRPr="006814CB">
        <w:tab/>
      </w:r>
      <w:r w:rsidR="00372BEC" w:rsidRPr="00951C4D">
        <w:rPr>
          <w:rStyle w:val="CharPartText"/>
        </w:rPr>
        <w:t>Authorisations for electronic gaming</w:t>
      </w:r>
      <w:bookmarkEnd w:id="19"/>
    </w:p>
    <w:p w:rsidR="00372BEC" w:rsidRPr="00951C4D" w:rsidRDefault="006814CB" w:rsidP="006814CB">
      <w:pPr>
        <w:pStyle w:val="AH3Div"/>
      </w:pPr>
      <w:bookmarkStart w:id="20" w:name="_Toc516729750"/>
      <w:r w:rsidRPr="00951C4D">
        <w:rPr>
          <w:rStyle w:val="CharDivNo"/>
        </w:rPr>
        <w:t>Division 3.1</w:t>
      </w:r>
      <w:r w:rsidRPr="006814CB">
        <w:tab/>
      </w:r>
      <w:r w:rsidR="00372BEC" w:rsidRPr="00951C4D">
        <w:rPr>
          <w:rStyle w:val="CharDivText"/>
        </w:rPr>
        <w:t>Casino gaming machine authorisation certificate</w:t>
      </w:r>
      <w:bookmarkEnd w:id="20"/>
    </w:p>
    <w:p w:rsidR="00CB2701" w:rsidRPr="006814CB" w:rsidRDefault="006814CB" w:rsidP="006814CB">
      <w:pPr>
        <w:pStyle w:val="AH5Sec"/>
      </w:pPr>
      <w:bookmarkStart w:id="21" w:name="_Toc516729751"/>
      <w:r w:rsidRPr="00951C4D">
        <w:rPr>
          <w:rStyle w:val="CharSectNo"/>
        </w:rPr>
        <w:t>10</w:t>
      </w:r>
      <w:r w:rsidRPr="006814CB">
        <w:tab/>
      </w:r>
      <w:r w:rsidR="001B3431" w:rsidRPr="006814CB">
        <w:t>Casino gaming machine authorisation certificate</w:t>
      </w:r>
      <w:r w:rsidR="00494355" w:rsidRPr="006814CB">
        <w:t>—application</w:t>
      </w:r>
      <w:bookmarkEnd w:id="21"/>
    </w:p>
    <w:p w:rsidR="00CB2701" w:rsidRPr="006814CB" w:rsidRDefault="006814CB" w:rsidP="006814CB">
      <w:pPr>
        <w:pStyle w:val="Amain"/>
        <w:keepNext/>
      </w:pPr>
      <w:r>
        <w:tab/>
      </w:r>
      <w:r w:rsidRPr="006814CB">
        <w:t>(1)</w:t>
      </w:r>
      <w:r w:rsidRPr="006814CB">
        <w:tab/>
      </w:r>
      <w:r w:rsidR="00CB2701" w:rsidRPr="006814CB">
        <w:t>The casino licensee may apply to the commission for an authorisation certificate</w:t>
      </w:r>
      <w:r w:rsidR="00DA3F6C" w:rsidRPr="006814CB">
        <w:t xml:space="preserve"> </w:t>
      </w:r>
      <w:r w:rsidR="00CB2701" w:rsidRPr="006814CB">
        <w:t xml:space="preserve">to have </w:t>
      </w:r>
      <w:r w:rsidR="00117222" w:rsidRPr="006814CB">
        <w:t xml:space="preserve">up to </w:t>
      </w:r>
      <w:r w:rsidR="00CB2701" w:rsidRPr="006814CB">
        <w:t>the maximum</w:t>
      </w:r>
      <w:r w:rsidR="00DE422A" w:rsidRPr="006814CB">
        <w:t xml:space="preserve"> possible</w:t>
      </w:r>
      <w:r w:rsidR="00CB2701" w:rsidRPr="006814CB">
        <w:t xml:space="preserve"> number of authorisations for casino gaming machines at the casino.</w:t>
      </w:r>
    </w:p>
    <w:p w:rsidR="0086300F" w:rsidRPr="006814CB" w:rsidRDefault="0086300F" w:rsidP="006814CB">
      <w:pPr>
        <w:pStyle w:val="aNote"/>
        <w:keepNext/>
      </w:pPr>
      <w:r w:rsidRPr="006814CB">
        <w:rPr>
          <w:rStyle w:val="charItals"/>
        </w:rPr>
        <w:t>Note 1</w:t>
      </w:r>
      <w:r w:rsidRPr="006814CB">
        <w:rPr>
          <w:rStyle w:val="charItals"/>
        </w:rPr>
        <w:tab/>
      </w:r>
      <w:r w:rsidRPr="006814CB">
        <w:rPr>
          <w:rStyle w:val="charBoldItals"/>
        </w:rPr>
        <w:t xml:space="preserve">Maximum </w:t>
      </w:r>
      <w:r w:rsidR="00DE422A" w:rsidRPr="006814CB">
        <w:rPr>
          <w:rStyle w:val="charBoldItals"/>
        </w:rPr>
        <w:t xml:space="preserve">possible </w:t>
      </w:r>
      <w:r w:rsidRPr="006814CB">
        <w:rPr>
          <w:rStyle w:val="charBoldItals"/>
        </w:rPr>
        <w:t>number</w:t>
      </w:r>
      <w:r w:rsidRPr="006814CB">
        <w:t>, of authorisations f</w:t>
      </w:r>
      <w:r w:rsidR="003E4A90" w:rsidRPr="006814CB">
        <w:t>or casino gaming machines—see s</w:t>
      </w:r>
      <w:r w:rsidRPr="006814CB">
        <w:t xml:space="preserve"> </w:t>
      </w:r>
      <w:r w:rsidR="002E0DF3" w:rsidRPr="006814CB">
        <w:t>6</w:t>
      </w:r>
      <w:r w:rsidR="0048555E" w:rsidRPr="006814CB">
        <w:t xml:space="preserve">. </w:t>
      </w:r>
    </w:p>
    <w:p w:rsidR="00CB2701" w:rsidRPr="006814CB" w:rsidRDefault="00CB2701" w:rsidP="006814CB">
      <w:pPr>
        <w:pStyle w:val="aNote"/>
        <w:keepNext/>
      </w:pPr>
      <w:r w:rsidRPr="006814CB">
        <w:rPr>
          <w:rStyle w:val="charItals"/>
        </w:rPr>
        <w:t>Note </w:t>
      </w:r>
      <w:r w:rsidR="0086300F" w:rsidRPr="006814CB">
        <w:rPr>
          <w:rStyle w:val="charItals"/>
        </w:rPr>
        <w:t>2</w:t>
      </w:r>
      <w:r w:rsidRPr="006814CB">
        <w:tab/>
        <w:t xml:space="preserve">If a form is approved under the </w:t>
      </w:r>
      <w:hyperlink r:id="rId40" w:tooltip="Gambling and Racing Control Act 1999" w:history="1">
        <w:r w:rsidR="008E7EBF" w:rsidRPr="006814CB">
          <w:rPr>
            <w:rStyle w:val="charCitHyperlinkAbbrev"/>
          </w:rPr>
          <w:t>Control Act</w:t>
        </w:r>
      </w:hyperlink>
      <w:r w:rsidRPr="006814CB">
        <w:t>, s 53D for an application, the form must be used.</w:t>
      </w:r>
    </w:p>
    <w:p w:rsidR="00CB2701" w:rsidRPr="006814CB" w:rsidRDefault="0086300F" w:rsidP="000667D4">
      <w:pPr>
        <w:pStyle w:val="aNote"/>
      </w:pPr>
      <w:r w:rsidRPr="006814CB">
        <w:rPr>
          <w:rStyle w:val="charItals"/>
        </w:rPr>
        <w:t>Note 3</w:t>
      </w:r>
      <w:r w:rsidR="00CB2701" w:rsidRPr="006814CB">
        <w:rPr>
          <w:rStyle w:val="charItals"/>
        </w:rPr>
        <w:tab/>
      </w:r>
      <w:r w:rsidR="00CB2701" w:rsidRPr="006814CB">
        <w:t xml:space="preserve">A fee may be determined under s </w:t>
      </w:r>
      <w:r w:rsidR="002E0DF3" w:rsidRPr="006814CB">
        <w:t>53</w:t>
      </w:r>
      <w:r w:rsidR="00E03785" w:rsidRPr="006814CB">
        <w:t xml:space="preserve"> </w:t>
      </w:r>
      <w:r w:rsidR="00CB2701" w:rsidRPr="006814CB">
        <w:t>for this provision.</w:t>
      </w:r>
    </w:p>
    <w:p w:rsidR="000667D4" w:rsidRPr="006814CB" w:rsidRDefault="006814CB" w:rsidP="006814CB">
      <w:pPr>
        <w:pStyle w:val="Amain"/>
      </w:pPr>
      <w:r>
        <w:tab/>
      </w:r>
      <w:r w:rsidRPr="006814CB">
        <w:t>(2)</w:t>
      </w:r>
      <w:r w:rsidRPr="006814CB">
        <w:tab/>
      </w:r>
      <w:r w:rsidR="00B05020" w:rsidRPr="006814CB">
        <w:t>The</w:t>
      </w:r>
      <w:r w:rsidR="000667D4" w:rsidRPr="006814CB">
        <w:t xml:space="preserve"> application must—</w:t>
      </w:r>
    </w:p>
    <w:p w:rsidR="00E97B54" w:rsidRPr="006814CB" w:rsidRDefault="006814CB" w:rsidP="006814CB">
      <w:pPr>
        <w:pStyle w:val="Apara"/>
      </w:pPr>
      <w:r>
        <w:tab/>
      </w:r>
      <w:r w:rsidRPr="006814CB">
        <w:t>(a)</w:t>
      </w:r>
      <w:r w:rsidRPr="006814CB">
        <w:tab/>
      </w:r>
      <w:r w:rsidR="00E97B54" w:rsidRPr="006814CB">
        <w:t>be in writing signed by the casino licensee; and</w:t>
      </w:r>
    </w:p>
    <w:p w:rsidR="00E97B54" w:rsidRPr="006814CB" w:rsidRDefault="006814CB" w:rsidP="006814CB">
      <w:pPr>
        <w:pStyle w:val="Apara"/>
      </w:pPr>
      <w:r>
        <w:tab/>
      </w:r>
      <w:r w:rsidRPr="006814CB">
        <w:t>(b)</w:t>
      </w:r>
      <w:r w:rsidRPr="006814CB">
        <w:tab/>
      </w:r>
      <w:r w:rsidR="00E97B54" w:rsidRPr="006814CB">
        <w:t xml:space="preserve">state the maximum number of authorisations for </w:t>
      </w:r>
      <w:r w:rsidR="009157CF" w:rsidRPr="006814CB">
        <w:t xml:space="preserve">casino </w:t>
      </w:r>
      <w:r w:rsidR="00E97B54" w:rsidRPr="006814CB">
        <w:t>gaming machines for which the authorisation certificate is sought; and</w:t>
      </w:r>
    </w:p>
    <w:p w:rsidR="007614EC" w:rsidRPr="006814CB" w:rsidRDefault="006814CB" w:rsidP="006814CB">
      <w:pPr>
        <w:pStyle w:val="Apara"/>
      </w:pPr>
      <w:r>
        <w:tab/>
      </w:r>
      <w:r w:rsidRPr="006814CB">
        <w:t>(c)</w:t>
      </w:r>
      <w:r w:rsidRPr="006814CB">
        <w:tab/>
      </w:r>
      <w:r w:rsidR="00E97B54" w:rsidRPr="006814CB">
        <w:t>be accompanied by</w:t>
      </w:r>
      <w:r w:rsidR="007614EC" w:rsidRPr="006814CB">
        <w:t>—</w:t>
      </w:r>
    </w:p>
    <w:p w:rsidR="007614EC" w:rsidRPr="006814CB" w:rsidRDefault="006814CB" w:rsidP="006814CB">
      <w:pPr>
        <w:pStyle w:val="Asubpara"/>
      </w:pPr>
      <w:r>
        <w:tab/>
      </w:r>
      <w:r w:rsidRPr="006814CB">
        <w:t>(i)</w:t>
      </w:r>
      <w:r w:rsidRPr="006814CB">
        <w:tab/>
      </w:r>
      <w:r w:rsidR="007614EC" w:rsidRPr="006814CB">
        <w:t>a social impact assessment for the application; and</w:t>
      </w:r>
    </w:p>
    <w:p w:rsidR="00E97B54" w:rsidRPr="006814CB" w:rsidRDefault="006814CB" w:rsidP="006814CB">
      <w:pPr>
        <w:pStyle w:val="Asubpara"/>
      </w:pPr>
      <w:r>
        <w:tab/>
      </w:r>
      <w:r w:rsidRPr="006814CB">
        <w:t>(ii)</w:t>
      </w:r>
      <w:r w:rsidRPr="006814CB">
        <w:tab/>
      </w:r>
      <w:r w:rsidR="00B05020" w:rsidRPr="006814CB">
        <w:t>any</w:t>
      </w:r>
      <w:r w:rsidR="0090382B" w:rsidRPr="006814CB">
        <w:t xml:space="preserve"> other</w:t>
      </w:r>
      <w:r w:rsidR="00B05020" w:rsidRPr="006814CB">
        <w:t xml:space="preserve"> documents prescribed by regulation.</w:t>
      </w:r>
    </w:p>
    <w:p w:rsidR="0090382B" w:rsidRPr="006814CB" w:rsidRDefault="006814CB" w:rsidP="006814CB">
      <w:pPr>
        <w:pStyle w:val="Amain"/>
      </w:pPr>
      <w:r>
        <w:tab/>
      </w:r>
      <w:r w:rsidRPr="006814CB">
        <w:t>(3)</w:t>
      </w:r>
      <w:r w:rsidRPr="006814CB">
        <w:tab/>
      </w:r>
      <w:r w:rsidR="0090382B" w:rsidRPr="006814CB">
        <w:t>The commission may, in writing, require the casino licensee to give the commission additional information, within the time stated by the commission, that the commission reasonably needs to decide the application.</w:t>
      </w:r>
    </w:p>
    <w:p w:rsidR="0090382B" w:rsidRPr="006814CB" w:rsidRDefault="006814CB" w:rsidP="00EF5D29">
      <w:pPr>
        <w:pStyle w:val="Amain"/>
        <w:keepNext/>
      </w:pPr>
      <w:r>
        <w:tab/>
      </w:r>
      <w:r w:rsidRPr="006814CB">
        <w:t>(4)</w:t>
      </w:r>
      <w:r w:rsidRPr="006814CB">
        <w:tab/>
      </w:r>
      <w:r w:rsidR="0090382B" w:rsidRPr="006814CB">
        <w:t>If the casino licensee does not comply with a requirement under subsection (3) within the time stated by the commission—</w:t>
      </w:r>
    </w:p>
    <w:p w:rsidR="0090382B" w:rsidRPr="006814CB" w:rsidRDefault="006814CB" w:rsidP="006814CB">
      <w:pPr>
        <w:pStyle w:val="Apara"/>
      </w:pPr>
      <w:r>
        <w:tab/>
      </w:r>
      <w:r w:rsidRPr="006814CB">
        <w:t>(a)</w:t>
      </w:r>
      <w:r w:rsidRPr="006814CB">
        <w:tab/>
      </w:r>
      <w:r w:rsidR="0090382B" w:rsidRPr="006814CB">
        <w:t>the commission may refuse to consider the application; and</w:t>
      </w:r>
    </w:p>
    <w:p w:rsidR="0090382B" w:rsidRPr="006814CB" w:rsidRDefault="006814CB" w:rsidP="006814CB">
      <w:pPr>
        <w:pStyle w:val="Apara"/>
      </w:pPr>
      <w:r>
        <w:tab/>
      </w:r>
      <w:r w:rsidRPr="006814CB">
        <w:t>(b)</w:t>
      </w:r>
      <w:r w:rsidRPr="006814CB">
        <w:tab/>
      </w:r>
      <w:r w:rsidR="0090382B" w:rsidRPr="006814CB">
        <w:t>if the commission refuses to consider the application—the application lapses.</w:t>
      </w:r>
    </w:p>
    <w:p w:rsidR="0090382B" w:rsidRPr="006814CB" w:rsidRDefault="006814CB" w:rsidP="006814CB">
      <w:pPr>
        <w:pStyle w:val="AH5Sec"/>
      </w:pPr>
      <w:bookmarkStart w:id="22" w:name="_Toc516729752"/>
      <w:r w:rsidRPr="00951C4D">
        <w:rPr>
          <w:rStyle w:val="CharSectNo"/>
        </w:rPr>
        <w:t>11</w:t>
      </w:r>
      <w:r w:rsidRPr="006814CB">
        <w:tab/>
      </w:r>
      <w:r w:rsidR="0090382B" w:rsidRPr="006814CB">
        <w:t>Casino gaming machine authorisation certificate—decision on application</w:t>
      </w:r>
      <w:bookmarkEnd w:id="22"/>
    </w:p>
    <w:p w:rsidR="0090382B" w:rsidRPr="006814CB" w:rsidRDefault="006814CB" w:rsidP="006814CB">
      <w:pPr>
        <w:pStyle w:val="Amain"/>
      </w:pPr>
      <w:r>
        <w:tab/>
      </w:r>
      <w:r w:rsidRPr="006814CB">
        <w:t>(1)</w:t>
      </w:r>
      <w:r w:rsidRPr="006814CB">
        <w:tab/>
      </w:r>
      <w:r w:rsidR="0090382B" w:rsidRPr="006814CB">
        <w:t>This section applies if the commissio</w:t>
      </w:r>
      <w:r w:rsidR="00E27805" w:rsidRPr="006814CB">
        <w:t xml:space="preserve">n receives an application under section </w:t>
      </w:r>
      <w:r w:rsidR="002E0DF3" w:rsidRPr="006814CB">
        <w:t>10</w:t>
      </w:r>
      <w:r w:rsidR="00E27805" w:rsidRPr="006814CB">
        <w:t xml:space="preserve"> for an </w:t>
      </w:r>
      <w:r w:rsidR="0090382B" w:rsidRPr="006814CB">
        <w:t>authorisation</w:t>
      </w:r>
      <w:r w:rsidR="009157CF" w:rsidRPr="006814CB">
        <w:t xml:space="preserve"> certificate</w:t>
      </w:r>
      <w:r w:rsidR="0090382B" w:rsidRPr="006814CB">
        <w:t>.</w:t>
      </w:r>
      <w:r w:rsidR="00C8666D" w:rsidRPr="006814CB">
        <w:t xml:space="preserve"> </w:t>
      </w:r>
    </w:p>
    <w:p w:rsidR="00C8666D" w:rsidRPr="006814CB" w:rsidRDefault="006814CB" w:rsidP="006814CB">
      <w:pPr>
        <w:pStyle w:val="Amain"/>
      </w:pPr>
      <w:r>
        <w:tab/>
      </w:r>
      <w:r w:rsidRPr="006814CB">
        <w:t>(2)</w:t>
      </w:r>
      <w:r w:rsidRPr="006814CB">
        <w:tab/>
      </w:r>
      <w:r w:rsidR="0090382B" w:rsidRPr="006814CB">
        <w:t xml:space="preserve">The </w:t>
      </w:r>
      <w:r w:rsidR="00B05020" w:rsidRPr="006814CB">
        <w:t xml:space="preserve">commission must issue an authorisation certificate </w:t>
      </w:r>
      <w:r w:rsidR="00E27805" w:rsidRPr="006814CB">
        <w:t xml:space="preserve">(a </w:t>
      </w:r>
      <w:r w:rsidR="00E27805" w:rsidRPr="006814CB">
        <w:rPr>
          <w:rStyle w:val="charBoldItals"/>
        </w:rPr>
        <w:t>casino gaming machine authorisation certificate</w:t>
      </w:r>
      <w:r w:rsidR="00E27805" w:rsidRPr="006814CB">
        <w:t xml:space="preserve">) </w:t>
      </w:r>
      <w:r w:rsidR="00B05020" w:rsidRPr="006814CB">
        <w:t xml:space="preserve">to the casino licensee </w:t>
      </w:r>
      <w:r w:rsidR="00F552AE" w:rsidRPr="006814CB">
        <w:t>for the maximum number of authorisations for casino gaming machines st</w:t>
      </w:r>
      <w:r w:rsidR="0090382B" w:rsidRPr="006814CB">
        <w:t>ated in the application if</w:t>
      </w:r>
      <w:r w:rsidR="00C8666D" w:rsidRPr="006814CB">
        <w:t xml:space="preserve"> the commission—</w:t>
      </w:r>
    </w:p>
    <w:p w:rsidR="00C8666D" w:rsidRPr="006814CB" w:rsidRDefault="006814CB" w:rsidP="006814CB">
      <w:pPr>
        <w:pStyle w:val="Apara"/>
      </w:pPr>
      <w:r>
        <w:tab/>
      </w:r>
      <w:r w:rsidRPr="006814CB">
        <w:t>(a)</w:t>
      </w:r>
      <w:r w:rsidRPr="006814CB">
        <w:tab/>
      </w:r>
      <w:r w:rsidR="00C8666D" w:rsidRPr="006814CB">
        <w:t>has taken</w:t>
      </w:r>
      <w:r w:rsidR="0090382B" w:rsidRPr="006814CB">
        <w:t xml:space="preserve"> </w:t>
      </w:r>
      <w:r w:rsidR="00C8666D" w:rsidRPr="006814CB">
        <w:t xml:space="preserve">into consideration the social impact assessment for the application and any submission made on the assessment within the comment period under section </w:t>
      </w:r>
      <w:r w:rsidR="002E0DF3" w:rsidRPr="006814CB">
        <w:t>9</w:t>
      </w:r>
      <w:r w:rsidR="00C8666D" w:rsidRPr="006814CB">
        <w:t xml:space="preserve"> (Social impact assessment—publication); and</w:t>
      </w:r>
    </w:p>
    <w:p w:rsidR="00B05020" w:rsidRPr="006814CB" w:rsidRDefault="006814CB" w:rsidP="006814CB">
      <w:pPr>
        <w:pStyle w:val="Apara"/>
        <w:keepNext/>
      </w:pPr>
      <w:r>
        <w:tab/>
      </w:r>
      <w:r w:rsidRPr="006814CB">
        <w:t>(b)</w:t>
      </w:r>
      <w:r w:rsidRPr="006814CB">
        <w:tab/>
      </w:r>
      <w:r w:rsidR="00C8666D" w:rsidRPr="006814CB">
        <w:t xml:space="preserve">is </w:t>
      </w:r>
      <w:r w:rsidR="0090382B" w:rsidRPr="006814CB">
        <w:t>satisfied the issue of the authorisation certificate is appropriate.</w:t>
      </w:r>
    </w:p>
    <w:p w:rsidR="00046665" w:rsidRPr="006814CB" w:rsidRDefault="00046665" w:rsidP="00046665">
      <w:pPr>
        <w:pStyle w:val="aNote"/>
      </w:pPr>
      <w:r w:rsidRPr="006814CB">
        <w:rPr>
          <w:rStyle w:val="charItals"/>
        </w:rPr>
        <w:t>Note</w:t>
      </w:r>
      <w:r w:rsidRPr="006814CB">
        <w:rPr>
          <w:rStyle w:val="charItals"/>
        </w:rPr>
        <w:tab/>
      </w:r>
      <w:r w:rsidRPr="006814CB">
        <w:t xml:space="preserve">An authorisation acquired by the casino licensee under </w:t>
      </w:r>
      <w:r w:rsidR="00C8448A" w:rsidRPr="006814CB">
        <w:t>s</w:t>
      </w:r>
      <w:r w:rsidR="00E03785" w:rsidRPr="006814CB">
        <w:t xml:space="preserve"> </w:t>
      </w:r>
      <w:r w:rsidR="002E0DF3" w:rsidRPr="006814CB">
        <w:t>16</w:t>
      </w:r>
      <w:r w:rsidRPr="006814CB">
        <w:t xml:space="preserve"> is a restricted authorisation until certain conditions are met (see s </w:t>
      </w:r>
      <w:r w:rsidR="002E0DF3" w:rsidRPr="006814CB">
        <w:t>21</w:t>
      </w:r>
      <w:r w:rsidR="00C8448A" w:rsidRPr="006814CB">
        <w:t xml:space="preserve"> and s </w:t>
      </w:r>
      <w:r w:rsidR="002E0DF3" w:rsidRPr="006814CB">
        <w:t>22</w:t>
      </w:r>
      <w:r w:rsidR="00BB19F5" w:rsidRPr="006814CB">
        <w:t>). Casino gaming machines are not to be operated under restricted authorisations (see s </w:t>
      </w:r>
      <w:r w:rsidR="002E0DF3" w:rsidRPr="006814CB">
        <w:t>18</w:t>
      </w:r>
      <w:r w:rsidR="00BB19F5" w:rsidRPr="006814CB">
        <w:t xml:space="preserve"> (2)). </w:t>
      </w:r>
    </w:p>
    <w:p w:rsidR="00F552AE" w:rsidRPr="006814CB" w:rsidRDefault="006814CB" w:rsidP="006814CB">
      <w:pPr>
        <w:pStyle w:val="AH5Sec"/>
      </w:pPr>
      <w:bookmarkStart w:id="23" w:name="_Toc516729753"/>
      <w:r w:rsidRPr="00951C4D">
        <w:rPr>
          <w:rStyle w:val="CharSectNo"/>
        </w:rPr>
        <w:t>12</w:t>
      </w:r>
      <w:r w:rsidRPr="006814CB">
        <w:tab/>
      </w:r>
      <w:r w:rsidR="0090382B" w:rsidRPr="006814CB">
        <w:t>Casino gaming machine a</w:t>
      </w:r>
      <w:r w:rsidR="00F552AE" w:rsidRPr="006814CB">
        <w:t>uthorisation certificate—form</w:t>
      </w:r>
      <w:bookmarkEnd w:id="23"/>
    </w:p>
    <w:p w:rsidR="00F552AE" w:rsidRPr="006814CB" w:rsidRDefault="006814CB" w:rsidP="006814CB">
      <w:pPr>
        <w:pStyle w:val="Amain"/>
      </w:pPr>
      <w:r>
        <w:tab/>
      </w:r>
      <w:r w:rsidRPr="006814CB">
        <w:t>(1)</w:t>
      </w:r>
      <w:r w:rsidRPr="006814CB">
        <w:tab/>
      </w:r>
      <w:r w:rsidR="0086300F" w:rsidRPr="006814CB">
        <w:t xml:space="preserve">A </w:t>
      </w:r>
      <w:r w:rsidR="001B3431" w:rsidRPr="006814CB">
        <w:t>casino gaming machine authorisation certificate</w:t>
      </w:r>
      <w:r w:rsidR="00992C32" w:rsidRPr="006814CB">
        <w:t xml:space="preserve"> </w:t>
      </w:r>
      <w:r w:rsidR="00F552AE" w:rsidRPr="006814CB">
        <w:t>must—</w:t>
      </w:r>
    </w:p>
    <w:p w:rsidR="00F552AE" w:rsidRPr="006814CB" w:rsidRDefault="006814CB" w:rsidP="006814CB">
      <w:pPr>
        <w:pStyle w:val="Apara"/>
      </w:pPr>
      <w:r>
        <w:tab/>
      </w:r>
      <w:r w:rsidRPr="006814CB">
        <w:t>(a)</w:t>
      </w:r>
      <w:r w:rsidRPr="006814CB">
        <w:tab/>
      </w:r>
      <w:r w:rsidR="00F552AE" w:rsidRPr="006814CB">
        <w:t>i</w:t>
      </w:r>
      <w:r w:rsidR="00AB4D04" w:rsidRPr="006814CB">
        <w:t>nclude the casino licensee’s name; and</w:t>
      </w:r>
    </w:p>
    <w:p w:rsidR="00992C32" w:rsidRPr="006814CB" w:rsidRDefault="006814CB" w:rsidP="006814CB">
      <w:pPr>
        <w:pStyle w:val="Apara"/>
      </w:pPr>
      <w:r>
        <w:tab/>
      </w:r>
      <w:r w:rsidRPr="006814CB">
        <w:t>(b)</w:t>
      </w:r>
      <w:r w:rsidRPr="006814CB">
        <w:tab/>
      </w:r>
      <w:r w:rsidR="00F552AE" w:rsidRPr="006814CB">
        <w:t xml:space="preserve">include a unique identifying number (a </w:t>
      </w:r>
      <w:r w:rsidR="001B3431" w:rsidRPr="006814CB">
        <w:rPr>
          <w:rStyle w:val="charBoldItals"/>
        </w:rPr>
        <w:t>casino gaming machine authorisation certificate</w:t>
      </w:r>
      <w:r w:rsidR="00F552AE" w:rsidRPr="006814CB">
        <w:rPr>
          <w:rStyle w:val="charBoldItals"/>
        </w:rPr>
        <w:t xml:space="preserve"> number</w:t>
      </w:r>
      <w:r w:rsidR="00F552AE" w:rsidRPr="006814CB">
        <w:t>); and</w:t>
      </w:r>
    </w:p>
    <w:p w:rsidR="00F552AE" w:rsidRPr="006814CB" w:rsidRDefault="006814CB" w:rsidP="006814CB">
      <w:pPr>
        <w:pStyle w:val="Apara"/>
      </w:pPr>
      <w:r>
        <w:tab/>
      </w:r>
      <w:r w:rsidRPr="006814CB">
        <w:t>(c)</w:t>
      </w:r>
      <w:r w:rsidRPr="006814CB">
        <w:tab/>
      </w:r>
      <w:r w:rsidR="00F552AE" w:rsidRPr="006814CB">
        <w:t>state the maximum number of authorisations for</w:t>
      </w:r>
      <w:r w:rsidR="009157CF" w:rsidRPr="006814CB">
        <w:t xml:space="preserve"> casino</w:t>
      </w:r>
      <w:r w:rsidR="00F552AE" w:rsidRPr="006814CB">
        <w:t xml:space="preserve"> gaming machines </w:t>
      </w:r>
      <w:r w:rsidR="00DE422A" w:rsidRPr="006814CB">
        <w:t xml:space="preserve">allowed </w:t>
      </w:r>
      <w:r w:rsidR="00F552AE" w:rsidRPr="006814CB">
        <w:t>under the authorisation certificate; and</w:t>
      </w:r>
    </w:p>
    <w:p w:rsidR="00BB19F5" w:rsidRPr="006814CB" w:rsidRDefault="006814CB" w:rsidP="006814CB">
      <w:pPr>
        <w:pStyle w:val="Apara"/>
      </w:pPr>
      <w:r>
        <w:tab/>
      </w:r>
      <w:r w:rsidRPr="006814CB">
        <w:t>(d)</w:t>
      </w:r>
      <w:r w:rsidRPr="006814CB">
        <w:tab/>
      </w:r>
      <w:r w:rsidR="00BB19F5" w:rsidRPr="006814CB">
        <w:t>state that—</w:t>
      </w:r>
    </w:p>
    <w:p w:rsidR="00244245" w:rsidRPr="006814CB" w:rsidRDefault="006814CB" w:rsidP="006814CB">
      <w:pPr>
        <w:pStyle w:val="Asubpara"/>
      </w:pPr>
      <w:r>
        <w:tab/>
      </w:r>
      <w:r w:rsidRPr="006814CB">
        <w:t>(i)</w:t>
      </w:r>
      <w:r w:rsidRPr="006814CB">
        <w:tab/>
      </w:r>
      <w:r w:rsidR="00244245" w:rsidRPr="006814CB">
        <w:t xml:space="preserve">an authorisation under the authorisation certificate is a restricted authorisation; and </w:t>
      </w:r>
    </w:p>
    <w:p w:rsidR="00117222" w:rsidRPr="006814CB" w:rsidRDefault="006814CB" w:rsidP="006814CB">
      <w:pPr>
        <w:pStyle w:val="Asubpara"/>
      </w:pPr>
      <w:r>
        <w:tab/>
      </w:r>
      <w:r w:rsidRPr="006814CB">
        <w:t>(ii)</w:t>
      </w:r>
      <w:r w:rsidRPr="006814CB">
        <w:tab/>
      </w:r>
      <w:r w:rsidR="00117222" w:rsidRPr="006814CB">
        <w:t>a restricted authorisation may be converted to a casino gaming machine authorisation under section </w:t>
      </w:r>
      <w:r w:rsidR="002E0DF3" w:rsidRPr="006814CB">
        <w:t>22</w:t>
      </w:r>
      <w:r w:rsidR="00117222" w:rsidRPr="006814CB">
        <w:t xml:space="preserve"> (Conversion of restricted authorisations—decision); and</w:t>
      </w:r>
    </w:p>
    <w:p w:rsidR="00244245" w:rsidRPr="006814CB" w:rsidRDefault="006814CB" w:rsidP="006814CB">
      <w:pPr>
        <w:pStyle w:val="Asubpara"/>
      </w:pPr>
      <w:r>
        <w:tab/>
      </w:r>
      <w:r w:rsidRPr="006814CB">
        <w:t>(iii)</w:t>
      </w:r>
      <w:r w:rsidRPr="006814CB">
        <w:tab/>
      </w:r>
      <w:r w:rsidR="00244245" w:rsidRPr="006814CB">
        <w:t>a casino gaming machine may only be operated under a casino gaming machine authorisation; and</w:t>
      </w:r>
    </w:p>
    <w:p w:rsidR="00F552AE" w:rsidRPr="006814CB" w:rsidRDefault="006814CB" w:rsidP="006814CB">
      <w:pPr>
        <w:pStyle w:val="Apara"/>
      </w:pPr>
      <w:r>
        <w:tab/>
      </w:r>
      <w:r w:rsidRPr="006814CB">
        <w:t>(e)</w:t>
      </w:r>
      <w:r w:rsidRPr="006814CB">
        <w:tab/>
      </w:r>
      <w:r w:rsidR="00F552AE" w:rsidRPr="006814CB">
        <w:t xml:space="preserve">include a schedule (an </w:t>
      </w:r>
      <w:r w:rsidR="00F552AE" w:rsidRPr="006814CB">
        <w:rPr>
          <w:rStyle w:val="charBoldItals"/>
        </w:rPr>
        <w:t>authorisation schedule</w:t>
      </w:r>
      <w:r w:rsidR="0090382B" w:rsidRPr="006814CB">
        <w:t xml:space="preserve">) that contains a unique identifying number for each authorisation (an </w:t>
      </w:r>
      <w:r w:rsidR="0090382B" w:rsidRPr="006814CB">
        <w:rPr>
          <w:rStyle w:val="charBoldItals"/>
        </w:rPr>
        <w:t>authorisation number</w:t>
      </w:r>
      <w:r w:rsidR="0090382B" w:rsidRPr="006814CB">
        <w:t>) under the authorisation certificate.</w:t>
      </w:r>
    </w:p>
    <w:p w:rsidR="00DD6F38" w:rsidRPr="006814CB" w:rsidRDefault="006814CB" w:rsidP="006814CB">
      <w:pPr>
        <w:pStyle w:val="Amain"/>
      </w:pPr>
      <w:r>
        <w:tab/>
      </w:r>
      <w:r w:rsidRPr="006814CB">
        <w:t>(2)</w:t>
      </w:r>
      <w:r w:rsidRPr="006814CB">
        <w:tab/>
      </w:r>
      <w:r w:rsidR="00F552AE" w:rsidRPr="006814CB">
        <w:t xml:space="preserve">A regulation may prescribe other requirements in relation to the form of </w:t>
      </w:r>
      <w:r w:rsidR="00C40DF6" w:rsidRPr="006814CB">
        <w:t>the</w:t>
      </w:r>
      <w:r w:rsidR="00F552AE" w:rsidRPr="006814CB">
        <w:t xml:space="preserve"> authorisation certificate or authorisation schedu</w:t>
      </w:r>
      <w:r w:rsidR="00AB4D04" w:rsidRPr="006814CB">
        <w:t>le.</w:t>
      </w:r>
    </w:p>
    <w:p w:rsidR="009157CF" w:rsidRPr="00951C4D" w:rsidRDefault="006814CB" w:rsidP="006814CB">
      <w:pPr>
        <w:pStyle w:val="AH3Div"/>
      </w:pPr>
      <w:bookmarkStart w:id="24" w:name="_Toc516729754"/>
      <w:r w:rsidRPr="00951C4D">
        <w:rPr>
          <w:rStyle w:val="CharDivNo"/>
        </w:rPr>
        <w:t>Division 3.2</w:t>
      </w:r>
      <w:r w:rsidRPr="006814CB">
        <w:tab/>
      </w:r>
      <w:r w:rsidR="00372BEC" w:rsidRPr="00951C4D">
        <w:rPr>
          <w:rStyle w:val="CharDivText"/>
        </w:rPr>
        <w:t>Casino FATG authorisation certificate</w:t>
      </w:r>
      <w:bookmarkEnd w:id="24"/>
    </w:p>
    <w:p w:rsidR="009157CF" w:rsidRPr="006814CB" w:rsidRDefault="006814CB" w:rsidP="006814CB">
      <w:pPr>
        <w:pStyle w:val="AH5Sec"/>
      </w:pPr>
      <w:bookmarkStart w:id="25" w:name="_Toc516729755"/>
      <w:r w:rsidRPr="00951C4D">
        <w:rPr>
          <w:rStyle w:val="CharSectNo"/>
        </w:rPr>
        <w:t>13</w:t>
      </w:r>
      <w:r w:rsidRPr="006814CB">
        <w:tab/>
      </w:r>
      <w:r w:rsidR="009157CF" w:rsidRPr="006814CB">
        <w:t>Casino FATG authorisation certificate—application</w:t>
      </w:r>
      <w:bookmarkEnd w:id="25"/>
    </w:p>
    <w:p w:rsidR="009157CF" w:rsidRPr="006814CB" w:rsidRDefault="006814CB" w:rsidP="006814CB">
      <w:pPr>
        <w:pStyle w:val="Amain"/>
        <w:keepNext/>
      </w:pPr>
      <w:r>
        <w:tab/>
      </w:r>
      <w:r w:rsidRPr="006814CB">
        <w:t>(1)</w:t>
      </w:r>
      <w:r w:rsidRPr="006814CB">
        <w:tab/>
      </w:r>
      <w:r w:rsidR="009157CF" w:rsidRPr="006814CB">
        <w:t xml:space="preserve">The casino licensee may apply to the commission for an authorisation certificate to have </w:t>
      </w:r>
      <w:r w:rsidR="00117222" w:rsidRPr="006814CB">
        <w:t xml:space="preserve">up to </w:t>
      </w:r>
      <w:r w:rsidR="009157CF" w:rsidRPr="006814CB">
        <w:t xml:space="preserve">the maximum </w:t>
      </w:r>
      <w:r w:rsidR="00DE422A" w:rsidRPr="006814CB">
        <w:t xml:space="preserve">possible </w:t>
      </w:r>
      <w:r w:rsidR="009157CF" w:rsidRPr="006814CB">
        <w:t>number of</w:t>
      </w:r>
      <w:r w:rsidR="00372BEC" w:rsidRPr="006814CB">
        <w:t xml:space="preserve"> authorisations for casino FATG terminals</w:t>
      </w:r>
      <w:r w:rsidR="009157CF" w:rsidRPr="006814CB">
        <w:t xml:space="preserve"> at the casino.</w:t>
      </w:r>
    </w:p>
    <w:p w:rsidR="009157CF" w:rsidRPr="006814CB" w:rsidRDefault="009157CF" w:rsidP="006814CB">
      <w:pPr>
        <w:pStyle w:val="aNote"/>
        <w:keepNext/>
      </w:pPr>
      <w:r w:rsidRPr="006814CB">
        <w:rPr>
          <w:rStyle w:val="charItals"/>
        </w:rPr>
        <w:t>Note 1</w:t>
      </w:r>
      <w:r w:rsidRPr="006814CB">
        <w:rPr>
          <w:rStyle w:val="charItals"/>
        </w:rPr>
        <w:tab/>
      </w:r>
      <w:r w:rsidRPr="006814CB">
        <w:rPr>
          <w:rStyle w:val="charBoldItals"/>
        </w:rPr>
        <w:t xml:space="preserve">Maximum </w:t>
      </w:r>
      <w:r w:rsidR="00DE422A" w:rsidRPr="006814CB">
        <w:rPr>
          <w:rStyle w:val="charBoldItals"/>
        </w:rPr>
        <w:t xml:space="preserve">possible </w:t>
      </w:r>
      <w:r w:rsidRPr="006814CB">
        <w:rPr>
          <w:rStyle w:val="charBoldItals"/>
        </w:rPr>
        <w:t>number</w:t>
      </w:r>
      <w:r w:rsidRPr="006814CB">
        <w:t xml:space="preserve">, of authorisations for casino </w:t>
      </w:r>
      <w:r w:rsidR="00372BEC" w:rsidRPr="006814CB">
        <w:t>FATG terminals</w:t>
      </w:r>
      <w:r w:rsidRPr="006814CB">
        <w:t xml:space="preserve">—see </w:t>
      </w:r>
      <w:r w:rsidR="00C8448A" w:rsidRPr="006814CB">
        <w:t>s </w:t>
      </w:r>
      <w:r w:rsidR="002E0DF3" w:rsidRPr="006814CB">
        <w:t>7</w:t>
      </w:r>
      <w:r w:rsidRPr="006814CB">
        <w:t xml:space="preserve">. </w:t>
      </w:r>
    </w:p>
    <w:p w:rsidR="009157CF" w:rsidRPr="006814CB" w:rsidRDefault="009157CF" w:rsidP="006814CB">
      <w:pPr>
        <w:pStyle w:val="aNote"/>
        <w:keepNext/>
      </w:pPr>
      <w:r w:rsidRPr="006814CB">
        <w:rPr>
          <w:rStyle w:val="charItals"/>
        </w:rPr>
        <w:t>Note 2</w:t>
      </w:r>
      <w:r w:rsidRPr="006814CB">
        <w:tab/>
        <w:t xml:space="preserve">If a form is approved under the </w:t>
      </w:r>
      <w:hyperlink r:id="rId41" w:tooltip="Gambling and Racing Control Act 1999" w:history="1">
        <w:r w:rsidR="008E7EBF" w:rsidRPr="006814CB">
          <w:rPr>
            <w:rStyle w:val="charCitHyperlinkAbbrev"/>
          </w:rPr>
          <w:t>Control Act</w:t>
        </w:r>
      </w:hyperlink>
      <w:r w:rsidRPr="006814CB">
        <w:t>, s 53D for an application, the form must be used.</w:t>
      </w:r>
    </w:p>
    <w:p w:rsidR="009157CF" w:rsidRPr="006814CB" w:rsidRDefault="009157CF" w:rsidP="009157CF">
      <w:pPr>
        <w:pStyle w:val="aNote"/>
      </w:pPr>
      <w:r w:rsidRPr="006814CB">
        <w:rPr>
          <w:rStyle w:val="charItals"/>
        </w:rPr>
        <w:t>Note 3</w:t>
      </w:r>
      <w:r w:rsidRPr="006814CB">
        <w:rPr>
          <w:rStyle w:val="charItals"/>
        </w:rPr>
        <w:tab/>
      </w:r>
      <w:r w:rsidRPr="006814CB">
        <w:t xml:space="preserve">A fee may be determined under s </w:t>
      </w:r>
      <w:r w:rsidR="002E0DF3" w:rsidRPr="006814CB">
        <w:t>53</w:t>
      </w:r>
      <w:r w:rsidR="003D0F2E" w:rsidRPr="006814CB">
        <w:t xml:space="preserve"> </w:t>
      </w:r>
      <w:r w:rsidRPr="006814CB">
        <w:t>for this provision.</w:t>
      </w:r>
    </w:p>
    <w:p w:rsidR="009157CF" w:rsidRPr="006814CB" w:rsidRDefault="006814CB" w:rsidP="006814CB">
      <w:pPr>
        <w:pStyle w:val="Amain"/>
      </w:pPr>
      <w:r>
        <w:tab/>
      </w:r>
      <w:r w:rsidRPr="006814CB">
        <w:t>(2)</w:t>
      </w:r>
      <w:r w:rsidRPr="006814CB">
        <w:tab/>
      </w:r>
      <w:r w:rsidR="009157CF" w:rsidRPr="006814CB">
        <w:t>The application must—</w:t>
      </w:r>
    </w:p>
    <w:p w:rsidR="009157CF" w:rsidRPr="006814CB" w:rsidRDefault="006814CB" w:rsidP="006814CB">
      <w:pPr>
        <w:pStyle w:val="Apara"/>
      </w:pPr>
      <w:r>
        <w:tab/>
      </w:r>
      <w:r w:rsidRPr="006814CB">
        <w:t>(a)</w:t>
      </w:r>
      <w:r w:rsidRPr="006814CB">
        <w:tab/>
      </w:r>
      <w:r w:rsidR="009157CF" w:rsidRPr="006814CB">
        <w:t>be in writing signed by the casino licensee; and</w:t>
      </w:r>
    </w:p>
    <w:p w:rsidR="009157CF" w:rsidRPr="006814CB" w:rsidRDefault="006814CB" w:rsidP="006814CB">
      <w:pPr>
        <w:pStyle w:val="Apara"/>
      </w:pPr>
      <w:r>
        <w:tab/>
      </w:r>
      <w:r w:rsidRPr="006814CB">
        <w:t>(b)</w:t>
      </w:r>
      <w:r w:rsidRPr="006814CB">
        <w:tab/>
      </w:r>
      <w:r w:rsidR="009157CF" w:rsidRPr="006814CB">
        <w:t>state the maximum number of authorisations for casino FATG</w:t>
      </w:r>
      <w:r w:rsidR="00372BEC" w:rsidRPr="006814CB">
        <w:t xml:space="preserve"> terminal</w:t>
      </w:r>
      <w:r w:rsidR="009157CF" w:rsidRPr="006814CB">
        <w:t>s for which the authorisation certificate is sought; and</w:t>
      </w:r>
    </w:p>
    <w:p w:rsidR="009157CF" w:rsidRPr="006814CB" w:rsidRDefault="006814CB" w:rsidP="006814CB">
      <w:pPr>
        <w:pStyle w:val="Apara"/>
      </w:pPr>
      <w:r>
        <w:tab/>
      </w:r>
      <w:r w:rsidRPr="006814CB">
        <w:t>(c)</w:t>
      </w:r>
      <w:r w:rsidRPr="006814CB">
        <w:tab/>
      </w:r>
      <w:r w:rsidR="009157CF" w:rsidRPr="006814CB">
        <w:t>be accompanied by—</w:t>
      </w:r>
    </w:p>
    <w:p w:rsidR="009157CF" w:rsidRPr="006814CB" w:rsidRDefault="006814CB" w:rsidP="006814CB">
      <w:pPr>
        <w:pStyle w:val="Asubpara"/>
      </w:pPr>
      <w:r>
        <w:tab/>
      </w:r>
      <w:r w:rsidRPr="006814CB">
        <w:t>(i)</w:t>
      </w:r>
      <w:r w:rsidRPr="006814CB">
        <w:tab/>
      </w:r>
      <w:r w:rsidR="009157CF" w:rsidRPr="006814CB">
        <w:t>a social impact assessment for the application; and</w:t>
      </w:r>
    </w:p>
    <w:p w:rsidR="009157CF" w:rsidRPr="006814CB" w:rsidRDefault="006814CB" w:rsidP="006814CB">
      <w:pPr>
        <w:pStyle w:val="Asubpara"/>
      </w:pPr>
      <w:r>
        <w:tab/>
      </w:r>
      <w:r w:rsidRPr="006814CB">
        <w:t>(ii)</w:t>
      </w:r>
      <w:r w:rsidRPr="006814CB">
        <w:tab/>
      </w:r>
      <w:r w:rsidR="009157CF" w:rsidRPr="006814CB">
        <w:t>any other documents prescribed by regulation.</w:t>
      </w:r>
    </w:p>
    <w:p w:rsidR="009157CF" w:rsidRPr="006814CB" w:rsidRDefault="006814CB" w:rsidP="006814CB">
      <w:pPr>
        <w:pStyle w:val="Amain"/>
      </w:pPr>
      <w:r>
        <w:tab/>
      </w:r>
      <w:r w:rsidRPr="006814CB">
        <w:t>(3)</w:t>
      </w:r>
      <w:r w:rsidRPr="006814CB">
        <w:tab/>
      </w:r>
      <w:r w:rsidR="009157CF" w:rsidRPr="006814CB">
        <w:t>The commission may, in writing, require the casino licensee to give the commission additional information, within the time stated by the commission, that the commission reasonably needs to decide the application.</w:t>
      </w:r>
    </w:p>
    <w:p w:rsidR="009157CF" w:rsidRPr="006814CB" w:rsidRDefault="006814CB" w:rsidP="006814CB">
      <w:pPr>
        <w:pStyle w:val="Amain"/>
      </w:pPr>
      <w:r>
        <w:tab/>
      </w:r>
      <w:r w:rsidRPr="006814CB">
        <w:t>(4)</w:t>
      </w:r>
      <w:r w:rsidRPr="006814CB">
        <w:tab/>
      </w:r>
      <w:r w:rsidR="009157CF" w:rsidRPr="006814CB">
        <w:t>If the casino licensee does not comply with a requirement under subsection (3) within the time stated by the commission—</w:t>
      </w:r>
    </w:p>
    <w:p w:rsidR="009157CF" w:rsidRPr="006814CB" w:rsidRDefault="006814CB" w:rsidP="006814CB">
      <w:pPr>
        <w:pStyle w:val="Apara"/>
      </w:pPr>
      <w:r>
        <w:tab/>
      </w:r>
      <w:r w:rsidRPr="006814CB">
        <w:t>(a)</w:t>
      </w:r>
      <w:r w:rsidRPr="006814CB">
        <w:tab/>
      </w:r>
      <w:r w:rsidR="009157CF" w:rsidRPr="006814CB">
        <w:t>the commission may refuse to consider the application; and</w:t>
      </w:r>
    </w:p>
    <w:p w:rsidR="009157CF" w:rsidRPr="006814CB" w:rsidRDefault="006814CB" w:rsidP="006814CB">
      <w:pPr>
        <w:pStyle w:val="Apara"/>
      </w:pPr>
      <w:r>
        <w:tab/>
      </w:r>
      <w:r w:rsidRPr="006814CB">
        <w:t>(b)</w:t>
      </w:r>
      <w:r w:rsidRPr="006814CB">
        <w:tab/>
      </w:r>
      <w:r w:rsidR="009157CF" w:rsidRPr="006814CB">
        <w:t>if the commission refuses to consider the application—the application lapses.</w:t>
      </w:r>
    </w:p>
    <w:p w:rsidR="009157CF" w:rsidRPr="006814CB" w:rsidRDefault="006814CB" w:rsidP="006814CB">
      <w:pPr>
        <w:pStyle w:val="AH5Sec"/>
      </w:pPr>
      <w:bookmarkStart w:id="26" w:name="_Toc516729756"/>
      <w:r w:rsidRPr="00951C4D">
        <w:rPr>
          <w:rStyle w:val="CharSectNo"/>
        </w:rPr>
        <w:t>14</w:t>
      </w:r>
      <w:r w:rsidRPr="006814CB">
        <w:tab/>
      </w:r>
      <w:r w:rsidR="009157CF" w:rsidRPr="006814CB">
        <w:t>Casino FATG authorisation certificate—decision on application</w:t>
      </w:r>
      <w:bookmarkEnd w:id="26"/>
    </w:p>
    <w:p w:rsidR="009157CF" w:rsidRPr="006814CB" w:rsidRDefault="006814CB" w:rsidP="006814CB">
      <w:pPr>
        <w:pStyle w:val="Amain"/>
      </w:pPr>
      <w:r>
        <w:tab/>
      </w:r>
      <w:r w:rsidRPr="006814CB">
        <w:t>(1)</w:t>
      </w:r>
      <w:r w:rsidRPr="006814CB">
        <w:tab/>
      </w:r>
      <w:r w:rsidR="009157CF" w:rsidRPr="006814CB">
        <w:t>This section applies if the commission receives an application</w:t>
      </w:r>
      <w:r w:rsidR="00E27805" w:rsidRPr="006814CB">
        <w:t xml:space="preserve"> under section </w:t>
      </w:r>
      <w:r w:rsidR="002E0DF3" w:rsidRPr="006814CB">
        <w:t>13</w:t>
      </w:r>
      <w:r w:rsidR="00E27805" w:rsidRPr="006814CB">
        <w:t xml:space="preserve"> for an </w:t>
      </w:r>
      <w:r w:rsidR="009157CF" w:rsidRPr="006814CB">
        <w:t>authorisation certificate.</w:t>
      </w:r>
    </w:p>
    <w:p w:rsidR="00C8666D" w:rsidRPr="006814CB" w:rsidRDefault="006814CB" w:rsidP="006814CB">
      <w:pPr>
        <w:pStyle w:val="Amain"/>
      </w:pPr>
      <w:r>
        <w:tab/>
      </w:r>
      <w:r w:rsidRPr="006814CB">
        <w:t>(2)</w:t>
      </w:r>
      <w:r w:rsidRPr="006814CB">
        <w:tab/>
      </w:r>
      <w:r w:rsidR="00C8666D" w:rsidRPr="006814CB">
        <w:t xml:space="preserve">The commission must issue an authorisation certificate </w:t>
      </w:r>
      <w:r w:rsidR="00E27805" w:rsidRPr="006814CB">
        <w:t xml:space="preserve">(a </w:t>
      </w:r>
      <w:r w:rsidR="00E27805" w:rsidRPr="006814CB">
        <w:rPr>
          <w:rStyle w:val="charBoldItals"/>
        </w:rPr>
        <w:t>casino FATG authorisation certificate</w:t>
      </w:r>
      <w:r w:rsidR="00E27805" w:rsidRPr="006814CB">
        <w:t xml:space="preserve">) </w:t>
      </w:r>
      <w:r w:rsidR="00C8666D" w:rsidRPr="006814CB">
        <w:t>to the casino licensee for the maximum number of authorisations for casino FATG terminals stated in the application if the commission—</w:t>
      </w:r>
    </w:p>
    <w:p w:rsidR="00C8666D" w:rsidRPr="006814CB" w:rsidRDefault="006814CB" w:rsidP="006814CB">
      <w:pPr>
        <w:pStyle w:val="Apara"/>
      </w:pPr>
      <w:r>
        <w:tab/>
      </w:r>
      <w:r w:rsidRPr="006814CB">
        <w:t>(a)</w:t>
      </w:r>
      <w:r w:rsidRPr="006814CB">
        <w:tab/>
      </w:r>
      <w:r w:rsidR="00C8666D" w:rsidRPr="006814CB">
        <w:t xml:space="preserve">has taken into consideration the social impact assessment for the application and any submission made on the assessment within the comment period under section </w:t>
      </w:r>
      <w:r w:rsidR="002E0DF3" w:rsidRPr="006814CB">
        <w:t>9</w:t>
      </w:r>
      <w:r w:rsidR="00C8666D" w:rsidRPr="006814CB">
        <w:t xml:space="preserve"> (Social impact assessment—publication); and</w:t>
      </w:r>
    </w:p>
    <w:p w:rsidR="00C8666D" w:rsidRPr="006814CB" w:rsidRDefault="006814CB" w:rsidP="006814CB">
      <w:pPr>
        <w:pStyle w:val="Apara"/>
        <w:keepNext/>
      </w:pPr>
      <w:r>
        <w:tab/>
      </w:r>
      <w:r w:rsidRPr="006814CB">
        <w:t>(b)</w:t>
      </w:r>
      <w:r w:rsidRPr="006814CB">
        <w:tab/>
      </w:r>
      <w:r w:rsidR="00C8666D" w:rsidRPr="006814CB">
        <w:t>is satisfied the issue of the authorisation certificate is appropriate.</w:t>
      </w:r>
    </w:p>
    <w:p w:rsidR="00C8448A" w:rsidRPr="006814CB" w:rsidRDefault="00C8448A" w:rsidP="00C8448A">
      <w:pPr>
        <w:pStyle w:val="aNote"/>
      </w:pPr>
      <w:r w:rsidRPr="006814CB">
        <w:rPr>
          <w:rStyle w:val="charItals"/>
        </w:rPr>
        <w:t>Note</w:t>
      </w:r>
      <w:r w:rsidRPr="006814CB">
        <w:rPr>
          <w:rStyle w:val="charItals"/>
        </w:rPr>
        <w:tab/>
      </w:r>
      <w:r w:rsidRPr="006814CB">
        <w:t xml:space="preserve">An authorisation acquired by the casino licensee under s </w:t>
      </w:r>
      <w:r w:rsidR="002E0DF3" w:rsidRPr="006814CB">
        <w:t>16</w:t>
      </w:r>
      <w:r w:rsidRPr="006814CB">
        <w:t xml:space="preserve"> is a restricted authorisation until certain conditions are met (see s </w:t>
      </w:r>
      <w:r w:rsidR="002E0DF3" w:rsidRPr="006814CB">
        <w:t>21</w:t>
      </w:r>
      <w:r w:rsidRPr="006814CB">
        <w:t xml:space="preserve"> and s </w:t>
      </w:r>
      <w:r w:rsidR="002E0DF3" w:rsidRPr="006814CB">
        <w:t>22</w:t>
      </w:r>
      <w:r w:rsidRPr="006814CB">
        <w:t>). Casino gaming machines are not to be operated under restricted authorisations (see s </w:t>
      </w:r>
      <w:r w:rsidR="002E0DF3" w:rsidRPr="006814CB">
        <w:t>18</w:t>
      </w:r>
      <w:r w:rsidRPr="006814CB">
        <w:t xml:space="preserve"> (2)). </w:t>
      </w:r>
    </w:p>
    <w:p w:rsidR="009157CF" w:rsidRPr="006814CB" w:rsidRDefault="006814CB" w:rsidP="006814CB">
      <w:pPr>
        <w:pStyle w:val="AH5Sec"/>
      </w:pPr>
      <w:bookmarkStart w:id="27" w:name="_Toc516729757"/>
      <w:r w:rsidRPr="00951C4D">
        <w:rPr>
          <w:rStyle w:val="CharSectNo"/>
        </w:rPr>
        <w:t>15</w:t>
      </w:r>
      <w:r w:rsidRPr="006814CB">
        <w:tab/>
      </w:r>
      <w:r w:rsidR="009157CF" w:rsidRPr="006814CB">
        <w:t>Casino FATG authorisation certificate—form</w:t>
      </w:r>
      <w:bookmarkEnd w:id="27"/>
    </w:p>
    <w:p w:rsidR="009157CF" w:rsidRPr="006814CB" w:rsidRDefault="006814CB" w:rsidP="006814CB">
      <w:pPr>
        <w:pStyle w:val="Amain"/>
      </w:pPr>
      <w:r>
        <w:tab/>
      </w:r>
      <w:r w:rsidRPr="006814CB">
        <w:t>(1)</w:t>
      </w:r>
      <w:r w:rsidRPr="006814CB">
        <w:tab/>
      </w:r>
      <w:r w:rsidR="009157CF" w:rsidRPr="006814CB">
        <w:t>A casino FATG authorisation certificate must—</w:t>
      </w:r>
    </w:p>
    <w:p w:rsidR="009157CF" w:rsidRPr="006814CB" w:rsidRDefault="006814CB" w:rsidP="006814CB">
      <w:pPr>
        <w:pStyle w:val="Apara"/>
      </w:pPr>
      <w:r>
        <w:tab/>
      </w:r>
      <w:r w:rsidRPr="006814CB">
        <w:t>(a)</w:t>
      </w:r>
      <w:r w:rsidRPr="006814CB">
        <w:tab/>
      </w:r>
      <w:r w:rsidR="009157CF" w:rsidRPr="006814CB">
        <w:t>include the casino licensee’s name; and</w:t>
      </w:r>
    </w:p>
    <w:p w:rsidR="009157CF" w:rsidRPr="006814CB" w:rsidRDefault="006814CB" w:rsidP="006814CB">
      <w:pPr>
        <w:pStyle w:val="Apara"/>
      </w:pPr>
      <w:r>
        <w:tab/>
      </w:r>
      <w:r w:rsidRPr="006814CB">
        <w:t>(b)</w:t>
      </w:r>
      <w:r w:rsidRPr="006814CB">
        <w:tab/>
      </w:r>
      <w:r w:rsidR="009157CF" w:rsidRPr="006814CB">
        <w:t xml:space="preserve">include a unique identifying number (a </w:t>
      </w:r>
      <w:r w:rsidR="009157CF" w:rsidRPr="006814CB">
        <w:rPr>
          <w:rStyle w:val="charBoldItals"/>
        </w:rPr>
        <w:t>casino FATG</w:t>
      </w:r>
      <w:r w:rsidR="009157CF" w:rsidRPr="006814CB">
        <w:t xml:space="preserve"> </w:t>
      </w:r>
      <w:r w:rsidR="009157CF" w:rsidRPr="006814CB">
        <w:rPr>
          <w:rStyle w:val="charBoldItals"/>
        </w:rPr>
        <w:t>authorisation certificate number</w:t>
      </w:r>
      <w:r w:rsidR="009157CF" w:rsidRPr="006814CB">
        <w:t>); and</w:t>
      </w:r>
    </w:p>
    <w:p w:rsidR="009157CF" w:rsidRPr="006814CB" w:rsidRDefault="006814CB" w:rsidP="006814CB">
      <w:pPr>
        <w:pStyle w:val="Apara"/>
      </w:pPr>
      <w:r>
        <w:tab/>
      </w:r>
      <w:r w:rsidRPr="006814CB">
        <w:t>(c)</w:t>
      </w:r>
      <w:r w:rsidRPr="006814CB">
        <w:tab/>
      </w:r>
      <w:r w:rsidR="009157CF" w:rsidRPr="006814CB">
        <w:t>state the maximum number of authorisations for casino FATG</w:t>
      </w:r>
      <w:r w:rsidR="00372BEC" w:rsidRPr="006814CB">
        <w:t xml:space="preserve"> terminal</w:t>
      </w:r>
      <w:r w:rsidR="009157CF" w:rsidRPr="006814CB">
        <w:t xml:space="preserve">s </w:t>
      </w:r>
      <w:r w:rsidR="00DE422A" w:rsidRPr="006814CB">
        <w:t xml:space="preserve">allowed </w:t>
      </w:r>
      <w:r w:rsidR="009157CF" w:rsidRPr="006814CB">
        <w:t>under the authorisation certificate; and</w:t>
      </w:r>
    </w:p>
    <w:p w:rsidR="009157CF" w:rsidRPr="006814CB" w:rsidRDefault="006814CB" w:rsidP="006814CB">
      <w:pPr>
        <w:pStyle w:val="Apara"/>
      </w:pPr>
      <w:r>
        <w:tab/>
      </w:r>
      <w:r w:rsidRPr="006814CB">
        <w:t>(d)</w:t>
      </w:r>
      <w:r w:rsidRPr="006814CB">
        <w:tab/>
      </w:r>
      <w:r w:rsidR="009157CF" w:rsidRPr="006814CB">
        <w:t>state that—</w:t>
      </w:r>
    </w:p>
    <w:p w:rsidR="009157CF" w:rsidRPr="006814CB" w:rsidRDefault="006814CB" w:rsidP="006814CB">
      <w:pPr>
        <w:pStyle w:val="Asubpara"/>
      </w:pPr>
      <w:r>
        <w:tab/>
      </w:r>
      <w:r w:rsidRPr="006814CB">
        <w:t>(i)</w:t>
      </w:r>
      <w:r w:rsidRPr="006814CB">
        <w:tab/>
      </w:r>
      <w:r w:rsidR="009157CF" w:rsidRPr="006814CB">
        <w:t xml:space="preserve">an authorisation under the authorisation certificate is a restricted authorisation; and </w:t>
      </w:r>
    </w:p>
    <w:p w:rsidR="00117222" w:rsidRPr="006814CB" w:rsidRDefault="006814CB" w:rsidP="006814CB">
      <w:pPr>
        <w:pStyle w:val="Asubpara"/>
      </w:pPr>
      <w:r>
        <w:tab/>
      </w:r>
      <w:r w:rsidRPr="006814CB">
        <w:t>(ii)</w:t>
      </w:r>
      <w:r w:rsidRPr="006814CB">
        <w:tab/>
      </w:r>
      <w:r w:rsidR="00117222" w:rsidRPr="006814CB">
        <w:t xml:space="preserve">a restricted authorisation may be converted to a casino FATG </w:t>
      </w:r>
      <w:r w:rsidR="00A5228B" w:rsidRPr="006814CB">
        <w:t xml:space="preserve">terminal </w:t>
      </w:r>
      <w:r w:rsidR="00117222" w:rsidRPr="006814CB">
        <w:t xml:space="preserve">authorisation under section </w:t>
      </w:r>
      <w:r w:rsidR="002E0DF3" w:rsidRPr="006814CB">
        <w:t>22</w:t>
      </w:r>
      <w:r w:rsidR="00117222" w:rsidRPr="006814CB">
        <w:t xml:space="preserve"> (Conversion of restricted authorisations—decision); and</w:t>
      </w:r>
    </w:p>
    <w:p w:rsidR="009157CF" w:rsidRPr="006814CB" w:rsidRDefault="006814CB" w:rsidP="006814CB">
      <w:pPr>
        <w:pStyle w:val="Asubpara"/>
      </w:pPr>
      <w:r>
        <w:tab/>
      </w:r>
      <w:r w:rsidRPr="006814CB">
        <w:t>(iii)</w:t>
      </w:r>
      <w:r w:rsidRPr="006814CB">
        <w:tab/>
      </w:r>
      <w:r w:rsidR="00372BEC" w:rsidRPr="006814CB">
        <w:t xml:space="preserve">only 1 </w:t>
      </w:r>
      <w:r w:rsidR="00117222" w:rsidRPr="006814CB">
        <w:t xml:space="preserve">casino </w:t>
      </w:r>
      <w:r w:rsidR="00372BEC" w:rsidRPr="006814CB">
        <w:t xml:space="preserve">FATG terminal may be operated under each </w:t>
      </w:r>
      <w:r w:rsidR="00117222" w:rsidRPr="006814CB">
        <w:t xml:space="preserve">casino FATG </w:t>
      </w:r>
      <w:r w:rsidR="00A5228B" w:rsidRPr="006814CB">
        <w:t xml:space="preserve">terminal </w:t>
      </w:r>
      <w:r w:rsidR="00372BEC" w:rsidRPr="006814CB">
        <w:t>authorisation</w:t>
      </w:r>
      <w:r w:rsidR="009157CF" w:rsidRPr="006814CB">
        <w:t>; and</w:t>
      </w:r>
    </w:p>
    <w:p w:rsidR="009157CF" w:rsidRPr="006814CB" w:rsidRDefault="006814CB" w:rsidP="006814CB">
      <w:pPr>
        <w:pStyle w:val="Apara"/>
      </w:pPr>
      <w:r>
        <w:tab/>
      </w:r>
      <w:r w:rsidRPr="006814CB">
        <w:t>(e)</w:t>
      </w:r>
      <w:r w:rsidRPr="006814CB">
        <w:tab/>
      </w:r>
      <w:r w:rsidR="009157CF" w:rsidRPr="006814CB">
        <w:t xml:space="preserve">include a schedule (an </w:t>
      </w:r>
      <w:r w:rsidR="009157CF" w:rsidRPr="006814CB">
        <w:rPr>
          <w:rStyle w:val="charBoldItals"/>
        </w:rPr>
        <w:t>authorisation schedule</w:t>
      </w:r>
      <w:r w:rsidR="009157CF" w:rsidRPr="006814CB">
        <w:t xml:space="preserve">) that contains a unique identifying number for each authorisation (an </w:t>
      </w:r>
      <w:r w:rsidR="009157CF" w:rsidRPr="006814CB">
        <w:rPr>
          <w:rStyle w:val="charBoldItals"/>
        </w:rPr>
        <w:t>authorisation number</w:t>
      </w:r>
      <w:r w:rsidR="009157CF" w:rsidRPr="006814CB">
        <w:t>) under the authorisation certificate.</w:t>
      </w:r>
    </w:p>
    <w:p w:rsidR="009157CF" w:rsidRPr="006814CB" w:rsidRDefault="006814CB" w:rsidP="006814CB">
      <w:pPr>
        <w:pStyle w:val="Amain"/>
      </w:pPr>
      <w:r>
        <w:tab/>
      </w:r>
      <w:r w:rsidRPr="006814CB">
        <w:t>(2)</w:t>
      </w:r>
      <w:r w:rsidRPr="006814CB">
        <w:tab/>
      </w:r>
      <w:r w:rsidR="009157CF" w:rsidRPr="006814CB">
        <w:t>A regulation may prescribe other requirements in relation to the form of the authorisation certificate or authorisation schedule.</w:t>
      </w:r>
    </w:p>
    <w:p w:rsidR="009157CF" w:rsidRPr="006814CB" w:rsidRDefault="009157CF" w:rsidP="006814CB">
      <w:pPr>
        <w:pStyle w:val="PageBreak"/>
        <w:suppressLineNumbers/>
      </w:pPr>
      <w:r w:rsidRPr="006814CB">
        <w:br w:type="page"/>
      </w:r>
    </w:p>
    <w:p w:rsidR="009F7D77" w:rsidRPr="00951C4D" w:rsidRDefault="006814CB" w:rsidP="006814CB">
      <w:pPr>
        <w:pStyle w:val="AH2Part"/>
      </w:pPr>
      <w:bookmarkStart w:id="28" w:name="_Toc516729758"/>
      <w:r w:rsidRPr="00951C4D">
        <w:rPr>
          <w:rStyle w:val="CharPartNo"/>
        </w:rPr>
        <w:t>Part 4</w:t>
      </w:r>
      <w:r w:rsidRPr="006814CB">
        <w:rPr>
          <w:rStyle w:val="CharPartText"/>
        </w:rPr>
        <w:tab/>
      </w:r>
      <w:r w:rsidR="009F7D77" w:rsidRPr="00951C4D">
        <w:rPr>
          <w:rStyle w:val="CharPartText"/>
        </w:rPr>
        <w:t>Acquiring authorisations</w:t>
      </w:r>
      <w:bookmarkEnd w:id="28"/>
    </w:p>
    <w:p w:rsidR="009F7D77" w:rsidRPr="006814CB" w:rsidRDefault="009F7D77" w:rsidP="006814CB">
      <w:pPr>
        <w:pStyle w:val="Placeholder"/>
        <w:suppressLineNumbers/>
      </w:pPr>
      <w:r w:rsidRPr="006814CB">
        <w:rPr>
          <w:rStyle w:val="CharDivNo"/>
        </w:rPr>
        <w:t xml:space="preserve">  </w:t>
      </w:r>
      <w:r w:rsidRPr="006814CB">
        <w:rPr>
          <w:rStyle w:val="CharDivText"/>
        </w:rPr>
        <w:t xml:space="preserve">  </w:t>
      </w:r>
    </w:p>
    <w:p w:rsidR="009F7D77" w:rsidRPr="006814CB" w:rsidRDefault="006814CB" w:rsidP="006814CB">
      <w:pPr>
        <w:pStyle w:val="AH5Sec"/>
      </w:pPr>
      <w:bookmarkStart w:id="29" w:name="_Toc516729759"/>
      <w:r w:rsidRPr="00951C4D">
        <w:rPr>
          <w:rStyle w:val="CharSectNo"/>
        </w:rPr>
        <w:t>16</w:t>
      </w:r>
      <w:r w:rsidRPr="006814CB">
        <w:tab/>
      </w:r>
      <w:r w:rsidR="009F7D77" w:rsidRPr="006814CB">
        <w:t>Acquiring authorisations for casino gaming machines and casino FATG terminals</w:t>
      </w:r>
      <w:bookmarkEnd w:id="29"/>
    </w:p>
    <w:p w:rsidR="00F91574" w:rsidRPr="006814CB" w:rsidRDefault="006814CB" w:rsidP="006814CB">
      <w:pPr>
        <w:pStyle w:val="Amain"/>
      </w:pPr>
      <w:r>
        <w:tab/>
      </w:r>
      <w:r w:rsidRPr="006814CB">
        <w:t>(1)</w:t>
      </w:r>
      <w:r w:rsidRPr="006814CB">
        <w:tab/>
      </w:r>
      <w:r w:rsidR="00F91574" w:rsidRPr="006814CB">
        <w:t>This section applies if</w:t>
      </w:r>
      <w:r w:rsidR="00D35FA0" w:rsidRPr="006814CB">
        <w:t xml:space="preserve"> the casino licensee</w:t>
      </w:r>
      <w:r w:rsidR="00F91574" w:rsidRPr="006814CB">
        <w:t>—</w:t>
      </w:r>
    </w:p>
    <w:p w:rsidR="00F91574" w:rsidRPr="006814CB" w:rsidRDefault="006814CB" w:rsidP="006814CB">
      <w:pPr>
        <w:pStyle w:val="Apara"/>
      </w:pPr>
      <w:r>
        <w:tab/>
      </w:r>
      <w:r w:rsidRPr="006814CB">
        <w:t>(a)</w:t>
      </w:r>
      <w:r w:rsidRPr="006814CB">
        <w:tab/>
      </w:r>
      <w:r w:rsidR="00D35FA0" w:rsidRPr="006814CB">
        <w:t xml:space="preserve">is issued a </w:t>
      </w:r>
      <w:r w:rsidR="001B3431" w:rsidRPr="006814CB">
        <w:t>casino gaming machine authorisation certificate</w:t>
      </w:r>
      <w:r w:rsidR="009157CF" w:rsidRPr="006814CB">
        <w:t xml:space="preserve"> or a casino FATG authorisation certificate</w:t>
      </w:r>
      <w:r w:rsidR="00F91574" w:rsidRPr="006814CB">
        <w:t>; and</w:t>
      </w:r>
    </w:p>
    <w:p w:rsidR="009157CF" w:rsidRPr="006814CB" w:rsidRDefault="006814CB" w:rsidP="006814CB">
      <w:pPr>
        <w:pStyle w:val="Apara"/>
      </w:pPr>
      <w:r>
        <w:tab/>
      </w:r>
      <w:r w:rsidRPr="006814CB">
        <w:t>(b)</w:t>
      </w:r>
      <w:r w:rsidRPr="006814CB">
        <w:tab/>
      </w:r>
      <w:r w:rsidR="00F91574" w:rsidRPr="006814CB">
        <w:t>has less than the maximum number of authorisations</w:t>
      </w:r>
      <w:r w:rsidR="00C8666D" w:rsidRPr="006814CB">
        <w:t xml:space="preserve"> allowed under the authorisation certificate.</w:t>
      </w:r>
    </w:p>
    <w:p w:rsidR="00117222" w:rsidRPr="006814CB" w:rsidRDefault="006814CB" w:rsidP="006814CB">
      <w:pPr>
        <w:pStyle w:val="Amain"/>
        <w:keepNext/>
      </w:pPr>
      <w:r>
        <w:tab/>
      </w:r>
      <w:r w:rsidRPr="006814CB">
        <w:t>(2)</w:t>
      </w:r>
      <w:r w:rsidRPr="006814CB">
        <w:tab/>
      </w:r>
      <w:r w:rsidR="00117222" w:rsidRPr="006814CB">
        <w:t>If the casino licensee intends to acquire a</w:t>
      </w:r>
      <w:r w:rsidR="00DE422A" w:rsidRPr="006814CB">
        <w:t xml:space="preserve"> gaming machine</w:t>
      </w:r>
      <w:r w:rsidR="00117222" w:rsidRPr="006814CB">
        <w:t xml:space="preserve"> authorisation for</w:t>
      </w:r>
      <w:r w:rsidR="00DE422A" w:rsidRPr="006814CB">
        <w:t xml:space="preserve"> conversion to</w:t>
      </w:r>
      <w:r w:rsidR="00117222" w:rsidRPr="006814CB">
        <w:t xml:space="preserve"> a casino gaming machine</w:t>
      </w:r>
      <w:r w:rsidR="00DE422A" w:rsidRPr="006814CB">
        <w:t xml:space="preserve"> authorisation</w:t>
      </w:r>
      <w:r w:rsidR="00117222" w:rsidRPr="006814CB">
        <w:t xml:space="preserve"> or a casino FATG terminal</w:t>
      </w:r>
      <w:r w:rsidR="00DE422A" w:rsidRPr="006814CB">
        <w:t xml:space="preserve"> authorisation</w:t>
      </w:r>
      <w:r w:rsidR="00117222" w:rsidRPr="006814CB">
        <w:t>, the casino licensee must notify the commission about the proposed acquisition.</w:t>
      </w:r>
    </w:p>
    <w:p w:rsidR="00117222" w:rsidRPr="006814CB" w:rsidRDefault="00117222" w:rsidP="006814CB">
      <w:pPr>
        <w:pStyle w:val="aNote"/>
        <w:keepNext/>
      </w:pPr>
      <w:r w:rsidRPr="006814CB">
        <w:rPr>
          <w:rStyle w:val="charItals"/>
        </w:rPr>
        <w:t>Note 1</w:t>
      </w:r>
      <w:r w:rsidRPr="006814CB">
        <w:rPr>
          <w:rStyle w:val="charItals"/>
        </w:rPr>
        <w:tab/>
      </w:r>
      <w:r w:rsidRPr="006814CB">
        <w:t xml:space="preserve">The acquisition of an authorisation is a notifiable action (see </w:t>
      </w:r>
      <w:r w:rsidR="00CF0AF9" w:rsidRPr="006814CB">
        <w:t>pt 10</w:t>
      </w:r>
      <w:r w:rsidRPr="006814CB">
        <w:t xml:space="preserve"> and </w:t>
      </w:r>
      <w:r w:rsidR="003D0F2E" w:rsidRPr="006814CB">
        <w:t>sch 2</w:t>
      </w:r>
      <w:r w:rsidRPr="006814CB">
        <w:t>).</w:t>
      </w:r>
    </w:p>
    <w:p w:rsidR="00117222" w:rsidRPr="006814CB" w:rsidRDefault="00117222" w:rsidP="006814CB">
      <w:pPr>
        <w:pStyle w:val="aNote"/>
        <w:keepNext/>
      </w:pPr>
      <w:r w:rsidRPr="006814CB">
        <w:rPr>
          <w:rStyle w:val="charItals"/>
        </w:rPr>
        <w:t>Note 2</w:t>
      </w:r>
      <w:r w:rsidRPr="006814CB">
        <w:tab/>
        <w:t xml:space="preserve">A notifiable action takes </w:t>
      </w:r>
      <w:r w:rsidR="00B51A61" w:rsidRPr="006814CB">
        <w:t>effect</w:t>
      </w:r>
      <w:r w:rsidRPr="006814CB">
        <w:t>—</w:t>
      </w:r>
    </w:p>
    <w:p w:rsidR="00117222" w:rsidRPr="006814CB" w:rsidRDefault="00117222" w:rsidP="006814CB">
      <w:pPr>
        <w:pStyle w:val="aNotePara"/>
        <w:keepNext/>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117222" w:rsidRPr="006814CB" w:rsidRDefault="00117222" w:rsidP="006814CB">
      <w:pPr>
        <w:pStyle w:val="aNotePara"/>
        <w:keepNext/>
      </w:pPr>
      <w:r w:rsidRPr="006814CB">
        <w:tab/>
        <w:t>(b)</w:t>
      </w:r>
      <w:r w:rsidRPr="006814CB">
        <w:tab/>
        <w:t xml:space="preserve">if the commission allows the notifiable action to take </w:t>
      </w:r>
      <w:r w:rsidR="00B51A61" w:rsidRPr="006814CB">
        <w:t>effect</w:t>
      </w:r>
      <w:r w:rsidRPr="006814CB">
        <w:t xml:space="preserve"> on an earlier day—that day (see s </w:t>
      </w:r>
      <w:r w:rsidR="002E0DF3" w:rsidRPr="006814CB">
        <w:t>50</w:t>
      </w:r>
      <w:r w:rsidRPr="006814CB">
        <w:t xml:space="preserve"> (b)); or</w:t>
      </w:r>
    </w:p>
    <w:p w:rsidR="00117222" w:rsidRPr="006814CB" w:rsidRDefault="00117222" w:rsidP="00A5228B">
      <w:pPr>
        <w:pStyle w:val="aNotePara"/>
      </w:pPr>
      <w:r w:rsidRPr="006814CB">
        <w:tab/>
        <w:t>(c)</w:t>
      </w:r>
      <w:r w:rsidRPr="006814CB">
        <w:tab/>
        <w:t>if the commission asks for additional information under s </w:t>
      </w:r>
      <w:r w:rsidR="002E0DF3" w:rsidRPr="006814CB">
        <w:t>49</w:t>
      </w:r>
      <w:r w:rsidR="003D0F2E" w:rsidRPr="006814CB">
        <w:t> (3)</w:t>
      </w:r>
      <w:r w:rsidRPr="006814CB">
        <w:t>—when the commission has notified the licensee that it is satisfied in relation to the additional information (see s </w:t>
      </w:r>
      <w:r w:rsidR="002E0DF3" w:rsidRPr="006814CB">
        <w:t>50</w:t>
      </w:r>
      <w:r w:rsidRPr="006814CB">
        <w:t xml:space="preserve"> (c)).</w:t>
      </w:r>
    </w:p>
    <w:p w:rsidR="006B505F" w:rsidRPr="006814CB" w:rsidRDefault="006814CB" w:rsidP="006814CB">
      <w:pPr>
        <w:pStyle w:val="Amain"/>
      </w:pPr>
      <w:r>
        <w:tab/>
      </w:r>
      <w:r w:rsidRPr="006814CB">
        <w:t>(3)</w:t>
      </w:r>
      <w:r w:rsidRPr="006814CB">
        <w:tab/>
      </w:r>
      <w:r w:rsidR="006B505F" w:rsidRPr="006814CB">
        <w:t>T</w:t>
      </w:r>
      <w:r w:rsidR="008066CC" w:rsidRPr="006814CB">
        <w:t>he casino licensee</w:t>
      </w:r>
      <w:r w:rsidR="006B505F" w:rsidRPr="006814CB">
        <w:t>—</w:t>
      </w:r>
    </w:p>
    <w:p w:rsidR="006B505F" w:rsidRPr="006814CB" w:rsidRDefault="006814CB" w:rsidP="006814CB">
      <w:pPr>
        <w:pStyle w:val="Apara"/>
      </w:pPr>
      <w:r>
        <w:tab/>
      </w:r>
      <w:r w:rsidRPr="006814CB">
        <w:t>(a)</w:t>
      </w:r>
      <w:r w:rsidRPr="006814CB">
        <w:tab/>
      </w:r>
      <w:r w:rsidR="006B505F" w:rsidRPr="006814CB">
        <w:t xml:space="preserve">may acquire authorisations from 1 or more class B or class C licensees (a </w:t>
      </w:r>
      <w:r w:rsidR="006B505F" w:rsidRPr="006814CB">
        <w:rPr>
          <w:rStyle w:val="charBoldItals"/>
        </w:rPr>
        <w:t>disposing licensee</w:t>
      </w:r>
      <w:r w:rsidR="006B505F" w:rsidRPr="006814CB">
        <w:t>); and</w:t>
      </w:r>
    </w:p>
    <w:p w:rsidR="008066CC" w:rsidRPr="006814CB" w:rsidRDefault="006814CB" w:rsidP="006814CB">
      <w:pPr>
        <w:pStyle w:val="Apara"/>
      </w:pPr>
      <w:r>
        <w:tab/>
      </w:r>
      <w:r w:rsidRPr="006814CB">
        <w:t>(b)</w:t>
      </w:r>
      <w:r w:rsidRPr="006814CB">
        <w:tab/>
      </w:r>
      <w:r w:rsidR="008066CC" w:rsidRPr="006814CB">
        <w:t>must acquire at least 50% of the maximum number of authorisations allowed under the authorisation certificate from the following:</w:t>
      </w:r>
    </w:p>
    <w:p w:rsidR="008066CC" w:rsidRPr="006814CB" w:rsidRDefault="006814CB" w:rsidP="006814CB">
      <w:pPr>
        <w:pStyle w:val="Asubpara"/>
      </w:pPr>
      <w:r>
        <w:tab/>
      </w:r>
      <w:r w:rsidRPr="006814CB">
        <w:t>(i)</w:t>
      </w:r>
      <w:r w:rsidRPr="006814CB">
        <w:tab/>
      </w:r>
      <w:r w:rsidR="008066CC" w:rsidRPr="006814CB">
        <w:t>1 or more small or medium clubs;</w:t>
      </w:r>
    </w:p>
    <w:p w:rsidR="008066CC" w:rsidRPr="006814CB" w:rsidRDefault="006814CB" w:rsidP="006814CB">
      <w:pPr>
        <w:pStyle w:val="Asubpara"/>
      </w:pPr>
      <w:r>
        <w:tab/>
      </w:r>
      <w:r w:rsidRPr="006814CB">
        <w:t>(ii)</w:t>
      </w:r>
      <w:r w:rsidRPr="006814CB">
        <w:tab/>
      </w:r>
      <w:r w:rsidR="008066CC" w:rsidRPr="006814CB">
        <w:t>1 or more small or medium club groups;</w:t>
      </w:r>
    </w:p>
    <w:p w:rsidR="008066CC" w:rsidRPr="006814CB" w:rsidRDefault="006814CB" w:rsidP="006814CB">
      <w:pPr>
        <w:pStyle w:val="Asubpara"/>
      </w:pPr>
      <w:r>
        <w:tab/>
      </w:r>
      <w:r w:rsidRPr="006814CB">
        <w:t>(iii)</w:t>
      </w:r>
      <w:r w:rsidRPr="006814CB">
        <w:tab/>
      </w:r>
      <w:r w:rsidR="008066CC" w:rsidRPr="006814CB">
        <w:t>1 or more class B licensees.</w:t>
      </w:r>
    </w:p>
    <w:p w:rsidR="00A47112" w:rsidRPr="006814CB" w:rsidRDefault="006814CB" w:rsidP="006814CB">
      <w:pPr>
        <w:pStyle w:val="Amain"/>
      </w:pPr>
      <w:r>
        <w:tab/>
      </w:r>
      <w:r w:rsidRPr="006814CB">
        <w:t>(4)</w:t>
      </w:r>
      <w:r w:rsidRPr="006814CB">
        <w:tab/>
      </w:r>
      <w:r w:rsidR="00A47112" w:rsidRPr="006814CB">
        <w:t>However, an authorisation acquired under subsection (</w:t>
      </w:r>
      <w:r w:rsidR="00A5228B" w:rsidRPr="006814CB">
        <w:t>3</w:t>
      </w:r>
      <w:r w:rsidR="00A47112" w:rsidRPr="006814CB">
        <w:t xml:space="preserve">) must be acquired without the gaming machine operated under </w:t>
      </w:r>
      <w:r w:rsidR="00A5228B" w:rsidRPr="006814CB">
        <w:t xml:space="preserve">the </w:t>
      </w:r>
      <w:r w:rsidR="00A47112" w:rsidRPr="006814CB">
        <w:t>authorisation.</w:t>
      </w:r>
    </w:p>
    <w:p w:rsidR="005E6FE2" w:rsidRPr="006814CB" w:rsidRDefault="006814CB" w:rsidP="006814CB">
      <w:pPr>
        <w:pStyle w:val="Amain"/>
        <w:keepNext/>
      </w:pPr>
      <w:r>
        <w:tab/>
      </w:r>
      <w:r w:rsidRPr="006814CB">
        <w:t>(5)</w:t>
      </w:r>
      <w:r w:rsidRPr="006814CB">
        <w:tab/>
      </w:r>
      <w:r w:rsidR="008066CC" w:rsidRPr="006814CB">
        <w:t>The</w:t>
      </w:r>
      <w:r w:rsidR="00437C28" w:rsidRPr="006814CB">
        <w:t xml:space="preserve"> disposing licensee may dispose of 1 or more authorisations to the casino licensee.</w:t>
      </w:r>
    </w:p>
    <w:p w:rsidR="006B505F" w:rsidRPr="006814CB" w:rsidRDefault="006B505F" w:rsidP="006B505F">
      <w:pPr>
        <w:pStyle w:val="aNote"/>
      </w:pPr>
      <w:r w:rsidRPr="006814CB">
        <w:rPr>
          <w:rStyle w:val="charItals"/>
        </w:rPr>
        <w:t>Note</w:t>
      </w:r>
      <w:r w:rsidRPr="006814CB">
        <w:rPr>
          <w:rStyle w:val="charItals"/>
        </w:rPr>
        <w:tab/>
      </w:r>
      <w:r w:rsidR="00634292" w:rsidRPr="006814CB">
        <w:t>T</w:t>
      </w:r>
      <w:r w:rsidRPr="006814CB">
        <w:t xml:space="preserve">he disposing licensee </w:t>
      </w:r>
      <w:r w:rsidR="00634292" w:rsidRPr="006814CB">
        <w:t>must apply to the commission for a storage permit for an interim purpose for each related gaming machine of an authorisation dispose</w:t>
      </w:r>
      <w:r w:rsidR="00A5228B" w:rsidRPr="006814CB">
        <w:t>d of under this section (see s </w:t>
      </w:r>
      <w:r w:rsidR="002E0DF3" w:rsidRPr="006814CB">
        <w:t>19</w:t>
      </w:r>
      <w:r w:rsidR="00634292" w:rsidRPr="006814CB">
        <w:t xml:space="preserve">). </w:t>
      </w:r>
    </w:p>
    <w:p w:rsidR="00437C28" w:rsidRPr="006814CB" w:rsidRDefault="006814CB" w:rsidP="006814CB">
      <w:pPr>
        <w:pStyle w:val="AH5Sec"/>
      </w:pPr>
      <w:bookmarkStart w:id="30" w:name="_Toc516729760"/>
      <w:r w:rsidRPr="00951C4D">
        <w:rPr>
          <w:rStyle w:val="CharSectNo"/>
        </w:rPr>
        <w:t>17</w:t>
      </w:r>
      <w:r w:rsidRPr="006814CB">
        <w:tab/>
      </w:r>
      <w:r w:rsidR="00437C28" w:rsidRPr="006814CB">
        <w:t>Acquiring authorisations—forfeiture requirement</w:t>
      </w:r>
      <w:bookmarkEnd w:id="30"/>
    </w:p>
    <w:p w:rsidR="00437C28" w:rsidRPr="006814CB" w:rsidRDefault="006814CB" w:rsidP="006814CB">
      <w:pPr>
        <w:pStyle w:val="Amain"/>
      </w:pPr>
      <w:r>
        <w:tab/>
      </w:r>
      <w:r w:rsidRPr="006814CB">
        <w:t>(1)</w:t>
      </w:r>
      <w:r w:rsidRPr="006814CB">
        <w:tab/>
      </w:r>
      <w:r w:rsidR="00437C28" w:rsidRPr="006814CB">
        <w:t xml:space="preserve">If the casino licensee acquires an authorisation from a class B or class C licensee (the </w:t>
      </w:r>
      <w:r w:rsidR="00437C28" w:rsidRPr="006814CB">
        <w:rPr>
          <w:rStyle w:val="charBoldItals"/>
        </w:rPr>
        <w:t>disposing licensee</w:t>
      </w:r>
      <w:r w:rsidR="00437C28" w:rsidRPr="006814CB">
        <w:t>)</w:t>
      </w:r>
      <w:r w:rsidR="00D60372" w:rsidRPr="006814CB">
        <w:t xml:space="preserve"> under section </w:t>
      </w:r>
      <w:r w:rsidR="002E0DF3" w:rsidRPr="006814CB">
        <w:t>16</w:t>
      </w:r>
      <w:r w:rsidR="00437C28" w:rsidRPr="006814CB">
        <w:t>, the casino licensee—</w:t>
      </w:r>
    </w:p>
    <w:p w:rsidR="00437C28" w:rsidRPr="006814CB" w:rsidRDefault="006814CB" w:rsidP="006814CB">
      <w:pPr>
        <w:pStyle w:val="Apara"/>
      </w:pPr>
      <w:r>
        <w:tab/>
      </w:r>
      <w:r w:rsidRPr="006814CB">
        <w:t>(a)</w:t>
      </w:r>
      <w:r w:rsidRPr="006814CB">
        <w:tab/>
      </w:r>
      <w:r w:rsidR="00437C28" w:rsidRPr="006814CB">
        <w:t>must acquire the authorisations in groups of 3; and</w:t>
      </w:r>
    </w:p>
    <w:p w:rsidR="00437C28" w:rsidRPr="006814CB" w:rsidRDefault="006814CB" w:rsidP="006814CB">
      <w:pPr>
        <w:pStyle w:val="Apara"/>
      </w:pPr>
      <w:r>
        <w:tab/>
      </w:r>
      <w:r w:rsidRPr="006814CB">
        <w:t>(b)</w:t>
      </w:r>
      <w:r w:rsidRPr="006814CB">
        <w:tab/>
      </w:r>
      <w:r w:rsidR="00437C28" w:rsidRPr="006814CB">
        <w:t xml:space="preserve">may acquire the 3 authorisations from more than 1 class B or class C licensee. </w:t>
      </w:r>
    </w:p>
    <w:p w:rsidR="001773EC" w:rsidRPr="006814CB" w:rsidRDefault="006814CB" w:rsidP="006814CB">
      <w:pPr>
        <w:pStyle w:val="Amain"/>
      </w:pPr>
      <w:r>
        <w:tab/>
      </w:r>
      <w:r w:rsidRPr="006814CB">
        <w:t>(2)</w:t>
      </w:r>
      <w:r w:rsidRPr="006814CB">
        <w:tab/>
      </w:r>
      <w:r w:rsidR="001773EC" w:rsidRPr="006814CB">
        <w:t>However, the casino licensee may acquire less than 3 authorisations if the casino licensee acquires the authorisations from a disposing licensee who—</w:t>
      </w:r>
    </w:p>
    <w:p w:rsidR="001773EC" w:rsidRPr="006814CB" w:rsidRDefault="006814CB" w:rsidP="006814CB">
      <w:pPr>
        <w:pStyle w:val="Apara"/>
      </w:pPr>
      <w:r>
        <w:tab/>
      </w:r>
      <w:r w:rsidRPr="006814CB">
        <w:t>(a)</w:t>
      </w:r>
      <w:r w:rsidRPr="006814CB">
        <w:tab/>
      </w:r>
      <w:r w:rsidR="001773EC" w:rsidRPr="006814CB">
        <w:t xml:space="preserve">intends to surrender an authorisation certificate under the </w:t>
      </w:r>
      <w:hyperlink r:id="rId42" w:tooltip="A2004-34" w:history="1">
        <w:r w:rsidR="00253379" w:rsidRPr="006814CB">
          <w:rPr>
            <w:rStyle w:val="charCitHyperlinkItal"/>
          </w:rPr>
          <w:t>Gaming Machine Act 2004</w:t>
        </w:r>
      </w:hyperlink>
      <w:r w:rsidR="001773EC" w:rsidRPr="006814CB">
        <w:t>, section 37F (Surrender of licences, authorisation certificates and authorisations); and</w:t>
      </w:r>
    </w:p>
    <w:p w:rsidR="001773EC" w:rsidRPr="006814CB" w:rsidRDefault="006814CB" w:rsidP="006814CB">
      <w:pPr>
        <w:pStyle w:val="Apara"/>
      </w:pPr>
      <w:r>
        <w:tab/>
      </w:r>
      <w:r w:rsidRPr="006814CB">
        <w:t>(b)</w:t>
      </w:r>
      <w:r w:rsidRPr="006814CB">
        <w:tab/>
      </w:r>
      <w:r w:rsidR="001773EC" w:rsidRPr="006814CB">
        <w:t>has less than 3 authorisations to dispose of under the authorisation certificate.</w:t>
      </w:r>
    </w:p>
    <w:p w:rsidR="001773EC" w:rsidRPr="006814CB" w:rsidRDefault="006814CB" w:rsidP="006814CB">
      <w:pPr>
        <w:pStyle w:val="Amain"/>
      </w:pPr>
      <w:r>
        <w:tab/>
      </w:r>
      <w:r w:rsidRPr="006814CB">
        <w:t>(3)</w:t>
      </w:r>
      <w:r w:rsidRPr="006814CB">
        <w:tab/>
      </w:r>
      <w:r w:rsidR="001773EC" w:rsidRPr="006814CB">
        <w:t>The casino licensee must forfeit 1 authorisation to the Territory for every 3 authorisations the licensee acquires under this secti</w:t>
      </w:r>
      <w:r w:rsidR="00B25580" w:rsidRPr="006814CB">
        <w:t>o</w:t>
      </w:r>
      <w:r w:rsidR="001773EC" w:rsidRPr="006814CB">
        <w:t>n.</w:t>
      </w:r>
    </w:p>
    <w:p w:rsidR="001773EC" w:rsidRPr="006814CB" w:rsidRDefault="006814CB" w:rsidP="006814CB">
      <w:pPr>
        <w:pStyle w:val="Amain"/>
      </w:pPr>
      <w:r>
        <w:tab/>
      </w:r>
      <w:r w:rsidRPr="006814CB">
        <w:t>(4)</w:t>
      </w:r>
      <w:r w:rsidRPr="006814CB">
        <w:tab/>
      </w:r>
      <w:r w:rsidR="001773EC" w:rsidRPr="006814CB">
        <w:t xml:space="preserve">The casino </w:t>
      </w:r>
      <w:r w:rsidR="00E6076E" w:rsidRPr="006814CB">
        <w:t xml:space="preserve">licensee </w:t>
      </w:r>
      <w:r w:rsidR="001773EC" w:rsidRPr="006814CB">
        <w:t xml:space="preserve">is not entitled </w:t>
      </w:r>
      <w:r w:rsidR="00E6076E" w:rsidRPr="006814CB">
        <w:t xml:space="preserve">to claim compensation from the Territory for an authorisation forfeited to the Territory under subsection (3). </w:t>
      </w:r>
    </w:p>
    <w:p w:rsidR="00231792" w:rsidRPr="006814CB" w:rsidRDefault="006814CB" w:rsidP="006814CB">
      <w:pPr>
        <w:pStyle w:val="AH5Sec"/>
      </w:pPr>
      <w:bookmarkStart w:id="31" w:name="_Toc516729761"/>
      <w:r w:rsidRPr="00951C4D">
        <w:rPr>
          <w:rStyle w:val="CharSectNo"/>
        </w:rPr>
        <w:t>18</w:t>
      </w:r>
      <w:r w:rsidRPr="006814CB">
        <w:tab/>
      </w:r>
      <w:r w:rsidR="00231792" w:rsidRPr="006814CB">
        <w:t>Offence—acquiring authorisations</w:t>
      </w:r>
      <w:bookmarkEnd w:id="31"/>
    </w:p>
    <w:p w:rsidR="00231792" w:rsidRPr="006814CB" w:rsidRDefault="006814CB" w:rsidP="006814CB">
      <w:pPr>
        <w:pStyle w:val="Amain"/>
      </w:pPr>
      <w:r>
        <w:tab/>
      </w:r>
      <w:r w:rsidRPr="006814CB">
        <w:t>(1)</w:t>
      </w:r>
      <w:r w:rsidRPr="006814CB">
        <w:tab/>
      </w:r>
      <w:r w:rsidR="00231792" w:rsidRPr="006814CB">
        <w:t>The casino licensee commits an offence if—</w:t>
      </w:r>
    </w:p>
    <w:p w:rsidR="00231792" w:rsidRPr="006814CB" w:rsidRDefault="006814CB" w:rsidP="006814CB">
      <w:pPr>
        <w:pStyle w:val="Apara"/>
      </w:pPr>
      <w:r>
        <w:tab/>
      </w:r>
      <w:r w:rsidRPr="006814CB">
        <w:t>(a)</w:t>
      </w:r>
      <w:r w:rsidRPr="006814CB">
        <w:tab/>
      </w:r>
      <w:r w:rsidR="00231792" w:rsidRPr="006814CB">
        <w:t>the casino licensee acquires an authorisation; and</w:t>
      </w:r>
    </w:p>
    <w:p w:rsidR="00231792" w:rsidRPr="006814CB" w:rsidRDefault="006814CB" w:rsidP="006814CB">
      <w:pPr>
        <w:pStyle w:val="Apara"/>
        <w:keepNext/>
      </w:pPr>
      <w:r>
        <w:tab/>
      </w:r>
      <w:r w:rsidRPr="006814CB">
        <w:t>(b)</w:t>
      </w:r>
      <w:r w:rsidRPr="006814CB">
        <w:tab/>
      </w:r>
      <w:r w:rsidR="00231792" w:rsidRPr="006814CB">
        <w:t xml:space="preserve">the acquisition is not in accordance with this Act. </w:t>
      </w:r>
    </w:p>
    <w:p w:rsidR="00231792" w:rsidRPr="006814CB" w:rsidRDefault="00231792" w:rsidP="00231792">
      <w:pPr>
        <w:pStyle w:val="Penalty"/>
        <w:keepNext/>
      </w:pPr>
      <w:r w:rsidRPr="006814CB">
        <w:t>Maximum penalty:  100 penalty units.</w:t>
      </w:r>
    </w:p>
    <w:p w:rsidR="00231792" w:rsidRPr="006814CB" w:rsidRDefault="00231792" w:rsidP="00231792">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43" w:tooltip="A2001-14" w:history="1">
        <w:r w:rsidR="00253379" w:rsidRPr="006814CB">
          <w:rPr>
            <w:rStyle w:val="charCitHyperlinkAbbrev"/>
          </w:rPr>
          <w:t>Legislation Act</w:t>
        </w:r>
      </w:hyperlink>
      <w:r w:rsidRPr="006814CB">
        <w:t>, s 104).</w:t>
      </w:r>
    </w:p>
    <w:p w:rsidR="00231792" w:rsidRPr="006814CB" w:rsidRDefault="006814CB" w:rsidP="006814CB">
      <w:pPr>
        <w:pStyle w:val="Amain"/>
      </w:pPr>
      <w:r>
        <w:tab/>
      </w:r>
      <w:r w:rsidRPr="006814CB">
        <w:t>(2)</w:t>
      </w:r>
      <w:r w:rsidRPr="006814CB">
        <w:tab/>
      </w:r>
      <w:r w:rsidR="00231792" w:rsidRPr="006814CB">
        <w:t>An offence against this section is a strict liability offence.</w:t>
      </w:r>
    </w:p>
    <w:p w:rsidR="00640423" w:rsidRPr="006814CB" w:rsidRDefault="006814CB" w:rsidP="006814CB">
      <w:pPr>
        <w:pStyle w:val="AH5Sec"/>
      </w:pPr>
      <w:bookmarkStart w:id="32" w:name="_Toc516729762"/>
      <w:r w:rsidRPr="00951C4D">
        <w:rPr>
          <w:rStyle w:val="CharSectNo"/>
        </w:rPr>
        <w:t>19</w:t>
      </w:r>
      <w:r w:rsidRPr="006814CB">
        <w:tab/>
      </w:r>
      <w:r w:rsidR="00640423" w:rsidRPr="006814CB">
        <w:t>Disposal of gaming machines—application for storage permit</w:t>
      </w:r>
      <w:bookmarkEnd w:id="32"/>
    </w:p>
    <w:p w:rsidR="00640423" w:rsidRPr="006814CB" w:rsidRDefault="00640423" w:rsidP="00640423">
      <w:pPr>
        <w:pStyle w:val="Amainreturn"/>
      </w:pPr>
      <w:r w:rsidRPr="006814CB">
        <w:t xml:space="preserve">If a class B or class C licensee </w:t>
      </w:r>
      <w:r w:rsidR="00A5228B" w:rsidRPr="006814CB">
        <w:t xml:space="preserve">(the </w:t>
      </w:r>
      <w:r w:rsidR="00A5228B" w:rsidRPr="006814CB">
        <w:rPr>
          <w:rStyle w:val="charBoldItals"/>
        </w:rPr>
        <w:t>disposing licensee</w:t>
      </w:r>
      <w:r w:rsidR="00A5228B" w:rsidRPr="006814CB">
        <w:t xml:space="preserve">) </w:t>
      </w:r>
      <w:r w:rsidRPr="006814CB">
        <w:t>disposes of an authorisation under section </w:t>
      </w:r>
      <w:r w:rsidR="002E0DF3" w:rsidRPr="006814CB">
        <w:t>16</w:t>
      </w:r>
      <w:r w:rsidRPr="006814CB">
        <w:t>, the</w:t>
      </w:r>
      <w:r w:rsidR="00A5228B" w:rsidRPr="006814CB">
        <w:t xml:space="preserve"> disposing</w:t>
      </w:r>
      <w:r w:rsidRPr="006814CB">
        <w:t xml:space="preserve"> licensee must—</w:t>
      </w:r>
    </w:p>
    <w:p w:rsidR="00640423" w:rsidRPr="006814CB" w:rsidRDefault="006814CB" w:rsidP="006814CB">
      <w:pPr>
        <w:pStyle w:val="Apara"/>
      </w:pPr>
      <w:r>
        <w:tab/>
      </w:r>
      <w:r w:rsidRPr="006814CB">
        <w:t>(a)</w:t>
      </w:r>
      <w:r w:rsidRPr="006814CB">
        <w:tab/>
      </w:r>
      <w:r w:rsidR="00640423" w:rsidRPr="006814CB">
        <w:t xml:space="preserve">apply for a storage permit for an interim purpose under the </w:t>
      </w:r>
      <w:hyperlink r:id="rId44" w:tooltip="A2004-34" w:history="1">
        <w:r w:rsidR="00253379" w:rsidRPr="006814CB">
          <w:rPr>
            <w:rStyle w:val="charCitHyperlinkItal"/>
          </w:rPr>
          <w:t>Gaming Machine Act 2004</w:t>
        </w:r>
      </w:hyperlink>
      <w:r w:rsidR="00640423" w:rsidRPr="006814CB">
        <w:t xml:space="preserve">, section 127O (Storage permit—application) for the </w:t>
      </w:r>
      <w:r w:rsidR="009D52BB" w:rsidRPr="006814CB">
        <w:t xml:space="preserve">related </w:t>
      </w:r>
      <w:r w:rsidR="00640423" w:rsidRPr="006814CB">
        <w:t>gaming machine</w:t>
      </w:r>
      <w:r w:rsidR="00BF70CA" w:rsidRPr="006814CB">
        <w:t xml:space="preserve"> (if any)</w:t>
      </w:r>
      <w:r w:rsidR="00640423" w:rsidRPr="006814CB">
        <w:t>; and</w:t>
      </w:r>
    </w:p>
    <w:p w:rsidR="00640423" w:rsidRPr="006814CB" w:rsidRDefault="006814CB" w:rsidP="006814CB">
      <w:pPr>
        <w:pStyle w:val="Apara"/>
      </w:pPr>
      <w:r>
        <w:tab/>
      </w:r>
      <w:r w:rsidRPr="006814CB">
        <w:t>(b)</w:t>
      </w:r>
      <w:r w:rsidRPr="006814CB">
        <w:tab/>
      </w:r>
      <w:r w:rsidR="00640423" w:rsidRPr="006814CB">
        <w:t xml:space="preserve">dispose of the gaming machine in accordance with that </w:t>
      </w:r>
      <w:hyperlink r:id="rId45" w:tooltip="Gaming Machine Act 2004" w:history="1">
        <w:r w:rsidR="00F10144" w:rsidRPr="00F10144">
          <w:rPr>
            <w:rStyle w:val="charCitHyperlinkAbbrev"/>
          </w:rPr>
          <w:t>Act</w:t>
        </w:r>
      </w:hyperlink>
      <w:r w:rsidR="00640423" w:rsidRPr="006814CB">
        <w:t>, section 113A (Disposal of gaming machines—notifiable action).</w:t>
      </w:r>
    </w:p>
    <w:p w:rsidR="001C2B13" w:rsidRPr="006814CB" w:rsidRDefault="006814CB" w:rsidP="006814CB">
      <w:pPr>
        <w:pStyle w:val="AH5Sec"/>
      </w:pPr>
      <w:bookmarkStart w:id="33" w:name="_Toc516729763"/>
      <w:r w:rsidRPr="00951C4D">
        <w:rPr>
          <w:rStyle w:val="CharSectNo"/>
        </w:rPr>
        <w:t>20</w:t>
      </w:r>
      <w:r w:rsidRPr="006814CB">
        <w:tab/>
      </w:r>
      <w:r w:rsidR="00634292" w:rsidRPr="006814CB">
        <w:t>Restricted s</w:t>
      </w:r>
      <w:r w:rsidR="0058578F" w:rsidRPr="006814CB">
        <w:t>tatus of acquired</w:t>
      </w:r>
      <w:r w:rsidR="001C2B13" w:rsidRPr="006814CB">
        <w:t xml:space="preserve"> authorisations</w:t>
      </w:r>
      <w:bookmarkEnd w:id="33"/>
    </w:p>
    <w:p w:rsidR="00B25580" w:rsidRPr="006814CB" w:rsidRDefault="00372395" w:rsidP="006814CB">
      <w:pPr>
        <w:pStyle w:val="Amainreturn"/>
        <w:keepNext/>
      </w:pPr>
      <w:r w:rsidRPr="006814CB">
        <w:t>An authorisation acquired by</w:t>
      </w:r>
      <w:r w:rsidR="00B25580" w:rsidRPr="006814CB">
        <w:t xml:space="preserve"> the casino licensee fro</w:t>
      </w:r>
      <w:r w:rsidRPr="006814CB">
        <w:t xml:space="preserve">m a class B or class C licensee </w:t>
      </w:r>
      <w:r w:rsidR="005E364E" w:rsidRPr="006814CB">
        <w:t>becomes</w:t>
      </w:r>
      <w:r w:rsidRPr="006814CB">
        <w:t xml:space="preserve"> a </w:t>
      </w:r>
      <w:r w:rsidRPr="006814CB">
        <w:rPr>
          <w:rStyle w:val="charBoldItals"/>
        </w:rPr>
        <w:t>restricted authorisation</w:t>
      </w:r>
      <w:r w:rsidR="005E364E" w:rsidRPr="006814CB">
        <w:t xml:space="preserve"> when it is acquired.</w:t>
      </w:r>
    </w:p>
    <w:p w:rsidR="00BF70CA" w:rsidRPr="006814CB" w:rsidRDefault="00BF70CA" w:rsidP="00EF5D29">
      <w:pPr>
        <w:pStyle w:val="aNote"/>
        <w:keepNext/>
        <w:keepLines/>
      </w:pPr>
      <w:r w:rsidRPr="006814CB">
        <w:rPr>
          <w:rStyle w:val="charItals"/>
        </w:rPr>
        <w:t>Note 1</w:t>
      </w:r>
      <w:r w:rsidRPr="006814CB">
        <w:rPr>
          <w:rStyle w:val="charItals"/>
        </w:rPr>
        <w:tab/>
      </w:r>
      <w:r w:rsidRPr="006814CB">
        <w:t xml:space="preserve">The casino licensee must not operate a </w:t>
      </w:r>
      <w:r w:rsidR="00A5228B" w:rsidRPr="006814CB">
        <w:t xml:space="preserve">casino </w:t>
      </w:r>
      <w:r w:rsidRPr="006814CB">
        <w:t xml:space="preserve">gaming machine </w:t>
      </w:r>
      <w:r w:rsidR="00A5228B" w:rsidRPr="006814CB">
        <w:t xml:space="preserve">or casino FATG terminal </w:t>
      </w:r>
      <w:r w:rsidRPr="006814CB">
        <w:t xml:space="preserve">under a restricted authorisation. The casino licensee may only operate a </w:t>
      </w:r>
      <w:r w:rsidR="00A5228B" w:rsidRPr="006814CB">
        <w:t xml:space="preserve">casino </w:t>
      </w:r>
      <w:r w:rsidRPr="006814CB">
        <w:t xml:space="preserve">gaming machine under a casino gaming machine authorisation </w:t>
      </w:r>
      <w:r w:rsidR="00A5228B" w:rsidRPr="006814CB">
        <w:t xml:space="preserve">and a casino FATG terminal under a casino FATG terminal authorisation </w:t>
      </w:r>
      <w:r w:rsidRPr="006814CB">
        <w:t>(see s </w:t>
      </w:r>
      <w:r w:rsidR="00FA69CF">
        <w:t>27 and s 29</w:t>
      </w:r>
      <w:r w:rsidRPr="006814CB">
        <w:t xml:space="preserve">). </w:t>
      </w:r>
    </w:p>
    <w:p w:rsidR="00E75DDD" w:rsidRPr="006814CB" w:rsidRDefault="00E75DDD" w:rsidP="00E75DDD">
      <w:pPr>
        <w:pStyle w:val="aNote"/>
      </w:pPr>
      <w:r w:rsidRPr="006814CB">
        <w:rPr>
          <w:rStyle w:val="charItals"/>
        </w:rPr>
        <w:t>Note</w:t>
      </w:r>
      <w:r w:rsidR="00BF70CA" w:rsidRPr="006814CB">
        <w:rPr>
          <w:rStyle w:val="charItals"/>
        </w:rPr>
        <w:t> 2</w:t>
      </w:r>
      <w:r w:rsidRPr="006814CB">
        <w:rPr>
          <w:rStyle w:val="charItals"/>
        </w:rPr>
        <w:tab/>
      </w:r>
      <w:r w:rsidR="00A500F3" w:rsidRPr="006814CB">
        <w:t xml:space="preserve">The casino licensee may apply to </w:t>
      </w:r>
      <w:r w:rsidR="007E6B46" w:rsidRPr="005D4E1B">
        <w:t>the Minister</w:t>
      </w:r>
      <w:r w:rsidR="00A500F3" w:rsidRPr="006814CB">
        <w:t xml:space="preserve"> under s</w:t>
      </w:r>
      <w:r w:rsidRPr="006814CB">
        <w:t xml:space="preserve"> </w:t>
      </w:r>
      <w:r w:rsidR="002E0DF3" w:rsidRPr="006814CB">
        <w:t>21</w:t>
      </w:r>
      <w:r w:rsidRPr="006814CB">
        <w:t xml:space="preserve"> </w:t>
      </w:r>
      <w:r w:rsidR="00A500F3" w:rsidRPr="006814CB">
        <w:t xml:space="preserve">to have </w:t>
      </w:r>
      <w:r w:rsidRPr="006814CB">
        <w:t xml:space="preserve">a restricted authorisation </w:t>
      </w:r>
      <w:r w:rsidR="00A500F3" w:rsidRPr="006814CB">
        <w:t xml:space="preserve">converted </w:t>
      </w:r>
      <w:r w:rsidRPr="006814CB">
        <w:t>to a casino gaming machine authorisation</w:t>
      </w:r>
      <w:r w:rsidR="00A500F3" w:rsidRPr="006814CB">
        <w:t xml:space="preserve"> or </w:t>
      </w:r>
      <w:r w:rsidR="00A5228B" w:rsidRPr="006814CB">
        <w:t>casino FATG terminal authorisation</w:t>
      </w:r>
      <w:r w:rsidRPr="006814CB">
        <w:t xml:space="preserve">. </w:t>
      </w:r>
    </w:p>
    <w:p w:rsidR="00DC45BC" w:rsidRPr="006814CB" w:rsidRDefault="00DC45BC" w:rsidP="006814CB">
      <w:pPr>
        <w:pStyle w:val="PageBreak"/>
        <w:suppressLineNumbers/>
      </w:pPr>
      <w:r w:rsidRPr="006814CB">
        <w:br w:type="page"/>
      </w:r>
    </w:p>
    <w:p w:rsidR="00DC45BC" w:rsidRPr="00951C4D" w:rsidRDefault="006814CB" w:rsidP="006814CB">
      <w:pPr>
        <w:pStyle w:val="AH2Part"/>
      </w:pPr>
      <w:bookmarkStart w:id="34" w:name="_Toc516729764"/>
      <w:r w:rsidRPr="00951C4D">
        <w:rPr>
          <w:rStyle w:val="CharPartNo"/>
        </w:rPr>
        <w:t>Part 5</w:t>
      </w:r>
      <w:r w:rsidRPr="006814CB">
        <w:tab/>
      </w:r>
      <w:r w:rsidR="00DC45BC" w:rsidRPr="00951C4D">
        <w:rPr>
          <w:rStyle w:val="CharPartText"/>
        </w:rPr>
        <w:t>Conversion of restricted authorisations</w:t>
      </w:r>
      <w:bookmarkEnd w:id="34"/>
    </w:p>
    <w:p w:rsidR="00B42848" w:rsidRPr="006814CB" w:rsidRDefault="006814CB" w:rsidP="006814CB">
      <w:pPr>
        <w:pStyle w:val="AH5Sec"/>
      </w:pPr>
      <w:bookmarkStart w:id="35" w:name="_Toc516729765"/>
      <w:r w:rsidRPr="00951C4D">
        <w:rPr>
          <w:rStyle w:val="CharSectNo"/>
        </w:rPr>
        <w:t>21</w:t>
      </w:r>
      <w:r w:rsidRPr="006814CB">
        <w:tab/>
      </w:r>
      <w:r w:rsidR="00D23BEE" w:rsidRPr="006814CB">
        <w:t>Conversion of</w:t>
      </w:r>
      <w:r w:rsidR="00B42848" w:rsidRPr="006814CB">
        <w:t xml:space="preserve"> </w:t>
      </w:r>
      <w:r w:rsidR="00E45783" w:rsidRPr="006814CB">
        <w:t xml:space="preserve">restricted </w:t>
      </w:r>
      <w:r w:rsidR="00B42848" w:rsidRPr="006814CB">
        <w:t>authorisation</w:t>
      </w:r>
      <w:r w:rsidR="00DD04F9" w:rsidRPr="006814CB">
        <w:t>s</w:t>
      </w:r>
      <w:r w:rsidR="00A500F3" w:rsidRPr="006814CB">
        <w:t>—application</w:t>
      </w:r>
      <w:bookmarkEnd w:id="35"/>
    </w:p>
    <w:p w:rsidR="00A500F3" w:rsidRPr="006814CB" w:rsidRDefault="006814CB" w:rsidP="006814CB">
      <w:pPr>
        <w:pStyle w:val="Amain"/>
      </w:pPr>
      <w:r>
        <w:tab/>
      </w:r>
      <w:r w:rsidRPr="006814CB">
        <w:t>(1)</w:t>
      </w:r>
      <w:r w:rsidRPr="006814CB">
        <w:tab/>
      </w:r>
      <w:r w:rsidR="00A500F3" w:rsidRPr="006814CB">
        <w:t xml:space="preserve">The casino licensee may apply to </w:t>
      </w:r>
      <w:r w:rsidR="007E6B46" w:rsidRPr="005D4E1B">
        <w:t>the Minister for approval</w:t>
      </w:r>
      <w:r w:rsidR="00A500F3" w:rsidRPr="006814CB">
        <w:t xml:space="preserve"> to have a</w:t>
      </w:r>
      <w:r w:rsidR="00E45783" w:rsidRPr="006814CB">
        <w:t xml:space="preserve"> restricted</w:t>
      </w:r>
      <w:r w:rsidR="00B25580" w:rsidRPr="006814CB">
        <w:t xml:space="preserve"> authorisation </w:t>
      </w:r>
      <w:r w:rsidR="005B1037" w:rsidRPr="006814CB">
        <w:t>converted to</w:t>
      </w:r>
      <w:r w:rsidR="00B25580" w:rsidRPr="006814CB">
        <w:t xml:space="preserve"> a</w:t>
      </w:r>
      <w:r w:rsidR="00A500F3" w:rsidRPr="006814CB">
        <w:t>n authorisation</w:t>
      </w:r>
      <w:r w:rsidR="00B25580" w:rsidRPr="006814CB">
        <w:t xml:space="preserve"> </w:t>
      </w:r>
      <w:r w:rsidR="00A500F3" w:rsidRPr="006814CB">
        <w:t xml:space="preserve">to operate a casino gaming machine (a </w:t>
      </w:r>
      <w:r w:rsidR="00A500F3" w:rsidRPr="006814CB">
        <w:rPr>
          <w:rStyle w:val="charBoldItals"/>
        </w:rPr>
        <w:t>casino gaming machine authorisation</w:t>
      </w:r>
      <w:r w:rsidR="00A500F3" w:rsidRPr="006814CB">
        <w:t>)</w:t>
      </w:r>
      <w:r w:rsidR="00B25580" w:rsidRPr="006814CB">
        <w:t xml:space="preserve"> </w:t>
      </w:r>
      <w:r w:rsidR="00A500F3" w:rsidRPr="006814CB">
        <w:t xml:space="preserve">or a casino FATG terminal (a </w:t>
      </w:r>
      <w:r w:rsidR="00A500F3" w:rsidRPr="006814CB">
        <w:rPr>
          <w:rStyle w:val="charBoldItals"/>
        </w:rPr>
        <w:t>casino FATG terminal authorisation</w:t>
      </w:r>
      <w:r w:rsidR="00A500F3" w:rsidRPr="006814CB">
        <w:t xml:space="preserve">). </w:t>
      </w:r>
    </w:p>
    <w:p w:rsidR="00A500F3" w:rsidRPr="006814CB" w:rsidRDefault="006814CB" w:rsidP="006814CB">
      <w:pPr>
        <w:pStyle w:val="Amain"/>
      </w:pPr>
      <w:r>
        <w:tab/>
      </w:r>
      <w:r w:rsidRPr="006814CB">
        <w:t>(2)</w:t>
      </w:r>
      <w:r w:rsidRPr="006814CB">
        <w:tab/>
      </w:r>
      <w:r w:rsidR="00A500F3" w:rsidRPr="006814CB">
        <w:t>The application must—</w:t>
      </w:r>
    </w:p>
    <w:p w:rsidR="00A500F3" w:rsidRPr="006814CB" w:rsidRDefault="006814CB" w:rsidP="006814CB">
      <w:pPr>
        <w:pStyle w:val="Apara"/>
      </w:pPr>
      <w:r>
        <w:tab/>
      </w:r>
      <w:r w:rsidRPr="006814CB">
        <w:t>(a)</w:t>
      </w:r>
      <w:r w:rsidRPr="006814CB">
        <w:tab/>
      </w:r>
      <w:r w:rsidR="00A500F3" w:rsidRPr="006814CB">
        <w:t>be in writing signed by the casino licensee; and</w:t>
      </w:r>
    </w:p>
    <w:p w:rsidR="00077B6E" w:rsidRPr="006814CB" w:rsidRDefault="006814CB" w:rsidP="006814CB">
      <w:pPr>
        <w:pStyle w:val="Apara"/>
      </w:pPr>
      <w:r>
        <w:tab/>
      </w:r>
      <w:r w:rsidRPr="006814CB">
        <w:t>(b)</w:t>
      </w:r>
      <w:r w:rsidRPr="006814CB">
        <w:tab/>
      </w:r>
      <w:r w:rsidR="00077B6E" w:rsidRPr="006814CB">
        <w:t>state the number of restricted authorisations to be converted</w:t>
      </w:r>
      <w:r w:rsidR="00DD04F9" w:rsidRPr="006814CB">
        <w:t xml:space="preserve"> and </w:t>
      </w:r>
      <w:r w:rsidR="001C6F40" w:rsidRPr="006814CB">
        <w:t>the</w:t>
      </w:r>
      <w:r w:rsidR="00DD04F9" w:rsidRPr="006814CB">
        <w:t xml:space="preserve"> kind of authorisation</w:t>
      </w:r>
      <w:r w:rsidR="001C6F40" w:rsidRPr="006814CB">
        <w:t xml:space="preserve"> to which</w:t>
      </w:r>
      <w:r w:rsidR="003D0F2E" w:rsidRPr="006814CB">
        <w:t xml:space="preserve"> the restricted authorisations are to be converted</w:t>
      </w:r>
      <w:r w:rsidR="00077B6E" w:rsidRPr="006814CB">
        <w:t>; and</w:t>
      </w:r>
    </w:p>
    <w:p w:rsidR="00A500F3" w:rsidRPr="006814CB" w:rsidRDefault="006814CB" w:rsidP="006814CB">
      <w:pPr>
        <w:pStyle w:val="Apara"/>
        <w:keepNext/>
      </w:pPr>
      <w:r>
        <w:tab/>
      </w:r>
      <w:r w:rsidRPr="006814CB">
        <w:t>(c)</w:t>
      </w:r>
      <w:r w:rsidRPr="006814CB">
        <w:tab/>
      </w:r>
      <w:r w:rsidR="00A500F3" w:rsidRPr="006814CB">
        <w:t>be accompanied by</w:t>
      </w:r>
      <w:r w:rsidR="00DD04F9" w:rsidRPr="006814CB">
        <w:t xml:space="preserve"> the required documents for the application.</w:t>
      </w:r>
    </w:p>
    <w:p w:rsidR="00EA6D96" w:rsidRPr="006814CB" w:rsidRDefault="00EA6D96" w:rsidP="006814CB">
      <w:pPr>
        <w:pStyle w:val="aNote"/>
        <w:keepNext/>
      </w:pPr>
      <w:r w:rsidRPr="006814CB">
        <w:rPr>
          <w:rStyle w:val="charItals"/>
        </w:rPr>
        <w:t>Note 1</w:t>
      </w:r>
      <w:r w:rsidRPr="006814CB">
        <w:rPr>
          <w:rStyle w:val="charItals"/>
        </w:rPr>
        <w:tab/>
      </w:r>
      <w:r w:rsidRPr="006814CB">
        <w:t xml:space="preserve">If a form is approved under the </w:t>
      </w:r>
      <w:hyperlink r:id="rId46" w:tooltip="Gambling and Racing Control Act 1999" w:history="1">
        <w:r w:rsidR="005151B1" w:rsidRPr="006814CB">
          <w:rPr>
            <w:rStyle w:val="charCitHyperlinkAbbrev"/>
          </w:rPr>
          <w:t>Control Act</w:t>
        </w:r>
      </w:hyperlink>
      <w:r w:rsidRPr="006814CB">
        <w:t>, s 53D for an application, the form must be used.</w:t>
      </w:r>
    </w:p>
    <w:p w:rsidR="00EA6D96" w:rsidRPr="006814CB" w:rsidRDefault="00EA6D96" w:rsidP="00EA6D96">
      <w:pPr>
        <w:pStyle w:val="aNote"/>
      </w:pPr>
      <w:r w:rsidRPr="006814CB">
        <w:rPr>
          <w:rStyle w:val="charItals"/>
        </w:rPr>
        <w:t>Note 2</w:t>
      </w:r>
      <w:r w:rsidRPr="006814CB">
        <w:rPr>
          <w:rStyle w:val="charItals"/>
        </w:rPr>
        <w:tab/>
      </w:r>
      <w:r w:rsidRPr="006814CB">
        <w:t xml:space="preserve">A fee may be determined under s </w:t>
      </w:r>
      <w:r w:rsidR="002E0DF3" w:rsidRPr="006814CB">
        <w:t>53</w:t>
      </w:r>
      <w:r w:rsidR="003D0F2E" w:rsidRPr="006814CB">
        <w:t xml:space="preserve"> </w:t>
      </w:r>
      <w:r w:rsidRPr="006814CB">
        <w:t>for this provision.</w:t>
      </w:r>
    </w:p>
    <w:p w:rsidR="00DD04F9" w:rsidRPr="006814CB" w:rsidRDefault="006814CB" w:rsidP="006814CB">
      <w:pPr>
        <w:pStyle w:val="Amain"/>
      </w:pPr>
      <w:r>
        <w:tab/>
      </w:r>
      <w:r w:rsidRPr="006814CB">
        <w:t>(3)</w:t>
      </w:r>
      <w:r w:rsidRPr="006814CB">
        <w:tab/>
      </w:r>
      <w:r w:rsidR="00DD04F9" w:rsidRPr="006814CB">
        <w:t xml:space="preserve">For subsection (2) (c), the </w:t>
      </w:r>
      <w:r w:rsidR="00DD04F9" w:rsidRPr="006814CB">
        <w:rPr>
          <w:rStyle w:val="charBoldItals"/>
        </w:rPr>
        <w:t>required documents</w:t>
      </w:r>
      <w:r w:rsidR="00DD04F9" w:rsidRPr="006814CB">
        <w:t xml:space="preserve"> are the following:</w:t>
      </w:r>
    </w:p>
    <w:p w:rsidR="00DD04F9" w:rsidRPr="006814CB" w:rsidRDefault="006814CB" w:rsidP="006814CB">
      <w:pPr>
        <w:pStyle w:val="Apara"/>
      </w:pPr>
      <w:r>
        <w:tab/>
      </w:r>
      <w:r w:rsidRPr="006814CB">
        <w:t>(a)</w:t>
      </w:r>
      <w:r w:rsidRPr="006814CB">
        <w:tab/>
      </w:r>
      <w:r w:rsidR="00077B6E" w:rsidRPr="006814CB">
        <w:t xml:space="preserve">written evidence </w:t>
      </w:r>
      <w:r w:rsidR="00DD04F9" w:rsidRPr="006814CB">
        <w:t>that</w:t>
      </w:r>
      <w:r w:rsidR="00077B6E" w:rsidRPr="006814CB">
        <w:t xml:space="preserve"> the planning and land authority</w:t>
      </w:r>
      <w:r w:rsidR="002702AE" w:rsidRPr="006814CB">
        <w:t xml:space="preserve"> has</w:t>
      </w:r>
      <w:r w:rsidR="00DD04F9" w:rsidRPr="006814CB">
        <w:t>—</w:t>
      </w:r>
    </w:p>
    <w:p w:rsidR="00A500F3" w:rsidRPr="006814CB" w:rsidRDefault="006814CB" w:rsidP="006814CB">
      <w:pPr>
        <w:pStyle w:val="Asubpara"/>
      </w:pPr>
      <w:r>
        <w:tab/>
      </w:r>
      <w:r w:rsidRPr="006814CB">
        <w:t>(i)</w:t>
      </w:r>
      <w:r w:rsidRPr="006814CB">
        <w:tab/>
      </w:r>
      <w:r w:rsidR="00077B6E" w:rsidRPr="006814CB">
        <w:t>approved a development proposal by the casino licensee in relation to the redevelopment of the casino</w:t>
      </w:r>
      <w:r w:rsidR="00B77536" w:rsidRPr="006814CB">
        <w:t xml:space="preserve"> and the casino precinct</w:t>
      </w:r>
      <w:r w:rsidR="00077B6E" w:rsidRPr="006814CB">
        <w:t>; and</w:t>
      </w:r>
    </w:p>
    <w:p w:rsidR="00077B6E" w:rsidRPr="006814CB" w:rsidRDefault="006814CB" w:rsidP="00EF5D29">
      <w:pPr>
        <w:pStyle w:val="Asubpara"/>
        <w:keepNext/>
      </w:pPr>
      <w:r>
        <w:tab/>
      </w:r>
      <w:r w:rsidRPr="006814CB">
        <w:t>(ii)</w:t>
      </w:r>
      <w:r w:rsidRPr="006814CB">
        <w:tab/>
      </w:r>
      <w:r w:rsidR="002702AE" w:rsidRPr="006814CB">
        <w:t xml:space="preserve">certified </w:t>
      </w:r>
      <w:r w:rsidR="00077B6E" w:rsidRPr="006814CB">
        <w:t xml:space="preserve">that the casino licensee has </w:t>
      </w:r>
      <w:r w:rsidR="00DD04F9" w:rsidRPr="006814CB">
        <w:t xml:space="preserve">completed the stage of development prescribed by regulation for the </w:t>
      </w:r>
      <w:r w:rsidR="00A5228B" w:rsidRPr="006814CB">
        <w:t xml:space="preserve">maximum </w:t>
      </w:r>
      <w:r w:rsidR="00DD04F9" w:rsidRPr="006814CB">
        <w:t>number of restricted authorisations to be converted;</w:t>
      </w:r>
    </w:p>
    <w:p w:rsidR="00EA6D96" w:rsidRPr="006814CB" w:rsidRDefault="00EA6D96" w:rsidP="002702AE">
      <w:pPr>
        <w:pStyle w:val="aExamHdgpar"/>
      </w:pPr>
      <w:r w:rsidRPr="006814CB">
        <w:t>Examples—written evidence</w:t>
      </w:r>
    </w:p>
    <w:p w:rsidR="00EA6D96" w:rsidRPr="006814CB" w:rsidRDefault="00EA6D96" w:rsidP="00EF5D29">
      <w:pPr>
        <w:pStyle w:val="aExamINumpar"/>
        <w:keepNext/>
        <w:keepLines/>
      </w:pPr>
      <w:r w:rsidRPr="006814CB">
        <w:t>1</w:t>
      </w:r>
      <w:r w:rsidRPr="006814CB">
        <w:tab/>
        <w:t>a certificate of conformance</w:t>
      </w:r>
    </w:p>
    <w:p w:rsidR="00EA6D96" w:rsidRPr="006814CB" w:rsidRDefault="00EA6D96" w:rsidP="002702AE">
      <w:pPr>
        <w:pStyle w:val="aExamINumpar"/>
      </w:pPr>
      <w:r w:rsidRPr="006814CB">
        <w:t>2</w:t>
      </w:r>
      <w:r w:rsidRPr="006814CB">
        <w:tab/>
        <w:t>a developer deed</w:t>
      </w:r>
    </w:p>
    <w:p w:rsidR="00EA6D96" w:rsidRPr="006814CB" w:rsidRDefault="00EA6D96" w:rsidP="002702AE">
      <w:pPr>
        <w:pStyle w:val="aNotepar"/>
      </w:pPr>
      <w:r w:rsidRPr="006814CB">
        <w:rPr>
          <w:rStyle w:val="charItals"/>
        </w:rPr>
        <w:t>Note</w:t>
      </w:r>
      <w:r w:rsidRPr="006814CB">
        <w:tab/>
        <w:t xml:space="preserve">An example is part of the Act, is not exhaustive and may extend, but does not limit, the meaning of the provision in which it appears (see </w:t>
      </w:r>
      <w:hyperlink r:id="rId47" w:tooltip="A2001-14" w:history="1">
        <w:r w:rsidR="00253379" w:rsidRPr="006814CB">
          <w:rPr>
            <w:rStyle w:val="charCitHyperlinkAbbrev"/>
          </w:rPr>
          <w:t>Legislation Act</w:t>
        </w:r>
      </w:hyperlink>
      <w:r w:rsidRPr="006814CB">
        <w:t>, s 126 and s 132).</w:t>
      </w:r>
    </w:p>
    <w:p w:rsidR="006A6ACD" w:rsidRPr="006814CB" w:rsidRDefault="006814CB" w:rsidP="006814CB">
      <w:pPr>
        <w:pStyle w:val="Apara"/>
      </w:pPr>
      <w:r>
        <w:tab/>
      </w:r>
      <w:r w:rsidRPr="006814CB">
        <w:t>(b)</w:t>
      </w:r>
      <w:r w:rsidRPr="006814CB">
        <w:tab/>
      </w:r>
      <w:r w:rsidR="006A6ACD" w:rsidRPr="006814CB">
        <w:t xml:space="preserve">a plan of the development where casino gaming machines or casino </w:t>
      </w:r>
      <w:r w:rsidR="00A5228B" w:rsidRPr="006814CB">
        <w:t>FATG terminals</w:t>
      </w:r>
      <w:r w:rsidR="006A6ACD" w:rsidRPr="006814CB">
        <w:t xml:space="preserve"> are to be installed (the </w:t>
      </w:r>
      <w:r w:rsidR="006A6ACD" w:rsidRPr="006814CB">
        <w:rPr>
          <w:rStyle w:val="charBoldItals"/>
        </w:rPr>
        <w:t>proposed gaming area</w:t>
      </w:r>
      <w:r w:rsidR="006A6ACD" w:rsidRPr="006814CB">
        <w:t>) that—</w:t>
      </w:r>
    </w:p>
    <w:p w:rsidR="006A6ACD" w:rsidRPr="006814CB" w:rsidRDefault="006814CB" w:rsidP="006814CB">
      <w:pPr>
        <w:pStyle w:val="Asubpara"/>
      </w:pPr>
      <w:r>
        <w:tab/>
      </w:r>
      <w:r w:rsidRPr="006814CB">
        <w:t>(i)</w:t>
      </w:r>
      <w:r w:rsidRPr="006814CB">
        <w:tab/>
      </w:r>
      <w:r w:rsidR="006A6ACD" w:rsidRPr="006814CB">
        <w:t>is drawn to scale; and</w:t>
      </w:r>
    </w:p>
    <w:p w:rsidR="006A6ACD" w:rsidRPr="006814CB" w:rsidRDefault="006814CB" w:rsidP="006814CB">
      <w:pPr>
        <w:pStyle w:val="Asubpara"/>
      </w:pPr>
      <w:r>
        <w:tab/>
      </w:r>
      <w:r w:rsidRPr="006814CB">
        <w:t>(ii)</w:t>
      </w:r>
      <w:r w:rsidRPr="006814CB">
        <w:tab/>
      </w:r>
      <w:r w:rsidR="006A6ACD" w:rsidRPr="006814CB">
        <w:t>clearly shows the location, boundaries and dimensions of the proposed gaming area;</w:t>
      </w:r>
    </w:p>
    <w:p w:rsidR="006A6ACD" w:rsidRPr="006814CB" w:rsidRDefault="006814CB" w:rsidP="006814CB">
      <w:pPr>
        <w:pStyle w:val="Apara"/>
      </w:pPr>
      <w:r>
        <w:tab/>
      </w:r>
      <w:r w:rsidRPr="006814CB">
        <w:t>(c)</w:t>
      </w:r>
      <w:r w:rsidRPr="006814CB">
        <w:tab/>
      </w:r>
      <w:r w:rsidR="006A6ACD" w:rsidRPr="006814CB">
        <w:t xml:space="preserve">a copy of the current rules for gaming (the </w:t>
      </w:r>
      <w:r w:rsidR="006A6ACD" w:rsidRPr="006814CB">
        <w:rPr>
          <w:rStyle w:val="charBoldItals"/>
        </w:rPr>
        <w:t>gaming rules</w:t>
      </w:r>
      <w:r w:rsidR="006A6ACD" w:rsidRPr="006814CB">
        <w:t>) the casino licensee has adopted in relation to operation of casino gaming machines or casino FATG terminals;</w:t>
      </w:r>
    </w:p>
    <w:p w:rsidR="006A6ACD" w:rsidRPr="006814CB" w:rsidRDefault="006A6ACD" w:rsidP="006A6ACD">
      <w:pPr>
        <w:pStyle w:val="aExamHdgpar"/>
      </w:pPr>
      <w:r w:rsidRPr="006814CB">
        <w:t>Examples—what gaming rules may cover</w:t>
      </w:r>
    </w:p>
    <w:p w:rsidR="006A6ACD" w:rsidRPr="006814CB" w:rsidRDefault="006A6ACD" w:rsidP="006A6ACD">
      <w:pPr>
        <w:pStyle w:val="AExamIPara"/>
      </w:pPr>
      <w:r w:rsidRPr="006814CB">
        <w:tab/>
        <w:t>1</w:t>
      </w:r>
      <w:r w:rsidRPr="006814CB">
        <w:tab/>
        <w:t>how long a casino gaming machine or casino FATG terminal may be reserved for</w:t>
      </w:r>
    </w:p>
    <w:p w:rsidR="006A6ACD" w:rsidRPr="006814CB" w:rsidRDefault="006A6ACD" w:rsidP="006A6ACD">
      <w:pPr>
        <w:pStyle w:val="AExamIPara"/>
      </w:pPr>
      <w:r w:rsidRPr="006814CB">
        <w:tab/>
        <w:t>2</w:t>
      </w:r>
      <w:r w:rsidRPr="006814CB">
        <w:tab/>
        <w:t>who may play the casino gaming machines or casino FATGs</w:t>
      </w:r>
    </w:p>
    <w:p w:rsidR="006A6ACD" w:rsidRPr="006814CB" w:rsidRDefault="006A6ACD" w:rsidP="006A6ACD">
      <w:pPr>
        <w:pStyle w:val="AExamIPara"/>
      </w:pPr>
      <w:r w:rsidRPr="006814CB">
        <w:tab/>
        <w:t>3</w:t>
      </w:r>
      <w:r w:rsidRPr="006814CB">
        <w:tab/>
        <w:t>banning of extension of credit to players</w:t>
      </w:r>
    </w:p>
    <w:p w:rsidR="006A6ACD" w:rsidRPr="006814CB" w:rsidRDefault="006A6ACD" w:rsidP="006A6ACD">
      <w:pPr>
        <w:pStyle w:val="AExamIPara"/>
      </w:pPr>
      <w:r w:rsidRPr="006814CB">
        <w:tab/>
        <w:t>4</w:t>
      </w:r>
      <w:r w:rsidRPr="006814CB">
        <w:tab/>
        <w:t>cash payment limits</w:t>
      </w:r>
    </w:p>
    <w:p w:rsidR="006A6ACD" w:rsidRPr="006814CB" w:rsidRDefault="006814CB" w:rsidP="006814CB">
      <w:pPr>
        <w:pStyle w:val="Apara"/>
      </w:pPr>
      <w:r>
        <w:tab/>
      </w:r>
      <w:r w:rsidRPr="006814CB">
        <w:t>(d)</w:t>
      </w:r>
      <w:r w:rsidRPr="006814CB">
        <w:tab/>
      </w:r>
      <w:r w:rsidR="006A6ACD" w:rsidRPr="006814CB">
        <w:t>a copy of the current procedures the casino licensee has adopted to control the operation of casino gaming machines or casino FATGs</w:t>
      </w:r>
      <w:r w:rsidR="00AB0801" w:rsidRPr="006814CB">
        <w:t xml:space="preserve"> at the casino</w:t>
      </w:r>
      <w:r w:rsidR="00F70223" w:rsidRPr="006814CB">
        <w:t xml:space="preserve"> (the </w:t>
      </w:r>
      <w:r w:rsidR="00F70223" w:rsidRPr="006814CB">
        <w:rPr>
          <w:rStyle w:val="charBoldItals"/>
        </w:rPr>
        <w:t>control procedures</w:t>
      </w:r>
      <w:r w:rsidR="00F70223" w:rsidRPr="006814CB">
        <w:t>)</w:t>
      </w:r>
      <w:r w:rsidR="006A6ACD" w:rsidRPr="006814CB">
        <w:t>;</w:t>
      </w:r>
    </w:p>
    <w:p w:rsidR="006A6ACD" w:rsidRPr="006814CB" w:rsidRDefault="006814CB" w:rsidP="006814CB">
      <w:pPr>
        <w:pStyle w:val="Apara"/>
      </w:pPr>
      <w:r>
        <w:tab/>
      </w:r>
      <w:r w:rsidRPr="006814CB">
        <w:t>(e)</w:t>
      </w:r>
      <w:r w:rsidRPr="006814CB">
        <w:tab/>
      </w:r>
      <w:r w:rsidR="006A6ACD" w:rsidRPr="006814CB">
        <w:t>any other documents required by regulation.</w:t>
      </w:r>
    </w:p>
    <w:p w:rsidR="00EA6D96" w:rsidRPr="006814CB" w:rsidRDefault="006814CB" w:rsidP="00EF5D29">
      <w:pPr>
        <w:pStyle w:val="Amain"/>
        <w:keepLines/>
      </w:pPr>
      <w:r>
        <w:tab/>
      </w:r>
      <w:r w:rsidRPr="006814CB">
        <w:t>(4)</w:t>
      </w:r>
      <w:r w:rsidRPr="006814CB">
        <w:tab/>
      </w:r>
      <w:r w:rsidR="00EA6D96" w:rsidRPr="006814CB">
        <w:t xml:space="preserve">The </w:t>
      </w:r>
      <w:r w:rsidR="007E6B46" w:rsidRPr="005D4E1B">
        <w:t>Minister</w:t>
      </w:r>
      <w:r w:rsidR="007E6B46">
        <w:t xml:space="preserve"> </w:t>
      </w:r>
      <w:r w:rsidR="00EA6D96" w:rsidRPr="006814CB">
        <w:t xml:space="preserve">may, in writing, require the casino licensee to give the </w:t>
      </w:r>
      <w:r w:rsidR="007E6B46" w:rsidRPr="005D4E1B">
        <w:t>Minister</w:t>
      </w:r>
      <w:r w:rsidR="007E6B46">
        <w:t xml:space="preserve"> </w:t>
      </w:r>
      <w:r w:rsidR="00EA6D96" w:rsidRPr="006814CB">
        <w:t xml:space="preserve">additional information, within the time stated by the </w:t>
      </w:r>
      <w:r w:rsidR="007E6B46" w:rsidRPr="005D4E1B">
        <w:t>Minister</w:t>
      </w:r>
      <w:r w:rsidR="00EA6D96" w:rsidRPr="006814CB">
        <w:t xml:space="preserve">, that the </w:t>
      </w:r>
      <w:r w:rsidR="007E6B46" w:rsidRPr="005D4E1B">
        <w:t>Minister</w:t>
      </w:r>
      <w:r w:rsidR="007E6B46">
        <w:t xml:space="preserve"> </w:t>
      </w:r>
      <w:r w:rsidR="00EA6D96" w:rsidRPr="006814CB">
        <w:t>reasonably needs to decide the application.</w:t>
      </w:r>
    </w:p>
    <w:p w:rsidR="00EA6D96" w:rsidRPr="006814CB" w:rsidRDefault="006814CB" w:rsidP="006814CB">
      <w:pPr>
        <w:pStyle w:val="Amain"/>
      </w:pPr>
      <w:r>
        <w:tab/>
      </w:r>
      <w:r w:rsidRPr="006814CB">
        <w:t>(5)</w:t>
      </w:r>
      <w:r w:rsidRPr="006814CB">
        <w:tab/>
      </w:r>
      <w:r w:rsidR="00EA6D96" w:rsidRPr="006814CB">
        <w:t xml:space="preserve">If the casino licensee does not comply with a requirement under subsection (4) within the time stated by the </w:t>
      </w:r>
      <w:r w:rsidR="007E6B46" w:rsidRPr="005D4E1B">
        <w:t>Minister</w:t>
      </w:r>
      <w:r w:rsidR="00EA6D96" w:rsidRPr="006814CB">
        <w:t>—</w:t>
      </w:r>
    </w:p>
    <w:p w:rsidR="00EA6D96" w:rsidRPr="006814CB" w:rsidRDefault="006814CB" w:rsidP="006814CB">
      <w:pPr>
        <w:pStyle w:val="Apara"/>
      </w:pPr>
      <w:r>
        <w:tab/>
      </w:r>
      <w:r w:rsidRPr="006814CB">
        <w:t>(a)</w:t>
      </w:r>
      <w:r w:rsidRPr="006814CB">
        <w:tab/>
      </w:r>
      <w:r w:rsidR="00EA6D96" w:rsidRPr="006814CB">
        <w:t xml:space="preserve">the </w:t>
      </w:r>
      <w:r w:rsidR="007E6B46" w:rsidRPr="005D4E1B">
        <w:t>Minister</w:t>
      </w:r>
      <w:r w:rsidR="007E6B46">
        <w:t xml:space="preserve"> </w:t>
      </w:r>
      <w:r w:rsidR="00EA6D96" w:rsidRPr="006814CB">
        <w:t>may refuse to consider the application; and</w:t>
      </w:r>
    </w:p>
    <w:p w:rsidR="00EA6D96" w:rsidRPr="006814CB" w:rsidRDefault="006814CB" w:rsidP="006814CB">
      <w:pPr>
        <w:pStyle w:val="Apara"/>
      </w:pPr>
      <w:r>
        <w:tab/>
      </w:r>
      <w:r w:rsidRPr="006814CB">
        <w:t>(b)</w:t>
      </w:r>
      <w:r w:rsidRPr="006814CB">
        <w:tab/>
      </w:r>
      <w:r w:rsidR="00EA6D96" w:rsidRPr="006814CB">
        <w:t xml:space="preserve">if the </w:t>
      </w:r>
      <w:r w:rsidR="007E6B46" w:rsidRPr="005D4E1B">
        <w:t>Minister</w:t>
      </w:r>
      <w:r w:rsidR="007E6B46">
        <w:t xml:space="preserve"> </w:t>
      </w:r>
      <w:r w:rsidR="00EA6D96" w:rsidRPr="006814CB">
        <w:t>refuses to consider the application—the application lapses.</w:t>
      </w:r>
    </w:p>
    <w:p w:rsidR="007E6B46" w:rsidRPr="005D4E1B" w:rsidRDefault="007E6B46" w:rsidP="007E6B46">
      <w:pPr>
        <w:pStyle w:val="AH5Sec"/>
      </w:pPr>
      <w:bookmarkStart w:id="36" w:name="_Toc516729766"/>
      <w:r w:rsidRPr="00951C4D">
        <w:rPr>
          <w:rStyle w:val="CharSectNo"/>
        </w:rPr>
        <w:t>22</w:t>
      </w:r>
      <w:r w:rsidRPr="005D4E1B">
        <w:tab/>
        <w:t>Conversion of restricted authorisations—decision</w:t>
      </w:r>
      <w:bookmarkEnd w:id="36"/>
    </w:p>
    <w:p w:rsidR="007E6B46" w:rsidRPr="005D4E1B" w:rsidRDefault="007E6B46" w:rsidP="007E6B46">
      <w:pPr>
        <w:pStyle w:val="Amain"/>
      </w:pPr>
      <w:r w:rsidRPr="005D4E1B">
        <w:tab/>
        <w:t>(1)</w:t>
      </w:r>
      <w:r w:rsidRPr="005D4E1B">
        <w:tab/>
        <w:t xml:space="preserve">If the Minister receives an application under section 21 for approval to convert a restricted authorisation to a casino gaming machine authorisation or casino FATG terminal authorisation (the </w:t>
      </w:r>
      <w:r w:rsidRPr="005D4E1B">
        <w:rPr>
          <w:rStyle w:val="charBoldItals"/>
        </w:rPr>
        <w:t>conversion</w:t>
      </w:r>
      <w:r w:rsidRPr="005D4E1B">
        <w:t>), the Minister may—</w:t>
      </w:r>
    </w:p>
    <w:p w:rsidR="007E6B46" w:rsidRPr="005D4E1B" w:rsidRDefault="007E6B46" w:rsidP="007E6B46">
      <w:pPr>
        <w:pStyle w:val="Apara"/>
      </w:pPr>
      <w:r w:rsidRPr="005D4E1B">
        <w:tab/>
        <w:t>(a)</w:t>
      </w:r>
      <w:r w:rsidRPr="005D4E1B">
        <w:tab/>
        <w:t>approve the conversion; or</w:t>
      </w:r>
    </w:p>
    <w:p w:rsidR="007E6B46" w:rsidRPr="005D4E1B" w:rsidRDefault="007E6B46" w:rsidP="007E6B46">
      <w:pPr>
        <w:pStyle w:val="Apara"/>
      </w:pPr>
      <w:r w:rsidRPr="005D4E1B">
        <w:tab/>
        <w:t>(b)</w:t>
      </w:r>
      <w:r w:rsidRPr="005D4E1B">
        <w:tab/>
        <w:t>refuse to approve the conversion.</w:t>
      </w:r>
    </w:p>
    <w:p w:rsidR="007E6B46" w:rsidRPr="005D4E1B" w:rsidRDefault="007E6B46" w:rsidP="007E6B46">
      <w:pPr>
        <w:pStyle w:val="aNote"/>
      </w:pPr>
      <w:r w:rsidRPr="005D4E1B">
        <w:rPr>
          <w:rStyle w:val="charItals"/>
        </w:rPr>
        <w:t>Note</w:t>
      </w:r>
      <w:r w:rsidRPr="005D4E1B">
        <w:rPr>
          <w:rStyle w:val="charItals"/>
        </w:rPr>
        <w:tab/>
      </w:r>
      <w:r w:rsidRPr="005D4E1B">
        <w:t xml:space="preserve">If additional information in relation to the application is not given to the Minister within the time stated by the Minister, the Minister may refuse to consider the application (see s 21 (4) and (5) (a)). If the Minister refuses to consider the application, it lapses (see s 21 (5) (b)). </w:t>
      </w:r>
    </w:p>
    <w:p w:rsidR="007E6B46" w:rsidRPr="005D4E1B" w:rsidRDefault="007E6B46" w:rsidP="007E6B46">
      <w:pPr>
        <w:pStyle w:val="Amain"/>
      </w:pPr>
      <w:r w:rsidRPr="005D4E1B">
        <w:tab/>
        <w:t>(2)</w:t>
      </w:r>
      <w:r w:rsidRPr="005D4E1B">
        <w:tab/>
        <w:t>In deciding whether to approve the conversion, the Minister must—</w:t>
      </w:r>
    </w:p>
    <w:p w:rsidR="007E6B46" w:rsidRPr="005D4E1B" w:rsidRDefault="007E6B46" w:rsidP="007E6B46">
      <w:pPr>
        <w:pStyle w:val="Apara"/>
      </w:pPr>
      <w:r w:rsidRPr="005D4E1B">
        <w:tab/>
        <w:t>(a)</w:t>
      </w:r>
      <w:r w:rsidRPr="005D4E1B">
        <w:tab/>
        <w:t>consider any recommendation made by the commission in relation to the application, including whether—</w:t>
      </w:r>
    </w:p>
    <w:p w:rsidR="007E6B46" w:rsidRPr="005D4E1B" w:rsidRDefault="007E6B46" w:rsidP="007E6B46">
      <w:pPr>
        <w:pStyle w:val="Asubpara"/>
      </w:pPr>
      <w:r w:rsidRPr="005D4E1B">
        <w:tab/>
        <w:t>(i)</w:t>
      </w:r>
      <w:r w:rsidRPr="005D4E1B">
        <w:tab/>
        <w:t>the location, boundaries and dimensions of the proposed gaming area are suitable for the installation of the number of casino gaming machines or casino FATG terminals stated in the application; and</w:t>
      </w:r>
    </w:p>
    <w:p w:rsidR="007E6B46" w:rsidRPr="005D4E1B" w:rsidRDefault="007E6B46" w:rsidP="00755A0B">
      <w:pPr>
        <w:pStyle w:val="Asubpara"/>
        <w:keepLines/>
      </w:pPr>
      <w:r w:rsidRPr="005D4E1B">
        <w:tab/>
        <w:t>(ii)</w:t>
      </w:r>
      <w:r w:rsidRPr="005D4E1B">
        <w:tab/>
        <w:t>the control procedures mentioned in section 21 (3) (d) and the gaming rules the casino licensee has adopted for the purpose of controlling the operation of casino gaming machines are adequate for the purpose; and</w:t>
      </w:r>
    </w:p>
    <w:p w:rsidR="007E6B46" w:rsidRPr="005D4E1B" w:rsidRDefault="007E6B46" w:rsidP="007E6B46">
      <w:pPr>
        <w:pStyle w:val="Asubpara"/>
      </w:pPr>
      <w:r w:rsidRPr="005D4E1B">
        <w:tab/>
        <w:t>(iii)</w:t>
      </w:r>
      <w:r w:rsidRPr="005D4E1B">
        <w:tab/>
        <w:t>the casino has sufficient harm minimisation strategies in place for patrons; and</w:t>
      </w:r>
    </w:p>
    <w:p w:rsidR="007E6B46" w:rsidRPr="005D4E1B" w:rsidRDefault="007E6B46" w:rsidP="007E6B46">
      <w:pPr>
        <w:pStyle w:val="Apara"/>
      </w:pPr>
      <w:r w:rsidRPr="005D4E1B">
        <w:tab/>
        <w:t>(b)</w:t>
      </w:r>
      <w:r w:rsidRPr="005D4E1B">
        <w:tab/>
        <w:t>consider any recommendation made by a casino advisory panel in relation to the decision, including in relation to the casino licensee’s compliance with any agreement with the Territory in relation to the redevelopment of the casino and the casino precinct.</w:t>
      </w:r>
    </w:p>
    <w:p w:rsidR="007E6B46" w:rsidRPr="005D4E1B" w:rsidRDefault="007E6B46" w:rsidP="007E6B46">
      <w:pPr>
        <w:pStyle w:val="Amain"/>
      </w:pPr>
      <w:r w:rsidRPr="005D4E1B">
        <w:tab/>
        <w:t>(3)</w:t>
      </w:r>
      <w:r w:rsidRPr="005D4E1B">
        <w:tab/>
        <w:t>However, the Minister must not approve the conversion unless the planning and land authority has—</w:t>
      </w:r>
    </w:p>
    <w:p w:rsidR="007E6B46" w:rsidRPr="005D4E1B" w:rsidRDefault="007E6B46" w:rsidP="007E6B46">
      <w:pPr>
        <w:pStyle w:val="Apara"/>
      </w:pPr>
      <w:r w:rsidRPr="005D4E1B">
        <w:tab/>
        <w:t>(a)</w:t>
      </w:r>
      <w:r w:rsidRPr="005D4E1B">
        <w:tab/>
        <w:t>approved a development proposal by the casino licensee in relation to redevelopment of the casino and the casino precinct; and</w:t>
      </w:r>
    </w:p>
    <w:p w:rsidR="007E6B46" w:rsidRPr="005D4E1B" w:rsidRDefault="007E6B46" w:rsidP="007E6B46">
      <w:pPr>
        <w:pStyle w:val="Apara"/>
      </w:pPr>
      <w:r w:rsidRPr="005D4E1B">
        <w:tab/>
        <w:t>(b)</w:t>
      </w:r>
      <w:r w:rsidRPr="005D4E1B">
        <w:tab/>
        <w:t>certified in writing that the casino licensee has completed the stage of development prescribed by regulation for the maximum number of restricted authorisations sought to be converted.</w:t>
      </w:r>
    </w:p>
    <w:p w:rsidR="007E6B46" w:rsidRPr="005D4E1B" w:rsidRDefault="007E6B46" w:rsidP="007E6B46">
      <w:pPr>
        <w:pStyle w:val="Amain"/>
      </w:pPr>
      <w:r w:rsidRPr="005D4E1B">
        <w:tab/>
        <w:t>(4)</w:t>
      </w:r>
      <w:r w:rsidRPr="005D4E1B">
        <w:tab/>
        <w:t>If the Minister approves the conversion of a restricted authorisation to a casino gaming machine authorisation or casino FATG terminal authorisation, the commission must convert the restricted authorisation.</w:t>
      </w:r>
    </w:p>
    <w:p w:rsidR="007E6B46" w:rsidRPr="005D4E1B" w:rsidRDefault="007E6B46" w:rsidP="007E6B46">
      <w:pPr>
        <w:pStyle w:val="Amain"/>
      </w:pPr>
      <w:r w:rsidRPr="005D4E1B">
        <w:tab/>
        <w:t>(5)</w:t>
      </w:r>
      <w:r w:rsidRPr="005D4E1B">
        <w:tab/>
        <w:t xml:space="preserve">If the application is for the conversion of 2 or more restricted authorisations, the Minister may approve the conversion of fewer than the number stated in the application if the commission recommends that the size and layout of the proposed gaming area are only suitable for the installation of the lower number of casino gaming machines or casino FATG terminals. </w:t>
      </w:r>
    </w:p>
    <w:p w:rsidR="007E6B46" w:rsidRPr="005D4E1B" w:rsidRDefault="007E6B46" w:rsidP="007E6B46">
      <w:pPr>
        <w:pStyle w:val="Amain"/>
      </w:pPr>
      <w:r w:rsidRPr="005D4E1B">
        <w:tab/>
        <w:t>(6)</w:t>
      </w:r>
      <w:r w:rsidRPr="005D4E1B">
        <w:tab/>
        <w:t>If the Minister refuses to approve the conversion, the Minister must tell the casino licensee, in writing, the reasons for the decision.</w:t>
      </w:r>
    </w:p>
    <w:p w:rsidR="007E6B46" w:rsidRPr="005D4E1B" w:rsidRDefault="007E6B46" w:rsidP="007E6B46">
      <w:pPr>
        <w:pStyle w:val="aNote"/>
      </w:pPr>
      <w:r w:rsidRPr="005D4E1B">
        <w:rPr>
          <w:rStyle w:val="charItals"/>
        </w:rPr>
        <w:t>Note</w:t>
      </w:r>
      <w:r w:rsidRPr="005D4E1B">
        <w:rPr>
          <w:rStyle w:val="charItals"/>
        </w:rPr>
        <w:tab/>
      </w:r>
      <w:r w:rsidRPr="005D4E1B">
        <w:t xml:space="preserve">For what must be included in a statement of reasons, see the </w:t>
      </w:r>
      <w:hyperlink r:id="rId48" w:tooltip="A2001-14" w:history="1">
        <w:r w:rsidRPr="005D4E1B">
          <w:rPr>
            <w:rStyle w:val="charCitHyperlinkAbbrev"/>
          </w:rPr>
          <w:t>Legislation Act</w:t>
        </w:r>
      </w:hyperlink>
      <w:r w:rsidRPr="005D4E1B">
        <w:t>, s 179.</w:t>
      </w:r>
    </w:p>
    <w:p w:rsidR="007E6B46" w:rsidRPr="005D4E1B" w:rsidRDefault="007E6B46" w:rsidP="007E6B46">
      <w:pPr>
        <w:pStyle w:val="Amain"/>
      </w:pPr>
      <w:r w:rsidRPr="005D4E1B">
        <w:tab/>
        <w:t>(7)</w:t>
      </w:r>
      <w:r w:rsidRPr="005D4E1B">
        <w:tab/>
        <w:t>In this section:</w:t>
      </w:r>
    </w:p>
    <w:p w:rsidR="007E6B46" w:rsidRPr="005D4E1B" w:rsidRDefault="007E6B46" w:rsidP="007E6B46">
      <w:pPr>
        <w:pStyle w:val="aDef"/>
      </w:pPr>
      <w:r w:rsidRPr="005D4E1B">
        <w:rPr>
          <w:rStyle w:val="charBoldItals"/>
        </w:rPr>
        <w:t>casino advisory panel</w:t>
      </w:r>
      <w:r w:rsidRPr="005D4E1B">
        <w:t xml:space="preserve">—see the </w:t>
      </w:r>
      <w:hyperlink r:id="rId49" w:tooltip="A2006-2" w:history="1">
        <w:r w:rsidRPr="005D4E1B">
          <w:rPr>
            <w:rStyle w:val="charCitHyperlinkItal"/>
          </w:rPr>
          <w:t>Casino Control Act 2006</w:t>
        </w:r>
      </w:hyperlink>
      <w:r w:rsidRPr="005D4E1B">
        <w:t xml:space="preserve">, section 136B. </w:t>
      </w:r>
    </w:p>
    <w:p w:rsidR="00270D23" w:rsidRPr="006814CB" w:rsidRDefault="006814CB" w:rsidP="006814CB">
      <w:pPr>
        <w:pStyle w:val="AH5Sec"/>
      </w:pPr>
      <w:bookmarkStart w:id="37" w:name="_Toc516729767"/>
      <w:r w:rsidRPr="00951C4D">
        <w:rPr>
          <w:rStyle w:val="CharSectNo"/>
        </w:rPr>
        <w:t>23</w:t>
      </w:r>
      <w:r w:rsidRPr="006814CB">
        <w:tab/>
      </w:r>
      <w:r w:rsidR="00270D23" w:rsidRPr="006814CB">
        <w:t>Status of restricted authorisations if development approval ends un</w:t>
      </w:r>
      <w:r w:rsidR="003A5ACB" w:rsidRPr="006814CB">
        <w:t xml:space="preserve">der Planning and Development </w:t>
      </w:r>
      <w:r w:rsidR="00270D23" w:rsidRPr="006814CB">
        <w:t>Act</w:t>
      </w:r>
      <w:r w:rsidR="003A5ACB" w:rsidRPr="006814CB">
        <w:t> 2007</w:t>
      </w:r>
      <w:r w:rsidR="00270D23" w:rsidRPr="006814CB">
        <w:t>, s 184</w:t>
      </w:r>
      <w:r w:rsidR="0054245D" w:rsidRPr="006814CB">
        <w:t xml:space="preserve"> or because no approval given</w:t>
      </w:r>
      <w:bookmarkEnd w:id="37"/>
    </w:p>
    <w:p w:rsidR="00270D23" w:rsidRPr="006814CB" w:rsidRDefault="006814CB" w:rsidP="00EF5D29">
      <w:pPr>
        <w:pStyle w:val="Amain"/>
        <w:keepNext/>
      </w:pPr>
      <w:r>
        <w:tab/>
      </w:r>
      <w:r w:rsidRPr="006814CB">
        <w:t>(1)</w:t>
      </w:r>
      <w:r w:rsidRPr="006814CB">
        <w:tab/>
      </w:r>
      <w:r w:rsidR="00270D23" w:rsidRPr="006814CB">
        <w:t>This section applies if—</w:t>
      </w:r>
    </w:p>
    <w:p w:rsidR="00270D23" w:rsidRPr="006814CB" w:rsidRDefault="006814CB" w:rsidP="006814CB">
      <w:pPr>
        <w:pStyle w:val="Apara"/>
      </w:pPr>
      <w:r>
        <w:tab/>
      </w:r>
      <w:r w:rsidRPr="006814CB">
        <w:t>(a)</w:t>
      </w:r>
      <w:r w:rsidRPr="006814CB">
        <w:tab/>
      </w:r>
      <w:r w:rsidR="00270D23" w:rsidRPr="006814CB">
        <w:t>the casino licensee has</w:t>
      </w:r>
      <w:r w:rsidR="004D6625" w:rsidRPr="006814CB">
        <w:t xml:space="preserve"> </w:t>
      </w:r>
      <w:r w:rsidR="00DD6F38" w:rsidRPr="006814CB">
        <w:t>a</w:t>
      </w:r>
      <w:r w:rsidR="00270D23" w:rsidRPr="006814CB">
        <w:t xml:space="preserve"> restricted authorisation under a casino gaming machine authorisation certificate</w:t>
      </w:r>
      <w:r w:rsidR="001A42CD" w:rsidRPr="006814CB">
        <w:t xml:space="preserve"> or casino FATG </w:t>
      </w:r>
      <w:r w:rsidR="004D6625" w:rsidRPr="006814CB">
        <w:t>authorisation certificate</w:t>
      </w:r>
      <w:r w:rsidR="00270D23" w:rsidRPr="006814CB">
        <w:t>; and</w:t>
      </w:r>
    </w:p>
    <w:p w:rsidR="0054245D" w:rsidRPr="006814CB" w:rsidRDefault="006814CB" w:rsidP="006814CB">
      <w:pPr>
        <w:pStyle w:val="Apara"/>
      </w:pPr>
      <w:r>
        <w:tab/>
      </w:r>
      <w:r w:rsidRPr="006814CB">
        <w:t>(b)</w:t>
      </w:r>
      <w:r w:rsidRPr="006814CB">
        <w:tab/>
      </w:r>
      <w:r w:rsidR="0054245D" w:rsidRPr="006814CB">
        <w:t>either——</w:t>
      </w:r>
    </w:p>
    <w:p w:rsidR="0054245D" w:rsidRPr="006814CB" w:rsidRDefault="006814CB" w:rsidP="006814CB">
      <w:pPr>
        <w:pStyle w:val="Asubpara"/>
      </w:pPr>
      <w:r>
        <w:tab/>
      </w:r>
      <w:r w:rsidRPr="006814CB">
        <w:t>(i)</w:t>
      </w:r>
      <w:r w:rsidRPr="006814CB">
        <w:tab/>
      </w:r>
      <w:r w:rsidR="0054245D" w:rsidRPr="006814CB">
        <w:t xml:space="preserve">the development approval for the redevelopment of the casino and casino precinct ends under the </w:t>
      </w:r>
      <w:hyperlink r:id="rId50" w:tooltip="A2007-24" w:history="1">
        <w:r w:rsidR="00253379" w:rsidRPr="006814CB">
          <w:rPr>
            <w:rStyle w:val="charCitHyperlinkItal"/>
          </w:rPr>
          <w:t>Planning and Development Act 2007</w:t>
        </w:r>
      </w:hyperlink>
      <w:r w:rsidR="0054245D" w:rsidRPr="006814CB">
        <w:t>, section 184 (End of development approvals other than lease variations); or</w:t>
      </w:r>
    </w:p>
    <w:p w:rsidR="0054245D" w:rsidRPr="006814CB" w:rsidRDefault="006814CB" w:rsidP="006814CB">
      <w:pPr>
        <w:pStyle w:val="Asubpara"/>
      </w:pPr>
      <w:r>
        <w:tab/>
      </w:r>
      <w:r w:rsidRPr="006814CB">
        <w:t>(ii)</w:t>
      </w:r>
      <w:r w:rsidRPr="006814CB">
        <w:tab/>
      </w:r>
      <w:r w:rsidR="0054245D" w:rsidRPr="006814CB">
        <w:t>no development approval for the redevelopment of the casino and casino precinct is given within 5 years after the commencement of this section.</w:t>
      </w:r>
    </w:p>
    <w:p w:rsidR="0054245D" w:rsidRPr="006814CB" w:rsidRDefault="0054245D" w:rsidP="0054245D">
      <w:pPr>
        <w:pStyle w:val="aExamHdgpar"/>
      </w:pPr>
      <w:r w:rsidRPr="006814CB">
        <w:t>Examples—par (b) (ii)</w:t>
      </w:r>
    </w:p>
    <w:p w:rsidR="0054245D" w:rsidRPr="006814CB" w:rsidRDefault="0054245D" w:rsidP="0054245D">
      <w:pPr>
        <w:pStyle w:val="aExamINumpar"/>
      </w:pPr>
      <w:r w:rsidRPr="006814CB">
        <w:t>1</w:t>
      </w:r>
      <w:r w:rsidRPr="006814CB">
        <w:tab/>
        <w:t>No development approval is given because no development application is made within 5 years after the commencement of this section.</w:t>
      </w:r>
    </w:p>
    <w:p w:rsidR="0054245D" w:rsidRPr="006814CB" w:rsidRDefault="0054245D" w:rsidP="0054245D">
      <w:pPr>
        <w:pStyle w:val="aExamINumpar"/>
      </w:pPr>
      <w:r w:rsidRPr="006814CB">
        <w:t>2</w:t>
      </w:r>
      <w:r w:rsidRPr="006814CB">
        <w:tab/>
        <w:t>No development approval is given because a development application that is made is later withdrawn.</w:t>
      </w:r>
    </w:p>
    <w:p w:rsidR="0054245D" w:rsidRPr="006814CB" w:rsidRDefault="0054245D" w:rsidP="0054245D">
      <w:pPr>
        <w:pStyle w:val="aNotepar"/>
      </w:pPr>
      <w:r w:rsidRPr="006814CB">
        <w:rPr>
          <w:rStyle w:val="charItals"/>
        </w:rPr>
        <w:t>Note</w:t>
      </w:r>
      <w:r w:rsidRPr="006814CB">
        <w:tab/>
        <w:t xml:space="preserve">An example is part of the Act, is not exhaustive and may extend, but does not limit, the meaning of the provision in which it appears (see </w:t>
      </w:r>
      <w:hyperlink r:id="rId51" w:tooltip="A2001-14" w:history="1">
        <w:r w:rsidR="00253379" w:rsidRPr="006814CB">
          <w:rPr>
            <w:rStyle w:val="charCitHyperlinkAbbrev"/>
          </w:rPr>
          <w:t>Legislation Act</w:t>
        </w:r>
      </w:hyperlink>
      <w:r w:rsidRPr="006814CB">
        <w:t>, s 126 and s 132).</w:t>
      </w:r>
    </w:p>
    <w:p w:rsidR="00270D23" w:rsidRPr="006814CB" w:rsidRDefault="006814CB" w:rsidP="006814CB">
      <w:pPr>
        <w:pStyle w:val="Amain"/>
      </w:pPr>
      <w:r>
        <w:tab/>
      </w:r>
      <w:r w:rsidRPr="006814CB">
        <w:t>(2)</w:t>
      </w:r>
      <w:r w:rsidRPr="006814CB">
        <w:tab/>
      </w:r>
      <w:r w:rsidR="00270D23" w:rsidRPr="006814CB">
        <w:t xml:space="preserve">The </w:t>
      </w:r>
      <w:r w:rsidR="00475056" w:rsidRPr="006814CB">
        <w:t xml:space="preserve">restricted </w:t>
      </w:r>
      <w:r w:rsidR="00270D23" w:rsidRPr="006814CB">
        <w:t xml:space="preserve">authorisation </w:t>
      </w:r>
      <w:r w:rsidR="00DD6F38" w:rsidRPr="006814CB">
        <w:t>is</w:t>
      </w:r>
      <w:r w:rsidR="00270D23" w:rsidRPr="006814CB">
        <w:t xml:space="preserve"> forfeited to the Territory.</w:t>
      </w:r>
    </w:p>
    <w:p w:rsidR="00270D23" w:rsidRPr="006814CB" w:rsidRDefault="006814CB" w:rsidP="006814CB">
      <w:pPr>
        <w:pStyle w:val="Amain"/>
      </w:pPr>
      <w:r>
        <w:tab/>
      </w:r>
      <w:r w:rsidRPr="006814CB">
        <w:t>(3)</w:t>
      </w:r>
      <w:r w:rsidRPr="006814CB">
        <w:tab/>
      </w:r>
      <w:r w:rsidR="00270D23" w:rsidRPr="006814CB">
        <w:t xml:space="preserve">The casino licensee is not entitled to claim compensation from the Territory for an authorisation forfeited to the Territory under subsection (2). </w:t>
      </w:r>
    </w:p>
    <w:p w:rsidR="00C73ED0" w:rsidRPr="006814CB" w:rsidRDefault="006814CB" w:rsidP="006814CB">
      <w:pPr>
        <w:pStyle w:val="AH5Sec"/>
      </w:pPr>
      <w:bookmarkStart w:id="38" w:name="_Toc516729768"/>
      <w:r w:rsidRPr="00951C4D">
        <w:rPr>
          <w:rStyle w:val="CharSectNo"/>
        </w:rPr>
        <w:t>24</w:t>
      </w:r>
      <w:r w:rsidRPr="006814CB">
        <w:tab/>
      </w:r>
      <w:r w:rsidR="009D52BB" w:rsidRPr="006814CB">
        <w:t xml:space="preserve">Status of restricted authorisations </w:t>
      </w:r>
      <w:r w:rsidR="004D6625" w:rsidRPr="006814CB">
        <w:t>if</w:t>
      </w:r>
      <w:r w:rsidR="00792CFB" w:rsidRPr="006814CB">
        <w:t xml:space="preserve"> </w:t>
      </w:r>
      <w:r w:rsidR="00E676EB" w:rsidRPr="006814CB">
        <w:t xml:space="preserve">development </w:t>
      </w:r>
      <w:r w:rsidR="00792CFB" w:rsidRPr="006814CB">
        <w:t>approval</w:t>
      </w:r>
      <w:r w:rsidR="004D6625" w:rsidRPr="006814CB">
        <w:t xml:space="preserve"> ends in other circumstances</w:t>
      </w:r>
      <w:bookmarkEnd w:id="38"/>
    </w:p>
    <w:p w:rsidR="00C73ED0" w:rsidRPr="006814CB" w:rsidRDefault="006814CB" w:rsidP="006814CB">
      <w:pPr>
        <w:pStyle w:val="Amain"/>
      </w:pPr>
      <w:r>
        <w:tab/>
      </w:r>
      <w:r w:rsidRPr="006814CB">
        <w:t>(1)</w:t>
      </w:r>
      <w:r w:rsidRPr="006814CB">
        <w:tab/>
      </w:r>
      <w:r w:rsidR="009D52BB" w:rsidRPr="006814CB">
        <w:t>This section applies if—</w:t>
      </w:r>
    </w:p>
    <w:p w:rsidR="004D6625" w:rsidRPr="006814CB" w:rsidRDefault="006814CB" w:rsidP="006814CB">
      <w:pPr>
        <w:pStyle w:val="Apara"/>
      </w:pPr>
      <w:r>
        <w:tab/>
      </w:r>
      <w:r w:rsidRPr="006814CB">
        <w:t>(a)</w:t>
      </w:r>
      <w:r w:rsidRPr="006814CB">
        <w:tab/>
      </w:r>
      <w:r w:rsidR="004D6625" w:rsidRPr="006814CB">
        <w:t xml:space="preserve">the casino licensee has </w:t>
      </w:r>
      <w:r w:rsidR="00475056" w:rsidRPr="006814CB">
        <w:t>a</w:t>
      </w:r>
      <w:r w:rsidR="004D6625" w:rsidRPr="006814CB">
        <w:t xml:space="preserve"> restricted authorisation under a casino gaming machine authorisation certificate or casino FATG authorisation certificate; and</w:t>
      </w:r>
    </w:p>
    <w:p w:rsidR="0054245D" w:rsidRPr="006814CB" w:rsidRDefault="006814CB" w:rsidP="006814CB">
      <w:pPr>
        <w:pStyle w:val="Apara"/>
      </w:pPr>
      <w:r>
        <w:tab/>
      </w:r>
      <w:r w:rsidRPr="006814CB">
        <w:t>(b)</w:t>
      </w:r>
      <w:r w:rsidRPr="006814CB">
        <w:tab/>
      </w:r>
      <w:r w:rsidR="0054245D" w:rsidRPr="006814CB">
        <w:t>the development approval for the redevelopment of the casino and casino precinct ends otherwise than—</w:t>
      </w:r>
    </w:p>
    <w:p w:rsidR="0054245D" w:rsidRPr="006814CB" w:rsidRDefault="006814CB" w:rsidP="006814CB">
      <w:pPr>
        <w:pStyle w:val="Asubpara"/>
      </w:pPr>
      <w:r>
        <w:tab/>
      </w:r>
      <w:r w:rsidRPr="006814CB">
        <w:t>(i)</w:t>
      </w:r>
      <w:r w:rsidRPr="006814CB">
        <w:tab/>
      </w:r>
      <w:r w:rsidR="0054245D" w:rsidRPr="006814CB">
        <w:t xml:space="preserve">under the </w:t>
      </w:r>
      <w:hyperlink r:id="rId52" w:tooltip="A2007-24" w:history="1">
        <w:r w:rsidR="00253379" w:rsidRPr="006814CB">
          <w:rPr>
            <w:rStyle w:val="charCitHyperlinkItal"/>
          </w:rPr>
          <w:t>Planning and Development Act 2007</w:t>
        </w:r>
      </w:hyperlink>
      <w:r w:rsidR="0054245D" w:rsidRPr="006814CB">
        <w:t xml:space="preserve">, section 184 (End of development approvals other than lease variations); or </w:t>
      </w:r>
    </w:p>
    <w:p w:rsidR="0054245D" w:rsidRPr="006814CB" w:rsidRDefault="006814CB" w:rsidP="006814CB">
      <w:pPr>
        <w:pStyle w:val="Asubpara"/>
      </w:pPr>
      <w:r>
        <w:tab/>
      </w:r>
      <w:r w:rsidRPr="006814CB">
        <w:t>(ii)</w:t>
      </w:r>
      <w:r w:rsidRPr="006814CB">
        <w:tab/>
      </w:r>
      <w:r w:rsidR="0054245D" w:rsidRPr="006814CB">
        <w:t xml:space="preserve">because the redevelopment of the casino and casino precinct is completed in </w:t>
      </w:r>
      <w:r w:rsidR="00643768" w:rsidRPr="006814CB">
        <w:t>accordance with the approval</w:t>
      </w:r>
      <w:r w:rsidR="0054245D" w:rsidRPr="006814CB">
        <w:t xml:space="preserve">. </w:t>
      </w:r>
    </w:p>
    <w:p w:rsidR="00C73ED0" w:rsidRPr="006814CB" w:rsidRDefault="006814CB" w:rsidP="006814CB">
      <w:pPr>
        <w:pStyle w:val="Amain"/>
        <w:keepNext/>
      </w:pPr>
      <w:r>
        <w:tab/>
      </w:r>
      <w:r w:rsidRPr="006814CB">
        <w:t>(2)</w:t>
      </w:r>
      <w:r w:rsidRPr="006814CB">
        <w:tab/>
      </w:r>
      <w:r w:rsidR="002F587E" w:rsidRPr="006814CB">
        <w:t>The</w:t>
      </w:r>
      <w:r w:rsidR="00EF7577" w:rsidRPr="006814CB">
        <w:t xml:space="preserve"> casino licensee </w:t>
      </w:r>
      <w:r w:rsidR="00322075" w:rsidRPr="006814CB">
        <w:t>may dispose of</w:t>
      </w:r>
      <w:r w:rsidR="00332E54" w:rsidRPr="006814CB">
        <w:t xml:space="preserve"> </w:t>
      </w:r>
      <w:r w:rsidR="00475056" w:rsidRPr="006814CB">
        <w:t>1 or more</w:t>
      </w:r>
      <w:r w:rsidR="00A95FEF" w:rsidRPr="006814CB">
        <w:t xml:space="preserve"> </w:t>
      </w:r>
      <w:r w:rsidR="00332E54" w:rsidRPr="006814CB">
        <w:t xml:space="preserve">authorisations to a class C licensee. </w:t>
      </w:r>
    </w:p>
    <w:p w:rsidR="00E50F23" w:rsidRPr="006814CB" w:rsidRDefault="00E50F23" w:rsidP="00C32FF9">
      <w:pPr>
        <w:pStyle w:val="aNote"/>
      </w:pPr>
      <w:r w:rsidRPr="006814CB">
        <w:rPr>
          <w:rStyle w:val="charItals"/>
        </w:rPr>
        <w:t>Note 1</w:t>
      </w:r>
      <w:r w:rsidRPr="006814CB">
        <w:rPr>
          <w:rStyle w:val="charItals"/>
        </w:rPr>
        <w:tab/>
      </w:r>
      <w:r w:rsidRPr="006814CB">
        <w:t xml:space="preserve">The disposal of an authorisation is a notifiable action (see </w:t>
      </w:r>
      <w:r w:rsidR="00CF0AF9" w:rsidRPr="006814CB">
        <w:t>pt 10</w:t>
      </w:r>
      <w:r w:rsidRPr="006814CB">
        <w:t xml:space="preserve"> and </w:t>
      </w:r>
      <w:r w:rsidR="003A5ACB" w:rsidRPr="006814CB">
        <w:t>sch 2</w:t>
      </w:r>
      <w:r w:rsidRPr="006814CB">
        <w:t>).</w:t>
      </w:r>
    </w:p>
    <w:p w:rsidR="00E50F23" w:rsidRPr="006814CB" w:rsidRDefault="00E50F23" w:rsidP="00C32FF9">
      <w:pPr>
        <w:pStyle w:val="aNote"/>
      </w:pPr>
      <w:r w:rsidRPr="006814CB">
        <w:rPr>
          <w:rStyle w:val="charItals"/>
        </w:rPr>
        <w:t>Note 2</w:t>
      </w:r>
      <w:r w:rsidRPr="006814CB">
        <w:tab/>
        <w:t xml:space="preserve">A notifiable action takes </w:t>
      </w:r>
      <w:r w:rsidR="00B77536" w:rsidRPr="006814CB">
        <w:t>effect</w:t>
      </w:r>
      <w:r w:rsidRPr="006814CB">
        <w:t>—</w:t>
      </w:r>
    </w:p>
    <w:p w:rsidR="00E50F23" w:rsidRPr="006814CB" w:rsidRDefault="00E50F23" w:rsidP="00C32FF9">
      <w:pPr>
        <w:pStyle w:val="aNotePara"/>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E50F23" w:rsidRPr="006814CB" w:rsidRDefault="00E50F23" w:rsidP="00C32FF9">
      <w:pPr>
        <w:pStyle w:val="aNotePara"/>
      </w:pPr>
      <w:r w:rsidRPr="006814CB">
        <w:tab/>
        <w:t>(b)</w:t>
      </w:r>
      <w:r w:rsidRPr="006814CB">
        <w:tab/>
        <w:t xml:space="preserve">if the commission allows the notifiable action to take </w:t>
      </w:r>
      <w:r w:rsidR="00B77536" w:rsidRPr="006814CB">
        <w:t>effect</w:t>
      </w:r>
      <w:r w:rsidRPr="006814CB">
        <w:t xml:space="preserve"> on an earlier day—that day (see s </w:t>
      </w:r>
      <w:r w:rsidR="002E0DF3" w:rsidRPr="006814CB">
        <w:t>50</w:t>
      </w:r>
      <w:r w:rsidRPr="006814CB">
        <w:t xml:space="preserve"> (b)); or</w:t>
      </w:r>
    </w:p>
    <w:p w:rsidR="004C7853" w:rsidRPr="006814CB" w:rsidRDefault="00E50F23" w:rsidP="00C32FF9">
      <w:pPr>
        <w:pStyle w:val="aNotePara"/>
      </w:pPr>
      <w:r w:rsidRPr="006814CB">
        <w:tab/>
        <w:t>(c)</w:t>
      </w:r>
      <w:r w:rsidRPr="006814CB">
        <w:tab/>
        <w:t>if the commission asks for additional information under s </w:t>
      </w:r>
      <w:r w:rsidR="002E0DF3" w:rsidRPr="006814CB">
        <w:t>49</w:t>
      </w:r>
      <w:r w:rsidR="003A5ACB" w:rsidRPr="006814CB">
        <w:t> (3)</w:t>
      </w:r>
      <w:r w:rsidRPr="006814CB">
        <w:t>—when the commission has notified the licensee that it is satisfied in relation to the additional information (see s </w:t>
      </w:r>
      <w:r w:rsidR="002E0DF3" w:rsidRPr="006814CB">
        <w:t>50</w:t>
      </w:r>
      <w:r w:rsidRPr="006814CB">
        <w:t xml:space="preserve"> (c)).</w:t>
      </w:r>
    </w:p>
    <w:p w:rsidR="00475056" w:rsidRPr="006814CB" w:rsidRDefault="00475056" w:rsidP="00C32FF9">
      <w:pPr>
        <w:pStyle w:val="aNote"/>
        <w:keepLines/>
      </w:pPr>
      <w:r w:rsidRPr="006814CB">
        <w:rPr>
          <w:rStyle w:val="charItals"/>
        </w:rPr>
        <w:t>Note 3</w:t>
      </w:r>
      <w:r w:rsidRPr="006814CB">
        <w:rPr>
          <w:rStyle w:val="charItals"/>
        </w:rPr>
        <w:tab/>
      </w:r>
      <w:r w:rsidRPr="006814CB">
        <w:t>A class C licensee may only acquire an authorisation if the class</w:t>
      </w:r>
      <w:r w:rsidR="003A5ACB" w:rsidRPr="006814CB">
        <w:t> </w:t>
      </w:r>
      <w:r w:rsidRPr="006814CB">
        <w:t>C licensee has less than the maximum number of authorisations for class</w:t>
      </w:r>
      <w:r w:rsidR="003A5ACB" w:rsidRPr="006814CB">
        <w:t> </w:t>
      </w:r>
      <w:r w:rsidRPr="006814CB">
        <w:t xml:space="preserve">C gaming machines allowed under the licensee’s authorisation certificate (see </w:t>
      </w:r>
      <w:hyperlink r:id="rId53" w:tooltip="A2004-34" w:history="1">
        <w:r w:rsidR="00253379" w:rsidRPr="006814CB">
          <w:rPr>
            <w:rStyle w:val="charCitHyperlinkItal"/>
          </w:rPr>
          <w:t>Gaming Machine Act 2004</w:t>
        </w:r>
      </w:hyperlink>
      <w:r w:rsidRPr="006814CB">
        <w:t>, s 127E and s 127G).</w:t>
      </w:r>
    </w:p>
    <w:p w:rsidR="00A95FEF" w:rsidRPr="006814CB" w:rsidRDefault="006814CB" w:rsidP="006814CB">
      <w:pPr>
        <w:pStyle w:val="Amain"/>
      </w:pPr>
      <w:r>
        <w:tab/>
      </w:r>
      <w:r w:rsidRPr="006814CB">
        <w:t>(3)</w:t>
      </w:r>
      <w:r w:rsidRPr="006814CB">
        <w:tab/>
      </w:r>
      <w:r w:rsidR="00A95FEF" w:rsidRPr="006814CB">
        <w:t>The</w:t>
      </w:r>
      <w:r w:rsidR="00792CFB" w:rsidRPr="006814CB">
        <w:t xml:space="preserve"> casino licensee must dispose of the authorisations not later than 3 months after the date</w:t>
      </w:r>
      <w:r w:rsidR="00A95FEF" w:rsidRPr="006814CB">
        <w:t xml:space="preserve"> the </w:t>
      </w:r>
      <w:r w:rsidR="004D6625" w:rsidRPr="006814CB">
        <w:t>development approval ends.</w:t>
      </w:r>
    </w:p>
    <w:p w:rsidR="00792CFB" w:rsidRPr="006814CB" w:rsidRDefault="006814CB" w:rsidP="006814CB">
      <w:pPr>
        <w:pStyle w:val="Amain"/>
      </w:pPr>
      <w:r>
        <w:tab/>
      </w:r>
      <w:r w:rsidRPr="006814CB">
        <w:t>(4)</w:t>
      </w:r>
      <w:r w:rsidRPr="006814CB">
        <w:tab/>
      </w:r>
      <w:r w:rsidR="00792CFB" w:rsidRPr="006814CB">
        <w:t>An authorisation not disposed of within the 3 months is forfeited to the Territory.</w:t>
      </w:r>
    </w:p>
    <w:p w:rsidR="00792CFB" w:rsidRPr="006814CB" w:rsidRDefault="006814CB" w:rsidP="006814CB">
      <w:pPr>
        <w:pStyle w:val="Amain"/>
      </w:pPr>
      <w:r>
        <w:tab/>
      </w:r>
      <w:r w:rsidRPr="006814CB">
        <w:t>(5)</w:t>
      </w:r>
      <w:r w:rsidRPr="006814CB">
        <w:tab/>
      </w:r>
      <w:r w:rsidR="00792CFB" w:rsidRPr="006814CB">
        <w:t>The casino licensee is not entitled to claim compensation from the Territory for an authorisation forfeited to the Territory under subsection (</w:t>
      </w:r>
      <w:r w:rsidR="00475056" w:rsidRPr="006814CB">
        <w:t>4</w:t>
      </w:r>
      <w:r w:rsidR="00792CFB" w:rsidRPr="006814CB">
        <w:t xml:space="preserve">). </w:t>
      </w:r>
    </w:p>
    <w:p w:rsidR="004D6625" w:rsidRPr="006814CB" w:rsidRDefault="006814CB" w:rsidP="006814CB">
      <w:pPr>
        <w:pStyle w:val="AH5Sec"/>
      </w:pPr>
      <w:bookmarkStart w:id="39" w:name="_Toc516729769"/>
      <w:r w:rsidRPr="00951C4D">
        <w:rPr>
          <w:rStyle w:val="CharSectNo"/>
        </w:rPr>
        <w:t>25</w:t>
      </w:r>
      <w:r w:rsidRPr="006814CB">
        <w:tab/>
      </w:r>
      <w:r w:rsidR="004D6625" w:rsidRPr="006814CB">
        <w:t xml:space="preserve">Status of </w:t>
      </w:r>
      <w:r w:rsidR="00580A86" w:rsidRPr="006814CB">
        <w:t>converted authorisations if development approval ends</w:t>
      </w:r>
      <w:bookmarkEnd w:id="39"/>
    </w:p>
    <w:p w:rsidR="00580A86" w:rsidRPr="006814CB" w:rsidRDefault="006814CB" w:rsidP="006814CB">
      <w:pPr>
        <w:pStyle w:val="Amain"/>
      </w:pPr>
      <w:r>
        <w:tab/>
      </w:r>
      <w:r w:rsidRPr="006814CB">
        <w:t>(1)</w:t>
      </w:r>
      <w:r w:rsidRPr="006814CB">
        <w:tab/>
      </w:r>
      <w:r w:rsidR="00580A86" w:rsidRPr="006814CB">
        <w:t>This section applies if—</w:t>
      </w:r>
    </w:p>
    <w:p w:rsidR="00580A86" w:rsidRPr="006814CB" w:rsidRDefault="006814CB" w:rsidP="006814CB">
      <w:pPr>
        <w:pStyle w:val="Apara"/>
      </w:pPr>
      <w:r>
        <w:tab/>
      </w:r>
      <w:r w:rsidRPr="006814CB">
        <w:t>(a)</w:t>
      </w:r>
      <w:r w:rsidRPr="006814CB">
        <w:tab/>
      </w:r>
      <w:r w:rsidR="00580A86" w:rsidRPr="006814CB">
        <w:t xml:space="preserve">the casino licensee has </w:t>
      </w:r>
      <w:r w:rsidR="00A75D8C" w:rsidRPr="006814CB">
        <w:t>a</w:t>
      </w:r>
      <w:r w:rsidR="00580A86" w:rsidRPr="006814CB">
        <w:t xml:space="preserve"> casi</w:t>
      </w:r>
      <w:r w:rsidR="00A75D8C" w:rsidRPr="006814CB">
        <w:t>no gaming machine authorisation</w:t>
      </w:r>
      <w:r w:rsidR="00580A86" w:rsidRPr="006814CB">
        <w:t xml:space="preserve"> or </w:t>
      </w:r>
      <w:r w:rsidR="00A5228B" w:rsidRPr="006814CB">
        <w:t>casino FATG terminal authorisation</w:t>
      </w:r>
      <w:r w:rsidR="00580A86" w:rsidRPr="006814CB">
        <w:t>; and</w:t>
      </w:r>
    </w:p>
    <w:p w:rsidR="00580A86" w:rsidRPr="006814CB" w:rsidRDefault="006814CB" w:rsidP="006814CB">
      <w:pPr>
        <w:pStyle w:val="Apara"/>
      </w:pPr>
      <w:r>
        <w:tab/>
      </w:r>
      <w:r w:rsidRPr="006814CB">
        <w:t>(b)</w:t>
      </w:r>
      <w:r w:rsidRPr="006814CB">
        <w:tab/>
      </w:r>
      <w:r w:rsidR="00580A86" w:rsidRPr="006814CB">
        <w:t>the development approval for the redevelopment of the casino ends for a reason other than because the redevelopment is completed</w:t>
      </w:r>
      <w:r w:rsidR="00A75D8C" w:rsidRPr="006814CB">
        <w:t xml:space="preserve"> in accordance with the approval</w:t>
      </w:r>
      <w:r w:rsidR="00580A86" w:rsidRPr="006814CB">
        <w:t xml:space="preserve">. </w:t>
      </w:r>
    </w:p>
    <w:p w:rsidR="00580A86" w:rsidRPr="006814CB" w:rsidRDefault="006814CB" w:rsidP="006814CB">
      <w:pPr>
        <w:pStyle w:val="Amain"/>
      </w:pPr>
      <w:r>
        <w:tab/>
      </w:r>
      <w:r w:rsidRPr="006814CB">
        <w:t>(2)</w:t>
      </w:r>
      <w:r w:rsidRPr="006814CB">
        <w:tab/>
      </w:r>
      <w:r w:rsidR="00580A86" w:rsidRPr="006814CB">
        <w:t>To remove any doubt—</w:t>
      </w:r>
    </w:p>
    <w:p w:rsidR="00580A86" w:rsidRPr="006814CB" w:rsidRDefault="006814CB" w:rsidP="006814CB">
      <w:pPr>
        <w:pStyle w:val="Apara"/>
      </w:pPr>
      <w:r>
        <w:tab/>
      </w:r>
      <w:r w:rsidRPr="006814CB">
        <w:t>(a)</w:t>
      </w:r>
      <w:r w:rsidRPr="006814CB">
        <w:tab/>
      </w:r>
      <w:r w:rsidR="00A75D8C" w:rsidRPr="006814CB">
        <w:t>the authorisation</w:t>
      </w:r>
      <w:r w:rsidR="00580A86" w:rsidRPr="006814CB">
        <w:t xml:space="preserve"> remain</w:t>
      </w:r>
      <w:r w:rsidR="00A75D8C" w:rsidRPr="006814CB">
        <w:t>s</w:t>
      </w:r>
      <w:r w:rsidR="00580A86" w:rsidRPr="006814CB">
        <w:t xml:space="preserve"> in force; and</w:t>
      </w:r>
    </w:p>
    <w:p w:rsidR="00580A86" w:rsidRPr="006814CB" w:rsidRDefault="006814CB" w:rsidP="006814CB">
      <w:pPr>
        <w:pStyle w:val="Apara"/>
      </w:pPr>
      <w:r>
        <w:tab/>
      </w:r>
      <w:r w:rsidRPr="006814CB">
        <w:t>(b)</w:t>
      </w:r>
      <w:r w:rsidRPr="006814CB">
        <w:tab/>
      </w:r>
      <w:r w:rsidR="00A75D8C" w:rsidRPr="006814CB">
        <w:t>a</w:t>
      </w:r>
      <w:r w:rsidR="00580A86" w:rsidRPr="006814CB">
        <w:t xml:space="preserve"> casino gaming machine or casino FATG terminal o</w:t>
      </w:r>
      <w:r w:rsidR="00A75D8C" w:rsidRPr="006814CB">
        <w:t>perated under the authorisation</w:t>
      </w:r>
      <w:r w:rsidR="00580A86" w:rsidRPr="006814CB">
        <w:t xml:space="preserve"> may continue to be operated.</w:t>
      </w:r>
    </w:p>
    <w:p w:rsidR="00A75D8C" w:rsidRPr="006814CB" w:rsidRDefault="00A75D8C" w:rsidP="006814CB">
      <w:pPr>
        <w:pStyle w:val="PageBreak"/>
        <w:suppressLineNumbers/>
      </w:pPr>
      <w:r w:rsidRPr="006814CB">
        <w:br w:type="page"/>
      </w:r>
    </w:p>
    <w:p w:rsidR="00A75D8C" w:rsidRPr="00951C4D" w:rsidRDefault="006814CB" w:rsidP="006814CB">
      <w:pPr>
        <w:pStyle w:val="AH2Part"/>
      </w:pPr>
      <w:bookmarkStart w:id="40" w:name="_Toc516729770"/>
      <w:r w:rsidRPr="00951C4D">
        <w:rPr>
          <w:rStyle w:val="CharPartNo"/>
        </w:rPr>
        <w:t>Part 6</w:t>
      </w:r>
      <w:r w:rsidRPr="006814CB">
        <w:tab/>
      </w:r>
      <w:r w:rsidR="00A75D8C" w:rsidRPr="00951C4D">
        <w:rPr>
          <w:rStyle w:val="CharPartText"/>
        </w:rPr>
        <w:t>Acquiring casino gaming machines and casino FATG terminals</w:t>
      </w:r>
      <w:bookmarkEnd w:id="40"/>
    </w:p>
    <w:p w:rsidR="005E364E" w:rsidRPr="006814CB" w:rsidRDefault="006814CB" w:rsidP="006814CB">
      <w:pPr>
        <w:pStyle w:val="AH5Sec"/>
      </w:pPr>
      <w:bookmarkStart w:id="41" w:name="_Toc516729771"/>
      <w:r w:rsidRPr="00951C4D">
        <w:rPr>
          <w:rStyle w:val="CharSectNo"/>
        </w:rPr>
        <w:t>26</w:t>
      </w:r>
      <w:r w:rsidRPr="006814CB">
        <w:tab/>
      </w:r>
      <w:r w:rsidR="005E364E" w:rsidRPr="006814CB">
        <w:t xml:space="preserve">Acquiring </w:t>
      </w:r>
      <w:r w:rsidR="00580A86" w:rsidRPr="006814CB">
        <w:t xml:space="preserve">casino </w:t>
      </w:r>
      <w:r w:rsidR="005E364E" w:rsidRPr="006814CB">
        <w:t>gaming machine under authorisation</w:t>
      </w:r>
      <w:bookmarkEnd w:id="41"/>
    </w:p>
    <w:p w:rsidR="005E364E" w:rsidRPr="006814CB" w:rsidRDefault="006814CB" w:rsidP="006814CB">
      <w:pPr>
        <w:pStyle w:val="Amain"/>
        <w:keepNext/>
      </w:pPr>
      <w:r>
        <w:tab/>
      </w:r>
      <w:r w:rsidRPr="006814CB">
        <w:t>(1)</w:t>
      </w:r>
      <w:r w:rsidRPr="006814CB">
        <w:tab/>
      </w:r>
      <w:r w:rsidR="005E364E" w:rsidRPr="006814CB">
        <w:t xml:space="preserve">The casino licensee may acquire a </w:t>
      </w:r>
      <w:r w:rsidR="00A75D8C" w:rsidRPr="006814CB">
        <w:t xml:space="preserve">casino </w:t>
      </w:r>
      <w:r w:rsidR="005E364E" w:rsidRPr="006814CB">
        <w:t xml:space="preserve">gaming machine </w:t>
      </w:r>
      <w:r w:rsidR="00A75D8C" w:rsidRPr="006814CB">
        <w:t>under</w:t>
      </w:r>
      <w:r w:rsidR="005E364E" w:rsidRPr="006814CB">
        <w:t xml:space="preserve"> an authorisation only if, when the gaming machine is acquired, the authorisation is a casino gaming machine authorisation.</w:t>
      </w:r>
    </w:p>
    <w:p w:rsidR="005E364E" w:rsidRPr="006814CB" w:rsidRDefault="005E364E" w:rsidP="006814CB">
      <w:pPr>
        <w:pStyle w:val="aNote"/>
        <w:keepNext/>
      </w:pPr>
      <w:r w:rsidRPr="006814CB">
        <w:rPr>
          <w:rStyle w:val="charItals"/>
        </w:rPr>
        <w:t>Note 1</w:t>
      </w:r>
      <w:r w:rsidRPr="006814CB">
        <w:rPr>
          <w:rStyle w:val="charItals"/>
        </w:rPr>
        <w:tab/>
      </w:r>
      <w:r w:rsidRPr="006814CB">
        <w:t xml:space="preserve">The acquisition of a </w:t>
      </w:r>
      <w:r w:rsidR="00A75D8C" w:rsidRPr="006814CB">
        <w:t xml:space="preserve">casino </w:t>
      </w:r>
      <w:r w:rsidRPr="006814CB">
        <w:t xml:space="preserve">gaming machine is a notifiable action (see </w:t>
      </w:r>
      <w:r w:rsidR="00CF0AF9" w:rsidRPr="006814CB">
        <w:t>pt 10</w:t>
      </w:r>
      <w:r w:rsidRPr="006814CB">
        <w:t xml:space="preserve"> and</w:t>
      </w:r>
      <w:r w:rsidR="00CF0AF9" w:rsidRPr="006814CB">
        <w:t xml:space="preserve"> sch 2</w:t>
      </w:r>
      <w:r w:rsidRPr="006814CB">
        <w:t>).</w:t>
      </w:r>
    </w:p>
    <w:p w:rsidR="003A5ACB" w:rsidRPr="006814CB" w:rsidRDefault="003A5ACB" w:rsidP="006814CB">
      <w:pPr>
        <w:pStyle w:val="aNote"/>
        <w:keepNext/>
      </w:pPr>
      <w:r w:rsidRPr="006814CB">
        <w:rPr>
          <w:rStyle w:val="charItals"/>
        </w:rPr>
        <w:t>Note 2</w:t>
      </w:r>
      <w:r w:rsidRPr="006814CB">
        <w:tab/>
        <w:t xml:space="preserve">A notifiable action takes </w:t>
      </w:r>
      <w:r w:rsidR="008C5AC8" w:rsidRPr="006814CB">
        <w:t>effect</w:t>
      </w:r>
      <w:r w:rsidRPr="006814CB">
        <w:t>—</w:t>
      </w:r>
    </w:p>
    <w:p w:rsidR="003A5ACB" w:rsidRPr="006814CB" w:rsidRDefault="003A5ACB" w:rsidP="006814CB">
      <w:pPr>
        <w:pStyle w:val="aNotePara"/>
        <w:keepNext/>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3A5ACB" w:rsidRPr="006814CB" w:rsidRDefault="003A5ACB" w:rsidP="006814CB">
      <w:pPr>
        <w:pStyle w:val="aNotePara"/>
        <w:keepNext/>
      </w:pPr>
      <w:r w:rsidRPr="006814CB">
        <w:tab/>
        <w:t>(b)</w:t>
      </w:r>
      <w:r w:rsidRPr="006814CB">
        <w:tab/>
        <w:t xml:space="preserve">if the commission allows the notifiable action to take </w:t>
      </w:r>
      <w:r w:rsidR="008C5AC8" w:rsidRPr="006814CB">
        <w:t>effect</w:t>
      </w:r>
      <w:r w:rsidRPr="006814CB">
        <w:t xml:space="preserve"> on an earlier day—that day (see s </w:t>
      </w:r>
      <w:r w:rsidR="002E0DF3" w:rsidRPr="006814CB">
        <w:t>50</w:t>
      </w:r>
      <w:r w:rsidRPr="006814CB">
        <w:t xml:space="preserve"> (b)); or</w:t>
      </w:r>
    </w:p>
    <w:p w:rsidR="003A5ACB" w:rsidRPr="006814CB" w:rsidRDefault="003A5ACB" w:rsidP="003A5ACB">
      <w:pPr>
        <w:pStyle w:val="aNotePara"/>
      </w:pPr>
      <w:r w:rsidRPr="006814CB">
        <w:tab/>
        <w:t>(c)</w:t>
      </w:r>
      <w:r w:rsidRPr="006814CB">
        <w:tab/>
        <w:t>if the commission asks for additional information under s </w:t>
      </w:r>
      <w:r w:rsidR="002E0DF3" w:rsidRPr="006814CB">
        <w:t>49</w:t>
      </w:r>
      <w:r w:rsidRPr="006814CB">
        <w:t> (3)—when the commission has notified the licensee that it is satisfied in relation to the additional information (see s </w:t>
      </w:r>
      <w:r w:rsidR="002E0DF3" w:rsidRPr="006814CB">
        <w:t>50</w:t>
      </w:r>
      <w:r w:rsidRPr="006814CB">
        <w:t xml:space="preserve"> (c)).</w:t>
      </w:r>
    </w:p>
    <w:p w:rsidR="00465180" w:rsidRPr="006814CB" w:rsidRDefault="006814CB" w:rsidP="006814CB">
      <w:pPr>
        <w:pStyle w:val="Amain"/>
      </w:pPr>
      <w:r>
        <w:tab/>
      </w:r>
      <w:r w:rsidRPr="006814CB">
        <w:t>(2)</w:t>
      </w:r>
      <w:r w:rsidRPr="006814CB">
        <w:tab/>
      </w:r>
      <w:r w:rsidR="00A75D8C" w:rsidRPr="006814CB">
        <w:t>A casino gaming machine acquired under a casino gaming machine authorisation must</w:t>
      </w:r>
      <w:r w:rsidR="00465180" w:rsidRPr="006814CB">
        <w:t>—</w:t>
      </w:r>
    </w:p>
    <w:p w:rsidR="00A739F4" w:rsidRPr="006814CB" w:rsidRDefault="006814CB" w:rsidP="006814CB">
      <w:pPr>
        <w:pStyle w:val="Apara"/>
      </w:pPr>
      <w:r>
        <w:tab/>
      </w:r>
      <w:r w:rsidRPr="006814CB">
        <w:t>(a)</w:t>
      </w:r>
      <w:r w:rsidRPr="006814CB">
        <w:tab/>
      </w:r>
      <w:r w:rsidR="00A739F4" w:rsidRPr="006814CB">
        <w:t>have a stake amount that is not more than—</w:t>
      </w:r>
    </w:p>
    <w:p w:rsidR="00A739F4" w:rsidRPr="006814CB" w:rsidRDefault="006814CB" w:rsidP="006814CB">
      <w:pPr>
        <w:pStyle w:val="Asubpara"/>
      </w:pPr>
      <w:r>
        <w:tab/>
      </w:r>
      <w:r w:rsidRPr="006814CB">
        <w:t>(i)</w:t>
      </w:r>
      <w:r w:rsidRPr="006814CB">
        <w:tab/>
      </w:r>
      <w:r w:rsidR="0086788B">
        <w:t>$2</w:t>
      </w:r>
      <w:r w:rsidR="00A739F4" w:rsidRPr="006814CB">
        <w:t>; or</w:t>
      </w:r>
    </w:p>
    <w:p w:rsidR="00A739F4" w:rsidRPr="006814CB" w:rsidRDefault="006814CB" w:rsidP="006814CB">
      <w:pPr>
        <w:pStyle w:val="Asubpara"/>
      </w:pPr>
      <w:r>
        <w:tab/>
      </w:r>
      <w:r w:rsidRPr="006814CB">
        <w:t>(ii)</w:t>
      </w:r>
      <w:r w:rsidRPr="006814CB">
        <w:tab/>
      </w:r>
      <w:r w:rsidR="00A739F4" w:rsidRPr="006814CB">
        <w:t>if a regulation prescribes a lower amount—the lower amount; and</w:t>
      </w:r>
    </w:p>
    <w:p w:rsidR="00A739F4" w:rsidRPr="006814CB" w:rsidRDefault="006814CB" w:rsidP="006814CB">
      <w:pPr>
        <w:pStyle w:val="Apara"/>
      </w:pPr>
      <w:r>
        <w:tab/>
      </w:r>
      <w:r w:rsidRPr="006814CB">
        <w:t>(b)</w:t>
      </w:r>
      <w:r w:rsidRPr="006814CB">
        <w:tab/>
      </w:r>
      <w:r w:rsidR="00465180" w:rsidRPr="006814CB">
        <w:t xml:space="preserve">be able to be connected to a system (a </w:t>
      </w:r>
      <w:r w:rsidR="00465180" w:rsidRPr="006814CB">
        <w:rPr>
          <w:rStyle w:val="charBoldItals"/>
        </w:rPr>
        <w:t>centralised monitoring system</w:t>
      </w:r>
      <w:r w:rsidR="00465180" w:rsidRPr="006814CB">
        <w:t xml:space="preserve">) </w:t>
      </w:r>
      <w:r w:rsidR="00213F7A" w:rsidRPr="006814CB">
        <w:t xml:space="preserve">approved by the commission </w:t>
      </w:r>
      <w:r w:rsidR="00465180" w:rsidRPr="006814CB">
        <w:t>that</w:t>
      </w:r>
      <w:r w:rsidR="00A739F4" w:rsidRPr="006814CB">
        <w:t>—</w:t>
      </w:r>
    </w:p>
    <w:p w:rsidR="00A739F4" w:rsidRPr="006814CB" w:rsidRDefault="006814CB" w:rsidP="006814CB">
      <w:pPr>
        <w:pStyle w:val="Asubpara"/>
      </w:pPr>
      <w:r>
        <w:tab/>
      </w:r>
      <w:r w:rsidRPr="006814CB">
        <w:t>(i)</w:t>
      </w:r>
      <w:r w:rsidRPr="006814CB">
        <w:tab/>
      </w:r>
      <w:r w:rsidR="00465180" w:rsidRPr="006814CB">
        <w:t>monitors the operation and performance of casino gaming machines</w:t>
      </w:r>
      <w:r w:rsidR="0027743F" w:rsidRPr="006814CB">
        <w:t>;</w:t>
      </w:r>
      <w:r w:rsidR="00465180" w:rsidRPr="006814CB">
        <w:t xml:space="preserve"> and </w:t>
      </w:r>
    </w:p>
    <w:p w:rsidR="00465180" w:rsidRPr="006814CB" w:rsidRDefault="006814CB" w:rsidP="006814CB">
      <w:pPr>
        <w:pStyle w:val="Asubpara"/>
      </w:pPr>
      <w:r>
        <w:tab/>
      </w:r>
      <w:r w:rsidRPr="006814CB">
        <w:t>(ii)</w:t>
      </w:r>
      <w:r w:rsidRPr="006814CB">
        <w:tab/>
      </w:r>
      <w:r w:rsidR="00465180" w:rsidRPr="006814CB">
        <w:t>can perform other related functions; and</w:t>
      </w:r>
    </w:p>
    <w:p w:rsidR="00A75D8C" w:rsidRPr="006814CB" w:rsidRDefault="006814CB" w:rsidP="006814CB">
      <w:pPr>
        <w:pStyle w:val="Apara"/>
      </w:pPr>
      <w:r>
        <w:tab/>
      </w:r>
      <w:r w:rsidRPr="006814CB">
        <w:t>(c)</w:t>
      </w:r>
      <w:r w:rsidRPr="006814CB">
        <w:tab/>
      </w:r>
      <w:r w:rsidR="00A75D8C" w:rsidRPr="006814CB">
        <w:t xml:space="preserve">satisfy </w:t>
      </w:r>
      <w:r w:rsidR="00465180" w:rsidRPr="006814CB">
        <w:t>any other</w:t>
      </w:r>
      <w:r w:rsidR="00A75D8C" w:rsidRPr="006814CB">
        <w:t xml:space="preserve"> harm minimisation requirements prescribed by regulation.</w:t>
      </w:r>
    </w:p>
    <w:p w:rsidR="00213F7A" w:rsidRPr="006814CB" w:rsidRDefault="006814CB" w:rsidP="006814CB">
      <w:pPr>
        <w:pStyle w:val="Amain"/>
        <w:keepNext/>
      </w:pPr>
      <w:r>
        <w:tab/>
      </w:r>
      <w:r w:rsidRPr="006814CB">
        <w:t>(3)</w:t>
      </w:r>
      <w:r w:rsidRPr="006814CB">
        <w:tab/>
      </w:r>
      <w:r w:rsidR="00213F7A" w:rsidRPr="006814CB">
        <w:t>An approval under subsection (2) (b) is a notifiable instrument.</w:t>
      </w:r>
    </w:p>
    <w:p w:rsidR="00213F7A" w:rsidRPr="006814CB" w:rsidRDefault="00213F7A" w:rsidP="00213F7A">
      <w:pPr>
        <w:pStyle w:val="aNote"/>
      </w:pPr>
      <w:r w:rsidRPr="006814CB">
        <w:rPr>
          <w:rStyle w:val="charItals"/>
        </w:rPr>
        <w:t>Note</w:t>
      </w:r>
      <w:r w:rsidRPr="006814CB">
        <w:rPr>
          <w:rStyle w:val="charItals"/>
        </w:rPr>
        <w:tab/>
      </w:r>
      <w:r w:rsidRPr="006814CB">
        <w:t xml:space="preserve">A notifiable instrument must be notified under the </w:t>
      </w:r>
      <w:hyperlink r:id="rId54" w:tooltip="A2001-14" w:history="1">
        <w:r w:rsidR="00253379" w:rsidRPr="006814CB">
          <w:rPr>
            <w:rStyle w:val="charCitHyperlinkAbbrev"/>
          </w:rPr>
          <w:t>Legislation Act</w:t>
        </w:r>
      </w:hyperlink>
      <w:r w:rsidRPr="006814CB">
        <w:t>.</w:t>
      </w:r>
    </w:p>
    <w:p w:rsidR="0020558F" w:rsidRPr="006814CB" w:rsidRDefault="006814CB" w:rsidP="006814CB">
      <w:pPr>
        <w:pStyle w:val="Amain"/>
      </w:pPr>
      <w:r>
        <w:tab/>
      </w:r>
      <w:r w:rsidRPr="006814CB">
        <w:t>(4)</w:t>
      </w:r>
      <w:r w:rsidRPr="006814CB">
        <w:tab/>
      </w:r>
      <w:r w:rsidR="0020558F" w:rsidRPr="006814CB">
        <w:t>A regulation may provide for the approval and operation of a centralised monitoring system.</w:t>
      </w:r>
    </w:p>
    <w:p w:rsidR="00A739F4" w:rsidRPr="006814CB" w:rsidRDefault="006814CB" w:rsidP="006814CB">
      <w:pPr>
        <w:pStyle w:val="Amain"/>
      </w:pPr>
      <w:r>
        <w:tab/>
      </w:r>
      <w:r w:rsidRPr="006814CB">
        <w:t>(5)</w:t>
      </w:r>
      <w:r w:rsidRPr="006814CB">
        <w:tab/>
      </w:r>
      <w:r w:rsidR="001C6F40" w:rsidRPr="006814CB">
        <w:t xml:space="preserve">The casino licensee </w:t>
      </w:r>
      <w:r w:rsidR="00A739F4" w:rsidRPr="006814CB">
        <w:t>commits an offence if—</w:t>
      </w:r>
    </w:p>
    <w:p w:rsidR="00A739F4" w:rsidRPr="006814CB" w:rsidRDefault="006814CB" w:rsidP="006814CB">
      <w:pPr>
        <w:pStyle w:val="Apara"/>
      </w:pPr>
      <w:r>
        <w:tab/>
      </w:r>
      <w:r w:rsidRPr="006814CB">
        <w:t>(a)</w:t>
      </w:r>
      <w:r w:rsidRPr="006814CB">
        <w:tab/>
      </w:r>
      <w:r w:rsidR="00A739F4" w:rsidRPr="006814CB">
        <w:t>the casino licensee allows a person to use a casino gaming machine in the casino; and</w:t>
      </w:r>
    </w:p>
    <w:p w:rsidR="001C6F40" w:rsidRPr="006814CB" w:rsidRDefault="006814CB" w:rsidP="006814CB">
      <w:pPr>
        <w:pStyle w:val="Apara"/>
      </w:pPr>
      <w:r>
        <w:tab/>
      </w:r>
      <w:r w:rsidRPr="006814CB">
        <w:t>(b)</w:t>
      </w:r>
      <w:r w:rsidRPr="006814CB">
        <w:tab/>
      </w:r>
      <w:r w:rsidR="00A739F4" w:rsidRPr="006814CB">
        <w:t xml:space="preserve">the </w:t>
      </w:r>
      <w:r w:rsidR="001C6F40" w:rsidRPr="006814CB">
        <w:t xml:space="preserve">gaming machine </w:t>
      </w:r>
      <w:r w:rsidR="00A739F4" w:rsidRPr="006814CB">
        <w:t xml:space="preserve">has a stake amount that </w:t>
      </w:r>
      <w:r w:rsidR="001C6F40" w:rsidRPr="006814CB">
        <w:t>is more than—</w:t>
      </w:r>
    </w:p>
    <w:p w:rsidR="00A739F4" w:rsidRPr="006814CB" w:rsidRDefault="006814CB" w:rsidP="006814CB">
      <w:pPr>
        <w:pStyle w:val="Asubpara"/>
      </w:pPr>
      <w:r>
        <w:tab/>
      </w:r>
      <w:r w:rsidRPr="006814CB">
        <w:t>(i)</w:t>
      </w:r>
      <w:r w:rsidRPr="006814CB">
        <w:tab/>
      </w:r>
      <w:r w:rsidR="0086788B">
        <w:t>$2</w:t>
      </w:r>
      <w:r w:rsidR="00A739F4" w:rsidRPr="006814CB">
        <w:t>; or</w:t>
      </w:r>
    </w:p>
    <w:p w:rsidR="00A739F4" w:rsidRPr="006814CB" w:rsidRDefault="006814CB" w:rsidP="006814CB">
      <w:pPr>
        <w:pStyle w:val="Asubpara"/>
        <w:keepNext/>
      </w:pPr>
      <w:r>
        <w:tab/>
      </w:r>
      <w:r w:rsidRPr="006814CB">
        <w:t>(ii)</w:t>
      </w:r>
      <w:r w:rsidRPr="006814CB">
        <w:tab/>
      </w:r>
      <w:r w:rsidR="00A739F4" w:rsidRPr="006814CB">
        <w:t>if a regulation prescribes a lower amount—the lower amount</w:t>
      </w:r>
      <w:r w:rsidR="00C61FB5" w:rsidRPr="006814CB">
        <w:t>.</w:t>
      </w:r>
    </w:p>
    <w:p w:rsidR="001C6F40" w:rsidRPr="006814CB" w:rsidRDefault="001C6F40" w:rsidP="001C6F40">
      <w:pPr>
        <w:pStyle w:val="Penalty"/>
      </w:pPr>
      <w:r w:rsidRPr="006814CB">
        <w:t xml:space="preserve">Maximum penalty:  </w:t>
      </w:r>
      <w:r w:rsidR="00465180" w:rsidRPr="006814CB">
        <w:t>100</w:t>
      </w:r>
      <w:r w:rsidRPr="006814CB">
        <w:t xml:space="preserve"> penalty units.</w:t>
      </w:r>
    </w:p>
    <w:p w:rsidR="0028517F" w:rsidRPr="006814CB" w:rsidRDefault="006814CB" w:rsidP="006814CB">
      <w:pPr>
        <w:pStyle w:val="Amain"/>
      </w:pPr>
      <w:r>
        <w:tab/>
      </w:r>
      <w:r w:rsidRPr="006814CB">
        <w:t>(6)</w:t>
      </w:r>
      <w:r w:rsidRPr="006814CB">
        <w:tab/>
      </w:r>
      <w:r w:rsidR="0028517F" w:rsidRPr="006814CB">
        <w:t>An offence against subsection (</w:t>
      </w:r>
      <w:r w:rsidR="007B503C" w:rsidRPr="006814CB">
        <w:t>5</w:t>
      </w:r>
      <w:r w:rsidR="0028517F" w:rsidRPr="006814CB">
        <w:t>) is a strict liability offence.</w:t>
      </w:r>
    </w:p>
    <w:p w:rsidR="00C61FB5" w:rsidRPr="006814CB" w:rsidRDefault="006814CB" w:rsidP="006814CB">
      <w:pPr>
        <w:pStyle w:val="Amain"/>
        <w:keepNext/>
      </w:pPr>
      <w:r>
        <w:tab/>
      </w:r>
      <w:r w:rsidRPr="006814CB">
        <w:t>(7)</w:t>
      </w:r>
      <w:r w:rsidRPr="006814CB">
        <w:tab/>
      </w:r>
      <w:r w:rsidR="00C61FB5" w:rsidRPr="006814CB">
        <w:t>Subsection (</w:t>
      </w:r>
      <w:r w:rsidR="00135BDD" w:rsidRPr="006814CB">
        <w:t>5</w:t>
      </w:r>
      <w:r w:rsidR="00C61FB5" w:rsidRPr="006814CB">
        <w:t>) does not apply if the casino licensee took all reasonable steps to ensure the casino gaming machine had a stake amount that was not more than the amount mentioned in subsection (</w:t>
      </w:r>
      <w:r w:rsidR="00135BDD" w:rsidRPr="006814CB">
        <w:t>5</w:t>
      </w:r>
      <w:r w:rsidR="00C61FB5" w:rsidRPr="006814CB">
        <w:t>) (b).</w:t>
      </w:r>
    </w:p>
    <w:p w:rsidR="00C61FB5" w:rsidRPr="006814CB" w:rsidRDefault="00C61FB5" w:rsidP="00C61FB5">
      <w:pPr>
        <w:pStyle w:val="aNote"/>
      </w:pPr>
      <w:r w:rsidRPr="006814CB">
        <w:rPr>
          <w:rStyle w:val="charItals"/>
        </w:rPr>
        <w:t>Note</w:t>
      </w:r>
      <w:r w:rsidRPr="006814CB">
        <w:rPr>
          <w:rStyle w:val="charItals"/>
        </w:rPr>
        <w:tab/>
      </w:r>
      <w:r w:rsidRPr="006814CB">
        <w:t xml:space="preserve">The defendant has an evidential burden in relation </w:t>
      </w:r>
      <w:r w:rsidR="007B503C" w:rsidRPr="006814CB">
        <w:t>to the matters mentioned in s (7</w:t>
      </w:r>
      <w:r w:rsidRPr="006814CB">
        <w:t xml:space="preserve">) (see </w:t>
      </w:r>
      <w:hyperlink r:id="rId55" w:tooltip="A2002-51" w:history="1">
        <w:r w:rsidR="00253379" w:rsidRPr="006814CB">
          <w:rPr>
            <w:rStyle w:val="charCitHyperlinkAbbrev"/>
          </w:rPr>
          <w:t>Criminal Code</w:t>
        </w:r>
      </w:hyperlink>
      <w:r w:rsidRPr="006814CB">
        <w:t>, s 58).</w:t>
      </w:r>
    </w:p>
    <w:p w:rsidR="00494355" w:rsidRPr="006814CB" w:rsidRDefault="006814CB" w:rsidP="006814CB">
      <w:pPr>
        <w:pStyle w:val="AH5Sec"/>
      </w:pPr>
      <w:bookmarkStart w:id="42" w:name="_Toc516729772"/>
      <w:r w:rsidRPr="00951C4D">
        <w:rPr>
          <w:rStyle w:val="CharSectNo"/>
        </w:rPr>
        <w:t>27</w:t>
      </w:r>
      <w:r w:rsidRPr="006814CB">
        <w:tab/>
      </w:r>
      <w:r w:rsidR="00494355" w:rsidRPr="006814CB">
        <w:t>Offence—operating etc casino gaming machines without casino gaming machine authorisation</w:t>
      </w:r>
      <w:bookmarkEnd w:id="42"/>
    </w:p>
    <w:p w:rsidR="00494355" w:rsidRPr="006814CB" w:rsidRDefault="006814CB" w:rsidP="006814CB">
      <w:pPr>
        <w:pStyle w:val="Amain"/>
      </w:pPr>
      <w:r>
        <w:tab/>
      </w:r>
      <w:r w:rsidRPr="006814CB">
        <w:t>(1)</w:t>
      </w:r>
      <w:r w:rsidRPr="006814CB">
        <w:tab/>
      </w:r>
      <w:r w:rsidR="00494355" w:rsidRPr="006814CB">
        <w:t>The casino licensee commits an offence if the licensee—</w:t>
      </w:r>
    </w:p>
    <w:p w:rsidR="00494355" w:rsidRPr="006814CB" w:rsidRDefault="006814CB" w:rsidP="006814CB">
      <w:pPr>
        <w:pStyle w:val="Apara"/>
      </w:pPr>
      <w:r>
        <w:tab/>
      </w:r>
      <w:r w:rsidRPr="006814CB">
        <w:t>(a)</w:t>
      </w:r>
      <w:r w:rsidRPr="006814CB">
        <w:tab/>
      </w:r>
      <w:r w:rsidR="00494355" w:rsidRPr="006814CB">
        <w:t>does any of the following:</w:t>
      </w:r>
    </w:p>
    <w:p w:rsidR="00494355" w:rsidRPr="006814CB" w:rsidRDefault="006814CB" w:rsidP="006814CB">
      <w:pPr>
        <w:pStyle w:val="Asubpara"/>
      </w:pPr>
      <w:r>
        <w:tab/>
      </w:r>
      <w:r w:rsidRPr="006814CB">
        <w:t>(i)</w:t>
      </w:r>
      <w:r w:rsidRPr="006814CB">
        <w:tab/>
      </w:r>
      <w:r w:rsidR="00494355" w:rsidRPr="006814CB">
        <w:t>possesses a</w:t>
      </w:r>
      <w:r w:rsidR="00DC45BC" w:rsidRPr="006814CB">
        <w:t xml:space="preserve"> casino</w:t>
      </w:r>
      <w:r w:rsidR="00494355" w:rsidRPr="006814CB">
        <w:t xml:space="preserve"> gaming machine;</w:t>
      </w:r>
    </w:p>
    <w:p w:rsidR="00494355" w:rsidRPr="006814CB" w:rsidRDefault="006814CB" w:rsidP="006814CB">
      <w:pPr>
        <w:pStyle w:val="Asubpara"/>
      </w:pPr>
      <w:r>
        <w:tab/>
      </w:r>
      <w:r w:rsidRPr="006814CB">
        <w:t>(ii)</w:t>
      </w:r>
      <w:r w:rsidRPr="006814CB">
        <w:tab/>
      </w:r>
      <w:r w:rsidR="00494355" w:rsidRPr="006814CB">
        <w:t>permits the installation of a</w:t>
      </w:r>
      <w:r w:rsidR="00DC45BC" w:rsidRPr="006814CB">
        <w:t xml:space="preserve"> casino</w:t>
      </w:r>
      <w:r w:rsidR="00494355" w:rsidRPr="006814CB">
        <w:t xml:space="preserve"> gaming machine;</w:t>
      </w:r>
    </w:p>
    <w:p w:rsidR="00494355" w:rsidRPr="006814CB" w:rsidRDefault="006814CB" w:rsidP="006814CB">
      <w:pPr>
        <w:pStyle w:val="Asubpara"/>
      </w:pPr>
      <w:r>
        <w:tab/>
      </w:r>
      <w:r w:rsidRPr="006814CB">
        <w:t>(iii)</w:t>
      </w:r>
      <w:r w:rsidRPr="006814CB">
        <w:tab/>
      </w:r>
      <w:r w:rsidR="00494355" w:rsidRPr="006814CB">
        <w:t xml:space="preserve">installs a </w:t>
      </w:r>
      <w:r w:rsidR="00DC45BC" w:rsidRPr="006814CB">
        <w:t xml:space="preserve">casino </w:t>
      </w:r>
      <w:r w:rsidR="00494355" w:rsidRPr="006814CB">
        <w:t xml:space="preserve">gaming machine; </w:t>
      </w:r>
    </w:p>
    <w:p w:rsidR="00494355" w:rsidRPr="006814CB" w:rsidRDefault="006814CB" w:rsidP="006814CB">
      <w:pPr>
        <w:pStyle w:val="Asubpara"/>
      </w:pPr>
      <w:r>
        <w:tab/>
      </w:r>
      <w:r w:rsidRPr="006814CB">
        <w:t>(iv)</w:t>
      </w:r>
      <w:r w:rsidRPr="006814CB">
        <w:tab/>
      </w:r>
      <w:r w:rsidR="00494355" w:rsidRPr="006814CB">
        <w:t xml:space="preserve">permits the use of a </w:t>
      </w:r>
      <w:r w:rsidR="00DC45BC" w:rsidRPr="006814CB">
        <w:t xml:space="preserve">casino </w:t>
      </w:r>
      <w:r w:rsidR="00494355" w:rsidRPr="006814CB">
        <w:t>gaming machine;</w:t>
      </w:r>
      <w:r w:rsidR="00DC45BC" w:rsidRPr="006814CB">
        <w:t xml:space="preserve"> </w:t>
      </w:r>
    </w:p>
    <w:p w:rsidR="00494355" w:rsidRPr="006814CB" w:rsidRDefault="006814CB" w:rsidP="006814CB">
      <w:pPr>
        <w:pStyle w:val="Asubpara"/>
      </w:pPr>
      <w:r>
        <w:tab/>
      </w:r>
      <w:r w:rsidRPr="006814CB">
        <w:t>(v)</w:t>
      </w:r>
      <w:r w:rsidRPr="006814CB">
        <w:tab/>
      </w:r>
      <w:r w:rsidR="00494355" w:rsidRPr="006814CB">
        <w:t xml:space="preserve">uses a </w:t>
      </w:r>
      <w:r w:rsidR="00DC45BC" w:rsidRPr="006814CB">
        <w:t xml:space="preserve">casino </w:t>
      </w:r>
      <w:r w:rsidR="00494355" w:rsidRPr="006814CB">
        <w:t>gaming machine; and</w:t>
      </w:r>
    </w:p>
    <w:p w:rsidR="00494355" w:rsidRPr="006814CB" w:rsidRDefault="006814CB" w:rsidP="006814CB">
      <w:pPr>
        <w:pStyle w:val="Apara"/>
        <w:keepNext/>
      </w:pPr>
      <w:r>
        <w:tab/>
      </w:r>
      <w:r w:rsidRPr="006814CB">
        <w:t>(b)</w:t>
      </w:r>
      <w:r w:rsidRPr="006814CB">
        <w:tab/>
      </w:r>
      <w:r w:rsidR="00494355" w:rsidRPr="006814CB">
        <w:t xml:space="preserve">does not have a casino gaming machine authorisation for the </w:t>
      </w:r>
      <w:r w:rsidR="00DC45BC" w:rsidRPr="006814CB">
        <w:t xml:space="preserve">casino </w:t>
      </w:r>
      <w:r w:rsidR="00494355" w:rsidRPr="006814CB">
        <w:t>gaming machine.</w:t>
      </w:r>
    </w:p>
    <w:p w:rsidR="00494355" w:rsidRPr="006814CB" w:rsidRDefault="00494355" w:rsidP="00494355">
      <w:pPr>
        <w:pStyle w:val="Penalty"/>
        <w:keepNext/>
      </w:pPr>
      <w:r w:rsidRPr="006814CB">
        <w:t xml:space="preserve">Maximum penalty:  </w:t>
      </w:r>
      <w:r w:rsidR="00DC45BC" w:rsidRPr="006814CB">
        <w:t>100</w:t>
      </w:r>
      <w:r w:rsidRPr="006814CB">
        <w:t xml:space="preserve"> penalty units.</w:t>
      </w:r>
    </w:p>
    <w:p w:rsidR="00494355" w:rsidRPr="006814CB" w:rsidRDefault="006814CB" w:rsidP="006814CB">
      <w:pPr>
        <w:pStyle w:val="Amain"/>
      </w:pPr>
      <w:r>
        <w:tab/>
      </w:r>
      <w:r w:rsidRPr="006814CB">
        <w:t>(2)</w:t>
      </w:r>
      <w:r w:rsidRPr="006814CB">
        <w:tab/>
      </w:r>
      <w:r w:rsidR="00494355" w:rsidRPr="006814CB">
        <w:t>An offence against this section is a strict liability offence.</w:t>
      </w:r>
    </w:p>
    <w:p w:rsidR="00580A86" w:rsidRPr="006814CB" w:rsidRDefault="006814CB" w:rsidP="006814CB">
      <w:pPr>
        <w:pStyle w:val="AH5Sec"/>
      </w:pPr>
      <w:bookmarkStart w:id="43" w:name="_Toc516729773"/>
      <w:r w:rsidRPr="00951C4D">
        <w:rPr>
          <w:rStyle w:val="CharSectNo"/>
        </w:rPr>
        <w:t>28</w:t>
      </w:r>
      <w:r w:rsidRPr="006814CB">
        <w:tab/>
      </w:r>
      <w:r w:rsidR="00580A86" w:rsidRPr="006814CB">
        <w:t>Acquiring casino FATG terminal under authorisation</w:t>
      </w:r>
      <w:bookmarkEnd w:id="43"/>
    </w:p>
    <w:p w:rsidR="00580A86" w:rsidRPr="006814CB" w:rsidRDefault="006814CB" w:rsidP="006814CB">
      <w:pPr>
        <w:pStyle w:val="Amain"/>
        <w:keepNext/>
      </w:pPr>
      <w:r>
        <w:tab/>
      </w:r>
      <w:r w:rsidRPr="006814CB">
        <w:t>(1)</w:t>
      </w:r>
      <w:r w:rsidRPr="006814CB">
        <w:tab/>
      </w:r>
      <w:r w:rsidR="00580A86" w:rsidRPr="006814CB">
        <w:t xml:space="preserve">The casino licensee may acquire a casino FATG terminal under an authorisation only if, when the FATG terminal is acquired, the authorisation is a </w:t>
      </w:r>
      <w:r w:rsidR="00A5228B" w:rsidRPr="006814CB">
        <w:t>casino FATG terminal authorisation</w:t>
      </w:r>
      <w:r w:rsidR="00580A86" w:rsidRPr="006814CB">
        <w:t>.</w:t>
      </w:r>
    </w:p>
    <w:p w:rsidR="00580A86" w:rsidRPr="006814CB" w:rsidRDefault="00580A86" w:rsidP="006814CB">
      <w:pPr>
        <w:pStyle w:val="aNote"/>
        <w:keepNext/>
      </w:pPr>
      <w:r w:rsidRPr="006814CB">
        <w:rPr>
          <w:rStyle w:val="charItals"/>
        </w:rPr>
        <w:t>Note 1</w:t>
      </w:r>
      <w:r w:rsidRPr="006814CB">
        <w:rPr>
          <w:rStyle w:val="charItals"/>
        </w:rPr>
        <w:tab/>
      </w:r>
      <w:r w:rsidRPr="006814CB">
        <w:t xml:space="preserve">The acquisition of a </w:t>
      </w:r>
      <w:r w:rsidR="00A5228B" w:rsidRPr="006814CB">
        <w:t>casino FATG terminal authorisation</w:t>
      </w:r>
      <w:r w:rsidRPr="006814CB">
        <w:t xml:space="preserve"> is a notifiable action (see </w:t>
      </w:r>
      <w:r w:rsidR="00CF0AF9" w:rsidRPr="006814CB">
        <w:t>pt 10</w:t>
      </w:r>
      <w:r w:rsidRPr="006814CB">
        <w:t xml:space="preserve"> and </w:t>
      </w:r>
      <w:r w:rsidR="003A5ACB" w:rsidRPr="006814CB">
        <w:t>sch 2</w:t>
      </w:r>
      <w:r w:rsidRPr="006814CB">
        <w:t>).</w:t>
      </w:r>
    </w:p>
    <w:p w:rsidR="00580A86" w:rsidRPr="006814CB" w:rsidRDefault="00580A86" w:rsidP="006814CB">
      <w:pPr>
        <w:pStyle w:val="aNote"/>
        <w:keepNext/>
      </w:pPr>
      <w:r w:rsidRPr="006814CB">
        <w:rPr>
          <w:rStyle w:val="charItals"/>
        </w:rPr>
        <w:t>Note 2</w:t>
      </w:r>
      <w:r w:rsidRPr="006814CB">
        <w:tab/>
        <w:t xml:space="preserve">A notifiable action takes </w:t>
      </w:r>
      <w:r w:rsidR="008C5AC8" w:rsidRPr="006814CB">
        <w:t>effect</w:t>
      </w:r>
      <w:r w:rsidRPr="006814CB">
        <w:t>—</w:t>
      </w:r>
    </w:p>
    <w:p w:rsidR="00580A86" w:rsidRPr="006814CB" w:rsidRDefault="00580A86" w:rsidP="00580A86">
      <w:pPr>
        <w:pStyle w:val="aNotePara"/>
        <w:keepNext/>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580A86" w:rsidRPr="006814CB" w:rsidRDefault="00580A86" w:rsidP="00580A86">
      <w:pPr>
        <w:pStyle w:val="aNotePara"/>
        <w:keepNext/>
      </w:pPr>
      <w:r w:rsidRPr="006814CB">
        <w:tab/>
        <w:t>(b)</w:t>
      </w:r>
      <w:r w:rsidRPr="006814CB">
        <w:tab/>
        <w:t xml:space="preserve">if the commission allows the notifiable action to take </w:t>
      </w:r>
      <w:r w:rsidR="008C5AC8" w:rsidRPr="006814CB">
        <w:t>effect</w:t>
      </w:r>
      <w:r w:rsidRPr="006814CB">
        <w:t xml:space="preserve"> on an earlier day—that day (see s </w:t>
      </w:r>
      <w:r w:rsidR="002E0DF3" w:rsidRPr="006814CB">
        <w:t>50</w:t>
      </w:r>
      <w:r w:rsidRPr="006814CB">
        <w:t xml:space="preserve"> (b)); or</w:t>
      </w:r>
    </w:p>
    <w:p w:rsidR="00580A86" w:rsidRPr="006814CB" w:rsidRDefault="00580A86" w:rsidP="00580A86">
      <w:pPr>
        <w:pStyle w:val="aNotePara"/>
        <w:keepNext/>
      </w:pPr>
      <w:r w:rsidRPr="006814CB">
        <w:tab/>
        <w:t>(c)</w:t>
      </w:r>
      <w:r w:rsidRPr="006814CB">
        <w:tab/>
        <w:t xml:space="preserve">if the commission asks for additional information under </w:t>
      </w:r>
      <w:r w:rsidR="003A5ACB" w:rsidRPr="006814CB">
        <w:t>s </w:t>
      </w:r>
      <w:r w:rsidR="002E0DF3" w:rsidRPr="006814CB">
        <w:t>49</w:t>
      </w:r>
      <w:r w:rsidR="003A5ACB" w:rsidRPr="006814CB">
        <w:t> (3)</w:t>
      </w:r>
      <w:r w:rsidRPr="006814CB">
        <w:t>—when the commission has notified the licensee that it is satisfied in relation to the additional information (see s </w:t>
      </w:r>
      <w:r w:rsidR="002E0DF3" w:rsidRPr="006814CB">
        <w:t>50</w:t>
      </w:r>
      <w:r w:rsidRPr="006814CB">
        <w:t xml:space="preserve"> (c)).</w:t>
      </w:r>
    </w:p>
    <w:p w:rsidR="00DE422A" w:rsidRPr="006814CB" w:rsidRDefault="006814CB" w:rsidP="006814CB">
      <w:pPr>
        <w:pStyle w:val="Amain"/>
      </w:pPr>
      <w:r>
        <w:tab/>
      </w:r>
      <w:r w:rsidRPr="006814CB">
        <w:t>(2)</w:t>
      </w:r>
      <w:r w:rsidRPr="006814CB">
        <w:tab/>
      </w:r>
      <w:r w:rsidR="00DE422A" w:rsidRPr="006814CB">
        <w:t>A casino FATG terminal acquired under a casino FATG terminal authorisation must—</w:t>
      </w:r>
    </w:p>
    <w:p w:rsidR="00DE422A" w:rsidRPr="006814CB" w:rsidRDefault="006814CB" w:rsidP="006814CB">
      <w:pPr>
        <w:pStyle w:val="Apara"/>
      </w:pPr>
      <w:r>
        <w:tab/>
      </w:r>
      <w:r w:rsidRPr="006814CB">
        <w:t>(a)</w:t>
      </w:r>
      <w:r w:rsidRPr="006814CB">
        <w:tab/>
      </w:r>
      <w:r w:rsidR="00DE422A" w:rsidRPr="006814CB">
        <w:t xml:space="preserve">be able to be connected to a system (a </w:t>
      </w:r>
      <w:r w:rsidR="00DE422A" w:rsidRPr="006814CB">
        <w:rPr>
          <w:rStyle w:val="charBoldItals"/>
        </w:rPr>
        <w:t>centralised monitoring system</w:t>
      </w:r>
      <w:r w:rsidR="00DE422A" w:rsidRPr="006814CB">
        <w:t>) approved by the commission that—</w:t>
      </w:r>
    </w:p>
    <w:p w:rsidR="00DE422A" w:rsidRPr="006814CB" w:rsidRDefault="006814CB" w:rsidP="006814CB">
      <w:pPr>
        <w:pStyle w:val="Asubpara"/>
      </w:pPr>
      <w:r>
        <w:tab/>
      </w:r>
      <w:r w:rsidRPr="006814CB">
        <w:t>(i)</w:t>
      </w:r>
      <w:r w:rsidRPr="006814CB">
        <w:tab/>
      </w:r>
      <w:r w:rsidR="00DE422A" w:rsidRPr="006814CB">
        <w:t xml:space="preserve">monitors the operation and performance of casino FATG terminals; and </w:t>
      </w:r>
    </w:p>
    <w:p w:rsidR="00DE422A" w:rsidRPr="006814CB" w:rsidRDefault="006814CB" w:rsidP="006814CB">
      <w:pPr>
        <w:pStyle w:val="Asubpara"/>
      </w:pPr>
      <w:r>
        <w:tab/>
      </w:r>
      <w:r w:rsidRPr="006814CB">
        <w:t>(ii)</w:t>
      </w:r>
      <w:r w:rsidRPr="006814CB">
        <w:tab/>
      </w:r>
      <w:r w:rsidR="00DE422A" w:rsidRPr="006814CB">
        <w:t>can perform other related functions; and</w:t>
      </w:r>
    </w:p>
    <w:p w:rsidR="00DE422A" w:rsidRPr="006814CB" w:rsidRDefault="006814CB" w:rsidP="006814CB">
      <w:pPr>
        <w:pStyle w:val="Apara"/>
      </w:pPr>
      <w:r>
        <w:tab/>
      </w:r>
      <w:r w:rsidRPr="006814CB">
        <w:t>(b)</w:t>
      </w:r>
      <w:r w:rsidRPr="006814CB">
        <w:tab/>
      </w:r>
      <w:r w:rsidR="00DE422A" w:rsidRPr="006814CB">
        <w:t>satisfy any other harm minimisation requirements prescribed by regulation.</w:t>
      </w:r>
    </w:p>
    <w:p w:rsidR="00DE422A" w:rsidRPr="006814CB" w:rsidRDefault="006814CB" w:rsidP="006814CB">
      <w:pPr>
        <w:pStyle w:val="Amain"/>
        <w:keepNext/>
      </w:pPr>
      <w:r>
        <w:tab/>
      </w:r>
      <w:r w:rsidRPr="006814CB">
        <w:t>(3)</w:t>
      </w:r>
      <w:r w:rsidRPr="006814CB">
        <w:tab/>
      </w:r>
      <w:r w:rsidR="00DE422A" w:rsidRPr="006814CB">
        <w:t>An approval under subsection (2) (</w:t>
      </w:r>
      <w:r w:rsidR="00EC7538" w:rsidRPr="006814CB">
        <w:t>a</w:t>
      </w:r>
      <w:r w:rsidR="00DE422A" w:rsidRPr="006814CB">
        <w:t>) is a notifiable instrument.</w:t>
      </w:r>
    </w:p>
    <w:p w:rsidR="00DE422A" w:rsidRPr="006814CB" w:rsidRDefault="00DE422A" w:rsidP="00DE422A">
      <w:pPr>
        <w:pStyle w:val="aNote"/>
      </w:pPr>
      <w:r w:rsidRPr="006814CB">
        <w:rPr>
          <w:rStyle w:val="charItals"/>
        </w:rPr>
        <w:t>Note</w:t>
      </w:r>
      <w:r w:rsidRPr="006814CB">
        <w:rPr>
          <w:rStyle w:val="charItals"/>
        </w:rPr>
        <w:tab/>
      </w:r>
      <w:r w:rsidRPr="006814CB">
        <w:t xml:space="preserve">A notifiable instrument must be notified under the </w:t>
      </w:r>
      <w:hyperlink r:id="rId56" w:tooltip="A2001-14" w:history="1">
        <w:r w:rsidR="00253379" w:rsidRPr="006814CB">
          <w:rPr>
            <w:rStyle w:val="charCitHyperlinkAbbrev"/>
          </w:rPr>
          <w:t>Legislation Act</w:t>
        </w:r>
      </w:hyperlink>
      <w:r w:rsidRPr="006814CB">
        <w:t>.</w:t>
      </w:r>
    </w:p>
    <w:p w:rsidR="00DE422A" w:rsidRPr="006814CB" w:rsidRDefault="006814CB" w:rsidP="006814CB">
      <w:pPr>
        <w:pStyle w:val="Amain"/>
      </w:pPr>
      <w:r>
        <w:tab/>
      </w:r>
      <w:r w:rsidRPr="006814CB">
        <w:t>(4)</w:t>
      </w:r>
      <w:r w:rsidRPr="006814CB">
        <w:tab/>
      </w:r>
      <w:r w:rsidR="00DE422A" w:rsidRPr="006814CB">
        <w:t>A regulation may provide for the approval and operation of a centralised monitoring system.</w:t>
      </w:r>
    </w:p>
    <w:p w:rsidR="00DC45BC" w:rsidRPr="006814CB" w:rsidRDefault="006814CB" w:rsidP="006814CB">
      <w:pPr>
        <w:pStyle w:val="AH5Sec"/>
      </w:pPr>
      <w:bookmarkStart w:id="44" w:name="_Toc516729774"/>
      <w:r w:rsidRPr="00951C4D">
        <w:rPr>
          <w:rStyle w:val="CharSectNo"/>
        </w:rPr>
        <w:t>29</w:t>
      </w:r>
      <w:r w:rsidRPr="006814CB">
        <w:tab/>
      </w:r>
      <w:r w:rsidR="00DC45BC" w:rsidRPr="006814CB">
        <w:t xml:space="preserve">Offence—operating etc casino FATG terminals without </w:t>
      </w:r>
      <w:r w:rsidR="00A5228B" w:rsidRPr="006814CB">
        <w:t>casino FATG terminal authorisation</w:t>
      </w:r>
      <w:bookmarkEnd w:id="44"/>
    </w:p>
    <w:p w:rsidR="00DC45BC" w:rsidRPr="006814CB" w:rsidRDefault="006814CB" w:rsidP="006814CB">
      <w:pPr>
        <w:pStyle w:val="Amain"/>
      </w:pPr>
      <w:r>
        <w:tab/>
      </w:r>
      <w:r w:rsidRPr="006814CB">
        <w:t>(1)</w:t>
      </w:r>
      <w:r w:rsidRPr="006814CB">
        <w:tab/>
      </w:r>
      <w:r w:rsidR="00DC45BC" w:rsidRPr="006814CB">
        <w:t>The casino licensee commits an offence if the licensee—</w:t>
      </w:r>
    </w:p>
    <w:p w:rsidR="00DC45BC" w:rsidRPr="006814CB" w:rsidRDefault="006814CB" w:rsidP="006814CB">
      <w:pPr>
        <w:pStyle w:val="Apara"/>
      </w:pPr>
      <w:r>
        <w:tab/>
      </w:r>
      <w:r w:rsidRPr="006814CB">
        <w:t>(a)</w:t>
      </w:r>
      <w:r w:rsidRPr="006814CB">
        <w:tab/>
      </w:r>
      <w:r w:rsidR="00DC45BC" w:rsidRPr="006814CB">
        <w:t>does any of the following:</w:t>
      </w:r>
    </w:p>
    <w:p w:rsidR="00DC45BC" w:rsidRPr="006814CB" w:rsidRDefault="006814CB" w:rsidP="006814CB">
      <w:pPr>
        <w:pStyle w:val="Asubpara"/>
      </w:pPr>
      <w:r>
        <w:tab/>
      </w:r>
      <w:r w:rsidRPr="006814CB">
        <w:t>(i)</w:t>
      </w:r>
      <w:r w:rsidRPr="006814CB">
        <w:tab/>
      </w:r>
      <w:r w:rsidR="00DC45BC" w:rsidRPr="006814CB">
        <w:t>possesses a casino FATG terminal;</w:t>
      </w:r>
    </w:p>
    <w:p w:rsidR="00DC45BC" w:rsidRPr="006814CB" w:rsidRDefault="006814CB" w:rsidP="006814CB">
      <w:pPr>
        <w:pStyle w:val="Asubpara"/>
      </w:pPr>
      <w:r>
        <w:tab/>
      </w:r>
      <w:r w:rsidRPr="006814CB">
        <w:t>(ii)</w:t>
      </w:r>
      <w:r w:rsidRPr="006814CB">
        <w:tab/>
      </w:r>
      <w:r w:rsidR="00DC45BC" w:rsidRPr="006814CB">
        <w:t>permits the installation of a casino FATG terminal;</w:t>
      </w:r>
    </w:p>
    <w:p w:rsidR="00DC45BC" w:rsidRPr="006814CB" w:rsidRDefault="006814CB" w:rsidP="006814CB">
      <w:pPr>
        <w:pStyle w:val="Asubpara"/>
      </w:pPr>
      <w:r>
        <w:tab/>
      </w:r>
      <w:r w:rsidRPr="006814CB">
        <w:t>(iii)</w:t>
      </w:r>
      <w:r w:rsidRPr="006814CB">
        <w:tab/>
      </w:r>
      <w:r w:rsidR="00DC45BC" w:rsidRPr="006814CB">
        <w:t xml:space="preserve">installs a casino FATG terminal; </w:t>
      </w:r>
    </w:p>
    <w:p w:rsidR="00DC45BC" w:rsidRPr="006814CB" w:rsidRDefault="006814CB" w:rsidP="006814CB">
      <w:pPr>
        <w:pStyle w:val="Asubpara"/>
      </w:pPr>
      <w:r>
        <w:tab/>
      </w:r>
      <w:r w:rsidRPr="006814CB">
        <w:t>(iv)</w:t>
      </w:r>
      <w:r w:rsidRPr="006814CB">
        <w:tab/>
      </w:r>
      <w:r w:rsidR="00DC45BC" w:rsidRPr="006814CB">
        <w:t>permits the use of a casino FATG terminal;</w:t>
      </w:r>
    </w:p>
    <w:p w:rsidR="00DC45BC" w:rsidRPr="006814CB" w:rsidRDefault="006814CB" w:rsidP="006814CB">
      <w:pPr>
        <w:pStyle w:val="Asubpara"/>
      </w:pPr>
      <w:r>
        <w:tab/>
      </w:r>
      <w:r w:rsidRPr="006814CB">
        <w:t>(v)</w:t>
      </w:r>
      <w:r w:rsidRPr="006814CB">
        <w:tab/>
      </w:r>
      <w:r w:rsidR="00DC45BC" w:rsidRPr="006814CB">
        <w:t>uses a casino FATG terminal; and</w:t>
      </w:r>
    </w:p>
    <w:p w:rsidR="00DC45BC" w:rsidRPr="006814CB" w:rsidRDefault="006814CB" w:rsidP="006814CB">
      <w:pPr>
        <w:pStyle w:val="Apara"/>
        <w:keepNext/>
      </w:pPr>
      <w:r>
        <w:tab/>
      </w:r>
      <w:r w:rsidRPr="006814CB">
        <w:t>(b)</w:t>
      </w:r>
      <w:r w:rsidRPr="006814CB">
        <w:tab/>
      </w:r>
      <w:r w:rsidR="00DC45BC" w:rsidRPr="006814CB">
        <w:t>does not have an authorisation for the casino FATG terminal.</w:t>
      </w:r>
    </w:p>
    <w:p w:rsidR="00DC45BC" w:rsidRPr="006814CB" w:rsidRDefault="00DC45BC" w:rsidP="00DC45BC">
      <w:pPr>
        <w:pStyle w:val="Penalty"/>
        <w:keepNext/>
      </w:pPr>
      <w:r w:rsidRPr="006814CB">
        <w:t>Maximum penalty:  100 penalty units.</w:t>
      </w:r>
    </w:p>
    <w:p w:rsidR="00DC45BC" w:rsidRPr="006814CB" w:rsidRDefault="006814CB" w:rsidP="006814CB">
      <w:pPr>
        <w:pStyle w:val="Amain"/>
      </w:pPr>
      <w:r>
        <w:tab/>
      </w:r>
      <w:r w:rsidRPr="006814CB">
        <w:t>(2)</w:t>
      </w:r>
      <w:r w:rsidRPr="006814CB">
        <w:tab/>
      </w:r>
      <w:r w:rsidR="00DC45BC" w:rsidRPr="006814CB">
        <w:t>An offence against this section is a strict liability offence.</w:t>
      </w:r>
    </w:p>
    <w:p w:rsidR="00475056" w:rsidRPr="006814CB" w:rsidRDefault="00475056" w:rsidP="006814CB">
      <w:pPr>
        <w:pStyle w:val="PageBreak"/>
        <w:suppressLineNumbers/>
      </w:pPr>
      <w:r w:rsidRPr="006814CB">
        <w:br w:type="page"/>
      </w:r>
    </w:p>
    <w:p w:rsidR="00CF0AF9" w:rsidRPr="00951C4D" w:rsidRDefault="006814CB" w:rsidP="006814CB">
      <w:pPr>
        <w:pStyle w:val="AH2Part"/>
      </w:pPr>
      <w:bookmarkStart w:id="45" w:name="_Toc516729775"/>
      <w:r w:rsidRPr="00951C4D">
        <w:rPr>
          <w:rStyle w:val="CharPartNo"/>
        </w:rPr>
        <w:t>Part 7</w:t>
      </w:r>
      <w:r w:rsidRPr="006814CB">
        <w:tab/>
      </w:r>
      <w:r w:rsidR="00CF0AF9" w:rsidRPr="00951C4D">
        <w:rPr>
          <w:rStyle w:val="CharPartText"/>
        </w:rPr>
        <w:t>Casino gaming machines—pre</w:t>
      </w:r>
      <w:r w:rsidR="007B503C" w:rsidRPr="00951C4D">
        <w:rPr>
          <w:rStyle w:val="CharPartText"/>
        </w:rPr>
        <w:noBreakHyphen/>
      </w:r>
      <w:r w:rsidR="00CF0AF9" w:rsidRPr="00951C4D">
        <w:rPr>
          <w:rStyle w:val="CharPartText"/>
        </w:rPr>
        <w:t>commitment system</w:t>
      </w:r>
      <w:bookmarkEnd w:id="45"/>
    </w:p>
    <w:p w:rsidR="00CF0AF9" w:rsidRPr="006814CB" w:rsidRDefault="006814CB" w:rsidP="006814CB">
      <w:pPr>
        <w:pStyle w:val="AH5Sec"/>
      </w:pPr>
      <w:bookmarkStart w:id="46" w:name="_Toc516729776"/>
      <w:r w:rsidRPr="00951C4D">
        <w:rPr>
          <w:rStyle w:val="CharSectNo"/>
        </w:rPr>
        <w:t>30</w:t>
      </w:r>
      <w:r w:rsidRPr="006814CB">
        <w:tab/>
      </w:r>
      <w:r w:rsidR="00CF0AF9" w:rsidRPr="006814CB">
        <w:t>Definitions—pt 7</w:t>
      </w:r>
      <w:bookmarkEnd w:id="46"/>
    </w:p>
    <w:p w:rsidR="00CF0AF9" w:rsidRPr="006814CB" w:rsidRDefault="00CF0AF9" w:rsidP="00CF0AF9">
      <w:pPr>
        <w:pStyle w:val="Amainreturn"/>
      </w:pPr>
      <w:r w:rsidRPr="006814CB">
        <w:t>In this part:</w:t>
      </w:r>
    </w:p>
    <w:p w:rsidR="00712860" w:rsidRPr="006814CB" w:rsidRDefault="009704BF" w:rsidP="006814CB">
      <w:pPr>
        <w:pStyle w:val="aDef"/>
      </w:pPr>
      <w:r w:rsidRPr="006814CB">
        <w:rPr>
          <w:rStyle w:val="charBoldItals"/>
        </w:rPr>
        <w:t>net loss</w:t>
      </w:r>
      <w:r w:rsidRPr="006814CB">
        <w:t>, in relation</w:t>
      </w:r>
      <w:r w:rsidR="007B503C" w:rsidRPr="006814CB">
        <w:t xml:space="preserve"> to</w:t>
      </w:r>
      <w:r w:rsidRPr="006814CB">
        <w:t xml:space="preserve"> a person playing casino gaming machines, means the total amount the person loses when playing the gaming machines, less the amount of winnings paid for playing the gaming machines.</w:t>
      </w:r>
    </w:p>
    <w:p w:rsidR="00CF0AF9" w:rsidRPr="006814CB" w:rsidRDefault="00CF0AF9" w:rsidP="006814CB">
      <w:pPr>
        <w:pStyle w:val="aDef"/>
      </w:pPr>
      <w:r w:rsidRPr="006814CB">
        <w:rPr>
          <w:rStyle w:val="charBoldItals"/>
        </w:rPr>
        <w:t>net loss limit</w:t>
      </w:r>
      <w:r w:rsidRPr="006814CB">
        <w:t xml:space="preserve">, in relation to the playing of 1 or more casino gaming machines, means the amount a person playing the machines is </w:t>
      </w:r>
      <w:r w:rsidR="00712860" w:rsidRPr="006814CB">
        <w:t>prepared</w:t>
      </w:r>
      <w:r w:rsidRPr="006814CB">
        <w:t xml:space="preserve"> to lose </w:t>
      </w:r>
      <w:r w:rsidR="00712860" w:rsidRPr="006814CB">
        <w:t>during a</w:t>
      </w:r>
      <w:r w:rsidRPr="006814CB">
        <w:t xml:space="preserve"> playing</w:t>
      </w:r>
      <w:r w:rsidR="00712860" w:rsidRPr="006814CB">
        <w:t xml:space="preserve"> period</w:t>
      </w:r>
      <w:r w:rsidRPr="006814CB">
        <w:t>.</w:t>
      </w:r>
    </w:p>
    <w:p w:rsidR="009704BF" w:rsidRPr="006814CB" w:rsidRDefault="009704BF" w:rsidP="006814CB">
      <w:pPr>
        <w:pStyle w:val="aDef"/>
        <w:keepNext/>
      </w:pPr>
      <w:r w:rsidRPr="006814CB">
        <w:rPr>
          <w:rStyle w:val="charBoldItals"/>
        </w:rPr>
        <w:t>playing period</w:t>
      </w:r>
      <w:r w:rsidRPr="006814CB">
        <w:t xml:space="preserve"> means—</w:t>
      </w:r>
    </w:p>
    <w:p w:rsidR="009704BF" w:rsidRPr="006814CB" w:rsidRDefault="006814CB" w:rsidP="006814CB">
      <w:pPr>
        <w:pStyle w:val="aDefpara"/>
        <w:keepNext/>
      </w:pPr>
      <w:r>
        <w:tab/>
      </w:r>
      <w:r w:rsidRPr="006814CB">
        <w:t>(a)</w:t>
      </w:r>
      <w:r w:rsidRPr="006814CB">
        <w:tab/>
      </w:r>
      <w:r w:rsidR="009704BF" w:rsidRPr="006814CB">
        <w:t>24 hours; or</w:t>
      </w:r>
    </w:p>
    <w:p w:rsidR="009704BF" w:rsidRPr="006814CB" w:rsidRDefault="006814CB" w:rsidP="006814CB">
      <w:pPr>
        <w:pStyle w:val="aDefpara"/>
        <w:keepNext/>
      </w:pPr>
      <w:r>
        <w:tab/>
      </w:r>
      <w:r w:rsidRPr="006814CB">
        <w:t>(b)</w:t>
      </w:r>
      <w:r w:rsidRPr="006814CB">
        <w:tab/>
      </w:r>
      <w:r w:rsidR="009704BF" w:rsidRPr="006814CB">
        <w:t>if another period is prescribed by regulation—the prescribed period; or</w:t>
      </w:r>
    </w:p>
    <w:p w:rsidR="009704BF" w:rsidRPr="006814CB" w:rsidRDefault="006814CB" w:rsidP="006814CB">
      <w:pPr>
        <w:pStyle w:val="aDefpara"/>
      </w:pPr>
      <w:r>
        <w:tab/>
      </w:r>
      <w:r w:rsidRPr="006814CB">
        <w:t>(c)</w:t>
      </w:r>
      <w:r w:rsidRPr="006814CB">
        <w:tab/>
      </w:r>
      <w:r w:rsidR="009704BF" w:rsidRPr="006814CB">
        <w:t>if the player nominates a period longer than 24 hours or the prescribed period—the period nominated.</w:t>
      </w:r>
    </w:p>
    <w:p w:rsidR="001E5C56" w:rsidRPr="006814CB" w:rsidRDefault="001E5C56" w:rsidP="006814CB">
      <w:pPr>
        <w:pStyle w:val="aDef"/>
      </w:pPr>
      <w:r w:rsidRPr="006814CB">
        <w:rPr>
          <w:rStyle w:val="charBoldItals"/>
        </w:rPr>
        <w:t>pre-commitment information</w:t>
      </w:r>
      <w:r w:rsidRPr="006814CB">
        <w:t xml:space="preserve"> means information obtained from the pre-commitment system operated by the casino licensee about a person using the system.</w:t>
      </w:r>
    </w:p>
    <w:p w:rsidR="00CF0AF9" w:rsidRPr="006814CB" w:rsidRDefault="00CF0AF9" w:rsidP="006814CB">
      <w:pPr>
        <w:pStyle w:val="aDef"/>
      </w:pPr>
      <w:r w:rsidRPr="006814CB">
        <w:rPr>
          <w:rStyle w:val="charBoldItals"/>
        </w:rPr>
        <w:t>pre-commitment system</w:t>
      </w:r>
      <w:r w:rsidRPr="006814CB">
        <w:t xml:space="preserve">—see section </w:t>
      </w:r>
      <w:r w:rsidR="002E0DF3" w:rsidRPr="006814CB">
        <w:t>31</w:t>
      </w:r>
      <w:r w:rsidRPr="006814CB">
        <w:t>.</w:t>
      </w:r>
    </w:p>
    <w:p w:rsidR="00CF0AF9" w:rsidRPr="006814CB" w:rsidRDefault="006814CB" w:rsidP="006814CB">
      <w:pPr>
        <w:pStyle w:val="AH5Sec"/>
        <w:rPr>
          <w:rStyle w:val="charItals"/>
        </w:rPr>
      </w:pPr>
      <w:bookmarkStart w:id="47" w:name="_Toc516729777"/>
      <w:r w:rsidRPr="00951C4D">
        <w:rPr>
          <w:rStyle w:val="CharSectNo"/>
        </w:rPr>
        <w:t>31</w:t>
      </w:r>
      <w:r w:rsidRPr="00903DAE">
        <w:rPr>
          <w:rFonts w:cs="Arial"/>
        </w:rPr>
        <w:tab/>
      </w:r>
      <w:r w:rsidR="00CF0AF9" w:rsidRPr="006814CB">
        <w:t xml:space="preserve">Meaning of </w:t>
      </w:r>
      <w:r w:rsidR="00CF0AF9" w:rsidRPr="006814CB">
        <w:rPr>
          <w:rStyle w:val="charItals"/>
        </w:rPr>
        <w:t>pre-commitment system</w:t>
      </w:r>
      <w:r w:rsidR="007B503C" w:rsidRPr="006814CB">
        <w:t>—pt 7</w:t>
      </w:r>
      <w:bookmarkEnd w:id="47"/>
    </w:p>
    <w:p w:rsidR="00CF0AF9" w:rsidRPr="006814CB" w:rsidRDefault="006814CB" w:rsidP="00EF5D29">
      <w:pPr>
        <w:pStyle w:val="Amain"/>
        <w:keepNext/>
      </w:pPr>
      <w:r>
        <w:tab/>
      </w:r>
      <w:r w:rsidRPr="006814CB">
        <w:t>(1)</w:t>
      </w:r>
      <w:r w:rsidRPr="006814CB">
        <w:tab/>
      </w:r>
      <w:r w:rsidR="00CF0AF9" w:rsidRPr="006814CB">
        <w:t>In this part:</w:t>
      </w:r>
    </w:p>
    <w:p w:rsidR="00CF0AF9" w:rsidRPr="006814CB" w:rsidRDefault="00CF0AF9" w:rsidP="006814CB">
      <w:pPr>
        <w:pStyle w:val="aDef"/>
        <w:keepNext/>
      </w:pPr>
      <w:r w:rsidRPr="006814CB">
        <w:rPr>
          <w:rStyle w:val="charBoldItals"/>
        </w:rPr>
        <w:t xml:space="preserve">pre-commitment system </w:t>
      </w:r>
      <w:r w:rsidRPr="006814CB">
        <w:t xml:space="preserve">(or </w:t>
      </w:r>
      <w:r w:rsidRPr="006814CB">
        <w:rPr>
          <w:rStyle w:val="charBoldItals"/>
        </w:rPr>
        <w:t>PCS</w:t>
      </w:r>
      <w:r w:rsidRPr="006814CB">
        <w:t>), for a casino gaming machine, means an electronic, computer or communications system approved by the commission that, by interfacing with equipment or devices that identify a person intending to play the machine—</w:t>
      </w:r>
    </w:p>
    <w:p w:rsidR="00CF0AF9" w:rsidRPr="006814CB" w:rsidRDefault="006814CB" w:rsidP="006814CB">
      <w:pPr>
        <w:pStyle w:val="aDefpara"/>
        <w:keepNext/>
      </w:pPr>
      <w:r>
        <w:tab/>
      </w:r>
      <w:r w:rsidRPr="006814CB">
        <w:t>(a)</w:t>
      </w:r>
      <w:r w:rsidRPr="006814CB">
        <w:tab/>
      </w:r>
      <w:r w:rsidR="00CF0AF9" w:rsidRPr="006814CB">
        <w:t>requires the person to set a net loss limit in relation to playing casino gaming machine</w:t>
      </w:r>
      <w:r w:rsidR="0027743F" w:rsidRPr="006814CB">
        <w:t>s</w:t>
      </w:r>
      <w:r w:rsidR="00CF0AF9" w:rsidRPr="006814CB">
        <w:t>; and</w:t>
      </w:r>
    </w:p>
    <w:p w:rsidR="00CF0AF9" w:rsidRPr="006814CB" w:rsidRDefault="006814CB" w:rsidP="006814CB">
      <w:pPr>
        <w:pStyle w:val="aDefpara"/>
        <w:keepNext/>
      </w:pPr>
      <w:r>
        <w:tab/>
      </w:r>
      <w:r w:rsidRPr="006814CB">
        <w:t>(b)</w:t>
      </w:r>
      <w:r w:rsidRPr="006814CB">
        <w:tab/>
      </w:r>
      <w:r w:rsidR="00CF0AF9" w:rsidRPr="006814CB">
        <w:t xml:space="preserve">allows the person to set a limit on the </w:t>
      </w:r>
      <w:r w:rsidR="00ED7623" w:rsidRPr="006814CB">
        <w:t>period</w:t>
      </w:r>
      <w:r w:rsidR="00CF0AF9" w:rsidRPr="006814CB">
        <w:t xml:space="preserve"> the person can play casino gaming machines in a single visit to the casino; and</w:t>
      </w:r>
    </w:p>
    <w:p w:rsidR="00CF0AF9" w:rsidRPr="006814CB" w:rsidRDefault="006814CB" w:rsidP="006814CB">
      <w:pPr>
        <w:pStyle w:val="aDefpara"/>
      </w:pPr>
      <w:r>
        <w:tab/>
      </w:r>
      <w:r w:rsidRPr="006814CB">
        <w:t>(c)</w:t>
      </w:r>
      <w:r w:rsidRPr="006814CB">
        <w:tab/>
      </w:r>
      <w:r w:rsidR="00CF0AF9" w:rsidRPr="006814CB">
        <w:t>prevents the person playing a casino gaming machine if the net loss limit is reached</w:t>
      </w:r>
      <w:r w:rsidR="00ED7623" w:rsidRPr="006814CB">
        <w:t xml:space="preserve"> or the period ends</w:t>
      </w:r>
      <w:r w:rsidR="00CF0AF9" w:rsidRPr="006814CB">
        <w:t>.</w:t>
      </w:r>
    </w:p>
    <w:p w:rsidR="00CF0AF9" w:rsidRPr="006814CB" w:rsidRDefault="006814CB" w:rsidP="006814CB">
      <w:pPr>
        <w:pStyle w:val="Amain"/>
        <w:keepNext/>
      </w:pPr>
      <w:r>
        <w:tab/>
      </w:r>
      <w:r w:rsidRPr="006814CB">
        <w:t>(2)</w:t>
      </w:r>
      <w:r w:rsidRPr="006814CB">
        <w:tab/>
      </w:r>
      <w:r w:rsidR="00CF0AF9" w:rsidRPr="006814CB">
        <w:t>An approval is a notifiable instrument.</w:t>
      </w:r>
    </w:p>
    <w:p w:rsidR="00CF0AF9" w:rsidRPr="006814CB" w:rsidRDefault="00CF0AF9" w:rsidP="00CF0AF9">
      <w:pPr>
        <w:pStyle w:val="aNote"/>
      </w:pPr>
      <w:r w:rsidRPr="006814CB">
        <w:rPr>
          <w:rStyle w:val="charItals"/>
        </w:rPr>
        <w:t>Note</w:t>
      </w:r>
      <w:r w:rsidRPr="006814CB">
        <w:rPr>
          <w:rStyle w:val="charItals"/>
        </w:rPr>
        <w:tab/>
      </w:r>
      <w:r w:rsidRPr="006814CB">
        <w:t xml:space="preserve">A notifiable instrument must be notified under the </w:t>
      </w:r>
      <w:hyperlink r:id="rId57" w:tooltip="A2001-14" w:history="1">
        <w:r w:rsidR="00253379" w:rsidRPr="006814CB">
          <w:rPr>
            <w:rStyle w:val="charCitHyperlinkAbbrev"/>
          </w:rPr>
          <w:t>Legislation Act</w:t>
        </w:r>
      </w:hyperlink>
      <w:r w:rsidRPr="006814CB">
        <w:t xml:space="preserve">. </w:t>
      </w:r>
    </w:p>
    <w:p w:rsidR="00CF0AF9" w:rsidRPr="006814CB" w:rsidRDefault="006814CB" w:rsidP="006814CB">
      <w:pPr>
        <w:pStyle w:val="AH5Sec"/>
      </w:pPr>
      <w:bookmarkStart w:id="48" w:name="_Toc516729778"/>
      <w:r w:rsidRPr="00951C4D">
        <w:rPr>
          <w:rStyle w:val="CharSectNo"/>
        </w:rPr>
        <w:t>32</w:t>
      </w:r>
      <w:r w:rsidRPr="006814CB">
        <w:tab/>
      </w:r>
      <w:r w:rsidR="00CF0AF9" w:rsidRPr="006814CB">
        <w:t>Casino licensee must provide PCS for casino gaming machines</w:t>
      </w:r>
      <w:bookmarkEnd w:id="48"/>
    </w:p>
    <w:p w:rsidR="00CF0AF9" w:rsidRPr="006814CB" w:rsidRDefault="006814CB" w:rsidP="006814CB">
      <w:pPr>
        <w:pStyle w:val="Amain"/>
      </w:pPr>
      <w:r>
        <w:tab/>
      </w:r>
      <w:r w:rsidRPr="006814CB">
        <w:t>(1)</w:t>
      </w:r>
      <w:r w:rsidRPr="006814CB">
        <w:tab/>
      </w:r>
      <w:r w:rsidR="00CF0AF9" w:rsidRPr="006814CB">
        <w:t>The casino licensee must—</w:t>
      </w:r>
    </w:p>
    <w:p w:rsidR="00CF0AF9" w:rsidRPr="006814CB" w:rsidRDefault="006814CB" w:rsidP="006814CB">
      <w:pPr>
        <w:pStyle w:val="Apara"/>
      </w:pPr>
      <w:r>
        <w:tab/>
      </w:r>
      <w:r w:rsidRPr="006814CB">
        <w:t>(a)</w:t>
      </w:r>
      <w:r w:rsidRPr="006814CB">
        <w:tab/>
      </w:r>
      <w:r w:rsidR="00CF0AF9" w:rsidRPr="006814CB">
        <w:t>provide, operate and maintain a PCS in connection with casino gaming machines operated in the casino; and</w:t>
      </w:r>
    </w:p>
    <w:p w:rsidR="00CF0AF9" w:rsidRPr="006814CB" w:rsidRDefault="006814CB" w:rsidP="006814CB">
      <w:pPr>
        <w:pStyle w:val="Apara"/>
      </w:pPr>
      <w:r>
        <w:tab/>
      </w:r>
      <w:r w:rsidRPr="006814CB">
        <w:t>(b)</w:t>
      </w:r>
      <w:r w:rsidRPr="006814CB">
        <w:tab/>
      </w:r>
      <w:r w:rsidR="00CF0AF9" w:rsidRPr="006814CB">
        <w:t>provide any services associated with the PCS.</w:t>
      </w:r>
    </w:p>
    <w:p w:rsidR="00CF0AF9" w:rsidRPr="006814CB" w:rsidRDefault="006814CB" w:rsidP="006814CB">
      <w:pPr>
        <w:pStyle w:val="Amain"/>
      </w:pPr>
      <w:r>
        <w:tab/>
      </w:r>
      <w:r w:rsidRPr="006814CB">
        <w:t>(2)</w:t>
      </w:r>
      <w:r w:rsidRPr="006814CB">
        <w:tab/>
      </w:r>
      <w:r w:rsidR="00CF0AF9" w:rsidRPr="006814CB">
        <w:t>The casino licensee must ensure the PCS meets the following requirements:</w:t>
      </w:r>
    </w:p>
    <w:p w:rsidR="00CF0AF9" w:rsidRPr="006814CB" w:rsidRDefault="006814CB" w:rsidP="006814CB">
      <w:pPr>
        <w:pStyle w:val="Apara"/>
      </w:pPr>
      <w:r>
        <w:tab/>
      </w:r>
      <w:r w:rsidRPr="006814CB">
        <w:t>(a)</w:t>
      </w:r>
      <w:r w:rsidRPr="006814CB">
        <w:tab/>
      </w:r>
      <w:r w:rsidR="00CF0AF9" w:rsidRPr="006814CB">
        <w:t xml:space="preserve">the PCS prevents a person (a </w:t>
      </w:r>
      <w:r w:rsidR="00CF0AF9" w:rsidRPr="006814CB">
        <w:rPr>
          <w:rStyle w:val="charBoldItals"/>
        </w:rPr>
        <w:t>player</w:t>
      </w:r>
      <w:r w:rsidR="00CF0AF9" w:rsidRPr="006814CB">
        <w:t>) playing a casino gaming machine until the person has set a net loss limit;</w:t>
      </w:r>
    </w:p>
    <w:p w:rsidR="009704BF" w:rsidRPr="006814CB" w:rsidRDefault="006814CB" w:rsidP="006814CB">
      <w:pPr>
        <w:pStyle w:val="Apara"/>
      </w:pPr>
      <w:r>
        <w:tab/>
      </w:r>
      <w:r w:rsidRPr="006814CB">
        <w:t>(b)</w:t>
      </w:r>
      <w:r w:rsidRPr="006814CB">
        <w:tab/>
      </w:r>
      <w:r w:rsidR="009704BF" w:rsidRPr="006814CB">
        <w:t>t</w:t>
      </w:r>
      <w:r w:rsidR="0037381B" w:rsidRPr="006814CB">
        <w:t xml:space="preserve">he PCS allows a player to set the amount of a </w:t>
      </w:r>
      <w:r w:rsidR="009704BF" w:rsidRPr="006814CB">
        <w:t xml:space="preserve">net loss limit </w:t>
      </w:r>
      <w:r w:rsidR="0037381B" w:rsidRPr="006814CB">
        <w:t>as</w:t>
      </w:r>
      <w:r w:rsidR="009704BF" w:rsidRPr="006814CB">
        <w:t xml:space="preserve"> nil;</w:t>
      </w:r>
    </w:p>
    <w:p w:rsidR="00CF0AF9" w:rsidRPr="006814CB" w:rsidRDefault="006814CB" w:rsidP="006814CB">
      <w:pPr>
        <w:pStyle w:val="Apara"/>
      </w:pPr>
      <w:r>
        <w:tab/>
      </w:r>
      <w:r w:rsidRPr="006814CB">
        <w:t>(c)</w:t>
      </w:r>
      <w:r w:rsidRPr="006814CB">
        <w:tab/>
      </w:r>
      <w:r w:rsidR="00CF0AF9" w:rsidRPr="006814CB">
        <w:t xml:space="preserve">the net loss limit set by a player applies for a </w:t>
      </w:r>
      <w:r w:rsidR="009704BF" w:rsidRPr="006814CB">
        <w:t xml:space="preserve">playing </w:t>
      </w:r>
      <w:r w:rsidR="00CF0AF9" w:rsidRPr="006814CB">
        <w:t>period</w:t>
      </w:r>
      <w:r w:rsidR="009704BF" w:rsidRPr="006814CB">
        <w:t>;</w:t>
      </w:r>
    </w:p>
    <w:p w:rsidR="00D71AE2" w:rsidRPr="006814CB" w:rsidRDefault="006814CB" w:rsidP="006814CB">
      <w:pPr>
        <w:pStyle w:val="Apara"/>
      </w:pPr>
      <w:r>
        <w:tab/>
      </w:r>
      <w:r w:rsidRPr="006814CB">
        <w:t>(d)</w:t>
      </w:r>
      <w:r w:rsidRPr="006814CB">
        <w:tab/>
      </w:r>
      <w:r w:rsidR="00662618" w:rsidRPr="006814CB">
        <w:t>if</w:t>
      </w:r>
      <w:r w:rsidR="00ED7623" w:rsidRPr="006814CB">
        <w:t xml:space="preserve"> the player has set a net loss limit for a playing period, </w:t>
      </w:r>
      <w:r w:rsidR="00D71AE2" w:rsidRPr="006814CB">
        <w:t xml:space="preserve">the PCS prevents </w:t>
      </w:r>
      <w:r w:rsidR="00ED7623" w:rsidRPr="006814CB">
        <w:t>the</w:t>
      </w:r>
      <w:r w:rsidR="00D71AE2" w:rsidRPr="006814CB">
        <w:t xml:space="preserve"> player setting </w:t>
      </w:r>
      <w:r w:rsidR="00ED7623" w:rsidRPr="006814CB">
        <w:t>a higher</w:t>
      </w:r>
      <w:r w:rsidR="00D71AE2" w:rsidRPr="006814CB">
        <w:t xml:space="preserve"> net loss limit for </w:t>
      </w:r>
      <w:r w:rsidR="00ED7623" w:rsidRPr="006814CB">
        <w:t>th</w:t>
      </w:r>
      <w:r w:rsidR="00662618" w:rsidRPr="006814CB">
        <w:t xml:space="preserve">at </w:t>
      </w:r>
      <w:r w:rsidR="00D71AE2" w:rsidRPr="006814CB">
        <w:t>playing period;</w:t>
      </w:r>
    </w:p>
    <w:p w:rsidR="00CF0AF9" w:rsidRPr="006814CB" w:rsidRDefault="006814CB" w:rsidP="006814CB">
      <w:pPr>
        <w:pStyle w:val="Apara"/>
      </w:pPr>
      <w:r>
        <w:tab/>
      </w:r>
      <w:r w:rsidRPr="006814CB">
        <w:t>(e)</w:t>
      </w:r>
      <w:r w:rsidRPr="006814CB">
        <w:tab/>
      </w:r>
      <w:r w:rsidR="00CF0AF9" w:rsidRPr="006814CB">
        <w:t xml:space="preserve">the PCS allows a player to nominate a maximum period during which the player can play casino gaming machines (the </w:t>
      </w:r>
      <w:r w:rsidR="00CF0AF9" w:rsidRPr="006814CB">
        <w:rPr>
          <w:rStyle w:val="charBoldItals"/>
        </w:rPr>
        <w:t>voluntary</w:t>
      </w:r>
      <w:r w:rsidR="00CF0AF9" w:rsidRPr="006814CB">
        <w:t xml:space="preserve"> </w:t>
      </w:r>
      <w:r w:rsidR="00CF0AF9" w:rsidRPr="006814CB">
        <w:rPr>
          <w:rStyle w:val="charBoldItals"/>
        </w:rPr>
        <w:t>maximum period</w:t>
      </w:r>
      <w:r w:rsidR="00CF0AF9" w:rsidRPr="006814CB">
        <w:t>);</w:t>
      </w:r>
    </w:p>
    <w:p w:rsidR="0027743F" w:rsidRPr="006814CB" w:rsidRDefault="006814CB" w:rsidP="006814CB">
      <w:pPr>
        <w:pStyle w:val="Apara"/>
      </w:pPr>
      <w:r>
        <w:tab/>
      </w:r>
      <w:r w:rsidRPr="006814CB">
        <w:t>(f)</w:t>
      </w:r>
      <w:r w:rsidRPr="006814CB">
        <w:tab/>
      </w:r>
      <w:r w:rsidR="0027743F" w:rsidRPr="006814CB">
        <w:t>the PCS prevents a player from continuing to play casino gaming machine</w:t>
      </w:r>
      <w:r w:rsidR="00562E39" w:rsidRPr="006814CB">
        <w:t>s</w:t>
      </w:r>
      <w:r w:rsidR="0027743F" w:rsidRPr="006814CB">
        <w:t xml:space="preserve"> after whichever of the following </w:t>
      </w:r>
      <w:r w:rsidR="009704BF" w:rsidRPr="006814CB">
        <w:t>happens</w:t>
      </w:r>
      <w:r w:rsidR="0027743F" w:rsidRPr="006814CB">
        <w:t xml:space="preserve"> first:</w:t>
      </w:r>
    </w:p>
    <w:p w:rsidR="0027743F" w:rsidRPr="006814CB" w:rsidRDefault="006814CB" w:rsidP="006814CB">
      <w:pPr>
        <w:pStyle w:val="Asubpara"/>
      </w:pPr>
      <w:r>
        <w:tab/>
      </w:r>
      <w:r w:rsidRPr="006814CB">
        <w:t>(i)</w:t>
      </w:r>
      <w:r w:rsidRPr="006814CB">
        <w:tab/>
      </w:r>
      <w:r w:rsidR="0027743F" w:rsidRPr="006814CB">
        <w:t>the player’s net loss limit is reached;</w:t>
      </w:r>
    </w:p>
    <w:p w:rsidR="0027743F" w:rsidRPr="006814CB" w:rsidRDefault="006814CB" w:rsidP="006814CB">
      <w:pPr>
        <w:pStyle w:val="Asubpara"/>
      </w:pPr>
      <w:r>
        <w:tab/>
      </w:r>
      <w:r w:rsidRPr="006814CB">
        <w:t>(ii)</w:t>
      </w:r>
      <w:r w:rsidRPr="006814CB">
        <w:tab/>
      </w:r>
      <w:r w:rsidR="00562E39" w:rsidRPr="006814CB">
        <w:t>if the player nominates a voluntary maximum period—</w:t>
      </w:r>
      <w:r w:rsidR="0027743F" w:rsidRPr="006814CB">
        <w:t>th</w:t>
      </w:r>
      <w:r w:rsidR="009704BF" w:rsidRPr="006814CB">
        <w:t>e voluntary maximum period ends.</w:t>
      </w:r>
    </w:p>
    <w:p w:rsidR="00CF0AF9" w:rsidRPr="006814CB" w:rsidRDefault="006814CB" w:rsidP="006814CB">
      <w:pPr>
        <w:pStyle w:val="AH5Sec"/>
      </w:pPr>
      <w:bookmarkStart w:id="49" w:name="_Toc516729779"/>
      <w:r w:rsidRPr="00951C4D">
        <w:rPr>
          <w:rStyle w:val="CharSectNo"/>
        </w:rPr>
        <w:t>33</w:t>
      </w:r>
      <w:r w:rsidRPr="006814CB">
        <w:tab/>
      </w:r>
      <w:r w:rsidR="00CF0AF9" w:rsidRPr="006814CB">
        <w:t>PCS—offences</w:t>
      </w:r>
      <w:bookmarkEnd w:id="49"/>
    </w:p>
    <w:p w:rsidR="00CF0AF9" w:rsidRPr="006814CB" w:rsidRDefault="006814CB" w:rsidP="006814CB">
      <w:pPr>
        <w:pStyle w:val="Amain"/>
      </w:pPr>
      <w:r>
        <w:tab/>
      </w:r>
      <w:r w:rsidRPr="006814CB">
        <w:t>(1)</w:t>
      </w:r>
      <w:r w:rsidRPr="006814CB">
        <w:tab/>
      </w:r>
      <w:r w:rsidR="00CF0AF9" w:rsidRPr="006814CB">
        <w:t>The casino licensee commits an offence if—</w:t>
      </w:r>
    </w:p>
    <w:p w:rsidR="00CF0AF9" w:rsidRPr="006814CB" w:rsidRDefault="006814CB" w:rsidP="006814CB">
      <w:pPr>
        <w:pStyle w:val="Apara"/>
      </w:pPr>
      <w:r>
        <w:tab/>
      </w:r>
      <w:r w:rsidRPr="006814CB">
        <w:t>(a)</w:t>
      </w:r>
      <w:r w:rsidRPr="006814CB">
        <w:tab/>
      </w:r>
      <w:r w:rsidR="00CF0AF9" w:rsidRPr="006814CB">
        <w:t>a casino gaming machine is operated in the casino; and</w:t>
      </w:r>
    </w:p>
    <w:p w:rsidR="00CF0AF9" w:rsidRPr="006814CB" w:rsidRDefault="006814CB" w:rsidP="006814CB">
      <w:pPr>
        <w:pStyle w:val="Apara"/>
        <w:keepNext/>
      </w:pPr>
      <w:r>
        <w:tab/>
      </w:r>
      <w:r w:rsidRPr="006814CB">
        <w:t>(b)</w:t>
      </w:r>
      <w:r w:rsidRPr="006814CB">
        <w:tab/>
      </w:r>
      <w:r w:rsidR="00CF0AF9" w:rsidRPr="006814CB">
        <w:t>the gaming machine is not connected to a PCS.</w:t>
      </w:r>
    </w:p>
    <w:p w:rsidR="00CF0AF9" w:rsidRPr="006814CB" w:rsidRDefault="00CF0AF9" w:rsidP="00CF0AF9">
      <w:pPr>
        <w:pStyle w:val="Penalty"/>
      </w:pPr>
      <w:r w:rsidRPr="006814CB">
        <w:t>Maximum penalty:  100 penalty units.</w:t>
      </w:r>
    </w:p>
    <w:p w:rsidR="00CF0AF9" w:rsidRPr="006814CB" w:rsidRDefault="006814CB" w:rsidP="006814CB">
      <w:pPr>
        <w:pStyle w:val="Amain"/>
        <w:keepNext/>
      </w:pPr>
      <w:r>
        <w:tab/>
      </w:r>
      <w:r w:rsidRPr="006814CB">
        <w:t>(2)</w:t>
      </w:r>
      <w:r w:rsidRPr="006814CB">
        <w:tab/>
      </w:r>
      <w:r w:rsidR="00CF0AF9" w:rsidRPr="006814CB">
        <w:t>Subsection (1) does not apply if the casino licensee took all reasonable steps to ensure the casino gaming machine was connected to a PCS.</w:t>
      </w:r>
    </w:p>
    <w:p w:rsidR="00CF0AF9" w:rsidRPr="006814CB" w:rsidRDefault="00CF0AF9" w:rsidP="00CF0AF9">
      <w:pPr>
        <w:pStyle w:val="aNote"/>
      </w:pPr>
      <w:r w:rsidRPr="006814CB">
        <w:rPr>
          <w:rStyle w:val="charItals"/>
        </w:rPr>
        <w:t>Note</w:t>
      </w:r>
      <w:r w:rsidRPr="006814CB">
        <w:rPr>
          <w:rStyle w:val="charItals"/>
        </w:rPr>
        <w:tab/>
      </w:r>
      <w:r w:rsidRPr="006814CB">
        <w:t xml:space="preserve">The defendant has an evidential burden in relation </w:t>
      </w:r>
      <w:r w:rsidR="0028517F" w:rsidRPr="006814CB">
        <w:t>to the matters mentioned in s (2</w:t>
      </w:r>
      <w:r w:rsidRPr="006814CB">
        <w:t xml:space="preserve">) (see </w:t>
      </w:r>
      <w:hyperlink r:id="rId58" w:tooltip="A2002-51" w:history="1">
        <w:r w:rsidR="00253379" w:rsidRPr="006814CB">
          <w:rPr>
            <w:rStyle w:val="charCitHyperlinkAbbrev"/>
          </w:rPr>
          <w:t>Criminal Code</w:t>
        </w:r>
      </w:hyperlink>
      <w:r w:rsidRPr="006814CB">
        <w:t>, s 58).</w:t>
      </w:r>
    </w:p>
    <w:p w:rsidR="00CF0AF9" w:rsidRPr="006814CB" w:rsidRDefault="006814CB" w:rsidP="006814CB">
      <w:pPr>
        <w:pStyle w:val="Amain"/>
      </w:pPr>
      <w:r>
        <w:tab/>
      </w:r>
      <w:r w:rsidRPr="006814CB">
        <w:t>(3)</w:t>
      </w:r>
      <w:r w:rsidRPr="006814CB">
        <w:tab/>
      </w:r>
      <w:r w:rsidR="00CF0AF9" w:rsidRPr="006814CB">
        <w:t>The casino licensee commits an offence if—</w:t>
      </w:r>
    </w:p>
    <w:p w:rsidR="00CF0AF9" w:rsidRPr="006814CB" w:rsidRDefault="006814CB" w:rsidP="006814CB">
      <w:pPr>
        <w:pStyle w:val="Apara"/>
      </w:pPr>
      <w:r>
        <w:tab/>
      </w:r>
      <w:r w:rsidRPr="006814CB">
        <w:t>(a)</w:t>
      </w:r>
      <w:r w:rsidRPr="006814CB">
        <w:tab/>
      </w:r>
      <w:r w:rsidR="00CF0AF9" w:rsidRPr="006814CB">
        <w:t>a casino gaming machine is operated in the casino; and</w:t>
      </w:r>
    </w:p>
    <w:p w:rsidR="00CF0AF9" w:rsidRPr="006814CB" w:rsidRDefault="006814CB" w:rsidP="006814CB">
      <w:pPr>
        <w:pStyle w:val="Apara"/>
      </w:pPr>
      <w:r>
        <w:tab/>
      </w:r>
      <w:r w:rsidRPr="006814CB">
        <w:t>(b)</w:t>
      </w:r>
      <w:r w:rsidRPr="006814CB">
        <w:tab/>
      </w:r>
      <w:r w:rsidR="00CF0AF9" w:rsidRPr="006814CB">
        <w:t>the gaming machine is connected to a PCS; and</w:t>
      </w:r>
    </w:p>
    <w:p w:rsidR="00CF0AF9" w:rsidRPr="006814CB" w:rsidRDefault="006814CB" w:rsidP="006814CB">
      <w:pPr>
        <w:pStyle w:val="Apara"/>
        <w:keepNext/>
      </w:pPr>
      <w:r>
        <w:tab/>
      </w:r>
      <w:r w:rsidRPr="006814CB">
        <w:t>(c)</w:t>
      </w:r>
      <w:r w:rsidRPr="006814CB">
        <w:tab/>
      </w:r>
      <w:r w:rsidR="00CF0AF9" w:rsidRPr="006814CB">
        <w:t xml:space="preserve">the PCS is not functioning in the manner in which it is </w:t>
      </w:r>
      <w:r w:rsidR="00ED7623" w:rsidRPr="006814CB">
        <w:t>approved by the commis</w:t>
      </w:r>
      <w:r w:rsidR="00662618" w:rsidRPr="006814CB">
        <w:t>s</w:t>
      </w:r>
      <w:r w:rsidR="00ED7623" w:rsidRPr="006814CB">
        <w:t>ion</w:t>
      </w:r>
      <w:r w:rsidR="00CF0AF9" w:rsidRPr="006814CB">
        <w:t xml:space="preserve"> to function.</w:t>
      </w:r>
    </w:p>
    <w:p w:rsidR="00CF0AF9" w:rsidRPr="006814CB" w:rsidRDefault="00CF0AF9" w:rsidP="00CF0AF9">
      <w:pPr>
        <w:pStyle w:val="Penalty"/>
      </w:pPr>
      <w:r w:rsidRPr="006814CB">
        <w:t>Maximum penalty:  100 penalty units.</w:t>
      </w:r>
    </w:p>
    <w:p w:rsidR="00CF0AF9" w:rsidRPr="006814CB" w:rsidRDefault="006814CB" w:rsidP="006814CB">
      <w:pPr>
        <w:pStyle w:val="Amain"/>
        <w:keepNext/>
      </w:pPr>
      <w:r>
        <w:tab/>
      </w:r>
      <w:r w:rsidRPr="006814CB">
        <w:t>(4)</w:t>
      </w:r>
      <w:r w:rsidRPr="006814CB">
        <w:tab/>
      </w:r>
      <w:r w:rsidR="0027743F" w:rsidRPr="006814CB">
        <w:t>Subsection</w:t>
      </w:r>
      <w:r w:rsidR="00CF0AF9" w:rsidRPr="006814CB">
        <w:t xml:space="preserve"> (3) does not apply if the casino licensee took all reasonable steps to ensure the PCS was functioning in the manner in which it was </w:t>
      </w:r>
      <w:r w:rsidR="00ED7623" w:rsidRPr="006814CB">
        <w:t>approved by the commis</w:t>
      </w:r>
      <w:r w:rsidR="00662618" w:rsidRPr="006814CB">
        <w:t>s</w:t>
      </w:r>
      <w:r w:rsidR="00ED7623" w:rsidRPr="006814CB">
        <w:t xml:space="preserve">ion </w:t>
      </w:r>
      <w:r w:rsidR="00CF0AF9" w:rsidRPr="006814CB">
        <w:t xml:space="preserve">to function.  </w:t>
      </w:r>
    </w:p>
    <w:p w:rsidR="00CF0AF9" w:rsidRPr="006814CB" w:rsidRDefault="00CF0AF9" w:rsidP="00CF0AF9">
      <w:pPr>
        <w:pStyle w:val="aNote"/>
      </w:pPr>
      <w:r w:rsidRPr="006814CB">
        <w:rPr>
          <w:rStyle w:val="charItals"/>
        </w:rPr>
        <w:t>Note</w:t>
      </w:r>
      <w:r w:rsidRPr="006814CB">
        <w:rPr>
          <w:rStyle w:val="charItals"/>
        </w:rPr>
        <w:tab/>
      </w:r>
      <w:r w:rsidRPr="006814CB">
        <w:t xml:space="preserve">The defendant has an evidential burden in relation to the matters mentioned in s (4) (see </w:t>
      </w:r>
      <w:hyperlink r:id="rId59" w:tooltip="A2002-51" w:history="1">
        <w:r w:rsidR="00253379" w:rsidRPr="006814CB">
          <w:rPr>
            <w:rStyle w:val="charCitHyperlinkAbbrev"/>
          </w:rPr>
          <w:t>Criminal Code</w:t>
        </w:r>
      </w:hyperlink>
      <w:r w:rsidRPr="006814CB">
        <w:t>, s 58).</w:t>
      </w:r>
    </w:p>
    <w:p w:rsidR="0028517F" w:rsidRPr="006814CB" w:rsidRDefault="006814CB" w:rsidP="006814CB">
      <w:pPr>
        <w:pStyle w:val="Amain"/>
      </w:pPr>
      <w:r>
        <w:tab/>
      </w:r>
      <w:r w:rsidRPr="006814CB">
        <w:t>(5)</w:t>
      </w:r>
      <w:r w:rsidRPr="006814CB">
        <w:tab/>
      </w:r>
      <w:r w:rsidR="0028517F" w:rsidRPr="006814CB">
        <w:t>An offence against this section is a strict liability offence.</w:t>
      </w:r>
    </w:p>
    <w:p w:rsidR="00CF0AF9" w:rsidRPr="006814CB" w:rsidRDefault="006814CB" w:rsidP="006814CB">
      <w:pPr>
        <w:pStyle w:val="AH5Sec"/>
      </w:pPr>
      <w:bookmarkStart w:id="50" w:name="_Toc516729780"/>
      <w:r w:rsidRPr="00951C4D">
        <w:rPr>
          <w:rStyle w:val="CharSectNo"/>
        </w:rPr>
        <w:t>34</w:t>
      </w:r>
      <w:r w:rsidRPr="006814CB">
        <w:tab/>
      </w:r>
      <w:r w:rsidR="00CF0AF9" w:rsidRPr="006814CB">
        <w:t>PCS—</w:t>
      </w:r>
      <w:r w:rsidR="00135BDD" w:rsidRPr="006814CB">
        <w:t xml:space="preserve">use or </w:t>
      </w:r>
      <w:r w:rsidR="00CF0AF9" w:rsidRPr="006814CB">
        <w:t>disclosure of pre-commitment information</w:t>
      </w:r>
      <w:bookmarkEnd w:id="50"/>
    </w:p>
    <w:p w:rsidR="00CF0AF9" w:rsidRPr="006814CB" w:rsidRDefault="006814CB" w:rsidP="006814CB">
      <w:pPr>
        <w:pStyle w:val="Amain"/>
      </w:pPr>
      <w:r>
        <w:tab/>
      </w:r>
      <w:r w:rsidRPr="006814CB">
        <w:t>(1)</w:t>
      </w:r>
      <w:r w:rsidRPr="006814CB">
        <w:tab/>
      </w:r>
      <w:r w:rsidR="00CF0AF9" w:rsidRPr="006814CB">
        <w:t xml:space="preserve">A person may </w:t>
      </w:r>
      <w:r w:rsidR="00D71AE2" w:rsidRPr="006814CB">
        <w:t xml:space="preserve">use </w:t>
      </w:r>
      <w:r w:rsidR="00135BDD" w:rsidRPr="006814CB">
        <w:t xml:space="preserve">or disclose </w:t>
      </w:r>
      <w:r w:rsidR="00CF0AF9" w:rsidRPr="006814CB">
        <w:t>pre-commitment information only in the following circumstances:</w:t>
      </w:r>
    </w:p>
    <w:p w:rsidR="00CF0AF9" w:rsidRPr="006814CB" w:rsidRDefault="006814CB" w:rsidP="006814CB">
      <w:pPr>
        <w:pStyle w:val="Apara"/>
      </w:pPr>
      <w:r>
        <w:tab/>
      </w:r>
      <w:r w:rsidRPr="006814CB">
        <w:t>(a)</w:t>
      </w:r>
      <w:r w:rsidRPr="006814CB">
        <w:tab/>
      </w:r>
      <w:r w:rsidR="00CF0AF9" w:rsidRPr="006814CB">
        <w:t xml:space="preserve">if the person has the </w:t>
      </w:r>
      <w:r w:rsidR="0063385C" w:rsidRPr="006814CB">
        <w:t>consent</w:t>
      </w:r>
      <w:r w:rsidR="0028517F" w:rsidRPr="006814CB">
        <w:t xml:space="preserve"> of the person to whom the information relates</w:t>
      </w:r>
      <w:r w:rsidR="00CF0AF9" w:rsidRPr="006814CB">
        <w:t>;</w:t>
      </w:r>
    </w:p>
    <w:p w:rsidR="009015D7" w:rsidRPr="006814CB" w:rsidRDefault="006814CB" w:rsidP="006814CB">
      <w:pPr>
        <w:pStyle w:val="Apara"/>
      </w:pPr>
      <w:r>
        <w:tab/>
      </w:r>
      <w:r w:rsidRPr="006814CB">
        <w:t>(b)</w:t>
      </w:r>
      <w:r w:rsidRPr="006814CB">
        <w:tab/>
      </w:r>
      <w:r w:rsidR="009015D7" w:rsidRPr="006814CB">
        <w:t>if the use or disclosure of the information is required or authorised by or under an Australian law or a court or tribunal order;</w:t>
      </w:r>
    </w:p>
    <w:p w:rsidR="00CF0AF9" w:rsidRPr="006814CB" w:rsidRDefault="006814CB" w:rsidP="006814CB">
      <w:pPr>
        <w:pStyle w:val="Apara"/>
      </w:pPr>
      <w:r>
        <w:tab/>
      </w:r>
      <w:r w:rsidRPr="006814CB">
        <w:t>(c)</w:t>
      </w:r>
      <w:r w:rsidRPr="006814CB">
        <w:tab/>
      </w:r>
      <w:r w:rsidR="00CF0AF9" w:rsidRPr="006814CB">
        <w:t>if the person discloses the information to a member of a law enforcement agency for use in connection with the detection, investigation or prosecution of an offence;</w:t>
      </w:r>
    </w:p>
    <w:p w:rsidR="00CF0AF9" w:rsidRPr="006814CB" w:rsidRDefault="006814CB" w:rsidP="006814CB">
      <w:pPr>
        <w:pStyle w:val="Apara"/>
      </w:pPr>
      <w:r>
        <w:tab/>
      </w:r>
      <w:r w:rsidRPr="006814CB">
        <w:t>(d)</w:t>
      </w:r>
      <w:r w:rsidRPr="006814CB">
        <w:tab/>
      </w:r>
      <w:r w:rsidR="00CF0AF9" w:rsidRPr="006814CB">
        <w:t xml:space="preserve">if the person </w:t>
      </w:r>
      <w:r w:rsidR="00135BDD" w:rsidRPr="006814CB">
        <w:t xml:space="preserve">uses or </w:t>
      </w:r>
      <w:r w:rsidR="00CF0AF9" w:rsidRPr="006814CB">
        <w:t>discloses</w:t>
      </w:r>
      <w:r w:rsidR="00D71AE2" w:rsidRPr="006814CB">
        <w:t xml:space="preserve"> </w:t>
      </w:r>
      <w:r w:rsidR="00CF0AF9" w:rsidRPr="006814CB">
        <w:t xml:space="preserve">the information in </w:t>
      </w:r>
      <w:r w:rsidR="00495273" w:rsidRPr="006814CB">
        <w:t xml:space="preserve">relation to </w:t>
      </w:r>
      <w:r w:rsidR="00CF0AF9" w:rsidRPr="006814CB">
        <w:t>the performance of a function under this Act</w:t>
      </w:r>
      <w:r w:rsidR="0063385C" w:rsidRPr="006814CB">
        <w:t xml:space="preserve"> or another gaming law</w:t>
      </w:r>
      <w:r w:rsidR="00CF0AF9" w:rsidRPr="006814CB">
        <w:t>;</w:t>
      </w:r>
    </w:p>
    <w:p w:rsidR="00CF0AF9" w:rsidRPr="006814CB" w:rsidRDefault="006814CB" w:rsidP="006814CB">
      <w:pPr>
        <w:pStyle w:val="Apara"/>
      </w:pPr>
      <w:r>
        <w:tab/>
      </w:r>
      <w:r w:rsidRPr="006814CB">
        <w:t>(e)</w:t>
      </w:r>
      <w:r w:rsidRPr="006814CB">
        <w:tab/>
      </w:r>
      <w:r w:rsidR="00CF0AF9" w:rsidRPr="006814CB">
        <w:t xml:space="preserve">if the information the person </w:t>
      </w:r>
      <w:r w:rsidR="00135BDD" w:rsidRPr="006814CB">
        <w:t xml:space="preserve">uses or discloses </w:t>
      </w:r>
      <w:r w:rsidR="00CF0AF9" w:rsidRPr="006814CB">
        <w:t>has lawfully been made publicly available;</w:t>
      </w:r>
    </w:p>
    <w:p w:rsidR="0063385C" w:rsidRPr="006814CB" w:rsidRDefault="006814CB" w:rsidP="006814CB">
      <w:pPr>
        <w:pStyle w:val="Apara"/>
      </w:pPr>
      <w:r>
        <w:tab/>
      </w:r>
      <w:r w:rsidRPr="006814CB">
        <w:t>(f)</w:t>
      </w:r>
      <w:r w:rsidRPr="006814CB">
        <w:tab/>
      </w:r>
      <w:r w:rsidR="0063385C" w:rsidRPr="006814CB">
        <w:t>if the person discloses the information to the Minister or the administrative unit responsible for this Act and the information is de-identified;</w:t>
      </w:r>
    </w:p>
    <w:p w:rsidR="00CF0AF9" w:rsidRPr="006814CB" w:rsidRDefault="006814CB" w:rsidP="006814CB">
      <w:pPr>
        <w:pStyle w:val="Apara"/>
      </w:pPr>
      <w:r>
        <w:tab/>
      </w:r>
      <w:r w:rsidRPr="006814CB">
        <w:t>(g)</w:t>
      </w:r>
      <w:r w:rsidRPr="006814CB">
        <w:tab/>
      </w:r>
      <w:r w:rsidR="00CF0AF9" w:rsidRPr="006814CB">
        <w:t xml:space="preserve">if the person discloses </w:t>
      </w:r>
      <w:r w:rsidR="0063385C" w:rsidRPr="006814CB">
        <w:t xml:space="preserve">the </w:t>
      </w:r>
      <w:r w:rsidR="00CF0AF9" w:rsidRPr="006814CB">
        <w:t>information to a person who conducts research and t</w:t>
      </w:r>
      <w:r w:rsidR="007B503C" w:rsidRPr="006814CB">
        <w:t>he information is de-identified;</w:t>
      </w:r>
    </w:p>
    <w:p w:rsidR="00D71AE2" w:rsidRPr="006814CB" w:rsidRDefault="006814CB" w:rsidP="006814CB">
      <w:pPr>
        <w:pStyle w:val="Apara"/>
      </w:pPr>
      <w:r>
        <w:tab/>
      </w:r>
      <w:r w:rsidRPr="006814CB">
        <w:t>(h)</w:t>
      </w:r>
      <w:r w:rsidRPr="006814CB">
        <w:tab/>
      </w:r>
      <w:r w:rsidR="00D71AE2" w:rsidRPr="006814CB">
        <w:t>if both of the following apply:</w:t>
      </w:r>
    </w:p>
    <w:p w:rsidR="00D71AE2" w:rsidRPr="006814CB" w:rsidRDefault="006814CB" w:rsidP="006814CB">
      <w:pPr>
        <w:pStyle w:val="Asubpara"/>
      </w:pPr>
      <w:r>
        <w:tab/>
      </w:r>
      <w:r w:rsidRPr="006814CB">
        <w:t>(i)</w:t>
      </w:r>
      <w:r w:rsidRPr="006814CB">
        <w:tab/>
      </w:r>
      <w:r w:rsidR="0063385C" w:rsidRPr="006814CB">
        <w:t>it is unreasonable or impracticable to obtain consent to the use or disclosure from the individual to whom the pre-commitment information relates;</w:t>
      </w:r>
    </w:p>
    <w:p w:rsidR="0063385C" w:rsidRPr="006814CB" w:rsidRDefault="006814CB" w:rsidP="006814CB">
      <w:pPr>
        <w:pStyle w:val="Asubpara"/>
        <w:keepNext/>
      </w:pPr>
      <w:r>
        <w:tab/>
      </w:r>
      <w:r w:rsidRPr="006814CB">
        <w:t>(ii)</w:t>
      </w:r>
      <w:r w:rsidRPr="006814CB">
        <w:tab/>
      </w:r>
      <w:r w:rsidR="0063385C" w:rsidRPr="006814CB">
        <w:t>the person reasonably believes that the use or disclosure is necessary to lessen or prevent a serious threat to the life, health or safety of an individual</w:t>
      </w:r>
      <w:r w:rsidR="00ED7623" w:rsidRPr="006814CB">
        <w:t>, or to public health or safety.</w:t>
      </w:r>
    </w:p>
    <w:p w:rsidR="00CF0AF9" w:rsidRPr="006814CB" w:rsidRDefault="00CF0AF9" w:rsidP="00CF0AF9">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60" w:tooltip="A2001-14" w:history="1">
        <w:r w:rsidR="00253379" w:rsidRPr="006814CB">
          <w:rPr>
            <w:rStyle w:val="charCitHyperlinkAbbrev"/>
          </w:rPr>
          <w:t>Legislation Act</w:t>
        </w:r>
      </w:hyperlink>
      <w:r w:rsidRPr="006814CB">
        <w:t>, s 104).</w:t>
      </w:r>
    </w:p>
    <w:p w:rsidR="00CF0AF9" w:rsidRPr="006814CB" w:rsidRDefault="006814CB" w:rsidP="006814CB">
      <w:pPr>
        <w:pStyle w:val="Amain"/>
      </w:pPr>
      <w:r>
        <w:tab/>
      </w:r>
      <w:r w:rsidRPr="006814CB">
        <w:t>(2)</w:t>
      </w:r>
      <w:r w:rsidRPr="006814CB">
        <w:tab/>
      </w:r>
      <w:r w:rsidR="00CF0AF9" w:rsidRPr="006814CB">
        <w:t>A person commits an offence if—</w:t>
      </w:r>
    </w:p>
    <w:p w:rsidR="00CF0AF9" w:rsidRPr="006814CB" w:rsidRDefault="006814CB" w:rsidP="006814CB">
      <w:pPr>
        <w:pStyle w:val="Apara"/>
      </w:pPr>
      <w:r>
        <w:tab/>
      </w:r>
      <w:r w:rsidRPr="006814CB">
        <w:t>(a)</w:t>
      </w:r>
      <w:r w:rsidRPr="006814CB">
        <w:tab/>
      </w:r>
      <w:r w:rsidR="00CF0AF9" w:rsidRPr="006814CB">
        <w:t xml:space="preserve">the person discloses </w:t>
      </w:r>
      <w:r w:rsidR="0028517F" w:rsidRPr="006814CB">
        <w:t xml:space="preserve">or uses </w:t>
      </w:r>
      <w:r w:rsidR="00CF0AF9" w:rsidRPr="006814CB">
        <w:t>pre-commitment information; and</w:t>
      </w:r>
    </w:p>
    <w:p w:rsidR="00CF0AF9" w:rsidRPr="006814CB" w:rsidRDefault="006814CB" w:rsidP="006814CB">
      <w:pPr>
        <w:pStyle w:val="Apara"/>
        <w:keepNext/>
      </w:pPr>
      <w:r>
        <w:tab/>
      </w:r>
      <w:r w:rsidRPr="006814CB">
        <w:t>(b)</w:t>
      </w:r>
      <w:r w:rsidRPr="006814CB">
        <w:tab/>
      </w:r>
      <w:r w:rsidR="00CF0AF9" w:rsidRPr="006814CB">
        <w:t xml:space="preserve">the disclosure </w:t>
      </w:r>
      <w:r w:rsidR="0028517F" w:rsidRPr="006814CB">
        <w:t xml:space="preserve">or use </w:t>
      </w:r>
      <w:r w:rsidR="00CF0AF9" w:rsidRPr="006814CB">
        <w:t>is not in accordance with subsection (1).</w:t>
      </w:r>
    </w:p>
    <w:p w:rsidR="00CF0AF9" w:rsidRPr="006814CB" w:rsidRDefault="00CF0AF9" w:rsidP="00CF0AF9">
      <w:pPr>
        <w:pStyle w:val="Penalty"/>
      </w:pPr>
      <w:r w:rsidRPr="006814CB">
        <w:t>Maximum penalty:  50 penalty units.</w:t>
      </w:r>
    </w:p>
    <w:p w:rsidR="00CF0AF9" w:rsidRPr="006814CB" w:rsidRDefault="006814CB" w:rsidP="006814CB">
      <w:pPr>
        <w:pStyle w:val="Amain"/>
      </w:pPr>
      <w:r>
        <w:tab/>
      </w:r>
      <w:r w:rsidRPr="006814CB">
        <w:t>(3)</w:t>
      </w:r>
      <w:r w:rsidRPr="006814CB">
        <w:tab/>
      </w:r>
      <w:r w:rsidR="00CF0AF9" w:rsidRPr="006814CB">
        <w:t>An offence against subsection (2) is a strict liability offence.</w:t>
      </w:r>
    </w:p>
    <w:p w:rsidR="00CF0AF9" w:rsidRPr="006814CB" w:rsidRDefault="006814CB" w:rsidP="006814CB">
      <w:pPr>
        <w:pStyle w:val="Amain"/>
      </w:pPr>
      <w:r>
        <w:tab/>
      </w:r>
      <w:r w:rsidRPr="006814CB">
        <w:t>(4)</w:t>
      </w:r>
      <w:r w:rsidRPr="006814CB">
        <w:tab/>
      </w:r>
      <w:r w:rsidR="00CF0AF9" w:rsidRPr="006814CB">
        <w:t>In this section:</w:t>
      </w:r>
    </w:p>
    <w:p w:rsidR="00CF0AF9" w:rsidRPr="006814CB" w:rsidRDefault="00CF0AF9" w:rsidP="006814CB">
      <w:pPr>
        <w:pStyle w:val="aDef"/>
        <w:keepNext/>
      </w:pPr>
      <w:r w:rsidRPr="006814CB">
        <w:rPr>
          <w:rStyle w:val="charBoldItals"/>
        </w:rPr>
        <w:t>law enforcement agency</w:t>
      </w:r>
      <w:r w:rsidRPr="006814CB">
        <w:t>—</w:t>
      </w:r>
    </w:p>
    <w:p w:rsidR="00CF0AF9" w:rsidRPr="006814CB" w:rsidRDefault="006814CB" w:rsidP="006814CB">
      <w:pPr>
        <w:pStyle w:val="aDefpara"/>
        <w:keepNext/>
      </w:pPr>
      <w:r>
        <w:tab/>
      </w:r>
      <w:r w:rsidRPr="006814CB">
        <w:t>(a)</w:t>
      </w:r>
      <w:r w:rsidRPr="006814CB">
        <w:tab/>
      </w:r>
      <w:r w:rsidR="00CF0AF9" w:rsidRPr="006814CB">
        <w:t xml:space="preserve">see the </w:t>
      </w:r>
      <w:hyperlink r:id="rId61" w:tooltip="A2000-48" w:history="1">
        <w:r w:rsidR="00253379" w:rsidRPr="006814CB">
          <w:rPr>
            <w:rStyle w:val="charCitHyperlinkItal"/>
          </w:rPr>
          <w:t>Spent Convictions Act 2000</w:t>
        </w:r>
      </w:hyperlink>
      <w:r w:rsidR="00CF0AF9" w:rsidRPr="006814CB">
        <w:t>, dictionary; and</w:t>
      </w:r>
    </w:p>
    <w:p w:rsidR="00CF0AF9" w:rsidRPr="006814CB" w:rsidRDefault="006814CB" w:rsidP="006814CB">
      <w:pPr>
        <w:pStyle w:val="aDefpara"/>
      </w:pPr>
      <w:r>
        <w:tab/>
      </w:r>
      <w:r w:rsidRPr="006814CB">
        <w:t>(b)</w:t>
      </w:r>
      <w:r w:rsidRPr="006814CB">
        <w:tab/>
      </w:r>
      <w:r w:rsidR="00CF0AF9" w:rsidRPr="006814CB">
        <w:t xml:space="preserve">includes an entity prescribed by regulation. </w:t>
      </w:r>
    </w:p>
    <w:p w:rsidR="00CF0AF9" w:rsidRPr="006814CB" w:rsidRDefault="006814CB" w:rsidP="006814CB">
      <w:pPr>
        <w:pStyle w:val="AH5Sec"/>
      </w:pPr>
      <w:bookmarkStart w:id="51" w:name="_Toc516729781"/>
      <w:r w:rsidRPr="00951C4D">
        <w:rPr>
          <w:rStyle w:val="CharSectNo"/>
        </w:rPr>
        <w:t>35</w:t>
      </w:r>
      <w:r w:rsidRPr="006814CB">
        <w:tab/>
      </w:r>
      <w:r w:rsidR="00CF0AF9" w:rsidRPr="006814CB">
        <w:t>Regulations about PCS</w:t>
      </w:r>
      <w:bookmarkEnd w:id="51"/>
    </w:p>
    <w:p w:rsidR="00CF0AF9" w:rsidRPr="006814CB" w:rsidRDefault="006814CB" w:rsidP="00EF5D29">
      <w:pPr>
        <w:pStyle w:val="Amain"/>
        <w:keepNext/>
      </w:pPr>
      <w:r>
        <w:tab/>
      </w:r>
      <w:r w:rsidRPr="006814CB">
        <w:t>(1)</w:t>
      </w:r>
      <w:r w:rsidRPr="006814CB">
        <w:tab/>
      </w:r>
      <w:r w:rsidR="00CF0AF9" w:rsidRPr="006814CB">
        <w:t>A regulation may provide for the approval and operation of a PCS.</w:t>
      </w:r>
    </w:p>
    <w:p w:rsidR="00C423DC" w:rsidRPr="006814CB" w:rsidRDefault="006814CB" w:rsidP="00EF5D29">
      <w:pPr>
        <w:pStyle w:val="Amain"/>
        <w:keepNext/>
      </w:pPr>
      <w:r>
        <w:tab/>
      </w:r>
      <w:r w:rsidRPr="006814CB">
        <w:t>(2)</w:t>
      </w:r>
      <w:r w:rsidRPr="006814CB">
        <w:tab/>
      </w:r>
      <w:r w:rsidR="00CF0AF9" w:rsidRPr="006814CB">
        <w:t xml:space="preserve">In particular, a regulation may </w:t>
      </w:r>
      <w:r w:rsidR="00C423DC" w:rsidRPr="006814CB">
        <w:t>make provision in relation to the following:</w:t>
      </w:r>
    </w:p>
    <w:p w:rsidR="00CF0AF9" w:rsidRPr="006814CB" w:rsidRDefault="006814CB" w:rsidP="00EF5D29">
      <w:pPr>
        <w:pStyle w:val="Apara"/>
        <w:keepNext/>
      </w:pPr>
      <w:r>
        <w:tab/>
      </w:r>
      <w:r w:rsidRPr="006814CB">
        <w:t>(a)</w:t>
      </w:r>
      <w:r w:rsidRPr="006814CB">
        <w:tab/>
      </w:r>
      <w:r w:rsidR="00CF0AF9" w:rsidRPr="006814CB">
        <w:t>the period for whic</w:t>
      </w:r>
      <w:r w:rsidR="001E5C56" w:rsidRPr="006814CB">
        <w:t>h a pre-commitment is in force;</w:t>
      </w:r>
    </w:p>
    <w:p w:rsidR="00C423DC" w:rsidRPr="006814CB" w:rsidRDefault="006814CB" w:rsidP="006814CB">
      <w:pPr>
        <w:pStyle w:val="Apara"/>
      </w:pPr>
      <w:r>
        <w:tab/>
      </w:r>
      <w:r w:rsidRPr="006814CB">
        <w:t>(b)</w:t>
      </w:r>
      <w:r w:rsidRPr="006814CB">
        <w:tab/>
      </w:r>
      <w:r w:rsidR="00C423DC" w:rsidRPr="006814CB">
        <w:t>the collection of pre-commitment information;</w:t>
      </w:r>
    </w:p>
    <w:p w:rsidR="001E5C56" w:rsidRPr="006814CB" w:rsidRDefault="006814CB" w:rsidP="006814CB">
      <w:pPr>
        <w:pStyle w:val="Apara"/>
      </w:pPr>
      <w:r>
        <w:tab/>
      </w:r>
      <w:r w:rsidRPr="006814CB">
        <w:t>(c)</w:t>
      </w:r>
      <w:r w:rsidRPr="006814CB">
        <w:tab/>
      </w:r>
      <w:r w:rsidR="001E5C56" w:rsidRPr="006814CB">
        <w:t>the secure storage of pre-commitment information.</w:t>
      </w:r>
    </w:p>
    <w:p w:rsidR="002634F4" w:rsidRPr="006814CB" w:rsidRDefault="002634F4" w:rsidP="006814CB">
      <w:pPr>
        <w:pStyle w:val="PageBreak"/>
        <w:suppressLineNumbers/>
      </w:pPr>
      <w:r w:rsidRPr="006814CB">
        <w:br w:type="page"/>
      </w:r>
    </w:p>
    <w:p w:rsidR="005E4887" w:rsidRPr="00951C4D" w:rsidRDefault="006814CB" w:rsidP="006814CB">
      <w:pPr>
        <w:pStyle w:val="AH2Part"/>
      </w:pPr>
      <w:bookmarkStart w:id="52" w:name="_Toc516729782"/>
      <w:r w:rsidRPr="00951C4D">
        <w:rPr>
          <w:rStyle w:val="CharPartNo"/>
        </w:rPr>
        <w:t>Part 8</w:t>
      </w:r>
      <w:r w:rsidRPr="006814CB">
        <w:tab/>
      </w:r>
      <w:r w:rsidR="005E4887" w:rsidRPr="00951C4D">
        <w:rPr>
          <w:rStyle w:val="CharPartText"/>
        </w:rPr>
        <w:t>Amendment</w:t>
      </w:r>
      <w:r w:rsidR="00216FDD" w:rsidRPr="00951C4D">
        <w:rPr>
          <w:rStyle w:val="CharPartText"/>
        </w:rPr>
        <w:t>,</w:t>
      </w:r>
      <w:r w:rsidR="00855579" w:rsidRPr="00951C4D">
        <w:rPr>
          <w:rStyle w:val="CharPartText"/>
        </w:rPr>
        <w:t xml:space="preserve"> surrender </w:t>
      </w:r>
      <w:r w:rsidR="00216FDD" w:rsidRPr="00951C4D">
        <w:rPr>
          <w:rStyle w:val="CharPartText"/>
        </w:rPr>
        <w:t xml:space="preserve">and cancellation </w:t>
      </w:r>
      <w:r w:rsidR="005E4887" w:rsidRPr="00951C4D">
        <w:rPr>
          <w:rStyle w:val="CharPartText"/>
        </w:rPr>
        <w:t>of authorisation certificates and authorisation schedules</w:t>
      </w:r>
      <w:bookmarkEnd w:id="52"/>
    </w:p>
    <w:p w:rsidR="003620DA" w:rsidRPr="006814CB" w:rsidRDefault="006814CB" w:rsidP="006814CB">
      <w:pPr>
        <w:pStyle w:val="AH5Sec"/>
      </w:pPr>
      <w:bookmarkStart w:id="53" w:name="_Toc516729783"/>
      <w:r w:rsidRPr="00951C4D">
        <w:rPr>
          <w:rStyle w:val="CharSectNo"/>
        </w:rPr>
        <w:t>36</w:t>
      </w:r>
      <w:r w:rsidRPr="006814CB">
        <w:tab/>
      </w:r>
      <w:r w:rsidR="003620DA" w:rsidRPr="006814CB">
        <w:t>Authorisation certificate amendment—application</w:t>
      </w:r>
      <w:bookmarkEnd w:id="53"/>
    </w:p>
    <w:p w:rsidR="003620DA" w:rsidRPr="006814CB" w:rsidRDefault="006814CB" w:rsidP="006814CB">
      <w:pPr>
        <w:pStyle w:val="Amain"/>
      </w:pPr>
      <w:r>
        <w:tab/>
      </w:r>
      <w:r w:rsidRPr="006814CB">
        <w:t>(1)</w:t>
      </w:r>
      <w:r w:rsidRPr="006814CB">
        <w:tab/>
      </w:r>
      <w:r w:rsidR="003620DA" w:rsidRPr="006814CB">
        <w:t xml:space="preserve">The casino licensee may apply, in writing, to the commission </w:t>
      </w:r>
      <w:r w:rsidR="007E56EA" w:rsidRPr="006814CB">
        <w:t xml:space="preserve">(an </w:t>
      </w:r>
      <w:r w:rsidR="007E56EA" w:rsidRPr="006814CB">
        <w:rPr>
          <w:rStyle w:val="charBoldItals"/>
        </w:rPr>
        <w:t>authorisation certificate amendment application</w:t>
      </w:r>
      <w:r w:rsidR="007E56EA" w:rsidRPr="006814CB">
        <w:t xml:space="preserve">) </w:t>
      </w:r>
      <w:r w:rsidR="003620DA" w:rsidRPr="006814CB">
        <w:t xml:space="preserve">for an amendment of an authorisation certificate </w:t>
      </w:r>
      <w:r w:rsidR="007E56EA" w:rsidRPr="006814CB">
        <w:t xml:space="preserve">(a </w:t>
      </w:r>
      <w:r w:rsidR="007E56EA" w:rsidRPr="006814CB">
        <w:rPr>
          <w:rStyle w:val="charBoldItals"/>
        </w:rPr>
        <w:t>gaming area amendment</w:t>
      </w:r>
      <w:r w:rsidR="007E56EA" w:rsidRPr="006814CB">
        <w:t xml:space="preserve">) </w:t>
      </w:r>
      <w:r w:rsidR="003620DA" w:rsidRPr="006814CB">
        <w:t>only to do any of the following at the casino:</w:t>
      </w:r>
    </w:p>
    <w:p w:rsidR="003620DA" w:rsidRPr="006814CB" w:rsidRDefault="006814CB" w:rsidP="006814CB">
      <w:pPr>
        <w:pStyle w:val="Apara"/>
      </w:pPr>
      <w:r>
        <w:tab/>
      </w:r>
      <w:r w:rsidRPr="006814CB">
        <w:t>(a)</w:t>
      </w:r>
      <w:r w:rsidRPr="006814CB">
        <w:tab/>
      </w:r>
      <w:r w:rsidR="003620DA" w:rsidRPr="006814CB">
        <w:t>change the size or shape of the proposed gaming area, or part of the proposed gaming area;</w:t>
      </w:r>
    </w:p>
    <w:p w:rsidR="003620DA" w:rsidRPr="006814CB" w:rsidRDefault="006814CB" w:rsidP="006814CB">
      <w:pPr>
        <w:pStyle w:val="Apara"/>
      </w:pPr>
      <w:r>
        <w:tab/>
      </w:r>
      <w:r w:rsidRPr="006814CB">
        <w:t>(b)</w:t>
      </w:r>
      <w:r w:rsidRPr="006814CB">
        <w:tab/>
      </w:r>
      <w:r w:rsidR="003620DA" w:rsidRPr="006814CB">
        <w:t>change the location of proposed gaming area;</w:t>
      </w:r>
    </w:p>
    <w:p w:rsidR="003620DA" w:rsidRPr="006814CB" w:rsidRDefault="006814CB" w:rsidP="006814CB">
      <w:pPr>
        <w:pStyle w:val="Apara"/>
        <w:keepNext/>
      </w:pPr>
      <w:r>
        <w:tab/>
      </w:r>
      <w:r w:rsidRPr="006814CB">
        <w:t>(c)</w:t>
      </w:r>
      <w:r w:rsidRPr="006814CB">
        <w:tab/>
      </w:r>
      <w:r w:rsidR="007E56EA" w:rsidRPr="006814CB">
        <w:t>add another gaming area.</w:t>
      </w:r>
    </w:p>
    <w:p w:rsidR="003620DA" w:rsidRPr="006814CB" w:rsidRDefault="003620DA" w:rsidP="006814CB">
      <w:pPr>
        <w:pStyle w:val="aNote"/>
        <w:keepNext/>
      </w:pPr>
      <w:r w:rsidRPr="006814CB">
        <w:rPr>
          <w:rStyle w:val="charItals"/>
        </w:rPr>
        <w:t>Note 1</w:t>
      </w:r>
      <w:r w:rsidRPr="006814CB">
        <w:rPr>
          <w:rStyle w:val="charItals"/>
        </w:rPr>
        <w:tab/>
      </w:r>
      <w:r w:rsidRPr="006814CB">
        <w:rPr>
          <w:rStyle w:val="charBoldItals"/>
        </w:rPr>
        <w:t>Proposed gaming area</w:t>
      </w:r>
      <w:r w:rsidRPr="006814CB">
        <w:t xml:space="preserve">—see s </w:t>
      </w:r>
      <w:r w:rsidR="002E0DF3" w:rsidRPr="006814CB">
        <w:t>21</w:t>
      </w:r>
      <w:r w:rsidRPr="006814CB">
        <w:t xml:space="preserve"> (3) (b).</w:t>
      </w:r>
    </w:p>
    <w:p w:rsidR="003620DA" w:rsidRPr="006814CB" w:rsidRDefault="003620DA" w:rsidP="003620DA">
      <w:pPr>
        <w:pStyle w:val="aNote"/>
        <w:keepNext/>
      </w:pPr>
      <w:r w:rsidRPr="006814CB">
        <w:rPr>
          <w:rStyle w:val="charItals"/>
        </w:rPr>
        <w:t>Note 2</w:t>
      </w:r>
      <w:r w:rsidRPr="006814CB">
        <w:rPr>
          <w:rStyle w:val="charItals"/>
        </w:rPr>
        <w:tab/>
      </w:r>
      <w:r w:rsidRPr="006814CB">
        <w:t xml:space="preserve">If a form is approved under the </w:t>
      </w:r>
      <w:hyperlink r:id="rId62" w:tooltip="Gambling and Racing Control Act 1999" w:history="1">
        <w:r w:rsidR="005151B1" w:rsidRPr="006814CB">
          <w:rPr>
            <w:rStyle w:val="charCitHyperlinkAbbrev"/>
          </w:rPr>
          <w:t>Control Act</w:t>
        </w:r>
      </w:hyperlink>
      <w:r w:rsidRPr="006814CB">
        <w:t>, s 53D for an application, the form must be used.</w:t>
      </w:r>
    </w:p>
    <w:p w:rsidR="003620DA" w:rsidRPr="006814CB" w:rsidRDefault="003620DA" w:rsidP="003620DA">
      <w:pPr>
        <w:pStyle w:val="aNote"/>
        <w:keepNext/>
      </w:pPr>
      <w:r w:rsidRPr="006814CB">
        <w:rPr>
          <w:rStyle w:val="charItals"/>
        </w:rPr>
        <w:t>Note 3</w:t>
      </w:r>
      <w:r w:rsidRPr="006814CB">
        <w:tab/>
        <w:t>A fee may be determined under s </w:t>
      </w:r>
      <w:r w:rsidR="002E0DF3" w:rsidRPr="006814CB">
        <w:t>53</w:t>
      </w:r>
      <w:r w:rsidRPr="006814CB">
        <w:t xml:space="preserve"> for an application.</w:t>
      </w:r>
    </w:p>
    <w:p w:rsidR="003620DA" w:rsidRPr="006814CB" w:rsidRDefault="006814CB" w:rsidP="006814CB">
      <w:pPr>
        <w:pStyle w:val="Amain"/>
      </w:pPr>
      <w:r>
        <w:tab/>
      </w:r>
      <w:r w:rsidRPr="006814CB">
        <w:t>(2)</w:t>
      </w:r>
      <w:r w:rsidRPr="006814CB">
        <w:tab/>
      </w:r>
      <w:r w:rsidR="003620DA" w:rsidRPr="006814CB">
        <w:t xml:space="preserve">To remove any doubt, a licensee does not need to apply for a gaming area amendment, or any other authorisation amendment, to move a gaming machine from </w:t>
      </w:r>
      <w:r w:rsidR="007B503C" w:rsidRPr="006814CB">
        <w:t>1</w:t>
      </w:r>
      <w:r w:rsidR="003620DA" w:rsidRPr="006814CB">
        <w:t xml:space="preserve"> part of a gaming area to another part of the gaming area.</w:t>
      </w:r>
    </w:p>
    <w:p w:rsidR="003620DA" w:rsidRPr="006814CB" w:rsidRDefault="006814CB" w:rsidP="006814CB">
      <w:pPr>
        <w:pStyle w:val="AH5Sec"/>
      </w:pPr>
      <w:bookmarkStart w:id="54" w:name="_Toc516729784"/>
      <w:r w:rsidRPr="00951C4D">
        <w:rPr>
          <w:rStyle w:val="CharSectNo"/>
        </w:rPr>
        <w:t>37</w:t>
      </w:r>
      <w:r w:rsidRPr="006814CB">
        <w:tab/>
      </w:r>
      <w:r w:rsidR="003620DA" w:rsidRPr="006814CB">
        <w:t>Authorisation certificate amendment—contents of application</w:t>
      </w:r>
      <w:bookmarkEnd w:id="54"/>
    </w:p>
    <w:p w:rsidR="003620DA" w:rsidRPr="006814CB" w:rsidRDefault="006814CB" w:rsidP="00C32FF9">
      <w:pPr>
        <w:pStyle w:val="Amain"/>
        <w:keepNext/>
      </w:pPr>
      <w:r>
        <w:tab/>
      </w:r>
      <w:r w:rsidRPr="006814CB">
        <w:t>(1)</w:t>
      </w:r>
      <w:r w:rsidRPr="006814CB">
        <w:tab/>
      </w:r>
      <w:r w:rsidR="003620DA" w:rsidRPr="006814CB">
        <w:t>An authorisation certificate amendment application must—</w:t>
      </w:r>
    </w:p>
    <w:p w:rsidR="003620DA" w:rsidRPr="006814CB" w:rsidRDefault="006814CB" w:rsidP="00C32FF9">
      <w:pPr>
        <w:pStyle w:val="Apara"/>
        <w:keepNext/>
      </w:pPr>
      <w:r>
        <w:tab/>
      </w:r>
      <w:r w:rsidRPr="006814CB">
        <w:t>(a)</w:t>
      </w:r>
      <w:r w:rsidRPr="006814CB">
        <w:tab/>
      </w:r>
      <w:r w:rsidR="003620DA" w:rsidRPr="006814CB">
        <w:t>be in writing signed by the casino licensee; and</w:t>
      </w:r>
    </w:p>
    <w:p w:rsidR="003620DA" w:rsidRPr="006814CB" w:rsidRDefault="006814CB" w:rsidP="008A6370">
      <w:pPr>
        <w:pStyle w:val="Apara"/>
        <w:keepNext/>
      </w:pPr>
      <w:r>
        <w:tab/>
      </w:r>
      <w:r w:rsidRPr="006814CB">
        <w:t>(b)</w:t>
      </w:r>
      <w:r w:rsidRPr="006814CB">
        <w:tab/>
      </w:r>
      <w:r w:rsidR="003620DA" w:rsidRPr="006814CB">
        <w:t>set out the proposed amendment of the authorisation certificate; and</w:t>
      </w:r>
    </w:p>
    <w:p w:rsidR="003620DA" w:rsidRPr="006814CB" w:rsidRDefault="006814CB" w:rsidP="006814CB">
      <w:pPr>
        <w:pStyle w:val="Apara"/>
      </w:pPr>
      <w:r>
        <w:tab/>
      </w:r>
      <w:r w:rsidRPr="006814CB">
        <w:t>(c)</w:t>
      </w:r>
      <w:r w:rsidRPr="006814CB">
        <w:tab/>
      </w:r>
      <w:r w:rsidR="003620DA" w:rsidRPr="006814CB">
        <w:t xml:space="preserve">explain why the </w:t>
      </w:r>
      <w:r w:rsidR="00F31467" w:rsidRPr="006814CB">
        <w:t>casino licensee</w:t>
      </w:r>
      <w:r w:rsidR="003620DA" w:rsidRPr="006814CB">
        <w:t xml:space="preserve"> is seeking the amendment; and</w:t>
      </w:r>
    </w:p>
    <w:p w:rsidR="003620DA" w:rsidRPr="006814CB" w:rsidRDefault="006814CB" w:rsidP="006814CB">
      <w:pPr>
        <w:pStyle w:val="Apara"/>
      </w:pPr>
      <w:r>
        <w:tab/>
      </w:r>
      <w:r w:rsidRPr="006814CB">
        <w:t>(d)</w:t>
      </w:r>
      <w:r w:rsidRPr="006814CB">
        <w:tab/>
      </w:r>
      <w:r w:rsidR="003620DA" w:rsidRPr="006814CB">
        <w:t>be accompanied by a plan of the premises, drawn to scale, that clearly shows the proposed changes to the g</w:t>
      </w:r>
      <w:r w:rsidR="00F31467" w:rsidRPr="006814CB">
        <w:t>aming area.</w:t>
      </w:r>
    </w:p>
    <w:p w:rsidR="003620DA" w:rsidRPr="006814CB" w:rsidRDefault="006814CB" w:rsidP="006814CB">
      <w:pPr>
        <w:pStyle w:val="Amain"/>
      </w:pPr>
      <w:r>
        <w:tab/>
      </w:r>
      <w:r w:rsidRPr="006814CB">
        <w:t>(2)</w:t>
      </w:r>
      <w:r w:rsidRPr="006814CB">
        <w:tab/>
      </w:r>
      <w:r w:rsidR="003620DA" w:rsidRPr="006814CB">
        <w:t>The commission may, in writing, require the casino licensee to give the commission additional information, within the time stated by the commission, that the commission reasonably needs to decide the application.</w:t>
      </w:r>
    </w:p>
    <w:p w:rsidR="003620DA" w:rsidRPr="006814CB" w:rsidRDefault="006814CB" w:rsidP="006814CB">
      <w:pPr>
        <w:pStyle w:val="Amain"/>
      </w:pPr>
      <w:r>
        <w:tab/>
      </w:r>
      <w:r w:rsidRPr="006814CB">
        <w:t>(3)</w:t>
      </w:r>
      <w:r w:rsidRPr="006814CB">
        <w:tab/>
      </w:r>
      <w:r w:rsidR="003620DA" w:rsidRPr="006814CB">
        <w:t>If the casino licensee does not comply with a</w:t>
      </w:r>
      <w:r w:rsidR="00747BF1" w:rsidRPr="006814CB">
        <w:t xml:space="preserve"> requirement under subsection (2</w:t>
      </w:r>
      <w:r w:rsidR="003620DA" w:rsidRPr="006814CB">
        <w:t>) within the time stated by the commission—</w:t>
      </w:r>
    </w:p>
    <w:p w:rsidR="003620DA" w:rsidRPr="006814CB" w:rsidRDefault="006814CB" w:rsidP="006814CB">
      <w:pPr>
        <w:pStyle w:val="Apara"/>
      </w:pPr>
      <w:r>
        <w:tab/>
      </w:r>
      <w:r w:rsidRPr="006814CB">
        <w:t>(a)</w:t>
      </w:r>
      <w:r w:rsidRPr="006814CB">
        <w:tab/>
      </w:r>
      <w:r w:rsidR="003620DA" w:rsidRPr="006814CB">
        <w:t>the commission may refuse to consider the application; and</w:t>
      </w:r>
    </w:p>
    <w:p w:rsidR="003620DA" w:rsidRPr="006814CB" w:rsidRDefault="006814CB" w:rsidP="006814CB">
      <w:pPr>
        <w:pStyle w:val="Apara"/>
      </w:pPr>
      <w:r>
        <w:tab/>
      </w:r>
      <w:r w:rsidRPr="006814CB">
        <w:t>(b)</w:t>
      </w:r>
      <w:r w:rsidRPr="006814CB">
        <w:tab/>
      </w:r>
      <w:r w:rsidR="003620DA" w:rsidRPr="006814CB">
        <w:t>if the commission refuses to consider the application—the application lapses.</w:t>
      </w:r>
    </w:p>
    <w:p w:rsidR="003620DA" w:rsidRPr="006814CB" w:rsidRDefault="006814CB" w:rsidP="006814CB">
      <w:pPr>
        <w:pStyle w:val="AH5Sec"/>
      </w:pPr>
      <w:bookmarkStart w:id="55" w:name="_Toc516729785"/>
      <w:r w:rsidRPr="00951C4D">
        <w:rPr>
          <w:rStyle w:val="CharSectNo"/>
        </w:rPr>
        <w:t>38</w:t>
      </w:r>
      <w:r w:rsidRPr="006814CB">
        <w:tab/>
      </w:r>
      <w:r w:rsidR="003620DA" w:rsidRPr="006814CB">
        <w:t>Authorisation certificate amendment decision—gaming area amendment</w:t>
      </w:r>
      <w:bookmarkEnd w:id="55"/>
    </w:p>
    <w:p w:rsidR="003620DA" w:rsidRPr="006814CB" w:rsidRDefault="006814CB" w:rsidP="006814CB">
      <w:pPr>
        <w:pStyle w:val="Amain"/>
        <w:keepNext/>
      </w:pPr>
      <w:r>
        <w:tab/>
      </w:r>
      <w:r w:rsidRPr="006814CB">
        <w:t>(1)</w:t>
      </w:r>
      <w:r w:rsidRPr="006814CB">
        <w:tab/>
      </w:r>
      <w:r w:rsidR="003620DA" w:rsidRPr="006814CB">
        <w:t>This section applies if the casino licensee applies for a gaming area amendment of an authorisation certificate.</w:t>
      </w:r>
    </w:p>
    <w:p w:rsidR="003620DA" w:rsidRPr="006814CB" w:rsidRDefault="003620DA" w:rsidP="003620DA">
      <w:pPr>
        <w:pStyle w:val="aNote"/>
      </w:pPr>
      <w:r w:rsidRPr="006814CB">
        <w:rPr>
          <w:rStyle w:val="charItals"/>
        </w:rPr>
        <w:t>Note</w:t>
      </w:r>
      <w:r w:rsidRPr="006814CB">
        <w:rPr>
          <w:rStyle w:val="charItals"/>
        </w:rPr>
        <w:tab/>
      </w:r>
      <w:r w:rsidRPr="006814CB">
        <w:rPr>
          <w:rStyle w:val="charBoldItals"/>
        </w:rPr>
        <w:t>Gaming area amendment</w:t>
      </w:r>
      <w:r w:rsidR="007E56EA" w:rsidRPr="006814CB">
        <w:t xml:space="preserve">—see s </w:t>
      </w:r>
      <w:r w:rsidR="002E0DF3" w:rsidRPr="006814CB">
        <w:t>36</w:t>
      </w:r>
      <w:r w:rsidR="007E56EA" w:rsidRPr="006814CB">
        <w:t xml:space="preserve"> (1)</w:t>
      </w:r>
      <w:r w:rsidRPr="006814CB">
        <w:t>.</w:t>
      </w:r>
    </w:p>
    <w:p w:rsidR="003620DA" w:rsidRPr="006814CB" w:rsidRDefault="006814CB" w:rsidP="00C32FF9">
      <w:pPr>
        <w:pStyle w:val="Amain"/>
        <w:keepNext/>
      </w:pPr>
      <w:r>
        <w:tab/>
      </w:r>
      <w:r w:rsidRPr="006814CB">
        <w:t>(2)</w:t>
      </w:r>
      <w:r w:rsidRPr="006814CB">
        <w:tab/>
      </w:r>
      <w:r w:rsidR="003620DA" w:rsidRPr="006814CB">
        <w:t>The commission may—</w:t>
      </w:r>
    </w:p>
    <w:p w:rsidR="003620DA" w:rsidRPr="006814CB" w:rsidRDefault="006814CB" w:rsidP="00C32FF9">
      <w:pPr>
        <w:pStyle w:val="Apara"/>
        <w:keepNext/>
      </w:pPr>
      <w:r>
        <w:tab/>
      </w:r>
      <w:r w:rsidRPr="006814CB">
        <w:t>(a)</w:t>
      </w:r>
      <w:r w:rsidRPr="006814CB">
        <w:tab/>
      </w:r>
      <w:r w:rsidR="003620DA" w:rsidRPr="006814CB">
        <w:t>amend the authorisation certificate; or</w:t>
      </w:r>
    </w:p>
    <w:p w:rsidR="003620DA" w:rsidRPr="006814CB" w:rsidRDefault="006814CB" w:rsidP="008A6370">
      <w:pPr>
        <w:pStyle w:val="Apara"/>
        <w:keepNext/>
      </w:pPr>
      <w:r>
        <w:tab/>
      </w:r>
      <w:r w:rsidRPr="006814CB">
        <w:t>(b)</w:t>
      </w:r>
      <w:r w:rsidRPr="006814CB">
        <w:tab/>
      </w:r>
      <w:r w:rsidR="003620DA" w:rsidRPr="006814CB">
        <w:t>refuse to amend th</w:t>
      </w:r>
      <w:r w:rsidR="00747BF1" w:rsidRPr="006814CB">
        <w:t>e authorisation certificate.</w:t>
      </w:r>
    </w:p>
    <w:p w:rsidR="003620DA" w:rsidRPr="006814CB" w:rsidRDefault="003620DA" w:rsidP="008A6370">
      <w:pPr>
        <w:pStyle w:val="aNote"/>
        <w:keepNext/>
      </w:pPr>
      <w:r w:rsidRPr="006814CB">
        <w:rPr>
          <w:rStyle w:val="charItals"/>
        </w:rPr>
        <w:t>Note</w:t>
      </w:r>
      <w:r w:rsidRPr="006814CB">
        <w:tab/>
        <w:t>If additional information in relation to an application is not given to the commission within the time required by the commission, the commission may refuse to consider the application. If the commission refuses to consider the ap</w:t>
      </w:r>
      <w:r w:rsidR="00F31467" w:rsidRPr="006814CB">
        <w:t>plication, it lapses (see s </w:t>
      </w:r>
      <w:r w:rsidR="002E0DF3" w:rsidRPr="006814CB">
        <w:t>37</w:t>
      </w:r>
      <w:r w:rsidR="00F31467" w:rsidRPr="006814CB">
        <w:t xml:space="preserve"> (3</w:t>
      </w:r>
      <w:r w:rsidRPr="006814CB">
        <w:t>)</w:t>
      </w:r>
      <w:r w:rsidR="007B503C" w:rsidRPr="006814CB">
        <w:t xml:space="preserve"> (b)</w:t>
      </w:r>
      <w:r w:rsidRPr="006814CB">
        <w:t xml:space="preserve">). </w:t>
      </w:r>
    </w:p>
    <w:p w:rsidR="003620DA" w:rsidRPr="006814CB" w:rsidRDefault="006814CB" w:rsidP="006814CB">
      <w:pPr>
        <w:pStyle w:val="Amain"/>
        <w:keepNext/>
      </w:pPr>
      <w:r>
        <w:tab/>
      </w:r>
      <w:r w:rsidRPr="006814CB">
        <w:t>(3)</w:t>
      </w:r>
      <w:r w:rsidRPr="006814CB">
        <w:tab/>
      </w:r>
      <w:r w:rsidR="003620DA" w:rsidRPr="006814CB">
        <w:t>If the commission refuses to amend the authorisation certificate, the commission must tell the applicant, in writing, the reasons for the decision.</w:t>
      </w:r>
    </w:p>
    <w:p w:rsidR="003620DA" w:rsidRPr="006814CB" w:rsidRDefault="003620DA" w:rsidP="003620DA">
      <w:pPr>
        <w:pStyle w:val="aNote"/>
      </w:pPr>
      <w:r w:rsidRPr="006814CB">
        <w:rPr>
          <w:rStyle w:val="charItals"/>
        </w:rPr>
        <w:t>Note</w:t>
      </w:r>
      <w:r w:rsidRPr="006814CB">
        <w:rPr>
          <w:rStyle w:val="charItals"/>
        </w:rPr>
        <w:tab/>
      </w:r>
      <w:r w:rsidRPr="006814CB">
        <w:t xml:space="preserve">For what must be included in a statement of reasons, see the </w:t>
      </w:r>
      <w:hyperlink r:id="rId63" w:tooltip="A2001-14" w:history="1">
        <w:r w:rsidR="00253379" w:rsidRPr="006814CB">
          <w:rPr>
            <w:rStyle w:val="charCitHyperlinkAbbrev"/>
          </w:rPr>
          <w:t>Legislation Act</w:t>
        </w:r>
      </w:hyperlink>
      <w:r w:rsidRPr="006814CB">
        <w:t>, s 179.</w:t>
      </w:r>
    </w:p>
    <w:p w:rsidR="003620DA" w:rsidRPr="006814CB" w:rsidRDefault="006814CB" w:rsidP="006814CB">
      <w:pPr>
        <w:pStyle w:val="Amain"/>
      </w:pPr>
      <w:r>
        <w:tab/>
      </w:r>
      <w:r w:rsidRPr="006814CB">
        <w:t>(4)</w:t>
      </w:r>
      <w:r w:rsidRPr="006814CB">
        <w:tab/>
      </w:r>
      <w:r w:rsidR="003620DA" w:rsidRPr="006814CB">
        <w:t xml:space="preserve">The commission must amend the authorisation certificate in accordance with the application if it is satisfied that the gaming area proposed to be changed will be suitable for the operation of the number of </w:t>
      </w:r>
      <w:r w:rsidR="00F31467" w:rsidRPr="006814CB">
        <w:t xml:space="preserve">casino </w:t>
      </w:r>
      <w:r w:rsidR="003620DA" w:rsidRPr="006814CB">
        <w:t xml:space="preserve">gaming machines </w:t>
      </w:r>
      <w:r w:rsidR="00F31467" w:rsidRPr="006814CB">
        <w:t xml:space="preserve">or casino FATG terminals </w:t>
      </w:r>
      <w:r w:rsidR="003620DA" w:rsidRPr="006814CB">
        <w:t xml:space="preserve">the </w:t>
      </w:r>
      <w:r w:rsidR="00F31467" w:rsidRPr="006814CB">
        <w:t xml:space="preserve">casino </w:t>
      </w:r>
      <w:r w:rsidR="003620DA" w:rsidRPr="006814CB">
        <w:t>licensee may have under the authorisation certificate.</w:t>
      </w:r>
    </w:p>
    <w:p w:rsidR="003620DA" w:rsidRPr="006814CB" w:rsidRDefault="006814CB" w:rsidP="006814CB">
      <w:pPr>
        <w:pStyle w:val="Amain"/>
      </w:pPr>
      <w:r>
        <w:tab/>
      </w:r>
      <w:r w:rsidRPr="006814CB">
        <w:t>(5)</w:t>
      </w:r>
      <w:r w:rsidRPr="006814CB">
        <w:tab/>
      </w:r>
      <w:r w:rsidR="003620DA" w:rsidRPr="006814CB">
        <w:t xml:space="preserve">In deciding whether a gaming area will be suitable for the operation of the number of </w:t>
      </w:r>
      <w:r w:rsidR="00F31467" w:rsidRPr="006814CB">
        <w:t xml:space="preserve">casino gaming machines or casino FATG terminals </w:t>
      </w:r>
      <w:r w:rsidR="003620DA" w:rsidRPr="006814CB">
        <w:t xml:space="preserve">the </w:t>
      </w:r>
      <w:r w:rsidR="00F31467" w:rsidRPr="006814CB">
        <w:t xml:space="preserve">casino </w:t>
      </w:r>
      <w:r w:rsidR="003620DA" w:rsidRPr="006814CB">
        <w:t>licensee may have under the authorisation certificate, the commission must consider harm minimisation stra</w:t>
      </w:r>
      <w:r w:rsidR="00F31467" w:rsidRPr="006814CB">
        <w:t>tegies for patrons.</w:t>
      </w:r>
    </w:p>
    <w:p w:rsidR="005E4887" w:rsidRPr="006814CB" w:rsidRDefault="006814CB" w:rsidP="006814CB">
      <w:pPr>
        <w:pStyle w:val="AH5Sec"/>
      </w:pPr>
      <w:bookmarkStart w:id="56" w:name="_Toc516729786"/>
      <w:r w:rsidRPr="00951C4D">
        <w:rPr>
          <w:rStyle w:val="CharSectNo"/>
        </w:rPr>
        <w:t>39</w:t>
      </w:r>
      <w:r w:rsidRPr="006814CB">
        <w:tab/>
      </w:r>
      <w:r w:rsidR="005E4887" w:rsidRPr="006814CB">
        <w:t>Amendment of authorisation certificate and authorisation schedule</w:t>
      </w:r>
      <w:bookmarkEnd w:id="56"/>
    </w:p>
    <w:p w:rsidR="003A450E" w:rsidRPr="006814CB" w:rsidRDefault="006814CB" w:rsidP="006814CB">
      <w:pPr>
        <w:pStyle w:val="Amain"/>
      </w:pPr>
      <w:r>
        <w:tab/>
      </w:r>
      <w:r w:rsidRPr="006814CB">
        <w:t>(1)</w:t>
      </w:r>
      <w:r w:rsidRPr="006814CB">
        <w:tab/>
      </w:r>
      <w:r w:rsidR="005E4887" w:rsidRPr="006814CB">
        <w:t>The commission may amend an authorisation certificate or authorisation schedule on its own initiative</w:t>
      </w:r>
      <w:r w:rsidR="00D71490" w:rsidRPr="006814CB">
        <w:t xml:space="preserve"> to correct a mistake, error or omission on the authorisation certificate or authorisation schedule.</w:t>
      </w:r>
    </w:p>
    <w:p w:rsidR="00D71490" w:rsidRPr="006814CB" w:rsidRDefault="006814CB" w:rsidP="008A6370">
      <w:pPr>
        <w:pStyle w:val="Amain"/>
        <w:keepNext/>
      </w:pPr>
      <w:r>
        <w:tab/>
      </w:r>
      <w:r w:rsidRPr="006814CB">
        <w:t>(2)</w:t>
      </w:r>
      <w:r w:rsidRPr="006814CB">
        <w:tab/>
      </w:r>
      <w:r w:rsidR="00D71490" w:rsidRPr="006814CB">
        <w:t xml:space="preserve">The commission </w:t>
      </w:r>
      <w:r w:rsidR="00475056" w:rsidRPr="006814CB">
        <w:t>must</w:t>
      </w:r>
      <w:r w:rsidR="00D71490" w:rsidRPr="006814CB">
        <w:t xml:space="preserve"> amend an authorisation certificate—</w:t>
      </w:r>
    </w:p>
    <w:p w:rsidR="003A450E" w:rsidRPr="006814CB" w:rsidRDefault="006814CB" w:rsidP="00C32FF9">
      <w:pPr>
        <w:pStyle w:val="Apara"/>
        <w:keepNext/>
        <w:keepLines/>
      </w:pPr>
      <w:r>
        <w:tab/>
      </w:r>
      <w:r w:rsidRPr="006814CB">
        <w:t>(a)</w:t>
      </w:r>
      <w:r w:rsidRPr="006814CB">
        <w:tab/>
      </w:r>
      <w:r w:rsidR="003A450E" w:rsidRPr="006814CB">
        <w:t xml:space="preserve">if a restricted authorisation is converted to a casino gaming machine authorisation or </w:t>
      </w:r>
      <w:r w:rsidR="00A5228B" w:rsidRPr="006814CB">
        <w:t>casino FATG terminal authorisation</w:t>
      </w:r>
      <w:r w:rsidR="003A450E" w:rsidRPr="006814CB">
        <w:t xml:space="preserve"> under section </w:t>
      </w:r>
      <w:r w:rsidR="002E0DF3" w:rsidRPr="006814CB">
        <w:t>22</w:t>
      </w:r>
      <w:r w:rsidR="003A450E" w:rsidRPr="006814CB">
        <w:t xml:space="preserve"> (Conversion of restricted authorisations—decision)</w:t>
      </w:r>
      <w:r w:rsidR="00D71490" w:rsidRPr="006814CB">
        <w:t>—to include a statement to that effect</w:t>
      </w:r>
      <w:r w:rsidR="003A450E" w:rsidRPr="006814CB">
        <w:t>; or</w:t>
      </w:r>
    </w:p>
    <w:p w:rsidR="003A450E" w:rsidRPr="006814CB" w:rsidRDefault="006814CB" w:rsidP="006814CB">
      <w:pPr>
        <w:pStyle w:val="Apara"/>
      </w:pPr>
      <w:r>
        <w:tab/>
      </w:r>
      <w:r w:rsidRPr="006814CB">
        <w:t>(b)</w:t>
      </w:r>
      <w:r w:rsidRPr="006814CB">
        <w:tab/>
      </w:r>
      <w:r w:rsidR="003A450E" w:rsidRPr="006814CB">
        <w:t>if a restricted authorisation is forfeited to the Territory under section </w:t>
      </w:r>
      <w:r w:rsidR="002E0DF3" w:rsidRPr="006814CB">
        <w:t>23</w:t>
      </w:r>
      <w:r w:rsidR="003A450E" w:rsidRPr="006814CB">
        <w:t xml:space="preserve"> (Status of restricted authorisations if development approval ends under </w:t>
      </w:r>
      <w:r w:rsidR="005151B1" w:rsidRPr="006814CB">
        <w:t>Planning and Development Act 2007</w:t>
      </w:r>
      <w:r w:rsidR="003A450E" w:rsidRPr="006814CB">
        <w:t>, s 184</w:t>
      </w:r>
      <w:r w:rsidR="006745DD" w:rsidRPr="006814CB">
        <w:t xml:space="preserve"> or because no approval given</w:t>
      </w:r>
      <w:r w:rsidR="003A450E" w:rsidRPr="006814CB">
        <w:t>) or section </w:t>
      </w:r>
      <w:r w:rsidR="002E0DF3" w:rsidRPr="006814CB">
        <w:t>24</w:t>
      </w:r>
      <w:r w:rsidR="003A450E" w:rsidRPr="006814CB">
        <w:t xml:space="preserve"> (Status of restricted authorisations if development approval ends in other circumstances)—to record the correct maximum number of authorisations for casino gaming machines or casino FATG terminals allowed under the authorisation certificate.</w:t>
      </w:r>
    </w:p>
    <w:p w:rsidR="005E4887" w:rsidRPr="006814CB" w:rsidRDefault="006814CB" w:rsidP="00EF5D29">
      <w:pPr>
        <w:pStyle w:val="Amain"/>
        <w:keepLines/>
      </w:pPr>
      <w:r>
        <w:tab/>
      </w:r>
      <w:r w:rsidRPr="006814CB">
        <w:t>(3)</w:t>
      </w:r>
      <w:r w:rsidRPr="006814CB">
        <w:tab/>
      </w:r>
      <w:r w:rsidR="005E4887" w:rsidRPr="006814CB">
        <w:t xml:space="preserve">If the casino licensee notifies the commission about the acquisition of an authorisation under section </w:t>
      </w:r>
      <w:r w:rsidR="002E0DF3" w:rsidRPr="006814CB">
        <w:t>16</w:t>
      </w:r>
      <w:r w:rsidR="005E4887" w:rsidRPr="006814CB">
        <w:t xml:space="preserve"> (</w:t>
      </w:r>
      <w:r w:rsidR="00A5629C" w:rsidRPr="006814CB">
        <w:t>Acquiring authorisations for casino gaming machines and casino FATG</w:t>
      </w:r>
      <w:r w:rsidR="008C5AC8" w:rsidRPr="006814CB">
        <w:t xml:space="preserve"> terminal</w:t>
      </w:r>
      <w:r w:rsidR="00A5629C" w:rsidRPr="006814CB">
        <w:t xml:space="preserve">s), the commission must amend the </w:t>
      </w:r>
      <w:r w:rsidR="003A450E" w:rsidRPr="006814CB">
        <w:t xml:space="preserve">appropriate </w:t>
      </w:r>
      <w:r w:rsidR="00A5629C" w:rsidRPr="006814CB">
        <w:t xml:space="preserve">authorisation schedule to include the number of the acquired authorisation. </w:t>
      </w:r>
    </w:p>
    <w:p w:rsidR="00A5629C" w:rsidRPr="006814CB" w:rsidRDefault="006814CB" w:rsidP="006814CB">
      <w:pPr>
        <w:pStyle w:val="Amain"/>
      </w:pPr>
      <w:r>
        <w:tab/>
      </w:r>
      <w:r w:rsidRPr="006814CB">
        <w:t>(4)</w:t>
      </w:r>
      <w:r w:rsidRPr="006814CB">
        <w:tab/>
      </w:r>
      <w:r w:rsidR="00A5629C" w:rsidRPr="006814CB">
        <w:t>If the casino licensee notifies the commission about the disposal of a restricted authorisation under section </w:t>
      </w:r>
      <w:r w:rsidR="002E0DF3" w:rsidRPr="006814CB">
        <w:t>24</w:t>
      </w:r>
      <w:r w:rsidR="00A5629C" w:rsidRPr="006814CB">
        <w:t xml:space="preserve"> (Status of restricted authorisations if development approval ends in other circumstances), </w:t>
      </w:r>
      <w:r w:rsidR="003A450E" w:rsidRPr="006814CB">
        <w:t>the commission must amend the appropriate authorisation schedule to remove the number of the disposed authorisation.</w:t>
      </w:r>
    </w:p>
    <w:p w:rsidR="003A450E" w:rsidRPr="006814CB" w:rsidRDefault="006814CB" w:rsidP="006814CB">
      <w:pPr>
        <w:pStyle w:val="Amain"/>
      </w:pPr>
      <w:r>
        <w:tab/>
      </w:r>
      <w:r w:rsidRPr="006814CB">
        <w:t>(5)</w:t>
      </w:r>
      <w:r w:rsidRPr="006814CB">
        <w:tab/>
      </w:r>
      <w:r w:rsidR="00D71490" w:rsidRPr="006814CB">
        <w:t xml:space="preserve">If the casino licensee notifies the commission about the acquisition of a casino gaming machine under section </w:t>
      </w:r>
      <w:r w:rsidR="002E0DF3" w:rsidRPr="006814CB">
        <w:t>26</w:t>
      </w:r>
      <w:r w:rsidR="00D71490" w:rsidRPr="006814CB">
        <w:t xml:space="preserve"> (Acquiring casino gaming machine under authorisation), the commission must amend the casino gaming machine authorisation schedule to include the serial number of the casino gaming machine.</w:t>
      </w:r>
    </w:p>
    <w:p w:rsidR="00D71490" w:rsidRPr="006814CB" w:rsidRDefault="006814CB" w:rsidP="008A6370">
      <w:pPr>
        <w:pStyle w:val="Amain"/>
        <w:keepLines/>
      </w:pPr>
      <w:r>
        <w:tab/>
      </w:r>
      <w:r w:rsidRPr="006814CB">
        <w:t>(6)</w:t>
      </w:r>
      <w:r w:rsidRPr="006814CB">
        <w:tab/>
      </w:r>
      <w:r w:rsidR="00D71490" w:rsidRPr="006814CB">
        <w:t xml:space="preserve">If the casino licensee notifies the commission about the acquisition of a casino FATG terminal under section </w:t>
      </w:r>
      <w:r w:rsidR="002E0DF3" w:rsidRPr="006814CB">
        <w:t>28</w:t>
      </w:r>
      <w:r w:rsidR="00D71490" w:rsidRPr="006814CB">
        <w:t xml:space="preserve"> (Acquiring casino FATG terminal under authorisation), the commission must amend the </w:t>
      </w:r>
      <w:r w:rsidR="00A5228B" w:rsidRPr="006814CB">
        <w:t>casino FATG terminal authorisation</w:t>
      </w:r>
      <w:r w:rsidR="00D71490" w:rsidRPr="006814CB">
        <w:t xml:space="preserve"> schedule to include the serial number of the casino FATG terminal. </w:t>
      </w:r>
    </w:p>
    <w:p w:rsidR="002B4AE0" w:rsidRPr="006814CB" w:rsidRDefault="006814CB" w:rsidP="006814CB">
      <w:pPr>
        <w:pStyle w:val="AH5Sec"/>
      </w:pPr>
      <w:bookmarkStart w:id="57" w:name="_Toc516729787"/>
      <w:r w:rsidRPr="00951C4D">
        <w:rPr>
          <w:rStyle w:val="CharSectNo"/>
        </w:rPr>
        <w:t>40</w:t>
      </w:r>
      <w:r w:rsidRPr="006814CB">
        <w:tab/>
      </w:r>
      <w:r w:rsidR="002B4AE0" w:rsidRPr="006814CB">
        <w:t>Re-issue of amended authorisation certificate and authorisation schedule</w:t>
      </w:r>
      <w:bookmarkEnd w:id="57"/>
    </w:p>
    <w:p w:rsidR="002B4AE0" w:rsidRPr="006814CB" w:rsidRDefault="006814CB" w:rsidP="006814CB">
      <w:pPr>
        <w:pStyle w:val="Amain"/>
      </w:pPr>
      <w:r>
        <w:tab/>
      </w:r>
      <w:r w:rsidRPr="006814CB">
        <w:t>(1)</w:t>
      </w:r>
      <w:r w:rsidRPr="006814CB">
        <w:tab/>
      </w:r>
      <w:r w:rsidR="002B4AE0" w:rsidRPr="006814CB">
        <w:t xml:space="preserve">If the commission amends an authorisation certificate (other than the schedule to the certificate) under this Act, the commission must issue the casino licensee with an authorisation certificate that includes the amendment (a </w:t>
      </w:r>
      <w:r w:rsidR="002B4AE0" w:rsidRPr="006814CB">
        <w:rPr>
          <w:rStyle w:val="charBoldItals"/>
        </w:rPr>
        <w:t>replacement authorisation certificate</w:t>
      </w:r>
      <w:r w:rsidR="002B4AE0" w:rsidRPr="006814CB">
        <w:t>).</w:t>
      </w:r>
    </w:p>
    <w:p w:rsidR="002B4AE0" w:rsidRPr="006814CB" w:rsidRDefault="006814CB" w:rsidP="006814CB">
      <w:pPr>
        <w:pStyle w:val="Amain"/>
      </w:pPr>
      <w:r>
        <w:tab/>
      </w:r>
      <w:r w:rsidRPr="006814CB">
        <w:t>(2)</w:t>
      </w:r>
      <w:r w:rsidRPr="006814CB">
        <w:tab/>
      </w:r>
      <w:r w:rsidR="002B4AE0" w:rsidRPr="006814CB">
        <w:t>The replacement authorisation certificate must state—</w:t>
      </w:r>
    </w:p>
    <w:p w:rsidR="002B4AE0" w:rsidRPr="006814CB" w:rsidRDefault="006814CB" w:rsidP="006814CB">
      <w:pPr>
        <w:pStyle w:val="Apara"/>
      </w:pPr>
      <w:r>
        <w:tab/>
      </w:r>
      <w:r w:rsidRPr="006814CB">
        <w:t>(a)</w:t>
      </w:r>
      <w:r w:rsidRPr="006814CB">
        <w:tab/>
      </w:r>
      <w:r w:rsidR="002B4AE0" w:rsidRPr="006814CB">
        <w:t>that the certificate is a replacement authorisation certificate; and</w:t>
      </w:r>
    </w:p>
    <w:p w:rsidR="002B4AE0" w:rsidRPr="006814CB" w:rsidRDefault="006814CB" w:rsidP="006814CB">
      <w:pPr>
        <w:pStyle w:val="Apara"/>
      </w:pPr>
      <w:r>
        <w:tab/>
      </w:r>
      <w:r w:rsidRPr="006814CB">
        <w:t>(b)</w:t>
      </w:r>
      <w:r w:rsidRPr="006814CB">
        <w:tab/>
      </w:r>
      <w:r w:rsidR="002B4AE0" w:rsidRPr="006814CB">
        <w:t>the date the replacement authorisation certificate was issued; and</w:t>
      </w:r>
    </w:p>
    <w:p w:rsidR="002B4AE0" w:rsidRPr="006814CB" w:rsidRDefault="006814CB" w:rsidP="006814CB">
      <w:pPr>
        <w:pStyle w:val="Apara"/>
      </w:pPr>
      <w:r>
        <w:tab/>
      </w:r>
      <w:r w:rsidRPr="006814CB">
        <w:t>(c)</w:t>
      </w:r>
      <w:r w:rsidRPr="006814CB">
        <w:tab/>
      </w:r>
      <w:r w:rsidR="002B4AE0" w:rsidRPr="006814CB">
        <w:t>the date the amendment commences.</w:t>
      </w:r>
    </w:p>
    <w:p w:rsidR="002B4AE0" w:rsidRPr="006814CB" w:rsidRDefault="006814CB" w:rsidP="006814CB">
      <w:pPr>
        <w:pStyle w:val="Amain"/>
      </w:pPr>
      <w:r>
        <w:tab/>
      </w:r>
      <w:r w:rsidRPr="006814CB">
        <w:t>(3)</w:t>
      </w:r>
      <w:r w:rsidRPr="006814CB">
        <w:tab/>
      </w:r>
      <w:r w:rsidR="002B4AE0" w:rsidRPr="006814CB">
        <w:t xml:space="preserve">If an authorisation schedule to an authorisation certificate is amended under this Act, the commission must issue the casino licensee with an authorisation schedule that includes the amendment (a </w:t>
      </w:r>
      <w:r w:rsidR="002B4AE0" w:rsidRPr="006814CB">
        <w:rPr>
          <w:rStyle w:val="charBoldItals"/>
        </w:rPr>
        <w:t>replacement authorisation schedule</w:t>
      </w:r>
      <w:r w:rsidR="002B4AE0" w:rsidRPr="006814CB">
        <w:t>).</w:t>
      </w:r>
    </w:p>
    <w:p w:rsidR="002B4AE0" w:rsidRPr="006814CB" w:rsidRDefault="006814CB" w:rsidP="006814CB">
      <w:pPr>
        <w:pStyle w:val="Amain"/>
      </w:pPr>
      <w:r>
        <w:tab/>
      </w:r>
      <w:r w:rsidRPr="006814CB">
        <w:t>(4)</w:t>
      </w:r>
      <w:r w:rsidRPr="006814CB">
        <w:tab/>
      </w:r>
      <w:r w:rsidR="002B4AE0" w:rsidRPr="006814CB">
        <w:t>The replacement authorisation schedule must state—</w:t>
      </w:r>
    </w:p>
    <w:p w:rsidR="002B4AE0" w:rsidRPr="006814CB" w:rsidRDefault="006814CB" w:rsidP="006814CB">
      <w:pPr>
        <w:pStyle w:val="Apara"/>
      </w:pPr>
      <w:r>
        <w:tab/>
      </w:r>
      <w:r w:rsidRPr="006814CB">
        <w:t>(a)</w:t>
      </w:r>
      <w:r w:rsidRPr="006814CB">
        <w:tab/>
      </w:r>
      <w:r w:rsidR="002B4AE0" w:rsidRPr="006814CB">
        <w:t>that the authorisation schedule is a replacement authorisation schedule; and</w:t>
      </w:r>
    </w:p>
    <w:p w:rsidR="002B4AE0" w:rsidRPr="006814CB" w:rsidRDefault="006814CB" w:rsidP="006814CB">
      <w:pPr>
        <w:pStyle w:val="Apara"/>
      </w:pPr>
      <w:r>
        <w:tab/>
      </w:r>
      <w:r w:rsidRPr="006814CB">
        <w:t>(b)</w:t>
      </w:r>
      <w:r w:rsidRPr="006814CB">
        <w:tab/>
      </w:r>
      <w:r w:rsidR="002B4AE0" w:rsidRPr="006814CB">
        <w:t>the date the replacement authorisation schedule was issued; and</w:t>
      </w:r>
    </w:p>
    <w:p w:rsidR="002B4AE0" w:rsidRPr="006814CB" w:rsidRDefault="006814CB" w:rsidP="006814CB">
      <w:pPr>
        <w:pStyle w:val="Apara"/>
      </w:pPr>
      <w:r>
        <w:tab/>
      </w:r>
      <w:r w:rsidRPr="006814CB">
        <w:t>(c)</w:t>
      </w:r>
      <w:r w:rsidRPr="006814CB">
        <w:tab/>
      </w:r>
      <w:r w:rsidR="002B4AE0" w:rsidRPr="006814CB">
        <w:t>the date the amendment commences.</w:t>
      </w:r>
    </w:p>
    <w:p w:rsidR="00855579" w:rsidRPr="006814CB" w:rsidRDefault="006814CB" w:rsidP="006814CB">
      <w:pPr>
        <w:pStyle w:val="AH5Sec"/>
      </w:pPr>
      <w:bookmarkStart w:id="58" w:name="_Toc516729788"/>
      <w:r w:rsidRPr="00951C4D">
        <w:rPr>
          <w:rStyle w:val="CharSectNo"/>
        </w:rPr>
        <w:t>41</w:t>
      </w:r>
      <w:r w:rsidRPr="006814CB">
        <w:tab/>
      </w:r>
      <w:r w:rsidR="007C6B86" w:rsidRPr="006814CB">
        <w:t>Cancellation of authorisation certificates and authorisations on s</w:t>
      </w:r>
      <w:r w:rsidR="00855579" w:rsidRPr="006814CB">
        <w:t xml:space="preserve">urrender of </w:t>
      </w:r>
      <w:r w:rsidR="007C6B86" w:rsidRPr="006814CB">
        <w:t>casino licence</w:t>
      </w:r>
      <w:bookmarkEnd w:id="58"/>
    </w:p>
    <w:p w:rsidR="00855579" w:rsidRPr="006814CB" w:rsidRDefault="006814CB" w:rsidP="006814CB">
      <w:pPr>
        <w:pStyle w:val="Amain"/>
      </w:pPr>
      <w:r>
        <w:tab/>
      </w:r>
      <w:r w:rsidRPr="006814CB">
        <w:t>(1)</w:t>
      </w:r>
      <w:r w:rsidRPr="006814CB">
        <w:tab/>
      </w:r>
      <w:r w:rsidR="00855579" w:rsidRPr="006814CB">
        <w:t xml:space="preserve">This section applies if the casino licensee surrenders the casino licence under the </w:t>
      </w:r>
      <w:hyperlink r:id="rId64" w:tooltip="A2006-2" w:history="1">
        <w:r w:rsidR="00253379" w:rsidRPr="006814CB">
          <w:rPr>
            <w:rStyle w:val="charCitHyperlinkItal"/>
          </w:rPr>
          <w:t>Casino Control Act 2006</w:t>
        </w:r>
      </w:hyperlink>
      <w:r w:rsidR="00855579" w:rsidRPr="006814CB">
        <w:t>, section 31 (Surrender of casino licence).</w:t>
      </w:r>
    </w:p>
    <w:p w:rsidR="00855579" w:rsidRPr="006814CB" w:rsidRDefault="006814CB" w:rsidP="0070106D">
      <w:pPr>
        <w:pStyle w:val="Amain"/>
      </w:pPr>
      <w:r>
        <w:tab/>
      </w:r>
      <w:r w:rsidRPr="006814CB">
        <w:t>(2)</w:t>
      </w:r>
      <w:r w:rsidRPr="006814CB">
        <w:tab/>
      </w:r>
      <w:r w:rsidR="00855579" w:rsidRPr="006814CB">
        <w:t xml:space="preserve">The casino licensee must notify the commission that the licensee has given the Minister written notice under the </w:t>
      </w:r>
      <w:hyperlink r:id="rId65" w:tooltip="A2006-2" w:history="1">
        <w:r w:rsidR="00253379" w:rsidRPr="006814CB">
          <w:rPr>
            <w:rStyle w:val="charCitHyperlinkItal"/>
          </w:rPr>
          <w:t>Casino Control Act 2006</w:t>
        </w:r>
      </w:hyperlink>
      <w:r w:rsidR="00855579" w:rsidRPr="006814CB">
        <w:t xml:space="preserve">, section 31 (2) that the licensee surrenders the casino licence. </w:t>
      </w:r>
    </w:p>
    <w:p w:rsidR="00855579" w:rsidRPr="006814CB" w:rsidRDefault="00855579" w:rsidP="0070106D">
      <w:pPr>
        <w:pStyle w:val="aNote"/>
      </w:pPr>
      <w:r w:rsidRPr="006814CB">
        <w:rPr>
          <w:rStyle w:val="charItals"/>
        </w:rPr>
        <w:t>Note 1</w:t>
      </w:r>
      <w:r w:rsidRPr="006814CB">
        <w:rPr>
          <w:rStyle w:val="charItals"/>
        </w:rPr>
        <w:tab/>
      </w:r>
      <w:r w:rsidRPr="006814CB">
        <w:t xml:space="preserve">The </w:t>
      </w:r>
      <w:r w:rsidR="00396008" w:rsidRPr="006814CB">
        <w:t>surrender of the casino licence</w:t>
      </w:r>
      <w:r w:rsidRPr="006814CB">
        <w:t xml:space="preserve"> is a notifiable action (see</w:t>
      </w:r>
      <w:r w:rsidR="00747BF1" w:rsidRPr="006814CB">
        <w:t xml:space="preserve"> </w:t>
      </w:r>
      <w:r w:rsidR="00CF0AF9" w:rsidRPr="006814CB">
        <w:t>pt 10</w:t>
      </w:r>
      <w:r w:rsidR="00747BF1" w:rsidRPr="006814CB">
        <w:t xml:space="preserve"> and sch 2</w:t>
      </w:r>
      <w:r w:rsidRPr="006814CB">
        <w:t>).</w:t>
      </w:r>
    </w:p>
    <w:p w:rsidR="00855579" w:rsidRPr="006814CB" w:rsidRDefault="00855579" w:rsidP="0070106D">
      <w:pPr>
        <w:pStyle w:val="aNote"/>
        <w:keepNext/>
      </w:pPr>
      <w:r w:rsidRPr="006814CB">
        <w:rPr>
          <w:rStyle w:val="charItals"/>
        </w:rPr>
        <w:t>Note 2</w:t>
      </w:r>
      <w:r w:rsidRPr="006814CB">
        <w:tab/>
        <w:t xml:space="preserve">A notifiable action takes </w:t>
      </w:r>
      <w:r w:rsidR="008C5AC8" w:rsidRPr="006814CB">
        <w:t>effect</w:t>
      </w:r>
      <w:r w:rsidRPr="006814CB">
        <w:t>—</w:t>
      </w:r>
    </w:p>
    <w:p w:rsidR="00855579" w:rsidRPr="006814CB" w:rsidRDefault="00855579" w:rsidP="00EF5D29">
      <w:pPr>
        <w:pStyle w:val="aNotePara"/>
        <w:keepNext/>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855579" w:rsidRPr="006814CB" w:rsidRDefault="00855579" w:rsidP="00EF5D29">
      <w:pPr>
        <w:pStyle w:val="aNotePara"/>
        <w:keepNext/>
      </w:pPr>
      <w:r w:rsidRPr="006814CB">
        <w:tab/>
        <w:t>(b)</w:t>
      </w:r>
      <w:r w:rsidRPr="006814CB">
        <w:tab/>
        <w:t xml:space="preserve">if the commission allows the notifiable action to take </w:t>
      </w:r>
      <w:r w:rsidR="008C5AC8" w:rsidRPr="006814CB">
        <w:t>effect</w:t>
      </w:r>
      <w:r w:rsidRPr="006814CB">
        <w:t xml:space="preserve"> on an earlier day—that day (see s </w:t>
      </w:r>
      <w:r w:rsidR="002E0DF3" w:rsidRPr="006814CB">
        <w:t>50</w:t>
      </w:r>
      <w:r w:rsidRPr="006814CB">
        <w:t xml:space="preserve"> (b)); or</w:t>
      </w:r>
    </w:p>
    <w:p w:rsidR="00855579" w:rsidRPr="006814CB" w:rsidRDefault="00855579" w:rsidP="00EF5D29">
      <w:pPr>
        <w:pStyle w:val="aNotePara"/>
        <w:keepNext/>
      </w:pPr>
      <w:r w:rsidRPr="006814CB">
        <w:tab/>
        <w:t>(c)</w:t>
      </w:r>
      <w:r w:rsidRPr="006814CB">
        <w:tab/>
        <w:t>if the commission asks for additional information under s </w:t>
      </w:r>
      <w:r w:rsidR="002E0DF3" w:rsidRPr="006814CB">
        <w:t>49</w:t>
      </w:r>
      <w:r w:rsidR="00747BF1" w:rsidRPr="006814CB">
        <w:t> (3</w:t>
      </w:r>
      <w:r w:rsidRPr="006814CB">
        <w:t>)—when the commission has notified the licensee that it is satisfied in relation to the additional information (see s </w:t>
      </w:r>
      <w:r w:rsidR="002E0DF3" w:rsidRPr="006814CB">
        <w:t>50</w:t>
      </w:r>
      <w:r w:rsidRPr="006814CB">
        <w:t xml:space="preserve"> (c)).</w:t>
      </w:r>
    </w:p>
    <w:p w:rsidR="00396008" w:rsidRPr="006814CB" w:rsidRDefault="006814CB" w:rsidP="006814CB">
      <w:pPr>
        <w:pStyle w:val="Amain"/>
      </w:pPr>
      <w:r>
        <w:tab/>
      </w:r>
      <w:r w:rsidRPr="006814CB">
        <w:t>(3)</w:t>
      </w:r>
      <w:r w:rsidRPr="006814CB">
        <w:tab/>
      </w:r>
      <w:r w:rsidR="00396008" w:rsidRPr="006814CB">
        <w:t>If the casino licensee notifies the commission about the surrender of the casino licence, the commission must—</w:t>
      </w:r>
    </w:p>
    <w:p w:rsidR="00396008" w:rsidRPr="006814CB" w:rsidRDefault="006814CB" w:rsidP="006814CB">
      <w:pPr>
        <w:pStyle w:val="Apara"/>
      </w:pPr>
      <w:r>
        <w:tab/>
      </w:r>
      <w:r w:rsidRPr="006814CB">
        <w:t>(a)</w:t>
      </w:r>
      <w:r w:rsidRPr="006814CB">
        <w:tab/>
      </w:r>
      <w:r w:rsidR="00396008" w:rsidRPr="006814CB">
        <w:t>cancel all authorisation certificates held by the licensee; and</w:t>
      </w:r>
    </w:p>
    <w:p w:rsidR="00396008" w:rsidRPr="006814CB" w:rsidRDefault="006814CB" w:rsidP="006814CB">
      <w:pPr>
        <w:pStyle w:val="Apara"/>
      </w:pPr>
      <w:r>
        <w:tab/>
      </w:r>
      <w:r w:rsidRPr="006814CB">
        <w:t>(b)</w:t>
      </w:r>
      <w:r w:rsidRPr="006814CB">
        <w:tab/>
      </w:r>
      <w:r w:rsidR="00396008" w:rsidRPr="006814CB">
        <w:t>give the licensee a storage permit for an interim purpose for each casino gaming machine and casino FATG terminal under the cancelled authorisation certificates.</w:t>
      </w:r>
    </w:p>
    <w:p w:rsidR="00396008" w:rsidRPr="006814CB" w:rsidRDefault="006814CB" w:rsidP="006814CB">
      <w:pPr>
        <w:pStyle w:val="Amain"/>
      </w:pPr>
      <w:r>
        <w:tab/>
      </w:r>
      <w:r w:rsidRPr="006814CB">
        <w:t>(4)</w:t>
      </w:r>
      <w:r w:rsidRPr="006814CB">
        <w:tab/>
      </w:r>
      <w:r w:rsidR="00396008" w:rsidRPr="006814CB">
        <w:t>If an authorisation certificate or authorisation is cancelled under this section, the casino licensee must—</w:t>
      </w:r>
    </w:p>
    <w:p w:rsidR="00396008" w:rsidRPr="006814CB" w:rsidRDefault="006814CB" w:rsidP="006814CB">
      <w:pPr>
        <w:pStyle w:val="Apara"/>
      </w:pPr>
      <w:r>
        <w:tab/>
      </w:r>
      <w:r w:rsidRPr="006814CB">
        <w:t>(a)</w:t>
      </w:r>
      <w:r w:rsidRPr="006814CB">
        <w:tab/>
      </w:r>
      <w:r w:rsidR="00396008" w:rsidRPr="006814CB">
        <w:t xml:space="preserve">take meter readings from </w:t>
      </w:r>
      <w:r w:rsidR="00F31467" w:rsidRPr="006814CB">
        <w:t>each casino gaming</w:t>
      </w:r>
      <w:r w:rsidR="00396008" w:rsidRPr="006814CB">
        <w:t xml:space="preserve"> machine and casino FATG terminal under the certificate or authorisation; and</w:t>
      </w:r>
    </w:p>
    <w:p w:rsidR="00396008" w:rsidRPr="006814CB" w:rsidRDefault="006814CB" w:rsidP="006814CB">
      <w:pPr>
        <w:pStyle w:val="Apara"/>
      </w:pPr>
      <w:r>
        <w:tab/>
      </w:r>
      <w:r w:rsidRPr="006814CB">
        <w:t>(b)</w:t>
      </w:r>
      <w:r w:rsidRPr="006814CB">
        <w:tab/>
      </w:r>
      <w:r w:rsidR="00396008" w:rsidRPr="006814CB">
        <w:t>render the machine or terminal inoperable; and</w:t>
      </w:r>
    </w:p>
    <w:p w:rsidR="00396008" w:rsidRPr="006814CB" w:rsidRDefault="006814CB" w:rsidP="006814CB">
      <w:pPr>
        <w:pStyle w:val="Apara"/>
      </w:pPr>
      <w:r>
        <w:tab/>
      </w:r>
      <w:r w:rsidRPr="006814CB">
        <w:t>(c)</w:t>
      </w:r>
      <w:r w:rsidRPr="006814CB">
        <w:tab/>
      </w:r>
      <w:r w:rsidR="00396008" w:rsidRPr="006814CB">
        <w:t>within the prescribed number of days after the day the certificate or authorisation is cancelled, give the commission—</w:t>
      </w:r>
    </w:p>
    <w:p w:rsidR="00396008" w:rsidRPr="006814CB" w:rsidRDefault="006814CB" w:rsidP="006814CB">
      <w:pPr>
        <w:pStyle w:val="Asubpara"/>
      </w:pPr>
      <w:r>
        <w:tab/>
      </w:r>
      <w:r w:rsidRPr="006814CB">
        <w:t>(i)</w:t>
      </w:r>
      <w:r w:rsidRPr="006814CB">
        <w:tab/>
      </w:r>
      <w:r w:rsidR="00396008" w:rsidRPr="006814CB">
        <w:t>details of the meter readings taken under paragraph (a); and</w:t>
      </w:r>
    </w:p>
    <w:p w:rsidR="00396008" w:rsidRPr="006814CB" w:rsidRDefault="006814CB" w:rsidP="006814CB">
      <w:pPr>
        <w:pStyle w:val="Asubpara"/>
      </w:pPr>
      <w:r>
        <w:tab/>
      </w:r>
      <w:r w:rsidRPr="006814CB">
        <w:t>(ii)</w:t>
      </w:r>
      <w:r w:rsidRPr="006814CB">
        <w:tab/>
      </w:r>
      <w:r w:rsidR="00396008" w:rsidRPr="006814CB">
        <w:t>any outstanding amount payable by the licensee in relation to the operation of the casino gaming machine or casino FATG terminal under the cancelled authorisation certificate.</w:t>
      </w:r>
    </w:p>
    <w:p w:rsidR="00855579" w:rsidRPr="006814CB" w:rsidRDefault="00396008" w:rsidP="00396008">
      <w:pPr>
        <w:pStyle w:val="aNotepar"/>
      </w:pPr>
      <w:r w:rsidRPr="006814CB">
        <w:rPr>
          <w:rStyle w:val="charItals"/>
        </w:rPr>
        <w:t>Note</w:t>
      </w:r>
      <w:r w:rsidRPr="006814CB">
        <w:rPr>
          <w:rStyle w:val="charItals"/>
        </w:rPr>
        <w:tab/>
      </w:r>
      <w:r w:rsidRPr="006814CB">
        <w:rPr>
          <w:rStyle w:val="charBoldItals"/>
        </w:rPr>
        <w:t>Prescribed number of days</w:t>
      </w:r>
      <w:r w:rsidRPr="006814CB">
        <w:t xml:space="preserve">—see s </w:t>
      </w:r>
      <w:r w:rsidR="002E0DF3" w:rsidRPr="006814CB">
        <w:t>48</w:t>
      </w:r>
      <w:r w:rsidR="00DF2059" w:rsidRPr="006814CB">
        <w:t>.</w:t>
      </w:r>
    </w:p>
    <w:p w:rsidR="00A01682" w:rsidRPr="006814CB" w:rsidRDefault="006814CB" w:rsidP="006814CB">
      <w:pPr>
        <w:pStyle w:val="AH5Sec"/>
      </w:pPr>
      <w:bookmarkStart w:id="59" w:name="_Toc516729789"/>
      <w:r w:rsidRPr="00951C4D">
        <w:rPr>
          <w:rStyle w:val="CharSectNo"/>
        </w:rPr>
        <w:t>42</w:t>
      </w:r>
      <w:r w:rsidRPr="006814CB">
        <w:tab/>
      </w:r>
      <w:r w:rsidR="00A01682" w:rsidRPr="006814CB">
        <w:t>Cancellation of authorisation certificates</w:t>
      </w:r>
      <w:r w:rsidR="000E0F38" w:rsidRPr="006814CB">
        <w:t xml:space="preserve"> and authorisations</w:t>
      </w:r>
      <w:r w:rsidR="00A01682" w:rsidRPr="006814CB">
        <w:t>—</w:t>
      </w:r>
      <w:r w:rsidR="000E0F38" w:rsidRPr="006814CB">
        <w:t>forfeiture</w:t>
      </w:r>
      <w:bookmarkEnd w:id="59"/>
    </w:p>
    <w:p w:rsidR="00A01682" w:rsidRPr="006814CB" w:rsidRDefault="006814CB" w:rsidP="006814CB">
      <w:pPr>
        <w:pStyle w:val="Amain"/>
      </w:pPr>
      <w:r>
        <w:tab/>
      </w:r>
      <w:r w:rsidRPr="006814CB">
        <w:t>(1)</w:t>
      </w:r>
      <w:r w:rsidRPr="006814CB">
        <w:tab/>
      </w:r>
      <w:r w:rsidR="00A01682" w:rsidRPr="006814CB">
        <w:t xml:space="preserve">This section applies if each authorisation certificate under the casino licence is cancelled under section </w:t>
      </w:r>
      <w:r w:rsidR="002E0DF3" w:rsidRPr="006814CB">
        <w:t>41</w:t>
      </w:r>
      <w:r w:rsidR="00A01682" w:rsidRPr="006814CB">
        <w:t>.</w:t>
      </w:r>
    </w:p>
    <w:p w:rsidR="00A01682" w:rsidRPr="006814CB" w:rsidRDefault="006814CB" w:rsidP="006814CB">
      <w:pPr>
        <w:pStyle w:val="Amain"/>
      </w:pPr>
      <w:r>
        <w:tab/>
      </w:r>
      <w:r w:rsidRPr="006814CB">
        <w:t>(2)</w:t>
      </w:r>
      <w:r w:rsidRPr="006814CB">
        <w:tab/>
      </w:r>
      <w:r w:rsidR="00A01682" w:rsidRPr="006814CB">
        <w:t>The number of authorisations for casino gaming machines and casino FATG terminals under the cancelled authorisation certificates is forfeited to the Territory.</w:t>
      </w:r>
    </w:p>
    <w:p w:rsidR="001206DA" w:rsidRPr="006814CB" w:rsidRDefault="006814CB" w:rsidP="006814CB">
      <w:pPr>
        <w:pStyle w:val="Amain"/>
      </w:pPr>
      <w:r>
        <w:tab/>
      </w:r>
      <w:r w:rsidRPr="006814CB">
        <w:t>(3)</w:t>
      </w:r>
      <w:r w:rsidRPr="006814CB">
        <w:tab/>
      </w:r>
      <w:r w:rsidR="001206DA" w:rsidRPr="006814CB">
        <w:t xml:space="preserve">The casino licensee is not entitled to claim compensation from the Territory for an authorisation forfeited to the Territory under subsection (2). </w:t>
      </w:r>
    </w:p>
    <w:p w:rsidR="007C6B86" w:rsidRPr="006814CB" w:rsidRDefault="006814CB" w:rsidP="006814CB">
      <w:pPr>
        <w:pStyle w:val="AH5Sec"/>
      </w:pPr>
      <w:bookmarkStart w:id="60" w:name="_Toc516729790"/>
      <w:r w:rsidRPr="00951C4D">
        <w:rPr>
          <w:rStyle w:val="CharSectNo"/>
        </w:rPr>
        <w:t>43</w:t>
      </w:r>
      <w:r w:rsidRPr="006814CB">
        <w:tab/>
      </w:r>
      <w:r w:rsidR="007C6B86" w:rsidRPr="006814CB">
        <w:t>Surrender of authorisation certificates and authorisations</w:t>
      </w:r>
      <w:bookmarkEnd w:id="60"/>
    </w:p>
    <w:p w:rsidR="007C6B86" w:rsidRPr="006814CB" w:rsidRDefault="006814CB" w:rsidP="006814CB">
      <w:pPr>
        <w:pStyle w:val="Amain"/>
      </w:pPr>
      <w:r>
        <w:tab/>
      </w:r>
      <w:r w:rsidRPr="006814CB">
        <w:t>(1)</w:t>
      </w:r>
      <w:r w:rsidRPr="006814CB">
        <w:tab/>
      </w:r>
      <w:r w:rsidR="007C6B86" w:rsidRPr="006814CB">
        <w:t>The casino licensee may surrender—</w:t>
      </w:r>
    </w:p>
    <w:p w:rsidR="007C6B86" w:rsidRPr="006814CB" w:rsidRDefault="006814CB" w:rsidP="006814CB">
      <w:pPr>
        <w:pStyle w:val="Apara"/>
      </w:pPr>
      <w:r>
        <w:tab/>
      </w:r>
      <w:r w:rsidRPr="006814CB">
        <w:t>(a)</w:t>
      </w:r>
      <w:r w:rsidRPr="006814CB">
        <w:tab/>
      </w:r>
      <w:r w:rsidR="007C6B86" w:rsidRPr="006814CB">
        <w:t>1 or both authorisation certificates under the casino licence; or</w:t>
      </w:r>
    </w:p>
    <w:p w:rsidR="007C6B86" w:rsidRPr="006814CB" w:rsidRDefault="006814CB" w:rsidP="006814CB">
      <w:pPr>
        <w:pStyle w:val="Apara"/>
        <w:keepNext/>
      </w:pPr>
      <w:r>
        <w:tab/>
      </w:r>
      <w:r w:rsidRPr="006814CB">
        <w:t>(b)</w:t>
      </w:r>
      <w:r w:rsidRPr="006814CB">
        <w:tab/>
      </w:r>
      <w:r w:rsidR="007C6B86" w:rsidRPr="006814CB">
        <w:t>an authorisation.</w:t>
      </w:r>
    </w:p>
    <w:p w:rsidR="007C6B86" w:rsidRPr="006814CB" w:rsidRDefault="007C6B86" w:rsidP="007C6B86">
      <w:pPr>
        <w:pStyle w:val="aNote"/>
      </w:pPr>
      <w:r w:rsidRPr="006814CB">
        <w:rPr>
          <w:rStyle w:val="charItals"/>
        </w:rPr>
        <w:t>Note</w:t>
      </w:r>
      <w:r w:rsidRPr="006814CB">
        <w:rPr>
          <w:rStyle w:val="charItals"/>
        </w:rPr>
        <w:tab/>
      </w:r>
      <w:r w:rsidRPr="006814CB">
        <w:t xml:space="preserve">If the casino licensee surrenders the casino licence, all authorisation certificates under the licence are cancelled (see s </w:t>
      </w:r>
      <w:r w:rsidR="002E0DF3" w:rsidRPr="006814CB">
        <w:t>41</w:t>
      </w:r>
      <w:r w:rsidRPr="006814CB">
        <w:t xml:space="preserve"> (3) (a)).</w:t>
      </w:r>
    </w:p>
    <w:p w:rsidR="007C6B86" w:rsidRPr="006814CB" w:rsidRDefault="006814CB" w:rsidP="006814CB">
      <w:pPr>
        <w:pStyle w:val="Amain"/>
        <w:keepNext/>
      </w:pPr>
      <w:r>
        <w:tab/>
      </w:r>
      <w:r w:rsidRPr="006814CB">
        <w:t>(2)</w:t>
      </w:r>
      <w:r w:rsidRPr="006814CB">
        <w:tab/>
      </w:r>
      <w:r w:rsidR="007C6B86" w:rsidRPr="006814CB">
        <w:t xml:space="preserve">The casino licensee may surrender an authorisation </w:t>
      </w:r>
      <w:r w:rsidR="003E3141" w:rsidRPr="006814CB">
        <w:t xml:space="preserve">certificate or authorisation by </w:t>
      </w:r>
      <w:r w:rsidR="007C6B86" w:rsidRPr="006814CB">
        <w:t>notifying the commission that the licensee surrenders the authorisation certificate or authorisation</w:t>
      </w:r>
      <w:r w:rsidR="003E3141" w:rsidRPr="006814CB">
        <w:t>.</w:t>
      </w:r>
    </w:p>
    <w:p w:rsidR="00770850" w:rsidRPr="006814CB" w:rsidRDefault="00770850" w:rsidP="006814CB">
      <w:pPr>
        <w:pStyle w:val="aNote"/>
        <w:keepNext/>
      </w:pPr>
      <w:r w:rsidRPr="006814CB">
        <w:rPr>
          <w:rStyle w:val="charItals"/>
        </w:rPr>
        <w:t>Note 1</w:t>
      </w:r>
      <w:r w:rsidRPr="006814CB">
        <w:rPr>
          <w:rStyle w:val="charItals"/>
        </w:rPr>
        <w:tab/>
      </w:r>
      <w:r w:rsidRPr="006814CB">
        <w:t xml:space="preserve">The surrender of the casino licence is a notifiable action (see </w:t>
      </w:r>
      <w:r w:rsidR="00CF0AF9" w:rsidRPr="006814CB">
        <w:t>pt 10</w:t>
      </w:r>
      <w:r w:rsidR="00BB5F71" w:rsidRPr="006814CB">
        <w:t xml:space="preserve"> and sch 2</w:t>
      </w:r>
      <w:r w:rsidRPr="006814CB">
        <w:t>).</w:t>
      </w:r>
    </w:p>
    <w:p w:rsidR="00770850" w:rsidRPr="006814CB" w:rsidRDefault="00770850" w:rsidP="006814CB">
      <w:pPr>
        <w:pStyle w:val="aNote"/>
        <w:keepNext/>
      </w:pPr>
      <w:r w:rsidRPr="006814CB">
        <w:rPr>
          <w:rStyle w:val="charItals"/>
        </w:rPr>
        <w:t>Note 2</w:t>
      </w:r>
      <w:r w:rsidRPr="006814CB">
        <w:tab/>
        <w:t xml:space="preserve">A notifiable action takes </w:t>
      </w:r>
      <w:r w:rsidR="003E3141" w:rsidRPr="006814CB">
        <w:t>effect</w:t>
      </w:r>
      <w:r w:rsidRPr="006814CB">
        <w:t>—</w:t>
      </w:r>
    </w:p>
    <w:p w:rsidR="00770850" w:rsidRPr="006814CB" w:rsidRDefault="00770850" w:rsidP="006814CB">
      <w:pPr>
        <w:pStyle w:val="aNotePara"/>
        <w:keepNext/>
      </w:pPr>
      <w:r w:rsidRPr="006814CB">
        <w:tab/>
        <w:t>(a)</w:t>
      </w:r>
      <w:r w:rsidRPr="006814CB">
        <w:tab/>
        <w:t xml:space="preserve">the prescribed number of days after the day the commission receives the notification (see s </w:t>
      </w:r>
      <w:r w:rsidR="002E0DF3" w:rsidRPr="006814CB">
        <w:t>50</w:t>
      </w:r>
      <w:r w:rsidRPr="006814CB">
        <w:t xml:space="preserve"> (a)); or</w:t>
      </w:r>
    </w:p>
    <w:p w:rsidR="00770850" w:rsidRPr="006814CB" w:rsidRDefault="00770850" w:rsidP="006814CB">
      <w:pPr>
        <w:pStyle w:val="aNotePara"/>
        <w:keepNext/>
      </w:pPr>
      <w:r w:rsidRPr="006814CB">
        <w:tab/>
        <w:t>(b)</w:t>
      </w:r>
      <w:r w:rsidRPr="006814CB">
        <w:tab/>
        <w:t xml:space="preserve">if the commission allows the notifiable action to take </w:t>
      </w:r>
      <w:r w:rsidR="003E3141" w:rsidRPr="006814CB">
        <w:t>effect</w:t>
      </w:r>
      <w:r w:rsidRPr="006814CB">
        <w:t xml:space="preserve"> on an earlier day—that day (see s </w:t>
      </w:r>
      <w:r w:rsidR="002E0DF3" w:rsidRPr="006814CB">
        <w:t>50</w:t>
      </w:r>
      <w:r w:rsidRPr="006814CB">
        <w:t xml:space="preserve"> (b)); or</w:t>
      </w:r>
    </w:p>
    <w:p w:rsidR="00770850" w:rsidRPr="006814CB" w:rsidRDefault="00770850" w:rsidP="00770850">
      <w:pPr>
        <w:pStyle w:val="aNotePara"/>
      </w:pPr>
      <w:r w:rsidRPr="006814CB">
        <w:tab/>
        <w:t>(c)</w:t>
      </w:r>
      <w:r w:rsidRPr="006814CB">
        <w:tab/>
        <w:t>if the commission asks for additional information under s </w:t>
      </w:r>
      <w:r w:rsidR="002E0DF3" w:rsidRPr="006814CB">
        <w:t>49</w:t>
      </w:r>
      <w:r w:rsidR="00BB5F71" w:rsidRPr="006814CB">
        <w:t> (3</w:t>
      </w:r>
      <w:r w:rsidRPr="006814CB">
        <w:t>)—when the commission has notified the licensee that it is satisfied in relation to the additional information (see s </w:t>
      </w:r>
      <w:r w:rsidR="002E0DF3" w:rsidRPr="006814CB">
        <w:t>50</w:t>
      </w:r>
      <w:r w:rsidRPr="006814CB">
        <w:t xml:space="preserve"> (c)).</w:t>
      </w:r>
    </w:p>
    <w:p w:rsidR="00A01682" w:rsidRPr="006814CB" w:rsidRDefault="006814CB" w:rsidP="006814CB">
      <w:pPr>
        <w:pStyle w:val="Amain"/>
      </w:pPr>
      <w:r>
        <w:tab/>
      </w:r>
      <w:r w:rsidRPr="006814CB">
        <w:t>(3)</w:t>
      </w:r>
      <w:r w:rsidRPr="006814CB">
        <w:tab/>
      </w:r>
      <w:r w:rsidR="007C6B86" w:rsidRPr="006814CB">
        <w:t>If an authorisation certificate or an authorisation</w:t>
      </w:r>
      <w:r w:rsidR="00A01682" w:rsidRPr="006814CB">
        <w:t xml:space="preserve"> is surrendered</w:t>
      </w:r>
      <w:r w:rsidR="007C6B86" w:rsidRPr="006814CB">
        <w:t xml:space="preserve"> under this section, the commission must </w:t>
      </w:r>
      <w:r w:rsidR="00210721" w:rsidRPr="006814CB">
        <w:t>issue</w:t>
      </w:r>
      <w:r w:rsidR="007C6B86" w:rsidRPr="006814CB">
        <w:t xml:space="preserve"> the licensee a storage permit for an interim purpose for each casino gaming machine </w:t>
      </w:r>
      <w:r w:rsidR="00F31467" w:rsidRPr="006814CB">
        <w:t>or</w:t>
      </w:r>
      <w:r w:rsidR="007C6B86" w:rsidRPr="006814CB">
        <w:t xml:space="preserve"> casino FATG terminal under the surrender</w:t>
      </w:r>
      <w:r w:rsidR="00210721" w:rsidRPr="006814CB">
        <w:t xml:space="preserve">ed certificate or authorisation if satisfied that the type of premises where the machine or terminal is to be stored is suitable for the storage of casino gaming machines or casino FATG terminals. </w:t>
      </w:r>
    </w:p>
    <w:p w:rsidR="007C6B86" w:rsidRPr="006814CB" w:rsidRDefault="006814CB" w:rsidP="006814CB">
      <w:pPr>
        <w:pStyle w:val="AH5Sec"/>
      </w:pPr>
      <w:bookmarkStart w:id="61" w:name="_Toc516729791"/>
      <w:r w:rsidRPr="00951C4D">
        <w:rPr>
          <w:rStyle w:val="CharSectNo"/>
        </w:rPr>
        <w:t>44</w:t>
      </w:r>
      <w:r w:rsidRPr="006814CB">
        <w:tab/>
      </w:r>
      <w:r w:rsidR="007C6B86" w:rsidRPr="006814CB">
        <w:t xml:space="preserve">Offence—failure to dispose of </w:t>
      </w:r>
      <w:r w:rsidR="00216FDD" w:rsidRPr="006814CB">
        <w:t xml:space="preserve">casino </w:t>
      </w:r>
      <w:r w:rsidR="007C6B86" w:rsidRPr="006814CB">
        <w:t xml:space="preserve">gaming machines </w:t>
      </w:r>
      <w:r w:rsidR="00216FDD" w:rsidRPr="006814CB">
        <w:t>and casino FATG terminals</w:t>
      </w:r>
      <w:bookmarkEnd w:id="61"/>
    </w:p>
    <w:p w:rsidR="007C6B86" w:rsidRPr="006814CB" w:rsidRDefault="006814CB" w:rsidP="006814CB">
      <w:pPr>
        <w:pStyle w:val="Amain"/>
      </w:pPr>
      <w:r>
        <w:tab/>
      </w:r>
      <w:r w:rsidRPr="006814CB">
        <w:t>(1)</w:t>
      </w:r>
      <w:r w:rsidRPr="006814CB">
        <w:tab/>
      </w:r>
      <w:r w:rsidR="00216FDD" w:rsidRPr="006814CB">
        <w:t>The casino licensee</w:t>
      </w:r>
      <w:r w:rsidR="007C6B86" w:rsidRPr="006814CB">
        <w:t xml:space="preserve"> commits an offence if—</w:t>
      </w:r>
    </w:p>
    <w:p w:rsidR="00216FDD" w:rsidRPr="006814CB" w:rsidRDefault="006814CB" w:rsidP="006814CB">
      <w:pPr>
        <w:pStyle w:val="Apara"/>
      </w:pPr>
      <w:r>
        <w:tab/>
      </w:r>
      <w:r w:rsidRPr="006814CB">
        <w:t>(a)</w:t>
      </w:r>
      <w:r w:rsidRPr="006814CB">
        <w:tab/>
      </w:r>
      <w:r w:rsidR="007C6B86" w:rsidRPr="006814CB">
        <w:t xml:space="preserve">an authorisation held by the </w:t>
      </w:r>
      <w:r w:rsidR="00216FDD" w:rsidRPr="006814CB">
        <w:t>licensee</w:t>
      </w:r>
      <w:r w:rsidR="007C6B86" w:rsidRPr="006814CB">
        <w:t xml:space="preserve"> was</w:t>
      </w:r>
      <w:r w:rsidR="00216FDD" w:rsidRPr="006814CB">
        <w:t>—</w:t>
      </w:r>
    </w:p>
    <w:p w:rsidR="00216FDD" w:rsidRPr="006814CB" w:rsidRDefault="006814CB" w:rsidP="006814CB">
      <w:pPr>
        <w:pStyle w:val="Asubpara"/>
      </w:pPr>
      <w:r>
        <w:tab/>
      </w:r>
      <w:r w:rsidRPr="006814CB">
        <w:t>(i)</w:t>
      </w:r>
      <w:r w:rsidRPr="006814CB">
        <w:tab/>
      </w:r>
      <w:r w:rsidR="00216FDD" w:rsidRPr="006814CB">
        <w:t xml:space="preserve">cancelled under section </w:t>
      </w:r>
      <w:r w:rsidR="002E0DF3" w:rsidRPr="006814CB">
        <w:t>41</w:t>
      </w:r>
      <w:r w:rsidR="00216FDD" w:rsidRPr="006814CB">
        <w:t xml:space="preserve"> (Cancellation of authorisation certificates and authorisations on surrender of casino licence); or</w:t>
      </w:r>
    </w:p>
    <w:p w:rsidR="007C6B86" w:rsidRPr="006814CB" w:rsidRDefault="006814CB" w:rsidP="006814CB">
      <w:pPr>
        <w:pStyle w:val="Asubpara"/>
      </w:pPr>
      <w:r>
        <w:tab/>
      </w:r>
      <w:r w:rsidRPr="006814CB">
        <w:t>(ii)</w:t>
      </w:r>
      <w:r w:rsidRPr="006814CB">
        <w:tab/>
      </w:r>
      <w:r w:rsidR="007C6B86" w:rsidRPr="006814CB">
        <w:t xml:space="preserve">surrendered </w:t>
      </w:r>
      <w:r w:rsidR="00216FDD" w:rsidRPr="006814CB">
        <w:t>under section </w:t>
      </w:r>
      <w:r w:rsidR="002E0DF3" w:rsidRPr="006814CB">
        <w:t>43</w:t>
      </w:r>
      <w:r w:rsidR="00216FDD" w:rsidRPr="006814CB">
        <w:t xml:space="preserve"> (Surrender of authorisation certificates and authorisations)</w:t>
      </w:r>
      <w:r w:rsidR="007C6B86" w:rsidRPr="006814CB">
        <w:t>; and</w:t>
      </w:r>
    </w:p>
    <w:p w:rsidR="007C6B86" w:rsidRPr="006814CB" w:rsidRDefault="006814CB" w:rsidP="006814CB">
      <w:pPr>
        <w:pStyle w:val="Apara"/>
      </w:pPr>
      <w:r>
        <w:tab/>
      </w:r>
      <w:r w:rsidRPr="006814CB">
        <w:t>(b)</w:t>
      </w:r>
      <w:r w:rsidRPr="006814CB">
        <w:tab/>
      </w:r>
      <w:r w:rsidR="007C6B86" w:rsidRPr="006814CB">
        <w:t xml:space="preserve">the commission gave the </w:t>
      </w:r>
      <w:r w:rsidR="00216FDD" w:rsidRPr="006814CB">
        <w:t>licensee</w:t>
      </w:r>
      <w:r w:rsidR="007C6B86" w:rsidRPr="006814CB">
        <w:t xml:space="preserve"> a storage permit for a </w:t>
      </w:r>
      <w:r w:rsidR="00216FDD" w:rsidRPr="006814CB">
        <w:t xml:space="preserve">casino </w:t>
      </w:r>
      <w:r w:rsidR="007C6B86" w:rsidRPr="006814CB">
        <w:t xml:space="preserve">gaming machine </w:t>
      </w:r>
      <w:r w:rsidR="00216FDD" w:rsidRPr="006814CB">
        <w:t xml:space="preserve">or casino FATG terminal </w:t>
      </w:r>
      <w:r w:rsidR="007C6B86" w:rsidRPr="006814CB">
        <w:t>to which the authorisation related; and</w:t>
      </w:r>
    </w:p>
    <w:p w:rsidR="007C6B86" w:rsidRPr="006814CB" w:rsidRDefault="006814CB" w:rsidP="006814CB">
      <w:pPr>
        <w:pStyle w:val="Apara"/>
      </w:pPr>
      <w:r>
        <w:tab/>
      </w:r>
      <w:r w:rsidRPr="006814CB">
        <w:t>(c)</w:t>
      </w:r>
      <w:r w:rsidRPr="006814CB">
        <w:tab/>
      </w:r>
      <w:r w:rsidR="007C6B86" w:rsidRPr="006814CB">
        <w:t xml:space="preserve">the </w:t>
      </w:r>
      <w:r w:rsidR="00216FDD" w:rsidRPr="006814CB">
        <w:t>licensee</w:t>
      </w:r>
      <w:r w:rsidR="007C6B86" w:rsidRPr="006814CB">
        <w:t xml:space="preserve"> fails to dispose of the machine </w:t>
      </w:r>
      <w:r w:rsidR="00216FDD" w:rsidRPr="006814CB">
        <w:t xml:space="preserve">or terminal </w:t>
      </w:r>
      <w:r w:rsidR="007C6B86" w:rsidRPr="006814CB">
        <w:t xml:space="preserve">mentioned in the </w:t>
      </w:r>
      <w:r w:rsidR="00DF2059" w:rsidRPr="006814CB">
        <w:t xml:space="preserve">storage </w:t>
      </w:r>
      <w:r w:rsidR="007C6B86" w:rsidRPr="006814CB">
        <w:t>permit—</w:t>
      </w:r>
    </w:p>
    <w:p w:rsidR="007C6B86" w:rsidRPr="006814CB" w:rsidRDefault="006814CB" w:rsidP="006814CB">
      <w:pPr>
        <w:pStyle w:val="Asubpara"/>
      </w:pPr>
      <w:r>
        <w:tab/>
      </w:r>
      <w:r w:rsidRPr="006814CB">
        <w:t>(i)</w:t>
      </w:r>
      <w:r w:rsidRPr="006814CB">
        <w:tab/>
      </w:r>
      <w:r w:rsidR="007C6B86" w:rsidRPr="006814CB">
        <w:t>in the way the commission directs; or</w:t>
      </w:r>
    </w:p>
    <w:p w:rsidR="007C6B86" w:rsidRPr="006814CB" w:rsidRDefault="006814CB" w:rsidP="006814CB">
      <w:pPr>
        <w:pStyle w:val="Asubpara"/>
        <w:keepNext/>
      </w:pPr>
      <w:r>
        <w:tab/>
      </w:r>
      <w:r w:rsidRPr="006814CB">
        <w:t>(ii)</w:t>
      </w:r>
      <w:r w:rsidRPr="006814CB">
        <w:tab/>
      </w:r>
      <w:r w:rsidR="007C6B86" w:rsidRPr="006814CB">
        <w:t xml:space="preserve">within the </w:t>
      </w:r>
      <w:r w:rsidR="0028517F" w:rsidRPr="006814CB">
        <w:t>time</w:t>
      </w:r>
      <w:r w:rsidR="007C6B86" w:rsidRPr="006814CB">
        <w:t xml:space="preserve"> stated in the permit.</w:t>
      </w:r>
    </w:p>
    <w:p w:rsidR="007C6B86" w:rsidRPr="006814CB" w:rsidRDefault="0028517F" w:rsidP="007C6B86">
      <w:pPr>
        <w:pStyle w:val="Penalty"/>
        <w:keepNext/>
      </w:pPr>
      <w:r w:rsidRPr="006814CB">
        <w:t>Maximum penalty:  10</w:t>
      </w:r>
      <w:r w:rsidR="007C6B86" w:rsidRPr="006814CB">
        <w:t>0 penalty units.</w:t>
      </w:r>
    </w:p>
    <w:p w:rsidR="00A01682" w:rsidRPr="006814CB" w:rsidRDefault="00A01682" w:rsidP="00A01682">
      <w:pPr>
        <w:pStyle w:val="aNote"/>
        <w:keepLines/>
      </w:pPr>
      <w:r w:rsidRPr="006814CB">
        <w:rPr>
          <w:rStyle w:val="charItals"/>
        </w:rPr>
        <w:t>Note</w:t>
      </w:r>
      <w:r w:rsidRPr="006814CB">
        <w:rPr>
          <w:rStyle w:val="charItals"/>
        </w:rPr>
        <w:tab/>
      </w:r>
      <w:r w:rsidRPr="006814CB">
        <w:t xml:space="preserve">The </w:t>
      </w:r>
      <w:hyperlink r:id="rId66" w:tooltip="Gambling and Racing Control Act 1999" w:history="1">
        <w:r w:rsidR="005151B1" w:rsidRPr="006814CB">
          <w:rPr>
            <w:rStyle w:val="charCitHyperlinkAbbrev"/>
          </w:rPr>
          <w:t>Control Act</w:t>
        </w:r>
      </w:hyperlink>
      <w:r w:rsidRPr="006814C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rsidR="0028517F" w:rsidRPr="006814CB" w:rsidRDefault="006814CB" w:rsidP="006814CB">
      <w:pPr>
        <w:pStyle w:val="Amain"/>
        <w:keepNext/>
      </w:pPr>
      <w:r>
        <w:tab/>
      </w:r>
      <w:r w:rsidRPr="006814CB">
        <w:t>(2)</w:t>
      </w:r>
      <w:r w:rsidRPr="006814CB">
        <w:tab/>
      </w:r>
      <w:r w:rsidR="0028517F" w:rsidRPr="006814CB">
        <w:t>Subsection (1) does not apply if the casino licensee has taken</w:t>
      </w:r>
      <w:r w:rsidR="00135BDD" w:rsidRPr="006814CB">
        <w:t xml:space="preserve"> all</w:t>
      </w:r>
      <w:r w:rsidR="0028517F" w:rsidRPr="006814CB">
        <w:t xml:space="preserve"> reasonable steps to comply with subsection (1) (c). </w:t>
      </w:r>
    </w:p>
    <w:p w:rsidR="0028517F" w:rsidRPr="006814CB" w:rsidRDefault="0028517F" w:rsidP="0028517F">
      <w:pPr>
        <w:pStyle w:val="aNote"/>
      </w:pPr>
      <w:r w:rsidRPr="006814CB">
        <w:rPr>
          <w:rStyle w:val="charItals"/>
        </w:rPr>
        <w:t>Note</w:t>
      </w:r>
      <w:r w:rsidRPr="006814CB">
        <w:rPr>
          <w:rStyle w:val="charItals"/>
        </w:rPr>
        <w:tab/>
      </w:r>
      <w:r w:rsidRPr="006814CB">
        <w:t xml:space="preserve">The defendant has an evidential burden in relation </w:t>
      </w:r>
      <w:r w:rsidR="009015D7" w:rsidRPr="006814CB">
        <w:t>to the matters mentioned in s (2</w:t>
      </w:r>
      <w:r w:rsidRPr="006814CB">
        <w:t xml:space="preserve">) (see </w:t>
      </w:r>
      <w:hyperlink r:id="rId67" w:tooltip="A2002-51" w:history="1">
        <w:r w:rsidR="00253379" w:rsidRPr="006814CB">
          <w:rPr>
            <w:rStyle w:val="charCitHyperlinkAbbrev"/>
          </w:rPr>
          <w:t>Criminal Code</w:t>
        </w:r>
      </w:hyperlink>
      <w:r w:rsidRPr="006814CB">
        <w:t>, s 58).</w:t>
      </w:r>
    </w:p>
    <w:p w:rsidR="00A01682" w:rsidRPr="006814CB" w:rsidRDefault="00A01682" w:rsidP="006814CB">
      <w:pPr>
        <w:pStyle w:val="PageBreak"/>
        <w:suppressLineNumbers/>
      </w:pPr>
      <w:r w:rsidRPr="006814CB">
        <w:br w:type="page"/>
      </w:r>
    </w:p>
    <w:p w:rsidR="007B2BBF" w:rsidRPr="00951C4D" w:rsidRDefault="006814CB" w:rsidP="006814CB">
      <w:pPr>
        <w:pStyle w:val="AH2Part"/>
      </w:pPr>
      <w:bookmarkStart w:id="62" w:name="_Toc516729792"/>
      <w:r w:rsidRPr="00951C4D">
        <w:rPr>
          <w:rStyle w:val="CharPartNo"/>
        </w:rPr>
        <w:t>Part 9</w:t>
      </w:r>
      <w:r w:rsidRPr="006814CB">
        <w:tab/>
      </w:r>
      <w:r w:rsidR="007B2BBF" w:rsidRPr="00951C4D">
        <w:rPr>
          <w:rStyle w:val="CharPartText"/>
        </w:rPr>
        <w:t>Notification and review of decisions</w:t>
      </w:r>
      <w:bookmarkEnd w:id="62"/>
    </w:p>
    <w:p w:rsidR="007B2BBF" w:rsidRPr="006814CB" w:rsidRDefault="006814CB" w:rsidP="006814CB">
      <w:pPr>
        <w:pStyle w:val="AH5Sec"/>
      </w:pPr>
      <w:bookmarkStart w:id="63" w:name="_Toc516729793"/>
      <w:r w:rsidRPr="00951C4D">
        <w:rPr>
          <w:rStyle w:val="CharSectNo"/>
        </w:rPr>
        <w:t>45</w:t>
      </w:r>
      <w:r w:rsidRPr="006814CB">
        <w:tab/>
      </w:r>
      <w:r w:rsidR="00BB5F71" w:rsidRPr="006814CB">
        <w:t xml:space="preserve">Meaning of </w:t>
      </w:r>
      <w:r w:rsidR="00BB5F71" w:rsidRPr="006814CB">
        <w:rPr>
          <w:rStyle w:val="charItals"/>
        </w:rPr>
        <w:t>reviewable decision</w:t>
      </w:r>
      <w:r w:rsidR="007B2BBF" w:rsidRPr="006814CB">
        <w:t xml:space="preserve">—pt </w:t>
      </w:r>
      <w:r w:rsidR="00DF2059" w:rsidRPr="006814CB">
        <w:t>9</w:t>
      </w:r>
      <w:bookmarkEnd w:id="63"/>
    </w:p>
    <w:p w:rsidR="007B2BBF" w:rsidRPr="006814CB" w:rsidRDefault="00F50659" w:rsidP="007B2BBF">
      <w:pPr>
        <w:pStyle w:val="Amainreturn"/>
      </w:pPr>
      <w:r w:rsidRPr="006814CB">
        <w:t>In this part:</w:t>
      </w:r>
    </w:p>
    <w:p w:rsidR="00F50659" w:rsidRPr="006814CB" w:rsidRDefault="00F50659" w:rsidP="006814CB">
      <w:pPr>
        <w:pStyle w:val="aDef"/>
      </w:pPr>
      <w:r w:rsidRPr="006814CB">
        <w:rPr>
          <w:rStyle w:val="charBoldItals"/>
        </w:rPr>
        <w:t xml:space="preserve">reviewable decision </w:t>
      </w:r>
      <w:r w:rsidRPr="006814CB">
        <w:t>means a decision mentioned in schedule 1, column 3 under a provision of this Act mentioned in column 2 in relation to the decision.</w:t>
      </w:r>
    </w:p>
    <w:p w:rsidR="007E6B46" w:rsidRPr="005D4E1B" w:rsidRDefault="007E6B46" w:rsidP="007E6B46">
      <w:pPr>
        <w:pStyle w:val="AH5Sec"/>
      </w:pPr>
      <w:bookmarkStart w:id="64" w:name="_Toc516729794"/>
      <w:r w:rsidRPr="00951C4D">
        <w:rPr>
          <w:rStyle w:val="CharSectNo"/>
        </w:rPr>
        <w:t>46</w:t>
      </w:r>
      <w:r w:rsidRPr="005D4E1B">
        <w:tab/>
        <w:t>Reviewable decision notices</w:t>
      </w:r>
      <w:bookmarkEnd w:id="64"/>
    </w:p>
    <w:p w:rsidR="007E6B46" w:rsidRPr="005D4E1B" w:rsidRDefault="007E6B46" w:rsidP="007E6B46">
      <w:pPr>
        <w:pStyle w:val="Amain"/>
      </w:pPr>
      <w:r w:rsidRPr="005D4E1B">
        <w:tab/>
        <w:t>(1)</w:t>
      </w:r>
      <w:r w:rsidRPr="005D4E1B">
        <w:tab/>
        <w:t>If a decision-maker makes a reviewable decision, the decision-maker must give a reviewable decision notice to the casino licensee.</w:t>
      </w:r>
    </w:p>
    <w:p w:rsidR="007E6B46" w:rsidRPr="005D4E1B" w:rsidRDefault="007E6B46" w:rsidP="007E6B46">
      <w:pPr>
        <w:pStyle w:val="aNote"/>
        <w:keepNext/>
      </w:pPr>
      <w:r w:rsidRPr="005D4E1B">
        <w:rPr>
          <w:rStyle w:val="charItals"/>
        </w:rPr>
        <w:t>Note 1</w:t>
      </w:r>
      <w:r w:rsidRPr="005D4E1B">
        <w:rPr>
          <w:rStyle w:val="charItals"/>
        </w:rPr>
        <w:tab/>
      </w:r>
      <w:r w:rsidRPr="005D4E1B">
        <w:t xml:space="preserve">The decision-maker must also take reasonable steps to give a reviewable decision notice to any other person whose interests are affected by the decision (see </w:t>
      </w:r>
      <w:hyperlink r:id="rId68" w:tooltip="A2008-35" w:history="1">
        <w:r w:rsidRPr="005D4E1B">
          <w:rPr>
            <w:rStyle w:val="charCitHyperlinkItal"/>
          </w:rPr>
          <w:t>ACT Civil and Administrative Tribunal Act 2008</w:t>
        </w:r>
      </w:hyperlink>
      <w:r w:rsidRPr="005D4E1B">
        <w:t>, s 67A).</w:t>
      </w:r>
    </w:p>
    <w:p w:rsidR="007E6B46" w:rsidRPr="005D4E1B" w:rsidRDefault="007E6B46" w:rsidP="007E6B46">
      <w:pPr>
        <w:pStyle w:val="aNote"/>
        <w:rPr>
          <w:lang w:eastAsia="en-AU"/>
        </w:rPr>
      </w:pPr>
      <w:r w:rsidRPr="005D4E1B">
        <w:rPr>
          <w:rStyle w:val="charItals"/>
        </w:rPr>
        <w:t>Note 2</w:t>
      </w:r>
      <w:r w:rsidRPr="005D4E1B">
        <w:rPr>
          <w:rStyle w:val="charItals"/>
        </w:rPr>
        <w:tab/>
      </w:r>
      <w:r w:rsidRPr="005D4E1B">
        <w:t xml:space="preserve">The requirements for reviewable decision notices are prescribed under the </w:t>
      </w:r>
      <w:hyperlink r:id="rId69" w:tooltip="A2008-35" w:history="1">
        <w:r w:rsidRPr="005D4E1B">
          <w:rPr>
            <w:rStyle w:val="charCitHyperlinkItal"/>
          </w:rPr>
          <w:t>ACT Civil and Administrative Tribunal Act 2008</w:t>
        </w:r>
      </w:hyperlink>
      <w:r w:rsidRPr="005D4E1B">
        <w:t>.</w:t>
      </w:r>
    </w:p>
    <w:p w:rsidR="007E6B46" w:rsidRPr="005D4E1B" w:rsidRDefault="007E6B46" w:rsidP="007E6B46">
      <w:pPr>
        <w:pStyle w:val="Amain"/>
      </w:pPr>
      <w:r w:rsidRPr="005D4E1B">
        <w:tab/>
        <w:t>(2)</w:t>
      </w:r>
      <w:r w:rsidRPr="005D4E1B">
        <w:tab/>
        <w:t>In this section:</w:t>
      </w:r>
    </w:p>
    <w:p w:rsidR="007E6B46" w:rsidRPr="005D4E1B" w:rsidRDefault="007E6B46" w:rsidP="007E6B46">
      <w:pPr>
        <w:pStyle w:val="aDef"/>
      </w:pPr>
      <w:r w:rsidRPr="005D4E1B">
        <w:rPr>
          <w:rStyle w:val="charBoldItals"/>
        </w:rPr>
        <w:t>decision-maker</w:t>
      </w:r>
      <w:r w:rsidRPr="005D4E1B">
        <w:t>, for a reviewable decision, means—</w:t>
      </w:r>
    </w:p>
    <w:p w:rsidR="007E6B46" w:rsidRPr="005D4E1B" w:rsidRDefault="007E6B46" w:rsidP="007E6B46">
      <w:pPr>
        <w:pStyle w:val="aDefpara"/>
      </w:pPr>
      <w:r w:rsidRPr="005D4E1B">
        <w:tab/>
        <w:t>(a)</w:t>
      </w:r>
      <w:r w:rsidRPr="005D4E1B">
        <w:tab/>
        <w:t>the commission; or</w:t>
      </w:r>
    </w:p>
    <w:p w:rsidR="007E6B46" w:rsidRPr="005D4E1B" w:rsidRDefault="007E6B46" w:rsidP="007E6B46">
      <w:pPr>
        <w:pStyle w:val="aDefpara"/>
      </w:pPr>
      <w:r w:rsidRPr="005D4E1B">
        <w:tab/>
        <w:t>(b)</w:t>
      </w:r>
      <w:r w:rsidRPr="005D4E1B">
        <w:tab/>
        <w:t>the Minister.</w:t>
      </w:r>
    </w:p>
    <w:p w:rsidR="00A6603D" w:rsidRPr="006814CB" w:rsidRDefault="006814CB" w:rsidP="006814CB">
      <w:pPr>
        <w:pStyle w:val="AH5Sec"/>
      </w:pPr>
      <w:bookmarkStart w:id="65" w:name="_Toc516729795"/>
      <w:r w:rsidRPr="00951C4D">
        <w:rPr>
          <w:rStyle w:val="CharSectNo"/>
        </w:rPr>
        <w:t>47</w:t>
      </w:r>
      <w:r w:rsidRPr="006814CB">
        <w:tab/>
      </w:r>
      <w:r w:rsidR="00A6603D" w:rsidRPr="006814CB">
        <w:t>Applications for review</w:t>
      </w:r>
      <w:bookmarkEnd w:id="65"/>
    </w:p>
    <w:p w:rsidR="00A6603D" w:rsidRPr="006814CB" w:rsidRDefault="00A6603D" w:rsidP="00A6603D">
      <w:pPr>
        <w:pStyle w:val="Amainreturn"/>
      </w:pPr>
      <w:r w:rsidRPr="006814CB">
        <w:t>The following people may apply to the ACAT for review of a reviewable decision:</w:t>
      </w:r>
    </w:p>
    <w:p w:rsidR="00A6603D" w:rsidRPr="006814CB" w:rsidRDefault="006814CB" w:rsidP="006814CB">
      <w:pPr>
        <w:pStyle w:val="Apara"/>
      </w:pPr>
      <w:r>
        <w:tab/>
      </w:r>
      <w:r w:rsidRPr="006814CB">
        <w:t>(a)</w:t>
      </w:r>
      <w:r w:rsidRPr="006814CB">
        <w:tab/>
      </w:r>
      <w:r w:rsidR="00C8666D" w:rsidRPr="006814CB">
        <w:t>the casino licensee</w:t>
      </w:r>
      <w:r w:rsidR="00A6603D" w:rsidRPr="006814CB">
        <w:t xml:space="preserve">; </w:t>
      </w:r>
    </w:p>
    <w:p w:rsidR="00A6603D" w:rsidRPr="006814CB" w:rsidRDefault="006814CB" w:rsidP="006814CB">
      <w:pPr>
        <w:pStyle w:val="Apara"/>
        <w:keepNext/>
      </w:pPr>
      <w:r>
        <w:tab/>
      </w:r>
      <w:r w:rsidRPr="006814CB">
        <w:t>(b)</w:t>
      </w:r>
      <w:r w:rsidRPr="006814CB">
        <w:tab/>
      </w:r>
      <w:r w:rsidR="00A6603D" w:rsidRPr="006814CB">
        <w:t>any other person whose interests are affected by the decision.</w:t>
      </w:r>
    </w:p>
    <w:p w:rsidR="00A6603D" w:rsidRPr="006814CB" w:rsidRDefault="00A6603D" w:rsidP="00A6603D">
      <w:pPr>
        <w:pStyle w:val="aNote"/>
      </w:pPr>
      <w:r w:rsidRPr="006814CB">
        <w:rPr>
          <w:rStyle w:val="charItals"/>
        </w:rPr>
        <w:t>Note</w:t>
      </w:r>
      <w:r w:rsidRPr="006814CB">
        <w:rPr>
          <w:rStyle w:val="charItals"/>
        </w:rPr>
        <w:tab/>
      </w:r>
      <w:r w:rsidRPr="006814CB">
        <w:t xml:space="preserve">If a form is approved under the </w:t>
      </w:r>
      <w:hyperlink r:id="rId70" w:tooltip="A2008-35" w:history="1">
        <w:r w:rsidR="00253379" w:rsidRPr="006814CB">
          <w:rPr>
            <w:rStyle w:val="charCitHyperlinkItal"/>
          </w:rPr>
          <w:t>ACT Civil and Administrative Tribunal Act 2008</w:t>
        </w:r>
      </w:hyperlink>
      <w:r w:rsidRPr="006814CB">
        <w:t xml:space="preserve"> for the application, the form must be used. </w:t>
      </w:r>
    </w:p>
    <w:p w:rsidR="00BB5F71" w:rsidRPr="006814CB" w:rsidRDefault="00BB5F71" w:rsidP="006814CB">
      <w:pPr>
        <w:pStyle w:val="PageBreak"/>
        <w:suppressLineNumbers/>
      </w:pPr>
      <w:r w:rsidRPr="006814CB">
        <w:br w:type="page"/>
      </w:r>
    </w:p>
    <w:p w:rsidR="00EF7577" w:rsidRPr="00951C4D" w:rsidRDefault="006814CB" w:rsidP="006814CB">
      <w:pPr>
        <w:pStyle w:val="AH2Part"/>
      </w:pPr>
      <w:bookmarkStart w:id="66" w:name="_Toc516729796"/>
      <w:r w:rsidRPr="00951C4D">
        <w:rPr>
          <w:rStyle w:val="CharPartNo"/>
        </w:rPr>
        <w:t>Part 10</w:t>
      </w:r>
      <w:r w:rsidRPr="006814CB">
        <w:tab/>
      </w:r>
      <w:r w:rsidR="00EF7577" w:rsidRPr="00951C4D">
        <w:rPr>
          <w:rStyle w:val="CharPartText"/>
        </w:rPr>
        <w:t>Notifiable actions</w:t>
      </w:r>
      <w:bookmarkEnd w:id="66"/>
    </w:p>
    <w:p w:rsidR="00EF7577" w:rsidRPr="006814CB" w:rsidRDefault="006814CB" w:rsidP="006814CB">
      <w:pPr>
        <w:pStyle w:val="AH5Sec"/>
        <w:rPr>
          <w:rStyle w:val="charItals"/>
        </w:rPr>
      </w:pPr>
      <w:bookmarkStart w:id="67" w:name="_Toc516729797"/>
      <w:r w:rsidRPr="00951C4D">
        <w:rPr>
          <w:rStyle w:val="CharSectNo"/>
        </w:rPr>
        <w:t>48</w:t>
      </w:r>
      <w:r w:rsidRPr="00903DAE">
        <w:rPr>
          <w:rFonts w:cs="Arial"/>
        </w:rPr>
        <w:tab/>
      </w:r>
      <w:r w:rsidR="00B26C6E" w:rsidRPr="006814CB">
        <w:t>Definitions—Act</w:t>
      </w:r>
      <w:bookmarkEnd w:id="67"/>
    </w:p>
    <w:p w:rsidR="00EF7577" w:rsidRPr="006814CB" w:rsidRDefault="00EF7577" w:rsidP="00EF7577">
      <w:pPr>
        <w:pStyle w:val="Amainreturn"/>
      </w:pPr>
      <w:r w:rsidRPr="006814CB">
        <w:t xml:space="preserve">In this Act: </w:t>
      </w:r>
    </w:p>
    <w:p w:rsidR="00EF7577" w:rsidRPr="006814CB" w:rsidRDefault="00EF7577" w:rsidP="006814CB">
      <w:pPr>
        <w:pStyle w:val="aDef"/>
      </w:pPr>
      <w:r w:rsidRPr="006814CB">
        <w:rPr>
          <w:rStyle w:val="charBoldItals"/>
        </w:rPr>
        <w:t xml:space="preserve">notifiable action </w:t>
      </w:r>
      <w:r w:rsidRPr="006814CB">
        <w:t>means an action mentioned in schedule 2, column</w:t>
      </w:r>
      <w:r w:rsidR="00BB5F71" w:rsidRPr="006814CB">
        <w:t> </w:t>
      </w:r>
      <w:r w:rsidRPr="006814CB">
        <w:t>3 under a provision of this Act mentioned in column</w:t>
      </w:r>
      <w:r w:rsidR="00BB5F71" w:rsidRPr="006814CB">
        <w:t> </w:t>
      </w:r>
      <w:r w:rsidRPr="006814CB">
        <w:t>2 in relation to the action.</w:t>
      </w:r>
    </w:p>
    <w:p w:rsidR="00BB5F71" w:rsidRPr="006814CB" w:rsidRDefault="00BB5F71" w:rsidP="006814CB">
      <w:pPr>
        <w:pStyle w:val="aDef"/>
        <w:keepNext/>
      </w:pPr>
      <w:r w:rsidRPr="006814CB">
        <w:rPr>
          <w:rStyle w:val="charBoldItals"/>
        </w:rPr>
        <w:t>prescribed number of days</w:t>
      </w:r>
      <w:r w:rsidRPr="006814CB">
        <w:t xml:space="preserve"> means—</w:t>
      </w:r>
    </w:p>
    <w:p w:rsidR="00BB5F71" w:rsidRPr="006814CB" w:rsidRDefault="006814CB" w:rsidP="006814CB">
      <w:pPr>
        <w:pStyle w:val="aDefpara"/>
        <w:keepNext/>
      </w:pPr>
      <w:r>
        <w:tab/>
      </w:r>
      <w:r w:rsidRPr="006814CB">
        <w:t>(a)</w:t>
      </w:r>
      <w:r w:rsidRPr="006814CB">
        <w:tab/>
      </w:r>
      <w:r w:rsidR="00BB5F71" w:rsidRPr="006814CB">
        <w:t>10 business days; or</w:t>
      </w:r>
    </w:p>
    <w:p w:rsidR="00BB5F71" w:rsidRPr="006814CB" w:rsidRDefault="006814CB" w:rsidP="006814CB">
      <w:pPr>
        <w:pStyle w:val="aDefpara"/>
      </w:pPr>
      <w:r>
        <w:tab/>
      </w:r>
      <w:r w:rsidRPr="006814CB">
        <w:t>(b)</w:t>
      </w:r>
      <w:r w:rsidRPr="006814CB">
        <w:tab/>
      </w:r>
      <w:r w:rsidR="00BB5F71" w:rsidRPr="006814CB">
        <w:t>if a regulation prescribes a different number of days—that number of days.</w:t>
      </w:r>
    </w:p>
    <w:p w:rsidR="00EF7577" w:rsidRPr="006814CB" w:rsidRDefault="006814CB" w:rsidP="006814CB">
      <w:pPr>
        <w:pStyle w:val="AH5Sec"/>
      </w:pPr>
      <w:bookmarkStart w:id="68" w:name="_Toc516729798"/>
      <w:r w:rsidRPr="00951C4D">
        <w:rPr>
          <w:rStyle w:val="CharSectNo"/>
        </w:rPr>
        <w:t>49</w:t>
      </w:r>
      <w:r w:rsidRPr="006814CB">
        <w:tab/>
      </w:r>
      <w:r w:rsidR="00EF7577" w:rsidRPr="006814CB">
        <w:t>Notifiable actions</w:t>
      </w:r>
      <w:bookmarkEnd w:id="68"/>
    </w:p>
    <w:p w:rsidR="00EF7577" w:rsidRPr="006814CB" w:rsidRDefault="006814CB" w:rsidP="006814CB">
      <w:pPr>
        <w:pStyle w:val="Amain"/>
      </w:pPr>
      <w:r>
        <w:tab/>
      </w:r>
      <w:r w:rsidRPr="006814CB">
        <w:t>(1)</w:t>
      </w:r>
      <w:r w:rsidRPr="006814CB">
        <w:tab/>
      </w:r>
      <w:r w:rsidR="00EF7577" w:rsidRPr="006814CB">
        <w:t>This section applies if the casino licensee notifies the commission about a notifiable action.</w:t>
      </w:r>
    </w:p>
    <w:p w:rsidR="00EF7577" w:rsidRPr="006814CB" w:rsidRDefault="006814CB" w:rsidP="006814CB">
      <w:pPr>
        <w:pStyle w:val="Amain"/>
      </w:pPr>
      <w:r>
        <w:tab/>
      </w:r>
      <w:r w:rsidRPr="006814CB">
        <w:t>(2)</w:t>
      </w:r>
      <w:r w:rsidRPr="006814CB">
        <w:tab/>
      </w:r>
      <w:r w:rsidR="00EF7577" w:rsidRPr="006814CB">
        <w:t>The notification must—</w:t>
      </w:r>
    </w:p>
    <w:p w:rsidR="00EF7577" w:rsidRPr="006814CB" w:rsidRDefault="006814CB" w:rsidP="006814CB">
      <w:pPr>
        <w:pStyle w:val="Apara"/>
      </w:pPr>
      <w:r>
        <w:tab/>
      </w:r>
      <w:r w:rsidRPr="006814CB">
        <w:t>(a)</w:t>
      </w:r>
      <w:r w:rsidRPr="006814CB">
        <w:tab/>
      </w:r>
      <w:r w:rsidR="00EF7577" w:rsidRPr="006814CB">
        <w:t>be in writing; and</w:t>
      </w:r>
    </w:p>
    <w:p w:rsidR="00EF7577" w:rsidRPr="006814CB" w:rsidRDefault="006814CB" w:rsidP="006814CB">
      <w:pPr>
        <w:pStyle w:val="Apara"/>
      </w:pPr>
      <w:r>
        <w:tab/>
      </w:r>
      <w:r w:rsidRPr="006814CB">
        <w:t>(b)</w:t>
      </w:r>
      <w:r w:rsidRPr="006814CB">
        <w:tab/>
      </w:r>
      <w:r w:rsidR="00EF7577" w:rsidRPr="006814CB">
        <w:t>be given to the commission at least the prescribed number of days before the day the casino licensee undertakes the notifiable action; and</w:t>
      </w:r>
    </w:p>
    <w:p w:rsidR="00EF7577" w:rsidRPr="006814CB" w:rsidRDefault="006814CB" w:rsidP="006814CB">
      <w:pPr>
        <w:pStyle w:val="Apara"/>
        <w:keepNext/>
      </w:pPr>
      <w:r>
        <w:tab/>
      </w:r>
      <w:r w:rsidRPr="006814CB">
        <w:t>(c)</w:t>
      </w:r>
      <w:r w:rsidRPr="006814CB">
        <w:tab/>
      </w:r>
      <w:r w:rsidR="00EF7577" w:rsidRPr="006814CB">
        <w:t>include anything else required by regulation.</w:t>
      </w:r>
    </w:p>
    <w:p w:rsidR="00BB5F71" w:rsidRPr="006814CB" w:rsidRDefault="00BB5F71" w:rsidP="006814CB">
      <w:pPr>
        <w:pStyle w:val="aNote"/>
        <w:keepNext/>
      </w:pPr>
      <w:r w:rsidRPr="006814CB">
        <w:rPr>
          <w:rStyle w:val="charItals"/>
        </w:rPr>
        <w:t>Note 1</w:t>
      </w:r>
      <w:r w:rsidRPr="006814CB">
        <w:rPr>
          <w:rStyle w:val="charItals"/>
        </w:rPr>
        <w:tab/>
      </w:r>
      <w:r w:rsidRPr="006814CB">
        <w:t xml:space="preserve">For how documents may be given, see the </w:t>
      </w:r>
      <w:hyperlink r:id="rId71" w:tooltip="A2001-14" w:history="1">
        <w:r w:rsidR="00253379" w:rsidRPr="006814CB">
          <w:rPr>
            <w:rStyle w:val="charCitHyperlinkAbbrev"/>
          </w:rPr>
          <w:t>Legislation Act</w:t>
        </w:r>
      </w:hyperlink>
      <w:r w:rsidRPr="006814CB">
        <w:t>, pt 19.5.</w:t>
      </w:r>
    </w:p>
    <w:p w:rsidR="00EF7577" w:rsidRPr="006814CB" w:rsidRDefault="00EF7577" w:rsidP="00EF7577">
      <w:pPr>
        <w:pStyle w:val="aNote"/>
        <w:keepNext/>
      </w:pPr>
      <w:r w:rsidRPr="006814CB">
        <w:rPr>
          <w:rStyle w:val="charItals"/>
        </w:rPr>
        <w:t xml:space="preserve">Note </w:t>
      </w:r>
      <w:r w:rsidR="00BB5F71" w:rsidRPr="006814CB">
        <w:rPr>
          <w:rStyle w:val="charItals"/>
        </w:rPr>
        <w:t>2</w:t>
      </w:r>
      <w:r w:rsidRPr="006814CB">
        <w:tab/>
        <w:t xml:space="preserve">It is an offence to make a false or misleading statement, give false or misleading information or produce a false or misleading document (see </w:t>
      </w:r>
      <w:hyperlink r:id="rId72" w:tooltip="A2002-51" w:history="1">
        <w:r w:rsidR="00253379" w:rsidRPr="006814CB">
          <w:rPr>
            <w:rStyle w:val="charCitHyperlinkAbbrev"/>
          </w:rPr>
          <w:t>Criminal Code</w:t>
        </w:r>
      </w:hyperlink>
      <w:r w:rsidRPr="006814CB">
        <w:t>, pt 3.4).</w:t>
      </w:r>
    </w:p>
    <w:p w:rsidR="00EF7577" w:rsidRPr="006814CB" w:rsidRDefault="00EF7577" w:rsidP="00EF7577">
      <w:pPr>
        <w:pStyle w:val="aNote"/>
        <w:keepNext/>
      </w:pPr>
      <w:r w:rsidRPr="006814CB">
        <w:rPr>
          <w:rStyle w:val="charItals"/>
        </w:rPr>
        <w:t xml:space="preserve">Note </w:t>
      </w:r>
      <w:r w:rsidR="00BB5F71" w:rsidRPr="006814CB">
        <w:rPr>
          <w:rStyle w:val="charItals"/>
        </w:rPr>
        <w:t>3</w:t>
      </w:r>
      <w:r w:rsidRPr="006814CB">
        <w:tab/>
        <w:t xml:space="preserve">If a form is approved under the </w:t>
      </w:r>
      <w:hyperlink r:id="rId73" w:tooltip="Gambling and Racing Control Act 1999" w:history="1">
        <w:r w:rsidR="005151B1" w:rsidRPr="006814CB">
          <w:rPr>
            <w:rStyle w:val="charCitHyperlinkAbbrev"/>
          </w:rPr>
          <w:t>Control Act</w:t>
        </w:r>
      </w:hyperlink>
      <w:r w:rsidRPr="006814CB">
        <w:t>, s 53D for this provision, the form must be used.</w:t>
      </w:r>
    </w:p>
    <w:p w:rsidR="00EF7577" w:rsidRPr="006814CB" w:rsidRDefault="00EF7577" w:rsidP="00EF7577">
      <w:pPr>
        <w:pStyle w:val="aNote"/>
      </w:pPr>
      <w:r w:rsidRPr="006814CB">
        <w:rPr>
          <w:rStyle w:val="charItals"/>
        </w:rPr>
        <w:t xml:space="preserve">Note </w:t>
      </w:r>
      <w:r w:rsidR="00BB5F71" w:rsidRPr="006814CB">
        <w:rPr>
          <w:rStyle w:val="charItals"/>
        </w:rPr>
        <w:t>4</w:t>
      </w:r>
      <w:r w:rsidRPr="006814CB">
        <w:tab/>
        <w:t xml:space="preserve">A fee may be determined under s </w:t>
      </w:r>
      <w:r w:rsidR="002E0DF3" w:rsidRPr="006814CB">
        <w:t>53</w:t>
      </w:r>
      <w:r w:rsidR="00BB5F71" w:rsidRPr="006814CB">
        <w:t xml:space="preserve"> </w:t>
      </w:r>
      <w:r w:rsidRPr="006814CB">
        <w:t>for this provision.</w:t>
      </w:r>
    </w:p>
    <w:p w:rsidR="00EF7577" w:rsidRPr="006814CB" w:rsidRDefault="006814CB" w:rsidP="006814CB">
      <w:pPr>
        <w:pStyle w:val="Amain"/>
      </w:pPr>
      <w:r>
        <w:tab/>
      </w:r>
      <w:r w:rsidRPr="006814CB">
        <w:t>(3)</w:t>
      </w:r>
      <w:r w:rsidRPr="006814CB">
        <w:tab/>
      </w:r>
      <w:r w:rsidR="00EF7577" w:rsidRPr="006814CB">
        <w:t>On receiving a notification, the commission may, by notice, ask the following people for additional information about the notifiable action:</w:t>
      </w:r>
    </w:p>
    <w:p w:rsidR="00EF7577" w:rsidRPr="006814CB" w:rsidRDefault="006814CB" w:rsidP="006814CB">
      <w:pPr>
        <w:pStyle w:val="Apara"/>
      </w:pPr>
      <w:r>
        <w:tab/>
      </w:r>
      <w:r w:rsidRPr="006814CB">
        <w:t>(a)</w:t>
      </w:r>
      <w:r w:rsidRPr="006814CB">
        <w:tab/>
      </w:r>
      <w:r w:rsidR="00EF7577" w:rsidRPr="006814CB">
        <w:t>the casino licensee;</w:t>
      </w:r>
    </w:p>
    <w:p w:rsidR="00EF7577" w:rsidRPr="006814CB" w:rsidRDefault="006814CB" w:rsidP="006814CB">
      <w:pPr>
        <w:pStyle w:val="Apara"/>
        <w:keepNext/>
      </w:pPr>
      <w:r>
        <w:tab/>
      </w:r>
      <w:r w:rsidRPr="006814CB">
        <w:t>(b)</w:t>
      </w:r>
      <w:r w:rsidRPr="006814CB">
        <w:tab/>
      </w:r>
      <w:r w:rsidR="00EF7577" w:rsidRPr="006814CB">
        <w:t>the disposing licensee.</w:t>
      </w:r>
    </w:p>
    <w:p w:rsidR="00EF7577" w:rsidRPr="006814CB" w:rsidRDefault="00EF7577" w:rsidP="00EF7577">
      <w:pPr>
        <w:pStyle w:val="aNote"/>
      </w:pPr>
      <w:r w:rsidRPr="006814CB">
        <w:rPr>
          <w:rStyle w:val="charItals"/>
        </w:rPr>
        <w:t>Note</w:t>
      </w:r>
      <w:r w:rsidRPr="006814CB">
        <w:rPr>
          <w:rStyle w:val="charItals"/>
        </w:rPr>
        <w:tab/>
      </w:r>
      <w:r w:rsidRPr="006814CB">
        <w:t xml:space="preserve">For how documents may be given, see the </w:t>
      </w:r>
      <w:hyperlink r:id="rId74" w:tooltip="A2001-14" w:history="1">
        <w:r w:rsidR="00253379" w:rsidRPr="006814CB">
          <w:rPr>
            <w:rStyle w:val="charCitHyperlinkAbbrev"/>
          </w:rPr>
          <w:t>Legislation Act</w:t>
        </w:r>
      </w:hyperlink>
      <w:r w:rsidRPr="006814CB">
        <w:t>, pt 19.5.</w:t>
      </w:r>
    </w:p>
    <w:p w:rsidR="00EF7577" w:rsidRPr="006814CB" w:rsidRDefault="006814CB" w:rsidP="006814CB">
      <w:pPr>
        <w:pStyle w:val="Amain"/>
        <w:keepNext/>
      </w:pPr>
      <w:r>
        <w:tab/>
      </w:r>
      <w:r w:rsidRPr="006814CB">
        <w:t>(4)</w:t>
      </w:r>
      <w:r w:rsidRPr="006814CB">
        <w:tab/>
      </w:r>
      <w:r w:rsidR="00EF7577" w:rsidRPr="006814CB">
        <w:t>If the commission gives a notice under subsection (3), the notice must state a reasonable time within which the information must be given.</w:t>
      </w:r>
    </w:p>
    <w:p w:rsidR="00EF7577" w:rsidRPr="006814CB" w:rsidRDefault="00EF7577" w:rsidP="00EF7577">
      <w:pPr>
        <w:pStyle w:val="aNote"/>
      </w:pPr>
      <w:r w:rsidRPr="006814CB">
        <w:rPr>
          <w:rStyle w:val="charItals"/>
        </w:rPr>
        <w:t>Note</w:t>
      </w:r>
      <w:r w:rsidRPr="006814CB">
        <w:rPr>
          <w:rStyle w:val="charItals"/>
        </w:rPr>
        <w:tab/>
      </w:r>
      <w:r w:rsidRPr="006814CB">
        <w:t xml:space="preserve">A failure to comply with this section is a ground for disciplinary action (see </w:t>
      </w:r>
      <w:hyperlink r:id="rId75" w:tooltip="A2006-2" w:history="1">
        <w:r w:rsidR="00253379" w:rsidRPr="006814CB">
          <w:rPr>
            <w:rStyle w:val="charCitHyperlinkItal"/>
          </w:rPr>
          <w:t>Casino Control Act 2006</w:t>
        </w:r>
      </w:hyperlink>
      <w:r w:rsidR="00D40DE4" w:rsidRPr="006814CB">
        <w:t xml:space="preserve">, </w:t>
      </w:r>
      <w:r w:rsidRPr="006814CB">
        <w:t>s </w:t>
      </w:r>
      <w:r w:rsidR="00D40DE4" w:rsidRPr="006814CB">
        <w:t>33</w:t>
      </w:r>
      <w:r w:rsidRPr="006814CB">
        <w:t xml:space="preserve"> (1) (c)).</w:t>
      </w:r>
    </w:p>
    <w:p w:rsidR="00EF7577" w:rsidRPr="006814CB" w:rsidRDefault="006814CB" w:rsidP="006814CB">
      <w:pPr>
        <w:pStyle w:val="AH5Sec"/>
      </w:pPr>
      <w:bookmarkStart w:id="69" w:name="_Toc516729799"/>
      <w:r w:rsidRPr="00951C4D">
        <w:rPr>
          <w:rStyle w:val="CharSectNo"/>
        </w:rPr>
        <w:t>50</w:t>
      </w:r>
      <w:r w:rsidRPr="006814CB">
        <w:tab/>
      </w:r>
      <w:r w:rsidR="00EF7577" w:rsidRPr="006814CB">
        <w:t>Notifiable actions—date of effect</w:t>
      </w:r>
      <w:bookmarkEnd w:id="69"/>
    </w:p>
    <w:p w:rsidR="00EF7577" w:rsidRPr="006814CB" w:rsidRDefault="00EF7577" w:rsidP="00EF7577">
      <w:pPr>
        <w:pStyle w:val="Amainreturn"/>
        <w:keepNext/>
      </w:pPr>
      <w:r w:rsidRPr="006814CB">
        <w:t>A notifiable action takes effect—</w:t>
      </w:r>
    </w:p>
    <w:p w:rsidR="00EF7577" w:rsidRPr="006814CB" w:rsidRDefault="006814CB" w:rsidP="006814CB">
      <w:pPr>
        <w:pStyle w:val="Apara"/>
      </w:pPr>
      <w:r>
        <w:tab/>
      </w:r>
      <w:r w:rsidRPr="006814CB">
        <w:t>(a)</w:t>
      </w:r>
      <w:r w:rsidRPr="006814CB">
        <w:tab/>
      </w:r>
      <w:r w:rsidR="00EF7577" w:rsidRPr="006814CB">
        <w:t>the prescribed number of days after the day the commission receives a notification about the notifiable action; or</w:t>
      </w:r>
    </w:p>
    <w:p w:rsidR="00EF7577" w:rsidRPr="006814CB" w:rsidRDefault="00EF7577" w:rsidP="00EF7577">
      <w:pPr>
        <w:pStyle w:val="aNotepar"/>
      </w:pPr>
      <w:r w:rsidRPr="006814CB">
        <w:rPr>
          <w:rStyle w:val="charItals"/>
        </w:rPr>
        <w:t>Note</w:t>
      </w:r>
      <w:r w:rsidRPr="006814CB">
        <w:rPr>
          <w:rStyle w:val="charItals"/>
        </w:rPr>
        <w:tab/>
      </w:r>
      <w:r w:rsidRPr="006814CB">
        <w:rPr>
          <w:rStyle w:val="charBoldItals"/>
        </w:rPr>
        <w:t>Prescribed number of days</w:t>
      </w:r>
      <w:r w:rsidRPr="006814CB">
        <w:t xml:space="preserve">—see s </w:t>
      </w:r>
      <w:r w:rsidR="002E0DF3" w:rsidRPr="006814CB">
        <w:t>48</w:t>
      </w:r>
      <w:r w:rsidR="00DF2059" w:rsidRPr="006814CB">
        <w:t>.</w:t>
      </w:r>
    </w:p>
    <w:p w:rsidR="00EF7577" w:rsidRPr="006814CB" w:rsidRDefault="006814CB" w:rsidP="006814CB">
      <w:pPr>
        <w:pStyle w:val="Apara"/>
      </w:pPr>
      <w:r>
        <w:tab/>
      </w:r>
      <w:r w:rsidRPr="006814CB">
        <w:t>(b)</w:t>
      </w:r>
      <w:r w:rsidRPr="006814CB">
        <w:tab/>
      </w:r>
      <w:r w:rsidR="00EF7577" w:rsidRPr="006814CB">
        <w:t xml:space="preserve">if the commission allows the notifiable action to take </w:t>
      </w:r>
      <w:r w:rsidR="001206DA" w:rsidRPr="006814CB">
        <w:t>effect</w:t>
      </w:r>
      <w:r w:rsidR="00EF7577" w:rsidRPr="006814CB">
        <w:t xml:space="preserve"> on an earlier day—that day; or</w:t>
      </w:r>
    </w:p>
    <w:p w:rsidR="00EF7577" w:rsidRPr="006814CB" w:rsidRDefault="006814CB" w:rsidP="006814CB">
      <w:pPr>
        <w:pStyle w:val="Apara"/>
        <w:keepNext/>
      </w:pPr>
      <w:r>
        <w:tab/>
      </w:r>
      <w:r w:rsidRPr="006814CB">
        <w:t>(c)</w:t>
      </w:r>
      <w:r w:rsidRPr="006814CB">
        <w:tab/>
      </w:r>
      <w:r w:rsidR="00EF7577" w:rsidRPr="006814CB">
        <w:t>if the commission gives a notice under section </w:t>
      </w:r>
      <w:r w:rsidR="002E0DF3" w:rsidRPr="006814CB">
        <w:t>49</w:t>
      </w:r>
      <w:r w:rsidR="00EF7577" w:rsidRPr="006814CB">
        <w:t xml:space="preserve"> (3) requesting additional information in relation to the notification—when the </w:t>
      </w:r>
      <w:r w:rsidR="00D40DE4" w:rsidRPr="006814CB">
        <w:t>c</w:t>
      </w:r>
      <w:r w:rsidR="00EF7577" w:rsidRPr="006814CB">
        <w:t>ommission has notified the licensee that it is satisfied in relation to the additional information.</w:t>
      </w:r>
    </w:p>
    <w:p w:rsidR="00EF7577" w:rsidRPr="006814CB" w:rsidRDefault="00EF7577" w:rsidP="00EF7577">
      <w:pPr>
        <w:pStyle w:val="aNote"/>
      </w:pPr>
      <w:r w:rsidRPr="006814CB">
        <w:rPr>
          <w:rStyle w:val="charItals"/>
        </w:rPr>
        <w:t>Note</w:t>
      </w:r>
      <w:r w:rsidRPr="006814CB">
        <w:rPr>
          <w:rStyle w:val="charItals"/>
        </w:rPr>
        <w:tab/>
      </w:r>
      <w:r w:rsidRPr="006814CB">
        <w:t xml:space="preserve">For working out periods of time generally, see the </w:t>
      </w:r>
      <w:hyperlink r:id="rId76" w:tooltip="A2001-14" w:history="1">
        <w:r w:rsidR="00253379" w:rsidRPr="006814CB">
          <w:rPr>
            <w:rStyle w:val="charCitHyperlinkAbbrev"/>
          </w:rPr>
          <w:t>Legislation Act</w:t>
        </w:r>
      </w:hyperlink>
      <w:r w:rsidRPr="006814CB">
        <w:t>, s 151.</w:t>
      </w:r>
    </w:p>
    <w:p w:rsidR="00EF7577" w:rsidRPr="006814CB" w:rsidRDefault="006814CB" w:rsidP="006814CB">
      <w:pPr>
        <w:pStyle w:val="AH5Sec"/>
      </w:pPr>
      <w:bookmarkStart w:id="70" w:name="_Toc516729800"/>
      <w:r w:rsidRPr="00951C4D">
        <w:rPr>
          <w:rStyle w:val="CharSectNo"/>
        </w:rPr>
        <w:t>51</w:t>
      </w:r>
      <w:r w:rsidRPr="006814CB">
        <w:tab/>
      </w:r>
      <w:r w:rsidR="00EF7577" w:rsidRPr="006814CB">
        <w:t>Notifiable action—amendment or cancellation</w:t>
      </w:r>
      <w:bookmarkEnd w:id="70"/>
    </w:p>
    <w:p w:rsidR="00EF7577" w:rsidRPr="006814CB" w:rsidRDefault="006814CB" w:rsidP="00EF5D29">
      <w:pPr>
        <w:pStyle w:val="Amain"/>
        <w:keepNext/>
      </w:pPr>
      <w:r>
        <w:tab/>
      </w:r>
      <w:r w:rsidRPr="006814CB">
        <w:t>(1)</w:t>
      </w:r>
      <w:r w:rsidRPr="006814CB">
        <w:tab/>
      </w:r>
      <w:r w:rsidR="00EF7577" w:rsidRPr="006814CB">
        <w:t>This section applies if the casino licensee—</w:t>
      </w:r>
    </w:p>
    <w:p w:rsidR="00EF7577" w:rsidRPr="006814CB" w:rsidRDefault="006814CB" w:rsidP="00EF5D29">
      <w:pPr>
        <w:pStyle w:val="Apara"/>
        <w:keepNext/>
      </w:pPr>
      <w:r>
        <w:tab/>
      </w:r>
      <w:r w:rsidRPr="006814CB">
        <w:t>(a)</w:t>
      </w:r>
      <w:r w:rsidRPr="006814CB">
        <w:tab/>
      </w:r>
      <w:r w:rsidR="00EF7577" w:rsidRPr="006814CB">
        <w:t>gives the commission a notification about a notifiable action; and</w:t>
      </w:r>
    </w:p>
    <w:p w:rsidR="00EF7577" w:rsidRPr="006814CB" w:rsidRDefault="006814CB" w:rsidP="006814CB">
      <w:pPr>
        <w:pStyle w:val="Apara"/>
      </w:pPr>
      <w:r>
        <w:tab/>
      </w:r>
      <w:r w:rsidRPr="006814CB">
        <w:t>(b)</w:t>
      </w:r>
      <w:r w:rsidRPr="006814CB">
        <w:tab/>
      </w:r>
      <w:r w:rsidR="00EF7577" w:rsidRPr="006814CB">
        <w:t>wants to amend or cancel the notification.</w:t>
      </w:r>
    </w:p>
    <w:p w:rsidR="00EF7577" w:rsidRPr="006814CB" w:rsidRDefault="006814CB" w:rsidP="006814CB">
      <w:pPr>
        <w:pStyle w:val="Amain"/>
        <w:keepNext/>
      </w:pPr>
      <w:r>
        <w:tab/>
      </w:r>
      <w:r w:rsidRPr="006814CB">
        <w:t>(2)</w:t>
      </w:r>
      <w:r w:rsidRPr="006814CB">
        <w:tab/>
      </w:r>
      <w:r w:rsidR="00EF7577" w:rsidRPr="006814CB">
        <w:t>The casino licensee must give the commission written notice of the amendment or cancellation before the notifiable action takes effect.</w:t>
      </w:r>
    </w:p>
    <w:p w:rsidR="00EF7577" w:rsidRPr="006814CB" w:rsidRDefault="00EF7577" w:rsidP="00EF7577">
      <w:pPr>
        <w:pStyle w:val="aNote"/>
        <w:keepNext/>
      </w:pPr>
      <w:r w:rsidRPr="006814CB">
        <w:rPr>
          <w:rStyle w:val="charItals"/>
        </w:rPr>
        <w:t>Note 1</w:t>
      </w:r>
      <w:r w:rsidRPr="006814CB">
        <w:tab/>
        <w:t xml:space="preserve">It is an offence to make a false or misleading statement, give false or misleading information or produce a false or misleading document (see </w:t>
      </w:r>
      <w:hyperlink r:id="rId77" w:tooltip="A2002-51" w:history="1">
        <w:r w:rsidR="00253379" w:rsidRPr="006814CB">
          <w:rPr>
            <w:rStyle w:val="charCitHyperlinkAbbrev"/>
          </w:rPr>
          <w:t>Criminal Code</w:t>
        </w:r>
      </w:hyperlink>
      <w:r w:rsidRPr="006814CB">
        <w:t>, pt 3.4).</w:t>
      </w:r>
    </w:p>
    <w:p w:rsidR="00EF7577" w:rsidRPr="006814CB" w:rsidRDefault="00EF7577" w:rsidP="00EF7577">
      <w:pPr>
        <w:pStyle w:val="aNote"/>
        <w:keepNext/>
      </w:pPr>
      <w:r w:rsidRPr="006814CB">
        <w:rPr>
          <w:rStyle w:val="charItals"/>
        </w:rPr>
        <w:t>Note 2</w:t>
      </w:r>
      <w:r w:rsidRPr="006814CB">
        <w:rPr>
          <w:rStyle w:val="charItals"/>
        </w:rPr>
        <w:tab/>
      </w:r>
      <w:r w:rsidRPr="006814CB">
        <w:t xml:space="preserve">For how documents may be given, see the </w:t>
      </w:r>
      <w:hyperlink r:id="rId78" w:tooltip="A2001-14" w:history="1">
        <w:r w:rsidR="00253379" w:rsidRPr="006814CB">
          <w:rPr>
            <w:rStyle w:val="charCitHyperlinkAbbrev"/>
          </w:rPr>
          <w:t>Legislation Act</w:t>
        </w:r>
      </w:hyperlink>
      <w:r w:rsidRPr="006814CB">
        <w:t>, pt 19.5.</w:t>
      </w:r>
    </w:p>
    <w:p w:rsidR="00EF7577" w:rsidRPr="006814CB" w:rsidRDefault="00EF7577" w:rsidP="00EF7577">
      <w:pPr>
        <w:pStyle w:val="aNote"/>
        <w:keepNext/>
      </w:pPr>
      <w:r w:rsidRPr="006814CB">
        <w:rPr>
          <w:rStyle w:val="charItals"/>
        </w:rPr>
        <w:t>Note 3</w:t>
      </w:r>
      <w:r w:rsidRPr="006814CB">
        <w:tab/>
        <w:t xml:space="preserve">If a form is approved under the </w:t>
      </w:r>
      <w:hyperlink r:id="rId79" w:tooltip="Gambling and Racing Control Act 1999" w:history="1">
        <w:r w:rsidR="005151B1" w:rsidRPr="006814CB">
          <w:rPr>
            <w:rStyle w:val="charCitHyperlinkAbbrev"/>
          </w:rPr>
          <w:t>Control Act</w:t>
        </w:r>
      </w:hyperlink>
      <w:r w:rsidRPr="006814CB">
        <w:t>, s 53D for this provision, the form must be used.</w:t>
      </w:r>
    </w:p>
    <w:p w:rsidR="00EF7577" w:rsidRPr="006814CB" w:rsidRDefault="00EF7577" w:rsidP="00EF7577">
      <w:pPr>
        <w:pStyle w:val="aNote"/>
      </w:pPr>
      <w:r w:rsidRPr="006814CB">
        <w:rPr>
          <w:rStyle w:val="charItals"/>
        </w:rPr>
        <w:t>Note 4</w:t>
      </w:r>
      <w:r w:rsidRPr="006814CB">
        <w:tab/>
        <w:t xml:space="preserve">A fee may be determined under s </w:t>
      </w:r>
      <w:r w:rsidR="002E0DF3" w:rsidRPr="006814CB">
        <w:t>53</w:t>
      </w:r>
      <w:r w:rsidR="009E4268" w:rsidRPr="006814CB">
        <w:t xml:space="preserve"> </w:t>
      </w:r>
      <w:r w:rsidRPr="006814CB">
        <w:t>for this provision.</w:t>
      </w:r>
    </w:p>
    <w:p w:rsidR="00EF7577" w:rsidRPr="006814CB" w:rsidRDefault="006814CB" w:rsidP="006814CB">
      <w:pPr>
        <w:pStyle w:val="Amain"/>
      </w:pPr>
      <w:r>
        <w:tab/>
      </w:r>
      <w:r w:rsidRPr="006814CB">
        <w:t>(3)</w:t>
      </w:r>
      <w:r w:rsidRPr="006814CB">
        <w:tab/>
      </w:r>
      <w:r w:rsidR="00EF7577" w:rsidRPr="006814CB">
        <w:t>An amendment takes effect 10 business days after the day the commission receives written notice of the amendment.</w:t>
      </w:r>
    </w:p>
    <w:p w:rsidR="00EF7577" w:rsidRPr="006814CB" w:rsidRDefault="006814CB" w:rsidP="006814CB">
      <w:pPr>
        <w:pStyle w:val="Amain"/>
      </w:pPr>
      <w:r>
        <w:tab/>
      </w:r>
      <w:r w:rsidRPr="006814CB">
        <w:t>(4)</w:t>
      </w:r>
      <w:r w:rsidRPr="006814CB">
        <w:tab/>
      </w:r>
      <w:r w:rsidR="00EF7577" w:rsidRPr="006814CB">
        <w:t>A cancellation takes effect when the commission receives writ</w:t>
      </w:r>
      <w:r w:rsidR="006E1033" w:rsidRPr="006814CB">
        <w:t>ten notice of the cancellation.</w:t>
      </w:r>
      <w:r w:rsidR="00EF7577" w:rsidRPr="006814CB">
        <w:t xml:space="preserve"> </w:t>
      </w:r>
    </w:p>
    <w:p w:rsidR="00F31467" w:rsidRPr="006814CB" w:rsidRDefault="006814CB" w:rsidP="006814CB">
      <w:pPr>
        <w:pStyle w:val="AH5Sec"/>
      </w:pPr>
      <w:bookmarkStart w:id="71" w:name="_Toc516729801"/>
      <w:r w:rsidRPr="00951C4D">
        <w:rPr>
          <w:rStyle w:val="CharSectNo"/>
        </w:rPr>
        <w:t>52</w:t>
      </w:r>
      <w:r w:rsidRPr="006814CB">
        <w:tab/>
      </w:r>
      <w:r w:rsidR="009E4268" w:rsidRPr="006814CB">
        <w:t>Notifiable actions—</w:t>
      </w:r>
      <w:r w:rsidR="00F31467" w:rsidRPr="006814CB">
        <w:t xml:space="preserve">s </w:t>
      </w:r>
      <w:r w:rsidR="002E0DF3" w:rsidRPr="006814CB">
        <w:t>43</w:t>
      </w:r>
      <w:bookmarkEnd w:id="71"/>
    </w:p>
    <w:p w:rsidR="00F31467" w:rsidRPr="006814CB" w:rsidRDefault="006814CB" w:rsidP="006814CB">
      <w:pPr>
        <w:pStyle w:val="Amain"/>
      </w:pPr>
      <w:r>
        <w:tab/>
      </w:r>
      <w:r w:rsidRPr="006814CB">
        <w:t>(1)</w:t>
      </w:r>
      <w:r w:rsidRPr="006814CB">
        <w:tab/>
      </w:r>
      <w:r w:rsidR="00F31467" w:rsidRPr="006814CB">
        <w:t xml:space="preserve">This section applies to a notifiable action under section </w:t>
      </w:r>
      <w:r w:rsidR="002E0DF3" w:rsidRPr="006814CB">
        <w:t>43</w:t>
      </w:r>
      <w:r w:rsidR="00210721" w:rsidRPr="006814CB">
        <w:t xml:space="preserve"> </w:t>
      </w:r>
      <w:r w:rsidR="00F31467" w:rsidRPr="006814CB">
        <w:t>(Surrender of authorisation certificates and authorisations).</w:t>
      </w:r>
    </w:p>
    <w:p w:rsidR="00F31467" w:rsidRPr="006814CB" w:rsidRDefault="006814CB" w:rsidP="006814CB">
      <w:pPr>
        <w:pStyle w:val="Amain"/>
      </w:pPr>
      <w:r>
        <w:tab/>
      </w:r>
      <w:r w:rsidRPr="006814CB">
        <w:t>(2)</w:t>
      </w:r>
      <w:r w:rsidRPr="006814CB">
        <w:tab/>
      </w:r>
      <w:r w:rsidR="00F31467" w:rsidRPr="006814CB">
        <w:t xml:space="preserve">The notification for the notifiable action must also include the following information in relation to a </w:t>
      </w:r>
      <w:r w:rsidR="00210721" w:rsidRPr="006814CB">
        <w:t xml:space="preserve">casino </w:t>
      </w:r>
      <w:r w:rsidR="00F31467" w:rsidRPr="006814CB">
        <w:t xml:space="preserve">gaming machine </w:t>
      </w:r>
      <w:r w:rsidR="00210721" w:rsidRPr="006814CB">
        <w:t xml:space="preserve">or casino FATG terminal </w:t>
      </w:r>
      <w:r w:rsidR="00F31467" w:rsidRPr="006814CB">
        <w:t>to be stored under a storage permit:</w:t>
      </w:r>
    </w:p>
    <w:p w:rsidR="00F31467" w:rsidRPr="006814CB" w:rsidRDefault="006814CB" w:rsidP="006814CB">
      <w:pPr>
        <w:pStyle w:val="Apara"/>
      </w:pPr>
      <w:r>
        <w:tab/>
      </w:r>
      <w:r w:rsidRPr="006814CB">
        <w:t>(a)</w:t>
      </w:r>
      <w:r w:rsidRPr="006814CB">
        <w:tab/>
      </w:r>
      <w:r w:rsidR="00F31467" w:rsidRPr="006814CB">
        <w:t xml:space="preserve">the place where the </w:t>
      </w:r>
      <w:r w:rsidR="00210721" w:rsidRPr="006814CB">
        <w:t xml:space="preserve">casino gaming machine or casino FATG terminal </w:t>
      </w:r>
      <w:r w:rsidR="00F31467" w:rsidRPr="006814CB">
        <w:t>is to be stored;</w:t>
      </w:r>
    </w:p>
    <w:p w:rsidR="00F31467" w:rsidRPr="006814CB" w:rsidRDefault="006814CB" w:rsidP="006814CB">
      <w:pPr>
        <w:pStyle w:val="Apara"/>
        <w:keepNext/>
      </w:pPr>
      <w:r>
        <w:tab/>
      </w:r>
      <w:r w:rsidRPr="006814CB">
        <w:t>(b)</w:t>
      </w:r>
      <w:r w:rsidRPr="006814CB">
        <w:tab/>
      </w:r>
      <w:r w:rsidR="00210721" w:rsidRPr="006814CB">
        <w:t>the</w:t>
      </w:r>
      <w:r w:rsidR="00F31467" w:rsidRPr="006814CB">
        <w:t xml:space="preserve"> serial number</w:t>
      </w:r>
      <w:r w:rsidR="00210721" w:rsidRPr="006814CB">
        <w:t xml:space="preserve"> of the casino gaming machine or casino FATG terminal</w:t>
      </w:r>
      <w:r w:rsidR="00F31467" w:rsidRPr="006814CB">
        <w:t>.</w:t>
      </w:r>
    </w:p>
    <w:p w:rsidR="00F31467" w:rsidRPr="006814CB" w:rsidRDefault="00F31467" w:rsidP="00F31467">
      <w:pPr>
        <w:pStyle w:val="aNote"/>
      </w:pPr>
      <w:r w:rsidRPr="006814CB">
        <w:rPr>
          <w:rStyle w:val="charItals"/>
        </w:rPr>
        <w:t>Note</w:t>
      </w:r>
      <w:r w:rsidRPr="006814CB">
        <w:rPr>
          <w:rStyle w:val="charItals"/>
        </w:rPr>
        <w:tab/>
      </w:r>
      <w:r w:rsidRPr="006814CB">
        <w:t xml:space="preserve">For the issue </w:t>
      </w:r>
      <w:r w:rsidR="00210721" w:rsidRPr="006814CB">
        <w:t xml:space="preserve">of a storage permit, see s </w:t>
      </w:r>
      <w:r w:rsidR="002E0DF3" w:rsidRPr="006814CB">
        <w:t>43</w:t>
      </w:r>
      <w:r w:rsidR="00210721" w:rsidRPr="006814CB">
        <w:t xml:space="preserve"> (3).</w:t>
      </w:r>
    </w:p>
    <w:p w:rsidR="00F31467" w:rsidRPr="006814CB" w:rsidRDefault="006814CB" w:rsidP="006814CB">
      <w:pPr>
        <w:pStyle w:val="Amain"/>
      </w:pPr>
      <w:r>
        <w:tab/>
      </w:r>
      <w:r w:rsidRPr="006814CB">
        <w:t>(3)</w:t>
      </w:r>
      <w:r w:rsidRPr="006814CB">
        <w:tab/>
      </w:r>
      <w:r w:rsidR="00F31467" w:rsidRPr="006814CB">
        <w:t>On the date the notifiable action takes effect under section</w:t>
      </w:r>
      <w:r w:rsidR="00210721" w:rsidRPr="006814CB">
        <w:t> </w:t>
      </w:r>
      <w:r w:rsidR="002E0DF3" w:rsidRPr="006814CB">
        <w:t>50</w:t>
      </w:r>
      <w:r w:rsidR="00210721" w:rsidRPr="006814CB">
        <w:t xml:space="preserve"> </w:t>
      </w:r>
      <w:r w:rsidR="00F31467" w:rsidRPr="006814CB">
        <w:t>(Notifiable actions—date of effect), the</w:t>
      </w:r>
      <w:r w:rsidR="00210721" w:rsidRPr="006814CB">
        <w:t xml:space="preserve"> casino </w:t>
      </w:r>
      <w:r w:rsidR="00F31467" w:rsidRPr="006814CB">
        <w:t>licensee must—</w:t>
      </w:r>
    </w:p>
    <w:p w:rsidR="00F31467" w:rsidRPr="006814CB" w:rsidRDefault="006814CB" w:rsidP="006814CB">
      <w:pPr>
        <w:pStyle w:val="Apara"/>
      </w:pPr>
      <w:r>
        <w:tab/>
      </w:r>
      <w:r w:rsidRPr="006814CB">
        <w:t>(a)</w:t>
      </w:r>
      <w:r w:rsidRPr="006814CB">
        <w:tab/>
      </w:r>
      <w:r w:rsidR="00F31467" w:rsidRPr="006814CB">
        <w:t xml:space="preserve">take meter readings from the </w:t>
      </w:r>
      <w:r w:rsidR="00210721" w:rsidRPr="006814CB">
        <w:t xml:space="preserve">casino </w:t>
      </w:r>
      <w:r w:rsidR="00F31467" w:rsidRPr="006814CB">
        <w:t>gaming machine</w:t>
      </w:r>
      <w:r w:rsidR="00210721" w:rsidRPr="006814CB">
        <w:t xml:space="preserve"> or casino FATG terminal</w:t>
      </w:r>
      <w:r w:rsidR="00F31467" w:rsidRPr="006814CB">
        <w:t>; and</w:t>
      </w:r>
    </w:p>
    <w:p w:rsidR="00F31467" w:rsidRPr="006814CB" w:rsidRDefault="006814CB" w:rsidP="006814CB">
      <w:pPr>
        <w:pStyle w:val="Apara"/>
      </w:pPr>
      <w:r>
        <w:tab/>
      </w:r>
      <w:r w:rsidRPr="006814CB">
        <w:t>(b)</w:t>
      </w:r>
      <w:r w:rsidRPr="006814CB">
        <w:tab/>
      </w:r>
      <w:r w:rsidR="00F31467" w:rsidRPr="006814CB">
        <w:t xml:space="preserve">render the </w:t>
      </w:r>
      <w:r w:rsidR="00210721" w:rsidRPr="006814CB">
        <w:t xml:space="preserve">casino gaming machine or casino FATG terminal </w:t>
      </w:r>
      <w:r w:rsidR="00F31467" w:rsidRPr="006814CB">
        <w:t>inoperable; and</w:t>
      </w:r>
    </w:p>
    <w:p w:rsidR="00F31467" w:rsidRPr="006814CB" w:rsidRDefault="006814CB" w:rsidP="006814CB">
      <w:pPr>
        <w:pStyle w:val="Apara"/>
      </w:pPr>
      <w:r>
        <w:tab/>
      </w:r>
      <w:r w:rsidRPr="006814CB">
        <w:t>(c)</w:t>
      </w:r>
      <w:r w:rsidRPr="006814CB">
        <w:tab/>
      </w:r>
      <w:r w:rsidR="00F31467" w:rsidRPr="006814CB">
        <w:t>give the commission the details of the meter readings.</w:t>
      </w:r>
    </w:p>
    <w:p w:rsidR="00210721" w:rsidRPr="006814CB" w:rsidRDefault="00210721" w:rsidP="006814CB">
      <w:pPr>
        <w:pStyle w:val="PageBreak"/>
        <w:suppressLineNumbers/>
      </w:pPr>
      <w:r w:rsidRPr="006814CB">
        <w:br w:type="page"/>
      </w:r>
    </w:p>
    <w:p w:rsidR="00F50625" w:rsidRPr="00951C4D" w:rsidRDefault="006814CB" w:rsidP="006814CB">
      <w:pPr>
        <w:pStyle w:val="AH2Part"/>
      </w:pPr>
      <w:bookmarkStart w:id="72" w:name="_Toc516729802"/>
      <w:r w:rsidRPr="00951C4D">
        <w:rPr>
          <w:rStyle w:val="CharPartNo"/>
        </w:rPr>
        <w:t>Part 11</w:t>
      </w:r>
      <w:r w:rsidRPr="006814CB">
        <w:tab/>
      </w:r>
      <w:r w:rsidR="00F50625" w:rsidRPr="00951C4D">
        <w:rPr>
          <w:rStyle w:val="CharPartText"/>
        </w:rPr>
        <w:t>Miscellaneous</w:t>
      </w:r>
      <w:bookmarkEnd w:id="72"/>
    </w:p>
    <w:p w:rsidR="00F50625" w:rsidRPr="006814CB" w:rsidRDefault="006814CB" w:rsidP="006814CB">
      <w:pPr>
        <w:pStyle w:val="AH5Sec"/>
      </w:pPr>
      <w:bookmarkStart w:id="73" w:name="_Toc516729803"/>
      <w:r w:rsidRPr="00951C4D">
        <w:rPr>
          <w:rStyle w:val="CharSectNo"/>
        </w:rPr>
        <w:t>53</w:t>
      </w:r>
      <w:r w:rsidRPr="006814CB">
        <w:tab/>
      </w:r>
      <w:r w:rsidR="00F50625" w:rsidRPr="006814CB">
        <w:t>Determination of fees</w:t>
      </w:r>
      <w:bookmarkEnd w:id="73"/>
    </w:p>
    <w:p w:rsidR="00F50625" w:rsidRPr="006814CB" w:rsidRDefault="006814CB" w:rsidP="006814CB">
      <w:pPr>
        <w:pStyle w:val="Amain"/>
        <w:keepNext/>
      </w:pPr>
      <w:r>
        <w:tab/>
      </w:r>
      <w:r w:rsidRPr="006814CB">
        <w:t>(1)</w:t>
      </w:r>
      <w:r w:rsidRPr="006814CB">
        <w:tab/>
      </w:r>
      <w:r w:rsidR="00F50625" w:rsidRPr="006814CB">
        <w:t>The Minister may determine fees for this Act.</w:t>
      </w:r>
    </w:p>
    <w:p w:rsidR="00F50625" w:rsidRPr="006814CB" w:rsidRDefault="00F50625">
      <w:pPr>
        <w:pStyle w:val="aNote"/>
      </w:pPr>
      <w:r w:rsidRPr="006814CB">
        <w:rPr>
          <w:rStyle w:val="charItals"/>
        </w:rPr>
        <w:t>Note</w:t>
      </w:r>
      <w:r w:rsidRPr="006814CB">
        <w:tab/>
        <w:t xml:space="preserve">The </w:t>
      </w:r>
      <w:hyperlink r:id="rId80" w:tooltip="A2001-14" w:history="1">
        <w:r w:rsidR="00253379" w:rsidRPr="006814CB">
          <w:rPr>
            <w:rStyle w:val="charCitHyperlinkAbbrev"/>
          </w:rPr>
          <w:t>Legislation Act</w:t>
        </w:r>
      </w:hyperlink>
      <w:r w:rsidRPr="006814CB">
        <w:t xml:space="preserve"> contains provisions about the making of determinations and regulations relating to fees (see pt 6.3)</w:t>
      </w:r>
      <w:r w:rsidR="009E4268" w:rsidRPr="006814CB">
        <w:t>.</w:t>
      </w:r>
    </w:p>
    <w:p w:rsidR="00F50625" w:rsidRPr="006814CB" w:rsidRDefault="006814CB" w:rsidP="006814CB">
      <w:pPr>
        <w:pStyle w:val="Amain"/>
        <w:keepNext/>
      </w:pPr>
      <w:r>
        <w:tab/>
      </w:r>
      <w:r w:rsidRPr="006814CB">
        <w:t>(2)</w:t>
      </w:r>
      <w:r w:rsidRPr="006814CB">
        <w:tab/>
      </w:r>
      <w:r w:rsidR="00F50625" w:rsidRPr="006814CB">
        <w:t>A determination is a disallowable instrument.</w:t>
      </w:r>
    </w:p>
    <w:p w:rsidR="00F50625" w:rsidRPr="006814CB" w:rsidRDefault="00F50625">
      <w:pPr>
        <w:pStyle w:val="aNote"/>
      </w:pPr>
      <w:r w:rsidRPr="006814CB">
        <w:rPr>
          <w:rStyle w:val="charItals"/>
        </w:rPr>
        <w:t>Note</w:t>
      </w:r>
      <w:r w:rsidRPr="006814CB">
        <w:rPr>
          <w:rStyle w:val="charItals"/>
        </w:rPr>
        <w:tab/>
      </w:r>
      <w:r w:rsidRPr="006814CB">
        <w:t xml:space="preserve">A disallowable instrument must be notified, and presented to the Legislative Assembly, under the </w:t>
      </w:r>
      <w:hyperlink r:id="rId81" w:tooltip="A2001-14" w:history="1">
        <w:r w:rsidR="00253379" w:rsidRPr="006814CB">
          <w:rPr>
            <w:rStyle w:val="charCitHyperlinkAbbrev"/>
          </w:rPr>
          <w:t>Legislation Act</w:t>
        </w:r>
      </w:hyperlink>
      <w:r w:rsidRPr="006814CB">
        <w:t>.</w:t>
      </w:r>
    </w:p>
    <w:p w:rsidR="00F50625" w:rsidRPr="006814CB" w:rsidRDefault="006814CB" w:rsidP="006814CB">
      <w:pPr>
        <w:pStyle w:val="AH5Sec"/>
      </w:pPr>
      <w:bookmarkStart w:id="74" w:name="_Toc516729804"/>
      <w:r w:rsidRPr="00951C4D">
        <w:rPr>
          <w:rStyle w:val="CharSectNo"/>
        </w:rPr>
        <w:t>54</w:t>
      </w:r>
      <w:r w:rsidRPr="006814CB">
        <w:tab/>
      </w:r>
      <w:r w:rsidR="00F50625" w:rsidRPr="006814CB">
        <w:t>Regulation-making power</w:t>
      </w:r>
      <w:bookmarkEnd w:id="74"/>
    </w:p>
    <w:p w:rsidR="00F50625" w:rsidRPr="006814CB" w:rsidRDefault="006814CB" w:rsidP="006814CB">
      <w:pPr>
        <w:pStyle w:val="Amain"/>
        <w:keepNext/>
      </w:pPr>
      <w:r>
        <w:tab/>
      </w:r>
      <w:r w:rsidRPr="006814CB">
        <w:t>(1)</w:t>
      </w:r>
      <w:r w:rsidRPr="006814CB">
        <w:tab/>
      </w:r>
      <w:r w:rsidR="00F50625" w:rsidRPr="006814CB">
        <w:t>The Executive may make regulations for this Act.</w:t>
      </w:r>
    </w:p>
    <w:p w:rsidR="00F50625" w:rsidRPr="006814CB" w:rsidRDefault="00F50625">
      <w:pPr>
        <w:pStyle w:val="aNote"/>
      </w:pPr>
      <w:r w:rsidRPr="006814CB">
        <w:rPr>
          <w:rStyle w:val="charItals"/>
        </w:rPr>
        <w:t>Note</w:t>
      </w:r>
      <w:r w:rsidRPr="006814CB">
        <w:rPr>
          <w:rStyle w:val="charItals"/>
        </w:rPr>
        <w:tab/>
      </w:r>
      <w:r w:rsidRPr="006814CB">
        <w:t xml:space="preserve">A regulation must be notified, and presented to the Legislative Assembly, under the </w:t>
      </w:r>
      <w:hyperlink r:id="rId82" w:tooltip="A2001-14" w:history="1">
        <w:r w:rsidR="00253379" w:rsidRPr="006814CB">
          <w:rPr>
            <w:rStyle w:val="charCitHyperlinkAbbrev"/>
          </w:rPr>
          <w:t>Legislation Act</w:t>
        </w:r>
      </w:hyperlink>
      <w:r w:rsidRPr="006814CB">
        <w:t>.</w:t>
      </w:r>
    </w:p>
    <w:p w:rsidR="00F50625" w:rsidRPr="006814CB" w:rsidRDefault="006814CB" w:rsidP="006814CB">
      <w:pPr>
        <w:pStyle w:val="Amain"/>
      </w:pPr>
      <w:r>
        <w:tab/>
      </w:r>
      <w:r w:rsidRPr="006814CB">
        <w:t>(2)</w:t>
      </w:r>
      <w:r w:rsidRPr="006814CB">
        <w:tab/>
      </w:r>
      <w:r w:rsidR="00F50625" w:rsidRPr="006814CB">
        <w:t>A regulation may make provision in relation to the following:</w:t>
      </w:r>
    </w:p>
    <w:p w:rsidR="00F50625" w:rsidRPr="006814CB" w:rsidRDefault="006814CB" w:rsidP="006814CB">
      <w:pPr>
        <w:pStyle w:val="Apara"/>
      </w:pPr>
      <w:r>
        <w:tab/>
      </w:r>
      <w:r w:rsidRPr="006814CB">
        <w:t>(a)</w:t>
      </w:r>
      <w:r w:rsidRPr="006814CB">
        <w:tab/>
      </w:r>
      <w:r w:rsidR="00F50625" w:rsidRPr="006814CB">
        <w:t xml:space="preserve">the operation (including the restriction of the operation) of peripheral equipment for </w:t>
      </w:r>
      <w:r w:rsidR="008263B0" w:rsidRPr="006814CB">
        <w:t xml:space="preserve">casino </w:t>
      </w:r>
      <w:r w:rsidR="00F50625" w:rsidRPr="006814CB">
        <w:t>gaming machines</w:t>
      </w:r>
      <w:r w:rsidR="008263B0" w:rsidRPr="006814CB">
        <w:t xml:space="preserve"> and casino FATG terminals</w:t>
      </w:r>
      <w:r w:rsidR="00F50625" w:rsidRPr="006814CB">
        <w:t xml:space="preserve">; </w:t>
      </w:r>
    </w:p>
    <w:p w:rsidR="00F50625" w:rsidRPr="006814CB" w:rsidRDefault="006814CB" w:rsidP="006814CB">
      <w:pPr>
        <w:pStyle w:val="Apara"/>
      </w:pPr>
      <w:r>
        <w:tab/>
      </w:r>
      <w:r w:rsidRPr="006814CB">
        <w:t>(b)</w:t>
      </w:r>
      <w:r w:rsidRPr="006814CB">
        <w:tab/>
      </w:r>
      <w:r w:rsidR="00F50625" w:rsidRPr="006814CB">
        <w:t>the min</w:t>
      </w:r>
      <w:r w:rsidR="002B4AE0" w:rsidRPr="006814CB">
        <w:t xml:space="preserve">imum payout for </w:t>
      </w:r>
      <w:r w:rsidR="00447089" w:rsidRPr="006814CB">
        <w:t xml:space="preserve">casino </w:t>
      </w:r>
      <w:r w:rsidR="002B4AE0" w:rsidRPr="006814CB">
        <w:t>gaming machines;</w:t>
      </w:r>
    </w:p>
    <w:p w:rsidR="002B4AE0" w:rsidRPr="006814CB" w:rsidRDefault="006814CB" w:rsidP="006814CB">
      <w:pPr>
        <w:pStyle w:val="Apara"/>
      </w:pPr>
      <w:r>
        <w:tab/>
      </w:r>
      <w:r w:rsidRPr="006814CB">
        <w:t>(c)</w:t>
      </w:r>
      <w:r w:rsidRPr="006814CB">
        <w:tab/>
      </w:r>
      <w:r w:rsidR="002B4AE0" w:rsidRPr="006814CB">
        <w:t>harm minimisation requireme</w:t>
      </w:r>
      <w:r w:rsidR="00A5228B" w:rsidRPr="006814CB">
        <w:t>nts for casino gaming machines and casino FATG terminals</w:t>
      </w:r>
      <w:r w:rsidR="002B4AE0" w:rsidRPr="006814CB">
        <w:t>.</w:t>
      </w:r>
    </w:p>
    <w:p w:rsidR="00F50625" w:rsidRPr="006814CB" w:rsidRDefault="006814CB" w:rsidP="006814CB">
      <w:pPr>
        <w:pStyle w:val="Amain"/>
      </w:pPr>
      <w:r>
        <w:tab/>
      </w:r>
      <w:r w:rsidRPr="006814CB">
        <w:t>(3)</w:t>
      </w:r>
      <w:r w:rsidRPr="006814CB">
        <w:tab/>
      </w:r>
      <w:r w:rsidR="00F50625" w:rsidRPr="006814CB">
        <w:t>A regulation may create offences for contraventions of the regulations and fix maximum penalties of not more t</w:t>
      </w:r>
      <w:r w:rsidR="00A5228B" w:rsidRPr="006814CB">
        <w:t>han 3</w:t>
      </w:r>
      <w:r w:rsidR="00F50625" w:rsidRPr="006814CB">
        <w:t>0 penalty units for the offences.</w:t>
      </w:r>
    </w:p>
    <w:p w:rsidR="00F50625" w:rsidRPr="006814CB" w:rsidRDefault="00F50625" w:rsidP="006814CB">
      <w:pPr>
        <w:pStyle w:val="PageBreak"/>
        <w:suppressLineNumbers/>
      </w:pPr>
      <w:r w:rsidRPr="006814CB">
        <w:br w:type="page"/>
      </w:r>
    </w:p>
    <w:p w:rsidR="00F50625" w:rsidRPr="00951C4D" w:rsidRDefault="006814CB" w:rsidP="006814CB">
      <w:pPr>
        <w:pStyle w:val="AH2Part"/>
      </w:pPr>
      <w:bookmarkStart w:id="75" w:name="_Toc516729805"/>
      <w:r w:rsidRPr="00951C4D">
        <w:rPr>
          <w:rStyle w:val="CharPartNo"/>
        </w:rPr>
        <w:t>Part 12</w:t>
      </w:r>
      <w:r w:rsidRPr="006814CB">
        <w:tab/>
      </w:r>
      <w:r w:rsidR="00F50625" w:rsidRPr="00951C4D">
        <w:rPr>
          <w:rStyle w:val="CharPartText"/>
        </w:rPr>
        <w:t>Consequential amendments</w:t>
      </w:r>
      <w:bookmarkEnd w:id="75"/>
    </w:p>
    <w:p w:rsidR="00F50625" w:rsidRPr="006814CB" w:rsidRDefault="006814CB" w:rsidP="006814CB">
      <w:pPr>
        <w:pStyle w:val="AH5Sec"/>
        <w:shd w:val="pct25" w:color="auto" w:fill="auto"/>
      </w:pPr>
      <w:bookmarkStart w:id="76" w:name="_Toc516729806"/>
      <w:r w:rsidRPr="00951C4D">
        <w:rPr>
          <w:rStyle w:val="CharSectNo"/>
        </w:rPr>
        <w:t>55</w:t>
      </w:r>
      <w:r w:rsidRPr="006814CB">
        <w:tab/>
      </w:r>
      <w:r w:rsidR="00F50625" w:rsidRPr="006814CB">
        <w:t>Legislation amended—sch</w:t>
      </w:r>
      <w:r w:rsidR="00B26C6E" w:rsidRPr="006814CB">
        <w:t>s</w:t>
      </w:r>
      <w:r w:rsidR="00F50625" w:rsidRPr="006814CB">
        <w:t xml:space="preserve"> </w:t>
      </w:r>
      <w:r w:rsidR="0048555E" w:rsidRPr="006814CB">
        <w:t>3</w:t>
      </w:r>
      <w:r w:rsidR="00B26C6E" w:rsidRPr="006814CB">
        <w:t xml:space="preserve"> and 4</w:t>
      </w:r>
      <w:bookmarkEnd w:id="76"/>
    </w:p>
    <w:p w:rsidR="00870B30" w:rsidRPr="006814CB" w:rsidRDefault="00870B30" w:rsidP="00870B30">
      <w:pPr>
        <w:pStyle w:val="Amainreturn"/>
      </w:pPr>
      <w:r w:rsidRPr="006814CB">
        <w:t>This Act amends the legisl</w:t>
      </w:r>
      <w:r w:rsidR="0048555E" w:rsidRPr="006814CB">
        <w:t>ation mentioned in schedule</w:t>
      </w:r>
      <w:r w:rsidR="00B26C6E" w:rsidRPr="006814CB">
        <w:t>s</w:t>
      </w:r>
      <w:r w:rsidR="0048555E" w:rsidRPr="006814CB">
        <w:t xml:space="preserve"> 3</w:t>
      </w:r>
      <w:r w:rsidR="00B26C6E" w:rsidRPr="006814CB">
        <w:t xml:space="preserve"> and 4</w:t>
      </w:r>
      <w:r w:rsidR="0048555E" w:rsidRPr="006814CB">
        <w:t>.</w:t>
      </w:r>
    </w:p>
    <w:p w:rsidR="007B112E" w:rsidRDefault="007B112E" w:rsidP="007B112E">
      <w:pPr>
        <w:pStyle w:val="02Text"/>
        <w:sectPr w:rsidR="007B112E">
          <w:headerReference w:type="even" r:id="rId83"/>
          <w:headerReference w:type="default" r:id="rId84"/>
          <w:footerReference w:type="even" r:id="rId85"/>
          <w:footerReference w:type="default" r:id="rId86"/>
          <w:footerReference w:type="first" r:id="rId87"/>
          <w:pgSz w:w="11907" w:h="16839" w:code="9"/>
          <w:pgMar w:top="3880" w:right="1900" w:bottom="3100" w:left="2300" w:header="2280" w:footer="1760" w:gutter="0"/>
          <w:pgNumType w:start="1"/>
          <w:cols w:space="720"/>
          <w:titlePg/>
          <w:docGrid w:linePitch="254"/>
        </w:sectPr>
      </w:pPr>
    </w:p>
    <w:p w:rsidR="0044665D" w:rsidRPr="006814CB" w:rsidRDefault="0044665D" w:rsidP="006814CB">
      <w:pPr>
        <w:pStyle w:val="PageBreak"/>
        <w:suppressLineNumbers/>
      </w:pPr>
      <w:r w:rsidRPr="006814CB">
        <w:br w:type="page"/>
      </w:r>
    </w:p>
    <w:p w:rsidR="00F50659" w:rsidRPr="00951C4D" w:rsidRDefault="006814CB" w:rsidP="0070106D">
      <w:pPr>
        <w:pStyle w:val="Sched-heading"/>
        <w:suppressLineNumbers/>
        <w:tabs>
          <w:tab w:val="left" w:pos="432"/>
        </w:tabs>
        <w:ind w:left="432" w:hanging="432"/>
      </w:pPr>
      <w:bookmarkStart w:id="77" w:name="_Toc516729807"/>
      <w:r w:rsidRPr="00951C4D">
        <w:rPr>
          <w:rStyle w:val="CharChapNo"/>
        </w:rPr>
        <w:t>Schedule 1</w:t>
      </w:r>
      <w:r w:rsidRPr="006814CB">
        <w:tab/>
      </w:r>
      <w:r w:rsidR="00F50659" w:rsidRPr="00951C4D">
        <w:rPr>
          <w:rStyle w:val="CharChapText"/>
        </w:rPr>
        <w:t>Reviewable decisions</w:t>
      </w:r>
      <w:bookmarkEnd w:id="77"/>
    </w:p>
    <w:p w:rsidR="00F50659" w:rsidRPr="006814CB" w:rsidRDefault="00F50659" w:rsidP="0070106D">
      <w:pPr>
        <w:pStyle w:val="ref"/>
        <w:suppressLineNumbers/>
      </w:pPr>
      <w:r w:rsidRPr="006814CB">
        <w:t xml:space="preserve">(see s </w:t>
      </w:r>
      <w:r w:rsidR="002E0DF3" w:rsidRPr="006814CB">
        <w:t>45</w:t>
      </w:r>
      <w:r w:rsidRPr="006814CB">
        <w:t>)</w:t>
      </w:r>
    </w:p>
    <w:p w:rsidR="00A01BCD" w:rsidRDefault="00A01BCD" w:rsidP="0070106D">
      <w:pPr>
        <w:pStyle w:val="Placeholder"/>
        <w:suppressLineNumbers/>
      </w:pPr>
      <w:r>
        <w:rPr>
          <w:rStyle w:val="CharPartNo"/>
        </w:rPr>
        <w:t xml:space="preserve">  </w:t>
      </w:r>
      <w:r>
        <w:rPr>
          <w:rStyle w:val="CharPartText"/>
        </w:rPr>
        <w:t xml:space="preserve">  </w:t>
      </w:r>
    </w:p>
    <w:p w:rsidR="00A01BCD" w:rsidRPr="006814CB" w:rsidRDefault="00A01BCD" w:rsidP="0070106D">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5430"/>
      </w:tblGrid>
      <w:tr w:rsidR="00C8666D" w:rsidRPr="006814CB" w:rsidTr="005E08CB">
        <w:trPr>
          <w:cantSplit/>
          <w:tblHeader/>
        </w:trPr>
        <w:tc>
          <w:tcPr>
            <w:tcW w:w="1200" w:type="dxa"/>
            <w:tcBorders>
              <w:bottom w:val="single" w:sz="4" w:space="0" w:color="auto"/>
            </w:tcBorders>
          </w:tcPr>
          <w:p w:rsidR="00C8666D" w:rsidRPr="006814CB" w:rsidRDefault="00C8666D" w:rsidP="0058578F">
            <w:pPr>
              <w:pStyle w:val="TableColHd"/>
            </w:pPr>
            <w:r w:rsidRPr="006814CB">
              <w:t>column 1</w:t>
            </w:r>
          </w:p>
          <w:p w:rsidR="00C8666D" w:rsidRPr="006814CB" w:rsidRDefault="00C8666D" w:rsidP="0058578F">
            <w:pPr>
              <w:pStyle w:val="TableColHd"/>
            </w:pPr>
            <w:r w:rsidRPr="006814CB">
              <w:t>item</w:t>
            </w:r>
          </w:p>
        </w:tc>
        <w:tc>
          <w:tcPr>
            <w:tcW w:w="1318" w:type="dxa"/>
            <w:tcBorders>
              <w:bottom w:val="single" w:sz="4" w:space="0" w:color="auto"/>
            </w:tcBorders>
          </w:tcPr>
          <w:p w:rsidR="00C8666D" w:rsidRPr="006814CB" w:rsidRDefault="00C8666D" w:rsidP="0058578F">
            <w:pPr>
              <w:pStyle w:val="TableColHd"/>
            </w:pPr>
            <w:r w:rsidRPr="006814CB">
              <w:t>column 2</w:t>
            </w:r>
          </w:p>
          <w:p w:rsidR="00C8666D" w:rsidRPr="006814CB" w:rsidRDefault="00C8666D" w:rsidP="0058578F">
            <w:pPr>
              <w:pStyle w:val="TableColHd"/>
            </w:pPr>
            <w:r w:rsidRPr="006814CB">
              <w:t>section</w:t>
            </w:r>
          </w:p>
        </w:tc>
        <w:tc>
          <w:tcPr>
            <w:tcW w:w="5430" w:type="dxa"/>
            <w:tcBorders>
              <w:bottom w:val="single" w:sz="4" w:space="0" w:color="auto"/>
            </w:tcBorders>
          </w:tcPr>
          <w:p w:rsidR="00C8666D" w:rsidRPr="006814CB" w:rsidRDefault="00C8666D" w:rsidP="0058578F">
            <w:pPr>
              <w:pStyle w:val="TableColHd"/>
            </w:pPr>
            <w:r w:rsidRPr="006814CB">
              <w:t>column 3</w:t>
            </w:r>
          </w:p>
          <w:p w:rsidR="00C8666D" w:rsidRPr="006814CB" w:rsidRDefault="00C8666D" w:rsidP="0058578F">
            <w:pPr>
              <w:pStyle w:val="TableColHd"/>
            </w:pPr>
            <w:r w:rsidRPr="006814CB">
              <w:t>decision</w:t>
            </w:r>
          </w:p>
        </w:tc>
      </w:tr>
      <w:tr w:rsidR="00C8666D" w:rsidRPr="006814CB" w:rsidTr="005E08CB">
        <w:trPr>
          <w:cantSplit/>
        </w:trPr>
        <w:tc>
          <w:tcPr>
            <w:tcW w:w="1200" w:type="dxa"/>
            <w:tcBorders>
              <w:top w:val="single" w:sz="4" w:space="0" w:color="auto"/>
            </w:tcBorders>
          </w:tcPr>
          <w:p w:rsidR="00C8666D" w:rsidRPr="006814CB" w:rsidRDefault="00C8666D" w:rsidP="0058578F">
            <w:pPr>
              <w:pStyle w:val="TableNumbered"/>
              <w:numPr>
                <w:ilvl w:val="0"/>
                <w:numId w:val="0"/>
              </w:numPr>
              <w:ind w:left="360" w:hanging="360"/>
            </w:pPr>
            <w:r w:rsidRPr="006814CB">
              <w:t xml:space="preserve">1 </w:t>
            </w:r>
          </w:p>
        </w:tc>
        <w:tc>
          <w:tcPr>
            <w:tcW w:w="1318" w:type="dxa"/>
            <w:tcBorders>
              <w:top w:val="single" w:sz="4" w:space="0" w:color="auto"/>
            </w:tcBorders>
          </w:tcPr>
          <w:p w:rsidR="00C8666D" w:rsidRPr="006814CB" w:rsidRDefault="002E0DF3" w:rsidP="0058578F">
            <w:pPr>
              <w:pStyle w:val="TableText10"/>
            </w:pPr>
            <w:r w:rsidRPr="006814CB">
              <w:t>10</w:t>
            </w:r>
            <w:r w:rsidR="00C8666D" w:rsidRPr="006814CB">
              <w:t xml:space="preserve"> (4)</w:t>
            </w:r>
          </w:p>
        </w:tc>
        <w:tc>
          <w:tcPr>
            <w:tcW w:w="5430" w:type="dxa"/>
            <w:tcBorders>
              <w:top w:val="single" w:sz="4" w:space="0" w:color="auto"/>
            </w:tcBorders>
          </w:tcPr>
          <w:p w:rsidR="00C8666D" w:rsidRPr="006814CB" w:rsidRDefault="00C8666D" w:rsidP="0058578F">
            <w:pPr>
              <w:pStyle w:val="TableText10"/>
            </w:pPr>
            <w:r w:rsidRPr="006814CB">
              <w:t>refuse to consider application for casino gaming machine authorisation certificate if additional information not given within stated time</w:t>
            </w:r>
          </w:p>
        </w:tc>
      </w:tr>
      <w:tr w:rsidR="001206DA" w:rsidRPr="006814CB" w:rsidTr="005E08CB">
        <w:trPr>
          <w:cantSplit/>
        </w:trPr>
        <w:tc>
          <w:tcPr>
            <w:tcW w:w="1200" w:type="dxa"/>
          </w:tcPr>
          <w:p w:rsidR="001206DA" w:rsidRPr="006814CB" w:rsidRDefault="001206DA" w:rsidP="0058578F">
            <w:pPr>
              <w:pStyle w:val="TableNumbered"/>
              <w:numPr>
                <w:ilvl w:val="0"/>
                <w:numId w:val="0"/>
              </w:numPr>
              <w:ind w:left="360" w:hanging="360"/>
            </w:pPr>
            <w:r w:rsidRPr="006814CB">
              <w:t>2</w:t>
            </w:r>
          </w:p>
        </w:tc>
        <w:tc>
          <w:tcPr>
            <w:tcW w:w="1318" w:type="dxa"/>
          </w:tcPr>
          <w:p w:rsidR="001206DA" w:rsidRPr="006814CB" w:rsidRDefault="002E0DF3" w:rsidP="0058578F">
            <w:pPr>
              <w:pStyle w:val="TableText10"/>
            </w:pPr>
            <w:r w:rsidRPr="006814CB">
              <w:t>11</w:t>
            </w:r>
            <w:r w:rsidR="001206DA" w:rsidRPr="006814CB">
              <w:t xml:space="preserve"> (2)</w:t>
            </w:r>
          </w:p>
        </w:tc>
        <w:tc>
          <w:tcPr>
            <w:tcW w:w="5430" w:type="dxa"/>
          </w:tcPr>
          <w:p w:rsidR="001206DA" w:rsidRPr="006814CB" w:rsidRDefault="001206DA" w:rsidP="00C8666D">
            <w:pPr>
              <w:pStyle w:val="TableText10"/>
            </w:pPr>
            <w:r w:rsidRPr="006814CB">
              <w:t>refuse to issue casino gaming machine authorisation certificate</w:t>
            </w:r>
          </w:p>
        </w:tc>
      </w:tr>
      <w:tr w:rsidR="00C8666D" w:rsidRPr="006814CB" w:rsidTr="005E08CB">
        <w:trPr>
          <w:cantSplit/>
        </w:trPr>
        <w:tc>
          <w:tcPr>
            <w:tcW w:w="1200" w:type="dxa"/>
          </w:tcPr>
          <w:p w:rsidR="00C8666D" w:rsidRPr="006814CB" w:rsidRDefault="001206DA" w:rsidP="0058578F">
            <w:pPr>
              <w:pStyle w:val="TableNumbered"/>
              <w:numPr>
                <w:ilvl w:val="0"/>
                <w:numId w:val="0"/>
              </w:numPr>
              <w:ind w:left="360" w:hanging="360"/>
            </w:pPr>
            <w:r w:rsidRPr="006814CB">
              <w:t>3</w:t>
            </w:r>
          </w:p>
        </w:tc>
        <w:tc>
          <w:tcPr>
            <w:tcW w:w="1318" w:type="dxa"/>
          </w:tcPr>
          <w:p w:rsidR="00C8666D" w:rsidRPr="006814CB" w:rsidRDefault="002E0DF3" w:rsidP="0058578F">
            <w:pPr>
              <w:pStyle w:val="TableText10"/>
            </w:pPr>
            <w:r w:rsidRPr="006814CB">
              <w:t>13</w:t>
            </w:r>
            <w:r w:rsidR="00C8666D" w:rsidRPr="006814CB">
              <w:t xml:space="preserve"> (4)</w:t>
            </w:r>
          </w:p>
        </w:tc>
        <w:tc>
          <w:tcPr>
            <w:tcW w:w="5430" w:type="dxa"/>
          </w:tcPr>
          <w:p w:rsidR="00C8666D" w:rsidRPr="006814CB" w:rsidRDefault="00C8666D" w:rsidP="00C8666D">
            <w:pPr>
              <w:pStyle w:val="TableText10"/>
            </w:pPr>
            <w:r w:rsidRPr="006814CB">
              <w:t>refuse to consider application for casino FATG authorisation certificate if additional information not given within stated time</w:t>
            </w:r>
          </w:p>
        </w:tc>
      </w:tr>
      <w:tr w:rsidR="001206DA" w:rsidRPr="006814CB" w:rsidTr="005E08CB">
        <w:trPr>
          <w:cantSplit/>
        </w:trPr>
        <w:tc>
          <w:tcPr>
            <w:tcW w:w="1200" w:type="dxa"/>
          </w:tcPr>
          <w:p w:rsidR="001206DA" w:rsidRPr="006814CB" w:rsidRDefault="001206DA" w:rsidP="0058578F">
            <w:pPr>
              <w:pStyle w:val="TableNumbered"/>
              <w:numPr>
                <w:ilvl w:val="0"/>
                <w:numId w:val="0"/>
              </w:numPr>
              <w:ind w:left="360" w:hanging="360"/>
            </w:pPr>
            <w:r w:rsidRPr="006814CB">
              <w:t>4</w:t>
            </w:r>
          </w:p>
        </w:tc>
        <w:tc>
          <w:tcPr>
            <w:tcW w:w="1318" w:type="dxa"/>
          </w:tcPr>
          <w:p w:rsidR="001206DA" w:rsidRPr="006814CB" w:rsidRDefault="002E0DF3" w:rsidP="0058578F">
            <w:pPr>
              <w:pStyle w:val="TableText10"/>
            </w:pPr>
            <w:r w:rsidRPr="006814CB">
              <w:t>14</w:t>
            </w:r>
            <w:r w:rsidR="001206DA" w:rsidRPr="006814CB">
              <w:t xml:space="preserve"> (2)</w:t>
            </w:r>
          </w:p>
        </w:tc>
        <w:tc>
          <w:tcPr>
            <w:tcW w:w="5430" w:type="dxa"/>
          </w:tcPr>
          <w:p w:rsidR="001206DA" w:rsidRPr="006814CB" w:rsidRDefault="001206DA" w:rsidP="001206DA">
            <w:pPr>
              <w:pStyle w:val="TableText10"/>
            </w:pPr>
            <w:r w:rsidRPr="006814CB">
              <w:t>refuse to issue casino FATG authorisation certificate</w:t>
            </w:r>
          </w:p>
        </w:tc>
      </w:tr>
      <w:tr w:rsidR="001206DA" w:rsidRPr="006814CB" w:rsidTr="005E08CB">
        <w:trPr>
          <w:cantSplit/>
        </w:trPr>
        <w:tc>
          <w:tcPr>
            <w:tcW w:w="1200" w:type="dxa"/>
          </w:tcPr>
          <w:p w:rsidR="001206DA" w:rsidRPr="006814CB" w:rsidRDefault="001206DA" w:rsidP="0058578F">
            <w:pPr>
              <w:pStyle w:val="TableNumbered"/>
              <w:numPr>
                <w:ilvl w:val="0"/>
                <w:numId w:val="0"/>
              </w:numPr>
              <w:ind w:left="360" w:hanging="360"/>
            </w:pPr>
            <w:r w:rsidRPr="006814CB">
              <w:t>5</w:t>
            </w:r>
          </w:p>
        </w:tc>
        <w:tc>
          <w:tcPr>
            <w:tcW w:w="1318" w:type="dxa"/>
          </w:tcPr>
          <w:p w:rsidR="001206DA" w:rsidRPr="006814CB" w:rsidRDefault="002E0DF3" w:rsidP="0058578F">
            <w:pPr>
              <w:pStyle w:val="TableText10"/>
            </w:pPr>
            <w:r w:rsidRPr="006814CB">
              <w:t>21</w:t>
            </w:r>
            <w:r w:rsidR="001206DA" w:rsidRPr="006814CB">
              <w:t xml:space="preserve"> (5)</w:t>
            </w:r>
          </w:p>
        </w:tc>
        <w:tc>
          <w:tcPr>
            <w:tcW w:w="5430" w:type="dxa"/>
          </w:tcPr>
          <w:p w:rsidR="001206DA" w:rsidRPr="006814CB" w:rsidRDefault="001206DA" w:rsidP="0058578F">
            <w:pPr>
              <w:pStyle w:val="TableText10"/>
            </w:pPr>
            <w:r w:rsidRPr="006814CB">
              <w:t>refuse to consider application for conversion of restricted authorisations if additional information not given within stated time</w:t>
            </w:r>
          </w:p>
        </w:tc>
      </w:tr>
      <w:tr w:rsidR="00FA69CF" w:rsidRPr="006814CB" w:rsidTr="005E08CB">
        <w:trPr>
          <w:cantSplit/>
        </w:trPr>
        <w:tc>
          <w:tcPr>
            <w:tcW w:w="1200" w:type="dxa"/>
          </w:tcPr>
          <w:p w:rsidR="00FA69CF" w:rsidRPr="005D4E1B" w:rsidRDefault="00FA69CF" w:rsidP="00FA69CF">
            <w:pPr>
              <w:pStyle w:val="TableNumbered"/>
              <w:numPr>
                <w:ilvl w:val="0"/>
                <w:numId w:val="0"/>
              </w:numPr>
              <w:ind w:left="360" w:hanging="360"/>
            </w:pPr>
            <w:r w:rsidRPr="005D4E1B">
              <w:t>6</w:t>
            </w:r>
          </w:p>
        </w:tc>
        <w:tc>
          <w:tcPr>
            <w:tcW w:w="1318" w:type="dxa"/>
          </w:tcPr>
          <w:p w:rsidR="00FA69CF" w:rsidRPr="005D4E1B" w:rsidRDefault="00FA69CF" w:rsidP="00FA69CF">
            <w:pPr>
              <w:pStyle w:val="TableText10"/>
            </w:pPr>
            <w:r w:rsidRPr="005D4E1B">
              <w:t>22 (1)</w:t>
            </w:r>
          </w:p>
        </w:tc>
        <w:tc>
          <w:tcPr>
            <w:tcW w:w="5430" w:type="dxa"/>
          </w:tcPr>
          <w:p w:rsidR="00FA69CF" w:rsidRPr="005D4E1B" w:rsidRDefault="00FA69CF" w:rsidP="00FA69CF">
            <w:pPr>
              <w:pStyle w:val="TableText10"/>
            </w:pPr>
            <w:r w:rsidRPr="005D4E1B">
              <w:t xml:space="preserve">refuse to approve the conversion of restricted authorisation to casino gaming machine authorisation or casino FATG terminal authorisation </w:t>
            </w:r>
          </w:p>
        </w:tc>
      </w:tr>
      <w:tr w:rsidR="00FA69CF" w:rsidRPr="006814CB" w:rsidTr="005E08CB">
        <w:trPr>
          <w:cantSplit/>
        </w:trPr>
        <w:tc>
          <w:tcPr>
            <w:tcW w:w="1200" w:type="dxa"/>
          </w:tcPr>
          <w:p w:rsidR="00FA69CF" w:rsidRPr="005D4E1B" w:rsidRDefault="00FA69CF" w:rsidP="00FA69CF">
            <w:pPr>
              <w:pStyle w:val="TableNumbered"/>
              <w:numPr>
                <w:ilvl w:val="0"/>
                <w:numId w:val="0"/>
              </w:numPr>
              <w:ind w:left="360" w:hanging="360"/>
            </w:pPr>
            <w:r w:rsidRPr="005D4E1B">
              <w:t xml:space="preserve">7 </w:t>
            </w:r>
          </w:p>
        </w:tc>
        <w:tc>
          <w:tcPr>
            <w:tcW w:w="1318" w:type="dxa"/>
          </w:tcPr>
          <w:p w:rsidR="00FA69CF" w:rsidRPr="005D4E1B" w:rsidRDefault="00FA69CF" w:rsidP="00FA69CF">
            <w:pPr>
              <w:pStyle w:val="TableText10"/>
            </w:pPr>
            <w:r w:rsidRPr="005D4E1B">
              <w:t xml:space="preserve">22 (5) </w:t>
            </w:r>
          </w:p>
        </w:tc>
        <w:tc>
          <w:tcPr>
            <w:tcW w:w="5430" w:type="dxa"/>
          </w:tcPr>
          <w:p w:rsidR="00FA69CF" w:rsidRPr="005D4E1B" w:rsidRDefault="00FA69CF" w:rsidP="00FA69CF">
            <w:pPr>
              <w:pStyle w:val="TableText10"/>
            </w:pPr>
            <w:r w:rsidRPr="005D4E1B">
              <w:t>approve the conversion of a lower number of restricted authorisations than the number applied for</w:t>
            </w:r>
          </w:p>
        </w:tc>
      </w:tr>
      <w:tr w:rsidR="001206DA" w:rsidRPr="006814CB" w:rsidTr="005E08CB">
        <w:trPr>
          <w:cantSplit/>
        </w:trPr>
        <w:tc>
          <w:tcPr>
            <w:tcW w:w="1200" w:type="dxa"/>
          </w:tcPr>
          <w:p w:rsidR="001206DA" w:rsidRPr="006814CB" w:rsidRDefault="001206DA" w:rsidP="0058578F">
            <w:pPr>
              <w:pStyle w:val="TableNumbered"/>
              <w:numPr>
                <w:ilvl w:val="0"/>
                <w:numId w:val="0"/>
              </w:numPr>
              <w:ind w:left="360" w:hanging="360"/>
            </w:pPr>
            <w:r w:rsidRPr="006814CB">
              <w:t>8</w:t>
            </w:r>
          </w:p>
        </w:tc>
        <w:tc>
          <w:tcPr>
            <w:tcW w:w="1318" w:type="dxa"/>
          </w:tcPr>
          <w:p w:rsidR="001206DA" w:rsidRPr="006814CB" w:rsidRDefault="002E0DF3" w:rsidP="0058578F">
            <w:pPr>
              <w:pStyle w:val="TableText10"/>
            </w:pPr>
            <w:r w:rsidRPr="006814CB">
              <w:t>37</w:t>
            </w:r>
            <w:r w:rsidR="001206DA" w:rsidRPr="006814CB">
              <w:t xml:space="preserve"> (3)</w:t>
            </w:r>
          </w:p>
        </w:tc>
        <w:tc>
          <w:tcPr>
            <w:tcW w:w="5430" w:type="dxa"/>
          </w:tcPr>
          <w:p w:rsidR="001206DA" w:rsidRPr="006814CB" w:rsidRDefault="001206DA" w:rsidP="0058578F">
            <w:pPr>
              <w:pStyle w:val="TableText10"/>
            </w:pPr>
            <w:r w:rsidRPr="006814CB">
              <w:t>refuse to consider authorisation certificate amendment application</w:t>
            </w:r>
          </w:p>
        </w:tc>
      </w:tr>
      <w:tr w:rsidR="001206DA" w:rsidRPr="006814CB" w:rsidTr="005E08CB">
        <w:trPr>
          <w:cantSplit/>
        </w:trPr>
        <w:tc>
          <w:tcPr>
            <w:tcW w:w="1200" w:type="dxa"/>
          </w:tcPr>
          <w:p w:rsidR="001206DA" w:rsidRPr="006814CB" w:rsidRDefault="001206DA" w:rsidP="0058578F">
            <w:pPr>
              <w:pStyle w:val="TableNumbered"/>
              <w:numPr>
                <w:ilvl w:val="0"/>
                <w:numId w:val="0"/>
              </w:numPr>
              <w:ind w:left="360" w:hanging="360"/>
            </w:pPr>
            <w:r w:rsidRPr="006814CB">
              <w:t>9</w:t>
            </w:r>
          </w:p>
        </w:tc>
        <w:tc>
          <w:tcPr>
            <w:tcW w:w="1318" w:type="dxa"/>
          </w:tcPr>
          <w:p w:rsidR="001206DA" w:rsidRPr="006814CB" w:rsidRDefault="002E0DF3" w:rsidP="0058578F">
            <w:pPr>
              <w:pStyle w:val="TableText10"/>
            </w:pPr>
            <w:r w:rsidRPr="006814CB">
              <w:t>38</w:t>
            </w:r>
            <w:r w:rsidR="001206DA" w:rsidRPr="006814CB">
              <w:t xml:space="preserve"> (2) (b)</w:t>
            </w:r>
          </w:p>
        </w:tc>
        <w:tc>
          <w:tcPr>
            <w:tcW w:w="5430" w:type="dxa"/>
          </w:tcPr>
          <w:p w:rsidR="001206DA" w:rsidRPr="006814CB" w:rsidRDefault="001206DA" w:rsidP="0058578F">
            <w:pPr>
              <w:pStyle w:val="TableText10"/>
            </w:pPr>
            <w:r w:rsidRPr="006814CB">
              <w:t>refuse to amend authorisation certificate</w:t>
            </w:r>
          </w:p>
        </w:tc>
      </w:tr>
    </w:tbl>
    <w:p w:rsidR="009E4268" w:rsidRPr="006814CB" w:rsidRDefault="009E4268" w:rsidP="006814CB">
      <w:pPr>
        <w:pStyle w:val="PageBreak"/>
        <w:suppressLineNumbers/>
      </w:pPr>
      <w:r w:rsidRPr="006814CB">
        <w:br w:type="page"/>
      </w:r>
    </w:p>
    <w:p w:rsidR="0058578F" w:rsidRPr="00951C4D" w:rsidRDefault="006814CB" w:rsidP="0070106D">
      <w:pPr>
        <w:pStyle w:val="Sched-heading"/>
        <w:suppressLineNumbers/>
      </w:pPr>
      <w:bookmarkStart w:id="78" w:name="_Toc516729808"/>
      <w:r w:rsidRPr="00951C4D">
        <w:rPr>
          <w:rStyle w:val="CharChapNo"/>
        </w:rPr>
        <w:t>Schedule 2</w:t>
      </w:r>
      <w:r w:rsidRPr="006814CB">
        <w:tab/>
      </w:r>
      <w:r w:rsidR="0058578F" w:rsidRPr="00951C4D">
        <w:rPr>
          <w:rStyle w:val="CharChapText"/>
        </w:rPr>
        <w:t>Notifiable actions</w:t>
      </w:r>
      <w:bookmarkEnd w:id="78"/>
    </w:p>
    <w:p w:rsidR="0058578F" w:rsidRPr="006814CB" w:rsidRDefault="0058578F" w:rsidP="0070106D">
      <w:pPr>
        <w:pStyle w:val="ref"/>
        <w:keepNext/>
        <w:suppressLineNumbers/>
      </w:pPr>
      <w:r w:rsidRPr="006814CB">
        <w:t>(see s</w:t>
      </w:r>
      <w:r w:rsidR="00B26C6E" w:rsidRPr="006814CB">
        <w:t xml:space="preserve"> </w:t>
      </w:r>
      <w:r w:rsidR="002E0DF3" w:rsidRPr="006814CB">
        <w:t>48</w:t>
      </w:r>
      <w:r w:rsidRPr="006814CB">
        <w:t>)</w:t>
      </w:r>
    </w:p>
    <w:p w:rsidR="00AB675C" w:rsidRPr="006814CB" w:rsidRDefault="00AB675C" w:rsidP="0070106D">
      <w:pPr>
        <w:suppressLineNumbers/>
      </w:pPr>
    </w:p>
    <w:tbl>
      <w:tblPr>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93"/>
        <w:gridCol w:w="5128"/>
      </w:tblGrid>
      <w:tr w:rsidR="0058578F" w:rsidRPr="006814CB" w:rsidTr="005E08CB">
        <w:trPr>
          <w:cantSplit/>
          <w:tblHeader/>
        </w:trPr>
        <w:tc>
          <w:tcPr>
            <w:tcW w:w="1200" w:type="dxa"/>
            <w:tcBorders>
              <w:bottom w:val="single" w:sz="4" w:space="0" w:color="auto"/>
            </w:tcBorders>
          </w:tcPr>
          <w:p w:rsidR="0058578F" w:rsidRPr="006814CB" w:rsidRDefault="0058578F" w:rsidP="0058578F">
            <w:pPr>
              <w:pStyle w:val="TableColHd"/>
            </w:pPr>
            <w:r w:rsidRPr="006814CB">
              <w:t>column 1</w:t>
            </w:r>
          </w:p>
          <w:p w:rsidR="0058578F" w:rsidRPr="006814CB" w:rsidRDefault="0058578F" w:rsidP="0058578F">
            <w:pPr>
              <w:pStyle w:val="TableColHd"/>
            </w:pPr>
            <w:r w:rsidRPr="006814CB">
              <w:t>item</w:t>
            </w:r>
          </w:p>
        </w:tc>
        <w:tc>
          <w:tcPr>
            <w:tcW w:w="1293" w:type="dxa"/>
            <w:tcBorders>
              <w:bottom w:val="single" w:sz="4" w:space="0" w:color="auto"/>
            </w:tcBorders>
          </w:tcPr>
          <w:p w:rsidR="0058578F" w:rsidRPr="006814CB" w:rsidRDefault="0058578F" w:rsidP="0058578F">
            <w:pPr>
              <w:pStyle w:val="TableColHd"/>
            </w:pPr>
            <w:r w:rsidRPr="006814CB">
              <w:t>column 2</w:t>
            </w:r>
          </w:p>
          <w:p w:rsidR="0058578F" w:rsidRPr="006814CB" w:rsidRDefault="0058578F" w:rsidP="0058578F">
            <w:pPr>
              <w:pStyle w:val="TableColHd"/>
            </w:pPr>
            <w:r w:rsidRPr="006814CB">
              <w:t xml:space="preserve">section </w:t>
            </w:r>
          </w:p>
        </w:tc>
        <w:tc>
          <w:tcPr>
            <w:tcW w:w="5128" w:type="dxa"/>
            <w:tcBorders>
              <w:bottom w:val="single" w:sz="4" w:space="0" w:color="auto"/>
            </w:tcBorders>
          </w:tcPr>
          <w:p w:rsidR="0058578F" w:rsidRPr="006814CB" w:rsidRDefault="0058578F" w:rsidP="0058578F">
            <w:pPr>
              <w:pStyle w:val="TableColHd"/>
            </w:pPr>
            <w:r w:rsidRPr="006814CB">
              <w:t>column 3</w:t>
            </w:r>
          </w:p>
          <w:p w:rsidR="0058578F" w:rsidRPr="006814CB" w:rsidRDefault="0058578F" w:rsidP="0058578F">
            <w:pPr>
              <w:pStyle w:val="TableColHd"/>
            </w:pPr>
            <w:r w:rsidRPr="006814CB">
              <w:t>notifiable action</w:t>
            </w:r>
          </w:p>
        </w:tc>
      </w:tr>
      <w:tr w:rsidR="0058578F" w:rsidRPr="006814CB" w:rsidTr="005E08CB">
        <w:trPr>
          <w:cantSplit/>
        </w:trPr>
        <w:tc>
          <w:tcPr>
            <w:tcW w:w="1200" w:type="dxa"/>
          </w:tcPr>
          <w:p w:rsidR="0058578F" w:rsidRPr="006814CB" w:rsidRDefault="0058578F" w:rsidP="0058578F">
            <w:pPr>
              <w:pStyle w:val="TableNumbered"/>
              <w:numPr>
                <w:ilvl w:val="0"/>
                <w:numId w:val="0"/>
              </w:numPr>
              <w:ind w:left="360" w:hanging="360"/>
            </w:pPr>
            <w:r w:rsidRPr="006814CB">
              <w:t xml:space="preserve">1 </w:t>
            </w:r>
          </w:p>
        </w:tc>
        <w:tc>
          <w:tcPr>
            <w:tcW w:w="1293" w:type="dxa"/>
          </w:tcPr>
          <w:p w:rsidR="0058578F" w:rsidRPr="006814CB" w:rsidRDefault="002E0DF3" w:rsidP="003E3141">
            <w:pPr>
              <w:pStyle w:val="TableText10"/>
            </w:pPr>
            <w:r w:rsidRPr="006814CB">
              <w:t>16</w:t>
            </w:r>
          </w:p>
        </w:tc>
        <w:tc>
          <w:tcPr>
            <w:tcW w:w="5128" w:type="dxa"/>
          </w:tcPr>
          <w:p w:rsidR="0058578F" w:rsidRPr="006814CB" w:rsidRDefault="0058578F" w:rsidP="0058578F">
            <w:pPr>
              <w:pStyle w:val="TableText10"/>
            </w:pPr>
            <w:r w:rsidRPr="006814CB">
              <w:t xml:space="preserve">acquisition of authorisation </w:t>
            </w:r>
          </w:p>
        </w:tc>
      </w:tr>
      <w:tr w:rsidR="00E50F23" w:rsidRPr="006814CB" w:rsidTr="005E08CB">
        <w:trPr>
          <w:cantSplit/>
        </w:trPr>
        <w:tc>
          <w:tcPr>
            <w:tcW w:w="1200" w:type="dxa"/>
          </w:tcPr>
          <w:p w:rsidR="00E50F23" w:rsidRPr="006814CB" w:rsidRDefault="00E50F23" w:rsidP="0058578F">
            <w:pPr>
              <w:pStyle w:val="TableNumbered"/>
              <w:numPr>
                <w:ilvl w:val="0"/>
                <w:numId w:val="0"/>
              </w:numPr>
              <w:ind w:left="360" w:hanging="360"/>
            </w:pPr>
            <w:r w:rsidRPr="006814CB">
              <w:t>2</w:t>
            </w:r>
          </w:p>
        </w:tc>
        <w:tc>
          <w:tcPr>
            <w:tcW w:w="1293" w:type="dxa"/>
          </w:tcPr>
          <w:p w:rsidR="00E50F23" w:rsidRPr="006814CB" w:rsidRDefault="002E0DF3" w:rsidP="0058578F">
            <w:pPr>
              <w:pStyle w:val="TableText10"/>
            </w:pPr>
            <w:r w:rsidRPr="006814CB">
              <w:t>24</w:t>
            </w:r>
          </w:p>
        </w:tc>
        <w:tc>
          <w:tcPr>
            <w:tcW w:w="5128" w:type="dxa"/>
          </w:tcPr>
          <w:p w:rsidR="00E50F23" w:rsidRPr="006814CB" w:rsidRDefault="00E50F23" w:rsidP="00F85132">
            <w:pPr>
              <w:pStyle w:val="TableText10"/>
            </w:pPr>
            <w:r w:rsidRPr="006814CB">
              <w:t>disposal of authorisation</w:t>
            </w:r>
          </w:p>
        </w:tc>
      </w:tr>
      <w:tr w:rsidR="008066CC" w:rsidRPr="006814CB" w:rsidTr="005E08CB">
        <w:trPr>
          <w:cantSplit/>
        </w:trPr>
        <w:tc>
          <w:tcPr>
            <w:tcW w:w="1200" w:type="dxa"/>
          </w:tcPr>
          <w:p w:rsidR="008066CC" w:rsidRPr="006814CB" w:rsidRDefault="00C8666D" w:rsidP="0058578F">
            <w:pPr>
              <w:pStyle w:val="TableNumbered"/>
              <w:numPr>
                <w:ilvl w:val="0"/>
                <w:numId w:val="0"/>
              </w:numPr>
              <w:ind w:left="360" w:hanging="360"/>
            </w:pPr>
            <w:r w:rsidRPr="006814CB">
              <w:t>3</w:t>
            </w:r>
          </w:p>
        </w:tc>
        <w:tc>
          <w:tcPr>
            <w:tcW w:w="1293" w:type="dxa"/>
          </w:tcPr>
          <w:p w:rsidR="008066CC" w:rsidRPr="006814CB" w:rsidRDefault="002E0DF3" w:rsidP="0058578F">
            <w:pPr>
              <w:pStyle w:val="TableText10"/>
            </w:pPr>
            <w:r w:rsidRPr="006814CB">
              <w:t>26</w:t>
            </w:r>
          </w:p>
        </w:tc>
        <w:tc>
          <w:tcPr>
            <w:tcW w:w="5128" w:type="dxa"/>
          </w:tcPr>
          <w:p w:rsidR="008066CC" w:rsidRPr="006814CB" w:rsidRDefault="00E50F23" w:rsidP="00F85132">
            <w:pPr>
              <w:pStyle w:val="TableText10"/>
            </w:pPr>
            <w:r w:rsidRPr="006814CB">
              <w:t>acquisition</w:t>
            </w:r>
            <w:r w:rsidR="00F85132" w:rsidRPr="006814CB">
              <w:t xml:space="preserve"> of </w:t>
            </w:r>
            <w:r w:rsidRPr="006814CB">
              <w:t xml:space="preserve">casino </w:t>
            </w:r>
            <w:r w:rsidR="00F85132" w:rsidRPr="006814CB">
              <w:t xml:space="preserve">gaming machine </w:t>
            </w:r>
          </w:p>
        </w:tc>
      </w:tr>
      <w:tr w:rsidR="0058578F" w:rsidRPr="006814CB" w:rsidTr="005E08CB">
        <w:trPr>
          <w:cantSplit/>
        </w:trPr>
        <w:tc>
          <w:tcPr>
            <w:tcW w:w="1200" w:type="dxa"/>
          </w:tcPr>
          <w:p w:rsidR="0058578F" w:rsidRPr="006814CB" w:rsidRDefault="00C8666D" w:rsidP="0058578F">
            <w:pPr>
              <w:pStyle w:val="TableNumbered"/>
              <w:numPr>
                <w:ilvl w:val="0"/>
                <w:numId w:val="0"/>
              </w:numPr>
              <w:ind w:left="360" w:hanging="360"/>
            </w:pPr>
            <w:r w:rsidRPr="006814CB">
              <w:t>4</w:t>
            </w:r>
          </w:p>
        </w:tc>
        <w:tc>
          <w:tcPr>
            <w:tcW w:w="1293" w:type="dxa"/>
          </w:tcPr>
          <w:p w:rsidR="0058578F" w:rsidRPr="006814CB" w:rsidRDefault="002E0DF3" w:rsidP="00F85132">
            <w:pPr>
              <w:pStyle w:val="TableText10"/>
            </w:pPr>
            <w:r w:rsidRPr="006814CB">
              <w:t>28</w:t>
            </w:r>
          </w:p>
        </w:tc>
        <w:tc>
          <w:tcPr>
            <w:tcW w:w="5128" w:type="dxa"/>
          </w:tcPr>
          <w:p w:rsidR="0058578F" w:rsidRPr="006814CB" w:rsidRDefault="00F85132" w:rsidP="00E50F23">
            <w:pPr>
              <w:pStyle w:val="TableText10"/>
            </w:pPr>
            <w:r w:rsidRPr="006814CB">
              <w:t xml:space="preserve">acquisition of </w:t>
            </w:r>
            <w:r w:rsidR="00E50F23" w:rsidRPr="006814CB">
              <w:t xml:space="preserve">casino </w:t>
            </w:r>
            <w:r w:rsidRPr="006814CB">
              <w:t xml:space="preserve">FATG </w:t>
            </w:r>
            <w:r w:rsidR="00E50F23" w:rsidRPr="006814CB">
              <w:t>terminal</w:t>
            </w:r>
          </w:p>
        </w:tc>
      </w:tr>
      <w:tr w:rsidR="00396008" w:rsidRPr="006814CB" w:rsidTr="005E08CB">
        <w:trPr>
          <w:cantSplit/>
        </w:trPr>
        <w:tc>
          <w:tcPr>
            <w:tcW w:w="1200" w:type="dxa"/>
          </w:tcPr>
          <w:p w:rsidR="00396008" w:rsidRPr="006814CB" w:rsidRDefault="005E08CB" w:rsidP="0058578F">
            <w:pPr>
              <w:pStyle w:val="TableNumbered"/>
              <w:numPr>
                <w:ilvl w:val="0"/>
                <w:numId w:val="0"/>
              </w:numPr>
              <w:ind w:left="360" w:hanging="360"/>
            </w:pPr>
            <w:r w:rsidRPr="006814CB">
              <w:t>5</w:t>
            </w:r>
          </w:p>
        </w:tc>
        <w:tc>
          <w:tcPr>
            <w:tcW w:w="1293" w:type="dxa"/>
          </w:tcPr>
          <w:p w:rsidR="00396008" w:rsidRPr="006814CB" w:rsidRDefault="002E0DF3" w:rsidP="00F85132">
            <w:pPr>
              <w:pStyle w:val="TableText10"/>
            </w:pPr>
            <w:r w:rsidRPr="006814CB">
              <w:t>41</w:t>
            </w:r>
          </w:p>
        </w:tc>
        <w:tc>
          <w:tcPr>
            <w:tcW w:w="5128" w:type="dxa"/>
          </w:tcPr>
          <w:p w:rsidR="00396008" w:rsidRPr="006814CB" w:rsidRDefault="00396008" w:rsidP="00E50F23">
            <w:pPr>
              <w:pStyle w:val="TableText10"/>
            </w:pPr>
            <w:r w:rsidRPr="006814CB">
              <w:t>surrender of casino licence</w:t>
            </w:r>
          </w:p>
        </w:tc>
      </w:tr>
    </w:tbl>
    <w:p w:rsidR="006814CB" w:rsidRDefault="006814CB">
      <w:pPr>
        <w:pStyle w:val="03Schedule"/>
        <w:sectPr w:rsidR="006814CB" w:rsidSect="003D7E21">
          <w:headerReference w:type="even" r:id="rId88"/>
          <w:headerReference w:type="default" r:id="rId89"/>
          <w:footerReference w:type="even" r:id="rId90"/>
          <w:footerReference w:type="default" r:id="rId91"/>
          <w:type w:val="continuous"/>
          <w:pgSz w:w="11907" w:h="16839" w:code="9"/>
          <w:pgMar w:top="3880" w:right="1900" w:bottom="3100" w:left="2300" w:header="2280" w:footer="1760" w:gutter="0"/>
          <w:cols w:space="720"/>
          <w:docGrid w:linePitch="326"/>
        </w:sectPr>
      </w:pPr>
    </w:p>
    <w:p w:rsidR="008066CC" w:rsidRPr="006814CB" w:rsidRDefault="008066CC" w:rsidP="006814CB">
      <w:pPr>
        <w:pStyle w:val="PageBreak"/>
        <w:suppressLineNumbers/>
      </w:pPr>
      <w:r w:rsidRPr="006814CB">
        <w:br w:type="page"/>
      </w:r>
    </w:p>
    <w:p w:rsidR="00A877CC" w:rsidRPr="00951C4D" w:rsidRDefault="006814CB" w:rsidP="006814CB">
      <w:pPr>
        <w:pStyle w:val="Sched-heading"/>
      </w:pPr>
      <w:bookmarkStart w:id="79" w:name="_Toc516729809"/>
      <w:r w:rsidRPr="00951C4D">
        <w:rPr>
          <w:rStyle w:val="CharChapNo"/>
        </w:rPr>
        <w:t>Schedule 4</w:t>
      </w:r>
      <w:r w:rsidRPr="006814CB">
        <w:tab/>
      </w:r>
      <w:r w:rsidR="005C4EEF" w:rsidRPr="00951C4D">
        <w:rPr>
          <w:rStyle w:val="CharChapText"/>
        </w:rPr>
        <w:t>Other amendment</w:t>
      </w:r>
      <w:r w:rsidR="00A877CC" w:rsidRPr="00951C4D">
        <w:rPr>
          <w:rStyle w:val="CharChapText"/>
        </w:rPr>
        <w:t>s</w:t>
      </w:r>
      <w:r w:rsidR="005C4EEF" w:rsidRPr="00951C4D">
        <w:rPr>
          <w:rStyle w:val="CharChapText"/>
        </w:rPr>
        <w:t>—</w:t>
      </w:r>
      <w:r w:rsidR="006657C0" w:rsidRPr="00951C4D">
        <w:rPr>
          <w:rStyle w:val="CharChapText"/>
        </w:rPr>
        <w:t>maximum authorisation numbers</w:t>
      </w:r>
      <w:bookmarkEnd w:id="79"/>
    </w:p>
    <w:p w:rsidR="005C4EEF" w:rsidRPr="006814CB" w:rsidRDefault="00A877CC" w:rsidP="005C4EEF">
      <w:pPr>
        <w:pStyle w:val="ref"/>
      </w:pPr>
      <w:r w:rsidRPr="006814CB">
        <w:t xml:space="preserve">(see s </w:t>
      </w:r>
      <w:r w:rsidR="002E0DF3" w:rsidRPr="006814CB">
        <w:t>55</w:t>
      </w:r>
      <w:r w:rsidRPr="006814CB">
        <w:t>)</w:t>
      </w:r>
    </w:p>
    <w:p w:rsidR="005C4EEF" w:rsidRPr="00951C4D" w:rsidRDefault="006814CB" w:rsidP="006814CB">
      <w:pPr>
        <w:pStyle w:val="Sched-Part"/>
      </w:pPr>
      <w:bookmarkStart w:id="80" w:name="_Toc516729810"/>
      <w:r w:rsidRPr="00951C4D">
        <w:rPr>
          <w:rStyle w:val="CharPartNo"/>
        </w:rPr>
        <w:t>Part 4.1</w:t>
      </w:r>
      <w:r w:rsidRPr="006814CB">
        <w:tab/>
      </w:r>
      <w:r w:rsidR="00312A1A" w:rsidRPr="00951C4D">
        <w:rPr>
          <w:rStyle w:val="CharPartText"/>
        </w:rPr>
        <w:t>Gambling and Racing Control Act </w:t>
      </w:r>
      <w:r w:rsidR="0058214C" w:rsidRPr="00951C4D">
        <w:rPr>
          <w:rStyle w:val="CharPartText"/>
        </w:rPr>
        <w:t>1999</w:t>
      </w:r>
      <w:bookmarkEnd w:id="80"/>
    </w:p>
    <w:p w:rsidR="005C4EEF" w:rsidRPr="006814CB" w:rsidRDefault="006814CB" w:rsidP="006814CB">
      <w:pPr>
        <w:pStyle w:val="ShadedSchClause"/>
      </w:pPr>
      <w:bookmarkStart w:id="81" w:name="_Toc516729811"/>
      <w:r w:rsidRPr="00951C4D">
        <w:rPr>
          <w:rStyle w:val="CharSectNo"/>
        </w:rPr>
        <w:t>[4.1]</w:t>
      </w:r>
      <w:r w:rsidRPr="006814CB">
        <w:tab/>
      </w:r>
      <w:r w:rsidR="0061160F" w:rsidRPr="006814CB">
        <w:t>P</w:t>
      </w:r>
      <w:r w:rsidR="005C4EEF" w:rsidRPr="006814CB">
        <w:t>art 6A</w:t>
      </w:r>
      <w:bookmarkEnd w:id="81"/>
    </w:p>
    <w:p w:rsidR="00A877CC" w:rsidRPr="006814CB" w:rsidRDefault="00A877CC" w:rsidP="00A877CC">
      <w:pPr>
        <w:pStyle w:val="direction"/>
      </w:pPr>
      <w:r w:rsidRPr="006814CB">
        <w:t>substitute</w:t>
      </w:r>
    </w:p>
    <w:p w:rsidR="00A877CC" w:rsidRPr="006814CB" w:rsidRDefault="00A877CC" w:rsidP="00A877CC">
      <w:pPr>
        <w:pStyle w:val="IH2Part"/>
      </w:pPr>
      <w:r w:rsidRPr="006814CB">
        <w:t>Part 6A</w:t>
      </w:r>
      <w:r w:rsidRPr="006814CB">
        <w:tab/>
        <w:t>Electronic gaming authorisation numbers</w:t>
      </w:r>
    </w:p>
    <w:p w:rsidR="00A877CC" w:rsidRPr="006814CB" w:rsidRDefault="00A877CC" w:rsidP="00A877CC">
      <w:pPr>
        <w:pStyle w:val="IH5Sec"/>
      </w:pPr>
      <w:r w:rsidRPr="006814CB">
        <w:t>50</w:t>
      </w:r>
      <w:r w:rsidRPr="006814CB">
        <w:tab/>
        <w:t>Maximum number of authorisations for electronic gaming allowed in ACT</w:t>
      </w:r>
    </w:p>
    <w:p w:rsidR="00A877CC" w:rsidRPr="006814CB" w:rsidRDefault="00A877CC" w:rsidP="00A877CC">
      <w:pPr>
        <w:pStyle w:val="IMain"/>
      </w:pPr>
      <w:r w:rsidRPr="006814CB">
        <w:tab/>
        <w:t>(1)</w:t>
      </w:r>
      <w:r w:rsidRPr="006814CB">
        <w:tab/>
        <w:t>The maximum number of authorisations for electronic gaming for all authorised premises in the ACT must not exceed 15 authorisations for every 1 000 adults living in the ACT.</w:t>
      </w:r>
    </w:p>
    <w:p w:rsidR="00A877CC" w:rsidRPr="006814CB" w:rsidRDefault="00A877CC" w:rsidP="00A877CC">
      <w:pPr>
        <w:pStyle w:val="IMain"/>
      </w:pPr>
      <w:r w:rsidRPr="006814CB">
        <w:tab/>
        <w:t>(2)</w:t>
      </w:r>
      <w:r w:rsidRPr="006814CB">
        <w:tab/>
        <w:t>In this section:</w:t>
      </w:r>
    </w:p>
    <w:p w:rsidR="00BC1132" w:rsidRPr="006814CB" w:rsidRDefault="00BC1132" w:rsidP="006814CB">
      <w:pPr>
        <w:pStyle w:val="aDef"/>
      </w:pPr>
      <w:r w:rsidRPr="006814CB">
        <w:rPr>
          <w:rStyle w:val="charBoldItals"/>
        </w:rPr>
        <w:t>authorisation</w:t>
      </w:r>
      <w:r w:rsidRPr="006814CB">
        <w:t>, for electronic gaming, means—</w:t>
      </w:r>
    </w:p>
    <w:p w:rsidR="00BC1132" w:rsidRPr="006814CB" w:rsidRDefault="00BC1132" w:rsidP="00BC1132">
      <w:pPr>
        <w:pStyle w:val="Idefpara"/>
      </w:pPr>
      <w:r w:rsidRPr="006814CB">
        <w:tab/>
        <w:t>(a)</w:t>
      </w:r>
      <w:r w:rsidRPr="006814CB">
        <w:tab/>
        <w:t xml:space="preserve">an authorisation for a gaming machine under the </w:t>
      </w:r>
      <w:hyperlink r:id="rId92" w:tooltip="A2004-34" w:history="1">
        <w:r w:rsidR="00253379" w:rsidRPr="006814CB">
          <w:rPr>
            <w:rStyle w:val="charCitHyperlinkItal"/>
          </w:rPr>
          <w:t>Gaming Machine Act 2004</w:t>
        </w:r>
      </w:hyperlink>
      <w:r w:rsidRPr="006814CB">
        <w:t>; and</w:t>
      </w:r>
    </w:p>
    <w:p w:rsidR="00BC1132" w:rsidRPr="006814CB" w:rsidRDefault="00BC1132" w:rsidP="00BC1132">
      <w:pPr>
        <w:pStyle w:val="Idefpara"/>
      </w:pPr>
      <w:r w:rsidRPr="006814CB">
        <w:tab/>
        <w:t>(b)</w:t>
      </w:r>
      <w:r w:rsidRPr="006814CB">
        <w:tab/>
        <w:t xml:space="preserve">an authorisation for a casino gaming machine or casino FATG terminal under the </w:t>
      </w:r>
      <w:r w:rsidRPr="007C44FF">
        <w:rPr>
          <w:rStyle w:val="charItals"/>
        </w:rPr>
        <w:t>Casino (Electronic Gaming) Act 2017</w:t>
      </w:r>
      <w:r w:rsidRPr="006814CB">
        <w:t>.</w:t>
      </w:r>
    </w:p>
    <w:p w:rsidR="00A877CC" w:rsidRPr="006814CB" w:rsidRDefault="00A877CC" w:rsidP="006814CB">
      <w:pPr>
        <w:pStyle w:val="aDef"/>
      </w:pPr>
      <w:r w:rsidRPr="006814CB">
        <w:rPr>
          <w:rStyle w:val="charBoldItals"/>
        </w:rPr>
        <w:t>authorised premises</w:t>
      </w:r>
      <w:r w:rsidRPr="006814CB">
        <w:t>—</w:t>
      </w:r>
    </w:p>
    <w:p w:rsidR="00A877CC" w:rsidRPr="006814CB" w:rsidRDefault="00A877CC" w:rsidP="00A877CC">
      <w:pPr>
        <w:pStyle w:val="Idefpara"/>
      </w:pPr>
      <w:r w:rsidRPr="006814CB">
        <w:tab/>
        <w:t>(a)</w:t>
      </w:r>
      <w:r w:rsidRPr="006814CB">
        <w:tab/>
        <w:t xml:space="preserve">see the </w:t>
      </w:r>
      <w:hyperlink r:id="rId93" w:tooltip="A2004-34" w:history="1">
        <w:r w:rsidR="00253379" w:rsidRPr="006814CB">
          <w:rPr>
            <w:rStyle w:val="charCitHyperlinkItal"/>
          </w:rPr>
          <w:t>Gaming Machine Act 2004</w:t>
        </w:r>
      </w:hyperlink>
      <w:r w:rsidRPr="006814CB">
        <w:t>, dictionary; and</w:t>
      </w:r>
    </w:p>
    <w:p w:rsidR="00A877CC" w:rsidRPr="006814CB" w:rsidRDefault="00A877CC" w:rsidP="00A877CC">
      <w:pPr>
        <w:pStyle w:val="Idefpara"/>
      </w:pPr>
      <w:r w:rsidRPr="006814CB">
        <w:tab/>
        <w:t>(b)</w:t>
      </w:r>
      <w:r w:rsidRPr="006814CB">
        <w:tab/>
        <w:t>includes the casino.</w:t>
      </w:r>
    </w:p>
    <w:p w:rsidR="00A877CC" w:rsidRPr="006814CB" w:rsidRDefault="00A877CC" w:rsidP="006814CB">
      <w:pPr>
        <w:pStyle w:val="aDef"/>
      </w:pPr>
      <w:r w:rsidRPr="006814CB">
        <w:rPr>
          <w:rStyle w:val="charBoldItals"/>
        </w:rPr>
        <w:t>casino</w:t>
      </w:r>
      <w:r w:rsidRPr="006814CB">
        <w:t xml:space="preserve">—see the </w:t>
      </w:r>
      <w:hyperlink r:id="rId94" w:tooltip="A2006-2" w:history="1">
        <w:r w:rsidR="00253379" w:rsidRPr="006814CB">
          <w:rPr>
            <w:rStyle w:val="charCitHyperlinkItal"/>
          </w:rPr>
          <w:t>Casino Control Act 2006</w:t>
        </w:r>
      </w:hyperlink>
      <w:r w:rsidRPr="006814CB">
        <w:t>, dictionary.</w:t>
      </w:r>
    </w:p>
    <w:p w:rsidR="00A877CC" w:rsidRPr="006814CB" w:rsidRDefault="00A877CC" w:rsidP="006814CB">
      <w:pPr>
        <w:pStyle w:val="aDef"/>
      </w:pPr>
      <w:r w:rsidRPr="006814CB">
        <w:rPr>
          <w:rStyle w:val="charBoldItals"/>
        </w:rPr>
        <w:t>casino FATG terminal</w:t>
      </w:r>
      <w:r w:rsidRPr="006814CB">
        <w:t xml:space="preserve">—see the </w:t>
      </w:r>
      <w:r w:rsidRPr="007C44FF">
        <w:rPr>
          <w:rStyle w:val="charItals"/>
        </w:rPr>
        <w:t>Casino (Electronic Gaming) Act 2017</w:t>
      </w:r>
      <w:r w:rsidRPr="006814CB">
        <w:t>, dictionary.</w:t>
      </w:r>
    </w:p>
    <w:p w:rsidR="00A877CC" w:rsidRPr="006814CB" w:rsidRDefault="00A877CC" w:rsidP="006814CB">
      <w:pPr>
        <w:pStyle w:val="aDef"/>
      </w:pPr>
      <w:r w:rsidRPr="006814CB">
        <w:rPr>
          <w:rStyle w:val="charBoldItals"/>
        </w:rPr>
        <w:t>casino gaming machine</w:t>
      </w:r>
      <w:r w:rsidRPr="006814CB">
        <w:t xml:space="preserve">—see the </w:t>
      </w:r>
      <w:r w:rsidRPr="007C44FF">
        <w:rPr>
          <w:rStyle w:val="charItals"/>
        </w:rPr>
        <w:t>Casino (Electronic Gaming) Act 2017</w:t>
      </w:r>
      <w:r w:rsidRPr="006814CB">
        <w:t>, dictionary.</w:t>
      </w:r>
    </w:p>
    <w:p w:rsidR="00A877CC" w:rsidRPr="006814CB" w:rsidRDefault="00A877CC" w:rsidP="006814CB">
      <w:pPr>
        <w:pStyle w:val="aDef"/>
      </w:pPr>
      <w:r w:rsidRPr="006814CB">
        <w:rPr>
          <w:rStyle w:val="charBoldItals"/>
        </w:rPr>
        <w:t>electronic gaming</w:t>
      </w:r>
      <w:r w:rsidRPr="006814CB">
        <w:t xml:space="preserve"> means gaming machines, casino gaming machines, </w:t>
      </w:r>
      <w:r w:rsidR="005C58D4" w:rsidRPr="006814CB">
        <w:t xml:space="preserve">casino </w:t>
      </w:r>
      <w:r w:rsidRPr="006814CB">
        <w:t>FATG terminals and fully-automated table game machines.</w:t>
      </w:r>
    </w:p>
    <w:p w:rsidR="00A877CC" w:rsidRPr="006814CB" w:rsidRDefault="00A877CC" w:rsidP="006814CB">
      <w:pPr>
        <w:pStyle w:val="aDef"/>
      </w:pPr>
      <w:r w:rsidRPr="006814CB">
        <w:rPr>
          <w:rStyle w:val="charBoldItals"/>
        </w:rPr>
        <w:t>fully-automated table game machine</w:t>
      </w:r>
      <w:r w:rsidRPr="006814CB">
        <w:t xml:space="preserve">—see the </w:t>
      </w:r>
      <w:r w:rsidRPr="007C44FF">
        <w:rPr>
          <w:rStyle w:val="charItals"/>
        </w:rPr>
        <w:t>Casino (Electronic Gaming) Act 2017</w:t>
      </w:r>
      <w:r w:rsidRPr="006814CB">
        <w:t>, dictionary.</w:t>
      </w:r>
    </w:p>
    <w:p w:rsidR="00135BDD" w:rsidRPr="006814CB" w:rsidRDefault="00135BDD" w:rsidP="006814CB">
      <w:pPr>
        <w:pStyle w:val="aDef"/>
      </w:pPr>
      <w:r w:rsidRPr="006814CB">
        <w:rPr>
          <w:rStyle w:val="charBoldItals"/>
        </w:rPr>
        <w:t>gaming machine</w:t>
      </w:r>
      <w:r w:rsidRPr="006814CB">
        <w:t xml:space="preserve"> means a gaming machine under the </w:t>
      </w:r>
      <w:hyperlink r:id="rId95" w:tooltip="A2004-34" w:history="1">
        <w:r w:rsidR="00253379" w:rsidRPr="006814CB">
          <w:rPr>
            <w:rStyle w:val="charCitHyperlinkItal"/>
          </w:rPr>
          <w:t>Gaming Machine Act 2004</w:t>
        </w:r>
      </w:hyperlink>
      <w:r w:rsidRPr="006814CB">
        <w:t>, dictionary.</w:t>
      </w:r>
    </w:p>
    <w:p w:rsidR="005C4EEF" w:rsidRPr="00951C4D" w:rsidRDefault="006814CB" w:rsidP="006814CB">
      <w:pPr>
        <w:pStyle w:val="Sched-Part"/>
      </w:pPr>
      <w:bookmarkStart w:id="82" w:name="_Toc516729812"/>
      <w:r w:rsidRPr="00951C4D">
        <w:rPr>
          <w:rStyle w:val="CharPartNo"/>
        </w:rPr>
        <w:t>Part 4.2</w:t>
      </w:r>
      <w:r w:rsidRPr="006814CB">
        <w:tab/>
      </w:r>
      <w:r w:rsidR="005C4EEF" w:rsidRPr="00951C4D">
        <w:rPr>
          <w:rStyle w:val="CharPartText"/>
        </w:rPr>
        <w:t>Gaming Machine Act 2004</w:t>
      </w:r>
      <w:bookmarkEnd w:id="82"/>
    </w:p>
    <w:p w:rsidR="00BC1132" w:rsidRPr="006814CB" w:rsidRDefault="006814CB" w:rsidP="006814CB">
      <w:pPr>
        <w:pStyle w:val="ShadedSchClause"/>
      </w:pPr>
      <w:bookmarkStart w:id="83" w:name="_Toc516729813"/>
      <w:r w:rsidRPr="00951C4D">
        <w:rPr>
          <w:rStyle w:val="CharSectNo"/>
        </w:rPr>
        <w:t>[4.2]</w:t>
      </w:r>
      <w:r w:rsidRPr="006814CB">
        <w:tab/>
      </w:r>
      <w:r w:rsidR="00BC1132" w:rsidRPr="006814CB">
        <w:t>Part 2A</w:t>
      </w:r>
      <w:r w:rsidR="00DF2059" w:rsidRPr="006814CB">
        <w:t xml:space="preserve"> heading</w:t>
      </w:r>
      <w:r w:rsidR="00BC1132" w:rsidRPr="006814CB">
        <w:t>, new note</w:t>
      </w:r>
      <w:bookmarkEnd w:id="83"/>
    </w:p>
    <w:p w:rsidR="00BC1132" w:rsidRPr="006814CB" w:rsidRDefault="00BC1132" w:rsidP="00BC1132">
      <w:pPr>
        <w:pStyle w:val="direction"/>
      </w:pPr>
      <w:r w:rsidRPr="006814CB">
        <w:t>insert</w:t>
      </w:r>
    </w:p>
    <w:p w:rsidR="00BC1132" w:rsidRPr="006814CB" w:rsidRDefault="00BC1132" w:rsidP="00BC1132">
      <w:pPr>
        <w:pStyle w:val="aNote"/>
      </w:pPr>
      <w:r w:rsidRPr="006814CB">
        <w:rPr>
          <w:rStyle w:val="charItals"/>
        </w:rPr>
        <w:t>Note</w:t>
      </w:r>
      <w:r w:rsidRPr="006814CB">
        <w:rPr>
          <w:rStyle w:val="charItals"/>
        </w:rPr>
        <w:tab/>
      </w:r>
      <w:r w:rsidR="00AD42DE" w:rsidRPr="006814CB">
        <w:t>See the</w:t>
      </w:r>
      <w:r w:rsidRPr="006814CB">
        <w:t xml:space="preserve"> </w:t>
      </w:r>
      <w:hyperlink r:id="rId96" w:tooltip="Gambling and Racing Control Act 1999" w:history="1">
        <w:r w:rsidR="005151B1" w:rsidRPr="006814CB">
          <w:rPr>
            <w:rStyle w:val="charCitHyperlinkAbbrev"/>
          </w:rPr>
          <w:t>Control Act</w:t>
        </w:r>
      </w:hyperlink>
      <w:r w:rsidR="00AD42DE" w:rsidRPr="006814CB">
        <w:t>, s 50</w:t>
      </w:r>
      <w:r w:rsidRPr="006814CB">
        <w:t xml:space="preserve"> </w:t>
      </w:r>
      <w:r w:rsidR="00AD42DE" w:rsidRPr="006814CB">
        <w:t>for</w:t>
      </w:r>
      <w:r w:rsidRPr="006814CB">
        <w:t xml:space="preserve"> the maximum number of authorisations for electronic gaming </w:t>
      </w:r>
      <w:r w:rsidR="00AD42DE" w:rsidRPr="006814CB">
        <w:t xml:space="preserve">on authorised premises </w:t>
      </w:r>
      <w:r w:rsidRPr="006814CB">
        <w:t xml:space="preserve">allowed in the ACT. </w:t>
      </w:r>
    </w:p>
    <w:p w:rsidR="005C4EEF" w:rsidRPr="006814CB" w:rsidRDefault="006814CB" w:rsidP="006814CB">
      <w:pPr>
        <w:pStyle w:val="ShadedSchClause"/>
      </w:pPr>
      <w:bookmarkStart w:id="84" w:name="_Toc516729814"/>
      <w:r w:rsidRPr="00951C4D">
        <w:rPr>
          <w:rStyle w:val="CharSectNo"/>
        </w:rPr>
        <w:t>[4.3]</w:t>
      </w:r>
      <w:r w:rsidRPr="006814CB">
        <w:tab/>
      </w:r>
      <w:r w:rsidR="005C4EEF" w:rsidRPr="006814CB">
        <w:t>Section 10</w:t>
      </w:r>
      <w:bookmarkEnd w:id="84"/>
    </w:p>
    <w:p w:rsidR="005C4EEF" w:rsidRPr="006814CB" w:rsidRDefault="005C4EEF" w:rsidP="005C4EEF">
      <w:pPr>
        <w:pStyle w:val="direction"/>
      </w:pPr>
      <w:r w:rsidRPr="006814CB">
        <w:t>omit</w:t>
      </w:r>
    </w:p>
    <w:p w:rsidR="006814CB" w:rsidRDefault="006814CB">
      <w:pPr>
        <w:pStyle w:val="03Schedule"/>
        <w:sectPr w:rsidR="006814CB" w:rsidSect="003D7E21">
          <w:headerReference w:type="even" r:id="rId97"/>
          <w:headerReference w:type="default" r:id="rId98"/>
          <w:footerReference w:type="even" r:id="rId99"/>
          <w:footerReference w:type="default" r:id="rId100"/>
          <w:type w:val="continuous"/>
          <w:pgSz w:w="11907" w:h="16839" w:code="9"/>
          <w:pgMar w:top="3880" w:right="1900" w:bottom="3100" w:left="2300" w:header="2280" w:footer="1760" w:gutter="0"/>
          <w:cols w:space="720"/>
          <w:docGrid w:linePitch="326"/>
        </w:sectPr>
      </w:pPr>
    </w:p>
    <w:p w:rsidR="0044665D" w:rsidRPr="006814CB" w:rsidRDefault="0044665D" w:rsidP="006814CB">
      <w:pPr>
        <w:pStyle w:val="PageBreak"/>
        <w:suppressLineNumbers/>
      </w:pPr>
      <w:r w:rsidRPr="006814CB">
        <w:br w:type="page"/>
      </w:r>
    </w:p>
    <w:p w:rsidR="0044665D" w:rsidRPr="006814CB" w:rsidRDefault="0044665D">
      <w:pPr>
        <w:pStyle w:val="Dict-Heading"/>
      </w:pPr>
      <w:bookmarkStart w:id="85" w:name="_Toc516729815"/>
      <w:r w:rsidRPr="006814CB">
        <w:t>Dictionary</w:t>
      </w:r>
      <w:bookmarkEnd w:id="85"/>
    </w:p>
    <w:p w:rsidR="0044665D" w:rsidRPr="006814CB" w:rsidRDefault="0044665D" w:rsidP="006814CB">
      <w:pPr>
        <w:pStyle w:val="ref"/>
        <w:keepNext/>
      </w:pPr>
      <w:r w:rsidRPr="006814CB">
        <w:t>(see s 3)</w:t>
      </w:r>
    </w:p>
    <w:p w:rsidR="0044665D" w:rsidRPr="006814CB" w:rsidRDefault="0044665D" w:rsidP="006814CB">
      <w:pPr>
        <w:pStyle w:val="aNote"/>
        <w:keepNext/>
      </w:pPr>
      <w:r w:rsidRPr="006814CB">
        <w:rPr>
          <w:rStyle w:val="charItals"/>
        </w:rPr>
        <w:t>Note 1</w:t>
      </w:r>
      <w:r w:rsidRPr="006814CB">
        <w:rPr>
          <w:rStyle w:val="charItals"/>
        </w:rPr>
        <w:tab/>
      </w:r>
      <w:r w:rsidRPr="006814CB">
        <w:t xml:space="preserve">The </w:t>
      </w:r>
      <w:hyperlink r:id="rId101" w:tooltip="A2001-14" w:history="1">
        <w:r w:rsidR="00253379" w:rsidRPr="006814CB">
          <w:rPr>
            <w:rStyle w:val="charCitHyperlinkAbbrev"/>
          </w:rPr>
          <w:t>Legislation Act</w:t>
        </w:r>
      </w:hyperlink>
      <w:r w:rsidRPr="006814CB">
        <w:t xml:space="preserve"> contains definitions and other provisions relevant to this Act.</w:t>
      </w:r>
    </w:p>
    <w:p w:rsidR="0044665D" w:rsidRPr="006814CB" w:rsidRDefault="0044665D">
      <w:pPr>
        <w:pStyle w:val="aNote"/>
      </w:pPr>
      <w:r w:rsidRPr="006814CB">
        <w:rPr>
          <w:rStyle w:val="charItals"/>
        </w:rPr>
        <w:t>Note 2</w:t>
      </w:r>
      <w:r w:rsidRPr="006814CB">
        <w:rPr>
          <w:rStyle w:val="charItals"/>
        </w:rPr>
        <w:tab/>
      </w:r>
      <w:r w:rsidRPr="006814CB">
        <w:t xml:space="preserve">For example, the </w:t>
      </w:r>
      <w:hyperlink r:id="rId102" w:tooltip="A2001-14" w:history="1">
        <w:r w:rsidR="00253379" w:rsidRPr="006814CB">
          <w:rPr>
            <w:rStyle w:val="charCitHyperlinkAbbrev"/>
          </w:rPr>
          <w:t>Legislation Act</w:t>
        </w:r>
      </w:hyperlink>
      <w:r w:rsidRPr="006814CB">
        <w:t>, dict, pt 1, defines the following terms:</w:t>
      </w:r>
    </w:p>
    <w:p w:rsidR="0044665D"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ACAT</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ACT</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Criminal Code</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Executive</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gambling and racing commission</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Legislation Act</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may (see s 146)</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must (see s 146)</w:t>
      </w:r>
    </w:p>
    <w:p w:rsidR="00DF2059"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DF2059" w:rsidRPr="006814CB">
        <w:t>notifiable instrument (see s 10)</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penalty unit (see s 133)</w:t>
      </w:r>
    </w:p>
    <w:p w:rsidR="00DF2059"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DF2059" w:rsidRPr="006814CB">
        <w:t>planning and land authority</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prescribed</w:t>
      </w:r>
    </w:p>
    <w:p w:rsidR="00A24673"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A24673" w:rsidRPr="006814CB">
        <w:t>public notice</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regulation</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the Territory</w:t>
      </w:r>
    </w:p>
    <w:p w:rsidR="003374DA" w:rsidRPr="006814CB" w:rsidRDefault="006814CB" w:rsidP="006814CB">
      <w:pPr>
        <w:pStyle w:val="aNoteBulletss"/>
        <w:tabs>
          <w:tab w:val="left" w:pos="2300"/>
        </w:tabs>
      </w:pPr>
      <w:r w:rsidRPr="006814CB">
        <w:rPr>
          <w:rFonts w:ascii="Symbol" w:hAnsi="Symbol"/>
        </w:rPr>
        <w:t></w:t>
      </w:r>
      <w:r w:rsidRPr="006814CB">
        <w:rPr>
          <w:rFonts w:ascii="Symbol" w:hAnsi="Symbol"/>
        </w:rPr>
        <w:tab/>
      </w:r>
      <w:r w:rsidR="003374DA" w:rsidRPr="006814CB">
        <w:t>under.</w:t>
      </w:r>
    </w:p>
    <w:p w:rsidR="00156E84" w:rsidRPr="006814CB" w:rsidRDefault="003374DA" w:rsidP="006814CB">
      <w:pPr>
        <w:pStyle w:val="aDef"/>
        <w:keepNext/>
      </w:pPr>
      <w:r w:rsidRPr="006814CB">
        <w:rPr>
          <w:rStyle w:val="charBoldItals"/>
        </w:rPr>
        <w:t>authorisation</w:t>
      </w:r>
      <w:r w:rsidRPr="006814CB">
        <w:t xml:space="preserve"> means an authorisation under</w:t>
      </w:r>
      <w:r w:rsidR="00156E84" w:rsidRPr="006814CB">
        <w:t>—</w:t>
      </w:r>
    </w:p>
    <w:p w:rsidR="003374DA" w:rsidRPr="006814CB" w:rsidRDefault="006814CB" w:rsidP="006814CB">
      <w:pPr>
        <w:pStyle w:val="aDefpara"/>
        <w:keepNext/>
      </w:pPr>
      <w:r>
        <w:tab/>
      </w:r>
      <w:r w:rsidRPr="006814CB">
        <w:t>(a)</w:t>
      </w:r>
      <w:r w:rsidRPr="006814CB">
        <w:tab/>
      </w:r>
      <w:r w:rsidR="003374DA" w:rsidRPr="006814CB">
        <w:t xml:space="preserve">a </w:t>
      </w:r>
      <w:r w:rsidR="001B3431" w:rsidRPr="006814CB">
        <w:t>casino gaming machine authorisation certificate</w:t>
      </w:r>
      <w:r w:rsidR="003374DA" w:rsidRPr="006814CB">
        <w:t xml:space="preserve"> to operate a casino gaming machine at the premises stated in the </w:t>
      </w:r>
      <w:r w:rsidR="009937D3" w:rsidRPr="006814CB">
        <w:t>certific</w:t>
      </w:r>
      <w:r w:rsidR="00156E84" w:rsidRPr="006814CB">
        <w:t>ate; or</w:t>
      </w:r>
    </w:p>
    <w:p w:rsidR="00156E84" w:rsidRPr="006814CB" w:rsidRDefault="006814CB" w:rsidP="006814CB">
      <w:pPr>
        <w:pStyle w:val="aDefpara"/>
      </w:pPr>
      <w:r>
        <w:tab/>
      </w:r>
      <w:r w:rsidRPr="006814CB">
        <w:t>(b)</w:t>
      </w:r>
      <w:r w:rsidRPr="006814CB">
        <w:tab/>
      </w:r>
      <w:r w:rsidR="00156E84" w:rsidRPr="006814CB">
        <w:t>a casino FATG authorisation certificate to operate a casino FATG terminal at the premises stated in the certificate.</w:t>
      </w:r>
    </w:p>
    <w:p w:rsidR="00F31467" w:rsidRPr="006814CB" w:rsidRDefault="00F31467" w:rsidP="006814CB">
      <w:pPr>
        <w:pStyle w:val="aDef"/>
      </w:pPr>
      <w:r w:rsidRPr="006814CB">
        <w:rPr>
          <w:rStyle w:val="charBoldItals"/>
        </w:rPr>
        <w:t>authorisation certificate</w:t>
      </w:r>
      <w:r w:rsidRPr="006814CB">
        <w:t xml:space="preserve"> means a casino gaming machine authorisation certificate or a casino FATG authorisation certificate. </w:t>
      </w:r>
    </w:p>
    <w:p w:rsidR="00A24673" w:rsidRPr="006814CB" w:rsidRDefault="00A24673" w:rsidP="006814CB">
      <w:pPr>
        <w:pStyle w:val="aDef"/>
      </w:pPr>
      <w:r w:rsidRPr="006814CB">
        <w:rPr>
          <w:rStyle w:val="charBoldItals"/>
        </w:rPr>
        <w:t>authorisation certificate amendment application</w:t>
      </w:r>
      <w:r w:rsidRPr="006814CB">
        <w:t>—see section</w:t>
      </w:r>
      <w:r w:rsidR="00600905" w:rsidRPr="006814CB">
        <w:t> </w:t>
      </w:r>
      <w:r w:rsidR="002E0DF3" w:rsidRPr="006814CB">
        <w:t>36</w:t>
      </w:r>
      <w:r w:rsidR="00600905" w:rsidRPr="006814CB">
        <w:t> (1).</w:t>
      </w:r>
    </w:p>
    <w:p w:rsidR="009937D3" w:rsidRPr="006814CB" w:rsidRDefault="009937D3" w:rsidP="006814CB">
      <w:pPr>
        <w:pStyle w:val="aDef"/>
        <w:keepNext/>
      </w:pPr>
      <w:r w:rsidRPr="006814CB">
        <w:rPr>
          <w:rStyle w:val="charBoldItals"/>
        </w:rPr>
        <w:t>authorisation number</w:t>
      </w:r>
      <w:r w:rsidRPr="006814CB">
        <w:t>—</w:t>
      </w:r>
    </w:p>
    <w:p w:rsidR="009937D3" w:rsidRPr="006814CB" w:rsidRDefault="006814CB" w:rsidP="006814CB">
      <w:pPr>
        <w:pStyle w:val="aDefpara"/>
        <w:keepNext/>
      </w:pPr>
      <w:r>
        <w:tab/>
      </w:r>
      <w:r w:rsidRPr="006814CB">
        <w:t>(a)</w:t>
      </w:r>
      <w:r w:rsidRPr="006814CB">
        <w:tab/>
      </w:r>
      <w:r w:rsidR="009937D3" w:rsidRPr="006814CB">
        <w:t xml:space="preserve">for an authorisation under a </w:t>
      </w:r>
      <w:r w:rsidR="001B3431" w:rsidRPr="006814CB">
        <w:t>casino gaming machine authorisation certificate</w:t>
      </w:r>
      <w:r w:rsidR="009937D3" w:rsidRPr="006814CB">
        <w:t>—</w:t>
      </w:r>
      <w:r w:rsidR="0086300F" w:rsidRPr="006814CB">
        <w:t xml:space="preserve">see section </w:t>
      </w:r>
      <w:r w:rsidR="002E0DF3" w:rsidRPr="006814CB">
        <w:t>12</w:t>
      </w:r>
      <w:r w:rsidR="00A24673" w:rsidRPr="006814CB">
        <w:t xml:space="preserve"> (1) (e)</w:t>
      </w:r>
      <w:r w:rsidR="0086300F" w:rsidRPr="006814CB">
        <w:t xml:space="preserve">; </w:t>
      </w:r>
      <w:r w:rsidR="009937D3" w:rsidRPr="006814CB">
        <w:t>and</w:t>
      </w:r>
    </w:p>
    <w:p w:rsidR="009937D3" w:rsidRPr="006814CB" w:rsidRDefault="006814CB" w:rsidP="006814CB">
      <w:pPr>
        <w:pStyle w:val="aDefpara"/>
      </w:pPr>
      <w:r>
        <w:tab/>
      </w:r>
      <w:r w:rsidRPr="006814CB">
        <w:t>(b)</w:t>
      </w:r>
      <w:r w:rsidRPr="006814CB">
        <w:tab/>
      </w:r>
      <w:r w:rsidR="009937D3" w:rsidRPr="006814CB">
        <w:t xml:space="preserve">for an authorisation under a </w:t>
      </w:r>
      <w:r w:rsidR="00156E84" w:rsidRPr="006814CB">
        <w:t>c</w:t>
      </w:r>
      <w:r w:rsidR="001B3431" w:rsidRPr="006814CB">
        <w:t>asino FATG authorisation certificate</w:t>
      </w:r>
      <w:r w:rsidR="001B1031" w:rsidRPr="006814CB">
        <w:t xml:space="preserve">—see section </w:t>
      </w:r>
      <w:r w:rsidR="002E0DF3" w:rsidRPr="006814CB">
        <w:t>15</w:t>
      </w:r>
      <w:r w:rsidR="00156E84" w:rsidRPr="006814CB">
        <w:t xml:space="preserve"> (1) (e</w:t>
      </w:r>
      <w:r w:rsidR="00600905" w:rsidRPr="006814CB">
        <w:t>)</w:t>
      </w:r>
      <w:r w:rsidR="009937D3" w:rsidRPr="006814CB">
        <w:t>.</w:t>
      </w:r>
    </w:p>
    <w:p w:rsidR="009937D3" w:rsidRPr="006814CB" w:rsidRDefault="009937D3" w:rsidP="006814CB">
      <w:pPr>
        <w:pStyle w:val="aDef"/>
        <w:keepNext/>
      </w:pPr>
      <w:r w:rsidRPr="006814CB">
        <w:rPr>
          <w:rStyle w:val="charBoldItals"/>
        </w:rPr>
        <w:t>authorisation schedule</w:t>
      </w:r>
      <w:r w:rsidRPr="006814CB">
        <w:t>—</w:t>
      </w:r>
    </w:p>
    <w:p w:rsidR="009937D3" w:rsidRPr="006814CB" w:rsidRDefault="006814CB" w:rsidP="006814CB">
      <w:pPr>
        <w:pStyle w:val="aDefpara"/>
        <w:keepNext/>
      </w:pPr>
      <w:r>
        <w:tab/>
      </w:r>
      <w:r w:rsidRPr="006814CB">
        <w:t>(a)</w:t>
      </w:r>
      <w:r w:rsidRPr="006814CB">
        <w:tab/>
      </w:r>
      <w:r w:rsidR="009937D3" w:rsidRPr="006814CB">
        <w:t xml:space="preserve">for a </w:t>
      </w:r>
      <w:r w:rsidR="001B3431" w:rsidRPr="006814CB">
        <w:t>casino gaming machine authorisation certificate</w:t>
      </w:r>
      <w:r w:rsidR="009937D3" w:rsidRPr="006814CB">
        <w:t xml:space="preserve">—see section </w:t>
      </w:r>
      <w:r w:rsidR="002E0DF3" w:rsidRPr="006814CB">
        <w:t>12</w:t>
      </w:r>
      <w:r w:rsidR="009937D3" w:rsidRPr="006814CB">
        <w:t xml:space="preserve"> (1) (e); and</w:t>
      </w:r>
    </w:p>
    <w:p w:rsidR="009937D3" w:rsidRPr="006814CB" w:rsidRDefault="006814CB" w:rsidP="006814CB">
      <w:pPr>
        <w:pStyle w:val="aDefpara"/>
      </w:pPr>
      <w:r>
        <w:tab/>
      </w:r>
      <w:r w:rsidRPr="006814CB">
        <w:t>(b)</w:t>
      </w:r>
      <w:r w:rsidRPr="006814CB">
        <w:tab/>
      </w:r>
      <w:r w:rsidR="009937D3" w:rsidRPr="006814CB">
        <w:t xml:space="preserve">for a </w:t>
      </w:r>
      <w:r w:rsidR="00600905" w:rsidRPr="006814CB">
        <w:t>c</w:t>
      </w:r>
      <w:r w:rsidR="001B3431" w:rsidRPr="006814CB">
        <w:t>asino FATG authorisation certificate</w:t>
      </w:r>
      <w:r w:rsidR="009937D3" w:rsidRPr="006814CB">
        <w:t>—see section</w:t>
      </w:r>
      <w:r w:rsidR="00156E84" w:rsidRPr="006814CB">
        <w:t> </w:t>
      </w:r>
      <w:r w:rsidR="002E0DF3" w:rsidRPr="006814CB">
        <w:t>15</w:t>
      </w:r>
      <w:r w:rsidR="00156E84" w:rsidRPr="006814CB">
        <w:t> (1) (e)</w:t>
      </w:r>
      <w:r w:rsidR="001B1031" w:rsidRPr="006814CB">
        <w:t>.</w:t>
      </w:r>
    </w:p>
    <w:p w:rsidR="00600905" w:rsidRPr="006814CB" w:rsidRDefault="00600905" w:rsidP="006814CB">
      <w:pPr>
        <w:pStyle w:val="aDef"/>
      </w:pPr>
      <w:r w:rsidRPr="006814CB">
        <w:rPr>
          <w:rStyle w:val="charBoldItals"/>
        </w:rPr>
        <w:t xml:space="preserve">casino FATG authorisation certificate </w:t>
      </w:r>
      <w:r w:rsidRPr="006814CB">
        <w:t xml:space="preserve">means an authorisation certificate issued to the casino licensee under section </w:t>
      </w:r>
      <w:r w:rsidR="002E0DF3" w:rsidRPr="006814CB">
        <w:t>14</w:t>
      </w:r>
      <w:r w:rsidRPr="006814CB">
        <w:t xml:space="preserve"> for authorisations to operate </w:t>
      </w:r>
      <w:r w:rsidR="00AD42DE" w:rsidRPr="006814CB">
        <w:t xml:space="preserve">casino </w:t>
      </w:r>
      <w:r w:rsidRPr="006814CB">
        <w:t>FATG terminals.</w:t>
      </w:r>
    </w:p>
    <w:p w:rsidR="00600905" w:rsidRPr="006814CB" w:rsidRDefault="00600905" w:rsidP="006814CB">
      <w:pPr>
        <w:pStyle w:val="aDef"/>
      </w:pPr>
      <w:r w:rsidRPr="006814CB">
        <w:rPr>
          <w:rStyle w:val="charBoldItals"/>
        </w:rPr>
        <w:t>casino FATG authorisation certificate number</w:t>
      </w:r>
      <w:r w:rsidR="00DF2059" w:rsidRPr="006814CB">
        <w:t>—see section </w:t>
      </w:r>
      <w:r w:rsidR="002E0DF3" w:rsidRPr="006814CB">
        <w:t>15</w:t>
      </w:r>
      <w:r w:rsidR="00DF2059" w:rsidRPr="006814CB">
        <w:t> </w:t>
      </w:r>
      <w:r w:rsidRPr="006814CB">
        <w:t>(1)</w:t>
      </w:r>
      <w:r w:rsidR="00DF2059" w:rsidRPr="006814CB">
        <w:t> </w:t>
      </w:r>
      <w:r w:rsidRPr="006814CB">
        <w:t>(b).</w:t>
      </w:r>
    </w:p>
    <w:p w:rsidR="00600905" w:rsidRPr="006814CB" w:rsidRDefault="00600905" w:rsidP="006814CB">
      <w:pPr>
        <w:pStyle w:val="aDef"/>
      </w:pPr>
      <w:r w:rsidRPr="006814CB">
        <w:rPr>
          <w:rStyle w:val="charBoldItals"/>
        </w:rPr>
        <w:t xml:space="preserve">casino FATG terminal </w:t>
      </w:r>
      <w:r w:rsidRPr="006814CB">
        <w:t>means a terminal connected to a fully</w:t>
      </w:r>
      <w:r w:rsidR="008B6A5D" w:rsidRPr="006814CB">
        <w:noBreakHyphen/>
      </w:r>
      <w:r w:rsidRPr="006814CB">
        <w:t xml:space="preserve">automated </w:t>
      </w:r>
      <w:r w:rsidR="00447089" w:rsidRPr="006814CB">
        <w:t>table game</w:t>
      </w:r>
      <w:r w:rsidRPr="006814CB">
        <w:t xml:space="preserve"> machine.</w:t>
      </w:r>
    </w:p>
    <w:p w:rsidR="00834640" w:rsidRPr="006814CB" w:rsidRDefault="00834640" w:rsidP="006814CB">
      <w:pPr>
        <w:pStyle w:val="aDef"/>
      </w:pPr>
      <w:r w:rsidRPr="006814CB">
        <w:rPr>
          <w:rStyle w:val="charBoldItals"/>
        </w:rPr>
        <w:t>casino FATG terminal authorisation</w:t>
      </w:r>
      <w:r w:rsidRPr="006814CB">
        <w:t>, in relation to a casino</w:t>
      </w:r>
      <w:r w:rsidR="008B6A5D" w:rsidRPr="006814CB">
        <w:t xml:space="preserve"> FATG authorisation certificate</w:t>
      </w:r>
      <w:r w:rsidRPr="006814CB">
        <w:t xml:space="preserve">—see section </w:t>
      </w:r>
      <w:r w:rsidR="002E0DF3" w:rsidRPr="006814CB">
        <w:t>21</w:t>
      </w:r>
      <w:r w:rsidRPr="006814CB">
        <w:t xml:space="preserve"> (1).</w:t>
      </w:r>
    </w:p>
    <w:p w:rsidR="00CB2737" w:rsidRPr="006814CB" w:rsidRDefault="00CB2737" w:rsidP="006814CB">
      <w:pPr>
        <w:pStyle w:val="aDef"/>
        <w:keepNext/>
      </w:pPr>
      <w:r w:rsidRPr="006814CB">
        <w:rPr>
          <w:rStyle w:val="charBoldItals"/>
        </w:rPr>
        <w:t>casino gaming machine</w:t>
      </w:r>
      <w:r w:rsidRPr="006814CB">
        <w:t>—</w:t>
      </w:r>
    </w:p>
    <w:p w:rsidR="00CB2737" w:rsidRPr="006814CB" w:rsidRDefault="006814CB" w:rsidP="006814CB">
      <w:pPr>
        <w:pStyle w:val="aDefpara"/>
      </w:pPr>
      <w:r>
        <w:tab/>
      </w:r>
      <w:r w:rsidRPr="006814CB">
        <w:t>(a)</w:t>
      </w:r>
      <w:r w:rsidRPr="006814CB">
        <w:tab/>
      </w:r>
      <w:r w:rsidR="00CB2737" w:rsidRPr="006814CB">
        <w:t>means a machine—</w:t>
      </w:r>
    </w:p>
    <w:p w:rsidR="00CB2737" w:rsidRPr="006814CB" w:rsidRDefault="006814CB" w:rsidP="006814CB">
      <w:pPr>
        <w:pStyle w:val="aDefsubpara"/>
      </w:pPr>
      <w:r>
        <w:tab/>
      </w:r>
      <w:r w:rsidRPr="006814CB">
        <w:t>(i)</w:t>
      </w:r>
      <w:r w:rsidRPr="006814CB">
        <w:tab/>
      </w:r>
      <w:r w:rsidR="00CB2737" w:rsidRPr="006814CB">
        <w:t>designed for playing a game of chance, or of mixed chance and skill; and</w:t>
      </w:r>
    </w:p>
    <w:p w:rsidR="00CB2737" w:rsidRPr="006814CB" w:rsidRDefault="006814CB" w:rsidP="006814CB">
      <w:pPr>
        <w:pStyle w:val="aDefsubpara"/>
      </w:pPr>
      <w:r>
        <w:tab/>
      </w:r>
      <w:r w:rsidRPr="006814CB">
        <w:t>(ii)</w:t>
      </w:r>
      <w:r w:rsidRPr="006814CB">
        <w:tab/>
      </w:r>
      <w:r w:rsidR="00CB2737" w:rsidRPr="006814CB">
        <w:t>designed to be played completely or partly by—</w:t>
      </w:r>
    </w:p>
    <w:p w:rsidR="00CB2737" w:rsidRPr="006814CB" w:rsidRDefault="006814CB" w:rsidP="006814CB">
      <w:pPr>
        <w:pStyle w:val="Asubsubpara"/>
      </w:pPr>
      <w:r>
        <w:tab/>
      </w:r>
      <w:r w:rsidRPr="006814CB">
        <w:t>(A)</w:t>
      </w:r>
      <w:r w:rsidRPr="006814CB">
        <w:tab/>
      </w:r>
      <w:r w:rsidR="00CB2737" w:rsidRPr="006814CB">
        <w:t>the insertion of 1 or more coins, notes or tokens; or</w:t>
      </w:r>
    </w:p>
    <w:p w:rsidR="00CB2737" w:rsidRPr="006814CB" w:rsidRDefault="006814CB" w:rsidP="006814CB">
      <w:pPr>
        <w:pStyle w:val="Asubsubpara"/>
      </w:pPr>
      <w:r>
        <w:tab/>
      </w:r>
      <w:r w:rsidRPr="006814CB">
        <w:t>(B)</w:t>
      </w:r>
      <w:r w:rsidRPr="006814CB">
        <w:tab/>
      </w:r>
      <w:r w:rsidR="00CB2737" w:rsidRPr="006814CB">
        <w:t>the application of a monetary credit registered on the machine or elsewhere; and</w:t>
      </w:r>
    </w:p>
    <w:p w:rsidR="00CB2737" w:rsidRPr="006814CB" w:rsidRDefault="006814CB" w:rsidP="006814CB">
      <w:pPr>
        <w:pStyle w:val="aDefsubpara"/>
        <w:keepNext/>
      </w:pPr>
      <w:r>
        <w:tab/>
      </w:r>
      <w:r w:rsidRPr="006814CB">
        <w:t>(iii)</w:t>
      </w:r>
      <w:r w:rsidRPr="006814CB">
        <w:tab/>
      </w:r>
      <w:r w:rsidR="00CB2737" w:rsidRPr="006814CB">
        <w:t>that offers, or that appears to offer, people a chance to win monetary or other valuable consideration by playing the machine; but</w:t>
      </w:r>
    </w:p>
    <w:p w:rsidR="00CB2737" w:rsidRPr="006814CB" w:rsidRDefault="006814CB" w:rsidP="006814CB">
      <w:pPr>
        <w:pStyle w:val="aDefpara"/>
      </w:pPr>
      <w:r>
        <w:tab/>
      </w:r>
      <w:r w:rsidRPr="006814CB">
        <w:t>(b)</w:t>
      </w:r>
      <w:r w:rsidRPr="006814CB">
        <w:tab/>
      </w:r>
      <w:r w:rsidR="00CB2737" w:rsidRPr="006814CB">
        <w:t>does not include a device prescribed by regulation.</w:t>
      </w:r>
    </w:p>
    <w:p w:rsidR="008026D0" w:rsidRPr="006814CB" w:rsidRDefault="008026D0" w:rsidP="006814CB">
      <w:pPr>
        <w:pStyle w:val="aDef"/>
      </w:pPr>
      <w:r w:rsidRPr="006814CB">
        <w:rPr>
          <w:rStyle w:val="charBoldItals"/>
        </w:rPr>
        <w:t>casino gaming machine authorisation</w:t>
      </w:r>
      <w:r w:rsidRPr="006814CB">
        <w:t xml:space="preserve">, in relation to a </w:t>
      </w:r>
      <w:r w:rsidR="001B3431" w:rsidRPr="006814CB">
        <w:t>casino gaming machine authorisation certificate</w:t>
      </w:r>
      <w:r w:rsidR="00F85132" w:rsidRPr="006814CB">
        <w:t xml:space="preserve">—see section </w:t>
      </w:r>
      <w:r w:rsidR="002E0DF3" w:rsidRPr="006814CB">
        <w:t>21</w:t>
      </w:r>
      <w:r w:rsidR="00834640" w:rsidRPr="006814CB">
        <w:t xml:space="preserve"> (1)</w:t>
      </w:r>
      <w:r w:rsidRPr="006814CB">
        <w:t>.</w:t>
      </w:r>
    </w:p>
    <w:p w:rsidR="00834640" w:rsidRPr="006814CB" w:rsidRDefault="00834640" w:rsidP="006814CB">
      <w:pPr>
        <w:pStyle w:val="aDef"/>
      </w:pPr>
      <w:r w:rsidRPr="006814CB">
        <w:rPr>
          <w:rStyle w:val="charBoldItals"/>
        </w:rPr>
        <w:t>casino gaming machine authorisation certificate</w:t>
      </w:r>
      <w:r w:rsidRPr="006814CB">
        <w:t xml:space="preserve"> means an authorisation certificate issued to the casino licensee under section </w:t>
      </w:r>
      <w:r w:rsidR="002E0DF3" w:rsidRPr="006814CB">
        <w:t>11</w:t>
      </w:r>
      <w:r w:rsidRPr="006814CB">
        <w:t xml:space="preserve"> for authorisations to operate casino gaming machines.</w:t>
      </w:r>
    </w:p>
    <w:p w:rsidR="00834640" w:rsidRPr="006814CB" w:rsidRDefault="00834640" w:rsidP="006814CB">
      <w:pPr>
        <w:pStyle w:val="aDef"/>
      </w:pPr>
      <w:r w:rsidRPr="006814CB">
        <w:rPr>
          <w:rStyle w:val="charBoldItals"/>
        </w:rPr>
        <w:t>casino gaming machine authorisation certificate number</w:t>
      </w:r>
      <w:r w:rsidRPr="006814CB">
        <w:t>—see section </w:t>
      </w:r>
      <w:r w:rsidR="002E0DF3" w:rsidRPr="006814CB">
        <w:t>12</w:t>
      </w:r>
      <w:r w:rsidRPr="006814CB">
        <w:t>.</w:t>
      </w:r>
    </w:p>
    <w:p w:rsidR="0044665D" w:rsidRPr="006814CB" w:rsidRDefault="00AB4D04" w:rsidP="006814CB">
      <w:pPr>
        <w:pStyle w:val="aDef"/>
      </w:pPr>
      <w:r w:rsidRPr="006814CB">
        <w:rPr>
          <w:rStyle w:val="charBoldItals"/>
        </w:rPr>
        <w:t>casino licensee</w:t>
      </w:r>
      <w:r w:rsidRPr="006814CB">
        <w:t xml:space="preserve">—see the </w:t>
      </w:r>
      <w:hyperlink r:id="rId103" w:tooltip="A2006-2" w:history="1">
        <w:r w:rsidR="00253379" w:rsidRPr="006814CB">
          <w:rPr>
            <w:rStyle w:val="charCitHyperlinkItal"/>
          </w:rPr>
          <w:t>Casino Control Act 2006</w:t>
        </w:r>
      </w:hyperlink>
      <w:r w:rsidRPr="006814CB">
        <w:t xml:space="preserve">, dictionary. </w:t>
      </w:r>
    </w:p>
    <w:p w:rsidR="0086300F" w:rsidRPr="006814CB" w:rsidRDefault="00B91746" w:rsidP="006814CB">
      <w:pPr>
        <w:pStyle w:val="aDef"/>
      </w:pPr>
      <w:r w:rsidRPr="006814CB">
        <w:rPr>
          <w:rStyle w:val="charBoldItals"/>
        </w:rPr>
        <w:t>class B licensee</w:t>
      </w:r>
      <w:r w:rsidRPr="006814CB">
        <w:t xml:space="preserve">—see the </w:t>
      </w:r>
      <w:hyperlink r:id="rId104" w:tooltip="A2004-34" w:history="1">
        <w:r w:rsidR="00253379" w:rsidRPr="006814CB">
          <w:rPr>
            <w:rStyle w:val="charCitHyperlinkItal"/>
          </w:rPr>
          <w:t>Gaming Machine Act 2004</w:t>
        </w:r>
      </w:hyperlink>
      <w:r w:rsidRPr="006814CB">
        <w:t>, dictionary.</w:t>
      </w:r>
    </w:p>
    <w:p w:rsidR="00B91746" w:rsidRPr="006814CB" w:rsidRDefault="00B91746" w:rsidP="006814CB">
      <w:pPr>
        <w:pStyle w:val="aDef"/>
      </w:pPr>
      <w:r w:rsidRPr="006814CB">
        <w:rPr>
          <w:rStyle w:val="charBoldItals"/>
        </w:rPr>
        <w:t>class C licensee</w:t>
      </w:r>
      <w:r w:rsidRPr="006814CB">
        <w:t xml:space="preserve">—see the </w:t>
      </w:r>
      <w:hyperlink r:id="rId105" w:tooltip="A2004-34" w:history="1">
        <w:r w:rsidR="00253379" w:rsidRPr="006814CB">
          <w:rPr>
            <w:rStyle w:val="charCitHyperlinkItal"/>
          </w:rPr>
          <w:t>Gaming Machine Act 2004</w:t>
        </w:r>
      </w:hyperlink>
      <w:r w:rsidRPr="006814CB">
        <w:t>, dictionary.</w:t>
      </w:r>
    </w:p>
    <w:p w:rsidR="00F72E54" w:rsidRPr="006814CB" w:rsidRDefault="00F72E54" w:rsidP="006814CB">
      <w:pPr>
        <w:pStyle w:val="aDef"/>
      </w:pPr>
      <w:r w:rsidRPr="006814CB">
        <w:rPr>
          <w:rStyle w:val="charBoldItals"/>
        </w:rPr>
        <w:t>commission</w:t>
      </w:r>
      <w:r w:rsidRPr="006814CB">
        <w:t xml:space="preserve"> means the gambling and racing commission.</w:t>
      </w:r>
    </w:p>
    <w:p w:rsidR="00B91746" w:rsidRPr="006814CB" w:rsidRDefault="00B91746" w:rsidP="006814CB">
      <w:pPr>
        <w:pStyle w:val="aDef"/>
      </w:pPr>
      <w:r w:rsidRPr="006814CB">
        <w:rPr>
          <w:rStyle w:val="charBoldItals"/>
        </w:rPr>
        <w:t>Control Act</w:t>
      </w:r>
      <w:r w:rsidRPr="006814CB">
        <w:t xml:space="preserve"> means the </w:t>
      </w:r>
      <w:hyperlink r:id="rId106" w:tooltip="A1999-46" w:history="1">
        <w:r w:rsidR="00253379" w:rsidRPr="006814CB">
          <w:rPr>
            <w:rStyle w:val="charCitHyperlinkItal"/>
          </w:rPr>
          <w:t>Gambling and Racing Control Act 1999</w:t>
        </w:r>
      </w:hyperlink>
      <w:r w:rsidRPr="006814CB">
        <w:t>.</w:t>
      </w:r>
    </w:p>
    <w:p w:rsidR="006B27CB" w:rsidRPr="006814CB" w:rsidRDefault="006B27CB" w:rsidP="006814CB">
      <w:pPr>
        <w:pStyle w:val="aDef"/>
      </w:pPr>
      <w:r w:rsidRPr="006814CB">
        <w:rPr>
          <w:rStyle w:val="charBoldItals"/>
        </w:rPr>
        <w:t>FATG</w:t>
      </w:r>
      <w:r w:rsidRPr="006814CB">
        <w:t xml:space="preserve">—see </w:t>
      </w:r>
      <w:r w:rsidRPr="006814CB">
        <w:rPr>
          <w:rStyle w:val="charBoldItals"/>
        </w:rPr>
        <w:t>fully-automated table game machine</w:t>
      </w:r>
      <w:r w:rsidRPr="006814CB">
        <w:t>.</w:t>
      </w:r>
    </w:p>
    <w:p w:rsidR="00890CA8" w:rsidRPr="006814CB" w:rsidRDefault="00890CA8" w:rsidP="006814CB">
      <w:pPr>
        <w:pStyle w:val="aDef"/>
      </w:pPr>
      <w:r w:rsidRPr="006814CB">
        <w:rPr>
          <w:rStyle w:val="charBoldItals"/>
        </w:rPr>
        <w:t>FATG terminal</w:t>
      </w:r>
      <w:r w:rsidRPr="006814CB">
        <w:t xml:space="preserve"> means a terminal connected to a FATG for the purpose of participating in a game on the FATG.</w:t>
      </w:r>
    </w:p>
    <w:p w:rsidR="00B91746" w:rsidRPr="006814CB" w:rsidRDefault="00B91746" w:rsidP="006814CB">
      <w:pPr>
        <w:pStyle w:val="aDef"/>
        <w:keepNext/>
      </w:pPr>
      <w:r w:rsidRPr="006814CB">
        <w:rPr>
          <w:rStyle w:val="charBoldItals"/>
        </w:rPr>
        <w:t xml:space="preserve">fully-automated </w:t>
      </w:r>
      <w:r w:rsidR="00DE040A" w:rsidRPr="006814CB">
        <w:rPr>
          <w:rStyle w:val="charBoldItals"/>
        </w:rPr>
        <w:t xml:space="preserve">table </w:t>
      </w:r>
      <w:r w:rsidRPr="006814CB">
        <w:rPr>
          <w:rStyle w:val="charBoldItals"/>
        </w:rPr>
        <w:t>gam</w:t>
      </w:r>
      <w:r w:rsidR="00DE040A" w:rsidRPr="006814CB">
        <w:rPr>
          <w:rStyle w:val="charBoldItals"/>
        </w:rPr>
        <w:t>e</w:t>
      </w:r>
      <w:r w:rsidRPr="006814CB">
        <w:rPr>
          <w:rStyle w:val="charBoldItals"/>
        </w:rPr>
        <w:t xml:space="preserve"> machine </w:t>
      </w:r>
      <w:r w:rsidRPr="006814CB">
        <w:t>(</w:t>
      </w:r>
      <w:r w:rsidR="005C58D4" w:rsidRPr="006814CB">
        <w:t>or</w:t>
      </w:r>
      <w:r w:rsidRPr="006814CB">
        <w:t xml:space="preserve"> </w:t>
      </w:r>
      <w:r w:rsidRPr="006814CB">
        <w:rPr>
          <w:rStyle w:val="charBoldItals"/>
        </w:rPr>
        <w:t>FATG</w:t>
      </w:r>
      <w:r w:rsidRPr="006814CB">
        <w:t xml:space="preserve">) means </w:t>
      </w:r>
      <w:r w:rsidR="00A95FEF" w:rsidRPr="006814CB">
        <w:t>a</w:t>
      </w:r>
      <w:r w:rsidR="00447089" w:rsidRPr="006814CB">
        <w:t>n</w:t>
      </w:r>
      <w:r w:rsidR="00A95FEF" w:rsidRPr="006814CB">
        <w:t xml:space="preserve"> </w:t>
      </w:r>
      <w:r w:rsidR="00495273" w:rsidRPr="006814CB">
        <w:t xml:space="preserve">electronic gaming system </w:t>
      </w:r>
      <w:r w:rsidR="00447089" w:rsidRPr="006814CB">
        <w:t xml:space="preserve">or equipment </w:t>
      </w:r>
      <w:r w:rsidR="00A95FEF" w:rsidRPr="006814CB">
        <w:t xml:space="preserve">that </w:t>
      </w:r>
      <w:r w:rsidR="00495273" w:rsidRPr="006814CB">
        <w:t>allows more than 1 </w:t>
      </w:r>
      <w:r w:rsidR="00A95FEF" w:rsidRPr="006814CB">
        <w:t>person to play a game that—</w:t>
      </w:r>
    </w:p>
    <w:p w:rsidR="00A95FEF" w:rsidRPr="006814CB" w:rsidRDefault="006814CB" w:rsidP="006814CB">
      <w:pPr>
        <w:pStyle w:val="aDefpara"/>
        <w:keepNext/>
      </w:pPr>
      <w:r>
        <w:tab/>
      </w:r>
      <w:r w:rsidRPr="006814CB">
        <w:t>(a)</w:t>
      </w:r>
      <w:r w:rsidRPr="006814CB">
        <w:tab/>
      </w:r>
      <w:r w:rsidR="00A95FEF" w:rsidRPr="006814CB">
        <w:t>imitates a type of game played at a table; and</w:t>
      </w:r>
    </w:p>
    <w:p w:rsidR="00A95FEF" w:rsidRPr="006814CB" w:rsidRDefault="006814CB" w:rsidP="006814CB">
      <w:pPr>
        <w:pStyle w:val="aDefpara"/>
      </w:pPr>
      <w:r>
        <w:tab/>
      </w:r>
      <w:r w:rsidRPr="006814CB">
        <w:t>(b)</w:t>
      </w:r>
      <w:r w:rsidRPr="006814CB">
        <w:tab/>
      </w:r>
      <w:r w:rsidR="00A95FEF" w:rsidRPr="006814CB">
        <w:t>can be played—</w:t>
      </w:r>
    </w:p>
    <w:p w:rsidR="00A95FEF" w:rsidRPr="006814CB" w:rsidRDefault="006814CB" w:rsidP="006814CB">
      <w:pPr>
        <w:pStyle w:val="aDefsubpara"/>
      </w:pPr>
      <w:r>
        <w:tab/>
      </w:r>
      <w:r w:rsidRPr="006814CB">
        <w:t>(i)</w:t>
      </w:r>
      <w:r w:rsidRPr="006814CB">
        <w:tab/>
      </w:r>
      <w:r w:rsidR="00A95FEF" w:rsidRPr="006814CB">
        <w:t>from different terminals; and</w:t>
      </w:r>
    </w:p>
    <w:p w:rsidR="00A95FEF" w:rsidRPr="006814CB" w:rsidRDefault="006814CB" w:rsidP="006814CB">
      <w:pPr>
        <w:pStyle w:val="aDefsubpara"/>
      </w:pPr>
      <w:r>
        <w:tab/>
      </w:r>
      <w:r w:rsidRPr="006814CB">
        <w:t>(ii)</w:t>
      </w:r>
      <w:r w:rsidRPr="006814CB">
        <w:tab/>
      </w:r>
      <w:r w:rsidR="00A95FEF" w:rsidRPr="006814CB">
        <w:t>without a casino employee conducting the game.</w:t>
      </w:r>
    </w:p>
    <w:p w:rsidR="00913E4E" w:rsidRPr="006814CB" w:rsidRDefault="00913E4E" w:rsidP="006814CB">
      <w:pPr>
        <w:pStyle w:val="aDef"/>
      </w:pPr>
      <w:r w:rsidRPr="006814CB">
        <w:rPr>
          <w:rStyle w:val="charBoldItals"/>
        </w:rPr>
        <w:t>gaming area amendment</w:t>
      </w:r>
      <w:r w:rsidR="00B26C6E" w:rsidRPr="006814CB">
        <w:t xml:space="preserve">—see section </w:t>
      </w:r>
      <w:r w:rsidR="002E0DF3" w:rsidRPr="006814CB">
        <w:t>36</w:t>
      </w:r>
      <w:r w:rsidR="00B26C6E" w:rsidRPr="006814CB">
        <w:t xml:space="preserve"> (1).</w:t>
      </w:r>
    </w:p>
    <w:p w:rsidR="00495273" w:rsidRPr="006814CB" w:rsidRDefault="00495273" w:rsidP="006814CB">
      <w:pPr>
        <w:pStyle w:val="aDef"/>
      </w:pPr>
      <w:r w:rsidRPr="006814CB">
        <w:rPr>
          <w:rStyle w:val="charBoldItals"/>
        </w:rPr>
        <w:t>gaming law</w:t>
      </w:r>
      <w:r w:rsidRPr="006814CB">
        <w:t>—</w:t>
      </w:r>
      <w:r w:rsidR="008B6A5D" w:rsidRPr="006814CB">
        <w:t xml:space="preserve">see the </w:t>
      </w:r>
      <w:hyperlink r:id="rId107" w:tooltip="A1999-46" w:history="1">
        <w:r w:rsidR="009D5A87" w:rsidRPr="006814CB">
          <w:rPr>
            <w:rStyle w:val="charCitHyperlinkAbbrev"/>
          </w:rPr>
          <w:t>Control Act</w:t>
        </w:r>
      </w:hyperlink>
      <w:r w:rsidR="008B6A5D" w:rsidRPr="006814CB">
        <w:t>, dictionary.</w:t>
      </w:r>
    </w:p>
    <w:p w:rsidR="00913E4E" w:rsidRPr="006814CB" w:rsidRDefault="00913E4E" w:rsidP="006814CB">
      <w:pPr>
        <w:pStyle w:val="aDef"/>
      </w:pPr>
      <w:r w:rsidRPr="006814CB">
        <w:rPr>
          <w:rStyle w:val="charBoldItals"/>
        </w:rPr>
        <w:t>gaming rules</w:t>
      </w:r>
      <w:r w:rsidR="00B26C6E" w:rsidRPr="006814CB">
        <w:t xml:space="preserve">—see section </w:t>
      </w:r>
      <w:r w:rsidR="002E0DF3" w:rsidRPr="006814CB">
        <w:t>21</w:t>
      </w:r>
      <w:r w:rsidR="00B26C6E" w:rsidRPr="006814CB">
        <w:t xml:space="preserve"> (3) (c).</w:t>
      </w:r>
    </w:p>
    <w:p w:rsidR="00AB4D04" w:rsidRPr="006814CB" w:rsidRDefault="00AB4D04" w:rsidP="006814CB">
      <w:pPr>
        <w:pStyle w:val="aDef"/>
        <w:keepNext/>
      </w:pPr>
      <w:r w:rsidRPr="006814CB">
        <w:rPr>
          <w:rStyle w:val="charBoldItals"/>
        </w:rPr>
        <w:t xml:space="preserve">maximum </w:t>
      </w:r>
      <w:r w:rsidR="002218C7" w:rsidRPr="006814CB">
        <w:rPr>
          <w:rStyle w:val="charBoldItals"/>
        </w:rPr>
        <w:t xml:space="preserve">possible </w:t>
      </w:r>
      <w:r w:rsidRPr="006814CB">
        <w:rPr>
          <w:rStyle w:val="charBoldItals"/>
        </w:rPr>
        <w:t>number</w:t>
      </w:r>
      <w:r w:rsidRPr="006814CB">
        <w:t>, of authorisations—</w:t>
      </w:r>
    </w:p>
    <w:p w:rsidR="00AB4D04" w:rsidRPr="006814CB" w:rsidRDefault="006814CB" w:rsidP="006814CB">
      <w:pPr>
        <w:pStyle w:val="aDefpara"/>
        <w:keepNext/>
      </w:pPr>
      <w:r>
        <w:tab/>
      </w:r>
      <w:r w:rsidRPr="006814CB">
        <w:t>(a)</w:t>
      </w:r>
      <w:r w:rsidRPr="006814CB">
        <w:tab/>
      </w:r>
      <w:r w:rsidR="00AB4D04" w:rsidRPr="006814CB">
        <w:t>for casino gaming machines—see section</w:t>
      </w:r>
      <w:r w:rsidR="00A95FEF" w:rsidRPr="006814CB">
        <w:t xml:space="preserve"> </w:t>
      </w:r>
      <w:r w:rsidR="002E0DF3" w:rsidRPr="006814CB">
        <w:t>6</w:t>
      </w:r>
      <w:r w:rsidR="00AB4D04" w:rsidRPr="006814CB">
        <w:t>; and</w:t>
      </w:r>
    </w:p>
    <w:p w:rsidR="00AB4D04" w:rsidRPr="006814CB" w:rsidRDefault="006814CB" w:rsidP="006814CB">
      <w:pPr>
        <w:pStyle w:val="aDefpara"/>
      </w:pPr>
      <w:r>
        <w:tab/>
      </w:r>
      <w:r w:rsidRPr="006814CB">
        <w:t>(b)</w:t>
      </w:r>
      <w:r w:rsidRPr="006814CB">
        <w:tab/>
      </w:r>
      <w:r w:rsidR="00AB4D04" w:rsidRPr="006814CB">
        <w:t xml:space="preserve">for </w:t>
      </w:r>
      <w:r w:rsidR="0026355C" w:rsidRPr="006814CB">
        <w:t xml:space="preserve">casino </w:t>
      </w:r>
      <w:r w:rsidR="008B6A5D" w:rsidRPr="006814CB">
        <w:t>FATG</w:t>
      </w:r>
      <w:r w:rsidR="00AB4D04" w:rsidRPr="006814CB">
        <w:t xml:space="preserve"> terminals—see section </w:t>
      </w:r>
      <w:r w:rsidR="002E0DF3" w:rsidRPr="006814CB">
        <w:t>7</w:t>
      </w:r>
      <w:r w:rsidR="00AB4D04" w:rsidRPr="006814CB">
        <w:t>.</w:t>
      </w:r>
    </w:p>
    <w:p w:rsidR="001E5C56" w:rsidRPr="006814CB" w:rsidRDefault="001E5C56" w:rsidP="006814CB">
      <w:pPr>
        <w:pStyle w:val="aDef"/>
      </w:pPr>
      <w:r w:rsidRPr="006814CB">
        <w:rPr>
          <w:rStyle w:val="charBoldItals"/>
        </w:rPr>
        <w:t>net loss</w:t>
      </w:r>
      <w:r w:rsidRPr="006814CB">
        <w:t xml:space="preserve">, for part 7 (Casino gaming machines—pre-commitment system)—see section </w:t>
      </w:r>
      <w:r w:rsidR="002E0DF3" w:rsidRPr="006814CB">
        <w:t>30</w:t>
      </w:r>
      <w:r w:rsidRPr="006814CB">
        <w:t>.</w:t>
      </w:r>
    </w:p>
    <w:p w:rsidR="00890CA8" w:rsidRPr="006814CB" w:rsidRDefault="00890CA8" w:rsidP="006814CB">
      <w:pPr>
        <w:pStyle w:val="aDef"/>
      </w:pPr>
      <w:r w:rsidRPr="006814CB">
        <w:rPr>
          <w:rStyle w:val="charBoldItals"/>
        </w:rPr>
        <w:t>net loss limit</w:t>
      </w:r>
      <w:r w:rsidRPr="006814CB">
        <w:t>, for part 7 (Casino gaming machines—pre</w:t>
      </w:r>
      <w:r w:rsidR="0026355C" w:rsidRPr="006814CB">
        <w:noBreakHyphen/>
      </w:r>
      <w:r w:rsidRPr="006814CB">
        <w:t xml:space="preserve">commitment system)—see section </w:t>
      </w:r>
      <w:r w:rsidR="002E0DF3" w:rsidRPr="006814CB">
        <w:t>30</w:t>
      </w:r>
      <w:r w:rsidRPr="006814CB">
        <w:t>.</w:t>
      </w:r>
    </w:p>
    <w:p w:rsidR="00913E4E" w:rsidRPr="006814CB" w:rsidRDefault="00B26C6E" w:rsidP="006814CB">
      <w:pPr>
        <w:pStyle w:val="aDef"/>
      </w:pPr>
      <w:r w:rsidRPr="006814CB">
        <w:rPr>
          <w:rStyle w:val="charBoldItals"/>
        </w:rPr>
        <w:t>notifiable action</w:t>
      </w:r>
      <w:r w:rsidRPr="006814CB">
        <w:t>—see section</w:t>
      </w:r>
      <w:r w:rsidR="00EC4DE1" w:rsidRPr="006814CB">
        <w:t xml:space="preserve"> </w:t>
      </w:r>
      <w:r w:rsidR="002E0DF3" w:rsidRPr="006814CB">
        <w:t>48</w:t>
      </w:r>
      <w:r w:rsidRPr="006814CB">
        <w:t>.</w:t>
      </w:r>
    </w:p>
    <w:p w:rsidR="006B27CB" w:rsidRPr="006814CB" w:rsidRDefault="006B27CB" w:rsidP="006814CB">
      <w:pPr>
        <w:pStyle w:val="aDef"/>
      </w:pPr>
      <w:r w:rsidRPr="006814CB">
        <w:rPr>
          <w:rStyle w:val="charBoldItals"/>
        </w:rPr>
        <w:t>PCS</w:t>
      </w:r>
      <w:r w:rsidRPr="006814CB">
        <w:t xml:space="preserve">—see </w:t>
      </w:r>
      <w:r w:rsidRPr="006814CB">
        <w:rPr>
          <w:rStyle w:val="charBoldItals"/>
        </w:rPr>
        <w:t>pre-commitment system</w:t>
      </w:r>
      <w:r w:rsidRPr="006814CB">
        <w:t>.</w:t>
      </w:r>
    </w:p>
    <w:p w:rsidR="001E5C56" w:rsidRPr="006814CB" w:rsidRDefault="001E5C56" w:rsidP="006814CB">
      <w:pPr>
        <w:pStyle w:val="aDef"/>
      </w:pPr>
      <w:r w:rsidRPr="006814CB">
        <w:rPr>
          <w:rStyle w:val="charBoldItals"/>
        </w:rPr>
        <w:t>playing period</w:t>
      </w:r>
      <w:r w:rsidRPr="006814CB">
        <w:t>, for part 7 (Casino gaming machines—pre</w:t>
      </w:r>
      <w:r w:rsidR="0026355C" w:rsidRPr="006814CB">
        <w:noBreakHyphen/>
      </w:r>
      <w:r w:rsidRPr="006814CB">
        <w:t xml:space="preserve">commitment system)—see section </w:t>
      </w:r>
      <w:r w:rsidR="002E0DF3" w:rsidRPr="006814CB">
        <w:t>30</w:t>
      </w:r>
      <w:r w:rsidRPr="006814CB">
        <w:t>.</w:t>
      </w:r>
    </w:p>
    <w:p w:rsidR="001E5C56" w:rsidRPr="006814CB" w:rsidRDefault="001E5C56" w:rsidP="006814CB">
      <w:pPr>
        <w:pStyle w:val="aDef"/>
      </w:pPr>
      <w:r w:rsidRPr="006814CB">
        <w:rPr>
          <w:rStyle w:val="charBoldItals"/>
        </w:rPr>
        <w:t>pre-commitment information</w:t>
      </w:r>
      <w:r w:rsidRPr="006814CB">
        <w:t xml:space="preserve">, for part 7 (Casino gaming machines—pre-commitment system)—see section </w:t>
      </w:r>
      <w:r w:rsidR="002E0DF3" w:rsidRPr="006814CB">
        <w:t>30</w:t>
      </w:r>
      <w:r w:rsidRPr="006814CB">
        <w:t>.</w:t>
      </w:r>
    </w:p>
    <w:p w:rsidR="00890CA8" w:rsidRPr="006814CB" w:rsidRDefault="00890CA8" w:rsidP="006814CB">
      <w:pPr>
        <w:pStyle w:val="aDef"/>
      </w:pPr>
      <w:r w:rsidRPr="006814CB">
        <w:rPr>
          <w:rStyle w:val="charBoldItals"/>
        </w:rPr>
        <w:t>pre-commitment system</w:t>
      </w:r>
      <w:r w:rsidRPr="006814CB">
        <w:t xml:space="preserve"> (or </w:t>
      </w:r>
      <w:r w:rsidRPr="006814CB">
        <w:rPr>
          <w:rStyle w:val="charBoldItals"/>
        </w:rPr>
        <w:t>PCS</w:t>
      </w:r>
      <w:r w:rsidRPr="006814CB">
        <w:t xml:space="preserve">), for part 7 (Casino gaming machines—pre-commitment system)—see section </w:t>
      </w:r>
      <w:r w:rsidR="002E0DF3" w:rsidRPr="006814CB">
        <w:t>31</w:t>
      </w:r>
      <w:r w:rsidRPr="006814CB">
        <w:t>.</w:t>
      </w:r>
    </w:p>
    <w:p w:rsidR="00DE040A" w:rsidRPr="006814CB" w:rsidRDefault="00DE040A" w:rsidP="006814CB">
      <w:pPr>
        <w:pStyle w:val="aDef"/>
      </w:pPr>
      <w:r w:rsidRPr="006814CB">
        <w:rPr>
          <w:rStyle w:val="charBoldItals"/>
        </w:rPr>
        <w:t>prescribed number of days</w:t>
      </w:r>
      <w:r w:rsidR="00B26C6E" w:rsidRPr="006814CB">
        <w:t>—see section</w:t>
      </w:r>
      <w:r w:rsidR="00EC4DE1" w:rsidRPr="006814CB">
        <w:t xml:space="preserve"> </w:t>
      </w:r>
      <w:r w:rsidR="002E0DF3" w:rsidRPr="006814CB">
        <w:t>48</w:t>
      </w:r>
      <w:r w:rsidR="00B26C6E" w:rsidRPr="006814CB">
        <w:t>.</w:t>
      </w:r>
    </w:p>
    <w:p w:rsidR="00DE040A" w:rsidRPr="006814CB" w:rsidRDefault="00DE040A" w:rsidP="006814CB">
      <w:pPr>
        <w:pStyle w:val="aDef"/>
      </w:pPr>
      <w:r w:rsidRPr="006814CB">
        <w:rPr>
          <w:rStyle w:val="charBoldItals"/>
        </w:rPr>
        <w:t>proposed gaming area</w:t>
      </w:r>
      <w:r w:rsidR="00B26C6E" w:rsidRPr="006814CB">
        <w:t xml:space="preserve">—see section </w:t>
      </w:r>
      <w:r w:rsidR="002E0DF3" w:rsidRPr="006814CB">
        <w:t>21</w:t>
      </w:r>
      <w:r w:rsidR="00B26C6E" w:rsidRPr="006814CB">
        <w:t xml:space="preserve"> (3) (b).</w:t>
      </w:r>
    </w:p>
    <w:p w:rsidR="008026D0" w:rsidRPr="006814CB" w:rsidRDefault="008026D0" w:rsidP="006814CB">
      <w:pPr>
        <w:pStyle w:val="aDef"/>
      </w:pPr>
      <w:r w:rsidRPr="006814CB">
        <w:rPr>
          <w:rStyle w:val="charBoldItals"/>
        </w:rPr>
        <w:t>restricted authorisation</w:t>
      </w:r>
      <w:r w:rsidRPr="006814CB">
        <w:t xml:space="preserve">, in relation to a </w:t>
      </w:r>
      <w:r w:rsidR="001B3431" w:rsidRPr="006814CB">
        <w:t>casino gaming machine authorisation certificate</w:t>
      </w:r>
      <w:r w:rsidR="00F85132" w:rsidRPr="006814CB">
        <w:t xml:space="preserve">—see section </w:t>
      </w:r>
      <w:r w:rsidR="002E0DF3" w:rsidRPr="006814CB">
        <w:t>20</w:t>
      </w:r>
      <w:r w:rsidRPr="006814CB">
        <w:t xml:space="preserve">. </w:t>
      </w:r>
    </w:p>
    <w:p w:rsidR="00D40DE4" w:rsidRPr="006814CB" w:rsidRDefault="00D40DE4" w:rsidP="006814CB">
      <w:pPr>
        <w:pStyle w:val="aDef"/>
      </w:pPr>
      <w:r w:rsidRPr="006814CB">
        <w:rPr>
          <w:rStyle w:val="charBoldItals"/>
        </w:rPr>
        <w:t>small or medium club</w:t>
      </w:r>
      <w:r w:rsidRPr="006814CB">
        <w:rPr>
          <w:b/>
        </w:rPr>
        <w:t>—</w:t>
      </w:r>
      <w:r w:rsidRPr="006814CB">
        <w:t xml:space="preserve">see the </w:t>
      </w:r>
      <w:hyperlink r:id="rId108" w:tooltip="A2004-34" w:history="1">
        <w:r w:rsidR="00253379" w:rsidRPr="006814CB">
          <w:rPr>
            <w:rStyle w:val="charCitHyperlinkItal"/>
          </w:rPr>
          <w:t>Gaming Machine Act 2004</w:t>
        </w:r>
      </w:hyperlink>
      <w:r w:rsidRPr="006814CB">
        <w:t xml:space="preserve">, </w:t>
      </w:r>
      <w:r w:rsidR="00B26C6E" w:rsidRPr="006814CB">
        <w:t>dictionary</w:t>
      </w:r>
      <w:r w:rsidRPr="006814CB">
        <w:t>.</w:t>
      </w:r>
    </w:p>
    <w:p w:rsidR="00D40DE4" w:rsidRPr="006814CB" w:rsidRDefault="00D40DE4" w:rsidP="006814CB">
      <w:pPr>
        <w:pStyle w:val="aDef"/>
      </w:pPr>
      <w:r w:rsidRPr="006814CB">
        <w:rPr>
          <w:rStyle w:val="charBoldItals"/>
        </w:rPr>
        <w:t>small or medium club group</w:t>
      </w:r>
      <w:r w:rsidRPr="006814CB">
        <w:rPr>
          <w:b/>
        </w:rPr>
        <w:t>—</w:t>
      </w:r>
      <w:r w:rsidRPr="006814CB">
        <w:t xml:space="preserve">see the </w:t>
      </w:r>
      <w:hyperlink r:id="rId109" w:tooltip="A2004-34" w:history="1">
        <w:r w:rsidR="00253379" w:rsidRPr="006814CB">
          <w:rPr>
            <w:rStyle w:val="charCitHyperlinkItal"/>
          </w:rPr>
          <w:t>Gaming Machine Act 2004</w:t>
        </w:r>
      </w:hyperlink>
      <w:r w:rsidRPr="006814CB">
        <w:t xml:space="preserve">, </w:t>
      </w:r>
      <w:r w:rsidR="00B26C6E" w:rsidRPr="006814CB">
        <w:t>dictionary</w:t>
      </w:r>
      <w:r w:rsidRPr="006814CB">
        <w:t>.</w:t>
      </w:r>
    </w:p>
    <w:p w:rsidR="00D40DE4" w:rsidRPr="006814CB" w:rsidRDefault="00B26C6E" w:rsidP="006814CB">
      <w:pPr>
        <w:pStyle w:val="aDef"/>
      </w:pPr>
      <w:r w:rsidRPr="006814CB">
        <w:rPr>
          <w:rStyle w:val="charBoldItals"/>
        </w:rPr>
        <w:t>social impact statement</w:t>
      </w:r>
      <w:r w:rsidRPr="006814CB">
        <w:t xml:space="preserve">—see section </w:t>
      </w:r>
      <w:r w:rsidR="002E0DF3" w:rsidRPr="006814CB">
        <w:t>8</w:t>
      </w:r>
      <w:r w:rsidRPr="006814CB">
        <w:t>.</w:t>
      </w:r>
    </w:p>
    <w:p w:rsidR="006814CB" w:rsidRDefault="006814CB">
      <w:pPr>
        <w:pStyle w:val="04Dictionary"/>
        <w:sectPr w:rsidR="006814CB" w:rsidSect="003D7E21">
          <w:headerReference w:type="even" r:id="rId110"/>
          <w:headerReference w:type="default" r:id="rId111"/>
          <w:footerReference w:type="even" r:id="rId112"/>
          <w:footerReference w:type="default" r:id="rId113"/>
          <w:type w:val="continuous"/>
          <w:pgSz w:w="11907" w:h="16839" w:code="9"/>
          <w:pgMar w:top="3000" w:right="1900" w:bottom="2500" w:left="2300" w:header="2480" w:footer="2100" w:gutter="0"/>
          <w:cols w:space="720"/>
          <w:docGrid w:linePitch="326"/>
        </w:sectPr>
      </w:pPr>
    </w:p>
    <w:p w:rsidR="007B112E" w:rsidRDefault="007B112E">
      <w:pPr>
        <w:pStyle w:val="Endnote1"/>
      </w:pPr>
      <w:bookmarkStart w:id="86" w:name="_Toc516729816"/>
      <w:r>
        <w:t>Endnotes</w:t>
      </w:r>
      <w:bookmarkEnd w:id="86"/>
    </w:p>
    <w:p w:rsidR="007B112E" w:rsidRPr="00951C4D" w:rsidRDefault="007B112E">
      <w:pPr>
        <w:pStyle w:val="Endnote20"/>
      </w:pPr>
      <w:bookmarkStart w:id="87" w:name="_Toc516729817"/>
      <w:r w:rsidRPr="00951C4D">
        <w:rPr>
          <w:rStyle w:val="charTableNo"/>
        </w:rPr>
        <w:t>1</w:t>
      </w:r>
      <w:r>
        <w:tab/>
      </w:r>
      <w:r w:rsidRPr="00951C4D">
        <w:rPr>
          <w:rStyle w:val="charTableText"/>
        </w:rPr>
        <w:t>About the endnotes</w:t>
      </w:r>
      <w:bookmarkEnd w:id="87"/>
    </w:p>
    <w:p w:rsidR="007B112E" w:rsidRDefault="007B112E">
      <w:pPr>
        <w:pStyle w:val="EndNoteTextPub"/>
      </w:pPr>
      <w:r>
        <w:t>Amending and modifying laws are annotated in the legislation history and the amendment history.  Current modifications are not included in the republished law but are set out in the endnotes.</w:t>
      </w:r>
    </w:p>
    <w:p w:rsidR="007B112E" w:rsidRDefault="007B112E">
      <w:pPr>
        <w:pStyle w:val="EndNoteTextPub"/>
      </w:pPr>
      <w:r>
        <w:t xml:space="preserve">Not all editorial amendments made under the </w:t>
      </w:r>
      <w:hyperlink r:id="rId114" w:tooltip="A2001-14" w:history="1">
        <w:r w:rsidR="008D4B19" w:rsidRPr="008D4B19">
          <w:rPr>
            <w:rStyle w:val="charCitHyperlinkItal"/>
          </w:rPr>
          <w:t>Legislation Act 2001</w:t>
        </w:r>
      </w:hyperlink>
      <w:r>
        <w:t>, part 11.3 are annotated in the amendment history.  Full details of any amendments can be obtained from the Parliamentary Counsel’s Office.</w:t>
      </w:r>
    </w:p>
    <w:p w:rsidR="007B112E" w:rsidRDefault="007B112E" w:rsidP="007B112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B112E" w:rsidRDefault="007B112E">
      <w:pPr>
        <w:pStyle w:val="EndNoteTextPub"/>
      </w:pPr>
      <w:r>
        <w:t xml:space="preserve">If all the provisions of the law have been renumbered, a table of renumbered provisions gives details of previous and current numbering.  </w:t>
      </w:r>
    </w:p>
    <w:p w:rsidR="007B112E" w:rsidRDefault="007B112E">
      <w:pPr>
        <w:pStyle w:val="EndNoteTextPub"/>
      </w:pPr>
      <w:r>
        <w:t>The endnotes also include a table of earlier republications.</w:t>
      </w:r>
    </w:p>
    <w:p w:rsidR="007B112E" w:rsidRPr="00951C4D" w:rsidRDefault="007B112E">
      <w:pPr>
        <w:pStyle w:val="Endnote20"/>
      </w:pPr>
      <w:bookmarkStart w:id="88" w:name="_Toc516729818"/>
      <w:r w:rsidRPr="00951C4D">
        <w:rPr>
          <w:rStyle w:val="charTableNo"/>
        </w:rPr>
        <w:t>2</w:t>
      </w:r>
      <w:r>
        <w:tab/>
      </w:r>
      <w:r w:rsidRPr="00951C4D">
        <w:rPr>
          <w:rStyle w:val="charTableText"/>
        </w:rPr>
        <w:t>Abbreviation key</w:t>
      </w:r>
      <w:bookmarkEnd w:id="88"/>
    </w:p>
    <w:p w:rsidR="007B112E" w:rsidRDefault="007B112E">
      <w:pPr>
        <w:rPr>
          <w:sz w:val="4"/>
        </w:rPr>
      </w:pPr>
    </w:p>
    <w:tbl>
      <w:tblPr>
        <w:tblW w:w="7372" w:type="dxa"/>
        <w:tblInd w:w="1100" w:type="dxa"/>
        <w:tblLayout w:type="fixed"/>
        <w:tblLook w:val="0000" w:firstRow="0" w:lastRow="0" w:firstColumn="0" w:lastColumn="0" w:noHBand="0" w:noVBand="0"/>
      </w:tblPr>
      <w:tblGrid>
        <w:gridCol w:w="3720"/>
        <w:gridCol w:w="3652"/>
      </w:tblGrid>
      <w:tr w:rsidR="007B112E" w:rsidTr="007B112E">
        <w:tc>
          <w:tcPr>
            <w:tcW w:w="3720" w:type="dxa"/>
          </w:tcPr>
          <w:p w:rsidR="007B112E" w:rsidRDefault="007B112E">
            <w:pPr>
              <w:pStyle w:val="EndnotesAbbrev"/>
            </w:pPr>
            <w:r>
              <w:t>A = Act</w:t>
            </w:r>
          </w:p>
        </w:tc>
        <w:tc>
          <w:tcPr>
            <w:tcW w:w="3652" w:type="dxa"/>
          </w:tcPr>
          <w:p w:rsidR="007B112E" w:rsidRDefault="007B112E" w:rsidP="007B112E">
            <w:pPr>
              <w:pStyle w:val="EndnotesAbbrev"/>
            </w:pPr>
            <w:r>
              <w:t>NI = Notifiable instrument</w:t>
            </w:r>
          </w:p>
        </w:tc>
      </w:tr>
      <w:tr w:rsidR="007B112E" w:rsidTr="007B112E">
        <w:tc>
          <w:tcPr>
            <w:tcW w:w="3720" w:type="dxa"/>
          </w:tcPr>
          <w:p w:rsidR="007B112E" w:rsidRDefault="007B112E" w:rsidP="007B112E">
            <w:pPr>
              <w:pStyle w:val="EndnotesAbbrev"/>
            </w:pPr>
            <w:r>
              <w:t>AF = Approved form</w:t>
            </w:r>
          </w:p>
        </w:tc>
        <w:tc>
          <w:tcPr>
            <w:tcW w:w="3652" w:type="dxa"/>
          </w:tcPr>
          <w:p w:rsidR="007B112E" w:rsidRDefault="007B112E" w:rsidP="007B112E">
            <w:pPr>
              <w:pStyle w:val="EndnotesAbbrev"/>
            </w:pPr>
            <w:r>
              <w:t>o = order</w:t>
            </w:r>
          </w:p>
        </w:tc>
      </w:tr>
      <w:tr w:rsidR="007B112E" w:rsidTr="007B112E">
        <w:tc>
          <w:tcPr>
            <w:tcW w:w="3720" w:type="dxa"/>
          </w:tcPr>
          <w:p w:rsidR="007B112E" w:rsidRDefault="007B112E">
            <w:pPr>
              <w:pStyle w:val="EndnotesAbbrev"/>
            </w:pPr>
            <w:r>
              <w:t>am = amended</w:t>
            </w:r>
          </w:p>
        </w:tc>
        <w:tc>
          <w:tcPr>
            <w:tcW w:w="3652" w:type="dxa"/>
          </w:tcPr>
          <w:p w:rsidR="007B112E" w:rsidRDefault="007B112E" w:rsidP="007B112E">
            <w:pPr>
              <w:pStyle w:val="EndnotesAbbrev"/>
            </w:pPr>
            <w:r>
              <w:t>om = omitted/repealed</w:t>
            </w:r>
          </w:p>
        </w:tc>
      </w:tr>
      <w:tr w:rsidR="007B112E" w:rsidTr="007B112E">
        <w:tc>
          <w:tcPr>
            <w:tcW w:w="3720" w:type="dxa"/>
          </w:tcPr>
          <w:p w:rsidR="007B112E" w:rsidRDefault="007B112E">
            <w:pPr>
              <w:pStyle w:val="EndnotesAbbrev"/>
            </w:pPr>
            <w:r>
              <w:t>amdt = amendment</w:t>
            </w:r>
          </w:p>
        </w:tc>
        <w:tc>
          <w:tcPr>
            <w:tcW w:w="3652" w:type="dxa"/>
          </w:tcPr>
          <w:p w:rsidR="007B112E" w:rsidRDefault="007B112E" w:rsidP="007B112E">
            <w:pPr>
              <w:pStyle w:val="EndnotesAbbrev"/>
            </w:pPr>
            <w:r>
              <w:t>ord = ordinance</w:t>
            </w:r>
          </w:p>
        </w:tc>
      </w:tr>
      <w:tr w:rsidR="007B112E" w:rsidTr="007B112E">
        <w:tc>
          <w:tcPr>
            <w:tcW w:w="3720" w:type="dxa"/>
          </w:tcPr>
          <w:p w:rsidR="007B112E" w:rsidRDefault="007B112E">
            <w:pPr>
              <w:pStyle w:val="EndnotesAbbrev"/>
            </w:pPr>
            <w:r>
              <w:t>AR = Assembly resolution</w:t>
            </w:r>
          </w:p>
        </w:tc>
        <w:tc>
          <w:tcPr>
            <w:tcW w:w="3652" w:type="dxa"/>
          </w:tcPr>
          <w:p w:rsidR="007B112E" w:rsidRDefault="007B112E" w:rsidP="007B112E">
            <w:pPr>
              <w:pStyle w:val="EndnotesAbbrev"/>
            </w:pPr>
            <w:r>
              <w:t>orig = original</w:t>
            </w:r>
          </w:p>
        </w:tc>
      </w:tr>
      <w:tr w:rsidR="007B112E" w:rsidTr="007B112E">
        <w:tc>
          <w:tcPr>
            <w:tcW w:w="3720" w:type="dxa"/>
          </w:tcPr>
          <w:p w:rsidR="007B112E" w:rsidRDefault="007B112E">
            <w:pPr>
              <w:pStyle w:val="EndnotesAbbrev"/>
            </w:pPr>
            <w:r>
              <w:t>ch = chapter</w:t>
            </w:r>
          </w:p>
        </w:tc>
        <w:tc>
          <w:tcPr>
            <w:tcW w:w="3652" w:type="dxa"/>
          </w:tcPr>
          <w:p w:rsidR="007B112E" w:rsidRDefault="007B112E" w:rsidP="007B112E">
            <w:pPr>
              <w:pStyle w:val="EndnotesAbbrev"/>
            </w:pPr>
            <w:r>
              <w:t>par = paragraph/subparagraph</w:t>
            </w:r>
          </w:p>
        </w:tc>
      </w:tr>
      <w:tr w:rsidR="007B112E" w:rsidTr="007B112E">
        <w:tc>
          <w:tcPr>
            <w:tcW w:w="3720" w:type="dxa"/>
          </w:tcPr>
          <w:p w:rsidR="007B112E" w:rsidRDefault="007B112E">
            <w:pPr>
              <w:pStyle w:val="EndnotesAbbrev"/>
            </w:pPr>
            <w:r>
              <w:t>CN = Commencement notice</w:t>
            </w:r>
          </w:p>
        </w:tc>
        <w:tc>
          <w:tcPr>
            <w:tcW w:w="3652" w:type="dxa"/>
          </w:tcPr>
          <w:p w:rsidR="007B112E" w:rsidRDefault="007B112E" w:rsidP="007B112E">
            <w:pPr>
              <w:pStyle w:val="EndnotesAbbrev"/>
            </w:pPr>
            <w:r>
              <w:t>pres = present</w:t>
            </w:r>
          </w:p>
        </w:tc>
      </w:tr>
      <w:tr w:rsidR="007B112E" w:rsidTr="007B112E">
        <w:tc>
          <w:tcPr>
            <w:tcW w:w="3720" w:type="dxa"/>
          </w:tcPr>
          <w:p w:rsidR="007B112E" w:rsidRDefault="007B112E">
            <w:pPr>
              <w:pStyle w:val="EndnotesAbbrev"/>
            </w:pPr>
            <w:r>
              <w:t>def = definition</w:t>
            </w:r>
          </w:p>
        </w:tc>
        <w:tc>
          <w:tcPr>
            <w:tcW w:w="3652" w:type="dxa"/>
          </w:tcPr>
          <w:p w:rsidR="007B112E" w:rsidRDefault="007B112E" w:rsidP="007B112E">
            <w:pPr>
              <w:pStyle w:val="EndnotesAbbrev"/>
            </w:pPr>
            <w:r>
              <w:t>prev = previous</w:t>
            </w:r>
          </w:p>
        </w:tc>
      </w:tr>
      <w:tr w:rsidR="007B112E" w:rsidTr="007B112E">
        <w:tc>
          <w:tcPr>
            <w:tcW w:w="3720" w:type="dxa"/>
          </w:tcPr>
          <w:p w:rsidR="007B112E" w:rsidRDefault="007B112E">
            <w:pPr>
              <w:pStyle w:val="EndnotesAbbrev"/>
            </w:pPr>
            <w:r>
              <w:t>DI = Disallowable instrument</w:t>
            </w:r>
          </w:p>
        </w:tc>
        <w:tc>
          <w:tcPr>
            <w:tcW w:w="3652" w:type="dxa"/>
          </w:tcPr>
          <w:p w:rsidR="007B112E" w:rsidRDefault="007B112E" w:rsidP="007B112E">
            <w:pPr>
              <w:pStyle w:val="EndnotesAbbrev"/>
            </w:pPr>
            <w:r>
              <w:t>(prev...) = previously</w:t>
            </w:r>
          </w:p>
        </w:tc>
      </w:tr>
      <w:tr w:rsidR="007B112E" w:rsidTr="007B112E">
        <w:tc>
          <w:tcPr>
            <w:tcW w:w="3720" w:type="dxa"/>
          </w:tcPr>
          <w:p w:rsidR="007B112E" w:rsidRDefault="007B112E">
            <w:pPr>
              <w:pStyle w:val="EndnotesAbbrev"/>
            </w:pPr>
            <w:r>
              <w:t>dict = dictionary</w:t>
            </w:r>
          </w:p>
        </w:tc>
        <w:tc>
          <w:tcPr>
            <w:tcW w:w="3652" w:type="dxa"/>
          </w:tcPr>
          <w:p w:rsidR="007B112E" w:rsidRDefault="007B112E" w:rsidP="007B112E">
            <w:pPr>
              <w:pStyle w:val="EndnotesAbbrev"/>
            </w:pPr>
            <w:r>
              <w:t>pt = part</w:t>
            </w:r>
          </w:p>
        </w:tc>
      </w:tr>
      <w:tr w:rsidR="007B112E" w:rsidTr="007B112E">
        <w:tc>
          <w:tcPr>
            <w:tcW w:w="3720" w:type="dxa"/>
          </w:tcPr>
          <w:p w:rsidR="007B112E" w:rsidRDefault="007B112E">
            <w:pPr>
              <w:pStyle w:val="EndnotesAbbrev"/>
            </w:pPr>
            <w:r>
              <w:t xml:space="preserve">disallowed = disallowed by the Legislative </w:t>
            </w:r>
          </w:p>
        </w:tc>
        <w:tc>
          <w:tcPr>
            <w:tcW w:w="3652" w:type="dxa"/>
          </w:tcPr>
          <w:p w:rsidR="007B112E" w:rsidRDefault="007B112E" w:rsidP="007B112E">
            <w:pPr>
              <w:pStyle w:val="EndnotesAbbrev"/>
            </w:pPr>
            <w:r>
              <w:t>r = rule/subrule</w:t>
            </w:r>
          </w:p>
        </w:tc>
      </w:tr>
      <w:tr w:rsidR="007B112E" w:rsidTr="007B112E">
        <w:tc>
          <w:tcPr>
            <w:tcW w:w="3720" w:type="dxa"/>
          </w:tcPr>
          <w:p w:rsidR="007B112E" w:rsidRDefault="007B112E">
            <w:pPr>
              <w:pStyle w:val="EndnotesAbbrev"/>
              <w:ind w:left="972"/>
            </w:pPr>
            <w:r>
              <w:t>Assembly</w:t>
            </w:r>
          </w:p>
        </w:tc>
        <w:tc>
          <w:tcPr>
            <w:tcW w:w="3652" w:type="dxa"/>
          </w:tcPr>
          <w:p w:rsidR="007B112E" w:rsidRDefault="007B112E" w:rsidP="007B112E">
            <w:pPr>
              <w:pStyle w:val="EndnotesAbbrev"/>
            </w:pPr>
            <w:r>
              <w:t>reloc = relocated</w:t>
            </w:r>
          </w:p>
        </w:tc>
      </w:tr>
      <w:tr w:rsidR="007B112E" w:rsidTr="007B112E">
        <w:tc>
          <w:tcPr>
            <w:tcW w:w="3720" w:type="dxa"/>
          </w:tcPr>
          <w:p w:rsidR="007B112E" w:rsidRDefault="007B112E">
            <w:pPr>
              <w:pStyle w:val="EndnotesAbbrev"/>
            </w:pPr>
            <w:r>
              <w:t>div = division</w:t>
            </w:r>
          </w:p>
        </w:tc>
        <w:tc>
          <w:tcPr>
            <w:tcW w:w="3652" w:type="dxa"/>
          </w:tcPr>
          <w:p w:rsidR="007B112E" w:rsidRDefault="007B112E" w:rsidP="007B112E">
            <w:pPr>
              <w:pStyle w:val="EndnotesAbbrev"/>
            </w:pPr>
            <w:r>
              <w:t>renum = renumbered</w:t>
            </w:r>
          </w:p>
        </w:tc>
      </w:tr>
      <w:tr w:rsidR="007B112E" w:rsidTr="007B112E">
        <w:tc>
          <w:tcPr>
            <w:tcW w:w="3720" w:type="dxa"/>
          </w:tcPr>
          <w:p w:rsidR="007B112E" w:rsidRDefault="007B112E">
            <w:pPr>
              <w:pStyle w:val="EndnotesAbbrev"/>
            </w:pPr>
            <w:r>
              <w:t>exp = expires/expired</w:t>
            </w:r>
          </w:p>
        </w:tc>
        <w:tc>
          <w:tcPr>
            <w:tcW w:w="3652" w:type="dxa"/>
          </w:tcPr>
          <w:p w:rsidR="007B112E" w:rsidRDefault="007B112E" w:rsidP="007B112E">
            <w:pPr>
              <w:pStyle w:val="EndnotesAbbrev"/>
            </w:pPr>
            <w:r>
              <w:t>R[X] = Republication No</w:t>
            </w:r>
          </w:p>
        </w:tc>
      </w:tr>
      <w:tr w:rsidR="007B112E" w:rsidTr="007B112E">
        <w:tc>
          <w:tcPr>
            <w:tcW w:w="3720" w:type="dxa"/>
          </w:tcPr>
          <w:p w:rsidR="007B112E" w:rsidRDefault="007B112E">
            <w:pPr>
              <w:pStyle w:val="EndnotesAbbrev"/>
            </w:pPr>
            <w:r>
              <w:t>Gaz = gazette</w:t>
            </w:r>
          </w:p>
        </w:tc>
        <w:tc>
          <w:tcPr>
            <w:tcW w:w="3652" w:type="dxa"/>
          </w:tcPr>
          <w:p w:rsidR="007B112E" w:rsidRDefault="007B112E" w:rsidP="007B112E">
            <w:pPr>
              <w:pStyle w:val="EndnotesAbbrev"/>
            </w:pPr>
            <w:r>
              <w:t>RI = reissue</w:t>
            </w:r>
          </w:p>
        </w:tc>
      </w:tr>
      <w:tr w:rsidR="007B112E" w:rsidTr="007B112E">
        <w:tc>
          <w:tcPr>
            <w:tcW w:w="3720" w:type="dxa"/>
          </w:tcPr>
          <w:p w:rsidR="007B112E" w:rsidRDefault="007B112E">
            <w:pPr>
              <w:pStyle w:val="EndnotesAbbrev"/>
            </w:pPr>
            <w:r>
              <w:t>hdg = heading</w:t>
            </w:r>
          </w:p>
        </w:tc>
        <w:tc>
          <w:tcPr>
            <w:tcW w:w="3652" w:type="dxa"/>
          </w:tcPr>
          <w:p w:rsidR="007B112E" w:rsidRDefault="007B112E" w:rsidP="007B112E">
            <w:pPr>
              <w:pStyle w:val="EndnotesAbbrev"/>
            </w:pPr>
            <w:r>
              <w:t>s = section/subsection</w:t>
            </w:r>
          </w:p>
        </w:tc>
      </w:tr>
      <w:tr w:rsidR="007B112E" w:rsidTr="007B112E">
        <w:tc>
          <w:tcPr>
            <w:tcW w:w="3720" w:type="dxa"/>
          </w:tcPr>
          <w:p w:rsidR="007B112E" w:rsidRDefault="007B112E">
            <w:pPr>
              <w:pStyle w:val="EndnotesAbbrev"/>
            </w:pPr>
            <w:r>
              <w:t>IA = Interpretation Act 1967</w:t>
            </w:r>
          </w:p>
        </w:tc>
        <w:tc>
          <w:tcPr>
            <w:tcW w:w="3652" w:type="dxa"/>
          </w:tcPr>
          <w:p w:rsidR="007B112E" w:rsidRDefault="007B112E" w:rsidP="007B112E">
            <w:pPr>
              <w:pStyle w:val="EndnotesAbbrev"/>
            </w:pPr>
            <w:r>
              <w:t>sch = schedule</w:t>
            </w:r>
          </w:p>
        </w:tc>
      </w:tr>
      <w:tr w:rsidR="007B112E" w:rsidTr="007B112E">
        <w:tc>
          <w:tcPr>
            <w:tcW w:w="3720" w:type="dxa"/>
          </w:tcPr>
          <w:p w:rsidR="007B112E" w:rsidRDefault="007B112E">
            <w:pPr>
              <w:pStyle w:val="EndnotesAbbrev"/>
            </w:pPr>
            <w:r>
              <w:t>ins = inserted/added</w:t>
            </w:r>
          </w:p>
        </w:tc>
        <w:tc>
          <w:tcPr>
            <w:tcW w:w="3652" w:type="dxa"/>
          </w:tcPr>
          <w:p w:rsidR="007B112E" w:rsidRDefault="007B112E" w:rsidP="007B112E">
            <w:pPr>
              <w:pStyle w:val="EndnotesAbbrev"/>
            </w:pPr>
            <w:r>
              <w:t>sdiv = subdivision</w:t>
            </w:r>
          </w:p>
        </w:tc>
      </w:tr>
      <w:tr w:rsidR="007B112E" w:rsidTr="007B112E">
        <w:tc>
          <w:tcPr>
            <w:tcW w:w="3720" w:type="dxa"/>
          </w:tcPr>
          <w:p w:rsidR="007B112E" w:rsidRDefault="007B112E">
            <w:pPr>
              <w:pStyle w:val="EndnotesAbbrev"/>
            </w:pPr>
            <w:r>
              <w:t>LA = Legislation Act 2001</w:t>
            </w:r>
          </w:p>
        </w:tc>
        <w:tc>
          <w:tcPr>
            <w:tcW w:w="3652" w:type="dxa"/>
          </w:tcPr>
          <w:p w:rsidR="007B112E" w:rsidRDefault="007B112E" w:rsidP="007B112E">
            <w:pPr>
              <w:pStyle w:val="EndnotesAbbrev"/>
            </w:pPr>
            <w:r>
              <w:t>SL = Subordinate law</w:t>
            </w:r>
          </w:p>
        </w:tc>
      </w:tr>
      <w:tr w:rsidR="007B112E" w:rsidTr="007B112E">
        <w:tc>
          <w:tcPr>
            <w:tcW w:w="3720" w:type="dxa"/>
          </w:tcPr>
          <w:p w:rsidR="007B112E" w:rsidRDefault="007B112E">
            <w:pPr>
              <w:pStyle w:val="EndnotesAbbrev"/>
            </w:pPr>
            <w:r>
              <w:t>LR = legislation register</w:t>
            </w:r>
          </w:p>
        </w:tc>
        <w:tc>
          <w:tcPr>
            <w:tcW w:w="3652" w:type="dxa"/>
          </w:tcPr>
          <w:p w:rsidR="007B112E" w:rsidRDefault="007B112E" w:rsidP="007B112E">
            <w:pPr>
              <w:pStyle w:val="EndnotesAbbrev"/>
            </w:pPr>
            <w:r>
              <w:t>sub = substituted</w:t>
            </w:r>
          </w:p>
        </w:tc>
      </w:tr>
      <w:tr w:rsidR="007B112E" w:rsidTr="007B112E">
        <w:tc>
          <w:tcPr>
            <w:tcW w:w="3720" w:type="dxa"/>
          </w:tcPr>
          <w:p w:rsidR="007B112E" w:rsidRDefault="007B112E">
            <w:pPr>
              <w:pStyle w:val="EndnotesAbbrev"/>
            </w:pPr>
            <w:r>
              <w:t>LRA = Legislation (Republication) Act 1996</w:t>
            </w:r>
          </w:p>
        </w:tc>
        <w:tc>
          <w:tcPr>
            <w:tcW w:w="3652" w:type="dxa"/>
          </w:tcPr>
          <w:p w:rsidR="007B112E" w:rsidRDefault="007B112E" w:rsidP="007B112E">
            <w:pPr>
              <w:pStyle w:val="EndnotesAbbrev"/>
            </w:pPr>
            <w:r>
              <w:rPr>
                <w:u w:val="single"/>
              </w:rPr>
              <w:t>underlining</w:t>
            </w:r>
            <w:r>
              <w:t xml:space="preserve"> = whole or part not commenced</w:t>
            </w:r>
          </w:p>
        </w:tc>
      </w:tr>
      <w:tr w:rsidR="007B112E" w:rsidTr="007B112E">
        <w:tc>
          <w:tcPr>
            <w:tcW w:w="3720" w:type="dxa"/>
          </w:tcPr>
          <w:p w:rsidR="007B112E" w:rsidRDefault="007B112E">
            <w:pPr>
              <w:pStyle w:val="EndnotesAbbrev"/>
            </w:pPr>
            <w:r>
              <w:t>mod = modified/modification</w:t>
            </w:r>
          </w:p>
        </w:tc>
        <w:tc>
          <w:tcPr>
            <w:tcW w:w="3652" w:type="dxa"/>
          </w:tcPr>
          <w:p w:rsidR="007B112E" w:rsidRDefault="007B112E" w:rsidP="007B112E">
            <w:pPr>
              <w:pStyle w:val="EndnotesAbbrev"/>
              <w:ind w:left="1073"/>
            </w:pPr>
            <w:r>
              <w:t>or to be expired</w:t>
            </w:r>
          </w:p>
        </w:tc>
      </w:tr>
    </w:tbl>
    <w:p w:rsidR="007B112E" w:rsidRPr="0047411E" w:rsidRDefault="007B112E" w:rsidP="007B112E">
      <w:pPr>
        <w:pStyle w:val="PageBreak"/>
      </w:pPr>
      <w:r w:rsidRPr="0047411E">
        <w:br w:type="page"/>
      </w:r>
    </w:p>
    <w:p w:rsidR="007B112E" w:rsidRPr="00951C4D" w:rsidRDefault="007B112E">
      <w:pPr>
        <w:pStyle w:val="Endnote20"/>
      </w:pPr>
      <w:bookmarkStart w:id="89" w:name="_Toc516729819"/>
      <w:r w:rsidRPr="00951C4D">
        <w:rPr>
          <w:rStyle w:val="charTableNo"/>
        </w:rPr>
        <w:t>3</w:t>
      </w:r>
      <w:r>
        <w:tab/>
      </w:r>
      <w:r w:rsidRPr="00951C4D">
        <w:rPr>
          <w:rStyle w:val="charTableText"/>
        </w:rPr>
        <w:t>Legislation history</w:t>
      </w:r>
      <w:bookmarkEnd w:id="89"/>
    </w:p>
    <w:p w:rsidR="00954FA9" w:rsidRDefault="00954FA9" w:rsidP="00954FA9">
      <w:pPr>
        <w:pStyle w:val="NewAct"/>
      </w:pPr>
      <w:r w:rsidRPr="00954FA9">
        <w:t>Casino (Electronic Gaming) Act 2017</w:t>
      </w:r>
      <w:r>
        <w:t xml:space="preserve"> A2017-42</w:t>
      </w:r>
    </w:p>
    <w:p w:rsidR="00954FA9" w:rsidRDefault="00954FA9" w:rsidP="00954FA9">
      <w:pPr>
        <w:pStyle w:val="Actdetails"/>
        <w:keepNext/>
      </w:pPr>
      <w:r>
        <w:t>notified LR 13 November 2017</w:t>
      </w:r>
    </w:p>
    <w:p w:rsidR="00954FA9" w:rsidRDefault="00954FA9" w:rsidP="00954FA9">
      <w:pPr>
        <w:pStyle w:val="Actdetails"/>
        <w:keepNext/>
      </w:pPr>
      <w:r>
        <w:t>s 1, s 2 commenced 13 November 2017 (LA s 75 (1))</w:t>
      </w:r>
    </w:p>
    <w:p w:rsidR="001850D7" w:rsidRPr="00DC17A2" w:rsidRDefault="001850D7" w:rsidP="00954FA9">
      <w:pPr>
        <w:pStyle w:val="Actdetails"/>
        <w:keepNext/>
        <w:rPr>
          <w:u w:val="single"/>
        </w:rPr>
      </w:pPr>
      <w:r w:rsidRPr="00DC17A2">
        <w:rPr>
          <w:u w:val="single"/>
        </w:rPr>
        <w:t>sch 4 awaiting commencement</w:t>
      </w:r>
    </w:p>
    <w:p w:rsidR="00954FA9" w:rsidRDefault="00954FA9" w:rsidP="00954FA9">
      <w:pPr>
        <w:pStyle w:val="Actdetails"/>
      </w:pPr>
      <w:r>
        <w:t xml:space="preserve">remainder commenced </w:t>
      </w:r>
      <w:r w:rsidR="00DC17A2">
        <w:t>13 May 2018</w:t>
      </w:r>
      <w:r>
        <w:t xml:space="preserve"> (s 2</w:t>
      </w:r>
      <w:r w:rsidR="001C18D4">
        <w:t xml:space="preserve"> (1)</w:t>
      </w:r>
      <w:r w:rsidR="00DC17A2">
        <w:t xml:space="preserve"> and LA s 79</w:t>
      </w:r>
      <w:r>
        <w:t>)</w:t>
      </w:r>
    </w:p>
    <w:p w:rsidR="001918A3" w:rsidRDefault="001918A3">
      <w:pPr>
        <w:pStyle w:val="Asamby"/>
      </w:pPr>
      <w:r>
        <w:t>as amended by</w:t>
      </w:r>
    </w:p>
    <w:p w:rsidR="001918A3" w:rsidRPr="00935D4E" w:rsidRDefault="00A66D89" w:rsidP="001918A3">
      <w:pPr>
        <w:pStyle w:val="NewAct"/>
      </w:pPr>
      <w:hyperlink r:id="rId115" w:tooltip="A2018-21" w:history="1">
        <w:r w:rsidR="001918A3">
          <w:rPr>
            <w:rStyle w:val="charCitHyperlinkAbbrev"/>
          </w:rPr>
          <w:t>Casino and Other Gaming Legislation Amendment Act 2018</w:t>
        </w:r>
      </w:hyperlink>
      <w:r w:rsidR="001918A3">
        <w:t xml:space="preserve"> A2018-21 pt </w:t>
      </w:r>
      <w:r w:rsidR="006D45A0">
        <w:t>3</w:t>
      </w:r>
    </w:p>
    <w:p w:rsidR="001918A3" w:rsidRDefault="001918A3" w:rsidP="001918A3">
      <w:pPr>
        <w:pStyle w:val="Actdetails"/>
      </w:pPr>
      <w:r>
        <w:t>notified LR 14 June 2018</w:t>
      </w:r>
    </w:p>
    <w:p w:rsidR="001918A3" w:rsidRDefault="001918A3" w:rsidP="001918A3">
      <w:pPr>
        <w:pStyle w:val="Actdetails"/>
      </w:pPr>
      <w:r>
        <w:t>s 1, s 2 commenced 14 June 2018 (LA s 75 (1))</w:t>
      </w:r>
    </w:p>
    <w:p w:rsidR="001918A3" w:rsidRDefault="001918A3" w:rsidP="001918A3">
      <w:pPr>
        <w:pStyle w:val="Actdetails"/>
      </w:pPr>
      <w:r>
        <w:t xml:space="preserve">pt </w:t>
      </w:r>
      <w:r w:rsidR="006D45A0">
        <w:t>3</w:t>
      </w:r>
      <w:r>
        <w:t xml:space="preserve"> commenced</w:t>
      </w:r>
      <w:r w:rsidRPr="006F3A6F">
        <w:t xml:space="preserve"> </w:t>
      </w:r>
      <w:r>
        <w:t>15 June 2018 (s 2)</w:t>
      </w:r>
    </w:p>
    <w:p w:rsidR="007B112E" w:rsidRPr="00951C4D" w:rsidRDefault="007B112E">
      <w:pPr>
        <w:pStyle w:val="Endnote20"/>
      </w:pPr>
      <w:bookmarkStart w:id="90" w:name="_Toc516729820"/>
      <w:r w:rsidRPr="00951C4D">
        <w:rPr>
          <w:rStyle w:val="charTableNo"/>
        </w:rPr>
        <w:t>4</w:t>
      </w:r>
      <w:r>
        <w:tab/>
      </w:r>
      <w:r w:rsidRPr="00951C4D">
        <w:rPr>
          <w:rStyle w:val="charTableText"/>
        </w:rPr>
        <w:t>Amendment history</w:t>
      </w:r>
      <w:bookmarkEnd w:id="90"/>
    </w:p>
    <w:p w:rsidR="006D2BB3" w:rsidRDefault="006D2BB3" w:rsidP="007B112E">
      <w:pPr>
        <w:pStyle w:val="AmdtsEntryHd"/>
      </w:pPr>
      <w:r w:rsidRPr="006814CB">
        <w:t>Restricted status of acquired authorisations</w:t>
      </w:r>
    </w:p>
    <w:p w:rsidR="006D2BB3" w:rsidRPr="006D2BB3" w:rsidRDefault="006D2BB3" w:rsidP="006D2BB3">
      <w:pPr>
        <w:pStyle w:val="AmdtsEntries"/>
      </w:pPr>
      <w:r>
        <w:t>s 20</w:t>
      </w:r>
      <w:r>
        <w:tab/>
        <w:t xml:space="preserve">am </w:t>
      </w:r>
      <w:hyperlink r:id="rId116" w:tooltip="Casino and Other Gaming Legislation Amendment Act 2018" w:history="1">
        <w:r w:rsidRPr="006D2BB3">
          <w:rPr>
            <w:rStyle w:val="charCitHyperlinkAbbrev"/>
          </w:rPr>
          <w:t>A2018</w:t>
        </w:r>
        <w:r w:rsidRPr="006D2BB3">
          <w:rPr>
            <w:rStyle w:val="charCitHyperlinkAbbrev"/>
          </w:rPr>
          <w:noBreakHyphen/>
          <w:t>21</w:t>
        </w:r>
      </w:hyperlink>
      <w:r w:rsidRPr="006D2BB3">
        <w:rPr>
          <w:rStyle w:val="charCitHyperlinkAbbrev"/>
        </w:rPr>
        <w:t xml:space="preserve"> </w:t>
      </w:r>
      <w:r>
        <w:t>s 16</w:t>
      </w:r>
    </w:p>
    <w:p w:rsidR="006D2BB3" w:rsidRDefault="006D2BB3" w:rsidP="006D2BB3">
      <w:pPr>
        <w:pStyle w:val="AmdtsEntryHd"/>
      </w:pPr>
      <w:r w:rsidRPr="006814CB">
        <w:t>Conversion of restricted authorisations—application</w:t>
      </w:r>
    </w:p>
    <w:p w:rsidR="006D2BB3" w:rsidRPr="006D2BB3" w:rsidRDefault="006D2BB3" w:rsidP="006D2BB3">
      <w:pPr>
        <w:pStyle w:val="AmdtsEntries"/>
      </w:pPr>
      <w:r>
        <w:t>s 21</w:t>
      </w:r>
      <w:r>
        <w:tab/>
        <w:t xml:space="preserve">am </w:t>
      </w:r>
      <w:hyperlink r:id="rId117" w:tooltip="Casino and Other Gaming Legislation Amendment Act 2018" w:history="1">
        <w:r w:rsidRPr="006D2BB3">
          <w:rPr>
            <w:rStyle w:val="charCitHyperlinkAbbrev"/>
          </w:rPr>
          <w:t>A2018</w:t>
        </w:r>
        <w:r w:rsidRPr="006D2BB3">
          <w:rPr>
            <w:rStyle w:val="charCitHyperlinkAbbrev"/>
          </w:rPr>
          <w:noBreakHyphen/>
          <w:t>21</w:t>
        </w:r>
      </w:hyperlink>
      <w:r w:rsidRPr="006D2BB3">
        <w:rPr>
          <w:rStyle w:val="charCitHyperlinkAbbrev"/>
        </w:rPr>
        <w:t xml:space="preserve"> </w:t>
      </w:r>
      <w:r>
        <w:t>s 17, s 18</w:t>
      </w:r>
    </w:p>
    <w:p w:rsidR="00996540" w:rsidRDefault="00996540" w:rsidP="007B112E">
      <w:pPr>
        <w:pStyle w:val="AmdtsEntryHd"/>
      </w:pPr>
      <w:r w:rsidRPr="005D4E1B">
        <w:t>Conversion of restricted authorisations—decision</w:t>
      </w:r>
    </w:p>
    <w:p w:rsidR="00996540" w:rsidRPr="00996540" w:rsidRDefault="00996540" w:rsidP="00996540">
      <w:pPr>
        <w:pStyle w:val="AmdtsEntries"/>
      </w:pPr>
      <w:r>
        <w:t>s 22</w:t>
      </w:r>
      <w:r>
        <w:tab/>
        <w:t xml:space="preserve">sub </w:t>
      </w:r>
      <w:hyperlink r:id="rId118" w:tooltip="Casino and Other Gaming Legislation Amendment Act 2018" w:history="1">
        <w:r w:rsidRPr="006D2BB3">
          <w:rPr>
            <w:rStyle w:val="charCitHyperlinkAbbrev"/>
          </w:rPr>
          <w:t>A2018</w:t>
        </w:r>
        <w:r w:rsidRPr="006D2BB3">
          <w:rPr>
            <w:rStyle w:val="charCitHyperlinkAbbrev"/>
          </w:rPr>
          <w:noBreakHyphen/>
          <w:t>21</w:t>
        </w:r>
      </w:hyperlink>
      <w:r>
        <w:t xml:space="preserve"> s 19</w:t>
      </w:r>
    </w:p>
    <w:p w:rsidR="00996540" w:rsidRDefault="00996540" w:rsidP="007B112E">
      <w:pPr>
        <w:pStyle w:val="AmdtsEntryHd"/>
      </w:pPr>
      <w:r w:rsidRPr="005D4E1B">
        <w:t>Reviewable decision notices</w:t>
      </w:r>
    </w:p>
    <w:p w:rsidR="00996540" w:rsidRPr="00996540" w:rsidRDefault="00996540" w:rsidP="00996540">
      <w:pPr>
        <w:pStyle w:val="AmdtsEntries"/>
      </w:pPr>
      <w:r>
        <w:t>s 46</w:t>
      </w:r>
      <w:r>
        <w:tab/>
        <w:t xml:space="preserve">sub </w:t>
      </w:r>
      <w:hyperlink r:id="rId119" w:tooltip="Casino and Other Gaming Legislation Amendment Act 2018" w:history="1">
        <w:r w:rsidRPr="006D2BB3">
          <w:rPr>
            <w:rStyle w:val="charCitHyperlinkAbbrev"/>
          </w:rPr>
          <w:t>A2018</w:t>
        </w:r>
        <w:r w:rsidRPr="006D2BB3">
          <w:rPr>
            <w:rStyle w:val="charCitHyperlinkAbbrev"/>
          </w:rPr>
          <w:noBreakHyphen/>
          <w:t>21</w:t>
        </w:r>
      </w:hyperlink>
      <w:r>
        <w:t xml:space="preserve"> s 20</w:t>
      </w:r>
    </w:p>
    <w:p w:rsidR="00996540" w:rsidRDefault="00996540" w:rsidP="007B112E">
      <w:pPr>
        <w:pStyle w:val="AmdtsEntryHd"/>
      </w:pPr>
      <w:r w:rsidRPr="005D4E1B">
        <w:t>Casino (Electronic Gaming) Regulation 2018—sch 5</w:t>
      </w:r>
    </w:p>
    <w:p w:rsidR="00996540" w:rsidRDefault="00996540" w:rsidP="00996540">
      <w:pPr>
        <w:pStyle w:val="AmdtsEntries"/>
      </w:pPr>
      <w:r>
        <w:t>s 54A</w:t>
      </w:r>
      <w:r>
        <w:tab/>
        <w:t xml:space="preserve">ins </w:t>
      </w:r>
      <w:hyperlink r:id="rId120" w:tooltip="Casino and Other Gaming Legislation Amendment Act 2018" w:history="1">
        <w:r w:rsidRPr="006D2BB3">
          <w:rPr>
            <w:rStyle w:val="charCitHyperlinkAbbrev"/>
          </w:rPr>
          <w:t>A2018</w:t>
        </w:r>
        <w:r w:rsidRPr="006D2BB3">
          <w:rPr>
            <w:rStyle w:val="charCitHyperlinkAbbrev"/>
          </w:rPr>
          <w:noBreakHyphen/>
          <w:t>21</w:t>
        </w:r>
      </w:hyperlink>
      <w:r>
        <w:t xml:space="preserve"> s 21</w:t>
      </w:r>
    </w:p>
    <w:p w:rsidR="00996540" w:rsidRPr="00E75795" w:rsidRDefault="00996540" w:rsidP="00996540">
      <w:pPr>
        <w:pStyle w:val="AmdtsEntries"/>
      </w:pPr>
      <w:r>
        <w:tab/>
      </w:r>
      <w:r w:rsidRPr="00E75795">
        <w:t xml:space="preserve">exp 15 June 2018 (s </w:t>
      </w:r>
      <w:r w:rsidR="00C52D04" w:rsidRPr="00E75795">
        <w:t>54A (5))</w:t>
      </w:r>
    </w:p>
    <w:p w:rsidR="00C52D04" w:rsidRDefault="00C52D04" w:rsidP="007B112E">
      <w:pPr>
        <w:pStyle w:val="AmdtsEntryHd"/>
        <w:rPr>
          <w:rStyle w:val="CharChapText"/>
        </w:rPr>
      </w:pPr>
      <w:r w:rsidRPr="00870994">
        <w:rPr>
          <w:rStyle w:val="CharChapText"/>
        </w:rPr>
        <w:t>Reviewable decisions</w:t>
      </w:r>
    </w:p>
    <w:p w:rsidR="00C52D04" w:rsidRPr="00C52D04" w:rsidRDefault="00C52D04" w:rsidP="00C52D04">
      <w:pPr>
        <w:pStyle w:val="AmdtsEntries"/>
      </w:pPr>
      <w:r>
        <w:t>sch 1</w:t>
      </w:r>
      <w:r>
        <w:tab/>
        <w:t xml:space="preserve">am </w:t>
      </w:r>
      <w:hyperlink r:id="rId121" w:tooltip="Casino and Other Gaming Legislation Amendment Act 2018" w:history="1">
        <w:r w:rsidRPr="006D2BB3">
          <w:rPr>
            <w:rStyle w:val="charCitHyperlinkAbbrev"/>
          </w:rPr>
          <w:t>A2018</w:t>
        </w:r>
        <w:r w:rsidRPr="006D2BB3">
          <w:rPr>
            <w:rStyle w:val="charCitHyperlinkAbbrev"/>
          </w:rPr>
          <w:noBreakHyphen/>
          <w:t>21</w:t>
        </w:r>
      </w:hyperlink>
      <w:r>
        <w:t xml:space="preserve"> s 22</w:t>
      </w:r>
    </w:p>
    <w:p w:rsidR="007B112E" w:rsidRDefault="00D41DA0" w:rsidP="007B112E">
      <w:pPr>
        <w:pStyle w:val="AmdtsEntryHd"/>
      </w:pPr>
      <w:r>
        <w:t>Consequential amendments</w:t>
      </w:r>
    </w:p>
    <w:p w:rsidR="00633E04" w:rsidRDefault="00633E04" w:rsidP="00633E04">
      <w:pPr>
        <w:pStyle w:val="AmdtsEntries"/>
      </w:pPr>
      <w:r w:rsidRPr="00633E04">
        <w:t>sch 3</w:t>
      </w:r>
      <w:r w:rsidRPr="00633E04">
        <w:tab/>
        <w:t>om LA s 89 (3)</w:t>
      </w:r>
    </w:p>
    <w:p w:rsidR="00C52D04" w:rsidRDefault="00C52D04" w:rsidP="00C52D04">
      <w:pPr>
        <w:pStyle w:val="AmdtsEntryHd"/>
      </w:pPr>
      <w:r w:rsidRPr="005D4E1B">
        <w:t>Casino (Electronic Gaming) Regulation 2018</w:t>
      </w:r>
    </w:p>
    <w:p w:rsidR="00C52D04" w:rsidRDefault="00C52D04" w:rsidP="00C52D04">
      <w:pPr>
        <w:pStyle w:val="AmdtsEntries"/>
      </w:pPr>
      <w:r>
        <w:t>sch 5</w:t>
      </w:r>
      <w:r>
        <w:tab/>
        <w:t xml:space="preserve">ins </w:t>
      </w:r>
      <w:hyperlink r:id="rId122" w:tooltip="Casino and Other Gaming Legislation Amendment Act 2018" w:history="1">
        <w:r w:rsidR="00284563" w:rsidRPr="006D2BB3">
          <w:rPr>
            <w:rStyle w:val="charCitHyperlinkAbbrev"/>
          </w:rPr>
          <w:t>A2018</w:t>
        </w:r>
        <w:r w:rsidR="00284563" w:rsidRPr="006D2BB3">
          <w:rPr>
            <w:rStyle w:val="charCitHyperlinkAbbrev"/>
          </w:rPr>
          <w:noBreakHyphen/>
          <w:t>21</w:t>
        </w:r>
      </w:hyperlink>
      <w:r>
        <w:t xml:space="preserve"> s 23</w:t>
      </w:r>
    </w:p>
    <w:p w:rsidR="00C52D04" w:rsidRPr="00E75795" w:rsidRDefault="00C52D04" w:rsidP="00C52D04">
      <w:pPr>
        <w:pStyle w:val="AmdtsEntries"/>
      </w:pPr>
      <w:r>
        <w:tab/>
      </w:r>
      <w:r w:rsidRPr="00E75795">
        <w:t>exp 15 June 2018 (s 54A (5))</w:t>
      </w:r>
    </w:p>
    <w:p w:rsidR="00CC5D8B" w:rsidRPr="00951C4D" w:rsidRDefault="00CC5D8B">
      <w:pPr>
        <w:pStyle w:val="Endnote20"/>
      </w:pPr>
      <w:bookmarkStart w:id="91" w:name="_Toc516729821"/>
      <w:r w:rsidRPr="00951C4D">
        <w:rPr>
          <w:rStyle w:val="charTableNo"/>
        </w:rPr>
        <w:t>5</w:t>
      </w:r>
      <w:r>
        <w:tab/>
      </w:r>
      <w:r w:rsidRPr="00951C4D">
        <w:rPr>
          <w:rStyle w:val="charTableText"/>
        </w:rPr>
        <w:t>Earlier republications</w:t>
      </w:r>
      <w:bookmarkEnd w:id="91"/>
    </w:p>
    <w:p w:rsidR="00CC5D8B" w:rsidRDefault="00CC5D8B">
      <w:pPr>
        <w:pStyle w:val="EndNoteTextPub"/>
      </w:pPr>
      <w:r>
        <w:t xml:space="preserve">Some earlier republications were not numbered. The number in column 1 refers to the publication order.  </w:t>
      </w:r>
    </w:p>
    <w:p w:rsidR="00CC5D8B" w:rsidRDefault="00CC5D8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C5D8B" w:rsidRDefault="00CC5D8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C5D8B">
        <w:trPr>
          <w:tblHeader/>
        </w:trPr>
        <w:tc>
          <w:tcPr>
            <w:tcW w:w="1576" w:type="dxa"/>
            <w:tcBorders>
              <w:bottom w:val="single" w:sz="4" w:space="0" w:color="auto"/>
            </w:tcBorders>
          </w:tcPr>
          <w:p w:rsidR="00CC5D8B" w:rsidRDefault="00CC5D8B">
            <w:pPr>
              <w:pStyle w:val="EarlierRepubHdg"/>
            </w:pPr>
            <w:r>
              <w:t>Republication No and date</w:t>
            </w:r>
          </w:p>
        </w:tc>
        <w:tc>
          <w:tcPr>
            <w:tcW w:w="1681" w:type="dxa"/>
            <w:tcBorders>
              <w:bottom w:val="single" w:sz="4" w:space="0" w:color="auto"/>
            </w:tcBorders>
          </w:tcPr>
          <w:p w:rsidR="00CC5D8B" w:rsidRDefault="00CC5D8B">
            <w:pPr>
              <w:pStyle w:val="EarlierRepubHdg"/>
            </w:pPr>
            <w:r>
              <w:t>Effective</w:t>
            </w:r>
          </w:p>
        </w:tc>
        <w:tc>
          <w:tcPr>
            <w:tcW w:w="1783" w:type="dxa"/>
            <w:tcBorders>
              <w:bottom w:val="single" w:sz="4" w:space="0" w:color="auto"/>
            </w:tcBorders>
          </w:tcPr>
          <w:p w:rsidR="00CC5D8B" w:rsidRDefault="00CC5D8B">
            <w:pPr>
              <w:pStyle w:val="EarlierRepubHdg"/>
            </w:pPr>
            <w:r>
              <w:t>Last amendment made by</w:t>
            </w:r>
          </w:p>
        </w:tc>
        <w:tc>
          <w:tcPr>
            <w:tcW w:w="1783" w:type="dxa"/>
            <w:tcBorders>
              <w:bottom w:val="single" w:sz="4" w:space="0" w:color="auto"/>
            </w:tcBorders>
          </w:tcPr>
          <w:p w:rsidR="00CC5D8B" w:rsidRDefault="00CC5D8B">
            <w:pPr>
              <w:pStyle w:val="EarlierRepubHdg"/>
            </w:pPr>
            <w:r>
              <w:t>Republication for</w:t>
            </w:r>
          </w:p>
        </w:tc>
      </w:tr>
      <w:tr w:rsidR="00CC5D8B">
        <w:tc>
          <w:tcPr>
            <w:tcW w:w="1576" w:type="dxa"/>
            <w:tcBorders>
              <w:top w:val="single" w:sz="4" w:space="0" w:color="auto"/>
              <w:bottom w:val="single" w:sz="4" w:space="0" w:color="auto"/>
            </w:tcBorders>
          </w:tcPr>
          <w:p w:rsidR="00CC5D8B" w:rsidRDefault="00CC5D8B">
            <w:pPr>
              <w:pStyle w:val="EarlierRepubEntries"/>
            </w:pPr>
            <w:r>
              <w:t>R1</w:t>
            </w:r>
            <w:r>
              <w:br/>
              <w:t>13 May 2018</w:t>
            </w:r>
          </w:p>
        </w:tc>
        <w:tc>
          <w:tcPr>
            <w:tcW w:w="1681" w:type="dxa"/>
            <w:tcBorders>
              <w:top w:val="single" w:sz="4" w:space="0" w:color="auto"/>
              <w:bottom w:val="single" w:sz="4" w:space="0" w:color="auto"/>
            </w:tcBorders>
          </w:tcPr>
          <w:p w:rsidR="00CC5D8B" w:rsidRDefault="00CC5D8B">
            <w:pPr>
              <w:pStyle w:val="EarlierRepubEntries"/>
            </w:pPr>
            <w:r>
              <w:t>13 May 2018–</w:t>
            </w:r>
            <w:r>
              <w:br/>
              <w:t>14 June 2018</w:t>
            </w:r>
          </w:p>
        </w:tc>
        <w:tc>
          <w:tcPr>
            <w:tcW w:w="1783" w:type="dxa"/>
            <w:tcBorders>
              <w:top w:val="single" w:sz="4" w:space="0" w:color="auto"/>
              <w:bottom w:val="single" w:sz="4" w:space="0" w:color="auto"/>
            </w:tcBorders>
          </w:tcPr>
          <w:p w:rsidR="00CC5D8B" w:rsidRDefault="00CC5D8B">
            <w:pPr>
              <w:pStyle w:val="EarlierRepubEntries"/>
            </w:pPr>
            <w:r>
              <w:t>not amended</w:t>
            </w:r>
          </w:p>
        </w:tc>
        <w:tc>
          <w:tcPr>
            <w:tcW w:w="1783" w:type="dxa"/>
            <w:tcBorders>
              <w:top w:val="single" w:sz="4" w:space="0" w:color="auto"/>
              <w:bottom w:val="single" w:sz="4" w:space="0" w:color="auto"/>
            </w:tcBorders>
          </w:tcPr>
          <w:p w:rsidR="00CC5D8B" w:rsidRDefault="00CC5D8B">
            <w:pPr>
              <w:pStyle w:val="EarlierRepubEntries"/>
            </w:pPr>
            <w:r>
              <w:t>new Act</w:t>
            </w:r>
          </w:p>
        </w:tc>
      </w:tr>
      <w:tr w:rsidR="00951C4D">
        <w:tc>
          <w:tcPr>
            <w:tcW w:w="1576" w:type="dxa"/>
            <w:tcBorders>
              <w:top w:val="single" w:sz="4" w:space="0" w:color="auto"/>
              <w:bottom w:val="single" w:sz="4" w:space="0" w:color="auto"/>
            </w:tcBorders>
          </w:tcPr>
          <w:p w:rsidR="00951C4D" w:rsidRDefault="00951C4D">
            <w:pPr>
              <w:pStyle w:val="EarlierRepubEntries"/>
            </w:pPr>
            <w:r>
              <w:t>R2</w:t>
            </w:r>
            <w:r>
              <w:br/>
              <w:t>15 June 2018</w:t>
            </w:r>
          </w:p>
        </w:tc>
        <w:tc>
          <w:tcPr>
            <w:tcW w:w="1681" w:type="dxa"/>
            <w:tcBorders>
              <w:top w:val="single" w:sz="4" w:space="0" w:color="auto"/>
              <w:bottom w:val="single" w:sz="4" w:space="0" w:color="auto"/>
            </w:tcBorders>
          </w:tcPr>
          <w:p w:rsidR="00951C4D" w:rsidRDefault="00951C4D">
            <w:pPr>
              <w:pStyle w:val="EarlierRepubEntries"/>
            </w:pPr>
            <w:r>
              <w:t>15 June 2018–</w:t>
            </w:r>
            <w:r>
              <w:br/>
              <w:t>15 June 2018</w:t>
            </w:r>
          </w:p>
        </w:tc>
        <w:tc>
          <w:tcPr>
            <w:tcW w:w="1783" w:type="dxa"/>
            <w:tcBorders>
              <w:top w:val="single" w:sz="4" w:space="0" w:color="auto"/>
              <w:bottom w:val="single" w:sz="4" w:space="0" w:color="auto"/>
            </w:tcBorders>
          </w:tcPr>
          <w:p w:rsidR="00951C4D" w:rsidRDefault="00A66D89">
            <w:pPr>
              <w:pStyle w:val="EarlierRepubEntries"/>
            </w:pPr>
            <w:hyperlink r:id="rId123" w:tooltip="Casino and Other Gaming Legislation Amendment Act 2018" w:history="1">
              <w:r w:rsidR="00811C4C" w:rsidRPr="006D2BB3">
                <w:rPr>
                  <w:rStyle w:val="charCitHyperlinkAbbrev"/>
                </w:rPr>
                <w:t>A2018</w:t>
              </w:r>
              <w:r w:rsidR="00811C4C" w:rsidRPr="006D2BB3">
                <w:rPr>
                  <w:rStyle w:val="charCitHyperlinkAbbrev"/>
                </w:rPr>
                <w:noBreakHyphen/>
                <w:t>21</w:t>
              </w:r>
            </w:hyperlink>
          </w:p>
        </w:tc>
        <w:tc>
          <w:tcPr>
            <w:tcW w:w="1783" w:type="dxa"/>
            <w:tcBorders>
              <w:top w:val="single" w:sz="4" w:space="0" w:color="auto"/>
              <w:bottom w:val="single" w:sz="4" w:space="0" w:color="auto"/>
            </w:tcBorders>
          </w:tcPr>
          <w:p w:rsidR="00951C4D" w:rsidRDefault="00951C4D">
            <w:pPr>
              <w:pStyle w:val="EarlierRepubEntries"/>
            </w:pPr>
            <w:r>
              <w:t xml:space="preserve">amendments by </w:t>
            </w:r>
            <w:hyperlink r:id="rId124" w:tooltip="Casino and Other Gaming Legislation Amendment Act 2018" w:history="1">
              <w:r w:rsidR="00811C4C" w:rsidRPr="006D2BB3">
                <w:rPr>
                  <w:rStyle w:val="charCitHyperlinkAbbrev"/>
                </w:rPr>
                <w:t>A2018</w:t>
              </w:r>
              <w:r w:rsidR="00811C4C" w:rsidRPr="006D2BB3">
                <w:rPr>
                  <w:rStyle w:val="charCitHyperlinkAbbrev"/>
                </w:rPr>
                <w:noBreakHyphen/>
                <w:t>21</w:t>
              </w:r>
            </w:hyperlink>
          </w:p>
        </w:tc>
      </w:tr>
    </w:tbl>
    <w:p w:rsidR="007B112E" w:rsidRDefault="007B112E">
      <w:pPr>
        <w:pStyle w:val="05EndNote"/>
        <w:sectPr w:rsidR="007B112E">
          <w:headerReference w:type="even" r:id="rId125"/>
          <w:headerReference w:type="default" r:id="rId126"/>
          <w:footerReference w:type="even" r:id="rId127"/>
          <w:footerReference w:type="default" r:id="rId128"/>
          <w:pgSz w:w="11907" w:h="16839" w:code="9"/>
          <w:pgMar w:top="3000" w:right="1900" w:bottom="2500" w:left="2300" w:header="2480" w:footer="2100" w:gutter="0"/>
          <w:cols w:space="720"/>
          <w:docGrid w:linePitch="254"/>
        </w:sectPr>
      </w:pPr>
    </w:p>
    <w:p w:rsidR="007B112E" w:rsidRDefault="007B112E"/>
    <w:p w:rsidR="007B112E" w:rsidRDefault="007B112E"/>
    <w:p w:rsidR="007B112E" w:rsidRDefault="007B112E"/>
    <w:p w:rsidR="007B112E" w:rsidRDefault="007B112E">
      <w:pPr>
        <w:rPr>
          <w:color w:val="000000"/>
          <w:sz w:val="20"/>
        </w:rPr>
      </w:pPr>
    </w:p>
    <w:p w:rsidR="007B112E" w:rsidRDefault="007B112E">
      <w:pPr>
        <w:rPr>
          <w:color w:val="000000"/>
          <w:sz w:val="22"/>
        </w:rPr>
      </w:pPr>
    </w:p>
    <w:p w:rsidR="007B112E" w:rsidRDefault="007B112E">
      <w:pPr>
        <w:rPr>
          <w:color w:val="000000"/>
          <w:sz w:val="22"/>
        </w:rPr>
      </w:pPr>
    </w:p>
    <w:p w:rsidR="00870994" w:rsidRDefault="00870994">
      <w:pPr>
        <w:rPr>
          <w:color w:val="000000"/>
          <w:sz w:val="22"/>
        </w:rPr>
      </w:pPr>
    </w:p>
    <w:p w:rsidR="00870994" w:rsidRDefault="00870994">
      <w:pPr>
        <w:rPr>
          <w:color w:val="000000"/>
          <w:sz w:val="22"/>
        </w:rPr>
      </w:pPr>
    </w:p>
    <w:p w:rsidR="00870994" w:rsidRDefault="00870994">
      <w:pPr>
        <w:rPr>
          <w:color w:val="000000"/>
          <w:sz w:val="22"/>
        </w:rPr>
      </w:pPr>
    </w:p>
    <w:p w:rsidR="007B112E" w:rsidRPr="008D4B19" w:rsidRDefault="007B112E">
      <w:pPr>
        <w:rPr>
          <w:color w:val="000000"/>
          <w:sz w:val="22"/>
        </w:rPr>
      </w:pPr>
      <w:r>
        <w:rPr>
          <w:color w:val="000000"/>
          <w:sz w:val="22"/>
        </w:rPr>
        <w:t xml:space="preserve">©  Australian Capital Territory </w:t>
      </w:r>
      <w:r>
        <w:rPr>
          <w:noProof/>
          <w:color w:val="000000"/>
          <w:sz w:val="22"/>
        </w:rPr>
        <w:t>2018</w:t>
      </w:r>
    </w:p>
    <w:p w:rsidR="007B112E" w:rsidRDefault="007B112E">
      <w:pPr>
        <w:pStyle w:val="06Copyright"/>
        <w:sectPr w:rsidR="007B112E" w:rsidSect="007B112E">
          <w:headerReference w:type="even" r:id="rId129"/>
          <w:headerReference w:type="default" r:id="rId130"/>
          <w:footerReference w:type="even" r:id="rId131"/>
          <w:footerReference w:type="default" r:id="rId132"/>
          <w:headerReference w:type="first" r:id="rId133"/>
          <w:footerReference w:type="first" r:id="rId134"/>
          <w:type w:val="continuous"/>
          <w:pgSz w:w="11907" w:h="16839" w:code="9"/>
          <w:pgMar w:top="3000" w:right="1900" w:bottom="2500" w:left="2300" w:header="2480" w:footer="2100" w:gutter="0"/>
          <w:pgNumType w:fmt="lowerRoman"/>
          <w:cols w:space="720"/>
          <w:titlePg/>
          <w:docGrid w:linePitch="326"/>
        </w:sectPr>
      </w:pPr>
    </w:p>
    <w:p w:rsidR="003D7E21" w:rsidRDefault="003D7E21" w:rsidP="007B112E"/>
    <w:sectPr w:rsidR="003D7E21" w:rsidSect="007B112E">
      <w:headerReference w:type="even" r:id="rId13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4D" w:rsidRDefault="00951C4D">
      <w:r>
        <w:separator/>
      </w:r>
    </w:p>
  </w:endnote>
  <w:endnote w:type="continuationSeparator" w:id="0">
    <w:p w:rsidR="00951C4D" w:rsidRDefault="0095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Pr="00555C22" w:rsidRDefault="00555C22" w:rsidP="00555C22">
    <w:pPr>
      <w:pStyle w:val="Footer"/>
      <w:jc w:val="center"/>
      <w:rPr>
        <w:rFonts w:cs="Arial"/>
        <w:sz w:val="14"/>
      </w:rPr>
    </w:pPr>
    <w:r w:rsidRPr="00555C2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1C4D" w:rsidRPr="00CB3D59">
      <w:tc>
        <w:tcPr>
          <w:tcW w:w="847" w:type="pct"/>
        </w:tcPr>
        <w:p w:rsidR="00951C4D" w:rsidRPr="00F02A14" w:rsidRDefault="00951C4D" w:rsidP="00EF5D2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E71D4">
            <w:rPr>
              <w:rStyle w:val="PageNumber"/>
              <w:rFonts w:cs="Arial"/>
              <w:noProof/>
              <w:szCs w:val="18"/>
            </w:rPr>
            <w:t>50</w:t>
          </w:r>
          <w:r w:rsidRPr="00F02A14">
            <w:rPr>
              <w:rStyle w:val="PageNumber"/>
              <w:rFonts w:cs="Arial"/>
              <w:szCs w:val="18"/>
            </w:rPr>
            <w:fldChar w:fldCharType="end"/>
          </w:r>
        </w:p>
      </w:tc>
      <w:tc>
        <w:tcPr>
          <w:tcW w:w="3092" w:type="pct"/>
        </w:tcPr>
        <w:p w:rsidR="00951C4D" w:rsidRPr="00F02A14" w:rsidRDefault="00A66D89" w:rsidP="00EF5D2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3076A" w:rsidRPr="0003076A">
            <w:rPr>
              <w:rFonts w:cs="Arial"/>
              <w:szCs w:val="18"/>
            </w:rPr>
            <w:t>Casino (Electronic Gaming)</w:t>
          </w:r>
          <w:r w:rsidR="0003076A">
            <w:t xml:space="preserve"> Act 2017</w:t>
          </w:r>
          <w:r>
            <w:fldChar w:fldCharType="end"/>
          </w:r>
        </w:p>
        <w:p w:rsidR="00951C4D" w:rsidRPr="00F02A14" w:rsidRDefault="00951C4D" w:rsidP="00EF5D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307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3076A">
            <w:rPr>
              <w:rFonts w:cs="Arial"/>
              <w:szCs w:val="18"/>
            </w:rPr>
            <w:t>16/06/18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3076A">
            <w:rPr>
              <w:rFonts w:cs="Arial"/>
              <w:szCs w:val="18"/>
            </w:rPr>
            <w:t>-03/12/18</w:t>
          </w:r>
          <w:r w:rsidRPr="00F02A14">
            <w:rPr>
              <w:rFonts w:cs="Arial"/>
              <w:szCs w:val="18"/>
            </w:rPr>
            <w:fldChar w:fldCharType="end"/>
          </w:r>
        </w:p>
      </w:tc>
      <w:tc>
        <w:tcPr>
          <w:tcW w:w="1061" w:type="pct"/>
        </w:tcPr>
        <w:p w:rsidR="00951C4D" w:rsidRPr="00F02A14" w:rsidRDefault="00951C4D" w:rsidP="00EF5D2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3076A">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3076A">
            <w:rPr>
              <w:rFonts w:cs="Arial"/>
              <w:szCs w:val="18"/>
            </w:rPr>
            <w:t>16/06/18</w:t>
          </w:r>
          <w:r w:rsidRPr="00F02A14">
            <w:rPr>
              <w:rFonts w:cs="Arial"/>
              <w:szCs w:val="18"/>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1C4D" w:rsidRPr="00CB3D59">
      <w:tc>
        <w:tcPr>
          <w:tcW w:w="1061" w:type="pct"/>
        </w:tcPr>
        <w:p w:rsidR="00951C4D" w:rsidRPr="00F02A14" w:rsidRDefault="00951C4D" w:rsidP="00EF5D2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3076A">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3076A">
            <w:rPr>
              <w:rFonts w:cs="Arial"/>
              <w:szCs w:val="18"/>
            </w:rPr>
            <w:t>16/06/18</w:t>
          </w:r>
          <w:r w:rsidRPr="00F02A14">
            <w:rPr>
              <w:rFonts w:cs="Arial"/>
              <w:szCs w:val="18"/>
            </w:rPr>
            <w:fldChar w:fldCharType="end"/>
          </w:r>
        </w:p>
      </w:tc>
      <w:tc>
        <w:tcPr>
          <w:tcW w:w="3092" w:type="pct"/>
        </w:tcPr>
        <w:p w:rsidR="00951C4D" w:rsidRPr="00F02A14" w:rsidRDefault="00A66D89" w:rsidP="00EF5D2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3076A" w:rsidRPr="0003076A">
            <w:rPr>
              <w:rFonts w:cs="Arial"/>
              <w:szCs w:val="18"/>
            </w:rPr>
            <w:t>Casino (Electronic Gaming)</w:t>
          </w:r>
          <w:r w:rsidR="0003076A">
            <w:t xml:space="preserve"> Act 2017</w:t>
          </w:r>
          <w:r>
            <w:fldChar w:fldCharType="end"/>
          </w:r>
        </w:p>
        <w:p w:rsidR="00951C4D" w:rsidRPr="00F02A14" w:rsidRDefault="00951C4D" w:rsidP="00EF5D2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3076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3076A">
            <w:rPr>
              <w:rFonts w:cs="Arial"/>
              <w:szCs w:val="18"/>
            </w:rPr>
            <w:t>16/06/18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3076A">
            <w:rPr>
              <w:rFonts w:cs="Arial"/>
              <w:szCs w:val="18"/>
            </w:rPr>
            <w:t>-03/12/18</w:t>
          </w:r>
          <w:r w:rsidRPr="00F02A14">
            <w:rPr>
              <w:rFonts w:cs="Arial"/>
              <w:szCs w:val="18"/>
            </w:rPr>
            <w:fldChar w:fldCharType="end"/>
          </w:r>
        </w:p>
      </w:tc>
      <w:tc>
        <w:tcPr>
          <w:tcW w:w="847" w:type="pct"/>
        </w:tcPr>
        <w:p w:rsidR="00951C4D" w:rsidRPr="00F02A14" w:rsidRDefault="00951C4D" w:rsidP="00EF5D2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E71D4">
            <w:rPr>
              <w:rStyle w:val="PageNumber"/>
              <w:rFonts w:cs="Arial"/>
              <w:noProof/>
              <w:szCs w:val="18"/>
            </w:rPr>
            <w:t>49</w:t>
          </w:r>
          <w:r w:rsidRPr="00F02A14">
            <w:rPr>
              <w:rStyle w:val="PageNumber"/>
              <w:rFonts w:cs="Arial"/>
              <w:szCs w:val="18"/>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1C4D" w:rsidRPr="00CB3D59">
      <w:tc>
        <w:tcPr>
          <w:tcW w:w="847" w:type="pct"/>
        </w:tcPr>
        <w:p w:rsidR="00951C4D" w:rsidRPr="00ED273E" w:rsidRDefault="00951C4D" w:rsidP="00EF5D29">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CE71D4">
            <w:rPr>
              <w:rStyle w:val="PageNumber"/>
              <w:rFonts w:cs="Arial"/>
              <w:noProof/>
              <w:szCs w:val="18"/>
            </w:rPr>
            <w:t>52</w:t>
          </w:r>
          <w:r w:rsidRPr="00ED273E">
            <w:rPr>
              <w:rStyle w:val="PageNumber"/>
              <w:rFonts w:cs="Arial"/>
              <w:szCs w:val="18"/>
            </w:rPr>
            <w:fldChar w:fldCharType="end"/>
          </w:r>
        </w:p>
      </w:tc>
      <w:tc>
        <w:tcPr>
          <w:tcW w:w="3092" w:type="pct"/>
        </w:tcPr>
        <w:p w:rsidR="00951C4D" w:rsidRPr="00ED273E" w:rsidRDefault="00951C4D" w:rsidP="00EF5D29">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3076A">
            <w:t>Casino (Electronic Gaming) Act 2017</w:t>
          </w:r>
          <w:r w:rsidRPr="00783A18">
            <w:rPr>
              <w:rFonts w:ascii="Times New Roman" w:hAnsi="Times New Roman"/>
              <w:sz w:val="24"/>
              <w:szCs w:val="24"/>
            </w:rPr>
            <w:fldChar w:fldCharType="end"/>
          </w:r>
        </w:p>
        <w:p w:rsidR="00951C4D" w:rsidRPr="00ED273E" w:rsidRDefault="00951C4D" w:rsidP="00EF5D29">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3076A">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3076A">
            <w:rPr>
              <w:rFonts w:cs="Arial"/>
              <w:szCs w:val="18"/>
            </w:rPr>
            <w:t>16/06/18</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3076A">
            <w:rPr>
              <w:rFonts w:cs="Arial"/>
              <w:szCs w:val="18"/>
            </w:rPr>
            <w:t>-03/12/18</w:t>
          </w:r>
          <w:r w:rsidRPr="00ED273E">
            <w:rPr>
              <w:rFonts w:cs="Arial"/>
              <w:szCs w:val="18"/>
            </w:rPr>
            <w:fldChar w:fldCharType="end"/>
          </w:r>
        </w:p>
      </w:tc>
      <w:tc>
        <w:tcPr>
          <w:tcW w:w="1061" w:type="pct"/>
        </w:tcPr>
        <w:p w:rsidR="00951C4D" w:rsidRPr="00ED273E" w:rsidRDefault="00951C4D" w:rsidP="00EF5D29">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03076A">
            <w:rPr>
              <w:rFonts w:cs="Arial"/>
              <w:szCs w:val="18"/>
            </w:rPr>
            <w:t>R3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3076A">
            <w:rPr>
              <w:rFonts w:cs="Arial"/>
              <w:szCs w:val="18"/>
            </w:rPr>
            <w:t>16/06/18</w:t>
          </w:r>
          <w:r w:rsidRPr="00ED273E">
            <w:rPr>
              <w:rFonts w:cs="Arial"/>
              <w:szCs w:val="18"/>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1C4D" w:rsidRPr="00CB3D59">
      <w:tc>
        <w:tcPr>
          <w:tcW w:w="1061" w:type="pct"/>
        </w:tcPr>
        <w:p w:rsidR="00951C4D" w:rsidRPr="00ED273E" w:rsidRDefault="00951C4D" w:rsidP="00EF5D29">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03076A">
            <w:rPr>
              <w:rFonts w:cs="Arial"/>
              <w:szCs w:val="18"/>
            </w:rPr>
            <w:t>R3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3076A">
            <w:rPr>
              <w:rFonts w:cs="Arial"/>
              <w:szCs w:val="18"/>
            </w:rPr>
            <w:t>16/06/18</w:t>
          </w:r>
          <w:r w:rsidRPr="00ED273E">
            <w:rPr>
              <w:rFonts w:cs="Arial"/>
              <w:szCs w:val="18"/>
            </w:rPr>
            <w:fldChar w:fldCharType="end"/>
          </w:r>
        </w:p>
      </w:tc>
      <w:tc>
        <w:tcPr>
          <w:tcW w:w="3092" w:type="pct"/>
        </w:tcPr>
        <w:p w:rsidR="00951C4D" w:rsidRPr="00ED273E" w:rsidRDefault="00A66D89" w:rsidP="00EF5D2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03076A" w:rsidRPr="0003076A">
            <w:rPr>
              <w:rFonts w:cs="Arial"/>
              <w:szCs w:val="18"/>
            </w:rPr>
            <w:t>Casino (Electronic Gaming)</w:t>
          </w:r>
          <w:r w:rsidR="0003076A">
            <w:t xml:space="preserve"> Act 2017</w:t>
          </w:r>
          <w:r>
            <w:fldChar w:fldCharType="end"/>
          </w:r>
        </w:p>
        <w:p w:rsidR="00951C4D" w:rsidRPr="00ED273E" w:rsidRDefault="00951C4D" w:rsidP="00EF5D29">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3076A">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3076A">
            <w:rPr>
              <w:rFonts w:cs="Arial"/>
              <w:szCs w:val="18"/>
            </w:rPr>
            <w:t>16/06/18</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3076A">
            <w:rPr>
              <w:rFonts w:cs="Arial"/>
              <w:szCs w:val="18"/>
            </w:rPr>
            <w:t>-03/12/18</w:t>
          </w:r>
          <w:r w:rsidRPr="00ED273E">
            <w:rPr>
              <w:rFonts w:cs="Arial"/>
              <w:szCs w:val="18"/>
            </w:rPr>
            <w:fldChar w:fldCharType="end"/>
          </w:r>
        </w:p>
      </w:tc>
      <w:tc>
        <w:tcPr>
          <w:tcW w:w="847" w:type="pct"/>
        </w:tcPr>
        <w:p w:rsidR="00951C4D" w:rsidRPr="00ED273E" w:rsidRDefault="00951C4D" w:rsidP="00EF5D29">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CE71D4">
            <w:rPr>
              <w:rStyle w:val="PageNumber"/>
              <w:rFonts w:cs="Arial"/>
              <w:noProof/>
              <w:szCs w:val="18"/>
            </w:rPr>
            <w:t>51</w:t>
          </w:r>
          <w:r w:rsidRPr="00ED273E">
            <w:rPr>
              <w:rStyle w:val="PageNumber"/>
              <w:rFonts w:cs="Arial"/>
              <w:szCs w:val="18"/>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1C4D">
      <w:tc>
        <w:tcPr>
          <w:tcW w:w="847" w:type="pct"/>
        </w:tcPr>
        <w:p w:rsidR="00951C4D" w:rsidRDefault="00951C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E71D4">
            <w:rPr>
              <w:rStyle w:val="PageNumber"/>
              <w:noProof/>
            </w:rPr>
            <w:t>56</w:t>
          </w:r>
          <w:r>
            <w:rPr>
              <w:rStyle w:val="PageNumber"/>
            </w:rP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1061" w:type="pct"/>
        </w:tcPr>
        <w:p w:rsidR="00951C4D" w:rsidRDefault="00A66D89">
          <w:pPr>
            <w:pStyle w:val="Footer"/>
            <w:jc w:val="right"/>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1C4D">
      <w:tc>
        <w:tcPr>
          <w:tcW w:w="1061" w:type="pct"/>
        </w:tcPr>
        <w:p w:rsidR="00951C4D" w:rsidRDefault="00A66D89">
          <w:pPr>
            <w:pStyle w:val="Footer"/>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847" w:type="pct"/>
        </w:tcPr>
        <w:p w:rsidR="00951C4D" w:rsidRDefault="00951C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E71D4">
            <w:rPr>
              <w:rStyle w:val="PageNumber"/>
              <w:noProof/>
            </w:rPr>
            <w:t>55</w:t>
          </w:r>
          <w:r>
            <w:rPr>
              <w:rStyle w:val="PageNumber"/>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1C4D">
      <w:tc>
        <w:tcPr>
          <w:tcW w:w="847" w:type="pct"/>
        </w:tcPr>
        <w:p w:rsidR="00951C4D" w:rsidRDefault="00951C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E71D4">
            <w:rPr>
              <w:rStyle w:val="PageNumber"/>
              <w:noProof/>
            </w:rPr>
            <w:t>58</w:t>
          </w:r>
          <w:r>
            <w:rPr>
              <w:rStyle w:val="PageNumber"/>
            </w:rP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1061" w:type="pct"/>
        </w:tcPr>
        <w:p w:rsidR="00951C4D" w:rsidRDefault="00A66D89">
          <w:pPr>
            <w:pStyle w:val="Footer"/>
            <w:jc w:val="right"/>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1C4D">
      <w:tc>
        <w:tcPr>
          <w:tcW w:w="1061" w:type="pct"/>
        </w:tcPr>
        <w:p w:rsidR="00951C4D" w:rsidRDefault="00A66D89">
          <w:pPr>
            <w:pStyle w:val="Footer"/>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847" w:type="pct"/>
        </w:tcPr>
        <w:p w:rsidR="00951C4D" w:rsidRDefault="00951C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E71D4">
            <w:rPr>
              <w:rStyle w:val="PageNumber"/>
              <w:noProof/>
            </w:rPr>
            <w:t>59</w:t>
          </w:r>
          <w:r>
            <w:rPr>
              <w:rStyle w:val="PageNumber"/>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Pr="00555C22" w:rsidRDefault="00555C22" w:rsidP="00555C22">
    <w:pPr>
      <w:pStyle w:val="Footer"/>
      <w:jc w:val="center"/>
      <w:rPr>
        <w:rFonts w:cs="Arial"/>
        <w:sz w:val="14"/>
      </w:rPr>
    </w:pPr>
    <w:r w:rsidRPr="00555C2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Pr="00555C22" w:rsidRDefault="00951C4D" w:rsidP="00555C22">
    <w:pPr>
      <w:pStyle w:val="Footer"/>
      <w:jc w:val="center"/>
      <w:rPr>
        <w:rFonts w:cs="Arial"/>
        <w:sz w:val="14"/>
      </w:rPr>
    </w:pPr>
    <w:r w:rsidRPr="00555C22">
      <w:rPr>
        <w:rFonts w:cs="Arial"/>
        <w:sz w:val="14"/>
      </w:rPr>
      <w:fldChar w:fldCharType="begin"/>
    </w:r>
    <w:r w:rsidRPr="00555C22">
      <w:rPr>
        <w:rFonts w:cs="Arial"/>
        <w:sz w:val="14"/>
      </w:rPr>
      <w:instrText xml:space="preserve"> COMMENTS  \* MERGEFORMAT </w:instrText>
    </w:r>
    <w:r w:rsidRPr="00555C22">
      <w:rPr>
        <w:rFonts w:cs="Arial"/>
        <w:sz w:val="14"/>
      </w:rPr>
      <w:fldChar w:fldCharType="end"/>
    </w:r>
    <w:r w:rsidR="00555C22" w:rsidRPr="00555C22">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Pr="00555C22" w:rsidRDefault="00951C4D" w:rsidP="00555C22">
    <w:pPr>
      <w:pStyle w:val="Footer"/>
      <w:jc w:val="center"/>
      <w:rPr>
        <w:rFonts w:cs="Arial"/>
        <w:sz w:val="14"/>
      </w:rPr>
    </w:pPr>
    <w:r w:rsidRPr="00555C22">
      <w:rPr>
        <w:rFonts w:cs="Arial"/>
        <w:sz w:val="14"/>
      </w:rPr>
      <w:fldChar w:fldCharType="begin"/>
    </w:r>
    <w:r w:rsidRPr="00555C22">
      <w:rPr>
        <w:rFonts w:cs="Arial"/>
        <w:sz w:val="14"/>
      </w:rPr>
      <w:instrText xml:space="preserve"> DOCPROPERTY "Status" </w:instrText>
    </w:r>
    <w:r w:rsidRPr="00555C22">
      <w:rPr>
        <w:rFonts w:cs="Arial"/>
        <w:sz w:val="14"/>
      </w:rPr>
      <w:fldChar w:fldCharType="separate"/>
    </w:r>
    <w:r w:rsidR="0003076A" w:rsidRPr="00555C22">
      <w:rPr>
        <w:rFonts w:cs="Arial"/>
        <w:sz w:val="14"/>
      </w:rPr>
      <w:t xml:space="preserve"> </w:t>
    </w:r>
    <w:r w:rsidRPr="00555C22">
      <w:rPr>
        <w:rFonts w:cs="Arial"/>
        <w:sz w:val="14"/>
      </w:rPr>
      <w:fldChar w:fldCharType="end"/>
    </w:r>
    <w:r w:rsidRPr="00555C22">
      <w:rPr>
        <w:rFonts w:cs="Arial"/>
        <w:sz w:val="14"/>
      </w:rPr>
      <w:fldChar w:fldCharType="begin"/>
    </w:r>
    <w:r w:rsidRPr="00555C22">
      <w:rPr>
        <w:rFonts w:cs="Arial"/>
        <w:sz w:val="14"/>
      </w:rPr>
      <w:instrText xml:space="preserve"> COMMENTS  \* MERGEFORMAT </w:instrText>
    </w:r>
    <w:r w:rsidRPr="00555C22">
      <w:rPr>
        <w:rFonts w:cs="Arial"/>
        <w:sz w:val="14"/>
      </w:rPr>
      <w:fldChar w:fldCharType="end"/>
    </w:r>
    <w:r w:rsidR="00555C22" w:rsidRPr="00555C22">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Pr="00555C22" w:rsidRDefault="00555C22" w:rsidP="00555C22">
    <w:pPr>
      <w:pStyle w:val="Footer"/>
      <w:jc w:val="center"/>
      <w:rPr>
        <w:rFonts w:cs="Arial"/>
        <w:sz w:val="14"/>
      </w:rPr>
    </w:pPr>
    <w:r w:rsidRPr="00555C2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Pr="00555C22" w:rsidRDefault="00555C22" w:rsidP="00555C22">
    <w:pPr>
      <w:pStyle w:val="Footer"/>
      <w:jc w:val="center"/>
      <w:rPr>
        <w:rFonts w:cs="Arial"/>
        <w:sz w:val="14"/>
      </w:rPr>
    </w:pPr>
    <w:r w:rsidRPr="00555C2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51C4D">
      <w:tc>
        <w:tcPr>
          <w:tcW w:w="846" w:type="pct"/>
        </w:tcPr>
        <w:p w:rsidR="00951C4D" w:rsidRDefault="00951C4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4</w:t>
          </w:r>
          <w:r>
            <w:rPr>
              <w:rStyle w:val="PageNumber"/>
            </w:rPr>
            <w:fldChar w:fldCharType="end"/>
          </w:r>
        </w:p>
      </w:tc>
      <w:tc>
        <w:tcPr>
          <w:tcW w:w="3093"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w:instrText>
          </w:r>
          <w:r>
            <w:fldChar w:fldCharType="separate"/>
          </w:r>
          <w:r w:rsidR="0003076A">
            <w:t xml:space="preserve">Effective:  </w:t>
          </w:r>
          <w:r>
            <w:fldChar w:fldCharType="end"/>
          </w:r>
          <w:r>
            <w:fldChar w:fldCharType="begin"/>
          </w:r>
          <w:r>
            <w:instrText xml:space="preserve"> DOCPROPERTY "StartDt"   </w:instrText>
          </w:r>
          <w:r>
            <w:fldChar w:fldCharType="separate"/>
          </w:r>
          <w:r w:rsidR="0003076A">
            <w:t>16/06/18</w:t>
          </w:r>
          <w:r>
            <w:fldChar w:fldCharType="end"/>
          </w:r>
          <w:r>
            <w:fldChar w:fldCharType="begin"/>
          </w:r>
          <w:r>
            <w:instrText xml:space="preserve"> DOCPROPERTY "EndDt"  </w:instrText>
          </w:r>
          <w:r>
            <w:fldChar w:fldCharType="separate"/>
          </w:r>
          <w:r w:rsidR="0003076A">
            <w:t>-03/12/18</w:t>
          </w:r>
          <w:r>
            <w:fldChar w:fldCharType="end"/>
          </w:r>
        </w:p>
      </w:tc>
      <w:tc>
        <w:tcPr>
          <w:tcW w:w="1061" w:type="pct"/>
        </w:tcPr>
        <w:p w:rsidR="00951C4D" w:rsidRDefault="00A66D89">
          <w:pPr>
            <w:pStyle w:val="Footer"/>
            <w:jc w:val="right"/>
          </w:pPr>
          <w:r>
            <w:fldChar w:fldCharType="begin"/>
          </w:r>
          <w:r>
            <w:instrText xml:space="preserve"> DOCPROPERTY "Category"  </w:instrText>
          </w:r>
          <w:r>
            <w:fldChar w:fldCharType="separate"/>
          </w:r>
          <w:r w:rsidR="0003076A">
            <w:t>R3</w:t>
          </w:r>
          <w:r>
            <w:fldChar w:fldCharType="end"/>
          </w:r>
          <w:r w:rsidR="00951C4D">
            <w:br/>
          </w:r>
          <w:r>
            <w:fldChar w:fldCharType="begin"/>
          </w:r>
          <w:r>
            <w:instrText xml:space="preserve"> DOCPROPERTY "RepubDt"  </w:instrText>
          </w:r>
          <w:r>
            <w:fldChar w:fldCharType="separate"/>
          </w:r>
          <w:r w:rsidR="0003076A">
            <w:t>16/06/18</w:t>
          </w:r>
          <w: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51C4D">
      <w:tc>
        <w:tcPr>
          <w:tcW w:w="1061" w:type="pct"/>
        </w:tcPr>
        <w:p w:rsidR="00951C4D" w:rsidRDefault="00A66D89">
          <w:pPr>
            <w:pStyle w:val="Footer"/>
          </w:pPr>
          <w:r>
            <w:fldChar w:fldCharType="begin"/>
          </w:r>
          <w:r>
            <w:instrText xml:space="preserve"> DOCPROPERTY "Category"  </w:instrText>
          </w:r>
          <w:r>
            <w:fldChar w:fldCharType="separate"/>
          </w:r>
          <w:r w:rsidR="0003076A">
            <w:t>R3</w:t>
          </w:r>
          <w:r>
            <w:fldChar w:fldCharType="end"/>
          </w:r>
          <w:r w:rsidR="00951C4D">
            <w:br/>
          </w:r>
          <w:r>
            <w:fldChar w:fldCharType="begin"/>
          </w:r>
          <w:r>
            <w:instrText xml:space="preserve"> DOCPROPERTY "RepubDt"  </w:instrText>
          </w:r>
          <w:r>
            <w:fldChar w:fldCharType="separate"/>
          </w:r>
          <w:r w:rsidR="0003076A">
            <w:t>16/06/18</w:t>
          </w:r>
          <w:r>
            <w:fldChar w:fldCharType="end"/>
          </w:r>
        </w:p>
      </w:tc>
      <w:tc>
        <w:tcPr>
          <w:tcW w:w="3093"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w:instrText>
          </w:r>
          <w:r>
            <w:fldChar w:fldCharType="separate"/>
          </w:r>
          <w:r w:rsidR="0003076A">
            <w:t xml:space="preserve">Effective:  </w:t>
          </w:r>
          <w:r>
            <w:fldChar w:fldCharType="end"/>
          </w:r>
          <w:r>
            <w:fldChar w:fldCharType="begin"/>
          </w:r>
          <w:r>
            <w:instrText xml:space="preserve"> DOCPROPERTY "StartDt"  </w:instrText>
          </w:r>
          <w:r>
            <w:fldChar w:fldCharType="separate"/>
          </w:r>
          <w:r w:rsidR="0003076A">
            <w:t>16/06/18</w:t>
          </w:r>
          <w:r>
            <w:fldChar w:fldCharType="end"/>
          </w:r>
          <w:r>
            <w:fldChar w:fldCharType="begin"/>
          </w:r>
          <w:r>
            <w:instrText xml:space="preserve"> DOCPROPERTY "EndDt"  </w:instrText>
          </w:r>
          <w:r>
            <w:fldChar w:fldCharType="separate"/>
          </w:r>
          <w:r w:rsidR="0003076A">
            <w:t>-03/12/18</w:t>
          </w:r>
          <w:r>
            <w:fldChar w:fldCharType="end"/>
          </w:r>
        </w:p>
      </w:tc>
      <w:tc>
        <w:tcPr>
          <w:tcW w:w="846" w:type="pct"/>
        </w:tcPr>
        <w:p w:rsidR="00951C4D" w:rsidRDefault="00951C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3</w:t>
          </w:r>
          <w:r>
            <w:rPr>
              <w:rStyle w:val="PageNumber"/>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51C4D">
      <w:tc>
        <w:tcPr>
          <w:tcW w:w="1061" w:type="pct"/>
        </w:tcPr>
        <w:p w:rsidR="00951C4D" w:rsidRDefault="00A66D89">
          <w:pPr>
            <w:pStyle w:val="Footer"/>
          </w:pPr>
          <w:r>
            <w:fldChar w:fldCharType="begin"/>
          </w:r>
          <w:r>
            <w:instrText xml:space="preserve"> DOCPROPERTY "Category"  </w:instrText>
          </w:r>
          <w:r>
            <w:fldChar w:fldCharType="separate"/>
          </w:r>
          <w:r w:rsidR="0003076A">
            <w:t>R3</w:t>
          </w:r>
          <w:r>
            <w:fldChar w:fldCharType="end"/>
          </w:r>
          <w:r w:rsidR="00951C4D">
            <w:br/>
          </w:r>
          <w:r>
            <w:fldChar w:fldCharType="begin"/>
          </w:r>
          <w:r>
            <w:instrText xml:space="preserve"> DOCPROPERTY "RepubDt"  </w:instrText>
          </w:r>
          <w:r>
            <w:fldChar w:fldCharType="separate"/>
          </w:r>
          <w:r w:rsidR="0003076A">
            <w:t>16/06/18</w:t>
          </w:r>
          <w:r>
            <w:fldChar w:fldCharType="end"/>
          </w:r>
        </w:p>
      </w:tc>
      <w:tc>
        <w:tcPr>
          <w:tcW w:w="3093"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w:instrText>
          </w:r>
          <w:r>
            <w:fldChar w:fldCharType="separate"/>
          </w:r>
          <w:r w:rsidR="0003076A">
            <w:t xml:space="preserve">Effective:  </w:t>
          </w:r>
          <w:r>
            <w:fldChar w:fldCharType="end"/>
          </w:r>
          <w:r>
            <w:fldChar w:fldCharType="begin"/>
          </w:r>
          <w:r>
            <w:instrText xml:space="preserve"> DOCPROPERTY "StartDt"   </w:instrText>
          </w:r>
          <w:r>
            <w:fldChar w:fldCharType="separate"/>
          </w:r>
          <w:r w:rsidR="0003076A">
            <w:t>16/06/18</w:t>
          </w:r>
          <w:r>
            <w:fldChar w:fldCharType="end"/>
          </w:r>
          <w:r>
            <w:fldChar w:fldCharType="begin"/>
          </w:r>
          <w:r>
            <w:instrText xml:space="preserve"> DOCPROPERTY "EndDt"  </w:instrText>
          </w:r>
          <w:r>
            <w:fldChar w:fldCharType="separate"/>
          </w:r>
          <w:r w:rsidR="0003076A">
            <w:t>-03/12/18</w:t>
          </w:r>
          <w:r>
            <w:fldChar w:fldCharType="end"/>
          </w:r>
        </w:p>
      </w:tc>
      <w:tc>
        <w:tcPr>
          <w:tcW w:w="846" w:type="pct"/>
        </w:tcPr>
        <w:p w:rsidR="00951C4D" w:rsidRDefault="00951C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1</w:t>
          </w:r>
          <w:r>
            <w:rPr>
              <w:rStyle w:val="PageNumber"/>
            </w:rPr>
            <w:fldChar w:fldCharType="end"/>
          </w:r>
        </w:p>
      </w:tc>
    </w:tr>
  </w:tbl>
  <w:p w:rsidR="00951C4D" w:rsidRPr="00555C22" w:rsidRDefault="00555C22" w:rsidP="00555C22">
    <w:pPr>
      <w:pStyle w:val="Status"/>
      <w:rPr>
        <w:rFonts w:cs="Arial"/>
      </w:rPr>
    </w:pPr>
    <w:r w:rsidRPr="00555C2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1C4D">
      <w:tc>
        <w:tcPr>
          <w:tcW w:w="847" w:type="pct"/>
        </w:tcPr>
        <w:p w:rsidR="00951C4D" w:rsidRDefault="00951C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2</w:t>
          </w:r>
          <w:r>
            <w:rPr>
              <w:rStyle w:val="PageNumber"/>
            </w:rP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1061" w:type="pct"/>
        </w:tcPr>
        <w:p w:rsidR="00951C4D" w:rsidRDefault="00A66D89">
          <w:pPr>
            <w:pStyle w:val="Footer"/>
            <w:jc w:val="right"/>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1C4D">
      <w:tc>
        <w:tcPr>
          <w:tcW w:w="1061" w:type="pct"/>
        </w:tcPr>
        <w:p w:rsidR="00951C4D" w:rsidRDefault="00A66D89">
          <w:pPr>
            <w:pStyle w:val="Footer"/>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w:instrText>
          </w:r>
          <w:r>
            <w:instrText xml:space="preserve">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847" w:type="pct"/>
        </w:tcPr>
        <w:p w:rsidR="00951C4D" w:rsidRDefault="00951C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3</w:t>
          </w:r>
          <w:r>
            <w:rPr>
              <w:rStyle w:val="PageNumber"/>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51C4D">
      <w:tc>
        <w:tcPr>
          <w:tcW w:w="1061" w:type="pct"/>
        </w:tcPr>
        <w:p w:rsidR="00951C4D" w:rsidRDefault="00A66D89">
          <w:pPr>
            <w:pStyle w:val="Footer"/>
          </w:pPr>
          <w:r>
            <w:fldChar w:fldCharType="begin"/>
          </w:r>
          <w:r>
            <w:instrText xml:space="preserve"> DOCPROPERTY "Category"  *\charformat  </w:instrText>
          </w:r>
          <w:r>
            <w:fldChar w:fldCharType="separate"/>
          </w:r>
          <w:r w:rsidR="0003076A">
            <w:t>R3</w:t>
          </w:r>
          <w:r>
            <w:fldChar w:fldCharType="end"/>
          </w:r>
          <w:r w:rsidR="00951C4D">
            <w:br/>
          </w:r>
          <w:r>
            <w:fldChar w:fldCharType="begin"/>
          </w:r>
          <w:r>
            <w:instrText xml:space="preserve"> DOCPROPERTY "RepubDt"  *\charformat  </w:instrText>
          </w:r>
          <w:r>
            <w:fldChar w:fldCharType="separate"/>
          </w:r>
          <w:r w:rsidR="0003076A">
            <w:t>16/06/18</w:t>
          </w:r>
          <w:r>
            <w:fldChar w:fldCharType="end"/>
          </w:r>
        </w:p>
      </w:tc>
      <w:tc>
        <w:tcPr>
          <w:tcW w:w="3092" w:type="pct"/>
        </w:tcPr>
        <w:p w:rsidR="00951C4D" w:rsidRDefault="00A66D89">
          <w:pPr>
            <w:pStyle w:val="Footer"/>
            <w:jc w:val="center"/>
          </w:pPr>
          <w:r>
            <w:fldChar w:fldCharType="begin"/>
          </w:r>
          <w:r>
            <w:instrText xml:space="preserve"> REF Citation *\charformat </w:instrText>
          </w:r>
          <w:r>
            <w:fldChar w:fldCharType="separate"/>
          </w:r>
          <w:r w:rsidR="0003076A">
            <w:t>Casino (Electronic Gaming) Act 2017</w:t>
          </w:r>
          <w:r>
            <w:fldChar w:fldCharType="end"/>
          </w:r>
        </w:p>
        <w:p w:rsidR="00951C4D" w:rsidRDefault="00A66D89">
          <w:pPr>
            <w:pStyle w:val="FooterInfoCentre"/>
          </w:pPr>
          <w:r>
            <w:fldChar w:fldCharType="begin"/>
          </w:r>
          <w:r>
            <w:instrText xml:space="preserve"> DOCPROPERTY "Eff"  *\charformat </w:instrText>
          </w:r>
          <w:r>
            <w:fldChar w:fldCharType="separate"/>
          </w:r>
          <w:r w:rsidR="0003076A">
            <w:t xml:space="preserve">Effective:  </w:t>
          </w:r>
          <w:r>
            <w:fldChar w:fldCharType="end"/>
          </w:r>
          <w:r>
            <w:fldChar w:fldCharType="begin"/>
          </w:r>
          <w:r>
            <w:instrText xml:space="preserve"> DOCPROPERTY "StartDt"  *\charformat </w:instrText>
          </w:r>
          <w:r>
            <w:fldChar w:fldCharType="separate"/>
          </w:r>
          <w:r w:rsidR="0003076A">
            <w:t>16/06/18</w:t>
          </w:r>
          <w:r>
            <w:fldChar w:fldCharType="end"/>
          </w:r>
          <w:r>
            <w:fldChar w:fldCharType="begin"/>
          </w:r>
          <w:r>
            <w:instrText xml:space="preserve"> DOCPROPERTY "EndDt"  *\charformat </w:instrText>
          </w:r>
          <w:r>
            <w:fldChar w:fldCharType="separate"/>
          </w:r>
          <w:r w:rsidR="0003076A">
            <w:t>-03/12/18</w:t>
          </w:r>
          <w:r>
            <w:fldChar w:fldCharType="end"/>
          </w:r>
        </w:p>
      </w:tc>
      <w:tc>
        <w:tcPr>
          <w:tcW w:w="847" w:type="pct"/>
        </w:tcPr>
        <w:p w:rsidR="00951C4D" w:rsidRDefault="00951C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55C22">
            <w:rPr>
              <w:rStyle w:val="PageNumber"/>
              <w:noProof/>
            </w:rPr>
            <w:t>1</w:t>
          </w:r>
          <w:r>
            <w:rPr>
              <w:rStyle w:val="PageNumber"/>
            </w:rPr>
            <w:fldChar w:fldCharType="end"/>
          </w:r>
        </w:p>
      </w:tc>
    </w:tr>
  </w:tbl>
  <w:p w:rsidR="00951C4D" w:rsidRPr="00555C22" w:rsidRDefault="00A66D89" w:rsidP="00555C22">
    <w:pPr>
      <w:pStyle w:val="Status"/>
      <w:rPr>
        <w:rFonts w:cs="Arial"/>
      </w:rPr>
    </w:pPr>
    <w:r w:rsidRPr="00555C22">
      <w:rPr>
        <w:rFonts w:cs="Arial"/>
      </w:rPr>
      <w:fldChar w:fldCharType="begin"/>
    </w:r>
    <w:r w:rsidRPr="00555C22">
      <w:rPr>
        <w:rFonts w:cs="Arial"/>
      </w:rPr>
      <w:instrText xml:space="preserve"> DOCPROPERTY "Status" </w:instrText>
    </w:r>
    <w:r w:rsidRPr="00555C22">
      <w:rPr>
        <w:rFonts w:cs="Arial"/>
      </w:rPr>
      <w:fldChar w:fldCharType="separate"/>
    </w:r>
    <w:r w:rsidR="0003076A" w:rsidRPr="00555C22">
      <w:rPr>
        <w:rFonts w:cs="Arial"/>
      </w:rPr>
      <w:t xml:space="preserve"> </w:t>
    </w:r>
    <w:r w:rsidRPr="00555C22">
      <w:rPr>
        <w:rFonts w:cs="Arial"/>
      </w:rPr>
      <w:fldChar w:fldCharType="end"/>
    </w:r>
    <w:r w:rsidR="00555C22" w:rsidRPr="00555C2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4D" w:rsidRDefault="00951C4D">
      <w:r>
        <w:separator/>
      </w:r>
    </w:p>
  </w:footnote>
  <w:footnote w:type="continuationSeparator" w:id="0">
    <w:p w:rsidR="00951C4D" w:rsidRDefault="0095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Default="003F38D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51C4D" w:rsidRPr="00CB3D59">
      <w:trPr>
        <w:jc w:val="center"/>
      </w:trPr>
      <w:tc>
        <w:tcPr>
          <w:tcW w:w="1560" w:type="dxa"/>
        </w:tcPr>
        <w:p w:rsidR="00951C4D" w:rsidRPr="00ED273E" w:rsidRDefault="00951C4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CE71D4">
            <w:rPr>
              <w:rFonts w:cs="Arial"/>
              <w:b/>
              <w:noProof/>
              <w:szCs w:val="18"/>
            </w:rPr>
            <w:t>Schedule 4</w:t>
          </w:r>
          <w:r w:rsidRPr="00ED273E">
            <w:rPr>
              <w:rFonts w:cs="Arial"/>
              <w:b/>
              <w:szCs w:val="18"/>
            </w:rPr>
            <w:fldChar w:fldCharType="end"/>
          </w:r>
        </w:p>
      </w:tc>
      <w:tc>
        <w:tcPr>
          <w:tcW w:w="5741" w:type="dxa"/>
        </w:tcPr>
        <w:p w:rsidR="00951C4D" w:rsidRPr="00ED273E" w:rsidRDefault="00951C4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CE71D4">
            <w:rPr>
              <w:rFonts w:cs="Arial"/>
              <w:noProof/>
              <w:szCs w:val="18"/>
            </w:rPr>
            <w:t>Other amendments—maximum authorisation numbers</w:t>
          </w:r>
          <w:r w:rsidRPr="00ED273E">
            <w:rPr>
              <w:rFonts w:cs="Arial"/>
              <w:szCs w:val="18"/>
            </w:rPr>
            <w:fldChar w:fldCharType="end"/>
          </w:r>
        </w:p>
      </w:tc>
    </w:tr>
    <w:tr w:rsidR="00951C4D" w:rsidRPr="00CB3D59">
      <w:trPr>
        <w:jc w:val="center"/>
      </w:trPr>
      <w:tc>
        <w:tcPr>
          <w:tcW w:w="1560" w:type="dxa"/>
        </w:tcPr>
        <w:p w:rsidR="00951C4D" w:rsidRPr="00ED273E" w:rsidRDefault="00951C4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CE71D4">
            <w:rPr>
              <w:rFonts w:cs="Arial"/>
              <w:b/>
              <w:noProof/>
              <w:szCs w:val="18"/>
            </w:rPr>
            <w:t>Part 4.2</w:t>
          </w:r>
          <w:r w:rsidRPr="00ED273E">
            <w:rPr>
              <w:rFonts w:cs="Arial"/>
              <w:b/>
              <w:szCs w:val="18"/>
            </w:rPr>
            <w:fldChar w:fldCharType="end"/>
          </w:r>
        </w:p>
      </w:tc>
      <w:tc>
        <w:tcPr>
          <w:tcW w:w="5741" w:type="dxa"/>
        </w:tcPr>
        <w:p w:rsidR="00951C4D" w:rsidRPr="00ED273E" w:rsidRDefault="00951C4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CE71D4">
            <w:rPr>
              <w:rFonts w:cs="Arial"/>
              <w:noProof/>
              <w:szCs w:val="18"/>
            </w:rPr>
            <w:t>Gaming Machine Act 2004</w:t>
          </w:r>
          <w:r w:rsidRPr="00ED273E">
            <w:rPr>
              <w:rFonts w:cs="Arial"/>
              <w:szCs w:val="18"/>
            </w:rPr>
            <w:fldChar w:fldCharType="end"/>
          </w:r>
        </w:p>
      </w:tc>
    </w:tr>
    <w:tr w:rsidR="00951C4D" w:rsidRPr="00CB3D59">
      <w:trPr>
        <w:jc w:val="center"/>
      </w:trPr>
      <w:tc>
        <w:tcPr>
          <w:tcW w:w="7296" w:type="dxa"/>
          <w:gridSpan w:val="2"/>
          <w:tcBorders>
            <w:bottom w:val="single" w:sz="4" w:space="0" w:color="auto"/>
          </w:tcBorders>
        </w:tcPr>
        <w:p w:rsidR="00951C4D" w:rsidRPr="00ED273E" w:rsidRDefault="00951C4D" w:rsidP="00EF5D29">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CE71D4">
            <w:rPr>
              <w:rFonts w:cs="Arial"/>
              <w:noProof/>
              <w:szCs w:val="18"/>
            </w:rPr>
            <w:t>[4.2]</w:t>
          </w:r>
          <w:r w:rsidRPr="00ED273E">
            <w:rPr>
              <w:rFonts w:cs="Arial"/>
              <w:szCs w:val="18"/>
            </w:rPr>
            <w:fldChar w:fldCharType="end"/>
          </w:r>
        </w:p>
      </w:tc>
    </w:tr>
  </w:tbl>
  <w:p w:rsidR="00951C4D" w:rsidRDefault="00951C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51C4D" w:rsidRPr="00CB3D59">
      <w:trPr>
        <w:jc w:val="center"/>
      </w:trPr>
      <w:tc>
        <w:tcPr>
          <w:tcW w:w="5741" w:type="dxa"/>
        </w:tcPr>
        <w:p w:rsidR="00951C4D" w:rsidRPr="00ED273E" w:rsidRDefault="00951C4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CE71D4">
            <w:rPr>
              <w:rFonts w:cs="Arial"/>
              <w:noProof/>
              <w:szCs w:val="18"/>
            </w:rPr>
            <w:t>Other amendments—maximum authorisation numbers</w:t>
          </w:r>
          <w:r w:rsidRPr="00ED273E">
            <w:rPr>
              <w:rFonts w:cs="Arial"/>
              <w:szCs w:val="18"/>
            </w:rPr>
            <w:fldChar w:fldCharType="end"/>
          </w:r>
        </w:p>
      </w:tc>
      <w:tc>
        <w:tcPr>
          <w:tcW w:w="1560" w:type="dxa"/>
        </w:tcPr>
        <w:p w:rsidR="00951C4D" w:rsidRPr="00ED273E" w:rsidRDefault="00951C4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CE71D4">
            <w:rPr>
              <w:rFonts w:cs="Arial"/>
              <w:b/>
              <w:noProof/>
              <w:szCs w:val="18"/>
            </w:rPr>
            <w:t>Schedule 4</w:t>
          </w:r>
          <w:r w:rsidRPr="00ED273E">
            <w:rPr>
              <w:rFonts w:cs="Arial"/>
              <w:b/>
              <w:szCs w:val="18"/>
            </w:rPr>
            <w:fldChar w:fldCharType="end"/>
          </w:r>
        </w:p>
      </w:tc>
    </w:tr>
    <w:tr w:rsidR="00951C4D" w:rsidRPr="00CB3D59">
      <w:trPr>
        <w:jc w:val="center"/>
      </w:trPr>
      <w:tc>
        <w:tcPr>
          <w:tcW w:w="5741" w:type="dxa"/>
        </w:tcPr>
        <w:p w:rsidR="00951C4D" w:rsidRPr="00ED273E" w:rsidRDefault="00951C4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CE71D4">
            <w:rPr>
              <w:rFonts w:cs="Arial"/>
              <w:noProof/>
              <w:szCs w:val="18"/>
            </w:rPr>
            <w:t>Gambling and Racing Control Act 1999</w:t>
          </w:r>
          <w:r w:rsidRPr="00ED273E">
            <w:rPr>
              <w:rFonts w:cs="Arial"/>
              <w:szCs w:val="18"/>
            </w:rPr>
            <w:fldChar w:fldCharType="end"/>
          </w:r>
        </w:p>
      </w:tc>
      <w:tc>
        <w:tcPr>
          <w:tcW w:w="1560" w:type="dxa"/>
        </w:tcPr>
        <w:p w:rsidR="00951C4D" w:rsidRPr="00ED273E" w:rsidRDefault="00951C4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CE71D4">
            <w:rPr>
              <w:rFonts w:cs="Arial"/>
              <w:b/>
              <w:noProof/>
              <w:szCs w:val="18"/>
            </w:rPr>
            <w:t>Part 4.1</w:t>
          </w:r>
          <w:r w:rsidRPr="00ED273E">
            <w:rPr>
              <w:rFonts w:cs="Arial"/>
              <w:b/>
              <w:szCs w:val="18"/>
            </w:rPr>
            <w:fldChar w:fldCharType="end"/>
          </w:r>
        </w:p>
      </w:tc>
    </w:tr>
    <w:tr w:rsidR="00951C4D" w:rsidRPr="00CB3D59">
      <w:trPr>
        <w:jc w:val="center"/>
      </w:trPr>
      <w:tc>
        <w:tcPr>
          <w:tcW w:w="7296" w:type="dxa"/>
          <w:gridSpan w:val="2"/>
          <w:tcBorders>
            <w:bottom w:val="single" w:sz="4" w:space="0" w:color="auto"/>
          </w:tcBorders>
        </w:tcPr>
        <w:p w:rsidR="00951C4D" w:rsidRPr="00ED273E" w:rsidRDefault="00951C4D" w:rsidP="00EF5D29">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CE71D4">
            <w:rPr>
              <w:rFonts w:cs="Arial"/>
              <w:noProof/>
              <w:szCs w:val="18"/>
            </w:rPr>
            <w:t>[4.1]</w:t>
          </w:r>
          <w:r w:rsidRPr="00ED273E">
            <w:rPr>
              <w:rFonts w:cs="Arial"/>
              <w:szCs w:val="18"/>
            </w:rPr>
            <w:fldChar w:fldCharType="end"/>
          </w:r>
        </w:p>
      </w:tc>
    </w:tr>
  </w:tbl>
  <w:p w:rsidR="00951C4D" w:rsidRDefault="00951C4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951C4D">
      <w:trPr>
        <w:jc w:val="center"/>
      </w:trPr>
      <w:tc>
        <w:tcPr>
          <w:tcW w:w="1340" w:type="dxa"/>
        </w:tcPr>
        <w:p w:rsidR="00951C4D" w:rsidRDefault="00951C4D">
          <w:pPr>
            <w:pStyle w:val="HeaderEven"/>
          </w:pPr>
        </w:p>
      </w:tc>
      <w:tc>
        <w:tcPr>
          <w:tcW w:w="6583" w:type="dxa"/>
        </w:tcPr>
        <w:p w:rsidR="00951C4D" w:rsidRDefault="00951C4D">
          <w:pPr>
            <w:pStyle w:val="HeaderEven"/>
          </w:pPr>
        </w:p>
      </w:tc>
    </w:tr>
    <w:tr w:rsidR="00951C4D">
      <w:trPr>
        <w:jc w:val="center"/>
      </w:trPr>
      <w:tc>
        <w:tcPr>
          <w:tcW w:w="7923" w:type="dxa"/>
          <w:gridSpan w:val="2"/>
          <w:tcBorders>
            <w:bottom w:val="single" w:sz="4" w:space="0" w:color="auto"/>
          </w:tcBorders>
        </w:tcPr>
        <w:p w:rsidR="00951C4D" w:rsidRDefault="00951C4D">
          <w:pPr>
            <w:pStyle w:val="HeaderEven6"/>
          </w:pPr>
          <w:r>
            <w:t>Dictionary</w:t>
          </w:r>
        </w:p>
      </w:tc>
    </w:tr>
  </w:tbl>
  <w:p w:rsidR="00951C4D" w:rsidRDefault="00951C4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951C4D">
      <w:trPr>
        <w:jc w:val="center"/>
      </w:trPr>
      <w:tc>
        <w:tcPr>
          <w:tcW w:w="6583" w:type="dxa"/>
        </w:tcPr>
        <w:p w:rsidR="00951C4D" w:rsidRDefault="00951C4D">
          <w:pPr>
            <w:pStyle w:val="HeaderOdd"/>
          </w:pPr>
        </w:p>
      </w:tc>
      <w:tc>
        <w:tcPr>
          <w:tcW w:w="1340" w:type="dxa"/>
        </w:tcPr>
        <w:p w:rsidR="00951C4D" w:rsidRDefault="00951C4D">
          <w:pPr>
            <w:pStyle w:val="HeaderOdd"/>
          </w:pPr>
        </w:p>
      </w:tc>
    </w:tr>
    <w:tr w:rsidR="00951C4D">
      <w:trPr>
        <w:jc w:val="center"/>
      </w:trPr>
      <w:tc>
        <w:tcPr>
          <w:tcW w:w="7923" w:type="dxa"/>
          <w:gridSpan w:val="2"/>
          <w:tcBorders>
            <w:bottom w:val="single" w:sz="4" w:space="0" w:color="auto"/>
          </w:tcBorders>
        </w:tcPr>
        <w:p w:rsidR="00951C4D" w:rsidRDefault="00951C4D">
          <w:pPr>
            <w:pStyle w:val="HeaderOdd6"/>
          </w:pPr>
          <w:r>
            <w:t>Dictionary</w:t>
          </w:r>
        </w:p>
      </w:tc>
    </w:tr>
  </w:tbl>
  <w:p w:rsidR="00951C4D" w:rsidRDefault="00951C4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951C4D">
      <w:trPr>
        <w:jc w:val="center"/>
      </w:trPr>
      <w:tc>
        <w:tcPr>
          <w:tcW w:w="1234" w:type="dxa"/>
          <w:gridSpan w:val="2"/>
        </w:tcPr>
        <w:p w:rsidR="00951C4D" w:rsidRDefault="00951C4D">
          <w:pPr>
            <w:pStyle w:val="HeaderEven"/>
            <w:rPr>
              <w:b/>
            </w:rPr>
          </w:pPr>
          <w:r>
            <w:rPr>
              <w:b/>
            </w:rPr>
            <w:t>Endnotes</w:t>
          </w:r>
        </w:p>
      </w:tc>
      <w:tc>
        <w:tcPr>
          <w:tcW w:w="6062" w:type="dxa"/>
        </w:tcPr>
        <w:p w:rsidR="00951C4D" w:rsidRDefault="00951C4D">
          <w:pPr>
            <w:pStyle w:val="HeaderEven"/>
          </w:pPr>
        </w:p>
      </w:tc>
    </w:tr>
    <w:tr w:rsidR="00951C4D">
      <w:trPr>
        <w:cantSplit/>
        <w:jc w:val="center"/>
      </w:trPr>
      <w:tc>
        <w:tcPr>
          <w:tcW w:w="7296" w:type="dxa"/>
          <w:gridSpan w:val="3"/>
        </w:tcPr>
        <w:p w:rsidR="00951C4D" w:rsidRDefault="00951C4D">
          <w:pPr>
            <w:pStyle w:val="HeaderEven"/>
          </w:pPr>
        </w:p>
      </w:tc>
    </w:tr>
    <w:tr w:rsidR="00951C4D">
      <w:trPr>
        <w:cantSplit/>
        <w:jc w:val="center"/>
      </w:trPr>
      <w:tc>
        <w:tcPr>
          <w:tcW w:w="700" w:type="dxa"/>
          <w:tcBorders>
            <w:bottom w:val="single" w:sz="4" w:space="0" w:color="auto"/>
          </w:tcBorders>
        </w:tcPr>
        <w:p w:rsidR="00951C4D" w:rsidRDefault="00A66D89">
          <w:pPr>
            <w:pStyle w:val="HeaderEven6"/>
          </w:pPr>
          <w:r>
            <w:fldChar w:fldCharType="begin"/>
          </w:r>
          <w:r>
            <w:instrText xml:space="preserve"> STYLEREF charTableNo \*charformat </w:instrText>
          </w:r>
          <w:r>
            <w:fldChar w:fldCharType="separate"/>
          </w:r>
          <w:r w:rsidR="00CE71D4">
            <w:rPr>
              <w:noProof/>
            </w:rPr>
            <w:t>3</w:t>
          </w:r>
          <w:r>
            <w:rPr>
              <w:noProof/>
            </w:rPr>
            <w:fldChar w:fldCharType="end"/>
          </w:r>
        </w:p>
      </w:tc>
      <w:tc>
        <w:tcPr>
          <w:tcW w:w="6600" w:type="dxa"/>
          <w:gridSpan w:val="2"/>
          <w:tcBorders>
            <w:bottom w:val="single" w:sz="4" w:space="0" w:color="auto"/>
          </w:tcBorders>
        </w:tcPr>
        <w:p w:rsidR="00951C4D" w:rsidRDefault="00A66D89">
          <w:pPr>
            <w:pStyle w:val="HeaderEven6"/>
          </w:pPr>
          <w:r>
            <w:fldChar w:fldCharType="begin"/>
          </w:r>
          <w:r>
            <w:instrText xml:space="preserve"> STYLEREF charTableText \*charformat </w:instrText>
          </w:r>
          <w:r>
            <w:fldChar w:fldCharType="separate"/>
          </w:r>
          <w:r w:rsidR="00CE71D4">
            <w:rPr>
              <w:noProof/>
            </w:rPr>
            <w:t>Legislation history</w:t>
          </w:r>
          <w:r>
            <w:rPr>
              <w:noProof/>
            </w:rPr>
            <w:fldChar w:fldCharType="end"/>
          </w:r>
        </w:p>
      </w:tc>
    </w:tr>
  </w:tbl>
  <w:p w:rsidR="00951C4D" w:rsidRDefault="00951C4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951C4D">
      <w:trPr>
        <w:jc w:val="center"/>
      </w:trPr>
      <w:tc>
        <w:tcPr>
          <w:tcW w:w="5741" w:type="dxa"/>
        </w:tcPr>
        <w:p w:rsidR="00951C4D" w:rsidRDefault="00951C4D">
          <w:pPr>
            <w:pStyle w:val="HeaderEven"/>
            <w:jc w:val="right"/>
          </w:pPr>
        </w:p>
      </w:tc>
      <w:tc>
        <w:tcPr>
          <w:tcW w:w="1560" w:type="dxa"/>
          <w:gridSpan w:val="2"/>
        </w:tcPr>
        <w:p w:rsidR="00951C4D" w:rsidRDefault="00951C4D">
          <w:pPr>
            <w:pStyle w:val="HeaderEven"/>
            <w:jc w:val="right"/>
            <w:rPr>
              <w:b/>
            </w:rPr>
          </w:pPr>
          <w:r>
            <w:rPr>
              <w:b/>
            </w:rPr>
            <w:t>Endnotes</w:t>
          </w:r>
        </w:p>
      </w:tc>
    </w:tr>
    <w:tr w:rsidR="00951C4D">
      <w:trPr>
        <w:jc w:val="center"/>
      </w:trPr>
      <w:tc>
        <w:tcPr>
          <w:tcW w:w="7301" w:type="dxa"/>
          <w:gridSpan w:val="3"/>
        </w:tcPr>
        <w:p w:rsidR="00951C4D" w:rsidRDefault="00951C4D">
          <w:pPr>
            <w:pStyle w:val="HeaderEven"/>
            <w:jc w:val="right"/>
            <w:rPr>
              <w:b/>
            </w:rPr>
          </w:pPr>
        </w:p>
      </w:tc>
    </w:tr>
    <w:tr w:rsidR="00951C4D">
      <w:trPr>
        <w:jc w:val="center"/>
      </w:trPr>
      <w:tc>
        <w:tcPr>
          <w:tcW w:w="6600" w:type="dxa"/>
          <w:gridSpan w:val="2"/>
          <w:tcBorders>
            <w:bottom w:val="single" w:sz="4" w:space="0" w:color="auto"/>
          </w:tcBorders>
        </w:tcPr>
        <w:p w:rsidR="00951C4D" w:rsidRDefault="00A66D89">
          <w:pPr>
            <w:pStyle w:val="HeaderOdd6"/>
          </w:pPr>
          <w:r>
            <w:fldChar w:fldCharType="begin"/>
          </w:r>
          <w:r>
            <w:instrText xml:space="preserve"> STYLEREF charTableText \*charformat </w:instrText>
          </w:r>
          <w:r>
            <w:fldChar w:fldCharType="separate"/>
          </w:r>
          <w:r w:rsidR="00CE71D4">
            <w:rPr>
              <w:noProof/>
            </w:rPr>
            <w:t>Earlier republications</w:t>
          </w:r>
          <w:r>
            <w:rPr>
              <w:noProof/>
            </w:rPr>
            <w:fldChar w:fldCharType="end"/>
          </w:r>
        </w:p>
      </w:tc>
      <w:tc>
        <w:tcPr>
          <w:tcW w:w="700" w:type="dxa"/>
          <w:tcBorders>
            <w:bottom w:val="single" w:sz="4" w:space="0" w:color="auto"/>
          </w:tcBorders>
        </w:tcPr>
        <w:p w:rsidR="00951C4D" w:rsidRDefault="00A66D89">
          <w:pPr>
            <w:pStyle w:val="HeaderOdd6"/>
          </w:pPr>
          <w:r>
            <w:fldChar w:fldCharType="begin"/>
          </w:r>
          <w:r>
            <w:instrText xml:space="preserve"> STYLEREF charTableNo \*charformat </w:instrText>
          </w:r>
          <w:r>
            <w:fldChar w:fldCharType="separate"/>
          </w:r>
          <w:r w:rsidR="00CE71D4">
            <w:rPr>
              <w:noProof/>
            </w:rPr>
            <w:t>5</w:t>
          </w:r>
          <w:r>
            <w:rPr>
              <w:noProof/>
            </w:rPr>
            <w:fldChar w:fldCharType="end"/>
          </w:r>
        </w:p>
      </w:tc>
    </w:tr>
  </w:tbl>
  <w:p w:rsidR="00951C4D" w:rsidRDefault="00951C4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4D" w:rsidRDefault="00951C4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951C4D" w:rsidRPr="00E06D02" w:rsidTr="00567644">
      <w:trPr>
        <w:jc w:val="center"/>
      </w:trPr>
      <w:tc>
        <w:tcPr>
          <w:tcW w:w="1068" w:type="pct"/>
        </w:tcPr>
        <w:p w:rsidR="00951C4D" w:rsidRPr="00567644" w:rsidRDefault="00951C4D" w:rsidP="00567644">
          <w:pPr>
            <w:pStyle w:val="HeaderEven"/>
            <w:tabs>
              <w:tab w:val="left" w:pos="700"/>
            </w:tabs>
            <w:ind w:left="697" w:hanging="697"/>
            <w:rPr>
              <w:rFonts w:cs="Arial"/>
              <w:szCs w:val="18"/>
            </w:rPr>
          </w:pPr>
        </w:p>
      </w:tc>
      <w:tc>
        <w:tcPr>
          <w:tcW w:w="3932" w:type="pct"/>
        </w:tcPr>
        <w:p w:rsidR="00951C4D" w:rsidRPr="00567644" w:rsidRDefault="00951C4D" w:rsidP="00567644">
          <w:pPr>
            <w:pStyle w:val="HeaderEven"/>
            <w:tabs>
              <w:tab w:val="left" w:pos="700"/>
            </w:tabs>
            <w:ind w:left="697" w:hanging="697"/>
            <w:rPr>
              <w:rFonts w:cs="Arial"/>
              <w:szCs w:val="18"/>
            </w:rPr>
          </w:pPr>
        </w:p>
      </w:tc>
    </w:tr>
    <w:tr w:rsidR="00951C4D" w:rsidRPr="00E06D02" w:rsidTr="00567644">
      <w:trPr>
        <w:jc w:val="center"/>
      </w:trPr>
      <w:tc>
        <w:tcPr>
          <w:tcW w:w="1068" w:type="pct"/>
        </w:tcPr>
        <w:p w:rsidR="00951C4D" w:rsidRPr="00567644" w:rsidRDefault="00951C4D" w:rsidP="00567644">
          <w:pPr>
            <w:pStyle w:val="HeaderEven"/>
            <w:tabs>
              <w:tab w:val="left" w:pos="700"/>
            </w:tabs>
            <w:ind w:left="697" w:hanging="697"/>
            <w:rPr>
              <w:rFonts w:cs="Arial"/>
              <w:szCs w:val="18"/>
            </w:rPr>
          </w:pPr>
        </w:p>
      </w:tc>
      <w:tc>
        <w:tcPr>
          <w:tcW w:w="3932" w:type="pct"/>
        </w:tcPr>
        <w:p w:rsidR="00951C4D" w:rsidRPr="00567644" w:rsidRDefault="00951C4D" w:rsidP="00567644">
          <w:pPr>
            <w:pStyle w:val="HeaderEven"/>
            <w:tabs>
              <w:tab w:val="left" w:pos="700"/>
            </w:tabs>
            <w:ind w:left="697" w:hanging="697"/>
            <w:rPr>
              <w:rFonts w:cs="Arial"/>
              <w:szCs w:val="18"/>
            </w:rPr>
          </w:pPr>
        </w:p>
      </w:tc>
    </w:tr>
    <w:tr w:rsidR="00951C4D" w:rsidRPr="00E06D02" w:rsidTr="00567644">
      <w:trPr>
        <w:cantSplit/>
        <w:jc w:val="center"/>
      </w:trPr>
      <w:tc>
        <w:tcPr>
          <w:tcW w:w="4997" w:type="pct"/>
          <w:gridSpan w:val="2"/>
          <w:tcBorders>
            <w:bottom w:val="single" w:sz="4" w:space="0" w:color="auto"/>
          </w:tcBorders>
        </w:tcPr>
        <w:p w:rsidR="00951C4D" w:rsidRPr="00567644" w:rsidRDefault="00951C4D" w:rsidP="00567644">
          <w:pPr>
            <w:pStyle w:val="HeaderEven6"/>
            <w:tabs>
              <w:tab w:val="left" w:pos="700"/>
            </w:tabs>
            <w:ind w:left="697" w:hanging="697"/>
            <w:rPr>
              <w:szCs w:val="18"/>
            </w:rPr>
          </w:pPr>
        </w:p>
      </w:tc>
    </w:tr>
  </w:tbl>
  <w:p w:rsidR="00951C4D" w:rsidRDefault="00951C4D"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Default="003F3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DA" w:rsidRDefault="003F38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51C4D">
      <w:tc>
        <w:tcPr>
          <w:tcW w:w="900" w:type="pct"/>
        </w:tcPr>
        <w:p w:rsidR="00951C4D" w:rsidRDefault="00951C4D">
          <w:pPr>
            <w:pStyle w:val="HeaderEven"/>
          </w:pPr>
        </w:p>
      </w:tc>
      <w:tc>
        <w:tcPr>
          <w:tcW w:w="4100" w:type="pct"/>
        </w:tcPr>
        <w:p w:rsidR="00951C4D" w:rsidRDefault="00951C4D">
          <w:pPr>
            <w:pStyle w:val="HeaderEven"/>
          </w:pPr>
        </w:p>
      </w:tc>
    </w:tr>
    <w:tr w:rsidR="00951C4D">
      <w:tc>
        <w:tcPr>
          <w:tcW w:w="4100" w:type="pct"/>
          <w:gridSpan w:val="2"/>
          <w:tcBorders>
            <w:bottom w:val="single" w:sz="4" w:space="0" w:color="auto"/>
          </w:tcBorders>
        </w:tcPr>
        <w:p w:rsidR="00951C4D" w:rsidRDefault="00A66D89">
          <w:pPr>
            <w:pStyle w:val="HeaderEven6"/>
          </w:pPr>
          <w:r>
            <w:fldChar w:fldCharType="begin"/>
          </w:r>
          <w:r>
            <w:instrText xml:space="preserve"> STYLEREF charContents \* ME</w:instrText>
          </w:r>
          <w:r>
            <w:instrText xml:space="preserve">RGEFORMAT </w:instrText>
          </w:r>
          <w:r>
            <w:fldChar w:fldCharType="separate"/>
          </w:r>
          <w:r w:rsidR="00555C22">
            <w:rPr>
              <w:noProof/>
            </w:rPr>
            <w:t>Contents</w:t>
          </w:r>
          <w:r>
            <w:rPr>
              <w:noProof/>
            </w:rPr>
            <w:fldChar w:fldCharType="end"/>
          </w:r>
        </w:p>
      </w:tc>
    </w:tr>
  </w:tbl>
  <w:p w:rsidR="00951C4D" w:rsidRDefault="00951C4D">
    <w:pPr>
      <w:pStyle w:val="N-9pt"/>
    </w:pPr>
    <w:r>
      <w:tab/>
    </w:r>
    <w:r w:rsidR="00A66D89">
      <w:fldChar w:fldCharType="begin"/>
    </w:r>
    <w:r w:rsidR="00A66D89">
      <w:instrText xml:space="preserve"> STYLEREF charPage \* MERGEFORMAT </w:instrText>
    </w:r>
    <w:r w:rsidR="00A66D89">
      <w:fldChar w:fldCharType="separate"/>
    </w:r>
    <w:r w:rsidR="00555C22">
      <w:rPr>
        <w:noProof/>
      </w:rPr>
      <w:t>Page</w:t>
    </w:r>
    <w:r w:rsidR="00A66D8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51C4D">
      <w:tc>
        <w:tcPr>
          <w:tcW w:w="4100" w:type="pct"/>
        </w:tcPr>
        <w:p w:rsidR="00951C4D" w:rsidRDefault="00951C4D">
          <w:pPr>
            <w:pStyle w:val="HeaderOdd"/>
          </w:pPr>
        </w:p>
      </w:tc>
      <w:tc>
        <w:tcPr>
          <w:tcW w:w="900" w:type="pct"/>
        </w:tcPr>
        <w:p w:rsidR="00951C4D" w:rsidRDefault="00951C4D">
          <w:pPr>
            <w:pStyle w:val="HeaderOdd"/>
          </w:pPr>
        </w:p>
      </w:tc>
    </w:tr>
    <w:tr w:rsidR="00951C4D">
      <w:tc>
        <w:tcPr>
          <w:tcW w:w="900" w:type="pct"/>
          <w:gridSpan w:val="2"/>
          <w:tcBorders>
            <w:bottom w:val="single" w:sz="4" w:space="0" w:color="auto"/>
          </w:tcBorders>
        </w:tcPr>
        <w:p w:rsidR="00951C4D" w:rsidRDefault="00A66D89">
          <w:pPr>
            <w:pStyle w:val="HeaderOdd6"/>
          </w:pPr>
          <w:r>
            <w:fldChar w:fldCharType="begin"/>
          </w:r>
          <w:r>
            <w:instrText xml:space="preserve"> STYLEREF charContents \* MERGEFORMAT </w:instrText>
          </w:r>
          <w:r>
            <w:fldChar w:fldCharType="separate"/>
          </w:r>
          <w:r w:rsidR="00555C22">
            <w:rPr>
              <w:noProof/>
            </w:rPr>
            <w:t>Contents</w:t>
          </w:r>
          <w:r>
            <w:rPr>
              <w:noProof/>
            </w:rPr>
            <w:fldChar w:fldCharType="end"/>
          </w:r>
        </w:p>
      </w:tc>
    </w:tr>
  </w:tbl>
  <w:p w:rsidR="00951C4D" w:rsidRDefault="00951C4D">
    <w:pPr>
      <w:pStyle w:val="N-9pt"/>
    </w:pPr>
    <w:r>
      <w:tab/>
    </w:r>
    <w:r w:rsidR="00A66D89">
      <w:fldChar w:fldCharType="begin"/>
    </w:r>
    <w:r w:rsidR="00A66D89">
      <w:instrText xml:space="preserve"> STYLEREF charPage \* MERGEFORMAT </w:instrText>
    </w:r>
    <w:r w:rsidR="00A66D89">
      <w:fldChar w:fldCharType="separate"/>
    </w:r>
    <w:r w:rsidR="00555C22">
      <w:rPr>
        <w:noProof/>
      </w:rPr>
      <w:t>Page</w:t>
    </w:r>
    <w:r w:rsidR="00A66D89">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51C4D">
      <w:tc>
        <w:tcPr>
          <w:tcW w:w="900" w:type="pct"/>
        </w:tcPr>
        <w:p w:rsidR="00951C4D" w:rsidRDefault="00951C4D">
          <w:pPr>
            <w:pStyle w:val="HeaderEven"/>
            <w:rPr>
              <w:b/>
            </w:rPr>
          </w:pPr>
          <w:r>
            <w:rPr>
              <w:b/>
            </w:rPr>
            <w:fldChar w:fldCharType="begin"/>
          </w:r>
          <w:r>
            <w:rPr>
              <w:b/>
            </w:rPr>
            <w:instrText xml:space="preserve"> STYLEREF CharPartNo \*charformat </w:instrText>
          </w:r>
          <w:r>
            <w:rPr>
              <w:b/>
            </w:rPr>
            <w:fldChar w:fldCharType="separate"/>
          </w:r>
          <w:r w:rsidR="00555C22">
            <w:rPr>
              <w:b/>
              <w:noProof/>
            </w:rPr>
            <w:t>Part 1</w:t>
          </w:r>
          <w:r>
            <w:rPr>
              <w:b/>
            </w:rPr>
            <w:fldChar w:fldCharType="end"/>
          </w:r>
        </w:p>
      </w:tc>
      <w:tc>
        <w:tcPr>
          <w:tcW w:w="4100" w:type="pct"/>
        </w:tcPr>
        <w:p w:rsidR="00951C4D" w:rsidRDefault="00A66D89">
          <w:pPr>
            <w:pStyle w:val="HeaderEven"/>
          </w:pPr>
          <w:r>
            <w:fldChar w:fldCharType="begin"/>
          </w:r>
          <w:r>
            <w:instrText xml:space="preserve"> STYLEREF CharPartText \*charformat </w:instrText>
          </w:r>
          <w:r>
            <w:fldChar w:fldCharType="separate"/>
          </w:r>
          <w:r w:rsidR="00555C22">
            <w:rPr>
              <w:noProof/>
            </w:rPr>
            <w:t>Preliminary</w:t>
          </w:r>
          <w:r>
            <w:rPr>
              <w:noProof/>
            </w:rPr>
            <w:fldChar w:fldCharType="end"/>
          </w:r>
        </w:p>
      </w:tc>
    </w:tr>
    <w:tr w:rsidR="00951C4D">
      <w:tc>
        <w:tcPr>
          <w:tcW w:w="900" w:type="pct"/>
        </w:tcPr>
        <w:p w:rsidR="00951C4D" w:rsidRDefault="00951C4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51C4D" w:rsidRDefault="00951C4D">
          <w:pPr>
            <w:pStyle w:val="HeaderEven"/>
          </w:pPr>
          <w:r>
            <w:fldChar w:fldCharType="begin"/>
          </w:r>
          <w:r>
            <w:instrText xml:space="preserve"> STYLEREF CharDivText \*charformat </w:instrText>
          </w:r>
          <w:r>
            <w:fldChar w:fldCharType="end"/>
          </w:r>
        </w:p>
      </w:tc>
    </w:tr>
    <w:tr w:rsidR="00951C4D">
      <w:trPr>
        <w:cantSplit/>
      </w:trPr>
      <w:tc>
        <w:tcPr>
          <w:tcW w:w="4997" w:type="pct"/>
          <w:gridSpan w:val="2"/>
          <w:tcBorders>
            <w:bottom w:val="single" w:sz="4" w:space="0" w:color="auto"/>
          </w:tcBorders>
        </w:tcPr>
        <w:p w:rsidR="00951C4D" w:rsidRDefault="00A66D89">
          <w:pPr>
            <w:pStyle w:val="HeaderEven6"/>
          </w:pPr>
          <w:r>
            <w:fldChar w:fldCharType="begin"/>
          </w:r>
          <w:r>
            <w:instrText xml:space="preserve"> DOCPROPERTY "Company"  \* MERGEFORMAT </w:instrText>
          </w:r>
          <w:r>
            <w:fldChar w:fldCharType="separate"/>
          </w:r>
          <w:r w:rsidR="0003076A">
            <w:t>Section</w:t>
          </w:r>
          <w:r>
            <w:fldChar w:fldCharType="end"/>
          </w:r>
          <w:r w:rsidR="00951C4D">
            <w:t xml:space="preserve"> </w:t>
          </w:r>
          <w:r>
            <w:fldChar w:fldCharType="begin"/>
          </w:r>
          <w:r>
            <w:instrText xml:space="preserve"> STYLEREF CharSectNo \*charformat </w:instrText>
          </w:r>
          <w:r>
            <w:fldChar w:fldCharType="separate"/>
          </w:r>
          <w:r w:rsidR="00555C22">
            <w:rPr>
              <w:noProof/>
            </w:rPr>
            <w:t>1</w:t>
          </w:r>
          <w:r>
            <w:rPr>
              <w:noProof/>
            </w:rPr>
            <w:fldChar w:fldCharType="end"/>
          </w:r>
        </w:p>
      </w:tc>
    </w:tr>
  </w:tbl>
  <w:p w:rsidR="00951C4D" w:rsidRDefault="00951C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51C4D">
      <w:tc>
        <w:tcPr>
          <w:tcW w:w="4100" w:type="pct"/>
        </w:tcPr>
        <w:p w:rsidR="00951C4D" w:rsidRDefault="00A66D89">
          <w:pPr>
            <w:pStyle w:val="HeaderEven"/>
            <w:jc w:val="right"/>
          </w:pPr>
          <w:r>
            <w:fldChar w:fldCharType="begin"/>
          </w:r>
          <w:r>
            <w:instrText xml:space="preserve"> STYLEREF CharPartText \*charformat </w:instrText>
          </w:r>
          <w:r>
            <w:fldChar w:fldCharType="separate"/>
          </w:r>
          <w:r w:rsidR="00555C22">
            <w:rPr>
              <w:noProof/>
            </w:rPr>
            <w:t>Preliminary</w:t>
          </w:r>
          <w:r>
            <w:rPr>
              <w:noProof/>
            </w:rPr>
            <w:fldChar w:fldCharType="end"/>
          </w:r>
        </w:p>
      </w:tc>
      <w:tc>
        <w:tcPr>
          <w:tcW w:w="900" w:type="pct"/>
        </w:tcPr>
        <w:p w:rsidR="00951C4D" w:rsidRDefault="00951C4D">
          <w:pPr>
            <w:pStyle w:val="HeaderEven"/>
            <w:jc w:val="right"/>
            <w:rPr>
              <w:b/>
            </w:rPr>
          </w:pPr>
          <w:r>
            <w:rPr>
              <w:b/>
            </w:rPr>
            <w:fldChar w:fldCharType="begin"/>
          </w:r>
          <w:r>
            <w:rPr>
              <w:b/>
            </w:rPr>
            <w:instrText xml:space="preserve"> STYLEREF CharPartNo \*charformat </w:instrText>
          </w:r>
          <w:r>
            <w:rPr>
              <w:b/>
            </w:rPr>
            <w:fldChar w:fldCharType="separate"/>
          </w:r>
          <w:r w:rsidR="00555C22">
            <w:rPr>
              <w:b/>
              <w:noProof/>
            </w:rPr>
            <w:t>Part 1</w:t>
          </w:r>
          <w:r>
            <w:rPr>
              <w:b/>
            </w:rPr>
            <w:fldChar w:fldCharType="end"/>
          </w:r>
        </w:p>
      </w:tc>
    </w:tr>
    <w:tr w:rsidR="00951C4D">
      <w:tc>
        <w:tcPr>
          <w:tcW w:w="4100" w:type="pct"/>
        </w:tcPr>
        <w:p w:rsidR="00951C4D" w:rsidRDefault="00951C4D">
          <w:pPr>
            <w:pStyle w:val="HeaderEven"/>
            <w:jc w:val="right"/>
          </w:pPr>
          <w:r>
            <w:fldChar w:fldCharType="begin"/>
          </w:r>
          <w:r>
            <w:instrText xml:space="preserve"> STYLEREF CharDivText \*charformat </w:instrText>
          </w:r>
          <w:r>
            <w:fldChar w:fldCharType="end"/>
          </w:r>
        </w:p>
      </w:tc>
      <w:tc>
        <w:tcPr>
          <w:tcW w:w="900" w:type="pct"/>
        </w:tcPr>
        <w:p w:rsidR="00951C4D" w:rsidRDefault="00951C4D">
          <w:pPr>
            <w:pStyle w:val="HeaderEven"/>
            <w:jc w:val="right"/>
            <w:rPr>
              <w:b/>
            </w:rPr>
          </w:pPr>
          <w:r>
            <w:rPr>
              <w:b/>
            </w:rPr>
            <w:fldChar w:fldCharType="begin"/>
          </w:r>
          <w:r>
            <w:rPr>
              <w:b/>
            </w:rPr>
            <w:instrText xml:space="preserve"> STYLEREF CharDivNo \*charformat </w:instrText>
          </w:r>
          <w:r>
            <w:rPr>
              <w:b/>
            </w:rPr>
            <w:fldChar w:fldCharType="end"/>
          </w:r>
        </w:p>
      </w:tc>
    </w:tr>
    <w:tr w:rsidR="00951C4D">
      <w:trPr>
        <w:cantSplit/>
      </w:trPr>
      <w:tc>
        <w:tcPr>
          <w:tcW w:w="5000" w:type="pct"/>
          <w:gridSpan w:val="2"/>
          <w:tcBorders>
            <w:bottom w:val="single" w:sz="4" w:space="0" w:color="auto"/>
          </w:tcBorders>
        </w:tcPr>
        <w:p w:rsidR="00951C4D" w:rsidRDefault="00A66D89">
          <w:pPr>
            <w:pStyle w:val="HeaderOdd6"/>
          </w:pPr>
          <w:r>
            <w:fldChar w:fldCharType="begin"/>
          </w:r>
          <w:r>
            <w:instrText xml:space="preserve"> DOCPROPERTY "Company"  \* MERGEFORMAT </w:instrText>
          </w:r>
          <w:r>
            <w:fldChar w:fldCharType="separate"/>
          </w:r>
          <w:r w:rsidR="0003076A">
            <w:t>Section</w:t>
          </w:r>
          <w:r>
            <w:fldChar w:fldCharType="end"/>
          </w:r>
          <w:r w:rsidR="00951C4D">
            <w:t xml:space="preserve"> </w:t>
          </w:r>
          <w:r>
            <w:fldChar w:fldCharType="begin"/>
          </w:r>
          <w:r>
            <w:instrText xml:space="preserve"> STYLEREF CharSectNo \*charformat </w:instrText>
          </w:r>
          <w:r>
            <w:fldChar w:fldCharType="separate"/>
          </w:r>
          <w:r w:rsidR="00555C22">
            <w:rPr>
              <w:noProof/>
            </w:rPr>
            <w:t>4</w:t>
          </w:r>
          <w:r>
            <w:rPr>
              <w:noProof/>
            </w:rPr>
            <w:fldChar w:fldCharType="end"/>
          </w:r>
        </w:p>
      </w:tc>
    </w:tr>
  </w:tbl>
  <w:p w:rsidR="00951C4D" w:rsidRDefault="00951C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51C4D" w:rsidRPr="00CB3D59">
      <w:trPr>
        <w:jc w:val="center"/>
      </w:trPr>
      <w:tc>
        <w:tcPr>
          <w:tcW w:w="1560" w:type="dxa"/>
        </w:tcPr>
        <w:p w:rsidR="00951C4D" w:rsidRPr="00F02A14" w:rsidRDefault="00951C4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E71D4">
            <w:rPr>
              <w:rFonts w:cs="Arial"/>
              <w:b/>
              <w:noProof/>
              <w:szCs w:val="18"/>
            </w:rPr>
            <w:t>Schedule 2</w:t>
          </w:r>
          <w:r w:rsidRPr="00F02A14">
            <w:rPr>
              <w:rFonts w:cs="Arial"/>
              <w:b/>
              <w:szCs w:val="18"/>
            </w:rPr>
            <w:fldChar w:fldCharType="end"/>
          </w:r>
        </w:p>
      </w:tc>
      <w:tc>
        <w:tcPr>
          <w:tcW w:w="5741" w:type="dxa"/>
        </w:tcPr>
        <w:p w:rsidR="00951C4D" w:rsidRPr="00F02A14" w:rsidRDefault="00951C4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E71D4">
            <w:rPr>
              <w:rFonts w:cs="Arial"/>
              <w:noProof/>
              <w:szCs w:val="18"/>
            </w:rPr>
            <w:t>Notifiable actions</w:t>
          </w:r>
          <w:r w:rsidRPr="00F02A14">
            <w:rPr>
              <w:rFonts w:cs="Arial"/>
              <w:szCs w:val="18"/>
            </w:rPr>
            <w:fldChar w:fldCharType="end"/>
          </w:r>
        </w:p>
      </w:tc>
    </w:tr>
    <w:tr w:rsidR="00951C4D" w:rsidRPr="00CB3D59">
      <w:trPr>
        <w:jc w:val="center"/>
      </w:trPr>
      <w:tc>
        <w:tcPr>
          <w:tcW w:w="1560" w:type="dxa"/>
        </w:tcPr>
        <w:p w:rsidR="00951C4D" w:rsidRPr="00F02A14" w:rsidRDefault="00951C4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951C4D" w:rsidRPr="00F02A14" w:rsidRDefault="00951C4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51C4D" w:rsidRPr="00CB3D59">
      <w:trPr>
        <w:jc w:val="center"/>
      </w:trPr>
      <w:tc>
        <w:tcPr>
          <w:tcW w:w="7296" w:type="dxa"/>
          <w:gridSpan w:val="2"/>
          <w:tcBorders>
            <w:bottom w:val="single" w:sz="4" w:space="0" w:color="auto"/>
          </w:tcBorders>
        </w:tcPr>
        <w:p w:rsidR="00951C4D" w:rsidRPr="00783A18" w:rsidRDefault="00951C4D" w:rsidP="00EF5D29">
          <w:pPr>
            <w:pStyle w:val="HeaderEven6"/>
            <w:spacing w:before="0" w:after="0"/>
            <w:rPr>
              <w:rFonts w:ascii="Times New Roman" w:hAnsi="Times New Roman"/>
              <w:sz w:val="24"/>
              <w:szCs w:val="24"/>
            </w:rPr>
          </w:pPr>
        </w:p>
      </w:tc>
    </w:tr>
  </w:tbl>
  <w:p w:rsidR="00951C4D" w:rsidRDefault="00951C4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51C4D" w:rsidRPr="00CB3D59">
      <w:trPr>
        <w:jc w:val="center"/>
      </w:trPr>
      <w:tc>
        <w:tcPr>
          <w:tcW w:w="5741" w:type="dxa"/>
        </w:tcPr>
        <w:p w:rsidR="00951C4D" w:rsidRPr="00F02A14" w:rsidRDefault="00951C4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E71D4">
            <w:rPr>
              <w:rFonts w:cs="Arial"/>
              <w:noProof/>
              <w:szCs w:val="18"/>
            </w:rPr>
            <w:t>Reviewable decisions</w:t>
          </w:r>
          <w:r w:rsidRPr="00F02A14">
            <w:rPr>
              <w:rFonts w:cs="Arial"/>
              <w:szCs w:val="18"/>
            </w:rPr>
            <w:fldChar w:fldCharType="end"/>
          </w:r>
        </w:p>
      </w:tc>
      <w:tc>
        <w:tcPr>
          <w:tcW w:w="1560" w:type="dxa"/>
        </w:tcPr>
        <w:p w:rsidR="00951C4D" w:rsidRPr="00F02A14" w:rsidRDefault="00951C4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E71D4">
            <w:rPr>
              <w:rFonts w:cs="Arial"/>
              <w:b/>
              <w:noProof/>
              <w:szCs w:val="18"/>
            </w:rPr>
            <w:t>Schedule 1</w:t>
          </w:r>
          <w:r w:rsidRPr="00F02A14">
            <w:rPr>
              <w:rFonts w:cs="Arial"/>
              <w:b/>
              <w:szCs w:val="18"/>
            </w:rPr>
            <w:fldChar w:fldCharType="end"/>
          </w:r>
        </w:p>
      </w:tc>
    </w:tr>
    <w:tr w:rsidR="00951C4D" w:rsidRPr="00CB3D59">
      <w:trPr>
        <w:jc w:val="center"/>
      </w:trPr>
      <w:tc>
        <w:tcPr>
          <w:tcW w:w="5741" w:type="dxa"/>
        </w:tcPr>
        <w:p w:rsidR="00951C4D" w:rsidRPr="00F02A14" w:rsidRDefault="00951C4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951C4D" w:rsidRPr="00F02A14" w:rsidRDefault="00951C4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51C4D" w:rsidRPr="00CB3D59">
      <w:trPr>
        <w:jc w:val="center"/>
      </w:trPr>
      <w:tc>
        <w:tcPr>
          <w:tcW w:w="7296" w:type="dxa"/>
          <w:gridSpan w:val="2"/>
          <w:tcBorders>
            <w:bottom w:val="single" w:sz="4" w:space="0" w:color="auto"/>
          </w:tcBorders>
        </w:tcPr>
        <w:p w:rsidR="00951C4D" w:rsidRPr="00783A18" w:rsidRDefault="00951C4D" w:rsidP="00EF5D29">
          <w:pPr>
            <w:pStyle w:val="HeaderOdd6"/>
            <w:spacing w:before="0" w:after="0"/>
            <w:jc w:val="left"/>
            <w:rPr>
              <w:rFonts w:ascii="Times New Roman" w:hAnsi="Times New Roman"/>
              <w:sz w:val="24"/>
              <w:szCs w:val="24"/>
            </w:rPr>
          </w:pPr>
        </w:p>
      </w:tc>
    </w:tr>
  </w:tbl>
  <w:p w:rsidR="00951C4D" w:rsidRDefault="00951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9"/>
  </w:num>
  <w:num w:numId="5">
    <w:abstractNumId w:val="27"/>
  </w:num>
  <w:num w:numId="6">
    <w:abstractNumId w:val="10"/>
  </w:num>
  <w:num w:numId="7">
    <w:abstractNumId w:val="31"/>
  </w:num>
  <w:num w:numId="8">
    <w:abstractNumId w:val="20"/>
  </w:num>
  <w:num w:numId="9">
    <w:abstractNumId w:val="26"/>
  </w:num>
  <w:num w:numId="10">
    <w:abstractNumId w:val="38"/>
  </w:num>
  <w:num w:numId="11">
    <w:abstractNumId w:val="25"/>
  </w:num>
  <w:num w:numId="12">
    <w:abstractNumId w:val="34"/>
  </w:num>
  <w:num w:numId="13">
    <w:abstractNumId w:val="22"/>
  </w:num>
  <w:num w:numId="14">
    <w:abstractNumId w:val="15"/>
  </w:num>
  <w:num w:numId="15">
    <w:abstractNumId w:val="35"/>
  </w:num>
  <w:num w:numId="16">
    <w:abstractNumId w:val="18"/>
  </w:num>
  <w:num w:numId="17">
    <w:abstractNumId w:val="12"/>
  </w:num>
  <w:num w:numId="18">
    <w:abstractNumId w:val="32"/>
  </w:num>
  <w:num w:numId="19">
    <w:abstractNumId w:val="40"/>
  </w:num>
  <w:num w:numId="20">
    <w:abstractNumId w:val="32"/>
  </w:num>
  <w:num w:numId="21">
    <w:abstractNumId w:val="40"/>
    <w:lvlOverride w:ilvl="0">
      <w:startOverride w:val="1"/>
    </w:lvlOverride>
  </w:num>
  <w:num w:numId="22">
    <w:abstractNumId w:val="32"/>
  </w:num>
  <w:num w:numId="23">
    <w:abstractNumId w:val="23"/>
  </w:num>
  <w:num w:numId="24">
    <w:abstractNumId w:val="41"/>
  </w:num>
  <w:num w:numId="25">
    <w:abstractNumId w:val="41"/>
  </w:num>
  <w:num w:numId="26">
    <w:abstractNumId w:val="21"/>
  </w:num>
  <w:num w:numId="27">
    <w:abstractNumId w:val="17"/>
  </w:num>
  <w:num w:numId="28">
    <w:abstractNumId w:val="37"/>
  </w:num>
  <w:num w:numId="29">
    <w:abstractNumId w:val="11"/>
  </w:num>
  <w:num w:numId="30">
    <w:abstractNumId w:val="29"/>
  </w:num>
  <w:num w:numId="31">
    <w:abstractNumId w:val="19"/>
  </w:num>
  <w:num w:numId="32">
    <w:abstractNumId w:val="4"/>
  </w:num>
  <w:num w:numId="33">
    <w:abstractNumId w:val="28"/>
  </w:num>
  <w:num w:numId="34">
    <w:abstractNumId w:val="25"/>
    <w:lvlOverride w:ilvl="0">
      <w:startOverride w:val="1"/>
    </w:lvlOverride>
  </w:num>
  <w:num w:numId="35">
    <w:abstractNumId w:val="25"/>
    <w:lvlOverride w:ilvl="0">
      <w:startOverride w:val="1"/>
    </w:lvlOverride>
  </w:num>
  <w:num w:numId="36">
    <w:abstractNumId w:val="41"/>
  </w:num>
  <w:num w:numId="37">
    <w:abstractNumId w:val="41"/>
  </w:num>
  <w:num w:numId="38">
    <w:abstractNumId w:val="30"/>
  </w:num>
  <w:num w:numId="39">
    <w:abstractNumId w:val="9"/>
  </w:num>
  <w:num w:numId="40">
    <w:abstractNumId w:val="7"/>
  </w:num>
  <w:num w:numId="41">
    <w:abstractNumId w:val="6"/>
  </w:num>
  <w:num w:numId="42">
    <w:abstractNumId w:val="5"/>
  </w:num>
  <w:num w:numId="43">
    <w:abstractNumId w:val="8"/>
  </w:num>
  <w:num w:numId="44">
    <w:abstractNumId w:val="3"/>
  </w:num>
  <w:num w:numId="45">
    <w:abstractNumId w:val="2"/>
  </w:num>
  <w:num w:numId="46">
    <w:abstractNumId w:val="1"/>
  </w:num>
  <w:num w:numId="47">
    <w:abstractNumId w:val="0"/>
  </w:num>
  <w:num w:numId="4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8"/>
    <w:rsid w:val="00000C1F"/>
    <w:rsid w:val="000038FA"/>
    <w:rsid w:val="000043A6"/>
    <w:rsid w:val="00004573"/>
    <w:rsid w:val="00005825"/>
    <w:rsid w:val="000067AA"/>
    <w:rsid w:val="00010513"/>
    <w:rsid w:val="0001347E"/>
    <w:rsid w:val="00016B96"/>
    <w:rsid w:val="0002034F"/>
    <w:rsid w:val="000215AA"/>
    <w:rsid w:val="00022B0E"/>
    <w:rsid w:val="000232D8"/>
    <w:rsid w:val="0002517D"/>
    <w:rsid w:val="00025988"/>
    <w:rsid w:val="0003076A"/>
    <w:rsid w:val="0003249F"/>
    <w:rsid w:val="00033284"/>
    <w:rsid w:val="00035636"/>
    <w:rsid w:val="00036A2C"/>
    <w:rsid w:val="000403A5"/>
    <w:rsid w:val="000417E5"/>
    <w:rsid w:val="000420DE"/>
    <w:rsid w:val="000430B6"/>
    <w:rsid w:val="000448E6"/>
    <w:rsid w:val="00046665"/>
    <w:rsid w:val="00046E24"/>
    <w:rsid w:val="00047170"/>
    <w:rsid w:val="00047369"/>
    <w:rsid w:val="000474F2"/>
    <w:rsid w:val="000510F0"/>
    <w:rsid w:val="00052B1E"/>
    <w:rsid w:val="0005486C"/>
    <w:rsid w:val="00055507"/>
    <w:rsid w:val="00055E30"/>
    <w:rsid w:val="00063210"/>
    <w:rsid w:val="000636DB"/>
    <w:rsid w:val="00064387"/>
    <w:rsid w:val="00064576"/>
    <w:rsid w:val="000667D4"/>
    <w:rsid w:val="00066F6A"/>
    <w:rsid w:val="000702A7"/>
    <w:rsid w:val="00072B06"/>
    <w:rsid w:val="00072ED8"/>
    <w:rsid w:val="00073A37"/>
    <w:rsid w:val="00075C01"/>
    <w:rsid w:val="00077B6E"/>
    <w:rsid w:val="000812D4"/>
    <w:rsid w:val="00081D6E"/>
    <w:rsid w:val="0008211A"/>
    <w:rsid w:val="000824B7"/>
    <w:rsid w:val="00083C32"/>
    <w:rsid w:val="00090587"/>
    <w:rsid w:val="000906B4"/>
    <w:rsid w:val="00091575"/>
    <w:rsid w:val="000949A6"/>
    <w:rsid w:val="00095165"/>
    <w:rsid w:val="0009641C"/>
    <w:rsid w:val="000A2213"/>
    <w:rsid w:val="000A35DA"/>
    <w:rsid w:val="000A5DCB"/>
    <w:rsid w:val="000A637A"/>
    <w:rsid w:val="000B16DC"/>
    <w:rsid w:val="000B1C99"/>
    <w:rsid w:val="000B28BA"/>
    <w:rsid w:val="000B3404"/>
    <w:rsid w:val="000B4951"/>
    <w:rsid w:val="000B5685"/>
    <w:rsid w:val="000B729E"/>
    <w:rsid w:val="000C54A0"/>
    <w:rsid w:val="000C687C"/>
    <w:rsid w:val="000C7832"/>
    <w:rsid w:val="000C7850"/>
    <w:rsid w:val="000D5221"/>
    <w:rsid w:val="000D54F2"/>
    <w:rsid w:val="000E0F38"/>
    <w:rsid w:val="000E29CA"/>
    <w:rsid w:val="000E4502"/>
    <w:rsid w:val="000E5145"/>
    <w:rsid w:val="000E576D"/>
    <w:rsid w:val="000F030C"/>
    <w:rsid w:val="000F2735"/>
    <w:rsid w:val="000F2D59"/>
    <w:rsid w:val="000F329E"/>
    <w:rsid w:val="001002C3"/>
    <w:rsid w:val="00101528"/>
    <w:rsid w:val="00102448"/>
    <w:rsid w:val="0010285E"/>
    <w:rsid w:val="001033CB"/>
    <w:rsid w:val="001047CB"/>
    <w:rsid w:val="00104AF7"/>
    <w:rsid w:val="001053AD"/>
    <w:rsid w:val="001058DF"/>
    <w:rsid w:val="00107F85"/>
    <w:rsid w:val="00112982"/>
    <w:rsid w:val="00117222"/>
    <w:rsid w:val="0011788B"/>
    <w:rsid w:val="001206DA"/>
    <w:rsid w:val="00126287"/>
    <w:rsid w:val="001266CF"/>
    <w:rsid w:val="0013010B"/>
    <w:rsid w:val="0013046D"/>
    <w:rsid w:val="001315A1"/>
    <w:rsid w:val="00132957"/>
    <w:rsid w:val="001343A6"/>
    <w:rsid w:val="0013531D"/>
    <w:rsid w:val="00135BDD"/>
    <w:rsid w:val="00136FBE"/>
    <w:rsid w:val="00137410"/>
    <w:rsid w:val="001413F2"/>
    <w:rsid w:val="00147781"/>
    <w:rsid w:val="00150851"/>
    <w:rsid w:val="00152053"/>
    <w:rsid w:val="001520FC"/>
    <w:rsid w:val="001529D7"/>
    <w:rsid w:val="001533C1"/>
    <w:rsid w:val="00153482"/>
    <w:rsid w:val="00154977"/>
    <w:rsid w:val="00156E84"/>
    <w:rsid w:val="001570F0"/>
    <w:rsid w:val="001572E4"/>
    <w:rsid w:val="00160819"/>
    <w:rsid w:val="00160DF7"/>
    <w:rsid w:val="00161155"/>
    <w:rsid w:val="0016411E"/>
    <w:rsid w:val="00164204"/>
    <w:rsid w:val="00166C33"/>
    <w:rsid w:val="0017182C"/>
    <w:rsid w:val="00171BF1"/>
    <w:rsid w:val="00172D13"/>
    <w:rsid w:val="001741FF"/>
    <w:rsid w:val="00174376"/>
    <w:rsid w:val="00175E3A"/>
    <w:rsid w:val="00176AE6"/>
    <w:rsid w:val="001773EC"/>
    <w:rsid w:val="00180311"/>
    <w:rsid w:val="00180F9F"/>
    <w:rsid w:val="001815FB"/>
    <w:rsid w:val="00181D8C"/>
    <w:rsid w:val="00183617"/>
    <w:rsid w:val="001842C7"/>
    <w:rsid w:val="001850D7"/>
    <w:rsid w:val="00186911"/>
    <w:rsid w:val="001918A3"/>
    <w:rsid w:val="0019297A"/>
    <w:rsid w:val="00192D1E"/>
    <w:rsid w:val="00193D6B"/>
    <w:rsid w:val="00195101"/>
    <w:rsid w:val="001A351C"/>
    <w:rsid w:val="001A3B6D"/>
    <w:rsid w:val="001A42CD"/>
    <w:rsid w:val="001A52B7"/>
    <w:rsid w:val="001A6C0D"/>
    <w:rsid w:val="001B011E"/>
    <w:rsid w:val="001B1031"/>
    <w:rsid w:val="001B1114"/>
    <w:rsid w:val="001B1AD4"/>
    <w:rsid w:val="001B218A"/>
    <w:rsid w:val="001B3431"/>
    <w:rsid w:val="001B3B53"/>
    <w:rsid w:val="001B449A"/>
    <w:rsid w:val="001B4BB0"/>
    <w:rsid w:val="001B6311"/>
    <w:rsid w:val="001B6BC0"/>
    <w:rsid w:val="001C048F"/>
    <w:rsid w:val="001C108E"/>
    <w:rsid w:val="001C1644"/>
    <w:rsid w:val="001C18D4"/>
    <w:rsid w:val="001C29CC"/>
    <w:rsid w:val="001C2B13"/>
    <w:rsid w:val="001C3641"/>
    <w:rsid w:val="001C4A67"/>
    <w:rsid w:val="001C5293"/>
    <w:rsid w:val="001C547E"/>
    <w:rsid w:val="001C6F40"/>
    <w:rsid w:val="001D09C2"/>
    <w:rsid w:val="001D15FB"/>
    <w:rsid w:val="001D1702"/>
    <w:rsid w:val="001D1F85"/>
    <w:rsid w:val="001D34B1"/>
    <w:rsid w:val="001D4459"/>
    <w:rsid w:val="001D53F0"/>
    <w:rsid w:val="001D56B4"/>
    <w:rsid w:val="001D73DF"/>
    <w:rsid w:val="001E0506"/>
    <w:rsid w:val="001E0780"/>
    <w:rsid w:val="001E0BBC"/>
    <w:rsid w:val="001E1A01"/>
    <w:rsid w:val="001E4694"/>
    <w:rsid w:val="001E5168"/>
    <w:rsid w:val="001E5C56"/>
    <w:rsid w:val="001E5D92"/>
    <w:rsid w:val="001E737D"/>
    <w:rsid w:val="001E79DB"/>
    <w:rsid w:val="001F1B75"/>
    <w:rsid w:val="001F3DB4"/>
    <w:rsid w:val="001F55E5"/>
    <w:rsid w:val="001F5A2B"/>
    <w:rsid w:val="00200557"/>
    <w:rsid w:val="002012E6"/>
    <w:rsid w:val="00202420"/>
    <w:rsid w:val="00203655"/>
    <w:rsid w:val="002037B2"/>
    <w:rsid w:val="00204E34"/>
    <w:rsid w:val="0020558F"/>
    <w:rsid w:val="0020610F"/>
    <w:rsid w:val="00210721"/>
    <w:rsid w:val="0021248D"/>
    <w:rsid w:val="00213F7A"/>
    <w:rsid w:val="00216873"/>
    <w:rsid w:val="00216FDD"/>
    <w:rsid w:val="00217C8C"/>
    <w:rsid w:val="002208AF"/>
    <w:rsid w:val="0022149F"/>
    <w:rsid w:val="002218C7"/>
    <w:rsid w:val="002222A8"/>
    <w:rsid w:val="002223D7"/>
    <w:rsid w:val="0022348D"/>
    <w:rsid w:val="00224AB1"/>
    <w:rsid w:val="00225307"/>
    <w:rsid w:val="002261CD"/>
    <w:rsid w:val="002263A5"/>
    <w:rsid w:val="00227E9E"/>
    <w:rsid w:val="00231509"/>
    <w:rsid w:val="00231792"/>
    <w:rsid w:val="00233685"/>
    <w:rsid w:val="002337F1"/>
    <w:rsid w:val="00234574"/>
    <w:rsid w:val="00237EF2"/>
    <w:rsid w:val="002409EB"/>
    <w:rsid w:val="00244245"/>
    <w:rsid w:val="00246F34"/>
    <w:rsid w:val="002502C9"/>
    <w:rsid w:val="00252AE8"/>
    <w:rsid w:val="00253379"/>
    <w:rsid w:val="00256093"/>
    <w:rsid w:val="00256E0F"/>
    <w:rsid w:val="00260019"/>
    <w:rsid w:val="0026001C"/>
    <w:rsid w:val="00260D25"/>
    <w:rsid w:val="002612B5"/>
    <w:rsid w:val="00263163"/>
    <w:rsid w:val="002634F4"/>
    <w:rsid w:val="0026355C"/>
    <w:rsid w:val="002644DC"/>
    <w:rsid w:val="00267BE3"/>
    <w:rsid w:val="002702AE"/>
    <w:rsid w:val="002702D4"/>
    <w:rsid w:val="00270D23"/>
    <w:rsid w:val="00270DBA"/>
    <w:rsid w:val="00272968"/>
    <w:rsid w:val="00273B6D"/>
    <w:rsid w:val="00275BAB"/>
    <w:rsid w:val="00275CE9"/>
    <w:rsid w:val="0027743F"/>
    <w:rsid w:val="00282B0F"/>
    <w:rsid w:val="002831D1"/>
    <w:rsid w:val="00284563"/>
    <w:rsid w:val="002848BD"/>
    <w:rsid w:val="0028517F"/>
    <w:rsid w:val="00287065"/>
    <w:rsid w:val="002877FD"/>
    <w:rsid w:val="00290D70"/>
    <w:rsid w:val="00294D6E"/>
    <w:rsid w:val="00294DE1"/>
    <w:rsid w:val="00295E87"/>
    <w:rsid w:val="0029692F"/>
    <w:rsid w:val="002A47F8"/>
    <w:rsid w:val="002A65F7"/>
    <w:rsid w:val="002A6F4D"/>
    <w:rsid w:val="002A756E"/>
    <w:rsid w:val="002B1E43"/>
    <w:rsid w:val="002B24E3"/>
    <w:rsid w:val="002B2682"/>
    <w:rsid w:val="002B35C5"/>
    <w:rsid w:val="002B4AE0"/>
    <w:rsid w:val="002B58FC"/>
    <w:rsid w:val="002C5DB3"/>
    <w:rsid w:val="002C7985"/>
    <w:rsid w:val="002D09CB"/>
    <w:rsid w:val="002D0EE0"/>
    <w:rsid w:val="002D26EA"/>
    <w:rsid w:val="002D2A42"/>
    <w:rsid w:val="002D2FE5"/>
    <w:rsid w:val="002D6C38"/>
    <w:rsid w:val="002E01EA"/>
    <w:rsid w:val="002E0DF3"/>
    <w:rsid w:val="002E144D"/>
    <w:rsid w:val="002E4800"/>
    <w:rsid w:val="002E6E0C"/>
    <w:rsid w:val="002F1055"/>
    <w:rsid w:val="002F43A0"/>
    <w:rsid w:val="002F587E"/>
    <w:rsid w:val="002F696A"/>
    <w:rsid w:val="002F7C2C"/>
    <w:rsid w:val="003003EC"/>
    <w:rsid w:val="00303D53"/>
    <w:rsid w:val="003068E0"/>
    <w:rsid w:val="003108D1"/>
    <w:rsid w:val="0031143F"/>
    <w:rsid w:val="00312A1A"/>
    <w:rsid w:val="00314266"/>
    <w:rsid w:val="00315B62"/>
    <w:rsid w:val="003179E8"/>
    <w:rsid w:val="00317FDC"/>
    <w:rsid w:val="0032063D"/>
    <w:rsid w:val="00322075"/>
    <w:rsid w:val="00323CE2"/>
    <w:rsid w:val="00326EEC"/>
    <w:rsid w:val="00331203"/>
    <w:rsid w:val="003321F9"/>
    <w:rsid w:val="00332E54"/>
    <w:rsid w:val="003344D3"/>
    <w:rsid w:val="00336345"/>
    <w:rsid w:val="003374DA"/>
    <w:rsid w:val="00342E3D"/>
    <w:rsid w:val="0034336E"/>
    <w:rsid w:val="00343D40"/>
    <w:rsid w:val="00344085"/>
    <w:rsid w:val="00344F05"/>
    <w:rsid w:val="0034583F"/>
    <w:rsid w:val="003478D2"/>
    <w:rsid w:val="003506EC"/>
    <w:rsid w:val="00353FF3"/>
    <w:rsid w:val="00355AD9"/>
    <w:rsid w:val="003574D1"/>
    <w:rsid w:val="003578DF"/>
    <w:rsid w:val="003620DA"/>
    <w:rsid w:val="003633DF"/>
    <w:rsid w:val="003646D5"/>
    <w:rsid w:val="003659ED"/>
    <w:rsid w:val="003700C0"/>
    <w:rsid w:val="00370AE8"/>
    <w:rsid w:val="00372395"/>
    <w:rsid w:val="00372BEC"/>
    <w:rsid w:val="00372EF0"/>
    <w:rsid w:val="003736BB"/>
    <w:rsid w:val="0037381B"/>
    <w:rsid w:val="0037423B"/>
    <w:rsid w:val="00375B2E"/>
    <w:rsid w:val="00377D1F"/>
    <w:rsid w:val="00381D64"/>
    <w:rsid w:val="00385097"/>
    <w:rsid w:val="00391C6F"/>
    <w:rsid w:val="00396008"/>
    <w:rsid w:val="00396646"/>
    <w:rsid w:val="00396B0E"/>
    <w:rsid w:val="0039772C"/>
    <w:rsid w:val="003A0664"/>
    <w:rsid w:val="003A160E"/>
    <w:rsid w:val="003A20E7"/>
    <w:rsid w:val="003A2253"/>
    <w:rsid w:val="003A44BB"/>
    <w:rsid w:val="003A450E"/>
    <w:rsid w:val="003A5ACB"/>
    <w:rsid w:val="003A704B"/>
    <w:rsid w:val="003A779F"/>
    <w:rsid w:val="003A7A6C"/>
    <w:rsid w:val="003B01DB"/>
    <w:rsid w:val="003B0F80"/>
    <w:rsid w:val="003B2C7A"/>
    <w:rsid w:val="003B31A1"/>
    <w:rsid w:val="003B3F6D"/>
    <w:rsid w:val="003B4139"/>
    <w:rsid w:val="003C0702"/>
    <w:rsid w:val="003C0A3A"/>
    <w:rsid w:val="003C50A2"/>
    <w:rsid w:val="003C6DE9"/>
    <w:rsid w:val="003C6EDF"/>
    <w:rsid w:val="003C7B9C"/>
    <w:rsid w:val="003D0740"/>
    <w:rsid w:val="003D0F2E"/>
    <w:rsid w:val="003D170B"/>
    <w:rsid w:val="003D4AAE"/>
    <w:rsid w:val="003D4C75"/>
    <w:rsid w:val="003D587E"/>
    <w:rsid w:val="003D7254"/>
    <w:rsid w:val="003D7E21"/>
    <w:rsid w:val="003E0653"/>
    <w:rsid w:val="003E1194"/>
    <w:rsid w:val="003E259E"/>
    <w:rsid w:val="003E3141"/>
    <w:rsid w:val="003E4A90"/>
    <w:rsid w:val="003E6B00"/>
    <w:rsid w:val="003E7FDB"/>
    <w:rsid w:val="003F06EE"/>
    <w:rsid w:val="003F38DA"/>
    <w:rsid w:val="003F38F8"/>
    <w:rsid w:val="003F3B87"/>
    <w:rsid w:val="003F4912"/>
    <w:rsid w:val="003F5904"/>
    <w:rsid w:val="003F5A34"/>
    <w:rsid w:val="003F7A0F"/>
    <w:rsid w:val="003F7DB2"/>
    <w:rsid w:val="004005F0"/>
    <w:rsid w:val="0040136F"/>
    <w:rsid w:val="004033B4"/>
    <w:rsid w:val="00403645"/>
    <w:rsid w:val="00404FE0"/>
    <w:rsid w:val="00410C20"/>
    <w:rsid w:val="004110BA"/>
    <w:rsid w:val="00416A4F"/>
    <w:rsid w:val="00421012"/>
    <w:rsid w:val="00422C3C"/>
    <w:rsid w:val="004232C0"/>
    <w:rsid w:val="0042333B"/>
    <w:rsid w:val="00423AC4"/>
    <w:rsid w:val="00423D14"/>
    <w:rsid w:val="00427085"/>
    <w:rsid w:val="0042799E"/>
    <w:rsid w:val="0043127D"/>
    <w:rsid w:val="00431D3D"/>
    <w:rsid w:val="00433064"/>
    <w:rsid w:val="00435893"/>
    <w:rsid w:val="004358D2"/>
    <w:rsid w:val="00437C28"/>
    <w:rsid w:val="0044067A"/>
    <w:rsid w:val="00440811"/>
    <w:rsid w:val="00443ADD"/>
    <w:rsid w:val="00444785"/>
    <w:rsid w:val="00444901"/>
    <w:rsid w:val="0044665D"/>
    <w:rsid w:val="00447089"/>
    <w:rsid w:val="00447B1D"/>
    <w:rsid w:val="00447C31"/>
    <w:rsid w:val="00447F89"/>
    <w:rsid w:val="004500D3"/>
    <w:rsid w:val="004510ED"/>
    <w:rsid w:val="004536AA"/>
    <w:rsid w:val="0045398D"/>
    <w:rsid w:val="00455046"/>
    <w:rsid w:val="00456074"/>
    <w:rsid w:val="004566DF"/>
    <w:rsid w:val="00457476"/>
    <w:rsid w:val="0046076C"/>
    <w:rsid w:val="00460A67"/>
    <w:rsid w:val="00460DF0"/>
    <w:rsid w:val="004614FB"/>
    <w:rsid w:val="00461D78"/>
    <w:rsid w:val="00462B21"/>
    <w:rsid w:val="00462EA7"/>
    <w:rsid w:val="00464372"/>
    <w:rsid w:val="00465180"/>
    <w:rsid w:val="00470B8D"/>
    <w:rsid w:val="00472639"/>
    <w:rsid w:val="00472DD2"/>
    <w:rsid w:val="00475017"/>
    <w:rsid w:val="00475056"/>
    <w:rsid w:val="004751D3"/>
    <w:rsid w:val="00475F03"/>
    <w:rsid w:val="00476DCA"/>
    <w:rsid w:val="00480A8E"/>
    <w:rsid w:val="00480B76"/>
    <w:rsid w:val="00482C91"/>
    <w:rsid w:val="0048525E"/>
    <w:rsid w:val="0048555E"/>
    <w:rsid w:val="00486243"/>
    <w:rsid w:val="0048624B"/>
    <w:rsid w:val="00486FE2"/>
    <w:rsid w:val="004875BE"/>
    <w:rsid w:val="00487D5F"/>
    <w:rsid w:val="00491236"/>
    <w:rsid w:val="00491D7C"/>
    <w:rsid w:val="00492997"/>
    <w:rsid w:val="00493ED5"/>
    <w:rsid w:val="004941F4"/>
    <w:rsid w:val="00494267"/>
    <w:rsid w:val="00494355"/>
    <w:rsid w:val="00495273"/>
    <w:rsid w:val="00497D33"/>
    <w:rsid w:val="004A1E58"/>
    <w:rsid w:val="004A2333"/>
    <w:rsid w:val="004A2FDC"/>
    <w:rsid w:val="004A32C4"/>
    <w:rsid w:val="004A3D43"/>
    <w:rsid w:val="004A4083"/>
    <w:rsid w:val="004B0E9D"/>
    <w:rsid w:val="004B19AF"/>
    <w:rsid w:val="004B3F64"/>
    <w:rsid w:val="004B5B98"/>
    <w:rsid w:val="004C19A4"/>
    <w:rsid w:val="004C2A16"/>
    <w:rsid w:val="004C5310"/>
    <w:rsid w:val="004C622C"/>
    <w:rsid w:val="004C724A"/>
    <w:rsid w:val="004C7853"/>
    <w:rsid w:val="004D1D12"/>
    <w:rsid w:val="004D4557"/>
    <w:rsid w:val="004D53B8"/>
    <w:rsid w:val="004D6625"/>
    <w:rsid w:val="004E190A"/>
    <w:rsid w:val="004E2567"/>
    <w:rsid w:val="004E2568"/>
    <w:rsid w:val="004E3576"/>
    <w:rsid w:val="004F1050"/>
    <w:rsid w:val="004F25B3"/>
    <w:rsid w:val="004F2EEF"/>
    <w:rsid w:val="004F5504"/>
    <w:rsid w:val="004F6688"/>
    <w:rsid w:val="0050125C"/>
    <w:rsid w:val="00501495"/>
    <w:rsid w:val="0050270E"/>
    <w:rsid w:val="00503AE3"/>
    <w:rsid w:val="005055B0"/>
    <w:rsid w:val="0050662E"/>
    <w:rsid w:val="00510F9C"/>
    <w:rsid w:val="00512972"/>
    <w:rsid w:val="005139E9"/>
    <w:rsid w:val="00515082"/>
    <w:rsid w:val="005151B1"/>
    <w:rsid w:val="00515CF5"/>
    <w:rsid w:val="00515E14"/>
    <w:rsid w:val="005171DC"/>
    <w:rsid w:val="0052097D"/>
    <w:rsid w:val="0052186C"/>
    <w:rsid w:val="005218EE"/>
    <w:rsid w:val="005249B7"/>
    <w:rsid w:val="00524CBC"/>
    <w:rsid w:val="005259D1"/>
    <w:rsid w:val="00525E4B"/>
    <w:rsid w:val="00526A05"/>
    <w:rsid w:val="00531AF6"/>
    <w:rsid w:val="0053216D"/>
    <w:rsid w:val="005337EA"/>
    <w:rsid w:val="0053499F"/>
    <w:rsid w:val="005400A5"/>
    <w:rsid w:val="0054245D"/>
    <w:rsid w:val="00542E65"/>
    <w:rsid w:val="00543739"/>
    <w:rsid w:val="0054378B"/>
    <w:rsid w:val="00544938"/>
    <w:rsid w:val="00544FDF"/>
    <w:rsid w:val="00545787"/>
    <w:rsid w:val="00546B20"/>
    <w:rsid w:val="005474CA"/>
    <w:rsid w:val="00547C35"/>
    <w:rsid w:val="00552735"/>
    <w:rsid w:val="00552FFB"/>
    <w:rsid w:val="00553EA6"/>
    <w:rsid w:val="00555C22"/>
    <w:rsid w:val="005569CD"/>
    <w:rsid w:val="00560918"/>
    <w:rsid w:val="00562392"/>
    <w:rsid w:val="005623AE"/>
    <w:rsid w:val="00562E39"/>
    <w:rsid w:val="0056302F"/>
    <w:rsid w:val="00563637"/>
    <w:rsid w:val="00564718"/>
    <w:rsid w:val="005658C2"/>
    <w:rsid w:val="00567644"/>
    <w:rsid w:val="00567CEC"/>
    <w:rsid w:val="00567CF2"/>
    <w:rsid w:val="00570680"/>
    <w:rsid w:val="005710D7"/>
    <w:rsid w:val="00571226"/>
    <w:rsid w:val="00571859"/>
    <w:rsid w:val="00574382"/>
    <w:rsid w:val="00574534"/>
    <w:rsid w:val="00575646"/>
    <w:rsid w:val="005768D1"/>
    <w:rsid w:val="00576AF7"/>
    <w:rsid w:val="00580A86"/>
    <w:rsid w:val="00580EBD"/>
    <w:rsid w:val="0058214C"/>
    <w:rsid w:val="005840DF"/>
    <w:rsid w:val="005856CB"/>
    <w:rsid w:val="0058578F"/>
    <w:rsid w:val="005859BF"/>
    <w:rsid w:val="00587DFD"/>
    <w:rsid w:val="00591BE3"/>
    <w:rsid w:val="0059278C"/>
    <w:rsid w:val="00596BB3"/>
    <w:rsid w:val="005978B7"/>
    <w:rsid w:val="005A0EAE"/>
    <w:rsid w:val="005A4EE0"/>
    <w:rsid w:val="005A5916"/>
    <w:rsid w:val="005B1037"/>
    <w:rsid w:val="005B6C66"/>
    <w:rsid w:val="005C28C5"/>
    <w:rsid w:val="005C297B"/>
    <w:rsid w:val="005C2E30"/>
    <w:rsid w:val="005C3189"/>
    <w:rsid w:val="005C4167"/>
    <w:rsid w:val="005C4AF9"/>
    <w:rsid w:val="005C4EEF"/>
    <w:rsid w:val="005C52F8"/>
    <w:rsid w:val="005C58D4"/>
    <w:rsid w:val="005C796F"/>
    <w:rsid w:val="005C7FD4"/>
    <w:rsid w:val="005D1B78"/>
    <w:rsid w:val="005D425A"/>
    <w:rsid w:val="005D45C5"/>
    <w:rsid w:val="005D47C0"/>
    <w:rsid w:val="005E019C"/>
    <w:rsid w:val="005E077A"/>
    <w:rsid w:val="005E08CB"/>
    <w:rsid w:val="005E0ECD"/>
    <w:rsid w:val="005E14CB"/>
    <w:rsid w:val="005E364E"/>
    <w:rsid w:val="005E3659"/>
    <w:rsid w:val="005E3EDE"/>
    <w:rsid w:val="005E4887"/>
    <w:rsid w:val="005E5186"/>
    <w:rsid w:val="005E6765"/>
    <w:rsid w:val="005E6FE2"/>
    <w:rsid w:val="005E749D"/>
    <w:rsid w:val="005E7D93"/>
    <w:rsid w:val="005F51DE"/>
    <w:rsid w:val="005F56A8"/>
    <w:rsid w:val="005F58E5"/>
    <w:rsid w:val="005F608E"/>
    <w:rsid w:val="005F7A86"/>
    <w:rsid w:val="00600905"/>
    <w:rsid w:val="006065D7"/>
    <w:rsid w:val="006065EF"/>
    <w:rsid w:val="00610E78"/>
    <w:rsid w:val="0061139D"/>
    <w:rsid w:val="0061160F"/>
    <w:rsid w:val="006129FF"/>
    <w:rsid w:val="00612BA6"/>
    <w:rsid w:val="00614787"/>
    <w:rsid w:val="00614A4E"/>
    <w:rsid w:val="00616C21"/>
    <w:rsid w:val="00622136"/>
    <w:rsid w:val="006236B5"/>
    <w:rsid w:val="006253B7"/>
    <w:rsid w:val="006320A3"/>
    <w:rsid w:val="00632AB6"/>
    <w:rsid w:val="00633141"/>
    <w:rsid w:val="0063385C"/>
    <w:rsid w:val="00633E04"/>
    <w:rsid w:val="00634292"/>
    <w:rsid w:val="00635397"/>
    <w:rsid w:val="00636921"/>
    <w:rsid w:val="00640423"/>
    <w:rsid w:val="00641C9A"/>
    <w:rsid w:val="00641CC6"/>
    <w:rsid w:val="00643768"/>
    <w:rsid w:val="00643F71"/>
    <w:rsid w:val="00646AED"/>
    <w:rsid w:val="00646CA9"/>
    <w:rsid w:val="006473C1"/>
    <w:rsid w:val="00651669"/>
    <w:rsid w:val="00651FCE"/>
    <w:rsid w:val="006522E1"/>
    <w:rsid w:val="0065368F"/>
    <w:rsid w:val="00654C2B"/>
    <w:rsid w:val="006564B9"/>
    <w:rsid w:val="00656C84"/>
    <w:rsid w:val="006570FC"/>
    <w:rsid w:val="00657B37"/>
    <w:rsid w:val="006607D3"/>
    <w:rsid w:val="00660E96"/>
    <w:rsid w:val="00661796"/>
    <w:rsid w:val="00662618"/>
    <w:rsid w:val="00664EB1"/>
    <w:rsid w:val="006657C0"/>
    <w:rsid w:val="00667638"/>
    <w:rsid w:val="00671280"/>
    <w:rsid w:val="00671AC6"/>
    <w:rsid w:val="00672A6F"/>
    <w:rsid w:val="00673185"/>
    <w:rsid w:val="00673406"/>
    <w:rsid w:val="00673674"/>
    <w:rsid w:val="006745DD"/>
    <w:rsid w:val="00675E77"/>
    <w:rsid w:val="00677A0C"/>
    <w:rsid w:val="00680547"/>
    <w:rsid w:val="00680887"/>
    <w:rsid w:val="00680A95"/>
    <w:rsid w:val="00680F2B"/>
    <w:rsid w:val="006814CB"/>
    <w:rsid w:val="0068447C"/>
    <w:rsid w:val="00685233"/>
    <w:rsid w:val="006855FC"/>
    <w:rsid w:val="006857B4"/>
    <w:rsid w:val="00687A2B"/>
    <w:rsid w:val="006905D4"/>
    <w:rsid w:val="0069179D"/>
    <w:rsid w:val="00691E4F"/>
    <w:rsid w:val="00693C2C"/>
    <w:rsid w:val="00696756"/>
    <w:rsid w:val="0069720F"/>
    <w:rsid w:val="006A1995"/>
    <w:rsid w:val="006A6ACD"/>
    <w:rsid w:val="006B27CB"/>
    <w:rsid w:val="006B505F"/>
    <w:rsid w:val="006C02F6"/>
    <w:rsid w:val="006C08D3"/>
    <w:rsid w:val="006C265F"/>
    <w:rsid w:val="006C332F"/>
    <w:rsid w:val="006C3D19"/>
    <w:rsid w:val="006C552F"/>
    <w:rsid w:val="006C7AAC"/>
    <w:rsid w:val="006D07E0"/>
    <w:rsid w:val="006D2BB3"/>
    <w:rsid w:val="006D3568"/>
    <w:rsid w:val="006D3AEF"/>
    <w:rsid w:val="006D44FF"/>
    <w:rsid w:val="006D45A0"/>
    <w:rsid w:val="006D65BC"/>
    <w:rsid w:val="006D756E"/>
    <w:rsid w:val="006E0A8E"/>
    <w:rsid w:val="006E1033"/>
    <w:rsid w:val="006E2568"/>
    <w:rsid w:val="006E272E"/>
    <w:rsid w:val="006E2DC7"/>
    <w:rsid w:val="006E3C36"/>
    <w:rsid w:val="006E6639"/>
    <w:rsid w:val="006E746C"/>
    <w:rsid w:val="006F2595"/>
    <w:rsid w:val="006F6520"/>
    <w:rsid w:val="00700158"/>
    <w:rsid w:val="0070106D"/>
    <w:rsid w:val="0070241B"/>
    <w:rsid w:val="00702F8D"/>
    <w:rsid w:val="00703E9F"/>
    <w:rsid w:val="00704185"/>
    <w:rsid w:val="00707F9A"/>
    <w:rsid w:val="00712115"/>
    <w:rsid w:val="007122E9"/>
    <w:rsid w:val="007123A3"/>
    <w:rsid w:val="007123AC"/>
    <w:rsid w:val="00712860"/>
    <w:rsid w:val="00714441"/>
    <w:rsid w:val="007150BC"/>
    <w:rsid w:val="00715DE2"/>
    <w:rsid w:val="00716950"/>
    <w:rsid w:val="00716D6A"/>
    <w:rsid w:val="00726FD8"/>
    <w:rsid w:val="00730107"/>
    <w:rsid w:val="00730EBF"/>
    <w:rsid w:val="007319BE"/>
    <w:rsid w:val="007327A5"/>
    <w:rsid w:val="0073456C"/>
    <w:rsid w:val="00734DC1"/>
    <w:rsid w:val="00737580"/>
    <w:rsid w:val="00737DD2"/>
    <w:rsid w:val="0074064C"/>
    <w:rsid w:val="00741576"/>
    <w:rsid w:val="00741A55"/>
    <w:rsid w:val="00741FD7"/>
    <w:rsid w:val="007421C8"/>
    <w:rsid w:val="00743755"/>
    <w:rsid w:val="007437FB"/>
    <w:rsid w:val="007449BF"/>
    <w:rsid w:val="0074503E"/>
    <w:rsid w:val="00747BF1"/>
    <w:rsid w:val="00747C76"/>
    <w:rsid w:val="00750265"/>
    <w:rsid w:val="00751B4B"/>
    <w:rsid w:val="00753ABC"/>
    <w:rsid w:val="00755A0B"/>
    <w:rsid w:val="00756CF6"/>
    <w:rsid w:val="00757268"/>
    <w:rsid w:val="0075734B"/>
    <w:rsid w:val="007614EC"/>
    <w:rsid w:val="00761C8E"/>
    <w:rsid w:val="00762E3C"/>
    <w:rsid w:val="00763096"/>
    <w:rsid w:val="00763210"/>
    <w:rsid w:val="00763EBC"/>
    <w:rsid w:val="0076666F"/>
    <w:rsid w:val="0076686A"/>
    <w:rsid w:val="00766D30"/>
    <w:rsid w:val="00770850"/>
    <w:rsid w:val="00770EB6"/>
    <w:rsid w:val="0077185E"/>
    <w:rsid w:val="0077647C"/>
    <w:rsid w:val="00776635"/>
    <w:rsid w:val="00776724"/>
    <w:rsid w:val="007807B1"/>
    <w:rsid w:val="0078210C"/>
    <w:rsid w:val="00784BA5"/>
    <w:rsid w:val="0078654C"/>
    <w:rsid w:val="00792C4D"/>
    <w:rsid w:val="00792CFB"/>
    <w:rsid w:val="00793841"/>
    <w:rsid w:val="00793FEA"/>
    <w:rsid w:val="00794CA5"/>
    <w:rsid w:val="007979AF"/>
    <w:rsid w:val="007A06FD"/>
    <w:rsid w:val="007A115E"/>
    <w:rsid w:val="007A6970"/>
    <w:rsid w:val="007A70B1"/>
    <w:rsid w:val="007B0D31"/>
    <w:rsid w:val="007B112E"/>
    <w:rsid w:val="007B1D57"/>
    <w:rsid w:val="007B2BBF"/>
    <w:rsid w:val="007B32F0"/>
    <w:rsid w:val="007B34C1"/>
    <w:rsid w:val="007B3910"/>
    <w:rsid w:val="007B503C"/>
    <w:rsid w:val="007B6360"/>
    <w:rsid w:val="007B7D81"/>
    <w:rsid w:val="007C29F6"/>
    <w:rsid w:val="007C30BB"/>
    <w:rsid w:val="007C3BD1"/>
    <w:rsid w:val="007C3BDD"/>
    <w:rsid w:val="007C401E"/>
    <w:rsid w:val="007C44FF"/>
    <w:rsid w:val="007C6B86"/>
    <w:rsid w:val="007C7007"/>
    <w:rsid w:val="007D12DD"/>
    <w:rsid w:val="007D2426"/>
    <w:rsid w:val="007D3EA1"/>
    <w:rsid w:val="007D78B4"/>
    <w:rsid w:val="007E10D3"/>
    <w:rsid w:val="007E3421"/>
    <w:rsid w:val="007E54BB"/>
    <w:rsid w:val="007E56EA"/>
    <w:rsid w:val="007E6376"/>
    <w:rsid w:val="007E6B46"/>
    <w:rsid w:val="007F0503"/>
    <w:rsid w:val="007F0D05"/>
    <w:rsid w:val="007F228D"/>
    <w:rsid w:val="007F30A9"/>
    <w:rsid w:val="007F3E18"/>
    <w:rsid w:val="007F3E33"/>
    <w:rsid w:val="00800B18"/>
    <w:rsid w:val="008026D0"/>
    <w:rsid w:val="00804649"/>
    <w:rsid w:val="008066CC"/>
    <w:rsid w:val="00806717"/>
    <w:rsid w:val="008109A6"/>
    <w:rsid w:val="00810DFB"/>
    <w:rsid w:val="00810F41"/>
    <w:rsid w:val="00811382"/>
    <w:rsid w:val="00811C4C"/>
    <w:rsid w:val="00814887"/>
    <w:rsid w:val="00820CF5"/>
    <w:rsid w:val="008211B6"/>
    <w:rsid w:val="00823B9C"/>
    <w:rsid w:val="008255E8"/>
    <w:rsid w:val="00825D8E"/>
    <w:rsid w:val="008263B0"/>
    <w:rsid w:val="008267A3"/>
    <w:rsid w:val="00827747"/>
    <w:rsid w:val="0083086E"/>
    <w:rsid w:val="00830CEB"/>
    <w:rsid w:val="0083262F"/>
    <w:rsid w:val="008338C3"/>
    <w:rsid w:val="00833D0D"/>
    <w:rsid w:val="00834640"/>
    <w:rsid w:val="00834DA5"/>
    <w:rsid w:val="00837C3E"/>
    <w:rsid w:val="00837DCE"/>
    <w:rsid w:val="00840FCD"/>
    <w:rsid w:val="00843CDB"/>
    <w:rsid w:val="00843EEB"/>
    <w:rsid w:val="008502BB"/>
    <w:rsid w:val="00850545"/>
    <w:rsid w:val="00852472"/>
    <w:rsid w:val="00855579"/>
    <w:rsid w:val="008602A4"/>
    <w:rsid w:val="008628C6"/>
    <w:rsid w:val="0086300F"/>
    <w:rsid w:val="008630BC"/>
    <w:rsid w:val="00865893"/>
    <w:rsid w:val="00866D02"/>
    <w:rsid w:val="00866E4A"/>
    <w:rsid w:val="00866F6F"/>
    <w:rsid w:val="00867846"/>
    <w:rsid w:val="0086788B"/>
    <w:rsid w:val="0087063D"/>
    <w:rsid w:val="00870994"/>
    <w:rsid w:val="00870B30"/>
    <w:rsid w:val="008718D0"/>
    <w:rsid w:val="008719B7"/>
    <w:rsid w:val="0087303F"/>
    <w:rsid w:val="00875E43"/>
    <w:rsid w:val="00875F55"/>
    <w:rsid w:val="00876604"/>
    <w:rsid w:val="00876C84"/>
    <w:rsid w:val="008803D6"/>
    <w:rsid w:val="00880D20"/>
    <w:rsid w:val="00883D8E"/>
    <w:rsid w:val="00884870"/>
    <w:rsid w:val="00884D43"/>
    <w:rsid w:val="00885481"/>
    <w:rsid w:val="008873D9"/>
    <w:rsid w:val="00890CA8"/>
    <w:rsid w:val="00893886"/>
    <w:rsid w:val="00894190"/>
    <w:rsid w:val="0089523E"/>
    <w:rsid w:val="008955D1"/>
    <w:rsid w:val="00896657"/>
    <w:rsid w:val="008A012C"/>
    <w:rsid w:val="008A2F16"/>
    <w:rsid w:val="008A3E95"/>
    <w:rsid w:val="008A4C1E"/>
    <w:rsid w:val="008A6370"/>
    <w:rsid w:val="008B0D07"/>
    <w:rsid w:val="008B6788"/>
    <w:rsid w:val="008B6A5D"/>
    <w:rsid w:val="008B779C"/>
    <w:rsid w:val="008B7D6F"/>
    <w:rsid w:val="008C1F06"/>
    <w:rsid w:val="008C5AC8"/>
    <w:rsid w:val="008C5B26"/>
    <w:rsid w:val="008C72B4"/>
    <w:rsid w:val="008D06F4"/>
    <w:rsid w:val="008D4070"/>
    <w:rsid w:val="008D4B19"/>
    <w:rsid w:val="008D6275"/>
    <w:rsid w:val="008E1838"/>
    <w:rsid w:val="008E2C2B"/>
    <w:rsid w:val="008E3EA7"/>
    <w:rsid w:val="008E5040"/>
    <w:rsid w:val="008E6BBE"/>
    <w:rsid w:val="008E7EBF"/>
    <w:rsid w:val="008E7EE9"/>
    <w:rsid w:val="008F1019"/>
    <w:rsid w:val="008F13A0"/>
    <w:rsid w:val="008F1A79"/>
    <w:rsid w:val="008F1E12"/>
    <w:rsid w:val="008F231B"/>
    <w:rsid w:val="008F27EA"/>
    <w:rsid w:val="008F39EB"/>
    <w:rsid w:val="008F3CA6"/>
    <w:rsid w:val="008F740F"/>
    <w:rsid w:val="009005E6"/>
    <w:rsid w:val="00900ACF"/>
    <w:rsid w:val="009015D7"/>
    <w:rsid w:val="009016CF"/>
    <w:rsid w:val="0090382B"/>
    <w:rsid w:val="00903DAE"/>
    <w:rsid w:val="0090415D"/>
    <w:rsid w:val="009073E5"/>
    <w:rsid w:val="00911C30"/>
    <w:rsid w:val="00913AD7"/>
    <w:rsid w:val="00913E4E"/>
    <w:rsid w:val="00913FC8"/>
    <w:rsid w:val="009157CF"/>
    <w:rsid w:val="00916C91"/>
    <w:rsid w:val="009201C5"/>
    <w:rsid w:val="00920330"/>
    <w:rsid w:val="00922821"/>
    <w:rsid w:val="009229E7"/>
    <w:rsid w:val="00923380"/>
    <w:rsid w:val="0092414A"/>
    <w:rsid w:val="00924E20"/>
    <w:rsid w:val="009258F1"/>
    <w:rsid w:val="00925BBA"/>
    <w:rsid w:val="00927090"/>
    <w:rsid w:val="00930553"/>
    <w:rsid w:val="00930ACD"/>
    <w:rsid w:val="00930C74"/>
    <w:rsid w:val="0093125B"/>
    <w:rsid w:val="00932717"/>
    <w:rsid w:val="00932ADC"/>
    <w:rsid w:val="00934806"/>
    <w:rsid w:val="00942C88"/>
    <w:rsid w:val="00943FCF"/>
    <w:rsid w:val="009453C3"/>
    <w:rsid w:val="00951C4D"/>
    <w:rsid w:val="00953116"/>
    <w:rsid w:val="009531DF"/>
    <w:rsid w:val="00954381"/>
    <w:rsid w:val="00954FA9"/>
    <w:rsid w:val="00955D15"/>
    <w:rsid w:val="0095612A"/>
    <w:rsid w:val="00956FCD"/>
    <w:rsid w:val="0095751B"/>
    <w:rsid w:val="00957528"/>
    <w:rsid w:val="009603F4"/>
    <w:rsid w:val="00963019"/>
    <w:rsid w:val="0096302E"/>
    <w:rsid w:val="00963647"/>
    <w:rsid w:val="00963864"/>
    <w:rsid w:val="009651DD"/>
    <w:rsid w:val="00967AFD"/>
    <w:rsid w:val="009704BF"/>
    <w:rsid w:val="00972325"/>
    <w:rsid w:val="009765B3"/>
    <w:rsid w:val="00976895"/>
    <w:rsid w:val="00977A77"/>
    <w:rsid w:val="00980C78"/>
    <w:rsid w:val="00981C9E"/>
    <w:rsid w:val="00984707"/>
    <w:rsid w:val="00984748"/>
    <w:rsid w:val="00985CCD"/>
    <w:rsid w:val="009868B9"/>
    <w:rsid w:val="00987286"/>
    <w:rsid w:val="00987693"/>
    <w:rsid w:val="00992C32"/>
    <w:rsid w:val="009937D3"/>
    <w:rsid w:val="00993D24"/>
    <w:rsid w:val="009950C6"/>
    <w:rsid w:val="00996540"/>
    <w:rsid w:val="009966FF"/>
    <w:rsid w:val="00997034"/>
    <w:rsid w:val="009971A9"/>
    <w:rsid w:val="009A0241"/>
    <w:rsid w:val="009A0FDB"/>
    <w:rsid w:val="009A37D5"/>
    <w:rsid w:val="009A59D0"/>
    <w:rsid w:val="009A7EC2"/>
    <w:rsid w:val="009B0A60"/>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0CA"/>
    <w:rsid w:val="009D4319"/>
    <w:rsid w:val="009D52BB"/>
    <w:rsid w:val="009D558E"/>
    <w:rsid w:val="009D57E5"/>
    <w:rsid w:val="009D5A87"/>
    <w:rsid w:val="009D6C80"/>
    <w:rsid w:val="009E0424"/>
    <w:rsid w:val="009E2846"/>
    <w:rsid w:val="009E2EF5"/>
    <w:rsid w:val="009E4268"/>
    <w:rsid w:val="009E435E"/>
    <w:rsid w:val="009E4BA9"/>
    <w:rsid w:val="009E647C"/>
    <w:rsid w:val="009F55FD"/>
    <w:rsid w:val="009F5B59"/>
    <w:rsid w:val="009F7D77"/>
    <w:rsid w:val="009F7F80"/>
    <w:rsid w:val="00A01682"/>
    <w:rsid w:val="00A01BCD"/>
    <w:rsid w:val="00A04A82"/>
    <w:rsid w:val="00A04C4A"/>
    <w:rsid w:val="00A059C6"/>
    <w:rsid w:val="00A05C7B"/>
    <w:rsid w:val="00A05FB5"/>
    <w:rsid w:val="00A0780F"/>
    <w:rsid w:val="00A11572"/>
    <w:rsid w:val="00A11A8D"/>
    <w:rsid w:val="00A1542A"/>
    <w:rsid w:val="00A15D01"/>
    <w:rsid w:val="00A22C01"/>
    <w:rsid w:val="00A23ADC"/>
    <w:rsid w:val="00A24673"/>
    <w:rsid w:val="00A24FAC"/>
    <w:rsid w:val="00A2668A"/>
    <w:rsid w:val="00A276A1"/>
    <w:rsid w:val="00A27C2E"/>
    <w:rsid w:val="00A30ECC"/>
    <w:rsid w:val="00A35814"/>
    <w:rsid w:val="00A36434"/>
    <w:rsid w:val="00A36991"/>
    <w:rsid w:val="00A40F41"/>
    <w:rsid w:val="00A4114C"/>
    <w:rsid w:val="00A4319D"/>
    <w:rsid w:val="00A43BFF"/>
    <w:rsid w:val="00A464E4"/>
    <w:rsid w:val="00A46620"/>
    <w:rsid w:val="00A47112"/>
    <w:rsid w:val="00A476AE"/>
    <w:rsid w:val="00A500F3"/>
    <w:rsid w:val="00A50674"/>
    <w:rsid w:val="00A5089E"/>
    <w:rsid w:val="00A5140C"/>
    <w:rsid w:val="00A5228B"/>
    <w:rsid w:val="00A52521"/>
    <w:rsid w:val="00A5319F"/>
    <w:rsid w:val="00A53D3B"/>
    <w:rsid w:val="00A55454"/>
    <w:rsid w:val="00A5629C"/>
    <w:rsid w:val="00A607ED"/>
    <w:rsid w:val="00A62896"/>
    <w:rsid w:val="00A63852"/>
    <w:rsid w:val="00A63DC2"/>
    <w:rsid w:val="00A64826"/>
    <w:rsid w:val="00A64E41"/>
    <w:rsid w:val="00A6603D"/>
    <w:rsid w:val="00A66D89"/>
    <w:rsid w:val="00A673BC"/>
    <w:rsid w:val="00A70B9D"/>
    <w:rsid w:val="00A7118F"/>
    <w:rsid w:val="00A71A2E"/>
    <w:rsid w:val="00A72452"/>
    <w:rsid w:val="00A739F4"/>
    <w:rsid w:val="00A74954"/>
    <w:rsid w:val="00A75D8C"/>
    <w:rsid w:val="00A76646"/>
    <w:rsid w:val="00A77CE1"/>
    <w:rsid w:val="00A8007F"/>
    <w:rsid w:val="00A80AA2"/>
    <w:rsid w:val="00A81AAC"/>
    <w:rsid w:val="00A81EF8"/>
    <w:rsid w:val="00A8252E"/>
    <w:rsid w:val="00A82933"/>
    <w:rsid w:val="00A82E56"/>
    <w:rsid w:val="00A83CA7"/>
    <w:rsid w:val="00A84644"/>
    <w:rsid w:val="00A85172"/>
    <w:rsid w:val="00A85940"/>
    <w:rsid w:val="00A86199"/>
    <w:rsid w:val="00A877CC"/>
    <w:rsid w:val="00A87D9F"/>
    <w:rsid w:val="00A9069E"/>
    <w:rsid w:val="00A919E1"/>
    <w:rsid w:val="00A91F3B"/>
    <w:rsid w:val="00A93CC6"/>
    <w:rsid w:val="00A95FEF"/>
    <w:rsid w:val="00A97C49"/>
    <w:rsid w:val="00AA0FDE"/>
    <w:rsid w:val="00AA42D4"/>
    <w:rsid w:val="00AA4F7F"/>
    <w:rsid w:val="00AA58FD"/>
    <w:rsid w:val="00AA6D95"/>
    <w:rsid w:val="00AA7795"/>
    <w:rsid w:val="00AA78AB"/>
    <w:rsid w:val="00AB0801"/>
    <w:rsid w:val="00AB13F3"/>
    <w:rsid w:val="00AB1A30"/>
    <w:rsid w:val="00AB2573"/>
    <w:rsid w:val="00AB34A5"/>
    <w:rsid w:val="00AB365E"/>
    <w:rsid w:val="00AB4D04"/>
    <w:rsid w:val="00AB53B3"/>
    <w:rsid w:val="00AB6309"/>
    <w:rsid w:val="00AB675C"/>
    <w:rsid w:val="00AB78E7"/>
    <w:rsid w:val="00AB7EE1"/>
    <w:rsid w:val="00AC0074"/>
    <w:rsid w:val="00AC1A70"/>
    <w:rsid w:val="00AC39F8"/>
    <w:rsid w:val="00AC3B3B"/>
    <w:rsid w:val="00AC6727"/>
    <w:rsid w:val="00AC76AC"/>
    <w:rsid w:val="00AD253C"/>
    <w:rsid w:val="00AD42DE"/>
    <w:rsid w:val="00AD5394"/>
    <w:rsid w:val="00AE3DC2"/>
    <w:rsid w:val="00AE4ED6"/>
    <w:rsid w:val="00AE541E"/>
    <w:rsid w:val="00AE56F2"/>
    <w:rsid w:val="00AE6611"/>
    <w:rsid w:val="00AE6A93"/>
    <w:rsid w:val="00AE7A99"/>
    <w:rsid w:val="00AF059F"/>
    <w:rsid w:val="00AF6099"/>
    <w:rsid w:val="00B007EF"/>
    <w:rsid w:val="00B01AFD"/>
    <w:rsid w:val="00B01C0E"/>
    <w:rsid w:val="00B02B41"/>
    <w:rsid w:val="00B0371D"/>
    <w:rsid w:val="00B0428D"/>
    <w:rsid w:val="00B04F31"/>
    <w:rsid w:val="00B05020"/>
    <w:rsid w:val="00B0525C"/>
    <w:rsid w:val="00B12806"/>
    <w:rsid w:val="00B12F98"/>
    <w:rsid w:val="00B15B90"/>
    <w:rsid w:val="00B15F32"/>
    <w:rsid w:val="00B17B89"/>
    <w:rsid w:val="00B2418D"/>
    <w:rsid w:val="00B247F0"/>
    <w:rsid w:val="00B24A04"/>
    <w:rsid w:val="00B25580"/>
    <w:rsid w:val="00B26C6E"/>
    <w:rsid w:val="00B27A33"/>
    <w:rsid w:val="00B310BA"/>
    <w:rsid w:val="00B3290A"/>
    <w:rsid w:val="00B34E4A"/>
    <w:rsid w:val="00B359C9"/>
    <w:rsid w:val="00B36347"/>
    <w:rsid w:val="00B40D84"/>
    <w:rsid w:val="00B41E45"/>
    <w:rsid w:val="00B42848"/>
    <w:rsid w:val="00B43442"/>
    <w:rsid w:val="00B4566C"/>
    <w:rsid w:val="00B4773C"/>
    <w:rsid w:val="00B50039"/>
    <w:rsid w:val="00B511D9"/>
    <w:rsid w:val="00B51A61"/>
    <w:rsid w:val="00B5282A"/>
    <w:rsid w:val="00B538F4"/>
    <w:rsid w:val="00B53A1E"/>
    <w:rsid w:val="00B6012B"/>
    <w:rsid w:val="00B60142"/>
    <w:rsid w:val="00B60346"/>
    <w:rsid w:val="00B606F4"/>
    <w:rsid w:val="00B620F6"/>
    <w:rsid w:val="00B666F6"/>
    <w:rsid w:val="00B6704F"/>
    <w:rsid w:val="00B71167"/>
    <w:rsid w:val="00B724E8"/>
    <w:rsid w:val="00B769BA"/>
    <w:rsid w:val="00B77536"/>
    <w:rsid w:val="00B77AEF"/>
    <w:rsid w:val="00B83B16"/>
    <w:rsid w:val="00B855F0"/>
    <w:rsid w:val="00B861FF"/>
    <w:rsid w:val="00B86983"/>
    <w:rsid w:val="00B90C06"/>
    <w:rsid w:val="00B9108E"/>
    <w:rsid w:val="00B91703"/>
    <w:rsid w:val="00B91746"/>
    <w:rsid w:val="00B923AC"/>
    <w:rsid w:val="00B9300F"/>
    <w:rsid w:val="00B95734"/>
    <w:rsid w:val="00B95B1D"/>
    <w:rsid w:val="00B9665F"/>
    <w:rsid w:val="00B975EA"/>
    <w:rsid w:val="00BA0398"/>
    <w:rsid w:val="00BA08B4"/>
    <w:rsid w:val="00BA17C8"/>
    <w:rsid w:val="00BA268E"/>
    <w:rsid w:val="00BA27C8"/>
    <w:rsid w:val="00BA5216"/>
    <w:rsid w:val="00BB0F03"/>
    <w:rsid w:val="00BB166E"/>
    <w:rsid w:val="00BB19F5"/>
    <w:rsid w:val="00BB3115"/>
    <w:rsid w:val="00BB39B4"/>
    <w:rsid w:val="00BB40C7"/>
    <w:rsid w:val="00BB4184"/>
    <w:rsid w:val="00BB4AC3"/>
    <w:rsid w:val="00BB5A48"/>
    <w:rsid w:val="00BB5F71"/>
    <w:rsid w:val="00BB73F0"/>
    <w:rsid w:val="00BC014C"/>
    <w:rsid w:val="00BC1132"/>
    <w:rsid w:val="00BC14BD"/>
    <w:rsid w:val="00BC1EF9"/>
    <w:rsid w:val="00BC37AE"/>
    <w:rsid w:val="00BC4898"/>
    <w:rsid w:val="00BC6326"/>
    <w:rsid w:val="00BC6ACF"/>
    <w:rsid w:val="00BD3506"/>
    <w:rsid w:val="00BD50B0"/>
    <w:rsid w:val="00BD5C2E"/>
    <w:rsid w:val="00BE3666"/>
    <w:rsid w:val="00BE37CC"/>
    <w:rsid w:val="00BE39CA"/>
    <w:rsid w:val="00BE5ABE"/>
    <w:rsid w:val="00BE62C2"/>
    <w:rsid w:val="00BE77D6"/>
    <w:rsid w:val="00BE7F9A"/>
    <w:rsid w:val="00BF18E6"/>
    <w:rsid w:val="00BF302E"/>
    <w:rsid w:val="00BF31E6"/>
    <w:rsid w:val="00BF5F8B"/>
    <w:rsid w:val="00BF62D8"/>
    <w:rsid w:val="00BF70CA"/>
    <w:rsid w:val="00BF7F05"/>
    <w:rsid w:val="00C01B4C"/>
    <w:rsid w:val="00C01BCA"/>
    <w:rsid w:val="00C02FCB"/>
    <w:rsid w:val="00C03188"/>
    <w:rsid w:val="00C04B5A"/>
    <w:rsid w:val="00C070F2"/>
    <w:rsid w:val="00C07305"/>
    <w:rsid w:val="00C11F58"/>
    <w:rsid w:val="00C120B0"/>
    <w:rsid w:val="00C12406"/>
    <w:rsid w:val="00C12B87"/>
    <w:rsid w:val="00C13661"/>
    <w:rsid w:val="00C14B20"/>
    <w:rsid w:val="00C227A4"/>
    <w:rsid w:val="00C2622D"/>
    <w:rsid w:val="00C27723"/>
    <w:rsid w:val="00C27E65"/>
    <w:rsid w:val="00C30267"/>
    <w:rsid w:val="00C32FF9"/>
    <w:rsid w:val="00C3353D"/>
    <w:rsid w:val="00C33C94"/>
    <w:rsid w:val="00C33D9A"/>
    <w:rsid w:val="00C34982"/>
    <w:rsid w:val="00C35828"/>
    <w:rsid w:val="00C36A36"/>
    <w:rsid w:val="00C408F8"/>
    <w:rsid w:val="00C40DF6"/>
    <w:rsid w:val="00C4152F"/>
    <w:rsid w:val="00C41E35"/>
    <w:rsid w:val="00C423DC"/>
    <w:rsid w:val="00C429F3"/>
    <w:rsid w:val="00C44145"/>
    <w:rsid w:val="00C46309"/>
    <w:rsid w:val="00C464A3"/>
    <w:rsid w:val="00C46EE3"/>
    <w:rsid w:val="00C47253"/>
    <w:rsid w:val="00C52D04"/>
    <w:rsid w:val="00C553CE"/>
    <w:rsid w:val="00C61987"/>
    <w:rsid w:val="00C61DA2"/>
    <w:rsid w:val="00C61FB5"/>
    <w:rsid w:val="00C66894"/>
    <w:rsid w:val="00C67897"/>
    <w:rsid w:val="00C67A6D"/>
    <w:rsid w:val="00C71B6A"/>
    <w:rsid w:val="00C7278D"/>
    <w:rsid w:val="00C73EC1"/>
    <w:rsid w:val="00C73ED0"/>
    <w:rsid w:val="00C7514D"/>
    <w:rsid w:val="00C75C37"/>
    <w:rsid w:val="00C771B0"/>
    <w:rsid w:val="00C7765D"/>
    <w:rsid w:val="00C805EF"/>
    <w:rsid w:val="00C807CC"/>
    <w:rsid w:val="00C810B5"/>
    <w:rsid w:val="00C8149E"/>
    <w:rsid w:val="00C8212A"/>
    <w:rsid w:val="00C82A58"/>
    <w:rsid w:val="00C82B82"/>
    <w:rsid w:val="00C82F11"/>
    <w:rsid w:val="00C8448A"/>
    <w:rsid w:val="00C85A4F"/>
    <w:rsid w:val="00C85FE7"/>
    <w:rsid w:val="00C8666D"/>
    <w:rsid w:val="00C87AB0"/>
    <w:rsid w:val="00C91D31"/>
    <w:rsid w:val="00C95E39"/>
    <w:rsid w:val="00C96409"/>
    <w:rsid w:val="00C9686A"/>
    <w:rsid w:val="00C97CE3"/>
    <w:rsid w:val="00CA1F4F"/>
    <w:rsid w:val="00CA27A3"/>
    <w:rsid w:val="00CA72F3"/>
    <w:rsid w:val="00CB1742"/>
    <w:rsid w:val="00CB2461"/>
    <w:rsid w:val="00CB2701"/>
    <w:rsid w:val="00CB2737"/>
    <w:rsid w:val="00CB2845"/>
    <w:rsid w:val="00CB2912"/>
    <w:rsid w:val="00CB383A"/>
    <w:rsid w:val="00CB4BCC"/>
    <w:rsid w:val="00CB59A6"/>
    <w:rsid w:val="00CB6444"/>
    <w:rsid w:val="00CB66A4"/>
    <w:rsid w:val="00CB6A2E"/>
    <w:rsid w:val="00CB6F95"/>
    <w:rsid w:val="00CC00D7"/>
    <w:rsid w:val="00CC0302"/>
    <w:rsid w:val="00CC19E0"/>
    <w:rsid w:val="00CC40AF"/>
    <w:rsid w:val="00CC540C"/>
    <w:rsid w:val="00CC5D20"/>
    <w:rsid w:val="00CC5D8B"/>
    <w:rsid w:val="00CD081E"/>
    <w:rsid w:val="00CD0FE1"/>
    <w:rsid w:val="00CD1FA2"/>
    <w:rsid w:val="00CD33FB"/>
    <w:rsid w:val="00CD4299"/>
    <w:rsid w:val="00CD492A"/>
    <w:rsid w:val="00CE307C"/>
    <w:rsid w:val="00CE3DFA"/>
    <w:rsid w:val="00CE480D"/>
    <w:rsid w:val="00CE6EA1"/>
    <w:rsid w:val="00CE6FA1"/>
    <w:rsid w:val="00CE71D4"/>
    <w:rsid w:val="00CF0AF9"/>
    <w:rsid w:val="00CF1542"/>
    <w:rsid w:val="00CF1953"/>
    <w:rsid w:val="00CF2697"/>
    <w:rsid w:val="00CF4719"/>
    <w:rsid w:val="00CF48B5"/>
    <w:rsid w:val="00CF4D23"/>
    <w:rsid w:val="00CF65B0"/>
    <w:rsid w:val="00CF77AE"/>
    <w:rsid w:val="00D00C04"/>
    <w:rsid w:val="00D02191"/>
    <w:rsid w:val="00D0246D"/>
    <w:rsid w:val="00D02E41"/>
    <w:rsid w:val="00D030E4"/>
    <w:rsid w:val="00D06C2B"/>
    <w:rsid w:val="00D1089A"/>
    <w:rsid w:val="00D10E1B"/>
    <w:rsid w:val="00D1314F"/>
    <w:rsid w:val="00D1499D"/>
    <w:rsid w:val="00D1514D"/>
    <w:rsid w:val="00D16B8B"/>
    <w:rsid w:val="00D16EDC"/>
    <w:rsid w:val="00D174D8"/>
    <w:rsid w:val="00D1783E"/>
    <w:rsid w:val="00D22821"/>
    <w:rsid w:val="00D23BEE"/>
    <w:rsid w:val="00D26430"/>
    <w:rsid w:val="00D32398"/>
    <w:rsid w:val="00D326AD"/>
    <w:rsid w:val="00D34B85"/>
    <w:rsid w:val="00D34E4F"/>
    <w:rsid w:val="00D35FA0"/>
    <w:rsid w:val="00D36B21"/>
    <w:rsid w:val="00D40830"/>
    <w:rsid w:val="00D40DE4"/>
    <w:rsid w:val="00D41B0A"/>
    <w:rsid w:val="00D41DA0"/>
    <w:rsid w:val="00D4288C"/>
    <w:rsid w:val="00D42937"/>
    <w:rsid w:val="00D43CA9"/>
    <w:rsid w:val="00D43F88"/>
    <w:rsid w:val="00D44B05"/>
    <w:rsid w:val="00D457A3"/>
    <w:rsid w:val="00D46296"/>
    <w:rsid w:val="00D510F3"/>
    <w:rsid w:val="00D51BDC"/>
    <w:rsid w:val="00D51F80"/>
    <w:rsid w:val="00D5257A"/>
    <w:rsid w:val="00D537EC"/>
    <w:rsid w:val="00D56ACD"/>
    <w:rsid w:val="00D5792F"/>
    <w:rsid w:val="00D60372"/>
    <w:rsid w:val="00D610E8"/>
    <w:rsid w:val="00D63802"/>
    <w:rsid w:val="00D63A38"/>
    <w:rsid w:val="00D63D6F"/>
    <w:rsid w:val="00D64805"/>
    <w:rsid w:val="00D67262"/>
    <w:rsid w:val="00D71490"/>
    <w:rsid w:val="00D71AE2"/>
    <w:rsid w:val="00D72D65"/>
    <w:rsid w:val="00D72E30"/>
    <w:rsid w:val="00D7462C"/>
    <w:rsid w:val="00D77419"/>
    <w:rsid w:val="00D8005C"/>
    <w:rsid w:val="00D8098E"/>
    <w:rsid w:val="00D8155E"/>
    <w:rsid w:val="00D82DA9"/>
    <w:rsid w:val="00D8504F"/>
    <w:rsid w:val="00D85CA5"/>
    <w:rsid w:val="00D91037"/>
    <w:rsid w:val="00D928DD"/>
    <w:rsid w:val="00D93C97"/>
    <w:rsid w:val="00D93CCE"/>
    <w:rsid w:val="00D941AF"/>
    <w:rsid w:val="00D9449B"/>
    <w:rsid w:val="00DA2D77"/>
    <w:rsid w:val="00DA2EB6"/>
    <w:rsid w:val="00DA2EBE"/>
    <w:rsid w:val="00DA3F6C"/>
    <w:rsid w:val="00DA4966"/>
    <w:rsid w:val="00DA4EB0"/>
    <w:rsid w:val="00DA5FED"/>
    <w:rsid w:val="00DA6058"/>
    <w:rsid w:val="00DA78FE"/>
    <w:rsid w:val="00DB06F3"/>
    <w:rsid w:val="00DB10BF"/>
    <w:rsid w:val="00DB1813"/>
    <w:rsid w:val="00DB2577"/>
    <w:rsid w:val="00DB379C"/>
    <w:rsid w:val="00DB3ED7"/>
    <w:rsid w:val="00DB40BD"/>
    <w:rsid w:val="00DB42B9"/>
    <w:rsid w:val="00DB4D2A"/>
    <w:rsid w:val="00DB58F5"/>
    <w:rsid w:val="00DB6E04"/>
    <w:rsid w:val="00DB74F1"/>
    <w:rsid w:val="00DB7B4B"/>
    <w:rsid w:val="00DC05D1"/>
    <w:rsid w:val="00DC0D89"/>
    <w:rsid w:val="00DC0ED8"/>
    <w:rsid w:val="00DC17A2"/>
    <w:rsid w:val="00DC2B12"/>
    <w:rsid w:val="00DC45BC"/>
    <w:rsid w:val="00DD04F9"/>
    <w:rsid w:val="00DD1349"/>
    <w:rsid w:val="00DD17E9"/>
    <w:rsid w:val="00DD46AE"/>
    <w:rsid w:val="00DD5243"/>
    <w:rsid w:val="00DD6F38"/>
    <w:rsid w:val="00DE040A"/>
    <w:rsid w:val="00DE1ADA"/>
    <w:rsid w:val="00DE3661"/>
    <w:rsid w:val="00DE422A"/>
    <w:rsid w:val="00DE5F53"/>
    <w:rsid w:val="00DE60F1"/>
    <w:rsid w:val="00DE7926"/>
    <w:rsid w:val="00DF1CAD"/>
    <w:rsid w:val="00DF2059"/>
    <w:rsid w:val="00DF2B8D"/>
    <w:rsid w:val="00DF3C40"/>
    <w:rsid w:val="00DF796D"/>
    <w:rsid w:val="00DF7F9A"/>
    <w:rsid w:val="00E03785"/>
    <w:rsid w:val="00E06664"/>
    <w:rsid w:val="00E06DE5"/>
    <w:rsid w:val="00E079B9"/>
    <w:rsid w:val="00E10EB8"/>
    <w:rsid w:val="00E10F9E"/>
    <w:rsid w:val="00E13B68"/>
    <w:rsid w:val="00E13BFD"/>
    <w:rsid w:val="00E16E9C"/>
    <w:rsid w:val="00E20D17"/>
    <w:rsid w:val="00E225D9"/>
    <w:rsid w:val="00E2278F"/>
    <w:rsid w:val="00E238EA"/>
    <w:rsid w:val="00E2427A"/>
    <w:rsid w:val="00E26A2E"/>
    <w:rsid w:val="00E2723C"/>
    <w:rsid w:val="00E27805"/>
    <w:rsid w:val="00E31609"/>
    <w:rsid w:val="00E3161F"/>
    <w:rsid w:val="00E33724"/>
    <w:rsid w:val="00E341E0"/>
    <w:rsid w:val="00E34589"/>
    <w:rsid w:val="00E34B0A"/>
    <w:rsid w:val="00E36C87"/>
    <w:rsid w:val="00E37FD5"/>
    <w:rsid w:val="00E40405"/>
    <w:rsid w:val="00E404CB"/>
    <w:rsid w:val="00E42037"/>
    <w:rsid w:val="00E45783"/>
    <w:rsid w:val="00E50B05"/>
    <w:rsid w:val="00E50F23"/>
    <w:rsid w:val="00E52573"/>
    <w:rsid w:val="00E5422B"/>
    <w:rsid w:val="00E54E35"/>
    <w:rsid w:val="00E5643C"/>
    <w:rsid w:val="00E57927"/>
    <w:rsid w:val="00E6076E"/>
    <w:rsid w:val="00E61E25"/>
    <w:rsid w:val="00E63C36"/>
    <w:rsid w:val="00E6433C"/>
    <w:rsid w:val="00E65503"/>
    <w:rsid w:val="00E66CD2"/>
    <w:rsid w:val="00E676EB"/>
    <w:rsid w:val="00E67F03"/>
    <w:rsid w:val="00E7277E"/>
    <w:rsid w:val="00E73B26"/>
    <w:rsid w:val="00E74724"/>
    <w:rsid w:val="00E74DC4"/>
    <w:rsid w:val="00E752FA"/>
    <w:rsid w:val="00E75795"/>
    <w:rsid w:val="00E75DDD"/>
    <w:rsid w:val="00E75FD6"/>
    <w:rsid w:val="00E76C83"/>
    <w:rsid w:val="00E808D2"/>
    <w:rsid w:val="00E83345"/>
    <w:rsid w:val="00E83DB1"/>
    <w:rsid w:val="00E84E6A"/>
    <w:rsid w:val="00E85C22"/>
    <w:rsid w:val="00E868AB"/>
    <w:rsid w:val="00E875B2"/>
    <w:rsid w:val="00E92F84"/>
    <w:rsid w:val="00E93562"/>
    <w:rsid w:val="00E93619"/>
    <w:rsid w:val="00E93B75"/>
    <w:rsid w:val="00E970E9"/>
    <w:rsid w:val="00E9774F"/>
    <w:rsid w:val="00E97B54"/>
    <w:rsid w:val="00EA3C5B"/>
    <w:rsid w:val="00EA6D96"/>
    <w:rsid w:val="00EA6F8E"/>
    <w:rsid w:val="00EA737E"/>
    <w:rsid w:val="00EA76D0"/>
    <w:rsid w:val="00EB0EB4"/>
    <w:rsid w:val="00EB1433"/>
    <w:rsid w:val="00EB3272"/>
    <w:rsid w:val="00EB33B2"/>
    <w:rsid w:val="00EB3578"/>
    <w:rsid w:val="00EB60D9"/>
    <w:rsid w:val="00EB627F"/>
    <w:rsid w:val="00EC0738"/>
    <w:rsid w:val="00EC078A"/>
    <w:rsid w:val="00EC3630"/>
    <w:rsid w:val="00EC3A35"/>
    <w:rsid w:val="00EC4C15"/>
    <w:rsid w:val="00EC4DE1"/>
    <w:rsid w:val="00EC5E52"/>
    <w:rsid w:val="00EC7538"/>
    <w:rsid w:val="00ED1900"/>
    <w:rsid w:val="00ED2D1C"/>
    <w:rsid w:val="00ED2ED4"/>
    <w:rsid w:val="00ED331E"/>
    <w:rsid w:val="00ED591E"/>
    <w:rsid w:val="00ED758F"/>
    <w:rsid w:val="00ED7623"/>
    <w:rsid w:val="00EE1106"/>
    <w:rsid w:val="00EE40A9"/>
    <w:rsid w:val="00EE4FC4"/>
    <w:rsid w:val="00EE6501"/>
    <w:rsid w:val="00EE7763"/>
    <w:rsid w:val="00EE7B49"/>
    <w:rsid w:val="00EF05CA"/>
    <w:rsid w:val="00EF1417"/>
    <w:rsid w:val="00EF42EB"/>
    <w:rsid w:val="00EF4B42"/>
    <w:rsid w:val="00EF5C18"/>
    <w:rsid w:val="00EF5D29"/>
    <w:rsid w:val="00EF7577"/>
    <w:rsid w:val="00F016D8"/>
    <w:rsid w:val="00F034F8"/>
    <w:rsid w:val="00F04CD5"/>
    <w:rsid w:val="00F0540D"/>
    <w:rsid w:val="00F10144"/>
    <w:rsid w:val="00F10450"/>
    <w:rsid w:val="00F121C7"/>
    <w:rsid w:val="00F149EE"/>
    <w:rsid w:val="00F1614C"/>
    <w:rsid w:val="00F1615C"/>
    <w:rsid w:val="00F17809"/>
    <w:rsid w:val="00F20D7B"/>
    <w:rsid w:val="00F23479"/>
    <w:rsid w:val="00F25EDF"/>
    <w:rsid w:val="00F2646F"/>
    <w:rsid w:val="00F2647F"/>
    <w:rsid w:val="00F27521"/>
    <w:rsid w:val="00F279ED"/>
    <w:rsid w:val="00F30499"/>
    <w:rsid w:val="00F3083D"/>
    <w:rsid w:val="00F31467"/>
    <w:rsid w:val="00F33D82"/>
    <w:rsid w:val="00F344CC"/>
    <w:rsid w:val="00F347CD"/>
    <w:rsid w:val="00F353C4"/>
    <w:rsid w:val="00F3696E"/>
    <w:rsid w:val="00F37466"/>
    <w:rsid w:val="00F4034A"/>
    <w:rsid w:val="00F403D7"/>
    <w:rsid w:val="00F437A1"/>
    <w:rsid w:val="00F4452B"/>
    <w:rsid w:val="00F44672"/>
    <w:rsid w:val="00F4575C"/>
    <w:rsid w:val="00F459A0"/>
    <w:rsid w:val="00F45AA7"/>
    <w:rsid w:val="00F45AC2"/>
    <w:rsid w:val="00F4663D"/>
    <w:rsid w:val="00F50625"/>
    <w:rsid w:val="00F50659"/>
    <w:rsid w:val="00F5321D"/>
    <w:rsid w:val="00F54850"/>
    <w:rsid w:val="00F552AE"/>
    <w:rsid w:val="00F553D8"/>
    <w:rsid w:val="00F559A8"/>
    <w:rsid w:val="00F56639"/>
    <w:rsid w:val="00F57421"/>
    <w:rsid w:val="00F60EAF"/>
    <w:rsid w:val="00F62247"/>
    <w:rsid w:val="00F62263"/>
    <w:rsid w:val="00F65665"/>
    <w:rsid w:val="00F67166"/>
    <w:rsid w:val="00F70223"/>
    <w:rsid w:val="00F7168A"/>
    <w:rsid w:val="00F71B11"/>
    <w:rsid w:val="00F726EE"/>
    <w:rsid w:val="00F72E54"/>
    <w:rsid w:val="00F75671"/>
    <w:rsid w:val="00F765E2"/>
    <w:rsid w:val="00F7783F"/>
    <w:rsid w:val="00F77BAC"/>
    <w:rsid w:val="00F80248"/>
    <w:rsid w:val="00F80A32"/>
    <w:rsid w:val="00F8205B"/>
    <w:rsid w:val="00F84268"/>
    <w:rsid w:val="00F85132"/>
    <w:rsid w:val="00F8631C"/>
    <w:rsid w:val="00F86758"/>
    <w:rsid w:val="00F86D19"/>
    <w:rsid w:val="00F904E5"/>
    <w:rsid w:val="00F91574"/>
    <w:rsid w:val="00F91FD9"/>
    <w:rsid w:val="00F945BD"/>
    <w:rsid w:val="00F96676"/>
    <w:rsid w:val="00F97BCF"/>
    <w:rsid w:val="00FA11AF"/>
    <w:rsid w:val="00FA338B"/>
    <w:rsid w:val="00FA6994"/>
    <w:rsid w:val="00FA69CF"/>
    <w:rsid w:val="00FA6F31"/>
    <w:rsid w:val="00FB1248"/>
    <w:rsid w:val="00FB293B"/>
    <w:rsid w:val="00FB3F59"/>
    <w:rsid w:val="00FB49E9"/>
    <w:rsid w:val="00FB4FC8"/>
    <w:rsid w:val="00FB7419"/>
    <w:rsid w:val="00FC28D6"/>
    <w:rsid w:val="00FC2D85"/>
    <w:rsid w:val="00FC2E84"/>
    <w:rsid w:val="00FC332C"/>
    <w:rsid w:val="00FC4E4A"/>
    <w:rsid w:val="00FD2CBA"/>
    <w:rsid w:val="00FD5148"/>
    <w:rsid w:val="00FD73A4"/>
    <w:rsid w:val="00FD7989"/>
    <w:rsid w:val="00FD79BB"/>
    <w:rsid w:val="00FD7FF2"/>
    <w:rsid w:val="00FE260E"/>
    <w:rsid w:val="00FE2B4D"/>
    <w:rsid w:val="00FE2D06"/>
    <w:rsid w:val="00FE39B9"/>
    <w:rsid w:val="00FE3DD1"/>
    <w:rsid w:val="00FE3E27"/>
    <w:rsid w:val="00FE64D2"/>
    <w:rsid w:val="00FF26CD"/>
    <w:rsid w:val="00FF2A9C"/>
    <w:rsid w:val="00FF2E5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0658FD64-F6C4-4BC3-80C4-FB3DD0CE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DAE"/>
    <w:pPr>
      <w:tabs>
        <w:tab w:val="left" w:pos="0"/>
      </w:tabs>
    </w:pPr>
    <w:rPr>
      <w:sz w:val="24"/>
      <w:lang w:eastAsia="en-US"/>
    </w:rPr>
  </w:style>
  <w:style w:type="paragraph" w:styleId="Heading1">
    <w:name w:val="heading 1"/>
    <w:basedOn w:val="Normal"/>
    <w:next w:val="Normal"/>
    <w:qFormat/>
    <w:rsid w:val="00903D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03D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03DAE"/>
    <w:pPr>
      <w:keepNext/>
      <w:spacing w:before="140"/>
      <w:outlineLvl w:val="2"/>
    </w:pPr>
    <w:rPr>
      <w:b/>
    </w:rPr>
  </w:style>
  <w:style w:type="paragraph" w:styleId="Heading4">
    <w:name w:val="heading 4"/>
    <w:basedOn w:val="Normal"/>
    <w:next w:val="Normal"/>
    <w:qFormat/>
    <w:rsid w:val="00903DAE"/>
    <w:pPr>
      <w:keepNext/>
      <w:spacing w:before="240" w:after="60"/>
      <w:outlineLvl w:val="3"/>
    </w:pPr>
    <w:rPr>
      <w:rFonts w:ascii="Arial" w:hAnsi="Arial"/>
      <w:b/>
      <w:bCs/>
      <w:sz w:val="22"/>
      <w:szCs w:val="28"/>
    </w:rPr>
  </w:style>
  <w:style w:type="paragraph" w:styleId="Heading5">
    <w:name w:val="heading 5"/>
    <w:basedOn w:val="Normal"/>
    <w:next w:val="Normal"/>
    <w:qFormat/>
    <w:rsid w:val="002E0DF3"/>
    <w:pPr>
      <w:numPr>
        <w:ilvl w:val="4"/>
        <w:numId w:val="1"/>
      </w:numPr>
      <w:spacing w:before="240" w:after="60"/>
      <w:outlineLvl w:val="4"/>
    </w:pPr>
    <w:rPr>
      <w:sz w:val="22"/>
    </w:rPr>
  </w:style>
  <w:style w:type="paragraph" w:styleId="Heading6">
    <w:name w:val="heading 6"/>
    <w:basedOn w:val="Normal"/>
    <w:next w:val="Normal"/>
    <w:qFormat/>
    <w:rsid w:val="002E0DF3"/>
    <w:pPr>
      <w:numPr>
        <w:ilvl w:val="5"/>
        <w:numId w:val="1"/>
      </w:numPr>
      <w:spacing w:before="240" w:after="60"/>
      <w:outlineLvl w:val="5"/>
    </w:pPr>
    <w:rPr>
      <w:i/>
      <w:sz w:val="22"/>
    </w:rPr>
  </w:style>
  <w:style w:type="paragraph" w:styleId="Heading7">
    <w:name w:val="heading 7"/>
    <w:basedOn w:val="Normal"/>
    <w:next w:val="Normal"/>
    <w:qFormat/>
    <w:rsid w:val="002E0DF3"/>
    <w:pPr>
      <w:numPr>
        <w:ilvl w:val="6"/>
        <w:numId w:val="1"/>
      </w:numPr>
      <w:spacing w:before="240" w:after="60"/>
      <w:outlineLvl w:val="6"/>
    </w:pPr>
    <w:rPr>
      <w:rFonts w:ascii="Arial" w:hAnsi="Arial"/>
      <w:sz w:val="20"/>
    </w:rPr>
  </w:style>
  <w:style w:type="paragraph" w:styleId="Heading8">
    <w:name w:val="heading 8"/>
    <w:basedOn w:val="Normal"/>
    <w:next w:val="Normal"/>
    <w:qFormat/>
    <w:rsid w:val="002E0DF3"/>
    <w:pPr>
      <w:numPr>
        <w:ilvl w:val="7"/>
        <w:numId w:val="1"/>
      </w:numPr>
      <w:spacing w:before="240" w:after="60"/>
      <w:outlineLvl w:val="7"/>
    </w:pPr>
    <w:rPr>
      <w:rFonts w:ascii="Arial" w:hAnsi="Arial"/>
      <w:i/>
      <w:sz w:val="20"/>
    </w:rPr>
  </w:style>
  <w:style w:type="paragraph" w:styleId="Heading9">
    <w:name w:val="heading 9"/>
    <w:basedOn w:val="Normal"/>
    <w:next w:val="Normal"/>
    <w:qFormat/>
    <w:rsid w:val="002E0DF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03D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03DAE"/>
  </w:style>
  <w:style w:type="paragraph" w:customStyle="1" w:styleId="00ClientCover">
    <w:name w:val="00ClientCover"/>
    <w:basedOn w:val="Normal"/>
    <w:rsid w:val="00903DAE"/>
  </w:style>
  <w:style w:type="paragraph" w:customStyle="1" w:styleId="02Text">
    <w:name w:val="02Text"/>
    <w:basedOn w:val="Normal"/>
    <w:rsid w:val="00903DAE"/>
  </w:style>
  <w:style w:type="paragraph" w:customStyle="1" w:styleId="BillBasic">
    <w:name w:val="BillBasic"/>
    <w:link w:val="BillBasicChar"/>
    <w:rsid w:val="00903DAE"/>
    <w:pPr>
      <w:spacing w:before="140"/>
      <w:jc w:val="both"/>
    </w:pPr>
    <w:rPr>
      <w:sz w:val="24"/>
      <w:lang w:eastAsia="en-US"/>
    </w:rPr>
  </w:style>
  <w:style w:type="paragraph" w:styleId="Header">
    <w:name w:val="header"/>
    <w:basedOn w:val="Normal"/>
    <w:link w:val="HeaderChar"/>
    <w:rsid w:val="00903DAE"/>
    <w:pPr>
      <w:tabs>
        <w:tab w:val="center" w:pos="4153"/>
        <w:tab w:val="right" w:pos="8306"/>
      </w:tabs>
    </w:pPr>
  </w:style>
  <w:style w:type="paragraph" w:styleId="Footer">
    <w:name w:val="footer"/>
    <w:basedOn w:val="Normal"/>
    <w:link w:val="FooterChar"/>
    <w:rsid w:val="00903DAE"/>
    <w:pPr>
      <w:spacing w:before="120" w:line="240" w:lineRule="exact"/>
    </w:pPr>
    <w:rPr>
      <w:rFonts w:ascii="Arial" w:hAnsi="Arial"/>
      <w:sz w:val="18"/>
    </w:rPr>
  </w:style>
  <w:style w:type="paragraph" w:customStyle="1" w:styleId="Billname">
    <w:name w:val="Billname"/>
    <w:basedOn w:val="Normal"/>
    <w:rsid w:val="00903DAE"/>
    <w:pPr>
      <w:spacing w:before="1220"/>
    </w:pPr>
    <w:rPr>
      <w:rFonts w:ascii="Arial" w:hAnsi="Arial"/>
      <w:b/>
      <w:sz w:val="40"/>
    </w:rPr>
  </w:style>
  <w:style w:type="paragraph" w:customStyle="1" w:styleId="BillBasicHeading">
    <w:name w:val="BillBasicHeading"/>
    <w:basedOn w:val="BillBasic"/>
    <w:rsid w:val="00903DAE"/>
    <w:pPr>
      <w:keepNext/>
      <w:tabs>
        <w:tab w:val="left" w:pos="2600"/>
      </w:tabs>
      <w:jc w:val="left"/>
    </w:pPr>
    <w:rPr>
      <w:rFonts w:ascii="Arial" w:hAnsi="Arial"/>
      <w:b/>
    </w:rPr>
  </w:style>
  <w:style w:type="paragraph" w:customStyle="1" w:styleId="EnactingWordsRules">
    <w:name w:val="EnactingWordsRules"/>
    <w:basedOn w:val="EnactingWords"/>
    <w:rsid w:val="00903DAE"/>
    <w:pPr>
      <w:spacing w:before="240"/>
    </w:pPr>
  </w:style>
  <w:style w:type="paragraph" w:customStyle="1" w:styleId="EnactingWords">
    <w:name w:val="EnactingWords"/>
    <w:basedOn w:val="BillBasic"/>
    <w:rsid w:val="00903DAE"/>
    <w:pPr>
      <w:spacing w:before="120"/>
    </w:pPr>
  </w:style>
  <w:style w:type="paragraph" w:customStyle="1" w:styleId="Amain">
    <w:name w:val="A main"/>
    <w:basedOn w:val="BillBasic"/>
    <w:rsid w:val="00903DAE"/>
    <w:pPr>
      <w:tabs>
        <w:tab w:val="right" w:pos="900"/>
        <w:tab w:val="left" w:pos="1100"/>
      </w:tabs>
      <w:ind w:left="1100" w:hanging="1100"/>
      <w:outlineLvl w:val="5"/>
    </w:pPr>
  </w:style>
  <w:style w:type="paragraph" w:customStyle="1" w:styleId="Amainreturn">
    <w:name w:val="A main return"/>
    <w:basedOn w:val="BillBasic"/>
    <w:link w:val="AmainreturnChar"/>
    <w:rsid w:val="00903DAE"/>
    <w:pPr>
      <w:ind w:left="1100"/>
    </w:pPr>
  </w:style>
  <w:style w:type="paragraph" w:customStyle="1" w:styleId="Apara">
    <w:name w:val="A para"/>
    <w:basedOn w:val="BillBasic"/>
    <w:link w:val="AparaChar"/>
    <w:rsid w:val="00903DAE"/>
    <w:pPr>
      <w:tabs>
        <w:tab w:val="right" w:pos="1400"/>
        <w:tab w:val="left" w:pos="1600"/>
      </w:tabs>
      <w:ind w:left="1600" w:hanging="1600"/>
      <w:outlineLvl w:val="6"/>
    </w:pPr>
  </w:style>
  <w:style w:type="paragraph" w:customStyle="1" w:styleId="Asubpara">
    <w:name w:val="A subpara"/>
    <w:basedOn w:val="BillBasic"/>
    <w:rsid w:val="00903DAE"/>
    <w:pPr>
      <w:tabs>
        <w:tab w:val="right" w:pos="1900"/>
        <w:tab w:val="left" w:pos="2100"/>
      </w:tabs>
      <w:ind w:left="2100" w:hanging="2100"/>
      <w:outlineLvl w:val="7"/>
    </w:pPr>
  </w:style>
  <w:style w:type="paragraph" w:customStyle="1" w:styleId="Asubsubpara">
    <w:name w:val="A subsubpara"/>
    <w:basedOn w:val="BillBasic"/>
    <w:rsid w:val="00903DAE"/>
    <w:pPr>
      <w:tabs>
        <w:tab w:val="right" w:pos="2400"/>
        <w:tab w:val="left" w:pos="2600"/>
      </w:tabs>
      <w:ind w:left="2600" w:hanging="2600"/>
      <w:outlineLvl w:val="8"/>
    </w:pPr>
  </w:style>
  <w:style w:type="paragraph" w:customStyle="1" w:styleId="aDef">
    <w:name w:val="aDef"/>
    <w:basedOn w:val="BillBasic"/>
    <w:link w:val="aDefChar"/>
    <w:rsid w:val="00903DAE"/>
    <w:pPr>
      <w:ind w:left="1100"/>
    </w:pPr>
  </w:style>
  <w:style w:type="paragraph" w:customStyle="1" w:styleId="aExamHead">
    <w:name w:val="aExam Head"/>
    <w:basedOn w:val="BillBasicHeading"/>
    <w:next w:val="aExam"/>
    <w:rsid w:val="00903DAE"/>
    <w:pPr>
      <w:tabs>
        <w:tab w:val="clear" w:pos="2600"/>
      </w:tabs>
      <w:ind w:left="1100"/>
    </w:pPr>
    <w:rPr>
      <w:sz w:val="18"/>
    </w:rPr>
  </w:style>
  <w:style w:type="paragraph" w:customStyle="1" w:styleId="aExam">
    <w:name w:val="aExam"/>
    <w:basedOn w:val="aNoteSymb"/>
    <w:rsid w:val="00903DAE"/>
    <w:pPr>
      <w:spacing w:before="60"/>
      <w:ind w:left="1100" w:firstLine="0"/>
    </w:pPr>
  </w:style>
  <w:style w:type="paragraph" w:customStyle="1" w:styleId="aNote">
    <w:name w:val="aNote"/>
    <w:basedOn w:val="BillBasic"/>
    <w:link w:val="aNoteChar"/>
    <w:rsid w:val="00903DAE"/>
    <w:pPr>
      <w:ind w:left="1900" w:hanging="800"/>
    </w:pPr>
    <w:rPr>
      <w:sz w:val="20"/>
    </w:rPr>
  </w:style>
  <w:style w:type="paragraph" w:customStyle="1" w:styleId="HeaderEven">
    <w:name w:val="HeaderEven"/>
    <w:basedOn w:val="Normal"/>
    <w:rsid w:val="00903DAE"/>
    <w:rPr>
      <w:rFonts w:ascii="Arial" w:hAnsi="Arial"/>
      <w:sz w:val="18"/>
    </w:rPr>
  </w:style>
  <w:style w:type="paragraph" w:customStyle="1" w:styleId="HeaderEven6">
    <w:name w:val="HeaderEven6"/>
    <w:basedOn w:val="HeaderEven"/>
    <w:rsid w:val="00903DAE"/>
    <w:pPr>
      <w:spacing w:before="120" w:after="60"/>
    </w:pPr>
  </w:style>
  <w:style w:type="paragraph" w:customStyle="1" w:styleId="HeaderOdd6">
    <w:name w:val="HeaderOdd6"/>
    <w:basedOn w:val="HeaderEven6"/>
    <w:rsid w:val="00903DAE"/>
    <w:pPr>
      <w:jc w:val="right"/>
    </w:pPr>
  </w:style>
  <w:style w:type="paragraph" w:customStyle="1" w:styleId="HeaderOdd">
    <w:name w:val="HeaderOdd"/>
    <w:basedOn w:val="HeaderEven"/>
    <w:rsid w:val="00903DAE"/>
    <w:pPr>
      <w:jc w:val="right"/>
    </w:pPr>
  </w:style>
  <w:style w:type="paragraph" w:customStyle="1" w:styleId="N-TOCheading">
    <w:name w:val="N-TOCheading"/>
    <w:basedOn w:val="BillBasicHeading"/>
    <w:next w:val="N-9pt"/>
    <w:rsid w:val="00903DAE"/>
    <w:pPr>
      <w:pBdr>
        <w:bottom w:val="single" w:sz="4" w:space="1" w:color="auto"/>
      </w:pBdr>
      <w:spacing w:before="800"/>
    </w:pPr>
    <w:rPr>
      <w:sz w:val="32"/>
    </w:rPr>
  </w:style>
  <w:style w:type="paragraph" w:customStyle="1" w:styleId="N-9pt">
    <w:name w:val="N-9pt"/>
    <w:basedOn w:val="BillBasic"/>
    <w:next w:val="BillBasic"/>
    <w:rsid w:val="00903DAE"/>
    <w:pPr>
      <w:keepNext/>
      <w:tabs>
        <w:tab w:val="right" w:pos="7707"/>
      </w:tabs>
      <w:spacing w:before="120"/>
    </w:pPr>
    <w:rPr>
      <w:rFonts w:ascii="Arial" w:hAnsi="Arial"/>
      <w:sz w:val="18"/>
    </w:rPr>
  </w:style>
  <w:style w:type="paragraph" w:customStyle="1" w:styleId="N-14pt">
    <w:name w:val="N-14pt"/>
    <w:basedOn w:val="BillBasic"/>
    <w:rsid w:val="00903DAE"/>
    <w:pPr>
      <w:spacing w:before="0"/>
    </w:pPr>
    <w:rPr>
      <w:b/>
      <w:sz w:val="28"/>
    </w:rPr>
  </w:style>
  <w:style w:type="paragraph" w:customStyle="1" w:styleId="N-16pt">
    <w:name w:val="N-16pt"/>
    <w:basedOn w:val="BillBasic"/>
    <w:rsid w:val="00903DAE"/>
    <w:pPr>
      <w:spacing w:before="800"/>
    </w:pPr>
    <w:rPr>
      <w:b/>
      <w:sz w:val="32"/>
    </w:rPr>
  </w:style>
  <w:style w:type="paragraph" w:customStyle="1" w:styleId="N-line3">
    <w:name w:val="N-line3"/>
    <w:basedOn w:val="BillBasic"/>
    <w:next w:val="BillBasic"/>
    <w:rsid w:val="00903DAE"/>
    <w:pPr>
      <w:pBdr>
        <w:bottom w:val="single" w:sz="12" w:space="1" w:color="auto"/>
      </w:pBdr>
      <w:spacing w:before="60"/>
    </w:pPr>
  </w:style>
  <w:style w:type="paragraph" w:customStyle="1" w:styleId="Comment">
    <w:name w:val="Comment"/>
    <w:basedOn w:val="BillBasic"/>
    <w:rsid w:val="00903DAE"/>
    <w:pPr>
      <w:tabs>
        <w:tab w:val="left" w:pos="1800"/>
      </w:tabs>
      <w:ind w:left="1300"/>
      <w:jc w:val="left"/>
    </w:pPr>
    <w:rPr>
      <w:b/>
      <w:sz w:val="18"/>
    </w:rPr>
  </w:style>
  <w:style w:type="paragraph" w:customStyle="1" w:styleId="FooterInfo">
    <w:name w:val="FooterInfo"/>
    <w:basedOn w:val="Normal"/>
    <w:rsid w:val="00903DAE"/>
    <w:pPr>
      <w:tabs>
        <w:tab w:val="right" w:pos="7707"/>
      </w:tabs>
    </w:pPr>
    <w:rPr>
      <w:rFonts w:ascii="Arial" w:hAnsi="Arial"/>
      <w:sz w:val="18"/>
    </w:rPr>
  </w:style>
  <w:style w:type="paragraph" w:customStyle="1" w:styleId="AH1Chapter">
    <w:name w:val="A H1 Chapter"/>
    <w:basedOn w:val="BillBasicHeading"/>
    <w:next w:val="AH2Part"/>
    <w:rsid w:val="00903DAE"/>
    <w:pPr>
      <w:spacing w:before="320"/>
      <w:ind w:left="2600" w:hanging="2600"/>
      <w:outlineLvl w:val="0"/>
    </w:pPr>
    <w:rPr>
      <w:sz w:val="34"/>
    </w:rPr>
  </w:style>
  <w:style w:type="paragraph" w:customStyle="1" w:styleId="AH2Part">
    <w:name w:val="A H2 Part"/>
    <w:basedOn w:val="BillBasicHeading"/>
    <w:next w:val="AH3Div"/>
    <w:rsid w:val="00903DAE"/>
    <w:pPr>
      <w:spacing w:before="380"/>
      <w:ind w:left="2600" w:hanging="2600"/>
      <w:outlineLvl w:val="1"/>
    </w:pPr>
    <w:rPr>
      <w:sz w:val="32"/>
    </w:rPr>
  </w:style>
  <w:style w:type="paragraph" w:customStyle="1" w:styleId="AH3Div">
    <w:name w:val="A H3 Div"/>
    <w:basedOn w:val="BillBasicHeading"/>
    <w:next w:val="AH5Sec"/>
    <w:rsid w:val="00903DAE"/>
    <w:pPr>
      <w:spacing w:before="240"/>
      <w:ind w:left="2600" w:hanging="2600"/>
      <w:outlineLvl w:val="2"/>
    </w:pPr>
    <w:rPr>
      <w:sz w:val="28"/>
    </w:rPr>
  </w:style>
  <w:style w:type="paragraph" w:customStyle="1" w:styleId="AH5Sec">
    <w:name w:val="A H5 Sec"/>
    <w:basedOn w:val="BillBasicHeading"/>
    <w:next w:val="Amain"/>
    <w:link w:val="AH5SecChar"/>
    <w:rsid w:val="00903D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903DAE"/>
    <w:pPr>
      <w:keepNext/>
      <w:ind w:left="1100"/>
    </w:pPr>
    <w:rPr>
      <w:i/>
    </w:rPr>
  </w:style>
  <w:style w:type="paragraph" w:customStyle="1" w:styleId="AH4SubDiv">
    <w:name w:val="A H4 SubDiv"/>
    <w:basedOn w:val="BillBasicHeading"/>
    <w:next w:val="AH5Sec"/>
    <w:rsid w:val="00903DAE"/>
    <w:pPr>
      <w:spacing w:before="240"/>
      <w:ind w:left="2600" w:hanging="2600"/>
      <w:outlineLvl w:val="3"/>
    </w:pPr>
    <w:rPr>
      <w:sz w:val="26"/>
    </w:rPr>
  </w:style>
  <w:style w:type="paragraph" w:customStyle="1" w:styleId="Sched-heading">
    <w:name w:val="Sched-heading"/>
    <w:basedOn w:val="BillBasicHeading"/>
    <w:next w:val="refSymb"/>
    <w:rsid w:val="00903DAE"/>
    <w:pPr>
      <w:spacing w:before="380"/>
      <w:ind w:left="2600" w:hanging="2600"/>
      <w:outlineLvl w:val="0"/>
    </w:pPr>
    <w:rPr>
      <w:sz w:val="34"/>
    </w:rPr>
  </w:style>
  <w:style w:type="paragraph" w:customStyle="1" w:styleId="ref">
    <w:name w:val="ref"/>
    <w:basedOn w:val="BillBasic"/>
    <w:next w:val="Normal"/>
    <w:rsid w:val="00903DAE"/>
    <w:pPr>
      <w:spacing w:before="60"/>
    </w:pPr>
    <w:rPr>
      <w:sz w:val="18"/>
    </w:rPr>
  </w:style>
  <w:style w:type="paragraph" w:customStyle="1" w:styleId="Sched-Part">
    <w:name w:val="Sched-Part"/>
    <w:basedOn w:val="BillBasicHeading"/>
    <w:next w:val="Sched-Form"/>
    <w:rsid w:val="00903DAE"/>
    <w:pPr>
      <w:spacing w:before="380"/>
      <w:ind w:left="2600" w:hanging="2600"/>
      <w:outlineLvl w:val="1"/>
    </w:pPr>
    <w:rPr>
      <w:sz w:val="32"/>
    </w:rPr>
  </w:style>
  <w:style w:type="paragraph" w:customStyle="1" w:styleId="ShadedSchClause">
    <w:name w:val="Shaded Sch Clause"/>
    <w:basedOn w:val="Schclauseheading"/>
    <w:next w:val="direction"/>
    <w:rsid w:val="00903DAE"/>
    <w:pPr>
      <w:shd w:val="pct25" w:color="auto" w:fill="auto"/>
      <w:outlineLvl w:val="3"/>
    </w:pPr>
  </w:style>
  <w:style w:type="paragraph" w:customStyle="1" w:styleId="Sched-Form">
    <w:name w:val="Sched-Form"/>
    <w:basedOn w:val="BillBasicHeading"/>
    <w:next w:val="Schclauseheading"/>
    <w:rsid w:val="00903D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03DA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03DAE"/>
    <w:pPr>
      <w:spacing w:before="320"/>
      <w:ind w:left="2600" w:hanging="2600"/>
      <w:jc w:val="both"/>
      <w:outlineLvl w:val="0"/>
    </w:pPr>
    <w:rPr>
      <w:sz w:val="34"/>
    </w:rPr>
  </w:style>
  <w:style w:type="paragraph" w:styleId="TOC7">
    <w:name w:val="toc 7"/>
    <w:basedOn w:val="TOC2"/>
    <w:next w:val="Normal"/>
    <w:autoRedefine/>
    <w:uiPriority w:val="39"/>
    <w:rsid w:val="00903DAE"/>
    <w:pPr>
      <w:keepNext w:val="0"/>
      <w:spacing w:before="120"/>
    </w:pPr>
    <w:rPr>
      <w:sz w:val="20"/>
    </w:rPr>
  </w:style>
  <w:style w:type="paragraph" w:styleId="TOC2">
    <w:name w:val="toc 2"/>
    <w:basedOn w:val="Normal"/>
    <w:next w:val="Normal"/>
    <w:autoRedefine/>
    <w:uiPriority w:val="39"/>
    <w:rsid w:val="00903DA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03DAE"/>
    <w:pPr>
      <w:keepNext/>
      <w:tabs>
        <w:tab w:val="left" w:pos="400"/>
      </w:tabs>
      <w:spacing w:before="0"/>
      <w:jc w:val="left"/>
    </w:pPr>
    <w:rPr>
      <w:rFonts w:ascii="Arial" w:hAnsi="Arial"/>
      <w:b/>
      <w:sz w:val="28"/>
    </w:rPr>
  </w:style>
  <w:style w:type="paragraph" w:customStyle="1" w:styleId="EndNote2">
    <w:name w:val="EndNote2"/>
    <w:basedOn w:val="BillBasic"/>
    <w:rsid w:val="002E0DF3"/>
    <w:pPr>
      <w:keepNext/>
      <w:tabs>
        <w:tab w:val="left" w:pos="240"/>
      </w:tabs>
      <w:spacing w:before="320"/>
      <w:jc w:val="left"/>
    </w:pPr>
    <w:rPr>
      <w:b/>
      <w:sz w:val="18"/>
    </w:rPr>
  </w:style>
  <w:style w:type="paragraph" w:customStyle="1" w:styleId="IH1Chap">
    <w:name w:val="I H1 Chap"/>
    <w:basedOn w:val="BillBasicHeading"/>
    <w:next w:val="Normal"/>
    <w:rsid w:val="00903DAE"/>
    <w:pPr>
      <w:spacing w:before="320"/>
      <w:ind w:left="2600" w:hanging="2600"/>
    </w:pPr>
    <w:rPr>
      <w:sz w:val="34"/>
    </w:rPr>
  </w:style>
  <w:style w:type="paragraph" w:customStyle="1" w:styleId="IH2Part">
    <w:name w:val="I H2 Part"/>
    <w:basedOn w:val="BillBasicHeading"/>
    <w:next w:val="Normal"/>
    <w:rsid w:val="00903DAE"/>
    <w:pPr>
      <w:spacing w:before="380"/>
      <w:ind w:left="2600" w:hanging="2600"/>
    </w:pPr>
    <w:rPr>
      <w:sz w:val="32"/>
    </w:rPr>
  </w:style>
  <w:style w:type="paragraph" w:customStyle="1" w:styleId="IH3Div">
    <w:name w:val="I H3 Div"/>
    <w:basedOn w:val="BillBasicHeading"/>
    <w:next w:val="Normal"/>
    <w:rsid w:val="00903DAE"/>
    <w:pPr>
      <w:spacing w:before="240"/>
      <w:ind w:left="2600" w:hanging="2600"/>
    </w:pPr>
    <w:rPr>
      <w:sz w:val="28"/>
    </w:rPr>
  </w:style>
  <w:style w:type="paragraph" w:customStyle="1" w:styleId="IH5Sec">
    <w:name w:val="I H5 Sec"/>
    <w:basedOn w:val="BillBasicHeading"/>
    <w:next w:val="Normal"/>
    <w:rsid w:val="00903DAE"/>
    <w:pPr>
      <w:tabs>
        <w:tab w:val="clear" w:pos="2600"/>
        <w:tab w:val="left" w:pos="1100"/>
      </w:tabs>
      <w:spacing w:before="240"/>
      <w:ind w:left="1100" w:hanging="1100"/>
    </w:pPr>
  </w:style>
  <w:style w:type="paragraph" w:customStyle="1" w:styleId="IH4SubDiv">
    <w:name w:val="I H4 SubDiv"/>
    <w:basedOn w:val="BillBasicHeading"/>
    <w:next w:val="Normal"/>
    <w:rsid w:val="00903DAE"/>
    <w:pPr>
      <w:spacing w:before="240"/>
      <w:ind w:left="2600" w:hanging="2600"/>
      <w:jc w:val="both"/>
    </w:pPr>
    <w:rPr>
      <w:sz w:val="26"/>
    </w:rPr>
  </w:style>
  <w:style w:type="character" w:styleId="LineNumber">
    <w:name w:val="line number"/>
    <w:basedOn w:val="DefaultParagraphFont"/>
    <w:rsid w:val="00903DAE"/>
    <w:rPr>
      <w:rFonts w:ascii="Arial" w:hAnsi="Arial"/>
      <w:sz w:val="16"/>
    </w:rPr>
  </w:style>
  <w:style w:type="paragraph" w:customStyle="1" w:styleId="PageBreak">
    <w:name w:val="PageBreak"/>
    <w:basedOn w:val="Normal"/>
    <w:rsid w:val="00903DAE"/>
    <w:rPr>
      <w:sz w:val="4"/>
    </w:rPr>
  </w:style>
  <w:style w:type="paragraph" w:customStyle="1" w:styleId="04Dictionary">
    <w:name w:val="04Dictionary"/>
    <w:basedOn w:val="Normal"/>
    <w:rsid w:val="00903DAE"/>
  </w:style>
  <w:style w:type="paragraph" w:customStyle="1" w:styleId="N-line1">
    <w:name w:val="N-line1"/>
    <w:basedOn w:val="BillBasic"/>
    <w:rsid w:val="00903DAE"/>
    <w:pPr>
      <w:pBdr>
        <w:bottom w:val="single" w:sz="4" w:space="0" w:color="auto"/>
      </w:pBdr>
      <w:spacing w:before="100"/>
      <w:ind w:left="2980" w:right="3020"/>
      <w:jc w:val="center"/>
    </w:pPr>
  </w:style>
  <w:style w:type="paragraph" w:customStyle="1" w:styleId="N-line2">
    <w:name w:val="N-line2"/>
    <w:basedOn w:val="Normal"/>
    <w:rsid w:val="00903DAE"/>
    <w:pPr>
      <w:pBdr>
        <w:bottom w:val="single" w:sz="8" w:space="0" w:color="auto"/>
      </w:pBdr>
    </w:pPr>
  </w:style>
  <w:style w:type="paragraph" w:customStyle="1" w:styleId="EndNote">
    <w:name w:val="EndNote"/>
    <w:basedOn w:val="BillBasicHeading"/>
    <w:rsid w:val="00903D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03DAE"/>
    <w:pPr>
      <w:tabs>
        <w:tab w:val="left" w:pos="700"/>
      </w:tabs>
      <w:spacing w:before="160"/>
      <w:ind w:left="700" w:hanging="700"/>
    </w:pPr>
    <w:rPr>
      <w:rFonts w:ascii="Arial (W1)" w:hAnsi="Arial (W1)"/>
    </w:rPr>
  </w:style>
  <w:style w:type="paragraph" w:customStyle="1" w:styleId="PenaltyHeading">
    <w:name w:val="PenaltyHeading"/>
    <w:basedOn w:val="Normal"/>
    <w:rsid w:val="00903DAE"/>
    <w:pPr>
      <w:tabs>
        <w:tab w:val="left" w:pos="1100"/>
      </w:tabs>
      <w:spacing w:before="120"/>
      <w:ind w:left="1100" w:hanging="1100"/>
    </w:pPr>
    <w:rPr>
      <w:rFonts w:ascii="Arial" w:hAnsi="Arial"/>
      <w:b/>
      <w:sz w:val="20"/>
    </w:rPr>
  </w:style>
  <w:style w:type="paragraph" w:customStyle="1" w:styleId="05EndNote">
    <w:name w:val="05EndNote"/>
    <w:basedOn w:val="Normal"/>
    <w:rsid w:val="00903DAE"/>
  </w:style>
  <w:style w:type="paragraph" w:customStyle="1" w:styleId="03Schedule">
    <w:name w:val="03Schedule"/>
    <w:basedOn w:val="Normal"/>
    <w:rsid w:val="00903DAE"/>
  </w:style>
  <w:style w:type="paragraph" w:customStyle="1" w:styleId="ISched-heading">
    <w:name w:val="I Sched-heading"/>
    <w:basedOn w:val="BillBasicHeading"/>
    <w:next w:val="Normal"/>
    <w:rsid w:val="00903DAE"/>
    <w:pPr>
      <w:spacing w:before="320"/>
      <w:ind w:left="2600" w:hanging="2600"/>
    </w:pPr>
    <w:rPr>
      <w:sz w:val="34"/>
    </w:rPr>
  </w:style>
  <w:style w:type="paragraph" w:customStyle="1" w:styleId="ISched-Part">
    <w:name w:val="I Sched-Part"/>
    <w:basedOn w:val="BillBasicHeading"/>
    <w:rsid w:val="00903DAE"/>
    <w:pPr>
      <w:spacing w:before="380"/>
      <w:ind w:left="2600" w:hanging="2600"/>
    </w:pPr>
    <w:rPr>
      <w:sz w:val="32"/>
    </w:rPr>
  </w:style>
  <w:style w:type="paragraph" w:customStyle="1" w:styleId="ISched-form">
    <w:name w:val="I Sched-form"/>
    <w:basedOn w:val="BillBasicHeading"/>
    <w:rsid w:val="00903DAE"/>
    <w:pPr>
      <w:tabs>
        <w:tab w:val="right" w:pos="7200"/>
      </w:tabs>
      <w:spacing w:before="240"/>
      <w:ind w:left="2600" w:hanging="2600"/>
    </w:pPr>
    <w:rPr>
      <w:sz w:val="28"/>
    </w:rPr>
  </w:style>
  <w:style w:type="paragraph" w:customStyle="1" w:styleId="ISchclauseheading">
    <w:name w:val="I Sch clause heading"/>
    <w:basedOn w:val="BillBasic"/>
    <w:rsid w:val="00903DAE"/>
    <w:pPr>
      <w:keepNext/>
      <w:tabs>
        <w:tab w:val="left" w:pos="1100"/>
      </w:tabs>
      <w:spacing w:before="240"/>
      <w:ind w:left="1100" w:hanging="1100"/>
      <w:jc w:val="left"/>
    </w:pPr>
    <w:rPr>
      <w:rFonts w:ascii="Arial" w:hAnsi="Arial"/>
      <w:b/>
    </w:rPr>
  </w:style>
  <w:style w:type="paragraph" w:customStyle="1" w:styleId="IMain">
    <w:name w:val="I Main"/>
    <w:basedOn w:val="Amain"/>
    <w:rsid w:val="00903DAE"/>
  </w:style>
  <w:style w:type="paragraph" w:customStyle="1" w:styleId="Ipara">
    <w:name w:val="I para"/>
    <w:basedOn w:val="Apara"/>
    <w:rsid w:val="00903DAE"/>
    <w:pPr>
      <w:outlineLvl w:val="9"/>
    </w:pPr>
  </w:style>
  <w:style w:type="paragraph" w:customStyle="1" w:styleId="Isubpara">
    <w:name w:val="I subpara"/>
    <w:basedOn w:val="Asubpara"/>
    <w:rsid w:val="00903D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03DAE"/>
    <w:pPr>
      <w:tabs>
        <w:tab w:val="clear" w:pos="2400"/>
        <w:tab w:val="clear" w:pos="2600"/>
        <w:tab w:val="right" w:pos="2460"/>
        <w:tab w:val="left" w:pos="2660"/>
      </w:tabs>
      <w:ind w:left="2660" w:hanging="2660"/>
    </w:pPr>
  </w:style>
  <w:style w:type="character" w:customStyle="1" w:styleId="CharSectNo">
    <w:name w:val="CharSectNo"/>
    <w:basedOn w:val="DefaultParagraphFont"/>
    <w:rsid w:val="00903DAE"/>
  </w:style>
  <w:style w:type="character" w:customStyle="1" w:styleId="CharDivNo">
    <w:name w:val="CharDivNo"/>
    <w:basedOn w:val="DefaultParagraphFont"/>
    <w:rsid w:val="00903DAE"/>
  </w:style>
  <w:style w:type="character" w:customStyle="1" w:styleId="CharDivText">
    <w:name w:val="CharDivText"/>
    <w:basedOn w:val="DefaultParagraphFont"/>
    <w:rsid w:val="00903DAE"/>
  </w:style>
  <w:style w:type="character" w:customStyle="1" w:styleId="CharPartNo">
    <w:name w:val="CharPartNo"/>
    <w:basedOn w:val="DefaultParagraphFont"/>
    <w:rsid w:val="00903DAE"/>
  </w:style>
  <w:style w:type="paragraph" w:customStyle="1" w:styleId="Placeholder">
    <w:name w:val="Placeholder"/>
    <w:basedOn w:val="Normal"/>
    <w:rsid w:val="00903DAE"/>
    <w:rPr>
      <w:sz w:val="10"/>
    </w:rPr>
  </w:style>
  <w:style w:type="paragraph" w:styleId="PlainText">
    <w:name w:val="Plain Text"/>
    <w:basedOn w:val="Normal"/>
    <w:rsid w:val="00903DAE"/>
    <w:rPr>
      <w:rFonts w:ascii="Courier New" w:hAnsi="Courier New"/>
      <w:sz w:val="20"/>
    </w:rPr>
  </w:style>
  <w:style w:type="character" w:customStyle="1" w:styleId="CharChapNo">
    <w:name w:val="CharChapNo"/>
    <w:basedOn w:val="DefaultParagraphFont"/>
    <w:rsid w:val="00903DAE"/>
  </w:style>
  <w:style w:type="character" w:customStyle="1" w:styleId="CharChapText">
    <w:name w:val="CharChapText"/>
    <w:basedOn w:val="DefaultParagraphFont"/>
    <w:rsid w:val="00903DAE"/>
  </w:style>
  <w:style w:type="character" w:customStyle="1" w:styleId="CharPartText">
    <w:name w:val="CharPartText"/>
    <w:basedOn w:val="DefaultParagraphFont"/>
    <w:rsid w:val="00903DAE"/>
  </w:style>
  <w:style w:type="paragraph" w:styleId="TOC1">
    <w:name w:val="toc 1"/>
    <w:basedOn w:val="Normal"/>
    <w:next w:val="Normal"/>
    <w:autoRedefine/>
    <w:uiPriority w:val="39"/>
    <w:rsid w:val="00903D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03D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03D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03DA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03DAE"/>
  </w:style>
  <w:style w:type="paragraph" w:styleId="Title">
    <w:name w:val="Title"/>
    <w:basedOn w:val="Normal"/>
    <w:qFormat/>
    <w:rsid w:val="002E0DF3"/>
    <w:pPr>
      <w:spacing w:before="240" w:after="60"/>
      <w:jc w:val="center"/>
      <w:outlineLvl w:val="0"/>
    </w:pPr>
    <w:rPr>
      <w:rFonts w:ascii="Arial" w:hAnsi="Arial"/>
      <w:b/>
      <w:kern w:val="28"/>
      <w:sz w:val="32"/>
    </w:rPr>
  </w:style>
  <w:style w:type="paragraph" w:styleId="Signature">
    <w:name w:val="Signature"/>
    <w:basedOn w:val="Normal"/>
    <w:rsid w:val="00903DAE"/>
    <w:pPr>
      <w:ind w:left="4252"/>
    </w:pPr>
  </w:style>
  <w:style w:type="paragraph" w:customStyle="1" w:styleId="ActNo">
    <w:name w:val="ActNo"/>
    <w:basedOn w:val="BillBasicHeading"/>
    <w:rsid w:val="00903DAE"/>
    <w:pPr>
      <w:keepNext w:val="0"/>
      <w:tabs>
        <w:tab w:val="clear" w:pos="2600"/>
      </w:tabs>
      <w:spacing w:before="220"/>
    </w:pPr>
  </w:style>
  <w:style w:type="paragraph" w:customStyle="1" w:styleId="aParaNote">
    <w:name w:val="aParaNote"/>
    <w:basedOn w:val="BillBasic"/>
    <w:rsid w:val="00903DAE"/>
    <w:pPr>
      <w:ind w:left="2840" w:hanging="1240"/>
    </w:pPr>
    <w:rPr>
      <w:sz w:val="20"/>
    </w:rPr>
  </w:style>
  <w:style w:type="paragraph" w:customStyle="1" w:styleId="aExamNum">
    <w:name w:val="aExamNum"/>
    <w:basedOn w:val="aExam"/>
    <w:rsid w:val="00903DAE"/>
    <w:pPr>
      <w:ind w:left="1500" w:hanging="400"/>
    </w:pPr>
  </w:style>
  <w:style w:type="paragraph" w:customStyle="1" w:styleId="LongTitle">
    <w:name w:val="LongTitle"/>
    <w:basedOn w:val="BillBasic"/>
    <w:rsid w:val="00903DAE"/>
    <w:pPr>
      <w:spacing w:before="300"/>
    </w:pPr>
  </w:style>
  <w:style w:type="paragraph" w:customStyle="1" w:styleId="Minister">
    <w:name w:val="Minister"/>
    <w:basedOn w:val="BillBasic"/>
    <w:rsid w:val="00903DAE"/>
    <w:pPr>
      <w:spacing w:before="640"/>
      <w:jc w:val="right"/>
    </w:pPr>
    <w:rPr>
      <w:caps/>
    </w:rPr>
  </w:style>
  <w:style w:type="paragraph" w:customStyle="1" w:styleId="DateLine">
    <w:name w:val="DateLine"/>
    <w:basedOn w:val="BillBasic"/>
    <w:rsid w:val="00903DAE"/>
    <w:pPr>
      <w:tabs>
        <w:tab w:val="left" w:pos="4320"/>
      </w:tabs>
    </w:pPr>
  </w:style>
  <w:style w:type="paragraph" w:customStyle="1" w:styleId="madeunder">
    <w:name w:val="made under"/>
    <w:basedOn w:val="BillBasic"/>
    <w:rsid w:val="00903DAE"/>
    <w:pPr>
      <w:spacing w:before="240"/>
    </w:pPr>
  </w:style>
  <w:style w:type="paragraph" w:customStyle="1" w:styleId="EndNoteSubHeading">
    <w:name w:val="EndNoteSubHeading"/>
    <w:basedOn w:val="Normal"/>
    <w:next w:val="EndNoteText"/>
    <w:rsid w:val="002E0DF3"/>
    <w:pPr>
      <w:keepNext/>
      <w:tabs>
        <w:tab w:val="left" w:pos="700"/>
      </w:tabs>
      <w:spacing w:before="240"/>
      <w:ind w:left="700" w:hanging="700"/>
    </w:pPr>
    <w:rPr>
      <w:rFonts w:ascii="Arial" w:hAnsi="Arial"/>
      <w:b/>
      <w:sz w:val="20"/>
    </w:rPr>
  </w:style>
  <w:style w:type="paragraph" w:customStyle="1" w:styleId="EndNoteText">
    <w:name w:val="EndNoteText"/>
    <w:basedOn w:val="BillBasic"/>
    <w:rsid w:val="00903DAE"/>
    <w:pPr>
      <w:tabs>
        <w:tab w:val="left" w:pos="700"/>
        <w:tab w:val="right" w:pos="6160"/>
      </w:tabs>
      <w:spacing w:before="80"/>
      <w:ind w:left="700" w:hanging="700"/>
    </w:pPr>
    <w:rPr>
      <w:sz w:val="20"/>
    </w:rPr>
  </w:style>
  <w:style w:type="paragraph" w:customStyle="1" w:styleId="BillBasicItalics">
    <w:name w:val="BillBasicItalics"/>
    <w:basedOn w:val="BillBasic"/>
    <w:rsid w:val="00903DAE"/>
    <w:rPr>
      <w:i/>
    </w:rPr>
  </w:style>
  <w:style w:type="paragraph" w:customStyle="1" w:styleId="00SigningPage">
    <w:name w:val="00SigningPage"/>
    <w:basedOn w:val="Normal"/>
    <w:rsid w:val="00903DAE"/>
  </w:style>
  <w:style w:type="paragraph" w:customStyle="1" w:styleId="Aparareturn">
    <w:name w:val="A para return"/>
    <w:basedOn w:val="BillBasic"/>
    <w:rsid w:val="00903DAE"/>
    <w:pPr>
      <w:ind w:left="1600"/>
    </w:pPr>
  </w:style>
  <w:style w:type="paragraph" w:customStyle="1" w:styleId="Asubparareturn">
    <w:name w:val="A subpara return"/>
    <w:basedOn w:val="BillBasic"/>
    <w:rsid w:val="00903DAE"/>
    <w:pPr>
      <w:ind w:left="2100"/>
    </w:pPr>
  </w:style>
  <w:style w:type="paragraph" w:customStyle="1" w:styleId="CommentNum">
    <w:name w:val="CommentNum"/>
    <w:basedOn w:val="Comment"/>
    <w:rsid w:val="00903DAE"/>
    <w:pPr>
      <w:ind w:left="1800" w:hanging="1800"/>
    </w:pPr>
  </w:style>
  <w:style w:type="paragraph" w:styleId="TOC8">
    <w:name w:val="toc 8"/>
    <w:basedOn w:val="TOC3"/>
    <w:next w:val="Normal"/>
    <w:autoRedefine/>
    <w:uiPriority w:val="39"/>
    <w:rsid w:val="00903DAE"/>
    <w:pPr>
      <w:keepNext w:val="0"/>
      <w:spacing w:before="120"/>
    </w:pPr>
  </w:style>
  <w:style w:type="paragraph" w:customStyle="1" w:styleId="Judges">
    <w:name w:val="Judges"/>
    <w:basedOn w:val="Minister"/>
    <w:rsid w:val="00903DAE"/>
    <w:pPr>
      <w:spacing w:before="180"/>
    </w:pPr>
  </w:style>
  <w:style w:type="paragraph" w:customStyle="1" w:styleId="BillFor">
    <w:name w:val="BillFor"/>
    <w:basedOn w:val="BillBasicHeading"/>
    <w:rsid w:val="00903DAE"/>
    <w:pPr>
      <w:keepNext w:val="0"/>
      <w:spacing w:before="320"/>
      <w:jc w:val="both"/>
    </w:pPr>
    <w:rPr>
      <w:sz w:val="28"/>
    </w:rPr>
  </w:style>
  <w:style w:type="paragraph" w:customStyle="1" w:styleId="draft">
    <w:name w:val="draft"/>
    <w:basedOn w:val="Normal"/>
    <w:rsid w:val="00903D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03DAE"/>
    <w:pPr>
      <w:spacing w:line="260" w:lineRule="atLeast"/>
      <w:jc w:val="center"/>
    </w:pPr>
  </w:style>
  <w:style w:type="paragraph" w:customStyle="1" w:styleId="Amainbullet">
    <w:name w:val="A main bullet"/>
    <w:basedOn w:val="BillBasic"/>
    <w:rsid w:val="00903DAE"/>
    <w:pPr>
      <w:spacing w:before="60"/>
      <w:ind w:left="1500" w:hanging="400"/>
    </w:pPr>
  </w:style>
  <w:style w:type="paragraph" w:customStyle="1" w:styleId="Aparabullet">
    <w:name w:val="A para bullet"/>
    <w:basedOn w:val="BillBasic"/>
    <w:rsid w:val="00903DAE"/>
    <w:pPr>
      <w:spacing w:before="60"/>
      <w:ind w:left="2000" w:hanging="400"/>
    </w:pPr>
  </w:style>
  <w:style w:type="paragraph" w:customStyle="1" w:styleId="Asubparabullet">
    <w:name w:val="A subpara bullet"/>
    <w:basedOn w:val="BillBasic"/>
    <w:rsid w:val="00903DAE"/>
    <w:pPr>
      <w:spacing w:before="60"/>
      <w:ind w:left="2540" w:hanging="400"/>
    </w:pPr>
  </w:style>
  <w:style w:type="paragraph" w:customStyle="1" w:styleId="aDefpara">
    <w:name w:val="aDef para"/>
    <w:basedOn w:val="Apara"/>
    <w:rsid w:val="00903DAE"/>
  </w:style>
  <w:style w:type="paragraph" w:customStyle="1" w:styleId="aDefsubpara">
    <w:name w:val="aDef subpara"/>
    <w:basedOn w:val="Asubpara"/>
    <w:rsid w:val="00903DAE"/>
  </w:style>
  <w:style w:type="paragraph" w:customStyle="1" w:styleId="Idefpara">
    <w:name w:val="I def para"/>
    <w:basedOn w:val="Ipara"/>
    <w:rsid w:val="00903DAE"/>
  </w:style>
  <w:style w:type="paragraph" w:customStyle="1" w:styleId="Idefsubpara">
    <w:name w:val="I def subpara"/>
    <w:basedOn w:val="Isubpara"/>
    <w:rsid w:val="00903DAE"/>
  </w:style>
  <w:style w:type="paragraph" w:customStyle="1" w:styleId="Notified">
    <w:name w:val="Notified"/>
    <w:basedOn w:val="BillBasic"/>
    <w:rsid w:val="00903DAE"/>
    <w:pPr>
      <w:spacing w:before="360"/>
      <w:jc w:val="right"/>
    </w:pPr>
    <w:rPr>
      <w:i/>
    </w:rPr>
  </w:style>
  <w:style w:type="paragraph" w:customStyle="1" w:styleId="03ScheduleLandscape">
    <w:name w:val="03ScheduleLandscape"/>
    <w:basedOn w:val="Normal"/>
    <w:rsid w:val="00903DAE"/>
  </w:style>
  <w:style w:type="paragraph" w:customStyle="1" w:styleId="IDict-Heading">
    <w:name w:val="I Dict-Heading"/>
    <w:basedOn w:val="BillBasicHeading"/>
    <w:rsid w:val="00903DAE"/>
    <w:pPr>
      <w:spacing w:before="320"/>
      <w:ind w:left="2600" w:hanging="2600"/>
      <w:jc w:val="both"/>
    </w:pPr>
    <w:rPr>
      <w:sz w:val="34"/>
    </w:rPr>
  </w:style>
  <w:style w:type="paragraph" w:customStyle="1" w:styleId="02TextLandscape">
    <w:name w:val="02TextLandscape"/>
    <w:basedOn w:val="Normal"/>
    <w:rsid w:val="00903DAE"/>
  </w:style>
  <w:style w:type="paragraph" w:styleId="Salutation">
    <w:name w:val="Salutation"/>
    <w:basedOn w:val="Normal"/>
    <w:next w:val="Normal"/>
    <w:rsid w:val="002E0DF3"/>
  </w:style>
  <w:style w:type="paragraph" w:customStyle="1" w:styleId="aNoteBullet">
    <w:name w:val="aNoteBullet"/>
    <w:basedOn w:val="aNoteSymb"/>
    <w:rsid w:val="00903DAE"/>
    <w:pPr>
      <w:tabs>
        <w:tab w:val="left" w:pos="2200"/>
      </w:tabs>
      <w:spacing w:before="60"/>
      <w:ind w:left="2600" w:hanging="700"/>
    </w:pPr>
  </w:style>
  <w:style w:type="paragraph" w:customStyle="1" w:styleId="aNotess">
    <w:name w:val="aNotess"/>
    <w:basedOn w:val="BillBasic"/>
    <w:rsid w:val="002E0DF3"/>
    <w:pPr>
      <w:ind w:left="1900" w:hanging="800"/>
    </w:pPr>
    <w:rPr>
      <w:sz w:val="20"/>
    </w:rPr>
  </w:style>
  <w:style w:type="paragraph" w:customStyle="1" w:styleId="aParaNoteBullet">
    <w:name w:val="aParaNoteBullet"/>
    <w:basedOn w:val="aParaNote"/>
    <w:rsid w:val="00903DAE"/>
    <w:pPr>
      <w:tabs>
        <w:tab w:val="left" w:pos="2700"/>
      </w:tabs>
      <w:spacing w:before="60"/>
      <w:ind w:left="3100" w:hanging="700"/>
    </w:pPr>
  </w:style>
  <w:style w:type="paragraph" w:customStyle="1" w:styleId="aNotepar">
    <w:name w:val="aNotepar"/>
    <w:basedOn w:val="BillBasic"/>
    <w:next w:val="Normal"/>
    <w:rsid w:val="00903DAE"/>
    <w:pPr>
      <w:ind w:left="2400" w:hanging="800"/>
    </w:pPr>
    <w:rPr>
      <w:sz w:val="20"/>
    </w:rPr>
  </w:style>
  <w:style w:type="paragraph" w:customStyle="1" w:styleId="aNoteTextpar">
    <w:name w:val="aNoteTextpar"/>
    <w:basedOn w:val="aNotepar"/>
    <w:rsid w:val="00903DAE"/>
    <w:pPr>
      <w:spacing w:before="60"/>
      <w:ind w:firstLine="0"/>
    </w:pPr>
  </w:style>
  <w:style w:type="paragraph" w:customStyle="1" w:styleId="MinisterWord">
    <w:name w:val="MinisterWord"/>
    <w:basedOn w:val="Normal"/>
    <w:rsid w:val="00903DAE"/>
    <w:pPr>
      <w:spacing w:before="60"/>
      <w:jc w:val="right"/>
    </w:pPr>
  </w:style>
  <w:style w:type="paragraph" w:customStyle="1" w:styleId="aExamPara">
    <w:name w:val="aExamPara"/>
    <w:basedOn w:val="aExam"/>
    <w:rsid w:val="00903DAE"/>
    <w:pPr>
      <w:tabs>
        <w:tab w:val="right" w:pos="1720"/>
        <w:tab w:val="left" w:pos="2000"/>
        <w:tab w:val="left" w:pos="2300"/>
      </w:tabs>
      <w:ind w:left="2400" w:hanging="1300"/>
    </w:pPr>
  </w:style>
  <w:style w:type="paragraph" w:customStyle="1" w:styleId="aExamNumText">
    <w:name w:val="aExamNumText"/>
    <w:basedOn w:val="aExam"/>
    <w:rsid w:val="00903DAE"/>
    <w:pPr>
      <w:ind w:left="1500"/>
    </w:pPr>
  </w:style>
  <w:style w:type="paragraph" w:customStyle="1" w:styleId="aExamBullet">
    <w:name w:val="aExamBullet"/>
    <w:basedOn w:val="aExam"/>
    <w:rsid w:val="00903DAE"/>
    <w:pPr>
      <w:tabs>
        <w:tab w:val="left" w:pos="1500"/>
        <w:tab w:val="left" w:pos="2300"/>
      </w:tabs>
      <w:ind w:left="1900" w:hanging="800"/>
    </w:pPr>
  </w:style>
  <w:style w:type="paragraph" w:customStyle="1" w:styleId="aNotePara">
    <w:name w:val="aNotePara"/>
    <w:basedOn w:val="aNote"/>
    <w:rsid w:val="00903DAE"/>
    <w:pPr>
      <w:tabs>
        <w:tab w:val="right" w:pos="2140"/>
        <w:tab w:val="left" w:pos="2400"/>
      </w:tabs>
      <w:spacing w:before="60"/>
      <w:ind w:left="2400" w:hanging="1300"/>
    </w:pPr>
  </w:style>
  <w:style w:type="paragraph" w:customStyle="1" w:styleId="aExplanHeading">
    <w:name w:val="aExplanHeading"/>
    <w:basedOn w:val="BillBasicHeading"/>
    <w:next w:val="Normal"/>
    <w:rsid w:val="00903DAE"/>
    <w:rPr>
      <w:rFonts w:ascii="Arial (W1)" w:hAnsi="Arial (W1)"/>
      <w:sz w:val="18"/>
    </w:rPr>
  </w:style>
  <w:style w:type="paragraph" w:customStyle="1" w:styleId="aExplanText">
    <w:name w:val="aExplanText"/>
    <w:basedOn w:val="BillBasic"/>
    <w:rsid w:val="00903DAE"/>
    <w:rPr>
      <w:sz w:val="20"/>
    </w:rPr>
  </w:style>
  <w:style w:type="paragraph" w:customStyle="1" w:styleId="aParaNotePara">
    <w:name w:val="aParaNotePara"/>
    <w:basedOn w:val="aNoteParaSymb"/>
    <w:rsid w:val="00903DAE"/>
    <w:pPr>
      <w:tabs>
        <w:tab w:val="clear" w:pos="2140"/>
        <w:tab w:val="clear" w:pos="2400"/>
        <w:tab w:val="right" w:pos="2644"/>
      </w:tabs>
      <w:ind w:left="3320" w:hanging="1720"/>
    </w:pPr>
  </w:style>
  <w:style w:type="character" w:customStyle="1" w:styleId="charBold">
    <w:name w:val="charBold"/>
    <w:basedOn w:val="DefaultParagraphFont"/>
    <w:rsid w:val="00903DAE"/>
    <w:rPr>
      <w:b/>
    </w:rPr>
  </w:style>
  <w:style w:type="character" w:customStyle="1" w:styleId="charBoldItals">
    <w:name w:val="charBoldItals"/>
    <w:basedOn w:val="DefaultParagraphFont"/>
    <w:rsid w:val="00903DAE"/>
    <w:rPr>
      <w:b/>
      <w:i/>
    </w:rPr>
  </w:style>
  <w:style w:type="character" w:customStyle="1" w:styleId="charItals">
    <w:name w:val="charItals"/>
    <w:basedOn w:val="DefaultParagraphFont"/>
    <w:rsid w:val="00903DAE"/>
    <w:rPr>
      <w:i/>
    </w:rPr>
  </w:style>
  <w:style w:type="character" w:customStyle="1" w:styleId="charUnderline">
    <w:name w:val="charUnderline"/>
    <w:basedOn w:val="DefaultParagraphFont"/>
    <w:rsid w:val="00903DAE"/>
    <w:rPr>
      <w:u w:val="single"/>
    </w:rPr>
  </w:style>
  <w:style w:type="paragraph" w:customStyle="1" w:styleId="TableHd">
    <w:name w:val="TableHd"/>
    <w:basedOn w:val="Normal"/>
    <w:rsid w:val="00903DAE"/>
    <w:pPr>
      <w:keepNext/>
      <w:spacing w:before="300"/>
      <w:ind w:left="1200" w:hanging="1200"/>
    </w:pPr>
    <w:rPr>
      <w:rFonts w:ascii="Arial" w:hAnsi="Arial"/>
      <w:b/>
      <w:sz w:val="20"/>
    </w:rPr>
  </w:style>
  <w:style w:type="paragraph" w:customStyle="1" w:styleId="TableColHd">
    <w:name w:val="TableColHd"/>
    <w:basedOn w:val="Normal"/>
    <w:rsid w:val="00903DAE"/>
    <w:pPr>
      <w:keepNext/>
      <w:spacing w:after="60"/>
    </w:pPr>
    <w:rPr>
      <w:rFonts w:ascii="Arial" w:hAnsi="Arial"/>
      <w:b/>
      <w:sz w:val="18"/>
    </w:rPr>
  </w:style>
  <w:style w:type="paragraph" w:customStyle="1" w:styleId="PenaltyPara">
    <w:name w:val="PenaltyPara"/>
    <w:basedOn w:val="Normal"/>
    <w:rsid w:val="00903DAE"/>
    <w:pPr>
      <w:tabs>
        <w:tab w:val="right" w:pos="1360"/>
      </w:tabs>
      <w:spacing w:before="60"/>
      <w:ind w:left="1600" w:hanging="1600"/>
      <w:jc w:val="both"/>
    </w:pPr>
  </w:style>
  <w:style w:type="paragraph" w:customStyle="1" w:styleId="tablepara">
    <w:name w:val="table para"/>
    <w:basedOn w:val="Normal"/>
    <w:rsid w:val="00903DAE"/>
    <w:pPr>
      <w:tabs>
        <w:tab w:val="right" w:pos="800"/>
        <w:tab w:val="left" w:pos="1100"/>
      </w:tabs>
      <w:spacing w:before="80" w:after="60"/>
      <w:ind w:left="1100" w:hanging="1100"/>
    </w:pPr>
  </w:style>
  <w:style w:type="paragraph" w:customStyle="1" w:styleId="tablesubpara">
    <w:name w:val="table subpara"/>
    <w:basedOn w:val="Normal"/>
    <w:rsid w:val="00903DAE"/>
    <w:pPr>
      <w:tabs>
        <w:tab w:val="right" w:pos="1500"/>
        <w:tab w:val="left" w:pos="1800"/>
      </w:tabs>
      <w:spacing w:before="80" w:after="60"/>
      <w:ind w:left="1800" w:hanging="1800"/>
    </w:pPr>
  </w:style>
  <w:style w:type="paragraph" w:customStyle="1" w:styleId="TableText">
    <w:name w:val="TableText"/>
    <w:basedOn w:val="Normal"/>
    <w:rsid w:val="00903DAE"/>
    <w:pPr>
      <w:spacing w:before="60" w:after="60"/>
    </w:pPr>
  </w:style>
  <w:style w:type="paragraph" w:customStyle="1" w:styleId="IshadedH5Sec">
    <w:name w:val="I shaded H5 Sec"/>
    <w:basedOn w:val="AH5Sec"/>
    <w:rsid w:val="00903DAE"/>
    <w:pPr>
      <w:shd w:val="pct25" w:color="auto" w:fill="auto"/>
      <w:outlineLvl w:val="9"/>
    </w:pPr>
  </w:style>
  <w:style w:type="paragraph" w:customStyle="1" w:styleId="IshadedSchClause">
    <w:name w:val="I shaded Sch Clause"/>
    <w:basedOn w:val="IshadedH5Sec"/>
    <w:rsid w:val="00903DAE"/>
  </w:style>
  <w:style w:type="paragraph" w:customStyle="1" w:styleId="Penalty">
    <w:name w:val="Penalty"/>
    <w:basedOn w:val="Amainreturn"/>
    <w:rsid w:val="00903DAE"/>
  </w:style>
  <w:style w:type="paragraph" w:customStyle="1" w:styleId="aNoteText">
    <w:name w:val="aNoteText"/>
    <w:basedOn w:val="aNoteSymb"/>
    <w:rsid w:val="00903DAE"/>
    <w:pPr>
      <w:spacing w:before="60"/>
      <w:ind w:firstLine="0"/>
    </w:pPr>
  </w:style>
  <w:style w:type="paragraph" w:customStyle="1" w:styleId="aExamINum">
    <w:name w:val="aExamINum"/>
    <w:basedOn w:val="aExam"/>
    <w:rsid w:val="002E0DF3"/>
    <w:pPr>
      <w:tabs>
        <w:tab w:val="left" w:pos="1500"/>
      </w:tabs>
      <w:ind w:left="1500" w:hanging="400"/>
    </w:pPr>
  </w:style>
  <w:style w:type="paragraph" w:customStyle="1" w:styleId="AExamIPara">
    <w:name w:val="AExamIPara"/>
    <w:basedOn w:val="aExam"/>
    <w:rsid w:val="00903DAE"/>
    <w:pPr>
      <w:tabs>
        <w:tab w:val="right" w:pos="1720"/>
        <w:tab w:val="left" w:pos="2000"/>
      </w:tabs>
      <w:ind w:left="2000" w:hanging="900"/>
    </w:pPr>
  </w:style>
  <w:style w:type="paragraph" w:customStyle="1" w:styleId="AH3sec">
    <w:name w:val="A H3 sec"/>
    <w:basedOn w:val="Normal"/>
    <w:next w:val="Amain"/>
    <w:rsid w:val="002E0DF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03DAE"/>
    <w:pPr>
      <w:tabs>
        <w:tab w:val="clear" w:pos="2600"/>
      </w:tabs>
      <w:ind w:left="1100"/>
    </w:pPr>
    <w:rPr>
      <w:sz w:val="18"/>
    </w:rPr>
  </w:style>
  <w:style w:type="paragraph" w:customStyle="1" w:styleId="aExamss">
    <w:name w:val="aExamss"/>
    <w:basedOn w:val="aNoteSymb"/>
    <w:rsid w:val="00903DAE"/>
    <w:pPr>
      <w:spacing w:before="60"/>
      <w:ind w:left="1100" w:firstLine="0"/>
    </w:pPr>
  </w:style>
  <w:style w:type="paragraph" w:customStyle="1" w:styleId="aExamHdgpar">
    <w:name w:val="aExamHdgpar"/>
    <w:basedOn w:val="aExamHdgss"/>
    <w:next w:val="Normal"/>
    <w:rsid w:val="00903DAE"/>
    <w:pPr>
      <w:ind w:left="1600"/>
    </w:pPr>
  </w:style>
  <w:style w:type="paragraph" w:customStyle="1" w:styleId="aExampar">
    <w:name w:val="aExampar"/>
    <w:basedOn w:val="aExamss"/>
    <w:rsid w:val="00903DAE"/>
    <w:pPr>
      <w:ind w:left="1600"/>
    </w:pPr>
  </w:style>
  <w:style w:type="paragraph" w:customStyle="1" w:styleId="aExamINumss">
    <w:name w:val="aExamINumss"/>
    <w:basedOn w:val="aExamss"/>
    <w:rsid w:val="00903DAE"/>
    <w:pPr>
      <w:tabs>
        <w:tab w:val="left" w:pos="1500"/>
      </w:tabs>
      <w:ind w:left="1500" w:hanging="400"/>
    </w:pPr>
  </w:style>
  <w:style w:type="paragraph" w:customStyle="1" w:styleId="aExamINumpar">
    <w:name w:val="aExamINumpar"/>
    <w:basedOn w:val="aExampar"/>
    <w:rsid w:val="00903DAE"/>
    <w:pPr>
      <w:tabs>
        <w:tab w:val="left" w:pos="2000"/>
      </w:tabs>
      <w:ind w:left="2000" w:hanging="400"/>
    </w:pPr>
  </w:style>
  <w:style w:type="paragraph" w:customStyle="1" w:styleId="aExamNumTextss">
    <w:name w:val="aExamNumTextss"/>
    <w:basedOn w:val="aExamss"/>
    <w:rsid w:val="00903DAE"/>
    <w:pPr>
      <w:ind w:left="1500"/>
    </w:pPr>
  </w:style>
  <w:style w:type="paragraph" w:customStyle="1" w:styleId="aExamNumTextpar">
    <w:name w:val="aExamNumTextpar"/>
    <w:basedOn w:val="aExampar"/>
    <w:rsid w:val="002E0DF3"/>
    <w:pPr>
      <w:ind w:left="2000"/>
    </w:pPr>
  </w:style>
  <w:style w:type="paragraph" w:customStyle="1" w:styleId="aExamBulletss">
    <w:name w:val="aExamBulletss"/>
    <w:basedOn w:val="aExamss"/>
    <w:rsid w:val="00903DAE"/>
    <w:pPr>
      <w:ind w:left="1500" w:hanging="400"/>
    </w:pPr>
  </w:style>
  <w:style w:type="paragraph" w:customStyle="1" w:styleId="aExamBulletpar">
    <w:name w:val="aExamBulletpar"/>
    <w:basedOn w:val="aExampar"/>
    <w:rsid w:val="00903DAE"/>
    <w:pPr>
      <w:ind w:left="2000" w:hanging="400"/>
    </w:pPr>
  </w:style>
  <w:style w:type="paragraph" w:customStyle="1" w:styleId="aExamHdgsubpar">
    <w:name w:val="aExamHdgsubpar"/>
    <w:basedOn w:val="aExamHdgss"/>
    <w:next w:val="Normal"/>
    <w:rsid w:val="00903DAE"/>
    <w:pPr>
      <w:ind w:left="2140"/>
    </w:pPr>
  </w:style>
  <w:style w:type="paragraph" w:customStyle="1" w:styleId="aExamsubpar">
    <w:name w:val="aExamsubpar"/>
    <w:basedOn w:val="aExamss"/>
    <w:rsid w:val="00903DAE"/>
    <w:pPr>
      <w:ind w:left="2140"/>
    </w:pPr>
  </w:style>
  <w:style w:type="paragraph" w:customStyle="1" w:styleId="aExamNumsubpar">
    <w:name w:val="aExamNumsubpar"/>
    <w:basedOn w:val="aExamsubpar"/>
    <w:rsid w:val="002E0DF3"/>
    <w:pPr>
      <w:tabs>
        <w:tab w:val="left" w:pos="2540"/>
      </w:tabs>
      <w:ind w:left="2540" w:hanging="400"/>
    </w:pPr>
  </w:style>
  <w:style w:type="paragraph" w:customStyle="1" w:styleId="aExamNumTextsubpar">
    <w:name w:val="aExamNumTextsubpar"/>
    <w:basedOn w:val="aExampar"/>
    <w:rsid w:val="002E0DF3"/>
    <w:pPr>
      <w:ind w:left="2540"/>
    </w:pPr>
  </w:style>
  <w:style w:type="paragraph" w:customStyle="1" w:styleId="aExamBulletsubpar">
    <w:name w:val="aExamBulletsubpar"/>
    <w:basedOn w:val="aExamsubpar"/>
    <w:rsid w:val="002E0DF3"/>
    <w:pPr>
      <w:tabs>
        <w:tab w:val="num" w:pos="2540"/>
      </w:tabs>
      <w:ind w:left="2540" w:hanging="400"/>
    </w:pPr>
  </w:style>
  <w:style w:type="paragraph" w:customStyle="1" w:styleId="aNoteTextss">
    <w:name w:val="aNoteTextss"/>
    <w:basedOn w:val="Normal"/>
    <w:rsid w:val="00903DAE"/>
    <w:pPr>
      <w:spacing w:before="60"/>
      <w:ind w:left="1900"/>
      <w:jc w:val="both"/>
    </w:pPr>
    <w:rPr>
      <w:sz w:val="20"/>
    </w:rPr>
  </w:style>
  <w:style w:type="paragraph" w:customStyle="1" w:styleId="aNoteParass">
    <w:name w:val="aNoteParass"/>
    <w:basedOn w:val="Normal"/>
    <w:rsid w:val="00903DAE"/>
    <w:pPr>
      <w:tabs>
        <w:tab w:val="right" w:pos="2140"/>
        <w:tab w:val="left" w:pos="2400"/>
      </w:tabs>
      <w:spacing w:before="60"/>
      <w:ind w:left="2400" w:hanging="1300"/>
      <w:jc w:val="both"/>
    </w:pPr>
    <w:rPr>
      <w:sz w:val="20"/>
    </w:rPr>
  </w:style>
  <w:style w:type="paragraph" w:customStyle="1" w:styleId="aNoteParapar">
    <w:name w:val="aNoteParapar"/>
    <w:basedOn w:val="aNotepar"/>
    <w:rsid w:val="00903DAE"/>
    <w:pPr>
      <w:tabs>
        <w:tab w:val="right" w:pos="2640"/>
      </w:tabs>
      <w:spacing w:before="60"/>
      <w:ind w:left="2920" w:hanging="1320"/>
    </w:pPr>
  </w:style>
  <w:style w:type="paragraph" w:customStyle="1" w:styleId="aNotesubpar">
    <w:name w:val="aNotesubpar"/>
    <w:basedOn w:val="BillBasic"/>
    <w:next w:val="Normal"/>
    <w:rsid w:val="00903DAE"/>
    <w:pPr>
      <w:ind w:left="2940" w:hanging="800"/>
    </w:pPr>
    <w:rPr>
      <w:sz w:val="20"/>
    </w:rPr>
  </w:style>
  <w:style w:type="paragraph" w:customStyle="1" w:styleId="aNoteTextsubpar">
    <w:name w:val="aNoteTextsubpar"/>
    <w:basedOn w:val="aNotesubpar"/>
    <w:rsid w:val="00903DAE"/>
    <w:pPr>
      <w:spacing w:before="60"/>
      <w:ind w:firstLine="0"/>
    </w:pPr>
  </w:style>
  <w:style w:type="paragraph" w:customStyle="1" w:styleId="aNoteParasubpar">
    <w:name w:val="aNoteParasubpar"/>
    <w:basedOn w:val="aNotesubpar"/>
    <w:rsid w:val="002E0DF3"/>
    <w:pPr>
      <w:tabs>
        <w:tab w:val="right" w:pos="3180"/>
      </w:tabs>
      <w:spacing w:before="60"/>
      <w:ind w:left="3460" w:hanging="1320"/>
    </w:pPr>
  </w:style>
  <w:style w:type="paragraph" w:customStyle="1" w:styleId="aNoteBulletsubpar">
    <w:name w:val="aNoteBulletsubpar"/>
    <w:basedOn w:val="aNotesubpar"/>
    <w:rsid w:val="002E0DF3"/>
    <w:pPr>
      <w:numPr>
        <w:numId w:val="13"/>
      </w:numPr>
      <w:tabs>
        <w:tab w:val="left" w:pos="3240"/>
      </w:tabs>
      <w:spacing w:before="60"/>
    </w:pPr>
  </w:style>
  <w:style w:type="paragraph" w:customStyle="1" w:styleId="aNoteBulletss">
    <w:name w:val="aNoteBulletss"/>
    <w:basedOn w:val="Normal"/>
    <w:rsid w:val="00903DAE"/>
    <w:pPr>
      <w:spacing w:before="60"/>
      <w:ind w:left="2300" w:hanging="400"/>
      <w:jc w:val="both"/>
    </w:pPr>
    <w:rPr>
      <w:sz w:val="20"/>
    </w:rPr>
  </w:style>
  <w:style w:type="paragraph" w:customStyle="1" w:styleId="aNoteBulletpar">
    <w:name w:val="aNoteBulletpar"/>
    <w:basedOn w:val="aNotepar"/>
    <w:rsid w:val="00903DAE"/>
    <w:pPr>
      <w:spacing w:before="60"/>
      <w:ind w:left="2800" w:hanging="400"/>
    </w:pPr>
  </w:style>
  <w:style w:type="paragraph" w:customStyle="1" w:styleId="aExplanBullet">
    <w:name w:val="aExplanBullet"/>
    <w:basedOn w:val="Normal"/>
    <w:rsid w:val="00903DAE"/>
    <w:pPr>
      <w:spacing w:before="140"/>
      <w:ind w:left="400" w:hanging="400"/>
      <w:jc w:val="both"/>
    </w:pPr>
    <w:rPr>
      <w:snapToGrid w:val="0"/>
      <w:sz w:val="20"/>
    </w:rPr>
  </w:style>
  <w:style w:type="paragraph" w:customStyle="1" w:styleId="AuthLaw">
    <w:name w:val="AuthLaw"/>
    <w:basedOn w:val="BillBasic"/>
    <w:rsid w:val="002E0DF3"/>
    <w:rPr>
      <w:rFonts w:ascii="Arial" w:hAnsi="Arial"/>
      <w:b/>
      <w:sz w:val="20"/>
    </w:rPr>
  </w:style>
  <w:style w:type="paragraph" w:customStyle="1" w:styleId="aExamNumpar">
    <w:name w:val="aExamNumpar"/>
    <w:basedOn w:val="aExamINumss"/>
    <w:rsid w:val="002E0DF3"/>
    <w:pPr>
      <w:tabs>
        <w:tab w:val="clear" w:pos="1500"/>
        <w:tab w:val="left" w:pos="2000"/>
      </w:tabs>
      <w:ind w:left="2000"/>
    </w:pPr>
  </w:style>
  <w:style w:type="paragraph" w:customStyle="1" w:styleId="Schsectionheading">
    <w:name w:val="Sch section heading"/>
    <w:basedOn w:val="BillBasic"/>
    <w:next w:val="Amain"/>
    <w:rsid w:val="002E0DF3"/>
    <w:pPr>
      <w:spacing w:before="240"/>
      <w:jc w:val="left"/>
      <w:outlineLvl w:val="4"/>
    </w:pPr>
    <w:rPr>
      <w:rFonts w:ascii="Arial" w:hAnsi="Arial"/>
      <w:b/>
    </w:rPr>
  </w:style>
  <w:style w:type="paragraph" w:customStyle="1" w:styleId="SchAmain">
    <w:name w:val="Sch A main"/>
    <w:basedOn w:val="Amain"/>
    <w:rsid w:val="00903DAE"/>
  </w:style>
  <w:style w:type="paragraph" w:customStyle="1" w:styleId="SchApara">
    <w:name w:val="Sch A para"/>
    <w:basedOn w:val="Apara"/>
    <w:rsid w:val="00903DAE"/>
  </w:style>
  <w:style w:type="paragraph" w:customStyle="1" w:styleId="SchAsubpara">
    <w:name w:val="Sch A subpara"/>
    <w:basedOn w:val="Asubpara"/>
    <w:rsid w:val="00903DAE"/>
  </w:style>
  <w:style w:type="paragraph" w:customStyle="1" w:styleId="SchAsubsubpara">
    <w:name w:val="Sch A subsubpara"/>
    <w:basedOn w:val="Asubsubpara"/>
    <w:rsid w:val="00903DAE"/>
  </w:style>
  <w:style w:type="paragraph" w:customStyle="1" w:styleId="TOCOL1">
    <w:name w:val="TOCOL 1"/>
    <w:basedOn w:val="TOC1"/>
    <w:rsid w:val="00903DAE"/>
  </w:style>
  <w:style w:type="paragraph" w:customStyle="1" w:styleId="TOCOL2">
    <w:name w:val="TOCOL 2"/>
    <w:basedOn w:val="TOC2"/>
    <w:rsid w:val="00903DAE"/>
    <w:pPr>
      <w:keepNext w:val="0"/>
    </w:pPr>
  </w:style>
  <w:style w:type="paragraph" w:customStyle="1" w:styleId="TOCOL3">
    <w:name w:val="TOCOL 3"/>
    <w:basedOn w:val="TOC3"/>
    <w:rsid w:val="00903DAE"/>
    <w:pPr>
      <w:keepNext w:val="0"/>
    </w:pPr>
  </w:style>
  <w:style w:type="paragraph" w:customStyle="1" w:styleId="TOCOL4">
    <w:name w:val="TOCOL 4"/>
    <w:basedOn w:val="TOC4"/>
    <w:rsid w:val="00903DAE"/>
    <w:pPr>
      <w:keepNext w:val="0"/>
    </w:pPr>
  </w:style>
  <w:style w:type="paragraph" w:customStyle="1" w:styleId="TOCOL5">
    <w:name w:val="TOCOL 5"/>
    <w:basedOn w:val="TOC5"/>
    <w:rsid w:val="00903DAE"/>
    <w:pPr>
      <w:tabs>
        <w:tab w:val="left" w:pos="400"/>
      </w:tabs>
    </w:pPr>
  </w:style>
  <w:style w:type="paragraph" w:customStyle="1" w:styleId="TOCOL6">
    <w:name w:val="TOCOL 6"/>
    <w:basedOn w:val="TOC6"/>
    <w:rsid w:val="00903DAE"/>
    <w:pPr>
      <w:keepNext w:val="0"/>
    </w:pPr>
  </w:style>
  <w:style w:type="paragraph" w:customStyle="1" w:styleId="TOCOL7">
    <w:name w:val="TOCOL 7"/>
    <w:basedOn w:val="TOC7"/>
    <w:rsid w:val="00903DAE"/>
  </w:style>
  <w:style w:type="paragraph" w:customStyle="1" w:styleId="TOCOL8">
    <w:name w:val="TOCOL 8"/>
    <w:basedOn w:val="TOC8"/>
    <w:rsid w:val="00903DAE"/>
  </w:style>
  <w:style w:type="paragraph" w:customStyle="1" w:styleId="TOCOL9">
    <w:name w:val="TOCOL 9"/>
    <w:basedOn w:val="TOC9"/>
    <w:rsid w:val="00903DAE"/>
    <w:pPr>
      <w:ind w:right="0"/>
    </w:pPr>
  </w:style>
  <w:style w:type="paragraph" w:styleId="TOC9">
    <w:name w:val="toc 9"/>
    <w:basedOn w:val="Normal"/>
    <w:next w:val="Normal"/>
    <w:autoRedefine/>
    <w:uiPriority w:val="39"/>
    <w:rsid w:val="00903DAE"/>
    <w:pPr>
      <w:ind w:left="1920" w:right="600"/>
    </w:pPr>
  </w:style>
  <w:style w:type="paragraph" w:customStyle="1" w:styleId="Billname1">
    <w:name w:val="Billname1"/>
    <w:basedOn w:val="Normal"/>
    <w:rsid w:val="00903DAE"/>
    <w:pPr>
      <w:tabs>
        <w:tab w:val="left" w:pos="2400"/>
      </w:tabs>
      <w:spacing w:before="1220"/>
    </w:pPr>
    <w:rPr>
      <w:rFonts w:ascii="Arial" w:hAnsi="Arial"/>
      <w:b/>
      <w:sz w:val="40"/>
    </w:rPr>
  </w:style>
  <w:style w:type="paragraph" w:customStyle="1" w:styleId="TableText10">
    <w:name w:val="TableText10"/>
    <w:basedOn w:val="TableText"/>
    <w:rsid w:val="00903DAE"/>
    <w:rPr>
      <w:sz w:val="20"/>
    </w:rPr>
  </w:style>
  <w:style w:type="paragraph" w:customStyle="1" w:styleId="TablePara10">
    <w:name w:val="TablePara10"/>
    <w:basedOn w:val="tablepara"/>
    <w:rsid w:val="00903D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03DA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03DAE"/>
  </w:style>
  <w:style w:type="character" w:customStyle="1" w:styleId="charPage">
    <w:name w:val="charPage"/>
    <w:basedOn w:val="DefaultParagraphFont"/>
    <w:rsid w:val="00903DAE"/>
  </w:style>
  <w:style w:type="character" w:styleId="PageNumber">
    <w:name w:val="page number"/>
    <w:basedOn w:val="DefaultParagraphFont"/>
    <w:rsid w:val="00903DAE"/>
  </w:style>
  <w:style w:type="paragraph" w:customStyle="1" w:styleId="Letterhead">
    <w:name w:val="Letterhead"/>
    <w:rsid w:val="002E0DF3"/>
    <w:pPr>
      <w:widowControl w:val="0"/>
      <w:spacing w:after="180"/>
      <w:jc w:val="right"/>
    </w:pPr>
    <w:rPr>
      <w:rFonts w:ascii="Arial" w:hAnsi="Arial"/>
      <w:sz w:val="32"/>
      <w:lang w:eastAsia="en-US"/>
    </w:rPr>
  </w:style>
  <w:style w:type="paragraph" w:customStyle="1" w:styleId="IShadedschclause0">
    <w:name w:val="I Shaded sch clause"/>
    <w:basedOn w:val="IH5Sec"/>
    <w:rsid w:val="002E0DF3"/>
    <w:pPr>
      <w:shd w:val="pct15" w:color="auto" w:fill="FFFFFF"/>
      <w:tabs>
        <w:tab w:val="clear" w:pos="1100"/>
        <w:tab w:val="left" w:pos="700"/>
      </w:tabs>
      <w:ind w:left="700" w:hanging="700"/>
    </w:pPr>
  </w:style>
  <w:style w:type="paragraph" w:customStyle="1" w:styleId="Billfooter">
    <w:name w:val="Billfooter"/>
    <w:basedOn w:val="Normal"/>
    <w:rsid w:val="002E0DF3"/>
    <w:pPr>
      <w:tabs>
        <w:tab w:val="right" w:pos="7200"/>
      </w:tabs>
      <w:jc w:val="both"/>
    </w:pPr>
    <w:rPr>
      <w:sz w:val="18"/>
    </w:rPr>
  </w:style>
  <w:style w:type="paragraph" w:styleId="BalloonText">
    <w:name w:val="Balloon Text"/>
    <w:basedOn w:val="Normal"/>
    <w:link w:val="BalloonTextChar"/>
    <w:uiPriority w:val="99"/>
    <w:unhideWhenUsed/>
    <w:rsid w:val="00903DAE"/>
    <w:rPr>
      <w:rFonts w:ascii="Tahoma" w:hAnsi="Tahoma" w:cs="Tahoma"/>
      <w:sz w:val="16"/>
      <w:szCs w:val="16"/>
    </w:rPr>
  </w:style>
  <w:style w:type="character" w:customStyle="1" w:styleId="BalloonTextChar">
    <w:name w:val="Balloon Text Char"/>
    <w:basedOn w:val="DefaultParagraphFont"/>
    <w:link w:val="BalloonText"/>
    <w:uiPriority w:val="99"/>
    <w:rsid w:val="00903DAE"/>
    <w:rPr>
      <w:rFonts w:ascii="Tahoma" w:hAnsi="Tahoma" w:cs="Tahoma"/>
      <w:sz w:val="16"/>
      <w:szCs w:val="16"/>
      <w:lang w:eastAsia="en-US"/>
    </w:rPr>
  </w:style>
  <w:style w:type="paragraph" w:customStyle="1" w:styleId="00AssAm">
    <w:name w:val="00AssAm"/>
    <w:basedOn w:val="00SigningPage"/>
    <w:rsid w:val="002E0DF3"/>
  </w:style>
  <w:style w:type="character" w:customStyle="1" w:styleId="FooterChar">
    <w:name w:val="Footer Char"/>
    <w:basedOn w:val="DefaultParagraphFont"/>
    <w:link w:val="Footer"/>
    <w:rsid w:val="00903DAE"/>
    <w:rPr>
      <w:rFonts w:ascii="Arial" w:hAnsi="Arial"/>
      <w:sz w:val="18"/>
      <w:lang w:eastAsia="en-US"/>
    </w:rPr>
  </w:style>
  <w:style w:type="character" w:customStyle="1" w:styleId="HeaderChar">
    <w:name w:val="Header Char"/>
    <w:basedOn w:val="DefaultParagraphFont"/>
    <w:link w:val="Header"/>
    <w:rsid w:val="002E0DF3"/>
    <w:rPr>
      <w:sz w:val="24"/>
      <w:lang w:eastAsia="en-US"/>
    </w:rPr>
  </w:style>
  <w:style w:type="paragraph" w:customStyle="1" w:styleId="01aPreamble">
    <w:name w:val="01aPreamble"/>
    <w:basedOn w:val="Normal"/>
    <w:qFormat/>
    <w:rsid w:val="00903DAE"/>
  </w:style>
  <w:style w:type="paragraph" w:customStyle="1" w:styleId="TableBullet">
    <w:name w:val="TableBullet"/>
    <w:basedOn w:val="TableText10"/>
    <w:qFormat/>
    <w:rsid w:val="00903DAE"/>
    <w:pPr>
      <w:numPr>
        <w:numId w:val="18"/>
      </w:numPr>
    </w:pPr>
  </w:style>
  <w:style w:type="paragraph" w:customStyle="1" w:styleId="BillCrest">
    <w:name w:val="Bill Crest"/>
    <w:basedOn w:val="Normal"/>
    <w:next w:val="Normal"/>
    <w:rsid w:val="00903DAE"/>
    <w:pPr>
      <w:tabs>
        <w:tab w:val="center" w:pos="3160"/>
      </w:tabs>
      <w:spacing w:after="60"/>
    </w:pPr>
    <w:rPr>
      <w:sz w:val="216"/>
    </w:rPr>
  </w:style>
  <w:style w:type="paragraph" w:customStyle="1" w:styleId="BillNo">
    <w:name w:val="BillNo"/>
    <w:basedOn w:val="BillBasicHeading"/>
    <w:rsid w:val="00903DAE"/>
    <w:pPr>
      <w:keepNext w:val="0"/>
      <w:spacing w:before="240"/>
      <w:jc w:val="both"/>
    </w:pPr>
  </w:style>
  <w:style w:type="paragraph" w:customStyle="1" w:styleId="aNoteBulletann">
    <w:name w:val="aNoteBulletann"/>
    <w:basedOn w:val="aNotess"/>
    <w:rsid w:val="002E0DF3"/>
    <w:pPr>
      <w:tabs>
        <w:tab w:val="left" w:pos="2200"/>
      </w:tabs>
      <w:spacing w:before="0"/>
      <w:ind w:left="0" w:firstLine="0"/>
    </w:pPr>
  </w:style>
  <w:style w:type="paragraph" w:customStyle="1" w:styleId="aNoteBulletparann">
    <w:name w:val="aNoteBulletparann"/>
    <w:basedOn w:val="aNotepar"/>
    <w:rsid w:val="002E0DF3"/>
    <w:pPr>
      <w:tabs>
        <w:tab w:val="left" w:pos="2700"/>
      </w:tabs>
      <w:spacing w:before="0"/>
      <w:ind w:left="0" w:firstLine="0"/>
    </w:pPr>
  </w:style>
  <w:style w:type="paragraph" w:customStyle="1" w:styleId="TableNumbered">
    <w:name w:val="TableNumbered"/>
    <w:basedOn w:val="TableText10"/>
    <w:qFormat/>
    <w:rsid w:val="00903DAE"/>
    <w:pPr>
      <w:numPr>
        <w:numId w:val="19"/>
      </w:numPr>
    </w:pPr>
  </w:style>
  <w:style w:type="paragraph" w:customStyle="1" w:styleId="ISchMain">
    <w:name w:val="I Sch Main"/>
    <w:basedOn w:val="BillBasic"/>
    <w:rsid w:val="00903DAE"/>
    <w:pPr>
      <w:tabs>
        <w:tab w:val="right" w:pos="900"/>
        <w:tab w:val="left" w:pos="1100"/>
      </w:tabs>
      <w:ind w:left="1100" w:hanging="1100"/>
    </w:pPr>
  </w:style>
  <w:style w:type="paragraph" w:customStyle="1" w:styleId="ISchpara">
    <w:name w:val="I Sch para"/>
    <w:basedOn w:val="BillBasic"/>
    <w:rsid w:val="00903DAE"/>
    <w:pPr>
      <w:tabs>
        <w:tab w:val="right" w:pos="1400"/>
        <w:tab w:val="left" w:pos="1600"/>
      </w:tabs>
      <w:ind w:left="1600" w:hanging="1600"/>
    </w:pPr>
  </w:style>
  <w:style w:type="paragraph" w:customStyle="1" w:styleId="ISchsubpara">
    <w:name w:val="I Sch subpara"/>
    <w:basedOn w:val="BillBasic"/>
    <w:rsid w:val="00903DAE"/>
    <w:pPr>
      <w:tabs>
        <w:tab w:val="right" w:pos="1940"/>
        <w:tab w:val="left" w:pos="2140"/>
      </w:tabs>
      <w:ind w:left="2140" w:hanging="2140"/>
    </w:pPr>
  </w:style>
  <w:style w:type="paragraph" w:customStyle="1" w:styleId="ISchsubsubpara">
    <w:name w:val="I Sch subsubpara"/>
    <w:basedOn w:val="BillBasic"/>
    <w:rsid w:val="00903DAE"/>
    <w:pPr>
      <w:tabs>
        <w:tab w:val="right" w:pos="2460"/>
        <w:tab w:val="left" w:pos="2660"/>
      </w:tabs>
      <w:ind w:left="2660" w:hanging="2660"/>
    </w:pPr>
  </w:style>
  <w:style w:type="character" w:customStyle="1" w:styleId="aNoteChar">
    <w:name w:val="aNote Char"/>
    <w:basedOn w:val="DefaultParagraphFont"/>
    <w:link w:val="aNote"/>
    <w:locked/>
    <w:rsid w:val="002E0DF3"/>
    <w:rPr>
      <w:lang w:eastAsia="en-US"/>
    </w:rPr>
  </w:style>
  <w:style w:type="character" w:customStyle="1" w:styleId="charCitHyperlinkAbbrev">
    <w:name w:val="charCitHyperlinkAbbrev"/>
    <w:basedOn w:val="Hyperlink"/>
    <w:uiPriority w:val="1"/>
    <w:rsid w:val="00903DAE"/>
    <w:rPr>
      <w:color w:val="0000FF" w:themeColor="hyperlink"/>
      <w:u w:val="none"/>
    </w:rPr>
  </w:style>
  <w:style w:type="character" w:styleId="Hyperlink">
    <w:name w:val="Hyperlink"/>
    <w:basedOn w:val="DefaultParagraphFont"/>
    <w:uiPriority w:val="99"/>
    <w:unhideWhenUsed/>
    <w:rsid w:val="00903DAE"/>
    <w:rPr>
      <w:color w:val="0000FF" w:themeColor="hyperlink"/>
      <w:u w:val="single"/>
    </w:rPr>
  </w:style>
  <w:style w:type="character" w:customStyle="1" w:styleId="charCitHyperlinkItal">
    <w:name w:val="charCitHyperlinkItal"/>
    <w:basedOn w:val="Hyperlink"/>
    <w:uiPriority w:val="1"/>
    <w:rsid w:val="00903DAE"/>
    <w:rPr>
      <w:i/>
      <w:color w:val="0000FF" w:themeColor="hyperlink"/>
      <w:u w:val="none"/>
    </w:rPr>
  </w:style>
  <w:style w:type="character" w:customStyle="1" w:styleId="AH5SecChar">
    <w:name w:val="A H5 Sec Char"/>
    <w:basedOn w:val="DefaultParagraphFont"/>
    <w:link w:val="AH5Sec"/>
    <w:locked/>
    <w:rsid w:val="002E0DF3"/>
    <w:rPr>
      <w:rFonts w:ascii="Arial" w:hAnsi="Arial"/>
      <w:b/>
      <w:sz w:val="24"/>
      <w:lang w:eastAsia="en-US"/>
    </w:rPr>
  </w:style>
  <w:style w:type="character" w:customStyle="1" w:styleId="BillBasicChar">
    <w:name w:val="BillBasic Char"/>
    <w:basedOn w:val="DefaultParagraphFont"/>
    <w:link w:val="BillBasic"/>
    <w:locked/>
    <w:rsid w:val="002E0DF3"/>
    <w:rPr>
      <w:sz w:val="24"/>
      <w:lang w:eastAsia="en-US"/>
    </w:rPr>
  </w:style>
  <w:style w:type="paragraph" w:customStyle="1" w:styleId="Status">
    <w:name w:val="Status"/>
    <w:basedOn w:val="Normal"/>
    <w:rsid w:val="00903DAE"/>
    <w:pPr>
      <w:spacing w:before="280"/>
      <w:jc w:val="center"/>
    </w:pPr>
    <w:rPr>
      <w:rFonts w:ascii="Arial" w:hAnsi="Arial"/>
      <w:sz w:val="14"/>
    </w:rPr>
  </w:style>
  <w:style w:type="paragraph" w:customStyle="1" w:styleId="FooterInfoCentre">
    <w:name w:val="FooterInfoCentre"/>
    <w:basedOn w:val="FooterInfo"/>
    <w:rsid w:val="00903DAE"/>
    <w:pPr>
      <w:spacing w:before="60"/>
      <w:jc w:val="center"/>
    </w:pPr>
  </w:style>
  <w:style w:type="character" w:customStyle="1" w:styleId="aDefChar">
    <w:name w:val="aDef Char"/>
    <w:basedOn w:val="DefaultParagraphFont"/>
    <w:link w:val="aDef"/>
    <w:locked/>
    <w:rsid w:val="0069720F"/>
    <w:rPr>
      <w:sz w:val="24"/>
      <w:lang w:eastAsia="en-US"/>
    </w:rPr>
  </w:style>
  <w:style w:type="paragraph" w:customStyle="1" w:styleId="CoverTextBullet">
    <w:name w:val="CoverTextBullet"/>
    <w:basedOn w:val="CoverText"/>
    <w:qFormat/>
    <w:rsid w:val="00903DAE"/>
    <w:pPr>
      <w:numPr>
        <w:numId w:val="30"/>
      </w:numPr>
    </w:pPr>
    <w:rPr>
      <w:color w:val="000000"/>
    </w:rPr>
  </w:style>
  <w:style w:type="character" w:customStyle="1" w:styleId="AparaChar">
    <w:name w:val="A para Char"/>
    <w:basedOn w:val="DefaultParagraphFont"/>
    <w:link w:val="Apara"/>
    <w:locked/>
    <w:rsid w:val="0069720F"/>
    <w:rPr>
      <w:sz w:val="24"/>
      <w:lang w:eastAsia="en-US"/>
    </w:rPr>
  </w:style>
  <w:style w:type="character" w:customStyle="1" w:styleId="AmainreturnChar">
    <w:name w:val="A main return Char"/>
    <w:basedOn w:val="DefaultParagraphFont"/>
    <w:link w:val="Amainreturn"/>
    <w:locked/>
    <w:rsid w:val="004500D3"/>
    <w:rPr>
      <w:sz w:val="24"/>
      <w:lang w:eastAsia="en-US"/>
    </w:rPr>
  </w:style>
  <w:style w:type="paragraph" w:styleId="ListParagraph">
    <w:name w:val="List Paragraph"/>
    <w:basedOn w:val="Normal"/>
    <w:uiPriority w:val="34"/>
    <w:qFormat/>
    <w:rsid w:val="009937D3"/>
    <w:pPr>
      <w:ind w:left="720"/>
      <w:contextualSpacing/>
    </w:pPr>
  </w:style>
  <w:style w:type="paragraph" w:customStyle="1" w:styleId="00Spine">
    <w:name w:val="00Spine"/>
    <w:basedOn w:val="Normal"/>
    <w:rsid w:val="00903DAE"/>
  </w:style>
  <w:style w:type="paragraph" w:customStyle="1" w:styleId="05Endnote0">
    <w:name w:val="05Endnote"/>
    <w:basedOn w:val="Normal"/>
    <w:rsid w:val="00903DAE"/>
  </w:style>
  <w:style w:type="paragraph" w:customStyle="1" w:styleId="06Copyright">
    <w:name w:val="06Copyright"/>
    <w:basedOn w:val="Normal"/>
    <w:rsid w:val="00903DAE"/>
  </w:style>
  <w:style w:type="paragraph" w:customStyle="1" w:styleId="RepubNo">
    <w:name w:val="RepubNo"/>
    <w:basedOn w:val="BillBasicHeading"/>
    <w:rsid w:val="00903DAE"/>
    <w:pPr>
      <w:keepNext w:val="0"/>
      <w:spacing w:before="600"/>
      <w:jc w:val="both"/>
    </w:pPr>
    <w:rPr>
      <w:sz w:val="26"/>
    </w:rPr>
  </w:style>
  <w:style w:type="paragraph" w:customStyle="1" w:styleId="EffectiveDate">
    <w:name w:val="EffectiveDate"/>
    <w:basedOn w:val="Normal"/>
    <w:rsid w:val="00903DAE"/>
    <w:pPr>
      <w:spacing w:before="120"/>
    </w:pPr>
    <w:rPr>
      <w:rFonts w:ascii="Arial" w:hAnsi="Arial"/>
      <w:b/>
      <w:sz w:val="26"/>
    </w:rPr>
  </w:style>
  <w:style w:type="paragraph" w:customStyle="1" w:styleId="CoverInForce">
    <w:name w:val="CoverInForce"/>
    <w:basedOn w:val="BillBasicHeading"/>
    <w:rsid w:val="00903DAE"/>
    <w:pPr>
      <w:keepNext w:val="0"/>
      <w:spacing w:before="400"/>
    </w:pPr>
    <w:rPr>
      <w:b w:val="0"/>
    </w:rPr>
  </w:style>
  <w:style w:type="paragraph" w:customStyle="1" w:styleId="CoverHeading">
    <w:name w:val="CoverHeading"/>
    <w:basedOn w:val="Normal"/>
    <w:rsid w:val="00903DAE"/>
    <w:rPr>
      <w:rFonts w:ascii="Arial" w:hAnsi="Arial"/>
      <w:b/>
    </w:rPr>
  </w:style>
  <w:style w:type="paragraph" w:customStyle="1" w:styleId="CoverSubHdg">
    <w:name w:val="CoverSubHdg"/>
    <w:basedOn w:val="CoverHeading"/>
    <w:rsid w:val="00903DAE"/>
    <w:pPr>
      <w:spacing w:before="120"/>
    </w:pPr>
    <w:rPr>
      <w:sz w:val="20"/>
    </w:rPr>
  </w:style>
  <w:style w:type="paragraph" w:customStyle="1" w:styleId="CoverActName">
    <w:name w:val="CoverActName"/>
    <w:basedOn w:val="BillBasicHeading"/>
    <w:rsid w:val="00903DAE"/>
    <w:pPr>
      <w:keepNext w:val="0"/>
      <w:spacing w:before="260"/>
    </w:pPr>
  </w:style>
  <w:style w:type="paragraph" w:customStyle="1" w:styleId="CoverText">
    <w:name w:val="CoverText"/>
    <w:basedOn w:val="Normal"/>
    <w:uiPriority w:val="99"/>
    <w:rsid w:val="00903DAE"/>
    <w:pPr>
      <w:spacing w:before="100"/>
      <w:jc w:val="both"/>
    </w:pPr>
    <w:rPr>
      <w:sz w:val="20"/>
    </w:rPr>
  </w:style>
  <w:style w:type="paragraph" w:customStyle="1" w:styleId="CoverTextPara">
    <w:name w:val="CoverTextPara"/>
    <w:basedOn w:val="CoverText"/>
    <w:rsid w:val="00903DAE"/>
    <w:pPr>
      <w:tabs>
        <w:tab w:val="right" w:pos="600"/>
        <w:tab w:val="left" w:pos="840"/>
      </w:tabs>
      <w:ind w:left="840" w:hanging="840"/>
    </w:pPr>
  </w:style>
  <w:style w:type="paragraph" w:customStyle="1" w:styleId="AH1ChapterSymb">
    <w:name w:val="A H1 Chapter Symb"/>
    <w:basedOn w:val="AH1Chapter"/>
    <w:next w:val="AH2Part"/>
    <w:rsid w:val="00903DAE"/>
    <w:pPr>
      <w:tabs>
        <w:tab w:val="clear" w:pos="2600"/>
        <w:tab w:val="left" w:pos="0"/>
      </w:tabs>
      <w:ind w:left="2480" w:hanging="2960"/>
    </w:pPr>
  </w:style>
  <w:style w:type="paragraph" w:customStyle="1" w:styleId="AH2PartSymb">
    <w:name w:val="A H2 Part Symb"/>
    <w:basedOn w:val="AH2Part"/>
    <w:next w:val="AH3Div"/>
    <w:rsid w:val="00903DAE"/>
    <w:pPr>
      <w:tabs>
        <w:tab w:val="clear" w:pos="2600"/>
        <w:tab w:val="left" w:pos="0"/>
      </w:tabs>
      <w:ind w:left="2480" w:hanging="2960"/>
    </w:pPr>
  </w:style>
  <w:style w:type="paragraph" w:customStyle="1" w:styleId="AH3DivSymb">
    <w:name w:val="A H3 Div Symb"/>
    <w:basedOn w:val="AH3Div"/>
    <w:next w:val="AH5Sec"/>
    <w:rsid w:val="00903DAE"/>
    <w:pPr>
      <w:tabs>
        <w:tab w:val="clear" w:pos="2600"/>
        <w:tab w:val="left" w:pos="0"/>
      </w:tabs>
      <w:ind w:left="2480" w:hanging="2960"/>
    </w:pPr>
  </w:style>
  <w:style w:type="paragraph" w:customStyle="1" w:styleId="AH4SubDivSymb">
    <w:name w:val="A H4 SubDiv Symb"/>
    <w:basedOn w:val="AH4SubDiv"/>
    <w:next w:val="AH5Sec"/>
    <w:rsid w:val="00903DAE"/>
    <w:pPr>
      <w:tabs>
        <w:tab w:val="clear" w:pos="2600"/>
        <w:tab w:val="left" w:pos="0"/>
      </w:tabs>
      <w:ind w:left="2480" w:hanging="2960"/>
    </w:pPr>
  </w:style>
  <w:style w:type="paragraph" w:customStyle="1" w:styleId="AH5SecSymb">
    <w:name w:val="A H5 Sec Symb"/>
    <w:basedOn w:val="AH5Sec"/>
    <w:next w:val="Amain"/>
    <w:rsid w:val="00903DAE"/>
    <w:pPr>
      <w:tabs>
        <w:tab w:val="clear" w:pos="1100"/>
        <w:tab w:val="left" w:pos="0"/>
      </w:tabs>
      <w:ind w:hanging="1580"/>
    </w:pPr>
  </w:style>
  <w:style w:type="paragraph" w:customStyle="1" w:styleId="AmainSymb">
    <w:name w:val="A main Symb"/>
    <w:basedOn w:val="Amain"/>
    <w:rsid w:val="00903DAE"/>
    <w:pPr>
      <w:tabs>
        <w:tab w:val="left" w:pos="0"/>
      </w:tabs>
      <w:ind w:left="1120" w:hanging="1600"/>
    </w:pPr>
  </w:style>
  <w:style w:type="paragraph" w:customStyle="1" w:styleId="AparaSymb">
    <w:name w:val="A para Symb"/>
    <w:basedOn w:val="Apara"/>
    <w:rsid w:val="00903DAE"/>
    <w:pPr>
      <w:tabs>
        <w:tab w:val="right" w:pos="0"/>
      </w:tabs>
      <w:ind w:hanging="2080"/>
    </w:pPr>
  </w:style>
  <w:style w:type="paragraph" w:customStyle="1" w:styleId="Assectheading">
    <w:name w:val="A ssect heading"/>
    <w:basedOn w:val="Amain"/>
    <w:rsid w:val="00903D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903DAE"/>
    <w:pPr>
      <w:tabs>
        <w:tab w:val="left" w:pos="0"/>
      </w:tabs>
      <w:ind w:left="2098" w:hanging="2580"/>
    </w:pPr>
  </w:style>
  <w:style w:type="paragraph" w:customStyle="1" w:styleId="Actdetails">
    <w:name w:val="Act details"/>
    <w:basedOn w:val="Normal"/>
    <w:rsid w:val="00903DAE"/>
    <w:pPr>
      <w:spacing w:before="20"/>
      <w:ind w:left="1400"/>
    </w:pPr>
    <w:rPr>
      <w:rFonts w:ascii="Arial" w:hAnsi="Arial"/>
      <w:sz w:val="20"/>
    </w:rPr>
  </w:style>
  <w:style w:type="paragraph" w:customStyle="1" w:styleId="AmdtsEntriesDefL2">
    <w:name w:val="AmdtsEntriesDefL2"/>
    <w:basedOn w:val="Normal"/>
    <w:rsid w:val="00903DAE"/>
    <w:pPr>
      <w:tabs>
        <w:tab w:val="left" w:pos="3000"/>
      </w:tabs>
      <w:ind w:left="3100" w:hanging="2000"/>
    </w:pPr>
    <w:rPr>
      <w:rFonts w:ascii="Arial" w:hAnsi="Arial"/>
      <w:sz w:val="18"/>
    </w:rPr>
  </w:style>
  <w:style w:type="paragraph" w:customStyle="1" w:styleId="AmdtsEntries">
    <w:name w:val="AmdtsEntries"/>
    <w:basedOn w:val="BillBasicHeading"/>
    <w:rsid w:val="00903D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03DAE"/>
    <w:pPr>
      <w:tabs>
        <w:tab w:val="clear" w:pos="2600"/>
      </w:tabs>
      <w:spacing w:before="120"/>
      <w:ind w:left="1100"/>
    </w:pPr>
    <w:rPr>
      <w:sz w:val="18"/>
    </w:rPr>
  </w:style>
  <w:style w:type="paragraph" w:customStyle="1" w:styleId="Asamby">
    <w:name w:val="As am by"/>
    <w:basedOn w:val="Normal"/>
    <w:next w:val="Normal"/>
    <w:rsid w:val="00903DAE"/>
    <w:pPr>
      <w:spacing w:before="240"/>
      <w:ind w:left="1100"/>
    </w:pPr>
    <w:rPr>
      <w:rFonts w:ascii="Arial" w:hAnsi="Arial"/>
      <w:sz w:val="20"/>
    </w:rPr>
  </w:style>
  <w:style w:type="character" w:customStyle="1" w:styleId="charSymb">
    <w:name w:val="charSymb"/>
    <w:basedOn w:val="DefaultParagraphFont"/>
    <w:rsid w:val="00903DAE"/>
    <w:rPr>
      <w:rFonts w:ascii="Arial" w:hAnsi="Arial"/>
      <w:sz w:val="24"/>
      <w:bdr w:val="single" w:sz="4" w:space="0" w:color="auto"/>
    </w:rPr>
  </w:style>
  <w:style w:type="character" w:customStyle="1" w:styleId="charTableNo">
    <w:name w:val="charTableNo"/>
    <w:basedOn w:val="DefaultParagraphFont"/>
    <w:rsid w:val="00903DAE"/>
  </w:style>
  <w:style w:type="character" w:customStyle="1" w:styleId="charTableText">
    <w:name w:val="charTableText"/>
    <w:basedOn w:val="DefaultParagraphFont"/>
    <w:rsid w:val="00903DAE"/>
  </w:style>
  <w:style w:type="paragraph" w:customStyle="1" w:styleId="Dict-HeadingSymb">
    <w:name w:val="Dict-Heading Symb"/>
    <w:basedOn w:val="Dict-Heading"/>
    <w:rsid w:val="00903DAE"/>
    <w:pPr>
      <w:tabs>
        <w:tab w:val="left" w:pos="0"/>
      </w:tabs>
      <w:ind w:left="2480" w:hanging="2960"/>
    </w:pPr>
  </w:style>
  <w:style w:type="paragraph" w:customStyle="1" w:styleId="EarlierRepubEntries">
    <w:name w:val="EarlierRepubEntries"/>
    <w:basedOn w:val="Normal"/>
    <w:rsid w:val="00903DAE"/>
    <w:pPr>
      <w:spacing w:before="60" w:after="60"/>
    </w:pPr>
    <w:rPr>
      <w:rFonts w:ascii="Arial" w:hAnsi="Arial"/>
      <w:sz w:val="18"/>
    </w:rPr>
  </w:style>
  <w:style w:type="paragraph" w:customStyle="1" w:styleId="EarlierRepubHdg">
    <w:name w:val="EarlierRepubHdg"/>
    <w:basedOn w:val="Normal"/>
    <w:rsid w:val="00903DAE"/>
    <w:pPr>
      <w:keepNext/>
    </w:pPr>
    <w:rPr>
      <w:rFonts w:ascii="Arial" w:hAnsi="Arial"/>
      <w:b/>
      <w:sz w:val="20"/>
    </w:rPr>
  </w:style>
  <w:style w:type="paragraph" w:customStyle="1" w:styleId="Endnote20">
    <w:name w:val="Endnote2"/>
    <w:basedOn w:val="Normal"/>
    <w:rsid w:val="00903DAE"/>
    <w:pPr>
      <w:keepNext/>
      <w:tabs>
        <w:tab w:val="left" w:pos="1100"/>
      </w:tabs>
      <w:spacing w:before="360"/>
    </w:pPr>
    <w:rPr>
      <w:rFonts w:ascii="Arial" w:hAnsi="Arial"/>
      <w:b/>
    </w:rPr>
  </w:style>
  <w:style w:type="paragraph" w:customStyle="1" w:styleId="Endnote3">
    <w:name w:val="Endnote3"/>
    <w:basedOn w:val="Normal"/>
    <w:rsid w:val="00903D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03D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03DAE"/>
    <w:pPr>
      <w:spacing w:before="60"/>
      <w:ind w:left="1100"/>
      <w:jc w:val="both"/>
    </w:pPr>
    <w:rPr>
      <w:sz w:val="20"/>
    </w:rPr>
  </w:style>
  <w:style w:type="paragraph" w:customStyle="1" w:styleId="EndNoteParas">
    <w:name w:val="EndNoteParas"/>
    <w:basedOn w:val="EndNoteTextEPS"/>
    <w:rsid w:val="00903DAE"/>
    <w:pPr>
      <w:tabs>
        <w:tab w:val="right" w:pos="1432"/>
      </w:tabs>
      <w:ind w:left="1840" w:hanging="1840"/>
    </w:pPr>
  </w:style>
  <w:style w:type="paragraph" w:customStyle="1" w:styleId="EndnotesAbbrev">
    <w:name w:val="EndnotesAbbrev"/>
    <w:basedOn w:val="Normal"/>
    <w:rsid w:val="00903DAE"/>
    <w:pPr>
      <w:spacing w:before="20"/>
    </w:pPr>
    <w:rPr>
      <w:rFonts w:ascii="Arial" w:hAnsi="Arial"/>
      <w:color w:val="000000"/>
      <w:sz w:val="16"/>
    </w:rPr>
  </w:style>
  <w:style w:type="paragraph" w:customStyle="1" w:styleId="EPSCoverTop">
    <w:name w:val="EPSCoverTop"/>
    <w:basedOn w:val="Normal"/>
    <w:rsid w:val="00903DAE"/>
    <w:pPr>
      <w:jc w:val="right"/>
    </w:pPr>
    <w:rPr>
      <w:rFonts w:ascii="Arial" w:hAnsi="Arial"/>
      <w:sz w:val="20"/>
    </w:rPr>
  </w:style>
  <w:style w:type="paragraph" w:customStyle="1" w:styleId="LegHistNote">
    <w:name w:val="LegHistNote"/>
    <w:basedOn w:val="Actdetails"/>
    <w:rsid w:val="00903DAE"/>
    <w:pPr>
      <w:spacing w:before="60"/>
      <w:ind w:left="2700" w:right="-60" w:hanging="1300"/>
    </w:pPr>
    <w:rPr>
      <w:sz w:val="18"/>
    </w:rPr>
  </w:style>
  <w:style w:type="paragraph" w:customStyle="1" w:styleId="LongTitleSymb">
    <w:name w:val="LongTitleSymb"/>
    <w:basedOn w:val="LongTitle"/>
    <w:rsid w:val="00903DAE"/>
    <w:pPr>
      <w:ind w:hanging="480"/>
    </w:pPr>
  </w:style>
  <w:style w:type="paragraph" w:styleId="MacroText">
    <w:name w:val="macro"/>
    <w:link w:val="MacroTextChar"/>
    <w:semiHidden/>
    <w:rsid w:val="00903D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814CB"/>
    <w:rPr>
      <w:rFonts w:ascii="Courier New" w:hAnsi="Courier New" w:cs="Courier New"/>
      <w:lang w:eastAsia="en-US"/>
    </w:rPr>
  </w:style>
  <w:style w:type="paragraph" w:customStyle="1" w:styleId="NewAct">
    <w:name w:val="New Act"/>
    <w:basedOn w:val="Normal"/>
    <w:next w:val="Actdetails"/>
    <w:link w:val="NewActChar"/>
    <w:rsid w:val="00903DAE"/>
    <w:pPr>
      <w:keepNext/>
      <w:spacing w:before="180"/>
      <w:ind w:left="1100"/>
    </w:pPr>
    <w:rPr>
      <w:rFonts w:ascii="Arial" w:hAnsi="Arial"/>
      <w:b/>
      <w:sz w:val="20"/>
    </w:rPr>
  </w:style>
  <w:style w:type="paragraph" w:customStyle="1" w:styleId="NewReg">
    <w:name w:val="New Reg"/>
    <w:basedOn w:val="NewAct"/>
    <w:next w:val="Actdetails"/>
    <w:rsid w:val="00903DAE"/>
  </w:style>
  <w:style w:type="paragraph" w:customStyle="1" w:styleId="RenumProvEntries">
    <w:name w:val="RenumProvEntries"/>
    <w:basedOn w:val="Normal"/>
    <w:rsid w:val="00903DAE"/>
    <w:pPr>
      <w:spacing w:before="60"/>
    </w:pPr>
    <w:rPr>
      <w:rFonts w:ascii="Arial" w:hAnsi="Arial"/>
      <w:sz w:val="20"/>
    </w:rPr>
  </w:style>
  <w:style w:type="paragraph" w:customStyle="1" w:styleId="RenumProvHdg">
    <w:name w:val="RenumProvHdg"/>
    <w:basedOn w:val="Normal"/>
    <w:rsid w:val="00903DAE"/>
    <w:rPr>
      <w:rFonts w:ascii="Arial" w:hAnsi="Arial"/>
      <w:b/>
      <w:sz w:val="22"/>
    </w:rPr>
  </w:style>
  <w:style w:type="paragraph" w:customStyle="1" w:styleId="RenumProvHeader">
    <w:name w:val="RenumProvHeader"/>
    <w:basedOn w:val="Normal"/>
    <w:rsid w:val="00903DAE"/>
    <w:rPr>
      <w:rFonts w:ascii="Arial" w:hAnsi="Arial"/>
      <w:b/>
      <w:sz w:val="22"/>
    </w:rPr>
  </w:style>
  <w:style w:type="paragraph" w:customStyle="1" w:styleId="RenumProvSubsectEntries">
    <w:name w:val="RenumProvSubsectEntries"/>
    <w:basedOn w:val="RenumProvEntries"/>
    <w:rsid w:val="00903DAE"/>
    <w:pPr>
      <w:ind w:left="252"/>
    </w:pPr>
  </w:style>
  <w:style w:type="paragraph" w:customStyle="1" w:styleId="RenumTableHdg">
    <w:name w:val="RenumTableHdg"/>
    <w:basedOn w:val="Normal"/>
    <w:rsid w:val="00903DAE"/>
    <w:pPr>
      <w:spacing w:before="120"/>
    </w:pPr>
    <w:rPr>
      <w:rFonts w:ascii="Arial" w:hAnsi="Arial"/>
      <w:b/>
      <w:sz w:val="20"/>
    </w:rPr>
  </w:style>
  <w:style w:type="paragraph" w:customStyle="1" w:styleId="SchclauseheadingSymb">
    <w:name w:val="Sch clause heading Symb"/>
    <w:basedOn w:val="Schclauseheading"/>
    <w:rsid w:val="00903DAE"/>
    <w:pPr>
      <w:tabs>
        <w:tab w:val="left" w:pos="0"/>
      </w:tabs>
      <w:ind w:left="980" w:hanging="1460"/>
    </w:pPr>
  </w:style>
  <w:style w:type="paragraph" w:customStyle="1" w:styleId="SchSubClause">
    <w:name w:val="Sch SubClause"/>
    <w:basedOn w:val="Schclauseheading"/>
    <w:rsid w:val="00903DAE"/>
    <w:rPr>
      <w:b w:val="0"/>
    </w:rPr>
  </w:style>
  <w:style w:type="paragraph" w:customStyle="1" w:styleId="Sched-FormSymb">
    <w:name w:val="Sched-Form Symb"/>
    <w:basedOn w:val="Sched-Form"/>
    <w:rsid w:val="00903DAE"/>
    <w:pPr>
      <w:tabs>
        <w:tab w:val="left" w:pos="0"/>
      </w:tabs>
      <w:ind w:left="2480" w:hanging="2960"/>
    </w:pPr>
  </w:style>
  <w:style w:type="paragraph" w:customStyle="1" w:styleId="Sched-headingSymb">
    <w:name w:val="Sched-heading Symb"/>
    <w:basedOn w:val="Sched-heading"/>
    <w:rsid w:val="00903DAE"/>
    <w:pPr>
      <w:tabs>
        <w:tab w:val="left" w:pos="0"/>
      </w:tabs>
      <w:ind w:left="2480" w:hanging="2960"/>
    </w:pPr>
  </w:style>
  <w:style w:type="paragraph" w:customStyle="1" w:styleId="Sched-PartSymb">
    <w:name w:val="Sched-Part Symb"/>
    <w:basedOn w:val="Sched-Part"/>
    <w:rsid w:val="00903DAE"/>
    <w:pPr>
      <w:tabs>
        <w:tab w:val="left" w:pos="0"/>
      </w:tabs>
      <w:ind w:left="2480" w:hanging="2960"/>
    </w:pPr>
  </w:style>
  <w:style w:type="paragraph" w:styleId="Subtitle">
    <w:name w:val="Subtitle"/>
    <w:basedOn w:val="Normal"/>
    <w:link w:val="SubtitleChar"/>
    <w:qFormat/>
    <w:rsid w:val="00903DAE"/>
    <w:pPr>
      <w:spacing w:after="60"/>
      <w:jc w:val="center"/>
      <w:outlineLvl w:val="1"/>
    </w:pPr>
    <w:rPr>
      <w:rFonts w:ascii="Arial" w:hAnsi="Arial"/>
    </w:rPr>
  </w:style>
  <w:style w:type="character" w:customStyle="1" w:styleId="SubtitleChar">
    <w:name w:val="Subtitle Char"/>
    <w:basedOn w:val="DefaultParagraphFont"/>
    <w:link w:val="Subtitle"/>
    <w:rsid w:val="006814CB"/>
    <w:rPr>
      <w:rFonts w:ascii="Arial" w:hAnsi="Arial"/>
      <w:sz w:val="24"/>
      <w:lang w:eastAsia="en-US"/>
    </w:rPr>
  </w:style>
  <w:style w:type="paragraph" w:customStyle="1" w:styleId="TLegEntries">
    <w:name w:val="TLegEntries"/>
    <w:basedOn w:val="Normal"/>
    <w:rsid w:val="00903D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03DAE"/>
    <w:pPr>
      <w:ind w:firstLine="0"/>
    </w:pPr>
    <w:rPr>
      <w:b/>
    </w:rPr>
  </w:style>
  <w:style w:type="paragraph" w:customStyle="1" w:styleId="EndNoteTextPub">
    <w:name w:val="EndNoteTextPub"/>
    <w:basedOn w:val="Normal"/>
    <w:rsid w:val="00903DAE"/>
    <w:pPr>
      <w:spacing w:before="60"/>
      <w:ind w:left="1100"/>
      <w:jc w:val="both"/>
    </w:pPr>
    <w:rPr>
      <w:sz w:val="20"/>
    </w:rPr>
  </w:style>
  <w:style w:type="paragraph" w:customStyle="1" w:styleId="TOC10">
    <w:name w:val="TOC 10"/>
    <w:basedOn w:val="TOC5"/>
    <w:rsid w:val="00903DAE"/>
    <w:rPr>
      <w:szCs w:val="24"/>
    </w:rPr>
  </w:style>
  <w:style w:type="character" w:customStyle="1" w:styleId="charNotBold">
    <w:name w:val="charNotBold"/>
    <w:basedOn w:val="DefaultParagraphFont"/>
    <w:rsid w:val="00903DAE"/>
    <w:rPr>
      <w:rFonts w:ascii="Arial" w:hAnsi="Arial"/>
      <w:sz w:val="20"/>
    </w:rPr>
  </w:style>
  <w:style w:type="paragraph" w:customStyle="1" w:styleId="ShadedSchClauseSymb">
    <w:name w:val="Shaded Sch Clause Symb"/>
    <w:basedOn w:val="ShadedSchClause"/>
    <w:rsid w:val="00903DAE"/>
    <w:pPr>
      <w:tabs>
        <w:tab w:val="left" w:pos="0"/>
      </w:tabs>
      <w:ind w:left="975" w:hanging="1457"/>
    </w:pPr>
  </w:style>
  <w:style w:type="character" w:customStyle="1" w:styleId="Heading3Char">
    <w:name w:val="Heading 3 Char"/>
    <w:aliases w:val="h3 Char,sec Char"/>
    <w:basedOn w:val="DefaultParagraphFont"/>
    <w:link w:val="Heading3"/>
    <w:rsid w:val="00903DAE"/>
    <w:rPr>
      <w:b/>
      <w:sz w:val="24"/>
      <w:lang w:eastAsia="en-US"/>
    </w:rPr>
  </w:style>
  <w:style w:type="paragraph" w:customStyle="1" w:styleId="Sched-Form-18Space">
    <w:name w:val="Sched-Form-18Space"/>
    <w:basedOn w:val="Normal"/>
    <w:rsid w:val="00903DAE"/>
    <w:pPr>
      <w:spacing w:before="360" w:after="60"/>
    </w:pPr>
    <w:rPr>
      <w:sz w:val="22"/>
    </w:rPr>
  </w:style>
  <w:style w:type="paragraph" w:customStyle="1" w:styleId="FormRule">
    <w:name w:val="FormRule"/>
    <w:basedOn w:val="Normal"/>
    <w:rsid w:val="00903DAE"/>
    <w:pPr>
      <w:pBdr>
        <w:top w:val="single" w:sz="4" w:space="1" w:color="auto"/>
      </w:pBdr>
      <w:spacing w:before="160" w:after="40"/>
      <w:ind w:left="3220" w:right="3260"/>
    </w:pPr>
    <w:rPr>
      <w:sz w:val="8"/>
    </w:rPr>
  </w:style>
  <w:style w:type="paragraph" w:customStyle="1" w:styleId="OldAmdtsEntries">
    <w:name w:val="OldAmdtsEntries"/>
    <w:basedOn w:val="BillBasicHeading"/>
    <w:rsid w:val="00903DAE"/>
    <w:pPr>
      <w:tabs>
        <w:tab w:val="clear" w:pos="2600"/>
        <w:tab w:val="left" w:leader="dot" w:pos="2700"/>
      </w:tabs>
      <w:ind w:left="2700" w:hanging="2000"/>
    </w:pPr>
    <w:rPr>
      <w:sz w:val="18"/>
    </w:rPr>
  </w:style>
  <w:style w:type="paragraph" w:customStyle="1" w:styleId="OldAmdt2ndLine">
    <w:name w:val="OldAmdt2ndLine"/>
    <w:basedOn w:val="OldAmdtsEntries"/>
    <w:rsid w:val="00903DAE"/>
    <w:pPr>
      <w:tabs>
        <w:tab w:val="left" w:pos="2700"/>
      </w:tabs>
      <w:spacing w:before="0"/>
    </w:pPr>
  </w:style>
  <w:style w:type="paragraph" w:customStyle="1" w:styleId="parainpara">
    <w:name w:val="para in para"/>
    <w:rsid w:val="00903D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03DAE"/>
    <w:pPr>
      <w:spacing w:after="60"/>
      <w:ind w:left="2800"/>
    </w:pPr>
    <w:rPr>
      <w:rFonts w:ascii="ACTCrest" w:hAnsi="ACTCrest"/>
      <w:sz w:val="216"/>
    </w:rPr>
  </w:style>
  <w:style w:type="paragraph" w:customStyle="1" w:styleId="Actbullet">
    <w:name w:val="Act bullet"/>
    <w:basedOn w:val="Normal"/>
    <w:uiPriority w:val="99"/>
    <w:rsid w:val="00903DAE"/>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903D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03DAE"/>
    <w:rPr>
      <w:b w:val="0"/>
      <w:sz w:val="32"/>
    </w:rPr>
  </w:style>
  <w:style w:type="paragraph" w:customStyle="1" w:styleId="MH1Chapter">
    <w:name w:val="M H1 Chapter"/>
    <w:basedOn w:val="AH1Chapter"/>
    <w:rsid w:val="00903DAE"/>
    <w:pPr>
      <w:tabs>
        <w:tab w:val="clear" w:pos="2600"/>
        <w:tab w:val="left" w:pos="2720"/>
      </w:tabs>
      <w:ind w:left="4000" w:hanging="3300"/>
    </w:pPr>
  </w:style>
  <w:style w:type="paragraph" w:customStyle="1" w:styleId="ModH1Chapter">
    <w:name w:val="Mod H1 Chapter"/>
    <w:basedOn w:val="IH1ChapSymb"/>
    <w:rsid w:val="00903DAE"/>
    <w:pPr>
      <w:tabs>
        <w:tab w:val="clear" w:pos="2600"/>
        <w:tab w:val="left" w:pos="3300"/>
      </w:tabs>
      <w:ind w:left="3300"/>
    </w:pPr>
  </w:style>
  <w:style w:type="paragraph" w:customStyle="1" w:styleId="ModH2Part">
    <w:name w:val="Mod H2 Part"/>
    <w:basedOn w:val="IH2PartSymb"/>
    <w:rsid w:val="00903DAE"/>
    <w:pPr>
      <w:tabs>
        <w:tab w:val="clear" w:pos="2600"/>
        <w:tab w:val="left" w:pos="3300"/>
      </w:tabs>
      <w:ind w:left="3300"/>
    </w:pPr>
  </w:style>
  <w:style w:type="paragraph" w:customStyle="1" w:styleId="ModH3Div">
    <w:name w:val="Mod H3 Div"/>
    <w:basedOn w:val="IH3DivSymb"/>
    <w:rsid w:val="00903DAE"/>
    <w:pPr>
      <w:tabs>
        <w:tab w:val="clear" w:pos="2600"/>
        <w:tab w:val="left" w:pos="3300"/>
      </w:tabs>
      <w:ind w:left="3300"/>
    </w:pPr>
  </w:style>
  <w:style w:type="paragraph" w:customStyle="1" w:styleId="ModH4SubDiv">
    <w:name w:val="Mod H4 SubDiv"/>
    <w:basedOn w:val="IH4SubDivSymb"/>
    <w:rsid w:val="00903DAE"/>
    <w:pPr>
      <w:tabs>
        <w:tab w:val="clear" w:pos="2600"/>
        <w:tab w:val="left" w:pos="3300"/>
      </w:tabs>
      <w:ind w:left="3300"/>
    </w:pPr>
  </w:style>
  <w:style w:type="paragraph" w:customStyle="1" w:styleId="ModH5Sec">
    <w:name w:val="Mod H5 Sec"/>
    <w:basedOn w:val="IH5SecSymb"/>
    <w:rsid w:val="00903DAE"/>
    <w:pPr>
      <w:tabs>
        <w:tab w:val="clear" w:pos="1100"/>
        <w:tab w:val="left" w:pos="1800"/>
      </w:tabs>
      <w:ind w:left="2200"/>
    </w:pPr>
  </w:style>
  <w:style w:type="paragraph" w:customStyle="1" w:styleId="Modmain">
    <w:name w:val="Mod main"/>
    <w:basedOn w:val="Amain"/>
    <w:rsid w:val="00903DAE"/>
    <w:pPr>
      <w:tabs>
        <w:tab w:val="clear" w:pos="900"/>
        <w:tab w:val="clear" w:pos="1100"/>
        <w:tab w:val="right" w:pos="1600"/>
        <w:tab w:val="left" w:pos="1800"/>
      </w:tabs>
      <w:ind w:left="2200"/>
    </w:pPr>
  </w:style>
  <w:style w:type="paragraph" w:customStyle="1" w:styleId="Modpara">
    <w:name w:val="Mod para"/>
    <w:basedOn w:val="BillBasic"/>
    <w:rsid w:val="00903DAE"/>
    <w:pPr>
      <w:tabs>
        <w:tab w:val="right" w:pos="2100"/>
        <w:tab w:val="left" w:pos="2300"/>
      </w:tabs>
      <w:ind w:left="2700" w:hanging="1600"/>
      <w:outlineLvl w:val="6"/>
    </w:pPr>
  </w:style>
  <w:style w:type="paragraph" w:customStyle="1" w:styleId="Modsubpara">
    <w:name w:val="Mod subpara"/>
    <w:basedOn w:val="Asubpara"/>
    <w:rsid w:val="00903DAE"/>
    <w:pPr>
      <w:tabs>
        <w:tab w:val="clear" w:pos="1900"/>
        <w:tab w:val="clear" w:pos="2100"/>
        <w:tab w:val="right" w:pos="2640"/>
        <w:tab w:val="left" w:pos="2840"/>
      </w:tabs>
      <w:ind w:left="3240" w:hanging="2140"/>
    </w:pPr>
  </w:style>
  <w:style w:type="paragraph" w:customStyle="1" w:styleId="Modsubsubpara">
    <w:name w:val="Mod subsubpara"/>
    <w:basedOn w:val="AsubsubparaSymb"/>
    <w:rsid w:val="00903DAE"/>
    <w:pPr>
      <w:tabs>
        <w:tab w:val="clear" w:pos="2400"/>
        <w:tab w:val="clear" w:pos="2600"/>
        <w:tab w:val="right" w:pos="3160"/>
        <w:tab w:val="left" w:pos="3360"/>
      </w:tabs>
      <w:ind w:left="3760" w:hanging="2660"/>
    </w:pPr>
  </w:style>
  <w:style w:type="paragraph" w:customStyle="1" w:styleId="Modmainreturn">
    <w:name w:val="Mod main return"/>
    <w:basedOn w:val="AmainreturnSymb"/>
    <w:rsid w:val="00903DAE"/>
    <w:pPr>
      <w:ind w:left="1800"/>
    </w:pPr>
  </w:style>
  <w:style w:type="paragraph" w:customStyle="1" w:styleId="Modparareturn">
    <w:name w:val="Mod para return"/>
    <w:basedOn w:val="AparareturnSymb"/>
    <w:rsid w:val="00903DAE"/>
    <w:pPr>
      <w:ind w:left="2300"/>
    </w:pPr>
  </w:style>
  <w:style w:type="paragraph" w:customStyle="1" w:styleId="Modsubparareturn">
    <w:name w:val="Mod subpara return"/>
    <w:basedOn w:val="AsubparareturnSymb"/>
    <w:rsid w:val="00903DAE"/>
    <w:pPr>
      <w:ind w:left="3040"/>
    </w:pPr>
  </w:style>
  <w:style w:type="paragraph" w:customStyle="1" w:styleId="Modref">
    <w:name w:val="Mod ref"/>
    <w:basedOn w:val="refSymb"/>
    <w:rsid w:val="00903DAE"/>
    <w:pPr>
      <w:ind w:left="1100"/>
    </w:pPr>
  </w:style>
  <w:style w:type="paragraph" w:customStyle="1" w:styleId="ModaNote">
    <w:name w:val="Mod aNote"/>
    <w:basedOn w:val="aNoteSymb"/>
    <w:rsid w:val="00903DAE"/>
    <w:pPr>
      <w:tabs>
        <w:tab w:val="left" w:pos="2600"/>
      </w:tabs>
      <w:ind w:left="2600"/>
    </w:pPr>
  </w:style>
  <w:style w:type="paragraph" w:customStyle="1" w:styleId="ModNote">
    <w:name w:val="Mod Note"/>
    <w:basedOn w:val="aNoteSymb"/>
    <w:rsid w:val="00903DAE"/>
    <w:pPr>
      <w:tabs>
        <w:tab w:val="left" w:pos="2600"/>
      </w:tabs>
      <w:ind w:left="2600"/>
    </w:pPr>
  </w:style>
  <w:style w:type="paragraph" w:customStyle="1" w:styleId="ApprFormHd">
    <w:name w:val="ApprFormHd"/>
    <w:basedOn w:val="Sched-heading"/>
    <w:rsid w:val="00903DAE"/>
    <w:pPr>
      <w:ind w:left="0" w:firstLine="0"/>
    </w:pPr>
  </w:style>
  <w:style w:type="paragraph" w:customStyle="1" w:styleId="AmdtEntries">
    <w:name w:val="AmdtEntries"/>
    <w:basedOn w:val="BillBasicHeading"/>
    <w:rsid w:val="00903DAE"/>
    <w:pPr>
      <w:keepNext w:val="0"/>
      <w:tabs>
        <w:tab w:val="clear" w:pos="2600"/>
      </w:tabs>
      <w:spacing w:before="0"/>
      <w:ind w:left="3200" w:hanging="2100"/>
    </w:pPr>
    <w:rPr>
      <w:sz w:val="18"/>
    </w:rPr>
  </w:style>
  <w:style w:type="paragraph" w:customStyle="1" w:styleId="AmdtEntriesDefL2">
    <w:name w:val="AmdtEntriesDefL2"/>
    <w:basedOn w:val="AmdtEntries"/>
    <w:rsid w:val="00903DAE"/>
    <w:pPr>
      <w:tabs>
        <w:tab w:val="left" w:pos="3000"/>
      </w:tabs>
      <w:ind w:left="3600" w:hanging="2500"/>
    </w:pPr>
  </w:style>
  <w:style w:type="paragraph" w:customStyle="1" w:styleId="Actdetailsnote">
    <w:name w:val="Act details note"/>
    <w:basedOn w:val="Actdetails"/>
    <w:uiPriority w:val="99"/>
    <w:rsid w:val="00903DAE"/>
    <w:pPr>
      <w:ind w:left="1620" w:right="-60" w:hanging="720"/>
    </w:pPr>
    <w:rPr>
      <w:sz w:val="18"/>
    </w:rPr>
  </w:style>
  <w:style w:type="paragraph" w:customStyle="1" w:styleId="DetailsNo">
    <w:name w:val="Details No"/>
    <w:basedOn w:val="Actdetails"/>
    <w:uiPriority w:val="99"/>
    <w:rsid w:val="00903DAE"/>
    <w:pPr>
      <w:ind w:left="0"/>
    </w:pPr>
    <w:rPr>
      <w:sz w:val="18"/>
    </w:rPr>
  </w:style>
  <w:style w:type="paragraph" w:customStyle="1" w:styleId="AssectheadingSymb">
    <w:name w:val="A ssect heading Symb"/>
    <w:basedOn w:val="Amain"/>
    <w:rsid w:val="00903D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03DAE"/>
    <w:pPr>
      <w:tabs>
        <w:tab w:val="left" w:pos="0"/>
        <w:tab w:val="right" w:pos="2400"/>
        <w:tab w:val="left" w:pos="2600"/>
      </w:tabs>
      <w:ind w:left="2602" w:hanging="3084"/>
      <w:outlineLvl w:val="8"/>
    </w:pPr>
  </w:style>
  <w:style w:type="paragraph" w:customStyle="1" w:styleId="AmainreturnSymb">
    <w:name w:val="A main return Symb"/>
    <w:basedOn w:val="BillBasic"/>
    <w:rsid w:val="00903DAE"/>
    <w:pPr>
      <w:tabs>
        <w:tab w:val="left" w:pos="1582"/>
      </w:tabs>
      <w:ind w:left="1100" w:hanging="1582"/>
    </w:pPr>
  </w:style>
  <w:style w:type="paragraph" w:customStyle="1" w:styleId="AparareturnSymb">
    <w:name w:val="A para return Symb"/>
    <w:basedOn w:val="BillBasic"/>
    <w:rsid w:val="00903DAE"/>
    <w:pPr>
      <w:tabs>
        <w:tab w:val="left" w:pos="2081"/>
      </w:tabs>
      <w:ind w:left="1599" w:hanging="2081"/>
    </w:pPr>
  </w:style>
  <w:style w:type="paragraph" w:customStyle="1" w:styleId="AsubparareturnSymb">
    <w:name w:val="A subpara return Symb"/>
    <w:basedOn w:val="BillBasic"/>
    <w:rsid w:val="00903DAE"/>
    <w:pPr>
      <w:tabs>
        <w:tab w:val="left" w:pos="2580"/>
      </w:tabs>
      <w:ind w:left="2098" w:hanging="2580"/>
    </w:pPr>
  </w:style>
  <w:style w:type="paragraph" w:customStyle="1" w:styleId="aDefSymb">
    <w:name w:val="aDef Symb"/>
    <w:basedOn w:val="BillBasic"/>
    <w:rsid w:val="00903DAE"/>
    <w:pPr>
      <w:tabs>
        <w:tab w:val="left" w:pos="1582"/>
      </w:tabs>
      <w:ind w:left="1100" w:hanging="1582"/>
    </w:pPr>
  </w:style>
  <w:style w:type="paragraph" w:customStyle="1" w:styleId="aDefparaSymb">
    <w:name w:val="aDef para Symb"/>
    <w:basedOn w:val="Apara"/>
    <w:rsid w:val="00903DAE"/>
    <w:pPr>
      <w:tabs>
        <w:tab w:val="clear" w:pos="1600"/>
        <w:tab w:val="left" w:pos="0"/>
        <w:tab w:val="left" w:pos="1599"/>
      </w:tabs>
      <w:ind w:left="1599" w:hanging="2081"/>
    </w:pPr>
  </w:style>
  <w:style w:type="paragraph" w:customStyle="1" w:styleId="aDefsubparaSymb">
    <w:name w:val="aDef subpara Symb"/>
    <w:basedOn w:val="Asubpara"/>
    <w:rsid w:val="00903DAE"/>
    <w:pPr>
      <w:tabs>
        <w:tab w:val="left" w:pos="0"/>
      </w:tabs>
      <w:ind w:left="2098" w:hanging="2580"/>
    </w:pPr>
  </w:style>
  <w:style w:type="paragraph" w:customStyle="1" w:styleId="SchAmainSymb">
    <w:name w:val="Sch A main Symb"/>
    <w:basedOn w:val="Amain"/>
    <w:rsid w:val="00903DAE"/>
    <w:pPr>
      <w:tabs>
        <w:tab w:val="left" w:pos="0"/>
      </w:tabs>
      <w:ind w:hanging="1580"/>
    </w:pPr>
  </w:style>
  <w:style w:type="paragraph" w:customStyle="1" w:styleId="SchAparaSymb">
    <w:name w:val="Sch A para Symb"/>
    <w:basedOn w:val="Apara"/>
    <w:rsid w:val="00903DAE"/>
    <w:pPr>
      <w:tabs>
        <w:tab w:val="left" w:pos="0"/>
      </w:tabs>
      <w:ind w:hanging="2080"/>
    </w:pPr>
  </w:style>
  <w:style w:type="paragraph" w:customStyle="1" w:styleId="SchAsubparaSymb">
    <w:name w:val="Sch A subpara Symb"/>
    <w:basedOn w:val="Asubpara"/>
    <w:rsid w:val="00903DAE"/>
    <w:pPr>
      <w:tabs>
        <w:tab w:val="left" w:pos="0"/>
      </w:tabs>
      <w:ind w:hanging="2580"/>
    </w:pPr>
  </w:style>
  <w:style w:type="paragraph" w:customStyle="1" w:styleId="SchAsubsubparaSymb">
    <w:name w:val="Sch A subsubpara Symb"/>
    <w:basedOn w:val="AsubsubparaSymb"/>
    <w:rsid w:val="00903DAE"/>
  </w:style>
  <w:style w:type="paragraph" w:customStyle="1" w:styleId="refSymb">
    <w:name w:val="ref Symb"/>
    <w:basedOn w:val="BillBasic"/>
    <w:next w:val="Normal"/>
    <w:rsid w:val="00903DAE"/>
    <w:pPr>
      <w:tabs>
        <w:tab w:val="left" w:pos="-480"/>
      </w:tabs>
      <w:spacing w:before="60"/>
      <w:ind w:hanging="480"/>
    </w:pPr>
    <w:rPr>
      <w:sz w:val="18"/>
    </w:rPr>
  </w:style>
  <w:style w:type="paragraph" w:customStyle="1" w:styleId="IshadedH5SecSymb">
    <w:name w:val="I shaded H5 Sec Symb"/>
    <w:basedOn w:val="AH5Sec"/>
    <w:rsid w:val="00903D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03DAE"/>
    <w:pPr>
      <w:tabs>
        <w:tab w:val="clear" w:pos="-1580"/>
      </w:tabs>
      <w:ind w:left="975" w:hanging="1457"/>
    </w:pPr>
  </w:style>
  <w:style w:type="paragraph" w:customStyle="1" w:styleId="IH1ChapSymb">
    <w:name w:val="I H1 Chap Symb"/>
    <w:basedOn w:val="BillBasicHeading"/>
    <w:next w:val="Normal"/>
    <w:rsid w:val="00903D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03D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03D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03D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03DAE"/>
    <w:pPr>
      <w:tabs>
        <w:tab w:val="clear" w:pos="2600"/>
        <w:tab w:val="left" w:pos="-1580"/>
        <w:tab w:val="left" w:pos="0"/>
        <w:tab w:val="left" w:pos="1100"/>
      </w:tabs>
      <w:spacing w:before="240"/>
      <w:ind w:left="1100" w:hanging="1580"/>
    </w:pPr>
  </w:style>
  <w:style w:type="paragraph" w:customStyle="1" w:styleId="IMainSymb">
    <w:name w:val="I Main Symb"/>
    <w:basedOn w:val="Amain"/>
    <w:rsid w:val="00903DAE"/>
    <w:pPr>
      <w:tabs>
        <w:tab w:val="left" w:pos="0"/>
      </w:tabs>
      <w:ind w:hanging="1580"/>
    </w:pPr>
  </w:style>
  <w:style w:type="paragraph" w:customStyle="1" w:styleId="IparaSymb">
    <w:name w:val="I para Symb"/>
    <w:basedOn w:val="Apara"/>
    <w:rsid w:val="00903DAE"/>
    <w:pPr>
      <w:tabs>
        <w:tab w:val="left" w:pos="0"/>
      </w:tabs>
      <w:ind w:hanging="2080"/>
      <w:outlineLvl w:val="9"/>
    </w:pPr>
  </w:style>
  <w:style w:type="paragraph" w:customStyle="1" w:styleId="IsubparaSymb">
    <w:name w:val="I subpara Symb"/>
    <w:basedOn w:val="Asubpara"/>
    <w:rsid w:val="00903D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03DAE"/>
    <w:pPr>
      <w:tabs>
        <w:tab w:val="clear" w:pos="2400"/>
        <w:tab w:val="clear" w:pos="2600"/>
        <w:tab w:val="right" w:pos="2460"/>
        <w:tab w:val="left" w:pos="2660"/>
      </w:tabs>
      <w:ind w:left="2660" w:hanging="3140"/>
    </w:pPr>
  </w:style>
  <w:style w:type="paragraph" w:customStyle="1" w:styleId="IdefparaSymb">
    <w:name w:val="I def para Symb"/>
    <w:basedOn w:val="IparaSymb"/>
    <w:rsid w:val="00903DAE"/>
    <w:pPr>
      <w:ind w:left="1599" w:hanging="2081"/>
    </w:pPr>
  </w:style>
  <w:style w:type="paragraph" w:customStyle="1" w:styleId="IdefsubparaSymb">
    <w:name w:val="I def subpara Symb"/>
    <w:basedOn w:val="IsubparaSymb"/>
    <w:rsid w:val="00903DAE"/>
    <w:pPr>
      <w:ind w:left="2138"/>
    </w:pPr>
  </w:style>
  <w:style w:type="paragraph" w:customStyle="1" w:styleId="ISched-headingSymb">
    <w:name w:val="I Sched-heading Symb"/>
    <w:basedOn w:val="BillBasicHeading"/>
    <w:next w:val="Normal"/>
    <w:rsid w:val="00903DAE"/>
    <w:pPr>
      <w:tabs>
        <w:tab w:val="left" w:pos="-3080"/>
        <w:tab w:val="left" w:pos="0"/>
      </w:tabs>
      <w:spacing w:before="320"/>
      <w:ind w:left="2600" w:hanging="3080"/>
    </w:pPr>
    <w:rPr>
      <w:sz w:val="34"/>
    </w:rPr>
  </w:style>
  <w:style w:type="paragraph" w:customStyle="1" w:styleId="ISched-PartSymb">
    <w:name w:val="I Sched-Part Symb"/>
    <w:basedOn w:val="BillBasicHeading"/>
    <w:rsid w:val="00903DAE"/>
    <w:pPr>
      <w:tabs>
        <w:tab w:val="left" w:pos="-3080"/>
        <w:tab w:val="left" w:pos="0"/>
      </w:tabs>
      <w:spacing w:before="380"/>
      <w:ind w:left="2600" w:hanging="3080"/>
    </w:pPr>
    <w:rPr>
      <w:sz w:val="32"/>
    </w:rPr>
  </w:style>
  <w:style w:type="paragraph" w:customStyle="1" w:styleId="ISched-formSymb">
    <w:name w:val="I Sched-form Symb"/>
    <w:basedOn w:val="BillBasicHeading"/>
    <w:rsid w:val="00903D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03D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03D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03DAE"/>
    <w:pPr>
      <w:tabs>
        <w:tab w:val="left" w:pos="1100"/>
      </w:tabs>
      <w:spacing w:before="60"/>
      <w:ind w:left="1500" w:hanging="1986"/>
    </w:pPr>
  </w:style>
  <w:style w:type="paragraph" w:customStyle="1" w:styleId="aExamHdgssSymb">
    <w:name w:val="aExamHdgss Symb"/>
    <w:basedOn w:val="BillBasicHeading"/>
    <w:next w:val="Normal"/>
    <w:rsid w:val="00903DAE"/>
    <w:pPr>
      <w:tabs>
        <w:tab w:val="clear" w:pos="2600"/>
        <w:tab w:val="left" w:pos="1582"/>
      </w:tabs>
      <w:ind w:left="1100" w:hanging="1582"/>
    </w:pPr>
    <w:rPr>
      <w:sz w:val="18"/>
    </w:rPr>
  </w:style>
  <w:style w:type="paragraph" w:customStyle="1" w:styleId="aExamssSymb">
    <w:name w:val="aExamss Symb"/>
    <w:basedOn w:val="aNote"/>
    <w:rsid w:val="00903DAE"/>
    <w:pPr>
      <w:tabs>
        <w:tab w:val="left" w:pos="1582"/>
      </w:tabs>
      <w:spacing w:before="60"/>
      <w:ind w:left="1100" w:hanging="1582"/>
    </w:pPr>
  </w:style>
  <w:style w:type="paragraph" w:customStyle="1" w:styleId="aExamINumssSymb">
    <w:name w:val="aExamINumss Symb"/>
    <w:basedOn w:val="aExamssSymb"/>
    <w:rsid w:val="00903DAE"/>
    <w:pPr>
      <w:tabs>
        <w:tab w:val="left" w:pos="1100"/>
      </w:tabs>
      <w:ind w:left="1500" w:hanging="1986"/>
    </w:pPr>
  </w:style>
  <w:style w:type="paragraph" w:customStyle="1" w:styleId="aExamNumTextssSymb">
    <w:name w:val="aExamNumTextss Symb"/>
    <w:basedOn w:val="aExamssSymb"/>
    <w:rsid w:val="00903DAE"/>
    <w:pPr>
      <w:tabs>
        <w:tab w:val="clear" w:pos="1582"/>
        <w:tab w:val="left" w:pos="1985"/>
      </w:tabs>
      <w:ind w:left="1503" w:hanging="1985"/>
    </w:pPr>
  </w:style>
  <w:style w:type="paragraph" w:customStyle="1" w:styleId="AExamIParaSymb">
    <w:name w:val="AExamIPara Symb"/>
    <w:basedOn w:val="aExam"/>
    <w:rsid w:val="00903DAE"/>
    <w:pPr>
      <w:tabs>
        <w:tab w:val="right" w:pos="1718"/>
      </w:tabs>
      <w:ind w:left="1984" w:hanging="2466"/>
    </w:pPr>
  </w:style>
  <w:style w:type="paragraph" w:customStyle="1" w:styleId="aExamBulletssSymb">
    <w:name w:val="aExamBulletss Symb"/>
    <w:basedOn w:val="aExamssSymb"/>
    <w:rsid w:val="00903DAE"/>
    <w:pPr>
      <w:tabs>
        <w:tab w:val="left" w:pos="1100"/>
      </w:tabs>
      <w:ind w:left="1500" w:hanging="1986"/>
    </w:pPr>
  </w:style>
  <w:style w:type="paragraph" w:customStyle="1" w:styleId="aNoteSymb">
    <w:name w:val="aNote Symb"/>
    <w:basedOn w:val="BillBasic"/>
    <w:rsid w:val="00903DAE"/>
    <w:pPr>
      <w:tabs>
        <w:tab w:val="left" w:pos="1100"/>
        <w:tab w:val="left" w:pos="2381"/>
      </w:tabs>
      <w:ind w:left="1899" w:hanging="2381"/>
    </w:pPr>
    <w:rPr>
      <w:sz w:val="20"/>
    </w:rPr>
  </w:style>
  <w:style w:type="paragraph" w:customStyle="1" w:styleId="aNoteTextssSymb">
    <w:name w:val="aNoteTextss Symb"/>
    <w:basedOn w:val="Normal"/>
    <w:rsid w:val="00903DAE"/>
    <w:pPr>
      <w:tabs>
        <w:tab w:val="clear" w:pos="0"/>
        <w:tab w:val="left" w:pos="1418"/>
      </w:tabs>
      <w:spacing w:before="60"/>
      <w:ind w:left="1417" w:hanging="1899"/>
      <w:jc w:val="both"/>
    </w:pPr>
    <w:rPr>
      <w:sz w:val="20"/>
    </w:rPr>
  </w:style>
  <w:style w:type="paragraph" w:customStyle="1" w:styleId="aNoteParaSymb">
    <w:name w:val="aNotePara Symb"/>
    <w:basedOn w:val="aNoteSymb"/>
    <w:rsid w:val="00903D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03D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03DAE"/>
    <w:pPr>
      <w:tabs>
        <w:tab w:val="left" w:pos="1616"/>
        <w:tab w:val="left" w:pos="2495"/>
      </w:tabs>
      <w:spacing w:before="60"/>
      <w:ind w:left="2013" w:hanging="2495"/>
    </w:pPr>
  </w:style>
  <w:style w:type="paragraph" w:customStyle="1" w:styleId="aExamHdgparSymb">
    <w:name w:val="aExamHdgpar Symb"/>
    <w:basedOn w:val="aExamHdgssSymb"/>
    <w:next w:val="Normal"/>
    <w:rsid w:val="00903DAE"/>
    <w:pPr>
      <w:tabs>
        <w:tab w:val="clear" w:pos="1582"/>
        <w:tab w:val="left" w:pos="1599"/>
      </w:tabs>
      <w:ind w:left="1599" w:hanging="2081"/>
    </w:pPr>
  </w:style>
  <w:style w:type="paragraph" w:customStyle="1" w:styleId="aExamparSymb">
    <w:name w:val="aExampar Symb"/>
    <w:basedOn w:val="aExamssSymb"/>
    <w:rsid w:val="00903DAE"/>
    <w:pPr>
      <w:tabs>
        <w:tab w:val="clear" w:pos="1582"/>
        <w:tab w:val="left" w:pos="1599"/>
      </w:tabs>
      <w:ind w:left="1599" w:hanging="2081"/>
    </w:pPr>
  </w:style>
  <w:style w:type="paragraph" w:customStyle="1" w:styleId="aExamINumparSymb">
    <w:name w:val="aExamINumpar Symb"/>
    <w:basedOn w:val="aExamparSymb"/>
    <w:rsid w:val="00903DAE"/>
    <w:pPr>
      <w:tabs>
        <w:tab w:val="left" w:pos="2000"/>
      </w:tabs>
      <w:ind w:left="2041" w:hanging="2495"/>
    </w:pPr>
  </w:style>
  <w:style w:type="paragraph" w:customStyle="1" w:styleId="aExamBulletparSymb">
    <w:name w:val="aExamBulletpar Symb"/>
    <w:basedOn w:val="aExamparSymb"/>
    <w:rsid w:val="00903DAE"/>
    <w:pPr>
      <w:tabs>
        <w:tab w:val="clear" w:pos="1599"/>
        <w:tab w:val="left" w:pos="1616"/>
        <w:tab w:val="left" w:pos="2495"/>
      </w:tabs>
      <w:ind w:left="2013" w:hanging="2495"/>
    </w:pPr>
  </w:style>
  <w:style w:type="paragraph" w:customStyle="1" w:styleId="aNoteparSymb">
    <w:name w:val="aNotepar Symb"/>
    <w:basedOn w:val="BillBasic"/>
    <w:next w:val="Normal"/>
    <w:rsid w:val="00903DAE"/>
    <w:pPr>
      <w:tabs>
        <w:tab w:val="left" w:pos="1599"/>
        <w:tab w:val="left" w:pos="2398"/>
      </w:tabs>
      <w:ind w:left="2410" w:hanging="2892"/>
    </w:pPr>
    <w:rPr>
      <w:sz w:val="20"/>
    </w:rPr>
  </w:style>
  <w:style w:type="paragraph" w:customStyle="1" w:styleId="aNoteTextparSymb">
    <w:name w:val="aNoteTextpar Symb"/>
    <w:basedOn w:val="aNoteparSymb"/>
    <w:rsid w:val="00903DAE"/>
    <w:pPr>
      <w:tabs>
        <w:tab w:val="clear" w:pos="1599"/>
        <w:tab w:val="clear" w:pos="2398"/>
        <w:tab w:val="left" w:pos="2880"/>
      </w:tabs>
      <w:spacing w:before="60"/>
      <w:ind w:left="2398" w:hanging="2880"/>
    </w:pPr>
  </w:style>
  <w:style w:type="paragraph" w:customStyle="1" w:styleId="aNoteParaparSymb">
    <w:name w:val="aNoteParapar Symb"/>
    <w:basedOn w:val="aNoteparSymb"/>
    <w:rsid w:val="00903DAE"/>
    <w:pPr>
      <w:tabs>
        <w:tab w:val="right" w:pos="2640"/>
      </w:tabs>
      <w:spacing w:before="60"/>
      <w:ind w:left="2920" w:hanging="3402"/>
    </w:pPr>
  </w:style>
  <w:style w:type="paragraph" w:customStyle="1" w:styleId="aNoteBulletparSymb">
    <w:name w:val="aNoteBulletpar Symb"/>
    <w:basedOn w:val="aNoteparSymb"/>
    <w:rsid w:val="00903DAE"/>
    <w:pPr>
      <w:tabs>
        <w:tab w:val="clear" w:pos="1599"/>
        <w:tab w:val="left" w:pos="3289"/>
      </w:tabs>
      <w:spacing w:before="60"/>
      <w:ind w:left="2807" w:hanging="3289"/>
    </w:pPr>
  </w:style>
  <w:style w:type="paragraph" w:customStyle="1" w:styleId="AsubparabulletSymb">
    <w:name w:val="A subpara bullet Symb"/>
    <w:basedOn w:val="BillBasic"/>
    <w:rsid w:val="00903DAE"/>
    <w:pPr>
      <w:tabs>
        <w:tab w:val="left" w:pos="2138"/>
        <w:tab w:val="left" w:pos="3005"/>
      </w:tabs>
      <w:spacing w:before="60"/>
      <w:ind w:left="2523" w:hanging="3005"/>
    </w:pPr>
  </w:style>
  <w:style w:type="paragraph" w:customStyle="1" w:styleId="aExamHdgsubparSymb">
    <w:name w:val="aExamHdgsubpar Symb"/>
    <w:basedOn w:val="aExamHdgssSymb"/>
    <w:next w:val="Normal"/>
    <w:rsid w:val="00903DAE"/>
    <w:pPr>
      <w:tabs>
        <w:tab w:val="clear" w:pos="1582"/>
        <w:tab w:val="left" w:pos="2620"/>
      </w:tabs>
      <w:ind w:left="2138" w:hanging="2620"/>
    </w:pPr>
  </w:style>
  <w:style w:type="paragraph" w:customStyle="1" w:styleId="aExamsubparSymb">
    <w:name w:val="aExamsubpar Symb"/>
    <w:basedOn w:val="aExamssSymb"/>
    <w:rsid w:val="00903DAE"/>
    <w:pPr>
      <w:tabs>
        <w:tab w:val="clear" w:pos="1582"/>
        <w:tab w:val="left" w:pos="2620"/>
      </w:tabs>
      <w:ind w:left="2138" w:hanging="2620"/>
    </w:pPr>
  </w:style>
  <w:style w:type="paragraph" w:customStyle="1" w:styleId="aNotesubparSymb">
    <w:name w:val="aNotesubpar Symb"/>
    <w:basedOn w:val="BillBasic"/>
    <w:next w:val="Normal"/>
    <w:rsid w:val="00903DAE"/>
    <w:pPr>
      <w:tabs>
        <w:tab w:val="left" w:pos="2138"/>
        <w:tab w:val="left" w:pos="2937"/>
      </w:tabs>
      <w:ind w:left="2455" w:hanging="2937"/>
    </w:pPr>
    <w:rPr>
      <w:sz w:val="20"/>
    </w:rPr>
  </w:style>
  <w:style w:type="paragraph" w:customStyle="1" w:styleId="aNoteTextsubparSymb">
    <w:name w:val="aNoteTextsubpar Symb"/>
    <w:basedOn w:val="aNotesubparSymb"/>
    <w:rsid w:val="00903DAE"/>
    <w:pPr>
      <w:tabs>
        <w:tab w:val="clear" w:pos="2138"/>
        <w:tab w:val="clear" w:pos="2937"/>
        <w:tab w:val="left" w:pos="2943"/>
      </w:tabs>
      <w:spacing w:before="60"/>
      <w:ind w:left="2943" w:hanging="3425"/>
    </w:pPr>
  </w:style>
  <w:style w:type="paragraph" w:customStyle="1" w:styleId="PenaltySymb">
    <w:name w:val="Penalty Symb"/>
    <w:basedOn w:val="AmainreturnSymb"/>
    <w:rsid w:val="00903DAE"/>
  </w:style>
  <w:style w:type="paragraph" w:customStyle="1" w:styleId="PenaltyParaSymb">
    <w:name w:val="PenaltyPara Symb"/>
    <w:basedOn w:val="Normal"/>
    <w:rsid w:val="00903DAE"/>
    <w:pPr>
      <w:tabs>
        <w:tab w:val="right" w:pos="1360"/>
      </w:tabs>
      <w:spacing w:before="60"/>
      <w:ind w:left="1599" w:hanging="2081"/>
      <w:jc w:val="both"/>
    </w:pPr>
  </w:style>
  <w:style w:type="paragraph" w:customStyle="1" w:styleId="FormulaSymb">
    <w:name w:val="Formula Symb"/>
    <w:basedOn w:val="BillBasic"/>
    <w:rsid w:val="00903DAE"/>
    <w:pPr>
      <w:tabs>
        <w:tab w:val="left" w:pos="-480"/>
      </w:tabs>
      <w:spacing w:line="260" w:lineRule="atLeast"/>
      <w:ind w:hanging="480"/>
      <w:jc w:val="center"/>
    </w:pPr>
  </w:style>
  <w:style w:type="paragraph" w:customStyle="1" w:styleId="NormalSymb">
    <w:name w:val="Normal Symb"/>
    <w:basedOn w:val="Normal"/>
    <w:qFormat/>
    <w:rsid w:val="00903DAE"/>
    <w:pPr>
      <w:ind w:hanging="482"/>
    </w:pPr>
  </w:style>
  <w:style w:type="character" w:styleId="PlaceholderText">
    <w:name w:val="Placeholder Text"/>
    <w:basedOn w:val="DefaultParagraphFont"/>
    <w:uiPriority w:val="99"/>
    <w:semiHidden/>
    <w:rsid w:val="00903DAE"/>
    <w:rPr>
      <w:color w:val="808080"/>
    </w:rPr>
  </w:style>
  <w:style w:type="character" w:customStyle="1" w:styleId="NewActChar">
    <w:name w:val="New Act Char"/>
    <w:basedOn w:val="DefaultParagraphFont"/>
    <w:link w:val="NewAct"/>
    <w:locked/>
    <w:rsid w:val="00954FA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8-21/default.asp" TargetMode="External"/><Relationship Id="rId21" Type="http://schemas.openxmlformats.org/officeDocument/2006/relationships/header" Target="header3.xml"/><Relationship Id="rId42" Type="http://schemas.openxmlformats.org/officeDocument/2006/relationships/hyperlink" Target="http://www.legislation.act.gov.au/a/2004-3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8-35" TargetMode="External"/><Relationship Id="rId84" Type="http://schemas.openxmlformats.org/officeDocument/2006/relationships/header" Target="header7.xml"/><Relationship Id="rId89" Type="http://schemas.openxmlformats.org/officeDocument/2006/relationships/header" Target="header9.xml"/><Relationship Id="rId112" Type="http://schemas.openxmlformats.org/officeDocument/2006/relationships/footer" Target="footer14.xml"/><Relationship Id="rId133" Type="http://schemas.openxmlformats.org/officeDocument/2006/relationships/header" Target="head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99-46/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6-2"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4-34" TargetMode="External"/><Relationship Id="rId58" Type="http://schemas.openxmlformats.org/officeDocument/2006/relationships/hyperlink" Target="http://www.legislation.act.gov.au/a/2002-51"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1999-46/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8-21/default.asp" TargetMode="External"/><Relationship Id="rId128" Type="http://schemas.openxmlformats.org/officeDocument/2006/relationships/footer" Target="footer17.xml"/><Relationship Id="rId5" Type="http://schemas.openxmlformats.org/officeDocument/2006/relationships/webSettings" Target="webSettings.xml"/><Relationship Id="rId90" Type="http://schemas.openxmlformats.org/officeDocument/2006/relationships/footer" Target="footer10.xml"/><Relationship Id="rId95" Type="http://schemas.openxmlformats.org/officeDocument/2006/relationships/hyperlink" Target="http://www.legislation.act.gov.au/a/2004-3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6-2" TargetMode="External"/><Relationship Id="rId69" Type="http://schemas.openxmlformats.org/officeDocument/2006/relationships/hyperlink" Target="http://www.legislation.act.gov.au/a/2008-35" TargetMode="External"/><Relationship Id="rId77" Type="http://schemas.openxmlformats.org/officeDocument/2006/relationships/hyperlink" Target="http://www.legislation.act.gov.au/a/2002-51" TargetMode="External"/><Relationship Id="rId100" Type="http://schemas.openxmlformats.org/officeDocument/2006/relationships/footer" Target="footer13.xml"/><Relationship Id="rId105" Type="http://schemas.openxmlformats.org/officeDocument/2006/relationships/hyperlink" Target="http://www.legislation.act.gov.au/a/2004-34" TargetMode="External"/><Relationship Id="rId113" Type="http://schemas.openxmlformats.org/officeDocument/2006/relationships/footer" Target="footer15.xml"/><Relationship Id="rId118" Type="http://schemas.openxmlformats.org/officeDocument/2006/relationships/hyperlink" Target="http://www.legislation.act.gov.au/a/2018-21/default.asp" TargetMode="External"/><Relationship Id="rId126" Type="http://schemas.openxmlformats.org/officeDocument/2006/relationships/header" Target="header15.xml"/><Relationship Id="rId134"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51" TargetMode="External"/><Relationship Id="rId80" Type="http://schemas.openxmlformats.org/officeDocument/2006/relationships/hyperlink" Target="http://www.legislation.act.gov.au/a/2001-14" TargetMode="External"/><Relationship Id="rId85" Type="http://schemas.openxmlformats.org/officeDocument/2006/relationships/footer" Target="footer7.xml"/><Relationship Id="rId93" Type="http://schemas.openxmlformats.org/officeDocument/2006/relationships/hyperlink" Target="http://www.legislation.act.gov.au/a/2004-34" TargetMode="External"/><Relationship Id="rId98" Type="http://schemas.openxmlformats.org/officeDocument/2006/relationships/header" Target="header11.xml"/><Relationship Id="rId121" Type="http://schemas.openxmlformats.org/officeDocument/2006/relationships/hyperlink" Target="http://www.legislation.act.gov.au/a/2018-21/default.asp"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46/default.asp" TargetMode="External"/><Relationship Id="rId46" Type="http://schemas.openxmlformats.org/officeDocument/2006/relationships/hyperlink" Target="http://www.legislation.act.gov.au/a/1999-46/default.asp" TargetMode="External"/><Relationship Id="rId59" Type="http://schemas.openxmlformats.org/officeDocument/2006/relationships/hyperlink" Target="http://www.legislation.act.gov.au/a/2002-51" TargetMode="External"/><Relationship Id="rId67" Type="http://schemas.openxmlformats.org/officeDocument/2006/relationships/hyperlink" Target="http://www.legislation.act.gov.au/a/2002-51" TargetMode="External"/><Relationship Id="rId103" Type="http://schemas.openxmlformats.org/officeDocument/2006/relationships/hyperlink" Target="http://www.legislation.act.gov.au/a/2006-2" TargetMode="External"/><Relationship Id="rId108" Type="http://schemas.openxmlformats.org/officeDocument/2006/relationships/hyperlink" Target="http://www.legislation.act.gov.au/a/2004-34" TargetMode="External"/><Relationship Id="rId116" Type="http://schemas.openxmlformats.org/officeDocument/2006/relationships/hyperlink" Target="http://www.legislation.act.gov.au/a/2018-21/default.asp" TargetMode="External"/><Relationship Id="rId124" Type="http://schemas.openxmlformats.org/officeDocument/2006/relationships/hyperlink" Target="http://www.legislation.act.gov.au/a/2018-21/default.asp" TargetMode="External"/><Relationship Id="rId129" Type="http://schemas.openxmlformats.org/officeDocument/2006/relationships/header" Target="header16.xml"/><Relationship Id="rId13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1999-46/default.asp"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1999-46/default.asp" TargetMode="Externa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6-2" TargetMode="External"/><Relationship Id="rId83" Type="http://schemas.openxmlformats.org/officeDocument/2006/relationships/header" Target="header6.xml"/><Relationship Id="rId88" Type="http://schemas.openxmlformats.org/officeDocument/2006/relationships/header" Target="header8.xml"/><Relationship Id="rId91" Type="http://schemas.openxmlformats.org/officeDocument/2006/relationships/footer" Target="footer11.xml"/><Relationship Id="rId96" Type="http://schemas.openxmlformats.org/officeDocument/2006/relationships/hyperlink" Target="http://www.legislation.act.gov.au/a/1999-46/default.asp" TargetMode="External"/><Relationship Id="rId111" Type="http://schemas.openxmlformats.org/officeDocument/2006/relationships/header" Target="header13.xml"/><Relationship Id="rId13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6-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1999-46" TargetMode="External"/><Relationship Id="rId114" Type="http://schemas.openxmlformats.org/officeDocument/2006/relationships/hyperlink" Target="http://www.legislation.act.gov.au/a/2001-14" TargetMode="External"/><Relationship Id="rId119" Type="http://schemas.openxmlformats.org/officeDocument/2006/relationships/hyperlink" Target="http://www.legislation.act.gov.au/a/2018-21/default.asp" TargetMode="External"/><Relationship Id="rId127" Type="http://schemas.openxmlformats.org/officeDocument/2006/relationships/footer" Target="foot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15-21/default.asp" TargetMode="External"/><Relationship Id="rId44" Type="http://schemas.openxmlformats.org/officeDocument/2006/relationships/hyperlink" Target="http://www.legislation.act.gov.au/a/2004-34" TargetMode="External"/><Relationship Id="rId52" Type="http://schemas.openxmlformats.org/officeDocument/2006/relationships/hyperlink" Target="http://www.legislation.act.gov.au/a/2007-2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6-2" TargetMode="External"/><Relationship Id="rId73" Type="http://schemas.openxmlformats.org/officeDocument/2006/relationships/hyperlink" Target="http://www.legislation.act.gov.au/a/1999-46/default.asp"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8.xml"/><Relationship Id="rId94" Type="http://schemas.openxmlformats.org/officeDocument/2006/relationships/hyperlink" Target="http://www.legislation.act.gov.au/a/2006-2" TargetMode="External"/><Relationship Id="rId99" Type="http://schemas.openxmlformats.org/officeDocument/2006/relationships/footer" Target="footer12.xm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8-21/default.asp" TargetMode="External"/><Relationship Id="rId130" Type="http://schemas.openxmlformats.org/officeDocument/2006/relationships/header" Target="header17.xml"/><Relationship Id="rId135"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4-3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7-24"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2001-14" TargetMode="External"/><Relationship Id="rId97" Type="http://schemas.openxmlformats.org/officeDocument/2006/relationships/header" Target="header10.xml"/><Relationship Id="rId104" Type="http://schemas.openxmlformats.org/officeDocument/2006/relationships/hyperlink" Target="http://www.legislation.act.gov.au/a/2004-34" TargetMode="External"/><Relationship Id="rId120" Type="http://schemas.openxmlformats.org/officeDocument/2006/relationships/hyperlink" Target="http://www.legislation.act.gov.au/a/2018-21/default.asp" TargetMode="External"/><Relationship Id="rId125"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4-3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9-46/default.asp" TargetMode="External"/><Relationship Id="rId45" Type="http://schemas.openxmlformats.org/officeDocument/2006/relationships/hyperlink" Target="http://www.legislation.act.gov.au/a/2004-34/" TargetMode="External"/><Relationship Id="rId66" Type="http://schemas.openxmlformats.org/officeDocument/2006/relationships/hyperlink" Target="http://www.legislation.act.gov.au/a/1999-46/default.asp" TargetMode="External"/><Relationship Id="rId87" Type="http://schemas.openxmlformats.org/officeDocument/2006/relationships/footer" Target="footer9.xml"/><Relationship Id="rId110" Type="http://schemas.openxmlformats.org/officeDocument/2006/relationships/header" Target="header12.xml"/><Relationship Id="rId115" Type="http://schemas.openxmlformats.org/officeDocument/2006/relationships/hyperlink" Target="http://www.legislation.act.gov.au/a/2018-21/default.asp" TargetMode="External"/><Relationship Id="rId131" Type="http://schemas.openxmlformats.org/officeDocument/2006/relationships/footer" Target="footer18.xml"/><Relationship Id="rId136" Type="http://schemas.openxmlformats.org/officeDocument/2006/relationships/fontTable" Target="fontTable.xml"/><Relationship Id="rId61" Type="http://schemas.openxmlformats.org/officeDocument/2006/relationships/hyperlink" Target="http://www.legislation.act.gov.au/a/2000-48" TargetMode="External"/><Relationship Id="rId82" Type="http://schemas.openxmlformats.org/officeDocument/2006/relationships/hyperlink" Target="http://www.legislation.act.gov.au/a/2001-14"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D8D2-7AC3-4928-9E4F-6EB939E1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11910</Words>
  <Characters>63333</Characters>
  <Application>Microsoft Office Word</Application>
  <DocSecurity>0</DocSecurity>
  <Lines>1666</Lines>
  <Paragraphs>964</Paragraphs>
  <ScaleCrop>false</ScaleCrop>
  <HeadingPairs>
    <vt:vector size="2" baseType="variant">
      <vt:variant>
        <vt:lpstr>Title</vt:lpstr>
      </vt:variant>
      <vt:variant>
        <vt:i4>1</vt:i4>
      </vt:variant>
    </vt:vector>
  </HeadingPairs>
  <TitlesOfParts>
    <vt:vector size="1" baseType="lpstr">
      <vt:lpstr>Casino (Electronic Gaming) Act 2017</vt:lpstr>
    </vt:vector>
  </TitlesOfParts>
  <Manager>Section</Manager>
  <Company>Section</Company>
  <LinksUpToDate>false</LinksUpToDate>
  <CharactersWithSpaces>74745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(Electronic Gaming) Act 2017</dc:title>
  <dc:subject/>
  <dc:creator>ACT Government</dc:creator>
  <cp:keywords>R03</cp:keywords>
  <dc:description/>
  <cp:lastModifiedBy>PCODCS</cp:lastModifiedBy>
  <cp:revision>5</cp:revision>
  <cp:lastPrinted>2017-11-06T04:37:00Z</cp:lastPrinted>
  <dcterms:created xsi:type="dcterms:W3CDTF">2018-12-10T05:52:00Z</dcterms:created>
  <dcterms:modified xsi:type="dcterms:W3CDTF">2018-12-10T05:52:00Z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Christina Maselos</vt:lpwstr>
  </property>
  <property fmtid="{D5CDD505-2E9C-101B-9397-08002B2CF9AE}" pid="4" name="DrafterEmail">
    <vt:lpwstr>christina.maselos@act.gov.au</vt:lpwstr>
  </property>
  <property fmtid="{D5CDD505-2E9C-101B-9397-08002B2CF9AE}" pid="5" name="DrafterPh">
    <vt:lpwstr>62053775</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Justice and Community Safety Directorate</vt:lpwstr>
  </property>
  <property fmtid="{D5CDD505-2E9C-101B-9397-08002B2CF9AE}" pid="10" name="ClientName1">
    <vt:lpwstr>Pamela Avell</vt:lpwstr>
  </property>
  <property fmtid="{D5CDD505-2E9C-101B-9397-08002B2CF9AE}" pid="11" name="ClientEmail1">
    <vt:lpwstr>Pamela.Avell@act.gov.au</vt:lpwstr>
  </property>
  <property fmtid="{D5CDD505-2E9C-101B-9397-08002B2CF9AE}" pid="12" name="ClientPh1">
    <vt:lpwstr>62050072</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DMSID">
    <vt:lpwstr>913924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Casino (Electronic Gaming) Bill 2017</vt:lpwstr>
  </property>
  <property fmtid="{D5CDD505-2E9C-101B-9397-08002B2CF9AE}" pid="21" name="Status">
    <vt:lpwstr> </vt:lpwstr>
  </property>
  <property fmtid="{D5CDD505-2E9C-101B-9397-08002B2CF9AE}" pid="22" name="Eff">
    <vt:lpwstr>Effective:  </vt:lpwstr>
  </property>
  <property fmtid="{D5CDD505-2E9C-101B-9397-08002B2CF9AE}" pid="23" name="EndDt">
    <vt:lpwstr>-03/12/18</vt:lpwstr>
  </property>
  <property fmtid="{D5CDD505-2E9C-101B-9397-08002B2CF9AE}" pid="24" name="RepubDt">
    <vt:lpwstr>16/06/18</vt:lpwstr>
  </property>
  <property fmtid="{D5CDD505-2E9C-101B-9397-08002B2CF9AE}" pid="25" name="StartDt">
    <vt:lpwstr>16/06/18</vt:lpwstr>
  </property>
</Properties>
</file>