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83AEE" w14:textId="77777777" w:rsidR="00C97F92" w:rsidRDefault="00C97F92" w:rsidP="0096655E">
      <w:pPr>
        <w:jc w:val="center"/>
      </w:pPr>
      <w:r>
        <w:rPr>
          <w:noProof/>
          <w:lang w:eastAsia="en-AU"/>
        </w:rPr>
        <w:drawing>
          <wp:inline distT="0" distB="0" distL="0" distR="0" wp14:anchorId="09E34201" wp14:editId="6E67D1BD">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43297661" w14:textId="77777777" w:rsidR="00C97F92" w:rsidRDefault="00C97F92" w:rsidP="0096655E">
      <w:pPr>
        <w:jc w:val="center"/>
        <w:rPr>
          <w:rFonts w:ascii="Arial" w:hAnsi="Arial"/>
        </w:rPr>
      </w:pPr>
      <w:r>
        <w:rPr>
          <w:rFonts w:ascii="Arial" w:hAnsi="Arial"/>
        </w:rPr>
        <w:t>Australian Capital Territory</w:t>
      </w:r>
    </w:p>
    <w:p w14:paraId="28AF50BD" w14:textId="01C3ACC5" w:rsidR="00C97F92" w:rsidRDefault="00761C9F" w:rsidP="0096655E">
      <w:pPr>
        <w:pStyle w:val="Billname1"/>
      </w:pPr>
      <w:r>
        <w:fldChar w:fldCharType="begin"/>
      </w:r>
      <w:r>
        <w:instrText xml:space="preserve"> REF Citation \*charformat </w:instrText>
      </w:r>
      <w:r>
        <w:fldChar w:fldCharType="separate"/>
      </w:r>
      <w:r w:rsidR="003175FC">
        <w:t>Casino (Electronic Gaming) Act 2017</w:t>
      </w:r>
      <w:r>
        <w:fldChar w:fldCharType="end"/>
      </w:r>
      <w:r w:rsidR="00C97F92">
        <w:t xml:space="preserve">    </w:t>
      </w:r>
    </w:p>
    <w:p w14:paraId="68B932E8" w14:textId="70AF39A6" w:rsidR="00C97F92" w:rsidRDefault="00AC40EF" w:rsidP="0096655E">
      <w:pPr>
        <w:pStyle w:val="ActNo"/>
      </w:pPr>
      <w:bookmarkStart w:id="0" w:name="LawNo"/>
      <w:r>
        <w:t>A2017-42</w:t>
      </w:r>
      <w:bookmarkEnd w:id="0"/>
    </w:p>
    <w:p w14:paraId="23E2DCBA" w14:textId="1DBCDB6D" w:rsidR="00C97F92" w:rsidRDefault="00C97F92" w:rsidP="0096655E">
      <w:pPr>
        <w:pStyle w:val="RepubNo"/>
      </w:pPr>
      <w:r>
        <w:t xml:space="preserve">Republication No </w:t>
      </w:r>
      <w:bookmarkStart w:id="1" w:name="RepubNo"/>
      <w:r w:rsidR="00AC40EF">
        <w:t>5</w:t>
      </w:r>
      <w:bookmarkEnd w:id="1"/>
    </w:p>
    <w:p w14:paraId="513A9B5E" w14:textId="477295E7" w:rsidR="00C97F92" w:rsidRDefault="00C97F92" w:rsidP="0096655E">
      <w:pPr>
        <w:pStyle w:val="EffectiveDate"/>
      </w:pPr>
      <w:r>
        <w:t xml:space="preserve">Effective:  </w:t>
      </w:r>
      <w:bookmarkStart w:id="2" w:name="EffectiveDate"/>
      <w:r w:rsidR="00AC40EF">
        <w:t>27 November 2023</w:t>
      </w:r>
      <w:bookmarkEnd w:id="2"/>
      <w:r w:rsidR="00AC40EF">
        <w:t xml:space="preserve"> – </w:t>
      </w:r>
      <w:bookmarkStart w:id="3" w:name="EndEffDate"/>
      <w:r w:rsidR="00AC40EF">
        <w:t>15 November 2025</w:t>
      </w:r>
      <w:bookmarkEnd w:id="3"/>
    </w:p>
    <w:p w14:paraId="50675025" w14:textId="725E89E8" w:rsidR="00C97F92" w:rsidRDefault="00C97F92" w:rsidP="0096655E">
      <w:pPr>
        <w:pStyle w:val="CoverInForce"/>
      </w:pPr>
      <w:r>
        <w:t xml:space="preserve">Republication date: </w:t>
      </w:r>
      <w:bookmarkStart w:id="4" w:name="InForceDate"/>
      <w:r w:rsidR="00AC40EF">
        <w:t>27 November 2023</w:t>
      </w:r>
      <w:bookmarkEnd w:id="4"/>
    </w:p>
    <w:p w14:paraId="267A83F8" w14:textId="52A02C12" w:rsidR="00C97F92" w:rsidRDefault="00C97F92" w:rsidP="0096655E">
      <w:pPr>
        <w:pStyle w:val="CoverInForce"/>
      </w:pPr>
      <w:r>
        <w:t xml:space="preserve">Last amendment made by </w:t>
      </w:r>
      <w:bookmarkStart w:id="5" w:name="LastAmdt"/>
      <w:r w:rsidRPr="00C97F92">
        <w:rPr>
          <w:rStyle w:val="charCitHyperlinkAbbrev"/>
        </w:rPr>
        <w:fldChar w:fldCharType="begin"/>
      </w:r>
      <w:r w:rsidR="00AC40EF">
        <w:rPr>
          <w:rStyle w:val="charCitHyperlinkAbbrev"/>
        </w:rPr>
        <w:instrText>HYPERLINK "http://www.legislation.act.gov.au/a/2023-36/" \o "Planning (Consequential Amendments) Act 2023"</w:instrText>
      </w:r>
      <w:r w:rsidRPr="00C97F92">
        <w:rPr>
          <w:rStyle w:val="charCitHyperlinkAbbrev"/>
        </w:rPr>
      </w:r>
      <w:r w:rsidRPr="00C97F92">
        <w:rPr>
          <w:rStyle w:val="charCitHyperlinkAbbrev"/>
        </w:rPr>
        <w:fldChar w:fldCharType="separate"/>
      </w:r>
      <w:r w:rsidR="00AC40EF">
        <w:rPr>
          <w:rStyle w:val="charCitHyperlinkAbbrev"/>
        </w:rPr>
        <w:t>A2023</w:t>
      </w:r>
      <w:r w:rsidR="00AC40EF">
        <w:rPr>
          <w:rStyle w:val="charCitHyperlinkAbbrev"/>
        </w:rPr>
        <w:noBreakHyphen/>
        <w:t>36</w:t>
      </w:r>
      <w:r w:rsidRPr="00C97F92">
        <w:rPr>
          <w:rStyle w:val="charCitHyperlinkAbbrev"/>
        </w:rPr>
        <w:fldChar w:fldCharType="end"/>
      </w:r>
      <w:bookmarkEnd w:id="5"/>
    </w:p>
    <w:p w14:paraId="4525837B" w14:textId="77777777" w:rsidR="00C97F92" w:rsidRDefault="00C97F92" w:rsidP="0096655E"/>
    <w:p w14:paraId="4B31DCFA" w14:textId="77777777" w:rsidR="00C97F92" w:rsidRDefault="00C97F92" w:rsidP="0096655E"/>
    <w:p w14:paraId="52F72DBF" w14:textId="77777777" w:rsidR="00C97F92" w:rsidRDefault="00C97F92" w:rsidP="0096655E"/>
    <w:p w14:paraId="6FA2EACD" w14:textId="77777777" w:rsidR="00C97F92" w:rsidRDefault="00C97F92" w:rsidP="0096655E"/>
    <w:p w14:paraId="5816A252" w14:textId="77777777" w:rsidR="00C97F92" w:rsidRDefault="00C97F92" w:rsidP="0096655E"/>
    <w:p w14:paraId="775E1AB2" w14:textId="77777777" w:rsidR="00C97F92" w:rsidRDefault="00C97F92" w:rsidP="0096655E">
      <w:pPr>
        <w:spacing w:after="240"/>
        <w:rPr>
          <w:rFonts w:ascii="Arial" w:hAnsi="Arial"/>
        </w:rPr>
      </w:pPr>
    </w:p>
    <w:p w14:paraId="703328FB" w14:textId="77777777" w:rsidR="00C97F92" w:rsidRPr="00101B4C" w:rsidRDefault="00C97F92" w:rsidP="0096655E">
      <w:pPr>
        <w:pStyle w:val="PageBreak"/>
      </w:pPr>
      <w:r w:rsidRPr="00101B4C">
        <w:br w:type="page"/>
      </w:r>
    </w:p>
    <w:p w14:paraId="75B80B02" w14:textId="77777777" w:rsidR="00C97F92" w:rsidRDefault="00C97F92" w:rsidP="0096655E">
      <w:pPr>
        <w:pStyle w:val="CoverHeading"/>
      </w:pPr>
      <w:r>
        <w:lastRenderedPageBreak/>
        <w:t>About this republication</w:t>
      </w:r>
    </w:p>
    <w:p w14:paraId="308B463C" w14:textId="77777777" w:rsidR="00C97F92" w:rsidRDefault="00C97F92" w:rsidP="0096655E">
      <w:pPr>
        <w:pStyle w:val="CoverSubHdg"/>
      </w:pPr>
      <w:r>
        <w:t>The republished law</w:t>
      </w:r>
    </w:p>
    <w:p w14:paraId="6A124509" w14:textId="26E6803B" w:rsidR="00C97F92" w:rsidRDefault="00C97F92" w:rsidP="0096655E">
      <w:pPr>
        <w:pStyle w:val="CoverText"/>
      </w:pPr>
      <w:r>
        <w:t xml:space="preserve">This is a republication of the </w:t>
      </w:r>
      <w:r w:rsidRPr="00AC40EF">
        <w:rPr>
          <w:i/>
        </w:rPr>
        <w:fldChar w:fldCharType="begin"/>
      </w:r>
      <w:r w:rsidRPr="00AC40EF">
        <w:rPr>
          <w:i/>
        </w:rPr>
        <w:instrText xml:space="preserve"> REF citation *\charformat  \* MERGEFORMAT </w:instrText>
      </w:r>
      <w:r w:rsidRPr="00AC40EF">
        <w:rPr>
          <w:i/>
        </w:rPr>
        <w:fldChar w:fldCharType="separate"/>
      </w:r>
      <w:r w:rsidR="003175FC" w:rsidRPr="003175FC">
        <w:rPr>
          <w:i/>
        </w:rPr>
        <w:t>Casino (Electronic Gaming) Act 2017</w:t>
      </w:r>
      <w:r w:rsidRPr="00AC40EF">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rsidR="00761C9F">
        <w:fldChar w:fldCharType="begin"/>
      </w:r>
      <w:r w:rsidR="00761C9F">
        <w:instrText xml:space="preserve"> REF InForceDate *\charformat </w:instrText>
      </w:r>
      <w:r w:rsidR="00761C9F">
        <w:fldChar w:fldCharType="separate"/>
      </w:r>
      <w:r w:rsidR="003175FC">
        <w:t>27 November 2023</w:t>
      </w:r>
      <w:r w:rsidR="00761C9F">
        <w:fldChar w:fldCharType="end"/>
      </w:r>
      <w:r w:rsidRPr="0074598E">
        <w:rPr>
          <w:rStyle w:val="charItals"/>
        </w:rPr>
        <w:t xml:space="preserve">.  </w:t>
      </w:r>
      <w:r>
        <w:t xml:space="preserve">It also includes any commencement, amendment, repeal or expiry affecting this republished law to </w:t>
      </w:r>
      <w:r w:rsidR="00761C9F">
        <w:fldChar w:fldCharType="begin"/>
      </w:r>
      <w:r w:rsidR="00761C9F">
        <w:instrText xml:space="preserve"> REF EffectiveDate *\charformat </w:instrText>
      </w:r>
      <w:r w:rsidR="00761C9F">
        <w:fldChar w:fldCharType="separate"/>
      </w:r>
      <w:r w:rsidR="003175FC">
        <w:t>27 November 2023</w:t>
      </w:r>
      <w:r w:rsidR="00761C9F">
        <w:fldChar w:fldCharType="end"/>
      </w:r>
      <w:r>
        <w:t xml:space="preserve">.  </w:t>
      </w:r>
    </w:p>
    <w:p w14:paraId="59EF50EC" w14:textId="77777777" w:rsidR="00C97F92" w:rsidRDefault="00C97F92" w:rsidP="0096655E">
      <w:pPr>
        <w:pStyle w:val="CoverText"/>
      </w:pPr>
      <w:r>
        <w:t xml:space="preserve">The legislation history and amendment history of the republished law are set out in endnotes 3 and 4. </w:t>
      </w:r>
    </w:p>
    <w:p w14:paraId="4D0041BB" w14:textId="77777777" w:rsidR="00C97F92" w:rsidRDefault="00C97F92" w:rsidP="0096655E">
      <w:pPr>
        <w:pStyle w:val="CoverSubHdg"/>
      </w:pPr>
      <w:r>
        <w:t>Kinds of republications</w:t>
      </w:r>
    </w:p>
    <w:p w14:paraId="1DE66E2A" w14:textId="3C920A08" w:rsidR="00C97F92" w:rsidRDefault="00C97F92" w:rsidP="0096655E">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2C1D02D2" w14:textId="5C53D8D5" w:rsidR="00C97F92" w:rsidRDefault="00C97F92" w:rsidP="0096655E">
      <w:pPr>
        <w:pStyle w:val="CoverTextBullet"/>
        <w:tabs>
          <w:tab w:val="clear" w:pos="0"/>
        </w:tabs>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700209A7" w14:textId="77777777" w:rsidR="00C97F92" w:rsidRDefault="00C97F92" w:rsidP="0096655E">
      <w:pPr>
        <w:pStyle w:val="CoverTextBullet"/>
        <w:tabs>
          <w:tab w:val="clear" w:pos="0"/>
        </w:tabs>
        <w:ind w:left="357" w:hanging="357"/>
      </w:pPr>
      <w:r>
        <w:t>unauthorised republications.</w:t>
      </w:r>
    </w:p>
    <w:p w14:paraId="193943EE" w14:textId="77777777" w:rsidR="00C97F92" w:rsidRDefault="00C97F92" w:rsidP="0096655E">
      <w:pPr>
        <w:pStyle w:val="CoverText"/>
      </w:pPr>
      <w:r>
        <w:t>The status of this republication appears on the bottom of each page.</w:t>
      </w:r>
    </w:p>
    <w:p w14:paraId="44EFC978" w14:textId="77777777" w:rsidR="00C97F92" w:rsidRDefault="00C97F92" w:rsidP="0096655E">
      <w:pPr>
        <w:pStyle w:val="CoverSubHdg"/>
      </w:pPr>
      <w:r>
        <w:t>Editorial changes</w:t>
      </w:r>
    </w:p>
    <w:p w14:paraId="3E10C96D" w14:textId="43DFBF8A" w:rsidR="00C97F92" w:rsidRDefault="00C97F92" w:rsidP="0096655E">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250C235B" w14:textId="49B7C89C" w:rsidR="00C97F92" w:rsidRPr="00A91776" w:rsidRDefault="00C97F92" w:rsidP="0096655E">
      <w:pPr>
        <w:pStyle w:val="CoverText"/>
      </w:pPr>
      <w:r w:rsidRPr="00A91776">
        <w:t>This republication include</w:t>
      </w:r>
      <w:r w:rsidR="007A79C1">
        <w:t>s</w:t>
      </w:r>
      <w:r w:rsidRPr="00A91776">
        <w:t xml:space="preserve"> amendments made under part 11.3 (see endnote 1).</w:t>
      </w:r>
    </w:p>
    <w:p w14:paraId="5DB51BD8" w14:textId="77777777" w:rsidR="00C97F92" w:rsidRDefault="00C97F92" w:rsidP="0096655E">
      <w:pPr>
        <w:pStyle w:val="CoverSubHdg"/>
      </w:pPr>
      <w:r>
        <w:t>Uncommenced provisions and amendments</w:t>
      </w:r>
    </w:p>
    <w:p w14:paraId="07FA19BE" w14:textId="698AC19D" w:rsidR="00C97F92" w:rsidRDefault="00C97F92" w:rsidP="0096655E">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20BA538F" w14:textId="77777777" w:rsidR="00C97F92" w:rsidRDefault="00C97F92" w:rsidP="0096655E">
      <w:pPr>
        <w:pStyle w:val="CoverSubHdg"/>
      </w:pPr>
      <w:r>
        <w:t>Modifications</w:t>
      </w:r>
    </w:p>
    <w:p w14:paraId="27245E02" w14:textId="2DDCABFA" w:rsidR="00C97F92" w:rsidRDefault="00C97F92" w:rsidP="0096655E">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39372A06" w14:textId="77777777" w:rsidR="00C97F92" w:rsidRDefault="00C97F92" w:rsidP="0096655E">
      <w:pPr>
        <w:pStyle w:val="CoverSubHdg"/>
      </w:pPr>
      <w:r>
        <w:t>Penalties</w:t>
      </w:r>
    </w:p>
    <w:p w14:paraId="145403F8" w14:textId="720E6342" w:rsidR="00C97F92" w:rsidRPr="003765DF" w:rsidRDefault="00C97F92" w:rsidP="0096655E">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7629081F" w14:textId="77777777" w:rsidR="00C97F92" w:rsidRDefault="00C97F92" w:rsidP="0096655E">
      <w:pPr>
        <w:pStyle w:val="00SigningPage"/>
        <w:sectPr w:rsidR="00C97F92" w:rsidSect="0096655E">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1F2994F6" w14:textId="77777777" w:rsidR="00C97F92" w:rsidRDefault="00C97F92" w:rsidP="0096655E">
      <w:pPr>
        <w:jc w:val="center"/>
      </w:pPr>
      <w:r>
        <w:rPr>
          <w:noProof/>
          <w:lang w:eastAsia="en-AU"/>
        </w:rPr>
        <w:lastRenderedPageBreak/>
        <w:drawing>
          <wp:inline distT="0" distB="0" distL="0" distR="0" wp14:anchorId="1FE63467" wp14:editId="5D7506E4">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1944530C" w14:textId="77777777" w:rsidR="00C97F92" w:rsidRDefault="00C97F92" w:rsidP="0096655E">
      <w:pPr>
        <w:jc w:val="center"/>
        <w:rPr>
          <w:rFonts w:ascii="Arial" w:hAnsi="Arial"/>
        </w:rPr>
      </w:pPr>
      <w:r>
        <w:rPr>
          <w:rFonts w:ascii="Arial" w:hAnsi="Arial"/>
        </w:rPr>
        <w:t>Australian Capital Territory</w:t>
      </w:r>
    </w:p>
    <w:p w14:paraId="6D32B73E" w14:textId="41633C11" w:rsidR="00C97F92" w:rsidRDefault="00761C9F" w:rsidP="0096655E">
      <w:pPr>
        <w:pStyle w:val="Billname"/>
      </w:pPr>
      <w:r>
        <w:fldChar w:fldCharType="begin"/>
      </w:r>
      <w:r>
        <w:instrText xml:space="preserve"> REF Citation \*charformat  \* MERGEFORMAT </w:instrText>
      </w:r>
      <w:r>
        <w:fldChar w:fldCharType="separate"/>
      </w:r>
      <w:r w:rsidR="003175FC">
        <w:t>Casino (Electronic Gaming) Act 2017</w:t>
      </w:r>
      <w:r>
        <w:fldChar w:fldCharType="end"/>
      </w:r>
    </w:p>
    <w:p w14:paraId="4DACB517" w14:textId="77777777" w:rsidR="00C97F92" w:rsidRDefault="00C97F92" w:rsidP="0096655E">
      <w:pPr>
        <w:pStyle w:val="ActNo"/>
      </w:pPr>
    </w:p>
    <w:p w14:paraId="75AC1F06" w14:textId="77777777" w:rsidR="00C97F92" w:rsidRDefault="00C97F92" w:rsidP="0096655E">
      <w:pPr>
        <w:pStyle w:val="Placeholder"/>
      </w:pPr>
      <w:r>
        <w:rPr>
          <w:rStyle w:val="charContents"/>
          <w:sz w:val="16"/>
        </w:rPr>
        <w:t xml:space="preserve">  </w:t>
      </w:r>
      <w:r>
        <w:rPr>
          <w:rStyle w:val="charPage"/>
        </w:rPr>
        <w:t xml:space="preserve">  </w:t>
      </w:r>
    </w:p>
    <w:p w14:paraId="672F2A0E" w14:textId="77777777" w:rsidR="00C97F92" w:rsidRDefault="00C97F92" w:rsidP="0096655E">
      <w:pPr>
        <w:pStyle w:val="N-TOCheading"/>
      </w:pPr>
      <w:r>
        <w:rPr>
          <w:rStyle w:val="charContents"/>
        </w:rPr>
        <w:t>Contents</w:t>
      </w:r>
    </w:p>
    <w:p w14:paraId="176D451D" w14:textId="77777777" w:rsidR="00C97F92" w:rsidRDefault="00C97F92" w:rsidP="0096655E">
      <w:pPr>
        <w:pStyle w:val="N-9pt"/>
      </w:pPr>
      <w:r>
        <w:tab/>
      </w:r>
      <w:r>
        <w:rPr>
          <w:rStyle w:val="charPage"/>
        </w:rPr>
        <w:t>Page</w:t>
      </w:r>
    </w:p>
    <w:p w14:paraId="0E404EF0" w14:textId="190ABD97" w:rsidR="00251CCE" w:rsidRDefault="00251CCE">
      <w:pPr>
        <w:pStyle w:val="TOC2"/>
        <w:rPr>
          <w:rFonts w:asciiTheme="minorHAnsi" w:eastAsiaTheme="minorEastAsia" w:hAnsiTheme="minorHAnsi" w:cstheme="minorBidi"/>
          <w:b w:val="0"/>
          <w:kern w:val="2"/>
          <w:sz w:val="22"/>
          <w:szCs w:val="22"/>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47827570" w:history="1">
        <w:r w:rsidRPr="009F77F9">
          <w:t>Part 1</w:t>
        </w:r>
        <w:r>
          <w:rPr>
            <w:rFonts w:asciiTheme="minorHAnsi" w:eastAsiaTheme="minorEastAsia" w:hAnsiTheme="minorHAnsi" w:cstheme="minorBidi"/>
            <w:b w:val="0"/>
            <w:kern w:val="2"/>
            <w:sz w:val="22"/>
            <w:szCs w:val="22"/>
            <w:lang w:eastAsia="en-AU"/>
            <w14:ligatures w14:val="standardContextual"/>
          </w:rPr>
          <w:tab/>
        </w:r>
        <w:r w:rsidRPr="009F77F9">
          <w:t>Preliminary</w:t>
        </w:r>
        <w:r w:rsidRPr="00251CCE">
          <w:rPr>
            <w:vanish/>
          </w:rPr>
          <w:tab/>
        </w:r>
        <w:r w:rsidRPr="00251CCE">
          <w:rPr>
            <w:vanish/>
          </w:rPr>
          <w:fldChar w:fldCharType="begin"/>
        </w:r>
        <w:r w:rsidRPr="00251CCE">
          <w:rPr>
            <w:vanish/>
          </w:rPr>
          <w:instrText xml:space="preserve"> PAGEREF _Toc147827570 \h </w:instrText>
        </w:r>
        <w:r w:rsidRPr="00251CCE">
          <w:rPr>
            <w:vanish/>
          </w:rPr>
        </w:r>
        <w:r w:rsidRPr="00251CCE">
          <w:rPr>
            <w:vanish/>
          </w:rPr>
          <w:fldChar w:fldCharType="separate"/>
        </w:r>
        <w:r w:rsidR="003175FC">
          <w:rPr>
            <w:vanish/>
          </w:rPr>
          <w:t>2</w:t>
        </w:r>
        <w:r w:rsidRPr="00251CCE">
          <w:rPr>
            <w:vanish/>
          </w:rPr>
          <w:fldChar w:fldCharType="end"/>
        </w:r>
      </w:hyperlink>
    </w:p>
    <w:p w14:paraId="542113D8" w14:textId="51E25A95" w:rsidR="00251CCE" w:rsidRDefault="00251CCE">
      <w:pPr>
        <w:pStyle w:val="TOC5"/>
        <w:rPr>
          <w:rFonts w:asciiTheme="minorHAnsi" w:eastAsiaTheme="minorEastAsia" w:hAnsiTheme="minorHAnsi" w:cstheme="minorBidi"/>
          <w:kern w:val="2"/>
          <w:sz w:val="22"/>
          <w:szCs w:val="22"/>
          <w:lang w:eastAsia="en-AU"/>
          <w14:ligatures w14:val="standardContextual"/>
        </w:rPr>
      </w:pPr>
      <w:r>
        <w:tab/>
      </w:r>
      <w:hyperlink w:anchor="_Toc147827571" w:history="1">
        <w:r w:rsidRPr="009F77F9">
          <w:t>1</w:t>
        </w:r>
        <w:r>
          <w:rPr>
            <w:rFonts w:asciiTheme="minorHAnsi" w:eastAsiaTheme="minorEastAsia" w:hAnsiTheme="minorHAnsi" w:cstheme="minorBidi"/>
            <w:kern w:val="2"/>
            <w:sz w:val="22"/>
            <w:szCs w:val="22"/>
            <w:lang w:eastAsia="en-AU"/>
            <w14:ligatures w14:val="standardContextual"/>
          </w:rPr>
          <w:tab/>
        </w:r>
        <w:r w:rsidRPr="009F77F9">
          <w:t>Name of Act</w:t>
        </w:r>
        <w:r>
          <w:tab/>
        </w:r>
        <w:r>
          <w:fldChar w:fldCharType="begin"/>
        </w:r>
        <w:r>
          <w:instrText xml:space="preserve"> PAGEREF _Toc147827571 \h </w:instrText>
        </w:r>
        <w:r>
          <w:fldChar w:fldCharType="separate"/>
        </w:r>
        <w:r w:rsidR="003175FC">
          <w:t>2</w:t>
        </w:r>
        <w:r>
          <w:fldChar w:fldCharType="end"/>
        </w:r>
      </w:hyperlink>
    </w:p>
    <w:p w14:paraId="140335D4" w14:textId="3C64C3AE" w:rsidR="00251CCE" w:rsidRDefault="00251CCE">
      <w:pPr>
        <w:pStyle w:val="TOC5"/>
        <w:rPr>
          <w:rFonts w:asciiTheme="minorHAnsi" w:eastAsiaTheme="minorEastAsia" w:hAnsiTheme="minorHAnsi" w:cstheme="minorBidi"/>
          <w:kern w:val="2"/>
          <w:sz w:val="22"/>
          <w:szCs w:val="22"/>
          <w:lang w:eastAsia="en-AU"/>
          <w14:ligatures w14:val="standardContextual"/>
        </w:rPr>
      </w:pPr>
      <w:r>
        <w:tab/>
      </w:r>
      <w:hyperlink w:anchor="_Toc147827572" w:history="1">
        <w:r w:rsidRPr="009F77F9">
          <w:t>3</w:t>
        </w:r>
        <w:r>
          <w:rPr>
            <w:rFonts w:asciiTheme="minorHAnsi" w:eastAsiaTheme="minorEastAsia" w:hAnsiTheme="minorHAnsi" w:cstheme="minorBidi"/>
            <w:kern w:val="2"/>
            <w:sz w:val="22"/>
            <w:szCs w:val="22"/>
            <w:lang w:eastAsia="en-AU"/>
            <w14:ligatures w14:val="standardContextual"/>
          </w:rPr>
          <w:tab/>
        </w:r>
        <w:r w:rsidRPr="009F77F9">
          <w:t>Dictionary</w:t>
        </w:r>
        <w:r>
          <w:tab/>
        </w:r>
        <w:r>
          <w:fldChar w:fldCharType="begin"/>
        </w:r>
        <w:r>
          <w:instrText xml:space="preserve"> PAGEREF _Toc147827572 \h </w:instrText>
        </w:r>
        <w:r>
          <w:fldChar w:fldCharType="separate"/>
        </w:r>
        <w:r w:rsidR="003175FC">
          <w:t>2</w:t>
        </w:r>
        <w:r>
          <w:fldChar w:fldCharType="end"/>
        </w:r>
      </w:hyperlink>
    </w:p>
    <w:p w14:paraId="5A34B478" w14:textId="0BDC73BE" w:rsidR="00251CCE" w:rsidRDefault="00251CCE">
      <w:pPr>
        <w:pStyle w:val="TOC5"/>
        <w:rPr>
          <w:rFonts w:asciiTheme="minorHAnsi" w:eastAsiaTheme="minorEastAsia" w:hAnsiTheme="minorHAnsi" w:cstheme="minorBidi"/>
          <w:kern w:val="2"/>
          <w:sz w:val="22"/>
          <w:szCs w:val="22"/>
          <w:lang w:eastAsia="en-AU"/>
          <w14:ligatures w14:val="standardContextual"/>
        </w:rPr>
      </w:pPr>
      <w:r>
        <w:tab/>
      </w:r>
      <w:hyperlink w:anchor="_Toc147827573" w:history="1">
        <w:r w:rsidRPr="009F77F9">
          <w:t>4</w:t>
        </w:r>
        <w:r>
          <w:rPr>
            <w:rFonts w:asciiTheme="minorHAnsi" w:eastAsiaTheme="minorEastAsia" w:hAnsiTheme="minorHAnsi" w:cstheme="minorBidi"/>
            <w:kern w:val="2"/>
            <w:sz w:val="22"/>
            <w:szCs w:val="22"/>
            <w:lang w:eastAsia="en-AU"/>
            <w14:ligatures w14:val="standardContextual"/>
          </w:rPr>
          <w:tab/>
        </w:r>
        <w:r w:rsidRPr="009F77F9">
          <w:t>Notes</w:t>
        </w:r>
        <w:r>
          <w:tab/>
        </w:r>
        <w:r>
          <w:fldChar w:fldCharType="begin"/>
        </w:r>
        <w:r>
          <w:instrText xml:space="preserve"> PAGEREF _Toc147827573 \h </w:instrText>
        </w:r>
        <w:r>
          <w:fldChar w:fldCharType="separate"/>
        </w:r>
        <w:r w:rsidR="003175FC">
          <w:t>2</w:t>
        </w:r>
        <w:r>
          <w:fldChar w:fldCharType="end"/>
        </w:r>
      </w:hyperlink>
    </w:p>
    <w:p w14:paraId="32FC511C" w14:textId="744C8AA7" w:rsidR="00251CCE" w:rsidRDefault="00251CCE">
      <w:pPr>
        <w:pStyle w:val="TOC5"/>
        <w:rPr>
          <w:rFonts w:asciiTheme="minorHAnsi" w:eastAsiaTheme="minorEastAsia" w:hAnsiTheme="minorHAnsi" w:cstheme="minorBidi"/>
          <w:kern w:val="2"/>
          <w:sz w:val="22"/>
          <w:szCs w:val="22"/>
          <w:lang w:eastAsia="en-AU"/>
          <w14:ligatures w14:val="standardContextual"/>
        </w:rPr>
      </w:pPr>
      <w:r>
        <w:tab/>
      </w:r>
      <w:hyperlink w:anchor="_Toc147827574" w:history="1">
        <w:r w:rsidRPr="009F77F9">
          <w:t>5</w:t>
        </w:r>
        <w:r>
          <w:rPr>
            <w:rFonts w:asciiTheme="minorHAnsi" w:eastAsiaTheme="minorEastAsia" w:hAnsiTheme="minorHAnsi" w:cstheme="minorBidi"/>
            <w:kern w:val="2"/>
            <w:sz w:val="22"/>
            <w:szCs w:val="22"/>
            <w:lang w:eastAsia="en-AU"/>
            <w14:ligatures w14:val="standardContextual"/>
          </w:rPr>
          <w:tab/>
        </w:r>
        <w:r w:rsidRPr="009F77F9">
          <w:t>Offences against Act—application of Criminal Code etc</w:t>
        </w:r>
        <w:r>
          <w:tab/>
        </w:r>
        <w:r>
          <w:fldChar w:fldCharType="begin"/>
        </w:r>
        <w:r>
          <w:instrText xml:space="preserve"> PAGEREF _Toc147827574 \h </w:instrText>
        </w:r>
        <w:r>
          <w:fldChar w:fldCharType="separate"/>
        </w:r>
        <w:r w:rsidR="003175FC">
          <w:t>3</w:t>
        </w:r>
        <w:r>
          <w:fldChar w:fldCharType="end"/>
        </w:r>
      </w:hyperlink>
    </w:p>
    <w:p w14:paraId="14C08022" w14:textId="6331E800" w:rsidR="00251CCE" w:rsidRDefault="00251CCE">
      <w:pPr>
        <w:pStyle w:val="TOC2"/>
        <w:rPr>
          <w:rFonts w:asciiTheme="minorHAnsi" w:eastAsiaTheme="minorEastAsia" w:hAnsiTheme="minorHAnsi" w:cstheme="minorBidi"/>
          <w:b w:val="0"/>
          <w:kern w:val="2"/>
          <w:sz w:val="22"/>
          <w:szCs w:val="22"/>
          <w:lang w:eastAsia="en-AU"/>
          <w14:ligatures w14:val="standardContextual"/>
        </w:rPr>
      </w:pPr>
      <w:hyperlink w:anchor="_Toc147827575" w:history="1">
        <w:r w:rsidRPr="009F77F9">
          <w:t>Part 2</w:t>
        </w:r>
        <w:r>
          <w:rPr>
            <w:rFonts w:asciiTheme="minorHAnsi" w:eastAsiaTheme="minorEastAsia" w:hAnsiTheme="minorHAnsi" w:cstheme="minorBidi"/>
            <w:b w:val="0"/>
            <w:kern w:val="2"/>
            <w:sz w:val="22"/>
            <w:szCs w:val="22"/>
            <w:lang w:eastAsia="en-AU"/>
            <w14:ligatures w14:val="standardContextual"/>
          </w:rPr>
          <w:tab/>
        </w:r>
        <w:r w:rsidRPr="009F77F9">
          <w:t>Important concepts</w:t>
        </w:r>
        <w:r w:rsidRPr="00251CCE">
          <w:rPr>
            <w:vanish/>
          </w:rPr>
          <w:tab/>
        </w:r>
        <w:r w:rsidRPr="00251CCE">
          <w:rPr>
            <w:vanish/>
          </w:rPr>
          <w:fldChar w:fldCharType="begin"/>
        </w:r>
        <w:r w:rsidRPr="00251CCE">
          <w:rPr>
            <w:vanish/>
          </w:rPr>
          <w:instrText xml:space="preserve"> PAGEREF _Toc147827575 \h </w:instrText>
        </w:r>
        <w:r w:rsidRPr="00251CCE">
          <w:rPr>
            <w:vanish/>
          </w:rPr>
        </w:r>
        <w:r w:rsidRPr="00251CCE">
          <w:rPr>
            <w:vanish/>
          </w:rPr>
          <w:fldChar w:fldCharType="separate"/>
        </w:r>
        <w:r w:rsidR="003175FC">
          <w:rPr>
            <w:vanish/>
          </w:rPr>
          <w:t>4</w:t>
        </w:r>
        <w:r w:rsidRPr="00251CCE">
          <w:rPr>
            <w:vanish/>
          </w:rPr>
          <w:fldChar w:fldCharType="end"/>
        </w:r>
      </w:hyperlink>
    </w:p>
    <w:p w14:paraId="38004D7A" w14:textId="2ABE58AF" w:rsidR="00251CCE" w:rsidRDefault="00251CCE">
      <w:pPr>
        <w:pStyle w:val="TOC5"/>
        <w:rPr>
          <w:rFonts w:asciiTheme="minorHAnsi" w:eastAsiaTheme="minorEastAsia" w:hAnsiTheme="minorHAnsi" w:cstheme="minorBidi"/>
          <w:kern w:val="2"/>
          <w:sz w:val="22"/>
          <w:szCs w:val="22"/>
          <w:lang w:eastAsia="en-AU"/>
          <w14:ligatures w14:val="standardContextual"/>
        </w:rPr>
      </w:pPr>
      <w:r>
        <w:tab/>
      </w:r>
      <w:hyperlink w:anchor="_Toc147827576" w:history="1">
        <w:r w:rsidRPr="009F77F9">
          <w:t>6</w:t>
        </w:r>
        <w:r>
          <w:rPr>
            <w:rFonts w:asciiTheme="minorHAnsi" w:eastAsiaTheme="minorEastAsia" w:hAnsiTheme="minorHAnsi" w:cstheme="minorBidi"/>
            <w:kern w:val="2"/>
            <w:sz w:val="22"/>
            <w:szCs w:val="22"/>
            <w:lang w:eastAsia="en-AU"/>
            <w14:ligatures w14:val="standardContextual"/>
          </w:rPr>
          <w:tab/>
        </w:r>
        <w:r w:rsidRPr="009F77F9">
          <w:t>Casino gaming machine authorisation certificate—</w:t>
        </w:r>
        <w:r w:rsidRPr="009F77F9">
          <w:rPr>
            <w:i/>
          </w:rPr>
          <w:t>maximum possible number</w:t>
        </w:r>
        <w:r w:rsidRPr="009F77F9">
          <w:t xml:space="preserve"> of authorisations</w:t>
        </w:r>
        <w:r>
          <w:tab/>
        </w:r>
        <w:r>
          <w:fldChar w:fldCharType="begin"/>
        </w:r>
        <w:r>
          <w:instrText xml:space="preserve"> PAGEREF _Toc147827576 \h </w:instrText>
        </w:r>
        <w:r>
          <w:fldChar w:fldCharType="separate"/>
        </w:r>
        <w:r w:rsidR="003175FC">
          <w:t>4</w:t>
        </w:r>
        <w:r>
          <w:fldChar w:fldCharType="end"/>
        </w:r>
      </w:hyperlink>
    </w:p>
    <w:p w14:paraId="7EA912D7" w14:textId="7F6702E6" w:rsidR="00251CCE" w:rsidRDefault="00251CCE">
      <w:pPr>
        <w:pStyle w:val="TOC5"/>
        <w:rPr>
          <w:rFonts w:asciiTheme="minorHAnsi" w:eastAsiaTheme="minorEastAsia" w:hAnsiTheme="minorHAnsi" w:cstheme="minorBidi"/>
          <w:kern w:val="2"/>
          <w:sz w:val="22"/>
          <w:szCs w:val="22"/>
          <w:lang w:eastAsia="en-AU"/>
          <w14:ligatures w14:val="standardContextual"/>
        </w:rPr>
      </w:pPr>
      <w:r>
        <w:tab/>
      </w:r>
      <w:hyperlink w:anchor="_Toc147827577" w:history="1">
        <w:r w:rsidRPr="009F77F9">
          <w:t>7</w:t>
        </w:r>
        <w:r>
          <w:rPr>
            <w:rFonts w:asciiTheme="minorHAnsi" w:eastAsiaTheme="minorEastAsia" w:hAnsiTheme="minorHAnsi" w:cstheme="minorBidi"/>
            <w:kern w:val="2"/>
            <w:sz w:val="22"/>
            <w:szCs w:val="22"/>
            <w:lang w:eastAsia="en-AU"/>
            <w14:ligatures w14:val="standardContextual"/>
          </w:rPr>
          <w:tab/>
        </w:r>
        <w:r w:rsidRPr="009F77F9">
          <w:t>Casino FATG authorisation certificate—</w:t>
        </w:r>
        <w:r w:rsidRPr="009F77F9">
          <w:rPr>
            <w:i/>
          </w:rPr>
          <w:t>maximum possible number</w:t>
        </w:r>
        <w:r w:rsidRPr="009F77F9">
          <w:t xml:space="preserve"> of authorisations</w:t>
        </w:r>
        <w:r>
          <w:tab/>
        </w:r>
        <w:r>
          <w:fldChar w:fldCharType="begin"/>
        </w:r>
        <w:r>
          <w:instrText xml:space="preserve"> PAGEREF _Toc147827577 \h </w:instrText>
        </w:r>
        <w:r>
          <w:fldChar w:fldCharType="separate"/>
        </w:r>
        <w:r w:rsidR="003175FC">
          <w:t>4</w:t>
        </w:r>
        <w:r>
          <w:fldChar w:fldCharType="end"/>
        </w:r>
      </w:hyperlink>
    </w:p>
    <w:p w14:paraId="3744B3EC" w14:textId="1747A9DA" w:rsidR="00251CCE" w:rsidRDefault="00251CCE">
      <w:pPr>
        <w:pStyle w:val="TOC5"/>
        <w:rPr>
          <w:rFonts w:asciiTheme="minorHAnsi" w:eastAsiaTheme="minorEastAsia" w:hAnsiTheme="minorHAnsi" w:cstheme="minorBidi"/>
          <w:kern w:val="2"/>
          <w:sz w:val="22"/>
          <w:szCs w:val="22"/>
          <w:lang w:eastAsia="en-AU"/>
          <w14:ligatures w14:val="standardContextual"/>
        </w:rPr>
      </w:pPr>
      <w:r>
        <w:tab/>
      </w:r>
      <w:hyperlink w:anchor="_Toc147827578" w:history="1">
        <w:r w:rsidRPr="009F77F9">
          <w:t>8</w:t>
        </w:r>
        <w:r>
          <w:rPr>
            <w:rFonts w:asciiTheme="minorHAnsi" w:eastAsiaTheme="minorEastAsia" w:hAnsiTheme="minorHAnsi" w:cstheme="minorBidi"/>
            <w:kern w:val="2"/>
            <w:sz w:val="22"/>
            <w:szCs w:val="22"/>
            <w:lang w:eastAsia="en-AU"/>
            <w14:ligatures w14:val="standardContextual"/>
          </w:rPr>
          <w:tab/>
        </w:r>
        <w:r w:rsidRPr="009F77F9">
          <w:t xml:space="preserve">Meaning of </w:t>
        </w:r>
        <w:r w:rsidRPr="009F77F9">
          <w:rPr>
            <w:i/>
          </w:rPr>
          <w:t>social impact assessment</w:t>
        </w:r>
        <w:r>
          <w:tab/>
        </w:r>
        <w:r>
          <w:fldChar w:fldCharType="begin"/>
        </w:r>
        <w:r>
          <w:instrText xml:space="preserve"> PAGEREF _Toc147827578 \h </w:instrText>
        </w:r>
        <w:r>
          <w:fldChar w:fldCharType="separate"/>
        </w:r>
        <w:r w:rsidR="003175FC">
          <w:t>4</w:t>
        </w:r>
        <w:r>
          <w:fldChar w:fldCharType="end"/>
        </w:r>
      </w:hyperlink>
    </w:p>
    <w:p w14:paraId="61B73B46" w14:textId="7F86EDA8" w:rsidR="00251CCE" w:rsidRDefault="00251CCE">
      <w:pPr>
        <w:pStyle w:val="TOC5"/>
        <w:rPr>
          <w:rFonts w:asciiTheme="minorHAnsi" w:eastAsiaTheme="minorEastAsia" w:hAnsiTheme="minorHAnsi" w:cstheme="minorBidi"/>
          <w:kern w:val="2"/>
          <w:sz w:val="22"/>
          <w:szCs w:val="22"/>
          <w:lang w:eastAsia="en-AU"/>
          <w14:ligatures w14:val="standardContextual"/>
        </w:rPr>
      </w:pPr>
      <w:r>
        <w:tab/>
      </w:r>
      <w:hyperlink w:anchor="_Toc147827579" w:history="1">
        <w:r w:rsidRPr="009F77F9">
          <w:t>9</w:t>
        </w:r>
        <w:r>
          <w:rPr>
            <w:rFonts w:asciiTheme="minorHAnsi" w:eastAsiaTheme="minorEastAsia" w:hAnsiTheme="minorHAnsi" w:cstheme="minorBidi"/>
            <w:kern w:val="2"/>
            <w:sz w:val="22"/>
            <w:szCs w:val="22"/>
            <w:lang w:eastAsia="en-AU"/>
            <w14:ligatures w14:val="standardContextual"/>
          </w:rPr>
          <w:tab/>
        </w:r>
        <w:r w:rsidRPr="009F77F9">
          <w:t>Social impact assessment—publication</w:t>
        </w:r>
        <w:r>
          <w:tab/>
        </w:r>
        <w:r>
          <w:fldChar w:fldCharType="begin"/>
        </w:r>
        <w:r>
          <w:instrText xml:space="preserve"> PAGEREF _Toc147827579 \h </w:instrText>
        </w:r>
        <w:r>
          <w:fldChar w:fldCharType="separate"/>
        </w:r>
        <w:r w:rsidR="003175FC">
          <w:t>5</w:t>
        </w:r>
        <w:r>
          <w:fldChar w:fldCharType="end"/>
        </w:r>
      </w:hyperlink>
    </w:p>
    <w:p w14:paraId="4D69E4C4" w14:textId="347F927A" w:rsidR="00251CCE" w:rsidRDefault="00251CCE">
      <w:pPr>
        <w:pStyle w:val="TOC2"/>
        <w:rPr>
          <w:rFonts w:asciiTheme="minorHAnsi" w:eastAsiaTheme="minorEastAsia" w:hAnsiTheme="minorHAnsi" w:cstheme="minorBidi"/>
          <w:b w:val="0"/>
          <w:kern w:val="2"/>
          <w:sz w:val="22"/>
          <w:szCs w:val="22"/>
          <w:lang w:eastAsia="en-AU"/>
          <w14:ligatures w14:val="standardContextual"/>
        </w:rPr>
      </w:pPr>
      <w:hyperlink w:anchor="_Toc147827580" w:history="1">
        <w:r w:rsidRPr="009F77F9">
          <w:t>Part 3</w:t>
        </w:r>
        <w:r>
          <w:rPr>
            <w:rFonts w:asciiTheme="minorHAnsi" w:eastAsiaTheme="minorEastAsia" w:hAnsiTheme="minorHAnsi" w:cstheme="minorBidi"/>
            <w:b w:val="0"/>
            <w:kern w:val="2"/>
            <w:sz w:val="22"/>
            <w:szCs w:val="22"/>
            <w:lang w:eastAsia="en-AU"/>
            <w14:ligatures w14:val="standardContextual"/>
          </w:rPr>
          <w:tab/>
        </w:r>
        <w:r w:rsidRPr="009F77F9">
          <w:t>Authorisations for electronic gaming</w:t>
        </w:r>
        <w:r w:rsidRPr="00251CCE">
          <w:rPr>
            <w:vanish/>
          </w:rPr>
          <w:tab/>
        </w:r>
        <w:r w:rsidRPr="00251CCE">
          <w:rPr>
            <w:vanish/>
          </w:rPr>
          <w:fldChar w:fldCharType="begin"/>
        </w:r>
        <w:r w:rsidRPr="00251CCE">
          <w:rPr>
            <w:vanish/>
          </w:rPr>
          <w:instrText xml:space="preserve"> PAGEREF _Toc147827580 \h </w:instrText>
        </w:r>
        <w:r w:rsidRPr="00251CCE">
          <w:rPr>
            <w:vanish/>
          </w:rPr>
        </w:r>
        <w:r w:rsidRPr="00251CCE">
          <w:rPr>
            <w:vanish/>
          </w:rPr>
          <w:fldChar w:fldCharType="separate"/>
        </w:r>
        <w:r w:rsidR="003175FC">
          <w:rPr>
            <w:vanish/>
          </w:rPr>
          <w:t>7</w:t>
        </w:r>
        <w:r w:rsidRPr="00251CCE">
          <w:rPr>
            <w:vanish/>
          </w:rPr>
          <w:fldChar w:fldCharType="end"/>
        </w:r>
      </w:hyperlink>
    </w:p>
    <w:p w14:paraId="727A021A" w14:textId="6892FBE0" w:rsidR="00251CCE" w:rsidRDefault="00251CCE">
      <w:pPr>
        <w:pStyle w:val="TOC3"/>
        <w:rPr>
          <w:rFonts w:asciiTheme="minorHAnsi" w:eastAsiaTheme="minorEastAsia" w:hAnsiTheme="minorHAnsi" w:cstheme="minorBidi"/>
          <w:b w:val="0"/>
          <w:kern w:val="2"/>
          <w:sz w:val="22"/>
          <w:szCs w:val="22"/>
          <w:lang w:eastAsia="en-AU"/>
          <w14:ligatures w14:val="standardContextual"/>
        </w:rPr>
      </w:pPr>
      <w:hyperlink w:anchor="_Toc147827581" w:history="1">
        <w:r w:rsidRPr="009F77F9">
          <w:t>Division 3.1</w:t>
        </w:r>
        <w:r>
          <w:rPr>
            <w:rFonts w:asciiTheme="minorHAnsi" w:eastAsiaTheme="minorEastAsia" w:hAnsiTheme="minorHAnsi" w:cstheme="minorBidi"/>
            <w:b w:val="0"/>
            <w:kern w:val="2"/>
            <w:sz w:val="22"/>
            <w:szCs w:val="22"/>
            <w:lang w:eastAsia="en-AU"/>
            <w14:ligatures w14:val="standardContextual"/>
          </w:rPr>
          <w:tab/>
        </w:r>
        <w:r w:rsidRPr="009F77F9">
          <w:t>Casino gaming machine authorisation certificate</w:t>
        </w:r>
        <w:r w:rsidRPr="00251CCE">
          <w:rPr>
            <w:vanish/>
          </w:rPr>
          <w:tab/>
        </w:r>
        <w:r w:rsidRPr="00251CCE">
          <w:rPr>
            <w:vanish/>
          </w:rPr>
          <w:fldChar w:fldCharType="begin"/>
        </w:r>
        <w:r w:rsidRPr="00251CCE">
          <w:rPr>
            <w:vanish/>
          </w:rPr>
          <w:instrText xml:space="preserve"> PAGEREF _Toc147827581 \h </w:instrText>
        </w:r>
        <w:r w:rsidRPr="00251CCE">
          <w:rPr>
            <w:vanish/>
          </w:rPr>
        </w:r>
        <w:r w:rsidRPr="00251CCE">
          <w:rPr>
            <w:vanish/>
          </w:rPr>
          <w:fldChar w:fldCharType="separate"/>
        </w:r>
        <w:r w:rsidR="003175FC">
          <w:rPr>
            <w:vanish/>
          </w:rPr>
          <w:t>7</w:t>
        </w:r>
        <w:r w:rsidRPr="00251CCE">
          <w:rPr>
            <w:vanish/>
          </w:rPr>
          <w:fldChar w:fldCharType="end"/>
        </w:r>
      </w:hyperlink>
    </w:p>
    <w:p w14:paraId="4DAF838D" w14:textId="46B191CD" w:rsidR="00251CCE" w:rsidRDefault="00251CCE">
      <w:pPr>
        <w:pStyle w:val="TOC5"/>
        <w:rPr>
          <w:rFonts w:asciiTheme="minorHAnsi" w:eastAsiaTheme="minorEastAsia" w:hAnsiTheme="minorHAnsi" w:cstheme="minorBidi"/>
          <w:kern w:val="2"/>
          <w:sz w:val="22"/>
          <w:szCs w:val="22"/>
          <w:lang w:eastAsia="en-AU"/>
          <w14:ligatures w14:val="standardContextual"/>
        </w:rPr>
      </w:pPr>
      <w:r>
        <w:tab/>
      </w:r>
      <w:hyperlink w:anchor="_Toc147827582" w:history="1">
        <w:r w:rsidRPr="009F77F9">
          <w:t>10</w:t>
        </w:r>
        <w:r>
          <w:rPr>
            <w:rFonts w:asciiTheme="minorHAnsi" w:eastAsiaTheme="minorEastAsia" w:hAnsiTheme="minorHAnsi" w:cstheme="minorBidi"/>
            <w:kern w:val="2"/>
            <w:sz w:val="22"/>
            <w:szCs w:val="22"/>
            <w:lang w:eastAsia="en-AU"/>
            <w14:ligatures w14:val="standardContextual"/>
          </w:rPr>
          <w:tab/>
        </w:r>
        <w:r w:rsidRPr="009F77F9">
          <w:t>Casino gaming machine authorisation certificate—application</w:t>
        </w:r>
        <w:r>
          <w:tab/>
        </w:r>
        <w:r>
          <w:fldChar w:fldCharType="begin"/>
        </w:r>
        <w:r>
          <w:instrText xml:space="preserve"> PAGEREF _Toc147827582 \h </w:instrText>
        </w:r>
        <w:r>
          <w:fldChar w:fldCharType="separate"/>
        </w:r>
        <w:r w:rsidR="003175FC">
          <w:t>7</w:t>
        </w:r>
        <w:r>
          <w:fldChar w:fldCharType="end"/>
        </w:r>
      </w:hyperlink>
    </w:p>
    <w:p w14:paraId="61568579" w14:textId="3B7521B3" w:rsidR="00251CCE" w:rsidRDefault="00251CCE">
      <w:pPr>
        <w:pStyle w:val="TOC5"/>
        <w:rPr>
          <w:rFonts w:asciiTheme="minorHAnsi" w:eastAsiaTheme="minorEastAsia" w:hAnsiTheme="minorHAnsi" w:cstheme="minorBidi"/>
          <w:kern w:val="2"/>
          <w:sz w:val="22"/>
          <w:szCs w:val="22"/>
          <w:lang w:eastAsia="en-AU"/>
          <w14:ligatures w14:val="standardContextual"/>
        </w:rPr>
      </w:pPr>
      <w:r>
        <w:tab/>
      </w:r>
      <w:hyperlink w:anchor="_Toc147827583" w:history="1">
        <w:r w:rsidRPr="009F77F9">
          <w:t>11</w:t>
        </w:r>
        <w:r>
          <w:rPr>
            <w:rFonts w:asciiTheme="minorHAnsi" w:eastAsiaTheme="minorEastAsia" w:hAnsiTheme="minorHAnsi" w:cstheme="minorBidi"/>
            <w:kern w:val="2"/>
            <w:sz w:val="22"/>
            <w:szCs w:val="22"/>
            <w:lang w:eastAsia="en-AU"/>
            <w14:ligatures w14:val="standardContextual"/>
          </w:rPr>
          <w:tab/>
        </w:r>
        <w:r w:rsidRPr="009F77F9">
          <w:t>Casino gaming machine authorisation certificate—decision on application</w:t>
        </w:r>
        <w:r>
          <w:tab/>
        </w:r>
        <w:r>
          <w:fldChar w:fldCharType="begin"/>
        </w:r>
        <w:r>
          <w:instrText xml:space="preserve"> PAGEREF _Toc147827583 \h </w:instrText>
        </w:r>
        <w:r>
          <w:fldChar w:fldCharType="separate"/>
        </w:r>
        <w:r w:rsidR="003175FC">
          <w:t>8</w:t>
        </w:r>
        <w:r>
          <w:fldChar w:fldCharType="end"/>
        </w:r>
      </w:hyperlink>
    </w:p>
    <w:p w14:paraId="4F4B5736" w14:textId="218AD14F" w:rsidR="00251CCE" w:rsidRDefault="00251CCE">
      <w:pPr>
        <w:pStyle w:val="TOC5"/>
        <w:rPr>
          <w:rFonts w:asciiTheme="minorHAnsi" w:eastAsiaTheme="minorEastAsia" w:hAnsiTheme="minorHAnsi" w:cstheme="minorBidi"/>
          <w:kern w:val="2"/>
          <w:sz w:val="22"/>
          <w:szCs w:val="22"/>
          <w:lang w:eastAsia="en-AU"/>
          <w14:ligatures w14:val="standardContextual"/>
        </w:rPr>
      </w:pPr>
      <w:r>
        <w:tab/>
      </w:r>
      <w:hyperlink w:anchor="_Toc147827584" w:history="1">
        <w:r w:rsidRPr="009F77F9">
          <w:t>12</w:t>
        </w:r>
        <w:r>
          <w:rPr>
            <w:rFonts w:asciiTheme="minorHAnsi" w:eastAsiaTheme="minorEastAsia" w:hAnsiTheme="minorHAnsi" w:cstheme="minorBidi"/>
            <w:kern w:val="2"/>
            <w:sz w:val="22"/>
            <w:szCs w:val="22"/>
            <w:lang w:eastAsia="en-AU"/>
            <w14:ligatures w14:val="standardContextual"/>
          </w:rPr>
          <w:tab/>
        </w:r>
        <w:r w:rsidRPr="009F77F9">
          <w:t>Casino gaming machine authorisation certificate—form</w:t>
        </w:r>
        <w:r>
          <w:tab/>
        </w:r>
        <w:r>
          <w:fldChar w:fldCharType="begin"/>
        </w:r>
        <w:r>
          <w:instrText xml:space="preserve"> PAGEREF _Toc147827584 \h </w:instrText>
        </w:r>
        <w:r>
          <w:fldChar w:fldCharType="separate"/>
        </w:r>
        <w:r w:rsidR="003175FC">
          <w:t>8</w:t>
        </w:r>
        <w:r>
          <w:fldChar w:fldCharType="end"/>
        </w:r>
      </w:hyperlink>
    </w:p>
    <w:p w14:paraId="185D8DCF" w14:textId="5A34BA77" w:rsidR="00251CCE" w:rsidRDefault="00251CCE">
      <w:pPr>
        <w:pStyle w:val="TOC3"/>
        <w:rPr>
          <w:rFonts w:asciiTheme="minorHAnsi" w:eastAsiaTheme="minorEastAsia" w:hAnsiTheme="minorHAnsi" w:cstheme="minorBidi"/>
          <w:b w:val="0"/>
          <w:kern w:val="2"/>
          <w:sz w:val="22"/>
          <w:szCs w:val="22"/>
          <w:lang w:eastAsia="en-AU"/>
          <w14:ligatures w14:val="standardContextual"/>
        </w:rPr>
      </w:pPr>
      <w:hyperlink w:anchor="_Toc147827585" w:history="1">
        <w:r w:rsidRPr="009F77F9">
          <w:t>Division 3.2</w:t>
        </w:r>
        <w:r>
          <w:rPr>
            <w:rFonts w:asciiTheme="minorHAnsi" w:eastAsiaTheme="minorEastAsia" w:hAnsiTheme="minorHAnsi" w:cstheme="minorBidi"/>
            <w:b w:val="0"/>
            <w:kern w:val="2"/>
            <w:sz w:val="22"/>
            <w:szCs w:val="22"/>
            <w:lang w:eastAsia="en-AU"/>
            <w14:ligatures w14:val="standardContextual"/>
          </w:rPr>
          <w:tab/>
        </w:r>
        <w:r w:rsidRPr="009F77F9">
          <w:t>Casino FATG authorisation certificate</w:t>
        </w:r>
        <w:r w:rsidRPr="00251CCE">
          <w:rPr>
            <w:vanish/>
          </w:rPr>
          <w:tab/>
        </w:r>
        <w:r w:rsidRPr="00251CCE">
          <w:rPr>
            <w:vanish/>
          </w:rPr>
          <w:fldChar w:fldCharType="begin"/>
        </w:r>
        <w:r w:rsidRPr="00251CCE">
          <w:rPr>
            <w:vanish/>
          </w:rPr>
          <w:instrText xml:space="preserve"> PAGEREF _Toc147827585 \h </w:instrText>
        </w:r>
        <w:r w:rsidRPr="00251CCE">
          <w:rPr>
            <w:vanish/>
          </w:rPr>
        </w:r>
        <w:r w:rsidRPr="00251CCE">
          <w:rPr>
            <w:vanish/>
          </w:rPr>
          <w:fldChar w:fldCharType="separate"/>
        </w:r>
        <w:r w:rsidR="003175FC">
          <w:rPr>
            <w:vanish/>
          </w:rPr>
          <w:t>9</w:t>
        </w:r>
        <w:r w:rsidRPr="00251CCE">
          <w:rPr>
            <w:vanish/>
          </w:rPr>
          <w:fldChar w:fldCharType="end"/>
        </w:r>
      </w:hyperlink>
    </w:p>
    <w:p w14:paraId="5815F3D9" w14:textId="0B45D170" w:rsidR="00251CCE" w:rsidRDefault="00251CCE">
      <w:pPr>
        <w:pStyle w:val="TOC5"/>
        <w:rPr>
          <w:rFonts w:asciiTheme="minorHAnsi" w:eastAsiaTheme="minorEastAsia" w:hAnsiTheme="minorHAnsi" w:cstheme="minorBidi"/>
          <w:kern w:val="2"/>
          <w:sz w:val="22"/>
          <w:szCs w:val="22"/>
          <w:lang w:eastAsia="en-AU"/>
          <w14:ligatures w14:val="standardContextual"/>
        </w:rPr>
      </w:pPr>
      <w:r>
        <w:tab/>
      </w:r>
      <w:hyperlink w:anchor="_Toc147827586" w:history="1">
        <w:r w:rsidRPr="009F77F9">
          <w:t>13</w:t>
        </w:r>
        <w:r>
          <w:rPr>
            <w:rFonts w:asciiTheme="minorHAnsi" w:eastAsiaTheme="minorEastAsia" w:hAnsiTheme="minorHAnsi" w:cstheme="minorBidi"/>
            <w:kern w:val="2"/>
            <w:sz w:val="22"/>
            <w:szCs w:val="22"/>
            <w:lang w:eastAsia="en-AU"/>
            <w14:ligatures w14:val="standardContextual"/>
          </w:rPr>
          <w:tab/>
        </w:r>
        <w:r w:rsidRPr="009F77F9">
          <w:t>Casino FATG authorisation certificate—application</w:t>
        </w:r>
        <w:r>
          <w:tab/>
        </w:r>
        <w:r>
          <w:fldChar w:fldCharType="begin"/>
        </w:r>
        <w:r>
          <w:instrText xml:space="preserve"> PAGEREF _Toc147827586 \h </w:instrText>
        </w:r>
        <w:r>
          <w:fldChar w:fldCharType="separate"/>
        </w:r>
        <w:r w:rsidR="003175FC">
          <w:t>9</w:t>
        </w:r>
        <w:r>
          <w:fldChar w:fldCharType="end"/>
        </w:r>
      </w:hyperlink>
    </w:p>
    <w:p w14:paraId="5D38A7C5" w14:textId="28A2C9B1" w:rsidR="00251CCE" w:rsidRDefault="00251CCE">
      <w:pPr>
        <w:pStyle w:val="TOC5"/>
        <w:rPr>
          <w:rFonts w:asciiTheme="minorHAnsi" w:eastAsiaTheme="minorEastAsia" w:hAnsiTheme="minorHAnsi" w:cstheme="minorBidi"/>
          <w:kern w:val="2"/>
          <w:sz w:val="22"/>
          <w:szCs w:val="22"/>
          <w:lang w:eastAsia="en-AU"/>
          <w14:ligatures w14:val="standardContextual"/>
        </w:rPr>
      </w:pPr>
      <w:r>
        <w:tab/>
      </w:r>
      <w:hyperlink w:anchor="_Toc147827587" w:history="1">
        <w:r w:rsidRPr="009F77F9">
          <w:t>14</w:t>
        </w:r>
        <w:r>
          <w:rPr>
            <w:rFonts w:asciiTheme="minorHAnsi" w:eastAsiaTheme="minorEastAsia" w:hAnsiTheme="minorHAnsi" w:cstheme="minorBidi"/>
            <w:kern w:val="2"/>
            <w:sz w:val="22"/>
            <w:szCs w:val="22"/>
            <w:lang w:eastAsia="en-AU"/>
            <w14:ligatures w14:val="standardContextual"/>
          </w:rPr>
          <w:tab/>
        </w:r>
        <w:r w:rsidRPr="009F77F9">
          <w:t>Casino FATG authorisation certificate—decision on application</w:t>
        </w:r>
        <w:r>
          <w:tab/>
        </w:r>
        <w:r>
          <w:fldChar w:fldCharType="begin"/>
        </w:r>
        <w:r>
          <w:instrText xml:space="preserve"> PAGEREF _Toc147827587 \h </w:instrText>
        </w:r>
        <w:r>
          <w:fldChar w:fldCharType="separate"/>
        </w:r>
        <w:r w:rsidR="003175FC">
          <w:t>10</w:t>
        </w:r>
        <w:r>
          <w:fldChar w:fldCharType="end"/>
        </w:r>
      </w:hyperlink>
    </w:p>
    <w:p w14:paraId="61890589" w14:textId="5A934D41" w:rsidR="00251CCE" w:rsidRDefault="00251CCE">
      <w:pPr>
        <w:pStyle w:val="TOC5"/>
        <w:rPr>
          <w:rFonts w:asciiTheme="minorHAnsi" w:eastAsiaTheme="minorEastAsia" w:hAnsiTheme="minorHAnsi" w:cstheme="minorBidi"/>
          <w:kern w:val="2"/>
          <w:sz w:val="22"/>
          <w:szCs w:val="22"/>
          <w:lang w:eastAsia="en-AU"/>
          <w14:ligatures w14:val="standardContextual"/>
        </w:rPr>
      </w:pPr>
      <w:r>
        <w:tab/>
      </w:r>
      <w:hyperlink w:anchor="_Toc147827588" w:history="1">
        <w:r w:rsidRPr="009F77F9">
          <w:t>15</w:t>
        </w:r>
        <w:r>
          <w:rPr>
            <w:rFonts w:asciiTheme="minorHAnsi" w:eastAsiaTheme="minorEastAsia" w:hAnsiTheme="minorHAnsi" w:cstheme="minorBidi"/>
            <w:kern w:val="2"/>
            <w:sz w:val="22"/>
            <w:szCs w:val="22"/>
            <w:lang w:eastAsia="en-AU"/>
            <w14:ligatures w14:val="standardContextual"/>
          </w:rPr>
          <w:tab/>
        </w:r>
        <w:r w:rsidRPr="009F77F9">
          <w:t>Casino FATG authorisation certificate—form</w:t>
        </w:r>
        <w:r>
          <w:tab/>
        </w:r>
        <w:r>
          <w:fldChar w:fldCharType="begin"/>
        </w:r>
        <w:r>
          <w:instrText xml:space="preserve"> PAGEREF _Toc147827588 \h </w:instrText>
        </w:r>
        <w:r>
          <w:fldChar w:fldCharType="separate"/>
        </w:r>
        <w:r w:rsidR="003175FC">
          <w:t>11</w:t>
        </w:r>
        <w:r>
          <w:fldChar w:fldCharType="end"/>
        </w:r>
      </w:hyperlink>
    </w:p>
    <w:p w14:paraId="60A631DC" w14:textId="1E0C7A81" w:rsidR="00251CCE" w:rsidRDefault="00251CCE">
      <w:pPr>
        <w:pStyle w:val="TOC2"/>
        <w:rPr>
          <w:rFonts w:asciiTheme="minorHAnsi" w:eastAsiaTheme="minorEastAsia" w:hAnsiTheme="minorHAnsi" w:cstheme="minorBidi"/>
          <w:b w:val="0"/>
          <w:kern w:val="2"/>
          <w:sz w:val="22"/>
          <w:szCs w:val="22"/>
          <w:lang w:eastAsia="en-AU"/>
          <w14:ligatures w14:val="standardContextual"/>
        </w:rPr>
      </w:pPr>
      <w:hyperlink w:anchor="_Toc147827589" w:history="1">
        <w:r w:rsidRPr="009F77F9">
          <w:t>Part 4</w:t>
        </w:r>
        <w:r>
          <w:rPr>
            <w:rFonts w:asciiTheme="minorHAnsi" w:eastAsiaTheme="minorEastAsia" w:hAnsiTheme="minorHAnsi" w:cstheme="minorBidi"/>
            <w:b w:val="0"/>
            <w:kern w:val="2"/>
            <w:sz w:val="22"/>
            <w:szCs w:val="22"/>
            <w:lang w:eastAsia="en-AU"/>
            <w14:ligatures w14:val="standardContextual"/>
          </w:rPr>
          <w:tab/>
        </w:r>
        <w:r w:rsidRPr="009F77F9">
          <w:t>Acquiring authorisations</w:t>
        </w:r>
        <w:r w:rsidRPr="00251CCE">
          <w:rPr>
            <w:vanish/>
          </w:rPr>
          <w:tab/>
        </w:r>
        <w:r w:rsidRPr="00251CCE">
          <w:rPr>
            <w:vanish/>
          </w:rPr>
          <w:fldChar w:fldCharType="begin"/>
        </w:r>
        <w:r w:rsidRPr="00251CCE">
          <w:rPr>
            <w:vanish/>
          </w:rPr>
          <w:instrText xml:space="preserve"> PAGEREF _Toc147827589 \h </w:instrText>
        </w:r>
        <w:r w:rsidRPr="00251CCE">
          <w:rPr>
            <w:vanish/>
          </w:rPr>
        </w:r>
        <w:r w:rsidRPr="00251CCE">
          <w:rPr>
            <w:vanish/>
          </w:rPr>
          <w:fldChar w:fldCharType="separate"/>
        </w:r>
        <w:r w:rsidR="003175FC">
          <w:rPr>
            <w:vanish/>
          </w:rPr>
          <w:t>12</w:t>
        </w:r>
        <w:r w:rsidRPr="00251CCE">
          <w:rPr>
            <w:vanish/>
          </w:rPr>
          <w:fldChar w:fldCharType="end"/>
        </w:r>
      </w:hyperlink>
    </w:p>
    <w:p w14:paraId="62D39DA3" w14:textId="0C403C78" w:rsidR="00251CCE" w:rsidRDefault="00251CCE">
      <w:pPr>
        <w:pStyle w:val="TOC5"/>
        <w:rPr>
          <w:rFonts w:asciiTheme="minorHAnsi" w:eastAsiaTheme="minorEastAsia" w:hAnsiTheme="minorHAnsi" w:cstheme="minorBidi"/>
          <w:kern w:val="2"/>
          <w:sz w:val="22"/>
          <w:szCs w:val="22"/>
          <w:lang w:eastAsia="en-AU"/>
          <w14:ligatures w14:val="standardContextual"/>
        </w:rPr>
      </w:pPr>
      <w:r>
        <w:tab/>
      </w:r>
      <w:hyperlink w:anchor="_Toc147827590" w:history="1">
        <w:r w:rsidRPr="009F77F9">
          <w:t>16</w:t>
        </w:r>
        <w:r>
          <w:rPr>
            <w:rFonts w:asciiTheme="minorHAnsi" w:eastAsiaTheme="minorEastAsia" w:hAnsiTheme="minorHAnsi" w:cstheme="minorBidi"/>
            <w:kern w:val="2"/>
            <w:sz w:val="22"/>
            <w:szCs w:val="22"/>
            <w:lang w:eastAsia="en-AU"/>
            <w14:ligatures w14:val="standardContextual"/>
          </w:rPr>
          <w:tab/>
        </w:r>
        <w:r w:rsidRPr="009F77F9">
          <w:t>Acquiring authorisations for casino gaming machines and casino FATG terminals</w:t>
        </w:r>
        <w:r>
          <w:tab/>
        </w:r>
        <w:r>
          <w:fldChar w:fldCharType="begin"/>
        </w:r>
        <w:r>
          <w:instrText xml:space="preserve"> PAGEREF _Toc147827590 \h </w:instrText>
        </w:r>
        <w:r>
          <w:fldChar w:fldCharType="separate"/>
        </w:r>
        <w:r w:rsidR="003175FC">
          <w:t>12</w:t>
        </w:r>
        <w:r>
          <w:fldChar w:fldCharType="end"/>
        </w:r>
      </w:hyperlink>
    </w:p>
    <w:p w14:paraId="6B535273" w14:textId="520CB1A9" w:rsidR="00251CCE" w:rsidRDefault="00251CCE">
      <w:pPr>
        <w:pStyle w:val="TOC5"/>
        <w:rPr>
          <w:rFonts w:asciiTheme="minorHAnsi" w:eastAsiaTheme="minorEastAsia" w:hAnsiTheme="minorHAnsi" w:cstheme="minorBidi"/>
          <w:kern w:val="2"/>
          <w:sz w:val="22"/>
          <w:szCs w:val="22"/>
          <w:lang w:eastAsia="en-AU"/>
          <w14:ligatures w14:val="standardContextual"/>
        </w:rPr>
      </w:pPr>
      <w:r>
        <w:tab/>
      </w:r>
      <w:hyperlink w:anchor="_Toc147827591" w:history="1">
        <w:r w:rsidRPr="009F77F9">
          <w:t>17</w:t>
        </w:r>
        <w:r>
          <w:rPr>
            <w:rFonts w:asciiTheme="minorHAnsi" w:eastAsiaTheme="minorEastAsia" w:hAnsiTheme="minorHAnsi" w:cstheme="minorBidi"/>
            <w:kern w:val="2"/>
            <w:sz w:val="22"/>
            <w:szCs w:val="22"/>
            <w:lang w:eastAsia="en-AU"/>
            <w14:ligatures w14:val="standardContextual"/>
          </w:rPr>
          <w:tab/>
        </w:r>
        <w:r w:rsidRPr="009F77F9">
          <w:t>Acquiring authorisations—forfeiture requirement</w:t>
        </w:r>
        <w:r>
          <w:tab/>
        </w:r>
        <w:r>
          <w:fldChar w:fldCharType="begin"/>
        </w:r>
        <w:r>
          <w:instrText xml:space="preserve"> PAGEREF _Toc147827591 \h </w:instrText>
        </w:r>
        <w:r>
          <w:fldChar w:fldCharType="separate"/>
        </w:r>
        <w:r w:rsidR="003175FC">
          <w:t>13</w:t>
        </w:r>
        <w:r>
          <w:fldChar w:fldCharType="end"/>
        </w:r>
      </w:hyperlink>
    </w:p>
    <w:p w14:paraId="768EF69E" w14:textId="7A8B7562" w:rsidR="00251CCE" w:rsidRDefault="00251CCE">
      <w:pPr>
        <w:pStyle w:val="TOC5"/>
        <w:rPr>
          <w:rFonts w:asciiTheme="minorHAnsi" w:eastAsiaTheme="minorEastAsia" w:hAnsiTheme="minorHAnsi" w:cstheme="minorBidi"/>
          <w:kern w:val="2"/>
          <w:sz w:val="22"/>
          <w:szCs w:val="22"/>
          <w:lang w:eastAsia="en-AU"/>
          <w14:ligatures w14:val="standardContextual"/>
        </w:rPr>
      </w:pPr>
      <w:r>
        <w:tab/>
      </w:r>
      <w:hyperlink w:anchor="_Toc147827592" w:history="1">
        <w:r w:rsidRPr="009F77F9">
          <w:t>18</w:t>
        </w:r>
        <w:r>
          <w:rPr>
            <w:rFonts w:asciiTheme="minorHAnsi" w:eastAsiaTheme="minorEastAsia" w:hAnsiTheme="minorHAnsi" w:cstheme="minorBidi"/>
            <w:kern w:val="2"/>
            <w:sz w:val="22"/>
            <w:szCs w:val="22"/>
            <w:lang w:eastAsia="en-AU"/>
            <w14:ligatures w14:val="standardContextual"/>
          </w:rPr>
          <w:tab/>
        </w:r>
        <w:r w:rsidRPr="009F77F9">
          <w:t>Offence—acquiring authorisations</w:t>
        </w:r>
        <w:r>
          <w:tab/>
        </w:r>
        <w:r>
          <w:fldChar w:fldCharType="begin"/>
        </w:r>
        <w:r>
          <w:instrText xml:space="preserve"> PAGEREF _Toc147827592 \h </w:instrText>
        </w:r>
        <w:r>
          <w:fldChar w:fldCharType="separate"/>
        </w:r>
        <w:r w:rsidR="003175FC">
          <w:t>14</w:t>
        </w:r>
        <w:r>
          <w:fldChar w:fldCharType="end"/>
        </w:r>
      </w:hyperlink>
    </w:p>
    <w:p w14:paraId="6597FA84" w14:textId="05623FA0" w:rsidR="00251CCE" w:rsidRDefault="00251CCE">
      <w:pPr>
        <w:pStyle w:val="TOC5"/>
        <w:rPr>
          <w:rFonts w:asciiTheme="minorHAnsi" w:eastAsiaTheme="minorEastAsia" w:hAnsiTheme="minorHAnsi" w:cstheme="minorBidi"/>
          <w:kern w:val="2"/>
          <w:sz w:val="22"/>
          <w:szCs w:val="22"/>
          <w:lang w:eastAsia="en-AU"/>
          <w14:ligatures w14:val="standardContextual"/>
        </w:rPr>
      </w:pPr>
      <w:r>
        <w:tab/>
      </w:r>
      <w:hyperlink w:anchor="_Toc147827593" w:history="1">
        <w:r w:rsidRPr="009F77F9">
          <w:t>19</w:t>
        </w:r>
        <w:r>
          <w:rPr>
            <w:rFonts w:asciiTheme="minorHAnsi" w:eastAsiaTheme="minorEastAsia" w:hAnsiTheme="minorHAnsi" w:cstheme="minorBidi"/>
            <w:kern w:val="2"/>
            <w:sz w:val="22"/>
            <w:szCs w:val="22"/>
            <w:lang w:eastAsia="en-AU"/>
            <w14:ligatures w14:val="standardContextual"/>
          </w:rPr>
          <w:tab/>
        </w:r>
        <w:r w:rsidRPr="009F77F9">
          <w:t>Disposal of gaming machines—application for storage permit</w:t>
        </w:r>
        <w:r>
          <w:tab/>
        </w:r>
        <w:r>
          <w:fldChar w:fldCharType="begin"/>
        </w:r>
        <w:r>
          <w:instrText xml:space="preserve"> PAGEREF _Toc147827593 \h </w:instrText>
        </w:r>
        <w:r>
          <w:fldChar w:fldCharType="separate"/>
        </w:r>
        <w:r w:rsidR="003175FC">
          <w:t>14</w:t>
        </w:r>
        <w:r>
          <w:fldChar w:fldCharType="end"/>
        </w:r>
      </w:hyperlink>
    </w:p>
    <w:p w14:paraId="1272822E" w14:textId="2C8358DA" w:rsidR="00251CCE" w:rsidRDefault="00251CCE">
      <w:pPr>
        <w:pStyle w:val="TOC5"/>
        <w:rPr>
          <w:rFonts w:asciiTheme="minorHAnsi" w:eastAsiaTheme="minorEastAsia" w:hAnsiTheme="minorHAnsi" w:cstheme="minorBidi"/>
          <w:kern w:val="2"/>
          <w:sz w:val="22"/>
          <w:szCs w:val="22"/>
          <w:lang w:eastAsia="en-AU"/>
          <w14:ligatures w14:val="standardContextual"/>
        </w:rPr>
      </w:pPr>
      <w:r>
        <w:tab/>
      </w:r>
      <w:hyperlink w:anchor="_Toc147827594" w:history="1">
        <w:r w:rsidRPr="009F77F9">
          <w:t>20</w:t>
        </w:r>
        <w:r>
          <w:rPr>
            <w:rFonts w:asciiTheme="minorHAnsi" w:eastAsiaTheme="minorEastAsia" w:hAnsiTheme="minorHAnsi" w:cstheme="minorBidi"/>
            <w:kern w:val="2"/>
            <w:sz w:val="22"/>
            <w:szCs w:val="22"/>
            <w:lang w:eastAsia="en-AU"/>
            <w14:ligatures w14:val="standardContextual"/>
          </w:rPr>
          <w:tab/>
        </w:r>
        <w:r w:rsidRPr="009F77F9">
          <w:t>Restricted status of acquired authorisations</w:t>
        </w:r>
        <w:r>
          <w:tab/>
        </w:r>
        <w:r>
          <w:fldChar w:fldCharType="begin"/>
        </w:r>
        <w:r>
          <w:instrText xml:space="preserve"> PAGEREF _Toc147827594 \h </w:instrText>
        </w:r>
        <w:r>
          <w:fldChar w:fldCharType="separate"/>
        </w:r>
        <w:r w:rsidR="003175FC">
          <w:t>15</w:t>
        </w:r>
        <w:r>
          <w:fldChar w:fldCharType="end"/>
        </w:r>
      </w:hyperlink>
    </w:p>
    <w:p w14:paraId="4DF8EB96" w14:textId="4D8D898A" w:rsidR="00251CCE" w:rsidRDefault="00251CCE">
      <w:pPr>
        <w:pStyle w:val="TOC2"/>
        <w:rPr>
          <w:rFonts w:asciiTheme="minorHAnsi" w:eastAsiaTheme="minorEastAsia" w:hAnsiTheme="minorHAnsi" w:cstheme="minorBidi"/>
          <w:b w:val="0"/>
          <w:kern w:val="2"/>
          <w:sz w:val="22"/>
          <w:szCs w:val="22"/>
          <w:lang w:eastAsia="en-AU"/>
          <w14:ligatures w14:val="standardContextual"/>
        </w:rPr>
      </w:pPr>
      <w:hyperlink w:anchor="_Toc147827595" w:history="1">
        <w:r w:rsidRPr="009F77F9">
          <w:t>Part 5</w:t>
        </w:r>
        <w:r>
          <w:rPr>
            <w:rFonts w:asciiTheme="minorHAnsi" w:eastAsiaTheme="minorEastAsia" w:hAnsiTheme="minorHAnsi" w:cstheme="minorBidi"/>
            <w:b w:val="0"/>
            <w:kern w:val="2"/>
            <w:sz w:val="22"/>
            <w:szCs w:val="22"/>
            <w:lang w:eastAsia="en-AU"/>
            <w14:ligatures w14:val="standardContextual"/>
          </w:rPr>
          <w:tab/>
        </w:r>
        <w:r w:rsidRPr="009F77F9">
          <w:t>Conversion of restricted authorisations</w:t>
        </w:r>
        <w:r w:rsidRPr="00251CCE">
          <w:rPr>
            <w:vanish/>
          </w:rPr>
          <w:tab/>
        </w:r>
        <w:r w:rsidRPr="00251CCE">
          <w:rPr>
            <w:vanish/>
          </w:rPr>
          <w:fldChar w:fldCharType="begin"/>
        </w:r>
        <w:r w:rsidRPr="00251CCE">
          <w:rPr>
            <w:vanish/>
          </w:rPr>
          <w:instrText xml:space="preserve"> PAGEREF _Toc147827595 \h </w:instrText>
        </w:r>
        <w:r w:rsidRPr="00251CCE">
          <w:rPr>
            <w:vanish/>
          </w:rPr>
        </w:r>
        <w:r w:rsidRPr="00251CCE">
          <w:rPr>
            <w:vanish/>
          </w:rPr>
          <w:fldChar w:fldCharType="separate"/>
        </w:r>
        <w:r w:rsidR="003175FC">
          <w:rPr>
            <w:vanish/>
          </w:rPr>
          <w:t>16</w:t>
        </w:r>
        <w:r w:rsidRPr="00251CCE">
          <w:rPr>
            <w:vanish/>
          </w:rPr>
          <w:fldChar w:fldCharType="end"/>
        </w:r>
      </w:hyperlink>
    </w:p>
    <w:p w14:paraId="6172C144" w14:textId="094562EB" w:rsidR="00251CCE" w:rsidRDefault="00251CCE">
      <w:pPr>
        <w:pStyle w:val="TOC5"/>
        <w:rPr>
          <w:rFonts w:asciiTheme="minorHAnsi" w:eastAsiaTheme="minorEastAsia" w:hAnsiTheme="minorHAnsi" w:cstheme="minorBidi"/>
          <w:kern w:val="2"/>
          <w:sz w:val="22"/>
          <w:szCs w:val="22"/>
          <w:lang w:eastAsia="en-AU"/>
          <w14:ligatures w14:val="standardContextual"/>
        </w:rPr>
      </w:pPr>
      <w:r>
        <w:tab/>
      </w:r>
      <w:hyperlink w:anchor="_Toc147827596" w:history="1">
        <w:r w:rsidRPr="009F77F9">
          <w:t>21</w:t>
        </w:r>
        <w:r>
          <w:rPr>
            <w:rFonts w:asciiTheme="minorHAnsi" w:eastAsiaTheme="minorEastAsia" w:hAnsiTheme="minorHAnsi" w:cstheme="minorBidi"/>
            <w:kern w:val="2"/>
            <w:sz w:val="22"/>
            <w:szCs w:val="22"/>
            <w:lang w:eastAsia="en-AU"/>
            <w14:ligatures w14:val="standardContextual"/>
          </w:rPr>
          <w:tab/>
        </w:r>
        <w:r w:rsidRPr="009F77F9">
          <w:t>Conversion of restricted authorisations—application</w:t>
        </w:r>
        <w:r>
          <w:tab/>
        </w:r>
        <w:r>
          <w:fldChar w:fldCharType="begin"/>
        </w:r>
        <w:r>
          <w:instrText xml:space="preserve"> PAGEREF _Toc147827596 \h </w:instrText>
        </w:r>
        <w:r>
          <w:fldChar w:fldCharType="separate"/>
        </w:r>
        <w:r w:rsidR="003175FC">
          <w:t>16</w:t>
        </w:r>
        <w:r>
          <w:fldChar w:fldCharType="end"/>
        </w:r>
      </w:hyperlink>
    </w:p>
    <w:p w14:paraId="0A6D3D80" w14:textId="36EEACF6" w:rsidR="00251CCE" w:rsidRDefault="00251CCE">
      <w:pPr>
        <w:pStyle w:val="TOC5"/>
        <w:rPr>
          <w:rFonts w:asciiTheme="minorHAnsi" w:eastAsiaTheme="minorEastAsia" w:hAnsiTheme="minorHAnsi" w:cstheme="minorBidi"/>
          <w:kern w:val="2"/>
          <w:sz w:val="22"/>
          <w:szCs w:val="22"/>
          <w:lang w:eastAsia="en-AU"/>
          <w14:ligatures w14:val="standardContextual"/>
        </w:rPr>
      </w:pPr>
      <w:r>
        <w:tab/>
      </w:r>
      <w:hyperlink w:anchor="_Toc147827597" w:history="1">
        <w:r w:rsidRPr="009F77F9">
          <w:t>22</w:t>
        </w:r>
        <w:r>
          <w:rPr>
            <w:rFonts w:asciiTheme="minorHAnsi" w:eastAsiaTheme="minorEastAsia" w:hAnsiTheme="minorHAnsi" w:cstheme="minorBidi"/>
            <w:kern w:val="2"/>
            <w:sz w:val="22"/>
            <w:szCs w:val="22"/>
            <w:lang w:eastAsia="en-AU"/>
            <w14:ligatures w14:val="standardContextual"/>
          </w:rPr>
          <w:tab/>
        </w:r>
        <w:r w:rsidRPr="009F77F9">
          <w:t>Conversion of restricted authorisations—decision</w:t>
        </w:r>
        <w:r>
          <w:tab/>
        </w:r>
        <w:r>
          <w:fldChar w:fldCharType="begin"/>
        </w:r>
        <w:r>
          <w:instrText xml:space="preserve"> PAGEREF _Toc147827597 \h </w:instrText>
        </w:r>
        <w:r>
          <w:fldChar w:fldCharType="separate"/>
        </w:r>
        <w:r w:rsidR="003175FC">
          <w:t>18</w:t>
        </w:r>
        <w:r>
          <w:fldChar w:fldCharType="end"/>
        </w:r>
      </w:hyperlink>
    </w:p>
    <w:p w14:paraId="1BDD0B47" w14:textId="07DA67FD" w:rsidR="00251CCE" w:rsidRDefault="00251CCE">
      <w:pPr>
        <w:pStyle w:val="TOC5"/>
        <w:rPr>
          <w:rFonts w:asciiTheme="minorHAnsi" w:eastAsiaTheme="minorEastAsia" w:hAnsiTheme="minorHAnsi" w:cstheme="minorBidi"/>
          <w:kern w:val="2"/>
          <w:sz w:val="22"/>
          <w:szCs w:val="22"/>
          <w:lang w:eastAsia="en-AU"/>
          <w14:ligatures w14:val="standardContextual"/>
        </w:rPr>
      </w:pPr>
      <w:r>
        <w:tab/>
      </w:r>
      <w:hyperlink w:anchor="_Toc147827598" w:history="1">
        <w:r w:rsidRPr="009F77F9">
          <w:t>23</w:t>
        </w:r>
        <w:r>
          <w:rPr>
            <w:rFonts w:asciiTheme="minorHAnsi" w:eastAsiaTheme="minorEastAsia" w:hAnsiTheme="minorHAnsi" w:cstheme="minorBidi"/>
            <w:kern w:val="2"/>
            <w:sz w:val="22"/>
            <w:szCs w:val="22"/>
            <w:lang w:eastAsia="en-AU"/>
            <w14:ligatures w14:val="standardContextual"/>
          </w:rPr>
          <w:tab/>
        </w:r>
        <w:r w:rsidRPr="009F77F9">
          <w:t>Status of restricted authorisations if development approval ends under Planning Act 2023, s 211 or because no approval given</w:t>
        </w:r>
        <w:r>
          <w:tab/>
        </w:r>
        <w:r>
          <w:fldChar w:fldCharType="begin"/>
        </w:r>
        <w:r>
          <w:instrText xml:space="preserve"> PAGEREF _Toc147827598 \h </w:instrText>
        </w:r>
        <w:r>
          <w:fldChar w:fldCharType="separate"/>
        </w:r>
        <w:r w:rsidR="003175FC">
          <w:t>20</w:t>
        </w:r>
        <w:r>
          <w:fldChar w:fldCharType="end"/>
        </w:r>
      </w:hyperlink>
    </w:p>
    <w:p w14:paraId="0A0669FA" w14:textId="4380368C" w:rsidR="00251CCE" w:rsidRDefault="00251CCE">
      <w:pPr>
        <w:pStyle w:val="TOC5"/>
        <w:rPr>
          <w:rFonts w:asciiTheme="minorHAnsi" w:eastAsiaTheme="minorEastAsia" w:hAnsiTheme="minorHAnsi" w:cstheme="minorBidi"/>
          <w:kern w:val="2"/>
          <w:sz w:val="22"/>
          <w:szCs w:val="22"/>
          <w:lang w:eastAsia="en-AU"/>
          <w14:ligatures w14:val="standardContextual"/>
        </w:rPr>
      </w:pPr>
      <w:r>
        <w:tab/>
      </w:r>
      <w:hyperlink w:anchor="_Toc147827599" w:history="1">
        <w:r w:rsidRPr="009F77F9">
          <w:t>24</w:t>
        </w:r>
        <w:r>
          <w:rPr>
            <w:rFonts w:asciiTheme="minorHAnsi" w:eastAsiaTheme="minorEastAsia" w:hAnsiTheme="minorHAnsi" w:cstheme="minorBidi"/>
            <w:kern w:val="2"/>
            <w:sz w:val="22"/>
            <w:szCs w:val="22"/>
            <w:lang w:eastAsia="en-AU"/>
            <w14:ligatures w14:val="standardContextual"/>
          </w:rPr>
          <w:tab/>
        </w:r>
        <w:r w:rsidRPr="009F77F9">
          <w:t>Status of restricted authorisations if development approval ends in other circumstances</w:t>
        </w:r>
        <w:r>
          <w:tab/>
        </w:r>
        <w:r>
          <w:fldChar w:fldCharType="begin"/>
        </w:r>
        <w:r>
          <w:instrText xml:space="preserve"> PAGEREF _Toc147827599 \h </w:instrText>
        </w:r>
        <w:r>
          <w:fldChar w:fldCharType="separate"/>
        </w:r>
        <w:r w:rsidR="003175FC">
          <w:t>20</w:t>
        </w:r>
        <w:r>
          <w:fldChar w:fldCharType="end"/>
        </w:r>
      </w:hyperlink>
    </w:p>
    <w:p w14:paraId="331C64BA" w14:textId="6E4C84DE" w:rsidR="00251CCE" w:rsidRDefault="00251CCE">
      <w:pPr>
        <w:pStyle w:val="TOC5"/>
        <w:rPr>
          <w:rFonts w:asciiTheme="minorHAnsi" w:eastAsiaTheme="minorEastAsia" w:hAnsiTheme="minorHAnsi" w:cstheme="minorBidi"/>
          <w:kern w:val="2"/>
          <w:sz w:val="22"/>
          <w:szCs w:val="22"/>
          <w:lang w:eastAsia="en-AU"/>
          <w14:ligatures w14:val="standardContextual"/>
        </w:rPr>
      </w:pPr>
      <w:r>
        <w:tab/>
      </w:r>
      <w:hyperlink w:anchor="_Toc147827600" w:history="1">
        <w:r w:rsidRPr="009F77F9">
          <w:t>25</w:t>
        </w:r>
        <w:r>
          <w:rPr>
            <w:rFonts w:asciiTheme="minorHAnsi" w:eastAsiaTheme="minorEastAsia" w:hAnsiTheme="minorHAnsi" w:cstheme="minorBidi"/>
            <w:kern w:val="2"/>
            <w:sz w:val="22"/>
            <w:szCs w:val="22"/>
            <w:lang w:eastAsia="en-AU"/>
            <w14:ligatures w14:val="standardContextual"/>
          </w:rPr>
          <w:tab/>
        </w:r>
        <w:r w:rsidRPr="009F77F9">
          <w:t>Status of converted authorisations if development approval ends</w:t>
        </w:r>
        <w:r>
          <w:tab/>
        </w:r>
        <w:r>
          <w:fldChar w:fldCharType="begin"/>
        </w:r>
        <w:r>
          <w:instrText xml:space="preserve"> PAGEREF _Toc147827600 \h </w:instrText>
        </w:r>
        <w:r>
          <w:fldChar w:fldCharType="separate"/>
        </w:r>
        <w:r w:rsidR="003175FC">
          <w:t>22</w:t>
        </w:r>
        <w:r>
          <w:fldChar w:fldCharType="end"/>
        </w:r>
      </w:hyperlink>
    </w:p>
    <w:p w14:paraId="6351034B" w14:textId="6B992094" w:rsidR="00251CCE" w:rsidRDefault="00251CCE">
      <w:pPr>
        <w:pStyle w:val="TOC2"/>
        <w:rPr>
          <w:rFonts w:asciiTheme="minorHAnsi" w:eastAsiaTheme="minorEastAsia" w:hAnsiTheme="minorHAnsi" w:cstheme="minorBidi"/>
          <w:b w:val="0"/>
          <w:kern w:val="2"/>
          <w:sz w:val="22"/>
          <w:szCs w:val="22"/>
          <w:lang w:eastAsia="en-AU"/>
          <w14:ligatures w14:val="standardContextual"/>
        </w:rPr>
      </w:pPr>
      <w:hyperlink w:anchor="_Toc147827601" w:history="1">
        <w:r w:rsidRPr="009F77F9">
          <w:t>Part 6</w:t>
        </w:r>
        <w:r>
          <w:rPr>
            <w:rFonts w:asciiTheme="minorHAnsi" w:eastAsiaTheme="minorEastAsia" w:hAnsiTheme="minorHAnsi" w:cstheme="minorBidi"/>
            <w:b w:val="0"/>
            <w:kern w:val="2"/>
            <w:sz w:val="22"/>
            <w:szCs w:val="22"/>
            <w:lang w:eastAsia="en-AU"/>
            <w14:ligatures w14:val="standardContextual"/>
          </w:rPr>
          <w:tab/>
        </w:r>
        <w:r w:rsidRPr="009F77F9">
          <w:t>Acquiring casino gaming machines and casino FATG terminals</w:t>
        </w:r>
        <w:r w:rsidRPr="00251CCE">
          <w:rPr>
            <w:vanish/>
          </w:rPr>
          <w:tab/>
        </w:r>
        <w:r w:rsidRPr="00251CCE">
          <w:rPr>
            <w:vanish/>
          </w:rPr>
          <w:fldChar w:fldCharType="begin"/>
        </w:r>
        <w:r w:rsidRPr="00251CCE">
          <w:rPr>
            <w:vanish/>
          </w:rPr>
          <w:instrText xml:space="preserve"> PAGEREF _Toc147827601 \h </w:instrText>
        </w:r>
        <w:r w:rsidRPr="00251CCE">
          <w:rPr>
            <w:vanish/>
          </w:rPr>
        </w:r>
        <w:r w:rsidRPr="00251CCE">
          <w:rPr>
            <w:vanish/>
          </w:rPr>
          <w:fldChar w:fldCharType="separate"/>
        </w:r>
        <w:r w:rsidR="003175FC">
          <w:rPr>
            <w:vanish/>
          </w:rPr>
          <w:t>23</w:t>
        </w:r>
        <w:r w:rsidRPr="00251CCE">
          <w:rPr>
            <w:vanish/>
          </w:rPr>
          <w:fldChar w:fldCharType="end"/>
        </w:r>
      </w:hyperlink>
    </w:p>
    <w:p w14:paraId="35F83847" w14:textId="1692DF81" w:rsidR="00251CCE" w:rsidRDefault="00251CCE">
      <w:pPr>
        <w:pStyle w:val="TOC5"/>
        <w:rPr>
          <w:rFonts w:asciiTheme="minorHAnsi" w:eastAsiaTheme="minorEastAsia" w:hAnsiTheme="minorHAnsi" w:cstheme="minorBidi"/>
          <w:kern w:val="2"/>
          <w:sz w:val="22"/>
          <w:szCs w:val="22"/>
          <w:lang w:eastAsia="en-AU"/>
          <w14:ligatures w14:val="standardContextual"/>
        </w:rPr>
      </w:pPr>
      <w:r>
        <w:tab/>
      </w:r>
      <w:hyperlink w:anchor="_Toc147827602" w:history="1">
        <w:r w:rsidRPr="009F77F9">
          <w:t>26</w:t>
        </w:r>
        <w:r>
          <w:rPr>
            <w:rFonts w:asciiTheme="minorHAnsi" w:eastAsiaTheme="minorEastAsia" w:hAnsiTheme="minorHAnsi" w:cstheme="minorBidi"/>
            <w:kern w:val="2"/>
            <w:sz w:val="22"/>
            <w:szCs w:val="22"/>
            <w:lang w:eastAsia="en-AU"/>
            <w14:ligatures w14:val="standardContextual"/>
          </w:rPr>
          <w:tab/>
        </w:r>
        <w:r w:rsidRPr="009F77F9">
          <w:t>Acquiring casino gaming machine under authorisation</w:t>
        </w:r>
        <w:r>
          <w:tab/>
        </w:r>
        <w:r>
          <w:fldChar w:fldCharType="begin"/>
        </w:r>
        <w:r>
          <w:instrText xml:space="preserve"> PAGEREF _Toc147827602 \h </w:instrText>
        </w:r>
        <w:r>
          <w:fldChar w:fldCharType="separate"/>
        </w:r>
        <w:r w:rsidR="003175FC">
          <w:t>23</w:t>
        </w:r>
        <w:r>
          <w:fldChar w:fldCharType="end"/>
        </w:r>
      </w:hyperlink>
    </w:p>
    <w:p w14:paraId="0E93C214" w14:textId="3F56E07C" w:rsidR="00251CCE" w:rsidRDefault="00251CCE">
      <w:pPr>
        <w:pStyle w:val="TOC5"/>
        <w:rPr>
          <w:rFonts w:asciiTheme="minorHAnsi" w:eastAsiaTheme="minorEastAsia" w:hAnsiTheme="minorHAnsi" w:cstheme="minorBidi"/>
          <w:kern w:val="2"/>
          <w:sz w:val="22"/>
          <w:szCs w:val="22"/>
          <w:lang w:eastAsia="en-AU"/>
          <w14:ligatures w14:val="standardContextual"/>
        </w:rPr>
      </w:pPr>
      <w:r>
        <w:tab/>
      </w:r>
      <w:hyperlink w:anchor="_Toc147827603" w:history="1">
        <w:r w:rsidRPr="009F77F9">
          <w:t>27</w:t>
        </w:r>
        <w:r>
          <w:rPr>
            <w:rFonts w:asciiTheme="minorHAnsi" w:eastAsiaTheme="minorEastAsia" w:hAnsiTheme="minorHAnsi" w:cstheme="minorBidi"/>
            <w:kern w:val="2"/>
            <w:sz w:val="22"/>
            <w:szCs w:val="22"/>
            <w:lang w:eastAsia="en-AU"/>
            <w14:ligatures w14:val="standardContextual"/>
          </w:rPr>
          <w:tab/>
        </w:r>
        <w:r w:rsidRPr="009F77F9">
          <w:t>Offence—operating etc casino gaming machines without casino gaming machine authorisation</w:t>
        </w:r>
        <w:r>
          <w:tab/>
        </w:r>
        <w:r>
          <w:fldChar w:fldCharType="begin"/>
        </w:r>
        <w:r>
          <w:instrText xml:space="preserve"> PAGEREF _Toc147827603 \h </w:instrText>
        </w:r>
        <w:r>
          <w:fldChar w:fldCharType="separate"/>
        </w:r>
        <w:r w:rsidR="003175FC">
          <w:t>24</w:t>
        </w:r>
        <w:r>
          <w:fldChar w:fldCharType="end"/>
        </w:r>
      </w:hyperlink>
    </w:p>
    <w:p w14:paraId="55893B47" w14:textId="1F586292" w:rsidR="00251CCE" w:rsidRDefault="00251CCE">
      <w:pPr>
        <w:pStyle w:val="TOC5"/>
        <w:rPr>
          <w:rFonts w:asciiTheme="minorHAnsi" w:eastAsiaTheme="minorEastAsia" w:hAnsiTheme="minorHAnsi" w:cstheme="minorBidi"/>
          <w:kern w:val="2"/>
          <w:sz w:val="22"/>
          <w:szCs w:val="22"/>
          <w:lang w:eastAsia="en-AU"/>
          <w14:ligatures w14:val="standardContextual"/>
        </w:rPr>
      </w:pPr>
      <w:r>
        <w:tab/>
      </w:r>
      <w:hyperlink w:anchor="_Toc147827604" w:history="1">
        <w:r w:rsidRPr="009F77F9">
          <w:t>28</w:t>
        </w:r>
        <w:r>
          <w:rPr>
            <w:rFonts w:asciiTheme="minorHAnsi" w:eastAsiaTheme="minorEastAsia" w:hAnsiTheme="minorHAnsi" w:cstheme="minorBidi"/>
            <w:kern w:val="2"/>
            <w:sz w:val="22"/>
            <w:szCs w:val="22"/>
            <w:lang w:eastAsia="en-AU"/>
            <w14:ligatures w14:val="standardContextual"/>
          </w:rPr>
          <w:tab/>
        </w:r>
        <w:r w:rsidRPr="009F77F9">
          <w:t>Acquiring casino FATG terminal under authorisation</w:t>
        </w:r>
        <w:r>
          <w:tab/>
        </w:r>
        <w:r>
          <w:fldChar w:fldCharType="begin"/>
        </w:r>
        <w:r>
          <w:instrText xml:space="preserve"> PAGEREF _Toc147827604 \h </w:instrText>
        </w:r>
        <w:r>
          <w:fldChar w:fldCharType="separate"/>
        </w:r>
        <w:r w:rsidR="003175FC">
          <w:t>25</w:t>
        </w:r>
        <w:r>
          <w:fldChar w:fldCharType="end"/>
        </w:r>
      </w:hyperlink>
    </w:p>
    <w:p w14:paraId="0CB3ED9C" w14:textId="13A0E40B" w:rsidR="00251CCE" w:rsidRDefault="00251CCE">
      <w:pPr>
        <w:pStyle w:val="TOC5"/>
        <w:rPr>
          <w:rFonts w:asciiTheme="minorHAnsi" w:eastAsiaTheme="minorEastAsia" w:hAnsiTheme="minorHAnsi" w:cstheme="minorBidi"/>
          <w:kern w:val="2"/>
          <w:sz w:val="22"/>
          <w:szCs w:val="22"/>
          <w:lang w:eastAsia="en-AU"/>
          <w14:ligatures w14:val="standardContextual"/>
        </w:rPr>
      </w:pPr>
      <w:r>
        <w:tab/>
      </w:r>
      <w:hyperlink w:anchor="_Toc147827605" w:history="1">
        <w:r w:rsidRPr="009F77F9">
          <w:t>29</w:t>
        </w:r>
        <w:r>
          <w:rPr>
            <w:rFonts w:asciiTheme="minorHAnsi" w:eastAsiaTheme="minorEastAsia" w:hAnsiTheme="minorHAnsi" w:cstheme="minorBidi"/>
            <w:kern w:val="2"/>
            <w:sz w:val="22"/>
            <w:szCs w:val="22"/>
            <w:lang w:eastAsia="en-AU"/>
            <w14:ligatures w14:val="standardContextual"/>
          </w:rPr>
          <w:tab/>
        </w:r>
        <w:r w:rsidRPr="009F77F9">
          <w:t>Offence—operating etc casino FATG terminals without casino FATG terminal authorisation</w:t>
        </w:r>
        <w:r>
          <w:tab/>
        </w:r>
        <w:r>
          <w:fldChar w:fldCharType="begin"/>
        </w:r>
        <w:r>
          <w:instrText xml:space="preserve"> PAGEREF _Toc147827605 \h </w:instrText>
        </w:r>
        <w:r>
          <w:fldChar w:fldCharType="separate"/>
        </w:r>
        <w:r w:rsidR="003175FC">
          <w:t>26</w:t>
        </w:r>
        <w:r>
          <w:fldChar w:fldCharType="end"/>
        </w:r>
      </w:hyperlink>
    </w:p>
    <w:p w14:paraId="6DAF32D7" w14:textId="61AA84AA" w:rsidR="00251CCE" w:rsidRDefault="00251CCE">
      <w:pPr>
        <w:pStyle w:val="TOC2"/>
        <w:rPr>
          <w:rFonts w:asciiTheme="minorHAnsi" w:eastAsiaTheme="minorEastAsia" w:hAnsiTheme="minorHAnsi" w:cstheme="minorBidi"/>
          <w:b w:val="0"/>
          <w:kern w:val="2"/>
          <w:sz w:val="22"/>
          <w:szCs w:val="22"/>
          <w:lang w:eastAsia="en-AU"/>
          <w14:ligatures w14:val="standardContextual"/>
        </w:rPr>
      </w:pPr>
      <w:hyperlink w:anchor="_Toc147827606" w:history="1">
        <w:r w:rsidRPr="009F77F9">
          <w:t>Part 7</w:t>
        </w:r>
        <w:r>
          <w:rPr>
            <w:rFonts w:asciiTheme="minorHAnsi" w:eastAsiaTheme="minorEastAsia" w:hAnsiTheme="minorHAnsi" w:cstheme="minorBidi"/>
            <w:b w:val="0"/>
            <w:kern w:val="2"/>
            <w:sz w:val="22"/>
            <w:szCs w:val="22"/>
            <w:lang w:eastAsia="en-AU"/>
            <w14:ligatures w14:val="standardContextual"/>
          </w:rPr>
          <w:tab/>
        </w:r>
        <w:r w:rsidRPr="009F77F9">
          <w:t>Casino gaming machines—pre</w:t>
        </w:r>
        <w:r w:rsidRPr="009F77F9">
          <w:noBreakHyphen/>
          <w:t>commitment system</w:t>
        </w:r>
        <w:r w:rsidRPr="00251CCE">
          <w:rPr>
            <w:vanish/>
          </w:rPr>
          <w:tab/>
        </w:r>
        <w:r w:rsidRPr="00251CCE">
          <w:rPr>
            <w:vanish/>
          </w:rPr>
          <w:fldChar w:fldCharType="begin"/>
        </w:r>
        <w:r w:rsidRPr="00251CCE">
          <w:rPr>
            <w:vanish/>
          </w:rPr>
          <w:instrText xml:space="preserve"> PAGEREF _Toc147827606 \h </w:instrText>
        </w:r>
        <w:r w:rsidRPr="00251CCE">
          <w:rPr>
            <w:vanish/>
          </w:rPr>
        </w:r>
        <w:r w:rsidRPr="00251CCE">
          <w:rPr>
            <w:vanish/>
          </w:rPr>
          <w:fldChar w:fldCharType="separate"/>
        </w:r>
        <w:r w:rsidR="003175FC">
          <w:rPr>
            <w:vanish/>
          </w:rPr>
          <w:t>27</w:t>
        </w:r>
        <w:r w:rsidRPr="00251CCE">
          <w:rPr>
            <w:vanish/>
          </w:rPr>
          <w:fldChar w:fldCharType="end"/>
        </w:r>
      </w:hyperlink>
    </w:p>
    <w:p w14:paraId="753E52A5" w14:textId="3B49759E" w:rsidR="00251CCE" w:rsidRDefault="00251CCE">
      <w:pPr>
        <w:pStyle w:val="TOC5"/>
        <w:rPr>
          <w:rFonts w:asciiTheme="minorHAnsi" w:eastAsiaTheme="minorEastAsia" w:hAnsiTheme="minorHAnsi" w:cstheme="minorBidi"/>
          <w:kern w:val="2"/>
          <w:sz w:val="22"/>
          <w:szCs w:val="22"/>
          <w:lang w:eastAsia="en-AU"/>
          <w14:ligatures w14:val="standardContextual"/>
        </w:rPr>
      </w:pPr>
      <w:r>
        <w:tab/>
      </w:r>
      <w:hyperlink w:anchor="_Toc147827607" w:history="1">
        <w:r w:rsidRPr="009F77F9">
          <w:t>30</w:t>
        </w:r>
        <w:r>
          <w:rPr>
            <w:rFonts w:asciiTheme="minorHAnsi" w:eastAsiaTheme="minorEastAsia" w:hAnsiTheme="minorHAnsi" w:cstheme="minorBidi"/>
            <w:kern w:val="2"/>
            <w:sz w:val="22"/>
            <w:szCs w:val="22"/>
            <w:lang w:eastAsia="en-AU"/>
            <w14:ligatures w14:val="standardContextual"/>
          </w:rPr>
          <w:tab/>
        </w:r>
        <w:r w:rsidRPr="009F77F9">
          <w:t>Definitions—pt 7</w:t>
        </w:r>
        <w:r>
          <w:tab/>
        </w:r>
        <w:r>
          <w:fldChar w:fldCharType="begin"/>
        </w:r>
        <w:r>
          <w:instrText xml:space="preserve"> PAGEREF _Toc147827607 \h </w:instrText>
        </w:r>
        <w:r>
          <w:fldChar w:fldCharType="separate"/>
        </w:r>
        <w:r w:rsidR="003175FC">
          <w:t>27</w:t>
        </w:r>
        <w:r>
          <w:fldChar w:fldCharType="end"/>
        </w:r>
      </w:hyperlink>
    </w:p>
    <w:p w14:paraId="72F57D8C" w14:textId="77FCAC1C" w:rsidR="00251CCE" w:rsidRDefault="00251CCE">
      <w:pPr>
        <w:pStyle w:val="TOC5"/>
        <w:rPr>
          <w:rFonts w:asciiTheme="minorHAnsi" w:eastAsiaTheme="minorEastAsia" w:hAnsiTheme="minorHAnsi" w:cstheme="minorBidi"/>
          <w:kern w:val="2"/>
          <w:sz w:val="22"/>
          <w:szCs w:val="22"/>
          <w:lang w:eastAsia="en-AU"/>
          <w14:ligatures w14:val="standardContextual"/>
        </w:rPr>
      </w:pPr>
      <w:r>
        <w:tab/>
      </w:r>
      <w:hyperlink w:anchor="_Toc147827608" w:history="1">
        <w:r w:rsidRPr="009F77F9">
          <w:t>31</w:t>
        </w:r>
        <w:r>
          <w:rPr>
            <w:rFonts w:asciiTheme="minorHAnsi" w:eastAsiaTheme="minorEastAsia" w:hAnsiTheme="minorHAnsi" w:cstheme="minorBidi"/>
            <w:kern w:val="2"/>
            <w:sz w:val="22"/>
            <w:szCs w:val="22"/>
            <w:lang w:eastAsia="en-AU"/>
            <w14:ligatures w14:val="standardContextual"/>
          </w:rPr>
          <w:tab/>
        </w:r>
        <w:r w:rsidRPr="009F77F9">
          <w:t xml:space="preserve">Meaning of </w:t>
        </w:r>
        <w:r w:rsidRPr="009F77F9">
          <w:rPr>
            <w:i/>
          </w:rPr>
          <w:t>pre-commitment system</w:t>
        </w:r>
        <w:r w:rsidRPr="009F77F9">
          <w:t>—pt 7</w:t>
        </w:r>
        <w:r>
          <w:tab/>
        </w:r>
        <w:r>
          <w:fldChar w:fldCharType="begin"/>
        </w:r>
        <w:r>
          <w:instrText xml:space="preserve"> PAGEREF _Toc147827608 \h </w:instrText>
        </w:r>
        <w:r>
          <w:fldChar w:fldCharType="separate"/>
        </w:r>
        <w:r w:rsidR="003175FC">
          <w:t>28</w:t>
        </w:r>
        <w:r>
          <w:fldChar w:fldCharType="end"/>
        </w:r>
      </w:hyperlink>
    </w:p>
    <w:p w14:paraId="4EDE5C91" w14:textId="13B4F8B9" w:rsidR="00251CCE" w:rsidRDefault="00251CCE">
      <w:pPr>
        <w:pStyle w:val="TOC5"/>
        <w:rPr>
          <w:rFonts w:asciiTheme="minorHAnsi" w:eastAsiaTheme="minorEastAsia" w:hAnsiTheme="minorHAnsi" w:cstheme="minorBidi"/>
          <w:kern w:val="2"/>
          <w:sz w:val="22"/>
          <w:szCs w:val="22"/>
          <w:lang w:eastAsia="en-AU"/>
          <w14:ligatures w14:val="standardContextual"/>
        </w:rPr>
      </w:pPr>
      <w:r>
        <w:tab/>
      </w:r>
      <w:hyperlink w:anchor="_Toc147827609" w:history="1">
        <w:r w:rsidRPr="009F77F9">
          <w:t>32</w:t>
        </w:r>
        <w:r>
          <w:rPr>
            <w:rFonts w:asciiTheme="minorHAnsi" w:eastAsiaTheme="minorEastAsia" w:hAnsiTheme="minorHAnsi" w:cstheme="minorBidi"/>
            <w:kern w:val="2"/>
            <w:sz w:val="22"/>
            <w:szCs w:val="22"/>
            <w:lang w:eastAsia="en-AU"/>
            <w14:ligatures w14:val="standardContextual"/>
          </w:rPr>
          <w:tab/>
        </w:r>
        <w:r w:rsidRPr="009F77F9">
          <w:t>Casino licensee must provide PCS for casino gaming machines</w:t>
        </w:r>
        <w:r>
          <w:tab/>
        </w:r>
        <w:r>
          <w:fldChar w:fldCharType="begin"/>
        </w:r>
        <w:r>
          <w:instrText xml:space="preserve"> PAGEREF _Toc147827609 \h </w:instrText>
        </w:r>
        <w:r>
          <w:fldChar w:fldCharType="separate"/>
        </w:r>
        <w:r w:rsidR="003175FC">
          <w:t>28</w:t>
        </w:r>
        <w:r>
          <w:fldChar w:fldCharType="end"/>
        </w:r>
      </w:hyperlink>
    </w:p>
    <w:p w14:paraId="4392187E" w14:textId="17770372" w:rsidR="00251CCE" w:rsidRDefault="00251CCE">
      <w:pPr>
        <w:pStyle w:val="TOC5"/>
        <w:rPr>
          <w:rFonts w:asciiTheme="minorHAnsi" w:eastAsiaTheme="minorEastAsia" w:hAnsiTheme="minorHAnsi" w:cstheme="minorBidi"/>
          <w:kern w:val="2"/>
          <w:sz w:val="22"/>
          <w:szCs w:val="22"/>
          <w:lang w:eastAsia="en-AU"/>
          <w14:ligatures w14:val="standardContextual"/>
        </w:rPr>
      </w:pPr>
      <w:r>
        <w:tab/>
      </w:r>
      <w:hyperlink w:anchor="_Toc147827610" w:history="1">
        <w:r w:rsidRPr="009F77F9">
          <w:t>33</w:t>
        </w:r>
        <w:r>
          <w:rPr>
            <w:rFonts w:asciiTheme="minorHAnsi" w:eastAsiaTheme="minorEastAsia" w:hAnsiTheme="minorHAnsi" w:cstheme="minorBidi"/>
            <w:kern w:val="2"/>
            <w:sz w:val="22"/>
            <w:szCs w:val="22"/>
            <w:lang w:eastAsia="en-AU"/>
            <w14:ligatures w14:val="standardContextual"/>
          </w:rPr>
          <w:tab/>
        </w:r>
        <w:r w:rsidRPr="009F77F9">
          <w:t>PCS—offences</w:t>
        </w:r>
        <w:r>
          <w:tab/>
        </w:r>
        <w:r>
          <w:fldChar w:fldCharType="begin"/>
        </w:r>
        <w:r>
          <w:instrText xml:space="preserve"> PAGEREF _Toc147827610 \h </w:instrText>
        </w:r>
        <w:r>
          <w:fldChar w:fldCharType="separate"/>
        </w:r>
        <w:r w:rsidR="003175FC">
          <w:t>29</w:t>
        </w:r>
        <w:r>
          <w:fldChar w:fldCharType="end"/>
        </w:r>
      </w:hyperlink>
    </w:p>
    <w:p w14:paraId="56C2703D" w14:textId="66BAE69C" w:rsidR="00251CCE" w:rsidRDefault="00251CCE">
      <w:pPr>
        <w:pStyle w:val="TOC5"/>
        <w:rPr>
          <w:rFonts w:asciiTheme="minorHAnsi" w:eastAsiaTheme="minorEastAsia" w:hAnsiTheme="minorHAnsi" w:cstheme="minorBidi"/>
          <w:kern w:val="2"/>
          <w:sz w:val="22"/>
          <w:szCs w:val="22"/>
          <w:lang w:eastAsia="en-AU"/>
          <w14:ligatures w14:val="standardContextual"/>
        </w:rPr>
      </w:pPr>
      <w:r>
        <w:tab/>
      </w:r>
      <w:hyperlink w:anchor="_Toc147827611" w:history="1">
        <w:r w:rsidRPr="009F77F9">
          <w:t>34</w:t>
        </w:r>
        <w:r>
          <w:rPr>
            <w:rFonts w:asciiTheme="minorHAnsi" w:eastAsiaTheme="minorEastAsia" w:hAnsiTheme="minorHAnsi" w:cstheme="minorBidi"/>
            <w:kern w:val="2"/>
            <w:sz w:val="22"/>
            <w:szCs w:val="22"/>
            <w:lang w:eastAsia="en-AU"/>
            <w14:ligatures w14:val="standardContextual"/>
          </w:rPr>
          <w:tab/>
        </w:r>
        <w:r w:rsidRPr="009F77F9">
          <w:t>PCS—use or disclosure of pre-commitment information</w:t>
        </w:r>
        <w:r>
          <w:tab/>
        </w:r>
        <w:r>
          <w:fldChar w:fldCharType="begin"/>
        </w:r>
        <w:r>
          <w:instrText xml:space="preserve"> PAGEREF _Toc147827611 \h </w:instrText>
        </w:r>
        <w:r>
          <w:fldChar w:fldCharType="separate"/>
        </w:r>
        <w:r w:rsidR="003175FC">
          <w:t>30</w:t>
        </w:r>
        <w:r>
          <w:fldChar w:fldCharType="end"/>
        </w:r>
      </w:hyperlink>
    </w:p>
    <w:p w14:paraId="7C58C586" w14:textId="1B997FE7" w:rsidR="00251CCE" w:rsidRDefault="00251CCE">
      <w:pPr>
        <w:pStyle w:val="TOC5"/>
        <w:rPr>
          <w:rFonts w:asciiTheme="minorHAnsi" w:eastAsiaTheme="minorEastAsia" w:hAnsiTheme="minorHAnsi" w:cstheme="minorBidi"/>
          <w:kern w:val="2"/>
          <w:sz w:val="22"/>
          <w:szCs w:val="22"/>
          <w:lang w:eastAsia="en-AU"/>
          <w14:ligatures w14:val="standardContextual"/>
        </w:rPr>
      </w:pPr>
      <w:r>
        <w:tab/>
      </w:r>
      <w:hyperlink w:anchor="_Toc147827612" w:history="1">
        <w:r w:rsidRPr="009F77F9">
          <w:t>35</w:t>
        </w:r>
        <w:r>
          <w:rPr>
            <w:rFonts w:asciiTheme="minorHAnsi" w:eastAsiaTheme="minorEastAsia" w:hAnsiTheme="minorHAnsi" w:cstheme="minorBidi"/>
            <w:kern w:val="2"/>
            <w:sz w:val="22"/>
            <w:szCs w:val="22"/>
            <w:lang w:eastAsia="en-AU"/>
            <w14:ligatures w14:val="standardContextual"/>
          </w:rPr>
          <w:tab/>
        </w:r>
        <w:r w:rsidRPr="009F77F9">
          <w:t>Regulations about PCS</w:t>
        </w:r>
        <w:r>
          <w:tab/>
        </w:r>
        <w:r>
          <w:fldChar w:fldCharType="begin"/>
        </w:r>
        <w:r>
          <w:instrText xml:space="preserve"> PAGEREF _Toc147827612 \h </w:instrText>
        </w:r>
        <w:r>
          <w:fldChar w:fldCharType="separate"/>
        </w:r>
        <w:r w:rsidR="003175FC">
          <w:t>32</w:t>
        </w:r>
        <w:r>
          <w:fldChar w:fldCharType="end"/>
        </w:r>
      </w:hyperlink>
    </w:p>
    <w:p w14:paraId="749E9F10" w14:textId="44854B3B" w:rsidR="00251CCE" w:rsidRDefault="00251CCE">
      <w:pPr>
        <w:pStyle w:val="TOC2"/>
        <w:rPr>
          <w:rFonts w:asciiTheme="minorHAnsi" w:eastAsiaTheme="minorEastAsia" w:hAnsiTheme="minorHAnsi" w:cstheme="minorBidi"/>
          <w:b w:val="0"/>
          <w:kern w:val="2"/>
          <w:sz w:val="22"/>
          <w:szCs w:val="22"/>
          <w:lang w:eastAsia="en-AU"/>
          <w14:ligatures w14:val="standardContextual"/>
        </w:rPr>
      </w:pPr>
      <w:hyperlink w:anchor="_Toc147827613" w:history="1">
        <w:r w:rsidRPr="009F77F9">
          <w:t>Part 8</w:t>
        </w:r>
        <w:r>
          <w:rPr>
            <w:rFonts w:asciiTheme="minorHAnsi" w:eastAsiaTheme="minorEastAsia" w:hAnsiTheme="minorHAnsi" w:cstheme="minorBidi"/>
            <w:b w:val="0"/>
            <w:kern w:val="2"/>
            <w:sz w:val="22"/>
            <w:szCs w:val="22"/>
            <w:lang w:eastAsia="en-AU"/>
            <w14:ligatures w14:val="standardContextual"/>
          </w:rPr>
          <w:tab/>
        </w:r>
        <w:r w:rsidRPr="009F77F9">
          <w:t>Amendment, surrender and cancellation of authorisation certificates and authorisation schedules</w:t>
        </w:r>
        <w:r w:rsidRPr="00251CCE">
          <w:rPr>
            <w:vanish/>
          </w:rPr>
          <w:tab/>
        </w:r>
        <w:r w:rsidRPr="00251CCE">
          <w:rPr>
            <w:vanish/>
          </w:rPr>
          <w:fldChar w:fldCharType="begin"/>
        </w:r>
        <w:r w:rsidRPr="00251CCE">
          <w:rPr>
            <w:vanish/>
          </w:rPr>
          <w:instrText xml:space="preserve"> PAGEREF _Toc147827613 \h </w:instrText>
        </w:r>
        <w:r w:rsidRPr="00251CCE">
          <w:rPr>
            <w:vanish/>
          </w:rPr>
        </w:r>
        <w:r w:rsidRPr="00251CCE">
          <w:rPr>
            <w:vanish/>
          </w:rPr>
          <w:fldChar w:fldCharType="separate"/>
        </w:r>
        <w:r w:rsidR="003175FC">
          <w:rPr>
            <w:vanish/>
          </w:rPr>
          <w:t>33</w:t>
        </w:r>
        <w:r w:rsidRPr="00251CCE">
          <w:rPr>
            <w:vanish/>
          </w:rPr>
          <w:fldChar w:fldCharType="end"/>
        </w:r>
      </w:hyperlink>
    </w:p>
    <w:p w14:paraId="04490C8C" w14:textId="5165A035" w:rsidR="00251CCE" w:rsidRDefault="00251CCE">
      <w:pPr>
        <w:pStyle w:val="TOC5"/>
        <w:rPr>
          <w:rFonts w:asciiTheme="minorHAnsi" w:eastAsiaTheme="minorEastAsia" w:hAnsiTheme="minorHAnsi" w:cstheme="minorBidi"/>
          <w:kern w:val="2"/>
          <w:sz w:val="22"/>
          <w:szCs w:val="22"/>
          <w:lang w:eastAsia="en-AU"/>
          <w14:ligatures w14:val="standardContextual"/>
        </w:rPr>
      </w:pPr>
      <w:r>
        <w:tab/>
      </w:r>
      <w:hyperlink w:anchor="_Toc147827614" w:history="1">
        <w:r w:rsidRPr="009F77F9">
          <w:t>36</w:t>
        </w:r>
        <w:r>
          <w:rPr>
            <w:rFonts w:asciiTheme="minorHAnsi" w:eastAsiaTheme="minorEastAsia" w:hAnsiTheme="minorHAnsi" w:cstheme="minorBidi"/>
            <w:kern w:val="2"/>
            <w:sz w:val="22"/>
            <w:szCs w:val="22"/>
            <w:lang w:eastAsia="en-AU"/>
            <w14:ligatures w14:val="standardContextual"/>
          </w:rPr>
          <w:tab/>
        </w:r>
        <w:r w:rsidRPr="009F77F9">
          <w:t>Authorisation certificate amendment—application</w:t>
        </w:r>
        <w:r>
          <w:tab/>
        </w:r>
        <w:r>
          <w:fldChar w:fldCharType="begin"/>
        </w:r>
        <w:r>
          <w:instrText xml:space="preserve"> PAGEREF _Toc147827614 \h </w:instrText>
        </w:r>
        <w:r>
          <w:fldChar w:fldCharType="separate"/>
        </w:r>
        <w:r w:rsidR="003175FC">
          <w:t>33</w:t>
        </w:r>
        <w:r>
          <w:fldChar w:fldCharType="end"/>
        </w:r>
      </w:hyperlink>
    </w:p>
    <w:p w14:paraId="01730159" w14:textId="5A79690F" w:rsidR="00251CCE" w:rsidRDefault="00251CCE">
      <w:pPr>
        <w:pStyle w:val="TOC5"/>
        <w:rPr>
          <w:rFonts w:asciiTheme="minorHAnsi" w:eastAsiaTheme="minorEastAsia" w:hAnsiTheme="minorHAnsi" w:cstheme="minorBidi"/>
          <w:kern w:val="2"/>
          <w:sz w:val="22"/>
          <w:szCs w:val="22"/>
          <w:lang w:eastAsia="en-AU"/>
          <w14:ligatures w14:val="standardContextual"/>
        </w:rPr>
      </w:pPr>
      <w:r>
        <w:tab/>
      </w:r>
      <w:hyperlink w:anchor="_Toc147827615" w:history="1">
        <w:r w:rsidRPr="009F77F9">
          <w:t>37</w:t>
        </w:r>
        <w:r>
          <w:rPr>
            <w:rFonts w:asciiTheme="minorHAnsi" w:eastAsiaTheme="minorEastAsia" w:hAnsiTheme="minorHAnsi" w:cstheme="minorBidi"/>
            <w:kern w:val="2"/>
            <w:sz w:val="22"/>
            <w:szCs w:val="22"/>
            <w:lang w:eastAsia="en-AU"/>
            <w14:ligatures w14:val="standardContextual"/>
          </w:rPr>
          <w:tab/>
        </w:r>
        <w:r w:rsidRPr="009F77F9">
          <w:t>Authorisation certificate amendment—contents of application</w:t>
        </w:r>
        <w:r>
          <w:tab/>
        </w:r>
        <w:r>
          <w:fldChar w:fldCharType="begin"/>
        </w:r>
        <w:r>
          <w:instrText xml:space="preserve"> PAGEREF _Toc147827615 \h </w:instrText>
        </w:r>
        <w:r>
          <w:fldChar w:fldCharType="separate"/>
        </w:r>
        <w:r w:rsidR="003175FC">
          <w:t>34</w:t>
        </w:r>
        <w:r>
          <w:fldChar w:fldCharType="end"/>
        </w:r>
      </w:hyperlink>
    </w:p>
    <w:p w14:paraId="3407666F" w14:textId="30E5E5C3" w:rsidR="00251CCE" w:rsidRDefault="00251CCE">
      <w:pPr>
        <w:pStyle w:val="TOC5"/>
        <w:rPr>
          <w:rFonts w:asciiTheme="minorHAnsi" w:eastAsiaTheme="minorEastAsia" w:hAnsiTheme="minorHAnsi" w:cstheme="minorBidi"/>
          <w:kern w:val="2"/>
          <w:sz w:val="22"/>
          <w:szCs w:val="22"/>
          <w:lang w:eastAsia="en-AU"/>
          <w14:ligatures w14:val="standardContextual"/>
        </w:rPr>
      </w:pPr>
      <w:r>
        <w:tab/>
      </w:r>
      <w:hyperlink w:anchor="_Toc147827616" w:history="1">
        <w:r w:rsidRPr="009F77F9">
          <w:t>38</w:t>
        </w:r>
        <w:r>
          <w:rPr>
            <w:rFonts w:asciiTheme="minorHAnsi" w:eastAsiaTheme="minorEastAsia" w:hAnsiTheme="minorHAnsi" w:cstheme="minorBidi"/>
            <w:kern w:val="2"/>
            <w:sz w:val="22"/>
            <w:szCs w:val="22"/>
            <w:lang w:eastAsia="en-AU"/>
            <w14:ligatures w14:val="standardContextual"/>
          </w:rPr>
          <w:tab/>
        </w:r>
        <w:r w:rsidRPr="009F77F9">
          <w:t>Authorisation certificate amendment decision—gaming area amendment</w:t>
        </w:r>
        <w:r>
          <w:tab/>
        </w:r>
        <w:r>
          <w:fldChar w:fldCharType="begin"/>
        </w:r>
        <w:r>
          <w:instrText xml:space="preserve"> PAGEREF _Toc147827616 \h </w:instrText>
        </w:r>
        <w:r>
          <w:fldChar w:fldCharType="separate"/>
        </w:r>
        <w:r w:rsidR="003175FC">
          <w:t>34</w:t>
        </w:r>
        <w:r>
          <w:fldChar w:fldCharType="end"/>
        </w:r>
      </w:hyperlink>
    </w:p>
    <w:p w14:paraId="1AF18585" w14:textId="2FE15094" w:rsidR="00251CCE" w:rsidRDefault="00251CCE">
      <w:pPr>
        <w:pStyle w:val="TOC5"/>
        <w:rPr>
          <w:rFonts w:asciiTheme="minorHAnsi" w:eastAsiaTheme="minorEastAsia" w:hAnsiTheme="minorHAnsi" w:cstheme="minorBidi"/>
          <w:kern w:val="2"/>
          <w:sz w:val="22"/>
          <w:szCs w:val="22"/>
          <w:lang w:eastAsia="en-AU"/>
          <w14:ligatures w14:val="standardContextual"/>
        </w:rPr>
      </w:pPr>
      <w:r>
        <w:tab/>
      </w:r>
      <w:hyperlink w:anchor="_Toc147827617" w:history="1">
        <w:r w:rsidRPr="009F77F9">
          <w:t>39</w:t>
        </w:r>
        <w:r>
          <w:rPr>
            <w:rFonts w:asciiTheme="minorHAnsi" w:eastAsiaTheme="minorEastAsia" w:hAnsiTheme="minorHAnsi" w:cstheme="minorBidi"/>
            <w:kern w:val="2"/>
            <w:sz w:val="22"/>
            <w:szCs w:val="22"/>
            <w:lang w:eastAsia="en-AU"/>
            <w14:ligatures w14:val="standardContextual"/>
          </w:rPr>
          <w:tab/>
        </w:r>
        <w:r w:rsidRPr="009F77F9">
          <w:t>Amendment of authorisation certificate and authorisation schedule</w:t>
        </w:r>
        <w:r>
          <w:tab/>
        </w:r>
        <w:r>
          <w:fldChar w:fldCharType="begin"/>
        </w:r>
        <w:r>
          <w:instrText xml:space="preserve"> PAGEREF _Toc147827617 \h </w:instrText>
        </w:r>
        <w:r>
          <w:fldChar w:fldCharType="separate"/>
        </w:r>
        <w:r w:rsidR="003175FC">
          <w:t>35</w:t>
        </w:r>
        <w:r>
          <w:fldChar w:fldCharType="end"/>
        </w:r>
      </w:hyperlink>
    </w:p>
    <w:p w14:paraId="3E9C1273" w14:textId="45281D4C" w:rsidR="00251CCE" w:rsidRDefault="00251CCE">
      <w:pPr>
        <w:pStyle w:val="TOC5"/>
        <w:rPr>
          <w:rFonts w:asciiTheme="minorHAnsi" w:eastAsiaTheme="minorEastAsia" w:hAnsiTheme="minorHAnsi" w:cstheme="minorBidi"/>
          <w:kern w:val="2"/>
          <w:sz w:val="22"/>
          <w:szCs w:val="22"/>
          <w:lang w:eastAsia="en-AU"/>
          <w14:ligatures w14:val="standardContextual"/>
        </w:rPr>
      </w:pPr>
      <w:r>
        <w:tab/>
      </w:r>
      <w:hyperlink w:anchor="_Toc147827618" w:history="1">
        <w:r w:rsidRPr="009F77F9">
          <w:t>40</w:t>
        </w:r>
        <w:r>
          <w:rPr>
            <w:rFonts w:asciiTheme="minorHAnsi" w:eastAsiaTheme="minorEastAsia" w:hAnsiTheme="minorHAnsi" w:cstheme="minorBidi"/>
            <w:kern w:val="2"/>
            <w:sz w:val="22"/>
            <w:szCs w:val="22"/>
            <w:lang w:eastAsia="en-AU"/>
            <w14:ligatures w14:val="standardContextual"/>
          </w:rPr>
          <w:tab/>
        </w:r>
        <w:r w:rsidRPr="009F77F9">
          <w:t>Re-issue of amended authorisation certificate and authorisation schedule</w:t>
        </w:r>
        <w:r>
          <w:tab/>
        </w:r>
        <w:r>
          <w:fldChar w:fldCharType="begin"/>
        </w:r>
        <w:r>
          <w:instrText xml:space="preserve"> PAGEREF _Toc147827618 \h </w:instrText>
        </w:r>
        <w:r>
          <w:fldChar w:fldCharType="separate"/>
        </w:r>
        <w:r w:rsidR="003175FC">
          <w:t>37</w:t>
        </w:r>
        <w:r>
          <w:fldChar w:fldCharType="end"/>
        </w:r>
      </w:hyperlink>
    </w:p>
    <w:p w14:paraId="047CA0C8" w14:textId="1982F436" w:rsidR="00251CCE" w:rsidRDefault="00251CCE">
      <w:pPr>
        <w:pStyle w:val="TOC5"/>
        <w:rPr>
          <w:rFonts w:asciiTheme="minorHAnsi" w:eastAsiaTheme="minorEastAsia" w:hAnsiTheme="minorHAnsi" w:cstheme="minorBidi"/>
          <w:kern w:val="2"/>
          <w:sz w:val="22"/>
          <w:szCs w:val="22"/>
          <w:lang w:eastAsia="en-AU"/>
          <w14:ligatures w14:val="standardContextual"/>
        </w:rPr>
      </w:pPr>
      <w:r>
        <w:tab/>
      </w:r>
      <w:hyperlink w:anchor="_Toc147827619" w:history="1">
        <w:r w:rsidRPr="009F77F9">
          <w:t>41</w:t>
        </w:r>
        <w:r>
          <w:rPr>
            <w:rFonts w:asciiTheme="minorHAnsi" w:eastAsiaTheme="minorEastAsia" w:hAnsiTheme="minorHAnsi" w:cstheme="minorBidi"/>
            <w:kern w:val="2"/>
            <w:sz w:val="22"/>
            <w:szCs w:val="22"/>
            <w:lang w:eastAsia="en-AU"/>
            <w14:ligatures w14:val="standardContextual"/>
          </w:rPr>
          <w:tab/>
        </w:r>
        <w:r w:rsidRPr="009F77F9">
          <w:t>Cancellation of authorisation certificates and authorisations on surrender of casino licence</w:t>
        </w:r>
        <w:r>
          <w:tab/>
        </w:r>
        <w:r>
          <w:fldChar w:fldCharType="begin"/>
        </w:r>
        <w:r>
          <w:instrText xml:space="preserve"> PAGEREF _Toc147827619 \h </w:instrText>
        </w:r>
        <w:r>
          <w:fldChar w:fldCharType="separate"/>
        </w:r>
        <w:r w:rsidR="003175FC">
          <w:t>38</w:t>
        </w:r>
        <w:r>
          <w:fldChar w:fldCharType="end"/>
        </w:r>
      </w:hyperlink>
    </w:p>
    <w:p w14:paraId="3C30D01B" w14:textId="498D7F33" w:rsidR="00251CCE" w:rsidRDefault="00251CCE">
      <w:pPr>
        <w:pStyle w:val="TOC5"/>
        <w:rPr>
          <w:rFonts w:asciiTheme="minorHAnsi" w:eastAsiaTheme="minorEastAsia" w:hAnsiTheme="minorHAnsi" w:cstheme="minorBidi"/>
          <w:kern w:val="2"/>
          <w:sz w:val="22"/>
          <w:szCs w:val="22"/>
          <w:lang w:eastAsia="en-AU"/>
          <w14:ligatures w14:val="standardContextual"/>
        </w:rPr>
      </w:pPr>
      <w:r>
        <w:tab/>
      </w:r>
      <w:hyperlink w:anchor="_Toc147827620" w:history="1">
        <w:r w:rsidRPr="009F77F9">
          <w:t>42</w:t>
        </w:r>
        <w:r>
          <w:rPr>
            <w:rFonts w:asciiTheme="minorHAnsi" w:eastAsiaTheme="minorEastAsia" w:hAnsiTheme="minorHAnsi" w:cstheme="minorBidi"/>
            <w:kern w:val="2"/>
            <w:sz w:val="22"/>
            <w:szCs w:val="22"/>
            <w:lang w:eastAsia="en-AU"/>
            <w14:ligatures w14:val="standardContextual"/>
          </w:rPr>
          <w:tab/>
        </w:r>
        <w:r w:rsidRPr="009F77F9">
          <w:t>Cancellation of authorisation certificates and authorisations—forfeiture</w:t>
        </w:r>
        <w:r>
          <w:tab/>
        </w:r>
        <w:r>
          <w:fldChar w:fldCharType="begin"/>
        </w:r>
        <w:r>
          <w:instrText xml:space="preserve"> PAGEREF _Toc147827620 \h </w:instrText>
        </w:r>
        <w:r>
          <w:fldChar w:fldCharType="separate"/>
        </w:r>
        <w:r w:rsidR="003175FC">
          <w:t>39</w:t>
        </w:r>
        <w:r>
          <w:fldChar w:fldCharType="end"/>
        </w:r>
      </w:hyperlink>
    </w:p>
    <w:p w14:paraId="37AC5F2C" w14:textId="76F0C43A" w:rsidR="00251CCE" w:rsidRDefault="00251CCE">
      <w:pPr>
        <w:pStyle w:val="TOC5"/>
        <w:rPr>
          <w:rFonts w:asciiTheme="minorHAnsi" w:eastAsiaTheme="minorEastAsia" w:hAnsiTheme="minorHAnsi" w:cstheme="minorBidi"/>
          <w:kern w:val="2"/>
          <w:sz w:val="22"/>
          <w:szCs w:val="22"/>
          <w:lang w:eastAsia="en-AU"/>
          <w14:ligatures w14:val="standardContextual"/>
        </w:rPr>
      </w:pPr>
      <w:r>
        <w:tab/>
      </w:r>
      <w:hyperlink w:anchor="_Toc147827621" w:history="1">
        <w:r w:rsidRPr="009F77F9">
          <w:t>43</w:t>
        </w:r>
        <w:r>
          <w:rPr>
            <w:rFonts w:asciiTheme="minorHAnsi" w:eastAsiaTheme="minorEastAsia" w:hAnsiTheme="minorHAnsi" w:cstheme="minorBidi"/>
            <w:kern w:val="2"/>
            <w:sz w:val="22"/>
            <w:szCs w:val="22"/>
            <w:lang w:eastAsia="en-AU"/>
            <w14:ligatures w14:val="standardContextual"/>
          </w:rPr>
          <w:tab/>
        </w:r>
        <w:r w:rsidRPr="009F77F9">
          <w:t>Surrender of authorisation certificates and authorisations</w:t>
        </w:r>
        <w:r>
          <w:tab/>
        </w:r>
        <w:r>
          <w:fldChar w:fldCharType="begin"/>
        </w:r>
        <w:r>
          <w:instrText xml:space="preserve"> PAGEREF _Toc147827621 \h </w:instrText>
        </w:r>
        <w:r>
          <w:fldChar w:fldCharType="separate"/>
        </w:r>
        <w:r w:rsidR="003175FC">
          <w:t>39</w:t>
        </w:r>
        <w:r>
          <w:fldChar w:fldCharType="end"/>
        </w:r>
      </w:hyperlink>
    </w:p>
    <w:p w14:paraId="6ACBD9C6" w14:textId="0983C59D" w:rsidR="00251CCE" w:rsidRDefault="00251CCE">
      <w:pPr>
        <w:pStyle w:val="TOC5"/>
        <w:rPr>
          <w:rFonts w:asciiTheme="minorHAnsi" w:eastAsiaTheme="minorEastAsia" w:hAnsiTheme="minorHAnsi" w:cstheme="minorBidi"/>
          <w:kern w:val="2"/>
          <w:sz w:val="22"/>
          <w:szCs w:val="22"/>
          <w:lang w:eastAsia="en-AU"/>
          <w14:ligatures w14:val="standardContextual"/>
        </w:rPr>
      </w:pPr>
      <w:r>
        <w:tab/>
      </w:r>
      <w:hyperlink w:anchor="_Toc147827622" w:history="1">
        <w:r w:rsidRPr="009F77F9">
          <w:t>44</w:t>
        </w:r>
        <w:r>
          <w:rPr>
            <w:rFonts w:asciiTheme="minorHAnsi" w:eastAsiaTheme="minorEastAsia" w:hAnsiTheme="minorHAnsi" w:cstheme="minorBidi"/>
            <w:kern w:val="2"/>
            <w:sz w:val="22"/>
            <w:szCs w:val="22"/>
            <w:lang w:eastAsia="en-AU"/>
            <w14:ligatures w14:val="standardContextual"/>
          </w:rPr>
          <w:tab/>
        </w:r>
        <w:r w:rsidRPr="009F77F9">
          <w:t>Offence—failure to dispose of casino gaming machines and casino FATG terminals</w:t>
        </w:r>
        <w:r>
          <w:tab/>
        </w:r>
        <w:r>
          <w:fldChar w:fldCharType="begin"/>
        </w:r>
        <w:r>
          <w:instrText xml:space="preserve"> PAGEREF _Toc147827622 \h </w:instrText>
        </w:r>
        <w:r>
          <w:fldChar w:fldCharType="separate"/>
        </w:r>
        <w:r w:rsidR="003175FC">
          <w:t>40</w:t>
        </w:r>
        <w:r>
          <w:fldChar w:fldCharType="end"/>
        </w:r>
      </w:hyperlink>
    </w:p>
    <w:p w14:paraId="296E6303" w14:textId="11F7A758" w:rsidR="00251CCE" w:rsidRDefault="00251CCE">
      <w:pPr>
        <w:pStyle w:val="TOC2"/>
        <w:rPr>
          <w:rFonts w:asciiTheme="minorHAnsi" w:eastAsiaTheme="minorEastAsia" w:hAnsiTheme="minorHAnsi" w:cstheme="minorBidi"/>
          <w:b w:val="0"/>
          <w:kern w:val="2"/>
          <w:sz w:val="22"/>
          <w:szCs w:val="22"/>
          <w:lang w:eastAsia="en-AU"/>
          <w14:ligatures w14:val="standardContextual"/>
        </w:rPr>
      </w:pPr>
      <w:hyperlink w:anchor="_Toc147827623" w:history="1">
        <w:r w:rsidRPr="009F77F9">
          <w:t>Part 9</w:t>
        </w:r>
        <w:r>
          <w:rPr>
            <w:rFonts w:asciiTheme="minorHAnsi" w:eastAsiaTheme="minorEastAsia" w:hAnsiTheme="minorHAnsi" w:cstheme="minorBidi"/>
            <w:b w:val="0"/>
            <w:kern w:val="2"/>
            <w:sz w:val="22"/>
            <w:szCs w:val="22"/>
            <w:lang w:eastAsia="en-AU"/>
            <w14:ligatures w14:val="standardContextual"/>
          </w:rPr>
          <w:tab/>
        </w:r>
        <w:r w:rsidRPr="009F77F9">
          <w:t>Notification and review of decisions</w:t>
        </w:r>
        <w:r w:rsidRPr="00251CCE">
          <w:rPr>
            <w:vanish/>
          </w:rPr>
          <w:tab/>
        </w:r>
        <w:r w:rsidRPr="00251CCE">
          <w:rPr>
            <w:vanish/>
          </w:rPr>
          <w:fldChar w:fldCharType="begin"/>
        </w:r>
        <w:r w:rsidRPr="00251CCE">
          <w:rPr>
            <w:vanish/>
          </w:rPr>
          <w:instrText xml:space="preserve"> PAGEREF _Toc147827623 \h </w:instrText>
        </w:r>
        <w:r w:rsidRPr="00251CCE">
          <w:rPr>
            <w:vanish/>
          </w:rPr>
        </w:r>
        <w:r w:rsidRPr="00251CCE">
          <w:rPr>
            <w:vanish/>
          </w:rPr>
          <w:fldChar w:fldCharType="separate"/>
        </w:r>
        <w:r w:rsidR="003175FC">
          <w:rPr>
            <w:vanish/>
          </w:rPr>
          <w:t>42</w:t>
        </w:r>
        <w:r w:rsidRPr="00251CCE">
          <w:rPr>
            <w:vanish/>
          </w:rPr>
          <w:fldChar w:fldCharType="end"/>
        </w:r>
      </w:hyperlink>
    </w:p>
    <w:p w14:paraId="0AD93B17" w14:textId="58D17C1B" w:rsidR="00251CCE" w:rsidRDefault="00251CCE">
      <w:pPr>
        <w:pStyle w:val="TOC5"/>
        <w:rPr>
          <w:rFonts w:asciiTheme="minorHAnsi" w:eastAsiaTheme="minorEastAsia" w:hAnsiTheme="minorHAnsi" w:cstheme="minorBidi"/>
          <w:kern w:val="2"/>
          <w:sz w:val="22"/>
          <w:szCs w:val="22"/>
          <w:lang w:eastAsia="en-AU"/>
          <w14:ligatures w14:val="standardContextual"/>
        </w:rPr>
      </w:pPr>
      <w:r>
        <w:tab/>
      </w:r>
      <w:hyperlink w:anchor="_Toc147827624" w:history="1">
        <w:r w:rsidRPr="009F77F9">
          <w:t>45</w:t>
        </w:r>
        <w:r>
          <w:rPr>
            <w:rFonts w:asciiTheme="minorHAnsi" w:eastAsiaTheme="minorEastAsia" w:hAnsiTheme="minorHAnsi" w:cstheme="minorBidi"/>
            <w:kern w:val="2"/>
            <w:sz w:val="22"/>
            <w:szCs w:val="22"/>
            <w:lang w:eastAsia="en-AU"/>
            <w14:ligatures w14:val="standardContextual"/>
          </w:rPr>
          <w:tab/>
        </w:r>
        <w:r w:rsidRPr="009F77F9">
          <w:t xml:space="preserve">Meaning of </w:t>
        </w:r>
        <w:r w:rsidRPr="009F77F9">
          <w:rPr>
            <w:i/>
          </w:rPr>
          <w:t>reviewable decision</w:t>
        </w:r>
        <w:r w:rsidRPr="009F77F9">
          <w:t>—pt 9</w:t>
        </w:r>
        <w:r>
          <w:tab/>
        </w:r>
        <w:r>
          <w:fldChar w:fldCharType="begin"/>
        </w:r>
        <w:r>
          <w:instrText xml:space="preserve"> PAGEREF _Toc147827624 \h </w:instrText>
        </w:r>
        <w:r>
          <w:fldChar w:fldCharType="separate"/>
        </w:r>
        <w:r w:rsidR="003175FC">
          <w:t>42</w:t>
        </w:r>
        <w:r>
          <w:fldChar w:fldCharType="end"/>
        </w:r>
      </w:hyperlink>
    </w:p>
    <w:p w14:paraId="4ABCA265" w14:textId="5EB9F788" w:rsidR="00251CCE" w:rsidRDefault="00251CCE">
      <w:pPr>
        <w:pStyle w:val="TOC5"/>
        <w:rPr>
          <w:rFonts w:asciiTheme="minorHAnsi" w:eastAsiaTheme="minorEastAsia" w:hAnsiTheme="minorHAnsi" w:cstheme="minorBidi"/>
          <w:kern w:val="2"/>
          <w:sz w:val="22"/>
          <w:szCs w:val="22"/>
          <w:lang w:eastAsia="en-AU"/>
          <w14:ligatures w14:val="standardContextual"/>
        </w:rPr>
      </w:pPr>
      <w:r>
        <w:tab/>
      </w:r>
      <w:hyperlink w:anchor="_Toc147827625" w:history="1">
        <w:r w:rsidRPr="009F77F9">
          <w:t>46</w:t>
        </w:r>
        <w:r>
          <w:rPr>
            <w:rFonts w:asciiTheme="minorHAnsi" w:eastAsiaTheme="minorEastAsia" w:hAnsiTheme="minorHAnsi" w:cstheme="minorBidi"/>
            <w:kern w:val="2"/>
            <w:sz w:val="22"/>
            <w:szCs w:val="22"/>
            <w:lang w:eastAsia="en-AU"/>
            <w14:ligatures w14:val="standardContextual"/>
          </w:rPr>
          <w:tab/>
        </w:r>
        <w:r w:rsidRPr="009F77F9">
          <w:t>Reviewable decision notices</w:t>
        </w:r>
        <w:r>
          <w:tab/>
        </w:r>
        <w:r>
          <w:fldChar w:fldCharType="begin"/>
        </w:r>
        <w:r>
          <w:instrText xml:space="preserve"> PAGEREF _Toc147827625 \h </w:instrText>
        </w:r>
        <w:r>
          <w:fldChar w:fldCharType="separate"/>
        </w:r>
        <w:r w:rsidR="003175FC">
          <w:t>42</w:t>
        </w:r>
        <w:r>
          <w:fldChar w:fldCharType="end"/>
        </w:r>
      </w:hyperlink>
    </w:p>
    <w:p w14:paraId="41AEC9A5" w14:textId="5A96118E" w:rsidR="00251CCE" w:rsidRDefault="00251CCE">
      <w:pPr>
        <w:pStyle w:val="TOC5"/>
        <w:rPr>
          <w:rFonts w:asciiTheme="minorHAnsi" w:eastAsiaTheme="minorEastAsia" w:hAnsiTheme="minorHAnsi" w:cstheme="minorBidi"/>
          <w:kern w:val="2"/>
          <w:sz w:val="22"/>
          <w:szCs w:val="22"/>
          <w:lang w:eastAsia="en-AU"/>
          <w14:ligatures w14:val="standardContextual"/>
        </w:rPr>
      </w:pPr>
      <w:r>
        <w:tab/>
      </w:r>
      <w:hyperlink w:anchor="_Toc147827626" w:history="1">
        <w:r w:rsidRPr="009F77F9">
          <w:t>47</w:t>
        </w:r>
        <w:r>
          <w:rPr>
            <w:rFonts w:asciiTheme="minorHAnsi" w:eastAsiaTheme="minorEastAsia" w:hAnsiTheme="minorHAnsi" w:cstheme="minorBidi"/>
            <w:kern w:val="2"/>
            <w:sz w:val="22"/>
            <w:szCs w:val="22"/>
            <w:lang w:eastAsia="en-AU"/>
            <w14:ligatures w14:val="standardContextual"/>
          </w:rPr>
          <w:tab/>
        </w:r>
        <w:r w:rsidRPr="009F77F9">
          <w:t>Applications for review</w:t>
        </w:r>
        <w:r>
          <w:tab/>
        </w:r>
        <w:r>
          <w:fldChar w:fldCharType="begin"/>
        </w:r>
        <w:r>
          <w:instrText xml:space="preserve"> PAGEREF _Toc147827626 \h </w:instrText>
        </w:r>
        <w:r>
          <w:fldChar w:fldCharType="separate"/>
        </w:r>
        <w:r w:rsidR="003175FC">
          <w:t>42</w:t>
        </w:r>
        <w:r>
          <w:fldChar w:fldCharType="end"/>
        </w:r>
      </w:hyperlink>
    </w:p>
    <w:p w14:paraId="697A8752" w14:textId="23D19A5B" w:rsidR="00251CCE" w:rsidRDefault="00251CCE">
      <w:pPr>
        <w:pStyle w:val="TOC2"/>
        <w:rPr>
          <w:rFonts w:asciiTheme="minorHAnsi" w:eastAsiaTheme="minorEastAsia" w:hAnsiTheme="minorHAnsi" w:cstheme="minorBidi"/>
          <w:b w:val="0"/>
          <w:kern w:val="2"/>
          <w:sz w:val="22"/>
          <w:szCs w:val="22"/>
          <w:lang w:eastAsia="en-AU"/>
          <w14:ligatures w14:val="standardContextual"/>
        </w:rPr>
      </w:pPr>
      <w:hyperlink w:anchor="_Toc147827627" w:history="1">
        <w:r w:rsidRPr="009F77F9">
          <w:t>Part 10</w:t>
        </w:r>
        <w:r>
          <w:rPr>
            <w:rFonts w:asciiTheme="minorHAnsi" w:eastAsiaTheme="minorEastAsia" w:hAnsiTheme="minorHAnsi" w:cstheme="minorBidi"/>
            <w:b w:val="0"/>
            <w:kern w:val="2"/>
            <w:sz w:val="22"/>
            <w:szCs w:val="22"/>
            <w:lang w:eastAsia="en-AU"/>
            <w14:ligatures w14:val="standardContextual"/>
          </w:rPr>
          <w:tab/>
        </w:r>
        <w:r w:rsidRPr="009F77F9">
          <w:t>Notifiable actions</w:t>
        </w:r>
        <w:r w:rsidRPr="00251CCE">
          <w:rPr>
            <w:vanish/>
          </w:rPr>
          <w:tab/>
        </w:r>
        <w:r w:rsidRPr="00251CCE">
          <w:rPr>
            <w:vanish/>
          </w:rPr>
          <w:fldChar w:fldCharType="begin"/>
        </w:r>
        <w:r w:rsidRPr="00251CCE">
          <w:rPr>
            <w:vanish/>
          </w:rPr>
          <w:instrText xml:space="preserve"> PAGEREF _Toc147827627 \h </w:instrText>
        </w:r>
        <w:r w:rsidRPr="00251CCE">
          <w:rPr>
            <w:vanish/>
          </w:rPr>
        </w:r>
        <w:r w:rsidRPr="00251CCE">
          <w:rPr>
            <w:vanish/>
          </w:rPr>
          <w:fldChar w:fldCharType="separate"/>
        </w:r>
        <w:r w:rsidR="003175FC">
          <w:rPr>
            <w:vanish/>
          </w:rPr>
          <w:t>43</w:t>
        </w:r>
        <w:r w:rsidRPr="00251CCE">
          <w:rPr>
            <w:vanish/>
          </w:rPr>
          <w:fldChar w:fldCharType="end"/>
        </w:r>
      </w:hyperlink>
    </w:p>
    <w:p w14:paraId="1CA64077" w14:textId="20A3827A" w:rsidR="00251CCE" w:rsidRDefault="00251CCE">
      <w:pPr>
        <w:pStyle w:val="TOC5"/>
        <w:rPr>
          <w:rFonts w:asciiTheme="minorHAnsi" w:eastAsiaTheme="minorEastAsia" w:hAnsiTheme="minorHAnsi" w:cstheme="minorBidi"/>
          <w:kern w:val="2"/>
          <w:sz w:val="22"/>
          <w:szCs w:val="22"/>
          <w:lang w:eastAsia="en-AU"/>
          <w14:ligatures w14:val="standardContextual"/>
        </w:rPr>
      </w:pPr>
      <w:r>
        <w:tab/>
      </w:r>
      <w:hyperlink w:anchor="_Toc147827628" w:history="1">
        <w:r w:rsidRPr="009F77F9">
          <w:t>48</w:t>
        </w:r>
        <w:r>
          <w:rPr>
            <w:rFonts w:asciiTheme="minorHAnsi" w:eastAsiaTheme="minorEastAsia" w:hAnsiTheme="minorHAnsi" w:cstheme="minorBidi"/>
            <w:kern w:val="2"/>
            <w:sz w:val="22"/>
            <w:szCs w:val="22"/>
            <w:lang w:eastAsia="en-AU"/>
            <w14:ligatures w14:val="standardContextual"/>
          </w:rPr>
          <w:tab/>
        </w:r>
        <w:r w:rsidRPr="009F77F9">
          <w:t>Definitions—Act</w:t>
        </w:r>
        <w:r>
          <w:tab/>
        </w:r>
        <w:r>
          <w:fldChar w:fldCharType="begin"/>
        </w:r>
        <w:r>
          <w:instrText xml:space="preserve"> PAGEREF _Toc147827628 \h </w:instrText>
        </w:r>
        <w:r>
          <w:fldChar w:fldCharType="separate"/>
        </w:r>
        <w:r w:rsidR="003175FC">
          <w:t>43</w:t>
        </w:r>
        <w:r>
          <w:fldChar w:fldCharType="end"/>
        </w:r>
      </w:hyperlink>
    </w:p>
    <w:p w14:paraId="3103C962" w14:textId="68E92CA7" w:rsidR="00251CCE" w:rsidRDefault="00251CCE">
      <w:pPr>
        <w:pStyle w:val="TOC5"/>
        <w:rPr>
          <w:rFonts w:asciiTheme="minorHAnsi" w:eastAsiaTheme="minorEastAsia" w:hAnsiTheme="minorHAnsi" w:cstheme="minorBidi"/>
          <w:kern w:val="2"/>
          <w:sz w:val="22"/>
          <w:szCs w:val="22"/>
          <w:lang w:eastAsia="en-AU"/>
          <w14:ligatures w14:val="standardContextual"/>
        </w:rPr>
      </w:pPr>
      <w:r>
        <w:tab/>
      </w:r>
      <w:hyperlink w:anchor="_Toc147827629" w:history="1">
        <w:r w:rsidRPr="009F77F9">
          <w:t>49</w:t>
        </w:r>
        <w:r>
          <w:rPr>
            <w:rFonts w:asciiTheme="minorHAnsi" w:eastAsiaTheme="minorEastAsia" w:hAnsiTheme="minorHAnsi" w:cstheme="minorBidi"/>
            <w:kern w:val="2"/>
            <w:sz w:val="22"/>
            <w:szCs w:val="22"/>
            <w:lang w:eastAsia="en-AU"/>
            <w14:ligatures w14:val="standardContextual"/>
          </w:rPr>
          <w:tab/>
        </w:r>
        <w:r w:rsidRPr="009F77F9">
          <w:t>Notifiable actions</w:t>
        </w:r>
        <w:r>
          <w:tab/>
        </w:r>
        <w:r>
          <w:fldChar w:fldCharType="begin"/>
        </w:r>
        <w:r>
          <w:instrText xml:space="preserve"> PAGEREF _Toc147827629 \h </w:instrText>
        </w:r>
        <w:r>
          <w:fldChar w:fldCharType="separate"/>
        </w:r>
        <w:r w:rsidR="003175FC">
          <w:t>43</w:t>
        </w:r>
        <w:r>
          <w:fldChar w:fldCharType="end"/>
        </w:r>
      </w:hyperlink>
    </w:p>
    <w:p w14:paraId="79517842" w14:textId="71CEA095" w:rsidR="00251CCE" w:rsidRDefault="00251CCE">
      <w:pPr>
        <w:pStyle w:val="TOC5"/>
        <w:rPr>
          <w:rFonts w:asciiTheme="minorHAnsi" w:eastAsiaTheme="minorEastAsia" w:hAnsiTheme="minorHAnsi" w:cstheme="minorBidi"/>
          <w:kern w:val="2"/>
          <w:sz w:val="22"/>
          <w:szCs w:val="22"/>
          <w:lang w:eastAsia="en-AU"/>
          <w14:ligatures w14:val="standardContextual"/>
        </w:rPr>
      </w:pPr>
      <w:r>
        <w:tab/>
      </w:r>
      <w:hyperlink w:anchor="_Toc147827630" w:history="1">
        <w:r w:rsidRPr="009F77F9">
          <w:t>50</w:t>
        </w:r>
        <w:r>
          <w:rPr>
            <w:rFonts w:asciiTheme="minorHAnsi" w:eastAsiaTheme="minorEastAsia" w:hAnsiTheme="minorHAnsi" w:cstheme="minorBidi"/>
            <w:kern w:val="2"/>
            <w:sz w:val="22"/>
            <w:szCs w:val="22"/>
            <w:lang w:eastAsia="en-AU"/>
            <w14:ligatures w14:val="standardContextual"/>
          </w:rPr>
          <w:tab/>
        </w:r>
        <w:r w:rsidRPr="009F77F9">
          <w:t>Notifiable actions—date of effect</w:t>
        </w:r>
        <w:r>
          <w:tab/>
        </w:r>
        <w:r>
          <w:fldChar w:fldCharType="begin"/>
        </w:r>
        <w:r>
          <w:instrText xml:space="preserve"> PAGEREF _Toc147827630 \h </w:instrText>
        </w:r>
        <w:r>
          <w:fldChar w:fldCharType="separate"/>
        </w:r>
        <w:r w:rsidR="003175FC">
          <w:t>44</w:t>
        </w:r>
        <w:r>
          <w:fldChar w:fldCharType="end"/>
        </w:r>
      </w:hyperlink>
    </w:p>
    <w:p w14:paraId="457F7D01" w14:textId="7B920055" w:rsidR="00251CCE" w:rsidRDefault="00251CCE">
      <w:pPr>
        <w:pStyle w:val="TOC5"/>
        <w:rPr>
          <w:rFonts w:asciiTheme="minorHAnsi" w:eastAsiaTheme="minorEastAsia" w:hAnsiTheme="minorHAnsi" w:cstheme="minorBidi"/>
          <w:kern w:val="2"/>
          <w:sz w:val="22"/>
          <w:szCs w:val="22"/>
          <w:lang w:eastAsia="en-AU"/>
          <w14:ligatures w14:val="standardContextual"/>
        </w:rPr>
      </w:pPr>
      <w:r>
        <w:tab/>
      </w:r>
      <w:hyperlink w:anchor="_Toc147827631" w:history="1">
        <w:r w:rsidRPr="009F77F9">
          <w:t>51</w:t>
        </w:r>
        <w:r>
          <w:rPr>
            <w:rFonts w:asciiTheme="minorHAnsi" w:eastAsiaTheme="minorEastAsia" w:hAnsiTheme="minorHAnsi" w:cstheme="minorBidi"/>
            <w:kern w:val="2"/>
            <w:sz w:val="22"/>
            <w:szCs w:val="22"/>
            <w:lang w:eastAsia="en-AU"/>
            <w14:ligatures w14:val="standardContextual"/>
          </w:rPr>
          <w:tab/>
        </w:r>
        <w:r w:rsidRPr="009F77F9">
          <w:t>Notifiable action—amendment or cancellation</w:t>
        </w:r>
        <w:r>
          <w:tab/>
        </w:r>
        <w:r>
          <w:fldChar w:fldCharType="begin"/>
        </w:r>
        <w:r>
          <w:instrText xml:space="preserve"> PAGEREF _Toc147827631 \h </w:instrText>
        </w:r>
        <w:r>
          <w:fldChar w:fldCharType="separate"/>
        </w:r>
        <w:r w:rsidR="003175FC">
          <w:t>44</w:t>
        </w:r>
        <w:r>
          <w:fldChar w:fldCharType="end"/>
        </w:r>
      </w:hyperlink>
    </w:p>
    <w:p w14:paraId="46EB611C" w14:textId="128D1DA9" w:rsidR="00251CCE" w:rsidRDefault="00251CCE">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47827632" w:history="1">
        <w:r w:rsidRPr="009F77F9">
          <w:t>52</w:t>
        </w:r>
        <w:r>
          <w:rPr>
            <w:rFonts w:asciiTheme="minorHAnsi" w:eastAsiaTheme="minorEastAsia" w:hAnsiTheme="minorHAnsi" w:cstheme="minorBidi"/>
            <w:kern w:val="2"/>
            <w:sz w:val="22"/>
            <w:szCs w:val="22"/>
            <w:lang w:eastAsia="en-AU"/>
            <w14:ligatures w14:val="standardContextual"/>
          </w:rPr>
          <w:tab/>
        </w:r>
        <w:r w:rsidRPr="009F77F9">
          <w:t>Notifiable actions—s 43</w:t>
        </w:r>
        <w:r>
          <w:tab/>
        </w:r>
        <w:r>
          <w:fldChar w:fldCharType="begin"/>
        </w:r>
        <w:r>
          <w:instrText xml:space="preserve"> PAGEREF _Toc147827632 \h </w:instrText>
        </w:r>
        <w:r>
          <w:fldChar w:fldCharType="separate"/>
        </w:r>
        <w:r w:rsidR="003175FC">
          <w:t>45</w:t>
        </w:r>
        <w:r>
          <w:fldChar w:fldCharType="end"/>
        </w:r>
      </w:hyperlink>
    </w:p>
    <w:p w14:paraId="4EF94F87" w14:textId="013C36FD" w:rsidR="00251CCE" w:rsidRDefault="00251CCE">
      <w:pPr>
        <w:pStyle w:val="TOC2"/>
        <w:rPr>
          <w:rFonts w:asciiTheme="minorHAnsi" w:eastAsiaTheme="minorEastAsia" w:hAnsiTheme="minorHAnsi" w:cstheme="minorBidi"/>
          <w:b w:val="0"/>
          <w:kern w:val="2"/>
          <w:sz w:val="22"/>
          <w:szCs w:val="22"/>
          <w:lang w:eastAsia="en-AU"/>
          <w14:ligatures w14:val="standardContextual"/>
        </w:rPr>
      </w:pPr>
      <w:hyperlink w:anchor="_Toc147827633" w:history="1">
        <w:r w:rsidRPr="009F77F9">
          <w:t>Part 11</w:t>
        </w:r>
        <w:r>
          <w:rPr>
            <w:rFonts w:asciiTheme="minorHAnsi" w:eastAsiaTheme="minorEastAsia" w:hAnsiTheme="minorHAnsi" w:cstheme="minorBidi"/>
            <w:b w:val="0"/>
            <w:kern w:val="2"/>
            <w:sz w:val="22"/>
            <w:szCs w:val="22"/>
            <w:lang w:eastAsia="en-AU"/>
            <w14:ligatures w14:val="standardContextual"/>
          </w:rPr>
          <w:tab/>
        </w:r>
        <w:r w:rsidRPr="009F77F9">
          <w:t>Miscellaneous</w:t>
        </w:r>
        <w:r w:rsidRPr="00251CCE">
          <w:rPr>
            <w:vanish/>
          </w:rPr>
          <w:tab/>
        </w:r>
        <w:r w:rsidRPr="00251CCE">
          <w:rPr>
            <w:vanish/>
          </w:rPr>
          <w:fldChar w:fldCharType="begin"/>
        </w:r>
        <w:r w:rsidRPr="00251CCE">
          <w:rPr>
            <w:vanish/>
          </w:rPr>
          <w:instrText xml:space="preserve"> PAGEREF _Toc147827633 \h </w:instrText>
        </w:r>
        <w:r w:rsidRPr="00251CCE">
          <w:rPr>
            <w:vanish/>
          </w:rPr>
        </w:r>
        <w:r w:rsidRPr="00251CCE">
          <w:rPr>
            <w:vanish/>
          </w:rPr>
          <w:fldChar w:fldCharType="separate"/>
        </w:r>
        <w:r w:rsidR="003175FC">
          <w:rPr>
            <w:vanish/>
          </w:rPr>
          <w:t>47</w:t>
        </w:r>
        <w:r w:rsidRPr="00251CCE">
          <w:rPr>
            <w:vanish/>
          </w:rPr>
          <w:fldChar w:fldCharType="end"/>
        </w:r>
      </w:hyperlink>
    </w:p>
    <w:p w14:paraId="4D6CDE83" w14:textId="32E619B0" w:rsidR="00251CCE" w:rsidRDefault="00251CCE">
      <w:pPr>
        <w:pStyle w:val="TOC5"/>
        <w:rPr>
          <w:rFonts w:asciiTheme="minorHAnsi" w:eastAsiaTheme="minorEastAsia" w:hAnsiTheme="minorHAnsi" w:cstheme="minorBidi"/>
          <w:kern w:val="2"/>
          <w:sz w:val="22"/>
          <w:szCs w:val="22"/>
          <w:lang w:eastAsia="en-AU"/>
          <w14:ligatures w14:val="standardContextual"/>
        </w:rPr>
      </w:pPr>
      <w:r>
        <w:tab/>
      </w:r>
      <w:hyperlink w:anchor="_Toc147827634" w:history="1">
        <w:r w:rsidRPr="009F77F9">
          <w:t>53</w:t>
        </w:r>
        <w:r>
          <w:rPr>
            <w:rFonts w:asciiTheme="minorHAnsi" w:eastAsiaTheme="minorEastAsia" w:hAnsiTheme="minorHAnsi" w:cstheme="minorBidi"/>
            <w:kern w:val="2"/>
            <w:sz w:val="22"/>
            <w:szCs w:val="22"/>
            <w:lang w:eastAsia="en-AU"/>
            <w14:ligatures w14:val="standardContextual"/>
          </w:rPr>
          <w:tab/>
        </w:r>
        <w:r w:rsidRPr="009F77F9">
          <w:t>Determination of fees</w:t>
        </w:r>
        <w:r>
          <w:tab/>
        </w:r>
        <w:r>
          <w:fldChar w:fldCharType="begin"/>
        </w:r>
        <w:r>
          <w:instrText xml:space="preserve"> PAGEREF _Toc147827634 \h </w:instrText>
        </w:r>
        <w:r>
          <w:fldChar w:fldCharType="separate"/>
        </w:r>
        <w:r w:rsidR="003175FC">
          <w:t>47</w:t>
        </w:r>
        <w:r>
          <w:fldChar w:fldCharType="end"/>
        </w:r>
      </w:hyperlink>
    </w:p>
    <w:p w14:paraId="64A113B7" w14:textId="458F618A" w:rsidR="00251CCE" w:rsidRDefault="00251CCE">
      <w:pPr>
        <w:pStyle w:val="TOC5"/>
        <w:rPr>
          <w:rFonts w:asciiTheme="minorHAnsi" w:eastAsiaTheme="minorEastAsia" w:hAnsiTheme="minorHAnsi" w:cstheme="minorBidi"/>
          <w:kern w:val="2"/>
          <w:sz w:val="22"/>
          <w:szCs w:val="22"/>
          <w:lang w:eastAsia="en-AU"/>
          <w14:ligatures w14:val="standardContextual"/>
        </w:rPr>
      </w:pPr>
      <w:r>
        <w:tab/>
      </w:r>
      <w:hyperlink w:anchor="_Toc147827635" w:history="1">
        <w:r w:rsidRPr="009F77F9">
          <w:t>54</w:t>
        </w:r>
        <w:r>
          <w:rPr>
            <w:rFonts w:asciiTheme="minorHAnsi" w:eastAsiaTheme="minorEastAsia" w:hAnsiTheme="minorHAnsi" w:cstheme="minorBidi"/>
            <w:kern w:val="2"/>
            <w:sz w:val="22"/>
            <w:szCs w:val="22"/>
            <w:lang w:eastAsia="en-AU"/>
            <w14:ligatures w14:val="standardContextual"/>
          </w:rPr>
          <w:tab/>
        </w:r>
        <w:r w:rsidRPr="009F77F9">
          <w:t>Regulation-making power</w:t>
        </w:r>
        <w:r>
          <w:tab/>
        </w:r>
        <w:r>
          <w:fldChar w:fldCharType="begin"/>
        </w:r>
        <w:r>
          <w:instrText xml:space="preserve"> PAGEREF _Toc147827635 \h </w:instrText>
        </w:r>
        <w:r>
          <w:fldChar w:fldCharType="separate"/>
        </w:r>
        <w:r w:rsidR="003175FC">
          <w:t>47</w:t>
        </w:r>
        <w:r>
          <w:fldChar w:fldCharType="end"/>
        </w:r>
      </w:hyperlink>
    </w:p>
    <w:p w14:paraId="127E424D" w14:textId="46CB5F71" w:rsidR="00251CCE" w:rsidRDefault="00251CCE">
      <w:pPr>
        <w:pStyle w:val="TOC6"/>
        <w:rPr>
          <w:rFonts w:asciiTheme="minorHAnsi" w:eastAsiaTheme="minorEastAsia" w:hAnsiTheme="minorHAnsi" w:cstheme="minorBidi"/>
          <w:b w:val="0"/>
          <w:kern w:val="2"/>
          <w:sz w:val="22"/>
          <w:szCs w:val="22"/>
          <w:lang w:eastAsia="en-AU"/>
          <w14:ligatures w14:val="standardContextual"/>
        </w:rPr>
      </w:pPr>
      <w:hyperlink w:anchor="_Toc147827636" w:history="1">
        <w:r w:rsidRPr="009F77F9">
          <w:t>Schedule 1</w:t>
        </w:r>
        <w:r>
          <w:rPr>
            <w:rFonts w:asciiTheme="minorHAnsi" w:eastAsiaTheme="minorEastAsia" w:hAnsiTheme="minorHAnsi" w:cstheme="minorBidi"/>
            <w:b w:val="0"/>
            <w:kern w:val="2"/>
            <w:sz w:val="22"/>
            <w:szCs w:val="22"/>
            <w:lang w:eastAsia="en-AU"/>
            <w14:ligatures w14:val="standardContextual"/>
          </w:rPr>
          <w:tab/>
        </w:r>
        <w:r w:rsidRPr="009F77F9">
          <w:t>Reviewable decisions</w:t>
        </w:r>
        <w:r>
          <w:tab/>
        </w:r>
        <w:r w:rsidRPr="00251CCE">
          <w:rPr>
            <w:b w:val="0"/>
            <w:sz w:val="20"/>
          </w:rPr>
          <w:fldChar w:fldCharType="begin"/>
        </w:r>
        <w:r w:rsidRPr="00251CCE">
          <w:rPr>
            <w:b w:val="0"/>
            <w:sz w:val="20"/>
          </w:rPr>
          <w:instrText xml:space="preserve"> PAGEREF _Toc147827636 \h </w:instrText>
        </w:r>
        <w:r w:rsidRPr="00251CCE">
          <w:rPr>
            <w:b w:val="0"/>
            <w:sz w:val="20"/>
          </w:rPr>
        </w:r>
        <w:r w:rsidRPr="00251CCE">
          <w:rPr>
            <w:b w:val="0"/>
            <w:sz w:val="20"/>
          </w:rPr>
          <w:fldChar w:fldCharType="separate"/>
        </w:r>
        <w:r w:rsidR="003175FC">
          <w:rPr>
            <w:b w:val="0"/>
            <w:sz w:val="20"/>
          </w:rPr>
          <w:t>48</w:t>
        </w:r>
        <w:r w:rsidRPr="00251CCE">
          <w:rPr>
            <w:b w:val="0"/>
            <w:sz w:val="20"/>
          </w:rPr>
          <w:fldChar w:fldCharType="end"/>
        </w:r>
      </w:hyperlink>
    </w:p>
    <w:p w14:paraId="10C25041" w14:textId="7AE90DDC" w:rsidR="00251CCE" w:rsidRDefault="00251CCE">
      <w:pPr>
        <w:pStyle w:val="TOC6"/>
        <w:rPr>
          <w:rFonts w:asciiTheme="minorHAnsi" w:eastAsiaTheme="minorEastAsia" w:hAnsiTheme="minorHAnsi" w:cstheme="minorBidi"/>
          <w:b w:val="0"/>
          <w:kern w:val="2"/>
          <w:sz w:val="22"/>
          <w:szCs w:val="22"/>
          <w:lang w:eastAsia="en-AU"/>
          <w14:ligatures w14:val="standardContextual"/>
        </w:rPr>
      </w:pPr>
      <w:hyperlink w:anchor="_Toc147827637" w:history="1">
        <w:r w:rsidRPr="009F77F9">
          <w:t>Schedule 2</w:t>
        </w:r>
        <w:r>
          <w:rPr>
            <w:rFonts w:asciiTheme="minorHAnsi" w:eastAsiaTheme="minorEastAsia" w:hAnsiTheme="minorHAnsi" w:cstheme="minorBidi"/>
            <w:b w:val="0"/>
            <w:kern w:val="2"/>
            <w:sz w:val="22"/>
            <w:szCs w:val="22"/>
            <w:lang w:eastAsia="en-AU"/>
            <w14:ligatures w14:val="standardContextual"/>
          </w:rPr>
          <w:tab/>
        </w:r>
        <w:r w:rsidRPr="009F77F9">
          <w:t>Notifiable actions</w:t>
        </w:r>
        <w:r>
          <w:tab/>
        </w:r>
        <w:r w:rsidRPr="00251CCE">
          <w:rPr>
            <w:b w:val="0"/>
            <w:sz w:val="20"/>
          </w:rPr>
          <w:fldChar w:fldCharType="begin"/>
        </w:r>
        <w:r w:rsidRPr="00251CCE">
          <w:rPr>
            <w:b w:val="0"/>
            <w:sz w:val="20"/>
          </w:rPr>
          <w:instrText xml:space="preserve"> PAGEREF _Toc147827637 \h </w:instrText>
        </w:r>
        <w:r w:rsidRPr="00251CCE">
          <w:rPr>
            <w:b w:val="0"/>
            <w:sz w:val="20"/>
          </w:rPr>
        </w:r>
        <w:r w:rsidRPr="00251CCE">
          <w:rPr>
            <w:b w:val="0"/>
            <w:sz w:val="20"/>
          </w:rPr>
          <w:fldChar w:fldCharType="separate"/>
        </w:r>
        <w:r w:rsidR="003175FC">
          <w:rPr>
            <w:b w:val="0"/>
            <w:sz w:val="20"/>
          </w:rPr>
          <w:t>49</w:t>
        </w:r>
        <w:r w:rsidRPr="00251CCE">
          <w:rPr>
            <w:b w:val="0"/>
            <w:sz w:val="20"/>
          </w:rPr>
          <w:fldChar w:fldCharType="end"/>
        </w:r>
      </w:hyperlink>
    </w:p>
    <w:p w14:paraId="098D7DA5" w14:textId="118D7144" w:rsidR="00251CCE" w:rsidRDefault="00251CCE">
      <w:pPr>
        <w:pStyle w:val="TOC6"/>
        <w:rPr>
          <w:rFonts w:asciiTheme="minorHAnsi" w:eastAsiaTheme="minorEastAsia" w:hAnsiTheme="minorHAnsi" w:cstheme="minorBidi"/>
          <w:b w:val="0"/>
          <w:kern w:val="2"/>
          <w:sz w:val="22"/>
          <w:szCs w:val="22"/>
          <w:lang w:eastAsia="en-AU"/>
          <w14:ligatures w14:val="standardContextual"/>
        </w:rPr>
      </w:pPr>
      <w:hyperlink w:anchor="_Toc147827638" w:history="1">
        <w:r w:rsidRPr="009F77F9">
          <w:t>Dictionary</w:t>
        </w:r>
        <w:r>
          <w:tab/>
        </w:r>
        <w:r>
          <w:tab/>
        </w:r>
        <w:r w:rsidRPr="00251CCE">
          <w:rPr>
            <w:b w:val="0"/>
            <w:sz w:val="20"/>
          </w:rPr>
          <w:fldChar w:fldCharType="begin"/>
        </w:r>
        <w:r w:rsidRPr="00251CCE">
          <w:rPr>
            <w:b w:val="0"/>
            <w:sz w:val="20"/>
          </w:rPr>
          <w:instrText xml:space="preserve"> PAGEREF _Toc147827638 \h </w:instrText>
        </w:r>
        <w:r w:rsidRPr="00251CCE">
          <w:rPr>
            <w:b w:val="0"/>
            <w:sz w:val="20"/>
          </w:rPr>
        </w:r>
        <w:r w:rsidRPr="00251CCE">
          <w:rPr>
            <w:b w:val="0"/>
            <w:sz w:val="20"/>
          </w:rPr>
          <w:fldChar w:fldCharType="separate"/>
        </w:r>
        <w:r w:rsidR="003175FC">
          <w:rPr>
            <w:b w:val="0"/>
            <w:sz w:val="20"/>
          </w:rPr>
          <w:t>50</w:t>
        </w:r>
        <w:r w:rsidRPr="00251CCE">
          <w:rPr>
            <w:b w:val="0"/>
            <w:sz w:val="20"/>
          </w:rPr>
          <w:fldChar w:fldCharType="end"/>
        </w:r>
      </w:hyperlink>
    </w:p>
    <w:p w14:paraId="1419E6FB" w14:textId="5E3286CD" w:rsidR="00251CCE" w:rsidRDefault="00251CCE" w:rsidP="00251CCE">
      <w:pPr>
        <w:pStyle w:val="TOC7"/>
        <w:spacing w:before="480"/>
        <w:rPr>
          <w:rFonts w:asciiTheme="minorHAnsi" w:eastAsiaTheme="minorEastAsia" w:hAnsiTheme="minorHAnsi" w:cstheme="minorBidi"/>
          <w:b w:val="0"/>
          <w:kern w:val="2"/>
          <w:sz w:val="22"/>
          <w:szCs w:val="22"/>
          <w:lang w:eastAsia="en-AU"/>
          <w14:ligatures w14:val="standardContextual"/>
        </w:rPr>
      </w:pPr>
      <w:hyperlink w:anchor="_Toc147827639" w:history="1">
        <w:r>
          <w:t>Endnotes</w:t>
        </w:r>
        <w:r w:rsidRPr="00251CCE">
          <w:rPr>
            <w:vanish/>
          </w:rPr>
          <w:tab/>
        </w:r>
        <w:r>
          <w:rPr>
            <w:vanish/>
          </w:rPr>
          <w:tab/>
        </w:r>
        <w:r w:rsidRPr="00251CCE">
          <w:rPr>
            <w:b w:val="0"/>
            <w:vanish/>
          </w:rPr>
          <w:fldChar w:fldCharType="begin"/>
        </w:r>
        <w:r w:rsidRPr="00251CCE">
          <w:rPr>
            <w:b w:val="0"/>
            <w:vanish/>
          </w:rPr>
          <w:instrText xml:space="preserve"> PAGEREF _Toc147827639 \h </w:instrText>
        </w:r>
        <w:r w:rsidRPr="00251CCE">
          <w:rPr>
            <w:b w:val="0"/>
            <w:vanish/>
          </w:rPr>
        </w:r>
        <w:r w:rsidRPr="00251CCE">
          <w:rPr>
            <w:b w:val="0"/>
            <w:vanish/>
          </w:rPr>
          <w:fldChar w:fldCharType="separate"/>
        </w:r>
        <w:r w:rsidR="003175FC">
          <w:rPr>
            <w:b w:val="0"/>
            <w:vanish/>
          </w:rPr>
          <w:t>54</w:t>
        </w:r>
        <w:r w:rsidRPr="00251CCE">
          <w:rPr>
            <w:b w:val="0"/>
            <w:vanish/>
          </w:rPr>
          <w:fldChar w:fldCharType="end"/>
        </w:r>
      </w:hyperlink>
    </w:p>
    <w:p w14:paraId="40BEDBF6" w14:textId="2FA1FE2F" w:rsidR="00251CCE" w:rsidRDefault="00251CCE">
      <w:pPr>
        <w:pStyle w:val="TOC5"/>
        <w:rPr>
          <w:rFonts w:asciiTheme="minorHAnsi" w:eastAsiaTheme="minorEastAsia" w:hAnsiTheme="minorHAnsi" w:cstheme="minorBidi"/>
          <w:kern w:val="2"/>
          <w:sz w:val="22"/>
          <w:szCs w:val="22"/>
          <w:lang w:eastAsia="en-AU"/>
          <w14:ligatures w14:val="standardContextual"/>
        </w:rPr>
      </w:pPr>
      <w:r>
        <w:tab/>
      </w:r>
      <w:hyperlink w:anchor="_Toc147827640" w:history="1">
        <w:r w:rsidRPr="009F77F9">
          <w:t>1</w:t>
        </w:r>
        <w:r>
          <w:rPr>
            <w:rFonts w:asciiTheme="minorHAnsi" w:eastAsiaTheme="minorEastAsia" w:hAnsiTheme="minorHAnsi" w:cstheme="minorBidi"/>
            <w:kern w:val="2"/>
            <w:sz w:val="22"/>
            <w:szCs w:val="22"/>
            <w:lang w:eastAsia="en-AU"/>
            <w14:ligatures w14:val="standardContextual"/>
          </w:rPr>
          <w:tab/>
        </w:r>
        <w:r w:rsidRPr="009F77F9">
          <w:t>About the endnotes</w:t>
        </w:r>
        <w:r>
          <w:tab/>
        </w:r>
        <w:r>
          <w:fldChar w:fldCharType="begin"/>
        </w:r>
        <w:r>
          <w:instrText xml:space="preserve"> PAGEREF _Toc147827640 \h </w:instrText>
        </w:r>
        <w:r>
          <w:fldChar w:fldCharType="separate"/>
        </w:r>
        <w:r w:rsidR="003175FC">
          <w:t>54</w:t>
        </w:r>
        <w:r>
          <w:fldChar w:fldCharType="end"/>
        </w:r>
      </w:hyperlink>
    </w:p>
    <w:p w14:paraId="75094FB8" w14:textId="6197171D" w:rsidR="00251CCE" w:rsidRDefault="00251CCE">
      <w:pPr>
        <w:pStyle w:val="TOC5"/>
        <w:rPr>
          <w:rFonts w:asciiTheme="minorHAnsi" w:eastAsiaTheme="minorEastAsia" w:hAnsiTheme="minorHAnsi" w:cstheme="minorBidi"/>
          <w:kern w:val="2"/>
          <w:sz w:val="22"/>
          <w:szCs w:val="22"/>
          <w:lang w:eastAsia="en-AU"/>
          <w14:ligatures w14:val="standardContextual"/>
        </w:rPr>
      </w:pPr>
      <w:r>
        <w:tab/>
      </w:r>
      <w:hyperlink w:anchor="_Toc147827641" w:history="1">
        <w:r w:rsidRPr="009F77F9">
          <w:t>2</w:t>
        </w:r>
        <w:r>
          <w:rPr>
            <w:rFonts w:asciiTheme="minorHAnsi" w:eastAsiaTheme="minorEastAsia" w:hAnsiTheme="minorHAnsi" w:cstheme="minorBidi"/>
            <w:kern w:val="2"/>
            <w:sz w:val="22"/>
            <w:szCs w:val="22"/>
            <w:lang w:eastAsia="en-AU"/>
            <w14:ligatures w14:val="standardContextual"/>
          </w:rPr>
          <w:tab/>
        </w:r>
        <w:r w:rsidRPr="009F77F9">
          <w:t>Abbreviation key</w:t>
        </w:r>
        <w:r>
          <w:tab/>
        </w:r>
        <w:r>
          <w:fldChar w:fldCharType="begin"/>
        </w:r>
        <w:r>
          <w:instrText xml:space="preserve"> PAGEREF _Toc147827641 \h </w:instrText>
        </w:r>
        <w:r>
          <w:fldChar w:fldCharType="separate"/>
        </w:r>
        <w:r w:rsidR="003175FC">
          <w:t>54</w:t>
        </w:r>
        <w:r>
          <w:fldChar w:fldCharType="end"/>
        </w:r>
      </w:hyperlink>
    </w:p>
    <w:p w14:paraId="01444081" w14:textId="5775B317" w:rsidR="00251CCE" w:rsidRDefault="00251CCE">
      <w:pPr>
        <w:pStyle w:val="TOC5"/>
        <w:rPr>
          <w:rFonts w:asciiTheme="minorHAnsi" w:eastAsiaTheme="minorEastAsia" w:hAnsiTheme="minorHAnsi" w:cstheme="minorBidi"/>
          <w:kern w:val="2"/>
          <w:sz w:val="22"/>
          <w:szCs w:val="22"/>
          <w:lang w:eastAsia="en-AU"/>
          <w14:ligatures w14:val="standardContextual"/>
        </w:rPr>
      </w:pPr>
      <w:r>
        <w:tab/>
      </w:r>
      <w:hyperlink w:anchor="_Toc147827642" w:history="1">
        <w:r w:rsidRPr="009F77F9">
          <w:t>3</w:t>
        </w:r>
        <w:r>
          <w:rPr>
            <w:rFonts w:asciiTheme="minorHAnsi" w:eastAsiaTheme="minorEastAsia" w:hAnsiTheme="minorHAnsi" w:cstheme="minorBidi"/>
            <w:kern w:val="2"/>
            <w:sz w:val="22"/>
            <w:szCs w:val="22"/>
            <w:lang w:eastAsia="en-AU"/>
            <w14:ligatures w14:val="standardContextual"/>
          </w:rPr>
          <w:tab/>
        </w:r>
        <w:r w:rsidRPr="009F77F9">
          <w:t>Legislation history</w:t>
        </w:r>
        <w:r>
          <w:tab/>
        </w:r>
        <w:r>
          <w:fldChar w:fldCharType="begin"/>
        </w:r>
        <w:r>
          <w:instrText xml:space="preserve"> PAGEREF _Toc147827642 \h </w:instrText>
        </w:r>
        <w:r>
          <w:fldChar w:fldCharType="separate"/>
        </w:r>
        <w:r w:rsidR="003175FC">
          <w:t>55</w:t>
        </w:r>
        <w:r>
          <w:fldChar w:fldCharType="end"/>
        </w:r>
      </w:hyperlink>
    </w:p>
    <w:p w14:paraId="326B55AD" w14:textId="7B5C59DD" w:rsidR="00251CCE" w:rsidRDefault="00251CCE">
      <w:pPr>
        <w:pStyle w:val="TOC5"/>
        <w:rPr>
          <w:rFonts w:asciiTheme="minorHAnsi" w:eastAsiaTheme="minorEastAsia" w:hAnsiTheme="minorHAnsi" w:cstheme="minorBidi"/>
          <w:kern w:val="2"/>
          <w:sz w:val="22"/>
          <w:szCs w:val="22"/>
          <w:lang w:eastAsia="en-AU"/>
          <w14:ligatures w14:val="standardContextual"/>
        </w:rPr>
      </w:pPr>
      <w:r>
        <w:tab/>
      </w:r>
      <w:hyperlink w:anchor="_Toc147827643" w:history="1">
        <w:r w:rsidRPr="009F77F9">
          <w:t>4</w:t>
        </w:r>
        <w:r>
          <w:rPr>
            <w:rFonts w:asciiTheme="minorHAnsi" w:eastAsiaTheme="minorEastAsia" w:hAnsiTheme="minorHAnsi" w:cstheme="minorBidi"/>
            <w:kern w:val="2"/>
            <w:sz w:val="22"/>
            <w:szCs w:val="22"/>
            <w:lang w:eastAsia="en-AU"/>
            <w14:ligatures w14:val="standardContextual"/>
          </w:rPr>
          <w:tab/>
        </w:r>
        <w:r w:rsidRPr="009F77F9">
          <w:t>Amendment history</w:t>
        </w:r>
        <w:r>
          <w:tab/>
        </w:r>
        <w:r>
          <w:fldChar w:fldCharType="begin"/>
        </w:r>
        <w:r>
          <w:instrText xml:space="preserve"> PAGEREF _Toc147827643 \h </w:instrText>
        </w:r>
        <w:r>
          <w:fldChar w:fldCharType="separate"/>
        </w:r>
        <w:r w:rsidR="003175FC">
          <w:t>56</w:t>
        </w:r>
        <w:r>
          <w:fldChar w:fldCharType="end"/>
        </w:r>
      </w:hyperlink>
    </w:p>
    <w:p w14:paraId="5AC2AC42" w14:textId="431E1912" w:rsidR="00251CCE" w:rsidRDefault="00251CCE">
      <w:pPr>
        <w:pStyle w:val="TOC5"/>
        <w:rPr>
          <w:rFonts w:asciiTheme="minorHAnsi" w:eastAsiaTheme="minorEastAsia" w:hAnsiTheme="minorHAnsi" w:cstheme="minorBidi"/>
          <w:kern w:val="2"/>
          <w:sz w:val="22"/>
          <w:szCs w:val="22"/>
          <w:lang w:eastAsia="en-AU"/>
          <w14:ligatures w14:val="standardContextual"/>
        </w:rPr>
      </w:pPr>
      <w:r>
        <w:tab/>
      </w:r>
      <w:hyperlink w:anchor="_Toc147827644" w:history="1">
        <w:r w:rsidRPr="009F77F9">
          <w:t>5</w:t>
        </w:r>
        <w:r>
          <w:rPr>
            <w:rFonts w:asciiTheme="minorHAnsi" w:eastAsiaTheme="minorEastAsia" w:hAnsiTheme="minorHAnsi" w:cstheme="minorBidi"/>
            <w:kern w:val="2"/>
            <w:sz w:val="22"/>
            <w:szCs w:val="22"/>
            <w:lang w:eastAsia="en-AU"/>
            <w14:ligatures w14:val="standardContextual"/>
          </w:rPr>
          <w:tab/>
        </w:r>
        <w:r w:rsidRPr="009F77F9">
          <w:t>Earlier republications</w:t>
        </w:r>
        <w:r>
          <w:tab/>
        </w:r>
        <w:r>
          <w:fldChar w:fldCharType="begin"/>
        </w:r>
        <w:r>
          <w:instrText xml:space="preserve"> PAGEREF _Toc147827644 \h </w:instrText>
        </w:r>
        <w:r>
          <w:fldChar w:fldCharType="separate"/>
        </w:r>
        <w:r w:rsidR="003175FC">
          <w:t>58</w:t>
        </w:r>
        <w:r>
          <w:fldChar w:fldCharType="end"/>
        </w:r>
      </w:hyperlink>
    </w:p>
    <w:p w14:paraId="1F11E4BD" w14:textId="79574038" w:rsidR="00C97F92" w:rsidRDefault="00251CCE" w:rsidP="0096655E">
      <w:pPr>
        <w:pStyle w:val="BillBasic"/>
      </w:pPr>
      <w:r>
        <w:fldChar w:fldCharType="end"/>
      </w:r>
    </w:p>
    <w:p w14:paraId="0C80F317" w14:textId="77777777" w:rsidR="00C97F92" w:rsidRDefault="00C97F92" w:rsidP="0096655E">
      <w:pPr>
        <w:pStyle w:val="01Contents"/>
        <w:sectPr w:rsidR="00C97F92">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49FA7752" w14:textId="77777777" w:rsidR="00C97F92" w:rsidRDefault="00C97F92" w:rsidP="0096655E">
      <w:pPr>
        <w:jc w:val="center"/>
      </w:pPr>
      <w:r>
        <w:rPr>
          <w:noProof/>
          <w:lang w:eastAsia="en-AU"/>
        </w:rPr>
        <w:lastRenderedPageBreak/>
        <w:drawing>
          <wp:inline distT="0" distB="0" distL="0" distR="0" wp14:anchorId="6D9650DC" wp14:editId="3AA907AD">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8C066F2" w14:textId="77777777" w:rsidR="00C97F92" w:rsidRDefault="00C97F92" w:rsidP="0096655E">
      <w:pPr>
        <w:jc w:val="center"/>
        <w:rPr>
          <w:rFonts w:ascii="Arial" w:hAnsi="Arial"/>
        </w:rPr>
      </w:pPr>
      <w:r>
        <w:rPr>
          <w:rFonts w:ascii="Arial" w:hAnsi="Arial"/>
        </w:rPr>
        <w:t>Australian Capital Territory</w:t>
      </w:r>
    </w:p>
    <w:p w14:paraId="783A29CD" w14:textId="4A89F7A1" w:rsidR="00C97F92" w:rsidRDefault="00AC40EF" w:rsidP="0096655E">
      <w:pPr>
        <w:pStyle w:val="Billname"/>
      </w:pPr>
      <w:bookmarkStart w:id="6" w:name="Citation"/>
      <w:r>
        <w:t>Casino (Electronic Gaming) Act 2017</w:t>
      </w:r>
      <w:bookmarkEnd w:id="6"/>
    </w:p>
    <w:p w14:paraId="6A62A025" w14:textId="77777777" w:rsidR="00C97F92" w:rsidRDefault="00C97F92" w:rsidP="0096655E">
      <w:pPr>
        <w:pStyle w:val="ActNo"/>
      </w:pPr>
    </w:p>
    <w:p w14:paraId="64A6A340" w14:textId="77777777" w:rsidR="00C97F92" w:rsidRDefault="00C97F92" w:rsidP="0096655E">
      <w:pPr>
        <w:pStyle w:val="N-line3"/>
      </w:pPr>
    </w:p>
    <w:p w14:paraId="67D1B918" w14:textId="77777777" w:rsidR="00C97F92" w:rsidRDefault="00C97F92" w:rsidP="0096655E">
      <w:pPr>
        <w:pStyle w:val="LongTitle"/>
      </w:pPr>
      <w:r>
        <w:t>An Act to regulate electronic gaming in the casino, and for other purposes</w:t>
      </w:r>
    </w:p>
    <w:p w14:paraId="73B6CEAB" w14:textId="77777777" w:rsidR="00C97F92" w:rsidRDefault="00C97F92" w:rsidP="0096655E">
      <w:pPr>
        <w:pStyle w:val="N-line3"/>
      </w:pPr>
    </w:p>
    <w:p w14:paraId="4723671D" w14:textId="77777777" w:rsidR="00C97F92" w:rsidRDefault="00C97F92" w:rsidP="0096655E">
      <w:pPr>
        <w:pStyle w:val="Placeholder"/>
      </w:pPr>
      <w:r>
        <w:rPr>
          <w:rStyle w:val="charContents"/>
          <w:sz w:val="16"/>
        </w:rPr>
        <w:t xml:space="preserve">  </w:t>
      </w:r>
      <w:r>
        <w:rPr>
          <w:rStyle w:val="charPage"/>
        </w:rPr>
        <w:t xml:space="preserve">  </w:t>
      </w:r>
    </w:p>
    <w:p w14:paraId="34379A14" w14:textId="77777777" w:rsidR="00C97F92" w:rsidRDefault="00C97F92" w:rsidP="0096655E">
      <w:pPr>
        <w:pStyle w:val="Placeholder"/>
      </w:pPr>
      <w:r>
        <w:rPr>
          <w:rStyle w:val="CharChapNo"/>
        </w:rPr>
        <w:t xml:space="preserve">  </w:t>
      </w:r>
      <w:r>
        <w:rPr>
          <w:rStyle w:val="CharChapText"/>
        </w:rPr>
        <w:t xml:space="preserve">  </w:t>
      </w:r>
    </w:p>
    <w:p w14:paraId="541EC33C" w14:textId="77777777" w:rsidR="00C97F92" w:rsidRDefault="00C97F92" w:rsidP="0096655E">
      <w:pPr>
        <w:pStyle w:val="Placeholder"/>
      </w:pPr>
      <w:r>
        <w:rPr>
          <w:rStyle w:val="CharPartNo"/>
        </w:rPr>
        <w:t xml:space="preserve">  </w:t>
      </w:r>
      <w:r>
        <w:rPr>
          <w:rStyle w:val="CharPartText"/>
        </w:rPr>
        <w:t xml:space="preserve">  </w:t>
      </w:r>
    </w:p>
    <w:p w14:paraId="3B34CA0F" w14:textId="77777777" w:rsidR="00C97F92" w:rsidRDefault="00C97F92" w:rsidP="0096655E">
      <w:pPr>
        <w:pStyle w:val="Placeholder"/>
      </w:pPr>
      <w:r>
        <w:rPr>
          <w:rStyle w:val="CharDivNo"/>
        </w:rPr>
        <w:t xml:space="preserve">  </w:t>
      </w:r>
      <w:r>
        <w:rPr>
          <w:rStyle w:val="CharDivText"/>
        </w:rPr>
        <w:t xml:space="preserve">  </w:t>
      </w:r>
    </w:p>
    <w:p w14:paraId="7338858D" w14:textId="77777777" w:rsidR="00C97F92" w:rsidRPr="00CA74E4" w:rsidRDefault="00C97F92" w:rsidP="0096655E">
      <w:pPr>
        <w:pStyle w:val="PageBreak"/>
      </w:pPr>
      <w:r w:rsidRPr="00CA74E4">
        <w:br w:type="page"/>
      </w:r>
    </w:p>
    <w:p w14:paraId="5A6865D6" w14:textId="77777777" w:rsidR="00C97F92" w:rsidRPr="00540495" w:rsidRDefault="00C97F92" w:rsidP="0096655E"/>
    <w:p w14:paraId="7217A712" w14:textId="77777777" w:rsidR="00EF1417" w:rsidRPr="00251CCE" w:rsidRDefault="006814CB" w:rsidP="006814CB">
      <w:pPr>
        <w:pStyle w:val="AH2Part"/>
      </w:pPr>
      <w:bookmarkStart w:id="7" w:name="_Toc147827570"/>
      <w:r w:rsidRPr="00251CCE">
        <w:rPr>
          <w:rStyle w:val="CharPartNo"/>
        </w:rPr>
        <w:t>Part 1</w:t>
      </w:r>
      <w:r w:rsidRPr="006814CB">
        <w:tab/>
      </w:r>
      <w:r w:rsidR="00EF1417" w:rsidRPr="00251CCE">
        <w:rPr>
          <w:rStyle w:val="CharPartText"/>
        </w:rPr>
        <w:t>Preliminary</w:t>
      </w:r>
      <w:bookmarkEnd w:id="7"/>
    </w:p>
    <w:p w14:paraId="10713FB3" w14:textId="77777777" w:rsidR="0044665D" w:rsidRPr="006814CB" w:rsidRDefault="006814CB" w:rsidP="006814CB">
      <w:pPr>
        <w:pStyle w:val="AH5Sec"/>
      </w:pPr>
      <w:bookmarkStart w:id="8" w:name="_Toc147827571"/>
      <w:r w:rsidRPr="00251CCE">
        <w:rPr>
          <w:rStyle w:val="CharSectNo"/>
        </w:rPr>
        <w:t>1</w:t>
      </w:r>
      <w:r w:rsidRPr="006814CB">
        <w:tab/>
      </w:r>
      <w:r w:rsidR="0044665D" w:rsidRPr="006814CB">
        <w:t>Name of Act</w:t>
      </w:r>
      <w:bookmarkEnd w:id="8"/>
    </w:p>
    <w:p w14:paraId="63A567B4" w14:textId="5212A73A" w:rsidR="0044665D" w:rsidRPr="006814CB" w:rsidRDefault="0044665D">
      <w:pPr>
        <w:pStyle w:val="Amainreturn"/>
      </w:pPr>
      <w:r w:rsidRPr="006814CB">
        <w:t xml:space="preserve">This Act is the </w:t>
      </w:r>
      <w:r w:rsidR="00C75C37" w:rsidRPr="006814CB">
        <w:rPr>
          <w:i/>
        </w:rPr>
        <w:fldChar w:fldCharType="begin"/>
      </w:r>
      <w:r w:rsidRPr="006814CB">
        <w:rPr>
          <w:i/>
        </w:rPr>
        <w:instrText xml:space="preserve"> TITLE</w:instrText>
      </w:r>
      <w:r w:rsidR="00C75C37" w:rsidRPr="006814CB">
        <w:rPr>
          <w:i/>
        </w:rPr>
        <w:fldChar w:fldCharType="separate"/>
      </w:r>
      <w:r w:rsidR="003175FC">
        <w:rPr>
          <w:i/>
        </w:rPr>
        <w:t>Casino (Electronic Gaming) Act 2017</w:t>
      </w:r>
      <w:r w:rsidR="00C75C37" w:rsidRPr="006814CB">
        <w:rPr>
          <w:i/>
        </w:rPr>
        <w:fldChar w:fldCharType="end"/>
      </w:r>
      <w:r w:rsidRPr="006814CB">
        <w:t>.</w:t>
      </w:r>
    </w:p>
    <w:p w14:paraId="5B884EA3" w14:textId="77777777" w:rsidR="0044665D" w:rsidRPr="006814CB" w:rsidRDefault="006814CB" w:rsidP="006814CB">
      <w:pPr>
        <w:pStyle w:val="AH5Sec"/>
      </w:pPr>
      <w:bookmarkStart w:id="9" w:name="_Toc147827572"/>
      <w:r w:rsidRPr="00251CCE">
        <w:rPr>
          <w:rStyle w:val="CharSectNo"/>
        </w:rPr>
        <w:t>3</w:t>
      </w:r>
      <w:r w:rsidRPr="006814CB">
        <w:tab/>
      </w:r>
      <w:r w:rsidR="0044665D" w:rsidRPr="006814CB">
        <w:t>Dictionary</w:t>
      </w:r>
      <w:bookmarkEnd w:id="9"/>
    </w:p>
    <w:p w14:paraId="173DB2C9" w14:textId="77777777" w:rsidR="0044665D" w:rsidRPr="006814CB" w:rsidRDefault="0044665D" w:rsidP="006814CB">
      <w:pPr>
        <w:pStyle w:val="Amainreturn"/>
        <w:keepNext/>
      </w:pPr>
      <w:r w:rsidRPr="006814CB">
        <w:t>The dictionary at the end of this Act is part of this Act.</w:t>
      </w:r>
    </w:p>
    <w:p w14:paraId="35008E41" w14:textId="77777777" w:rsidR="0044665D" w:rsidRPr="006814CB" w:rsidRDefault="0044665D">
      <w:pPr>
        <w:pStyle w:val="aNote"/>
      </w:pPr>
      <w:r w:rsidRPr="006814CB">
        <w:rPr>
          <w:rStyle w:val="charItals"/>
        </w:rPr>
        <w:t>Note 1</w:t>
      </w:r>
      <w:r w:rsidRPr="006814CB">
        <w:tab/>
        <w:t>The dictionary at the end of this Act defines certain terms used in this Act, and includes references (</w:t>
      </w:r>
      <w:r w:rsidRPr="006814CB">
        <w:rPr>
          <w:rStyle w:val="charBoldItals"/>
        </w:rPr>
        <w:t>signpost definitions</w:t>
      </w:r>
      <w:r w:rsidRPr="006814CB">
        <w:t>) to other terms defined elsewhere.</w:t>
      </w:r>
    </w:p>
    <w:p w14:paraId="715E2728" w14:textId="0BA7EAF6" w:rsidR="0044665D" w:rsidRPr="006814CB" w:rsidRDefault="0044665D" w:rsidP="006814CB">
      <w:pPr>
        <w:pStyle w:val="aNoteTextss"/>
        <w:keepNext/>
      </w:pPr>
      <w:r w:rsidRPr="006814CB">
        <w:t>For example, the signpost definition ‘</w:t>
      </w:r>
      <w:r w:rsidR="00AB4D04" w:rsidRPr="006814CB">
        <w:rPr>
          <w:rStyle w:val="charBoldItals"/>
        </w:rPr>
        <w:t>casino licensee</w:t>
      </w:r>
      <w:r w:rsidRPr="006814CB">
        <w:t xml:space="preserve">—see </w:t>
      </w:r>
      <w:r w:rsidR="00AB4D04" w:rsidRPr="006814CB">
        <w:t xml:space="preserve">the </w:t>
      </w:r>
      <w:hyperlink r:id="rId28" w:tooltip="A2006-2" w:history="1">
        <w:r w:rsidR="00253379" w:rsidRPr="006814CB">
          <w:rPr>
            <w:rStyle w:val="charCitHyperlinkItal"/>
          </w:rPr>
          <w:t>Casino Control Act 2006</w:t>
        </w:r>
      </w:hyperlink>
      <w:r w:rsidRPr="006814CB">
        <w:t>, dictionary.’ means that the term ‘</w:t>
      </w:r>
      <w:r w:rsidR="00AB4D04" w:rsidRPr="006814CB">
        <w:t>casino license</w:t>
      </w:r>
      <w:r w:rsidRPr="006814CB">
        <w:t>e’ is defined in that dictionary and the definition applies to this Act.</w:t>
      </w:r>
    </w:p>
    <w:p w14:paraId="441117AD" w14:textId="0CB413CF" w:rsidR="0044665D" w:rsidRPr="006814CB" w:rsidRDefault="0044665D">
      <w:pPr>
        <w:pStyle w:val="aNote"/>
      </w:pPr>
      <w:r w:rsidRPr="006814CB">
        <w:rPr>
          <w:rStyle w:val="charItals"/>
        </w:rPr>
        <w:t>Note 2</w:t>
      </w:r>
      <w:r w:rsidRPr="006814CB">
        <w:tab/>
        <w:t xml:space="preserve">A definition in the dictionary (including a signpost definition) applies to the entire Act unless the definition, or another provision of the Act, provides otherwise or the contrary intention otherwise appears (see </w:t>
      </w:r>
      <w:hyperlink r:id="rId29" w:tooltip="A2001-14" w:history="1">
        <w:r w:rsidR="00253379" w:rsidRPr="006814CB">
          <w:rPr>
            <w:rStyle w:val="charCitHyperlinkAbbrev"/>
          </w:rPr>
          <w:t>Legislation Act</w:t>
        </w:r>
      </w:hyperlink>
      <w:r w:rsidRPr="006814CB">
        <w:t>, s 155 and s 156 (1)).</w:t>
      </w:r>
    </w:p>
    <w:p w14:paraId="5EC62249" w14:textId="77777777" w:rsidR="0044665D" w:rsidRPr="006814CB" w:rsidRDefault="006814CB" w:rsidP="006814CB">
      <w:pPr>
        <w:pStyle w:val="AH5Sec"/>
      </w:pPr>
      <w:bookmarkStart w:id="10" w:name="_Toc147827573"/>
      <w:r w:rsidRPr="00251CCE">
        <w:rPr>
          <w:rStyle w:val="CharSectNo"/>
        </w:rPr>
        <w:t>4</w:t>
      </w:r>
      <w:r w:rsidRPr="006814CB">
        <w:tab/>
      </w:r>
      <w:r w:rsidR="0044665D" w:rsidRPr="006814CB">
        <w:t>Notes</w:t>
      </w:r>
      <w:bookmarkEnd w:id="10"/>
    </w:p>
    <w:p w14:paraId="721E2D92" w14:textId="77777777" w:rsidR="0044665D" w:rsidRPr="006814CB" w:rsidRDefault="0044665D" w:rsidP="006814CB">
      <w:pPr>
        <w:pStyle w:val="Amainreturn"/>
        <w:keepNext/>
      </w:pPr>
      <w:r w:rsidRPr="006814CB">
        <w:t>A note included in this Act is explanatory and is not part of this Act.</w:t>
      </w:r>
    </w:p>
    <w:p w14:paraId="0AC73F31" w14:textId="0E2D33C2" w:rsidR="0044665D" w:rsidRPr="006814CB" w:rsidRDefault="0044665D">
      <w:pPr>
        <w:pStyle w:val="aNote"/>
      </w:pPr>
      <w:r w:rsidRPr="006814CB">
        <w:rPr>
          <w:rStyle w:val="charItals"/>
        </w:rPr>
        <w:t>Note</w:t>
      </w:r>
      <w:r w:rsidRPr="006814CB">
        <w:rPr>
          <w:rStyle w:val="charItals"/>
        </w:rPr>
        <w:tab/>
      </w:r>
      <w:r w:rsidRPr="006814CB">
        <w:t xml:space="preserve">See the </w:t>
      </w:r>
      <w:hyperlink r:id="rId30" w:tooltip="A2001-14" w:history="1">
        <w:r w:rsidR="00253379" w:rsidRPr="006814CB">
          <w:rPr>
            <w:rStyle w:val="charCitHyperlinkAbbrev"/>
          </w:rPr>
          <w:t>Legislation Act</w:t>
        </w:r>
      </w:hyperlink>
      <w:r w:rsidRPr="006814CB">
        <w:t>, s 127 (1), (4) and (5) for the legal status of notes.</w:t>
      </w:r>
    </w:p>
    <w:p w14:paraId="18CFE5BD" w14:textId="77777777" w:rsidR="0044665D" w:rsidRPr="006814CB" w:rsidRDefault="006814CB" w:rsidP="006814CB">
      <w:pPr>
        <w:pStyle w:val="AH5Sec"/>
      </w:pPr>
      <w:bookmarkStart w:id="11" w:name="_Toc147827574"/>
      <w:r w:rsidRPr="00251CCE">
        <w:rPr>
          <w:rStyle w:val="CharSectNo"/>
        </w:rPr>
        <w:lastRenderedPageBreak/>
        <w:t>5</w:t>
      </w:r>
      <w:r w:rsidRPr="006814CB">
        <w:tab/>
      </w:r>
      <w:r w:rsidR="0044665D" w:rsidRPr="006814CB">
        <w:t>Offences against Act—application of Criminal Code etc</w:t>
      </w:r>
      <w:bookmarkEnd w:id="11"/>
    </w:p>
    <w:p w14:paraId="7AAD3A34" w14:textId="77777777" w:rsidR="0044665D" w:rsidRPr="006814CB" w:rsidRDefault="0044665D" w:rsidP="006814CB">
      <w:pPr>
        <w:pStyle w:val="Amainreturn"/>
        <w:keepNext/>
      </w:pPr>
      <w:r w:rsidRPr="006814CB">
        <w:t>Other legislation applies in relation to offences against this Act.</w:t>
      </w:r>
    </w:p>
    <w:p w14:paraId="629EE615" w14:textId="77777777" w:rsidR="0044665D" w:rsidRPr="006814CB" w:rsidRDefault="0044665D" w:rsidP="006814CB">
      <w:pPr>
        <w:pStyle w:val="aNote"/>
        <w:keepNext/>
      </w:pPr>
      <w:r w:rsidRPr="006814CB">
        <w:rPr>
          <w:rStyle w:val="charItals"/>
        </w:rPr>
        <w:t>Note 1</w:t>
      </w:r>
      <w:r w:rsidRPr="006814CB">
        <w:tab/>
      </w:r>
      <w:r w:rsidRPr="006814CB">
        <w:rPr>
          <w:rStyle w:val="charItals"/>
        </w:rPr>
        <w:t>Criminal Code</w:t>
      </w:r>
    </w:p>
    <w:p w14:paraId="04EDA3F3" w14:textId="3A893543" w:rsidR="0044665D" w:rsidRPr="006814CB" w:rsidRDefault="0044665D" w:rsidP="00ED67C5">
      <w:pPr>
        <w:pStyle w:val="aNote"/>
        <w:keepNext/>
        <w:spacing w:before="20"/>
        <w:ind w:firstLine="0"/>
      </w:pPr>
      <w:r w:rsidRPr="006814CB">
        <w:t xml:space="preserve">The </w:t>
      </w:r>
      <w:hyperlink r:id="rId31" w:tooltip="A2002-51" w:history="1">
        <w:r w:rsidR="00253379" w:rsidRPr="006814CB">
          <w:rPr>
            <w:rStyle w:val="charCitHyperlinkAbbrev"/>
          </w:rPr>
          <w:t>Criminal Code</w:t>
        </w:r>
      </w:hyperlink>
      <w:r w:rsidRPr="006814CB">
        <w:t xml:space="preserve">, ch 2 applies to all offences against this Act (see Code, pt 2.1).  </w:t>
      </w:r>
    </w:p>
    <w:p w14:paraId="2BB75F78" w14:textId="77777777" w:rsidR="0044665D" w:rsidRPr="006814CB" w:rsidRDefault="0044665D" w:rsidP="00ED67C5">
      <w:pPr>
        <w:pStyle w:val="aNoteTextss"/>
        <w:keepNext/>
        <w:keepLines/>
      </w:pPr>
      <w:r w:rsidRPr="006814CB">
        <w:t>The chapter sets out the general principles of criminal responsibility (including burdens of proof and general defences), and defines terms used for offences to which the Code applies (eg </w:t>
      </w:r>
      <w:r w:rsidRPr="006814CB">
        <w:rPr>
          <w:rStyle w:val="charBoldItals"/>
        </w:rPr>
        <w:t>conduct</w:t>
      </w:r>
      <w:r w:rsidRPr="006814CB">
        <w:t xml:space="preserve">, </w:t>
      </w:r>
      <w:r w:rsidRPr="006814CB">
        <w:rPr>
          <w:rStyle w:val="charBoldItals"/>
        </w:rPr>
        <w:t>intention</w:t>
      </w:r>
      <w:r w:rsidRPr="006814CB">
        <w:t xml:space="preserve">, </w:t>
      </w:r>
      <w:r w:rsidRPr="006814CB">
        <w:rPr>
          <w:rStyle w:val="charBoldItals"/>
        </w:rPr>
        <w:t>recklessness</w:t>
      </w:r>
      <w:r w:rsidRPr="006814CB">
        <w:t xml:space="preserve"> and </w:t>
      </w:r>
      <w:r w:rsidRPr="006814CB">
        <w:rPr>
          <w:rStyle w:val="charBoldItals"/>
        </w:rPr>
        <w:t>strict liability</w:t>
      </w:r>
      <w:r w:rsidRPr="006814CB">
        <w:t>).</w:t>
      </w:r>
    </w:p>
    <w:p w14:paraId="34D64F4B" w14:textId="77777777" w:rsidR="0044665D" w:rsidRPr="006814CB" w:rsidRDefault="0044665D">
      <w:pPr>
        <w:pStyle w:val="aNote"/>
        <w:rPr>
          <w:rStyle w:val="charItals"/>
        </w:rPr>
      </w:pPr>
      <w:r w:rsidRPr="006814CB">
        <w:rPr>
          <w:rStyle w:val="charItals"/>
        </w:rPr>
        <w:t>Note 2</w:t>
      </w:r>
      <w:r w:rsidRPr="006814CB">
        <w:rPr>
          <w:rStyle w:val="charItals"/>
        </w:rPr>
        <w:tab/>
        <w:t>Penalty units</w:t>
      </w:r>
    </w:p>
    <w:p w14:paraId="1CACBBC7" w14:textId="220A4A90" w:rsidR="0044665D" w:rsidRPr="006814CB" w:rsidRDefault="0044665D" w:rsidP="00EF1417">
      <w:pPr>
        <w:pStyle w:val="aNoteTextss"/>
      </w:pPr>
      <w:r w:rsidRPr="006814CB">
        <w:t xml:space="preserve">The </w:t>
      </w:r>
      <w:hyperlink r:id="rId32" w:tooltip="A2001-14" w:history="1">
        <w:r w:rsidR="00253379" w:rsidRPr="006814CB">
          <w:rPr>
            <w:rStyle w:val="charCitHyperlinkAbbrev"/>
          </w:rPr>
          <w:t>Legislation Act</w:t>
        </w:r>
      </w:hyperlink>
      <w:r w:rsidRPr="006814CB">
        <w:t>, s 133 deals with the meaning of offence penalties that are expressed in penalty units.</w:t>
      </w:r>
    </w:p>
    <w:p w14:paraId="29AC785E" w14:textId="77777777" w:rsidR="00EF1417" w:rsidRPr="006814CB" w:rsidRDefault="00EF1417" w:rsidP="006814CB">
      <w:pPr>
        <w:pStyle w:val="PageBreak"/>
        <w:suppressLineNumbers/>
      </w:pPr>
      <w:r w:rsidRPr="006814CB">
        <w:br w:type="page"/>
      </w:r>
    </w:p>
    <w:p w14:paraId="58927508" w14:textId="77777777" w:rsidR="001B3431" w:rsidRPr="00251CCE" w:rsidRDefault="006814CB" w:rsidP="006814CB">
      <w:pPr>
        <w:pStyle w:val="AH2Part"/>
      </w:pPr>
      <w:bookmarkStart w:id="12" w:name="_Toc147827575"/>
      <w:r w:rsidRPr="00251CCE">
        <w:rPr>
          <w:rStyle w:val="CharPartNo"/>
        </w:rPr>
        <w:lastRenderedPageBreak/>
        <w:t>Part 2</w:t>
      </w:r>
      <w:r w:rsidRPr="006814CB">
        <w:tab/>
      </w:r>
      <w:r w:rsidR="001B3431" w:rsidRPr="00251CCE">
        <w:rPr>
          <w:rStyle w:val="CharPartText"/>
        </w:rPr>
        <w:t>Important concepts</w:t>
      </w:r>
      <w:bookmarkEnd w:id="12"/>
    </w:p>
    <w:p w14:paraId="05A0874E" w14:textId="77777777" w:rsidR="001B3431" w:rsidRPr="006814CB" w:rsidRDefault="006814CB" w:rsidP="006814CB">
      <w:pPr>
        <w:pStyle w:val="AH5Sec"/>
      </w:pPr>
      <w:bookmarkStart w:id="13" w:name="_Toc147827576"/>
      <w:r w:rsidRPr="00251CCE">
        <w:rPr>
          <w:rStyle w:val="CharSectNo"/>
        </w:rPr>
        <w:t>6</w:t>
      </w:r>
      <w:r w:rsidRPr="006814CB">
        <w:tab/>
      </w:r>
      <w:r w:rsidR="001B3431" w:rsidRPr="006814CB">
        <w:t>Casino gaming machine authorisation certificate—</w:t>
      </w:r>
      <w:r w:rsidR="001B3431" w:rsidRPr="006814CB">
        <w:rPr>
          <w:rStyle w:val="charItals"/>
        </w:rPr>
        <w:t xml:space="preserve">maximum </w:t>
      </w:r>
      <w:r w:rsidR="00447089" w:rsidRPr="006814CB">
        <w:rPr>
          <w:rStyle w:val="charItals"/>
        </w:rPr>
        <w:t xml:space="preserve">possible </w:t>
      </w:r>
      <w:r w:rsidR="001B3431" w:rsidRPr="006814CB">
        <w:rPr>
          <w:rStyle w:val="charItals"/>
        </w:rPr>
        <w:t>number</w:t>
      </w:r>
      <w:r w:rsidR="001B3431" w:rsidRPr="006814CB">
        <w:t xml:space="preserve"> of authorisations</w:t>
      </w:r>
      <w:bookmarkEnd w:id="13"/>
    </w:p>
    <w:p w14:paraId="7A73752D" w14:textId="77777777" w:rsidR="001B3431" w:rsidRPr="006814CB" w:rsidRDefault="001B3431" w:rsidP="001B3431">
      <w:pPr>
        <w:pStyle w:val="Amainreturn"/>
      </w:pPr>
      <w:r w:rsidRPr="006814CB">
        <w:t xml:space="preserve">The </w:t>
      </w:r>
      <w:r w:rsidRPr="006814CB">
        <w:rPr>
          <w:rStyle w:val="charBoldItals"/>
        </w:rPr>
        <w:t xml:space="preserve">maximum </w:t>
      </w:r>
      <w:r w:rsidR="00447089" w:rsidRPr="006814CB">
        <w:rPr>
          <w:rStyle w:val="charBoldItals"/>
        </w:rPr>
        <w:t xml:space="preserve">possible </w:t>
      </w:r>
      <w:r w:rsidRPr="006814CB">
        <w:rPr>
          <w:rStyle w:val="charBoldItals"/>
        </w:rPr>
        <w:t>number</w:t>
      </w:r>
      <w:r w:rsidRPr="006814CB">
        <w:t xml:space="preserve"> of </w:t>
      </w:r>
      <w:r w:rsidR="00213F7A" w:rsidRPr="006814CB">
        <w:t xml:space="preserve">casino gaming machine </w:t>
      </w:r>
      <w:r w:rsidRPr="006814CB">
        <w:t>authorisation</w:t>
      </w:r>
      <w:r w:rsidR="00213F7A" w:rsidRPr="006814CB">
        <w:t>s</w:t>
      </w:r>
      <w:r w:rsidRPr="006814CB">
        <w:t xml:space="preserve"> allowed under a casino gaming machine authorisation certificate is 200.</w:t>
      </w:r>
    </w:p>
    <w:p w14:paraId="3A63483E" w14:textId="77777777" w:rsidR="001B3431" w:rsidRPr="006814CB" w:rsidRDefault="006814CB" w:rsidP="006814CB">
      <w:pPr>
        <w:pStyle w:val="AH5Sec"/>
      </w:pPr>
      <w:bookmarkStart w:id="14" w:name="_Toc147827577"/>
      <w:r w:rsidRPr="00251CCE">
        <w:rPr>
          <w:rStyle w:val="CharSectNo"/>
        </w:rPr>
        <w:t>7</w:t>
      </w:r>
      <w:r w:rsidRPr="006814CB">
        <w:tab/>
      </w:r>
      <w:r w:rsidR="001B3431" w:rsidRPr="006814CB">
        <w:t>Casino FATG authorisation certificate—</w:t>
      </w:r>
      <w:r w:rsidR="001B3431" w:rsidRPr="006814CB">
        <w:rPr>
          <w:rStyle w:val="charItals"/>
        </w:rPr>
        <w:t xml:space="preserve">maximum </w:t>
      </w:r>
      <w:r w:rsidR="00447089" w:rsidRPr="006814CB">
        <w:rPr>
          <w:rStyle w:val="charItals"/>
        </w:rPr>
        <w:t xml:space="preserve">possible </w:t>
      </w:r>
      <w:r w:rsidR="001B3431" w:rsidRPr="006814CB">
        <w:rPr>
          <w:rStyle w:val="charItals"/>
        </w:rPr>
        <w:t>number</w:t>
      </w:r>
      <w:r w:rsidR="001B3431" w:rsidRPr="006814CB">
        <w:t xml:space="preserve"> of authorisations</w:t>
      </w:r>
      <w:bookmarkEnd w:id="14"/>
    </w:p>
    <w:p w14:paraId="0DD746F9" w14:textId="77777777" w:rsidR="001B3431" w:rsidRPr="006814CB" w:rsidRDefault="001B3431" w:rsidP="001B3431">
      <w:pPr>
        <w:pStyle w:val="Amainreturn"/>
      </w:pPr>
      <w:r w:rsidRPr="006814CB">
        <w:t xml:space="preserve">The </w:t>
      </w:r>
      <w:r w:rsidRPr="006814CB">
        <w:rPr>
          <w:rStyle w:val="charBoldItals"/>
        </w:rPr>
        <w:t xml:space="preserve">maximum </w:t>
      </w:r>
      <w:r w:rsidR="00447089" w:rsidRPr="006814CB">
        <w:rPr>
          <w:rStyle w:val="charBoldItals"/>
        </w:rPr>
        <w:t xml:space="preserve">possible </w:t>
      </w:r>
      <w:r w:rsidRPr="006814CB">
        <w:rPr>
          <w:rStyle w:val="charBoldItals"/>
        </w:rPr>
        <w:t>number</w:t>
      </w:r>
      <w:r w:rsidRPr="006814CB">
        <w:t xml:space="preserve"> of </w:t>
      </w:r>
      <w:r w:rsidR="00213F7A" w:rsidRPr="006814CB">
        <w:t xml:space="preserve">casino FATG terminal </w:t>
      </w:r>
      <w:r w:rsidRPr="006814CB">
        <w:t xml:space="preserve">authorisations allowed under a casino FATG authorisation certificate is </w:t>
      </w:r>
      <w:r w:rsidR="0022348D" w:rsidRPr="006814CB">
        <w:t>60.</w:t>
      </w:r>
    </w:p>
    <w:p w14:paraId="16CA66C5" w14:textId="77777777" w:rsidR="004F5504" w:rsidRPr="006814CB" w:rsidRDefault="006814CB" w:rsidP="006814CB">
      <w:pPr>
        <w:pStyle w:val="AH5Sec"/>
      </w:pPr>
      <w:bookmarkStart w:id="15" w:name="_Toc147827578"/>
      <w:r w:rsidRPr="00251CCE">
        <w:rPr>
          <w:rStyle w:val="CharSectNo"/>
        </w:rPr>
        <w:t>8</w:t>
      </w:r>
      <w:r w:rsidRPr="006814CB">
        <w:tab/>
      </w:r>
      <w:r w:rsidR="004F5504" w:rsidRPr="006814CB">
        <w:t xml:space="preserve">Meaning of </w:t>
      </w:r>
      <w:r w:rsidR="004F5504" w:rsidRPr="006814CB">
        <w:rPr>
          <w:rStyle w:val="charItals"/>
        </w:rPr>
        <w:t>social impact assessment</w:t>
      </w:r>
      <w:bookmarkEnd w:id="15"/>
    </w:p>
    <w:p w14:paraId="6DD562C3" w14:textId="77777777" w:rsidR="004F5504" w:rsidRPr="006814CB" w:rsidRDefault="006814CB" w:rsidP="006814CB">
      <w:pPr>
        <w:pStyle w:val="Amain"/>
        <w:keepNext/>
      </w:pPr>
      <w:r>
        <w:tab/>
      </w:r>
      <w:r w:rsidRPr="006814CB">
        <w:t>(1)</w:t>
      </w:r>
      <w:r w:rsidRPr="006814CB">
        <w:tab/>
      </w:r>
      <w:r w:rsidR="004F5504" w:rsidRPr="006814CB">
        <w:t xml:space="preserve">For this Act, a </w:t>
      </w:r>
      <w:r w:rsidR="004F5504" w:rsidRPr="006814CB">
        <w:rPr>
          <w:rStyle w:val="charBoldItals"/>
        </w:rPr>
        <w:t>social impact assessment</w:t>
      </w:r>
      <w:r w:rsidR="004F5504" w:rsidRPr="006814CB">
        <w:t xml:space="preserve"> for an application for an authorisation certificate is a written assessment of the likely economic and social impact of the operation of casino gaming machines or FATGs under the proposed authorisation certificate.</w:t>
      </w:r>
    </w:p>
    <w:p w14:paraId="2E3AD2D2" w14:textId="77777777" w:rsidR="004F5504" w:rsidRPr="006814CB" w:rsidRDefault="004F5504" w:rsidP="004F5504">
      <w:pPr>
        <w:pStyle w:val="aNote"/>
        <w:keepNext/>
      </w:pPr>
      <w:r w:rsidRPr="006814CB">
        <w:rPr>
          <w:rStyle w:val="charItals"/>
        </w:rPr>
        <w:t>Note</w:t>
      </w:r>
      <w:r w:rsidRPr="006814CB">
        <w:rPr>
          <w:rStyle w:val="charItals"/>
        </w:rPr>
        <w:tab/>
      </w:r>
      <w:r w:rsidRPr="006814CB">
        <w:t>A social impact assessment is required for—</w:t>
      </w:r>
    </w:p>
    <w:p w14:paraId="21B67F0F" w14:textId="77777777" w:rsidR="004F5504" w:rsidRPr="006814CB" w:rsidRDefault="004F5504" w:rsidP="004F5504">
      <w:pPr>
        <w:pStyle w:val="aNotePara"/>
        <w:keepNext/>
      </w:pPr>
      <w:r w:rsidRPr="006814CB">
        <w:tab/>
        <w:t>(a)</w:t>
      </w:r>
      <w:r w:rsidRPr="006814CB">
        <w:tab/>
        <w:t>an application for a casino gaming machine authorisation certificate (see s </w:t>
      </w:r>
      <w:r w:rsidR="002E0DF3" w:rsidRPr="006814CB">
        <w:t>10</w:t>
      </w:r>
      <w:r w:rsidRPr="006814CB">
        <w:t>); and</w:t>
      </w:r>
    </w:p>
    <w:p w14:paraId="713521D6" w14:textId="77777777" w:rsidR="004F5504" w:rsidRPr="006814CB" w:rsidRDefault="004F5504" w:rsidP="004F5504">
      <w:pPr>
        <w:pStyle w:val="aNotePara"/>
        <w:keepNext/>
      </w:pPr>
      <w:r w:rsidRPr="006814CB">
        <w:tab/>
        <w:t>(b)</w:t>
      </w:r>
      <w:r w:rsidRPr="006814CB">
        <w:tab/>
        <w:t>an application for a casino FATG authorisation certificate (see s </w:t>
      </w:r>
      <w:r w:rsidR="002E0DF3" w:rsidRPr="006814CB">
        <w:t>13</w:t>
      </w:r>
      <w:r w:rsidRPr="006814CB">
        <w:t>).</w:t>
      </w:r>
    </w:p>
    <w:p w14:paraId="1E600236" w14:textId="77777777" w:rsidR="004F5504" w:rsidRPr="006814CB" w:rsidRDefault="006814CB" w:rsidP="006814CB">
      <w:pPr>
        <w:pStyle w:val="Amain"/>
      </w:pPr>
      <w:r>
        <w:tab/>
      </w:r>
      <w:r w:rsidRPr="006814CB">
        <w:t>(2)</w:t>
      </w:r>
      <w:r w:rsidRPr="006814CB">
        <w:tab/>
      </w:r>
      <w:r w:rsidR="004F5504" w:rsidRPr="006814CB">
        <w:t>A regulation may make provision in relation to social impact assessments, including the following:</w:t>
      </w:r>
    </w:p>
    <w:p w14:paraId="644181A5" w14:textId="77777777" w:rsidR="004F5504" w:rsidRPr="006814CB" w:rsidRDefault="006814CB" w:rsidP="006814CB">
      <w:pPr>
        <w:pStyle w:val="Apara"/>
      </w:pPr>
      <w:r>
        <w:tab/>
      </w:r>
      <w:r w:rsidRPr="006814CB">
        <w:t>(a)</w:t>
      </w:r>
      <w:r w:rsidRPr="006814CB">
        <w:tab/>
      </w:r>
      <w:r w:rsidR="004F5504" w:rsidRPr="006814CB">
        <w:t xml:space="preserve">the requirements that must be satisfied by a social impact assessment; </w:t>
      </w:r>
    </w:p>
    <w:p w14:paraId="40178157" w14:textId="77777777" w:rsidR="004F5504" w:rsidRPr="006814CB" w:rsidRDefault="006814CB" w:rsidP="006814CB">
      <w:pPr>
        <w:pStyle w:val="Apara"/>
      </w:pPr>
      <w:r>
        <w:tab/>
      </w:r>
      <w:r w:rsidRPr="006814CB">
        <w:t>(b)</w:t>
      </w:r>
      <w:r w:rsidRPr="006814CB">
        <w:tab/>
      </w:r>
      <w:r w:rsidR="004F5504" w:rsidRPr="006814CB">
        <w:t xml:space="preserve">the matters to be addressed by a social impact assessment; </w:t>
      </w:r>
    </w:p>
    <w:p w14:paraId="60C9BDBF" w14:textId="77777777" w:rsidR="004F5504" w:rsidRPr="006814CB" w:rsidRDefault="006814CB" w:rsidP="006814CB">
      <w:pPr>
        <w:pStyle w:val="Apara"/>
      </w:pPr>
      <w:r>
        <w:tab/>
      </w:r>
      <w:r w:rsidRPr="006814CB">
        <w:t>(c)</w:t>
      </w:r>
      <w:r w:rsidRPr="006814CB">
        <w:tab/>
      </w:r>
      <w:r w:rsidR="004F5504" w:rsidRPr="006814CB">
        <w:t>the information to be given in a social impact assessment.</w:t>
      </w:r>
    </w:p>
    <w:p w14:paraId="36812BBE" w14:textId="77777777" w:rsidR="004F5504" w:rsidRPr="006814CB" w:rsidRDefault="006814CB" w:rsidP="006814CB">
      <w:pPr>
        <w:pStyle w:val="AH5Sec"/>
      </w:pPr>
      <w:bookmarkStart w:id="16" w:name="_Toc147827579"/>
      <w:r w:rsidRPr="00251CCE">
        <w:rPr>
          <w:rStyle w:val="CharSectNo"/>
        </w:rPr>
        <w:lastRenderedPageBreak/>
        <w:t>9</w:t>
      </w:r>
      <w:r w:rsidRPr="006814CB">
        <w:tab/>
      </w:r>
      <w:r w:rsidR="004F5504" w:rsidRPr="006814CB">
        <w:t>Social impact assessment—publication</w:t>
      </w:r>
      <w:bookmarkEnd w:id="16"/>
    </w:p>
    <w:p w14:paraId="1477EC52" w14:textId="77777777" w:rsidR="004F5504" w:rsidRPr="006814CB" w:rsidRDefault="006814CB" w:rsidP="006814CB">
      <w:pPr>
        <w:pStyle w:val="Amain"/>
      </w:pPr>
      <w:r>
        <w:tab/>
      </w:r>
      <w:r w:rsidRPr="006814CB">
        <w:t>(1)</w:t>
      </w:r>
      <w:r w:rsidRPr="006814CB">
        <w:tab/>
      </w:r>
      <w:r w:rsidR="004F5504" w:rsidRPr="006814CB">
        <w:t xml:space="preserve">This section applies if </w:t>
      </w:r>
      <w:r w:rsidR="007614EC" w:rsidRPr="006814CB">
        <w:t>the casino licensee applies</w:t>
      </w:r>
      <w:r w:rsidR="004F5504" w:rsidRPr="006814CB">
        <w:t xml:space="preserve"> for </w:t>
      </w:r>
      <w:r w:rsidR="007614EC" w:rsidRPr="006814CB">
        <w:t>either</w:t>
      </w:r>
      <w:r w:rsidR="004F5504" w:rsidRPr="006814CB">
        <w:t xml:space="preserve"> of the following </w:t>
      </w:r>
      <w:r w:rsidR="007614EC" w:rsidRPr="006814CB">
        <w:t xml:space="preserve">and </w:t>
      </w:r>
      <w:r w:rsidR="004F5504" w:rsidRPr="006814CB">
        <w:t>is required to provide a social impact assessment with the application:</w:t>
      </w:r>
    </w:p>
    <w:p w14:paraId="57B1C687" w14:textId="77777777" w:rsidR="004F5504" w:rsidRPr="006814CB" w:rsidRDefault="006814CB" w:rsidP="006814CB">
      <w:pPr>
        <w:pStyle w:val="Apara"/>
      </w:pPr>
      <w:r>
        <w:tab/>
      </w:r>
      <w:r w:rsidRPr="006814CB">
        <w:t>(a)</w:t>
      </w:r>
      <w:r w:rsidRPr="006814CB">
        <w:tab/>
      </w:r>
      <w:r w:rsidR="007614EC" w:rsidRPr="006814CB">
        <w:t>a casino gaming machine</w:t>
      </w:r>
      <w:r w:rsidR="004F5504" w:rsidRPr="006814CB">
        <w:t xml:space="preserve"> authorisation certificate;</w:t>
      </w:r>
    </w:p>
    <w:p w14:paraId="5A1A007C" w14:textId="77777777" w:rsidR="007614EC" w:rsidRPr="006814CB" w:rsidRDefault="006814CB" w:rsidP="006814CB">
      <w:pPr>
        <w:pStyle w:val="Apara"/>
      </w:pPr>
      <w:r>
        <w:tab/>
      </w:r>
      <w:r w:rsidRPr="006814CB">
        <w:t>(b)</w:t>
      </w:r>
      <w:r w:rsidRPr="006814CB">
        <w:tab/>
      </w:r>
      <w:r w:rsidR="007614EC" w:rsidRPr="006814CB">
        <w:t>a casino FATG authorisation certificate.</w:t>
      </w:r>
    </w:p>
    <w:p w14:paraId="32916DEA" w14:textId="77777777" w:rsidR="004F5504" w:rsidRPr="006814CB" w:rsidRDefault="006814CB" w:rsidP="006814CB">
      <w:pPr>
        <w:pStyle w:val="Amain"/>
      </w:pPr>
      <w:r>
        <w:tab/>
      </w:r>
      <w:r w:rsidRPr="006814CB">
        <w:t>(2)</w:t>
      </w:r>
      <w:r w:rsidRPr="006814CB">
        <w:tab/>
      </w:r>
      <w:r w:rsidR="004F5504" w:rsidRPr="006814CB">
        <w:t xml:space="preserve">The casino licensee must give public notice of </w:t>
      </w:r>
      <w:r w:rsidR="007614EC" w:rsidRPr="006814CB">
        <w:t>the</w:t>
      </w:r>
      <w:r w:rsidR="004F5504" w:rsidRPr="006814CB">
        <w:t xml:space="preserve"> application, stating that—</w:t>
      </w:r>
    </w:p>
    <w:p w14:paraId="10326DD2" w14:textId="77777777" w:rsidR="00117222" w:rsidRPr="006814CB" w:rsidRDefault="006814CB" w:rsidP="006814CB">
      <w:pPr>
        <w:pStyle w:val="Apara"/>
        <w:rPr>
          <w:lang w:eastAsia="en-AU"/>
        </w:rPr>
      </w:pPr>
      <w:r>
        <w:rPr>
          <w:lang w:eastAsia="en-AU"/>
        </w:rPr>
        <w:tab/>
      </w:r>
      <w:r w:rsidRPr="006814CB">
        <w:rPr>
          <w:lang w:eastAsia="en-AU"/>
        </w:rPr>
        <w:t>(a)</w:t>
      </w:r>
      <w:r w:rsidRPr="006814CB">
        <w:rPr>
          <w:lang w:eastAsia="en-AU"/>
        </w:rPr>
        <w:tab/>
      </w:r>
      <w:r w:rsidR="00117222" w:rsidRPr="006814CB">
        <w:rPr>
          <w:lang w:eastAsia="en-AU"/>
        </w:rPr>
        <w:t xml:space="preserve">the social impact assessment for the application will be available for inspection by members of the public for </w:t>
      </w:r>
      <w:r w:rsidR="00C7278D" w:rsidRPr="006814CB">
        <w:rPr>
          <w:lang w:eastAsia="en-AU"/>
        </w:rPr>
        <w:t>8</w:t>
      </w:r>
      <w:r w:rsidR="00117222" w:rsidRPr="006814CB">
        <w:rPr>
          <w:lang w:eastAsia="en-AU"/>
        </w:rPr>
        <w:t xml:space="preserve"> weeks after a day stated in the public notice (the </w:t>
      </w:r>
      <w:r w:rsidR="00117222" w:rsidRPr="006814CB">
        <w:rPr>
          <w:rStyle w:val="charBoldItals"/>
        </w:rPr>
        <w:t>comment period</w:t>
      </w:r>
      <w:r w:rsidR="00117222" w:rsidRPr="006814CB">
        <w:rPr>
          <w:lang w:eastAsia="en-AU"/>
        </w:rPr>
        <w:t>)—</w:t>
      </w:r>
    </w:p>
    <w:p w14:paraId="79ABD386" w14:textId="77777777" w:rsidR="00117222" w:rsidRPr="006814CB" w:rsidRDefault="006814CB" w:rsidP="006814CB">
      <w:pPr>
        <w:pStyle w:val="Asubpara"/>
        <w:rPr>
          <w:lang w:eastAsia="en-AU"/>
        </w:rPr>
      </w:pPr>
      <w:r>
        <w:rPr>
          <w:lang w:eastAsia="en-AU"/>
        </w:rPr>
        <w:tab/>
      </w:r>
      <w:r w:rsidRPr="006814CB">
        <w:rPr>
          <w:lang w:eastAsia="en-AU"/>
        </w:rPr>
        <w:t>(i)</w:t>
      </w:r>
      <w:r w:rsidRPr="006814CB">
        <w:rPr>
          <w:lang w:eastAsia="en-AU"/>
        </w:rPr>
        <w:tab/>
      </w:r>
      <w:r w:rsidR="00117222" w:rsidRPr="006814CB">
        <w:rPr>
          <w:lang w:eastAsia="en-AU"/>
        </w:rPr>
        <w:t>at a place in the ACT named on the commission’s website during ordinary business hours; and</w:t>
      </w:r>
    </w:p>
    <w:p w14:paraId="4FDEAB66" w14:textId="77777777" w:rsidR="00117222" w:rsidRPr="006814CB" w:rsidRDefault="006814CB" w:rsidP="006814CB">
      <w:pPr>
        <w:pStyle w:val="Asubpara"/>
      </w:pPr>
      <w:r>
        <w:tab/>
      </w:r>
      <w:r w:rsidRPr="006814CB">
        <w:t>(ii)</w:t>
      </w:r>
      <w:r w:rsidRPr="006814CB">
        <w:tab/>
      </w:r>
      <w:r w:rsidR="00117222" w:rsidRPr="006814CB">
        <w:rPr>
          <w:lang w:eastAsia="en-AU"/>
        </w:rPr>
        <w:t>on the commission’s website; and</w:t>
      </w:r>
    </w:p>
    <w:p w14:paraId="2C623B4D" w14:textId="77777777" w:rsidR="004F5504" w:rsidRPr="006814CB" w:rsidRDefault="006814CB" w:rsidP="006814CB">
      <w:pPr>
        <w:pStyle w:val="Apara"/>
        <w:keepNext/>
      </w:pPr>
      <w:r>
        <w:tab/>
      </w:r>
      <w:r w:rsidRPr="006814CB">
        <w:t>(b)</w:t>
      </w:r>
      <w:r w:rsidRPr="006814CB">
        <w:tab/>
      </w:r>
      <w:r w:rsidR="004F5504" w:rsidRPr="006814CB">
        <w:t>any written submissions about the social impact assessment may be made to the commission within the comment period.</w:t>
      </w:r>
    </w:p>
    <w:p w14:paraId="4F89CB3E" w14:textId="170FAE59" w:rsidR="004F5504" w:rsidRPr="006814CB" w:rsidRDefault="004F5504" w:rsidP="004F5504">
      <w:pPr>
        <w:pStyle w:val="aNote"/>
        <w:keepNext/>
      </w:pPr>
      <w:r w:rsidRPr="006814CB">
        <w:rPr>
          <w:rStyle w:val="charItals"/>
        </w:rPr>
        <w:t>Note 1</w:t>
      </w:r>
      <w:r w:rsidRPr="006814CB">
        <w:rPr>
          <w:rStyle w:val="charItals"/>
        </w:rPr>
        <w:tab/>
      </w:r>
      <w:r w:rsidRPr="006814CB">
        <w:rPr>
          <w:rStyle w:val="charBoldItals"/>
        </w:rPr>
        <w:t xml:space="preserve">Public notice </w:t>
      </w:r>
      <w:r w:rsidRPr="006814CB">
        <w:t xml:space="preserve">means notice on an ACT government website or in a daily newspaper circulating in the ACT (see </w:t>
      </w:r>
      <w:hyperlink r:id="rId33" w:tooltip="A2001-14" w:history="1">
        <w:r w:rsidR="00253379" w:rsidRPr="006814CB">
          <w:rPr>
            <w:rStyle w:val="charCitHyperlinkAbbrev"/>
          </w:rPr>
          <w:t>Legislation Act</w:t>
        </w:r>
      </w:hyperlink>
      <w:r w:rsidRPr="006814CB">
        <w:t>, dict, pt 1).</w:t>
      </w:r>
    </w:p>
    <w:p w14:paraId="7446F44B" w14:textId="5532120A" w:rsidR="004F5504" w:rsidRPr="006814CB" w:rsidRDefault="004F5504" w:rsidP="004F5504">
      <w:pPr>
        <w:pStyle w:val="aNote"/>
      </w:pPr>
      <w:r w:rsidRPr="006814CB">
        <w:rPr>
          <w:rStyle w:val="charItals"/>
        </w:rPr>
        <w:t>Note 2</w:t>
      </w:r>
      <w:r w:rsidRPr="006814CB">
        <w:rPr>
          <w:rStyle w:val="charItals"/>
        </w:rPr>
        <w:tab/>
      </w:r>
      <w:r w:rsidRPr="006814CB">
        <w:t xml:space="preserve">If a form is approved under the </w:t>
      </w:r>
      <w:hyperlink r:id="rId34" w:tooltip="Gambling and Racing Control Act 1999" w:history="1">
        <w:r w:rsidR="000B28BA" w:rsidRPr="006814CB">
          <w:rPr>
            <w:rStyle w:val="charCitHyperlinkAbbrev"/>
          </w:rPr>
          <w:t>Control Act</w:t>
        </w:r>
      </w:hyperlink>
      <w:r w:rsidRPr="006814CB">
        <w:t>, s 53D for a public notice, the form must be used.</w:t>
      </w:r>
    </w:p>
    <w:p w14:paraId="6116DB3A" w14:textId="77777777" w:rsidR="004F5504" w:rsidRPr="006814CB" w:rsidRDefault="006814CB" w:rsidP="006814CB">
      <w:pPr>
        <w:pStyle w:val="Amain"/>
      </w:pPr>
      <w:r>
        <w:tab/>
      </w:r>
      <w:r w:rsidRPr="006814CB">
        <w:t>(3)</w:t>
      </w:r>
      <w:r w:rsidRPr="006814CB">
        <w:tab/>
      </w:r>
      <w:r w:rsidR="004F5504" w:rsidRPr="006814CB">
        <w:t xml:space="preserve">Before the comment period begins, the </w:t>
      </w:r>
      <w:r w:rsidR="007614EC" w:rsidRPr="006814CB">
        <w:t>casino licensee</w:t>
      </w:r>
      <w:r w:rsidR="004F5504" w:rsidRPr="006814CB">
        <w:t xml:space="preserve"> must give the commission—</w:t>
      </w:r>
    </w:p>
    <w:p w14:paraId="44E5352F" w14:textId="77777777" w:rsidR="004F5504" w:rsidRPr="006814CB" w:rsidRDefault="006814CB" w:rsidP="006814CB">
      <w:pPr>
        <w:pStyle w:val="Apara"/>
      </w:pPr>
      <w:r>
        <w:tab/>
      </w:r>
      <w:r w:rsidRPr="006814CB">
        <w:t>(a)</w:t>
      </w:r>
      <w:r w:rsidRPr="006814CB">
        <w:tab/>
      </w:r>
      <w:r w:rsidR="004F5504" w:rsidRPr="006814CB">
        <w:t>the social impact assessment for the application; and</w:t>
      </w:r>
    </w:p>
    <w:p w14:paraId="2836223E" w14:textId="77777777" w:rsidR="004F5504" w:rsidRPr="006814CB" w:rsidRDefault="006814CB" w:rsidP="006814CB">
      <w:pPr>
        <w:pStyle w:val="Apara"/>
      </w:pPr>
      <w:r>
        <w:tab/>
      </w:r>
      <w:r w:rsidRPr="006814CB">
        <w:t>(b)</w:t>
      </w:r>
      <w:r w:rsidRPr="006814CB">
        <w:tab/>
      </w:r>
      <w:r w:rsidR="004F5504" w:rsidRPr="006814CB">
        <w:t>a copy of the public notice.</w:t>
      </w:r>
    </w:p>
    <w:p w14:paraId="3FCC7A04" w14:textId="77777777" w:rsidR="004F5504" w:rsidRPr="006814CB" w:rsidRDefault="006814CB" w:rsidP="00480B76">
      <w:pPr>
        <w:pStyle w:val="Amain"/>
        <w:keepNext/>
      </w:pPr>
      <w:r>
        <w:lastRenderedPageBreak/>
        <w:tab/>
      </w:r>
      <w:r w:rsidRPr="006814CB">
        <w:t>(4)</w:t>
      </w:r>
      <w:r w:rsidRPr="006814CB">
        <w:tab/>
      </w:r>
      <w:r w:rsidR="004F5504" w:rsidRPr="006814CB">
        <w:t xml:space="preserve">The </w:t>
      </w:r>
      <w:r w:rsidR="007614EC" w:rsidRPr="006814CB">
        <w:t>casino licensee</w:t>
      </w:r>
      <w:r w:rsidR="004F5504" w:rsidRPr="006814CB">
        <w:t xml:space="preserve"> must—</w:t>
      </w:r>
    </w:p>
    <w:p w14:paraId="2271CEF6" w14:textId="77777777" w:rsidR="004F5504" w:rsidRPr="006814CB" w:rsidRDefault="006814CB" w:rsidP="00480B76">
      <w:pPr>
        <w:pStyle w:val="Apara"/>
        <w:keepLines/>
      </w:pPr>
      <w:r>
        <w:tab/>
      </w:r>
      <w:r w:rsidRPr="006814CB">
        <w:t>(a)</w:t>
      </w:r>
      <w:r w:rsidRPr="006814CB">
        <w:tab/>
      </w:r>
      <w:r w:rsidR="004F5504" w:rsidRPr="006814CB">
        <w:t xml:space="preserve">on or before the day the public notice is given, place a sign (the </w:t>
      </w:r>
      <w:r w:rsidR="004F5504" w:rsidRPr="006814CB">
        <w:rPr>
          <w:rStyle w:val="charBoldItals"/>
        </w:rPr>
        <w:t>information sign</w:t>
      </w:r>
      <w:r w:rsidR="004F5504" w:rsidRPr="006814CB">
        <w:t>) containing information about the appl</w:t>
      </w:r>
      <w:r w:rsidR="007614EC" w:rsidRPr="006814CB">
        <w:t>ication in a prominent position outside each public entrance to the premises to which the application relates; and</w:t>
      </w:r>
    </w:p>
    <w:p w14:paraId="031D6F3D" w14:textId="77777777" w:rsidR="004F5504" w:rsidRPr="006814CB" w:rsidRDefault="006814CB" w:rsidP="006814CB">
      <w:pPr>
        <w:pStyle w:val="Apara"/>
      </w:pPr>
      <w:r>
        <w:tab/>
      </w:r>
      <w:r w:rsidRPr="006814CB">
        <w:t>(b)</w:t>
      </w:r>
      <w:r w:rsidRPr="006814CB">
        <w:tab/>
      </w:r>
      <w:r w:rsidR="004F5504" w:rsidRPr="006814CB">
        <w:t>ensure that the sign stays there for the comment period.</w:t>
      </w:r>
    </w:p>
    <w:p w14:paraId="1B412FA9" w14:textId="77777777" w:rsidR="004F5504" w:rsidRPr="006814CB" w:rsidRDefault="006814CB" w:rsidP="006814CB">
      <w:pPr>
        <w:pStyle w:val="Amain"/>
      </w:pPr>
      <w:r>
        <w:tab/>
      </w:r>
      <w:r w:rsidRPr="006814CB">
        <w:t>(5)</w:t>
      </w:r>
      <w:r w:rsidRPr="006814CB">
        <w:tab/>
      </w:r>
      <w:r w:rsidR="004F5504" w:rsidRPr="006814CB">
        <w:t xml:space="preserve">However, </w:t>
      </w:r>
      <w:r w:rsidR="007614EC" w:rsidRPr="006814CB">
        <w:t>the casino licensee</w:t>
      </w:r>
      <w:r w:rsidR="004F5504" w:rsidRPr="006814CB">
        <w:t xml:space="preserve"> need not comply with subsection (4) if it would be impractical to do so.</w:t>
      </w:r>
    </w:p>
    <w:p w14:paraId="2ECE183A" w14:textId="77777777" w:rsidR="004F5504" w:rsidRPr="006814CB" w:rsidRDefault="004F5504" w:rsidP="004F5504">
      <w:pPr>
        <w:pStyle w:val="aExamHdgss"/>
      </w:pPr>
      <w:r w:rsidRPr="006814CB">
        <w:t>Examples—impractical to place sign at address</w:t>
      </w:r>
    </w:p>
    <w:p w14:paraId="33842B88" w14:textId="77777777" w:rsidR="004F5504" w:rsidRPr="006814CB" w:rsidRDefault="004F5504" w:rsidP="004F5504">
      <w:pPr>
        <w:pStyle w:val="aExamINumss"/>
        <w:keepNext/>
      </w:pPr>
      <w:r w:rsidRPr="006814CB">
        <w:t>1</w:t>
      </w:r>
      <w:r w:rsidRPr="006814CB">
        <w:tab/>
        <w:t>there is no road access to the address</w:t>
      </w:r>
    </w:p>
    <w:p w14:paraId="7086DEAA" w14:textId="77777777" w:rsidR="004F5504" w:rsidRPr="006814CB" w:rsidRDefault="004F5504" w:rsidP="004F5504">
      <w:pPr>
        <w:pStyle w:val="aExamINumss"/>
        <w:keepNext/>
      </w:pPr>
      <w:r w:rsidRPr="006814CB">
        <w:t>2</w:t>
      </w:r>
      <w:r w:rsidRPr="006814CB">
        <w:tab/>
        <w:t>building work is being carried out at the address</w:t>
      </w:r>
    </w:p>
    <w:p w14:paraId="3911D2F7" w14:textId="77777777" w:rsidR="004F5504" w:rsidRPr="006814CB" w:rsidRDefault="006814CB" w:rsidP="006814CB">
      <w:pPr>
        <w:pStyle w:val="Amain"/>
      </w:pPr>
      <w:r>
        <w:tab/>
      </w:r>
      <w:r w:rsidRPr="006814CB">
        <w:t>(6)</w:t>
      </w:r>
      <w:r w:rsidRPr="006814CB">
        <w:tab/>
      </w:r>
      <w:r w:rsidR="004F5504" w:rsidRPr="006814CB">
        <w:t>The information sign must include the following:</w:t>
      </w:r>
    </w:p>
    <w:p w14:paraId="7BD712AA" w14:textId="77777777" w:rsidR="004F5504" w:rsidRPr="006814CB" w:rsidRDefault="006814CB" w:rsidP="006814CB">
      <w:pPr>
        <w:pStyle w:val="Apara"/>
      </w:pPr>
      <w:r>
        <w:tab/>
      </w:r>
      <w:r w:rsidRPr="006814CB">
        <w:t>(a)</w:t>
      </w:r>
      <w:r w:rsidRPr="006814CB">
        <w:tab/>
      </w:r>
      <w:r w:rsidR="004F5504" w:rsidRPr="006814CB">
        <w:t>a description of the application;</w:t>
      </w:r>
    </w:p>
    <w:p w14:paraId="04F3ED43" w14:textId="77777777" w:rsidR="004F5504" w:rsidRPr="006814CB" w:rsidRDefault="006814CB" w:rsidP="006814CB">
      <w:pPr>
        <w:pStyle w:val="Apara"/>
      </w:pPr>
      <w:r>
        <w:tab/>
      </w:r>
      <w:r w:rsidRPr="006814CB">
        <w:t>(b)</w:t>
      </w:r>
      <w:r w:rsidRPr="006814CB">
        <w:tab/>
      </w:r>
      <w:r w:rsidR="004F5504" w:rsidRPr="006814CB">
        <w:t>a statement of when and where the social impact assessment for the application will be available;</w:t>
      </w:r>
    </w:p>
    <w:p w14:paraId="1CE1CD3A" w14:textId="77777777" w:rsidR="004F5504" w:rsidRPr="006814CB" w:rsidRDefault="006814CB" w:rsidP="006814CB">
      <w:pPr>
        <w:pStyle w:val="Apara"/>
      </w:pPr>
      <w:r>
        <w:tab/>
      </w:r>
      <w:r w:rsidRPr="006814CB">
        <w:t>(c)</w:t>
      </w:r>
      <w:r w:rsidRPr="006814CB">
        <w:tab/>
      </w:r>
      <w:r w:rsidR="004F5504" w:rsidRPr="006814CB">
        <w:t>an invitation to make written submissions to the commission about the social impact assessment within the comment period;</w:t>
      </w:r>
    </w:p>
    <w:p w14:paraId="1D8AF227" w14:textId="77777777" w:rsidR="004F5504" w:rsidRPr="006814CB" w:rsidRDefault="006814CB" w:rsidP="006814CB">
      <w:pPr>
        <w:pStyle w:val="Apara"/>
      </w:pPr>
      <w:r>
        <w:tab/>
      </w:r>
      <w:r w:rsidRPr="006814CB">
        <w:t>(d)</w:t>
      </w:r>
      <w:r w:rsidRPr="006814CB">
        <w:tab/>
      </w:r>
      <w:r w:rsidR="004F5504" w:rsidRPr="006814CB">
        <w:t>when the comment period ends;</w:t>
      </w:r>
    </w:p>
    <w:p w14:paraId="767891F7" w14:textId="77777777" w:rsidR="004F5504" w:rsidRPr="006814CB" w:rsidRDefault="006814CB" w:rsidP="006814CB">
      <w:pPr>
        <w:pStyle w:val="Apara"/>
      </w:pPr>
      <w:r>
        <w:tab/>
      </w:r>
      <w:r w:rsidRPr="006814CB">
        <w:t>(e)</w:t>
      </w:r>
      <w:r w:rsidRPr="006814CB">
        <w:tab/>
      </w:r>
      <w:r w:rsidR="004F5504" w:rsidRPr="006814CB">
        <w:t>details of where to get more information about the application.</w:t>
      </w:r>
    </w:p>
    <w:p w14:paraId="0A849BBB" w14:textId="77777777" w:rsidR="00117222" w:rsidRPr="006814CB" w:rsidRDefault="006814CB" w:rsidP="00480B76">
      <w:pPr>
        <w:pStyle w:val="Amain"/>
        <w:keepNext/>
        <w:rPr>
          <w:lang w:eastAsia="en-AU"/>
        </w:rPr>
      </w:pPr>
      <w:r>
        <w:rPr>
          <w:lang w:eastAsia="en-AU"/>
        </w:rPr>
        <w:tab/>
      </w:r>
      <w:r w:rsidRPr="006814CB">
        <w:rPr>
          <w:lang w:eastAsia="en-AU"/>
        </w:rPr>
        <w:t>(7)</w:t>
      </w:r>
      <w:r w:rsidRPr="006814CB">
        <w:rPr>
          <w:lang w:eastAsia="en-AU"/>
        </w:rPr>
        <w:tab/>
      </w:r>
      <w:r w:rsidR="00117222" w:rsidRPr="006814CB">
        <w:rPr>
          <w:lang w:eastAsia="en-AU"/>
        </w:rPr>
        <w:t>The commission must make the social impact assessment available for inspection by members of the public during the comment period—</w:t>
      </w:r>
    </w:p>
    <w:p w14:paraId="1C571719" w14:textId="77777777" w:rsidR="00117222" w:rsidRPr="006814CB" w:rsidRDefault="006814CB" w:rsidP="00480B76">
      <w:pPr>
        <w:pStyle w:val="Apara"/>
        <w:keepNext/>
        <w:rPr>
          <w:lang w:eastAsia="en-AU"/>
        </w:rPr>
      </w:pPr>
      <w:r>
        <w:rPr>
          <w:lang w:eastAsia="en-AU"/>
        </w:rPr>
        <w:tab/>
      </w:r>
      <w:r w:rsidRPr="006814CB">
        <w:rPr>
          <w:lang w:eastAsia="en-AU"/>
        </w:rPr>
        <w:t>(a)</w:t>
      </w:r>
      <w:r w:rsidRPr="006814CB">
        <w:rPr>
          <w:lang w:eastAsia="en-AU"/>
        </w:rPr>
        <w:tab/>
      </w:r>
      <w:r w:rsidR="00117222" w:rsidRPr="006814CB">
        <w:rPr>
          <w:lang w:eastAsia="en-AU"/>
        </w:rPr>
        <w:t>at a place in the ACT named on the commission’s website during ordinary business hours; and</w:t>
      </w:r>
    </w:p>
    <w:p w14:paraId="541DDC78" w14:textId="77777777" w:rsidR="00117222" w:rsidRPr="006814CB" w:rsidRDefault="006814CB" w:rsidP="00480B76">
      <w:pPr>
        <w:pStyle w:val="Apara"/>
        <w:keepNext/>
        <w:rPr>
          <w:lang w:eastAsia="en-AU"/>
        </w:rPr>
      </w:pPr>
      <w:r>
        <w:rPr>
          <w:lang w:eastAsia="en-AU"/>
        </w:rPr>
        <w:tab/>
      </w:r>
      <w:r w:rsidRPr="006814CB">
        <w:rPr>
          <w:lang w:eastAsia="en-AU"/>
        </w:rPr>
        <w:t>(b)</w:t>
      </w:r>
      <w:r w:rsidRPr="006814CB">
        <w:rPr>
          <w:lang w:eastAsia="en-AU"/>
        </w:rPr>
        <w:tab/>
      </w:r>
      <w:r w:rsidR="00117222" w:rsidRPr="006814CB">
        <w:rPr>
          <w:lang w:eastAsia="en-AU"/>
        </w:rPr>
        <w:t>by publishing the assessment on the commission’s website.</w:t>
      </w:r>
    </w:p>
    <w:p w14:paraId="189FBEE3" w14:textId="77777777" w:rsidR="008502BB" w:rsidRPr="006814CB" w:rsidRDefault="006814CB" w:rsidP="006814CB">
      <w:pPr>
        <w:pStyle w:val="Amain"/>
      </w:pPr>
      <w:r>
        <w:tab/>
      </w:r>
      <w:r w:rsidRPr="006814CB">
        <w:t>(8)</w:t>
      </w:r>
      <w:r w:rsidRPr="006814CB">
        <w:tab/>
      </w:r>
      <w:r w:rsidR="004F5504" w:rsidRPr="006814CB">
        <w:t>The commission must not decide the application until the comment period has ended.</w:t>
      </w:r>
    </w:p>
    <w:p w14:paraId="436AD565" w14:textId="77777777" w:rsidR="008502BB" w:rsidRPr="006814CB" w:rsidRDefault="008502BB" w:rsidP="006814CB">
      <w:pPr>
        <w:pStyle w:val="PageBreak"/>
        <w:suppressLineNumbers/>
      </w:pPr>
      <w:r w:rsidRPr="006814CB">
        <w:br w:type="page"/>
      </w:r>
    </w:p>
    <w:p w14:paraId="74894FBE" w14:textId="77777777" w:rsidR="00EF1417" w:rsidRPr="00251CCE" w:rsidRDefault="006814CB" w:rsidP="006814CB">
      <w:pPr>
        <w:pStyle w:val="AH2Part"/>
      </w:pPr>
      <w:bookmarkStart w:id="17" w:name="_Toc147827580"/>
      <w:r w:rsidRPr="00251CCE">
        <w:rPr>
          <w:rStyle w:val="CharPartNo"/>
        </w:rPr>
        <w:lastRenderedPageBreak/>
        <w:t>Part 3</w:t>
      </w:r>
      <w:r w:rsidRPr="006814CB">
        <w:tab/>
      </w:r>
      <w:r w:rsidR="00372BEC" w:rsidRPr="00251CCE">
        <w:rPr>
          <w:rStyle w:val="CharPartText"/>
        </w:rPr>
        <w:t>Authorisations for electronic gaming</w:t>
      </w:r>
      <w:bookmarkEnd w:id="17"/>
    </w:p>
    <w:p w14:paraId="52C513E0" w14:textId="77777777" w:rsidR="00372BEC" w:rsidRPr="00251CCE" w:rsidRDefault="006814CB" w:rsidP="006814CB">
      <w:pPr>
        <w:pStyle w:val="AH3Div"/>
      </w:pPr>
      <w:bookmarkStart w:id="18" w:name="_Toc147827581"/>
      <w:r w:rsidRPr="00251CCE">
        <w:rPr>
          <w:rStyle w:val="CharDivNo"/>
        </w:rPr>
        <w:t>Division 3.1</w:t>
      </w:r>
      <w:r w:rsidRPr="006814CB">
        <w:tab/>
      </w:r>
      <w:r w:rsidR="00372BEC" w:rsidRPr="00251CCE">
        <w:rPr>
          <w:rStyle w:val="CharDivText"/>
        </w:rPr>
        <w:t>Casino gaming machine authorisation certificate</w:t>
      </w:r>
      <w:bookmarkEnd w:id="18"/>
    </w:p>
    <w:p w14:paraId="6D9848EC" w14:textId="77777777" w:rsidR="00CB2701" w:rsidRPr="006814CB" w:rsidRDefault="006814CB" w:rsidP="006814CB">
      <w:pPr>
        <w:pStyle w:val="AH5Sec"/>
      </w:pPr>
      <w:bookmarkStart w:id="19" w:name="_Toc147827582"/>
      <w:r w:rsidRPr="00251CCE">
        <w:rPr>
          <w:rStyle w:val="CharSectNo"/>
        </w:rPr>
        <w:t>10</w:t>
      </w:r>
      <w:r w:rsidRPr="006814CB">
        <w:tab/>
      </w:r>
      <w:r w:rsidR="001B3431" w:rsidRPr="006814CB">
        <w:t>Casino gaming machine authorisation certificate</w:t>
      </w:r>
      <w:r w:rsidR="00494355" w:rsidRPr="006814CB">
        <w:t>—application</w:t>
      </w:r>
      <w:bookmarkEnd w:id="19"/>
    </w:p>
    <w:p w14:paraId="063269B1" w14:textId="77777777" w:rsidR="00CB2701" w:rsidRPr="006814CB" w:rsidRDefault="006814CB" w:rsidP="006814CB">
      <w:pPr>
        <w:pStyle w:val="Amain"/>
        <w:keepNext/>
      </w:pPr>
      <w:r>
        <w:tab/>
      </w:r>
      <w:r w:rsidRPr="006814CB">
        <w:t>(1)</w:t>
      </w:r>
      <w:r w:rsidRPr="006814CB">
        <w:tab/>
      </w:r>
      <w:r w:rsidR="00CB2701" w:rsidRPr="006814CB">
        <w:t>The casino licensee may apply to the commission for an authorisation certificate</w:t>
      </w:r>
      <w:r w:rsidR="00DA3F6C" w:rsidRPr="006814CB">
        <w:t xml:space="preserve"> </w:t>
      </w:r>
      <w:r w:rsidR="00CB2701" w:rsidRPr="006814CB">
        <w:t xml:space="preserve">to have </w:t>
      </w:r>
      <w:r w:rsidR="00117222" w:rsidRPr="006814CB">
        <w:t xml:space="preserve">up to </w:t>
      </w:r>
      <w:r w:rsidR="00CB2701" w:rsidRPr="006814CB">
        <w:t>the maximum</w:t>
      </w:r>
      <w:r w:rsidR="00DE422A" w:rsidRPr="006814CB">
        <w:t xml:space="preserve"> possible</w:t>
      </w:r>
      <w:r w:rsidR="00CB2701" w:rsidRPr="006814CB">
        <w:t xml:space="preserve"> number of authorisations for casino gaming machines at the casino.</w:t>
      </w:r>
    </w:p>
    <w:p w14:paraId="570D6AC4" w14:textId="77777777" w:rsidR="0086300F" w:rsidRPr="006814CB" w:rsidRDefault="0086300F" w:rsidP="006814CB">
      <w:pPr>
        <w:pStyle w:val="aNote"/>
        <w:keepNext/>
      </w:pPr>
      <w:r w:rsidRPr="006814CB">
        <w:rPr>
          <w:rStyle w:val="charItals"/>
        </w:rPr>
        <w:t>Note 1</w:t>
      </w:r>
      <w:r w:rsidRPr="006814CB">
        <w:rPr>
          <w:rStyle w:val="charItals"/>
        </w:rPr>
        <w:tab/>
      </w:r>
      <w:r w:rsidRPr="006814CB">
        <w:rPr>
          <w:rStyle w:val="charBoldItals"/>
        </w:rPr>
        <w:t xml:space="preserve">Maximum </w:t>
      </w:r>
      <w:r w:rsidR="00DE422A" w:rsidRPr="006814CB">
        <w:rPr>
          <w:rStyle w:val="charBoldItals"/>
        </w:rPr>
        <w:t xml:space="preserve">possible </w:t>
      </w:r>
      <w:r w:rsidRPr="006814CB">
        <w:rPr>
          <w:rStyle w:val="charBoldItals"/>
        </w:rPr>
        <w:t>number</w:t>
      </w:r>
      <w:r w:rsidRPr="006814CB">
        <w:t>, of authorisations f</w:t>
      </w:r>
      <w:r w:rsidR="003E4A90" w:rsidRPr="006814CB">
        <w:t>or casino gaming machines—see s</w:t>
      </w:r>
      <w:r w:rsidRPr="006814CB">
        <w:t xml:space="preserve"> </w:t>
      </w:r>
      <w:r w:rsidR="002E0DF3" w:rsidRPr="006814CB">
        <w:t>6</w:t>
      </w:r>
      <w:r w:rsidR="0048555E" w:rsidRPr="006814CB">
        <w:t xml:space="preserve">. </w:t>
      </w:r>
    </w:p>
    <w:p w14:paraId="38C5B546" w14:textId="5995B118" w:rsidR="00CB2701" w:rsidRPr="006814CB" w:rsidRDefault="00CB2701" w:rsidP="006814CB">
      <w:pPr>
        <w:pStyle w:val="aNote"/>
        <w:keepNext/>
      </w:pPr>
      <w:r w:rsidRPr="006814CB">
        <w:rPr>
          <w:rStyle w:val="charItals"/>
        </w:rPr>
        <w:t>Note </w:t>
      </w:r>
      <w:r w:rsidR="0086300F" w:rsidRPr="006814CB">
        <w:rPr>
          <w:rStyle w:val="charItals"/>
        </w:rPr>
        <w:t>2</w:t>
      </w:r>
      <w:r w:rsidRPr="006814CB">
        <w:tab/>
        <w:t xml:space="preserve">If a form is approved under the </w:t>
      </w:r>
      <w:hyperlink r:id="rId35" w:tooltip="Gambling and Racing Control Act 1999" w:history="1">
        <w:r w:rsidR="008E7EBF" w:rsidRPr="006814CB">
          <w:rPr>
            <w:rStyle w:val="charCitHyperlinkAbbrev"/>
          </w:rPr>
          <w:t>Control Act</w:t>
        </w:r>
      </w:hyperlink>
      <w:r w:rsidRPr="006814CB">
        <w:t>, s 53D for an application, the form must be used.</w:t>
      </w:r>
    </w:p>
    <w:p w14:paraId="13C810A1" w14:textId="77777777" w:rsidR="00CB2701" w:rsidRPr="006814CB" w:rsidRDefault="0086300F" w:rsidP="000667D4">
      <w:pPr>
        <w:pStyle w:val="aNote"/>
      </w:pPr>
      <w:r w:rsidRPr="006814CB">
        <w:rPr>
          <w:rStyle w:val="charItals"/>
        </w:rPr>
        <w:t>Note 3</w:t>
      </w:r>
      <w:r w:rsidR="00CB2701" w:rsidRPr="006814CB">
        <w:rPr>
          <w:rStyle w:val="charItals"/>
        </w:rPr>
        <w:tab/>
      </w:r>
      <w:r w:rsidR="00CB2701" w:rsidRPr="006814CB">
        <w:t xml:space="preserve">A fee may be determined under s </w:t>
      </w:r>
      <w:r w:rsidR="002E0DF3" w:rsidRPr="006814CB">
        <w:t>53</w:t>
      </w:r>
      <w:r w:rsidR="00E03785" w:rsidRPr="006814CB">
        <w:t xml:space="preserve"> </w:t>
      </w:r>
      <w:r w:rsidR="00CB2701" w:rsidRPr="006814CB">
        <w:t>for this provision.</w:t>
      </w:r>
    </w:p>
    <w:p w14:paraId="7D32ADED" w14:textId="77777777" w:rsidR="000667D4" w:rsidRPr="006814CB" w:rsidRDefault="006814CB" w:rsidP="006814CB">
      <w:pPr>
        <w:pStyle w:val="Amain"/>
      </w:pPr>
      <w:r>
        <w:tab/>
      </w:r>
      <w:r w:rsidRPr="006814CB">
        <w:t>(2)</w:t>
      </w:r>
      <w:r w:rsidRPr="006814CB">
        <w:tab/>
      </w:r>
      <w:r w:rsidR="00B05020" w:rsidRPr="006814CB">
        <w:t>The</w:t>
      </w:r>
      <w:r w:rsidR="000667D4" w:rsidRPr="006814CB">
        <w:t xml:space="preserve"> application must—</w:t>
      </w:r>
    </w:p>
    <w:p w14:paraId="1C475B34" w14:textId="77777777" w:rsidR="00E97B54" w:rsidRPr="006814CB" w:rsidRDefault="006814CB" w:rsidP="006814CB">
      <w:pPr>
        <w:pStyle w:val="Apara"/>
      </w:pPr>
      <w:r>
        <w:tab/>
      </w:r>
      <w:r w:rsidRPr="006814CB">
        <w:t>(a)</w:t>
      </w:r>
      <w:r w:rsidRPr="006814CB">
        <w:tab/>
      </w:r>
      <w:r w:rsidR="00E97B54" w:rsidRPr="006814CB">
        <w:t>be in writing signed by the casino licensee; and</w:t>
      </w:r>
    </w:p>
    <w:p w14:paraId="7882A856" w14:textId="77777777" w:rsidR="00E97B54" w:rsidRPr="006814CB" w:rsidRDefault="006814CB" w:rsidP="006814CB">
      <w:pPr>
        <w:pStyle w:val="Apara"/>
      </w:pPr>
      <w:r>
        <w:tab/>
      </w:r>
      <w:r w:rsidRPr="006814CB">
        <w:t>(b)</w:t>
      </w:r>
      <w:r w:rsidRPr="006814CB">
        <w:tab/>
      </w:r>
      <w:r w:rsidR="00E97B54" w:rsidRPr="006814CB">
        <w:t xml:space="preserve">state the maximum number of authorisations for </w:t>
      </w:r>
      <w:r w:rsidR="009157CF" w:rsidRPr="006814CB">
        <w:t xml:space="preserve">casino </w:t>
      </w:r>
      <w:r w:rsidR="00E97B54" w:rsidRPr="006814CB">
        <w:t>gaming machines for which the authorisation certificate is sought; and</w:t>
      </w:r>
    </w:p>
    <w:p w14:paraId="4780F243" w14:textId="77777777" w:rsidR="007614EC" w:rsidRPr="006814CB" w:rsidRDefault="006814CB" w:rsidP="006814CB">
      <w:pPr>
        <w:pStyle w:val="Apara"/>
      </w:pPr>
      <w:r>
        <w:tab/>
      </w:r>
      <w:r w:rsidRPr="006814CB">
        <w:t>(c)</w:t>
      </w:r>
      <w:r w:rsidRPr="006814CB">
        <w:tab/>
      </w:r>
      <w:r w:rsidR="00E97B54" w:rsidRPr="006814CB">
        <w:t>be accompanied by</w:t>
      </w:r>
      <w:r w:rsidR="007614EC" w:rsidRPr="006814CB">
        <w:t>—</w:t>
      </w:r>
    </w:p>
    <w:p w14:paraId="38DADA78" w14:textId="77777777" w:rsidR="007614EC" w:rsidRPr="006814CB" w:rsidRDefault="006814CB" w:rsidP="006814CB">
      <w:pPr>
        <w:pStyle w:val="Asubpara"/>
      </w:pPr>
      <w:r>
        <w:tab/>
      </w:r>
      <w:r w:rsidRPr="006814CB">
        <w:t>(i)</w:t>
      </w:r>
      <w:r w:rsidRPr="006814CB">
        <w:tab/>
      </w:r>
      <w:r w:rsidR="007614EC" w:rsidRPr="006814CB">
        <w:t>a social impact assessment for the application; and</w:t>
      </w:r>
    </w:p>
    <w:p w14:paraId="3EFBF72C" w14:textId="77777777" w:rsidR="00E97B54" w:rsidRPr="006814CB" w:rsidRDefault="006814CB" w:rsidP="006814CB">
      <w:pPr>
        <w:pStyle w:val="Asubpara"/>
      </w:pPr>
      <w:r>
        <w:tab/>
      </w:r>
      <w:r w:rsidRPr="006814CB">
        <w:t>(ii)</w:t>
      </w:r>
      <w:r w:rsidRPr="006814CB">
        <w:tab/>
      </w:r>
      <w:r w:rsidR="00B05020" w:rsidRPr="006814CB">
        <w:t>any</w:t>
      </w:r>
      <w:r w:rsidR="0090382B" w:rsidRPr="006814CB">
        <w:t xml:space="preserve"> other</w:t>
      </w:r>
      <w:r w:rsidR="00B05020" w:rsidRPr="006814CB">
        <w:t xml:space="preserve"> documents prescribed by regulation.</w:t>
      </w:r>
    </w:p>
    <w:p w14:paraId="63463B0F" w14:textId="77777777" w:rsidR="0090382B" w:rsidRPr="006814CB" w:rsidRDefault="006814CB" w:rsidP="006814CB">
      <w:pPr>
        <w:pStyle w:val="Amain"/>
      </w:pPr>
      <w:r>
        <w:tab/>
      </w:r>
      <w:r w:rsidRPr="006814CB">
        <w:t>(3)</w:t>
      </w:r>
      <w:r w:rsidRPr="006814CB">
        <w:tab/>
      </w:r>
      <w:r w:rsidR="0090382B" w:rsidRPr="006814CB">
        <w:t>The commission may, in writing, require the casino licensee to give the commission additional information, within the time stated by the commission, that the commission reasonably needs to decide the application.</w:t>
      </w:r>
    </w:p>
    <w:p w14:paraId="185493C1" w14:textId="77777777" w:rsidR="0090382B" w:rsidRPr="006814CB" w:rsidRDefault="006814CB" w:rsidP="00EF5D29">
      <w:pPr>
        <w:pStyle w:val="Amain"/>
        <w:keepNext/>
      </w:pPr>
      <w:r>
        <w:lastRenderedPageBreak/>
        <w:tab/>
      </w:r>
      <w:r w:rsidRPr="006814CB">
        <w:t>(4)</w:t>
      </w:r>
      <w:r w:rsidRPr="006814CB">
        <w:tab/>
      </w:r>
      <w:r w:rsidR="0090382B" w:rsidRPr="006814CB">
        <w:t>If the casino licensee does not comply with a requirement under subsection (3) within the time stated by the commission—</w:t>
      </w:r>
    </w:p>
    <w:p w14:paraId="7FB51CC4" w14:textId="77777777" w:rsidR="0090382B" w:rsidRPr="006814CB" w:rsidRDefault="006814CB" w:rsidP="006814CB">
      <w:pPr>
        <w:pStyle w:val="Apara"/>
      </w:pPr>
      <w:r>
        <w:tab/>
      </w:r>
      <w:r w:rsidRPr="006814CB">
        <w:t>(a)</w:t>
      </w:r>
      <w:r w:rsidRPr="006814CB">
        <w:tab/>
      </w:r>
      <w:r w:rsidR="0090382B" w:rsidRPr="006814CB">
        <w:t>the commission may refuse to consider the application; and</w:t>
      </w:r>
    </w:p>
    <w:p w14:paraId="621D7A3F" w14:textId="77777777" w:rsidR="0090382B" w:rsidRPr="006814CB" w:rsidRDefault="006814CB" w:rsidP="006814CB">
      <w:pPr>
        <w:pStyle w:val="Apara"/>
      </w:pPr>
      <w:r>
        <w:tab/>
      </w:r>
      <w:r w:rsidRPr="006814CB">
        <w:t>(b)</w:t>
      </w:r>
      <w:r w:rsidRPr="006814CB">
        <w:tab/>
      </w:r>
      <w:r w:rsidR="0090382B" w:rsidRPr="006814CB">
        <w:t>if the commission refuses to consider the application—the application lapses.</w:t>
      </w:r>
    </w:p>
    <w:p w14:paraId="1FE7A439" w14:textId="77777777" w:rsidR="0090382B" w:rsidRPr="006814CB" w:rsidRDefault="006814CB" w:rsidP="006814CB">
      <w:pPr>
        <w:pStyle w:val="AH5Sec"/>
      </w:pPr>
      <w:bookmarkStart w:id="20" w:name="_Toc147827583"/>
      <w:r w:rsidRPr="00251CCE">
        <w:rPr>
          <w:rStyle w:val="CharSectNo"/>
        </w:rPr>
        <w:t>11</w:t>
      </w:r>
      <w:r w:rsidRPr="006814CB">
        <w:tab/>
      </w:r>
      <w:r w:rsidR="0090382B" w:rsidRPr="006814CB">
        <w:t>Casino gaming machine authorisation certificate—decision on application</w:t>
      </w:r>
      <w:bookmarkEnd w:id="20"/>
    </w:p>
    <w:p w14:paraId="1493D050" w14:textId="77777777" w:rsidR="0090382B" w:rsidRPr="006814CB" w:rsidRDefault="006814CB" w:rsidP="006814CB">
      <w:pPr>
        <w:pStyle w:val="Amain"/>
      </w:pPr>
      <w:r>
        <w:tab/>
      </w:r>
      <w:r w:rsidRPr="006814CB">
        <w:t>(1)</w:t>
      </w:r>
      <w:r w:rsidRPr="006814CB">
        <w:tab/>
      </w:r>
      <w:r w:rsidR="0090382B" w:rsidRPr="006814CB">
        <w:t>This section applies if the commissio</w:t>
      </w:r>
      <w:r w:rsidR="00E27805" w:rsidRPr="006814CB">
        <w:t xml:space="preserve">n receives an application under section </w:t>
      </w:r>
      <w:r w:rsidR="002E0DF3" w:rsidRPr="006814CB">
        <w:t>10</w:t>
      </w:r>
      <w:r w:rsidR="00E27805" w:rsidRPr="006814CB">
        <w:t xml:space="preserve"> for an </w:t>
      </w:r>
      <w:r w:rsidR="0090382B" w:rsidRPr="006814CB">
        <w:t>authorisation</w:t>
      </w:r>
      <w:r w:rsidR="009157CF" w:rsidRPr="006814CB">
        <w:t xml:space="preserve"> certificate</w:t>
      </w:r>
      <w:r w:rsidR="0090382B" w:rsidRPr="006814CB">
        <w:t>.</w:t>
      </w:r>
      <w:r w:rsidR="00C8666D" w:rsidRPr="006814CB">
        <w:t xml:space="preserve"> </w:t>
      </w:r>
    </w:p>
    <w:p w14:paraId="05AB49FC" w14:textId="77777777" w:rsidR="00C8666D" w:rsidRPr="006814CB" w:rsidRDefault="006814CB" w:rsidP="006814CB">
      <w:pPr>
        <w:pStyle w:val="Amain"/>
      </w:pPr>
      <w:r>
        <w:tab/>
      </w:r>
      <w:r w:rsidRPr="006814CB">
        <w:t>(2)</w:t>
      </w:r>
      <w:r w:rsidRPr="006814CB">
        <w:tab/>
      </w:r>
      <w:r w:rsidR="0090382B" w:rsidRPr="006814CB">
        <w:t xml:space="preserve">The </w:t>
      </w:r>
      <w:r w:rsidR="00B05020" w:rsidRPr="006814CB">
        <w:t xml:space="preserve">commission must issue an authorisation certificate </w:t>
      </w:r>
      <w:r w:rsidR="00E27805" w:rsidRPr="006814CB">
        <w:t xml:space="preserve">(a </w:t>
      </w:r>
      <w:r w:rsidR="00E27805" w:rsidRPr="006814CB">
        <w:rPr>
          <w:rStyle w:val="charBoldItals"/>
        </w:rPr>
        <w:t>casino gaming machine authorisation certificate</w:t>
      </w:r>
      <w:r w:rsidR="00E27805" w:rsidRPr="006814CB">
        <w:t xml:space="preserve">) </w:t>
      </w:r>
      <w:r w:rsidR="00B05020" w:rsidRPr="006814CB">
        <w:t xml:space="preserve">to the casino licensee </w:t>
      </w:r>
      <w:r w:rsidR="00F552AE" w:rsidRPr="006814CB">
        <w:t>for the maximum number of authorisations for casino gaming machines st</w:t>
      </w:r>
      <w:r w:rsidR="0090382B" w:rsidRPr="006814CB">
        <w:t>ated in the application if</w:t>
      </w:r>
      <w:r w:rsidR="00C8666D" w:rsidRPr="006814CB">
        <w:t xml:space="preserve"> the commission—</w:t>
      </w:r>
    </w:p>
    <w:p w14:paraId="1741EF83" w14:textId="77777777" w:rsidR="00C8666D" w:rsidRPr="006814CB" w:rsidRDefault="006814CB" w:rsidP="006814CB">
      <w:pPr>
        <w:pStyle w:val="Apara"/>
      </w:pPr>
      <w:r>
        <w:tab/>
      </w:r>
      <w:r w:rsidRPr="006814CB">
        <w:t>(a)</w:t>
      </w:r>
      <w:r w:rsidRPr="006814CB">
        <w:tab/>
      </w:r>
      <w:r w:rsidR="00C8666D" w:rsidRPr="006814CB">
        <w:t>has taken</w:t>
      </w:r>
      <w:r w:rsidR="0090382B" w:rsidRPr="006814CB">
        <w:t xml:space="preserve"> </w:t>
      </w:r>
      <w:r w:rsidR="00C8666D" w:rsidRPr="006814CB">
        <w:t xml:space="preserve">into consideration the social impact assessment for the application and any submission made on the assessment within the comment period under section </w:t>
      </w:r>
      <w:r w:rsidR="002E0DF3" w:rsidRPr="006814CB">
        <w:t>9</w:t>
      </w:r>
      <w:r w:rsidR="00C8666D" w:rsidRPr="006814CB">
        <w:t xml:space="preserve"> (Social impact assessment—publication); and</w:t>
      </w:r>
    </w:p>
    <w:p w14:paraId="578E3973" w14:textId="77777777" w:rsidR="00B05020" w:rsidRPr="006814CB" w:rsidRDefault="006814CB" w:rsidP="006814CB">
      <w:pPr>
        <w:pStyle w:val="Apara"/>
        <w:keepNext/>
      </w:pPr>
      <w:r>
        <w:tab/>
      </w:r>
      <w:r w:rsidRPr="006814CB">
        <w:t>(b)</w:t>
      </w:r>
      <w:r w:rsidRPr="006814CB">
        <w:tab/>
      </w:r>
      <w:r w:rsidR="00C8666D" w:rsidRPr="006814CB">
        <w:t xml:space="preserve">is </w:t>
      </w:r>
      <w:r w:rsidR="0090382B" w:rsidRPr="006814CB">
        <w:t>satisfied the issue of the authorisation certificate is appropriate.</w:t>
      </w:r>
    </w:p>
    <w:p w14:paraId="063EC7D9" w14:textId="77777777" w:rsidR="00046665" w:rsidRPr="006814CB" w:rsidRDefault="00046665" w:rsidP="00046665">
      <w:pPr>
        <w:pStyle w:val="aNote"/>
      </w:pPr>
      <w:r w:rsidRPr="006814CB">
        <w:rPr>
          <w:rStyle w:val="charItals"/>
        </w:rPr>
        <w:t>Note</w:t>
      </w:r>
      <w:r w:rsidRPr="006814CB">
        <w:rPr>
          <w:rStyle w:val="charItals"/>
        </w:rPr>
        <w:tab/>
      </w:r>
      <w:r w:rsidRPr="006814CB">
        <w:t xml:space="preserve">An authorisation acquired by the casino licensee under </w:t>
      </w:r>
      <w:r w:rsidR="00C8448A" w:rsidRPr="006814CB">
        <w:t>s</w:t>
      </w:r>
      <w:r w:rsidR="00E03785" w:rsidRPr="006814CB">
        <w:t xml:space="preserve"> </w:t>
      </w:r>
      <w:r w:rsidR="002E0DF3" w:rsidRPr="006814CB">
        <w:t>16</w:t>
      </w:r>
      <w:r w:rsidRPr="006814CB">
        <w:t xml:space="preserve"> is a restricted authorisation until certain conditions are met (see s </w:t>
      </w:r>
      <w:r w:rsidR="002E0DF3" w:rsidRPr="006814CB">
        <w:t>21</w:t>
      </w:r>
      <w:r w:rsidR="00C8448A" w:rsidRPr="006814CB">
        <w:t xml:space="preserve"> and s </w:t>
      </w:r>
      <w:r w:rsidR="002E0DF3" w:rsidRPr="006814CB">
        <w:t>22</w:t>
      </w:r>
      <w:r w:rsidR="00BB19F5" w:rsidRPr="006814CB">
        <w:t>). Casino gaming machines are not to be operated under restricted authorisations (see s </w:t>
      </w:r>
      <w:r w:rsidR="002E0DF3" w:rsidRPr="006814CB">
        <w:t>18</w:t>
      </w:r>
      <w:r w:rsidR="00BB19F5" w:rsidRPr="006814CB">
        <w:t xml:space="preserve"> (2)). </w:t>
      </w:r>
    </w:p>
    <w:p w14:paraId="318585DB" w14:textId="77777777" w:rsidR="00F552AE" w:rsidRPr="006814CB" w:rsidRDefault="006814CB" w:rsidP="006814CB">
      <w:pPr>
        <w:pStyle w:val="AH5Sec"/>
      </w:pPr>
      <w:bookmarkStart w:id="21" w:name="_Toc147827584"/>
      <w:r w:rsidRPr="00251CCE">
        <w:rPr>
          <w:rStyle w:val="CharSectNo"/>
        </w:rPr>
        <w:t>12</w:t>
      </w:r>
      <w:r w:rsidRPr="006814CB">
        <w:tab/>
      </w:r>
      <w:r w:rsidR="0090382B" w:rsidRPr="006814CB">
        <w:t>Casino gaming machine a</w:t>
      </w:r>
      <w:r w:rsidR="00F552AE" w:rsidRPr="006814CB">
        <w:t>uthorisation certificate—form</w:t>
      </w:r>
      <w:bookmarkEnd w:id="21"/>
    </w:p>
    <w:p w14:paraId="6A6CFAF9" w14:textId="77777777" w:rsidR="00F552AE" w:rsidRPr="006814CB" w:rsidRDefault="006814CB" w:rsidP="006814CB">
      <w:pPr>
        <w:pStyle w:val="Amain"/>
      </w:pPr>
      <w:r>
        <w:tab/>
      </w:r>
      <w:r w:rsidRPr="006814CB">
        <w:t>(1)</w:t>
      </w:r>
      <w:r w:rsidRPr="006814CB">
        <w:tab/>
      </w:r>
      <w:r w:rsidR="0086300F" w:rsidRPr="006814CB">
        <w:t xml:space="preserve">A </w:t>
      </w:r>
      <w:r w:rsidR="001B3431" w:rsidRPr="006814CB">
        <w:t>casino gaming machine authorisation certificate</w:t>
      </w:r>
      <w:r w:rsidR="00992C32" w:rsidRPr="006814CB">
        <w:t xml:space="preserve"> </w:t>
      </w:r>
      <w:r w:rsidR="00F552AE" w:rsidRPr="006814CB">
        <w:t>must—</w:t>
      </w:r>
    </w:p>
    <w:p w14:paraId="71E5092E" w14:textId="77777777" w:rsidR="00F552AE" w:rsidRPr="006814CB" w:rsidRDefault="006814CB" w:rsidP="006814CB">
      <w:pPr>
        <w:pStyle w:val="Apara"/>
      </w:pPr>
      <w:r>
        <w:tab/>
      </w:r>
      <w:r w:rsidRPr="006814CB">
        <w:t>(a)</w:t>
      </w:r>
      <w:r w:rsidRPr="006814CB">
        <w:tab/>
      </w:r>
      <w:r w:rsidR="00F552AE" w:rsidRPr="006814CB">
        <w:t>i</w:t>
      </w:r>
      <w:r w:rsidR="00AB4D04" w:rsidRPr="006814CB">
        <w:t>nclude the casino licensee’s name; and</w:t>
      </w:r>
    </w:p>
    <w:p w14:paraId="7A9E2B09" w14:textId="77777777" w:rsidR="00992C32" w:rsidRPr="006814CB" w:rsidRDefault="006814CB" w:rsidP="006814CB">
      <w:pPr>
        <w:pStyle w:val="Apara"/>
      </w:pPr>
      <w:r>
        <w:tab/>
      </w:r>
      <w:r w:rsidRPr="006814CB">
        <w:t>(b)</w:t>
      </w:r>
      <w:r w:rsidRPr="006814CB">
        <w:tab/>
      </w:r>
      <w:r w:rsidR="00F552AE" w:rsidRPr="006814CB">
        <w:t xml:space="preserve">include a unique identifying number (a </w:t>
      </w:r>
      <w:r w:rsidR="001B3431" w:rsidRPr="006814CB">
        <w:rPr>
          <w:rStyle w:val="charBoldItals"/>
        </w:rPr>
        <w:t>casino gaming machine authorisation certificate</w:t>
      </w:r>
      <w:r w:rsidR="00F552AE" w:rsidRPr="006814CB">
        <w:rPr>
          <w:rStyle w:val="charBoldItals"/>
        </w:rPr>
        <w:t xml:space="preserve"> number</w:t>
      </w:r>
      <w:r w:rsidR="00F552AE" w:rsidRPr="006814CB">
        <w:t>); and</w:t>
      </w:r>
    </w:p>
    <w:p w14:paraId="20E5E5E4" w14:textId="77777777" w:rsidR="00F552AE" w:rsidRPr="006814CB" w:rsidRDefault="006814CB" w:rsidP="006814CB">
      <w:pPr>
        <w:pStyle w:val="Apara"/>
      </w:pPr>
      <w:r>
        <w:lastRenderedPageBreak/>
        <w:tab/>
      </w:r>
      <w:r w:rsidRPr="006814CB">
        <w:t>(c)</w:t>
      </w:r>
      <w:r w:rsidRPr="006814CB">
        <w:tab/>
      </w:r>
      <w:r w:rsidR="00F552AE" w:rsidRPr="006814CB">
        <w:t>state the maximum number of authorisations for</w:t>
      </w:r>
      <w:r w:rsidR="009157CF" w:rsidRPr="006814CB">
        <w:t xml:space="preserve"> casino</w:t>
      </w:r>
      <w:r w:rsidR="00F552AE" w:rsidRPr="006814CB">
        <w:t xml:space="preserve"> gaming machines </w:t>
      </w:r>
      <w:r w:rsidR="00DE422A" w:rsidRPr="006814CB">
        <w:t xml:space="preserve">allowed </w:t>
      </w:r>
      <w:r w:rsidR="00F552AE" w:rsidRPr="006814CB">
        <w:t>under the authorisation certificate; and</w:t>
      </w:r>
    </w:p>
    <w:p w14:paraId="2EB12BC7" w14:textId="77777777" w:rsidR="00BB19F5" w:rsidRPr="006814CB" w:rsidRDefault="006814CB" w:rsidP="006814CB">
      <w:pPr>
        <w:pStyle w:val="Apara"/>
      </w:pPr>
      <w:r>
        <w:tab/>
      </w:r>
      <w:r w:rsidRPr="006814CB">
        <w:t>(d)</w:t>
      </w:r>
      <w:r w:rsidRPr="006814CB">
        <w:tab/>
      </w:r>
      <w:r w:rsidR="00BB19F5" w:rsidRPr="006814CB">
        <w:t>state that—</w:t>
      </w:r>
    </w:p>
    <w:p w14:paraId="5DE943DD" w14:textId="77777777" w:rsidR="00244245" w:rsidRPr="006814CB" w:rsidRDefault="006814CB" w:rsidP="006814CB">
      <w:pPr>
        <w:pStyle w:val="Asubpara"/>
      </w:pPr>
      <w:r>
        <w:tab/>
      </w:r>
      <w:r w:rsidRPr="006814CB">
        <w:t>(i)</w:t>
      </w:r>
      <w:r w:rsidRPr="006814CB">
        <w:tab/>
      </w:r>
      <w:r w:rsidR="00244245" w:rsidRPr="006814CB">
        <w:t xml:space="preserve">an authorisation under the authorisation certificate is a restricted authorisation; and </w:t>
      </w:r>
    </w:p>
    <w:p w14:paraId="58DD5591" w14:textId="77777777" w:rsidR="00117222" w:rsidRPr="006814CB" w:rsidRDefault="006814CB" w:rsidP="006814CB">
      <w:pPr>
        <w:pStyle w:val="Asubpara"/>
      </w:pPr>
      <w:r>
        <w:tab/>
      </w:r>
      <w:r w:rsidRPr="006814CB">
        <w:t>(ii)</w:t>
      </w:r>
      <w:r w:rsidRPr="006814CB">
        <w:tab/>
      </w:r>
      <w:r w:rsidR="00117222" w:rsidRPr="006814CB">
        <w:t>a restricted authorisation may be converted to a casino gaming machine authorisation under section </w:t>
      </w:r>
      <w:r w:rsidR="002E0DF3" w:rsidRPr="006814CB">
        <w:t>22</w:t>
      </w:r>
      <w:r w:rsidR="00117222" w:rsidRPr="006814CB">
        <w:t xml:space="preserve"> (Conversion of restricted authorisations—decision); and</w:t>
      </w:r>
    </w:p>
    <w:p w14:paraId="3E28852D" w14:textId="77777777" w:rsidR="00244245" w:rsidRPr="006814CB" w:rsidRDefault="006814CB" w:rsidP="006814CB">
      <w:pPr>
        <w:pStyle w:val="Asubpara"/>
      </w:pPr>
      <w:r>
        <w:tab/>
      </w:r>
      <w:r w:rsidRPr="006814CB">
        <w:t>(iii)</w:t>
      </w:r>
      <w:r w:rsidRPr="006814CB">
        <w:tab/>
      </w:r>
      <w:r w:rsidR="00244245" w:rsidRPr="006814CB">
        <w:t>a casino gaming machine may only be operated under a casino gaming machine authorisation; and</w:t>
      </w:r>
    </w:p>
    <w:p w14:paraId="3389DF99" w14:textId="77777777" w:rsidR="00F552AE" w:rsidRPr="006814CB" w:rsidRDefault="006814CB" w:rsidP="006814CB">
      <w:pPr>
        <w:pStyle w:val="Apara"/>
      </w:pPr>
      <w:r>
        <w:tab/>
      </w:r>
      <w:r w:rsidRPr="006814CB">
        <w:t>(e)</w:t>
      </w:r>
      <w:r w:rsidRPr="006814CB">
        <w:tab/>
      </w:r>
      <w:r w:rsidR="00F552AE" w:rsidRPr="006814CB">
        <w:t xml:space="preserve">include a schedule (an </w:t>
      </w:r>
      <w:r w:rsidR="00F552AE" w:rsidRPr="006814CB">
        <w:rPr>
          <w:rStyle w:val="charBoldItals"/>
        </w:rPr>
        <w:t>authorisation schedule</w:t>
      </w:r>
      <w:r w:rsidR="0090382B" w:rsidRPr="006814CB">
        <w:t xml:space="preserve">) that contains a unique identifying number for each authorisation (an </w:t>
      </w:r>
      <w:r w:rsidR="0090382B" w:rsidRPr="006814CB">
        <w:rPr>
          <w:rStyle w:val="charBoldItals"/>
        </w:rPr>
        <w:t>authorisation number</w:t>
      </w:r>
      <w:r w:rsidR="0090382B" w:rsidRPr="006814CB">
        <w:t>) under the authorisation certificate.</w:t>
      </w:r>
    </w:p>
    <w:p w14:paraId="4B53B8AA" w14:textId="77777777" w:rsidR="00DD6F38" w:rsidRPr="006814CB" w:rsidRDefault="006814CB" w:rsidP="006814CB">
      <w:pPr>
        <w:pStyle w:val="Amain"/>
      </w:pPr>
      <w:r>
        <w:tab/>
      </w:r>
      <w:r w:rsidRPr="006814CB">
        <w:t>(2)</w:t>
      </w:r>
      <w:r w:rsidRPr="006814CB">
        <w:tab/>
      </w:r>
      <w:r w:rsidR="00F552AE" w:rsidRPr="006814CB">
        <w:t xml:space="preserve">A regulation may prescribe other requirements in relation to the form of </w:t>
      </w:r>
      <w:r w:rsidR="00C40DF6" w:rsidRPr="006814CB">
        <w:t>the</w:t>
      </w:r>
      <w:r w:rsidR="00F552AE" w:rsidRPr="006814CB">
        <w:t xml:space="preserve"> authorisation certificate or authorisation schedu</w:t>
      </w:r>
      <w:r w:rsidR="00AB4D04" w:rsidRPr="006814CB">
        <w:t>le.</w:t>
      </w:r>
    </w:p>
    <w:p w14:paraId="65E0218E" w14:textId="77777777" w:rsidR="009157CF" w:rsidRPr="00251CCE" w:rsidRDefault="006814CB" w:rsidP="006814CB">
      <w:pPr>
        <w:pStyle w:val="AH3Div"/>
      </w:pPr>
      <w:bookmarkStart w:id="22" w:name="_Toc147827585"/>
      <w:r w:rsidRPr="00251CCE">
        <w:rPr>
          <w:rStyle w:val="CharDivNo"/>
        </w:rPr>
        <w:t>Division 3.2</w:t>
      </w:r>
      <w:r w:rsidRPr="006814CB">
        <w:tab/>
      </w:r>
      <w:r w:rsidR="00372BEC" w:rsidRPr="00251CCE">
        <w:rPr>
          <w:rStyle w:val="CharDivText"/>
        </w:rPr>
        <w:t>Casino FATG authorisation certificate</w:t>
      </w:r>
      <w:bookmarkEnd w:id="22"/>
    </w:p>
    <w:p w14:paraId="62742F95" w14:textId="77777777" w:rsidR="009157CF" w:rsidRPr="006814CB" w:rsidRDefault="006814CB" w:rsidP="006814CB">
      <w:pPr>
        <w:pStyle w:val="AH5Sec"/>
      </w:pPr>
      <w:bookmarkStart w:id="23" w:name="_Toc147827586"/>
      <w:r w:rsidRPr="00251CCE">
        <w:rPr>
          <w:rStyle w:val="CharSectNo"/>
        </w:rPr>
        <w:t>13</w:t>
      </w:r>
      <w:r w:rsidRPr="006814CB">
        <w:tab/>
      </w:r>
      <w:r w:rsidR="009157CF" w:rsidRPr="006814CB">
        <w:t>Casino FATG authorisation certificate—application</w:t>
      </w:r>
      <w:bookmarkEnd w:id="23"/>
    </w:p>
    <w:p w14:paraId="1E524FA8" w14:textId="77777777" w:rsidR="009157CF" w:rsidRPr="006814CB" w:rsidRDefault="006814CB" w:rsidP="006814CB">
      <w:pPr>
        <w:pStyle w:val="Amain"/>
        <w:keepNext/>
      </w:pPr>
      <w:r>
        <w:tab/>
      </w:r>
      <w:r w:rsidRPr="006814CB">
        <w:t>(1)</w:t>
      </w:r>
      <w:r w:rsidRPr="006814CB">
        <w:tab/>
      </w:r>
      <w:r w:rsidR="009157CF" w:rsidRPr="006814CB">
        <w:t xml:space="preserve">The casino licensee may apply to the commission for an authorisation certificate to have </w:t>
      </w:r>
      <w:r w:rsidR="00117222" w:rsidRPr="006814CB">
        <w:t xml:space="preserve">up to </w:t>
      </w:r>
      <w:r w:rsidR="009157CF" w:rsidRPr="006814CB">
        <w:t xml:space="preserve">the maximum </w:t>
      </w:r>
      <w:r w:rsidR="00DE422A" w:rsidRPr="006814CB">
        <w:t xml:space="preserve">possible </w:t>
      </w:r>
      <w:r w:rsidR="009157CF" w:rsidRPr="006814CB">
        <w:t>number of</w:t>
      </w:r>
      <w:r w:rsidR="00372BEC" w:rsidRPr="006814CB">
        <w:t xml:space="preserve"> authorisations for casino FATG terminals</w:t>
      </w:r>
      <w:r w:rsidR="009157CF" w:rsidRPr="006814CB">
        <w:t xml:space="preserve"> at the casino.</w:t>
      </w:r>
    </w:p>
    <w:p w14:paraId="56C6A26B" w14:textId="77777777" w:rsidR="009157CF" w:rsidRPr="006814CB" w:rsidRDefault="009157CF" w:rsidP="006814CB">
      <w:pPr>
        <w:pStyle w:val="aNote"/>
        <w:keepNext/>
      </w:pPr>
      <w:r w:rsidRPr="006814CB">
        <w:rPr>
          <w:rStyle w:val="charItals"/>
        </w:rPr>
        <w:t>Note 1</w:t>
      </w:r>
      <w:r w:rsidRPr="006814CB">
        <w:rPr>
          <w:rStyle w:val="charItals"/>
        </w:rPr>
        <w:tab/>
      </w:r>
      <w:r w:rsidRPr="006814CB">
        <w:rPr>
          <w:rStyle w:val="charBoldItals"/>
        </w:rPr>
        <w:t xml:space="preserve">Maximum </w:t>
      </w:r>
      <w:r w:rsidR="00DE422A" w:rsidRPr="006814CB">
        <w:rPr>
          <w:rStyle w:val="charBoldItals"/>
        </w:rPr>
        <w:t xml:space="preserve">possible </w:t>
      </w:r>
      <w:r w:rsidRPr="006814CB">
        <w:rPr>
          <w:rStyle w:val="charBoldItals"/>
        </w:rPr>
        <w:t>number</w:t>
      </w:r>
      <w:r w:rsidRPr="006814CB">
        <w:t xml:space="preserve">, of authorisations for casino </w:t>
      </w:r>
      <w:r w:rsidR="00372BEC" w:rsidRPr="006814CB">
        <w:t>FATG terminals</w:t>
      </w:r>
      <w:r w:rsidRPr="006814CB">
        <w:t xml:space="preserve">—see </w:t>
      </w:r>
      <w:r w:rsidR="00C8448A" w:rsidRPr="006814CB">
        <w:t>s </w:t>
      </w:r>
      <w:r w:rsidR="002E0DF3" w:rsidRPr="006814CB">
        <w:t>7</w:t>
      </w:r>
      <w:r w:rsidRPr="006814CB">
        <w:t xml:space="preserve">. </w:t>
      </w:r>
    </w:p>
    <w:p w14:paraId="1D51BA2A" w14:textId="4C4D8AD3" w:rsidR="009157CF" w:rsidRPr="006814CB" w:rsidRDefault="009157CF" w:rsidP="006814CB">
      <w:pPr>
        <w:pStyle w:val="aNote"/>
        <w:keepNext/>
      </w:pPr>
      <w:r w:rsidRPr="006814CB">
        <w:rPr>
          <w:rStyle w:val="charItals"/>
        </w:rPr>
        <w:t>Note 2</w:t>
      </w:r>
      <w:r w:rsidRPr="006814CB">
        <w:tab/>
        <w:t xml:space="preserve">If a form is approved under the </w:t>
      </w:r>
      <w:hyperlink r:id="rId36" w:tooltip="Gambling and Racing Control Act 1999" w:history="1">
        <w:r w:rsidR="008E7EBF" w:rsidRPr="006814CB">
          <w:rPr>
            <w:rStyle w:val="charCitHyperlinkAbbrev"/>
          </w:rPr>
          <w:t>Control Act</w:t>
        </w:r>
      </w:hyperlink>
      <w:r w:rsidRPr="006814CB">
        <w:t>, s 53D for an application, the form must be used.</w:t>
      </w:r>
    </w:p>
    <w:p w14:paraId="635FA82F" w14:textId="77777777" w:rsidR="009157CF" w:rsidRPr="006814CB" w:rsidRDefault="009157CF" w:rsidP="009157CF">
      <w:pPr>
        <w:pStyle w:val="aNote"/>
      </w:pPr>
      <w:r w:rsidRPr="006814CB">
        <w:rPr>
          <w:rStyle w:val="charItals"/>
        </w:rPr>
        <w:t>Note 3</w:t>
      </w:r>
      <w:r w:rsidRPr="006814CB">
        <w:rPr>
          <w:rStyle w:val="charItals"/>
        </w:rPr>
        <w:tab/>
      </w:r>
      <w:r w:rsidRPr="006814CB">
        <w:t xml:space="preserve">A fee may be determined under s </w:t>
      </w:r>
      <w:r w:rsidR="002E0DF3" w:rsidRPr="006814CB">
        <w:t>53</w:t>
      </w:r>
      <w:r w:rsidR="003D0F2E" w:rsidRPr="006814CB">
        <w:t xml:space="preserve"> </w:t>
      </w:r>
      <w:r w:rsidRPr="006814CB">
        <w:t>for this provision.</w:t>
      </w:r>
    </w:p>
    <w:p w14:paraId="67C4057D" w14:textId="77777777" w:rsidR="009157CF" w:rsidRPr="006814CB" w:rsidRDefault="006814CB" w:rsidP="006814CB">
      <w:pPr>
        <w:pStyle w:val="Amain"/>
      </w:pPr>
      <w:r>
        <w:tab/>
      </w:r>
      <w:r w:rsidRPr="006814CB">
        <w:t>(2)</w:t>
      </w:r>
      <w:r w:rsidRPr="006814CB">
        <w:tab/>
      </w:r>
      <w:r w:rsidR="009157CF" w:rsidRPr="006814CB">
        <w:t>The application must—</w:t>
      </w:r>
    </w:p>
    <w:p w14:paraId="66137442" w14:textId="77777777" w:rsidR="009157CF" w:rsidRPr="006814CB" w:rsidRDefault="006814CB" w:rsidP="006814CB">
      <w:pPr>
        <w:pStyle w:val="Apara"/>
      </w:pPr>
      <w:r>
        <w:tab/>
      </w:r>
      <w:r w:rsidRPr="006814CB">
        <w:t>(a)</w:t>
      </w:r>
      <w:r w:rsidRPr="006814CB">
        <w:tab/>
      </w:r>
      <w:r w:rsidR="009157CF" w:rsidRPr="006814CB">
        <w:t>be in writing signed by the casino licensee; and</w:t>
      </w:r>
    </w:p>
    <w:p w14:paraId="135FFEBE" w14:textId="77777777" w:rsidR="009157CF" w:rsidRPr="006814CB" w:rsidRDefault="006814CB" w:rsidP="006814CB">
      <w:pPr>
        <w:pStyle w:val="Apara"/>
      </w:pPr>
      <w:r>
        <w:lastRenderedPageBreak/>
        <w:tab/>
      </w:r>
      <w:r w:rsidRPr="006814CB">
        <w:t>(b)</w:t>
      </w:r>
      <w:r w:rsidRPr="006814CB">
        <w:tab/>
      </w:r>
      <w:r w:rsidR="009157CF" w:rsidRPr="006814CB">
        <w:t>state the maximum number of authorisations for casino FATG</w:t>
      </w:r>
      <w:r w:rsidR="00372BEC" w:rsidRPr="006814CB">
        <w:t xml:space="preserve"> terminal</w:t>
      </w:r>
      <w:r w:rsidR="009157CF" w:rsidRPr="006814CB">
        <w:t>s for which the authorisation certificate is sought; and</w:t>
      </w:r>
    </w:p>
    <w:p w14:paraId="64BC6EAD" w14:textId="77777777" w:rsidR="009157CF" w:rsidRPr="006814CB" w:rsidRDefault="006814CB" w:rsidP="006814CB">
      <w:pPr>
        <w:pStyle w:val="Apara"/>
      </w:pPr>
      <w:r>
        <w:tab/>
      </w:r>
      <w:r w:rsidRPr="006814CB">
        <w:t>(c)</w:t>
      </w:r>
      <w:r w:rsidRPr="006814CB">
        <w:tab/>
      </w:r>
      <w:r w:rsidR="009157CF" w:rsidRPr="006814CB">
        <w:t>be accompanied by—</w:t>
      </w:r>
    </w:p>
    <w:p w14:paraId="2BEED0C5" w14:textId="77777777" w:rsidR="009157CF" w:rsidRPr="006814CB" w:rsidRDefault="006814CB" w:rsidP="006814CB">
      <w:pPr>
        <w:pStyle w:val="Asubpara"/>
      </w:pPr>
      <w:r>
        <w:tab/>
      </w:r>
      <w:r w:rsidRPr="006814CB">
        <w:t>(i)</w:t>
      </w:r>
      <w:r w:rsidRPr="006814CB">
        <w:tab/>
      </w:r>
      <w:r w:rsidR="009157CF" w:rsidRPr="006814CB">
        <w:t>a social impact assessment for the application; and</w:t>
      </w:r>
    </w:p>
    <w:p w14:paraId="03CBDAF4" w14:textId="77777777" w:rsidR="009157CF" w:rsidRPr="006814CB" w:rsidRDefault="006814CB" w:rsidP="006814CB">
      <w:pPr>
        <w:pStyle w:val="Asubpara"/>
      </w:pPr>
      <w:r>
        <w:tab/>
      </w:r>
      <w:r w:rsidRPr="006814CB">
        <w:t>(ii)</w:t>
      </w:r>
      <w:r w:rsidRPr="006814CB">
        <w:tab/>
      </w:r>
      <w:r w:rsidR="009157CF" w:rsidRPr="006814CB">
        <w:t>any other documents prescribed by regulation.</w:t>
      </w:r>
    </w:p>
    <w:p w14:paraId="3E9B7DC2" w14:textId="77777777" w:rsidR="009157CF" w:rsidRPr="006814CB" w:rsidRDefault="006814CB" w:rsidP="006814CB">
      <w:pPr>
        <w:pStyle w:val="Amain"/>
      </w:pPr>
      <w:r>
        <w:tab/>
      </w:r>
      <w:r w:rsidRPr="006814CB">
        <w:t>(3)</w:t>
      </w:r>
      <w:r w:rsidRPr="006814CB">
        <w:tab/>
      </w:r>
      <w:r w:rsidR="009157CF" w:rsidRPr="006814CB">
        <w:t>The commission may, in writing, require the casino licensee to give the commission additional information, within the time stated by the commission, that the commission reasonably needs to decide the application.</w:t>
      </w:r>
    </w:p>
    <w:p w14:paraId="6E346160" w14:textId="77777777" w:rsidR="009157CF" w:rsidRPr="006814CB" w:rsidRDefault="006814CB" w:rsidP="006814CB">
      <w:pPr>
        <w:pStyle w:val="Amain"/>
      </w:pPr>
      <w:r>
        <w:tab/>
      </w:r>
      <w:r w:rsidRPr="006814CB">
        <w:t>(4)</w:t>
      </w:r>
      <w:r w:rsidRPr="006814CB">
        <w:tab/>
      </w:r>
      <w:r w:rsidR="009157CF" w:rsidRPr="006814CB">
        <w:t>If the casino licensee does not comply with a requirement under subsection (3) within the time stated by the commission—</w:t>
      </w:r>
    </w:p>
    <w:p w14:paraId="6A88A146" w14:textId="77777777" w:rsidR="009157CF" w:rsidRPr="006814CB" w:rsidRDefault="006814CB" w:rsidP="006814CB">
      <w:pPr>
        <w:pStyle w:val="Apara"/>
      </w:pPr>
      <w:r>
        <w:tab/>
      </w:r>
      <w:r w:rsidRPr="006814CB">
        <w:t>(a)</w:t>
      </w:r>
      <w:r w:rsidRPr="006814CB">
        <w:tab/>
      </w:r>
      <w:r w:rsidR="009157CF" w:rsidRPr="006814CB">
        <w:t>the commission may refuse to consider the application; and</w:t>
      </w:r>
    </w:p>
    <w:p w14:paraId="169FEEF2" w14:textId="77777777" w:rsidR="009157CF" w:rsidRPr="006814CB" w:rsidRDefault="006814CB" w:rsidP="006814CB">
      <w:pPr>
        <w:pStyle w:val="Apara"/>
      </w:pPr>
      <w:r>
        <w:tab/>
      </w:r>
      <w:r w:rsidRPr="006814CB">
        <w:t>(b)</w:t>
      </w:r>
      <w:r w:rsidRPr="006814CB">
        <w:tab/>
      </w:r>
      <w:r w:rsidR="009157CF" w:rsidRPr="006814CB">
        <w:t>if the commission refuses to consider the application—the application lapses.</w:t>
      </w:r>
    </w:p>
    <w:p w14:paraId="109E7EB4" w14:textId="77777777" w:rsidR="009157CF" w:rsidRPr="006814CB" w:rsidRDefault="006814CB" w:rsidP="006814CB">
      <w:pPr>
        <w:pStyle w:val="AH5Sec"/>
      </w:pPr>
      <w:bookmarkStart w:id="24" w:name="_Toc147827587"/>
      <w:r w:rsidRPr="00251CCE">
        <w:rPr>
          <w:rStyle w:val="CharSectNo"/>
        </w:rPr>
        <w:t>14</w:t>
      </w:r>
      <w:r w:rsidRPr="006814CB">
        <w:tab/>
      </w:r>
      <w:r w:rsidR="009157CF" w:rsidRPr="006814CB">
        <w:t>Casino FATG authorisation certificate—decision on application</w:t>
      </w:r>
      <w:bookmarkEnd w:id="24"/>
    </w:p>
    <w:p w14:paraId="2B6F6921" w14:textId="77777777" w:rsidR="009157CF" w:rsidRPr="006814CB" w:rsidRDefault="006814CB" w:rsidP="006814CB">
      <w:pPr>
        <w:pStyle w:val="Amain"/>
      </w:pPr>
      <w:r>
        <w:tab/>
      </w:r>
      <w:r w:rsidRPr="006814CB">
        <w:t>(1)</w:t>
      </w:r>
      <w:r w:rsidRPr="006814CB">
        <w:tab/>
      </w:r>
      <w:r w:rsidR="009157CF" w:rsidRPr="006814CB">
        <w:t>This section applies if the commission receives an application</w:t>
      </w:r>
      <w:r w:rsidR="00E27805" w:rsidRPr="006814CB">
        <w:t xml:space="preserve"> under section </w:t>
      </w:r>
      <w:r w:rsidR="002E0DF3" w:rsidRPr="006814CB">
        <w:t>13</w:t>
      </w:r>
      <w:r w:rsidR="00E27805" w:rsidRPr="006814CB">
        <w:t xml:space="preserve"> for an </w:t>
      </w:r>
      <w:r w:rsidR="009157CF" w:rsidRPr="006814CB">
        <w:t>authorisation certificate.</w:t>
      </w:r>
    </w:p>
    <w:p w14:paraId="6C20D121" w14:textId="77777777" w:rsidR="00C8666D" w:rsidRPr="006814CB" w:rsidRDefault="006814CB" w:rsidP="006814CB">
      <w:pPr>
        <w:pStyle w:val="Amain"/>
      </w:pPr>
      <w:r>
        <w:tab/>
      </w:r>
      <w:r w:rsidRPr="006814CB">
        <w:t>(2)</w:t>
      </w:r>
      <w:r w:rsidRPr="006814CB">
        <w:tab/>
      </w:r>
      <w:r w:rsidR="00C8666D" w:rsidRPr="006814CB">
        <w:t xml:space="preserve">The commission must issue an authorisation certificate </w:t>
      </w:r>
      <w:r w:rsidR="00E27805" w:rsidRPr="006814CB">
        <w:t xml:space="preserve">(a </w:t>
      </w:r>
      <w:r w:rsidR="00E27805" w:rsidRPr="006814CB">
        <w:rPr>
          <w:rStyle w:val="charBoldItals"/>
        </w:rPr>
        <w:t>casino FATG authorisation certificate</w:t>
      </w:r>
      <w:r w:rsidR="00E27805" w:rsidRPr="006814CB">
        <w:t xml:space="preserve">) </w:t>
      </w:r>
      <w:r w:rsidR="00C8666D" w:rsidRPr="006814CB">
        <w:t>to the casino licensee for the maximum number of authorisations for casino FATG terminals stated in the application if the commission—</w:t>
      </w:r>
    </w:p>
    <w:p w14:paraId="4203DD64" w14:textId="77777777" w:rsidR="00C8666D" w:rsidRPr="006814CB" w:rsidRDefault="006814CB" w:rsidP="006814CB">
      <w:pPr>
        <w:pStyle w:val="Apara"/>
      </w:pPr>
      <w:r>
        <w:tab/>
      </w:r>
      <w:r w:rsidRPr="006814CB">
        <w:t>(a)</w:t>
      </w:r>
      <w:r w:rsidRPr="006814CB">
        <w:tab/>
      </w:r>
      <w:r w:rsidR="00C8666D" w:rsidRPr="006814CB">
        <w:t xml:space="preserve">has taken into consideration the social impact assessment for the application and any submission made on the assessment within the comment period under section </w:t>
      </w:r>
      <w:r w:rsidR="002E0DF3" w:rsidRPr="006814CB">
        <w:t>9</w:t>
      </w:r>
      <w:r w:rsidR="00C8666D" w:rsidRPr="006814CB">
        <w:t xml:space="preserve"> (Social impact assessment—publication); and</w:t>
      </w:r>
    </w:p>
    <w:p w14:paraId="29512FA7" w14:textId="77777777" w:rsidR="00C8666D" w:rsidRPr="006814CB" w:rsidRDefault="006814CB" w:rsidP="006814CB">
      <w:pPr>
        <w:pStyle w:val="Apara"/>
        <w:keepNext/>
      </w:pPr>
      <w:r>
        <w:lastRenderedPageBreak/>
        <w:tab/>
      </w:r>
      <w:r w:rsidRPr="006814CB">
        <w:t>(b)</w:t>
      </w:r>
      <w:r w:rsidRPr="006814CB">
        <w:tab/>
      </w:r>
      <w:r w:rsidR="00C8666D" w:rsidRPr="006814CB">
        <w:t>is satisfied the issue of the authorisation certificate is appropriate.</w:t>
      </w:r>
    </w:p>
    <w:p w14:paraId="2A9DE9D8" w14:textId="77777777" w:rsidR="00C8448A" w:rsidRPr="006814CB" w:rsidRDefault="00C8448A" w:rsidP="00C8448A">
      <w:pPr>
        <w:pStyle w:val="aNote"/>
      </w:pPr>
      <w:r w:rsidRPr="006814CB">
        <w:rPr>
          <w:rStyle w:val="charItals"/>
        </w:rPr>
        <w:t>Note</w:t>
      </w:r>
      <w:r w:rsidRPr="006814CB">
        <w:rPr>
          <w:rStyle w:val="charItals"/>
        </w:rPr>
        <w:tab/>
      </w:r>
      <w:r w:rsidRPr="006814CB">
        <w:t xml:space="preserve">An authorisation acquired by the casino licensee under s </w:t>
      </w:r>
      <w:r w:rsidR="002E0DF3" w:rsidRPr="006814CB">
        <w:t>16</w:t>
      </w:r>
      <w:r w:rsidRPr="006814CB">
        <w:t xml:space="preserve"> is a restricted authorisation until certain conditions are met (see s </w:t>
      </w:r>
      <w:r w:rsidR="002E0DF3" w:rsidRPr="006814CB">
        <w:t>21</w:t>
      </w:r>
      <w:r w:rsidRPr="006814CB">
        <w:t xml:space="preserve"> and s </w:t>
      </w:r>
      <w:r w:rsidR="002E0DF3" w:rsidRPr="006814CB">
        <w:t>22</w:t>
      </w:r>
      <w:r w:rsidRPr="006814CB">
        <w:t>). Casino gaming machines are not to be operated under restricted authorisations (see s </w:t>
      </w:r>
      <w:r w:rsidR="002E0DF3" w:rsidRPr="006814CB">
        <w:t>18</w:t>
      </w:r>
      <w:r w:rsidRPr="006814CB">
        <w:t xml:space="preserve"> (2)). </w:t>
      </w:r>
    </w:p>
    <w:p w14:paraId="0720C496" w14:textId="77777777" w:rsidR="009157CF" w:rsidRPr="006814CB" w:rsidRDefault="006814CB" w:rsidP="006814CB">
      <w:pPr>
        <w:pStyle w:val="AH5Sec"/>
      </w:pPr>
      <w:bookmarkStart w:id="25" w:name="_Toc147827588"/>
      <w:r w:rsidRPr="00251CCE">
        <w:rPr>
          <w:rStyle w:val="CharSectNo"/>
        </w:rPr>
        <w:t>15</w:t>
      </w:r>
      <w:r w:rsidRPr="006814CB">
        <w:tab/>
      </w:r>
      <w:r w:rsidR="009157CF" w:rsidRPr="006814CB">
        <w:t>Casino FATG authorisation certificate—form</w:t>
      </w:r>
      <w:bookmarkEnd w:id="25"/>
    </w:p>
    <w:p w14:paraId="0F225C0D" w14:textId="77777777" w:rsidR="009157CF" w:rsidRPr="006814CB" w:rsidRDefault="006814CB" w:rsidP="006814CB">
      <w:pPr>
        <w:pStyle w:val="Amain"/>
      </w:pPr>
      <w:r>
        <w:tab/>
      </w:r>
      <w:r w:rsidRPr="006814CB">
        <w:t>(1)</w:t>
      </w:r>
      <w:r w:rsidRPr="006814CB">
        <w:tab/>
      </w:r>
      <w:r w:rsidR="009157CF" w:rsidRPr="006814CB">
        <w:t>A casino FATG authorisation certificate must—</w:t>
      </w:r>
    </w:p>
    <w:p w14:paraId="343222FC" w14:textId="77777777" w:rsidR="009157CF" w:rsidRPr="006814CB" w:rsidRDefault="006814CB" w:rsidP="006814CB">
      <w:pPr>
        <w:pStyle w:val="Apara"/>
      </w:pPr>
      <w:r>
        <w:tab/>
      </w:r>
      <w:r w:rsidRPr="006814CB">
        <w:t>(a)</w:t>
      </w:r>
      <w:r w:rsidRPr="006814CB">
        <w:tab/>
      </w:r>
      <w:r w:rsidR="009157CF" w:rsidRPr="006814CB">
        <w:t>include the casino licensee’s name; and</w:t>
      </w:r>
    </w:p>
    <w:p w14:paraId="0274E33C" w14:textId="77777777" w:rsidR="009157CF" w:rsidRPr="006814CB" w:rsidRDefault="006814CB" w:rsidP="006814CB">
      <w:pPr>
        <w:pStyle w:val="Apara"/>
      </w:pPr>
      <w:r>
        <w:tab/>
      </w:r>
      <w:r w:rsidRPr="006814CB">
        <w:t>(b)</w:t>
      </w:r>
      <w:r w:rsidRPr="006814CB">
        <w:tab/>
      </w:r>
      <w:r w:rsidR="009157CF" w:rsidRPr="006814CB">
        <w:t xml:space="preserve">include a unique identifying number (a </w:t>
      </w:r>
      <w:r w:rsidR="009157CF" w:rsidRPr="006814CB">
        <w:rPr>
          <w:rStyle w:val="charBoldItals"/>
        </w:rPr>
        <w:t>casino FATG</w:t>
      </w:r>
      <w:r w:rsidR="009157CF" w:rsidRPr="006814CB">
        <w:t xml:space="preserve"> </w:t>
      </w:r>
      <w:r w:rsidR="009157CF" w:rsidRPr="006814CB">
        <w:rPr>
          <w:rStyle w:val="charBoldItals"/>
        </w:rPr>
        <w:t>authorisation certificate number</w:t>
      </w:r>
      <w:r w:rsidR="009157CF" w:rsidRPr="006814CB">
        <w:t>); and</w:t>
      </w:r>
    </w:p>
    <w:p w14:paraId="593E256D" w14:textId="77777777" w:rsidR="009157CF" w:rsidRPr="006814CB" w:rsidRDefault="006814CB" w:rsidP="006814CB">
      <w:pPr>
        <w:pStyle w:val="Apara"/>
      </w:pPr>
      <w:r>
        <w:tab/>
      </w:r>
      <w:r w:rsidRPr="006814CB">
        <w:t>(c)</w:t>
      </w:r>
      <w:r w:rsidRPr="006814CB">
        <w:tab/>
      </w:r>
      <w:r w:rsidR="009157CF" w:rsidRPr="006814CB">
        <w:t>state the maximum number of authorisations for casino FATG</w:t>
      </w:r>
      <w:r w:rsidR="00372BEC" w:rsidRPr="006814CB">
        <w:t xml:space="preserve"> terminal</w:t>
      </w:r>
      <w:r w:rsidR="009157CF" w:rsidRPr="006814CB">
        <w:t xml:space="preserve">s </w:t>
      </w:r>
      <w:r w:rsidR="00DE422A" w:rsidRPr="006814CB">
        <w:t xml:space="preserve">allowed </w:t>
      </w:r>
      <w:r w:rsidR="009157CF" w:rsidRPr="006814CB">
        <w:t>under the authorisation certificate; and</w:t>
      </w:r>
    </w:p>
    <w:p w14:paraId="402E9C05" w14:textId="77777777" w:rsidR="009157CF" w:rsidRPr="006814CB" w:rsidRDefault="006814CB" w:rsidP="006814CB">
      <w:pPr>
        <w:pStyle w:val="Apara"/>
      </w:pPr>
      <w:r>
        <w:tab/>
      </w:r>
      <w:r w:rsidRPr="006814CB">
        <w:t>(d)</w:t>
      </w:r>
      <w:r w:rsidRPr="006814CB">
        <w:tab/>
      </w:r>
      <w:r w:rsidR="009157CF" w:rsidRPr="006814CB">
        <w:t>state that—</w:t>
      </w:r>
    </w:p>
    <w:p w14:paraId="572438FE" w14:textId="77777777" w:rsidR="009157CF" w:rsidRPr="006814CB" w:rsidRDefault="006814CB" w:rsidP="006814CB">
      <w:pPr>
        <w:pStyle w:val="Asubpara"/>
      </w:pPr>
      <w:r>
        <w:tab/>
      </w:r>
      <w:r w:rsidRPr="006814CB">
        <w:t>(i)</w:t>
      </w:r>
      <w:r w:rsidRPr="006814CB">
        <w:tab/>
      </w:r>
      <w:r w:rsidR="009157CF" w:rsidRPr="006814CB">
        <w:t xml:space="preserve">an authorisation under the authorisation certificate is a restricted authorisation; and </w:t>
      </w:r>
    </w:p>
    <w:p w14:paraId="23AB4590" w14:textId="77777777" w:rsidR="00117222" w:rsidRPr="006814CB" w:rsidRDefault="006814CB" w:rsidP="006814CB">
      <w:pPr>
        <w:pStyle w:val="Asubpara"/>
      </w:pPr>
      <w:r>
        <w:tab/>
      </w:r>
      <w:r w:rsidRPr="006814CB">
        <w:t>(ii)</w:t>
      </w:r>
      <w:r w:rsidRPr="006814CB">
        <w:tab/>
      </w:r>
      <w:r w:rsidR="00117222" w:rsidRPr="006814CB">
        <w:t xml:space="preserve">a restricted authorisation may be converted to a casino FATG </w:t>
      </w:r>
      <w:r w:rsidR="00A5228B" w:rsidRPr="006814CB">
        <w:t xml:space="preserve">terminal </w:t>
      </w:r>
      <w:r w:rsidR="00117222" w:rsidRPr="006814CB">
        <w:t xml:space="preserve">authorisation under section </w:t>
      </w:r>
      <w:r w:rsidR="002E0DF3" w:rsidRPr="006814CB">
        <w:t>22</w:t>
      </w:r>
      <w:r w:rsidR="00117222" w:rsidRPr="006814CB">
        <w:t xml:space="preserve"> (Conversion of restricted authorisations—decision); and</w:t>
      </w:r>
    </w:p>
    <w:p w14:paraId="7C985E41" w14:textId="77777777" w:rsidR="009157CF" w:rsidRPr="006814CB" w:rsidRDefault="006814CB" w:rsidP="006814CB">
      <w:pPr>
        <w:pStyle w:val="Asubpara"/>
      </w:pPr>
      <w:r>
        <w:tab/>
      </w:r>
      <w:r w:rsidRPr="006814CB">
        <w:t>(iii)</w:t>
      </w:r>
      <w:r w:rsidRPr="006814CB">
        <w:tab/>
      </w:r>
      <w:r w:rsidR="00372BEC" w:rsidRPr="006814CB">
        <w:t xml:space="preserve">only 1 </w:t>
      </w:r>
      <w:r w:rsidR="00117222" w:rsidRPr="006814CB">
        <w:t xml:space="preserve">casino </w:t>
      </w:r>
      <w:r w:rsidR="00372BEC" w:rsidRPr="006814CB">
        <w:t xml:space="preserve">FATG terminal may be operated under each </w:t>
      </w:r>
      <w:r w:rsidR="00117222" w:rsidRPr="006814CB">
        <w:t xml:space="preserve">casino FATG </w:t>
      </w:r>
      <w:r w:rsidR="00A5228B" w:rsidRPr="006814CB">
        <w:t xml:space="preserve">terminal </w:t>
      </w:r>
      <w:r w:rsidR="00372BEC" w:rsidRPr="006814CB">
        <w:t>authorisation</w:t>
      </w:r>
      <w:r w:rsidR="009157CF" w:rsidRPr="006814CB">
        <w:t>; and</w:t>
      </w:r>
    </w:p>
    <w:p w14:paraId="7C64E59C" w14:textId="77777777" w:rsidR="009157CF" w:rsidRPr="006814CB" w:rsidRDefault="006814CB" w:rsidP="006814CB">
      <w:pPr>
        <w:pStyle w:val="Apara"/>
      </w:pPr>
      <w:r>
        <w:tab/>
      </w:r>
      <w:r w:rsidRPr="006814CB">
        <w:t>(e)</w:t>
      </w:r>
      <w:r w:rsidRPr="006814CB">
        <w:tab/>
      </w:r>
      <w:r w:rsidR="009157CF" w:rsidRPr="006814CB">
        <w:t xml:space="preserve">include a schedule (an </w:t>
      </w:r>
      <w:r w:rsidR="009157CF" w:rsidRPr="006814CB">
        <w:rPr>
          <w:rStyle w:val="charBoldItals"/>
        </w:rPr>
        <w:t>authorisation schedule</w:t>
      </w:r>
      <w:r w:rsidR="009157CF" w:rsidRPr="006814CB">
        <w:t xml:space="preserve">) that contains a unique identifying number for each authorisation (an </w:t>
      </w:r>
      <w:r w:rsidR="009157CF" w:rsidRPr="006814CB">
        <w:rPr>
          <w:rStyle w:val="charBoldItals"/>
        </w:rPr>
        <w:t>authorisation number</w:t>
      </w:r>
      <w:r w:rsidR="009157CF" w:rsidRPr="006814CB">
        <w:t>) under the authorisation certificate.</w:t>
      </w:r>
    </w:p>
    <w:p w14:paraId="45C99792" w14:textId="77777777" w:rsidR="009157CF" w:rsidRPr="006814CB" w:rsidRDefault="006814CB" w:rsidP="006814CB">
      <w:pPr>
        <w:pStyle w:val="Amain"/>
      </w:pPr>
      <w:r>
        <w:tab/>
      </w:r>
      <w:r w:rsidRPr="006814CB">
        <w:t>(2)</w:t>
      </w:r>
      <w:r w:rsidRPr="006814CB">
        <w:tab/>
      </w:r>
      <w:r w:rsidR="009157CF" w:rsidRPr="006814CB">
        <w:t>A regulation may prescribe other requirements in relation to the form of the authorisation certificate or authorisation schedule.</w:t>
      </w:r>
    </w:p>
    <w:p w14:paraId="61C8864B" w14:textId="77777777" w:rsidR="009157CF" w:rsidRPr="006814CB" w:rsidRDefault="009157CF" w:rsidP="006814CB">
      <w:pPr>
        <w:pStyle w:val="PageBreak"/>
        <w:suppressLineNumbers/>
      </w:pPr>
      <w:r w:rsidRPr="006814CB">
        <w:br w:type="page"/>
      </w:r>
    </w:p>
    <w:p w14:paraId="64D4C54F" w14:textId="77777777" w:rsidR="009F7D77" w:rsidRPr="00251CCE" w:rsidRDefault="006814CB" w:rsidP="006814CB">
      <w:pPr>
        <w:pStyle w:val="AH2Part"/>
      </w:pPr>
      <w:bookmarkStart w:id="26" w:name="_Toc147827589"/>
      <w:r w:rsidRPr="00251CCE">
        <w:rPr>
          <w:rStyle w:val="CharPartNo"/>
        </w:rPr>
        <w:lastRenderedPageBreak/>
        <w:t>Part 4</w:t>
      </w:r>
      <w:r w:rsidRPr="006814CB">
        <w:rPr>
          <w:rStyle w:val="CharPartText"/>
        </w:rPr>
        <w:tab/>
      </w:r>
      <w:r w:rsidR="009F7D77" w:rsidRPr="00251CCE">
        <w:rPr>
          <w:rStyle w:val="CharPartText"/>
        </w:rPr>
        <w:t>Acquiring authorisations</w:t>
      </w:r>
      <w:bookmarkEnd w:id="26"/>
    </w:p>
    <w:p w14:paraId="51A24E46" w14:textId="77777777" w:rsidR="009F7D77" w:rsidRPr="006814CB" w:rsidRDefault="009F7D77" w:rsidP="006814CB">
      <w:pPr>
        <w:pStyle w:val="Placeholder"/>
        <w:suppressLineNumbers/>
      </w:pPr>
      <w:r w:rsidRPr="006814CB">
        <w:rPr>
          <w:rStyle w:val="CharDivNo"/>
        </w:rPr>
        <w:t xml:space="preserve">  </w:t>
      </w:r>
      <w:r w:rsidRPr="006814CB">
        <w:rPr>
          <w:rStyle w:val="CharDivText"/>
        </w:rPr>
        <w:t xml:space="preserve">  </w:t>
      </w:r>
    </w:p>
    <w:p w14:paraId="5AA1C6D1" w14:textId="77777777" w:rsidR="009F7D77" w:rsidRPr="006814CB" w:rsidRDefault="006814CB" w:rsidP="006814CB">
      <w:pPr>
        <w:pStyle w:val="AH5Sec"/>
      </w:pPr>
      <w:bookmarkStart w:id="27" w:name="_Toc147827590"/>
      <w:r w:rsidRPr="00251CCE">
        <w:rPr>
          <w:rStyle w:val="CharSectNo"/>
        </w:rPr>
        <w:t>16</w:t>
      </w:r>
      <w:r w:rsidRPr="006814CB">
        <w:tab/>
      </w:r>
      <w:r w:rsidR="009F7D77" w:rsidRPr="006814CB">
        <w:t>Acquiring authorisations for casino gaming machines and casino FATG terminals</w:t>
      </w:r>
      <w:bookmarkEnd w:id="27"/>
    </w:p>
    <w:p w14:paraId="0B5535A4" w14:textId="77777777" w:rsidR="00F91574" w:rsidRPr="006814CB" w:rsidRDefault="006814CB" w:rsidP="006814CB">
      <w:pPr>
        <w:pStyle w:val="Amain"/>
      </w:pPr>
      <w:r>
        <w:tab/>
      </w:r>
      <w:r w:rsidRPr="006814CB">
        <w:t>(1)</w:t>
      </w:r>
      <w:r w:rsidRPr="006814CB">
        <w:tab/>
      </w:r>
      <w:r w:rsidR="00F91574" w:rsidRPr="006814CB">
        <w:t>This section applies if</w:t>
      </w:r>
      <w:r w:rsidR="00D35FA0" w:rsidRPr="006814CB">
        <w:t xml:space="preserve"> the casino licensee</w:t>
      </w:r>
      <w:r w:rsidR="00F91574" w:rsidRPr="006814CB">
        <w:t>—</w:t>
      </w:r>
    </w:p>
    <w:p w14:paraId="5EF795C4" w14:textId="77777777" w:rsidR="00F91574" w:rsidRPr="006814CB" w:rsidRDefault="006814CB" w:rsidP="006814CB">
      <w:pPr>
        <w:pStyle w:val="Apara"/>
      </w:pPr>
      <w:r>
        <w:tab/>
      </w:r>
      <w:r w:rsidRPr="006814CB">
        <w:t>(a)</w:t>
      </w:r>
      <w:r w:rsidRPr="006814CB">
        <w:tab/>
      </w:r>
      <w:r w:rsidR="00D35FA0" w:rsidRPr="006814CB">
        <w:t xml:space="preserve">is issued a </w:t>
      </w:r>
      <w:r w:rsidR="001B3431" w:rsidRPr="006814CB">
        <w:t>casino gaming machine authorisation certificate</w:t>
      </w:r>
      <w:r w:rsidR="009157CF" w:rsidRPr="006814CB">
        <w:t xml:space="preserve"> or a casino FATG authorisation certificate</w:t>
      </w:r>
      <w:r w:rsidR="00F91574" w:rsidRPr="006814CB">
        <w:t>; and</w:t>
      </w:r>
    </w:p>
    <w:p w14:paraId="5B395B17" w14:textId="77777777" w:rsidR="009157CF" w:rsidRPr="006814CB" w:rsidRDefault="006814CB" w:rsidP="006814CB">
      <w:pPr>
        <w:pStyle w:val="Apara"/>
      </w:pPr>
      <w:r>
        <w:tab/>
      </w:r>
      <w:r w:rsidRPr="006814CB">
        <w:t>(b)</w:t>
      </w:r>
      <w:r w:rsidRPr="006814CB">
        <w:tab/>
      </w:r>
      <w:r w:rsidR="00F91574" w:rsidRPr="006814CB">
        <w:t>has less than the maximum number of authorisations</w:t>
      </w:r>
      <w:r w:rsidR="00C8666D" w:rsidRPr="006814CB">
        <w:t xml:space="preserve"> allowed under the authorisation certificate.</w:t>
      </w:r>
    </w:p>
    <w:p w14:paraId="426867DC" w14:textId="77777777" w:rsidR="00117222" w:rsidRPr="006814CB" w:rsidRDefault="006814CB" w:rsidP="006814CB">
      <w:pPr>
        <w:pStyle w:val="Amain"/>
        <w:keepNext/>
      </w:pPr>
      <w:r>
        <w:tab/>
      </w:r>
      <w:r w:rsidRPr="006814CB">
        <w:t>(2)</w:t>
      </w:r>
      <w:r w:rsidRPr="006814CB">
        <w:tab/>
      </w:r>
      <w:r w:rsidR="00117222" w:rsidRPr="006814CB">
        <w:t>If the casino licensee intends to acquire a</w:t>
      </w:r>
      <w:r w:rsidR="00DE422A" w:rsidRPr="006814CB">
        <w:t xml:space="preserve"> gaming machine</w:t>
      </w:r>
      <w:r w:rsidR="00117222" w:rsidRPr="006814CB">
        <w:t xml:space="preserve"> authorisation for</w:t>
      </w:r>
      <w:r w:rsidR="00DE422A" w:rsidRPr="006814CB">
        <w:t xml:space="preserve"> conversion to</w:t>
      </w:r>
      <w:r w:rsidR="00117222" w:rsidRPr="006814CB">
        <w:t xml:space="preserve"> a casino gaming machine</w:t>
      </w:r>
      <w:r w:rsidR="00DE422A" w:rsidRPr="006814CB">
        <w:t xml:space="preserve"> authorisation</w:t>
      </w:r>
      <w:r w:rsidR="00117222" w:rsidRPr="006814CB">
        <w:t xml:space="preserve"> or a casino FATG terminal</w:t>
      </w:r>
      <w:r w:rsidR="00DE422A" w:rsidRPr="006814CB">
        <w:t xml:space="preserve"> authorisation</w:t>
      </w:r>
      <w:r w:rsidR="00117222" w:rsidRPr="006814CB">
        <w:t>, the casino licensee must notify the commission about the proposed acquisition.</w:t>
      </w:r>
    </w:p>
    <w:p w14:paraId="3A6528FB" w14:textId="77777777" w:rsidR="00117222" w:rsidRPr="006814CB" w:rsidRDefault="00117222" w:rsidP="006814CB">
      <w:pPr>
        <w:pStyle w:val="aNote"/>
        <w:keepNext/>
      </w:pPr>
      <w:r w:rsidRPr="006814CB">
        <w:rPr>
          <w:rStyle w:val="charItals"/>
        </w:rPr>
        <w:t>Note 1</w:t>
      </w:r>
      <w:r w:rsidRPr="006814CB">
        <w:rPr>
          <w:rStyle w:val="charItals"/>
        </w:rPr>
        <w:tab/>
      </w:r>
      <w:r w:rsidRPr="006814CB">
        <w:t xml:space="preserve">The acquisition of an authorisation is a notifiable action (see </w:t>
      </w:r>
      <w:r w:rsidR="00CF0AF9" w:rsidRPr="006814CB">
        <w:t>pt 10</w:t>
      </w:r>
      <w:r w:rsidRPr="006814CB">
        <w:t xml:space="preserve"> and </w:t>
      </w:r>
      <w:r w:rsidR="003D0F2E" w:rsidRPr="006814CB">
        <w:t>sch 2</w:t>
      </w:r>
      <w:r w:rsidRPr="006814CB">
        <w:t>).</w:t>
      </w:r>
    </w:p>
    <w:p w14:paraId="55E1F8A7" w14:textId="77777777" w:rsidR="00117222" w:rsidRPr="006814CB" w:rsidRDefault="00117222" w:rsidP="006814CB">
      <w:pPr>
        <w:pStyle w:val="aNote"/>
        <w:keepNext/>
      </w:pPr>
      <w:r w:rsidRPr="006814CB">
        <w:rPr>
          <w:rStyle w:val="charItals"/>
        </w:rPr>
        <w:t>Note 2</w:t>
      </w:r>
      <w:r w:rsidRPr="006814CB">
        <w:tab/>
        <w:t xml:space="preserve">A notifiable action takes </w:t>
      </w:r>
      <w:r w:rsidR="00B51A61" w:rsidRPr="006814CB">
        <w:t>effect</w:t>
      </w:r>
      <w:r w:rsidRPr="006814CB">
        <w:t>—</w:t>
      </w:r>
    </w:p>
    <w:p w14:paraId="590D05D8" w14:textId="77777777" w:rsidR="00117222" w:rsidRPr="006814CB" w:rsidRDefault="00117222" w:rsidP="006814CB">
      <w:pPr>
        <w:pStyle w:val="aNotePara"/>
        <w:keepNext/>
      </w:pPr>
      <w:r w:rsidRPr="006814CB">
        <w:tab/>
        <w:t>(a)</w:t>
      </w:r>
      <w:r w:rsidRPr="006814CB">
        <w:tab/>
        <w:t xml:space="preserve">the prescribed number of days after the day the commission receives the notification (see s </w:t>
      </w:r>
      <w:r w:rsidR="002E0DF3" w:rsidRPr="006814CB">
        <w:t>50</w:t>
      </w:r>
      <w:r w:rsidRPr="006814CB">
        <w:t xml:space="preserve"> (a)); or</w:t>
      </w:r>
    </w:p>
    <w:p w14:paraId="63A60DE0" w14:textId="77777777" w:rsidR="00117222" w:rsidRPr="006814CB" w:rsidRDefault="00117222" w:rsidP="006814CB">
      <w:pPr>
        <w:pStyle w:val="aNotePara"/>
        <w:keepNext/>
      </w:pPr>
      <w:r w:rsidRPr="006814CB">
        <w:tab/>
        <w:t>(b)</w:t>
      </w:r>
      <w:r w:rsidRPr="006814CB">
        <w:tab/>
        <w:t xml:space="preserve">if the commission allows the notifiable action to take </w:t>
      </w:r>
      <w:r w:rsidR="00B51A61" w:rsidRPr="006814CB">
        <w:t>effect</w:t>
      </w:r>
      <w:r w:rsidRPr="006814CB">
        <w:t xml:space="preserve"> on an earlier day—that day (see s </w:t>
      </w:r>
      <w:r w:rsidR="002E0DF3" w:rsidRPr="006814CB">
        <w:t>50</w:t>
      </w:r>
      <w:r w:rsidRPr="006814CB">
        <w:t xml:space="preserve"> (b)); or</w:t>
      </w:r>
    </w:p>
    <w:p w14:paraId="746F457B" w14:textId="77777777" w:rsidR="00117222" w:rsidRPr="006814CB" w:rsidRDefault="00117222" w:rsidP="00A5228B">
      <w:pPr>
        <w:pStyle w:val="aNotePara"/>
      </w:pPr>
      <w:r w:rsidRPr="006814CB">
        <w:tab/>
        <w:t>(c)</w:t>
      </w:r>
      <w:r w:rsidRPr="006814CB">
        <w:tab/>
        <w:t>if the commission asks for additional information under s </w:t>
      </w:r>
      <w:r w:rsidR="002E0DF3" w:rsidRPr="006814CB">
        <w:t>49</w:t>
      </w:r>
      <w:r w:rsidR="003D0F2E" w:rsidRPr="006814CB">
        <w:t> (3)</w:t>
      </w:r>
      <w:r w:rsidRPr="006814CB">
        <w:t>—when the commission has notified the licensee that it is satisfied in relation to the additional information (see s </w:t>
      </w:r>
      <w:r w:rsidR="002E0DF3" w:rsidRPr="006814CB">
        <w:t>50</w:t>
      </w:r>
      <w:r w:rsidRPr="006814CB">
        <w:t xml:space="preserve"> (c)).</w:t>
      </w:r>
    </w:p>
    <w:p w14:paraId="6BC96A3B" w14:textId="77777777" w:rsidR="006B505F" w:rsidRPr="006814CB" w:rsidRDefault="006814CB" w:rsidP="006814CB">
      <w:pPr>
        <w:pStyle w:val="Amain"/>
      </w:pPr>
      <w:r>
        <w:tab/>
      </w:r>
      <w:r w:rsidRPr="006814CB">
        <w:t>(3)</w:t>
      </w:r>
      <w:r w:rsidRPr="006814CB">
        <w:tab/>
      </w:r>
      <w:r w:rsidR="006B505F" w:rsidRPr="006814CB">
        <w:t>T</w:t>
      </w:r>
      <w:r w:rsidR="008066CC" w:rsidRPr="006814CB">
        <w:t>he casino licensee</w:t>
      </w:r>
      <w:r w:rsidR="006B505F" w:rsidRPr="006814CB">
        <w:t>—</w:t>
      </w:r>
    </w:p>
    <w:p w14:paraId="28FD3EAA" w14:textId="77777777" w:rsidR="006B505F" w:rsidRPr="006814CB" w:rsidRDefault="006814CB" w:rsidP="006814CB">
      <w:pPr>
        <w:pStyle w:val="Apara"/>
      </w:pPr>
      <w:r>
        <w:tab/>
      </w:r>
      <w:r w:rsidRPr="006814CB">
        <w:t>(a)</w:t>
      </w:r>
      <w:r w:rsidRPr="006814CB">
        <w:tab/>
      </w:r>
      <w:r w:rsidR="006B505F" w:rsidRPr="006814CB">
        <w:t xml:space="preserve">may acquire authorisations from 1 or more class B or class C licensees (a </w:t>
      </w:r>
      <w:r w:rsidR="006B505F" w:rsidRPr="006814CB">
        <w:rPr>
          <w:rStyle w:val="charBoldItals"/>
        </w:rPr>
        <w:t>disposing licensee</w:t>
      </w:r>
      <w:r w:rsidR="006B505F" w:rsidRPr="006814CB">
        <w:t>); and</w:t>
      </w:r>
    </w:p>
    <w:p w14:paraId="1659C286" w14:textId="77777777" w:rsidR="008066CC" w:rsidRPr="006814CB" w:rsidRDefault="006814CB" w:rsidP="006814CB">
      <w:pPr>
        <w:pStyle w:val="Apara"/>
      </w:pPr>
      <w:r>
        <w:tab/>
      </w:r>
      <w:r w:rsidRPr="006814CB">
        <w:t>(b)</w:t>
      </w:r>
      <w:r w:rsidRPr="006814CB">
        <w:tab/>
      </w:r>
      <w:r w:rsidR="008066CC" w:rsidRPr="006814CB">
        <w:t>must acquire at least 50% of the maximum number of authorisations allowed under the authorisation certificate from the following:</w:t>
      </w:r>
    </w:p>
    <w:p w14:paraId="0C883C17" w14:textId="77777777" w:rsidR="008066CC" w:rsidRPr="006814CB" w:rsidRDefault="006814CB" w:rsidP="006814CB">
      <w:pPr>
        <w:pStyle w:val="Asubpara"/>
      </w:pPr>
      <w:r>
        <w:tab/>
      </w:r>
      <w:r w:rsidRPr="006814CB">
        <w:t>(i)</w:t>
      </w:r>
      <w:r w:rsidRPr="006814CB">
        <w:tab/>
      </w:r>
      <w:r w:rsidR="008066CC" w:rsidRPr="006814CB">
        <w:t>1 or more small or medium clubs;</w:t>
      </w:r>
    </w:p>
    <w:p w14:paraId="6175F4AD" w14:textId="77777777" w:rsidR="008066CC" w:rsidRPr="006814CB" w:rsidRDefault="006814CB" w:rsidP="006814CB">
      <w:pPr>
        <w:pStyle w:val="Asubpara"/>
      </w:pPr>
      <w:r>
        <w:lastRenderedPageBreak/>
        <w:tab/>
      </w:r>
      <w:r w:rsidRPr="006814CB">
        <w:t>(ii)</w:t>
      </w:r>
      <w:r w:rsidRPr="006814CB">
        <w:tab/>
      </w:r>
      <w:r w:rsidR="008066CC" w:rsidRPr="006814CB">
        <w:t>1 or more small or medium club groups;</w:t>
      </w:r>
    </w:p>
    <w:p w14:paraId="05388524" w14:textId="77777777" w:rsidR="008066CC" w:rsidRPr="006814CB" w:rsidRDefault="006814CB" w:rsidP="006814CB">
      <w:pPr>
        <w:pStyle w:val="Asubpara"/>
      </w:pPr>
      <w:r>
        <w:tab/>
      </w:r>
      <w:r w:rsidRPr="006814CB">
        <w:t>(iii)</w:t>
      </w:r>
      <w:r w:rsidRPr="006814CB">
        <w:tab/>
      </w:r>
      <w:r w:rsidR="008066CC" w:rsidRPr="006814CB">
        <w:t>1 or more class B licensees.</w:t>
      </w:r>
    </w:p>
    <w:p w14:paraId="645865F5" w14:textId="77777777" w:rsidR="00A47112" w:rsidRPr="006814CB" w:rsidRDefault="006814CB" w:rsidP="006814CB">
      <w:pPr>
        <w:pStyle w:val="Amain"/>
      </w:pPr>
      <w:r>
        <w:tab/>
      </w:r>
      <w:r w:rsidRPr="006814CB">
        <w:t>(4)</w:t>
      </w:r>
      <w:r w:rsidRPr="006814CB">
        <w:tab/>
      </w:r>
      <w:r w:rsidR="00A47112" w:rsidRPr="006814CB">
        <w:t>However, an authorisation acquired under subsection (</w:t>
      </w:r>
      <w:r w:rsidR="00A5228B" w:rsidRPr="006814CB">
        <w:t>3</w:t>
      </w:r>
      <w:r w:rsidR="00A47112" w:rsidRPr="006814CB">
        <w:t xml:space="preserve">) must be acquired without the gaming machine operated under </w:t>
      </w:r>
      <w:r w:rsidR="00A5228B" w:rsidRPr="006814CB">
        <w:t xml:space="preserve">the </w:t>
      </w:r>
      <w:r w:rsidR="00A47112" w:rsidRPr="006814CB">
        <w:t>authorisation.</w:t>
      </w:r>
    </w:p>
    <w:p w14:paraId="2E4C4478" w14:textId="77777777" w:rsidR="005E6FE2" w:rsidRPr="006814CB" w:rsidRDefault="006814CB" w:rsidP="006814CB">
      <w:pPr>
        <w:pStyle w:val="Amain"/>
        <w:keepNext/>
      </w:pPr>
      <w:r>
        <w:tab/>
      </w:r>
      <w:r w:rsidRPr="006814CB">
        <w:t>(5)</w:t>
      </w:r>
      <w:r w:rsidRPr="006814CB">
        <w:tab/>
      </w:r>
      <w:r w:rsidR="008066CC" w:rsidRPr="006814CB">
        <w:t>The</w:t>
      </w:r>
      <w:r w:rsidR="00437C28" w:rsidRPr="006814CB">
        <w:t xml:space="preserve"> disposing licensee may dispose of 1 or more authorisations to the casino licensee.</w:t>
      </w:r>
    </w:p>
    <w:p w14:paraId="3EEB689D" w14:textId="77777777" w:rsidR="006B505F" w:rsidRPr="006814CB" w:rsidRDefault="006B505F" w:rsidP="006B505F">
      <w:pPr>
        <w:pStyle w:val="aNote"/>
      </w:pPr>
      <w:r w:rsidRPr="006814CB">
        <w:rPr>
          <w:rStyle w:val="charItals"/>
        </w:rPr>
        <w:t>Note</w:t>
      </w:r>
      <w:r w:rsidRPr="006814CB">
        <w:rPr>
          <w:rStyle w:val="charItals"/>
        </w:rPr>
        <w:tab/>
      </w:r>
      <w:r w:rsidR="00634292" w:rsidRPr="006814CB">
        <w:t>T</w:t>
      </w:r>
      <w:r w:rsidRPr="006814CB">
        <w:t xml:space="preserve">he disposing licensee </w:t>
      </w:r>
      <w:r w:rsidR="00634292" w:rsidRPr="006814CB">
        <w:t>must apply to the commission for a storage permit for an interim purpose for each related gaming machine of an authorisation dispose</w:t>
      </w:r>
      <w:r w:rsidR="00A5228B" w:rsidRPr="006814CB">
        <w:t>d of under this section (see s </w:t>
      </w:r>
      <w:r w:rsidR="002E0DF3" w:rsidRPr="006814CB">
        <w:t>19</w:t>
      </w:r>
      <w:r w:rsidR="00634292" w:rsidRPr="006814CB">
        <w:t xml:space="preserve">). </w:t>
      </w:r>
    </w:p>
    <w:p w14:paraId="681931A3" w14:textId="77777777" w:rsidR="00437C28" w:rsidRPr="006814CB" w:rsidRDefault="006814CB" w:rsidP="006814CB">
      <w:pPr>
        <w:pStyle w:val="AH5Sec"/>
      </w:pPr>
      <w:bookmarkStart w:id="28" w:name="_Toc147827591"/>
      <w:r w:rsidRPr="00251CCE">
        <w:rPr>
          <w:rStyle w:val="CharSectNo"/>
        </w:rPr>
        <w:t>17</w:t>
      </w:r>
      <w:r w:rsidRPr="006814CB">
        <w:tab/>
      </w:r>
      <w:r w:rsidR="00437C28" w:rsidRPr="006814CB">
        <w:t>Acquiring authorisations—forfeiture requirement</w:t>
      </w:r>
      <w:bookmarkEnd w:id="28"/>
    </w:p>
    <w:p w14:paraId="29923BEB" w14:textId="77777777" w:rsidR="00437C28" w:rsidRPr="006814CB" w:rsidRDefault="006814CB" w:rsidP="006814CB">
      <w:pPr>
        <w:pStyle w:val="Amain"/>
      </w:pPr>
      <w:r>
        <w:tab/>
      </w:r>
      <w:r w:rsidRPr="006814CB">
        <w:t>(1)</w:t>
      </w:r>
      <w:r w:rsidRPr="006814CB">
        <w:tab/>
      </w:r>
      <w:r w:rsidR="00437C28" w:rsidRPr="006814CB">
        <w:t xml:space="preserve">If the casino licensee acquires an authorisation from a class B or class C licensee (the </w:t>
      </w:r>
      <w:r w:rsidR="00437C28" w:rsidRPr="006814CB">
        <w:rPr>
          <w:rStyle w:val="charBoldItals"/>
        </w:rPr>
        <w:t>disposing licensee</w:t>
      </w:r>
      <w:r w:rsidR="00437C28" w:rsidRPr="006814CB">
        <w:t>)</w:t>
      </w:r>
      <w:r w:rsidR="00D60372" w:rsidRPr="006814CB">
        <w:t xml:space="preserve"> under section </w:t>
      </w:r>
      <w:r w:rsidR="002E0DF3" w:rsidRPr="006814CB">
        <w:t>16</w:t>
      </w:r>
      <w:r w:rsidR="00437C28" w:rsidRPr="006814CB">
        <w:t>, the casino licensee—</w:t>
      </w:r>
    </w:p>
    <w:p w14:paraId="6A1169F4" w14:textId="77777777" w:rsidR="00437C28" w:rsidRPr="006814CB" w:rsidRDefault="006814CB" w:rsidP="006814CB">
      <w:pPr>
        <w:pStyle w:val="Apara"/>
      </w:pPr>
      <w:r>
        <w:tab/>
      </w:r>
      <w:r w:rsidRPr="006814CB">
        <w:t>(a)</w:t>
      </w:r>
      <w:r w:rsidRPr="006814CB">
        <w:tab/>
      </w:r>
      <w:r w:rsidR="00437C28" w:rsidRPr="006814CB">
        <w:t>must acquire the authorisations in groups of 3; and</w:t>
      </w:r>
    </w:p>
    <w:p w14:paraId="391AAFB3" w14:textId="77777777" w:rsidR="00437C28" w:rsidRPr="006814CB" w:rsidRDefault="006814CB" w:rsidP="006814CB">
      <w:pPr>
        <w:pStyle w:val="Apara"/>
      </w:pPr>
      <w:r>
        <w:tab/>
      </w:r>
      <w:r w:rsidRPr="006814CB">
        <w:t>(b)</w:t>
      </w:r>
      <w:r w:rsidRPr="006814CB">
        <w:tab/>
      </w:r>
      <w:r w:rsidR="00437C28" w:rsidRPr="006814CB">
        <w:t xml:space="preserve">may acquire the 3 authorisations from more than 1 class B or class C licensee. </w:t>
      </w:r>
    </w:p>
    <w:p w14:paraId="4FD33BBF" w14:textId="77777777" w:rsidR="001773EC" w:rsidRPr="006814CB" w:rsidRDefault="006814CB" w:rsidP="006814CB">
      <w:pPr>
        <w:pStyle w:val="Amain"/>
      </w:pPr>
      <w:r>
        <w:tab/>
      </w:r>
      <w:r w:rsidRPr="006814CB">
        <w:t>(2)</w:t>
      </w:r>
      <w:r w:rsidRPr="006814CB">
        <w:tab/>
      </w:r>
      <w:r w:rsidR="001773EC" w:rsidRPr="006814CB">
        <w:t>However, the casino licensee may acquire less than 3 authorisations if the casino licensee acquires the authorisations from a disposing licensee who—</w:t>
      </w:r>
    </w:p>
    <w:p w14:paraId="75A7E06E" w14:textId="332256B4" w:rsidR="001773EC" w:rsidRPr="006814CB" w:rsidRDefault="006814CB" w:rsidP="006814CB">
      <w:pPr>
        <w:pStyle w:val="Apara"/>
      </w:pPr>
      <w:r>
        <w:tab/>
      </w:r>
      <w:r w:rsidRPr="006814CB">
        <w:t>(a)</w:t>
      </w:r>
      <w:r w:rsidRPr="006814CB">
        <w:tab/>
      </w:r>
      <w:r w:rsidR="001773EC" w:rsidRPr="006814CB">
        <w:t xml:space="preserve">intends to surrender an authorisation certificate under the </w:t>
      </w:r>
      <w:hyperlink r:id="rId37" w:tooltip="A2004-34" w:history="1">
        <w:r w:rsidR="00253379" w:rsidRPr="006814CB">
          <w:rPr>
            <w:rStyle w:val="charCitHyperlinkItal"/>
          </w:rPr>
          <w:t>Gaming Machine Act 2004</w:t>
        </w:r>
      </w:hyperlink>
      <w:r w:rsidR="001773EC" w:rsidRPr="006814CB">
        <w:t>, section 37F (Surrender of licences, authorisation certificates and authorisations); and</w:t>
      </w:r>
    </w:p>
    <w:p w14:paraId="4459D831" w14:textId="77777777" w:rsidR="001773EC" w:rsidRPr="006814CB" w:rsidRDefault="006814CB" w:rsidP="006814CB">
      <w:pPr>
        <w:pStyle w:val="Apara"/>
      </w:pPr>
      <w:r>
        <w:tab/>
      </w:r>
      <w:r w:rsidRPr="006814CB">
        <w:t>(b)</w:t>
      </w:r>
      <w:r w:rsidRPr="006814CB">
        <w:tab/>
      </w:r>
      <w:r w:rsidR="001773EC" w:rsidRPr="006814CB">
        <w:t>has less than 3 authorisations to dispose of under the authorisation certificate.</w:t>
      </w:r>
    </w:p>
    <w:p w14:paraId="45C7AFEF" w14:textId="77777777" w:rsidR="001773EC" w:rsidRPr="006814CB" w:rsidRDefault="006814CB" w:rsidP="006814CB">
      <w:pPr>
        <w:pStyle w:val="Amain"/>
      </w:pPr>
      <w:r>
        <w:tab/>
      </w:r>
      <w:r w:rsidRPr="006814CB">
        <w:t>(3)</w:t>
      </w:r>
      <w:r w:rsidRPr="006814CB">
        <w:tab/>
      </w:r>
      <w:r w:rsidR="001773EC" w:rsidRPr="006814CB">
        <w:t>The casino licensee must forfeit 1 authorisation to the Territory for every 3 authorisations the licensee acquires under this secti</w:t>
      </w:r>
      <w:r w:rsidR="00B25580" w:rsidRPr="006814CB">
        <w:t>o</w:t>
      </w:r>
      <w:r w:rsidR="001773EC" w:rsidRPr="006814CB">
        <w:t>n.</w:t>
      </w:r>
    </w:p>
    <w:p w14:paraId="18B53F64" w14:textId="77777777" w:rsidR="001773EC" w:rsidRPr="006814CB" w:rsidRDefault="006814CB" w:rsidP="006814CB">
      <w:pPr>
        <w:pStyle w:val="Amain"/>
      </w:pPr>
      <w:r>
        <w:lastRenderedPageBreak/>
        <w:tab/>
      </w:r>
      <w:r w:rsidRPr="006814CB">
        <w:t>(4)</w:t>
      </w:r>
      <w:r w:rsidRPr="006814CB">
        <w:tab/>
      </w:r>
      <w:r w:rsidR="001773EC" w:rsidRPr="006814CB">
        <w:t xml:space="preserve">The casino </w:t>
      </w:r>
      <w:r w:rsidR="00E6076E" w:rsidRPr="006814CB">
        <w:t xml:space="preserve">licensee </w:t>
      </w:r>
      <w:r w:rsidR="001773EC" w:rsidRPr="006814CB">
        <w:t xml:space="preserve">is not entitled </w:t>
      </w:r>
      <w:r w:rsidR="00E6076E" w:rsidRPr="006814CB">
        <w:t xml:space="preserve">to claim compensation from the Territory for an authorisation forfeited to the Territory under subsection (3). </w:t>
      </w:r>
    </w:p>
    <w:p w14:paraId="7C4D9174" w14:textId="77777777" w:rsidR="00231792" w:rsidRPr="006814CB" w:rsidRDefault="006814CB" w:rsidP="006814CB">
      <w:pPr>
        <w:pStyle w:val="AH5Sec"/>
      </w:pPr>
      <w:bookmarkStart w:id="29" w:name="_Toc147827592"/>
      <w:r w:rsidRPr="00251CCE">
        <w:rPr>
          <w:rStyle w:val="CharSectNo"/>
        </w:rPr>
        <w:t>18</w:t>
      </w:r>
      <w:r w:rsidRPr="006814CB">
        <w:tab/>
      </w:r>
      <w:r w:rsidR="00231792" w:rsidRPr="006814CB">
        <w:t>Offence—acquiring authorisations</w:t>
      </w:r>
      <w:bookmarkEnd w:id="29"/>
    </w:p>
    <w:p w14:paraId="46D1FCD6" w14:textId="77777777" w:rsidR="00231792" w:rsidRPr="006814CB" w:rsidRDefault="006814CB" w:rsidP="006814CB">
      <w:pPr>
        <w:pStyle w:val="Amain"/>
      </w:pPr>
      <w:r>
        <w:tab/>
      </w:r>
      <w:r w:rsidRPr="006814CB">
        <w:t>(1)</w:t>
      </w:r>
      <w:r w:rsidRPr="006814CB">
        <w:tab/>
      </w:r>
      <w:r w:rsidR="00231792" w:rsidRPr="006814CB">
        <w:t>The casino licensee commits an offence if—</w:t>
      </w:r>
    </w:p>
    <w:p w14:paraId="00DD7497" w14:textId="77777777" w:rsidR="00231792" w:rsidRPr="006814CB" w:rsidRDefault="006814CB" w:rsidP="006814CB">
      <w:pPr>
        <w:pStyle w:val="Apara"/>
      </w:pPr>
      <w:r>
        <w:tab/>
      </w:r>
      <w:r w:rsidRPr="006814CB">
        <w:t>(a)</w:t>
      </w:r>
      <w:r w:rsidRPr="006814CB">
        <w:tab/>
      </w:r>
      <w:r w:rsidR="00231792" w:rsidRPr="006814CB">
        <w:t>the casino licensee acquires an authorisation; and</w:t>
      </w:r>
    </w:p>
    <w:p w14:paraId="4ACE65F9" w14:textId="77777777" w:rsidR="00231792" w:rsidRPr="006814CB" w:rsidRDefault="006814CB" w:rsidP="006814CB">
      <w:pPr>
        <w:pStyle w:val="Apara"/>
        <w:keepNext/>
      </w:pPr>
      <w:r>
        <w:tab/>
      </w:r>
      <w:r w:rsidRPr="006814CB">
        <w:t>(b)</w:t>
      </w:r>
      <w:r w:rsidRPr="006814CB">
        <w:tab/>
      </w:r>
      <w:r w:rsidR="00231792" w:rsidRPr="006814CB">
        <w:t xml:space="preserve">the acquisition is not in accordance with this Act. </w:t>
      </w:r>
    </w:p>
    <w:p w14:paraId="6B2AE63C" w14:textId="77777777" w:rsidR="00231792" w:rsidRPr="006814CB" w:rsidRDefault="00231792" w:rsidP="00231792">
      <w:pPr>
        <w:pStyle w:val="Penalty"/>
        <w:keepNext/>
      </w:pPr>
      <w:r w:rsidRPr="006814CB">
        <w:t>Maximum penalty:  100 penalty units.</w:t>
      </w:r>
    </w:p>
    <w:p w14:paraId="67CF7CDD" w14:textId="09D7672E" w:rsidR="00231792" w:rsidRPr="006814CB" w:rsidRDefault="00231792" w:rsidP="00231792">
      <w:pPr>
        <w:pStyle w:val="aNote"/>
      </w:pPr>
      <w:r w:rsidRPr="006814CB">
        <w:rPr>
          <w:rStyle w:val="charItals"/>
        </w:rPr>
        <w:t>Note</w:t>
      </w:r>
      <w:r w:rsidRPr="006814CB">
        <w:rPr>
          <w:rStyle w:val="charItals"/>
        </w:rPr>
        <w:tab/>
      </w:r>
      <w:r w:rsidRPr="006814CB">
        <w:rPr>
          <w:snapToGrid w:val="0"/>
        </w:rPr>
        <w:t>A reference to an Act includes a reference to the statutory instruments made or in force under the Act, including any regulation (</w:t>
      </w:r>
      <w:r w:rsidRPr="006814CB">
        <w:t xml:space="preserve">see </w:t>
      </w:r>
      <w:hyperlink r:id="rId38" w:tooltip="A2001-14" w:history="1">
        <w:r w:rsidR="00253379" w:rsidRPr="006814CB">
          <w:rPr>
            <w:rStyle w:val="charCitHyperlinkAbbrev"/>
          </w:rPr>
          <w:t>Legislation Act</w:t>
        </w:r>
      </w:hyperlink>
      <w:r w:rsidRPr="006814CB">
        <w:t>, s 104).</w:t>
      </w:r>
    </w:p>
    <w:p w14:paraId="1DF607DF" w14:textId="77777777" w:rsidR="00231792" w:rsidRPr="006814CB" w:rsidRDefault="006814CB" w:rsidP="006814CB">
      <w:pPr>
        <w:pStyle w:val="Amain"/>
      </w:pPr>
      <w:r>
        <w:tab/>
      </w:r>
      <w:r w:rsidRPr="006814CB">
        <w:t>(2)</w:t>
      </w:r>
      <w:r w:rsidRPr="006814CB">
        <w:tab/>
      </w:r>
      <w:r w:rsidR="00231792" w:rsidRPr="006814CB">
        <w:t>An offence against this section is a strict liability offence.</w:t>
      </w:r>
    </w:p>
    <w:p w14:paraId="0298CAD6" w14:textId="77777777" w:rsidR="00640423" w:rsidRPr="006814CB" w:rsidRDefault="006814CB" w:rsidP="006814CB">
      <w:pPr>
        <w:pStyle w:val="AH5Sec"/>
      </w:pPr>
      <w:bookmarkStart w:id="30" w:name="_Toc147827593"/>
      <w:r w:rsidRPr="00251CCE">
        <w:rPr>
          <w:rStyle w:val="CharSectNo"/>
        </w:rPr>
        <w:t>19</w:t>
      </w:r>
      <w:r w:rsidRPr="006814CB">
        <w:tab/>
      </w:r>
      <w:r w:rsidR="00640423" w:rsidRPr="006814CB">
        <w:t>Disposal of gaming machines—application for storage permit</w:t>
      </w:r>
      <w:bookmarkEnd w:id="30"/>
    </w:p>
    <w:p w14:paraId="3AAA1888" w14:textId="77777777" w:rsidR="00640423" w:rsidRPr="006814CB" w:rsidRDefault="00640423" w:rsidP="00640423">
      <w:pPr>
        <w:pStyle w:val="Amainreturn"/>
      </w:pPr>
      <w:r w:rsidRPr="006814CB">
        <w:t xml:space="preserve">If a class B or class C licensee </w:t>
      </w:r>
      <w:r w:rsidR="00A5228B" w:rsidRPr="006814CB">
        <w:t xml:space="preserve">(the </w:t>
      </w:r>
      <w:r w:rsidR="00A5228B" w:rsidRPr="006814CB">
        <w:rPr>
          <w:rStyle w:val="charBoldItals"/>
        </w:rPr>
        <w:t>disposing licensee</w:t>
      </w:r>
      <w:r w:rsidR="00A5228B" w:rsidRPr="006814CB">
        <w:t xml:space="preserve">) </w:t>
      </w:r>
      <w:r w:rsidRPr="006814CB">
        <w:t>disposes of an authorisation under section </w:t>
      </w:r>
      <w:r w:rsidR="002E0DF3" w:rsidRPr="006814CB">
        <w:t>16</w:t>
      </w:r>
      <w:r w:rsidRPr="006814CB">
        <w:t>, the</w:t>
      </w:r>
      <w:r w:rsidR="00A5228B" w:rsidRPr="006814CB">
        <w:t xml:space="preserve"> disposing</w:t>
      </w:r>
      <w:r w:rsidRPr="006814CB">
        <w:t xml:space="preserve"> licensee must—</w:t>
      </w:r>
    </w:p>
    <w:p w14:paraId="2A7BFA5E" w14:textId="74E44EFC" w:rsidR="00640423" w:rsidRPr="006814CB" w:rsidRDefault="006814CB" w:rsidP="006814CB">
      <w:pPr>
        <w:pStyle w:val="Apara"/>
      </w:pPr>
      <w:r>
        <w:tab/>
      </w:r>
      <w:r w:rsidRPr="006814CB">
        <w:t>(a)</w:t>
      </w:r>
      <w:r w:rsidRPr="006814CB">
        <w:tab/>
      </w:r>
      <w:r w:rsidR="00640423" w:rsidRPr="006814CB">
        <w:t xml:space="preserve">apply for a storage permit for an interim purpose under the </w:t>
      </w:r>
      <w:hyperlink r:id="rId39" w:tooltip="A2004-34" w:history="1">
        <w:r w:rsidR="00253379" w:rsidRPr="006814CB">
          <w:rPr>
            <w:rStyle w:val="charCitHyperlinkItal"/>
          </w:rPr>
          <w:t>Gaming Machine Act 2004</w:t>
        </w:r>
      </w:hyperlink>
      <w:r w:rsidR="00640423" w:rsidRPr="006814CB">
        <w:t xml:space="preserve">, section 127O (Storage permit—application) for the </w:t>
      </w:r>
      <w:r w:rsidR="009D52BB" w:rsidRPr="006814CB">
        <w:t xml:space="preserve">related </w:t>
      </w:r>
      <w:r w:rsidR="00640423" w:rsidRPr="006814CB">
        <w:t>gaming machine</w:t>
      </w:r>
      <w:r w:rsidR="00BF70CA" w:rsidRPr="006814CB">
        <w:t xml:space="preserve"> (if any)</w:t>
      </w:r>
      <w:r w:rsidR="00640423" w:rsidRPr="006814CB">
        <w:t>; and</w:t>
      </w:r>
    </w:p>
    <w:p w14:paraId="7140B446" w14:textId="0AF3BD0E" w:rsidR="00640423" w:rsidRPr="006814CB" w:rsidRDefault="006814CB" w:rsidP="006814CB">
      <w:pPr>
        <w:pStyle w:val="Apara"/>
      </w:pPr>
      <w:r>
        <w:tab/>
      </w:r>
      <w:r w:rsidRPr="006814CB">
        <w:t>(b)</w:t>
      </w:r>
      <w:r w:rsidRPr="006814CB">
        <w:tab/>
      </w:r>
      <w:r w:rsidR="00640423" w:rsidRPr="006814CB">
        <w:t xml:space="preserve">dispose of the gaming machine in accordance with that </w:t>
      </w:r>
      <w:hyperlink r:id="rId40" w:tooltip="Gaming Machine Act 2004" w:history="1">
        <w:r w:rsidR="00F10144" w:rsidRPr="00F10144">
          <w:rPr>
            <w:rStyle w:val="charCitHyperlinkAbbrev"/>
          </w:rPr>
          <w:t>Act</w:t>
        </w:r>
      </w:hyperlink>
      <w:r w:rsidR="00640423" w:rsidRPr="006814CB">
        <w:t>, section 113A (Disposal of gaming machines—notifiable action).</w:t>
      </w:r>
    </w:p>
    <w:p w14:paraId="5A50D03F" w14:textId="77777777" w:rsidR="001C2B13" w:rsidRPr="006814CB" w:rsidRDefault="006814CB" w:rsidP="006814CB">
      <w:pPr>
        <w:pStyle w:val="AH5Sec"/>
      </w:pPr>
      <w:bookmarkStart w:id="31" w:name="_Toc147827594"/>
      <w:r w:rsidRPr="00251CCE">
        <w:rPr>
          <w:rStyle w:val="CharSectNo"/>
        </w:rPr>
        <w:lastRenderedPageBreak/>
        <w:t>20</w:t>
      </w:r>
      <w:r w:rsidRPr="006814CB">
        <w:tab/>
      </w:r>
      <w:r w:rsidR="00634292" w:rsidRPr="006814CB">
        <w:t>Restricted s</w:t>
      </w:r>
      <w:r w:rsidR="0058578F" w:rsidRPr="006814CB">
        <w:t>tatus of acquired</w:t>
      </w:r>
      <w:r w:rsidR="001C2B13" w:rsidRPr="006814CB">
        <w:t xml:space="preserve"> authorisations</w:t>
      </w:r>
      <w:bookmarkEnd w:id="31"/>
    </w:p>
    <w:p w14:paraId="6951F39A" w14:textId="77777777" w:rsidR="00B25580" w:rsidRPr="006814CB" w:rsidRDefault="00372395" w:rsidP="006814CB">
      <w:pPr>
        <w:pStyle w:val="Amainreturn"/>
        <w:keepNext/>
      </w:pPr>
      <w:r w:rsidRPr="006814CB">
        <w:t>An authorisation acquired by</w:t>
      </w:r>
      <w:r w:rsidR="00B25580" w:rsidRPr="006814CB">
        <w:t xml:space="preserve"> the casino licensee fro</w:t>
      </w:r>
      <w:r w:rsidRPr="006814CB">
        <w:t xml:space="preserve">m a class B or class C licensee </w:t>
      </w:r>
      <w:r w:rsidR="005E364E" w:rsidRPr="006814CB">
        <w:t>becomes</w:t>
      </w:r>
      <w:r w:rsidRPr="006814CB">
        <w:t xml:space="preserve"> a </w:t>
      </w:r>
      <w:r w:rsidRPr="006814CB">
        <w:rPr>
          <w:rStyle w:val="charBoldItals"/>
        </w:rPr>
        <w:t>restricted authorisation</w:t>
      </w:r>
      <w:r w:rsidR="005E364E" w:rsidRPr="006814CB">
        <w:t xml:space="preserve"> when it is acquired.</w:t>
      </w:r>
    </w:p>
    <w:p w14:paraId="07FB384F" w14:textId="77777777" w:rsidR="00BF70CA" w:rsidRPr="006814CB" w:rsidRDefault="00BF70CA" w:rsidP="00EF5D29">
      <w:pPr>
        <w:pStyle w:val="aNote"/>
        <w:keepNext/>
        <w:keepLines/>
      </w:pPr>
      <w:r w:rsidRPr="006814CB">
        <w:rPr>
          <w:rStyle w:val="charItals"/>
        </w:rPr>
        <w:t>Note 1</w:t>
      </w:r>
      <w:r w:rsidRPr="006814CB">
        <w:rPr>
          <w:rStyle w:val="charItals"/>
        </w:rPr>
        <w:tab/>
      </w:r>
      <w:r w:rsidRPr="006814CB">
        <w:t xml:space="preserve">The casino licensee must not operate a </w:t>
      </w:r>
      <w:r w:rsidR="00A5228B" w:rsidRPr="006814CB">
        <w:t xml:space="preserve">casino </w:t>
      </w:r>
      <w:r w:rsidRPr="006814CB">
        <w:t xml:space="preserve">gaming machine </w:t>
      </w:r>
      <w:r w:rsidR="00A5228B" w:rsidRPr="006814CB">
        <w:t xml:space="preserve">or casino FATG terminal </w:t>
      </w:r>
      <w:r w:rsidRPr="006814CB">
        <w:t xml:space="preserve">under a restricted authorisation. The casino licensee may only operate a </w:t>
      </w:r>
      <w:r w:rsidR="00A5228B" w:rsidRPr="006814CB">
        <w:t xml:space="preserve">casino </w:t>
      </w:r>
      <w:r w:rsidRPr="006814CB">
        <w:t xml:space="preserve">gaming machine under a casino gaming machine authorisation </w:t>
      </w:r>
      <w:r w:rsidR="00A5228B" w:rsidRPr="006814CB">
        <w:t xml:space="preserve">and a casino FATG terminal under a casino FATG terminal authorisation </w:t>
      </w:r>
      <w:r w:rsidRPr="006814CB">
        <w:t>(see s </w:t>
      </w:r>
      <w:r w:rsidR="00FA69CF">
        <w:t>27 and s 29</w:t>
      </w:r>
      <w:r w:rsidRPr="006814CB">
        <w:t xml:space="preserve">). </w:t>
      </w:r>
    </w:p>
    <w:p w14:paraId="4BABEE9D" w14:textId="77777777" w:rsidR="00E75DDD" w:rsidRPr="006814CB" w:rsidRDefault="00E75DDD" w:rsidP="00E75DDD">
      <w:pPr>
        <w:pStyle w:val="aNote"/>
      </w:pPr>
      <w:r w:rsidRPr="006814CB">
        <w:rPr>
          <w:rStyle w:val="charItals"/>
        </w:rPr>
        <w:t>Note</w:t>
      </w:r>
      <w:r w:rsidR="00BF70CA" w:rsidRPr="006814CB">
        <w:rPr>
          <w:rStyle w:val="charItals"/>
        </w:rPr>
        <w:t> 2</w:t>
      </w:r>
      <w:r w:rsidRPr="006814CB">
        <w:rPr>
          <w:rStyle w:val="charItals"/>
        </w:rPr>
        <w:tab/>
      </w:r>
      <w:r w:rsidR="00A500F3" w:rsidRPr="006814CB">
        <w:t xml:space="preserve">The casino licensee may apply to </w:t>
      </w:r>
      <w:r w:rsidR="007E6B46" w:rsidRPr="005D4E1B">
        <w:t>the Minister</w:t>
      </w:r>
      <w:r w:rsidR="00A500F3" w:rsidRPr="006814CB">
        <w:t xml:space="preserve"> under s</w:t>
      </w:r>
      <w:r w:rsidRPr="006814CB">
        <w:t xml:space="preserve"> </w:t>
      </w:r>
      <w:r w:rsidR="002E0DF3" w:rsidRPr="006814CB">
        <w:t>21</w:t>
      </w:r>
      <w:r w:rsidRPr="006814CB">
        <w:t xml:space="preserve"> </w:t>
      </w:r>
      <w:r w:rsidR="00A500F3" w:rsidRPr="006814CB">
        <w:t xml:space="preserve">to have </w:t>
      </w:r>
      <w:r w:rsidRPr="006814CB">
        <w:t xml:space="preserve">a restricted authorisation </w:t>
      </w:r>
      <w:r w:rsidR="00A500F3" w:rsidRPr="006814CB">
        <w:t xml:space="preserve">converted </w:t>
      </w:r>
      <w:r w:rsidRPr="006814CB">
        <w:t>to a casino gaming machine authorisation</w:t>
      </w:r>
      <w:r w:rsidR="00A500F3" w:rsidRPr="006814CB">
        <w:t xml:space="preserve"> or </w:t>
      </w:r>
      <w:r w:rsidR="00A5228B" w:rsidRPr="006814CB">
        <w:t>casino FATG terminal authorisation</w:t>
      </w:r>
      <w:r w:rsidRPr="006814CB">
        <w:t xml:space="preserve">. </w:t>
      </w:r>
    </w:p>
    <w:p w14:paraId="1DEDD48E" w14:textId="77777777" w:rsidR="00DC45BC" w:rsidRPr="006814CB" w:rsidRDefault="00DC45BC" w:rsidP="006814CB">
      <w:pPr>
        <w:pStyle w:val="PageBreak"/>
        <w:suppressLineNumbers/>
      </w:pPr>
      <w:r w:rsidRPr="006814CB">
        <w:br w:type="page"/>
      </w:r>
    </w:p>
    <w:p w14:paraId="4800050E" w14:textId="77777777" w:rsidR="00DC45BC" w:rsidRPr="00251CCE" w:rsidRDefault="006814CB" w:rsidP="006814CB">
      <w:pPr>
        <w:pStyle w:val="AH2Part"/>
      </w:pPr>
      <w:bookmarkStart w:id="32" w:name="_Toc147827595"/>
      <w:r w:rsidRPr="00251CCE">
        <w:rPr>
          <w:rStyle w:val="CharPartNo"/>
        </w:rPr>
        <w:lastRenderedPageBreak/>
        <w:t>Part 5</w:t>
      </w:r>
      <w:r w:rsidRPr="006814CB">
        <w:tab/>
      </w:r>
      <w:r w:rsidR="00DC45BC" w:rsidRPr="00251CCE">
        <w:rPr>
          <w:rStyle w:val="CharPartText"/>
        </w:rPr>
        <w:t>Conversion of restricted authorisations</w:t>
      </w:r>
      <w:bookmarkEnd w:id="32"/>
    </w:p>
    <w:p w14:paraId="43CED023" w14:textId="77777777" w:rsidR="00B42848" w:rsidRPr="006814CB" w:rsidRDefault="006814CB" w:rsidP="006814CB">
      <w:pPr>
        <w:pStyle w:val="AH5Sec"/>
      </w:pPr>
      <w:bookmarkStart w:id="33" w:name="_Toc147827596"/>
      <w:r w:rsidRPr="00251CCE">
        <w:rPr>
          <w:rStyle w:val="CharSectNo"/>
        </w:rPr>
        <w:t>21</w:t>
      </w:r>
      <w:r w:rsidRPr="006814CB">
        <w:tab/>
      </w:r>
      <w:r w:rsidR="00D23BEE" w:rsidRPr="006814CB">
        <w:t>Conversion of</w:t>
      </w:r>
      <w:r w:rsidR="00B42848" w:rsidRPr="006814CB">
        <w:t xml:space="preserve"> </w:t>
      </w:r>
      <w:r w:rsidR="00E45783" w:rsidRPr="006814CB">
        <w:t xml:space="preserve">restricted </w:t>
      </w:r>
      <w:r w:rsidR="00B42848" w:rsidRPr="006814CB">
        <w:t>authorisation</w:t>
      </w:r>
      <w:r w:rsidR="00DD04F9" w:rsidRPr="006814CB">
        <w:t>s</w:t>
      </w:r>
      <w:r w:rsidR="00A500F3" w:rsidRPr="006814CB">
        <w:t>—application</w:t>
      </w:r>
      <w:bookmarkEnd w:id="33"/>
    </w:p>
    <w:p w14:paraId="7013B7B0" w14:textId="77777777" w:rsidR="00A500F3" w:rsidRPr="006814CB" w:rsidRDefault="006814CB" w:rsidP="006814CB">
      <w:pPr>
        <w:pStyle w:val="Amain"/>
      </w:pPr>
      <w:r>
        <w:tab/>
      </w:r>
      <w:r w:rsidRPr="006814CB">
        <w:t>(1)</w:t>
      </w:r>
      <w:r w:rsidRPr="006814CB">
        <w:tab/>
      </w:r>
      <w:r w:rsidR="00A500F3" w:rsidRPr="006814CB">
        <w:t xml:space="preserve">The casino licensee may apply to </w:t>
      </w:r>
      <w:r w:rsidR="007E6B46" w:rsidRPr="005D4E1B">
        <w:t>the Minister for approval</w:t>
      </w:r>
      <w:r w:rsidR="00A500F3" w:rsidRPr="006814CB">
        <w:t xml:space="preserve"> to have a</w:t>
      </w:r>
      <w:r w:rsidR="00E45783" w:rsidRPr="006814CB">
        <w:t xml:space="preserve"> restricted</w:t>
      </w:r>
      <w:r w:rsidR="00B25580" w:rsidRPr="006814CB">
        <w:t xml:space="preserve"> authorisation </w:t>
      </w:r>
      <w:r w:rsidR="005B1037" w:rsidRPr="006814CB">
        <w:t>converted to</w:t>
      </w:r>
      <w:r w:rsidR="00B25580" w:rsidRPr="006814CB">
        <w:t xml:space="preserve"> a</w:t>
      </w:r>
      <w:r w:rsidR="00A500F3" w:rsidRPr="006814CB">
        <w:t>n authorisation</w:t>
      </w:r>
      <w:r w:rsidR="00B25580" w:rsidRPr="006814CB">
        <w:t xml:space="preserve"> </w:t>
      </w:r>
      <w:r w:rsidR="00A500F3" w:rsidRPr="006814CB">
        <w:t xml:space="preserve">to operate a casino gaming machine (a </w:t>
      </w:r>
      <w:r w:rsidR="00A500F3" w:rsidRPr="006814CB">
        <w:rPr>
          <w:rStyle w:val="charBoldItals"/>
        </w:rPr>
        <w:t>casino gaming machine authorisation</w:t>
      </w:r>
      <w:r w:rsidR="00A500F3" w:rsidRPr="006814CB">
        <w:t>)</w:t>
      </w:r>
      <w:r w:rsidR="00B25580" w:rsidRPr="006814CB">
        <w:t xml:space="preserve"> </w:t>
      </w:r>
      <w:r w:rsidR="00A500F3" w:rsidRPr="006814CB">
        <w:t xml:space="preserve">or a casino FATG terminal (a </w:t>
      </w:r>
      <w:r w:rsidR="00A500F3" w:rsidRPr="006814CB">
        <w:rPr>
          <w:rStyle w:val="charBoldItals"/>
        </w:rPr>
        <w:t>casino FATG terminal authorisation</w:t>
      </w:r>
      <w:r w:rsidR="00A500F3" w:rsidRPr="006814CB">
        <w:t xml:space="preserve">). </w:t>
      </w:r>
    </w:p>
    <w:p w14:paraId="3F7AC722" w14:textId="77777777" w:rsidR="00A500F3" w:rsidRPr="006814CB" w:rsidRDefault="006814CB" w:rsidP="006814CB">
      <w:pPr>
        <w:pStyle w:val="Amain"/>
      </w:pPr>
      <w:r>
        <w:tab/>
      </w:r>
      <w:r w:rsidRPr="006814CB">
        <w:t>(2)</w:t>
      </w:r>
      <w:r w:rsidRPr="006814CB">
        <w:tab/>
      </w:r>
      <w:r w:rsidR="00A500F3" w:rsidRPr="006814CB">
        <w:t>The application must—</w:t>
      </w:r>
    </w:p>
    <w:p w14:paraId="64364847" w14:textId="77777777" w:rsidR="00A500F3" w:rsidRPr="006814CB" w:rsidRDefault="006814CB" w:rsidP="006814CB">
      <w:pPr>
        <w:pStyle w:val="Apara"/>
      </w:pPr>
      <w:r>
        <w:tab/>
      </w:r>
      <w:r w:rsidRPr="006814CB">
        <w:t>(a)</w:t>
      </w:r>
      <w:r w:rsidRPr="006814CB">
        <w:tab/>
      </w:r>
      <w:r w:rsidR="00A500F3" w:rsidRPr="006814CB">
        <w:t>be in writing signed by the casino licensee; and</w:t>
      </w:r>
    </w:p>
    <w:p w14:paraId="117FBF56" w14:textId="77777777" w:rsidR="00077B6E" w:rsidRPr="006814CB" w:rsidRDefault="006814CB" w:rsidP="006814CB">
      <w:pPr>
        <w:pStyle w:val="Apara"/>
      </w:pPr>
      <w:r>
        <w:tab/>
      </w:r>
      <w:r w:rsidRPr="006814CB">
        <w:t>(b)</w:t>
      </w:r>
      <w:r w:rsidRPr="006814CB">
        <w:tab/>
      </w:r>
      <w:r w:rsidR="00077B6E" w:rsidRPr="006814CB">
        <w:t>state the number of restricted authorisations to be converted</w:t>
      </w:r>
      <w:r w:rsidR="00DD04F9" w:rsidRPr="006814CB">
        <w:t xml:space="preserve"> and </w:t>
      </w:r>
      <w:r w:rsidR="001C6F40" w:rsidRPr="006814CB">
        <w:t>the</w:t>
      </w:r>
      <w:r w:rsidR="00DD04F9" w:rsidRPr="006814CB">
        <w:t xml:space="preserve"> kind of authorisation</w:t>
      </w:r>
      <w:r w:rsidR="001C6F40" w:rsidRPr="006814CB">
        <w:t xml:space="preserve"> to which</w:t>
      </w:r>
      <w:r w:rsidR="003D0F2E" w:rsidRPr="006814CB">
        <w:t xml:space="preserve"> the restricted authorisations are to be converted</w:t>
      </w:r>
      <w:r w:rsidR="00077B6E" w:rsidRPr="006814CB">
        <w:t>; and</w:t>
      </w:r>
    </w:p>
    <w:p w14:paraId="6CDBFD2A" w14:textId="77777777" w:rsidR="00A500F3" w:rsidRPr="006814CB" w:rsidRDefault="006814CB" w:rsidP="006814CB">
      <w:pPr>
        <w:pStyle w:val="Apara"/>
        <w:keepNext/>
      </w:pPr>
      <w:r>
        <w:tab/>
      </w:r>
      <w:r w:rsidRPr="006814CB">
        <w:t>(c)</w:t>
      </w:r>
      <w:r w:rsidRPr="006814CB">
        <w:tab/>
      </w:r>
      <w:r w:rsidR="00A500F3" w:rsidRPr="006814CB">
        <w:t>be accompanied by</w:t>
      </w:r>
      <w:r w:rsidR="00DD04F9" w:rsidRPr="006814CB">
        <w:t xml:space="preserve"> the required documents for the application.</w:t>
      </w:r>
    </w:p>
    <w:p w14:paraId="4E8C1391" w14:textId="303FEC29" w:rsidR="00EA6D96" w:rsidRPr="006814CB" w:rsidRDefault="00EA6D96" w:rsidP="006814CB">
      <w:pPr>
        <w:pStyle w:val="aNote"/>
        <w:keepNext/>
      </w:pPr>
      <w:r w:rsidRPr="006814CB">
        <w:rPr>
          <w:rStyle w:val="charItals"/>
        </w:rPr>
        <w:t>Note 1</w:t>
      </w:r>
      <w:r w:rsidRPr="006814CB">
        <w:rPr>
          <w:rStyle w:val="charItals"/>
        </w:rPr>
        <w:tab/>
      </w:r>
      <w:r w:rsidRPr="006814CB">
        <w:t xml:space="preserve">If a form is approved under the </w:t>
      </w:r>
      <w:hyperlink r:id="rId41" w:tooltip="Gambling and Racing Control Act 1999" w:history="1">
        <w:r w:rsidR="005151B1" w:rsidRPr="006814CB">
          <w:rPr>
            <w:rStyle w:val="charCitHyperlinkAbbrev"/>
          </w:rPr>
          <w:t>Control Act</w:t>
        </w:r>
      </w:hyperlink>
      <w:r w:rsidRPr="006814CB">
        <w:t>, s 53D for an application, the form must be used.</w:t>
      </w:r>
    </w:p>
    <w:p w14:paraId="6ED77D50" w14:textId="77777777" w:rsidR="00EA6D96" w:rsidRPr="006814CB" w:rsidRDefault="00EA6D96" w:rsidP="00EA6D96">
      <w:pPr>
        <w:pStyle w:val="aNote"/>
      </w:pPr>
      <w:r w:rsidRPr="006814CB">
        <w:rPr>
          <w:rStyle w:val="charItals"/>
        </w:rPr>
        <w:t>Note 2</w:t>
      </w:r>
      <w:r w:rsidRPr="006814CB">
        <w:rPr>
          <w:rStyle w:val="charItals"/>
        </w:rPr>
        <w:tab/>
      </w:r>
      <w:r w:rsidRPr="006814CB">
        <w:t xml:space="preserve">A fee may be determined under s </w:t>
      </w:r>
      <w:r w:rsidR="002E0DF3" w:rsidRPr="006814CB">
        <w:t>53</w:t>
      </w:r>
      <w:r w:rsidR="003D0F2E" w:rsidRPr="006814CB">
        <w:t xml:space="preserve"> </w:t>
      </w:r>
      <w:r w:rsidRPr="006814CB">
        <w:t>for this provision.</w:t>
      </w:r>
    </w:p>
    <w:p w14:paraId="5BEF4585" w14:textId="77777777" w:rsidR="00DD04F9" w:rsidRPr="006814CB" w:rsidRDefault="006814CB" w:rsidP="006814CB">
      <w:pPr>
        <w:pStyle w:val="Amain"/>
      </w:pPr>
      <w:r>
        <w:tab/>
      </w:r>
      <w:r w:rsidRPr="006814CB">
        <w:t>(3)</w:t>
      </w:r>
      <w:r w:rsidRPr="006814CB">
        <w:tab/>
      </w:r>
      <w:r w:rsidR="00DD04F9" w:rsidRPr="006814CB">
        <w:t xml:space="preserve">For subsection (2) (c), the </w:t>
      </w:r>
      <w:r w:rsidR="00DD04F9" w:rsidRPr="006814CB">
        <w:rPr>
          <w:rStyle w:val="charBoldItals"/>
        </w:rPr>
        <w:t>required documents</w:t>
      </w:r>
      <w:r w:rsidR="00DD04F9" w:rsidRPr="006814CB">
        <w:t xml:space="preserve"> are the following:</w:t>
      </w:r>
    </w:p>
    <w:p w14:paraId="054AE90B" w14:textId="1368A265" w:rsidR="00DD04F9" w:rsidRPr="006814CB" w:rsidRDefault="006814CB" w:rsidP="006814CB">
      <w:pPr>
        <w:pStyle w:val="Apara"/>
      </w:pPr>
      <w:r>
        <w:tab/>
      </w:r>
      <w:r w:rsidRPr="006814CB">
        <w:t>(a)</w:t>
      </w:r>
      <w:r w:rsidRPr="006814CB">
        <w:tab/>
      </w:r>
      <w:r w:rsidR="00077B6E" w:rsidRPr="006814CB">
        <w:t xml:space="preserve">written evidence </w:t>
      </w:r>
      <w:r w:rsidR="00DD04F9" w:rsidRPr="006814CB">
        <w:t>that</w:t>
      </w:r>
      <w:r w:rsidR="00077B6E" w:rsidRPr="006814CB">
        <w:t xml:space="preserve"> the </w:t>
      </w:r>
      <w:r w:rsidR="007A79C1" w:rsidRPr="00631BBE">
        <w:rPr>
          <w:rStyle w:val="charCitHyperlinkAbbrev"/>
          <w:color w:val="auto"/>
        </w:rPr>
        <w:t>territory plan</w:t>
      </w:r>
      <w:r w:rsidR="007A79C1" w:rsidRPr="00631BBE">
        <w:t>n</w:t>
      </w:r>
      <w:r w:rsidR="007A79C1" w:rsidRPr="006F27A9">
        <w:t>ing authority</w:t>
      </w:r>
      <w:r w:rsidR="002702AE" w:rsidRPr="006814CB">
        <w:t xml:space="preserve"> has</w:t>
      </w:r>
      <w:r w:rsidR="00DD04F9" w:rsidRPr="006814CB">
        <w:t>—</w:t>
      </w:r>
    </w:p>
    <w:p w14:paraId="25DB09CA" w14:textId="109D4D07" w:rsidR="00A500F3" w:rsidRPr="006814CB" w:rsidRDefault="006814CB" w:rsidP="006814CB">
      <w:pPr>
        <w:pStyle w:val="Asubpara"/>
      </w:pPr>
      <w:r>
        <w:tab/>
      </w:r>
      <w:r w:rsidRPr="006814CB">
        <w:t>(i)</w:t>
      </w:r>
      <w:r w:rsidRPr="006814CB">
        <w:tab/>
      </w:r>
      <w:r w:rsidR="00077B6E" w:rsidRPr="006814CB">
        <w:t xml:space="preserve">approved a development </w:t>
      </w:r>
      <w:r w:rsidR="000146D1" w:rsidRPr="006F27A9">
        <w:t>application</w:t>
      </w:r>
      <w:r w:rsidR="00077B6E" w:rsidRPr="006814CB">
        <w:t xml:space="preserve"> by the casino licensee in relation to the redevelopment of the casino</w:t>
      </w:r>
      <w:r w:rsidR="00B77536" w:rsidRPr="006814CB">
        <w:t xml:space="preserve"> and the casino precinct</w:t>
      </w:r>
      <w:r w:rsidR="00077B6E" w:rsidRPr="006814CB">
        <w:t>; and</w:t>
      </w:r>
    </w:p>
    <w:p w14:paraId="5F134619" w14:textId="77777777" w:rsidR="00077B6E" w:rsidRPr="006814CB" w:rsidRDefault="006814CB" w:rsidP="00251CCE">
      <w:pPr>
        <w:pStyle w:val="Asubpara"/>
      </w:pPr>
      <w:r>
        <w:tab/>
      </w:r>
      <w:r w:rsidRPr="006814CB">
        <w:t>(ii)</w:t>
      </w:r>
      <w:r w:rsidRPr="006814CB">
        <w:tab/>
      </w:r>
      <w:r w:rsidR="002702AE" w:rsidRPr="006814CB">
        <w:t xml:space="preserve">certified </w:t>
      </w:r>
      <w:r w:rsidR="00077B6E" w:rsidRPr="006814CB">
        <w:t xml:space="preserve">that the casino licensee has </w:t>
      </w:r>
      <w:r w:rsidR="00DD04F9" w:rsidRPr="006814CB">
        <w:t xml:space="preserve">completed the stage of development prescribed by regulation for the </w:t>
      </w:r>
      <w:r w:rsidR="00A5228B" w:rsidRPr="006814CB">
        <w:t xml:space="preserve">maximum </w:t>
      </w:r>
      <w:r w:rsidR="00DD04F9" w:rsidRPr="006814CB">
        <w:t>number of restricted authorisations to be converted;</w:t>
      </w:r>
    </w:p>
    <w:p w14:paraId="0175245F" w14:textId="77777777" w:rsidR="00EA6D96" w:rsidRPr="006814CB" w:rsidRDefault="00EA6D96" w:rsidP="00251CCE">
      <w:pPr>
        <w:pStyle w:val="aExamHdgpar"/>
        <w:keepNext w:val="0"/>
      </w:pPr>
      <w:r w:rsidRPr="006814CB">
        <w:t>Examples—written evidence</w:t>
      </w:r>
    </w:p>
    <w:p w14:paraId="06010A96" w14:textId="77777777" w:rsidR="00EA6D96" w:rsidRPr="006814CB" w:rsidRDefault="00EA6D96" w:rsidP="00251CCE">
      <w:pPr>
        <w:pStyle w:val="aExamINumpar"/>
        <w:keepLines/>
      </w:pPr>
      <w:r w:rsidRPr="006814CB">
        <w:t>1</w:t>
      </w:r>
      <w:r w:rsidRPr="006814CB">
        <w:tab/>
        <w:t>a certificate of conformance</w:t>
      </w:r>
    </w:p>
    <w:p w14:paraId="70FFC733" w14:textId="77777777" w:rsidR="00EA6D96" w:rsidRPr="006814CB" w:rsidRDefault="00EA6D96" w:rsidP="00251CCE">
      <w:pPr>
        <w:pStyle w:val="aExamINumpar"/>
      </w:pPr>
      <w:r w:rsidRPr="006814CB">
        <w:t>2</w:t>
      </w:r>
      <w:r w:rsidRPr="006814CB">
        <w:tab/>
        <w:t>a developer deed</w:t>
      </w:r>
    </w:p>
    <w:p w14:paraId="08CB97A5" w14:textId="77777777" w:rsidR="006A6ACD" w:rsidRPr="006814CB" w:rsidRDefault="006814CB" w:rsidP="006814CB">
      <w:pPr>
        <w:pStyle w:val="Apara"/>
      </w:pPr>
      <w:r>
        <w:lastRenderedPageBreak/>
        <w:tab/>
      </w:r>
      <w:r w:rsidRPr="006814CB">
        <w:t>(b)</w:t>
      </w:r>
      <w:r w:rsidRPr="006814CB">
        <w:tab/>
      </w:r>
      <w:r w:rsidR="006A6ACD" w:rsidRPr="006814CB">
        <w:t xml:space="preserve">a plan of the development where casino gaming machines or casino </w:t>
      </w:r>
      <w:r w:rsidR="00A5228B" w:rsidRPr="006814CB">
        <w:t>FATG terminals</w:t>
      </w:r>
      <w:r w:rsidR="006A6ACD" w:rsidRPr="006814CB">
        <w:t xml:space="preserve"> are to be installed (the </w:t>
      </w:r>
      <w:r w:rsidR="006A6ACD" w:rsidRPr="006814CB">
        <w:rPr>
          <w:rStyle w:val="charBoldItals"/>
        </w:rPr>
        <w:t>proposed gaming area</w:t>
      </w:r>
      <w:r w:rsidR="006A6ACD" w:rsidRPr="006814CB">
        <w:t>) that—</w:t>
      </w:r>
    </w:p>
    <w:p w14:paraId="05854127" w14:textId="77777777" w:rsidR="006A6ACD" w:rsidRPr="006814CB" w:rsidRDefault="006814CB" w:rsidP="006814CB">
      <w:pPr>
        <w:pStyle w:val="Asubpara"/>
      </w:pPr>
      <w:r>
        <w:tab/>
      </w:r>
      <w:r w:rsidRPr="006814CB">
        <w:t>(i)</w:t>
      </w:r>
      <w:r w:rsidRPr="006814CB">
        <w:tab/>
      </w:r>
      <w:r w:rsidR="006A6ACD" w:rsidRPr="006814CB">
        <w:t>is drawn to scale; and</w:t>
      </w:r>
    </w:p>
    <w:p w14:paraId="64212F16" w14:textId="77777777" w:rsidR="006A6ACD" w:rsidRPr="006814CB" w:rsidRDefault="006814CB" w:rsidP="006814CB">
      <w:pPr>
        <w:pStyle w:val="Asubpara"/>
      </w:pPr>
      <w:r>
        <w:tab/>
      </w:r>
      <w:r w:rsidRPr="006814CB">
        <w:t>(ii)</w:t>
      </w:r>
      <w:r w:rsidRPr="006814CB">
        <w:tab/>
      </w:r>
      <w:r w:rsidR="006A6ACD" w:rsidRPr="006814CB">
        <w:t>clearly shows the location, boundaries and dimensions of the proposed gaming area;</w:t>
      </w:r>
    </w:p>
    <w:p w14:paraId="6818487D" w14:textId="77777777" w:rsidR="006A6ACD" w:rsidRPr="006814CB" w:rsidRDefault="006814CB" w:rsidP="006814CB">
      <w:pPr>
        <w:pStyle w:val="Apara"/>
      </w:pPr>
      <w:r>
        <w:tab/>
      </w:r>
      <w:r w:rsidRPr="006814CB">
        <w:t>(c)</w:t>
      </w:r>
      <w:r w:rsidRPr="006814CB">
        <w:tab/>
      </w:r>
      <w:r w:rsidR="006A6ACD" w:rsidRPr="006814CB">
        <w:t xml:space="preserve">a copy of the current rules for gaming (the </w:t>
      </w:r>
      <w:r w:rsidR="006A6ACD" w:rsidRPr="006814CB">
        <w:rPr>
          <w:rStyle w:val="charBoldItals"/>
        </w:rPr>
        <w:t>gaming rules</w:t>
      </w:r>
      <w:r w:rsidR="006A6ACD" w:rsidRPr="006814CB">
        <w:t>) the casino licensee has adopted in relation to operation of casino gaming machines or casino FATG terminals;</w:t>
      </w:r>
    </w:p>
    <w:p w14:paraId="06A1DA07" w14:textId="77777777" w:rsidR="006A6ACD" w:rsidRPr="006814CB" w:rsidRDefault="006A6ACD" w:rsidP="006A6ACD">
      <w:pPr>
        <w:pStyle w:val="aExamHdgpar"/>
      </w:pPr>
      <w:r w:rsidRPr="006814CB">
        <w:t>Examples—what gaming rules may cover</w:t>
      </w:r>
    </w:p>
    <w:p w14:paraId="0A35E044" w14:textId="77777777" w:rsidR="006A6ACD" w:rsidRPr="006814CB" w:rsidRDefault="006A6ACD" w:rsidP="006A6ACD">
      <w:pPr>
        <w:pStyle w:val="AExamIPara"/>
      </w:pPr>
      <w:r w:rsidRPr="006814CB">
        <w:tab/>
        <w:t>1</w:t>
      </w:r>
      <w:r w:rsidRPr="006814CB">
        <w:tab/>
        <w:t>how long a casino gaming machine or casino FATG terminal may be reserved for</w:t>
      </w:r>
    </w:p>
    <w:p w14:paraId="4FE93A23" w14:textId="77777777" w:rsidR="006A6ACD" w:rsidRPr="006814CB" w:rsidRDefault="006A6ACD" w:rsidP="006A6ACD">
      <w:pPr>
        <w:pStyle w:val="AExamIPara"/>
      </w:pPr>
      <w:r w:rsidRPr="006814CB">
        <w:tab/>
        <w:t>2</w:t>
      </w:r>
      <w:r w:rsidRPr="006814CB">
        <w:tab/>
        <w:t>who may play the casino gaming machines or casino FATGs</w:t>
      </w:r>
    </w:p>
    <w:p w14:paraId="41683BB6" w14:textId="77777777" w:rsidR="006A6ACD" w:rsidRPr="006814CB" w:rsidRDefault="006A6ACD" w:rsidP="006A6ACD">
      <w:pPr>
        <w:pStyle w:val="AExamIPara"/>
      </w:pPr>
      <w:r w:rsidRPr="006814CB">
        <w:tab/>
        <w:t>3</w:t>
      </w:r>
      <w:r w:rsidRPr="006814CB">
        <w:tab/>
        <w:t>banning of extension of credit to players</w:t>
      </w:r>
    </w:p>
    <w:p w14:paraId="56C79DA4" w14:textId="77777777" w:rsidR="006A6ACD" w:rsidRPr="006814CB" w:rsidRDefault="006A6ACD" w:rsidP="006A6ACD">
      <w:pPr>
        <w:pStyle w:val="AExamIPara"/>
      </w:pPr>
      <w:r w:rsidRPr="006814CB">
        <w:tab/>
        <w:t>4</w:t>
      </w:r>
      <w:r w:rsidRPr="006814CB">
        <w:tab/>
        <w:t>cash payment limits</w:t>
      </w:r>
    </w:p>
    <w:p w14:paraId="42F78554" w14:textId="77777777" w:rsidR="006A6ACD" w:rsidRPr="006814CB" w:rsidRDefault="006814CB" w:rsidP="006814CB">
      <w:pPr>
        <w:pStyle w:val="Apara"/>
      </w:pPr>
      <w:r>
        <w:tab/>
      </w:r>
      <w:r w:rsidRPr="006814CB">
        <w:t>(d)</w:t>
      </w:r>
      <w:r w:rsidRPr="006814CB">
        <w:tab/>
      </w:r>
      <w:r w:rsidR="006A6ACD" w:rsidRPr="006814CB">
        <w:t>a copy of the current procedures the casino licensee has adopted to control the operation of casino gaming machines or casino FATGs</w:t>
      </w:r>
      <w:r w:rsidR="00AB0801" w:rsidRPr="006814CB">
        <w:t xml:space="preserve"> at the casino</w:t>
      </w:r>
      <w:r w:rsidR="00F70223" w:rsidRPr="006814CB">
        <w:t xml:space="preserve"> (the </w:t>
      </w:r>
      <w:r w:rsidR="00F70223" w:rsidRPr="006814CB">
        <w:rPr>
          <w:rStyle w:val="charBoldItals"/>
        </w:rPr>
        <w:t>control procedures</w:t>
      </w:r>
      <w:r w:rsidR="00F70223" w:rsidRPr="006814CB">
        <w:t>)</w:t>
      </w:r>
      <w:r w:rsidR="006A6ACD" w:rsidRPr="006814CB">
        <w:t>;</w:t>
      </w:r>
    </w:p>
    <w:p w14:paraId="2CC2BECF" w14:textId="77777777" w:rsidR="006A6ACD" w:rsidRPr="006814CB" w:rsidRDefault="006814CB" w:rsidP="006814CB">
      <w:pPr>
        <w:pStyle w:val="Apara"/>
      </w:pPr>
      <w:r>
        <w:tab/>
      </w:r>
      <w:r w:rsidRPr="006814CB">
        <w:t>(e)</w:t>
      </w:r>
      <w:r w:rsidRPr="006814CB">
        <w:tab/>
      </w:r>
      <w:r w:rsidR="006A6ACD" w:rsidRPr="006814CB">
        <w:t>any other documents required by regulation.</w:t>
      </w:r>
    </w:p>
    <w:p w14:paraId="461ED621" w14:textId="77777777" w:rsidR="00EA6D96" w:rsidRPr="006814CB" w:rsidRDefault="006814CB" w:rsidP="00EF5D29">
      <w:pPr>
        <w:pStyle w:val="Amain"/>
        <w:keepLines/>
      </w:pPr>
      <w:r>
        <w:tab/>
      </w:r>
      <w:r w:rsidRPr="006814CB">
        <w:t>(4)</w:t>
      </w:r>
      <w:r w:rsidRPr="006814CB">
        <w:tab/>
      </w:r>
      <w:r w:rsidR="00EA6D96" w:rsidRPr="006814CB">
        <w:t xml:space="preserve">The </w:t>
      </w:r>
      <w:r w:rsidR="007E6B46" w:rsidRPr="005D4E1B">
        <w:t>Minister</w:t>
      </w:r>
      <w:r w:rsidR="007E6B46">
        <w:t xml:space="preserve"> </w:t>
      </w:r>
      <w:r w:rsidR="00EA6D96" w:rsidRPr="006814CB">
        <w:t xml:space="preserve">may, in writing, require the casino licensee to give the </w:t>
      </w:r>
      <w:r w:rsidR="007E6B46" w:rsidRPr="005D4E1B">
        <w:t>Minister</w:t>
      </w:r>
      <w:r w:rsidR="007E6B46">
        <w:t xml:space="preserve"> </w:t>
      </w:r>
      <w:r w:rsidR="00EA6D96" w:rsidRPr="006814CB">
        <w:t xml:space="preserve">additional information, within the time stated by the </w:t>
      </w:r>
      <w:r w:rsidR="007E6B46" w:rsidRPr="005D4E1B">
        <w:t>Minister</w:t>
      </w:r>
      <w:r w:rsidR="00EA6D96" w:rsidRPr="006814CB">
        <w:t xml:space="preserve">, that the </w:t>
      </w:r>
      <w:r w:rsidR="007E6B46" w:rsidRPr="005D4E1B">
        <w:t>Minister</w:t>
      </w:r>
      <w:r w:rsidR="007E6B46">
        <w:t xml:space="preserve"> </w:t>
      </w:r>
      <w:r w:rsidR="00EA6D96" w:rsidRPr="006814CB">
        <w:t>reasonably needs to decide the application.</w:t>
      </w:r>
    </w:p>
    <w:p w14:paraId="28097C0B" w14:textId="77777777" w:rsidR="00EA6D96" w:rsidRPr="006814CB" w:rsidRDefault="006814CB" w:rsidP="00251CCE">
      <w:pPr>
        <w:pStyle w:val="Amain"/>
        <w:keepNext/>
      </w:pPr>
      <w:r>
        <w:tab/>
      </w:r>
      <w:r w:rsidRPr="006814CB">
        <w:t>(5)</w:t>
      </w:r>
      <w:r w:rsidRPr="006814CB">
        <w:tab/>
      </w:r>
      <w:r w:rsidR="00EA6D96" w:rsidRPr="006814CB">
        <w:t xml:space="preserve">If the casino licensee does not comply with a requirement under subsection (4) within the time stated by the </w:t>
      </w:r>
      <w:r w:rsidR="007E6B46" w:rsidRPr="005D4E1B">
        <w:t>Minister</w:t>
      </w:r>
      <w:r w:rsidR="00EA6D96" w:rsidRPr="006814CB">
        <w:t>—</w:t>
      </w:r>
    </w:p>
    <w:p w14:paraId="0EE8737D" w14:textId="77777777" w:rsidR="00EA6D96" w:rsidRPr="006814CB" w:rsidRDefault="006814CB" w:rsidP="006814CB">
      <w:pPr>
        <w:pStyle w:val="Apara"/>
      </w:pPr>
      <w:r>
        <w:tab/>
      </w:r>
      <w:r w:rsidRPr="006814CB">
        <w:t>(a)</w:t>
      </w:r>
      <w:r w:rsidRPr="006814CB">
        <w:tab/>
      </w:r>
      <w:r w:rsidR="00EA6D96" w:rsidRPr="006814CB">
        <w:t xml:space="preserve">the </w:t>
      </w:r>
      <w:r w:rsidR="007E6B46" w:rsidRPr="005D4E1B">
        <w:t>Minister</w:t>
      </w:r>
      <w:r w:rsidR="007E6B46">
        <w:t xml:space="preserve"> </w:t>
      </w:r>
      <w:r w:rsidR="00EA6D96" w:rsidRPr="006814CB">
        <w:t>may refuse to consider the application; and</w:t>
      </w:r>
    </w:p>
    <w:p w14:paraId="06A32C73" w14:textId="77777777" w:rsidR="00EA6D96" w:rsidRPr="006814CB" w:rsidRDefault="006814CB" w:rsidP="006814CB">
      <w:pPr>
        <w:pStyle w:val="Apara"/>
      </w:pPr>
      <w:r>
        <w:tab/>
      </w:r>
      <w:r w:rsidRPr="006814CB">
        <w:t>(b)</w:t>
      </w:r>
      <w:r w:rsidRPr="006814CB">
        <w:tab/>
      </w:r>
      <w:r w:rsidR="00EA6D96" w:rsidRPr="006814CB">
        <w:t xml:space="preserve">if the </w:t>
      </w:r>
      <w:r w:rsidR="007E6B46" w:rsidRPr="005D4E1B">
        <w:t>Minister</w:t>
      </w:r>
      <w:r w:rsidR="007E6B46">
        <w:t xml:space="preserve"> </w:t>
      </w:r>
      <w:r w:rsidR="00EA6D96" w:rsidRPr="006814CB">
        <w:t>refuses to consider the application—the application lapses.</w:t>
      </w:r>
    </w:p>
    <w:p w14:paraId="3CECE76F" w14:textId="77777777" w:rsidR="007E6B46" w:rsidRPr="005D4E1B" w:rsidRDefault="007E6B46" w:rsidP="007E6B46">
      <w:pPr>
        <w:pStyle w:val="AH5Sec"/>
      </w:pPr>
      <w:bookmarkStart w:id="34" w:name="_Toc147827597"/>
      <w:r w:rsidRPr="00251CCE">
        <w:rPr>
          <w:rStyle w:val="CharSectNo"/>
        </w:rPr>
        <w:lastRenderedPageBreak/>
        <w:t>22</w:t>
      </w:r>
      <w:r w:rsidRPr="005D4E1B">
        <w:tab/>
        <w:t>Conversion of restricted authorisations—decision</w:t>
      </w:r>
      <w:bookmarkEnd w:id="34"/>
    </w:p>
    <w:p w14:paraId="677754E1" w14:textId="77777777" w:rsidR="007E6B46" w:rsidRPr="005D4E1B" w:rsidRDefault="007E6B46" w:rsidP="007E6B46">
      <w:pPr>
        <w:pStyle w:val="Amain"/>
      </w:pPr>
      <w:r w:rsidRPr="005D4E1B">
        <w:tab/>
        <w:t>(1)</w:t>
      </w:r>
      <w:r w:rsidRPr="005D4E1B">
        <w:tab/>
        <w:t xml:space="preserve">If the Minister receives an application under section 21 for approval to convert a restricted authorisation to a casino gaming machine authorisation or casino FATG terminal authorisation (the </w:t>
      </w:r>
      <w:r w:rsidRPr="005D4E1B">
        <w:rPr>
          <w:rStyle w:val="charBoldItals"/>
        </w:rPr>
        <w:t>conversion</w:t>
      </w:r>
      <w:r w:rsidRPr="005D4E1B">
        <w:t>), the Minister may—</w:t>
      </w:r>
    </w:p>
    <w:p w14:paraId="6800277C" w14:textId="77777777" w:rsidR="007E6B46" w:rsidRPr="005D4E1B" w:rsidRDefault="007E6B46" w:rsidP="007E6B46">
      <w:pPr>
        <w:pStyle w:val="Apara"/>
      </w:pPr>
      <w:r w:rsidRPr="005D4E1B">
        <w:tab/>
        <w:t>(a)</w:t>
      </w:r>
      <w:r w:rsidRPr="005D4E1B">
        <w:tab/>
        <w:t>approve the conversion; or</w:t>
      </w:r>
    </w:p>
    <w:p w14:paraId="68F7A187" w14:textId="77777777" w:rsidR="007E6B46" w:rsidRPr="005D4E1B" w:rsidRDefault="007E6B46" w:rsidP="007E6B46">
      <w:pPr>
        <w:pStyle w:val="Apara"/>
      </w:pPr>
      <w:r w:rsidRPr="005D4E1B">
        <w:tab/>
        <w:t>(b)</w:t>
      </w:r>
      <w:r w:rsidRPr="005D4E1B">
        <w:tab/>
        <w:t>refuse to approve the conversion.</w:t>
      </w:r>
    </w:p>
    <w:p w14:paraId="7EFC9DF1" w14:textId="77777777" w:rsidR="007E6B46" w:rsidRPr="005D4E1B" w:rsidRDefault="007E6B46" w:rsidP="007E6B46">
      <w:pPr>
        <w:pStyle w:val="aNote"/>
      </w:pPr>
      <w:r w:rsidRPr="005D4E1B">
        <w:rPr>
          <w:rStyle w:val="charItals"/>
        </w:rPr>
        <w:t>Note</w:t>
      </w:r>
      <w:r w:rsidRPr="005D4E1B">
        <w:rPr>
          <w:rStyle w:val="charItals"/>
        </w:rPr>
        <w:tab/>
      </w:r>
      <w:r w:rsidRPr="005D4E1B">
        <w:t xml:space="preserve">If additional information in relation to the application is not given to the Minister within the time stated by the Minister, the Minister may refuse to consider the application (see s 21 (4) and (5) (a)). If the Minister refuses to consider the application, it lapses (see s 21 (5) (b)). </w:t>
      </w:r>
    </w:p>
    <w:p w14:paraId="3C4427F4" w14:textId="77777777" w:rsidR="007E6B46" w:rsidRPr="005D4E1B" w:rsidRDefault="007E6B46" w:rsidP="007E6B46">
      <w:pPr>
        <w:pStyle w:val="Amain"/>
      </w:pPr>
      <w:r w:rsidRPr="005D4E1B">
        <w:tab/>
        <w:t>(2)</w:t>
      </w:r>
      <w:r w:rsidRPr="005D4E1B">
        <w:tab/>
        <w:t>In deciding whether to approve the conversion, the Minister must—</w:t>
      </w:r>
    </w:p>
    <w:p w14:paraId="1DBD89CB" w14:textId="77777777" w:rsidR="007E6B46" w:rsidRPr="005D4E1B" w:rsidRDefault="007E6B46" w:rsidP="007E6B46">
      <w:pPr>
        <w:pStyle w:val="Apara"/>
      </w:pPr>
      <w:r w:rsidRPr="005D4E1B">
        <w:tab/>
        <w:t>(a)</w:t>
      </w:r>
      <w:r w:rsidRPr="005D4E1B">
        <w:tab/>
        <w:t>consider any recommendation made by the commission in relation to the application, including whether—</w:t>
      </w:r>
    </w:p>
    <w:p w14:paraId="0B5BF589" w14:textId="77777777" w:rsidR="007E6B46" w:rsidRPr="005D4E1B" w:rsidRDefault="007E6B46" w:rsidP="007E6B46">
      <w:pPr>
        <w:pStyle w:val="Asubpara"/>
      </w:pPr>
      <w:r w:rsidRPr="005D4E1B">
        <w:tab/>
        <w:t>(i)</w:t>
      </w:r>
      <w:r w:rsidRPr="005D4E1B">
        <w:tab/>
        <w:t>the location, boundaries and dimensions of the proposed gaming area are suitable for the installation of the number of casino gaming machines or casino FATG terminals stated in the application; and</w:t>
      </w:r>
    </w:p>
    <w:p w14:paraId="61E73281" w14:textId="77777777" w:rsidR="007E6B46" w:rsidRPr="005D4E1B" w:rsidRDefault="007E6B46" w:rsidP="00755A0B">
      <w:pPr>
        <w:pStyle w:val="Asubpara"/>
        <w:keepLines/>
      </w:pPr>
      <w:r w:rsidRPr="005D4E1B">
        <w:tab/>
        <w:t>(ii)</w:t>
      </w:r>
      <w:r w:rsidRPr="005D4E1B">
        <w:tab/>
        <w:t>the control procedures mentioned in section 21 (3) (d) and the gaming rules the casino licensee has adopted for the purpose of controlling the operation of casino gaming machines are adequate for the purpose; and</w:t>
      </w:r>
    </w:p>
    <w:p w14:paraId="7D895F5E" w14:textId="77777777" w:rsidR="007E6B46" w:rsidRPr="005D4E1B" w:rsidRDefault="007E6B46" w:rsidP="007E6B46">
      <w:pPr>
        <w:pStyle w:val="Asubpara"/>
      </w:pPr>
      <w:r w:rsidRPr="005D4E1B">
        <w:tab/>
        <w:t>(iii)</w:t>
      </w:r>
      <w:r w:rsidRPr="005D4E1B">
        <w:tab/>
        <w:t>the casino has sufficient harm minimisation strategies in place for patrons; and</w:t>
      </w:r>
    </w:p>
    <w:p w14:paraId="1A1C978E" w14:textId="77777777" w:rsidR="007E6B46" w:rsidRPr="005D4E1B" w:rsidRDefault="007E6B46" w:rsidP="007E6B46">
      <w:pPr>
        <w:pStyle w:val="Apara"/>
      </w:pPr>
      <w:r w:rsidRPr="005D4E1B">
        <w:tab/>
        <w:t>(b)</w:t>
      </w:r>
      <w:r w:rsidRPr="005D4E1B">
        <w:tab/>
        <w:t>consider any recommendation made by a casino advisory panel in relation to the decision, including in relation to the casino licensee’s compliance with any agreement with the Territory in relation to the redevelopment of the casino and the casino precinct.</w:t>
      </w:r>
    </w:p>
    <w:p w14:paraId="55EEE68B" w14:textId="644AC233" w:rsidR="007E6B46" w:rsidRPr="005D4E1B" w:rsidRDefault="007E6B46" w:rsidP="007E6B46">
      <w:pPr>
        <w:pStyle w:val="Amain"/>
      </w:pPr>
      <w:r w:rsidRPr="005D4E1B">
        <w:lastRenderedPageBreak/>
        <w:tab/>
        <w:t>(3)</w:t>
      </w:r>
      <w:r w:rsidRPr="005D4E1B">
        <w:tab/>
        <w:t xml:space="preserve">However, the Minister must not approve the conversion unless the </w:t>
      </w:r>
      <w:r w:rsidR="000146D1" w:rsidRPr="00631BBE">
        <w:rPr>
          <w:rStyle w:val="charCitHyperlinkAbbrev"/>
          <w:color w:val="auto"/>
        </w:rPr>
        <w:t>territory plan</w:t>
      </w:r>
      <w:r w:rsidR="000146D1" w:rsidRPr="00631BBE">
        <w:t>n</w:t>
      </w:r>
      <w:r w:rsidR="000146D1" w:rsidRPr="006F27A9">
        <w:t>ing authority</w:t>
      </w:r>
      <w:r w:rsidRPr="005D4E1B">
        <w:t xml:space="preserve"> has—</w:t>
      </w:r>
    </w:p>
    <w:p w14:paraId="490F5908" w14:textId="230D8A80" w:rsidR="007E6B46" w:rsidRPr="005D4E1B" w:rsidRDefault="007E6B46" w:rsidP="007E6B46">
      <w:pPr>
        <w:pStyle w:val="Apara"/>
      </w:pPr>
      <w:r w:rsidRPr="005D4E1B">
        <w:tab/>
        <w:t>(a)</w:t>
      </w:r>
      <w:r w:rsidRPr="005D4E1B">
        <w:tab/>
        <w:t xml:space="preserve">approved a development </w:t>
      </w:r>
      <w:r w:rsidR="000146D1" w:rsidRPr="006F27A9">
        <w:t>application</w:t>
      </w:r>
      <w:r w:rsidRPr="005D4E1B">
        <w:t xml:space="preserve"> by the casino licensee in relation to redevelopment of the casino and the casino precinct; and</w:t>
      </w:r>
    </w:p>
    <w:p w14:paraId="6CD76F61" w14:textId="77777777" w:rsidR="007E6B46" w:rsidRPr="005D4E1B" w:rsidRDefault="007E6B46" w:rsidP="007E6B46">
      <w:pPr>
        <w:pStyle w:val="Apara"/>
      </w:pPr>
      <w:r w:rsidRPr="005D4E1B">
        <w:tab/>
        <w:t>(b)</w:t>
      </w:r>
      <w:r w:rsidRPr="005D4E1B">
        <w:tab/>
        <w:t>certified in writing that the casino licensee has completed the stage of development prescribed by regulation for the maximum number of restricted authorisations sought to be converted.</w:t>
      </w:r>
    </w:p>
    <w:p w14:paraId="1FD8D686" w14:textId="77777777" w:rsidR="007E6B46" w:rsidRPr="005D4E1B" w:rsidRDefault="007E6B46" w:rsidP="007E6B46">
      <w:pPr>
        <w:pStyle w:val="Amain"/>
      </w:pPr>
      <w:r w:rsidRPr="005D4E1B">
        <w:tab/>
        <w:t>(4)</w:t>
      </w:r>
      <w:r w:rsidRPr="005D4E1B">
        <w:tab/>
        <w:t>If the Minister approves the conversion of a restricted authorisation to a casino gaming machine authorisation or casino FATG terminal authorisation, the commission must convert the restricted authorisation.</w:t>
      </w:r>
    </w:p>
    <w:p w14:paraId="5CAA96F0" w14:textId="77777777" w:rsidR="007E6B46" w:rsidRPr="005D4E1B" w:rsidRDefault="007E6B46" w:rsidP="007E6B46">
      <w:pPr>
        <w:pStyle w:val="Amain"/>
      </w:pPr>
      <w:r w:rsidRPr="005D4E1B">
        <w:tab/>
        <w:t>(5)</w:t>
      </w:r>
      <w:r w:rsidRPr="005D4E1B">
        <w:tab/>
        <w:t xml:space="preserve">If the application is for the conversion of 2 or more restricted authorisations, the Minister may approve the conversion of fewer than the number stated in the application if the commission recommends that the size and layout of the proposed gaming area are only suitable for the installation of the lower number of casino gaming machines or casino FATG terminals. </w:t>
      </w:r>
    </w:p>
    <w:p w14:paraId="176D613D" w14:textId="77777777" w:rsidR="007E6B46" w:rsidRPr="005D4E1B" w:rsidRDefault="007E6B46" w:rsidP="007E6B46">
      <w:pPr>
        <w:pStyle w:val="Amain"/>
      </w:pPr>
      <w:r w:rsidRPr="005D4E1B">
        <w:tab/>
        <w:t>(6)</w:t>
      </w:r>
      <w:r w:rsidRPr="005D4E1B">
        <w:tab/>
        <w:t>If the Minister refuses to approve the conversion, the Minister must tell the casino licensee, in writing, the reasons for the decision.</w:t>
      </w:r>
    </w:p>
    <w:p w14:paraId="5A3811CA" w14:textId="66137F4D" w:rsidR="007E6B46" w:rsidRPr="005D4E1B" w:rsidRDefault="007E6B46" w:rsidP="007E6B46">
      <w:pPr>
        <w:pStyle w:val="aNote"/>
      </w:pPr>
      <w:r w:rsidRPr="005D4E1B">
        <w:rPr>
          <w:rStyle w:val="charItals"/>
        </w:rPr>
        <w:t>Note</w:t>
      </w:r>
      <w:r w:rsidRPr="005D4E1B">
        <w:rPr>
          <w:rStyle w:val="charItals"/>
        </w:rPr>
        <w:tab/>
      </w:r>
      <w:r w:rsidRPr="005D4E1B">
        <w:t xml:space="preserve">For what must be included in a statement of reasons, see the </w:t>
      </w:r>
      <w:hyperlink r:id="rId42" w:tooltip="A2001-14" w:history="1">
        <w:r w:rsidRPr="005D4E1B">
          <w:rPr>
            <w:rStyle w:val="charCitHyperlinkAbbrev"/>
          </w:rPr>
          <w:t>Legislation Act</w:t>
        </w:r>
      </w:hyperlink>
      <w:r w:rsidRPr="005D4E1B">
        <w:t>, s 179.</w:t>
      </w:r>
    </w:p>
    <w:p w14:paraId="340F47CD" w14:textId="77777777" w:rsidR="007E6B46" w:rsidRPr="005D4E1B" w:rsidRDefault="007E6B46" w:rsidP="007E6B46">
      <w:pPr>
        <w:pStyle w:val="Amain"/>
      </w:pPr>
      <w:r w:rsidRPr="005D4E1B">
        <w:tab/>
        <w:t>(7)</w:t>
      </w:r>
      <w:r w:rsidRPr="005D4E1B">
        <w:tab/>
        <w:t>In this section:</w:t>
      </w:r>
    </w:p>
    <w:p w14:paraId="49426002" w14:textId="5E8C170F" w:rsidR="007E6B46" w:rsidRPr="005D4E1B" w:rsidRDefault="007E6B46" w:rsidP="007E6B46">
      <w:pPr>
        <w:pStyle w:val="aDef"/>
      </w:pPr>
      <w:r w:rsidRPr="005D4E1B">
        <w:rPr>
          <w:rStyle w:val="charBoldItals"/>
        </w:rPr>
        <w:t>casino advisory panel</w:t>
      </w:r>
      <w:r w:rsidRPr="005D4E1B">
        <w:t xml:space="preserve">—see the </w:t>
      </w:r>
      <w:hyperlink r:id="rId43" w:tooltip="A2006-2" w:history="1">
        <w:r w:rsidRPr="005D4E1B">
          <w:rPr>
            <w:rStyle w:val="charCitHyperlinkItal"/>
          </w:rPr>
          <w:t>Casino Control Act 2006</w:t>
        </w:r>
      </w:hyperlink>
      <w:r w:rsidRPr="005D4E1B">
        <w:t xml:space="preserve">, section 136B. </w:t>
      </w:r>
    </w:p>
    <w:p w14:paraId="126A1315" w14:textId="36038E5E" w:rsidR="00270D23" w:rsidRPr="006814CB" w:rsidRDefault="006814CB" w:rsidP="006814CB">
      <w:pPr>
        <w:pStyle w:val="AH5Sec"/>
      </w:pPr>
      <w:bookmarkStart w:id="35" w:name="_Toc147827598"/>
      <w:r w:rsidRPr="00251CCE">
        <w:rPr>
          <w:rStyle w:val="CharSectNo"/>
        </w:rPr>
        <w:lastRenderedPageBreak/>
        <w:t>23</w:t>
      </w:r>
      <w:r w:rsidRPr="006814CB">
        <w:tab/>
      </w:r>
      <w:r w:rsidR="00364000" w:rsidRPr="006F27A9">
        <w:t>Status of restricted authorisations if development approval ends under Planning Act</w:t>
      </w:r>
      <w:r w:rsidR="00364000">
        <w:t xml:space="preserve"> </w:t>
      </w:r>
      <w:r w:rsidR="00364000" w:rsidRPr="006F27A9">
        <w:t>2023, s</w:t>
      </w:r>
      <w:r w:rsidR="00364000">
        <w:t xml:space="preserve"> </w:t>
      </w:r>
      <w:r w:rsidR="00364000" w:rsidRPr="006F27A9">
        <w:t>211 or because no approval given</w:t>
      </w:r>
      <w:bookmarkEnd w:id="35"/>
    </w:p>
    <w:p w14:paraId="0A6AC4C1" w14:textId="77777777" w:rsidR="00270D23" w:rsidRPr="006814CB" w:rsidRDefault="006814CB" w:rsidP="00EF5D29">
      <w:pPr>
        <w:pStyle w:val="Amain"/>
        <w:keepNext/>
      </w:pPr>
      <w:r>
        <w:tab/>
      </w:r>
      <w:r w:rsidRPr="006814CB">
        <w:t>(1)</w:t>
      </w:r>
      <w:r w:rsidRPr="006814CB">
        <w:tab/>
      </w:r>
      <w:r w:rsidR="00270D23" w:rsidRPr="006814CB">
        <w:t>This section applies if—</w:t>
      </w:r>
    </w:p>
    <w:p w14:paraId="3D0AD576" w14:textId="77777777" w:rsidR="00270D23" w:rsidRPr="006814CB" w:rsidRDefault="006814CB" w:rsidP="006814CB">
      <w:pPr>
        <w:pStyle w:val="Apara"/>
      </w:pPr>
      <w:r>
        <w:tab/>
      </w:r>
      <w:r w:rsidRPr="006814CB">
        <w:t>(a)</w:t>
      </w:r>
      <w:r w:rsidRPr="006814CB">
        <w:tab/>
      </w:r>
      <w:r w:rsidR="00270D23" w:rsidRPr="006814CB">
        <w:t>the casino licensee has</w:t>
      </w:r>
      <w:r w:rsidR="004D6625" w:rsidRPr="006814CB">
        <w:t xml:space="preserve"> </w:t>
      </w:r>
      <w:r w:rsidR="00DD6F38" w:rsidRPr="006814CB">
        <w:t>a</w:t>
      </w:r>
      <w:r w:rsidR="00270D23" w:rsidRPr="006814CB">
        <w:t xml:space="preserve"> restricted authorisation under a casino gaming machine authorisation certificate</w:t>
      </w:r>
      <w:r w:rsidR="001A42CD" w:rsidRPr="006814CB">
        <w:t xml:space="preserve"> or casino FATG </w:t>
      </w:r>
      <w:r w:rsidR="004D6625" w:rsidRPr="006814CB">
        <w:t>authorisation certificate</w:t>
      </w:r>
      <w:r w:rsidR="00270D23" w:rsidRPr="006814CB">
        <w:t>; and</w:t>
      </w:r>
    </w:p>
    <w:p w14:paraId="63ABF64B" w14:textId="77777777" w:rsidR="0054245D" w:rsidRPr="006814CB" w:rsidRDefault="006814CB" w:rsidP="006814CB">
      <w:pPr>
        <w:pStyle w:val="Apara"/>
      </w:pPr>
      <w:r>
        <w:tab/>
      </w:r>
      <w:r w:rsidRPr="006814CB">
        <w:t>(b)</w:t>
      </w:r>
      <w:r w:rsidRPr="006814CB">
        <w:tab/>
      </w:r>
      <w:r w:rsidR="0054245D" w:rsidRPr="006814CB">
        <w:t>either——</w:t>
      </w:r>
    </w:p>
    <w:p w14:paraId="571480B3" w14:textId="00963D4C" w:rsidR="0054245D" w:rsidRPr="006814CB" w:rsidRDefault="006814CB" w:rsidP="006814CB">
      <w:pPr>
        <w:pStyle w:val="Asubpara"/>
      </w:pPr>
      <w:r>
        <w:tab/>
      </w:r>
      <w:r w:rsidRPr="006814CB">
        <w:t>(i)</w:t>
      </w:r>
      <w:r w:rsidRPr="006814CB">
        <w:tab/>
      </w:r>
      <w:r w:rsidR="0054245D" w:rsidRPr="006814CB">
        <w:t xml:space="preserve">the development approval for the redevelopment of the casino and casino precinct ends under the </w:t>
      </w:r>
      <w:hyperlink r:id="rId44" w:tooltip="A2023-18" w:history="1">
        <w:r w:rsidR="00364000" w:rsidRPr="004E4BF5">
          <w:rPr>
            <w:rStyle w:val="charCitHyperlinkItal"/>
          </w:rPr>
          <w:t>Planning Act</w:t>
        </w:r>
        <w:r w:rsidR="00364000">
          <w:rPr>
            <w:rStyle w:val="charCitHyperlinkItal"/>
          </w:rPr>
          <w:t xml:space="preserve"> </w:t>
        </w:r>
        <w:r w:rsidR="00364000" w:rsidRPr="004E4BF5">
          <w:rPr>
            <w:rStyle w:val="charCitHyperlinkItal"/>
          </w:rPr>
          <w:t>2023</w:t>
        </w:r>
      </w:hyperlink>
      <w:r w:rsidR="00364000" w:rsidRPr="006F27A9">
        <w:t>, section</w:t>
      </w:r>
      <w:r w:rsidR="00364000">
        <w:t xml:space="preserve"> </w:t>
      </w:r>
      <w:r w:rsidR="00364000" w:rsidRPr="006F27A9">
        <w:t>211 (End of development approvals generally)</w:t>
      </w:r>
      <w:r w:rsidR="0054245D" w:rsidRPr="006814CB">
        <w:t>; or</w:t>
      </w:r>
    </w:p>
    <w:p w14:paraId="489A2A9E" w14:textId="77777777" w:rsidR="0054245D" w:rsidRPr="006814CB" w:rsidRDefault="006814CB" w:rsidP="006814CB">
      <w:pPr>
        <w:pStyle w:val="Asubpara"/>
      </w:pPr>
      <w:r>
        <w:tab/>
      </w:r>
      <w:r w:rsidRPr="006814CB">
        <w:t>(ii)</w:t>
      </w:r>
      <w:r w:rsidRPr="006814CB">
        <w:tab/>
      </w:r>
      <w:r w:rsidR="0054245D" w:rsidRPr="006814CB">
        <w:t>no development approval for the redevelopment of the casino and casino precinct is given within 5 years after the commencement of this section.</w:t>
      </w:r>
    </w:p>
    <w:p w14:paraId="5D61D633" w14:textId="77777777" w:rsidR="0054245D" w:rsidRPr="006814CB" w:rsidRDefault="0054245D" w:rsidP="0054245D">
      <w:pPr>
        <w:pStyle w:val="aExamHdgpar"/>
      </w:pPr>
      <w:r w:rsidRPr="006814CB">
        <w:t>Examples—par (b) (ii)</w:t>
      </w:r>
    </w:p>
    <w:p w14:paraId="0D634476" w14:textId="77777777" w:rsidR="0054245D" w:rsidRPr="006814CB" w:rsidRDefault="0054245D" w:rsidP="0054245D">
      <w:pPr>
        <w:pStyle w:val="aExamINumpar"/>
      </w:pPr>
      <w:r w:rsidRPr="006814CB">
        <w:t>1</w:t>
      </w:r>
      <w:r w:rsidRPr="006814CB">
        <w:tab/>
        <w:t>No development approval is given because no development application is made within 5 years after the commencement of this section.</w:t>
      </w:r>
    </w:p>
    <w:p w14:paraId="344625DB" w14:textId="77777777" w:rsidR="0054245D" w:rsidRPr="006814CB" w:rsidRDefault="0054245D" w:rsidP="0054245D">
      <w:pPr>
        <w:pStyle w:val="aExamINumpar"/>
      </w:pPr>
      <w:r w:rsidRPr="006814CB">
        <w:t>2</w:t>
      </w:r>
      <w:r w:rsidRPr="006814CB">
        <w:tab/>
        <w:t>No development approval is given because a development application that is made is later withdrawn.</w:t>
      </w:r>
    </w:p>
    <w:p w14:paraId="2DF2AF56" w14:textId="77777777" w:rsidR="00270D23" w:rsidRPr="006814CB" w:rsidRDefault="006814CB" w:rsidP="006814CB">
      <w:pPr>
        <w:pStyle w:val="Amain"/>
      </w:pPr>
      <w:r>
        <w:tab/>
      </w:r>
      <w:r w:rsidRPr="006814CB">
        <w:t>(2)</w:t>
      </w:r>
      <w:r w:rsidRPr="006814CB">
        <w:tab/>
      </w:r>
      <w:r w:rsidR="00270D23" w:rsidRPr="006814CB">
        <w:t xml:space="preserve">The </w:t>
      </w:r>
      <w:r w:rsidR="00475056" w:rsidRPr="006814CB">
        <w:t xml:space="preserve">restricted </w:t>
      </w:r>
      <w:r w:rsidR="00270D23" w:rsidRPr="006814CB">
        <w:t xml:space="preserve">authorisation </w:t>
      </w:r>
      <w:r w:rsidR="00DD6F38" w:rsidRPr="006814CB">
        <w:t>is</w:t>
      </w:r>
      <w:r w:rsidR="00270D23" w:rsidRPr="006814CB">
        <w:t xml:space="preserve"> forfeited to the Territory.</w:t>
      </w:r>
    </w:p>
    <w:p w14:paraId="523D454B" w14:textId="77777777" w:rsidR="00270D23" w:rsidRPr="006814CB" w:rsidRDefault="006814CB" w:rsidP="006814CB">
      <w:pPr>
        <w:pStyle w:val="Amain"/>
      </w:pPr>
      <w:r>
        <w:tab/>
      </w:r>
      <w:r w:rsidRPr="006814CB">
        <w:t>(3)</w:t>
      </w:r>
      <w:r w:rsidRPr="006814CB">
        <w:tab/>
      </w:r>
      <w:r w:rsidR="00270D23" w:rsidRPr="006814CB">
        <w:t xml:space="preserve">The casino licensee is not entitled to claim compensation from the Territory for an authorisation forfeited to the Territory under subsection (2). </w:t>
      </w:r>
    </w:p>
    <w:p w14:paraId="139830EE" w14:textId="77777777" w:rsidR="00C73ED0" w:rsidRPr="006814CB" w:rsidRDefault="006814CB" w:rsidP="006814CB">
      <w:pPr>
        <w:pStyle w:val="AH5Sec"/>
      </w:pPr>
      <w:bookmarkStart w:id="36" w:name="_Toc147827599"/>
      <w:r w:rsidRPr="00251CCE">
        <w:rPr>
          <w:rStyle w:val="CharSectNo"/>
        </w:rPr>
        <w:t>24</w:t>
      </w:r>
      <w:r w:rsidRPr="006814CB">
        <w:tab/>
      </w:r>
      <w:r w:rsidR="009D52BB" w:rsidRPr="006814CB">
        <w:t xml:space="preserve">Status of restricted authorisations </w:t>
      </w:r>
      <w:r w:rsidR="004D6625" w:rsidRPr="006814CB">
        <w:t>if</w:t>
      </w:r>
      <w:r w:rsidR="00792CFB" w:rsidRPr="006814CB">
        <w:t xml:space="preserve"> </w:t>
      </w:r>
      <w:r w:rsidR="00E676EB" w:rsidRPr="006814CB">
        <w:t xml:space="preserve">development </w:t>
      </w:r>
      <w:r w:rsidR="00792CFB" w:rsidRPr="006814CB">
        <w:t>approval</w:t>
      </w:r>
      <w:r w:rsidR="004D6625" w:rsidRPr="006814CB">
        <w:t xml:space="preserve"> ends in other circumstances</w:t>
      </w:r>
      <w:bookmarkEnd w:id="36"/>
    </w:p>
    <w:p w14:paraId="5099D667" w14:textId="77777777" w:rsidR="00C73ED0" w:rsidRPr="006814CB" w:rsidRDefault="006814CB" w:rsidP="00F816FC">
      <w:pPr>
        <w:pStyle w:val="Amain"/>
        <w:keepNext/>
      </w:pPr>
      <w:r>
        <w:tab/>
      </w:r>
      <w:r w:rsidRPr="006814CB">
        <w:t>(1)</w:t>
      </w:r>
      <w:r w:rsidRPr="006814CB">
        <w:tab/>
      </w:r>
      <w:r w:rsidR="009D52BB" w:rsidRPr="006814CB">
        <w:t>This section applies if—</w:t>
      </w:r>
    </w:p>
    <w:p w14:paraId="38C3133F" w14:textId="77777777" w:rsidR="004D6625" w:rsidRPr="006814CB" w:rsidRDefault="006814CB" w:rsidP="006814CB">
      <w:pPr>
        <w:pStyle w:val="Apara"/>
      </w:pPr>
      <w:r>
        <w:tab/>
      </w:r>
      <w:r w:rsidRPr="006814CB">
        <w:t>(a)</w:t>
      </w:r>
      <w:r w:rsidRPr="006814CB">
        <w:tab/>
      </w:r>
      <w:r w:rsidR="004D6625" w:rsidRPr="006814CB">
        <w:t xml:space="preserve">the casino licensee has </w:t>
      </w:r>
      <w:r w:rsidR="00475056" w:rsidRPr="006814CB">
        <w:t>a</w:t>
      </w:r>
      <w:r w:rsidR="004D6625" w:rsidRPr="006814CB">
        <w:t xml:space="preserve"> restricted authorisation under a casino gaming machine authorisation certificate or casino FATG authorisation certificate; and</w:t>
      </w:r>
    </w:p>
    <w:p w14:paraId="2EC62BF5" w14:textId="77777777" w:rsidR="0054245D" w:rsidRPr="006814CB" w:rsidRDefault="006814CB" w:rsidP="006814CB">
      <w:pPr>
        <w:pStyle w:val="Apara"/>
      </w:pPr>
      <w:r>
        <w:lastRenderedPageBreak/>
        <w:tab/>
      </w:r>
      <w:r w:rsidRPr="006814CB">
        <w:t>(b)</w:t>
      </w:r>
      <w:r w:rsidRPr="006814CB">
        <w:tab/>
      </w:r>
      <w:r w:rsidR="0054245D" w:rsidRPr="006814CB">
        <w:t>the development approval for the redevelopment of the casino and casino precinct ends otherwise than—</w:t>
      </w:r>
    </w:p>
    <w:p w14:paraId="03912834" w14:textId="6C0548F8" w:rsidR="0054245D" w:rsidRPr="006814CB" w:rsidRDefault="006814CB" w:rsidP="006814CB">
      <w:pPr>
        <w:pStyle w:val="Asubpara"/>
      </w:pPr>
      <w:r>
        <w:tab/>
      </w:r>
      <w:r w:rsidRPr="006814CB">
        <w:t>(i)</w:t>
      </w:r>
      <w:r w:rsidRPr="006814CB">
        <w:tab/>
      </w:r>
      <w:r w:rsidR="0054245D" w:rsidRPr="006814CB">
        <w:t xml:space="preserve">under the </w:t>
      </w:r>
      <w:hyperlink r:id="rId45" w:tooltip="A2023-18" w:history="1">
        <w:r w:rsidR="00575F76" w:rsidRPr="004E4BF5">
          <w:rPr>
            <w:rStyle w:val="charCitHyperlinkItal"/>
          </w:rPr>
          <w:t>Planning Act</w:t>
        </w:r>
        <w:r w:rsidR="00575F76">
          <w:rPr>
            <w:rStyle w:val="charCitHyperlinkItal"/>
          </w:rPr>
          <w:t xml:space="preserve"> </w:t>
        </w:r>
        <w:r w:rsidR="00575F76" w:rsidRPr="004E4BF5">
          <w:rPr>
            <w:rStyle w:val="charCitHyperlinkItal"/>
          </w:rPr>
          <w:t>2023</w:t>
        </w:r>
      </w:hyperlink>
      <w:r w:rsidR="00575F76" w:rsidRPr="006F27A9">
        <w:t>, section</w:t>
      </w:r>
      <w:r w:rsidR="00575F76">
        <w:t xml:space="preserve"> </w:t>
      </w:r>
      <w:r w:rsidR="00575F76" w:rsidRPr="006F27A9">
        <w:t>211 (End of development approvals generally)</w:t>
      </w:r>
      <w:r w:rsidR="0054245D" w:rsidRPr="006814CB">
        <w:t xml:space="preserve">; or </w:t>
      </w:r>
    </w:p>
    <w:p w14:paraId="72C01054" w14:textId="77777777" w:rsidR="0054245D" w:rsidRPr="006814CB" w:rsidRDefault="006814CB" w:rsidP="006814CB">
      <w:pPr>
        <w:pStyle w:val="Asubpara"/>
      </w:pPr>
      <w:r>
        <w:tab/>
      </w:r>
      <w:r w:rsidRPr="006814CB">
        <w:t>(ii)</w:t>
      </w:r>
      <w:r w:rsidRPr="006814CB">
        <w:tab/>
      </w:r>
      <w:r w:rsidR="0054245D" w:rsidRPr="006814CB">
        <w:t xml:space="preserve">because the redevelopment of the casino and casino precinct is completed in </w:t>
      </w:r>
      <w:r w:rsidR="00643768" w:rsidRPr="006814CB">
        <w:t>accordance with the approval</w:t>
      </w:r>
      <w:r w:rsidR="0054245D" w:rsidRPr="006814CB">
        <w:t xml:space="preserve">. </w:t>
      </w:r>
    </w:p>
    <w:p w14:paraId="4D3F649F" w14:textId="77777777" w:rsidR="00C73ED0" w:rsidRPr="006814CB" w:rsidRDefault="006814CB" w:rsidP="006814CB">
      <w:pPr>
        <w:pStyle w:val="Amain"/>
        <w:keepNext/>
      </w:pPr>
      <w:r>
        <w:tab/>
      </w:r>
      <w:r w:rsidRPr="006814CB">
        <w:t>(2)</w:t>
      </w:r>
      <w:r w:rsidRPr="006814CB">
        <w:tab/>
      </w:r>
      <w:r w:rsidR="002F587E" w:rsidRPr="006814CB">
        <w:t>The</w:t>
      </w:r>
      <w:r w:rsidR="00EF7577" w:rsidRPr="006814CB">
        <w:t xml:space="preserve"> casino licensee </w:t>
      </w:r>
      <w:r w:rsidR="00322075" w:rsidRPr="006814CB">
        <w:t>may dispose of</w:t>
      </w:r>
      <w:r w:rsidR="00332E54" w:rsidRPr="006814CB">
        <w:t xml:space="preserve"> </w:t>
      </w:r>
      <w:r w:rsidR="00475056" w:rsidRPr="006814CB">
        <w:t>1 or more</w:t>
      </w:r>
      <w:r w:rsidR="00A95FEF" w:rsidRPr="006814CB">
        <w:t xml:space="preserve"> </w:t>
      </w:r>
      <w:r w:rsidR="00332E54" w:rsidRPr="006814CB">
        <w:t xml:space="preserve">authorisations to a class C licensee. </w:t>
      </w:r>
    </w:p>
    <w:p w14:paraId="1403F637" w14:textId="77777777" w:rsidR="00E50F23" w:rsidRPr="006814CB" w:rsidRDefault="00E50F23" w:rsidP="00C32FF9">
      <w:pPr>
        <w:pStyle w:val="aNote"/>
      </w:pPr>
      <w:r w:rsidRPr="006814CB">
        <w:rPr>
          <w:rStyle w:val="charItals"/>
        </w:rPr>
        <w:t>Note 1</w:t>
      </w:r>
      <w:r w:rsidRPr="006814CB">
        <w:rPr>
          <w:rStyle w:val="charItals"/>
        </w:rPr>
        <w:tab/>
      </w:r>
      <w:r w:rsidRPr="006814CB">
        <w:t xml:space="preserve">The disposal of an authorisation is a notifiable action (see </w:t>
      </w:r>
      <w:r w:rsidR="00CF0AF9" w:rsidRPr="006814CB">
        <w:t>pt 10</w:t>
      </w:r>
      <w:r w:rsidRPr="006814CB">
        <w:t xml:space="preserve"> and </w:t>
      </w:r>
      <w:r w:rsidR="003A5ACB" w:rsidRPr="006814CB">
        <w:t>sch 2</w:t>
      </w:r>
      <w:r w:rsidRPr="006814CB">
        <w:t>).</w:t>
      </w:r>
    </w:p>
    <w:p w14:paraId="77095646" w14:textId="77777777" w:rsidR="00E50F23" w:rsidRPr="006814CB" w:rsidRDefault="00E50F23" w:rsidP="00C32FF9">
      <w:pPr>
        <w:pStyle w:val="aNote"/>
      </w:pPr>
      <w:r w:rsidRPr="006814CB">
        <w:rPr>
          <w:rStyle w:val="charItals"/>
        </w:rPr>
        <w:t>Note 2</w:t>
      </w:r>
      <w:r w:rsidRPr="006814CB">
        <w:tab/>
        <w:t xml:space="preserve">A notifiable action takes </w:t>
      </w:r>
      <w:r w:rsidR="00B77536" w:rsidRPr="006814CB">
        <w:t>effect</w:t>
      </w:r>
      <w:r w:rsidRPr="006814CB">
        <w:t>—</w:t>
      </w:r>
    </w:p>
    <w:p w14:paraId="3C3FA168" w14:textId="77777777" w:rsidR="00E50F23" w:rsidRPr="006814CB" w:rsidRDefault="00E50F23" w:rsidP="00C32FF9">
      <w:pPr>
        <w:pStyle w:val="aNotePara"/>
      </w:pPr>
      <w:r w:rsidRPr="006814CB">
        <w:tab/>
        <w:t>(a)</w:t>
      </w:r>
      <w:r w:rsidRPr="006814CB">
        <w:tab/>
        <w:t xml:space="preserve">the prescribed number of days after the day the commission receives the notification (see s </w:t>
      </w:r>
      <w:r w:rsidR="002E0DF3" w:rsidRPr="006814CB">
        <w:t>50</w:t>
      </w:r>
      <w:r w:rsidRPr="006814CB">
        <w:t xml:space="preserve"> (a)); or</w:t>
      </w:r>
    </w:p>
    <w:p w14:paraId="701FF4DC" w14:textId="77777777" w:rsidR="00E50F23" w:rsidRPr="006814CB" w:rsidRDefault="00E50F23" w:rsidP="00C32FF9">
      <w:pPr>
        <w:pStyle w:val="aNotePara"/>
      </w:pPr>
      <w:r w:rsidRPr="006814CB">
        <w:tab/>
        <w:t>(b)</w:t>
      </w:r>
      <w:r w:rsidRPr="006814CB">
        <w:tab/>
        <w:t xml:space="preserve">if the commission allows the notifiable action to take </w:t>
      </w:r>
      <w:r w:rsidR="00B77536" w:rsidRPr="006814CB">
        <w:t>effect</w:t>
      </w:r>
      <w:r w:rsidRPr="006814CB">
        <w:t xml:space="preserve"> on an earlier day—that day (see s </w:t>
      </w:r>
      <w:r w:rsidR="002E0DF3" w:rsidRPr="006814CB">
        <w:t>50</w:t>
      </w:r>
      <w:r w:rsidRPr="006814CB">
        <w:t xml:space="preserve"> (b)); or</w:t>
      </w:r>
    </w:p>
    <w:p w14:paraId="15019336" w14:textId="77777777" w:rsidR="004C7853" w:rsidRPr="006814CB" w:rsidRDefault="00E50F23" w:rsidP="00C32FF9">
      <w:pPr>
        <w:pStyle w:val="aNotePara"/>
      </w:pPr>
      <w:r w:rsidRPr="006814CB">
        <w:tab/>
        <w:t>(c)</w:t>
      </w:r>
      <w:r w:rsidRPr="006814CB">
        <w:tab/>
        <w:t>if the commission asks for additional information under s </w:t>
      </w:r>
      <w:r w:rsidR="002E0DF3" w:rsidRPr="006814CB">
        <w:t>49</w:t>
      </w:r>
      <w:r w:rsidR="003A5ACB" w:rsidRPr="006814CB">
        <w:t> (3)</w:t>
      </w:r>
      <w:r w:rsidRPr="006814CB">
        <w:t>—when the commission has notified the licensee that it is satisfied in relation to the additional information (see s </w:t>
      </w:r>
      <w:r w:rsidR="002E0DF3" w:rsidRPr="006814CB">
        <w:t>50</w:t>
      </w:r>
      <w:r w:rsidRPr="006814CB">
        <w:t xml:space="preserve"> (c)).</w:t>
      </w:r>
    </w:p>
    <w:p w14:paraId="787938AF" w14:textId="5D6F08BB" w:rsidR="00475056" w:rsidRPr="006814CB" w:rsidRDefault="00475056" w:rsidP="00C32FF9">
      <w:pPr>
        <w:pStyle w:val="aNote"/>
        <w:keepLines/>
      </w:pPr>
      <w:r w:rsidRPr="006814CB">
        <w:rPr>
          <w:rStyle w:val="charItals"/>
        </w:rPr>
        <w:t>Note 3</w:t>
      </w:r>
      <w:r w:rsidRPr="006814CB">
        <w:rPr>
          <w:rStyle w:val="charItals"/>
        </w:rPr>
        <w:tab/>
      </w:r>
      <w:r w:rsidRPr="006814CB">
        <w:t>A class C licensee may only acquire an authorisation if the class</w:t>
      </w:r>
      <w:r w:rsidR="003A5ACB" w:rsidRPr="006814CB">
        <w:t> </w:t>
      </w:r>
      <w:r w:rsidRPr="006814CB">
        <w:t>C licensee has less than the maximum number of authorisations for class</w:t>
      </w:r>
      <w:r w:rsidR="003A5ACB" w:rsidRPr="006814CB">
        <w:t> </w:t>
      </w:r>
      <w:r w:rsidRPr="006814CB">
        <w:t xml:space="preserve">C gaming machines allowed under the licensee’s authorisation certificate (see </w:t>
      </w:r>
      <w:hyperlink r:id="rId46" w:tooltip="A2004-34" w:history="1">
        <w:r w:rsidR="00253379" w:rsidRPr="006814CB">
          <w:rPr>
            <w:rStyle w:val="charCitHyperlinkItal"/>
          </w:rPr>
          <w:t>Gaming Machine Act 2004</w:t>
        </w:r>
      </w:hyperlink>
      <w:r w:rsidRPr="006814CB">
        <w:t>, s 127E and s 127G).</w:t>
      </w:r>
    </w:p>
    <w:p w14:paraId="5D808902" w14:textId="77777777" w:rsidR="00A95FEF" w:rsidRPr="006814CB" w:rsidRDefault="006814CB" w:rsidP="006814CB">
      <w:pPr>
        <w:pStyle w:val="Amain"/>
      </w:pPr>
      <w:r>
        <w:tab/>
      </w:r>
      <w:r w:rsidRPr="006814CB">
        <w:t>(3)</w:t>
      </w:r>
      <w:r w:rsidRPr="006814CB">
        <w:tab/>
      </w:r>
      <w:r w:rsidR="00A95FEF" w:rsidRPr="006814CB">
        <w:t>The</w:t>
      </w:r>
      <w:r w:rsidR="00792CFB" w:rsidRPr="006814CB">
        <w:t xml:space="preserve"> casino licensee must dispose of the authorisations not later than 3 months after the date</w:t>
      </w:r>
      <w:r w:rsidR="00A95FEF" w:rsidRPr="006814CB">
        <w:t xml:space="preserve"> the </w:t>
      </w:r>
      <w:r w:rsidR="004D6625" w:rsidRPr="006814CB">
        <w:t>development approval ends.</w:t>
      </w:r>
    </w:p>
    <w:p w14:paraId="2715003F" w14:textId="77777777" w:rsidR="00792CFB" w:rsidRPr="006814CB" w:rsidRDefault="006814CB" w:rsidP="006814CB">
      <w:pPr>
        <w:pStyle w:val="Amain"/>
      </w:pPr>
      <w:r>
        <w:tab/>
      </w:r>
      <w:r w:rsidRPr="006814CB">
        <w:t>(4)</w:t>
      </w:r>
      <w:r w:rsidRPr="006814CB">
        <w:tab/>
      </w:r>
      <w:r w:rsidR="00792CFB" w:rsidRPr="006814CB">
        <w:t>An authorisation not disposed of within the 3 months is forfeited to the Territory.</w:t>
      </w:r>
    </w:p>
    <w:p w14:paraId="6BB747A7" w14:textId="77777777" w:rsidR="00792CFB" w:rsidRPr="006814CB" w:rsidRDefault="006814CB" w:rsidP="006814CB">
      <w:pPr>
        <w:pStyle w:val="Amain"/>
      </w:pPr>
      <w:r>
        <w:tab/>
      </w:r>
      <w:r w:rsidRPr="006814CB">
        <w:t>(5)</w:t>
      </w:r>
      <w:r w:rsidRPr="006814CB">
        <w:tab/>
      </w:r>
      <w:r w:rsidR="00792CFB" w:rsidRPr="006814CB">
        <w:t>The casino licensee is not entitled to claim compensation from the Territory for an authorisation forfeited to the Territory under subsection (</w:t>
      </w:r>
      <w:r w:rsidR="00475056" w:rsidRPr="006814CB">
        <w:t>4</w:t>
      </w:r>
      <w:r w:rsidR="00792CFB" w:rsidRPr="006814CB">
        <w:t xml:space="preserve">). </w:t>
      </w:r>
    </w:p>
    <w:p w14:paraId="7144B88B" w14:textId="77777777" w:rsidR="004D6625" w:rsidRPr="006814CB" w:rsidRDefault="006814CB" w:rsidP="006814CB">
      <w:pPr>
        <w:pStyle w:val="AH5Sec"/>
      </w:pPr>
      <w:bookmarkStart w:id="37" w:name="_Toc147827600"/>
      <w:r w:rsidRPr="00251CCE">
        <w:rPr>
          <w:rStyle w:val="CharSectNo"/>
        </w:rPr>
        <w:lastRenderedPageBreak/>
        <w:t>25</w:t>
      </w:r>
      <w:r w:rsidRPr="006814CB">
        <w:tab/>
      </w:r>
      <w:r w:rsidR="004D6625" w:rsidRPr="006814CB">
        <w:t xml:space="preserve">Status of </w:t>
      </w:r>
      <w:r w:rsidR="00580A86" w:rsidRPr="006814CB">
        <w:t>converted authorisations if development approval ends</w:t>
      </w:r>
      <w:bookmarkEnd w:id="37"/>
    </w:p>
    <w:p w14:paraId="74689578" w14:textId="77777777" w:rsidR="00580A86" w:rsidRPr="006814CB" w:rsidRDefault="006814CB" w:rsidP="006814CB">
      <w:pPr>
        <w:pStyle w:val="Amain"/>
      </w:pPr>
      <w:r>
        <w:tab/>
      </w:r>
      <w:r w:rsidRPr="006814CB">
        <w:t>(1)</w:t>
      </w:r>
      <w:r w:rsidRPr="006814CB">
        <w:tab/>
      </w:r>
      <w:r w:rsidR="00580A86" w:rsidRPr="006814CB">
        <w:t>This section applies if—</w:t>
      </w:r>
    </w:p>
    <w:p w14:paraId="6B3B08DD" w14:textId="77777777" w:rsidR="00580A86" w:rsidRPr="006814CB" w:rsidRDefault="006814CB" w:rsidP="006814CB">
      <w:pPr>
        <w:pStyle w:val="Apara"/>
      </w:pPr>
      <w:r>
        <w:tab/>
      </w:r>
      <w:r w:rsidRPr="006814CB">
        <w:t>(a)</w:t>
      </w:r>
      <w:r w:rsidRPr="006814CB">
        <w:tab/>
      </w:r>
      <w:r w:rsidR="00580A86" w:rsidRPr="006814CB">
        <w:t xml:space="preserve">the casino licensee has </w:t>
      </w:r>
      <w:r w:rsidR="00A75D8C" w:rsidRPr="006814CB">
        <w:t>a</w:t>
      </w:r>
      <w:r w:rsidR="00580A86" w:rsidRPr="006814CB">
        <w:t xml:space="preserve"> casi</w:t>
      </w:r>
      <w:r w:rsidR="00A75D8C" w:rsidRPr="006814CB">
        <w:t>no gaming machine authorisation</w:t>
      </w:r>
      <w:r w:rsidR="00580A86" w:rsidRPr="006814CB">
        <w:t xml:space="preserve"> or </w:t>
      </w:r>
      <w:r w:rsidR="00A5228B" w:rsidRPr="006814CB">
        <w:t>casino FATG terminal authorisation</w:t>
      </w:r>
      <w:r w:rsidR="00580A86" w:rsidRPr="006814CB">
        <w:t>; and</w:t>
      </w:r>
    </w:p>
    <w:p w14:paraId="52CFF242" w14:textId="77777777" w:rsidR="00580A86" w:rsidRPr="006814CB" w:rsidRDefault="006814CB" w:rsidP="006814CB">
      <w:pPr>
        <w:pStyle w:val="Apara"/>
      </w:pPr>
      <w:r>
        <w:tab/>
      </w:r>
      <w:r w:rsidRPr="006814CB">
        <w:t>(b)</w:t>
      </w:r>
      <w:r w:rsidRPr="006814CB">
        <w:tab/>
      </w:r>
      <w:r w:rsidR="00580A86" w:rsidRPr="006814CB">
        <w:t>the development approval for the redevelopment of the casino ends for a reason other than because the redevelopment is completed</w:t>
      </w:r>
      <w:r w:rsidR="00A75D8C" w:rsidRPr="006814CB">
        <w:t xml:space="preserve"> in accordance with the approval</w:t>
      </w:r>
      <w:r w:rsidR="00580A86" w:rsidRPr="006814CB">
        <w:t xml:space="preserve">. </w:t>
      </w:r>
    </w:p>
    <w:p w14:paraId="0E8D9E14" w14:textId="77777777" w:rsidR="00580A86" w:rsidRPr="006814CB" w:rsidRDefault="006814CB" w:rsidP="006814CB">
      <w:pPr>
        <w:pStyle w:val="Amain"/>
      </w:pPr>
      <w:r>
        <w:tab/>
      </w:r>
      <w:r w:rsidRPr="006814CB">
        <w:t>(2)</w:t>
      </w:r>
      <w:r w:rsidRPr="006814CB">
        <w:tab/>
      </w:r>
      <w:r w:rsidR="00580A86" w:rsidRPr="006814CB">
        <w:t>To remove any doubt—</w:t>
      </w:r>
    </w:p>
    <w:p w14:paraId="69F61F68" w14:textId="77777777" w:rsidR="00580A86" w:rsidRPr="006814CB" w:rsidRDefault="006814CB" w:rsidP="006814CB">
      <w:pPr>
        <w:pStyle w:val="Apara"/>
      </w:pPr>
      <w:r>
        <w:tab/>
      </w:r>
      <w:r w:rsidRPr="006814CB">
        <w:t>(a)</w:t>
      </w:r>
      <w:r w:rsidRPr="006814CB">
        <w:tab/>
      </w:r>
      <w:r w:rsidR="00A75D8C" w:rsidRPr="006814CB">
        <w:t>the authorisation</w:t>
      </w:r>
      <w:r w:rsidR="00580A86" w:rsidRPr="006814CB">
        <w:t xml:space="preserve"> remain</w:t>
      </w:r>
      <w:r w:rsidR="00A75D8C" w:rsidRPr="006814CB">
        <w:t>s</w:t>
      </w:r>
      <w:r w:rsidR="00580A86" w:rsidRPr="006814CB">
        <w:t xml:space="preserve"> in force; and</w:t>
      </w:r>
    </w:p>
    <w:p w14:paraId="221FD730" w14:textId="77777777" w:rsidR="00580A86" w:rsidRPr="006814CB" w:rsidRDefault="006814CB" w:rsidP="006814CB">
      <w:pPr>
        <w:pStyle w:val="Apara"/>
      </w:pPr>
      <w:r>
        <w:tab/>
      </w:r>
      <w:r w:rsidRPr="006814CB">
        <w:t>(b)</w:t>
      </w:r>
      <w:r w:rsidRPr="006814CB">
        <w:tab/>
      </w:r>
      <w:r w:rsidR="00A75D8C" w:rsidRPr="006814CB">
        <w:t>a</w:t>
      </w:r>
      <w:r w:rsidR="00580A86" w:rsidRPr="006814CB">
        <w:t xml:space="preserve"> casino gaming machine or casino FATG terminal o</w:t>
      </w:r>
      <w:r w:rsidR="00A75D8C" w:rsidRPr="006814CB">
        <w:t>perated under the authorisation</w:t>
      </w:r>
      <w:r w:rsidR="00580A86" w:rsidRPr="006814CB">
        <w:t xml:space="preserve"> may continue to be operated.</w:t>
      </w:r>
    </w:p>
    <w:p w14:paraId="3A8F1053" w14:textId="77777777" w:rsidR="00A75D8C" w:rsidRPr="006814CB" w:rsidRDefault="00A75D8C" w:rsidP="006814CB">
      <w:pPr>
        <w:pStyle w:val="PageBreak"/>
        <w:suppressLineNumbers/>
      </w:pPr>
      <w:r w:rsidRPr="006814CB">
        <w:br w:type="page"/>
      </w:r>
    </w:p>
    <w:p w14:paraId="1D72095C" w14:textId="77777777" w:rsidR="00A75D8C" w:rsidRPr="00251CCE" w:rsidRDefault="006814CB" w:rsidP="006814CB">
      <w:pPr>
        <w:pStyle w:val="AH2Part"/>
      </w:pPr>
      <w:bookmarkStart w:id="38" w:name="_Toc147827601"/>
      <w:r w:rsidRPr="00251CCE">
        <w:rPr>
          <w:rStyle w:val="CharPartNo"/>
        </w:rPr>
        <w:lastRenderedPageBreak/>
        <w:t>Part 6</w:t>
      </w:r>
      <w:r w:rsidRPr="006814CB">
        <w:tab/>
      </w:r>
      <w:r w:rsidR="00A75D8C" w:rsidRPr="00251CCE">
        <w:rPr>
          <w:rStyle w:val="CharPartText"/>
        </w:rPr>
        <w:t>Acquiring casino gaming machines and casino FATG terminals</w:t>
      </w:r>
      <w:bookmarkEnd w:id="38"/>
    </w:p>
    <w:p w14:paraId="3ADDD3A8" w14:textId="77777777" w:rsidR="005E364E" w:rsidRPr="006814CB" w:rsidRDefault="006814CB" w:rsidP="006814CB">
      <w:pPr>
        <w:pStyle w:val="AH5Sec"/>
      </w:pPr>
      <w:bookmarkStart w:id="39" w:name="_Toc147827602"/>
      <w:r w:rsidRPr="00251CCE">
        <w:rPr>
          <w:rStyle w:val="CharSectNo"/>
        </w:rPr>
        <w:t>26</w:t>
      </w:r>
      <w:r w:rsidRPr="006814CB">
        <w:tab/>
      </w:r>
      <w:r w:rsidR="005E364E" w:rsidRPr="006814CB">
        <w:t xml:space="preserve">Acquiring </w:t>
      </w:r>
      <w:r w:rsidR="00580A86" w:rsidRPr="006814CB">
        <w:t xml:space="preserve">casino </w:t>
      </w:r>
      <w:r w:rsidR="005E364E" w:rsidRPr="006814CB">
        <w:t>gaming machine under authorisation</w:t>
      </w:r>
      <w:bookmarkEnd w:id="39"/>
    </w:p>
    <w:p w14:paraId="6B0DA793" w14:textId="77777777" w:rsidR="005E364E" w:rsidRPr="006814CB" w:rsidRDefault="006814CB" w:rsidP="006814CB">
      <w:pPr>
        <w:pStyle w:val="Amain"/>
        <w:keepNext/>
      </w:pPr>
      <w:r>
        <w:tab/>
      </w:r>
      <w:r w:rsidRPr="006814CB">
        <w:t>(1)</w:t>
      </w:r>
      <w:r w:rsidRPr="006814CB">
        <w:tab/>
      </w:r>
      <w:r w:rsidR="005E364E" w:rsidRPr="006814CB">
        <w:t xml:space="preserve">The casino licensee may acquire a </w:t>
      </w:r>
      <w:r w:rsidR="00A75D8C" w:rsidRPr="006814CB">
        <w:t xml:space="preserve">casino </w:t>
      </w:r>
      <w:r w:rsidR="005E364E" w:rsidRPr="006814CB">
        <w:t xml:space="preserve">gaming machine </w:t>
      </w:r>
      <w:r w:rsidR="00A75D8C" w:rsidRPr="006814CB">
        <w:t>under</w:t>
      </w:r>
      <w:r w:rsidR="005E364E" w:rsidRPr="006814CB">
        <w:t xml:space="preserve"> an authorisation only if, when the gaming machine is acquired, the authorisation is a casino gaming machine authorisation.</w:t>
      </w:r>
    </w:p>
    <w:p w14:paraId="05E2A08D" w14:textId="77777777" w:rsidR="005E364E" w:rsidRPr="006814CB" w:rsidRDefault="005E364E" w:rsidP="006814CB">
      <w:pPr>
        <w:pStyle w:val="aNote"/>
        <w:keepNext/>
      </w:pPr>
      <w:r w:rsidRPr="006814CB">
        <w:rPr>
          <w:rStyle w:val="charItals"/>
        </w:rPr>
        <w:t>Note 1</w:t>
      </w:r>
      <w:r w:rsidRPr="006814CB">
        <w:rPr>
          <w:rStyle w:val="charItals"/>
        </w:rPr>
        <w:tab/>
      </w:r>
      <w:r w:rsidRPr="006814CB">
        <w:t xml:space="preserve">The acquisition of a </w:t>
      </w:r>
      <w:r w:rsidR="00A75D8C" w:rsidRPr="006814CB">
        <w:t xml:space="preserve">casino </w:t>
      </w:r>
      <w:r w:rsidRPr="006814CB">
        <w:t xml:space="preserve">gaming machine is a notifiable action (see </w:t>
      </w:r>
      <w:r w:rsidR="00CF0AF9" w:rsidRPr="006814CB">
        <w:t>pt 10</w:t>
      </w:r>
      <w:r w:rsidRPr="006814CB">
        <w:t xml:space="preserve"> and</w:t>
      </w:r>
      <w:r w:rsidR="00CF0AF9" w:rsidRPr="006814CB">
        <w:t xml:space="preserve"> sch 2</w:t>
      </w:r>
      <w:r w:rsidRPr="006814CB">
        <w:t>).</w:t>
      </w:r>
    </w:p>
    <w:p w14:paraId="6235F54C" w14:textId="77777777" w:rsidR="003A5ACB" w:rsidRPr="006814CB" w:rsidRDefault="003A5ACB" w:rsidP="006814CB">
      <w:pPr>
        <w:pStyle w:val="aNote"/>
        <w:keepNext/>
      </w:pPr>
      <w:r w:rsidRPr="006814CB">
        <w:rPr>
          <w:rStyle w:val="charItals"/>
        </w:rPr>
        <w:t>Note 2</w:t>
      </w:r>
      <w:r w:rsidRPr="006814CB">
        <w:tab/>
        <w:t xml:space="preserve">A notifiable action takes </w:t>
      </w:r>
      <w:r w:rsidR="008C5AC8" w:rsidRPr="006814CB">
        <w:t>effect</w:t>
      </w:r>
      <w:r w:rsidRPr="006814CB">
        <w:t>—</w:t>
      </w:r>
    </w:p>
    <w:p w14:paraId="4B1047AA" w14:textId="77777777" w:rsidR="003A5ACB" w:rsidRPr="006814CB" w:rsidRDefault="003A5ACB" w:rsidP="006814CB">
      <w:pPr>
        <w:pStyle w:val="aNotePara"/>
        <w:keepNext/>
      </w:pPr>
      <w:r w:rsidRPr="006814CB">
        <w:tab/>
        <w:t>(a)</w:t>
      </w:r>
      <w:r w:rsidRPr="006814CB">
        <w:tab/>
        <w:t xml:space="preserve">the prescribed number of days after the day the commission receives the notification (see s </w:t>
      </w:r>
      <w:r w:rsidR="002E0DF3" w:rsidRPr="006814CB">
        <w:t>50</w:t>
      </w:r>
      <w:r w:rsidRPr="006814CB">
        <w:t xml:space="preserve"> (a)); or</w:t>
      </w:r>
    </w:p>
    <w:p w14:paraId="4A9A238B" w14:textId="77777777" w:rsidR="003A5ACB" w:rsidRPr="006814CB" w:rsidRDefault="003A5ACB" w:rsidP="006814CB">
      <w:pPr>
        <w:pStyle w:val="aNotePara"/>
        <w:keepNext/>
      </w:pPr>
      <w:r w:rsidRPr="006814CB">
        <w:tab/>
        <w:t>(b)</w:t>
      </w:r>
      <w:r w:rsidRPr="006814CB">
        <w:tab/>
        <w:t xml:space="preserve">if the commission allows the notifiable action to take </w:t>
      </w:r>
      <w:r w:rsidR="008C5AC8" w:rsidRPr="006814CB">
        <w:t>effect</w:t>
      </w:r>
      <w:r w:rsidRPr="006814CB">
        <w:t xml:space="preserve"> on an earlier day—that day (see s </w:t>
      </w:r>
      <w:r w:rsidR="002E0DF3" w:rsidRPr="006814CB">
        <w:t>50</w:t>
      </w:r>
      <w:r w:rsidRPr="006814CB">
        <w:t xml:space="preserve"> (b)); or</w:t>
      </w:r>
    </w:p>
    <w:p w14:paraId="16525CB9" w14:textId="77777777" w:rsidR="003A5ACB" w:rsidRPr="006814CB" w:rsidRDefault="003A5ACB" w:rsidP="003A5ACB">
      <w:pPr>
        <w:pStyle w:val="aNotePara"/>
      </w:pPr>
      <w:r w:rsidRPr="006814CB">
        <w:tab/>
        <w:t>(c)</w:t>
      </w:r>
      <w:r w:rsidRPr="006814CB">
        <w:tab/>
        <w:t>if the commission asks for additional information under s </w:t>
      </w:r>
      <w:r w:rsidR="002E0DF3" w:rsidRPr="006814CB">
        <w:t>49</w:t>
      </w:r>
      <w:r w:rsidRPr="006814CB">
        <w:t> (3)—when the commission has notified the licensee that it is satisfied in relation to the additional information (see s </w:t>
      </w:r>
      <w:r w:rsidR="002E0DF3" w:rsidRPr="006814CB">
        <w:t>50</w:t>
      </w:r>
      <w:r w:rsidRPr="006814CB">
        <w:t xml:space="preserve"> (c)).</w:t>
      </w:r>
    </w:p>
    <w:p w14:paraId="70BBD4C9" w14:textId="77777777" w:rsidR="00465180" w:rsidRPr="006814CB" w:rsidRDefault="006814CB" w:rsidP="006814CB">
      <w:pPr>
        <w:pStyle w:val="Amain"/>
      </w:pPr>
      <w:r>
        <w:tab/>
      </w:r>
      <w:r w:rsidRPr="006814CB">
        <w:t>(2)</w:t>
      </w:r>
      <w:r w:rsidRPr="006814CB">
        <w:tab/>
      </w:r>
      <w:r w:rsidR="00A75D8C" w:rsidRPr="006814CB">
        <w:t>A casino gaming machine acquired under a casino gaming machine authorisation must</w:t>
      </w:r>
      <w:r w:rsidR="00465180" w:rsidRPr="006814CB">
        <w:t>—</w:t>
      </w:r>
    </w:p>
    <w:p w14:paraId="70DF09F8" w14:textId="77777777" w:rsidR="00A739F4" w:rsidRPr="006814CB" w:rsidRDefault="006814CB" w:rsidP="006814CB">
      <w:pPr>
        <w:pStyle w:val="Apara"/>
      </w:pPr>
      <w:r>
        <w:tab/>
      </w:r>
      <w:r w:rsidRPr="006814CB">
        <w:t>(a)</w:t>
      </w:r>
      <w:r w:rsidRPr="006814CB">
        <w:tab/>
      </w:r>
      <w:r w:rsidR="00A739F4" w:rsidRPr="006814CB">
        <w:t>have a stake amount that is not more than—</w:t>
      </w:r>
    </w:p>
    <w:p w14:paraId="378E5F1D" w14:textId="77777777" w:rsidR="00A739F4" w:rsidRPr="006814CB" w:rsidRDefault="006814CB" w:rsidP="006814CB">
      <w:pPr>
        <w:pStyle w:val="Asubpara"/>
      </w:pPr>
      <w:r>
        <w:tab/>
      </w:r>
      <w:r w:rsidRPr="006814CB">
        <w:t>(i)</w:t>
      </w:r>
      <w:r w:rsidRPr="006814CB">
        <w:tab/>
      </w:r>
      <w:r w:rsidR="0086788B">
        <w:t>$2</w:t>
      </w:r>
      <w:r w:rsidR="00A739F4" w:rsidRPr="006814CB">
        <w:t>; or</w:t>
      </w:r>
    </w:p>
    <w:p w14:paraId="6BE3A44A" w14:textId="77777777" w:rsidR="00A739F4" w:rsidRPr="006814CB" w:rsidRDefault="006814CB" w:rsidP="006814CB">
      <w:pPr>
        <w:pStyle w:val="Asubpara"/>
      </w:pPr>
      <w:r>
        <w:tab/>
      </w:r>
      <w:r w:rsidRPr="006814CB">
        <w:t>(ii)</w:t>
      </w:r>
      <w:r w:rsidRPr="006814CB">
        <w:tab/>
      </w:r>
      <w:r w:rsidR="00A739F4" w:rsidRPr="006814CB">
        <w:t>if a regulation prescribes a lower amount—the lower amount; and</w:t>
      </w:r>
    </w:p>
    <w:p w14:paraId="17229309" w14:textId="77777777" w:rsidR="00A739F4" w:rsidRPr="006814CB" w:rsidRDefault="006814CB" w:rsidP="006814CB">
      <w:pPr>
        <w:pStyle w:val="Apara"/>
      </w:pPr>
      <w:r>
        <w:tab/>
      </w:r>
      <w:r w:rsidRPr="006814CB">
        <w:t>(b)</w:t>
      </w:r>
      <w:r w:rsidRPr="006814CB">
        <w:tab/>
      </w:r>
      <w:r w:rsidR="00465180" w:rsidRPr="006814CB">
        <w:t xml:space="preserve">be able to be connected to a system (a </w:t>
      </w:r>
      <w:r w:rsidR="00465180" w:rsidRPr="006814CB">
        <w:rPr>
          <w:rStyle w:val="charBoldItals"/>
        </w:rPr>
        <w:t>centralised monitoring system</w:t>
      </w:r>
      <w:r w:rsidR="00465180" w:rsidRPr="006814CB">
        <w:t xml:space="preserve">) </w:t>
      </w:r>
      <w:r w:rsidR="00213F7A" w:rsidRPr="006814CB">
        <w:t xml:space="preserve">approved by the commission </w:t>
      </w:r>
      <w:r w:rsidR="00465180" w:rsidRPr="006814CB">
        <w:t>that</w:t>
      </w:r>
      <w:r w:rsidR="00A739F4" w:rsidRPr="006814CB">
        <w:t>—</w:t>
      </w:r>
    </w:p>
    <w:p w14:paraId="246F8654" w14:textId="77777777" w:rsidR="00A739F4" w:rsidRPr="006814CB" w:rsidRDefault="006814CB" w:rsidP="006814CB">
      <w:pPr>
        <w:pStyle w:val="Asubpara"/>
      </w:pPr>
      <w:r>
        <w:tab/>
      </w:r>
      <w:r w:rsidRPr="006814CB">
        <w:t>(i)</w:t>
      </w:r>
      <w:r w:rsidRPr="006814CB">
        <w:tab/>
      </w:r>
      <w:r w:rsidR="00465180" w:rsidRPr="006814CB">
        <w:t>monitors the operation and performance of casino gaming machines</w:t>
      </w:r>
      <w:r w:rsidR="0027743F" w:rsidRPr="006814CB">
        <w:t>;</w:t>
      </w:r>
      <w:r w:rsidR="00465180" w:rsidRPr="006814CB">
        <w:t xml:space="preserve"> and </w:t>
      </w:r>
    </w:p>
    <w:p w14:paraId="658117FC" w14:textId="77777777" w:rsidR="00465180" w:rsidRPr="006814CB" w:rsidRDefault="006814CB" w:rsidP="006814CB">
      <w:pPr>
        <w:pStyle w:val="Asubpara"/>
      </w:pPr>
      <w:r>
        <w:tab/>
      </w:r>
      <w:r w:rsidRPr="006814CB">
        <w:t>(ii)</w:t>
      </w:r>
      <w:r w:rsidRPr="006814CB">
        <w:tab/>
      </w:r>
      <w:r w:rsidR="00465180" w:rsidRPr="006814CB">
        <w:t>can perform other related functions; and</w:t>
      </w:r>
    </w:p>
    <w:p w14:paraId="248205BA" w14:textId="77777777" w:rsidR="00A75D8C" w:rsidRPr="006814CB" w:rsidRDefault="006814CB" w:rsidP="006814CB">
      <w:pPr>
        <w:pStyle w:val="Apara"/>
      </w:pPr>
      <w:r>
        <w:lastRenderedPageBreak/>
        <w:tab/>
      </w:r>
      <w:r w:rsidRPr="006814CB">
        <w:t>(c)</w:t>
      </w:r>
      <w:r w:rsidRPr="006814CB">
        <w:tab/>
      </w:r>
      <w:r w:rsidR="00A75D8C" w:rsidRPr="006814CB">
        <w:t xml:space="preserve">satisfy </w:t>
      </w:r>
      <w:r w:rsidR="00465180" w:rsidRPr="006814CB">
        <w:t>any other</w:t>
      </w:r>
      <w:r w:rsidR="00A75D8C" w:rsidRPr="006814CB">
        <w:t xml:space="preserve"> harm minimisation requirements prescribed by regulation.</w:t>
      </w:r>
    </w:p>
    <w:p w14:paraId="2B22689E" w14:textId="77777777" w:rsidR="00213F7A" w:rsidRPr="006814CB" w:rsidRDefault="006814CB" w:rsidP="006814CB">
      <w:pPr>
        <w:pStyle w:val="Amain"/>
        <w:keepNext/>
      </w:pPr>
      <w:r>
        <w:tab/>
      </w:r>
      <w:r w:rsidRPr="006814CB">
        <w:t>(3)</w:t>
      </w:r>
      <w:r w:rsidRPr="006814CB">
        <w:tab/>
      </w:r>
      <w:r w:rsidR="00213F7A" w:rsidRPr="006814CB">
        <w:t>An approval under subsection (2) (b) is a notifiable instrument.</w:t>
      </w:r>
    </w:p>
    <w:p w14:paraId="62144A24" w14:textId="5B62F85D" w:rsidR="00213F7A" w:rsidRPr="006814CB" w:rsidRDefault="00213F7A" w:rsidP="00213F7A">
      <w:pPr>
        <w:pStyle w:val="aNote"/>
      </w:pPr>
      <w:r w:rsidRPr="006814CB">
        <w:rPr>
          <w:rStyle w:val="charItals"/>
        </w:rPr>
        <w:t>Note</w:t>
      </w:r>
      <w:r w:rsidRPr="006814CB">
        <w:rPr>
          <w:rStyle w:val="charItals"/>
        </w:rPr>
        <w:tab/>
      </w:r>
      <w:r w:rsidRPr="006814CB">
        <w:t xml:space="preserve">A notifiable instrument must be notified under the </w:t>
      </w:r>
      <w:hyperlink r:id="rId47" w:tooltip="A2001-14" w:history="1">
        <w:r w:rsidR="00253379" w:rsidRPr="006814CB">
          <w:rPr>
            <w:rStyle w:val="charCitHyperlinkAbbrev"/>
          </w:rPr>
          <w:t>Legislation Act</w:t>
        </w:r>
      </w:hyperlink>
      <w:r w:rsidRPr="006814CB">
        <w:t>.</w:t>
      </w:r>
    </w:p>
    <w:p w14:paraId="3F6D31A0" w14:textId="77777777" w:rsidR="0020558F" w:rsidRPr="006814CB" w:rsidRDefault="006814CB" w:rsidP="006814CB">
      <w:pPr>
        <w:pStyle w:val="Amain"/>
      </w:pPr>
      <w:r>
        <w:tab/>
      </w:r>
      <w:r w:rsidRPr="006814CB">
        <w:t>(4)</w:t>
      </w:r>
      <w:r w:rsidRPr="006814CB">
        <w:tab/>
      </w:r>
      <w:r w:rsidR="0020558F" w:rsidRPr="006814CB">
        <w:t>A regulation may provide for the approval and operation of a centralised monitoring system.</w:t>
      </w:r>
    </w:p>
    <w:p w14:paraId="5B15AC34" w14:textId="77777777" w:rsidR="00A739F4" w:rsidRPr="006814CB" w:rsidRDefault="006814CB" w:rsidP="006814CB">
      <w:pPr>
        <w:pStyle w:val="Amain"/>
      </w:pPr>
      <w:r>
        <w:tab/>
      </w:r>
      <w:r w:rsidRPr="006814CB">
        <w:t>(5)</w:t>
      </w:r>
      <w:r w:rsidRPr="006814CB">
        <w:tab/>
      </w:r>
      <w:r w:rsidR="001C6F40" w:rsidRPr="006814CB">
        <w:t xml:space="preserve">The casino licensee </w:t>
      </w:r>
      <w:r w:rsidR="00A739F4" w:rsidRPr="006814CB">
        <w:t>commits an offence if—</w:t>
      </w:r>
    </w:p>
    <w:p w14:paraId="697C2200" w14:textId="77777777" w:rsidR="00A739F4" w:rsidRPr="006814CB" w:rsidRDefault="006814CB" w:rsidP="006814CB">
      <w:pPr>
        <w:pStyle w:val="Apara"/>
      </w:pPr>
      <w:r>
        <w:tab/>
      </w:r>
      <w:r w:rsidRPr="006814CB">
        <w:t>(a)</w:t>
      </w:r>
      <w:r w:rsidRPr="006814CB">
        <w:tab/>
      </w:r>
      <w:r w:rsidR="00A739F4" w:rsidRPr="006814CB">
        <w:t>the casino licensee allows a person to use a casino gaming machine in the casino; and</w:t>
      </w:r>
    </w:p>
    <w:p w14:paraId="5A315568" w14:textId="77777777" w:rsidR="001C6F40" w:rsidRPr="006814CB" w:rsidRDefault="006814CB" w:rsidP="006814CB">
      <w:pPr>
        <w:pStyle w:val="Apara"/>
      </w:pPr>
      <w:r>
        <w:tab/>
      </w:r>
      <w:r w:rsidRPr="006814CB">
        <w:t>(b)</w:t>
      </w:r>
      <w:r w:rsidRPr="006814CB">
        <w:tab/>
      </w:r>
      <w:r w:rsidR="00A739F4" w:rsidRPr="006814CB">
        <w:t xml:space="preserve">the </w:t>
      </w:r>
      <w:r w:rsidR="001C6F40" w:rsidRPr="006814CB">
        <w:t xml:space="preserve">gaming machine </w:t>
      </w:r>
      <w:r w:rsidR="00A739F4" w:rsidRPr="006814CB">
        <w:t xml:space="preserve">has a stake amount that </w:t>
      </w:r>
      <w:r w:rsidR="001C6F40" w:rsidRPr="006814CB">
        <w:t>is more than—</w:t>
      </w:r>
    </w:p>
    <w:p w14:paraId="31A656D7" w14:textId="77777777" w:rsidR="00A739F4" w:rsidRPr="006814CB" w:rsidRDefault="006814CB" w:rsidP="006814CB">
      <w:pPr>
        <w:pStyle w:val="Asubpara"/>
      </w:pPr>
      <w:r>
        <w:tab/>
      </w:r>
      <w:r w:rsidRPr="006814CB">
        <w:t>(i)</w:t>
      </w:r>
      <w:r w:rsidRPr="006814CB">
        <w:tab/>
      </w:r>
      <w:r w:rsidR="0086788B">
        <w:t>$2</w:t>
      </w:r>
      <w:r w:rsidR="00A739F4" w:rsidRPr="006814CB">
        <w:t>; or</w:t>
      </w:r>
    </w:p>
    <w:p w14:paraId="555E4AB3" w14:textId="77777777" w:rsidR="00A739F4" w:rsidRPr="006814CB" w:rsidRDefault="006814CB" w:rsidP="006814CB">
      <w:pPr>
        <w:pStyle w:val="Asubpara"/>
        <w:keepNext/>
      </w:pPr>
      <w:r>
        <w:tab/>
      </w:r>
      <w:r w:rsidRPr="006814CB">
        <w:t>(ii)</w:t>
      </w:r>
      <w:r w:rsidRPr="006814CB">
        <w:tab/>
      </w:r>
      <w:r w:rsidR="00A739F4" w:rsidRPr="006814CB">
        <w:t>if a regulation prescribes a lower amount—the lower amount</w:t>
      </w:r>
      <w:r w:rsidR="00C61FB5" w:rsidRPr="006814CB">
        <w:t>.</w:t>
      </w:r>
    </w:p>
    <w:p w14:paraId="1D6491A4" w14:textId="77777777" w:rsidR="001C6F40" w:rsidRPr="006814CB" w:rsidRDefault="001C6F40" w:rsidP="001C6F40">
      <w:pPr>
        <w:pStyle w:val="Penalty"/>
      </w:pPr>
      <w:r w:rsidRPr="006814CB">
        <w:t xml:space="preserve">Maximum penalty:  </w:t>
      </w:r>
      <w:r w:rsidR="00465180" w:rsidRPr="006814CB">
        <w:t>100</w:t>
      </w:r>
      <w:r w:rsidRPr="006814CB">
        <w:t xml:space="preserve"> penalty units.</w:t>
      </w:r>
    </w:p>
    <w:p w14:paraId="36340789" w14:textId="77777777" w:rsidR="0028517F" w:rsidRPr="006814CB" w:rsidRDefault="006814CB" w:rsidP="006814CB">
      <w:pPr>
        <w:pStyle w:val="Amain"/>
      </w:pPr>
      <w:r>
        <w:tab/>
      </w:r>
      <w:r w:rsidRPr="006814CB">
        <w:t>(6)</w:t>
      </w:r>
      <w:r w:rsidRPr="006814CB">
        <w:tab/>
      </w:r>
      <w:r w:rsidR="0028517F" w:rsidRPr="006814CB">
        <w:t>An offence against subsection (</w:t>
      </w:r>
      <w:r w:rsidR="007B503C" w:rsidRPr="006814CB">
        <w:t>5</w:t>
      </w:r>
      <w:r w:rsidR="0028517F" w:rsidRPr="006814CB">
        <w:t>) is a strict liability offence.</w:t>
      </w:r>
    </w:p>
    <w:p w14:paraId="0511ED23" w14:textId="77777777" w:rsidR="00C61FB5" w:rsidRPr="006814CB" w:rsidRDefault="006814CB" w:rsidP="006814CB">
      <w:pPr>
        <w:pStyle w:val="Amain"/>
        <w:keepNext/>
      </w:pPr>
      <w:r>
        <w:tab/>
      </w:r>
      <w:r w:rsidRPr="006814CB">
        <w:t>(7)</w:t>
      </w:r>
      <w:r w:rsidRPr="006814CB">
        <w:tab/>
      </w:r>
      <w:r w:rsidR="00C61FB5" w:rsidRPr="006814CB">
        <w:t>Subsection (</w:t>
      </w:r>
      <w:r w:rsidR="00135BDD" w:rsidRPr="006814CB">
        <w:t>5</w:t>
      </w:r>
      <w:r w:rsidR="00C61FB5" w:rsidRPr="006814CB">
        <w:t>) does not apply if the casino licensee took all reasonable steps to ensure the casino gaming machine had a stake amount that was not more than the amount mentioned in subsection (</w:t>
      </w:r>
      <w:r w:rsidR="00135BDD" w:rsidRPr="006814CB">
        <w:t>5</w:t>
      </w:r>
      <w:r w:rsidR="00C61FB5" w:rsidRPr="006814CB">
        <w:t>) (b).</w:t>
      </w:r>
    </w:p>
    <w:p w14:paraId="1BC30D71" w14:textId="470CAE19" w:rsidR="00C61FB5" w:rsidRPr="006814CB" w:rsidRDefault="00C61FB5" w:rsidP="00C61FB5">
      <w:pPr>
        <w:pStyle w:val="aNote"/>
      </w:pPr>
      <w:r w:rsidRPr="006814CB">
        <w:rPr>
          <w:rStyle w:val="charItals"/>
        </w:rPr>
        <w:t>Note</w:t>
      </w:r>
      <w:r w:rsidRPr="006814CB">
        <w:rPr>
          <w:rStyle w:val="charItals"/>
        </w:rPr>
        <w:tab/>
      </w:r>
      <w:r w:rsidRPr="006814CB">
        <w:t xml:space="preserve">The defendant has an evidential burden in relation </w:t>
      </w:r>
      <w:r w:rsidR="007B503C" w:rsidRPr="006814CB">
        <w:t>to the matters mentioned in s (7</w:t>
      </w:r>
      <w:r w:rsidRPr="006814CB">
        <w:t xml:space="preserve">) (see </w:t>
      </w:r>
      <w:hyperlink r:id="rId48" w:tooltip="A2002-51" w:history="1">
        <w:r w:rsidR="00253379" w:rsidRPr="006814CB">
          <w:rPr>
            <w:rStyle w:val="charCitHyperlinkAbbrev"/>
          </w:rPr>
          <w:t>Criminal Code</w:t>
        </w:r>
      </w:hyperlink>
      <w:r w:rsidRPr="006814CB">
        <w:t>, s 58).</w:t>
      </w:r>
    </w:p>
    <w:p w14:paraId="24E76498" w14:textId="77777777" w:rsidR="00494355" w:rsidRPr="006814CB" w:rsidRDefault="006814CB" w:rsidP="006814CB">
      <w:pPr>
        <w:pStyle w:val="AH5Sec"/>
      </w:pPr>
      <w:bookmarkStart w:id="40" w:name="_Toc147827603"/>
      <w:r w:rsidRPr="00251CCE">
        <w:rPr>
          <w:rStyle w:val="CharSectNo"/>
        </w:rPr>
        <w:t>27</w:t>
      </w:r>
      <w:r w:rsidRPr="006814CB">
        <w:tab/>
      </w:r>
      <w:r w:rsidR="00494355" w:rsidRPr="006814CB">
        <w:t>Offence—operating etc casino gaming machines without casino gaming machine authorisation</w:t>
      </w:r>
      <w:bookmarkEnd w:id="40"/>
    </w:p>
    <w:p w14:paraId="5C0AEC11" w14:textId="77777777" w:rsidR="00494355" w:rsidRPr="006814CB" w:rsidRDefault="006814CB" w:rsidP="006814CB">
      <w:pPr>
        <w:pStyle w:val="Amain"/>
      </w:pPr>
      <w:r>
        <w:tab/>
      </w:r>
      <w:r w:rsidRPr="006814CB">
        <w:t>(1)</w:t>
      </w:r>
      <w:r w:rsidRPr="006814CB">
        <w:tab/>
      </w:r>
      <w:r w:rsidR="00494355" w:rsidRPr="006814CB">
        <w:t>The casino licensee commits an offence if the licensee—</w:t>
      </w:r>
    </w:p>
    <w:p w14:paraId="2A0F21A4" w14:textId="77777777" w:rsidR="00494355" w:rsidRPr="006814CB" w:rsidRDefault="006814CB" w:rsidP="006814CB">
      <w:pPr>
        <w:pStyle w:val="Apara"/>
      </w:pPr>
      <w:r>
        <w:tab/>
      </w:r>
      <w:r w:rsidRPr="006814CB">
        <w:t>(a)</w:t>
      </w:r>
      <w:r w:rsidRPr="006814CB">
        <w:tab/>
      </w:r>
      <w:r w:rsidR="00494355" w:rsidRPr="006814CB">
        <w:t>does any of the following:</w:t>
      </w:r>
    </w:p>
    <w:p w14:paraId="218A65C6" w14:textId="77777777" w:rsidR="00494355" w:rsidRPr="006814CB" w:rsidRDefault="006814CB" w:rsidP="006814CB">
      <w:pPr>
        <w:pStyle w:val="Asubpara"/>
      </w:pPr>
      <w:r>
        <w:tab/>
      </w:r>
      <w:r w:rsidRPr="006814CB">
        <w:t>(i)</w:t>
      </w:r>
      <w:r w:rsidRPr="006814CB">
        <w:tab/>
      </w:r>
      <w:r w:rsidR="00494355" w:rsidRPr="006814CB">
        <w:t>possesses a</w:t>
      </w:r>
      <w:r w:rsidR="00DC45BC" w:rsidRPr="006814CB">
        <w:t xml:space="preserve"> casino</w:t>
      </w:r>
      <w:r w:rsidR="00494355" w:rsidRPr="006814CB">
        <w:t xml:space="preserve"> gaming machine;</w:t>
      </w:r>
    </w:p>
    <w:p w14:paraId="556F248F" w14:textId="77777777" w:rsidR="00494355" w:rsidRPr="006814CB" w:rsidRDefault="006814CB" w:rsidP="006814CB">
      <w:pPr>
        <w:pStyle w:val="Asubpara"/>
      </w:pPr>
      <w:r>
        <w:tab/>
      </w:r>
      <w:r w:rsidRPr="006814CB">
        <w:t>(ii)</w:t>
      </w:r>
      <w:r w:rsidRPr="006814CB">
        <w:tab/>
      </w:r>
      <w:r w:rsidR="00494355" w:rsidRPr="006814CB">
        <w:t>permits the installation of a</w:t>
      </w:r>
      <w:r w:rsidR="00DC45BC" w:rsidRPr="006814CB">
        <w:t xml:space="preserve"> casino</w:t>
      </w:r>
      <w:r w:rsidR="00494355" w:rsidRPr="006814CB">
        <w:t xml:space="preserve"> gaming machine;</w:t>
      </w:r>
    </w:p>
    <w:p w14:paraId="23DA74AB" w14:textId="77777777" w:rsidR="00494355" w:rsidRPr="006814CB" w:rsidRDefault="006814CB" w:rsidP="006814CB">
      <w:pPr>
        <w:pStyle w:val="Asubpara"/>
      </w:pPr>
      <w:r>
        <w:lastRenderedPageBreak/>
        <w:tab/>
      </w:r>
      <w:r w:rsidRPr="006814CB">
        <w:t>(iii)</w:t>
      </w:r>
      <w:r w:rsidRPr="006814CB">
        <w:tab/>
      </w:r>
      <w:r w:rsidR="00494355" w:rsidRPr="006814CB">
        <w:t xml:space="preserve">installs a </w:t>
      </w:r>
      <w:r w:rsidR="00DC45BC" w:rsidRPr="006814CB">
        <w:t xml:space="preserve">casino </w:t>
      </w:r>
      <w:r w:rsidR="00494355" w:rsidRPr="006814CB">
        <w:t xml:space="preserve">gaming machine; </w:t>
      </w:r>
    </w:p>
    <w:p w14:paraId="0EBA7B1F" w14:textId="77777777" w:rsidR="00494355" w:rsidRPr="006814CB" w:rsidRDefault="006814CB" w:rsidP="006814CB">
      <w:pPr>
        <w:pStyle w:val="Asubpara"/>
      </w:pPr>
      <w:r>
        <w:tab/>
      </w:r>
      <w:r w:rsidRPr="006814CB">
        <w:t>(iv)</w:t>
      </w:r>
      <w:r w:rsidRPr="006814CB">
        <w:tab/>
      </w:r>
      <w:r w:rsidR="00494355" w:rsidRPr="006814CB">
        <w:t xml:space="preserve">permits the use of a </w:t>
      </w:r>
      <w:r w:rsidR="00DC45BC" w:rsidRPr="006814CB">
        <w:t xml:space="preserve">casino </w:t>
      </w:r>
      <w:r w:rsidR="00494355" w:rsidRPr="006814CB">
        <w:t>gaming machine;</w:t>
      </w:r>
      <w:r w:rsidR="00DC45BC" w:rsidRPr="006814CB">
        <w:t xml:space="preserve"> </w:t>
      </w:r>
    </w:p>
    <w:p w14:paraId="2312142D" w14:textId="77777777" w:rsidR="00494355" w:rsidRPr="006814CB" w:rsidRDefault="006814CB" w:rsidP="006814CB">
      <w:pPr>
        <w:pStyle w:val="Asubpara"/>
      </w:pPr>
      <w:r>
        <w:tab/>
      </w:r>
      <w:r w:rsidRPr="006814CB">
        <w:t>(v)</w:t>
      </w:r>
      <w:r w:rsidRPr="006814CB">
        <w:tab/>
      </w:r>
      <w:r w:rsidR="00494355" w:rsidRPr="006814CB">
        <w:t xml:space="preserve">uses a </w:t>
      </w:r>
      <w:r w:rsidR="00DC45BC" w:rsidRPr="006814CB">
        <w:t xml:space="preserve">casino </w:t>
      </w:r>
      <w:r w:rsidR="00494355" w:rsidRPr="006814CB">
        <w:t>gaming machine; and</w:t>
      </w:r>
    </w:p>
    <w:p w14:paraId="079CD9DE" w14:textId="77777777" w:rsidR="00494355" w:rsidRPr="006814CB" w:rsidRDefault="006814CB" w:rsidP="006814CB">
      <w:pPr>
        <w:pStyle w:val="Apara"/>
        <w:keepNext/>
      </w:pPr>
      <w:r>
        <w:tab/>
      </w:r>
      <w:r w:rsidRPr="006814CB">
        <w:t>(b)</w:t>
      </w:r>
      <w:r w:rsidRPr="006814CB">
        <w:tab/>
      </w:r>
      <w:r w:rsidR="00494355" w:rsidRPr="006814CB">
        <w:t xml:space="preserve">does not have a casino gaming machine authorisation for the </w:t>
      </w:r>
      <w:r w:rsidR="00DC45BC" w:rsidRPr="006814CB">
        <w:t xml:space="preserve">casino </w:t>
      </w:r>
      <w:r w:rsidR="00494355" w:rsidRPr="006814CB">
        <w:t>gaming machine.</w:t>
      </w:r>
    </w:p>
    <w:p w14:paraId="275ED31F" w14:textId="77777777" w:rsidR="00494355" w:rsidRPr="006814CB" w:rsidRDefault="00494355" w:rsidP="00494355">
      <w:pPr>
        <w:pStyle w:val="Penalty"/>
        <w:keepNext/>
      </w:pPr>
      <w:r w:rsidRPr="006814CB">
        <w:t xml:space="preserve">Maximum penalty:  </w:t>
      </w:r>
      <w:r w:rsidR="00DC45BC" w:rsidRPr="006814CB">
        <w:t>100</w:t>
      </w:r>
      <w:r w:rsidRPr="006814CB">
        <w:t xml:space="preserve"> penalty units.</w:t>
      </w:r>
    </w:p>
    <w:p w14:paraId="7BD60BF3" w14:textId="77777777" w:rsidR="00494355" w:rsidRPr="006814CB" w:rsidRDefault="006814CB" w:rsidP="006814CB">
      <w:pPr>
        <w:pStyle w:val="Amain"/>
      </w:pPr>
      <w:r>
        <w:tab/>
      </w:r>
      <w:r w:rsidRPr="006814CB">
        <w:t>(2)</w:t>
      </w:r>
      <w:r w:rsidRPr="006814CB">
        <w:tab/>
      </w:r>
      <w:r w:rsidR="00494355" w:rsidRPr="006814CB">
        <w:t>An offence against this section is a strict liability offence.</w:t>
      </w:r>
    </w:p>
    <w:p w14:paraId="5D955240" w14:textId="77777777" w:rsidR="00580A86" w:rsidRPr="006814CB" w:rsidRDefault="006814CB" w:rsidP="006814CB">
      <w:pPr>
        <w:pStyle w:val="AH5Sec"/>
      </w:pPr>
      <w:bookmarkStart w:id="41" w:name="_Toc147827604"/>
      <w:r w:rsidRPr="00251CCE">
        <w:rPr>
          <w:rStyle w:val="CharSectNo"/>
        </w:rPr>
        <w:t>28</w:t>
      </w:r>
      <w:r w:rsidRPr="006814CB">
        <w:tab/>
      </w:r>
      <w:r w:rsidR="00580A86" w:rsidRPr="006814CB">
        <w:t>Acquiring casino FATG terminal under authorisation</w:t>
      </w:r>
      <w:bookmarkEnd w:id="41"/>
    </w:p>
    <w:p w14:paraId="44814D85" w14:textId="77777777" w:rsidR="00580A86" w:rsidRPr="006814CB" w:rsidRDefault="006814CB" w:rsidP="006814CB">
      <w:pPr>
        <w:pStyle w:val="Amain"/>
        <w:keepNext/>
      </w:pPr>
      <w:r>
        <w:tab/>
      </w:r>
      <w:r w:rsidRPr="006814CB">
        <w:t>(1)</w:t>
      </w:r>
      <w:r w:rsidRPr="006814CB">
        <w:tab/>
      </w:r>
      <w:r w:rsidR="00580A86" w:rsidRPr="006814CB">
        <w:t xml:space="preserve">The casino licensee may acquire a casino FATG terminal under an authorisation only if, when the FATG terminal is acquired, the authorisation is a </w:t>
      </w:r>
      <w:r w:rsidR="00A5228B" w:rsidRPr="006814CB">
        <w:t>casino FATG terminal authorisation</w:t>
      </w:r>
      <w:r w:rsidR="00580A86" w:rsidRPr="006814CB">
        <w:t>.</w:t>
      </w:r>
    </w:p>
    <w:p w14:paraId="2F87D337" w14:textId="77777777" w:rsidR="00580A86" w:rsidRPr="006814CB" w:rsidRDefault="00580A86" w:rsidP="006814CB">
      <w:pPr>
        <w:pStyle w:val="aNote"/>
        <w:keepNext/>
      </w:pPr>
      <w:r w:rsidRPr="006814CB">
        <w:rPr>
          <w:rStyle w:val="charItals"/>
        </w:rPr>
        <w:t>Note 1</w:t>
      </w:r>
      <w:r w:rsidRPr="006814CB">
        <w:rPr>
          <w:rStyle w:val="charItals"/>
        </w:rPr>
        <w:tab/>
      </w:r>
      <w:r w:rsidRPr="006814CB">
        <w:t xml:space="preserve">The acquisition of a </w:t>
      </w:r>
      <w:r w:rsidR="00A5228B" w:rsidRPr="006814CB">
        <w:t>casino FATG terminal authorisation</w:t>
      </w:r>
      <w:r w:rsidRPr="006814CB">
        <w:t xml:space="preserve"> is a notifiable action (see </w:t>
      </w:r>
      <w:r w:rsidR="00CF0AF9" w:rsidRPr="006814CB">
        <w:t>pt 10</w:t>
      </w:r>
      <w:r w:rsidRPr="006814CB">
        <w:t xml:space="preserve"> and </w:t>
      </w:r>
      <w:r w:rsidR="003A5ACB" w:rsidRPr="006814CB">
        <w:t>sch 2</w:t>
      </w:r>
      <w:r w:rsidRPr="006814CB">
        <w:t>).</w:t>
      </w:r>
    </w:p>
    <w:p w14:paraId="08BEAE0A" w14:textId="77777777" w:rsidR="00580A86" w:rsidRPr="006814CB" w:rsidRDefault="00580A86" w:rsidP="006814CB">
      <w:pPr>
        <w:pStyle w:val="aNote"/>
        <w:keepNext/>
      </w:pPr>
      <w:r w:rsidRPr="006814CB">
        <w:rPr>
          <w:rStyle w:val="charItals"/>
        </w:rPr>
        <w:t>Note 2</w:t>
      </w:r>
      <w:r w:rsidRPr="006814CB">
        <w:tab/>
        <w:t xml:space="preserve">A notifiable action takes </w:t>
      </w:r>
      <w:r w:rsidR="008C5AC8" w:rsidRPr="006814CB">
        <w:t>effect</w:t>
      </w:r>
      <w:r w:rsidRPr="006814CB">
        <w:t>—</w:t>
      </w:r>
    </w:p>
    <w:p w14:paraId="16276CEF" w14:textId="77777777" w:rsidR="00580A86" w:rsidRPr="006814CB" w:rsidRDefault="00580A86" w:rsidP="00580A86">
      <w:pPr>
        <w:pStyle w:val="aNotePara"/>
        <w:keepNext/>
      </w:pPr>
      <w:r w:rsidRPr="006814CB">
        <w:tab/>
        <w:t>(a)</w:t>
      </w:r>
      <w:r w:rsidRPr="006814CB">
        <w:tab/>
        <w:t xml:space="preserve">the prescribed number of days after the day the commission receives the notification (see s </w:t>
      </w:r>
      <w:r w:rsidR="002E0DF3" w:rsidRPr="006814CB">
        <w:t>50</w:t>
      </w:r>
      <w:r w:rsidRPr="006814CB">
        <w:t xml:space="preserve"> (a)); or</w:t>
      </w:r>
    </w:p>
    <w:p w14:paraId="018AC241" w14:textId="77777777" w:rsidR="00580A86" w:rsidRPr="006814CB" w:rsidRDefault="00580A86" w:rsidP="00580A86">
      <w:pPr>
        <w:pStyle w:val="aNotePara"/>
        <w:keepNext/>
      </w:pPr>
      <w:r w:rsidRPr="006814CB">
        <w:tab/>
        <w:t>(b)</w:t>
      </w:r>
      <w:r w:rsidRPr="006814CB">
        <w:tab/>
        <w:t xml:space="preserve">if the commission allows the notifiable action to take </w:t>
      </w:r>
      <w:r w:rsidR="008C5AC8" w:rsidRPr="006814CB">
        <w:t>effect</w:t>
      </w:r>
      <w:r w:rsidRPr="006814CB">
        <w:t xml:space="preserve"> on an earlier day—that day (see s </w:t>
      </w:r>
      <w:r w:rsidR="002E0DF3" w:rsidRPr="006814CB">
        <w:t>50</w:t>
      </w:r>
      <w:r w:rsidRPr="006814CB">
        <w:t xml:space="preserve"> (b)); or</w:t>
      </w:r>
    </w:p>
    <w:p w14:paraId="434AD848" w14:textId="77777777" w:rsidR="00580A86" w:rsidRPr="006814CB" w:rsidRDefault="00580A86" w:rsidP="00580A86">
      <w:pPr>
        <w:pStyle w:val="aNotePara"/>
        <w:keepNext/>
      </w:pPr>
      <w:r w:rsidRPr="006814CB">
        <w:tab/>
        <w:t>(c)</w:t>
      </w:r>
      <w:r w:rsidRPr="006814CB">
        <w:tab/>
        <w:t xml:space="preserve">if the commission asks for additional information under </w:t>
      </w:r>
      <w:r w:rsidR="003A5ACB" w:rsidRPr="006814CB">
        <w:t>s </w:t>
      </w:r>
      <w:r w:rsidR="002E0DF3" w:rsidRPr="006814CB">
        <w:t>49</w:t>
      </w:r>
      <w:r w:rsidR="003A5ACB" w:rsidRPr="006814CB">
        <w:t> (3)</w:t>
      </w:r>
      <w:r w:rsidRPr="006814CB">
        <w:t>—when the commission has notified the licensee that it is satisfied in relation to the additional information (see s </w:t>
      </w:r>
      <w:r w:rsidR="002E0DF3" w:rsidRPr="006814CB">
        <w:t>50</w:t>
      </w:r>
      <w:r w:rsidRPr="006814CB">
        <w:t xml:space="preserve"> (c)).</w:t>
      </w:r>
    </w:p>
    <w:p w14:paraId="2958237E" w14:textId="77777777" w:rsidR="00DE422A" w:rsidRPr="006814CB" w:rsidRDefault="006814CB" w:rsidP="006814CB">
      <w:pPr>
        <w:pStyle w:val="Amain"/>
      </w:pPr>
      <w:r>
        <w:tab/>
      </w:r>
      <w:r w:rsidRPr="006814CB">
        <w:t>(2)</w:t>
      </w:r>
      <w:r w:rsidRPr="006814CB">
        <w:tab/>
      </w:r>
      <w:r w:rsidR="00DE422A" w:rsidRPr="006814CB">
        <w:t>A casino FATG terminal acquired under a casino FATG terminal authorisation must—</w:t>
      </w:r>
    </w:p>
    <w:p w14:paraId="355655D7" w14:textId="77777777" w:rsidR="00DE422A" w:rsidRPr="006814CB" w:rsidRDefault="006814CB" w:rsidP="006814CB">
      <w:pPr>
        <w:pStyle w:val="Apara"/>
      </w:pPr>
      <w:r>
        <w:tab/>
      </w:r>
      <w:r w:rsidRPr="006814CB">
        <w:t>(a)</w:t>
      </w:r>
      <w:r w:rsidRPr="006814CB">
        <w:tab/>
      </w:r>
      <w:r w:rsidR="00DE422A" w:rsidRPr="006814CB">
        <w:t xml:space="preserve">be able to be connected to a system (a </w:t>
      </w:r>
      <w:r w:rsidR="00DE422A" w:rsidRPr="006814CB">
        <w:rPr>
          <w:rStyle w:val="charBoldItals"/>
        </w:rPr>
        <w:t>centralised monitoring system</w:t>
      </w:r>
      <w:r w:rsidR="00DE422A" w:rsidRPr="006814CB">
        <w:t>) approved by the commission that—</w:t>
      </w:r>
    </w:p>
    <w:p w14:paraId="4C27F45E" w14:textId="77777777" w:rsidR="00DE422A" w:rsidRPr="006814CB" w:rsidRDefault="006814CB" w:rsidP="006814CB">
      <w:pPr>
        <w:pStyle w:val="Asubpara"/>
      </w:pPr>
      <w:r>
        <w:tab/>
      </w:r>
      <w:r w:rsidRPr="006814CB">
        <w:t>(i)</w:t>
      </w:r>
      <w:r w:rsidRPr="006814CB">
        <w:tab/>
      </w:r>
      <w:r w:rsidR="00DE422A" w:rsidRPr="006814CB">
        <w:t xml:space="preserve">monitors the operation and performance of casino FATG terminals; and </w:t>
      </w:r>
    </w:p>
    <w:p w14:paraId="33D69D21" w14:textId="77777777" w:rsidR="00DE422A" w:rsidRPr="006814CB" w:rsidRDefault="006814CB" w:rsidP="006814CB">
      <w:pPr>
        <w:pStyle w:val="Asubpara"/>
      </w:pPr>
      <w:r>
        <w:tab/>
      </w:r>
      <w:r w:rsidRPr="006814CB">
        <w:t>(ii)</w:t>
      </w:r>
      <w:r w:rsidRPr="006814CB">
        <w:tab/>
      </w:r>
      <w:r w:rsidR="00DE422A" w:rsidRPr="006814CB">
        <w:t>can perform other related functions; and</w:t>
      </w:r>
    </w:p>
    <w:p w14:paraId="4B56D2CE" w14:textId="77777777" w:rsidR="00DE422A" w:rsidRPr="006814CB" w:rsidRDefault="006814CB" w:rsidP="006814CB">
      <w:pPr>
        <w:pStyle w:val="Apara"/>
      </w:pPr>
      <w:r>
        <w:lastRenderedPageBreak/>
        <w:tab/>
      </w:r>
      <w:r w:rsidRPr="006814CB">
        <w:t>(b)</w:t>
      </w:r>
      <w:r w:rsidRPr="006814CB">
        <w:tab/>
      </w:r>
      <w:r w:rsidR="00DE422A" w:rsidRPr="006814CB">
        <w:t>satisfy any other harm minimisation requirements prescribed by regulation.</w:t>
      </w:r>
    </w:p>
    <w:p w14:paraId="5CE1FE2E" w14:textId="77777777" w:rsidR="00DE422A" w:rsidRPr="006814CB" w:rsidRDefault="006814CB" w:rsidP="006814CB">
      <w:pPr>
        <w:pStyle w:val="Amain"/>
        <w:keepNext/>
      </w:pPr>
      <w:r>
        <w:tab/>
      </w:r>
      <w:r w:rsidRPr="006814CB">
        <w:t>(3)</w:t>
      </w:r>
      <w:r w:rsidRPr="006814CB">
        <w:tab/>
      </w:r>
      <w:r w:rsidR="00DE422A" w:rsidRPr="006814CB">
        <w:t>An approval under subsection (2) (</w:t>
      </w:r>
      <w:r w:rsidR="00EC7538" w:rsidRPr="006814CB">
        <w:t>a</w:t>
      </w:r>
      <w:r w:rsidR="00DE422A" w:rsidRPr="006814CB">
        <w:t>) is a notifiable instrument.</w:t>
      </w:r>
    </w:p>
    <w:p w14:paraId="64E10047" w14:textId="6076AB48" w:rsidR="00DE422A" w:rsidRPr="006814CB" w:rsidRDefault="00DE422A" w:rsidP="00DE422A">
      <w:pPr>
        <w:pStyle w:val="aNote"/>
      </w:pPr>
      <w:r w:rsidRPr="006814CB">
        <w:rPr>
          <w:rStyle w:val="charItals"/>
        </w:rPr>
        <w:t>Note</w:t>
      </w:r>
      <w:r w:rsidRPr="006814CB">
        <w:rPr>
          <w:rStyle w:val="charItals"/>
        </w:rPr>
        <w:tab/>
      </w:r>
      <w:r w:rsidRPr="006814CB">
        <w:t xml:space="preserve">A notifiable instrument must be notified under the </w:t>
      </w:r>
      <w:hyperlink r:id="rId49" w:tooltip="A2001-14" w:history="1">
        <w:r w:rsidR="00253379" w:rsidRPr="006814CB">
          <w:rPr>
            <w:rStyle w:val="charCitHyperlinkAbbrev"/>
          </w:rPr>
          <w:t>Legislation Act</w:t>
        </w:r>
      </w:hyperlink>
      <w:r w:rsidRPr="006814CB">
        <w:t>.</w:t>
      </w:r>
    </w:p>
    <w:p w14:paraId="26D48E45" w14:textId="77777777" w:rsidR="00DE422A" w:rsidRPr="006814CB" w:rsidRDefault="006814CB" w:rsidP="006814CB">
      <w:pPr>
        <w:pStyle w:val="Amain"/>
      </w:pPr>
      <w:r>
        <w:tab/>
      </w:r>
      <w:r w:rsidRPr="006814CB">
        <w:t>(4)</w:t>
      </w:r>
      <w:r w:rsidRPr="006814CB">
        <w:tab/>
      </w:r>
      <w:r w:rsidR="00DE422A" w:rsidRPr="006814CB">
        <w:t>A regulation may provide for the approval and operation of a centralised monitoring system.</w:t>
      </w:r>
    </w:p>
    <w:p w14:paraId="4362A4D0" w14:textId="77777777" w:rsidR="00DC45BC" w:rsidRPr="006814CB" w:rsidRDefault="006814CB" w:rsidP="006814CB">
      <w:pPr>
        <w:pStyle w:val="AH5Sec"/>
      </w:pPr>
      <w:bookmarkStart w:id="42" w:name="_Toc147827605"/>
      <w:r w:rsidRPr="00251CCE">
        <w:rPr>
          <w:rStyle w:val="CharSectNo"/>
        </w:rPr>
        <w:t>29</w:t>
      </w:r>
      <w:r w:rsidRPr="006814CB">
        <w:tab/>
      </w:r>
      <w:r w:rsidR="00DC45BC" w:rsidRPr="006814CB">
        <w:t xml:space="preserve">Offence—operating etc casino FATG terminals without </w:t>
      </w:r>
      <w:r w:rsidR="00A5228B" w:rsidRPr="006814CB">
        <w:t>casino FATG terminal authorisation</w:t>
      </w:r>
      <w:bookmarkEnd w:id="42"/>
    </w:p>
    <w:p w14:paraId="3A599ECC" w14:textId="77777777" w:rsidR="00DC45BC" w:rsidRPr="006814CB" w:rsidRDefault="006814CB" w:rsidP="006814CB">
      <w:pPr>
        <w:pStyle w:val="Amain"/>
      </w:pPr>
      <w:r>
        <w:tab/>
      </w:r>
      <w:r w:rsidRPr="006814CB">
        <w:t>(1)</w:t>
      </w:r>
      <w:r w:rsidRPr="006814CB">
        <w:tab/>
      </w:r>
      <w:r w:rsidR="00DC45BC" w:rsidRPr="006814CB">
        <w:t>The casino licensee commits an offence if the licensee—</w:t>
      </w:r>
    </w:p>
    <w:p w14:paraId="1B2DCCC8" w14:textId="77777777" w:rsidR="00DC45BC" w:rsidRPr="006814CB" w:rsidRDefault="006814CB" w:rsidP="006814CB">
      <w:pPr>
        <w:pStyle w:val="Apara"/>
      </w:pPr>
      <w:r>
        <w:tab/>
      </w:r>
      <w:r w:rsidRPr="006814CB">
        <w:t>(a)</w:t>
      </w:r>
      <w:r w:rsidRPr="006814CB">
        <w:tab/>
      </w:r>
      <w:r w:rsidR="00DC45BC" w:rsidRPr="006814CB">
        <w:t>does any of the following:</w:t>
      </w:r>
    </w:p>
    <w:p w14:paraId="4715D1DF" w14:textId="77777777" w:rsidR="00DC45BC" w:rsidRPr="006814CB" w:rsidRDefault="006814CB" w:rsidP="006814CB">
      <w:pPr>
        <w:pStyle w:val="Asubpara"/>
      </w:pPr>
      <w:r>
        <w:tab/>
      </w:r>
      <w:r w:rsidRPr="006814CB">
        <w:t>(i)</w:t>
      </w:r>
      <w:r w:rsidRPr="006814CB">
        <w:tab/>
      </w:r>
      <w:r w:rsidR="00DC45BC" w:rsidRPr="006814CB">
        <w:t>possesses a casino FATG terminal;</w:t>
      </w:r>
    </w:p>
    <w:p w14:paraId="2B214136" w14:textId="77777777" w:rsidR="00DC45BC" w:rsidRPr="006814CB" w:rsidRDefault="006814CB" w:rsidP="006814CB">
      <w:pPr>
        <w:pStyle w:val="Asubpara"/>
      </w:pPr>
      <w:r>
        <w:tab/>
      </w:r>
      <w:r w:rsidRPr="006814CB">
        <w:t>(ii)</w:t>
      </w:r>
      <w:r w:rsidRPr="006814CB">
        <w:tab/>
      </w:r>
      <w:r w:rsidR="00DC45BC" w:rsidRPr="006814CB">
        <w:t>permits the installation of a casino FATG terminal;</w:t>
      </w:r>
    </w:p>
    <w:p w14:paraId="35CF8F5B" w14:textId="77777777" w:rsidR="00DC45BC" w:rsidRPr="006814CB" w:rsidRDefault="006814CB" w:rsidP="006814CB">
      <w:pPr>
        <w:pStyle w:val="Asubpara"/>
      </w:pPr>
      <w:r>
        <w:tab/>
      </w:r>
      <w:r w:rsidRPr="006814CB">
        <w:t>(iii)</w:t>
      </w:r>
      <w:r w:rsidRPr="006814CB">
        <w:tab/>
      </w:r>
      <w:r w:rsidR="00DC45BC" w:rsidRPr="006814CB">
        <w:t xml:space="preserve">installs a casino FATG terminal; </w:t>
      </w:r>
    </w:p>
    <w:p w14:paraId="76BB6E9F" w14:textId="77777777" w:rsidR="00DC45BC" w:rsidRPr="006814CB" w:rsidRDefault="006814CB" w:rsidP="006814CB">
      <w:pPr>
        <w:pStyle w:val="Asubpara"/>
      </w:pPr>
      <w:r>
        <w:tab/>
      </w:r>
      <w:r w:rsidRPr="006814CB">
        <w:t>(iv)</w:t>
      </w:r>
      <w:r w:rsidRPr="006814CB">
        <w:tab/>
      </w:r>
      <w:r w:rsidR="00DC45BC" w:rsidRPr="006814CB">
        <w:t>permits the use of a casino FATG terminal;</w:t>
      </w:r>
    </w:p>
    <w:p w14:paraId="0F8FBE6E" w14:textId="77777777" w:rsidR="00DC45BC" w:rsidRPr="006814CB" w:rsidRDefault="006814CB" w:rsidP="006814CB">
      <w:pPr>
        <w:pStyle w:val="Asubpara"/>
      </w:pPr>
      <w:r>
        <w:tab/>
      </w:r>
      <w:r w:rsidRPr="006814CB">
        <w:t>(v)</w:t>
      </w:r>
      <w:r w:rsidRPr="006814CB">
        <w:tab/>
      </w:r>
      <w:r w:rsidR="00DC45BC" w:rsidRPr="006814CB">
        <w:t>uses a casino FATG terminal; and</w:t>
      </w:r>
    </w:p>
    <w:p w14:paraId="18892E65" w14:textId="77777777" w:rsidR="00DC45BC" w:rsidRPr="006814CB" w:rsidRDefault="006814CB" w:rsidP="006814CB">
      <w:pPr>
        <w:pStyle w:val="Apara"/>
        <w:keepNext/>
      </w:pPr>
      <w:r>
        <w:tab/>
      </w:r>
      <w:r w:rsidRPr="006814CB">
        <w:t>(b)</w:t>
      </w:r>
      <w:r w:rsidRPr="006814CB">
        <w:tab/>
      </w:r>
      <w:r w:rsidR="00DC45BC" w:rsidRPr="006814CB">
        <w:t>does not have an authorisation for the casino FATG terminal.</w:t>
      </w:r>
    </w:p>
    <w:p w14:paraId="61C5A784" w14:textId="77777777" w:rsidR="00DC45BC" w:rsidRPr="006814CB" w:rsidRDefault="00DC45BC" w:rsidP="00DC45BC">
      <w:pPr>
        <w:pStyle w:val="Penalty"/>
        <w:keepNext/>
      </w:pPr>
      <w:r w:rsidRPr="006814CB">
        <w:t>Maximum penalty:  100 penalty units.</w:t>
      </w:r>
    </w:p>
    <w:p w14:paraId="76B85016" w14:textId="77777777" w:rsidR="00DC45BC" w:rsidRPr="006814CB" w:rsidRDefault="006814CB" w:rsidP="006814CB">
      <w:pPr>
        <w:pStyle w:val="Amain"/>
      </w:pPr>
      <w:r>
        <w:tab/>
      </w:r>
      <w:r w:rsidRPr="006814CB">
        <w:t>(2)</w:t>
      </w:r>
      <w:r w:rsidRPr="006814CB">
        <w:tab/>
      </w:r>
      <w:r w:rsidR="00DC45BC" w:rsidRPr="006814CB">
        <w:t>An offence against this section is a strict liability offence.</w:t>
      </w:r>
    </w:p>
    <w:p w14:paraId="17E553BB" w14:textId="77777777" w:rsidR="00475056" w:rsidRPr="006814CB" w:rsidRDefault="00475056" w:rsidP="006814CB">
      <w:pPr>
        <w:pStyle w:val="PageBreak"/>
        <w:suppressLineNumbers/>
      </w:pPr>
      <w:r w:rsidRPr="006814CB">
        <w:br w:type="page"/>
      </w:r>
    </w:p>
    <w:p w14:paraId="53C9EA99" w14:textId="77777777" w:rsidR="00CF0AF9" w:rsidRPr="00251CCE" w:rsidRDefault="006814CB" w:rsidP="006814CB">
      <w:pPr>
        <w:pStyle w:val="AH2Part"/>
      </w:pPr>
      <w:bookmarkStart w:id="43" w:name="_Toc147827606"/>
      <w:r w:rsidRPr="00251CCE">
        <w:rPr>
          <w:rStyle w:val="CharPartNo"/>
        </w:rPr>
        <w:lastRenderedPageBreak/>
        <w:t>Part 7</w:t>
      </w:r>
      <w:r w:rsidRPr="006814CB">
        <w:tab/>
      </w:r>
      <w:r w:rsidR="00CF0AF9" w:rsidRPr="00251CCE">
        <w:rPr>
          <w:rStyle w:val="CharPartText"/>
        </w:rPr>
        <w:t>Casino gaming machines—pre</w:t>
      </w:r>
      <w:r w:rsidR="007B503C" w:rsidRPr="00251CCE">
        <w:rPr>
          <w:rStyle w:val="CharPartText"/>
        </w:rPr>
        <w:noBreakHyphen/>
      </w:r>
      <w:r w:rsidR="00CF0AF9" w:rsidRPr="00251CCE">
        <w:rPr>
          <w:rStyle w:val="CharPartText"/>
        </w:rPr>
        <w:t>commitment system</w:t>
      </w:r>
      <w:bookmarkEnd w:id="43"/>
    </w:p>
    <w:p w14:paraId="0439DC3B" w14:textId="77777777" w:rsidR="00CF0AF9" w:rsidRPr="006814CB" w:rsidRDefault="006814CB" w:rsidP="006814CB">
      <w:pPr>
        <w:pStyle w:val="AH5Sec"/>
      </w:pPr>
      <w:bookmarkStart w:id="44" w:name="_Toc147827607"/>
      <w:r w:rsidRPr="00251CCE">
        <w:rPr>
          <w:rStyle w:val="CharSectNo"/>
        </w:rPr>
        <w:t>30</w:t>
      </w:r>
      <w:r w:rsidRPr="006814CB">
        <w:tab/>
      </w:r>
      <w:r w:rsidR="00CF0AF9" w:rsidRPr="006814CB">
        <w:t>Definitions—pt 7</w:t>
      </w:r>
      <w:bookmarkEnd w:id="44"/>
    </w:p>
    <w:p w14:paraId="3AC28572" w14:textId="77777777" w:rsidR="00CF0AF9" w:rsidRPr="006814CB" w:rsidRDefault="00CF0AF9" w:rsidP="00CF0AF9">
      <w:pPr>
        <w:pStyle w:val="Amainreturn"/>
      </w:pPr>
      <w:r w:rsidRPr="006814CB">
        <w:t>In this part:</w:t>
      </w:r>
    </w:p>
    <w:p w14:paraId="5386413A" w14:textId="77777777" w:rsidR="00712860" w:rsidRPr="006814CB" w:rsidRDefault="009704BF" w:rsidP="006814CB">
      <w:pPr>
        <w:pStyle w:val="aDef"/>
      </w:pPr>
      <w:r w:rsidRPr="006814CB">
        <w:rPr>
          <w:rStyle w:val="charBoldItals"/>
        </w:rPr>
        <w:t>net loss</w:t>
      </w:r>
      <w:r w:rsidRPr="006814CB">
        <w:t>, in relation</w:t>
      </w:r>
      <w:r w:rsidR="007B503C" w:rsidRPr="006814CB">
        <w:t xml:space="preserve"> to</w:t>
      </w:r>
      <w:r w:rsidRPr="006814CB">
        <w:t xml:space="preserve"> a person playing casino gaming machines, means the total amount the person loses when playing the gaming machines, less the amount of winnings paid for playing the gaming machines.</w:t>
      </w:r>
    </w:p>
    <w:p w14:paraId="60812D9A" w14:textId="77777777" w:rsidR="00CF0AF9" w:rsidRPr="006814CB" w:rsidRDefault="00CF0AF9" w:rsidP="006814CB">
      <w:pPr>
        <w:pStyle w:val="aDef"/>
      </w:pPr>
      <w:r w:rsidRPr="006814CB">
        <w:rPr>
          <w:rStyle w:val="charBoldItals"/>
        </w:rPr>
        <w:t>net loss limit</w:t>
      </w:r>
      <w:r w:rsidRPr="006814CB">
        <w:t xml:space="preserve">, in relation to the playing of 1 or more casino gaming machines, means the amount a person playing the machines is </w:t>
      </w:r>
      <w:r w:rsidR="00712860" w:rsidRPr="006814CB">
        <w:t>prepared</w:t>
      </w:r>
      <w:r w:rsidRPr="006814CB">
        <w:t xml:space="preserve"> to lose </w:t>
      </w:r>
      <w:r w:rsidR="00712860" w:rsidRPr="006814CB">
        <w:t>during a</w:t>
      </w:r>
      <w:r w:rsidRPr="006814CB">
        <w:t xml:space="preserve"> playing</w:t>
      </w:r>
      <w:r w:rsidR="00712860" w:rsidRPr="006814CB">
        <w:t xml:space="preserve"> period</w:t>
      </w:r>
      <w:r w:rsidRPr="006814CB">
        <w:t>.</w:t>
      </w:r>
    </w:p>
    <w:p w14:paraId="56BF5D7D" w14:textId="77777777" w:rsidR="009704BF" w:rsidRPr="006814CB" w:rsidRDefault="009704BF" w:rsidP="006814CB">
      <w:pPr>
        <w:pStyle w:val="aDef"/>
        <w:keepNext/>
      </w:pPr>
      <w:r w:rsidRPr="006814CB">
        <w:rPr>
          <w:rStyle w:val="charBoldItals"/>
        </w:rPr>
        <w:t>playing period</w:t>
      </w:r>
      <w:r w:rsidRPr="006814CB">
        <w:t xml:space="preserve"> means—</w:t>
      </w:r>
    </w:p>
    <w:p w14:paraId="06725782" w14:textId="77777777" w:rsidR="009704BF" w:rsidRPr="006814CB" w:rsidRDefault="006814CB" w:rsidP="006814CB">
      <w:pPr>
        <w:pStyle w:val="aDefpara"/>
        <w:keepNext/>
      </w:pPr>
      <w:r>
        <w:tab/>
      </w:r>
      <w:r w:rsidRPr="006814CB">
        <w:t>(a)</w:t>
      </w:r>
      <w:r w:rsidRPr="006814CB">
        <w:tab/>
      </w:r>
      <w:r w:rsidR="009704BF" w:rsidRPr="006814CB">
        <w:t>24 hours; or</w:t>
      </w:r>
    </w:p>
    <w:p w14:paraId="6B93DA8F" w14:textId="77777777" w:rsidR="009704BF" w:rsidRPr="006814CB" w:rsidRDefault="006814CB" w:rsidP="006814CB">
      <w:pPr>
        <w:pStyle w:val="aDefpara"/>
        <w:keepNext/>
      </w:pPr>
      <w:r>
        <w:tab/>
      </w:r>
      <w:r w:rsidRPr="006814CB">
        <w:t>(b)</w:t>
      </w:r>
      <w:r w:rsidRPr="006814CB">
        <w:tab/>
      </w:r>
      <w:r w:rsidR="009704BF" w:rsidRPr="006814CB">
        <w:t>if another period is prescribed by regulation—the prescribed period; or</w:t>
      </w:r>
    </w:p>
    <w:p w14:paraId="223492F7" w14:textId="77777777" w:rsidR="009704BF" w:rsidRPr="006814CB" w:rsidRDefault="006814CB" w:rsidP="006814CB">
      <w:pPr>
        <w:pStyle w:val="aDefpara"/>
      </w:pPr>
      <w:r>
        <w:tab/>
      </w:r>
      <w:r w:rsidRPr="006814CB">
        <w:t>(c)</w:t>
      </w:r>
      <w:r w:rsidRPr="006814CB">
        <w:tab/>
      </w:r>
      <w:r w:rsidR="009704BF" w:rsidRPr="006814CB">
        <w:t>if the player nominates a period longer than 24 hours or the prescribed period—the period nominated.</w:t>
      </w:r>
    </w:p>
    <w:p w14:paraId="55F6E0AD" w14:textId="77777777" w:rsidR="001E5C56" w:rsidRPr="006814CB" w:rsidRDefault="001E5C56" w:rsidP="006814CB">
      <w:pPr>
        <w:pStyle w:val="aDef"/>
      </w:pPr>
      <w:r w:rsidRPr="006814CB">
        <w:rPr>
          <w:rStyle w:val="charBoldItals"/>
        </w:rPr>
        <w:t>pre-commitment information</w:t>
      </w:r>
      <w:r w:rsidRPr="006814CB">
        <w:t xml:space="preserve"> means information obtained from the pre-commitment system operated by the casino licensee about a person using the system.</w:t>
      </w:r>
    </w:p>
    <w:p w14:paraId="7B16299B" w14:textId="77777777" w:rsidR="00CF0AF9" w:rsidRPr="006814CB" w:rsidRDefault="00CF0AF9" w:rsidP="006814CB">
      <w:pPr>
        <w:pStyle w:val="aDef"/>
      </w:pPr>
      <w:r w:rsidRPr="006814CB">
        <w:rPr>
          <w:rStyle w:val="charBoldItals"/>
        </w:rPr>
        <w:t>pre-commitment system</w:t>
      </w:r>
      <w:r w:rsidRPr="006814CB">
        <w:t xml:space="preserve">—see section </w:t>
      </w:r>
      <w:r w:rsidR="002E0DF3" w:rsidRPr="006814CB">
        <w:t>31</w:t>
      </w:r>
      <w:r w:rsidRPr="006814CB">
        <w:t>.</w:t>
      </w:r>
    </w:p>
    <w:p w14:paraId="1C471A91" w14:textId="77777777" w:rsidR="00CF0AF9" w:rsidRPr="006814CB" w:rsidRDefault="006814CB" w:rsidP="006814CB">
      <w:pPr>
        <w:pStyle w:val="AH5Sec"/>
        <w:rPr>
          <w:rStyle w:val="charItals"/>
        </w:rPr>
      </w:pPr>
      <w:bookmarkStart w:id="45" w:name="_Toc147827608"/>
      <w:r w:rsidRPr="00251CCE">
        <w:rPr>
          <w:rStyle w:val="CharSectNo"/>
        </w:rPr>
        <w:lastRenderedPageBreak/>
        <w:t>31</w:t>
      </w:r>
      <w:r w:rsidRPr="00903DAE">
        <w:rPr>
          <w:rFonts w:cs="Arial"/>
        </w:rPr>
        <w:tab/>
      </w:r>
      <w:r w:rsidR="00CF0AF9" w:rsidRPr="006814CB">
        <w:t xml:space="preserve">Meaning of </w:t>
      </w:r>
      <w:r w:rsidR="00CF0AF9" w:rsidRPr="006814CB">
        <w:rPr>
          <w:rStyle w:val="charItals"/>
        </w:rPr>
        <w:t>pre-commitment system</w:t>
      </w:r>
      <w:r w:rsidR="007B503C" w:rsidRPr="006814CB">
        <w:t>—pt 7</w:t>
      </w:r>
      <w:bookmarkEnd w:id="45"/>
    </w:p>
    <w:p w14:paraId="6ED2FEDF" w14:textId="77777777" w:rsidR="00CF0AF9" w:rsidRPr="006814CB" w:rsidRDefault="006814CB" w:rsidP="00EF5D29">
      <w:pPr>
        <w:pStyle w:val="Amain"/>
        <w:keepNext/>
      </w:pPr>
      <w:r>
        <w:tab/>
      </w:r>
      <w:r w:rsidRPr="006814CB">
        <w:t>(1)</w:t>
      </w:r>
      <w:r w:rsidRPr="006814CB">
        <w:tab/>
      </w:r>
      <w:r w:rsidR="00CF0AF9" w:rsidRPr="006814CB">
        <w:t>In this part:</w:t>
      </w:r>
    </w:p>
    <w:p w14:paraId="2F8894D1" w14:textId="77777777" w:rsidR="00CF0AF9" w:rsidRPr="006814CB" w:rsidRDefault="00CF0AF9" w:rsidP="00F816FC">
      <w:pPr>
        <w:pStyle w:val="aDef"/>
        <w:keepNext/>
        <w:keepLines/>
      </w:pPr>
      <w:r w:rsidRPr="006814CB">
        <w:rPr>
          <w:rStyle w:val="charBoldItals"/>
        </w:rPr>
        <w:t xml:space="preserve">pre-commitment system </w:t>
      </w:r>
      <w:r w:rsidRPr="006814CB">
        <w:t xml:space="preserve">(or </w:t>
      </w:r>
      <w:r w:rsidRPr="006814CB">
        <w:rPr>
          <w:rStyle w:val="charBoldItals"/>
        </w:rPr>
        <w:t>PCS</w:t>
      </w:r>
      <w:r w:rsidRPr="006814CB">
        <w:t>), for a casino gaming machine, means an electronic, computer or communications system approved by the commission that, by interfacing with equipment or devices that identify a person intending to play the machine—</w:t>
      </w:r>
    </w:p>
    <w:p w14:paraId="25C1EDAB" w14:textId="77777777" w:rsidR="00CF0AF9" w:rsidRPr="006814CB" w:rsidRDefault="006814CB" w:rsidP="006814CB">
      <w:pPr>
        <w:pStyle w:val="aDefpara"/>
        <w:keepNext/>
      </w:pPr>
      <w:r>
        <w:tab/>
      </w:r>
      <w:r w:rsidRPr="006814CB">
        <w:t>(a)</w:t>
      </w:r>
      <w:r w:rsidRPr="006814CB">
        <w:tab/>
      </w:r>
      <w:r w:rsidR="00CF0AF9" w:rsidRPr="006814CB">
        <w:t>requires the person to set a net loss limit in relation to playing casino gaming machine</w:t>
      </w:r>
      <w:r w:rsidR="0027743F" w:rsidRPr="006814CB">
        <w:t>s</w:t>
      </w:r>
      <w:r w:rsidR="00CF0AF9" w:rsidRPr="006814CB">
        <w:t>; and</w:t>
      </w:r>
    </w:p>
    <w:p w14:paraId="1BC78780" w14:textId="77777777" w:rsidR="00CF0AF9" w:rsidRPr="006814CB" w:rsidRDefault="006814CB" w:rsidP="006814CB">
      <w:pPr>
        <w:pStyle w:val="aDefpara"/>
        <w:keepNext/>
      </w:pPr>
      <w:r>
        <w:tab/>
      </w:r>
      <w:r w:rsidRPr="006814CB">
        <w:t>(b)</w:t>
      </w:r>
      <w:r w:rsidRPr="006814CB">
        <w:tab/>
      </w:r>
      <w:r w:rsidR="00CF0AF9" w:rsidRPr="006814CB">
        <w:t xml:space="preserve">allows the person to set a limit on the </w:t>
      </w:r>
      <w:r w:rsidR="00ED7623" w:rsidRPr="006814CB">
        <w:t>period</w:t>
      </w:r>
      <w:r w:rsidR="00CF0AF9" w:rsidRPr="006814CB">
        <w:t xml:space="preserve"> the person can play casino gaming machines in a single visit to the casino; and</w:t>
      </w:r>
    </w:p>
    <w:p w14:paraId="50A5ECD3" w14:textId="77777777" w:rsidR="00CF0AF9" w:rsidRPr="006814CB" w:rsidRDefault="006814CB" w:rsidP="006814CB">
      <w:pPr>
        <w:pStyle w:val="aDefpara"/>
      </w:pPr>
      <w:r>
        <w:tab/>
      </w:r>
      <w:r w:rsidRPr="006814CB">
        <w:t>(c)</w:t>
      </w:r>
      <w:r w:rsidRPr="006814CB">
        <w:tab/>
      </w:r>
      <w:r w:rsidR="00CF0AF9" w:rsidRPr="006814CB">
        <w:t>prevents the person playing a casino gaming machine if the net loss limit is reached</w:t>
      </w:r>
      <w:r w:rsidR="00ED7623" w:rsidRPr="006814CB">
        <w:t xml:space="preserve"> or the period ends</w:t>
      </w:r>
      <w:r w:rsidR="00CF0AF9" w:rsidRPr="006814CB">
        <w:t>.</w:t>
      </w:r>
    </w:p>
    <w:p w14:paraId="087B44C1" w14:textId="77777777" w:rsidR="00CF0AF9" w:rsidRPr="006814CB" w:rsidRDefault="006814CB" w:rsidP="006814CB">
      <w:pPr>
        <w:pStyle w:val="Amain"/>
        <w:keepNext/>
      </w:pPr>
      <w:r>
        <w:tab/>
      </w:r>
      <w:r w:rsidRPr="006814CB">
        <w:t>(2)</w:t>
      </w:r>
      <w:r w:rsidRPr="006814CB">
        <w:tab/>
      </w:r>
      <w:r w:rsidR="00CF0AF9" w:rsidRPr="006814CB">
        <w:t>An approval is a notifiable instrument.</w:t>
      </w:r>
    </w:p>
    <w:p w14:paraId="7C095B61" w14:textId="650FEF2B" w:rsidR="00CF0AF9" w:rsidRPr="006814CB" w:rsidRDefault="00CF0AF9" w:rsidP="00CF0AF9">
      <w:pPr>
        <w:pStyle w:val="aNote"/>
      </w:pPr>
      <w:r w:rsidRPr="006814CB">
        <w:rPr>
          <w:rStyle w:val="charItals"/>
        </w:rPr>
        <w:t>Note</w:t>
      </w:r>
      <w:r w:rsidRPr="006814CB">
        <w:rPr>
          <w:rStyle w:val="charItals"/>
        </w:rPr>
        <w:tab/>
      </w:r>
      <w:r w:rsidRPr="006814CB">
        <w:t xml:space="preserve">A notifiable instrument must be notified under the </w:t>
      </w:r>
      <w:hyperlink r:id="rId50" w:tooltip="A2001-14" w:history="1">
        <w:r w:rsidR="00253379" w:rsidRPr="006814CB">
          <w:rPr>
            <w:rStyle w:val="charCitHyperlinkAbbrev"/>
          </w:rPr>
          <w:t>Legislation Act</w:t>
        </w:r>
      </w:hyperlink>
      <w:r w:rsidRPr="006814CB">
        <w:t xml:space="preserve">. </w:t>
      </w:r>
    </w:p>
    <w:p w14:paraId="0E038C15" w14:textId="77777777" w:rsidR="00CF0AF9" w:rsidRPr="006814CB" w:rsidRDefault="006814CB" w:rsidP="006814CB">
      <w:pPr>
        <w:pStyle w:val="AH5Sec"/>
      </w:pPr>
      <w:bookmarkStart w:id="46" w:name="_Toc147827609"/>
      <w:r w:rsidRPr="00251CCE">
        <w:rPr>
          <w:rStyle w:val="CharSectNo"/>
        </w:rPr>
        <w:t>32</w:t>
      </w:r>
      <w:r w:rsidRPr="006814CB">
        <w:tab/>
      </w:r>
      <w:r w:rsidR="00CF0AF9" w:rsidRPr="006814CB">
        <w:t>Casino licensee must provide PCS for casino gaming machines</w:t>
      </w:r>
      <w:bookmarkEnd w:id="46"/>
    </w:p>
    <w:p w14:paraId="3921AE36" w14:textId="77777777" w:rsidR="00CF0AF9" w:rsidRPr="006814CB" w:rsidRDefault="006814CB" w:rsidP="006814CB">
      <w:pPr>
        <w:pStyle w:val="Amain"/>
      </w:pPr>
      <w:r>
        <w:tab/>
      </w:r>
      <w:r w:rsidRPr="006814CB">
        <w:t>(1)</w:t>
      </w:r>
      <w:r w:rsidRPr="006814CB">
        <w:tab/>
      </w:r>
      <w:r w:rsidR="00CF0AF9" w:rsidRPr="006814CB">
        <w:t>The casino licensee must—</w:t>
      </w:r>
    </w:p>
    <w:p w14:paraId="5C252A61" w14:textId="77777777" w:rsidR="00CF0AF9" w:rsidRPr="006814CB" w:rsidRDefault="006814CB" w:rsidP="006814CB">
      <w:pPr>
        <w:pStyle w:val="Apara"/>
      </w:pPr>
      <w:r>
        <w:tab/>
      </w:r>
      <w:r w:rsidRPr="006814CB">
        <w:t>(a)</w:t>
      </w:r>
      <w:r w:rsidRPr="006814CB">
        <w:tab/>
      </w:r>
      <w:r w:rsidR="00CF0AF9" w:rsidRPr="006814CB">
        <w:t>provide, operate and maintain a PCS in connection with casino gaming machines operated in the casino; and</w:t>
      </w:r>
    </w:p>
    <w:p w14:paraId="18D7A022" w14:textId="77777777" w:rsidR="00CF0AF9" w:rsidRPr="006814CB" w:rsidRDefault="006814CB" w:rsidP="006814CB">
      <w:pPr>
        <w:pStyle w:val="Apara"/>
      </w:pPr>
      <w:r>
        <w:tab/>
      </w:r>
      <w:r w:rsidRPr="006814CB">
        <w:t>(b)</w:t>
      </w:r>
      <w:r w:rsidRPr="006814CB">
        <w:tab/>
      </w:r>
      <w:r w:rsidR="00CF0AF9" w:rsidRPr="006814CB">
        <w:t>provide any services associated with the PCS.</w:t>
      </w:r>
    </w:p>
    <w:p w14:paraId="23270A7A" w14:textId="77777777" w:rsidR="00CF0AF9" w:rsidRPr="006814CB" w:rsidRDefault="006814CB" w:rsidP="006814CB">
      <w:pPr>
        <w:pStyle w:val="Amain"/>
      </w:pPr>
      <w:r>
        <w:tab/>
      </w:r>
      <w:r w:rsidRPr="006814CB">
        <w:t>(2)</w:t>
      </w:r>
      <w:r w:rsidRPr="006814CB">
        <w:tab/>
      </w:r>
      <w:r w:rsidR="00CF0AF9" w:rsidRPr="006814CB">
        <w:t>The casino licensee must ensure the PCS meets the following requirements:</w:t>
      </w:r>
    </w:p>
    <w:p w14:paraId="2BC9A0CB" w14:textId="77777777" w:rsidR="00CF0AF9" w:rsidRPr="006814CB" w:rsidRDefault="006814CB" w:rsidP="006814CB">
      <w:pPr>
        <w:pStyle w:val="Apara"/>
      </w:pPr>
      <w:r>
        <w:tab/>
      </w:r>
      <w:r w:rsidRPr="006814CB">
        <w:t>(a)</w:t>
      </w:r>
      <w:r w:rsidRPr="006814CB">
        <w:tab/>
      </w:r>
      <w:r w:rsidR="00CF0AF9" w:rsidRPr="006814CB">
        <w:t xml:space="preserve">the PCS prevents a person (a </w:t>
      </w:r>
      <w:r w:rsidR="00CF0AF9" w:rsidRPr="006814CB">
        <w:rPr>
          <w:rStyle w:val="charBoldItals"/>
        </w:rPr>
        <w:t>player</w:t>
      </w:r>
      <w:r w:rsidR="00CF0AF9" w:rsidRPr="006814CB">
        <w:t>) playing a casino gaming machine until the person has set a net loss limit;</w:t>
      </w:r>
    </w:p>
    <w:p w14:paraId="712A679B" w14:textId="77777777" w:rsidR="009704BF" w:rsidRPr="006814CB" w:rsidRDefault="006814CB" w:rsidP="006814CB">
      <w:pPr>
        <w:pStyle w:val="Apara"/>
      </w:pPr>
      <w:r>
        <w:tab/>
      </w:r>
      <w:r w:rsidRPr="006814CB">
        <w:t>(b)</w:t>
      </w:r>
      <w:r w:rsidRPr="006814CB">
        <w:tab/>
      </w:r>
      <w:r w:rsidR="009704BF" w:rsidRPr="006814CB">
        <w:t>t</w:t>
      </w:r>
      <w:r w:rsidR="0037381B" w:rsidRPr="006814CB">
        <w:t xml:space="preserve">he PCS allows a player to set the amount of a </w:t>
      </w:r>
      <w:r w:rsidR="009704BF" w:rsidRPr="006814CB">
        <w:t xml:space="preserve">net loss limit </w:t>
      </w:r>
      <w:r w:rsidR="0037381B" w:rsidRPr="006814CB">
        <w:t>as</w:t>
      </w:r>
      <w:r w:rsidR="009704BF" w:rsidRPr="006814CB">
        <w:t xml:space="preserve"> nil;</w:t>
      </w:r>
    </w:p>
    <w:p w14:paraId="02D599AD" w14:textId="77777777" w:rsidR="00CF0AF9" w:rsidRPr="006814CB" w:rsidRDefault="006814CB" w:rsidP="006814CB">
      <w:pPr>
        <w:pStyle w:val="Apara"/>
      </w:pPr>
      <w:r>
        <w:tab/>
      </w:r>
      <w:r w:rsidRPr="006814CB">
        <w:t>(c)</w:t>
      </w:r>
      <w:r w:rsidRPr="006814CB">
        <w:tab/>
      </w:r>
      <w:r w:rsidR="00CF0AF9" w:rsidRPr="006814CB">
        <w:t xml:space="preserve">the net loss limit set by a player applies for a </w:t>
      </w:r>
      <w:r w:rsidR="009704BF" w:rsidRPr="006814CB">
        <w:t xml:space="preserve">playing </w:t>
      </w:r>
      <w:r w:rsidR="00CF0AF9" w:rsidRPr="006814CB">
        <w:t>period</w:t>
      </w:r>
      <w:r w:rsidR="009704BF" w:rsidRPr="006814CB">
        <w:t>;</w:t>
      </w:r>
    </w:p>
    <w:p w14:paraId="577538C5" w14:textId="77777777" w:rsidR="00D71AE2" w:rsidRPr="006814CB" w:rsidRDefault="006814CB" w:rsidP="006814CB">
      <w:pPr>
        <w:pStyle w:val="Apara"/>
      </w:pPr>
      <w:r>
        <w:lastRenderedPageBreak/>
        <w:tab/>
      </w:r>
      <w:r w:rsidRPr="006814CB">
        <w:t>(d)</w:t>
      </w:r>
      <w:r w:rsidRPr="006814CB">
        <w:tab/>
      </w:r>
      <w:r w:rsidR="00662618" w:rsidRPr="006814CB">
        <w:t>if</w:t>
      </w:r>
      <w:r w:rsidR="00ED7623" w:rsidRPr="006814CB">
        <w:t xml:space="preserve"> the player has set a net loss limit for a playing period, </w:t>
      </w:r>
      <w:r w:rsidR="00D71AE2" w:rsidRPr="006814CB">
        <w:t xml:space="preserve">the PCS prevents </w:t>
      </w:r>
      <w:r w:rsidR="00ED7623" w:rsidRPr="006814CB">
        <w:t>the</w:t>
      </w:r>
      <w:r w:rsidR="00D71AE2" w:rsidRPr="006814CB">
        <w:t xml:space="preserve"> player setting </w:t>
      </w:r>
      <w:r w:rsidR="00ED7623" w:rsidRPr="006814CB">
        <w:t>a higher</w:t>
      </w:r>
      <w:r w:rsidR="00D71AE2" w:rsidRPr="006814CB">
        <w:t xml:space="preserve"> net loss limit for </w:t>
      </w:r>
      <w:r w:rsidR="00ED7623" w:rsidRPr="006814CB">
        <w:t>th</w:t>
      </w:r>
      <w:r w:rsidR="00662618" w:rsidRPr="006814CB">
        <w:t xml:space="preserve">at </w:t>
      </w:r>
      <w:r w:rsidR="00D71AE2" w:rsidRPr="006814CB">
        <w:t>playing period;</w:t>
      </w:r>
    </w:p>
    <w:p w14:paraId="470FBCE1" w14:textId="77777777" w:rsidR="00CF0AF9" w:rsidRPr="006814CB" w:rsidRDefault="006814CB" w:rsidP="006814CB">
      <w:pPr>
        <w:pStyle w:val="Apara"/>
      </w:pPr>
      <w:r>
        <w:tab/>
      </w:r>
      <w:r w:rsidRPr="006814CB">
        <w:t>(e)</w:t>
      </w:r>
      <w:r w:rsidRPr="006814CB">
        <w:tab/>
      </w:r>
      <w:r w:rsidR="00CF0AF9" w:rsidRPr="006814CB">
        <w:t xml:space="preserve">the PCS allows a player to nominate a maximum period during which the player can play casino gaming machines (the </w:t>
      </w:r>
      <w:r w:rsidR="00CF0AF9" w:rsidRPr="006814CB">
        <w:rPr>
          <w:rStyle w:val="charBoldItals"/>
        </w:rPr>
        <w:t>voluntary</w:t>
      </w:r>
      <w:r w:rsidR="00CF0AF9" w:rsidRPr="006814CB">
        <w:t xml:space="preserve"> </w:t>
      </w:r>
      <w:r w:rsidR="00CF0AF9" w:rsidRPr="006814CB">
        <w:rPr>
          <w:rStyle w:val="charBoldItals"/>
        </w:rPr>
        <w:t>maximum period</w:t>
      </w:r>
      <w:r w:rsidR="00CF0AF9" w:rsidRPr="006814CB">
        <w:t>);</w:t>
      </w:r>
    </w:p>
    <w:p w14:paraId="41CDD004" w14:textId="77777777" w:rsidR="0027743F" w:rsidRPr="006814CB" w:rsidRDefault="006814CB" w:rsidP="006814CB">
      <w:pPr>
        <w:pStyle w:val="Apara"/>
      </w:pPr>
      <w:r>
        <w:tab/>
      </w:r>
      <w:r w:rsidRPr="006814CB">
        <w:t>(f)</w:t>
      </w:r>
      <w:r w:rsidRPr="006814CB">
        <w:tab/>
      </w:r>
      <w:r w:rsidR="0027743F" w:rsidRPr="006814CB">
        <w:t>the PCS prevents a player from continuing to play casino gaming machine</w:t>
      </w:r>
      <w:r w:rsidR="00562E39" w:rsidRPr="006814CB">
        <w:t>s</w:t>
      </w:r>
      <w:r w:rsidR="0027743F" w:rsidRPr="006814CB">
        <w:t xml:space="preserve"> after whichever of the following </w:t>
      </w:r>
      <w:r w:rsidR="009704BF" w:rsidRPr="006814CB">
        <w:t>happens</w:t>
      </w:r>
      <w:r w:rsidR="0027743F" w:rsidRPr="006814CB">
        <w:t xml:space="preserve"> first:</w:t>
      </w:r>
    </w:p>
    <w:p w14:paraId="0FB1FFD9" w14:textId="77777777" w:rsidR="0027743F" w:rsidRPr="006814CB" w:rsidRDefault="006814CB" w:rsidP="006814CB">
      <w:pPr>
        <w:pStyle w:val="Asubpara"/>
      </w:pPr>
      <w:r>
        <w:tab/>
      </w:r>
      <w:r w:rsidRPr="006814CB">
        <w:t>(i)</w:t>
      </w:r>
      <w:r w:rsidRPr="006814CB">
        <w:tab/>
      </w:r>
      <w:r w:rsidR="0027743F" w:rsidRPr="006814CB">
        <w:t>the player’s net loss limit is reached;</w:t>
      </w:r>
    </w:p>
    <w:p w14:paraId="3AB0EBDE" w14:textId="77777777" w:rsidR="0027743F" w:rsidRPr="006814CB" w:rsidRDefault="006814CB" w:rsidP="006814CB">
      <w:pPr>
        <w:pStyle w:val="Asubpara"/>
      </w:pPr>
      <w:r>
        <w:tab/>
      </w:r>
      <w:r w:rsidRPr="006814CB">
        <w:t>(ii)</w:t>
      </w:r>
      <w:r w:rsidRPr="006814CB">
        <w:tab/>
      </w:r>
      <w:r w:rsidR="00562E39" w:rsidRPr="006814CB">
        <w:t>if the player nominates a voluntary maximum period—</w:t>
      </w:r>
      <w:r w:rsidR="0027743F" w:rsidRPr="006814CB">
        <w:t>th</w:t>
      </w:r>
      <w:r w:rsidR="009704BF" w:rsidRPr="006814CB">
        <w:t>e voluntary maximum period ends.</w:t>
      </w:r>
    </w:p>
    <w:p w14:paraId="30557ACB" w14:textId="77777777" w:rsidR="00CF0AF9" w:rsidRPr="006814CB" w:rsidRDefault="006814CB" w:rsidP="006814CB">
      <w:pPr>
        <w:pStyle w:val="AH5Sec"/>
      </w:pPr>
      <w:bookmarkStart w:id="47" w:name="_Toc147827610"/>
      <w:r w:rsidRPr="00251CCE">
        <w:rPr>
          <w:rStyle w:val="CharSectNo"/>
        </w:rPr>
        <w:t>33</w:t>
      </w:r>
      <w:r w:rsidRPr="006814CB">
        <w:tab/>
      </w:r>
      <w:r w:rsidR="00CF0AF9" w:rsidRPr="006814CB">
        <w:t>PCS—offences</w:t>
      </w:r>
      <w:bookmarkEnd w:id="47"/>
    </w:p>
    <w:p w14:paraId="5A547ABD" w14:textId="77777777" w:rsidR="00CF0AF9" w:rsidRPr="006814CB" w:rsidRDefault="006814CB" w:rsidP="006814CB">
      <w:pPr>
        <w:pStyle w:val="Amain"/>
      </w:pPr>
      <w:r>
        <w:tab/>
      </w:r>
      <w:r w:rsidRPr="006814CB">
        <w:t>(1)</w:t>
      </w:r>
      <w:r w:rsidRPr="006814CB">
        <w:tab/>
      </w:r>
      <w:r w:rsidR="00CF0AF9" w:rsidRPr="006814CB">
        <w:t>The casino licensee commits an offence if—</w:t>
      </w:r>
    </w:p>
    <w:p w14:paraId="75F578F4" w14:textId="77777777" w:rsidR="00CF0AF9" w:rsidRPr="006814CB" w:rsidRDefault="006814CB" w:rsidP="006814CB">
      <w:pPr>
        <w:pStyle w:val="Apara"/>
      </w:pPr>
      <w:r>
        <w:tab/>
      </w:r>
      <w:r w:rsidRPr="006814CB">
        <w:t>(a)</w:t>
      </w:r>
      <w:r w:rsidRPr="006814CB">
        <w:tab/>
      </w:r>
      <w:r w:rsidR="00CF0AF9" w:rsidRPr="006814CB">
        <w:t>a casino gaming machine is operated in the casino; and</w:t>
      </w:r>
    </w:p>
    <w:p w14:paraId="652E0FBD" w14:textId="77777777" w:rsidR="00CF0AF9" w:rsidRPr="006814CB" w:rsidRDefault="006814CB" w:rsidP="006814CB">
      <w:pPr>
        <w:pStyle w:val="Apara"/>
        <w:keepNext/>
      </w:pPr>
      <w:r>
        <w:tab/>
      </w:r>
      <w:r w:rsidRPr="006814CB">
        <w:t>(b)</w:t>
      </w:r>
      <w:r w:rsidRPr="006814CB">
        <w:tab/>
      </w:r>
      <w:r w:rsidR="00CF0AF9" w:rsidRPr="006814CB">
        <w:t>the gaming machine is not connected to a PCS.</w:t>
      </w:r>
    </w:p>
    <w:p w14:paraId="331EC377" w14:textId="77777777" w:rsidR="00CF0AF9" w:rsidRPr="006814CB" w:rsidRDefault="00CF0AF9" w:rsidP="00CF0AF9">
      <w:pPr>
        <w:pStyle w:val="Penalty"/>
      </w:pPr>
      <w:r w:rsidRPr="006814CB">
        <w:t>Maximum penalty:  100 penalty units.</w:t>
      </w:r>
    </w:p>
    <w:p w14:paraId="3E3D8519" w14:textId="77777777" w:rsidR="00CF0AF9" w:rsidRPr="006814CB" w:rsidRDefault="006814CB" w:rsidP="006814CB">
      <w:pPr>
        <w:pStyle w:val="Amain"/>
        <w:keepNext/>
      </w:pPr>
      <w:r>
        <w:tab/>
      </w:r>
      <w:r w:rsidRPr="006814CB">
        <w:t>(2)</w:t>
      </w:r>
      <w:r w:rsidRPr="006814CB">
        <w:tab/>
      </w:r>
      <w:r w:rsidR="00CF0AF9" w:rsidRPr="006814CB">
        <w:t>Subsection (1) does not apply if the casino licensee took all reasonable steps to ensure the casino gaming machine was connected to a PCS.</w:t>
      </w:r>
    </w:p>
    <w:p w14:paraId="5927D3E4" w14:textId="3CBCA097" w:rsidR="00CF0AF9" w:rsidRPr="006814CB" w:rsidRDefault="00CF0AF9" w:rsidP="00CF0AF9">
      <w:pPr>
        <w:pStyle w:val="aNote"/>
      </w:pPr>
      <w:r w:rsidRPr="006814CB">
        <w:rPr>
          <w:rStyle w:val="charItals"/>
        </w:rPr>
        <w:t>Note</w:t>
      </w:r>
      <w:r w:rsidRPr="006814CB">
        <w:rPr>
          <w:rStyle w:val="charItals"/>
        </w:rPr>
        <w:tab/>
      </w:r>
      <w:r w:rsidRPr="006814CB">
        <w:t xml:space="preserve">The defendant has an evidential burden in relation </w:t>
      </w:r>
      <w:r w:rsidR="0028517F" w:rsidRPr="006814CB">
        <w:t>to the matters mentioned in s (2</w:t>
      </w:r>
      <w:r w:rsidRPr="006814CB">
        <w:t xml:space="preserve">) (see </w:t>
      </w:r>
      <w:hyperlink r:id="rId51" w:tooltip="A2002-51" w:history="1">
        <w:r w:rsidR="00253379" w:rsidRPr="006814CB">
          <w:rPr>
            <w:rStyle w:val="charCitHyperlinkAbbrev"/>
          </w:rPr>
          <w:t>Criminal Code</w:t>
        </w:r>
      </w:hyperlink>
      <w:r w:rsidRPr="006814CB">
        <w:t>, s 58).</w:t>
      </w:r>
    </w:p>
    <w:p w14:paraId="67F8BA6D" w14:textId="77777777" w:rsidR="00CF0AF9" w:rsidRPr="006814CB" w:rsidRDefault="006814CB" w:rsidP="006814CB">
      <w:pPr>
        <w:pStyle w:val="Amain"/>
      </w:pPr>
      <w:r>
        <w:tab/>
      </w:r>
      <w:r w:rsidRPr="006814CB">
        <w:t>(3)</w:t>
      </w:r>
      <w:r w:rsidRPr="006814CB">
        <w:tab/>
      </w:r>
      <w:r w:rsidR="00CF0AF9" w:rsidRPr="006814CB">
        <w:t>The casino licensee commits an offence if—</w:t>
      </w:r>
    </w:p>
    <w:p w14:paraId="4C14D751" w14:textId="77777777" w:rsidR="00CF0AF9" w:rsidRPr="006814CB" w:rsidRDefault="006814CB" w:rsidP="006814CB">
      <w:pPr>
        <w:pStyle w:val="Apara"/>
      </w:pPr>
      <w:r>
        <w:tab/>
      </w:r>
      <w:r w:rsidRPr="006814CB">
        <w:t>(a)</w:t>
      </w:r>
      <w:r w:rsidRPr="006814CB">
        <w:tab/>
      </w:r>
      <w:r w:rsidR="00CF0AF9" w:rsidRPr="006814CB">
        <w:t>a casino gaming machine is operated in the casino; and</w:t>
      </w:r>
    </w:p>
    <w:p w14:paraId="56951198" w14:textId="77777777" w:rsidR="00CF0AF9" w:rsidRPr="006814CB" w:rsidRDefault="006814CB" w:rsidP="006814CB">
      <w:pPr>
        <w:pStyle w:val="Apara"/>
      </w:pPr>
      <w:r>
        <w:tab/>
      </w:r>
      <w:r w:rsidRPr="006814CB">
        <w:t>(b)</w:t>
      </w:r>
      <w:r w:rsidRPr="006814CB">
        <w:tab/>
      </w:r>
      <w:r w:rsidR="00CF0AF9" w:rsidRPr="006814CB">
        <w:t>the gaming machine is connected to a PCS; and</w:t>
      </w:r>
    </w:p>
    <w:p w14:paraId="2FD0E5E3" w14:textId="77777777" w:rsidR="00CF0AF9" w:rsidRPr="006814CB" w:rsidRDefault="006814CB" w:rsidP="006814CB">
      <w:pPr>
        <w:pStyle w:val="Apara"/>
        <w:keepNext/>
      </w:pPr>
      <w:r>
        <w:tab/>
      </w:r>
      <w:r w:rsidRPr="006814CB">
        <w:t>(c)</w:t>
      </w:r>
      <w:r w:rsidRPr="006814CB">
        <w:tab/>
      </w:r>
      <w:r w:rsidR="00CF0AF9" w:rsidRPr="006814CB">
        <w:t xml:space="preserve">the PCS is not functioning in the manner in which it is </w:t>
      </w:r>
      <w:r w:rsidR="00ED7623" w:rsidRPr="006814CB">
        <w:t>approved by the commis</w:t>
      </w:r>
      <w:r w:rsidR="00662618" w:rsidRPr="006814CB">
        <w:t>s</w:t>
      </w:r>
      <w:r w:rsidR="00ED7623" w:rsidRPr="006814CB">
        <w:t>ion</w:t>
      </w:r>
      <w:r w:rsidR="00CF0AF9" w:rsidRPr="006814CB">
        <w:t xml:space="preserve"> to function.</w:t>
      </w:r>
    </w:p>
    <w:p w14:paraId="7C0FFDFE" w14:textId="77777777" w:rsidR="00CF0AF9" w:rsidRPr="006814CB" w:rsidRDefault="00CF0AF9" w:rsidP="00CF0AF9">
      <w:pPr>
        <w:pStyle w:val="Penalty"/>
      </w:pPr>
      <w:r w:rsidRPr="006814CB">
        <w:t>Maximum penalty:  100 penalty units.</w:t>
      </w:r>
    </w:p>
    <w:p w14:paraId="0C8FF2E3" w14:textId="77777777" w:rsidR="00CF0AF9" w:rsidRPr="006814CB" w:rsidRDefault="006814CB" w:rsidP="006814CB">
      <w:pPr>
        <w:pStyle w:val="Amain"/>
        <w:keepNext/>
      </w:pPr>
      <w:r>
        <w:lastRenderedPageBreak/>
        <w:tab/>
      </w:r>
      <w:r w:rsidRPr="006814CB">
        <w:t>(4)</w:t>
      </w:r>
      <w:r w:rsidRPr="006814CB">
        <w:tab/>
      </w:r>
      <w:r w:rsidR="0027743F" w:rsidRPr="006814CB">
        <w:t>Subsection</w:t>
      </w:r>
      <w:r w:rsidR="00CF0AF9" w:rsidRPr="006814CB">
        <w:t xml:space="preserve"> (3) does not apply if the casino licensee took all reasonable steps to ensure the PCS was functioning in the manner in which it was </w:t>
      </w:r>
      <w:r w:rsidR="00ED7623" w:rsidRPr="006814CB">
        <w:t>approved by the commis</w:t>
      </w:r>
      <w:r w:rsidR="00662618" w:rsidRPr="006814CB">
        <w:t>s</w:t>
      </w:r>
      <w:r w:rsidR="00ED7623" w:rsidRPr="006814CB">
        <w:t xml:space="preserve">ion </w:t>
      </w:r>
      <w:r w:rsidR="00CF0AF9" w:rsidRPr="006814CB">
        <w:t xml:space="preserve">to function.  </w:t>
      </w:r>
    </w:p>
    <w:p w14:paraId="09659A74" w14:textId="0DA56D3C" w:rsidR="00CF0AF9" w:rsidRPr="006814CB" w:rsidRDefault="00CF0AF9" w:rsidP="00CF0AF9">
      <w:pPr>
        <w:pStyle w:val="aNote"/>
      </w:pPr>
      <w:r w:rsidRPr="006814CB">
        <w:rPr>
          <w:rStyle w:val="charItals"/>
        </w:rPr>
        <w:t>Note</w:t>
      </w:r>
      <w:r w:rsidRPr="006814CB">
        <w:rPr>
          <w:rStyle w:val="charItals"/>
        </w:rPr>
        <w:tab/>
      </w:r>
      <w:r w:rsidRPr="006814CB">
        <w:t xml:space="preserve">The defendant has an evidential burden in relation to the matters mentioned in s (4) (see </w:t>
      </w:r>
      <w:hyperlink r:id="rId52" w:tooltip="A2002-51" w:history="1">
        <w:r w:rsidR="00253379" w:rsidRPr="006814CB">
          <w:rPr>
            <w:rStyle w:val="charCitHyperlinkAbbrev"/>
          </w:rPr>
          <w:t>Criminal Code</w:t>
        </w:r>
      </w:hyperlink>
      <w:r w:rsidRPr="006814CB">
        <w:t>, s 58).</w:t>
      </w:r>
    </w:p>
    <w:p w14:paraId="19E2F928" w14:textId="77777777" w:rsidR="0028517F" w:rsidRPr="006814CB" w:rsidRDefault="006814CB" w:rsidP="006814CB">
      <w:pPr>
        <w:pStyle w:val="Amain"/>
      </w:pPr>
      <w:r>
        <w:tab/>
      </w:r>
      <w:r w:rsidRPr="006814CB">
        <w:t>(5)</w:t>
      </w:r>
      <w:r w:rsidRPr="006814CB">
        <w:tab/>
      </w:r>
      <w:r w:rsidR="0028517F" w:rsidRPr="006814CB">
        <w:t>An offence against this section is a strict liability offence.</w:t>
      </w:r>
    </w:p>
    <w:p w14:paraId="337D4308" w14:textId="77777777" w:rsidR="00CF0AF9" w:rsidRPr="006814CB" w:rsidRDefault="006814CB" w:rsidP="006814CB">
      <w:pPr>
        <w:pStyle w:val="AH5Sec"/>
      </w:pPr>
      <w:bookmarkStart w:id="48" w:name="_Toc147827611"/>
      <w:r w:rsidRPr="00251CCE">
        <w:rPr>
          <w:rStyle w:val="CharSectNo"/>
        </w:rPr>
        <w:t>34</w:t>
      </w:r>
      <w:r w:rsidRPr="006814CB">
        <w:tab/>
      </w:r>
      <w:r w:rsidR="00CF0AF9" w:rsidRPr="006814CB">
        <w:t>PCS—</w:t>
      </w:r>
      <w:r w:rsidR="00135BDD" w:rsidRPr="006814CB">
        <w:t xml:space="preserve">use or </w:t>
      </w:r>
      <w:r w:rsidR="00CF0AF9" w:rsidRPr="006814CB">
        <w:t>disclosure of pre-commitment information</w:t>
      </w:r>
      <w:bookmarkEnd w:id="48"/>
    </w:p>
    <w:p w14:paraId="67815907" w14:textId="77777777" w:rsidR="00CF0AF9" w:rsidRPr="006814CB" w:rsidRDefault="006814CB" w:rsidP="006814CB">
      <w:pPr>
        <w:pStyle w:val="Amain"/>
      </w:pPr>
      <w:r>
        <w:tab/>
      </w:r>
      <w:r w:rsidRPr="006814CB">
        <w:t>(1)</w:t>
      </w:r>
      <w:r w:rsidRPr="006814CB">
        <w:tab/>
      </w:r>
      <w:r w:rsidR="00CF0AF9" w:rsidRPr="006814CB">
        <w:t xml:space="preserve">A person may </w:t>
      </w:r>
      <w:r w:rsidR="00D71AE2" w:rsidRPr="006814CB">
        <w:t xml:space="preserve">use </w:t>
      </w:r>
      <w:r w:rsidR="00135BDD" w:rsidRPr="006814CB">
        <w:t xml:space="preserve">or disclose </w:t>
      </w:r>
      <w:r w:rsidR="00CF0AF9" w:rsidRPr="006814CB">
        <w:t>pre-commitment information only in the following circumstances:</w:t>
      </w:r>
    </w:p>
    <w:p w14:paraId="68415A8D" w14:textId="77777777" w:rsidR="00CF0AF9" w:rsidRPr="006814CB" w:rsidRDefault="006814CB" w:rsidP="006814CB">
      <w:pPr>
        <w:pStyle w:val="Apara"/>
      </w:pPr>
      <w:r>
        <w:tab/>
      </w:r>
      <w:r w:rsidRPr="006814CB">
        <w:t>(a)</w:t>
      </w:r>
      <w:r w:rsidRPr="006814CB">
        <w:tab/>
      </w:r>
      <w:r w:rsidR="00CF0AF9" w:rsidRPr="006814CB">
        <w:t xml:space="preserve">if the person has the </w:t>
      </w:r>
      <w:r w:rsidR="0063385C" w:rsidRPr="006814CB">
        <w:t>consent</w:t>
      </w:r>
      <w:r w:rsidR="0028517F" w:rsidRPr="006814CB">
        <w:t xml:space="preserve"> of the person to whom the information relates</w:t>
      </w:r>
      <w:r w:rsidR="00CF0AF9" w:rsidRPr="006814CB">
        <w:t>;</w:t>
      </w:r>
    </w:p>
    <w:p w14:paraId="2E3BBA7A" w14:textId="77777777" w:rsidR="009015D7" w:rsidRPr="006814CB" w:rsidRDefault="006814CB" w:rsidP="006814CB">
      <w:pPr>
        <w:pStyle w:val="Apara"/>
      </w:pPr>
      <w:r>
        <w:tab/>
      </w:r>
      <w:r w:rsidRPr="006814CB">
        <w:t>(b)</w:t>
      </w:r>
      <w:r w:rsidRPr="006814CB">
        <w:tab/>
      </w:r>
      <w:r w:rsidR="009015D7" w:rsidRPr="006814CB">
        <w:t>if the use or disclosure of the information is required or authorised by or under an Australian law or a court or tribunal order;</w:t>
      </w:r>
    </w:p>
    <w:p w14:paraId="446D9956" w14:textId="77777777" w:rsidR="00CF0AF9" w:rsidRPr="006814CB" w:rsidRDefault="006814CB" w:rsidP="006814CB">
      <w:pPr>
        <w:pStyle w:val="Apara"/>
      </w:pPr>
      <w:r>
        <w:tab/>
      </w:r>
      <w:r w:rsidRPr="006814CB">
        <w:t>(c)</w:t>
      </w:r>
      <w:r w:rsidRPr="006814CB">
        <w:tab/>
      </w:r>
      <w:r w:rsidR="00CF0AF9" w:rsidRPr="006814CB">
        <w:t>if the person discloses the information to a member of a law enforcement agency for use in connection with the detection, investigation or prosecution of an offence;</w:t>
      </w:r>
    </w:p>
    <w:p w14:paraId="3BA048DE" w14:textId="77777777" w:rsidR="00CF0AF9" w:rsidRPr="006814CB" w:rsidRDefault="006814CB" w:rsidP="006814CB">
      <w:pPr>
        <w:pStyle w:val="Apara"/>
      </w:pPr>
      <w:r>
        <w:tab/>
      </w:r>
      <w:r w:rsidRPr="006814CB">
        <w:t>(d)</w:t>
      </w:r>
      <w:r w:rsidRPr="006814CB">
        <w:tab/>
      </w:r>
      <w:r w:rsidR="00CF0AF9" w:rsidRPr="006814CB">
        <w:t xml:space="preserve">if the person </w:t>
      </w:r>
      <w:r w:rsidR="00135BDD" w:rsidRPr="006814CB">
        <w:t xml:space="preserve">uses or </w:t>
      </w:r>
      <w:r w:rsidR="00CF0AF9" w:rsidRPr="006814CB">
        <w:t>discloses</w:t>
      </w:r>
      <w:r w:rsidR="00D71AE2" w:rsidRPr="006814CB">
        <w:t xml:space="preserve"> </w:t>
      </w:r>
      <w:r w:rsidR="00CF0AF9" w:rsidRPr="006814CB">
        <w:t xml:space="preserve">the information in </w:t>
      </w:r>
      <w:r w:rsidR="00495273" w:rsidRPr="006814CB">
        <w:t xml:space="preserve">relation to </w:t>
      </w:r>
      <w:r w:rsidR="00CF0AF9" w:rsidRPr="006814CB">
        <w:t>the performance of a function under this Act</w:t>
      </w:r>
      <w:r w:rsidR="0063385C" w:rsidRPr="006814CB">
        <w:t xml:space="preserve"> or another gaming law</w:t>
      </w:r>
      <w:r w:rsidR="00CF0AF9" w:rsidRPr="006814CB">
        <w:t>;</w:t>
      </w:r>
    </w:p>
    <w:p w14:paraId="0F183136" w14:textId="77777777" w:rsidR="00CF0AF9" w:rsidRPr="006814CB" w:rsidRDefault="006814CB" w:rsidP="006814CB">
      <w:pPr>
        <w:pStyle w:val="Apara"/>
      </w:pPr>
      <w:r>
        <w:tab/>
      </w:r>
      <w:r w:rsidRPr="006814CB">
        <w:t>(e)</w:t>
      </w:r>
      <w:r w:rsidRPr="006814CB">
        <w:tab/>
      </w:r>
      <w:r w:rsidR="00CF0AF9" w:rsidRPr="006814CB">
        <w:t xml:space="preserve">if the information the person </w:t>
      </w:r>
      <w:r w:rsidR="00135BDD" w:rsidRPr="006814CB">
        <w:t xml:space="preserve">uses or discloses </w:t>
      </w:r>
      <w:r w:rsidR="00CF0AF9" w:rsidRPr="006814CB">
        <w:t>has lawfully been made publicly available;</w:t>
      </w:r>
    </w:p>
    <w:p w14:paraId="2E249FD0" w14:textId="77777777" w:rsidR="0063385C" w:rsidRPr="006814CB" w:rsidRDefault="006814CB" w:rsidP="006814CB">
      <w:pPr>
        <w:pStyle w:val="Apara"/>
      </w:pPr>
      <w:r>
        <w:tab/>
      </w:r>
      <w:r w:rsidRPr="006814CB">
        <w:t>(f)</w:t>
      </w:r>
      <w:r w:rsidRPr="006814CB">
        <w:tab/>
      </w:r>
      <w:r w:rsidR="0063385C" w:rsidRPr="006814CB">
        <w:t>if the person discloses the information to the Minister or the administrative unit responsible for this Act and the information is de-identified;</w:t>
      </w:r>
    </w:p>
    <w:p w14:paraId="4E13B512" w14:textId="77777777" w:rsidR="00CF0AF9" w:rsidRPr="006814CB" w:rsidRDefault="006814CB" w:rsidP="006814CB">
      <w:pPr>
        <w:pStyle w:val="Apara"/>
      </w:pPr>
      <w:r>
        <w:tab/>
      </w:r>
      <w:r w:rsidRPr="006814CB">
        <w:t>(g)</w:t>
      </w:r>
      <w:r w:rsidRPr="006814CB">
        <w:tab/>
      </w:r>
      <w:r w:rsidR="00CF0AF9" w:rsidRPr="006814CB">
        <w:t xml:space="preserve">if the person discloses </w:t>
      </w:r>
      <w:r w:rsidR="0063385C" w:rsidRPr="006814CB">
        <w:t xml:space="preserve">the </w:t>
      </w:r>
      <w:r w:rsidR="00CF0AF9" w:rsidRPr="006814CB">
        <w:t>information to a person who conducts research and t</w:t>
      </w:r>
      <w:r w:rsidR="007B503C" w:rsidRPr="006814CB">
        <w:t>he information is de-identified;</w:t>
      </w:r>
    </w:p>
    <w:p w14:paraId="65164A74" w14:textId="77777777" w:rsidR="00D71AE2" w:rsidRPr="006814CB" w:rsidRDefault="006814CB" w:rsidP="00F816FC">
      <w:pPr>
        <w:pStyle w:val="Apara"/>
        <w:keepNext/>
      </w:pPr>
      <w:r>
        <w:lastRenderedPageBreak/>
        <w:tab/>
      </w:r>
      <w:r w:rsidRPr="006814CB">
        <w:t>(h)</w:t>
      </w:r>
      <w:r w:rsidRPr="006814CB">
        <w:tab/>
      </w:r>
      <w:r w:rsidR="00D71AE2" w:rsidRPr="006814CB">
        <w:t>if both of the following apply:</w:t>
      </w:r>
    </w:p>
    <w:p w14:paraId="233338F5" w14:textId="77777777" w:rsidR="00D71AE2" w:rsidRPr="006814CB" w:rsidRDefault="006814CB" w:rsidP="006814CB">
      <w:pPr>
        <w:pStyle w:val="Asubpara"/>
      </w:pPr>
      <w:r>
        <w:tab/>
      </w:r>
      <w:r w:rsidRPr="006814CB">
        <w:t>(i)</w:t>
      </w:r>
      <w:r w:rsidRPr="006814CB">
        <w:tab/>
      </w:r>
      <w:r w:rsidR="0063385C" w:rsidRPr="006814CB">
        <w:t>it is unreasonable or impracticable to obtain consent to the use or disclosure from the individual to whom the pre-commitment information relates;</w:t>
      </w:r>
    </w:p>
    <w:p w14:paraId="7F1CC94B" w14:textId="77777777" w:rsidR="0063385C" w:rsidRPr="006814CB" w:rsidRDefault="006814CB" w:rsidP="006814CB">
      <w:pPr>
        <w:pStyle w:val="Asubpara"/>
        <w:keepNext/>
      </w:pPr>
      <w:r>
        <w:tab/>
      </w:r>
      <w:r w:rsidRPr="006814CB">
        <w:t>(ii)</w:t>
      </w:r>
      <w:r w:rsidRPr="006814CB">
        <w:tab/>
      </w:r>
      <w:r w:rsidR="0063385C" w:rsidRPr="006814CB">
        <w:t>the person reasonably believes that the use or disclosure is necessary to lessen or prevent a serious threat to the life, health or safety of an individual</w:t>
      </w:r>
      <w:r w:rsidR="00ED7623" w:rsidRPr="006814CB">
        <w:t>, or to public health or safety.</w:t>
      </w:r>
    </w:p>
    <w:p w14:paraId="0E634E97" w14:textId="57F5D5F1" w:rsidR="00CF0AF9" w:rsidRPr="006814CB" w:rsidRDefault="00CF0AF9" w:rsidP="00CF0AF9">
      <w:pPr>
        <w:pStyle w:val="aNote"/>
      </w:pPr>
      <w:r w:rsidRPr="006814CB">
        <w:rPr>
          <w:rStyle w:val="charItals"/>
        </w:rPr>
        <w:t>Note</w:t>
      </w:r>
      <w:r w:rsidRPr="006814CB">
        <w:rPr>
          <w:rStyle w:val="charItals"/>
        </w:rPr>
        <w:tab/>
      </w:r>
      <w:r w:rsidRPr="006814CB">
        <w:rPr>
          <w:snapToGrid w:val="0"/>
        </w:rPr>
        <w:t>A reference to an Act includes a reference to the statutory instruments made or in force under the Act, including any regulation (</w:t>
      </w:r>
      <w:r w:rsidRPr="006814CB">
        <w:t xml:space="preserve">see </w:t>
      </w:r>
      <w:hyperlink r:id="rId53" w:tooltip="A2001-14" w:history="1">
        <w:r w:rsidR="00253379" w:rsidRPr="006814CB">
          <w:rPr>
            <w:rStyle w:val="charCitHyperlinkAbbrev"/>
          </w:rPr>
          <w:t>Legislation Act</w:t>
        </w:r>
      </w:hyperlink>
      <w:r w:rsidRPr="006814CB">
        <w:t>, s 104).</w:t>
      </w:r>
    </w:p>
    <w:p w14:paraId="12CAB294" w14:textId="77777777" w:rsidR="00CF0AF9" w:rsidRPr="006814CB" w:rsidRDefault="006814CB" w:rsidP="006814CB">
      <w:pPr>
        <w:pStyle w:val="Amain"/>
      </w:pPr>
      <w:r>
        <w:tab/>
      </w:r>
      <w:r w:rsidRPr="006814CB">
        <w:t>(2)</w:t>
      </w:r>
      <w:r w:rsidRPr="006814CB">
        <w:tab/>
      </w:r>
      <w:r w:rsidR="00CF0AF9" w:rsidRPr="006814CB">
        <w:t>A person commits an offence if—</w:t>
      </w:r>
    </w:p>
    <w:p w14:paraId="05318254" w14:textId="77777777" w:rsidR="00CF0AF9" w:rsidRPr="006814CB" w:rsidRDefault="006814CB" w:rsidP="006814CB">
      <w:pPr>
        <w:pStyle w:val="Apara"/>
      </w:pPr>
      <w:r>
        <w:tab/>
      </w:r>
      <w:r w:rsidRPr="006814CB">
        <w:t>(a)</w:t>
      </w:r>
      <w:r w:rsidRPr="006814CB">
        <w:tab/>
      </w:r>
      <w:r w:rsidR="00CF0AF9" w:rsidRPr="006814CB">
        <w:t xml:space="preserve">the person discloses </w:t>
      </w:r>
      <w:r w:rsidR="0028517F" w:rsidRPr="006814CB">
        <w:t xml:space="preserve">or uses </w:t>
      </w:r>
      <w:r w:rsidR="00CF0AF9" w:rsidRPr="006814CB">
        <w:t>pre-commitment information; and</w:t>
      </w:r>
    </w:p>
    <w:p w14:paraId="57618A95" w14:textId="77777777" w:rsidR="00CF0AF9" w:rsidRPr="006814CB" w:rsidRDefault="006814CB" w:rsidP="006814CB">
      <w:pPr>
        <w:pStyle w:val="Apara"/>
        <w:keepNext/>
      </w:pPr>
      <w:r>
        <w:tab/>
      </w:r>
      <w:r w:rsidRPr="006814CB">
        <w:t>(b)</w:t>
      </w:r>
      <w:r w:rsidRPr="006814CB">
        <w:tab/>
      </w:r>
      <w:r w:rsidR="00CF0AF9" w:rsidRPr="006814CB">
        <w:t xml:space="preserve">the disclosure </w:t>
      </w:r>
      <w:r w:rsidR="0028517F" w:rsidRPr="006814CB">
        <w:t xml:space="preserve">or use </w:t>
      </w:r>
      <w:r w:rsidR="00CF0AF9" w:rsidRPr="006814CB">
        <w:t>is not in accordance with subsection (1).</w:t>
      </w:r>
    </w:p>
    <w:p w14:paraId="540E6D90" w14:textId="77777777" w:rsidR="00CF0AF9" w:rsidRPr="006814CB" w:rsidRDefault="00CF0AF9" w:rsidP="00CF0AF9">
      <w:pPr>
        <w:pStyle w:val="Penalty"/>
      </w:pPr>
      <w:r w:rsidRPr="006814CB">
        <w:t>Maximum penalty:  50 penalty units.</w:t>
      </w:r>
    </w:p>
    <w:p w14:paraId="488E1BAF" w14:textId="77777777" w:rsidR="00CF0AF9" w:rsidRPr="006814CB" w:rsidRDefault="006814CB" w:rsidP="006814CB">
      <w:pPr>
        <w:pStyle w:val="Amain"/>
      </w:pPr>
      <w:r>
        <w:tab/>
      </w:r>
      <w:r w:rsidRPr="006814CB">
        <w:t>(3)</w:t>
      </w:r>
      <w:r w:rsidRPr="006814CB">
        <w:tab/>
      </w:r>
      <w:r w:rsidR="00CF0AF9" w:rsidRPr="006814CB">
        <w:t>An offence against subsection (2) is a strict liability offence.</w:t>
      </w:r>
    </w:p>
    <w:p w14:paraId="0EC8D168" w14:textId="77777777" w:rsidR="00CF0AF9" w:rsidRPr="006814CB" w:rsidRDefault="006814CB" w:rsidP="006814CB">
      <w:pPr>
        <w:pStyle w:val="Amain"/>
      </w:pPr>
      <w:r>
        <w:tab/>
      </w:r>
      <w:r w:rsidRPr="006814CB">
        <w:t>(4)</w:t>
      </w:r>
      <w:r w:rsidRPr="006814CB">
        <w:tab/>
      </w:r>
      <w:r w:rsidR="00CF0AF9" w:rsidRPr="006814CB">
        <w:t>In this section:</w:t>
      </w:r>
    </w:p>
    <w:p w14:paraId="49164B89" w14:textId="77777777" w:rsidR="00CF0AF9" w:rsidRPr="006814CB" w:rsidRDefault="00CF0AF9" w:rsidP="006814CB">
      <w:pPr>
        <w:pStyle w:val="aDef"/>
        <w:keepNext/>
      </w:pPr>
      <w:r w:rsidRPr="006814CB">
        <w:rPr>
          <w:rStyle w:val="charBoldItals"/>
        </w:rPr>
        <w:t>law enforcement agency</w:t>
      </w:r>
      <w:r w:rsidRPr="006814CB">
        <w:t>—</w:t>
      </w:r>
    </w:p>
    <w:p w14:paraId="775CAEEB" w14:textId="3C4D298C" w:rsidR="00CF0AF9" w:rsidRPr="006814CB" w:rsidRDefault="006814CB" w:rsidP="006814CB">
      <w:pPr>
        <w:pStyle w:val="aDefpara"/>
        <w:keepNext/>
      </w:pPr>
      <w:r>
        <w:tab/>
      </w:r>
      <w:r w:rsidRPr="006814CB">
        <w:t>(a)</w:t>
      </w:r>
      <w:r w:rsidRPr="006814CB">
        <w:tab/>
      </w:r>
      <w:r w:rsidR="00CF0AF9" w:rsidRPr="006814CB">
        <w:t xml:space="preserve">see the </w:t>
      </w:r>
      <w:hyperlink r:id="rId54" w:tooltip="A2000-48" w:history="1">
        <w:r w:rsidR="00253379" w:rsidRPr="006814CB">
          <w:rPr>
            <w:rStyle w:val="charCitHyperlinkItal"/>
          </w:rPr>
          <w:t>Spent Convictions Act 2000</w:t>
        </w:r>
      </w:hyperlink>
      <w:r w:rsidR="00CF0AF9" w:rsidRPr="006814CB">
        <w:t>, dictionary; and</w:t>
      </w:r>
    </w:p>
    <w:p w14:paraId="39AF59A5" w14:textId="77777777" w:rsidR="00CF0AF9" w:rsidRPr="006814CB" w:rsidRDefault="006814CB" w:rsidP="006814CB">
      <w:pPr>
        <w:pStyle w:val="aDefpara"/>
      </w:pPr>
      <w:r>
        <w:tab/>
      </w:r>
      <w:r w:rsidRPr="006814CB">
        <w:t>(b)</w:t>
      </w:r>
      <w:r w:rsidRPr="006814CB">
        <w:tab/>
      </w:r>
      <w:r w:rsidR="00CF0AF9" w:rsidRPr="006814CB">
        <w:t xml:space="preserve">includes an entity prescribed by regulation. </w:t>
      </w:r>
    </w:p>
    <w:p w14:paraId="170ED48D" w14:textId="77777777" w:rsidR="00CF0AF9" w:rsidRPr="006814CB" w:rsidRDefault="006814CB" w:rsidP="006814CB">
      <w:pPr>
        <w:pStyle w:val="AH5Sec"/>
      </w:pPr>
      <w:bookmarkStart w:id="49" w:name="_Toc147827612"/>
      <w:r w:rsidRPr="00251CCE">
        <w:rPr>
          <w:rStyle w:val="CharSectNo"/>
        </w:rPr>
        <w:lastRenderedPageBreak/>
        <w:t>35</w:t>
      </w:r>
      <w:r w:rsidRPr="006814CB">
        <w:tab/>
      </w:r>
      <w:r w:rsidR="00CF0AF9" w:rsidRPr="006814CB">
        <w:t>Regulations about PCS</w:t>
      </w:r>
      <w:bookmarkEnd w:id="49"/>
    </w:p>
    <w:p w14:paraId="2EFCF53F" w14:textId="77777777" w:rsidR="00CF0AF9" w:rsidRPr="006814CB" w:rsidRDefault="006814CB" w:rsidP="00EF5D29">
      <w:pPr>
        <w:pStyle w:val="Amain"/>
        <w:keepNext/>
      </w:pPr>
      <w:r>
        <w:tab/>
      </w:r>
      <w:r w:rsidRPr="006814CB">
        <w:t>(1)</w:t>
      </w:r>
      <w:r w:rsidRPr="006814CB">
        <w:tab/>
      </w:r>
      <w:r w:rsidR="00CF0AF9" w:rsidRPr="006814CB">
        <w:t>A regulation may provide for the approval and operation of a PCS.</w:t>
      </w:r>
    </w:p>
    <w:p w14:paraId="39594B6D" w14:textId="77777777" w:rsidR="00C423DC" w:rsidRPr="006814CB" w:rsidRDefault="006814CB" w:rsidP="00EF5D29">
      <w:pPr>
        <w:pStyle w:val="Amain"/>
        <w:keepNext/>
      </w:pPr>
      <w:r>
        <w:tab/>
      </w:r>
      <w:r w:rsidRPr="006814CB">
        <w:t>(2)</w:t>
      </w:r>
      <w:r w:rsidRPr="006814CB">
        <w:tab/>
      </w:r>
      <w:r w:rsidR="00CF0AF9" w:rsidRPr="006814CB">
        <w:t xml:space="preserve">In particular, a regulation may </w:t>
      </w:r>
      <w:r w:rsidR="00C423DC" w:rsidRPr="006814CB">
        <w:t>make provision in relation to the following:</w:t>
      </w:r>
    </w:p>
    <w:p w14:paraId="31AF70C3" w14:textId="77777777" w:rsidR="00CF0AF9" w:rsidRPr="006814CB" w:rsidRDefault="006814CB" w:rsidP="00EF5D29">
      <w:pPr>
        <w:pStyle w:val="Apara"/>
        <w:keepNext/>
      </w:pPr>
      <w:r>
        <w:tab/>
      </w:r>
      <w:r w:rsidRPr="006814CB">
        <w:t>(a)</w:t>
      </w:r>
      <w:r w:rsidRPr="006814CB">
        <w:tab/>
      </w:r>
      <w:r w:rsidR="00CF0AF9" w:rsidRPr="006814CB">
        <w:t>the period for whic</w:t>
      </w:r>
      <w:r w:rsidR="001E5C56" w:rsidRPr="006814CB">
        <w:t>h a pre-commitment is in force;</w:t>
      </w:r>
    </w:p>
    <w:p w14:paraId="3285AC5A" w14:textId="77777777" w:rsidR="00C423DC" w:rsidRPr="006814CB" w:rsidRDefault="006814CB" w:rsidP="00F816FC">
      <w:pPr>
        <w:pStyle w:val="Apara"/>
        <w:keepNext/>
      </w:pPr>
      <w:r>
        <w:tab/>
      </w:r>
      <w:r w:rsidRPr="006814CB">
        <w:t>(b)</w:t>
      </w:r>
      <w:r w:rsidRPr="006814CB">
        <w:tab/>
      </w:r>
      <w:r w:rsidR="00C423DC" w:rsidRPr="006814CB">
        <w:t>the collection of pre-commitment information;</w:t>
      </w:r>
    </w:p>
    <w:p w14:paraId="4D31C56C" w14:textId="77777777" w:rsidR="001E5C56" w:rsidRPr="006814CB" w:rsidRDefault="006814CB" w:rsidP="006814CB">
      <w:pPr>
        <w:pStyle w:val="Apara"/>
      </w:pPr>
      <w:r>
        <w:tab/>
      </w:r>
      <w:r w:rsidRPr="006814CB">
        <w:t>(c)</w:t>
      </w:r>
      <w:r w:rsidRPr="006814CB">
        <w:tab/>
      </w:r>
      <w:r w:rsidR="001E5C56" w:rsidRPr="006814CB">
        <w:t>the secure storage of pre-commitment information.</w:t>
      </w:r>
    </w:p>
    <w:p w14:paraId="096F9A14" w14:textId="77777777" w:rsidR="002634F4" w:rsidRPr="006814CB" w:rsidRDefault="002634F4" w:rsidP="006814CB">
      <w:pPr>
        <w:pStyle w:val="PageBreak"/>
        <w:suppressLineNumbers/>
      </w:pPr>
      <w:r w:rsidRPr="006814CB">
        <w:br w:type="page"/>
      </w:r>
    </w:p>
    <w:p w14:paraId="19769C94" w14:textId="77777777" w:rsidR="005E4887" w:rsidRPr="00251CCE" w:rsidRDefault="006814CB" w:rsidP="006814CB">
      <w:pPr>
        <w:pStyle w:val="AH2Part"/>
      </w:pPr>
      <w:bookmarkStart w:id="50" w:name="_Toc147827613"/>
      <w:r w:rsidRPr="00251CCE">
        <w:rPr>
          <w:rStyle w:val="CharPartNo"/>
        </w:rPr>
        <w:lastRenderedPageBreak/>
        <w:t>Part 8</w:t>
      </w:r>
      <w:r w:rsidRPr="006814CB">
        <w:tab/>
      </w:r>
      <w:r w:rsidR="005E4887" w:rsidRPr="00251CCE">
        <w:rPr>
          <w:rStyle w:val="CharPartText"/>
        </w:rPr>
        <w:t>Amendment</w:t>
      </w:r>
      <w:r w:rsidR="00216FDD" w:rsidRPr="00251CCE">
        <w:rPr>
          <w:rStyle w:val="CharPartText"/>
        </w:rPr>
        <w:t>,</w:t>
      </w:r>
      <w:r w:rsidR="00855579" w:rsidRPr="00251CCE">
        <w:rPr>
          <w:rStyle w:val="CharPartText"/>
        </w:rPr>
        <w:t xml:space="preserve"> surrender </w:t>
      </w:r>
      <w:r w:rsidR="00216FDD" w:rsidRPr="00251CCE">
        <w:rPr>
          <w:rStyle w:val="CharPartText"/>
        </w:rPr>
        <w:t xml:space="preserve">and cancellation </w:t>
      </w:r>
      <w:r w:rsidR="005E4887" w:rsidRPr="00251CCE">
        <w:rPr>
          <w:rStyle w:val="CharPartText"/>
        </w:rPr>
        <w:t>of authorisation certificates and authorisation schedules</w:t>
      </w:r>
      <w:bookmarkEnd w:id="50"/>
    </w:p>
    <w:p w14:paraId="76618CCA" w14:textId="77777777" w:rsidR="003620DA" w:rsidRPr="006814CB" w:rsidRDefault="006814CB" w:rsidP="006814CB">
      <w:pPr>
        <w:pStyle w:val="AH5Sec"/>
      </w:pPr>
      <w:bookmarkStart w:id="51" w:name="_Toc147827614"/>
      <w:r w:rsidRPr="00251CCE">
        <w:rPr>
          <w:rStyle w:val="CharSectNo"/>
        </w:rPr>
        <w:t>36</w:t>
      </w:r>
      <w:r w:rsidRPr="006814CB">
        <w:tab/>
      </w:r>
      <w:r w:rsidR="003620DA" w:rsidRPr="006814CB">
        <w:t>Authorisation certificate amendment—application</w:t>
      </w:r>
      <w:bookmarkEnd w:id="51"/>
    </w:p>
    <w:p w14:paraId="176315F9" w14:textId="77777777" w:rsidR="003620DA" w:rsidRPr="006814CB" w:rsidRDefault="006814CB" w:rsidP="006814CB">
      <w:pPr>
        <w:pStyle w:val="Amain"/>
      </w:pPr>
      <w:r>
        <w:tab/>
      </w:r>
      <w:r w:rsidRPr="006814CB">
        <w:t>(1)</w:t>
      </w:r>
      <w:r w:rsidRPr="006814CB">
        <w:tab/>
      </w:r>
      <w:r w:rsidR="003620DA" w:rsidRPr="006814CB">
        <w:t xml:space="preserve">The casino licensee may apply, in writing, to the commission </w:t>
      </w:r>
      <w:r w:rsidR="007E56EA" w:rsidRPr="006814CB">
        <w:t xml:space="preserve">(an </w:t>
      </w:r>
      <w:r w:rsidR="007E56EA" w:rsidRPr="006814CB">
        <w:rPr>
          <w:rStyle w:val="charBoldItals"/>
        </w:rPr>
        <w:t>authorisation certificate amendment application</w:t>
      </w:r>
      <w:r w:rsidR="007E56EA" w:rsidRPr="006814CB">
        <w:t xml:space="preserve">) </w:t>
      </w:r>
      <w:r w:rsidR="003620DA" w:rsidRPr="006814CB">
        <w:t xml:space="preserve">for an amendment of an authorisation certificate </w:t>
      </w:r>
      <w:r w:rsidR="007E56EA" w:rsidRPr="006814CB">
        <w:t xml:space="preserve">(a </w:t>
      </w:r>
      <w:r w:rsidR="007E56EA" w:rsidRPr="006814CB">
        <w:rPr>
          <w:rStyle w:val="charBoldItals"/>
        </w:rPr>
        <w:t>gaming area amendment</w:t>
      </w:r>
      <w:r w:rsidR="007E56EA" w:rsidRPr="006814CB">
        <w:t xml:space="preserve">) </w:t>
      </w:r>
      <w:r w:rsidR="003620DA" w:rsidRPr="006814CB">
        <w:t>only to do any of the following at the casino:</w:t>
      </w:r>
    </w:p>
    <w:p w14:paraId="4F4EBD35" w14:textId="77777777" w:rsidR="003620DA" w:rsidRPr="006814CB" w:rsidRDefault="006814CB" w:rsidP="006814CB">
      <w:pPr>
        <w:pStyle w:val="Apara"/>
      </w:pPr>
      <w:r>
        <w:tab/>
      </w:r>
      <w:r w:rsidRPr="006814CB">
        <w:t>(a)</w:t>
      </w:r>
      <w:r w:rsidRPr="006814CB">
        <w:tab/>
      </w:r>
      <w:r w:rsidR="003620DA" w:rsidRPr="006814CB">
        <w:t>change the size or shape of the proposed gaming area, or part of the proposed gaming area;</w:t>
      </w:r>
    </w:p>
    <w:p w14:paraId="1ABD8C99" w14:textId="77777777" w:rsidR="003620DA" w:rsidRPr="006814CB" w:rsidRDefault="006814CB" w:rsidP="006814CB">
      <w:pPr>
        <w:pStyle w:val="Apara"/>
      </w:pPr>
      <w:r>
        <w:tab/>
      </w:r>
      <w:r w:rsidRPr="006814CB">
        <w:t>(b)</w:t>
      </w:r>
      <w:r w:rsidRPr="006814CB">
        <w:tab/>
      </w:r>
      <w:r w:rsidR="003620DA" w:rsidRPr="006814CB">
        <w:t>change the location of proposed gaming area;</w:t>
      </w:r>
    </w:p>
    <w:p w14:paraId="74C78419" w14:textId="77777777" w:rsidR="003620DA" w:rsidRPr="006814CB" w:rsidRDefault="006814CB" w:rsidP="006814CB">
      <w:pPr>
        <w:pStyle w:val="Apara"/>
        <w:keepNext/>
      </w:pPr>
      <w:r>
        <w:tab/>
      </w:r>
      <w:r w:rsidRPr="006814CB">
        <w:t>(c)</w:t>
      </w:r>
      <w:r w:rsidRPr="006814CB">
        <w:tab/>
      </w:r>
      <w:r w:rsidR="007E56EA" w:rsidRPr="006814CB">
        <w:t>add another gaming area.</w:t>
      </w:r>
    </w:p>
    <w:p w14:paraId="2523ADF7" w14:textId="77777777" w:rsidR="003620DA" w:rsidRPr="006814CB" w:rsidRDefault="003620DA" w:rsidP="006814CB">
      <w:pPr>
        <w:pStyle w:val="aNote"/>
        <w:keepNext/>
      </w:pPr>
      <w:r w:rsidRPr="006814CB">
        <w:rPr>
          <w:rStyle w:val="charItals"/>
        </w:rPr>
        <w:t>Note 1</w:t>
      </w:r>
      <w:r w:rsidRPr="006814CB">
        <w:rPr>
          <w:rStyle w:val="charItals"/>
        </w:rPr>
        <w:tab/>
      </w:r>
      <w:r w:rsidRPr="006814CB">
        <w:rPr>
          <w:rStyle w:val="charBoldItals"/>
        </w:rPr>
        <w:t>Proposed gaming area</w:t>
      </w:r>
      <w:r w:rsidRPr="006814CB">
        <w:t xml:space="preserve">—see s </w:t>
      </w:r>
      <w:r w:rsidR="002E0DF3" w:rsidRPr="006814CB">
        <w:t>21</w:t>
      </w:r>
      <w:r w:rsidRPr="006814CB">
        <w:t xml:space="preserve"> (3) (b).</w:t>
      </w:r>
    </w:p>
    <w:p w14:paraId="64D5B25F" w14:textId="64CF0229" w:rsidR="003620DA" w:rsidRPr="006814CB" w:rsidRDefault="003620DA" w:rsidP="003620DA">
      <w:pPr>
        <w:pStyle w:val="aNote"/>
        <w:keepNext/>
      </w:pPr>
      <w:r w:rsidRPr="006814CB">
        <w:rPr>
          <w:rStyle w:val="charItals"/>
        </w:rPr>
        <w:t>Note 2</w:t>
      </w:r>
      <w:r w:rsidRPr="006814CB">
        <w:rPr>
          <w:rStyle w:val="charItals"/>
        </w:rPr>
        <w:tab/>
      </w:r>
      <w:r w:rsidRPr="006814CB">
        <w:t xml:space="preserve">If a form is approved under the </w:t>
      </w:r>
      <w:hyperlink r:id="rId55" w:tooltip="Gambling and Racing Control Act 1999" w:history="1">
        <w:r w:rsidR="005151B1" w:rsidRPr="006814CB">
          <w:rPr>
            <w:rStyle w:val="charCitHyperlinkAbbrev"/>
          </w:rPr>
          <w:t>Control Act</w:t>
        </w:r>
      </w:hyperlink>
      <w:r w:rsidRPr="006814CB">
        <w:t>, s 53D for an application, the form must be used.</w:t>
      </w:r>
    </w:p>
    <w:p w14:paraId="7528D7F3" w14:textId="77777777" w:rsidR="003620DA" w:rsidRPr="006814CB" w:rsidRDefault="003620DA" w:rsidP="003620DA">
      <w:pPr>
        <w:pStyle w:val="aNote"/>
        <w:keepNext/>
      </w:pPr>
      <w:r w:rsidRPr="006814CB">
        <w:rPr>
          <w:rStyle w:val="charItals"/>
        </w:rPr>
        <w:t>Note 3</w:t>
      </w:r>
      <w:r w:rsidRPr="006814CB">
        <w:tab/>
        <w:t>A fee may be determined under s </w:t>
      </w:r>
      <w:r w:rsidR="002E0DF3" w:rsidRPr="006814CB">
        <w:t>53</w:t>
      </w:r>
      <w:r w:rsidRPr="006814CB">
        <w:t xml:space="preserve"> for an application.</w:t>
      </w:r>
    </w:p>
    <w:p w14:paraId="3AF185A1" w14:textId="77777777" w:rsidR="003620DA" w:rsidRPr="006814CB" w:rsidRDefault="006814CB" w:rsidP="006814CB">
      <w:pPr>
        <w:pStyle w:val="Amain"/>
      </w:pPr>
      <w:r>
        <w:tab/>
      </w:r>
      <w:r w:rsidRPr="006814CB">
        <w:t>(2)</w:t>
      </w:r>
      <w:r w:rsidRPr="006814CB">
        <w:tab/>
      </w:r>
      <w:r w:rsidR="003620DA" w:rsidRPr="006814CB">
        <w:t xml:space="preserve">To remove any doubt, a licensee does not need to apply for a gaming area amendment, or any other authorisation amendment, to move a gaming machine from </w:t>
      </w:r>
      <w:r w:rsidR="007B503C" w:rsidRPr="006814CB">
        <w:t>1</w:t>
      </w:r>
      <w:r w:rsidR="003620DA" w:rsidRPr="006814CB">
        <w:t xml:space="preserve"> part of a gaming area to another part of the gaming area.</w:t>
      </w:r>
    </w:p>
    <w:p w14:paraId="5EA0512C" w14:textId="77777777" w:rsidR="003620DA" w:rsidRPr="006814CB" w:rsidRDefault="006814CB" w:rsidP="006814CB">
      <w:pPr>
        <w:pStyle w:val="AH5Sec"/>
      </w:pPr>
      <w:bookmarkStart w:id="52" w:name="_Toc147827615"/>
      <w:r w:rsidRPr="00251CCE">
        <w:rPr>
          <w:rStyle w:val="CharSectNo"/>
        </w:rPr>
        <w:lastRenderedPageBreak/>
        <w:t>37</w:t>
      </w:r>
      <w:r w:rsidRPr="006814CB">
        <w:tab/>
      </w:r>
      <w:r w:rsidR="003620DA" w:rsidRPr="006814CB">
        <w:t>Authorisation certificate amendment—contents of application</w:t>
      </w:r>
      <w:bookmarkEnd w:id="52"/>
    </w:p>
    <w:p w14:paraId="4756DD1A" w14:textId="77777777" w:rsidR="003620DA" w:rsidRPr="006814CB" w:rsidRDefault="006814CB" w:rsidP="00C32FF9">
      <w:pPr>
        <w:pStyle w:val="Amain"/>
        <w:keepNext/>
      </w:pPr>
      <w:r>
        <w:tab/>
      </w:r>
      <w:r w:rsidRPr="006814CB">
        <w:t>(1)</w:t>
      </w:r>
      <w:r w:rsidRPr="006814CB">
        <w:tab/>
      </w:r>
      <w:r w:rsidR="003620DA" w:rsidRPr="006814CB">
        <w:t>An authorisation certificate amendment application must—</w:t>
      </w:r>
    </w:p>
    <w:p w14:paraId="6A6CF94C" w14:textId="77777777" w:rsidR="003620DA" w:rsidRPr="006814CB" w:rsidRDefault="006814CB" w:rsidP="00C32FF9">
      <w:pPr>
        <w:pStyle w:val="Apara"/>
        <w:keepNext/>
      </w:pPr>
      <w:r>
        <w:tab/>
      </w:r>
      <w:r w:rsidRPr="006814CB">
        <w:t>(a)</w:t>
      </w:r>
      <w:r w:rsidRPr="006814CB">
        <w:tab/>
      </w:r>
      <w:r w:rsidR="003620DA" w:rsidRPr="006814CB">
        <w:t>be in writing signed by the casino licensee; and</w:t>
      </w:r>
    </w:p>
    <w:p w14:paraId="71A4C40E" w14:textId="77777777" w:rsidR="003620DA" w:rsidRPr="006814CB" w:rsidRDefault="006814CB" w:rsidP="008A6370">
      <w:pPr>
        <w:pStyle w:val="Apara"/>
        <w:keepNext/>
      </w:pPr>
      <w:r>
        <w:tab/>
      </w:r>
      <w:r w:rsidRPr="006814CB">
        <w:t>(b)</w:t>
      </w:r>
      <w:r w:rsidRPr="006814CB">
        <w:tab/>
      </w:r>
      <w:r w:rsidR="003620DA" w:rsidRPr="006814CB">
        <w:t>set out the proposed amendment of the authorisation certificate; and</w:t>
      </w:r>
    </w:p>
    <w:p w14:paraId="5902390E" w14:textId="77777777" w:rsidR="003620DA" w:rsidRPr="006814CB" w:rsidRDefault="006814CB" w:rsidP="006814CB">
      <w:pPr>
        <w:pStyle w:val="Apara"/>
      </w:pPr>
      <w:r>
        <w:tab/>
      </w:r>
      <w:r w:rsidRPr="006814CB">
        <w:t>(c)</w:t>
      </w:r>
      <w:r w:rsidRPr="006814CB">
        <w:tab/>
      </w:r>
      <w:r w:rsidR="003620DA" w:rsidRPr="006814CB">
        <w:t xml:space="preserve">explain why the </w:t>
      </w:r>
      <w:r w:rsidR="00F31467" w:rsidRPr="006814CB">
        <w:t>casino licensee</w:t>
      </w:r>
      <w:r w:rsidR="003620DA" w:rsidRPr="006814CB">
        <w:t xml:space="preserve"> is seeking the amendment; and</w:t>
      </w:r>
    </w:p>
    <w:p w14:paraId="4553C48C" w14:textId="77777777" w:rsidR="003620DA" w:rsidRPr="006814CB" w:rsidRDefault="006814CB" w:rsidP="006814CB">
      <w:pPr>
        <w:pStyle w:val="Apara"/>
      </w:pPr>
      <w:r>
        <w:tab/>
      </w:r>
      <w:r w:rsidRPr="006814CB">
        <w:t>(d)</w:t>
      </w:r>
      <w:r w:rsidRPr="006814CB">
        <w:tab/>
      </w:r>
      <w:r w:rsidR="003620DA" w:rsidRPr="006814CB">
        <w:t>be accompanied by a plan of the premises, drawn to scale, that clearly shows the proposed changes to the g</w:t>
      </w:r>
      <w:r w:rsidR="00F31467" w:rsidRPr="006814CB">
        <w:t>aming area.</w:t>
      </w:r>
    </w:p>
    <w:p w14:paraId="39A80F5E" w14:textId="77777777" w:rsidR="003620DA" w:rsidRPr="006814CB" w:rsidRDefault="006814CB" w:rsidP="006814CB">
      <w:pPr>
        <w:pStyle w:val="Amain"/>
      </w:pPr>
      <w:r>
        <w:tab/>
      </w:r>
      <w:r w:rsidRPr="006814CB">
        <w:t>(2)</w:t>
      </w:r>
      <w:r w:rsidRPr="006814CB">
        <w:tab/>
      </w:r>
      <w:r w:rsidR="003620DA" w:rsidRPr="006814CB">
        <w:t>The commission may, in writing, require the casino licensee to give the commission additional information, within the time stated by the commission, that the commission reasonably needs to decide the application.</w:t>
      </w:r>
    </w:p>
    <w:p w14:paraId="7F626130" w14:textId="77777777" w:rsidR="003620DA" w:rsidRPr="006814CB" w:rsidRDefault="006814CB" w:rsidP="006814CB">
      <w:pPr>
        <w:pStyle w:val="Amain"/>
      </w:pPr>
      <w:r>
        <w:tab/>
      </w:r>
      <w:r w:rsidRPr="006814CB">
        <w:t>(3)</w:t>
      </w:r>
      <w:r w:rsidRPr="006814CB">
        <w:tab/>
      </w:r>
      <w:r w:rsidR="003620DA" w:rsidRPr="006814CB">
        <w:t>If the casino licensee does not comply with a</w:t>
      </w:r>
      <w:r w:rsidR="00747BF1" w:rsidRPr="006814CB">
        <w:t xml:space="preserve"> requirement under subsection (2</w:t>
      </w:r>
      <w:r w:rsidR="003620DA" w:rsidRPr="006814CB">
        <w:t>) within the time stated by the commission—</w:t>
      </w:r>
    </w:p>
    <w:p w14:paraId="7C3758AF" w14:textId="77777777" w:rsidR="003620DA" w:rsidRPr="006814CB" w:rsidRDefault="006814CB" w:rsidP="006814CB">
      <w:pPr>
        <w:pStyle w:val="Apara"/>
      </w:pPr>
      <w:r>
        <w:tab/>
      </w:r>
      <w:r w:rsidRPr="006814CB">
        <w:t>(a)</w:t>
      </w:r>
      <w:r w:rsidRPr="006814CB">
        <w:tab/>
      </w:r>
      <w:r w:rsidR="003620DA" w:rsidRPr="006814CB">
        <w:t>the commission may refuse to consider the application; and</w:t>
      </w:r>
    </w:p>
    <w:p w14:paraId="7252214A" w14:textId="77777777" w:rsidR="003620DA" w:rsidRPr="006814CB" w:rsidRDefault="006814CB" w:rsidP="006814CB">
      <w:pPr>
        <w:pStyle w:val="Apara"/>
      </w:pPr>
      <w:r>
        <w:tab/>
      </w:r>
      <w:r w:rsidRPr="006814CB">
        <w:t>(b)</w:t>
      </w:r>
      <w:r w:rsidRPr="006814CB">
        <w:tab/>
      </w:r>
      <w:r w:rsidR="003620DA" w:rsidRPr="006814CB">
        <w:t>if the commission refuses to consider the application—the application lapses.</w:t>
      </w:r>
    </w:p>
    <w:p w14:paraId="53D40D7E" w14:textId="77777777" w:rsidR="003620DA" w:rsidRPr="006814CB" w:rsidRDefault="006814CB" w:rsidP="006814CB">
      <w:pPr>
        <w:pStyle w:val="AH5Sec"/>
      </w:pPr>
      <w:bookmarkStart w:id="53" w:name="_Toc147827616"/>
      <w:r w:rsidRPr="00251CCE">
        <w:rPr>
          <w:rStyle w:val="CharSectNo"/>
        </w:rPr>
        <w:t>38</w:t>
      </w:r>
      <w:r w:rsidRPr="006814CB">
        <w:tab/>
      </w:r>
      <w:r w:rsidR="003620DA" w:rsidRPr="006814CB">
        <w:t>Authorisation certificate amendment decision—gaming area amendment</w:t>
      </w:r>
      <w:bookmarkEnd w:id="53"/>
    </w:p>
    <w:p w14:paraId="09166D20" w14:textId="77777777" w:rsidR="003620DA" w:rsidRPr="006814CB" w:rsidRDefault="006814CB" w:rsidP="006814CB">
      <w:pPr>
        <w:pStyle w:val="Amain"/>
        <w:keepNext/>
      </w:pPr>
      <w:r>
        <w:tab/>
      </w:r>
      <w:r w:rsidRPr="006814CB">
        <w:t>(1)</w:t>
      </w:r>
      <w:r w:rsidRPr="006814CB">
        <w:tab/>
      </w:r>
      <w:r w:rsidR="003620DA" w:rsidRPr="006814CB">
        <w:t>This section applies if the casino licensee applies for a gaming area amendment of an authorisation certificate.</w:t>
      </w:r>
    </w:p>
    <w:p w14:paraId="3C6509A4" w14:textId="77777777" w:rsidR="003620DA" w:rsidRPr="006814CB" w:rsidRDefault="003620DA" w:rsidP="003620DA">
      <w:pPr>
        <w:pStyle w:val="aNote"/>
      </w:pPr>
      <w:r w:rsidRPr="006814CB">
        <w:rPr>
          <w:rStyle w:val="charItals"/>
        </w:rPr>
        <w:t>Note</w:t>
      </w:r>
      <w:r w:rsidRPr="006814CB">
        <w:rPr>
          <w:rStyle w:val="charItals"/>
        </w:rPr>
        <w:tab/>
      </w:r>
      <w:r w:rsidRPr="006814CB">
        <w:rPr>
          <w:rStyle w:val="charBoldItals"/>
        </w:rPr>
        <w:t>Gaming area amendment</w:t>
      </w:r>
      <w:r w:rsidR="007E56EA" w:rsidRPr="006814CB">
        <w:t xml:space="preserve">—see s </w:t>
      </w:r>
      <w:r w:rsidR="002E0DF3" w:rsidRPr="006814CB">
        <w:t>36</w:t>
      </w:r>
      <w:r w:rsidR="007E56EA" w:rsidRPr="006814CB">
        <w:t xml:space="preserve"> (1)</w:t>
      </w:r>
      <w:r w:rsidRPr="006814CB">
        <w:t>.</w:t>
      </w:r>
    </w:p>
    <w:p w14:paraId="0B2FA815" w14:textId="77777777" w:rsidR="003620DA" w:rsidRPr="006814CB" w:rsidRDefault="006814CB" w:rsidP="00C32FF9">
      <w:pPr>
        <w:pStyle w:val="Amain"/>
        <w:keepNext/>
      </w:pPr>
      <w:r>
        <w:lastRenderedPageBreak/>
        <w:tab/>
      </w:r>
      <w:r w:rsidRPr="006814CB">
        <w:t>(2)</w:t>
      </w:r>
      <w:r w:rsidRPr="006814CB">
        <w:tab/>
      </w:r>
      <w:r w:rsidR="003620DA" w:rsidRPr="006814CB">
        <w:t>The commission may—</w:t>
      </w:r>
    </w:p>
    <w:p w14:paraId="3E4FD664" w14:textId="77777777" w:rsidR="003620DA" w:rsidRPr="006814CB" w:rsidRDefault="006814CB" w:rsidP="00C32FF9">
      <w:pPr>
        <w:pStyle w:val="Apara"/>
        <w:keepNext/>
      </w:pPr>
      <w:r>
        <w:tab/>
      </w:r>
      <w:r w:rsidRPr="006814CB">
        <w:t>(a)</w:t>
      </w:r>
      <w:r w:rsidRPr="006814CB">
        <w:tab/>
      </w:r>
      <w:r w:rsidR="003620DA" w:rsidRPr="006814CB">
        <w:t>amend the authorisation certificate; or</w:t>
      </w:r>
    </w:p>
    <w:p w14:paraId="17E08CFA" w14:textId="77777777" w:rsidR="003620DA" w:rsidRPr="006814CB" w:rsidRDefault="006814CB" w:rsidP="008A6370">
      <w:pPr>
        <w:pStyle w:val="Apara"/>
        <w:keepNext/>
      </w:pPr>
      <w:r>
        <w:tab/>
      </w:r>
      <w:r w:rsidRPr="006814CB">
        <w:t>(b)</w:t>
      </w:r>
      <w:r w:rsidRPr="006814CB">
        <w:tab/>
      </w:r>
      <w:r w:rsidR="003620DA" w:rsidRPr="006814CB">
        <w:t>refuse to amend th</w:t>
      </w:r>
      <w:r w:rsidR="00747BF1" w:rsidRPr="006814CB">
        <w:t>e authorisation certificate.</w:t>
      </w:r>
    </w:p>
    <w:p w14:paraId="1C8D13B6" w14:textId="77777777" w:rsidR="003620DA" w:rsidRPr="006814CB" w:rsidRDefault="003620DA" w:rsidP="008A6370">
      <w:pPr>
        <w:pStyle w:val="aNote"/>
        <w:keepNext/>
      </w:pPr>
      <w:r w:rsidRPr="006814CB">
        <w:rPr>
          <w:rStyle w:val="charItals"/>
        </w:rPr>
        <w:t>Note</w:t>
      </w:r>
      <w:r w:rsidRPr="006814CB">
        <w:tab/>
        <w:t>If additional information in relation to an application is not given to the commission within the time required by the commission, the commission may refuse to consider the application. If the commission refuses to consider the ap</w:t>
      </w:r>
      <w:r w:rsidR="00F31467" w:rsidRPr="006814CB">
        <w:t>plication, it lapses (see s </w:t>
      </w:r>
      <w:r w:rsidR="002E0DF3" w:rsidRPr="006814CB">
        <w:t>37</w:t>
      </w:r>
      <w:r w:rsidR="00F31467" w:rsidRPr="006814CB">
        <w:t xml:space="preserve"> (3</w:t>
      </w:r>
      <w:r w:rsidRPr="006814CB">
        <w:t>)</w:t>
      </w:r>
      <w:r w:rsidR="007B503C" w:rsidRPr="006814CB">
        <w:t xml:space="preserve"> (b)</w:t>
      </w:r>
      <w:r w:rsidRPr="006814CB">
        <w:t xml:space="preserve">). </w:t>
      </w:r>
    </w:p>
    <w:p w14:paraId="6B39EC21" w14:textId="77777777" w:rsidR="003620DA" w:rsidRPr="006814CB" w:rsidRDefault="006814CB" w:rsidP="006814CB">
      <w:pPr>
        <w:pStyle w:val="Amain"/>
        <w:keepNext/>
      </w:pPr>
      <w:r>
        <w:tab/>
      </w:r>
      <w:r w:rsidRPr="006814CB">
        <w:t>(3)</w:t>
      </w:r>
      <w:r w:rsidRPr="006814CB">
        <w:tab/>
      </w:r>
      <w:r w:rsidR="003620DA" w:rsidRPr="006814CB">
        <w:t>If the commission refuses to amend the authorisation certificate, the commission must tell the applicant, in writing, the reasons for the decision.</w:t>
      </w:r>
    </w:p>
    <w:p w14:paraId="2824A4FA" w14:textId="3E49B900" w:rsidR="003620DA" w:rsidRPr="006814CB" w:rsidRDefault="003620DA" w:rsidP="003620DA">
      <w:pPr>
        <w:pStyle w:val="aNote"/>
      </w:pPr>
      <w:r w:rsidRPr="006814CB">
        <w:rPr>
          <w:rStyle w:val="charItals"/>
        </w:rPr>
        <w:t>Note</w:t>
      </w:r>
      <w:r w:rsidRPr="006814CB">
        <w:rPr>
          <w:rStyle w:val="charItals"/>
        </w:rPr>
        <w:tab/>
      </w:r>
      <w:r w:rsidRPr="006814CB">
        <w:t xml:space="preserve">For what must be included in a statement of reasons, see the </w:t>
      </w:r>
      <w:hyperlink r:id="rId56" w:tooltip="A2001-14" w:history="1">
        <w:r w:rsidR="00253379" w:rsidRPr="006814CB">
          <w:rPr>
            <w:rStyle w:val="charCitHyperlinkAbbrev"/>
          </w:rPr>
          <w:t>Legislation Act</w:t>
        </w:r>
      </w:hyperlink>
      <w:r w:rsidRPr="006814CB">
        <w:t>, s 179.</w:t>
      </w:r>
    </w:p>
    <w:p w14:paraId="20D9CF62" w14:textId="77777777" w:rsidR="003620DA" w:rsidRPr="006814CB" w:rsidRDefault="006814CB" w:rsidP="006814CB">
      <w:pPr>
        <w:pStyle w:val="Amain"/>
      </w:pPr>
      <w:r>
        <w:tab/>
      </w:r>
      <w:r w:rsidRPr="006814CB">
        <w:t>(4)</w:t>
      </w:r>
      <w:r w:rsidRPr="006814CB">
        <w:tab/>
      </w:r>
      <w:r w:rsidR="003620DA" w:rsidRPr="006814CB">
        <w:t xml:space="preserve">The commission must amend the authorisation certificate in accordance with the application if it is satisfied that the gaming area proposed to be changed will be suitable for the operation of the number of </w:t>
      </w:r>
      <w:r w:rsidR="00F31467" w:rsidRPr="006814CB">
        <w:t xml:space="preserve">casino </w:t>
      </w:r>
      <w:r w:rsidR="003620DA" w:rsidRPr="006814CB">
        <w:t xml:space="preserve">gaming machines </w:t>
      </w:r>
      <w:r w:rsidR="00F31467" w:rsidRPr="006814CB">
        <w:t xml:space="preserve">or casino FATG terminals </w:t>
      </w:r>
      <w:r w:rsidR="003620DA" w:rsidRPr="006814CB">
        <w:t xml:space="preserve">the </w:t>
      </w:r>
      <w:r w:rsidR="00F31467" w:rsidRPr="006814CB">
        <w:t xml:space="preserve">casino </w:t>
      </w:r>
      <w:r w:rsidR="003620DA" w:rsidRPr="006814CB">
        <w:t>licensee may have under the authorisation certificate.</w:t>
      </w:r>
    </w:p>
    <w:p w14:paraId="5EF59DCB" w14:textId="77777777" w:rsidR="003620DA" w:rsidRPr="006814CB" w:rsidRDefault="006814CB" w:rsidP="006814CB">
      <w:pPr>
        <w:pStyle w:val="Amain"/>
      </w:pPr>
      <w:r>
        <w:tab/>
      </w:r>
      <w:r w:rsidRPr="006814CB">
        <w:t>(5)</w:t>
      </w:r>
      <w:r w:rsidRPr="006814CB">
        <w:tab/>
      </w:r>
      <w:r w:rsidR="003620DA" w:rsidRPr="006814CB">
        <w:t xml:space="preserve">In deciding whether a gaming area will be suitable for the operation of the number of </w:t>
      </w:r>
      <w:r w:rsidR="00F31467" w:rsidRPr="006814CB">
        <w:t xml:space="preserve">casino gaming machines or casino FATG terminals </w:t>
      </w:r>
      <w:r w:rsidR="003620DA" w:rsidRPr="006814CB">
        <w:t xml:space="preserve">the </w:t>
      </w:r>
      <w:r w:rsidR="00F31467" w:rsidRPr="006814CB">
        <w:t xml:space="preserve">casino </w:t>
      </w:r>
      <w:r w:rsidR="003620DA" w:rsidRPr="006814CB">
        <w:t>licensee may have under the authorisation certificate, the commission must consider harm minimisation stra</w:t>
      </w:r>
      <w:r w:rsidR="00F31467" w:rsidRPr="006814CB">
        <w:t>tegies for patrons.</w:t>
      </w:r>
    </w:p>
    <w:p w14:paraId="0FB3619F" w14:textId="77777777" w:rsidR="005E4887" w:rsidRPr="006814CB" w:rsidRDefault="006814CB" w:rsidP="006814CB">
      <w:pPr>
        <w:pStyle w:val="AH5Sec"/>
      </w:pPr>
      <w:bookmarkStart w:id="54" w:name="_Toc147827617"/>
      <w:r w:rsidRPr="00251CCE">
        <w:rPr>
          <w:rStyle w:val="CharSectNo"/>
        </w:rPr>
        <w:t>39</w:t>
      </w:r>
      <w:r w:rsidRPr="006814CB">
        <w:tab/>
      </w:r>
      <w:r w:rsidR="005E4887" w:rsidRPr="006814CB">
        <w:t>Amendment of authorisation certificate and authorisation schedule</w:t>
      </w:r>
      <w:bookmarkEnd w:id="54"/>
    </w:p>
    <w:p w14:paraId="6FB4C150" w14:textId="77777777" w:rsidR="003A450E" w:rsidRPr="006814CB" w:rsidRDefault="006814CB" w:rsidP="006814CB">
      <w:pPr>
        <w:pStyle w:val="Amain"/>
      </w:pPr>
      <w:r>
        <w:tab/>
      </w:r>
      <w:r w:rsidRPr="006814CB">
        <w:t>(1)</w:t>
      </w:r>
      <w:r w:rsidRPr="006814CB">
        <w:tab/>
      </w:r>
      <w:r w:rsidR="005E4887" w:rsidRPr="006814CB">
        <w:t>The commission may amend an authorisation certificate or authorisation schedule on its own initiative</w:t>
      </w:r>
      <w:r w:rsidR="00D71490" w:rsidRPr="006814CB">
        <w:t xml:space="preserve"> to correct a mistake, error or omission on the authorisation certificate or authorisation schedule.</w:t>
      </w:r>
    </w:p>
    <w:p w14:paraId="04690EE1" w14:textId="77777777" w:rsidR="00D71490" w:rsidRPr="006814CB" w:rsidRDefault="006814CB" w:rsidP="008A6370">
      <w:pPr>
        <w:pStyle w:val="Amain"/>
        <w:keepNext/>
      </w:pPr>
      <w:r>
        <w:lastRenderedPageBreak/>
        <w:tab/>
      </w:r>
      <w:r w:rsidRPr="006814CB">
        <w:t>(2)</w:t>
      </w:r>
      <w:r w:rsidRPr="006814CB">
        <w:tab/>
      </w:r>
      <w:r w:rsidR="00D71490" w:rsidRPr="006814CB">
        <w:t xml:space="preserve">The commission </w:t>
      </w:r>
      <w:r w:rsidR="00475056" w:rsidRPr="006814CB">
        <w:t>must</w:t>
      </w:r>
      <w:r w:rsidR="00D71490" w:rsidRPr="006814CB">
        <w:t xml:space="preserve"> amend an authorisation certificate—</w:t>
      </w:r>
    </w:p>
    <w:p w14:paraId="4D6C881B" w14:textId="77777777" w:rsidR="003A450E" w:rsidRPr="006814CB" w:rsidRDefault="006814CB" w:rsidP="00C32FF9">
      <w:pPr>
        <w:pStyle w:val="Apara"/>
        <w:keepNext/>
        <w:keepLines/>
      </w:pPr>
      <w:r>
        <w:tab/>
      </w:r>
      <w:r w:rsidRPr="006814CB">
        <w:t>(a)</w:t>
      </w:r>
      <w:r w:rsidRPr="006814CB">
        <w:tab/>
      </w:r>
      <w:r w:rsidR="003A450E" w:rsidRPr="006814CB">
        <w:t xml:space="preserve">if a restricted authorisation is converted to a casino gaming machine authorisation or </w:t>
      </w:r>
      <w:r w:rsidR="00A5228B" w:rsidRPr="006814CB">
        <w:t>casino FATG terminal authorisation</w:t>
      </w:r>
      <w:r w:rsidR="003A450E" w:rsidRPr="006814CB">
        <w:t xml:space="preserve"> under section </w:t>
      </w:r>
      <w:r w:rsidR="002E0DF3" w:rsidRPr="006814CB">
        <w:t>22</w:t>
      </w:r>
      <w:r w:rsidR="003A450E" w:rsidRPr="006814CB">
        <w:t xml:space="preserve"> (Conversion of restricted authorisations—decision)</w:t>
      </w:r>
      <w:r w:rsidR="00D71490" w:rsidRPr="006814CB">
        <w:t>—to include a statement to that effect</w:t>
      </w:r>
      <w:r w:rsidR="003A450E" w:rsidRPr="006814CB">
        <w:t>; or</w:t>
      </w:r>
    </w:p>
    <w:p w14:paraId="57AE60C1" w14:textId="737620BC" w:rsidR="003A450E" w:rsidRPr="006814CB" w:rsidRDefault="006814CB" w:rsidP="006814CB">
      <w:pPr>
        <w:pStyle w:val="Apara"/>
      </w:pPr>
      <w:r>
        <w:tab/>
      </w:r>
      <w:r w:rsidRPr="006814CB">
        <w:t>(b)</w:t>
      </w:r>
      <w:r w:rsidRPr="006814CB">
        <w:tab/>
      </w:r>
      <w:r w:rsidR="003A450E" w:rsidRPr="006814CB">
        <w:t>if a restricted authorisation is forfeited to the Territory under section </w:t>
      </w:r>
      <w:r w:rsidR="002E0DF3" w:rsidRPr="006814CB">
        <w:t>23</w:t>
      </w:r>
      <w:r w:rsidR="003A450E" w:rsidRPr="006814CB">
        <w:t xml:space="preserve"> (Status of restricted authorisations if development approval ends under </w:t>
      </w:r>
      <w:r w:rsidR="00364000" w:rsidRPr="006F27A9">
        <w:t>Planning Act</w:t>
      </w:r>
      <w:r w:rsidR="00364000">
        <w:t xml:space="preserve"> </w:t>
      </w:r>
      <w:r w:rsidR="00364000" w:rsidRPr="006F27A9">
        <w:t>2023, s</w:t>
      </w:r>
      <w:r w:rsidR="00364000">
        <w:t xml:space="preserve"> </w:t>
      </w:r>
      <w:r w:rsidR="00364000" w:rsidRPr="006F27A9">
        <w:t>211</w:t>
      </w:r>
      <w:r w:rsidR="006745DD" w:rsidRPr="006814CB">
        <w:t xml:space="preserve"> or because no approval given</w:t>
      </w:r>
      <w:r w:rsidR="003A450E" w:rsidRPr="006814CB">
        <w:t>) or section </w:t>
      </w:r>
      <w:r w:rsidR="002E0DF3" w:rsidRPr="006814CB">
        <w:t>24</w:t>
      </w:r>
      <w:r w:rsidR="003A450E" w:rsidRPr="006814CB">
        <w:t xml:space="preserve"> (Status of restricted authorisations if development approval ends in other circumstances)—to record the correct maximum number of authorisations for casino gaming machines or casino FATG terminals allowed under the authorisation certificate.</w:t>
      </w:r>
    </w:p>
    <w:p w14:paraId="57C2A9FF" w14:textId="77777777" w:rsidR="005E4887" w:rsidRPr="006814CB" w:rsidRDefault="006814CB" w:rsidP="00EF5D29">
      <w:pPr>
        <w:pStyle w:val="Amain"/>
        <w:keepLines/>
      </w:pPr>
      <w:r>
        <w:tab/>
      </w:r>
      <w:r w:rsidRPr="006814CB">
        <w:t>(3)</w:t>
      </w:r>
      <w:r w:rsidRPr="006814CB">
        <w:tab/>
      </w:r>
      <w:r w:rsidR="005E4887" w:rsidRPr="006814CB">
        <w:t xml:space="preserve">If the casino licensee notifies the commission about the acquisition of an authorisation under section </w:t>
      </w:r>
      <w:r w:rsidR="002E0DF3" w:rsidRPr="006814CB">
        <w:t>16</w:t>
      </w:r>
      <w:r w:rsidR="005E4887" w:rsidRPr="006814CB">
        <w:t xml:space="preserve"> (</w:t>
      </w:r>
      <w:r w:rsidR="00A5629C" w:rsidRPr="006814CB">
        <w:t>Acquiring authorisations for casino gaming machines and casino FATG</w:t>
      </w:r>
      <w:r w:rsidR="008C5AC8" w:rsidRPr="006814CB">
        <w:t xml:space="preserve"> terminal</w:t>
      </w:r>
      <w:r w:rsidR="00A5629C" w:rsidRPr="006814CB">
        <w:t xml:space="preserve">s), the commission must amend the </w:t>
      </w:r>
      <w:r w:rsidR="003A450E" w:rsidRPr="006814CB">
        <w:t xml:space="preserve">appropriate </w:t>
      </w:r>
      <w:r w:rsidR="00A5629C" w:rsidRPr="006814CB">
        <w:t xml:space="preserve">authorisation schedule to include the number of the acquired authorisation. </w:t>
      </w:r>
    </w:p>
    <w:p w14:paraId="62008C54" w14:textId="77777777" w:rsidR="00A5629C" w:rsidRPr="006814CB" w:rsidRDefault="006814CB" w:rsidP="006814CB">
      <w:pPr>
        <w:pStyle w:val="Amain"/>
      </w:pPr>
      <w:r>
        <w:tab/>
      </w:r>
      <w:r w:rsidRPr="006814CB">
        <w:t>(4)</w:t>
      </w:r>
      <w:r w:rsidRPr="006814CB">
        <w:tab/>
      </w:r>
      <w:r w:rsidR="00A5629C" w:rsidRPr="006814CB">
        <w:t>If the casino licensee notifies the commission about the disposal of a restricted authorisation under section </w:t>
      </w:r>
      <w:r w:rsidR="002E0DF3" w:rsidRPr="006814CB">
        <w:t>24</w:t>
      </w:r>
      <w:r w:rsidR="00A5629C" w:rsidRPr="006814CB">
        <w:t xml:space="preserve"> (Status of restricted authorisations if development approval ends in other circumstances), </w:t>
      </w:r>
      <w:r w:rsidR="003A450E" w:rsidRPr="006814CB">
        <w:t>the commission must amend the appropriate authorisation schedule to remove the number of the disposed authorisation.</w:t>
      </w:r>
    </w:p>
    <w:p w14:paraId="4A14538C" w14:textId="77777777" w:rsidR="003A450E" w:rsidRPr="006814CB" w:rsidRDefault="006814CB" w:rsidP="006814CB">
      <w:pPr>
        <w:pStyle w:val="Amain"/>
      </w:pPr>
      <w:r>
        <w:tab/>
      </w:r>
      <w:r w:rsidRPr="006814CB">
        <w:t>(5)</w:t>
      </w:r>
      <w:r w:rsidRPr="006814CB">
        <w:tab/>
      </w:r>
      <w:r w:rsidR="00D71490" w:rsidRPr="006814CB">
        <w:t xml:space="preserve">If the casino licensee notifies the commission about the acquisition of a casino gaming machine under section </w:t>
      </w:r>
      <w:r w:rsidR="002E0DF3" w:rsidRPr="006814CB">
        <w:t>26</w:t>
      </w:r>
      <w:r w:rsidR="00D71490" w:rsidRPr="006814CB">
        <w:t xml:space="preserve"> (Acquiring casino gaming machine under authorisation), the commission must amend the casino gaming machine authorisation schedule to include the serial number of the casino gaming machine.</w:t>
      </w:r>
    </w:p>
    <w:p w14:paraId="08D60452" w14:textId="77777777" w:rsidR="00D71490" w:rsidRPr="006814CB" w:rsidRDefault="006814CB" w:rsidP="008A6370">
      <w:pPr>
        <w:pStyle w:val="Amain"/>
        <w:keepLines/>
      </w:pPr>
      <w:r>
        <w:lastRenderedPageBreak/>
        <w:tab/>
      </w:r>
      <w:r w:rsidRPr="006814CB">
        <w:t>(6)</w:t>
      </w:r>
      <w:r w:rsidRPr="006814CB">
        <w:tab/>
      </w:r>
      <w:r w:rsidR="00D71490" w:rsidRPr="006814CB">
        <w:t xml:space="preserve">If the casino licensee notifies the commission about the acquisition of a casino FATG terminal under section </w:t>
      </w:r>
      <w:r w:rsidR="002E0DF3" w:rsidRPr="006814CB">
        <w:t>28</w:t>
      </w:r>
      <w:r w:rsidR="00D71490" w:rsidRPr="006814CB">
        <w:t xml:space="preserve"> (Acquiring casino FATG terminal under authorisation), the commission must amend the </w:t>
      </w:r>
      <w:r w:rsidR="00A5228B" w:rsidRPr="006814CB">
        <w:t>casino FATG terminal authorisation</w:t>
      </w:r>
      <w:r w:rsidR="00D71490" w:rsidRPr="006814CB">
        <w:t xml:space="preserve"> schedule to include the serial number of the casino FATG terminal. </w:t>
      </w:r>
    </w:p>
    <w:p w14:paraId="157064D4" w14:textId="77777777" w:rsidR="002B4AE0" w:rsidRPr="006814CB" w:rsidRDefault="006814CB" w:rsidP="006814CB">
      <w:pPr>
        <w:pStyle w:val="AH5Sec"/>
      </w:pPr>
      <w:bookmarkStart w:id="55" w:name="_Toc147827618"/>
      <w:r w:rsidRPr="00251CCE">
        <w:rPr>
          <w:rStyle w:val="CharSectNo"/>
        </w:rPr>
        <w:t>40</w:t>
      </w:r>
      <w:r w:rsidRPr="006814CB">
        <w:tab/>
      </w:r>
      <w:r w:rsidR="002B4AE0" w:rsidRPr="006814CB">
        <w:t>Re-issue of amended authorisation certificate and authorisation schedule</w:t>
      </w:r>
      <w:bookmarkEnd w:id="55"/>
    </w:p>
    <w:p w14:paraId="13D8E4D9" w14:textId="77777777" w:rsidR="002B4AE0" w:rsidRPr="006814CB" w:rsidRDefault="006814CB" w:rsidP="006814CB">
      <w:pPr>
        <w:pStyle w:val="Amain"/>
      </w:pPr>
      <w:r>
        <w:tab/>
      </w:r>
      <w:r w:rsidRPr="006814CB">
        <w:t>(1)</w:t>
      </w:r>
      <w:r w:rsidRPr="006814CB">
        <w:tab/>
      </w:r>
      <w:r w:rsidR="002B4AE0" w:rsidRPr="006814CB">
        <w:t xml:space="preserve">If the commission amends an authorisation certificate (other than the schedule to the certificate) under this Act, the commission must issue the casino licensee with an authorisation certificate that includes the amendment (a </w:t>
      </w:r>
      <w:r w:rsidR="002B4AE0" w:rsidRPr="006814CB">
        <w:rPr>
          <w:rStyle w:val="charBoldItals"/>
        </w:rPr>
        <w:t>replacement authorisation certificate</w:t>
      </w:r>
      <w:r w:rsidR="002B4AE0" w:rsidRPr="006814CB">
        <w:t>).</w:t>
      </w:r>
    </w:p>
    <w:p w14:paraId="02D0056B" w14:textId="77777777" w:rsidR="002B4AE0" w:rsidRPr="006814CB" w:rsidRDefault="006814CB" w:rsidP="006814CB">
      <w:pPr>
        <w:pStyle w:val="Amain"/>
      </w:pPr>
      <w:r>
        <w:tab/>
      </w:r>
      <w:r w:rsidRPr="006814CB">
        <w:t>(2)</w:t>
      </w:r>
      <w:r w:rsidRPr="006814CB">
        <w:tab/>
      </w:r>
      <w:r w:rsidR="002B4AE0" w:rsidRPr="006814CB">
        <w:t>The replacement authorisation certificate must state—</w:t>
      </w:r>
    </w:p>
    <w:p w14:paraId="016C9046" w14:textId="77777777" w:rsidR="002B4AE0" w:rsidRPr="006814CB" w:rsidRDefault="006814CB" w:rsidP="006814CB">
      <w:pPr>
        <w:pStyle w:val="Apara"/>
      </w:pPr>
      <w:r>
        <w:tab/>
      </w:r>
      <w:r w:rsidRPr="006814CB">
        <w:t>(a)</w:t>
      </w:r>
      <w:r w:rsidRPr="006814CB">
        <w:tab/>
      </w:r>
      <w:r w:rsidR="002B4AE0" w:rsidRPr="006814CB">
        <w:t>that the certificate is a replacement authorisation certificate; and</w:t>
      </w:r>
    </w:p>
    <w:p w14:paraId="3CE77BF7" w14:textId="77777777" w:rsidR="002B4AE0" w:rsidRPr="006814CB" w:rsidRDefault="006814CB" w:rsidP="006814CB">
      <w:pPr>
        <w:pStyle w:val="Apara"/>
      </w:pPr>
      <w:r>
        <w:tab/>
      </w:r>
      <w:r w:rsidRPr="006814CB">
        <w:t>(b)</w:t>
      </w:r>
      <w:r w:rsidRPr="006814CB">
        <w:tab/>
      </w:r>
      <w:r w:rsidR="002B4AE0" w:rsidRPr="006814CB">
        <w:t>the date the replacement authorisation certificate was issued; and</w:t>
      </w:r>
    </w:p>
    <w:p w14:paraId="178B757D" w14:textId="77777777" w:rsidR="002B4AE0" w:rsidRPr="006814CB" w:rsidRDefault="006814CB" w:rsidP="006814CB">
      <w:pPr>
        <w:pStyle w:val="Apara"/>
      </w:pPr>
      <w:r>
        <w:tab/>
      </w:r>
      <w:r w:rsidRPr="006814CB">
        <w:t>(c)</w:t>
      </w:r>
      <w:r w:rsidRPr="006814CB">
        <w:tab/>
      </w:r>
      <w:r w:rsidR="002B4AE0" w:rsidRPr="006814CB">
        <w:t>the date the amendment commences.</w:t>
      </w:r>
    </w:p>
    <w:p w14:paraId="5C26FD12" w14:textId="77777777" w:rsidR="002B4AE0" w:rsidRPr="006814CB" w:rsidRDefault="006814CB" w:rsidP="006814CB">
      <w:pPr>
        <w:pStyle w:val="Amain"/>
      </w:pPr>
      <w:r>
        <w:tab/>
      </w:r>
      <w:r w:rsidRPr="006814CB">
        <w:t>(3)</w:t>
      </w:r>
      <w:r w:rsidRPr="006814CB">
        <w:tab/>
      </w:r>
      <w:r w:rsidR="002B4AE0" w:rsidRPr="006814CB">
        <w:t xml:space="preserve">If an authorisation schedule to an authorisation certificate is amended under this Act, the commission must issue the casino licensee with an authorisation schedule that includes the amendment (a </w:t>
      </w:r>
      <w:r w:rsidR="002B4AE0" w:rsidRPr="006814CB">
        <w:rPr>
          <w:rStyle w:val="charBoldItals"/>
        </w:rPr>
        <w:t>replacement authorisation schedule</w:t>
      </w:r>
      <w:r w:rsidR="002B4AE0" w:rsidRPr="006814CB">
        <w:t>).</w:t>
      </w:r>
    </w:p>
    <w:p w14:paraId="5EC79260" w14:textId="77777777" w:rsidR="002B4AE0" w:rsidRPr="006814CB" w:rsidRDefault="006814CB" w:rsidP="006814CB">
      <w:pPr>
        <w:pStyle w:val="Amain"/>
      </w:pPr>
      <w:r>
        <w:tab/>
      </w:r>
      <w:r w:rsidRPr="006814CB">
        <w:t>(4)</w:t>
      </w:r>
      <w:r w:rsidRPr="006814CB">
        <w:tab/>
      </w:r>
      <w:r w:rsidR="002B4AE0" w:rsidRPr="006814CB">
        <w:t>The replacement authorisation schedule must state—</w:t>
      </w:r>
    </w:p>
    <w:p w14:paraId="294749DD" w14:textId="77777777" w:rsidR="002B4AE0" w:rsidRPr="006814CB" w:rsidRDefault="006814CB" w:rsidP="006814CB">
      <w:pPr>
        <w:pStyle w:val="Apara"/>
      </w:pPr>
      <w:r>
        <w:tab/>
      </w:r>
      <w:r w:rsidRPr="006814CB">
        <w:t>(a)</w:t>
      </w:r>
      <w:r w:rsidRPr="006814CB">
        <w:tab/>
      </w:r>
      <w:r w:rsidR="002B4AE0" w:rsidRPr="006814CB">
        <w:t>that the authorisation schedule is a replacement authorisation schedule; and</w:t>
      </w:r>
    </w:p>
    <w:p w14:paraId="2EE966B9" w14:textId="77777777" w:rsidR="002B4AE0" w:rsidRPr="006814CB" w:rsidRDefault="006814CB" w:rsidP="006814CB">
      <w:pPr>
        <w:pStyle w:val="Apara"/>
      </w:pPr>
      <w:r>
        <w:tab/>
      </w:r>
      <w:r w:rsidRPr="006814CB">
        <w:t>(b)</w:t>
      </w:r>
      <w:r w:rsidRPr="006814CB">
        <w:tab/>
      </w:r>
      <w:r w:rsidR="002B4AE0" w:rsidRPr="006814CB">
        <w:t>the date the replacement authorisation schedule was issued; and</w:t>
      </w:r>
    </w:p>
    <w:p w14:paraId="4B168CF7" w14:textId="77777777" w:rsidR="002B4AE0" w:rsidRPr="006814CB" w:rsidRDefault="006814CB" w:rsidP="006814CB">
      <w:pPr>
        <w:pStyle w:val="Apara"/>
      </w:pPr>
      <w:r>
        <w:tab/>
      </w:r>
      <w:r w:rsidRPr="006814CB">
        <w:t>(c)</w:t>
      </w:r>
      <w:r w:rsidRPr="006814CB">
        <w:tab/>
      </w:r>
      <w:r w:rsidR="002B4AE0" w:rsidRPr="006814CB">
        <w:t>the date the amendment commences.</w:t>
      </w:r>
    </w:p>
    <w:p w14:paraId="3B2ABDB1" w14:textId="77777777" w:rsidR="00855579" w:rsidRPr="006814CB" w:rsidRDefault="006814CB" w:rsidP="006814CB">
      <w:pPr>
        <w:pStyle w:val="AH5Sec"/>
      </w:pPr>
      <w:bookmarkStart w:id="56" w:name="_Toc147827619"/>
      <w:r w:rsidRPr="00251CCE">
        <w:rPr>
          <w:rStyle w:val="CharSectNo"/>
        </w:rPr>
        <w:lastRenderedPageBreak/>
        <w:t>41</w:t>
      </w:r>
      <w:r w:rsidRPr="006814CB">
        <w:tab/>
      </w:r>
      <w:r w:rsidR="007C6B86" w:rsidRPr="006814CB">
        <w:t>Cancellation of authorisation certificates and authorisations on s</w:t>
      </w:r>
      <w:r w:rsidR="00855579" w:rsidRPr="006814CB">
        <w:t xml:space="preserve">urrender of </w:t>
      </w:r>
      <w:r w:rsidR="007C6B86" w:rsidRPr="006814CB">
        <w:t>casino licence</w:t>
      </w:r>
      <w:bookmarkEnd w:id="56"/>
    </w:p>
    <w:p w14:paraId="71BC0098" w14:textId="331DA46F" w:rsidR="00855579" w:rsidRPr="006814CB" w:rsidRDefault="006814CB" w:rsidP="006814CB">
      <w:pPr>
        <w:pStyle w:val="Amain"/>
      </w:pPr>
      <w:r>
        <w:tab/>
      </w:r>
      <w:r w:rsidRPr="006814CB">
        <w:t>(1)</w:t>
      </w:r>
      <w:r w:rsidRPr="006814CB">
        <w:tab/>
      </w:r>
      <w:r w:rsidR="00855579" w:rsidRPr="006814CB">
        <w:t xml:space="preserve">This section applies if the casino licensee surrenders the casino licence under the </w:t>
      </w:r>
      <w:hyperlink r:id="rId57" w:tooltip="A2006-2" w:history="1">
        <w:r w:rsidR="00253379" w:rsidRPr="006814CB">
          <w:rPr>
            <w:rStyle w:val="charCitHyperlinkItal"/>
          </w:rPr>
          <w:t>Casino Control Act 2006</w:t>
        </w:r>
      </w:hyperlink>
      <w:r w:rsidR="00855579" w:rsidRPr="006814CB">
        <w:t>, section 31 (Surrender of casino licence).</w:t>
      </w:r>
    </w:p>
    <w:p w14:paraId="546FCA7E" w14:textId="34B63680" w:rsidR="00855579" w:rsidRPr="006814CB" w:rsidRDefault="006814CB" w:rsidP="0070106D">
      <w:pPr>
        <w:pStyle w:val="Amain"/>
      </w:pPr>
      <w:r>
        <w:tab/>
      </w:r>
      <w:r w:rsidRPr="006814CB">
        <w:t>(2)</w:t>
      </w:r>
      <w:r w:rsidRPr="006814CB">
        <w:tab/>
      </w:r>
      <w:r w:rsidR="00855579" w:rsidRPr="006814CB">
        <w:t xml:space="preserve">The casino licensee must notify the commission that the licensee has given the Minister written notice under the </w:t>
      </w:r>
      <w:hyperlink r:id="rId58" w:tooltip="A2006-2" w:history="1">
        <w:r w:rsidR="00253379" w:rsidRPr="006814CB">
          <w:rPr>
            <w:rStyle w:val="charCitHyperlinkItal"/>
          </w:rPr>
          <w:t>Casino Control Act 2006</w:t>
        </w:r>
      </w:hyperlink>
      <w:r w:rsidR="00855579" w:rsidRPr="006814CB">
        <w:t xml:space="preserve">, section 31 (2) that the licensee surrenders the casino licence. </w:t>
      </w:r>
    </w:p>
    <w:p w14:paraId="5FB8269A" w14:textId="77777777" w:rsidR="00855579" w:rsidRPr="006814CB" w:rsidRDefault="00855579" w:rsidP="0070106D">
      <w:pPr>
        <w:pStyle w:val="aNote"/>
      </w:pPr>
      <w:r w:rsidRPr="006814CB">
        <w:rPr>
          <w:rStyle w:val="charItals"/>
        </w:rPr>
        <w:t>Note 1</w:t>
      </w:r>
      <w:r w:rsidRPr="006814CB">
        <w:rPr>
          <w:rStyle w:val="charItals"/>
        </w:rPr>
        <w:tab/>
      </w:r>
      <w:r w:rsidRPr="006814CB">
        <w:t xml:space="preserve">The </w:t>
      </w:r>
      <w:r w:rsidR="00396008" w:rsidRPr="006814CB">
        <w:t>surrender of the casino licence</w:t>
      </w:r>
      <w:r w:rsidRPr="006814CB">
        <w:t xml:space="preserve"> is a notifiable action (see</w:t>
      </w:r>
      <w:r w:rsidR="00747BF1" w:rsidRPr="006814CB">
        <w:t xml:space="preserve"> </w:t>
      </w:r>
      <w:r w:rsidR="00CF0AF9" w:rsidRPr="006814CB">
        <w:t>pt 10</w:t>
      </w:r>
      <w:r w:rsidR="00747BF1" w:rsidRPr="006814CB">
        <w:t xml:space="preserve"> and sch 2</w:t>
      </w:r>
      <w:r w:rsidRPr="006814CB">
        <w:t>).</w:t>
      </w:r>
    </w:p>
    <w:p w14:paraId="36ADD230" w14:textId="77777777" w:rsidR="00855579" w:rsidRPr="006814CB" w:rsidRDefault="00855579" w:rsidP="0070106D">
      <w:pPr>
        <w:pStyle w:val="aNote"/>
        <w:keepNext/>
      </w:pPr>
      <w:r w:rsidRPr="006814CB">
        <w:rPr>
          <w:rStyle w:val="charItals"/>
        </w:rPr>
        <w:t>Note 2</w:t>
      </w:r>
      <w:r w:rsidRPr="006814CB">
        <w:tab/>
        <w:t xml:space="preserve">A notifiable action takes </w:t>
      </w:r>
      <w:r w:rsidR="008C5AC8" w:rsidRPr="006814CB">
        <w:t>effect</w:t>
      </w:r>
      <w:r w:rsidRPr="006814CB">
        <w:t>—</w:t>
      </w:r>
    </w:p>
    <w:p w14:paraId="45655906" w14:textId="77777777" w:rsidR="00855579" w:rsidRPr="006814CB" w:rsidRDefault="00855579" w:rsidP="00EF5D29">
      <w:pPr>
        <w:pStyle w:val="aNotePara"/>
        <w:keepNext/>
      </w:pPr>
      <w:r w:rsidRPr="006814CB">
        <w:tab/>
        <w:t>(a)</w:t>
      </w:r>
      <w:r w:rsidRPr="006814CB">
        <w:tab/>
        <w:t xml:space="preserve">the prescribed number of days after the day the commission receives the notification (see s </w:t>
      </w:r>
      <w:r w:rsidR="002E0DF3" w:rsidRPr="006814CB">
        <w:t>50</w:t>
      </w:r>
      <w:r w:rsidRPr="006814CB">
        <w:t xml:space="preserve"> (a)); or</w:t>
      </w:r>
    </w:p>
    <w:p w14:paraId="5C150FFF" w14:textId="77777777" w:rsidR="00855579" w:rsidRPr="006814CB" w:rsidRDefault="00855579" w:rsidP="00EF5D29">
      <w:pPr>
        <w:pStyle w:val="aNotePara"/>
        <w:keepNext/>
      </w:pPr>
      <w:r w:rsidRPr="006814CB">
        <w:tab/>
        <w:t>(b)</w:t>
      </w:r>
      <w:r w:rsidRPr="006814CB">
        <w:tab/>
        <w:t xml:space="preserve">if the commission allows the notifiable action to take </w:t>
      </w:r>
      <w:r w:rsidR="008C5AC8" w:rsidRPr="006814CB">
        <w:t>effect</w:t>
      </w:r>
      <w:r w:rsidRPr="006814CB">
        <w:t xml:space="preserve"> on an earlier day—that day (see s </w:t>
      </w:r>
      <w:r w:rsidR="002E0DF3" w:rsidRPr="006814CB">
        <w:t>50</w:t>
      </w:r>
      <w:r w:rsidRPr="006814CB">
        <w:t xml:space="preserve"> (b)); or</w:t>
      </w:r>
    </w:p>
    <w:p w14:paraId="2F139B28" w14:textId="77777777" w:rsidR="00855579" w:rsidRPr="006814CB" w:rsidRDefault="00855579" w:rsidP="00EF5D29">
      <w:pPr>
        <w:pStyle w:val="aNotePara"/>
        <w:keepNext/>
      </w:pPr>
      <w:r w:rsidRPr="006814CB">
        <w:tab/>
        <w:t>(c)</w:t>
      </w:r>
      <w:r w:rsidRPr="006814CB">
        <w:tab/>
        <w:t>if the commission asks for additional information under s </w:t>
      </w:r>
      <w:r w:rsidR="002E0DF3" w:rsidRPr="006814CB">
        <w:t>49</w:t>
      </w:r>
      <w:r w:rsidR="00747BF1" w:rsidRPr="006814CB">
        <w:t> (3</w:t>
      </w:r>
      <w:r w:rsidRPr="006814CB">
        <w:t>)—when the commission has notified the licensee that it is satisfied in relation to the additional information (see s </w:t>
      </w:r>
      <w:r w:rsidR="002E0DF3" w:rsidRPr="006814CB">
        <w:t>50</w:t>
      </w:r>
      <w:r w:rsidRPr="006814CB">
        <w:t xml:space="preserve"> (c)).</w:t>
      </w:r>
    </w:p>
    <w:p w14:paraId="1E340821" w14:textId="77777777" w:rsidR="00396008" w:rsidRPr="006814CB" w:rsidRDefault="006814CB" w:rsidP="006814CB">
      <w:pPr>
        <w:pStyle w:val="Amain"/>
      </w:pPr>
      <w:r>
        <w:tab/>
      </w:r>
      <w:r w:rsidRPr="006814CB">
        <w:t>(3)</w:t>
      </w:r>
      <w:r w:rsidRPr="006814CB">
        <w:tab/>
      </w:r>
      <w:r w:rsidR="00396008" w:rsidRPr="006814CB">
        <w:t>If the casino licensee notifies the commission about the surrender of the casino licence, the commission must—</w:t>
      </w:r>
    </w:p>
    <w:p w14:paraId="4D288F1D" w14:textId="77777777" w:rsidR="00396008" w:rsidRPr="006814CB" w:rsidRDefault="006814CB" w:rsidP="006814CB">
      <w:pPr>
        <w:pStyle w:val="Apara"/>
      </w:pPr>
      <w:r>
        <w:tab/>
      </w:r>
      <w:r w:rsidRPr="006814CB">
        <w:t>(a)</w:t>
      </w:r>
      <w:r w:rsidRPr="006814CB">
        <w:tab/>
      </w:r>
      <w:r w:rsidR="00396008" w:rsidRPr="006814CB">
        <w:t>cancel all authorisation certificates held by the licensee; and</w:t>
      </w:r>
    </w:p>
    <w:p w14:paraId="28071D0F" w14:textId="77777777" w:rsidR="00396008" w:rsidRPr="006814CB" w:rsidRDefault="006814CB" w:rsidP="006814CB">
      <w:pPr>
        <w:pStyle w:val="Apara"/>
      </w:pPr>
      <w:r>
        <w:tab/>
      </w:r>
      <w:r w:rsidRPr="006814CB">
        <w:t>(b)</w:t>
      </w:r>
      <w:r w:rsidRPr="006814CB">
        <w:tab/>
      </w:r>
      <w:r w:rsidR="00396008" w:rsidRPr="006814CB">
        <w:t>give the licensee a storage permit for an interim purpose for each casino gaming machine and casino FATG terminal under the cancelled authorisation certificates.</w:t>
      </w:r>
    </w:p>
    <w:p w14:paraId="33F293E7" w14:textId="77777777" w:rsidR="00396008" w:rsidRPr="006814CB" w:rsidRDefault="006814CB" w:rsidP="006814CB">
      <w:pPr>
        <w:pStyle w:val="Amain"/>
      </w:pPr>
      <w:r>
        <w:tab/>
      </w:r>
      <w:r w:rsidRPr="006814CB">
        <w:t>(4)</w:t>
      </w:r>
      <w:r w:rsidRPr="006814CB">
        <w:tab/>
      </w:r>
      <w:r w:rsidR="00396008" w:rsidRPr="006814CB">
        <w:t>If an authorisation certificate or authorisation is cancelled under this section, the casino licensee must—</w:t>
      </w:r>
    </w:p>
    <w:p w14:paraId="7C20DB62" w14:textId="77777777" w:rsidR="00396008" w:rsidRPr="006814CB" w:rsidRDefault="006814CB" w:rsidP="006814CB">
      <w:pPr>
        <w:pStyle w:val="Apara"/>
      </w:pPr>
      <w:r>
        <w:tab/>
      </w:r>
      <w:r w:rsidRPr="006814CB">
        <w:t>(a)</w:t>
      </w:r>
      <w:r w:rsidRPr="006814CB">
        <w:tab/>
      </w:r>
      <w:r w:rsidR="00396008" w:rsidRPr="006814CB">
        <w:t xml:space="preserve">take meter readings from </w:t>
      </w:r>
      <w:r w:rsidR="00F31467" w:rsidRPr="006814CB">
        <w:t>each casino gaming</w:t>
      </w:r>
      <w:r w:rsidR="00396008" w:rsidRPr="006814CB">
        <w:t xml:space="preserve"> machine and casino FATG terminal under the certificate or authorisation; and</w:t>
      </w:r>
    </w:p>
    <w:p w14:paraId="138D2FF9" w14:textId="77777777" w:rsidR="00396008" w:rsidRPr="006814CB" w:rsidRDefault="006814CB" w:rsidP="006814CB">
      <w:pPr>
        <w:pStyle w:val="Apara"/>
      </w:pPr>
      <w:r>
        <w:tab/>
      </w:r>
      <w:r w:rsidRPr="006814CB">
        <w:t>(b)</w:t>
      </w:r>
      <w:r w:rsidRPr="006814CB">
        <w:tab/>
      </w:r>
      <w:r w:rsidR="00396008" w:rsidRPr="006814CB">
        <w:t>render the machine or terminal inoperable; and</w:t>
      </w:r>
    </w:p>
    <w:p w14:paraId="2A761031" w14:textId="77777777" w:rsidR="00396008" w:rsidRPr="006814CB" w:rsidRDefault="006814CB" w:rsidP="00F816FC">
      <w:pPr>
        <w:pStyle w:val="Apara"/>
        <w:keepNext/>
      </w:pPr>
      <w:r>
        <w:lastRenderedPageBreak/>
        <w:tab/>
      </w:r>
      <w:r w:rsidRPr="006814CB">
        <w:t>(c)</w:t>
      </w:r>
      <w:r w:rsidRPr="006814CB">
        <w:tab/>
      </w:r>
      <w:r w:rsidR="00396008" w:rsidRPr="006814CB">
        <w:t>within the prescribed number of days after the day the certificate or authorisation is cancelled, give the commission—</w:t>
      </w:r>
    </w:p>
    <w:p w14:paraId="0E57EC24" w14:textId="77777777" w:rsidR="00396008" w:rsidRPr="006814CB" w:rsidRDefault="006814CB" w:rsidP="006814CB">
      <w:pPr>
        <w:pStyle w:val="Asubpara"/>
      </w:pPr>
      <w:r>
        <w:tab/>
      </w:r>
      <w:r w:rsidRPr="006814CB">
        <w:t>(i)</w:t>
      </w:r>
      <w:r w:rsidRPr="006814CB">
        <w:tab/>
      </w:r>
      <w:r w:rsidR="00396008" w:rsidRPr="006814CB">
        <w:t>details of the meter readings taken under paragraph (a); and</w:t>
      </w:r>
    </w:p>
    <w:p w14:paraId="5E0AC75D" w14:textId="77777777" w:rsidR="00396008" w:rsidRPr="006814CB" w:rsidRDefault="006814CB" w:rsidP="006814CB">
      <w:pPr>
        <w:pStyle w:val="Asubpara"/>
      </w:pPr>
      <w:r>
        <w:tab/>
      </w:r>
      <w:r w:rsidRPr="006814CB">
        <w:t>(ii)</w:t>
      </w:r>
      <w:r w:rsidRPr="006814CB">
        <w:tab/>
      </w:r>
      <w:r w:rsidR="00396008" w:rsidRPr="006814CB">
        <w:t>any outstanding amount payable by the licensee in relation to the operation of the casino gaming machine or casino FATG terminal under the cancelled authorisation certificate.</w:t>
      </w:r>
    </w:p>
    <w:p w14:paraId="5E8F3405" w14:textId="77777777" w:rsidR="00855579" w:rsidRPr="006814CB" w:rsidRDefault="00396008" w:rsidP="00396008">
      <w:pPr>
        <w:pStyle w:val="aNotepar"/>
      </w:pPr>
      <w:r w:rsidRPr="006814CB">
        <w:rPr>
          <w:rStyle w:val="charItals"/>
        </w:rPr>
        <w:t>Note</w:t>
      </w:r>
      <w:r w:rsidRPr="006814CB">
        <w:rPr>
          <w:rStyle w:val="charItals"/>
        </w:rPr>
        <w:tab/>
      </w:r>
      <w:r w:rsidRPr="006814CB">
        <w:rPr>
          <w:rStyle w:val="charBoldItals"/>
        </w:rPr>
        <w:t>Prescribed number of days</w:t>
      </w:r>
      <w:r w:rsidRPr="006814CB">
        <w:t xml:space="preserve">—see s </w:t>
      </w:r>
      <w:r w:rsidR="002E0DF3" w:rsidRPr="006814CB">
        <w:t>48</w:t>
      </w:r>
      <w:r w:rsidR="00DF2059" w:rsidRPr="006814CB">
        <w:t>.</w:t>
      </w:r>
    </w:p>
    <w:p w14:paraId="36CB799C" w14:textId="77777777" w:rsidR="00A01682" w:rsidRPr="006814CB" w:rsidRDefault="006814CB" w:rsidP="006814CB">
      <w:pPr>
        <w:pStyle w:val="AH5Sec"/>
      </w:pPr>
      <w:bookmarkStart w:id="57" w:name="_Toc147827620"/>
      <w:r w:rsidRPr="00251CCE">
        <w:rPr>
          <w:rStyle w:val="CharSectNo"/>
        </w:rPr>
        <w:t>42</w:t>
      </w:r>
      <w:r w:rsidRPr="006814CB">
        <w:tab/>
      </w:r>
      <w:r w:rsidR="00A01682" w:rsidRPr="006814CB">
        <w:t>Cancellation of authorisation certificates</w:t>
      </w:r>
      <w:r w:rsidR="000E0F38" w:rsidRPr="006814CB">
        <w:t xml:space="preserve"> and authorisations</w:t>
      </w:r>
      <w:r w:rsidR="00A01682" w:rsidRPr="006814CB">
        <w:t>—</w:t>
      </w:r>
      <w:r w:rsidR="000E0F38" w:rsidRPr="006814CB">
        <w:t>forfeiture</w:t>
      </w:r>
      <w:bookmarkEnd w:id="57"/>
    </w:p>
    <w:p w14:paraId="37052EB0" w14:textId="77777777" w:rsidR="00A01682" w:rsidRPr="006814CB" w:rsidRDefault="006814CB" w:rsidP="006814CB">
      <w:pPr>
        <w:pStyle w:val="Amain"/>
      </w:pPr>
      <w:r>
        <w:tab/>
      </w:r>
      <w:r w:rsidRPr="006814CB">
        <w:t>(1)</w:t>
      </w:r>
      <w:r w:rsidRPr="006814CB">
        <w:tab/>
      </w:r>
      <w:r w:rsidR="00A01682" w:rsidRPr="006814CB">
        <w:t xml:space="preserve">This section applies if each authorisation certificate under the casino licence is cancelled under section </w:t>
      </w:r>
      <w:r w:rsidR="002E0DF3" w:rsidRPr="006814CB">
        <w:t>41</w:t>
      </w:r>
      <w:r w:rsidR="00A01682" w:rsidRPr="006814CB">
        <w:t>.</w:t>
      </w:r>
    </w:p>
    <w:p w14:paraId="5CDCE7AF" w14:textId="77777777" w:rsidR="00A01682" w:rsidRPr="006814CB" w:rsidRDefault="006814CB" w:rsidP="006814CB">
      <w:pPr>
        <w:pStyle w:val="Amain"/>
      </w:pPr>
      <w:r>
        <w:tab/>
      </w:r>
      <w:r w:rsidRPr="006814CB">
        <w:t>(2)</w:t>
      </w:r>
      <w:r w:rsidRPr="006814CB">
        <w:tab/>
      </w:r>
      <w:r w:rsidR="00A01682" w:rsidRPr="006814CB">
        <w:t>The number of authorisations for casino gaming machines and casino FATG terminals under the cancelled authorisation certificates is forfeited to the Territory.</w:t>
      </w:r>
    </w:p>
    <w:p w14:paraId="21B104EF" w14:textId="77777777" w:rsidR="001206DA" w:rsidRPr="006814CB" w:rsidRDefault="006814CB" w:rsidP="006814CB">
      <w:pPr>
        <w:pStyle w:val="Amain"/>
      </w:pPr>
      <w:r>
        <w:tab/>
      </w:r>
      <w:r w:rsidRPr="006814CB">
        <w:t>(3)</w:t>
      </w:r>
      <w:r w:rsidRPr="006814CB">
        <w:tab/>
      </w:r>
      <w:r w:rsidR="001206DA" w:rsidRPr="006814CB">
        <w:t xml:space="preserve">The casino licensee is not entitled to claim compensation from the Territory for an authorisation forfeited to the Territory under subsection (2). </w:t>
      </w:r>
    </w:p>
    <w:p w14:paraId="1F170EEE" w14:textId="77777777" w:rsidR="007C6B86" w:rsidRPr="006814CB" w:rsidRDefault="006814CB" w:rsidP="006814CB">
      <w:pPr>
        <w:pStyle w:val="AH5Sec"/>
      </w:pPr>
      <w:bookmarkStart w:id="58" w:name="_Toc147827621"/>
      <w:r w:rsidRPr="00251CCE">
        <w:rPr>
          <w:rStyle w:val="CharSectNo"/>
        </w:rPr>
        <w:t>43</w:t>
      </w:r>
      <w:r w:rsidRPr="006814CB">
        <w:tab/>
      </w:r>
      <w:r w:rsidR="007C6B86" w:rsidRPr="006814CB">
        <w:t>Surrender of authorisation certificates and authorisations</w:t>
      </w:r>
      <w:bookmarkEnd w:id="58"/>
    </w:p>
    <w:p w14:paraId="52A48C96" w14:textId="77777777" w:rsidR="007C6B86" w:rsidRPr="006814CB" w:rsidRDefault="006814CB" w:rsidP="006814CB">
      <w:pPr>
        <w:pStyle w:val="Amain"/>
      </w:pPr>
      <w:r>
        <w:tab/>
      </w:r>
      <w:r w:rsidRPr="006814CB">
        <w:t>(1)</w:t>
      </w:r>
      <w:r w:rsidRPr="006814CB">
        <w:tab/>
      </w:r>
      <w:r w:rsidR="007C6B86" w:rsidRPr="006814CB">
        <w:t>The casino licensee may surrender—</w:t>
      </w:r>
    </w:p>
    <w:p w14:paraId="0DB24551" w14:textId="77777777" w:rsidR="007C6B86" w:rsidRPr="006814CB" w:rsidRDefault="006814CB" w:rsidP="006814CB">
      <w:pPr>
        <w:pStyle w:val="Apara"/>
      </w:pPr>
      <w:r>
        <w:tab/>
      </w:r>
      <w:r w:rsidRPr="006814CB">
        <w:t>(a)</w:t>
      </w:r>
      <w:r w:rsidRPr="006814CB">
        <w:tab/>
      </w:r>
      <w:r w:rsidR="007C6B86" w:rsidRPr="006814CB">
        <w:t>1 or both authorisation certificates under the casino licence; or</w:t>
      </w:r>
    </w:p>
    <w:p w14:paraId="0B19DA58" w14:textId="77777777" w:rsidR="007C6B86" w:rsidRPr="006814CB" w:rsidRDefault="006814CB" w:rsidP="006814CB">
      <w:pPr>
        <w:pStyle w:val="Apara"/>
        <w:keepNext/>
      </w:pPr>
      <w:r>
        <w:tab/>
      </w:r>
      <w:r w:rsidRPr="006814CB">
        <w:t>(b)</w:t>
      </w:r>
      <w:r w:rsidRPr="006814CB">
        <w:tab/>
      </w:r>
      <w:r w:rsidR="007C6B86" w:rsidRPr="006814CB">
        <w:t>an authorisation.</w:t>
      </w:r>
    </w:p>
    <w:p w14:paraId="79DA11FF" w14:textId="77777777" w:rsidR="007C6B86" w:rsidRPr="006814CB" w:rsidRDefault="007C6B86" w:rsidP="007C6B86">
      <w:pPr>
        <w:pStyle w:val="aNote"/>
      </w:pPr>
      <w:r w:rsidRPr="006814CB">
        <w:rPr>
          <w:rStyle w:val="charItals"/>
        </w:rPr>
        <w:t>Note</w:t>
      </w:r>
      <w:r w:rsidRPr="006814CB">
        <w:rPr>
          <w:rStyle w:val="charItals"/>
        </w:rPr>
        <w:tab/>
      </w:r>
      <w:r w:rsidRPr="006814CB">
        <w:t xml:space="preserve">If the casino licensee surrenders the casino licence, all authorisation certificates under the licence are cancelled (see s </w:t>
      </w:r>
      <w:r w:rsidR="002E0DF3" w:rsidRPr="006814CB">
        <w:t>41</w:t>
      </w:r>
      <w:r w:rsidRPr="006814CB">
        <w:t xml:space="preserve"> (3) (a)).</w:t>
      </w:r>
    </w:p>
    <w:p w14:paraId="3DF14E09" w14:textId="77777777" w:rsidR="007C6B86" w:rsidRPr="006814CB" w:rsidRDefault="006814CB" w:rsidP="006814CB">
      <w:pPr>
        <w:pStyle w:val="Amain"/>
        <w:keepNext/>
      </w:pPr>
      <w:r>
        <w:lastRenderedPageBreak/>
        <w:tab/>
      </w:r>
      <w:r w:rsidRPr="006814CB">
        <w:t>(2)</w:t>
      </w:r>
      <w:r w:rsidRPr="006814CB">
        <w:tab/>
      </w:r>
      <w:r w:rsidR="007C6B86" w:rsidRPr="006814CB">
        <w:t xml:space="preserve">The casino licensee may surrender an authorisation </w:t>
      </w:r>
      <w:r w:rsidR="003E3141" w:rsidRPr="006814CB">
        <w:t xml:space="preserve">certificate or authorisation by </w:t>
      </w:r>
      <w:r w:rsidR="007C6B86" w:rsidRPr="006814CB">
        <w:t>notifying the commission that the licensee surrenders the authorisation certificate or authorisation</w:t>
      </w:r>
      <w:r w:rsidR="003E3141" w:rsidRPr="006814CB">
        <w:t>.</w:t>
      </w:r>
    </w:p>
    <w:p w14:paraId="6D4B8669" w14:textId="77777777" w:rsidR="00770850" w:rsidRPr="006814CB" w:rsidRDefault="00770850" w:rsidP="006814CB">
      <w:pPr>
        <w:pStyle w:val="aNote"/>
        <w:keepNext/>
      </w:pPr>
      <w:r w:rsidRPr="006814CB">
        <w:rPr>
          <w:rStyle w:val="charItals"/>
        </w:rPr>
        <w:t>Note 1</w:t>
      </w:r>
      <w:r w:rsidRPr="006814CB">
        <w:rPr>
          <w:rStyle w:val="charItals"/>
        </w:rPr>
        <w:tab/>
      </w:r>
      <w:r w:rsidRPr="006814CB">
        <w:t xml:space="preserve">The surrender of the casino licence is a notifiable action (see </w:t>
      </w:r>
      <w:r w:rsidR="00CF0AF9" w:rsidRPr="006814CB">
        <w:t>pt 10</w:t>
      </w:r>
      <w:r w:rsidR="00BB5F71" w:rsidRPr="006814CB">
        <w:t xml:space="preserve"> and sch 2</w:t>
      </w:r>
      <w:r w:rsidRPr="006814CB">
        <w:t>).</w:t>
      </w:r>
    </w:p>
    <w:p w14:paraId="05704D81" w14:textId="77777777" w:rsidR="00770850" w:rsidRPr="006814CB" w:rsidRDefault="00770850" w:rsidP="006814CB">
      <w:pPr>
        <w:pStyle w:val="aNote"/>
        <w:keepNext/>
      </w:pPr>
      <w:r w:rsidRPr="006814CB">
        <w:rPr>
          <w:rStyle w:val="charItals"/>
        </w:rPr>
        <w:t>Note 2</w:t>
      </w:r>
      <w:r w:rsidRPr="006814CB">
        <w:tab/>
        <w:t xml:space="preserve">A notifiable action takes </w:t>
      </w:r>
      <w:r w:rsidR="003E3141" w:rsidRPr="006814CB">
        <w:t>effect</w:t>
      </w:r>
      <w:r w:rsidRPr="006814CB">
        <w:t>—</w:t>
      </w:r>
    </w:p>
    <w:p w14:paraId="4059FBF2" w14:textId="77777777" w:rsidR="00770850" w:rsidRPr="006814CB" w:rsidRDefault="00770850" w:rsidP="006814CB">
      <w:pPr>
        <w:pStyle w:val="aNotePara"/>
        <w:keepNext/>
      </w:pPr>
      <w:r w:rsidRPr="006814CB">
        <w:tab/>
        <w:t>(a)</w:t>
      </w:r>
      <w:r w:rsidRPr="006814CB">
        <w:tab/>
        <w:t xml:space="preserve">the prescribed number of days after the day the commission receives the notification (see s </w:t>
      </w:r>
      <w:r w:rsidR="002E0DF3" w:rsidRPr="006814CB">
        <w:t>50</w:t>
      </w:r>
      <w:r w:rsidRPr="006814CB">
        <w:t xml:space="preserve"> (a)); or</w:t>
      </w:r>
    </w:p>
    <w:p w14:paraId="57234196" w14:textId="77777777" w:rsidR="00770850" w:rsidRPr="006814CB" w:rsidRDefault="00770850" w:rsidP="006814CB">
      <w:pPr>
        <w:pStyle w:val="aNotePara"/>
        <w:keepNext/>
      </w:pPr>
      <w:r w:rsidRPr="006814CB">
        <w:tab/>
        <w:t>(b)</w:t>
      </w:r>
      <w:r w:rsidRPr="006814CB">
        <w:tab/>
        <w:t xml:space="preserve">if the commission allows the notifiable action to take </w:t>
      </w:r>
      <w:r w:rsidR="003E3141" w:rsidRPr="006814CB">
        <w:t>effect</w:t>
      </w:r>
      <w:r w:rsidRPr="006814CB">
        <w:t xml:space="preserve"> on an earlier day—that day (see s </w:t>
      </w:r>
      <w:r w:rsidR="002E0DF3" w:rsidRPr="006814CB">
        <w:t>50</w:t>
      </w:r>
      <w:r w:rsidRPr="006814CB">
        <w:t xml:space="preserve"> (b)); or</w:t>
      </w:r>
    </w:p>
    <w:p w14:paraId="7E980D0D" w14:textId="77777777" w:rsidR="00770850" w:rsidRPr="006814CB" w:rsidRDefault="00770850" w:rsidP="00770850">
      <w:pPr>
        <w:pStyle w:val="aNotePara"/>
      </w:pPr>
      <w:r w:rsidRPr="006814CB">
        <w:tab/>
        <w:t>(c)</w:t>
      </w:r>
      <w:r w:rsidRPr="006814CB">
        <w:tab/>
        <w:t>if the commission asks for additional information under s </w:t>
      </w:r>
      <w:r w:rsidR="002E0DF3" w:rsidRPr="006814CB">
        <w:t>49</w:t>
      </w:r>
      <w:r w:rsidR="00BB5F71" w:rsidRPr="006814CB">
        <w:t> (3</w:t>
      </w:r>
      <w:r w:rsidRPr="006814CB">
        <w:t>)—when the commission has notified the licensee that it is satisfied in relation to the additional information (see s </w:t>
      </w:r>
      <w:r w:rsidR="002E0DF3" w:rsidRPr="006814CB">
        <w:t>50</w:t>
      </w:r>
      <w:r w:rsidRPr="006814CB">
        <w:t xml:space="preserve"> (c)).</w:t>
      </w:r>
    </w:p>
    <w:p w14:paraId="2A39ABB4" w14:textId="77777777" w:rsidR="00A01682" w:rsidRPr="006814CB" w:rsidRDefault="006814CB" w:rsidP="006814CB">
      <w:pPr>
        <w:pStyle w:val="Amain"/>
      </w:pPr>
      <w:r>
        <w:tab/>
      </w:r>
      <w:r w:rsidRPr="006814CB">
        <w:t>(3)</w:t>
      </w:r>
      <w:r w:rsidRPr="006814CB">
        <w:tab/>
      </w:r>
      <w:r w:rsidR="007C6B86" w:rsidRPr="006814CB">
        <w:t>If an authorisation certificate or an authorisation</w:t>
      </w:r>
      <w:r w:rsidR="00A01682" w:rsidRPr="006814CB">
        <w:t xml:space="preserve"> is surrendered</w:t>
      </w:r>
      <w:r w:rsidR="007C6B86" w:rsidRPr="006814CB">
        <w:t xml:space="preserve"> under this section, the commission must </w:t>
      </w:r>
      <w:r w:rsidR="00210721" w:rsidRPr="006814CB">
        <w:t>issue</w:t>
      </w:r>
      <w:r w:rsidR="007C6B86" w:rsidRPr="006814CB">
        <w:t xml:space="preserve"> the licensee a storage permit for an interim purpose for each casino gaming machine </w:t>
      </w:r>
      <w:r w:rsidR="00F31467" w:rsidRPr="006814CB">
        <w:t>or</w:t>
      </w:r>
      <w:r w:rsidR="007C6B86" w:rsidRPr="006814CB">
        <w:t xml:space="preserve"> casino FATG terminal under the surrender</w:t>
      </w:r>
      <w:r w:rsidR="00210721" w:rsidRPr="006814CB">
        <w:t xml:space="preserve">ed certificate or authorisation if satisfied that the type of premises where the machine or terminal is to be stored is suitable for the storage of casino gaming machines or casino FATG terminals. </w:t>
      </w:r>
    </w:p>
    <w:p w14:paraId="017CD529" w14:textId="77777777" w:rsidR="007C6B86" w:rsidRPr="006814CB" w:rsidRDefault="006814CB" w:rsidP="006814CB">
      <w:pPr>
        <w:pStyle w:val="AH5Sec"/>
      </w:pPr>
      <w:bookmarkStart w:id="59" w:name="_Toc147827622"/>
      <w:r w:rsidRPr="00251CCE">
        <w:rPr>
          <w:rStyle w:val="CharSectNo"/>
        </w:rPr>
        <w:t>44</w:t>
      </w:r>
      <w:r w:rsidRPr="006814CB">
        <w:tab/>
      </w:r>
      <w:r w:rsidR="007C6B86" w:rsidRPr="006814CB">
        <w:t xml:space="preserve">Offence—failure to dispose of </w:t>
      </w:r>
      <w:r w:rsidR="00216FDD" w:rsidRPr="006814CB">
        <w:t xml:space="preserve">casino </w:t>
      </w:r>
      <w:r w:rsidR="007C6B86" w:rsidRPr="006814CB">
        <w:t xml:space="preserve">gaming machines </w:t>
      </w:r>
      <w:r w:rsidR="00216FDD" w:rsidRPr="006814CB">
        <w:t>and casino FATG terminals</w:t>
      </w:r>
      <w:bookmarkEnd w:id="59"/>
    </w:p>
    <w:p w14:paraId="2D0A4549" w14:textId="77777777" w:rsidR="007C6B86" w:rsidRPr="006814CB" w:rsidRDefault="006814CB" w:rsidP="006814CB">
      <w:pPr>
        <w:pStyle w:val="Amain"/>
      </w:pPr>
      <w:r>
        <w:tab/>
      </w:r>
      <w:r w:rsidRPr="006814CB">
        <w:t>(1)</w:t>
      </w:r>
      <w:r w:rsidRPr="006814CB">
        <w:tab/>
      </w:r>
      <w:r w:rsidR="00216FDD" w:rsidRPr="006814CB">
        <w:t>The casino licensee</w:t>
      </w:r>
      <w:r w:rsidR="007C6B86" w:rsidRPr="006814CB">
        <w:t xml:space="preserve"> commits an offence if—</w:t>
      </w:r>
    </w:p>
    <w:p w14:paraId="7E10CE9E" w14:textId="77777777" w:rsidR="00216FDD" w:rsidRPr="006814CB" w:rsidRDefault="006814CB" w:rsidP="006814CB">
      <w:pPr>
        <w:pStyle w:val="Apara"/>
      </w:pPr>
      <w:r>
        <w:tab/>
      </w:r>
      <w:r w:rsidRPr="006814CB">
        <w:t>(a)</w:t>
      </w:r>
      <w:r w:rsidRPr="006814CB">
        <w:tab/>
      </w:r>
      <w:r w:rsidR="007C6B86" w:rsidRPr="006814CB">
        <w:t xml:space="preserve">an authorisation held by the </w:t>
      </w:r>
      <w:r w:rsidR="00216FDD" w:rsidRPr="006814CB">
        <w:t>licensee</w:t>
      </w:r>
      <w:r w:rsidR="007C6B86" w:rsidRPr="006814CB">
        <w:t xml:space="preserve"> was</w:t>
      </w:r>
      <w:r w:rsidR="00216FDD" w:rsidRPr="006814CB">
        <w:t>—</w:t>
      </w:r>
    </w:p>
    <w:p w14:paraId="65D38B94" w14:textId="77777777" w:rsidR="00216FDD" w:rsidRPr="006814CB" w:rsidRDefault="006814CB" w:rsidP="006814CB">
      <w:pPr>
        <w:pStyle w:val="Asubpara"/>
      </w:pPr>
      <w:r>
        <w:tab/>
      </w:r>
      <w:r w:rsidRPr="006814CB">
        <w:t>(i)</w:t>
      </w:r>
      <w:r w:rsidRPr="006814CB">
        <w:tab/>
      </w:r>
      <w:r w:rsidR="00216FDD" w:rsidRPr="006814CB">
        <w:t xml:space="preserve">cancelled under section </w:t>
      </w:r>
      <w:r w:rsidR="002E0DF3" w:rsidRPr="006814CB">
        <w:t>41</w:t>
      </w:r>
      <w:r w:rsidR="00216FDD" w:rsidRPr="006814CB">
        <w:t xml:space="preserve"> (Cancellation of authorisation certificates and authorisations on surrender of casino licence); or</w:t>
      </w:r>
    </w:p>
    <w:p w14:paraId="7F9E9EE1" w14:textId="77777777" w:rsidR="007C6B86" w:rsidRPr="006814CB" w:rsidRDefault="006814CB" w:rsidP="006814CB">
      <w:pPr>
        <w:pStyle w:val="Asubpara"/>
      </w:pPr>
      <w:r>
        <w:tab/>
      </w:r>
      <w:r w:rsidRPr="006814CB">
        <w:t>(ii)</w:t>
      </w:r>
      <w:r w:rsidRPr="006814CB">
        <w:tab/>
      </w:r>
      <w:r w:rsidR="007C6B86" w:rsidRPr="006814CB">
        <w:t xml:space="preserve">surrendered </w:t>
      </w:r>
      <w:r w:rsidR="00216FDD" w:rsidRPr="006814CB">
        <w:t>under section </w:t>
      </w:r>
      <w:r w:rsidR="002E0DF3" w:rsidRPr="006814CB">
        <w:t>43</w:t>
      </w:r>
      <w:r w:rsidR="00216FDD" w:rsidRPr="006814CB">
        <w:t xml:space="preserve"> (Surrender of authorisation certificates and authorisations)</w:t>
      </w:r>
      <w:r w:rsidR="007C6B86" w:rsidRPr="006814CB">
        <w:t>; and</w:t>
      </w:r>
    </w:p>
    <w:p w14:paraId="03421015" w14:textId="77777777" w:rsidR="007C6B86" w:rsidRPr="006814CB" w:rsidRDefault="006814CB" w:rsidP="006814CB">
      <w:pPr>
        <w:pStyle w:val="Apara"/>
      </w:pPr>
      <w:r>
        <w:lastRenderedPageBreak/>
        <w:tab/>
      </w:r>
      <w:r w:rsidRPr="006814CB">
        <w:t>(b)</w:t>
      </w:r>
      <w:r w:rsidRPr="006814CB">
        <w:tab/>
      </w:r>
      <w:r w:rsidR="007C6B86" w:rsidRPr="006814CB">
        <w:t xml:space="preserve">the commission gave the </w:t>
      </w:r>
      <w:r w:rsidR="00216FDD" w:rsidRPr="006814CB">
        <w:t>licensee</w:t>
      </w:r>
      <w:r w:rsidR="007C6B86" w:rsidRPr="006814CB">
        <w:t xml:space="preserve"> a storage permit for a </w:t>
      </w:r>
      <w:r w:rsidR="00216FDD" w:rsidRPr="006814CB">
        <w:t xml:space="preserve">casino </w:t>
      </w:r>
      <w:r w:rsidR="007C6B86" w:rsidRPr="006814CB">
        <w:t xml:space="preserve">gaming machine </w:t>
      </w:r>
      <w:r w:rsidR="00216FDD" w:rsidRPr="006814CB">
        <w:t xml:space="preserve">or casino FATG terminal </w:t>
      </w:r>
      <w:r w:rsidR="007C6B86" w:rsidRPr="006814CB">
        <w:t>to which the authorisation related; and</w:t>
      </w:r>
    </w:p>
    <w:p w14:paraId="186FB04D" w14:textId="77777777" w:rsidR="007C6B86" w:rsidRPr="006814CB" w:rsidRDefault="006814CB" w:rsidP="006814CB">
      <w:pPr>
        <w:pStyle w:val="Apara"/>
      </w:pPr>
      <w:r>
        <w:tab/>
      </w:r>
      <w:r w:rsidRPr="006814CB">
        <w:t>(c)</w:t>
      </w:r>
      <w:r w:rsidRPr="006814CB">
        <w:tab/>
      </w:r>
      <w:r w:rsidR="007C6B86" w:rsidRPr="006814CB">
        <w:t xml:space="preserve">the </w:t>
      </w:r>
      <w:r w:rsidR="00216FDD" w:rsidRPr="006814CB">
        <w:t>licensee</w:t>
      </w:r>
      <w:r w:rsidR="007C6B86" w:rsidRPr="006814CB">
        <w:t xml:space="preserve"> fails to dispose of the machine </w:t>
      </w:r>
      <w:r w:rsidR="00216FDD" w:rsidRPr="006814CB">
        <w:t xml:space="preserve">or terminal </w:t>
      </w:r>
      <w:r w:rsidR="007C6B86" w:rsidRPr="006814CB">
        <w:t xml:space="preserve">mentioned in the </w:t>
      </w:r>
      <w:r w:rsidR="00DF2059" w:rsidRPr="006814CB">
        <w:t xml:space="preserve">storage </w:t>
      </w:r>
      <w:r w:rsidR="007C6B86" w:rsidRPr="006814CB">
        <w:t>permit—</w:t>
      </w:r>
    </w:p>
    <w:p w14:paraId="0FCB3612" w14:textId="77777777" w:rsidR="007C6B86" w:rsidRPr="006814CB" w:rsidRDefault="006814CB" w:rsidP="006814CB">
      <w:pPr>
        <w:pStyle w:val="Asubpara"/>
      </w:pPr>
      <w:r>
        <w:tab/>
      </w:r>
      <w:r w:rsidRPr="006814CB">
        <w:t>(i)</w:t>
      </w:r>
      <w:r w:rsidRPr="006814CB">
        <w:tab/>
      </w:r>
      <w:r w:rsidR="007C6B86" w:rsidRPr="006814CB">
        <w:t>in the way the commission directs; or</w:t>
      </w:r>
    </w:p>
    <w:p w14:paraId="01E60E95" w14:textId="77777777" w:rsidR="007C6B86" w:rsidRPr="006814CB" w:rsidRDefault="006814CB" w:rsidP="006814CB">
      <w:pPr>
        <w:pStyle w:val="Asubpara"/>
        <w:keepNext/>
      </w:pPr>
      <w:r>
        <w:tab/>
      </w:r>
      <w:r w:rsidRPr="006814CB">
        <w:t>(ii)</w:t>
      </w:r>
      <w:r w:rsidRPr="006814CB">
        <w:tab/>
      </w:r>
      <w:r w:rsidR="007C6B86" w:rsidRPr="006814CB">
        <w:t xml:space="preserve">within the </w:t>
      </w:r>
      <w:r w:rsidR="0028517F" w:rsidRPr="006814CB">
        <w:t>time</w:t>
      </w:r>
      <w:r w:rsidR="007C6B86" w:rsidRPr="006814CB">
        <w:t xml:space="preserve"> stated in the permit.</w:t>
      </w:r>
    </w:p>
    <w:p w14:paraId="71CA2CE3" w14:textId="77777777" w:rsidR="007C6B86" w:rsidRPr="006814CB" w:rsidRDefault="0028517F" w:rsidP="007C6B86">
      <w:pPr>
        <w:pStyle w:val="Penalty"/>
        <w:keepNext/>
      </w:pPr>
      <w:r w:rsidRPr="006814CB">
        <w:t>Maximum penalty:  10</w:t>
      </w:r>
      <w:r w:rsidR="007C6B86" w:rsidRPr="006814CB">
        <w:t>0 penalty units.</w:t>
      </w:r>
    </w:p>
    <w:p w14:paraId="7428FA99" w14:textId="697F2D6A" w:rsidR="00A01682" w:rsidRPr="006814CB" w:rsidRDefault="00A01682" w:rsidP="00A01682">
      <w:pPr>
        <w:pStyle w:val="aNote"/>
        <w:keepLines/>
      </w:pPr>
      <w:r w:rsidRPr="006814CB">
        <w:rPr>
          <w:rStyle w:val="charItals"/>
        </w:rPr>
        <w:t>Note</w:t>
      </w:r>
      <w:r w:rsidRPr="006814CB">
        <w:rPr>
          <w:rStyle w:val="charItals"/>
        </w:rPr>
        <w:tab/>
      </w:r>
      <w:r w:rsidRPr="006814CB">
        <w:t xml:space="preserve">The </w:t>
      </w:r>
      <w:hyperlink r:id="rId59" w:tooltip="Gambling and Racing Control Act 1999" w:history="1">
        <w:r w:rsidR="005151B1" w:rsidRPr="006814CB">
          <w:rPr>
            <w:rStyle w:val="charCitHyperlinkAbbrev"/>
          </w:rPr>
          <w:t>Control Act</w:t>
        </w:r>
      </w:hyperlink>
      <w:r w:rsidRPr="006814CB">
        <w:t>, s 23 provides that an authorised officer may enter and inspect any premises at any reasonable time to do the things mentioned in that section, including inspecting and removing any gaming equipment the officer believes on reasonable grounds to be connected with an offence against a gaming law.</w:t>
      </w:r>
    </w:p>
    <w:p w14:paraId="6322B358" w14:textId="77777777" w:rsidR="0028517F" w:rsidRPr="006814CB" w:rsidRDefault="006814CB" w:rsidP="006814CB">
      <w:pPr>
        <w:pStyle w:val="Amain"/>
        <w:keepNext/>
      </w:pPr>
      <w:r>
        <w:tab/>
      </w:r>
      <w:r w:rsidRPr="006814CB">
        <w:t>(2)</w:t>
      </w:r>
      <w:r w:rsidRPr="006814CB">
        <w:tab/>
      </w:r>
      <w:r w:rsidR="0028517F" w:rsidRPr="006814CB">
        <w:t>Subsection (1) does not apply if the casino licensee has taken</w:t>
      </w:r>
      <w:r w:rsidR="00135BDD" w:rsidRPr="006814CB">
        <w:t xml:space="preserve"> all</w:t>
      </w:r>
      <w:r w:rsidR="0028517F" w:rsidRPr="006814CB">
        <w:t xml:space="preserve"> reasonable steps to comply with subsection (1) (c). </w:t>
      </w:r>
    </w:p>
    <w:p w14:paraId="4547293C" w14:textId="06F86CD1" w:rsidR="0028517F" w:rsidRPr="006814CB" w:rsidRDefault="0028517F" w:rsidP="0028517F">
      <w:pPr>
        <w:pStyle w:val="aNote"/>
      </w:pPr>
      <w:r w:rsidRPr="006814CB">
        <w:rPr>
          <w:rStyle w:val="charItals"/>
        </w:rPr>
        <w:t>Note</w:t>
      </w:r>
      <w:r w:rsidRPr="006814CB">
        <w:rPr>
          <w:rStyle w:val="charItals"/>
        </w:rPr>
        <w:tab/>
      </w:r>
      <w:r w:rsidRPr="006814CB">
        <w:t xml:space="preserve">The defendant has an evidential burden in relation </w:t>
      </w:r>
      <w:r w:rsidR="009015D7" w:rsidRPr="006814CB">
        <w:t>to the matters mentioned in s (2</w:t>
      </w:r>
      <w:r w:rsidRPr="006814CB">
        <w:t xml:space="preserve">) (see </w:t>
      </w:r>
      <w:hyperlink r:id="rId60" w:tooltip="A2002-51" w:history="1">
        <w:r w:rsidR="00253379" w:rsidRPr="006814CB">
          <w:rPr>
            <w:rStyle w:val="charCitHyperlinkAbbrev"/>
          </w:rPr>
          <w:t>Criminal Code</w:t>
        </w:r>
      </w:hyperlink>
      <w:r w:rsidRPr="006814CB">
        <w:t>, s 58).</w:t>
      </w:r>
    </w:p>
    <w:p w14:paraId="5605BCB6" w14:textId="77777777" w:rsidR="00A01682" w:rsidRPr="006814CB" w:rsidRDefault="00A01682" w:rsidP="006814CB">
      <w:pPr>
        <w:pStyle w:val="PageBreak"/>
        <w:suppressLineNumbers/>
      </w:pPr>
      <w:r w:rsidRPr="006814CB">
        <w:br w:type="page"/>
      </w:r>
    </w:p>
    <w:p w14:paraId="35256AC2" w14:textId="77777777" w:rsidR="007B2BBF" w:rsidRPr="00251CCE" w:rsidRDefault="006814CB" w:rsidP="006814CB">
      <w:pPr>
        <w:pStyle w:val="AH2Part"/>
      </w:pPr>
      <w:bookmarkStart w:id="60" w:name="_Toc147827623"/>
      <w:r w:rsidRPr="00251CCE">
        <w:rPr>
          <w:rStyle w:val="CharPartNo"/>
        </w:rPr>
        <w:lastRenderedPageBreak/>
        <w:t>Part 9</w:t>
      </w:r>
      <w:r w:rsidRPr="006814CB">
        <w:tab/>
      </w:r>
      <w:r w:rsidR="007B2BBF" w:rsidRPr="00251CCE">
        <w:rPr>
          <w:rStyle w:val="CharPartText"/>
        </w:rPr>
        <w:t>Notification and review of decisions</w:t>
      </w:r>
      <w:bookmarkEnd w:id="60"/>
    </w:p>
    <w:p w14:paraId="777D69BE" w14:textId="77777777" w:rsidR="007B2BBF" w:rsidRPr="006814CB" w:rsidRDefault="006814CB" w:rsidP="006814CB">
      <w:pPr>
        <w:pStyle w:val="AH5Sec"/>
      </w:pPr>
      <w:bookmarkStart w:id="61" w:name="_Toc147827624"/>
      <w:r w:rsidRPr="00251CCE">
        <w:rPr>
          <w:rStyle w:val="CharSectNo"/>
        </w:rPr>
        <w:t>45</w:t>
      </w:r>
      <w:r w:rsidRPr="006814CB">
        <w:tab/>
      </w:r>
      <w:r w:rsidR="00BB5F71" w:rsidRPr="006814CB">
        <w:t xml:space="preserve">Meaning of </w:t>
      </w:r>
      <w:r w:rsidR="00BB5F71" w:rsidRPr="006814CB">
        <w:rPr>
          <w:rStyle w:val="charItals"/>
        </w:rPr>
        <w:t>reviewable decision</w:t>
      </w:r>
      <w:r w:rsidR="007B2BBF" w:rsidRPr="006814CB">
        <w:t xml:space="preserve">—pt </w:t>
      </w:r>
      <w:r w:rsidR="00DF2059" w:rsidRPr="006814CB">
        <w:t>9</w:t>
      </w:r>
      <w:bookmarkEnd w:id="61"/>
    </w:p>
    <w:p w14:paraId="214E92FD" w14:textId="77777777" w:rsidR="007B2BBF" w:rsidRPr="006814CB" w:rsidRDefault="00F50659" w:rsidP="007B2BBF">
      <w:pPr>
        <w:pStyle w:val="Amainreturn"/>
      </w:pPr>
      <w:r w:rsidRPr="006814CB">
        <w:t>In this part:</w:t>
      </w:r>
    </w:p>
    <w:p w14:paraId="5E69BC37" w14:textId="77777777" w:rsidR="00F50659" w:rsidRPr="006814CB" w:rsidRDefault="00F50659" w:rsidP="006814CB">
      <w:pPr>
        <w:pStyle w:val="aDef"/>
      </w:pPr>
      <w:r w:rsidRPr="006814CB">
        <w:rPr>
          <w:rStyle w:val="charBoldItals"/>
        </w:rPr>
        <w:t xml:space="preserve">reviewable decision </w:t>
      </w:r>
      <w:r w:rsidRPr="006814CB">
        <w:t>means a decision mentioned in schedule 1, column 3 under a provision of this Act mentioned in column 2 in relation to the decision.</w:t>
      </w:r>
    </w:p>
    <w:p w14:paraId="19666EB0" w14:textId="77777777" w:rsidR="007E6B46" w:rsidRPr="005D4E1B" w:rsidRDefault="007E6B46" w:rsidP="007E6B46">
      <w:pPr>
        <w:pStyle w:val="AH5Sec"/>
      </w:pPr>
      <w:bookmarkStart w:id="62" w:name="_Toc147827625"/>
      <w:r w:rsidRPr="00251CCE">
        <w:rPr>
          <w:rStyle w:val="CharSectNo"/>
        </w:rPr>
        <w:t>46</w:t>
      </w:r>
      <w:r w:rsidRPr="005D4E1B">
        <w:tab/>
        <w:t>Reviewable decision notices</w:t>
      </w:r>
      <w:bookmarkEnd w:id="62"/>
    </w:p>
    <w:p w14:paraId="09B10E36" w14:textId="77777777" w:rsidR="007E6B46" w:rsidRPr="005D4E1B" w:rsidRDefault="007E6B46" w:rsidP="007E6B46">
      <w:pPr>
        <w:pStyle w:val="Amain"/>
      </w:pPr>
      <w:r w:rsidRPr="005D4E1B">
        <w:tab/>
        <w:t>(1)</w:t>
      </w:r>
      <w:r w:rsidRPr="005D4E1B">
        <w:tab/>
        <w:t>If a decision-maker makes a reviewable decision, the decision-maker must give a reviewable decision notice to the casino licensee.</w:t>
      </w:r>
    </w:p>
    <w:p w14:paraId="687AF0E7" w14:textId="75287A8A" w:rsidR="007E6B46" w:rsidRPr="005D4E1B" w:rsidRDefault="007E6B46" w:rsidP="007E6B46">
      <w:pPr>
        <w:pStyle w:val="aNote"/>
        <w:keepNext/>
      </w:pPr>
      <w:r w:rsidRPr="005D4E1B">
        <w:rPr>
          <w:rStyle w:val="charItals"/>
        </w:rPr>
        <w:t>Note 1</w:t>
      </w:r>
      <w:r w:rsidRPr="005D4E1B">
        <w:rPr>
          <w:rStyle w:val="charItals"/>
        </w:rPr>
        <w:tab/>
      </w:r>
      <w:r w:rsidRPr="005D4E1B">
        <w:t xml:space="preserve">The decision-maker must also take reasonable steps to give a reviewable decision notice to any other person whose interests are affected by the decision (see </w:t>
      </w:r>
      <w:hyperlink r:id="rId61" w:tooltip="A2008-35" w:history="1">
        <w:r w:rsidRPr="005D4E1B">
          <w:rPr>
            <w:rStyle w:val="charCitHyperlinkItal"/>
          </w:rPr>
          <w:t>ACT Civil and Administrative Tribunal Act 2008</w:t>
        </w:r>
      </w:hyperlink>
      <w:r w:rsidRPr="005D4E1B">
        <w:t>, s 67A).</w:t>
      </w:r>
    </w:p>
    <w:p w14:paraId="4F78AC1A" w14:textId="58D60E14" w:rsidR="007E6B46" w:rsidRPr="005D4E1B" w:rsidRDefault="007E6B46" w:rsidP="007E6B46">
      <w:pPr>
        <w:pStyle w:val="aNote"/>
        <w:rPr>
          <w:lang w:eastAsia="en-AU"/>
        </w:rPr>
      </w:pPr>
      <w:r w:rsidRPr="005D4E1B">
        <w:rPr>
          <w:rStyle w:val="charItals"/>
        </w:rPr>
        <w:t>Note 2</w:t>
      </w:r>
      <w:r w:rsidRPr="005D4E1B">
        <w:rPr>
          <w:rStyle w:val="charItals"/>
        </w:rPr>
        <w:tab/>
      </w:r>
      <w:r w:rsidRPr="005D4E1B">
        <w:t xml:space="preserve">The requirements for reviewable decision notices are prescribed under the </w:t>
      </w:r>
      <w:hyperlink r:id="rId62" w:tooltip="A2008-35" w:history="1">
        <w:r w:rsidRPr="005D4E1B">
          <w:rPr>
            <w:rStyle w:val="charCitHyperlinkItal"/>
          </w:rPr>
          <w:t>ACT Civil and Administrative Tribunal Act 2008</w:t>
        </w:r>
      </w:hyperlink>
      <w:r w:rsidRPr="005D4E1B">
        <w:t>.</w:t>
      </w:r>
    </w:p>
    <w:p w14:paraId="636F47A5" w14:textId="77777777" w:rsidR="007E6B46" w:rsidRPr="005D4E1B" w:rsidRDefault="007E6B46" w:rsidP="007E6B46">
      <w:pPr>
        <w:pStyle w:val="Amain"/>
      </w:pPr>
      <w:r w:rsidRPr="005D4E1B">
        <w:tab/>
        <w:t>(2)</w:t>
      </w:r>
      <w:r w:rsidRPr="005D4E1B">
        <w:tab/>
        <w:t>In this section:</w:t>
      </w:r>
    </w:p>
    <w:p w14:paraId="3F1C7BDA" w14:textId="77777777" w:rsidR="007E6B46" w:rsidRPr="005D4E1B" w:rsidRDefault="007E6B46" w:rsidP="007E6B46">
      <w:pPr>
        <w:pStyle w:val="aDef"/>
      </w:pPr>
      <w:r w:rsidRPr="005D4E1B">
        <w:rPr>
          <w:rStyle w:val="charBoldItals"/>
        </w:rPr>
        <w:t>decision-maker</w:t>
      </w:r>
      <w:r w:rsidRPr="005D4E1B">
        <w:t>, for a reviewable decision, means—</w:t>
      </w:r>
    </w:p>
    <w:p w14:paraId="42C83E26" w14:textId="77777777" w:rsidR="007E6B46" w:rsidRPr="005D4E1B" w:rsidRDefault="007E6B46" w:rsidP="007E6B46">
      <w:pPr>
        <w:pStyle w:val="aDefpara"/>
      </w:pPr>
      <w:r w:rsidRPr="005D4E1B">
        <w:tab/>
        <w:t>(a)</w:t>
      </w:r>
      <w:r w:rsidRPr="005D4E1B">
        <w:tab/>
        <w:t>the commission; or</w:t>
      </w:r>
    </w:p>
    <w:p w14:paraId="17051D7C" w14:textId="77777777" w:rsidR="007E6B46" w:rsidRPr="005D4E1B" w:rsidRDefault="007E6B46" w:rsidP="007E6B46">
      <w:pPr>
        <w:pStyle w:val="aDefpara"/>
      </w:pPr>
      <w:r w:rsidRPr="005D4E1B">
        <w:tab/>
        <w:t>(b)</w:t>
      </w:r>
      <w:r w:rsidRPr="005D4E1B">
        <w:tab/>
        <w:t>the Minister.</w:t>
      </w:r>
    </w:p>
    <w:p w14:paraId="3A48E42E" w14:textId="77777777" w:rsidR="00A6603D" w:rsidRPr="006814CB" w:rsidRDefault="006814CB" w:rsidP="006814CB">
      <w:pPr>
        <w:pStyle w:val="AH5Sec"/>
      </w:pPr>
      <w:bookmarkStart w:id="63" w:name="_Toc147827626"/>
      <w:r w:rsidRPr="00251CCE">
        <w:rPr>
          <w:rStyle w:val="CharSectNo"/>
        </w:rPr>
        <w:t>47</w:t>
      </w:r>
      <w:r w:rsidRPr="006814CB">
        <w:tab/>
      </w:r>
      <w:r w:rsidR="00A6603D" w:rsidRPr="006814CB">
        <w:t>Applications for review</w:t>
      </w:r>
      <w:bookmarkEnd w:id="63"/>
    </w:p>
    <w:p w14:paraId="19669327" w14:textId="77777777" w:rsidR="00A6603D" w:rsidRPr="006814CB" w:rsidRDefault="00A6603D" w:rsidP="00A6603D">
      <w:pPr>
        <w:pStyle w:val="Amainreturn"/>
      </w:pPr>
      <w:r w:rsidRPr="006814CB">
        <w:t>The following people may apply to the ACAT for review of a reviewable decision:</w:t>
      </w:r>
    </w:p>
    <w:p w14:paraId="0F27FBDD" w14:textId="77777777" w:rsidR="00A6603D" w:rsidRPr="006814CB" w:rsidRDefault="006814CB" w:rsidP="006814CB">
      <w:pPr>
        <w:pStyle w:val="Apara"/>
      </w:pPr>
      <w:r>
        <w:tab/>
      </w:r>
      <w:r w:rsidRPr="006814CB">
        <w:t>(a)</w:t>
      </w:r>
      <w:r w:rsidRPr="006814CB">
        <w:tab/>
      </w:r>
      <w:r w:rsidR="00C8666D" w:rsidRPr="006814CB">
        <w:t>the casino licensee</w:t>
      </w:r>
      <w:r w:rsidR="00A6603D" w:rsidRPr="006814CB">
        <w:t xml:space="preserve">; </w:t>
      </w:r>
    </w:p>
    <w:p w14:paraId="0BF605B6" w14:textId="77777777" w:rsidR="00A6603D" w:rsidRPr="006814CB" w:rsidRDefault="006814CB" w:rsidP="006814CB">
      <w:pPr>
        <w:pStyle w:val="Apara"/>
        <w:keepNext/>
      </w:pPr>
      <w:r>
        <w:tab/>
      </w:r>
      <w:r w:rsidRPr="006814CB">
        <w:t>(b)</w:t>
      </w:r>
      <w:r w:rsidRPr="006814CB">
        <w:tab/>
      </w:r>
      <w:r w:rsidR="00A6603D" w:rsidRPr="006814CB">
        <w:t>any other person whose interests are affected by the decision.</w:t>
      </w:r>
    </w:p>
    <w:p w14:paraId="7845C1F9" w14:textId="047E0FD6" w:rsidR="00A6603D" w:rsidRPr="006814CB" w:rsidRDefault="00A6603D" w:rsidP="00A6603D">
      <w:pPr>
        <w:pStyle w:val="aNote"/>
      </w:pPr>
      <w:r w:rsidRPr="006814CB">
        <w:rPr>
          <w:rStyle w:val="charItals"/>
        </w:rPr>
        <w:t>Note</w:t>
      </w:r>
      <w:r w:rsidRPr="006814CB">
        <w:rPr>
          <w:rStyle w:val="charItals"/>
        </w:rPr>
        <w:tab/>
      </w:r>
      <w:r w:rsidRPr="006814CB">
        <w:t xml:space="preserve">If a form is approved under the </w:t>
      </w:r>
      <w:hyperlink r:id="rId63" w:tooltip="A2008-35" w:history="1">
        <w:r w:rsidR="00253379" w:rsidRPr="006814CB">
          <w:rPr>
            <w:rStyle w:val="charCitHyperlinkItal"/>
          </w:rPr>
          <w:t>ACT Civil and Administrative Tribunal Act 2008</w:t>
        </w:r>
      </w:hyperlink>
      <w:r w:rsidRPr="006814CB">
        <w:t xml:space="preserve"> for the application, the form must be used. </w:t>
      </w:r>
    </w:p>
    <w:p w14:paraId="272F69C4" w14:textId="77777777" w:rsidR="00BB5F71" w:rsidRPr="006814CB" w:rsidRDefault="00BB5F71" w:rsidP="006814CB">
      <w:pPr>
        <w:pStyle w:val="PageBreak"/>
        <w:suppressLineNumbers/>
      </w:pPr>
      <w:r w:rsidRPr="006814CB">
        <w:br w:type="page"/>
      </w:r>
    </w:p>
    <w:p w14:paraId="60F944DD" w14:textId="77777777" w:rsidR="00EF7577" w:rsidRPr="00251CCE" w:rsidRDefault="006814CB" w:rsidP="006814CB">
      <w:pPr>
        <w:pStyle w:val="AH2Part"/>
      </w:pPr>
      <w:bookmarkStart w:id="64" w:name="_Toc147827627"/>
      <w:r w:rsidRPr="00251CCE">
        <w:rPr>
          <w:rStyle w:val="CharPartNo"/>
        </w:rPr>
        <w:lastRenderedPageBreak/>
        <w:t>Part 10</w:t>
      </w:r>
      <w:r w:rsidRPr="006814CB">
        <w:tab/>
      </w:r>
      <w:r w:rsidR="00EF7577" w:rsidRPr="00251CCE">
        <w:rPr>
          <w:rStyle w:val="CharPartText"/>
        </w:rPr>
        <w:t>Notifiable actions</w:t>
      </w:r>
      <w:bookmarkEnd w:id="64"/>
    </w:p>
    <w:p w14:paraId="55D3C91F" w14:textId="77777777" w:rsidR="00EF7577" w:rsidRPr="006814CB" w:rsidRDefault="006814CB" w:rsidP="006814CB">
      <w:pPr>
        <w:pStyle w:val="AH5Sec"/>
        <w:rPr>
          <w:rStyle w:val="charItals"/>
        </w:rPr>
      </w:pPr>
      <w:bookmarkStart w:id="65" w:name="_Toc147827628"/>
      <w:r w:rsidRPr="00251CCE">
        <w:rPr>
          <w:rStyle w:val="CharSectNo"/>
        </w:rPr>
        <w:t>48</w:t>
      </w:r>
      <w:r w:rsidRPr="00903DAE">
        <w:rPr>
          <w:rFonts w:cs="Arial"/>
        </w:rPr>
        <w:tab/>
      </w:r>
      <w:r w:rsidR="00B26C6E" w:rsidRPr="006814CB">
        <w:t>Definitions—Act</w:t>
      </w:r>
      <w:bookmarkEnd w:id="65"/>
    </w:p>
    <w:p w14:paraId="38D78740" w14:textId="77777777" w:rsidR="00EF7577" w:rsidRPr="006814CB" w:rsidRDefault="00EF7577" w:rsidP="00EF7577">
      <w:pPr>
        <w:pStyle w:val="Amainreturn"/>
      </w:pPr>
      <w:r w:rsidRPr="006814CB">
        <w:t xml:space="preserve">In this Act: </w:t>
      </w:r>
    </w:p>
    <w:p w14:paraId="3F6C65B0" w14:textId="77777777" w:rsidR="00EF7577" w:rsidRPr="006814CB" w:rsidRDefault="00EF7577" w:rsidP="006814CB">
      <w:pPr>
        <w:pStyle w:val="aDef"/>
      </w:pPr>
      <w:r w:rsidRPr="006814CB">
        <w:rPr>
          <w:rStyle w:val="charBoldItals"/>
        </w:rPr>
        <w:t xml:space="preserve">notifiable action </w:t>
      </w:r>
      <w:r w:rsidRPr="006814CB">
        <w:t>means an action mentioned in schedule 2, column</w:t>
      </w:r>
      <w:r w:rsidR="00BB5F71" w:rsidRPr="006814CB">
        <w:t> </w:t>
      </w:r>
      <w:r w:rsidRPr="006814CB">
        <w:t>3 under a provision of this Act mentioned in column</w:t>
      </w:r>
      <w:r w:rsidR="00BB5F71" w:rsidRPr="006814CB">
        <w:t> </w:t>
      </w:r>
      <w:r w:rsidRPr="006814CB">
        <w:t>2 in relation to the action.</w:t>
      </w:r>
    </w:p>
    <w:p w14:paraId="3C85D6B2" w14:textId="77777777" w:rsidR="00BB5F71" w:rsidRPr="006814CB" w:rsidRDefault="00BB5F71" w:rsidP="006814CB">
      <w:pPr>
        <w:pStyle w:val="aDef"/>
        <w:keepNext/>
      </w:pPr>
      <w:r w:rsidRPr="006814CB">
        <w:rPr>
          <w:rStyle w:val="charBoldItals"/>
        </w:rPr>
        <w:t>prescribed number of days</w:t>
      </w:r>
      <w:r w:rsidRPr="006814CB">
        <w:t xml:space="preserve"> means—</w:t>
      </w:r>
    </w:p>
    <w:p w14:paraId="758A489F" w14:textId="77777777" w:rsidR="00BB5F71" w:rsidRPr="006814CB" w:rsidRDefault="006814CB" w:rsidP="006814CB">
      <w:pPr>
        <w:pStyle w:val="aDefpara"/>
        <w:keepNext/>
      </w:pPr>
      <w:r>
        <w:tab/>
      </w:r>
      <w:r w:rsidRPr="006814CB">
        <w:t>(a)</w:t>
      </w:r>
      <w:r w:rsidRPr="006814CB">
        <w:tab/>
      </w:r>
      <w:r w:rsidR="00BB5F71" w:rsidRPr="006814CB">
        <w:t>10 business days; or</w:t>
      </w:r>
    </w:p>
    <w:p w14:paraId="5510F36C" w14:textId="77777777" w:rsidR="00BB5F71" w:rsidRPr="006814CB" w:rsidRDefault="006814CB" w:rsidP="006814CB">
      <w:pPr>
        <w:pStyle w:val="aDefpara"/>
      </w:pPr>
      <w:r>
        <w:tab/>
      </w:r>
      <w:r w:rsidRPr="006814CB">
        <w:t>(b)</w:t>
      </w:r>
      <w:r w:rsidRPr="006814CB">
        <w:tab/>
      </w:r>
      <w:r w:rsidR="00BB5F71" w:rsidRPr="006814CB">
        <w:t>if a regulation prescribes a different number of days—that number of days.</w:t>
      </w:r>
    </w:p>
    <w:p w14:paraId="06575339" w14:textId="77777777" w:rsidR="00EF7577" w:rsidRPr="006814CB" w:rsidRDefault="006814CB" w:rsidP="006814CB">
      <w:pPr>
        <w:pStyle w:val="AH5Sec"/>
      </w:pPr>
      <w:bookmarkStart w:id="66" w:name="_Toc147827629"/>
      <w:r w:rsidRPr="00251CCE">
        <w:rPr>
          <w:rStyle w:val="CharSectNo"/>
        </w:rPr>
        <w:t>49</w:t>
      </w:r>
      <w:r w:rsidRPr="006814CB">
        <w:tab/>
      </w:r>
      <w:r w:rsidR="00EF7577" w:rsidRPr="006814CB">
        <w:t>Notifiable actions</w:t>
      </w:r>
      <w:bookmarkEnd w:id="66"/>
    </w:p>
    <w:p w14:paraId="5F207524" w14:textId="77777777" w:rsidR="00EF7577" w:rsidRPr="006814CB" w:rsidRDefault="006814CB" w:rsidP="006814CB">
      <w:pPr>
        <w:pStyle w:val="Amain"/>
      </w:pPr>
      <w:r>
        <w:tab/>
      </w:r>
      <w:r w:rsidRPr="006814CB">
        <w:t>(1)</w:t>
      </w:r>
      <w:r w:rsidRPr="006814CB">
        <w:tab/>
      </w:r>
      <w:r w:rsidR="00EF7577" w:rsidRPr="006814CB">
        <w:t>This section applies if the casino licensee notifies the commission about a notifiable action.</w:t>
      </w:r>
    </w:p>
    <w:p w14:paraId="7B3AD232" w14:textId="77777777" w:rsidR="00EF7577" w:rsidRPr="006814CB" w:rsidRDefault="006814CB" w:rsidP="006814CB">
      <w:pPr>
        <w:pStyle w:val="Amain"/>
      </w:pPr>
      <w:r>
        <w:tab/>
      </w:r>
      <w:r w:rsidRPr="006814CB">
        <w:t>(2)</w:t>
      </w:r>
      <w:r w:rsidRPr="006814CB">
        <w:tab/>
      </w:r>
      <w:r w:rsidR="00EF7577" w:rsidRPr="006814CB">
        <w:t>The notification must—</w:t>
      </w:r>
    </w:p>
    <w:p w14:paraId="1A9ECC7D" w14:textId="77777777" w:rsidR="00EF7577" w:rsidRPr="006814CB" w:rsidRDefault="006814CB" w:rsidP="006814CB">
      <w:pPr>
        <w:pStyle w:val="Apara"/>
      </w:pPr>
      <w:r>
        <w:tab/>
      </w:r>
      <w:r w:rsidRPr="006814CB">
        <w:t>(a)</w:t>
      </w:r>
      <w:r w:rsidRPr="006814CB">
        <w:tab/>
      </w:r>
      <w:r w:rsidR="00EF7577" w:rsidRPr="006814CB">
        <w:t>be in writing; and</w:t>
      </w:r>
    </w:p>
    <w:p w14:paraId="5917A8DB" w14:textId="77777777" w:rsidR="00EF7577" w:rsidRPr="006814CB" w:rsidRDefault="006814CB" w:rsidP="006814CB">
      <w:pPr>
        <w:pStyle w:val="Apara"/>
      </w:pPr>
      <w:r>
        <w:tab/>
      </w:r>
      <w:r w:rsidRPr="006814CB">
        <w:t>(b)</w:t>
      </w:r>
      <w:r w:rsidRPr="006814CB">
        <w:tab/>
      </w:r>
      <w:r w:rsidR="00EF7577" w:rsidRPr="006814CB">
        <w:t>be given to the commission at least the prescribed number of days before the day the casino licensee undertakes the notifiable action; and</w:t>
      </w:r>
    </w:p>
    <w:p w14:paraId="7BB5C467" w14:textId="77777777" w:rsidR="00EF7577" w:rsidRPr="006814CB" w:rsidRDefault="006814CB" w:rsidP="006814CB">
      <w:pPr>
        <w:pStyle w:val="Apara"/>
        <w:keepNext/>
      </w:pPr>
      <w:r>
        <w:tab/>
      </w:r>
      <w:r w:rsidRPr="006814CB">
        <w:t>(c)</w:t>
      </w:r>
      <w:r w:rsidRPr="006814CB">
        <w:tab/>
      </w:r>
      <w:r w:rsidR="00EF7577" w:rsidRPr="006814CB">
        <w:t>include anything else required by regulation.</w:t>
      </w:r>
    </w:p>
    <w:p w14:paraId="073CA460" w14:textId="6B3B9024" w:rsidR="00BB5F71" w:rsidRPr="006814CB" w:rsidRDefault="00BB5F71" w:rsidP="006814CB">
      <w:pPr>
        <w:pStyle w:val="aNote"/>
        <w:keepNext/>
      </w:pPr>
      <w:r w:rsidRPr="006814CB">
        <w:rPr>
          <w:rStyle w:val="charItals"/>
        </w:rPr>
        <w:t>Note 1</w:t>
      </w:r>
      <w:r w:rsidRPr="006814CB">
        <w:rPr>
          <w:rStyle w:val="charItals"/>
        </w:rPr>
        <w:tab/>
      </w:r>
      <w:r w:rsidRPr="006814CB">
        <w:t xml:space="preserve">For how documents may be given, see the </w:t>
      </w:r>
      <w:hyperlink r:id="rId64" w:tooltip="A2001-14" w:history="1">
        <w:r w:rsidR="00253379" w:rsidRPr="006814CB">
          <w:rPr>
            <w:rStyle w:val="charCitHyperlinkAbbrev"/>
          </w:rPr>
          <w:t>Legislation Act</w:t>
        </w:r>
      </w:hyperlink>
      <w:r w:rsidRPr="006814CB">
        <w:t>, pt 19.5.</w:t>
      </w:r>
    </w:p>
    <w:p w14:paraId="3C7A9B37" w14:textId="421B537B" w:rsidR="00EF7577" w:rsidRPr="006814CB" w:rsidRDefault="00EF7577" w:rsidP="00EF7577">
      <w:pPr>
        <w:pStyle w:val="aNote"/>
        <w:keepNext/>
      </w:pPr>
      <w:r w:rsidRPr="006814CB">
        <w:rPr>
          <w:rStyle w:val="charItals"/>
        </w:rPr>
        <w:t xml:space="preserve">Note </w:t>
      </w:r>
      <w:r w:rsidR="00BB5F71" w:rsidRPr="006814CB">
        <w:rPr>
          <w:rStyle w:val="charItals"/>
        </w:rPr>
        <w:t>2</w:t>
      </w:r>
      <w:r w:rsidRPr="006814CB">
        <w:tab/>
        <w:t xml:space="preserve">It is an offence to make a false or misleading statement, give false or misleading information or produce a false or misleading document (see </w:t>
      </w:r>
      <w:hyperlink r:id="rId65" w:tooltip="A2002-51" w:history="1">
        <w:r w:rsidR="00253379" w:rsidRPr="006814CB">
          <w:rPr>
            <w:rStyle w:val="charCitHyperlinkAbbrev"/>
          </w:rPr>
          <w:t>Criminal Code</w:t>
        </w:r>
      </w:hyperlink>
      <w:r w:rsidRPr="006814CB">
        <w:t>, pt 3.4).</w:t>
      </w:r>
    </w:p>
    <w:p w14:paraId="46A16A7E" w14:textId="180C3A55" w:rsidR="00EF7577" w:rsidRPr="006814CB" w:rsidRDefault="00EF7577" w:rsidP="00EF7577">
      <w:pPr>
        <w:pStyle w:val="aNote"/>
        <w:keepNext/>
      </w:pPr>
      <w:r w:rsidRPr="006814CB">
        <w:rPr>
          <w:rStyle w:val="charItals"/>
        </w:rPr>
        <w:t xml:space="preserve">Note </w:t>
      </w:r>
      <w:r w:rsidR="00BB5F71" w:rsidRPr="006814CB">
        <w:rPr>
          <w:rStyle w:val="charItals"/>
        </w:rPr>
        <w:t>3</w:t>
      </w:r>
      <w:r w:rsidRPr="006814CB">
        <w:tab/>
        <w:t xml:space="preserve">If a form is approved under the </w:t>
      </w:r>
      <w:hyperlink r:id="rId66" w:tooltip="Gambling and Racing Control Act 1999" w:history="1">
        <w:r w:rsidR="005151B1" w:rsidRPr="006814CB">
          <w:rPr>
            <w:rStyle w:val="charCitHyperlinkAbbrev"/>
          </w:rPr>
          <w:t>Control Act</w:t>
        </w:r>
      </w:hyperlink>
      <w:r w:rsidRPr="006814CB">
        <w:t>, s 53D for this provision, the form must be used.</w:t>
      </w:r>
    </w:p>
    <w:p w14:paraId="397F31A0" w14:textId="77777777" w:rsidR="00EF7577" w:rsidRPr="006814CB" w:rsidRDefault="00EF7577" w:rsidP="00EF7577">
      <w:pPr>
        <w:pStyle w:val="aNote"/>
      </w:pPr>
      <w:r w:rsidRPr="006814CB">
        <w:rPr>
          <w:rStyle w:val="charItals"/>
        </w:rPr>
        <w:t xml:space="preserve">Note </w:t>
      </w:r>
      <w:r w:rsidR="00BB5F71" w:rsidRPr="006814CB">
        <w:rPr>
          <w:rStyle w:val="charItals"/>
        </w:rPr>
        <w:t>4</w:t>
      </w:r>
      <w:r w:rsidRPr="006814CB">
        <w:tab/>
        <w:t xml:space="preserve">A fee may be determined under s </w:t>
      </w:r>
      <w:r w:rsidR="002E0DF3" w:rsidRPr="006814CB">
        <w:t>53</w:t>
      </w:r>
      <w:r w:rsidR="00BB5F71" w:rsidRPr="006814CB">
        <w:t xml:space="preserve"> </w:t>
      </w:r>
      <w:r w:rsidRPr="006814CB">
        <w:t>for this provision.</w:t>
      </w:r>
    </w:p>
    <w:p w14:paraId="5F9F9666" w14:textId="77777777" w:rsidR="00EF7577" w:rsidRPr="006814CB" w:rsidRDefault="006814CB" w:rsidP="006814CB">
      <w:pPr>
        <w:pStyle w:val="Amain"/>
      </w:pPr>
      <w:r>
        <w:lastRenderedPageBreak/>
        <w:tab/>
      </w:r>
      <w:r w:rsidRPr="006814CB">
        <w:t>(3)</w:t>
      </w:r>
      <w:r w:rsidRPr="006814CB">
        <w:tab/>
      </w:r>
      <w:r w:rsidR="00EF7577" w:rsidRPr="006814CB">
        <w:t>On receiving a notification, the commission may, by notice, ask the following people for additional information about the notifiable action:</w:t>
      </w:r>
    </w:p>
    <w:p w14:paraId="0859A7A4" w14:textId="77777777" w:rsidR="00EF7577" w:rsidRPr="006814CB" w:rsidRDefault="006814CB" w:rsidP="006814CB">
      <w:pPr>
        <w:pStyle w:val="Apara"/>
      </w:pPr>
      <w:r>
        <w:tab/>
      </w:r>
      <w:r w:rsidRPr="006814CB">
        <w:t>(a)</w:t>
      </w:r>
      <w:r w:rsidRPr="006814CB">
        <w:tab/>
      </w:r>
      <w:r w:rsidR="00EF7577" w:rsidRPr="006814CB">
        <w:t>the casino licensee;</w:t>
      </w:r>
    </w:p>
    <w:p w14:paraId="7280F739" w14:textId="77777777" w:rsidR="00EF7577" w:rsidRPr="006814CB" w:rsidRDefault="006814CB" w:rsidP="006814CB">
      <w:pPr>
        <w:pStyle w:val="Apara"/>
        <w:keepNext/>
      </w:pPr>
      <w:r>
        <w:tab/>
      </w:r>
      <w:r w:rsidRPr="006814CB">
        <w:t>(b)</w:t>
      </w:r>
      <w:r w:rsidRPr="006814CB">
        <w:tab/>
      </w:r>
      <w:r w:rsidR="00EF7577" w:rsidRPr="006814CB">
        <w:t>the disposing licensee.</w:t>
      </w:r>
    </w:p>
    <w:p w14:paraId="58992BD5" w14:textId="6A943582" w:rsidR="00EF7577" w:rsidRPr="006814CB" w:rsidRDefault="00EF7577" w:rsidP="00EF7577">
      <w:pPr>
        <w:pStyle w:val="aNote"/>
      </w:pPr>
      <w:r w:rsidRPr="006814CB">
        <w:rPr>
          <w:rStyle w:val="charItals"/>
        </w:rPr>
        <w:t>Note</w:t>
      </w:r>
      <w:r w:rsidRPr="006814CB">
        <w:rPr>
          <w:rStyle w:val="charItals"/>
        </w:rPr>
        <w:tab/>
      </w:r>
      <w:r w:rsidRPr="006814CB">
        <w:t xml:space="preserve">For how documents may be given, see the </w:t>
      </w:r>
      <w:hyperlink r:id="rId67" w:tooltip="A2001-14" w:history="1">
        <w:r w:rsidR="00253379" w:rsidRPr="006814CB">
          <w:rPr>
            <w:rStyle w:val="charCitHyperlinkAbbrev"/>
          </w:rPr>
          <w:t>Legislation Act</w:t>
        </w:r>
      </w:hyperlink>
      <w:r w:rsidRPr="006814CB">
        <w:t>, pt 19.5.</w:t>
      </w:r>
    </w:p>
    <w:p w14:paraId="07337A67" w14:textId="77777777" w:rsidR="00EF7577" w:rsidRPr="006814CB" w:rsidRDefault="006814CB" w:rsidP="006814CB">
      <w:pPr>
        <w:pStyle w:val="Amain"/>
        <w:keepNext/>
      </w:pPr>
      <w:r>
        <w:tab/>
      </w:r>
      <w:r w:rsidRPr="006814CB">
        <w:t>(4)</w:t>
      </w:r>
      <w:r w:rsidRPr="006814CB">
        <w:tab/>
      </w:r>
      <w:r w:rsidR="00EF7577" w:rsidRPr="006814CB">
        <w:t>If the commission gives a notice under subsection (3), the notice must state a reasonable time within which the information must be given.</w:t>
      </w:r>
    </w:p>
    <w:p w14:paraId="5CEB63BC" w14:textId="6CE6F6EA" w:rsidR="00EF7577" w:rsidRPr="006814CB" w:rsidRDefault="00EF7577" w:rsidP="00EF7577">
      <w:pPr>
        <w:pStyle w:val="aNote"/>
      </w:pPr>
      <w:r w:rsidRPr="006814CB">
        <w:rPr>
          <w:rStyle w:val="charItals"/>
        </w:rPr>
        <w:t>Note</w:t>
      </w:r>
      <w:r w:rsidRPr="006814CB">
        <w:rPr>
          <w:rStyle w:val="charItals"/>
        </w:rPr>
        <w:tab/>
      </w:r>
      <w:r w:rsidRPr="006814CB">
        <w:t xml:space="preserve">A failure to comply with this section is a ground for disciplinary action (see </w:t>
      </w:r>
      <w:hyperlink r:id="rId68" w:tooltip="A2006-2" w:history="1">
        <w:r w:rsidR="00253379" w:rsidRPr="006814CB">
          <w:rPr>
            <w:rStyle w:val="charCitHyperlinkItal"/>
          </w:rPr>
          <w:t>Casino Control Act 2006</w:t>
        </w:r>
      </w:hyperlink>
      <w:r w:rsidR="00D40DE4" w:rsidRPr="006814CB">
        <w:t xml:space="preserve">, </w:t>
      </w:r>
      <w:r w:rsidRPr="006814CB">
        <w:t>s </w:t>
      </w:r>
      <w:r w:rsidR="00D40DE4" w:rsidRPr="006814CB">
        <w:t>33</w:t>
      </w:r>
      <w:r w:rsidRPr="006814CB">
        <w:t xml:space="preserve"> (1) (c)).</w:t>
      </w:r>
    </w:p>
    <w:p w14:paraId="4D5E047A" w14:textId="77777777" w:rsidR="00EF7577" w:rsidRPr="006814CB" w:rsidRDefault="006814CB" w:rsidP="006814CB">
      <w:pPr>
        <w:pStyle w:val="AH5Sec"/>
      </w:pPr>
      <w:bookmarkStart w:id="67" w:name="_Toc147827630"/>
      <w:r w:rsidRPr="00251CCE">
        <w:rPr>
          <w:rStyle w:val="CharSectNo"/>
        </w:rPr>
        <w:t>50</w:t>
      </w:r>
      <w:r w:rsidRPr="006814CB">
        <w:tab/>
      </w:r>
      <w:r w:rsidR="00EF7577" w:rsidRPr="006814CB">
        <w:t>Notifiable actions—date of effect</w:t>
      </w:r>
      <w:bookmarkEnd w:id="67"/>
    </w:p>
    <w:p w14:paraId="2ADEACB7" w14:textId="77777777" w:rsidR="00EF7577" w:rsidRPr="006814CB" w:rsidRDefault="00EF7577" w:rsidP="00EF7577">
      <w:pPr>
        <w:pStyle w:val="Amainreturn"/>
        <w:keepNext/>
      </w:pPr>
      <w:r w:rsidRPr="006814CB">
        <w:t>A notifiable action takes effect—</w:t>
      </w:r>
    </w:p>
    <w:p w14:paraId="3B94ADA4" w14:textId="77777777" w:rsidR="00EF7577" w:rsidRPr="006814CB" w:rsidRDefault="006814CB" w:rsidP="006814CB">
      <w:pPr>
        <w:pStyle w:val="Apara"/>
      </w:pPr>
      <w:r>
        <w:tab/>
      </w:r>
      <w:r w:rsidRPr="006814CB">
        <w:t>(a)</w:t>
      </w:r>
      <w:r w:rsidRPr="006814CB">
        <w:tab/>
      </w:r>
      <w:r w:rsidR="00EF7577" w:rsidRPr="006814CB">
        <w:t>the prescribed number of days after the day the commission receives a notification about the notifiable action; or</w:t>
      </w:r>
    </w:p>
    <w:p w14:paraId="51D63927" w14:textId="77777777" w:rsidR="00EF7577" w:rsidRPr="006814CB" w:rsidRDefault="00EF7577" w:rsidP="00EF7577">
      <w:pPr>
        <w:pStyle w:val="aNotepar"/>
      </w:pPr>
      <w:r w:rsidRPr="006814CB">
        <w:rPr>
          <w:rStyle w:val="charItals"/>
        </w:rPr>
        <w:t>Note</w:t>
      </w:r>
      <w:r w:rsidRPr="006814CB">
        <w:rPr>
          <w:rStyle w:val="charItals"/>
        </w:rPr>
        <w:tab/>
      </w:r>
      <w:r w:rsidRPr="006814CB">
        <w:rPr>
          <w:rStyle w:val="charBoldItals"/>
        </w:rPr>
        <w:t>Prescribed number of days</w:t>
      </w:r>
      <w:r w:rsidRPr="006814CB">
        <w:t xml:space="preserve">—see s </w:t>
      </w:r>
      <w:r w:rsidR="002E0DF3" w:rsidRPr="006814CB">
        <w:t>48</w:t>
      </w:r>
      <w:r w:rsidR="00DF2059" w:rsidRPr="006814CB">
        <w:t>.</w:t>
      </w:r>
    </w:p>
    <w:p w14:paraId="225B7F70" w14:textId="77777777" w:rsidR="00EF7577" w:rsidRPr="006814CB" w:rsidRDefault="006814CB" w:rsidP="006814CB">
      <w:pPr>
        <w:pStyle w:val="Apara"/>
      </w:pPr>
      <w:r>
        <w:tab/>
      </w:r>
      <w:r w:rsidRPr="006814CB">
        <w:t>(b)</w:t>
      </w:r>
      <w:r w:rsidRPr="006814CB">
        <w:tab/>
      </w:r>
      <w:r w:rsidR="00EF7577" w:rsidRPr="006814CB">
        <w:t xml:space="preserve">if the commission allows the notifiable action to take </w:t>
      </w:r>
      <w:r w:rsidR="001206DA" w:rsidRPr="006814CB">
        <w:t>effect</w:t>
      </w:r>
      <w:r w:rsidR="00EF7577" w:rsidRPr="006814CB">
        <w:t xml:space="preserve"> on an earlier day—that day; or</w:t>
      </w:r>
    </w:p>
    <w:p w14:paraId="2B349F3D" w14:textId="77777777" w:rsidR="00EF7577" w:rsidRPr="006814CB" w:rsidRDefault="006814CB" w:rsidP="006814CB">
      <w:pPr>
        <w:pStyle w:val="Apara"/>
        <w:keepNext/>
      </w:pPr>
      <w:r>
        <w:tab/>
      </w:r>
      <w:r w:rsidRPr="006814CB">
        <w:t>(c)</w:t>
      </w:r>
      <w:r w:rsidRPr="006814CB">
        <w:tab/>
      </w:r>
      <w:r w:rsidR="00EF7577" w:rsidRPr="006814CB">
        <w:t>if the commission gives a notice under section </w:t>
      </w:r>
      <w:r w:rsidR="002E0DF3" w:rsidRPr="006814CB">
        <w:t>49</w:t>
      </w:r>
      <w:r w:rsidR="00EF7577" w:rsidRPr="006814CB">
        <w:t xml:space="preserve"> (3) requesting additional information in relation to the notification—when the </w:t>
      </w:r>
      <w:r w:rsidR="00D40DE4" w:rsidRPr="006814CB">
        <w:t>c</w:t>
      </w:r>
      <w:r w:rsidR="00EF7577" w:rsidRPr="006814CB">
        <w:t>ommission has notified the licensee that it is satisfied in relation to the additional information.</w:t>
      </w:r>
    </w:p>
    <w:p w14:paraId="1CCDBFCE" w14:textId="2B7C6E28" w:rsidR="00EF7577" w:rsidRPr="006814CB" w:rsidRDefault="00EF7577" w:rsidP="00EF7577">
      <w:pPr>
        <w:pStyle w:val="aNote"/>
      </w:pPr>
      <w:r w:rsidRPr="006814CB">
        <w:rPr>
          <w:rStyle w:val="charItals"/>
        </w:rPr>
        <w:t>Note</w:t>
      </w:r>
      <w:r w:rsidRPr="006814CB">
        <w:rPr>
          <w:rStyle w:val="charItals"/>
        </w:rPr>
        <w:tab/>
      </w:r>
      <w:r w:rsidRPr="006814CB">
        <w:t xml:space="preserve">For working out periods of time generally, see the </w:t>
      </w:r>
      <w:hyperlink r:id="rId69" w:tooltip="A2001-14" w:history="1">
        <w:r w:rsidR="00253379" w:rsidRPr="006814CB">
          <w:rPr>
            <w:rStyle w:val="charCitHyperlinkAbbrev"/>
          </w:rPr>
          <w:t>Legislation Act</w:t>
        </w:r>
      </w:hyperlink>
      <w:r w:rsidRPr="006814CB">
        <w:t>, s 151.</w:t>
      </w:r>
    </w:p>
    <w:p w14:paraId="1C43F0BE" w14:textId="77777777" w:rsidR="00EF7577" w:rsidRPr="006814CB" w:rsidRDefault="006814CB" w:rsidP="006814CB">
      <w:pPr>
        <w:pStyle w:val="AH5Sec"/>
      </w:pPr>
      <w:bookmarkStart w:id="68" w:name="_Toc147827631"/>
      <w:r w:rsidRPr="00251CCE">
        <w:rPr>
          <w:rStyle w:val="CharSectNo"/>
        </w:rPr>
        <w:t>51</w:t>
      </w:r>
      <w:r w:rsidRPr="006814CB">
        <w:tab/>
      </w:r>
      <w:r w:rsidR="00EF7577" w:rsidRPr="006814CB">
        <w:t>Notifiable action—amendment or cancellation</w:t>
      </w:r>
      <w:bookmarkEnd w:id="68"/>
    </w:p>
    <w:p w14:paraId="7577779F" w14:textId="77777777" w:rsidR="00EF7577" w:rsidRPr="006814CB" w:rsidRDefault="006814CB" w:rsidP="00EF5D29">
      <w:pPr>
        <w:pStyle w:val="Amain"/>
        <w:keepNext/>
      </w:pPr>
      <w:r>
        <w:tab/>
      </w:r>
      <w:r w:rsidRPr="006814CB">
        <w:t>(1)</w:t>
      </w:r>
      <w:r w:rsidRPr="006814CB">
        <w:tab/>
      </w:r>
      <w:r w:rsidR="00EF7577" w:rsidRPr="006814CB">
        <w:t>This section applies if the casino licensee—</w:t>
      </w:r>
    </w:p>
    <w:p w14:paraId="0334FD5C" w14:textId="77777777" w:rsidR="00EF7577" w:rsidRPr="006814CB" w:rsidRDefault="006814CB" w:rsidP="00EF5D29">
      <w:pPr>
        <w:pStyle w:val="Apara"/>
        <w:keepNext/>
      </w:pPr>
      <w:r>
        <w:tab/>
      </w:r>
      <w:r w:rsidRPr="006814CB">
        <w:t>(a)</w:t>
      </w:r>
      <w:r w:rsidRPr="006814CB">
        <w:tab/>
      </w:r>
      <w:r w:rsidR="00EF7577" w:rsidRPr="006814CB">
        <w:t>gives the commission a notification about a notifiable action; and</w:t>
      </w:r>
    </w:p>
    <w:p w14:paraId="22E869CC" w14:textId="77777777" w:rsidR="00EF7577" w:rsidRPr="006814CB" w:rsidRDefault="006814CB" w:rsidP="006814CB">
      <w:pPr>
        <w:pStyle w:val="Apara"/>
      </w:pPr>
      <w:r>
        <w:tab/>
      </w:r>
      <w:r w:rsidRPr="006814CB">
        <w:t>(b)</w:t>
      </w:r>
      <w:r w:rsidRPr="006814CB">
        <w:tab/>
      </w:r>
      <w:r w:rsidR="00EF7577" w:rsidRPr="006814CB">
        <w:t>wants to amend or cancel the notification.</w:t>
      </w:r>
    </w:p>
    <w:p w14:paraId="492F7381" w14:textId="77777777" w:rsidR="00EF7577" w:rsidRPr="006814CB" w:rsidRDefault="006814CB" w:rsidP="006814CB">
      <w:pPr>
        <w:pStyle w:val="Amain"/>
        <w:keepNext/>
      </w:pPr>
      <w:r>
        <w:lastRenderedPageBreak/>
        <w:tab/>
      </w:r>
      <w:r w:rsidRPr="006814CB">
        <w:t>(2)</w:t>
      </w:r>
      <w:r w:rsidRPr="006814CB">
        <w:tab/>
      </w:r>
      <w:r w:rsidR="00EF7577" w:rsidRPr="006814CB">
        <w:t>The casino licensee must give the commission written notice of the amendment or cancellation before the notifiable action takes effect.</w:t>
      </w:r>
    </w:p>
    <w:p w14:paraId="3C6EF5C7" w14:textId="51535F87" w:rsidR="00EF7577" w:rsidRPr="006814CB" w:rsidRDefault="00EF7577" w:rsidP="00EF7577">
      <w:pPr>
        <w:pStyle w:val="aNote"/>
        <w:keepNext/>
      </w:pPr>
      <w:r w:rsidRPr="006814CB">
        <w:rPr>
          <w:rStyle w:val="charItals"/>
        </w:rPr>
        <w:t>Note 1</w:t>
      </w:r>
      <w:r w:rsidRPr="006814CB">
        <w:tab/>
        <w:t xml:space="preserve">It is an offence to make a false or misleading statement, give false or misleading information or produce a false or misleading document (see </w:t>
      </w:r>
      <w:hyperlink r:id="rId70" w:tooltip="A2002-51" w:history="1">
        <w:r w:rsidR="00253379" w:rsidRPr="006814CB">
          <w:rPr>
            <w:rStyle w:val="charCitHyperlinkAbbrev"/>
          </w:rPr>
          <w:t>Criminal Code</w:t>
        </w:r>
      </w:hyperlink>
      <w:r w:rsidRPr="006814CB">
        <w:t>, pt 3.4).</w:t>
      </w:r>
    </w:p>
    <w:p w14:paraId="07D7ABF0" w14:textId="2875C2C2" w:rsidR="00EF7577" w:rsidRPr="006814CB" w:rsidRDefault="00EF7577" w:rsidP="00EF7577">
      <w:pPr>
        <w:pStyle w:val="aNote"/>
        <w:keepNext/>
      </w:pPr>
      <w:r w:rsidRPr="006814CB">
        <w:rPr>
          <w:rStyle w:val="charItals"/>
        </w:rPr>
        <w:t>Note 2</w:t>
      </w:r>
      <w:r w:rsidRPr="006814CB">
        <w:rPr>
          <w:rStyle w:val="charItals"/>
        </w:rPr>
        <w:tab/>
      </w:r>
      <w:r w:rsidRPr="006814CB">
        <w:t xml:space="preserve">For how documents may be given, see the </w:t>
      </w:r>
      <w:hyperlink r:id="rId71" w:tooltip="A2001-14" w:history="1">
        <w:r w:rsidR="00253379" w:rsidRPr="006814CB">
          <w:rPr>
            <w:rStyle w:val="charCitHyperlinkAbbrev"/>
          </w:rPr>
          <w:t>Legislation Act</w:t>
        </w:r>
      </w:hyperlink>
      <w:r w:rsidRPr="006814CB">
        <w:t>, pt 19.5.</w:t>
      </w:r>
    </w:p>
    <w:p w14:paraId="77EBC517" w14:textId="212E2F97" w:rsidR="00EF7577" w:rsidRPr="006814CB" w:rsidRDefault="00EF7577" w:rsidP="00EF7577">
      <w:pPr>
        <w:pStyle w:val="aNote"/>
        <w:keepNext/>
      </w:pPr>
      <w:r w:rsidRPr="006814CB">
        <w:rPr>
          <w:rStyle w:val="charItals"/>
        </w:rPr>
        <w:t>Note 3</w:t>
      </w:r>
      <w:r w:rsidRPr="006814CB">
        <w:tab/>
        <w:t xml:space="preserve">If a form is approved under the </w:t>
      </w:r>
      <w:hyperlink r:id="rId72" w:tooltip="Gambling and Racing Control Act 1999" w:history="1">
        <w:r w:rsidR="005151B1" w:rsidRPr="006814CB">
          <w:rPr>
            <w:rStyle w:val="charCitHyperlinkAbbrev"/>
          </w:rPr>
          <w:t>Control Act</w:t>
        </w:r>
      </w:hyperlink>
      <w:r w:rsidRPr="006814CB">
        <w:t>, s 53D for this provision, the form must be used.</w:t>
      </w:r>
    </w:p>
    <w:p w14:paraId="2AF4F852" w14:textId="77777777" w:rsidR="00EF7577" w:rsidRPr="006814CB" w:rsidRDefault="00EF7577" w:rsidP="00EF7577">
      <w:pPr>
        <w:pStyle w:val="aNote"/>
      </w:pPr>
      <w:r w:rsidRPr="006814CB">
        <w:rPr>
          <w:rStyle w:val="charItals"/>
        </w:rPr>
        <w:t>Note 4</w:t>
      </w:r>
      <w:r w:rsidRPr="006814CB">
        <w:tab/>
        <w:t xml:space="preserve">A fee may be determined under s </w:t>
      </w:r>
      <w:r w:rsidR="002E0DF3" w:rsidRPr="006814CB">
        <w:t>53</w:t>
      </w:r>
      <w:r w:rsidR="009E4268" w:rsidRPr="006814CB">
        <w:t xml:space="preserve"> </w:t>
      </w:r>
      <w:r w:rsidRPr="006814CB">
        <w:t>for this provision.</w:t>
      </w:r>
    </w:p>
    <w:p w14:paraId="12E72A19" w14:textId="77777777" w:rsidR="00EF7577" w:rsidRPr="006814CB" w:rsidRDefault="006814CB" w:rsidP="006814CB">
      <w:pPr>
        <w:pStyle w:val="Amain"/>
      </w:pPr>
      <w:r>
        <w:tab/>
      </w:r>
      <w:r w:rsidRPr="006814CB">
        <w:t>(3)</w:t>
      </w:r>
      <w:r w:rsidRPr="006814CB">
        <w:tab/>
      </w:r>
      <w:r w:rsidR="00EF7577" w:rsidRPr="006814CB">
        <w:t>An amendment takes effect 10 business days after the day the commission receives written notice of the amendment.</w:t>
      </w:r>
    </w:p>
    <w:p w14:paraId="4946BF6C" w14:textId="77777777" w:rsidR="00EF7577" w:rsidRPr="006814CB" w:rsidRDefault="006814CB" w:rsidP="006814CB">
      <w:pPr>
        <w:pStyle w:val="Amain"/>
      </w:pPr>
      <w:r>
        <w:tab/>
      </w:r>
      <w:r w:rsidRPr="006814CB">
        <w:t>(4)</w:t>
      </w:r>
      <w:r w:rsidRPr="006814CB">
        <w:tab/>
      </w:r>
      <w:r w:rsidR="00EF7577" w:rsidRPr="006814CB">
        <w:t>A cancellation takes effect when the commission receives writ</w:t>
      </w:r>
      <w:r w:rsidR="006E1033" w:rsidRPr="006814CB">
        <w:t>ten notice of the cancellation.</w:t>
      </w:r>
      <w:r w:rsidR="00EF7577" w:rsidRPr="006814CB">
        <w:t xml:space="preserve"> </w:t>
      </w:r>
    </w:p>
    <w:p w14:paraId="3A2A70DF" w14:textId="77777777" w:rsidR="00F31467" w:rsidRPr="006814CB" w:rsidRDefault="006814CB" w:rsidP="006814CB">
      <w:pPr>
        <w:pStyle w:val="AH5Sec"/>
      </w:pPr>
      <w:bookmarkStart w:id="69" w:name="_Toc147827632"/>
      <w:r w:rsidRPr="00251CCE">
        <w:rPr>
          <w:rStyle w:val="CharSectNo"/>
        </w:rPr>
        <w:t>52</w:t>
      </w:r>
      <w:r w:rsidRPr="006814CB">
        <w:tab/>
      </w:r>
      <w:r w:rsidR="009E4268" w:rsidRPr="006814CB">
        <w:t>Notifiable actions—</w:t>
      </w:r>
      <w:r w:rsidR="00F31467" w:rsidRPr="006814CB">
        <w:t xml:space="preserve">s </w:t>
      </w:r>
      <w:r w:rsidR="002E0DF3" w:rsidRPr="006814CB">
        <w:t>43</w:t>
      </w:r>
      <w:bookmarkEnd w:id="69"/>
    </w:p>
    <w:p w14:paraId="0938DE4D" w14:textId="77777777" w:rsidR="00F31467" w:rsidRPr="006814CB" w:rsidRDefault="006814CB" w:rsidP="006814CB">
      <w:pPr>
        <w:pStyle w:val="Amain"/>
      </w:pPr>
      <w:r>
        <w:tab/>
      </w:r>
      <w:r w:rsidRPr="006814CB">
        <w:t>(1)</w:t>
      </w:r>
      <w:r w:rsidRPr="006814CB">
        <w:tab/>
      </w:r>
      <w:r w:rsidR="00F31467" w:rsidRPr="006814CB">
        <w:t xml:space="preserve">This section applies to a notifiable action under section </w:t>
      </w:r>
      <w:r w:rsidR="002E0DF3" w:rsidRPr="006814CB">
        <w:t>43</w:t>
      </w:r>
      <w:r w:rsidR="00210721" w:rsidRPr="006814CB">
        <w:t xml:space="preserve"> </w:t>
      </w:r>
      <w:r w:rsidR="00F31467" w:rsidRPr="006814CB">
        <w:t>(Surrender of authorisation certificates and authorisations).</w:t>
      </w:r>
    </w:p>
    <w:p w14:paraId="65B4E7CB" w14:textId="77777777" w:rsidR="00F31467" w:rsidRPr="006814CB" w:rsidRDefault="006814CB" w:rsidP="006814CB">
      <w:pPr>
        <w:pStyle w:val="Amain"/>
      </w:pPr>
      <w:r>
        <w:tab/>
      </w:r>
      <w:r w:rsidRPr="006814CB">
        <w:t>(2)</w:t>
      </w:r>
      <w:r w:rsidRPr="006814CB">
        <w:tab/>
      </w:r>
      <w:r w:rsidR="00F31467" w:rsidRPr="006814CB">
        <w:t xml:space="preserve">The notification for the notifiable action must also include the following information in relation to a </w:t>
      </w:r>
      <w:r w:rsidR="00210721" w:rsidRPr="006814CB">
        <w:t xml:space="preserve">casino </w:t>
      </w:r>
      <w:r w:rsidR="00F31467" w:rsidRPr="006814CB">
        <w:t xml:space="preserve">gaming machine </w:t>
      </w:r>
      <w:r w:rsidR="00210721" w:rsidRPr="006814CB">
        <w:t xml:space="preserve">or casino FATG terminal </w:t>
      </w:r>
      <w:r w:rsidR="00F31467" w:rsidRPr="006814CB">
        <w:t>to be stored under a storage permit:</w:t>
      </w:r>
    </w:p>
    <w:p w14:paraId="682D3CF2" w14:textId="77777777" w:rsidR="00F31467" w:rsidRPr="006814CB" w:rsidRDefault="006814CB" w:rsidP="006814CB">
      <w:pPr>
        <w:pStyle w:val="Apara"/>
      </w:pPr>
      <w:r>
        <w:tab/>
      </w:r>
      <w:r w:rsidRPr="006814CB">
        <w:t>(a)</w:t>
      </w:r>
      <w:r w:rsidRPr="006814CB">
        <w:tab/>
      </w:r>
      <w:r w:rsidR="00F31467" w:rsidRPr="006814CB">
        <w:t xml:space="preserve">the place where the </w:t>
      </w:r>
      <w:r w:rsidR="00210721" w:rsidRPr="006814CB">
        <w:t xml:space="preserve">casino gaming machine or casino FATG terminal </w:t>
      </w:r>
      <w:r w:rsidR="00F31467" w:rsidRPr="006814CB">
        <w:t>is to be stored;</w:t>
      </w:r>
    </w:p>
    <w:p w14:paraId="2A8806D4" w14:textId="77777777" w:rsidR="00F31467" w:rsidRPr="006814CB" w:rsidRDefault="006814CB" w:rsidP="006814CB">
      <w:pPr>
        <w:pStyle w:val="Apara"/>
        <w:keepNext/>
      </w:pPr>
      <w:r>
        <w:tab/>
      </w:r>
      <w:r w:rsidRPr="006814CB">
        <w:t>(b)</w:t>
      </w:r>
      <w:r w:rsidRPr="006814CB">
        <w:tab/>
      </w:r>
      <w:r w:rsidR="00210721" w:rsidRPr="006814CB">
        <w:t>the</w:t>
      </w:r>
      <w:r w:rsidR="00F31467" w:rsidRPr="006814CB">
        <w:t xml:space="preserve"> serial number</w:t>
      </w:r>
      <w:r w:rsidR="00210721" w:rsidRPr="006814CB">
        <w:t xml:space="preserve"> of the casino gaming machine or casino FATG terminal</w:t>
      </w:r>
      <w:r w:rsidR="00F31467" w:rsidRPr="006814CB">
        <w:t>.</w:t>
      </w:r>
    </w:p>
    <w:p w14:paraId="3F7AB09B" w14:textId="77777777" w:rsidR="00F31467" w:rsidRPr="006814CB" w:rsidRDefault="00F31467" w:rsidP="00F31467">
      <w:pPr>
        <w:pStyle w:val="aNote"/>
      </w:pPr>
      <w:r w:rsidRPr="006814CB">
        <w:rPr>
          <w:rStyle w:val="charItals"/>
        </w:rPr>
        <w:t>Note</w:t>
      </w:r>
      <w:r w:rsidRPr="006814CB">
        <w:rPr>
          <w:rStyle w:val="charItals"/>
        </w:rPr>
        <w:tab/>
      </w:r>
      <w:r w:rsidRPr="006814CB">
        <w:t xml:space="preserve">For the issue </w:t>
      </w:r>
      <w:r w:rsidR="00210721" w:rsidRPr="006814CB">
        <w:t xml:space="preserve">of a storage permit, see s </w:t>
      </w:r>
      <w:r w:rsidR="002E0DF3" w:rsidRPr="006814CB">
        <w:t>43</w:t>
      </w:r>
      <w:r w:rsidR="00210721" w:rsidRPr="006814CB">
        <w:t xml:space="preserve"> (3).</w:t>
      </w:r>
    </w:p>
    <w:p w14:paraId="60D60FFC" w14:textId="77777777" w:rsidR="00F31467" w:rsidRPr="006814CB" w:rsidRDefault="006814CB" w:rsidP="006814CB">
      <w:pPr>
        <w:pStyle w:val="Amain"/>
      </w:pPr>
      <w:r>
        <w:tab/>
      </w:r>
      <w:r w:rsidRPr="006814CB">
        <w:t>(3)</w:t>
      </w:r>
      <w:r w:rsidRPr="006814CB">
        <w:tab/>
      </w:r>
      <w:r w:rsidR="00F31467" w:rsidRPr="006814CB">
        <w:t>On the date the notifiable action takes effect under section</w:t>
      </w:r>
      <w:r w:rsidR="00210721" w:rsidRPr="006814CB">
        <w:t> </w:t>
      </w:r>
      <w:r w:rsidR="002E0DF3" w:rsidRPr="006814CB">
        <w:t>50</w:t>
      </w:r>
      <w:r w:rsidR="00210721" w:rsidRPr="006814CB">
        <w:t xml:space="preserve"> </w:t>
      </w:r>
      <w:r w:rsidR="00F31467" w:rsidRPr="006814CB">
        <w:t>(Notifiable actions—date of effect), the</w:t>
      </w:r>
      <w:r w:rsidR="00210721" w:rsidRPr="006814CB">
        <w:t xml:space="preserve"> casino </w:t>
      </w:r>
      <w:r w:rsidR="00F31467" w:rsidRPr="006814CB">
        <w:t>licensee must—</w:t>
      </w:r>
    </w:p>
    <w:p w14:paraId="0F30230C" w14:textId="77777777" w:rsidR="00F31467" w:rsidRPr="006814CB" w:rsidRDefault="006814CB" w:rsidP="006814CB">
      <w:pPr>
        <w:pStyle w:val="Apara"/>
      </w:pPr>
      <w:r>
        <w:tab/>
      </w:r>
      <w:r w:rsidRPr="006814CB">
        <w:t>(a)</w:t>
      </w:r>
      <w:r w:rsidRPr="006814CB">
        <w:tab/>
      </w:r>
      <w:r w:rsidR="00F31467" w:rsidRPr="006814CB">
        <w:t xml:space="preserve">take meter readings from the </w:t>
      </w:r>
      <w:r w:rsidR="00210721" w:rsidRPr="006814CB">
        <w:t xml:space="preserve">casino </w:t>
      </w:r>
      <w:r w:rsidR="00F31467" w:rsidRPr="006814CB">
        <w:t>gaming machine</w:t>
      </w:r>
      <w:r w:rsidR="00210721" w:rsidRPr="006814CB">
        <w:t xml:space="preserve"> or casino FATG terminal</w:t>
      </w:r>
      <w:r w:rsidR="00F31467" w:rsidRPr="006814CB">
        <w:t>; and</w:t>
      </w:r>
    </w:p>
    <w:p w14:paraId="44BD376F" w14:textId="77777777" w:rsidR="00F31467" w:rsidRPr="006814CB" w:rsidRDefault="006814CB" w:rsidP="006814CB">
      <w:pPr>
        <w:pStyle w:val="Apara"/>
      </w:pPr>
      <w:r>
        <w:lastRenderedPageBreak/>
        <w:tab/>
      </w:r>
      <w:r w:rsidRPr="006814CB">
        <w:t>(b)</w:t>
      </w:r>
      <w:r w:rsidRPr="006814CB">
        <w:tab/>
      </w:r>
      <w:r w:rsidR="00F31467" w:rsidRPr="006814CB">
        <w:t xml:space="preserve">render the </w:t>
      </w:r>
      <w:r w:rsidR="00210721" w:rsidRPr="006814CB">
        <w:t xml:space="preserve">casino gaming machine or casino FATG terminal </w:t>
      </w:r>
      <w:r w:rsidR="00F31467" w:rsidRPr="006814CB">
        <w:t>inoperable; and</w:t>
      </w:r>
    </w:p>
    <w:p w14:paraId="2A048062" w14:textId="77777777" w:rsidR="00F31467" w:rsidRPr="006814CB" w:rsidRDefault="006814CB" w:rsidP="006814CB">
      <w:pPr>
        <w:pStyle w:val="Apara"/>
      </w:pPr>
      <w:r>
        <w:tab/>
      </w:r>
      <w:r w:rsidRPr="006814CB">
        <w:t>(c)</w:t>
      </w:r>
      <w:r w:rsidRPr="006814CB">
        <w:tab/>
      </w:r>
      <w:r w:rsidR="00F31467" w:rsidRPr="006814CB">
        <w:t>give the commission the details of the meter readings.</w:t>
      </w:r>
    </w:p>
    <w:p w14:paraId="09BDE807" w14:textId="77777777" w:rsidR="00210721" w:rsidRPr="006814CB" w:rsidRDefault="00210721" w:rsidP="006814CB">
      <w:pPr>
        <w:pStyle w:val="PageBreak"/>
        <w:suppressLineNumbers/>
      </w:pPr>
      <w:r w:rsidRPr="006814CB">
        <w:br w:type="page"/>
      </w:r>
    </w:p>
    <w:p w14:paraId="557AFF67" w14:textId="77777777" w:rsidR="00F50625" w:rsidRPr="00251CCE" w:rsidRDefault="006814CB" w:rsidP="006814CB">
      <w:pPr>
        <w:pStyle w:val="AH2Part"/>
      </w:pPr>
      <w:bookmarkStart w:id="70" w:name="_Toc147827633"/>
      <w:r w:rsidRPr="00251CCE">
        <w:rPr>
          <w:rStyle w:val="CharPartNo"/>
        </w:rPr>
        <w:lastRenderedPageBreak/>
        <w:t>Part 11</w:t>
      </w:r>
      <w:r w:rsidRPr="006814CB">
        <w:tab/>
      </w:r>
      <w:r w:rsidR="00F50625" w:rsidRPr="00251CCE">
        <w:rPr>
          <w:rStyle w:val="CharPartText"/>
        </w:rPr>
        <w:t>Miscellaneous</w:t>
      </w:r>
      <w:bookmarkEnd w:id="70"/>
    </w:p>
    <w:p w14:paraId="6AA4E85C" w14:textId="77777777" w:rsidR="00F50625" w:rsidRPr="006814CB" w:rsidRDefault="006814CB" w:rsidP="006814CB">
      <w:pPr>
        <w:pStyle w:val="AH5Sec"/>
      </w:pPr>
      <w:bookmarkStart w:id="71" w:name="_Toc147827634"/>
      <w:r w:rsidRPr="00251CCE">
        <w:rPr>
          <w:rStyle w:val="CharSectNo"/>
        </w:rPr>
        <w:t>53</w:t>
      </w:r>
      <w:r w:rsidRPr="006814CB">
        <w:tab/>
      </w:r>
      <w:r w:rsidR="00F50625" w:rsidRPr="006814CB">
        <w:t>Determination of fees</w:t>
      </w:r>
      <w:bookmarkEnd w:id="71"/>
    </w:p>
    <w:p w14:paraId="5372F85F" w14:textId="77777777" w:rsidR="00F50625" w:rsidRPr="006814CB" w:rsidRDefault="006814CB" w:rsidP="006814CB">
      <w:pPr>
        <w:pStyle w:val="Amain"/>
        <w:keepNext/>
      </w:pPr>
      <w:r>
        <w:tab/>
      </w:r>
      <w:r w:rsidRPr="006814CB">
        <w:t>(1)</w:t>
      </w:r>
      <w:r w:rsidRPr="006814CB">
        <w:tab/>
      </w:r>
      <w:r w:rsidR="00F50625" w:rsidRPr="006814CB">
        <w:t>The Minister may determine fees for this Act.</w:t>
      </w:r>
    </w:p>
    <w:p w14:paraId="7CAF4460" w14:textId="6C06BD6E" w:rsidR="00F50625" w:rsidRPr="006814CB" w:rsidRDefault="00F50625">
      <w:pPr>
        <w:pStyle w:val="aNote"/>
      </w:pPr>
      <w:r w:rsidRPr="006814CB">
        <w:rPr>
          <w:rStyle w:val="charItals"/>
        </w:rPr>
        <w:t>Note</w:t>
      </w:r>
      <w:r w:rsidRPr="006814CB">
        <w:tab/>
        <w:t xml:space="preserve">The </w:t>
      </w:r>
      <w:hyperlink r:id="rId73" w:tooltip="A2001-14" w:history="1">
        <w:r w:rsidR="00253379" w:rsidRPr="006814CB">
          <w:rPr>
            <w:rStyle w:val="charCitHyperlinkAbbrev"/>
          </w:rPr>
          <w:t>Legislation Act</w:t>
        </w:r>
      </w:hyperlink>
      <w:r w:rsidRPr="006814CB">
        <w:t xml:space="preserve"> contains provisions about the making of determinations and regulations relating to fees (see pt 6.3)</w:t>
      </w:r>
      <w:r w:rsidR="009E4268" w:rsidRPr="006814CB">
        <w:t>.</w:t>
      </w:r>
    </w:p>
    <w:p w14:paraId="6ADF1E58" w14:textId="77777777" w:rsidR="00F50625" w:rsidRPr="006814CB" w:rsidRDefault="006814CB" w:rsidP="006814CB">
      <w:pPr>
        <w:pStyle w:val="Amain"/>
        <w:keepNext/>
      </w:pPr>
      <w:r>
        <w:tab/>
      </w:r>
      <w:r w:rsidRPr="006814CB">
        <w:t>(2)</w:t>
      </w:r>
      <w:r w:rsidRPr="006814CB">
        <w:tab/>
      </w:r>
      <w:r w:rsidR="00F50625" w:rsidRPr="006814CB">
        <w:t>A determination is a disallowable instrument.</w:t>
      </w:r>
    </w:p>
    <w:p w14:paraId="0C9BFF65" w14:textId="1E7B4241" w:rsidR="00F50625" w:rsidRPr="006814CB" w:rsidRDefault="00F50625">
      <w:pPr>
        <w:pStyle w:val="aNote"/>
      </w:pPr>
      <w:r w:rsidRPr="006814CB">
        <w:rPr>
          <w:rStyle w:val="charItals"/>
        </w:rPr>
        <w:t>Note</w:t>
      </w:r>
      <w:r w:rsidRPr="006814CB">
        <w:rPr>
          <w:rStyle w:val="charItals"/>
        </w:rPr>
        <w:tab/>
      </w:r>
      <w:r w:rsidRPr="006814CB">
        <w:t xml:space="preserve">A disallowable instrument must be notified, and presented to the Legislative Assembly, under the </w:t>
      </w:r>
      <w:hyperlink r:id="rId74" w:tooltip="A2001-14" w:history="1">
        <w:r w:rsidR="00253379" w:rsidRPr="006814CB">
          <w:rPr>
            <w:rStyle w:val="charCitHyperlinkAbbrev"/>
          </w:rPr>
          <w:t>Legislation Act</w:t>
        </w:r>
      </w:hyperlink>
      <w:r w:rsidRPr="006814CB">
        <w:t>.</w:t>
      </w:r>
    </w:p>
    <w:p w14:paraId="57A18F0C" w14:textId="77777777" w:rsidR="00F50625" w:rsidRPr="006814CB" w:rsidRDefault="006814CB" w:rsidP="006814CB">
      <w:pPr>
        <w:pStyle w:val="AH5Sec"/>
      </w:pPr>
      <w:bookmarkStart w:id="72" w:name="_Toc147827635"/>
      <w:r w:rsidRPr="00251CCE">
        <w:rPr>
          <w:rStyle w:val="CharSectNo"/>
        </w:rPr>
        <w:t>54</w:t>
      </w:r>
      <w:r w:rsidRPr="006814CB">
        <w:tab/>
      </w:r>
      <w:r w:rsidR="00F50625" w:rsidRPr="006814CB">
        <w:t>Regulation-making power</w:t>
      </w:r>
      <w:bookmarkEnd w:id="72"/>
    </w:p>
    <w:p w14:paraId="6BF99287" w14:textId="77777777" w:rsidR="00F50625" w:rsidRPr="006814CB" w:rsidRDefault="006814CB" w:rsidP="006814CB">
      <w:pPr>
        <w:pStyle w:val="Amain"/>
        <w:keepNext/>
      </w:pPr>
      <w:r>
        <w:tab/>
      </w:r>
      <w:r w:rsidRPr="006814CB">
        <w:t>(1)</w:t>
      </w:r>
      <w:r w:rsidRPr="006814CB">
        <w:tab/>
      </w:r>
      <w:r w:rsidR="00F50625" w:rsidRPr="006814CB">
        <w:t>The Executive may make regulations for this Act.</w:t>
      </w:r>
    </w:p>
    <w:p w14:paraId="607736B5" w14:textId="76C29D64" w:rsidR="00F50625" w:rsidRPr="006814CB" w:rsidRDefault="00F50625">
      <w:pPr>
        <w:pStyle w:val="aNote"/>
      </w:pPr>
      <w:r w:rsidRPr="006814CB">
        <w:rPr>
          <w:rStyle w:val="charItals"/>
        </w:rPr>
        <w:t>Note</w:t>
      </w:r>
      <w:r w:rsidRPr="006814CB">
        <w:rPr>
          <w:rStyle w:val="charItals"/>
        </w:rPr>
        <w:tab/>
      </w:r>
      <w:r w:rsidRPr="006814CB">
        <w:t xml:space="preserve">A regulation must be notified, and presented to the Legislative Assembly, under the </w:t>
      </w:r>
      <w:hyperlink r:id="rId75" w:tooltip="A2001-14" w:history="1">
        <w:r w:rsidR="00253379" w:rsidRPr="006814CB">
          <w:rPr>
            <w:rStyle w:val="charCitHyperlinkAbbrev"/>
          </w:rPr>
          <w:t>Legislation Act</w:t>
        </w:r>
      </w:hyperlink>
      <w:r w:rsidRPr="006814CB">
        <w:t>.</w:t>
      </w:r>
    </w:p>
    <w:p w14:paraId="587AACB9" w14:textId="77777777" w:rsidR="00F50625" w:rsidRPr="006814CB" w:rsidRDefault="006814CB" w:rsidP="006814CB">
      <w:pPr>
        <w:pStyle w:val="Amain"/>
      </w:pPr>
      <w:r>
        <w:tab/>
      </w:r>
      <w:r w:rsidRPr="006814CB">
        <w:t>(2)</w:t>
      </w:r>
      <w:r w:rsidRPr="006814CB">
        <w:tab/>
      </w:r>
      <w:r w:rsidR="00F50625" w:rsidRPr="006814CB">
        <w:t>A regulation may make provision in relation to the following:</w:t>
      </w:r>
    </w:p>
    <w:p w14:paraId="75410F6B" w14:textId="77777777" w:rsidR="00F50625" w:rsidRPr="006814CB" w:rsidRDefault="006814CB" w:rsidP="006814CB">
      <w:pPr>
        <w:pStyle w:val="Apara"/>
      </w:pPr>
      <w:r>
        <w:tab/>
      </w:r>
      <w:r w:rsidRPr="006814CB">
        <w:t>(a)</w:t>
      </w:r>
      <w:r w:rsidRPr="006814CB">
        <w:tab/>
      </w:r>
      <w:r w:rsidR="00F50625" w:rsidRPr="006814CB">
        <w:t xml:space="preserve">the operation (including the restriction of the operation) of peripheral equipment for </w:t>
      </w:r>
      <w:r w:rsidR="008263B0" w:rsidRPr="006814CB">
        <w:t xml:space="preserve">casino </w:t>
      </w:r>
      <w:r w:rsidR="00F50625" w:rsidRPr="006814CB">
        <w:t>gaming machines</w:t>
      </w:r>
      <w:r w:rsidR="008263B0" w:rsidRPr="006814CB">
        <w:t xml:space="preserve"> and casino FATG terminals</w:t>
      </w:r>
      <w:r w:rsidR="00F50625" w:rsidRPr="006814CB">
        <w:t xml:space="preserve">; </w:t>
      </w:r>
    </w:p>
    <w:p w14:paraId="5BF97062" w14:textId="77777777" w:rsidR="00F50625" w:rsidRPr="006814CB" w:rsidRDefault="006814CB" w:rsidP="006814CB">
      <w:pPr>
        <w:pStyle w:val="Apara"/>
      </w:pPr>
      <w:r>
        <w:tab/>
      </w:r>
      <w:r w:rsidRPr="006814CB">
        <w:t>(b)</w:t>
      </w:r>
      <w:r w:rsidRPr="006814CB">
        <w:tab/>
      </w:r>
      <w:r w:rsidR="00F50625" w:rsidRPr="006814CB">
        <w:t>the min</w:t>
      </w:r>
      <w:r w:rsidR="002B4AE0" w:rsidRPr="006814CB">
        <w:t xml:space="preserve">imum payout for </w:t>
      </w:r>
      <w:r w:rsidR="00447089" w:rsidRPr="006814CB">
        <w:t xml:space="preserve">casino </w:t>
      </w:r>
      <w:r w:rsidR="002B4AE0" w:rsidRPr="006814CB">
        <w:t>gaming machines;</w:t>
      </w:r>
    </w:p>
    <w:p w14:paraId="0B594AD4" w14:textId="77777777" w:rsidR="002B4AE0" w:rsidRPr="006814CB" w:rsidRDefault="006814CB" w:rsidP="006814CB">
      <w:pPr>
        <w:pStyle w:val="Apara"/>
      </w:pPr>
      <w:r>
        <w:tab/>
      </w:r>
      <w:r w:rsidRPr="006814CB">
        <w:t>(c)</w:t>
      </w:r>
      <w:r w:rsidRPr="006814CB">
        <w:tab/>
      </w:r>
      <w:r w:rsidR="002B4AE0" w:rsidRPr="006814CB">
        <w:t>harm minimisation requireme</w:t>
      </w:r>
      <w:r w:rsidR="00A5228B" w:rsidRPr="006814CB">
        <w:t>nts for casino gaming machines and casino FATG terminals</w:t>
      </w:r>
      <w:r w:rsidR="002B4AE0" w:rsidRPr="006814CB">
        <w:t>.</w:t>
      </w:r>
    </w:p>
    <w:p w14:paraId="7B9857B7" w14:textId="77777777" w:rsidR="00F50625" w:rsidRPr="006814CB" w:rsidRDefault="006814CB" w:rsidP="006814CB">
      <w:pPr>
        <w:pStyle w:val="Amain"/>
      </w:pPr>
      <w:r>
        <w:tab/>
      </w:r>
      <w:r w:rsidRPr="006814CB">
        <w:t>(3)</w:t>
      </w:r>
      <w:r w:rsidRPr="006814CB">
        <w:tab/>
      </w:r>
      <w:r w:rsidR="00F50625" w:rsidRPr="006814CB">
        <w:t>A regulation may create offences for contraventions of the regulations and fix maximum penalties of not more t</w:t>
      </w:r>
      <w:r w:rsidR="00A5228B" w:rsidRPr="006814CB">
        <w:t>han 3</w:t>
      </w:r>
      <w:r w:rsidR="00F50625" w:rsidRPr="006814CB">
        <w:t>0 penalty units for the offences.</w:t>
      </w:r>
    </w:p>
    <w:p w14:paraId="1E6A0A3C" w14:textId="77777777" w:rsidR="00F50625" w:rsidRPr="006814CB" w:rsidRDefault="00F50625" w:rsidP="006814CB">
      <w:pPr>
        <w:pStyle w:val="PageBreak"/>
        <w:suppressLineNumbers/>
      </w:pPr>
      <w:r w:rsidRPr="006814CB">
        <w:br w:type="page"/>
      </w:r>
    </w:p>
    <w:p w14:paraId="3804E851" w14:textId="77777777" w:rsidR="007B112E" w:rsidRDefault="007B112E" w:rsidP="007B112E">
      <w:pPr>
        <w:pStyle w:val="02Text"/>
        <w:sectPr w:rsidR="007B112E">
          <w:headerReference w:type="even" r:id="rId76"/>
          <w:headerReference w:type="default" r:id="rId77"/>
          <w:footerReference w:type="even" r:id="rId78"/>
          <w:footerReference w:type="default" r:id="rId79"/>
          <w:footerReference w:type="first" r:id="rId80"/>
          <w:pgSz w:w="11907" w:h="16839" w:code="9"/>
          <w:pgMar w:top="3880" w:right="1900" w:bottom="3100" w:left="2300" w:header="2280" w:footer="1760" w:gutter="0"/>
          <w:pgNumType w:start="1"/>
          <w:cols w:space="720"/>
          <w:titlePg/>
          <w:docGrid w:linePitch="254"/>
        </w:sectPr>
      </w:pPr>
    </w:p>
    <w:p w14:paraId="5D7EC07E" w14:textId="77777777" w:rsidR="00F50659" w:rsidRPr="00251CCE" w:rsidRDefault="006814CB" w:rsidP="0070106D">
      <w:pPr>
        <w:pStyle w:val="Sched-heading"/>
        <w:suppressLineNumbers/>
        <w:tabs>
          <w:tab w:val="left" w:pos="432"/>
        </w:tabs>
        <w:ind w:left="432" w:hanging="432"/>
      </w:pPr>
      <w:bookmarkStart w:id="73" w:name="_Toc147827636"/>
      <w:r w:rsidRPr="00251CCE">
        <w:rPr>
          <w:rStyle w:val="CharChapNo"/>
        </w:rPr>
        <w:lastRenderedPageBreak/>
        <w:t>Schedule 1</w:t>
      </w:r>
      <w:r w:rsidRPr="006814CB">
        <w:tab/>
      </w:r>
      <w:r w:rsidR="00F50659" w:rsidRPr="00251CCE">
        <w:rPr>
          <w:rStyle w:val="CharChapText"/>
        </w:rPr>
        <w:t>Reviewable decisions</w:t>
      </w:r>
      <w:bookmarkEnd w:id="73"/>
    </w:p>
    <w:p w14:paraId="62AB874D" w14:textId="77777777" w:rsidR="00F50659" w:rsidRPr="006814CB" w:rsidRDefault="00F50659" w:rsidP="0070106D">
      <w:pPr>
        <w:pStyle w:val="ref"/>
        <w:suppressLineNumbers/>
      </w:pPr>
      <w:r w:rsidRPr="006814CB">
        <w:t xml:space="preserve">(see s </w:t>
      </w:r>
      <w:r w:rsidR="002E0DF3" w:rsidRPr="006814CB">
        <w:t>45</w:t>
      </w:r>
      <w:r w:rsidRPr="006814CB">
        <w:t>)</w:t>
      </w:r>
    </w:p>
    <w:p w14:paraId="69727388" w14:textId="77777777" w:rsidR="00A01BCD" w:rsidRDefault="00A01BCD" w:rsidP="0070106D">
      <w:pPr>
        <w:pStyle w:val="Placeholder"/>
        <w:suppressLineNumbers/>
      </w:pPr>
      <w:r>
        <w:rPr>
          <w:rStyle w:val="CharPartNo"/>
        </w:rPr>
        <w:t xml:space="preserve">  </w:t>
      </w:r>
      <w:r>
        <w:rPr>
          <w:rStyle w:val="CharPartText"/>
        </w:rPr>
        <w:t xml:space="preserve">  </w:t>
      </w:r>
    </w:p>
    <w:p w14:paraId="66C70B16" w14:textId="77777777" w:rsidR="00A01BCD" w:rsidRPr="006814CB" w:rsidRDefault="00A01BCD" w:rsidP="0070106D">
      <w:pPr>
        <w:suppressLineNumbers/>
      </w:pP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1318"/>
        <w:gridCol w:w="5430"/>
      </w:tblGrid>
      <w:tr w:rsidR="00C8666D" w:rsidRPr="006814CB" w14:paraId="085239D1" w14:textId="77777777" w:rsidTr="005E08CB">
        <w:trPr>
          <w:cantSplit/>
          <w:tblHeader/>
        </w:trPr>
        <w:tc>
          <w:tcPr>
            <w:tcW w:w="1200" w:type="dxa"/>
            <w:tcBorders>
              <w:bottom w:val="single" w:sz="4" w:space="0" w:color="auto"/>
            </w:tcBorders>
          </w:tcPr>
          <w:p w14:paraId="7D012D4B" w14:textId="77777777" w:rsidR="00C8666D" w:rsidRPr="006814CB" w:rsidRDefault="00C8666D" w:rsidP="0058578F">
            <w:pPr>
              <w:pStyle w:val="TableColHd"/>
            </w:pPr>
            <w:r w:rsidRPr="006814CB">
              <w:t>column 1</w:t>
            </w:r>
          </w:p>
          <w:p w14:paraId="3133A270" w14:textId="77777777" w:rsidR="00C8666D" w:rsidRPr="006814CB" w:rsidRDefault="00C8666D" w:rsidP="0058578F">
            <w:pPr>
              <w:pStyle w:val="TableColHd"/>
            </w:pPr>
            <w:r w:rsidRPr="006814CB">
              <w:t>item</w:t>
            </w:r>
          </w:p>
        </w:tc>
        <w:tc>
          <w:tcPr>
            <w:tcW w:w="1318" w:type="dxa"/>
            <w:tcBorders>
              <w:bottom w:val="single" w:sz="4" w:space="0" w:color="auto"/>
            </w:tcBorders>
          </w:tcPr>
          <w:p w14:paraId="24EB76D5" w14:textId="77777777" w:rsidR="00C8666D" w:rsidRPr="006814CB" w:rsidRDefault="00C8666D" w:rsidP="0058578F">
            <w:pPr>
              <w:pStyle w:val="TableColHd"/>
            </w:pPr>
            <w:r w:rsidRPr="006814CB">
              <w:t>column 2</w:t>
            </w:r>
          </w:p>
          <w:p w14:paraId="783AA28A" w14:textId="77777777" w:rsidR="00C8666D" w:rsidRPr="006814CB" w:rsidRDefault="00C8666D" w:rsidP="0058578F">
            <w:pPr>
              <w:pStyle w:val="TableColHd"/>
            </w:pPr>
            <w:r w:rsidRPr="006814CB">
              <w:t>section</w:t>
            </w:r>
          </w:p>
        </w:tc>
        <w:tc>
          <w:tcPr>
            <w:tcW w:w="5430" w:type="dxa"/>
            <w:tcBorders>
              <w:bottom w:val="single" w:sz="4" w:space="0" w:color="auto"/>
            </w:tcBorders>
          </w:tcPr>
          <w:p w14:paraId="7C7A8E2D" w14:textId="77777777" w:rsidR="00C8666D" w:rsidRPr="006814CB" w:rsidRDefault="00C8666D" w:rsidP="0058578F">
            <w:pPr>
              <w:pStyle w:val="TableColHd"/>
            </w:pPr>
            <w:r w:rsidRPr="006814CB">
              <w:t>column 3</w:t>
            </w:r>
          </w:p>
          <w:p w14:paraId="04AD52E8" w14:textId="77777777" w:rsidR="00C8666D" w:rsidRPr="006814CB" w:rsidRDefault="00C8666D" w:rsidP="0058578F">
            <w:pPr>
              <w:pStyle w:val="TableColHd"/>
            </w:pPr>
            <w:r w:rsidRPr="006814CB">
              <w:t>decision</w:t>
            </w:r>
          </w:p>
        </w:tc>
      </w:tr>
      <w:tr w:rsidR="00C8666D" w:rsidRPr="006814CB" w14:paraId="0E97DEF8" w14:textId="77777777" w:rsidTr="005E08CB">
        <w:trPr>
          <w:cantSplit/>
        </w:trPr>
        <w:tc>
          <w:tcPr>
            <w:tcW w:w="1200" w:type="dxa"/>
            <w:tcBorders>
              <w:top w:val="single" w:sz="4" w:space="0" w:color="auto"/>
            </w:tcBorders>
          </w:tcPr>
          <w:p w14:paraId="5580CEDB" w14:textId="77777777" w:rsidR="00C8666D" w:rsidRPr="006814CB" w:rsidRDefault="00C8666D" w:rsidP="0058578F">
            <w:pPr>
              <w:pStyle w:val="TableNumbered"/>
              <w:numPr>
                <w:ilvl w:val="0"/>
                <w:numId w:val="0"/>
              </w:numPr>
              <w:ind w:left="360" w:hanging="360"/>
            </w:pPr>
            <w:r w:rsidRPr="006814CB">
              <w:t xml:space="preserve">1 </w:t>
            </w:r>
          </w:p>
        </w:tc>
        <w:tc>
          <w:tcPr>
            <w:tcW w:w="1318" w:type="dxa"/>
            <w:tcBorders>
              <w:top w:val="single" w:sz="4" w:space="0" w:color="auto"/>
            </w:tcBorders>
          </w:tcPr>
          <w:p w14:paraId="498C8FC9" w14:textId="77777777" w:rsidR="00C8666D" w:rsidRPr="006814CB" w:rsidRDefault="002E0DF3" w:rsidP="0058578F">
            <w:pPr>
              <w:pStyle w:val="TableText10"/>
            </w:pPr>
            <w:r w:rsidRPr="006814CB">
              <w:t>10</w:t>
            </w:r>
            <w:r w:rsidR="00C8666D" w:rsidRPr="006814CB">
              <w:t xml:space="preserve"> (4)</w:t>
            </w:r>
          </w:p>
        </w:tc>
        <w:tc>
          <w:tcPr>
            <w:tcW w:w="5430" w:type="dxa"/>
            <w:tcBorders>
              <w:top w:val="single" w:sz="4" w:space="0" w:color="auto"/>
            </w:tcBorders>
          </w:tcPr>
          <w:p w14:paraId="3074DEE6" w14:textId="77777777" w:rsidR="00C8666D" w:rsidRPr="006814CB" w:rsidRDefault="00C8666D" w:rsidP="0058578F">
            <w:pPr>
              <w:pStyle w:val="TableText10"/>
            </w:pPr>
            <w:r w:rsidRPr="006814CB">
              <w:t>refuse to consider application for casino gaming machine authorisation certificate if additional information not given within stated time</w:t>
            </w:r>
          </w:p>
        </w:tc>
      </w:tr>
      <w:tr w:rsidR="001206DA" w:rsidRPr="006814CB" w14:paraId="553F88BB" w14:textId="77777777" w:rsidTr="005E08CB">
        <w:trPr>
          <w:cantSplit/>
        </w:trPr>
        <w:tc>
          <w:tcPr>
            <w:tcW w:w="1200" w:type="dxa"/>
          </w:tcPr>
          <w:p w14:paraId="73519985" w14:textId="77777777" w:rsidR="001206DA" w:rsidRPr="006814CB" w:rsidRDefault="001206DA" w:rsidP="0058578F">
            <w:pPr>
              <w:pStyle w:val="TableNumbered"/>
              <w:numPr>
                <w:ilvl w:val="0"/>
                <w:numId w:val="0"/>
              </w:numPr>
              <w:ind w:left="360" w:hanging="360"/>
            </w:pPr>
            <w:r w:rsidRPr="006814CB">
              <w:t>2</w:t>
            </w:r>
          </w:p>
        </w:tc>
        <w:tc>
          <w:tcPr>
            <w:tcW w:w="1318" w:type="dxa"/>
          </w:tcPr>
          <w:p w14:paraId="1C7B83D2" w14:textId="77777777" w:rsidR="001206DA" w:rsidRPr="006814CB" w:rsidRDefault="002E0DF3" w:rsidP="0058578F">
            <w:pPr>
              <w:pStyle w:val="TableText10"/>
            </w:pPr>
            <w:r w:rsidRPr="006814CB">
              <w:t>11</w:t>
            </w:r>
            <w:r w:rsidR="001206DA" w:rsidRPr="006814CB">
              <w:t xml:space="preserve"> (2)</w:t>
            </w:r>
          </w:p>
        </w:tc>
        <w:tc>
          <w:tcPr>
            <w:tcW w:w="5430" w:type="dxa"/>
          </w:tcPr>
          <w:p w14:paraId="497CD68C" w14:textId="77777777" w:rsidR="001206DA" w:rsidRPr="006814CB" w:rsidRDefault="001206DA" w:rsidP="00C8666D">
            <w:pPr>
              <w:pStyle w:val="TableText10"/>
            </w:pPr>
            <w:r w:rsidRPr="006814CB">
              <w:t>refuse to issue casino gaming machine authorisation certificate</w:t>
            </w:r>
          </w:p>
        </w:tc>
      </w:tr>
      <w:tr w:rsidR="00C8666D" w:rsidRPr="006814CB" w14:paraId="53913F39" w14:textId="77777777" w:rsidTr="005E08CB">
        <w:trPr>
          <w:cantSplit/>
        </w:trPr>
        <w:tc>
          <w:tcPr>
            <w:tcW w:w="1200" w:type="dxa"/>
          </w:tcPr>
          <w:p w14:paraId="016D5FE7" w14:textId="77777777" w:rsidR="00C8666D" w:rsidRPr="006814CB" w:rsidRDefault="001206DA" w:rsidP="0058578F">
            <w:pPr>
              <w:pStyle w:val="TableNumbered"/>
              <w:numPr>
                <w:ilvl w:val="0"/>
                <w:numId w:val="0"/>
              </w:numPr>
              <w:ind w:left="360" w:hanging="360"/>
            </w:pPr>
            <w:r w:rsidRPr="006814CB">
              <w:t>3</w:t>
            </w:r>
          </w:p>
        </w:tc>
        <w:tc>
          <w:tcPr>
            <w:tcW w:w="1318" w:type="dxa"/>
          </w:tcPr>
          <w:p w14:paraId="5C04DEF5" w14:textId="77777777" w:rsidR="00C8666D" w:rsidRPr="006814CB" w:rsidRDefault="002E0DF3" w:rsidP="0058578F">
            <w:pPr>
              <w:pStyle w:val="TableText10"/>
            </w:pPr>
            <w:r w:rsidRPr="006814CB">
              <w:t>13</w:t>
            </w:r>
            <w:r w:rsidR="00C8666D" w:rsidRPr="006814CB">
              <w:t xml:space="preserve"> (4)</w:t>
            </w:r>
          </w:p>
        </w:tc>
        <w:tc>
          <w:tcPr>
            <w:tcW w:w="5430" w:type="dxa"/>
          </w:tcPr>
          <w:p w14:paraId="41EA4621" w14:textId="77777777" w:rsidR="00C8666D" w:rsidRPr="006814CB" w:rsidRDefault="00C8666D" w:rsidP="00C8666D">
            <w:pPr>
              <w:pStyle w:val="TableText10"/>
            </w:pPr>
            <w:r w:rsidRPr="006814CB">
              <w:t>refuse to consider application for casino FATG authorisation certificate if additional information not given within stated time</w:t>
            </w:r>
          </w:p>
        </w:tc>
      </w:tr>
      <w:tr w:rsidR="001206DA" w:rsidRPr="006814CB" w14:paraId="29E56358" w14:textId="77777777" w:rsidTr="005E08CB">
        <w:trPr>
          <w:cantSplit/>
        </w:trPr>
        <w:tc>
          <w:tcPr>
            <w:tcW w:w="1200" w:type="dxa"/>
          </w:tcPr>
          <w:p w14:paraId="06334261" w14:textId="77777777" w:rsidR="001206DA" w:rsidRPr="006814CB" w:rsidRDefault="001206DA" w:rsidP="0058578F">
            <w:pPr>
              <w:pStyle w:val="TableNumbered"/>
              <w:numPr>
                <w:ilvl w:val="0"/>
                <w:numId w:val="0"/>
              </w:numPr>
              <w:ind w:left="360" w:hanging="360"/>
            </w:pPr>
            <w:r w:rsidRPr="006814CB">
              <w:t>4</w:t>
            </w:r>
          </w:p>
        </w:tc>
        <w:tc>
          <w:tcPr>
            <w:tcW w:w="1318" w:type="dxa"/>
          </w:tcPr>
          <w:p w14:paraId="77864074" w14:textId="77777777" w:rsidR="001206DA" w:rsidRPr="006814CB" w:rsidRDefault="002E0DF3" w:rsidP="0058578F">
            <w:pPr>
              <w:pStyle w:val="TableText10"/>
            </w:pPr>
            <w:r w:rsidRPr="006814CB">
              <w:t>14</w:t>
            </w:r>
            <w:r w:rsidR="001206DA" w:rsidRPr="006814CB">
              <w:t xml:space="preserve"> (2)</w:t>
            </w:r>
          </w:p>
        </w:tc>
        <w:tc>
          <w:tcPr>
            <w:tcW w:w="5430" w:type="dxa"/>
          </w:tcPr>
          <w:p w14:paraId="74638B56" w14:textId="77777777" w:rsidR="001206DA" w:rsidRPr="006814CB" w:rsidRDefault="001206DA" w:rsidP="001206DA">
            <w:pPr>
              <w:pStyle w:val="TableText10"/>
            </w:pPr>
            <w:r w:rsidRPr="006814CB">
              <w:t>refuse to issue casino FATG authorisation certificate</w:t>
            </w:r>
          </w:p>
        </w:tc>
      </w:tr>
      <w:tr w:rsidR="001206DA" w:rsidRPr="006814CB" w14:paraId="294BF47A" w14:textId="77777777" w:rsidTr="005E08CB">
        <w:trPr>
          <w:cantSplit/>
        </w:trPr>
        <w:tc>
          <w:tcPr>
            <w:tcW w:w="1200" w:type="dxa"/>
          </w:tcPr>
          <w:p w14:paraId="6020FF9B" w14:textId="77777777" w:rsidR="001206DA" w:rsidRPr="006814CB" w:rsidRDefault="001206DA" w:rsidP="0058578F">
            <w:pPr>
              <w:pStyle w:val="TableNumbered"/>
              <w:numPr>
                <w:ilvl w:val="0"/>
                <w:numId w:val="0"/>
              </w:numPr>
              <w:ind w:left="360" w:hanging="360"/>
            </w:pPr>
            <w:r w:rsidRPr="006814CB">
              <w:t>5</w:t>
            </w:r>
          </w:p>
        </w:tc>
        <w:tc>
          <w:tcPr>
            <w:tcW w:w="1318" w:type="dxa"/>
          </w:tcPr>
          <w:p w14:paraId="6CFAD8F0" w14:textId="77777777" w:rsidR="001206DA" w:rsidRPr="006814CB" w:rsidRDefault="002E0DF3" w:rsidP="0058578F">
            <w:pPr>
              <w:pStyle w:val="TableText10"/>
            </w:pPr>
            <w:r w:rsidRPr="006814CB">
              <w:t>21</w:t>
            </w:r>
            <w:r w:rsidR="001206DA" w:rsidRPr="006814CB">
              <w:t xml:space="preserve"> (5)</w:t>
            </w:r>
          </w:p>
        </w:tc>
        <w:tc>
          <w:tcPr>
            <w:tcW w:w="5430" w:type="dxa"/>
          </w:tcPr>
          <w:p w14:paraId="6E616426" w14:textId="77777777" w:rsidR="001206DA" w:rsidRPr="006814CB" w:rsidRDefault="001206DA" w:rsidP="0058578F">
            <w:pPr>
              <w:pStyle w:val="TableText10"/>
            </w:pPr>
            <w:r w:rsidRPr="006814CB">
              <w:t>refuse to consider application for conversion of restricted authorisations if additional information not given within stated time</w:t>
            </w:r>
          </w:p>
        </w:tc>
      </w:tr>
      <w:tr w:rsidR="00FA69CF" w:rsidRPr="006814CB" w14:paraId="53577830" w14:textId="77777777" w:rsidTr="005E08CB">
        <w:trPr>
          <w:cantSplit/>
        </w:trPr>
        <w:tc>
          <w:tcPr>
            <w:tcW w:w="1200" w:type="dxa"/>
          </w:tcPr>
          <w:p w14:paraId="61EEAABC" w14:textId="77777777" w:rsidR="00FA69CF" w:rsidRPr="005D4E1B" w:rsidRDefault="00FA69CF" w:rsidP="00FA69CF">
            <w:pPr>
              <w:pStyle w:val="TableNumbered"/>
              <w:numPr>
                <w:ilvl w:val="0"/>
                <w:numId w:val="0"/>
              </w:numPr>
              <w:ind w:left="360" w:hanging="360"/>
            </w:pPr>
            <w:r w:rsidRPr="005D4E1B">
              <w:t>6</w:t>
            </w:r>
          </w:p>
        </w:tc>
        <w:tc>
          <w:tcPr>
            <w:tcW w:w="1318" w:type="dxa"/>
          </w:tcPr>
          <w:p w14:paraId="1C18D3E7" w14:textId="77777777" w:rsidR="00FA69CF" w:rsidRPr="005D4E1B" w:rsidRDefault="00FA69CF" w:rsidP="00FA69CF">
            <w:pPr>
              <w:pStyle w:val="TableText10"/>
            </w:pPr>
            <w:r w:rsidRPr="005D4E1B">
              <w:t>22 (1)</w:t>
            </w:r>
          </w:p>
        </w:tc>
        <w:tc>
          <w:tcPr>
            <w:tcW w:w="5430" w:type="dxa"/>
          </w:tcPr>
          <w:p w14:paraId="7F860414" w14:textId="77777777" w:rsidR="00FA69CF" w:rsidRPr="005D4E1B" w:rsidRDefault="00FA69CF" w:rsidP="00FA69CF">
            <w:pPr>
              <w:pStyle w:val="TableText10"/>
            </w:pPr>
            <w:r w:rsidRPr="005D4E1B">
              <w:t xml:space="preserve">refuse to approve the conversion of restricted authorisation to casino gaming machine authorisation or casino FATG terminal authorisation </w:t>
            </w:r>
          </w:p>
        </w:tc>
      </w:tr>
      <w:tr w:rsidR="00FA69CF" w:rsidRPr="006814CB" w14:paraId="6D5C7C64" w14:textId="77777777" w:rsidTr="005E08CB">
        <w:trPr>
          <w:cantSplit/>
        </w:trPr>
        <w:tc>
          <w:tcPr>
            <w:tcW w:w="1200" w:type="dxa"/>
          </w:tcPr>
          <w:p w14:paraId="5DAAAC44" w14:textId="77777777" w:rsidR="00FA69CF" w:rsidRPr="005D4E1B" w:rsidRDefault="00FA69CF" w:rsidP="00FA69CF">
            <w:pPr>
              <w:pStyle w:val="TableNumbered"/>
              <w:numPr>
                <w:ilvl w:val="0"/>
                <w:numId w:val="0"/>
              </w:numPr>
              <w:ind w:left="360" w:hanging="360"/>
            </w:pPr>
            <w:r w:rsidRPr="005D4E1B">
              <w:t xml:space="preserve">7 </w:t>
            </w:r>
          </w:p>
        </w:tc>
        <w:tc>
          <w:tcPr>
            <w:tcW w:w="1318" w:type="dxa"/>
          </w:tcPr>
          <w:p w14:paraId="779F9CF1" w14:textId="77777777" w:rsidR="00FA69CF" w:rsidRPr="005D4E1B" w:rsidRDefault="00FA69CF" w:rsidP="00FA69CF">
            <w:pPr>
              <w:pStyle w:val="TableText10"/>
            </w:pPr>
            <w:r w:rsidRPr="005D4E1B">
              <w:t xml:space="preserve">22 (5) </w:t>
            </w:r>
          </w:p>
        </w:tc>
        <w:tc>
          <w:tcPr>
            <w:tcW w:w="5430" w:type="dxa"/>
          </w:tcPr>
          <w:p w14:paraId="4154CD80" w14:textId="77777777" w:rsidR="00FA69CF" w:rsidRPr="005D4E1B" w:rsidRDefault="00FA69CF" w:rsidP="00FA69CF">
            <w:pPr>
              <w:pStyle w:val="TableText10"/>
            </w:pPr>
            <w:r w:rsidRPr="005D4E1B">
              <w:t>approve the conversion of a lower number of restricted authorisations than the number applied for</w:t>
            </w:r>
          </w:p>
        </w:tc>
      </w:tr>
      <w:tr w:rsidR="001206DA" w:rsidRPr="006814CB" w14:paraId="69CC615F" w14:textId="77777777" w:rsidTr="005E08CB">
        <w:trPr>
          <w:cantSplit/>
        </w:trPr>
        <w:tc>
          <w:tcPr>
            <w:tcW w:w="1200" w:type="dxa"/>
          </w:tcPr>
          <w:p w14:paraId="101D00D1" w14:textId="77777777" w:rsidR="001206DA" w:rsidRPr="006814CB" w:rsidRDefault="001206DA" w:rsidP="0058578F">
            <w:pPr>
              <w:pStyle w:val="TableNumbered"/>
              <w:numPr>
                <w:ilvl w:val="0"/>
                <w:numId w:val="0"/>
              </w:numPr>
              <w:ind w:left="360" w:hanging="360"/>
            </w:pPr>
            <w:r w:rsidRPr="006814CB">
              <w:t>8</w:t>
            </w:r>
          </w:p>
        </w:tc>
        <w:tc>
          <w:tcPr>
            <w:tcW w:w="1318" w:type="dxa"/>
          </w:tcPr>
          <w:p w14:paraId="43B50866" w14:textId="77777777" w:rsidR="001206DA" w:rsidRPr="006814CB" w:rsidRDefault="002E0DF3" w:rsidP="0058578F">
            <w:pPr>
              <w:pStyle w:val="TableText10"/>
            </w:pPr>
            <w:r w:rsidRPr="006814CB">
              <w:t>37</w:t>
            </w:r>
            <w:r w:rsidR="001206DA" w:rsidRPr="006814CB">
              <w:t xml:space="preserve"> (3)</w:t>
            </w:r>
          </w:p>
        </w:tc>
        <w:tc>
          <w:tcPr>
            <w:tcW w:w="5430" w:type="dxa"/>
          </w:tcPr>
          <w:p w14:paraId="13100CEB" w14:textId="77777777" w:rsidR="001206DA" w:rsidRPr="006814CB" w:rsidRDefault="001206DA" w:rsidP="0058578F">
            <w:pPr>
              <w:pStyle w:val="TableText10"/>
            </w:pPr>
            <w:r w:rsidRPr="006814CB">
              <w:t>refuse to consider authorisation certificate amendment application</w:t>
            </w:r>
          </w:p>
        </w:tc>
      </w:tr>
      <w:tr w:rsidR="001206DA" w:rsidRPr="006814CB" w14:paraId="7AA5457B" w14:textId="77777777" w:rsidTr="005E08CB">
        <w:trPr>
          <w:cantSplit/>
        </w:trPr>
        <w:tc>
          <w:tcPr>
            <w:tcW w:w="1200" w:type="dxa"/>
          </w:tcPr>
          <w:p w14:paraId="60C056B9" w14:textId="77777777" w:rsidR="001206DA" w:rsidRPr="006814CB" w:rsidRDefault="001206DA" w:rsidP="0058578F">
            <w:pPr>
              <w:pStyle w:val="TableNumbered"/>
              <w:numPr>
                <w:ilvl w:val="0"/>
                <w:numId w:val="0"/>
              </w:numPr>
              <w:ind w:left="360" w:hanging="360"/>
            </w:pPr>
            <w:r w:rsidRPr="006814CB">
              <w:t>9</w:t>
            </w:r>
          </w:p>
        </w:tc>
        <w:tc>
          <w:tcPr>
            <w:tcW w:w="1318" w:type="dxa"/>
          </w:tcPr>
          <w:p w14:paraId="4DCBCF8C" w14:textId="77777777" w:rsidR="001206DA" w:rsidRPr="006814CB" w:rsidRDefault="002E0DF3" w:rsidP="0058578F">
            <w:pPr>
              <w:pStyle w:val="TableText10"/>
            </w:pPr>
            <w:r w:rsidRPr="006814CB">
              <w:t>38</w:t>
            </w:r>
            <w:r w:rsidR="001206DA" w:rsidRPr="006814CB">
              <w:t xml:space="preserve"> (2) (b)</w:t>
            </w:r>
          </w:p>
        </w:tc>
        <w:tc>
          <w:tcPr>
            <w:tcW w:w="5430" w:type="dxa"/>
          </w:tcPr>
          <w:p w14:paraId="1EE60D9F" w14:textId="77777777" w:rsidR="001206DA" w:rsidRPr="006814CB" w:rsidRDefault="001206DA" w:rsidP="0058578F">
            <w:pPr>
              <w:pStyle w:val="TableText10"/>
            </w:pPr>
            <w:r w:rsidRPr="006814CB">
              <w:t>refuse to amend authorisation certificate</w:t>
            </w:r>
          </w:p>
        </w:tc>
      </w:tr>
    </w:tbl>
    <w:p w14:paraId="31676CC8" w14:textId="77777777" w:rsidR="009E4268" w:rsidRPr="006814CB" w:rsidRDefault="009E4268" w:rsidP="006814CB">
      <w:pPr>
        <w:pStyle w:val="PageBreak"/>
        <w:suppressLineNumbers/>
      </w:pPr>
      <w:r w:rsidRPr="006814CB">
        <w:br w:type="page"/>
      </w:r>
    </w:p>
    <w:p w14:paraId="67C4FA1D" w14:textId="77777777" w:rsidR="0058578F" w:rsidRPr="00251CCE" w:rsidRDefault="006814CB" w:rsidP="0070106D">
      <w:pPr>
        <w:pStyle w:val="Sched-heading"/>
        <w:suppressLineNumbers/>
      </w:pPr>
      <w:bookmarkStart w:id="74" w:name="_Toc147827637"/>
      <w:r w:rsidRPr="00251CCE">
        <w:rPr>
          <w:rStyle w:val="CharChapNo"/>
        </w:rPr>
        <w:lastRenderedPageBreak/>
        <w:t>Schedule 2</w:t>
      </w:r>
      <w:r w:rsidRPr="006814CB">
        <w:tab/>
      </w:r>
      <w:r w:rsidR="0058578F" w:rsidRPr="00251CCE">
        <w:rPr>
          <w:rStyle w:val="CharChapText"/>
        </w:rPr>
        <w:t>Notifiable actions</w:t>
      </w:r>
      <w:bookmarkEnd w:id="74"/>
    </w:p>
    <w:p w14:paraId="0ABC12FD" w14:textId="77777777" w:rsidR="0058578F" w:rsidRPr="006814CB" w:rsidRDefault="0058578F" w:rsidP="0070106D">
      <w:pPr>
        <w:pStyle w:val="ref"/>
        <w:keepNext/>
        <w:suppressLineNumbers/>
      </w:pPr>
      <w:r w:rsidRPr="006814CB">
        <w:t>(see s</w:t>
      </w:r>
      <w:r w:rsidR="00B26C6E" w:rsidRPr="006814CB">
        <w:t xml:space="preserve"> </w:t>
      </w:r>
      <w:r w:rsidR="002E0DF3" w:rsidRPr="006814CB">
        <w:t>48</w:t>
      </w:r>
      <w:r w:rsidRPr="006814CB">
        <w:t>)</w:t>
      </w:r>
    </w:p>
    <w:p w14:paraId="6C312F53" w14:textId="77777777" w:rsidR="00AB675C" w:rsidRPr="006814CB" w:rsidRDefault="00AB675C" w:rsidP="0070106D">
      <w:pPr>
        <w:suppressLineNumbers/>
      </w:pPr>
    </w:p>
    <w:tbl>
      <w:tblPr>
        <w:tblW w:w="7621"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1293"/>
        <w:gridCol w:w="5128"/>
      </w:tblGrid>
      <w:tr w:rsidR="0058578F" w:rsidRPr="006814CB" w14:paraId="061D8F62" w14:textId="77777777" w:rsidTr="005E08CB">
        <w:trPr>
          <w:cantSplit/>
          <w:tblHeader/>
        </w:trPr>
        <w:tc>
          <w:tcPr>
            <w:tcW w:w="1200" w:type="dxa"/>
            <w:tcBorders>
              <w:bottom w:val="single" w:sz="4" w:space="0" w:color="auto"/>
            </w:tcBorders>
          </w:tcPr>
          <w:p w14:paraId="35F184EE" w14:textId="77777777" w:rsidR="0058578F" w:rsidRPr="006814CB" w:rsidRDefault="0058578F" w:rsidP="0058578F">
            <w:pPr>
              <w:pStyle w:val="TableColHd"/>
            </w:pPr>
            <w:r w:rsidRPr="006814CB">
              <w:t>column 1</w:t>
            </w:r>
          </w:p>
          <w:p w14:paraId="0D856905" w14:textId="77777777" w:rsidR="0058578F" w:rsidRPr="006814CB" w:rsidRDefault="0058578F" w:rsidP="0058578F">
            <w:pPr>
              <w:pStyle w:val="TableColHd"/>
            </w:pPr>
            <w:r w:rsidRPr="006814CB">
              <w:t>item</w:t>
            </w:r>
          </w:p>
        </w:tc>
        <w:tc>
          <w:tcPr>
            <w:tcW w:w="1293" w:type="dxa"/>
            <w:tcBorders>
              <w:bottom w:val="single" w:sz="4" w:space="0" w:color="auto"/>
            </w:tcBorders>
          </w:tcPr>
          <w:p w14:paraId="521A8E07" w14:textId="77777777" w:rsidR="0058578F" w:rsidRPr="006814CB" w:rsidRDefault="0058578F" w:rsidP="0058578F">
            <w:pPr>
              <w:pStyle w:val="TableColHd"/>
            </w:pPr>
            <w:r w:rsidRPr="006814CB">
              <w:t>column 2</w:t>
            </w:r>
          </w:p>
          <w:p w14:paraId="5FC778A2" w14:textId="77777777" w:rsidR="0058578F" w:rsidRPr="006814CB" w:rsidRDefault="0058578F" w:rsidP="0058578F">
            <w:pPr>
              <w:pStyle w:val="TableColHd"/>
            </w:pPr>
            <w:r w:rsidRPr="006814CB">
              <w:t xml:space="preserve">section </w:t>
            </w:r>
          </w:p>
        </w:tc>
        <w:tc>
          <w:tcPr>
            <w:tcW w:w="5128" w:type="dxa"/>
            <w:tcBorders>
              <w:bottom w:val="single" w:sz="4" w:space="0" w:color="auto"/>
            </w:tcBorders>
          </w:tcPr>
          <w:p w14:paraId="026BD3BE" w14:textId="77777777" w:rsidR="0058578F" w:rsidRPr="006814CB" w:rsidRDefault="0058578F" w:rsidP="0058578F">
            <w:pPr>
              <w:pStyle w:val="TableColHd"/>
            </w:pPr>
            <w:r w:rsidRPr="006814CB">
              <w:t>column 3</w:t>
            </w:r>
          </w:p>
          <w:p w14:paraId="7DA6E148" w14:textId="77777777" w:rsidR="0058578F" w:rsidRPr="006814CB" w:rsidRDefault="0058578F" w:rsidP="0058578F">
            <w:pPr>
              <w:pStyle w:val="TableColHd"/>
            </w:pPr>
            <w:r w:rsidRPr="006814CB">
              <w:t>notifiable action</w:t>
            </w:r>
          </w:p>
        </w:tc>
      </w:tr>
      <w:tr w:rsidR="0058578F" w:rsidRPr="006814CB" w14:paraId="767057BD" w14:textId="77777777" w:rsidTr="005E08CB">
        <w:trPr>
          <w:cantSplit/>
        </w:trPr>
        <w:tc>
          <w:tcPr>
            <w:tcW w:w="1200" w:type="dxa"/>
          </w:tcPr>
          <w:p w14:paraId="37124F56" w14:textId="77777777" w:rsidR="0058578F" w:rsidRPr="006814CB" w:rsidRDefault="0058578F" w:rsidP="0058578F">
            <w:pPr>
              <w:pStyle w:val="TableNumbered"/>
              <w:numPr>
                <w:ilvl w:val="0"/>
                <w:numId w:val="0"/>
              </w:numPr>
              <w:ind w:left="360" w:hanging="360"/>
            </w:pPr>
            <w:r w:rsidRPr="006814CB">
              <w:t xml:space="preserve">1 </w:t>
            </w:r>
          </w:p>
        </w:tc>
        <w:tc>
          <w:tcPr>
            <w:tcW w:w="1293" w:type="dxa"/>
          </w:tcPr>
          <w:p w14:paraId="547A5A93" w14:textId="77777777" w:rsidR="0058578F" w:rsidRPr="006814CB" w:rsidRDefault="002E0DF3" w:rsidP="003E3141">
            <w:pPr>
              <w:pStyle w:val="TableText10"/>
            </w:pPr>
            <w:r w:rsidRPr="006814CB">
              <w:t>16</w:t>
            </w:r>
          </w:p>
        </w:tc>
        <w:tc>
          <w:tcPr>
            <w:tcW w:w="5128" w:type="dxa"/>
          </w:tcPr>
          <w:p w14:paraId="74F1AC6A" w14:textId="77777777" w:rsidR="0058578F" w:rsidRPr="006814CB" w:rsidRDefault="0058578F" w:rsidP="0058578F">
            <w:pPr>
              <w:pStyle w:val="TableText10"/>
            </w:pPr>
            <w:r w:rsidRPr="006814CB">
              <w:t xml:space="preserve">acquisition of authorisation </w:t>
            </w:r>
          </w:p>
        </w:tc>
      </w:tr>
      <w:tr w:rsidR="00E50F23" w:rsidRPr="006814CB" w14:paraId="565DA86A" w14:textId="77777777" w:rsidTr="005E08CB">
        <w:trPr>
          <w:cantSplit/>
        </w:trPr>
        <w:tc>
          <w:tcPr>
            <w:tcW w:w="1200" w:type="dxa"/>
          </w:tcPr>
          <w:p w14:paraId="4EE2E9F7" w14:textId="77777777" w:rsidR="00E50F23" w:rsidRPr="006814CB" w:rsidRDefault="00E50F23" w:rsidP="0058578F">
            <w:pPr>
              <w:pStyle w:val="TableNumbered"/>
              <w:numPr>
                <w:ilvl w:val="0"/>
                <w:numId w:val="0"/>
              </w:numPr>
              <w:ind w:left="360" w:hanging="360"/>
            </w:pPr>
            <w:r w:rsidRPr="006814CB">
              <w:t>2</w:t>
            </w:r>
          </w:p>
        </w:tc>
        <w:tc>
          <w:tcPr>
            <w:tcW w:w="1293" w:type="dxa"/>
          </w:tcPr>
          <w:p w14:paraId="72368FC1" w14:textId="77777777" w:rsidR="00E50F23" w:rsidRPr="006814CB" w:rsidRDefault="002E0DF3" w:rsidP="0058578F">
            <w:pPr>
              <w:pStyle w:val="TableText10"/>
            </w:pPr>
            <w:r w:rsidRPr="006814CB">
              <w:t>24</w:t>
            </w:r>
          </w:p>
        </w:tc>
        <w:tc>
          <w:tcPr>
            <w:tcW w:w="5128" w:type="dxa"/>
          </w:tcPr>
          <w:p w14:paraId="3235D5F3" w14:textId="77777777" w:rsidR="00E50F23" w:rsidRPr="006814CB" w:rsidRDefault="00E50F23" w:rsidP="00F85132">
            <w:pPr>
              <w:pStyle w:val="TableText10"/>
            </w:pPr>
            <w:r w:rsidRPr="006814CB">
              <w:t>disposal of authorisation</w:t>
            </w:r>
          </w:p>
        </w:tc>
      </w:tr>
      <w:tr w:rsidR="008066CC" w:rsidRPr="006814CB" w14:paraId="769C326C" w14:textId="77777777" w:rsidTr="005E08CB">
        <w:trPr>
          <w:cantSplit/>
        </w:trPr>
        <w:tc>
          <w:tcPr>
            <w:tcW w:w="1200" w:type="dxa"/>
          </w:tcPr>
          <w:p w14:paraId="6212BBE1" w14:textId="77777777" w:rsidR="008066CC" w:rsidRPr="006814CB" w:rsidRDefault="00C8666D" w:rsidP="0058578F">
            <w:pPr>
              <w:pStyle w:val="TableNumbered"/>
              <w:numPr>
                <w:ilvl w:val="0"/>
                <w:numId w:val="0"/>
              </w:numPr>
              <w:ind w:left="360" w:hanging="360"/>
            </w:pPr>
            <w:r w:rsidRPr="006814CB">
              <w:t>3</w:t>
            </w:r>
          </w:p>
        </w:tc>
        <w:tc>
          <w:tcPr>
            <w:tcW w:w="1293" w:type="dxa"/>
          </w:tcPr>
          <w:p w14:paraId="03BE8A9F" w14:textId="77777777" w:rsidR="008066CC" w:rsidRPr="006814CB" w:rsidRDefault="002E0DF3" w:rsidP="0058578F">
            <w:pPr>
              <w:pStyle w:val="TableText10"/>
            </w:pPr>
            <w:r w:rsidRPr="006814CB">
              <w:t>26</w:t>
            </w:r>
          </w:p>
        </w:tc>
        <w:tc>
          <w:tcPr>
            <w:tcW w:w="5128" w:type="dxa"/>
          </w:tcPr>
          <w:p w14:paraId="3FD8AE1C" w14:textId="77777777" w:rsidR="008066CC" w:rsidRPr="006814CB" w:rsidRDefault="00E50F23" w:rsidP="00F85132">
            <w:pPr>
              <w:pStyle w:val="TableText10"/>
            </w:pPr>
            <w:r w:rsidRPr="006814CB">
              <w:t>acquisition</w:t>
            </w:r>
            <w:r w:rsidR="00F85132" w:rsidRPr="006814CB">
              <w:t xml:space="preserve"> of </w:t>
            </w:r>
            <w:r w:rsidRPr="006814CB">
              <w:t xml:space="preserve">casino </w:t>
            </w:r>
            <w:r w:rsidR="00F85132" w:rsidRPr="006814CB">
              <w:t xml:space="preserve">gaming machine </w:t>
            </w:r>
          </w:p>
        </w:tc>
      </w:tr>
      <w:tr w:rsidR="0058578F" w:rsidRPr="006814CB" w14:paraId="58333F2D" w14:textId="77777777" w:rsidTr="005E08CB">
        <w:trPr>
          <w:cantSplit/>
        </w:trPr>
        <w:tc>
          <w:tcPr>
            <w:tcW w:w="1200" w:type="dxa"/>
          </w:tcPr>
          <w:p w14:paraId="614759A9" w14:textId="77777777" w:rsidR="0058578F" w:rsidRPr="006814CB" w:rsidRDefault="00C8666D" w:rsidP="0058578F">
            <w:pPr>
              <w:pStyle w:val="TableNumbered"/>
              <w:numPr>
                <w:ilvl w:val="0"/>
                <w:numId w:val="0"/>
              </w:numPr>
              <w:ind w:left="360" w:hanging="360"/>
            </w:pPr>
            <w:r w:rsidRPr="006814CB">
              <w:t>4</w:t>
            </w:r>
          </w:p>
        </w:tc>
        <w:tc>
          <w:tcPr>
            <w:tcW w:w="1293" w:type="dxa"/>
          </w:tcPr>
          <w:p w14:paraId="09478F20" w14:textId="77777777" w:rsidR="0058578F" w:rsidRPr="006814CB" w:rsidRDefault="002E0DF3" w:rsidP="00F85132">
            <w:pPr>
              <w:pStyle w:val="TableText10"/>
            </w:pPr>
            <w:r w:rsidRPr="006814CB">
              <w:t>28</w:t>
            </w:r>
          </w:p>
        </w:tc>
        <w:tc>
          <w:tcPr>
            <w:tcW w:w="5128" w:type="dxa"/>
          </w:tcPr>
          <w:p w14:paraId="194A733A" w14:textId="77777777" w:rsidR="0058578F" w:rsidRPr="006814CB" w:rsidRDefault="00F85132" w:rsidP="00E50F23">
            <w:pPr>
              <w:pStyle w:val="TableText10"/>
            </w:pPr>
            <w:r w:rsidRPr="006814CB">
              <w:t xml:space="preserve">acquisition of </w:t>
            </w:r>
            <w:r w:rsidR="00E50F23" w:rsidRPr="006814CB">
              <w:t xml:space="preserve">casino </w:t>
            </w:r>
            <w:r w:rsidRPr="006814CB">
              <w:t xml:space="preserve">FATG </w:t>
            </w:r>
            <w:r w:rsidR="00E50F23" w:rsidRPr="006814CB">
              <w:t>terminal</w:t>
            </w:r>
          </w:p>
        </w:tc>
      </w:tr>
      <w:tr w:rsidR="00396008" w:rsidRPr="006814CB" w14:paraId="58BC9AD2" w14:textId="77777777" w:rsidTr="005E08CB">
        <w:trPr>
          <w:cantSplit/>
        </w:trPr>
        <w:tc>
          <w:tcPr>
            <w:tcW w:w="1200" w:type="dxa"/>
          </w:tcPr>
          <w:p w14:paraId="410B89A6" w14:textId="77777777" w:rsidR="00396008" w:rsidRPr="006814CB" w:rsidRDefault="005E08CB" w:rsidP="0058578F">
            <w:pPr>
              <w:pStyle w:val="TableNumbered"/>
              <w:numPr>
                <w:ilvl w:val="0"/>
                <w:numId w:val="0"/>
              </w:numPr>
              <w:ind w:left="360" w:hanging="360"/>
            </w:pPr>
            <w:r w:rsidRPr="006814CB">
              <w:t>5</w:t>
            </w:r>
          </w:p>
        </w:tc>
        <w:tc>
          <w:tcPr>
            <w:tcW w:w="1293" w:type="dxa"/>
          </w:tcPr>
          <w:p w14:paraId="72AC7926" w14:textId="77777777" w:rsidR="00396008" w:rsidRPr="006814CB" w:rsidRDefault="002E0DF3" w:rsidP="00F85132">
            <w:pPr>
              <w:pStyle w:val="TableText10"/>
            </w:pPr>
            <w:r w:rsidRPr="006814CB">
              <w:t>41</w:t>
            </w:r>
          </w:p>
        </w:tc>
        <w:tc>
          <w:tcPr>
            <w:tcW w:w="5128" w:type="dxa"/>
          </w:tcPr>
          <w:p w14:paraId="5DB08A75" w14:textId="77777777" w:rsidR="00396008" w:rsidRPr="006814CB" w:rsidRDefault="00396008" w:rsidP="00E50F23">
            <w:pPr>
              <w:pStyle w:val="TableText10"/>
            </w:pPr>
            <w:r w:rsidRPr="006814CB">
              <w:t>surrender of casino licence</w:t>
            </w:r>
          </w:p>
        </w:tc>
      </w:tr>
    </w:tbl>
    <w:p w14:paraId="568C4ED7" w14:textId="77777777" w:rsidR="006814CB" w:rsidRDefault="006814CB">
      <w:pPr>
        <w:pStyle w:val="03Schedule"/>
        <w:sectPr w:rsidR="006814CB" w:rsidSect="003D7E21">
          <w:headerReference w:type="even" r:id="rId81"/>
          <w:headerReference w:type="default" r:id="rId82"/>
          <w:footerReference w:type="even" r:id="rId83"/>
          <w:footerReference w:type="default" r:id="rId84"/>
          <w:type w:val="continuous"/>
          <w:pgSz w:w="11907" w:h="16839" w:code="9"/>
          <w:pgMar w:top="3880" w:right="1900" w:bottom="3100" w:left="2300" w:header="2280" w:footer="1760" w:gutter="0"/>
          <w:cols w:space="720"/>
          <w:docGrid w:linePitch="326"/>
        </w:sectPr>
      </w:pPr>
    </w:p>
    <w:p w14:paraId="5FB9852A" w14:textId="77777777" w:rsidR="0044665D" w:rsidRPr="006814CB" w:rsidRDefault="0044665D" w:rsidP="006814CB">
      <w:pPr>
        <w:pStyle w:val="PageBreak"/>
        <w:suppressLineNumbers/>
      </w:pPr>
      <w:r w:rsidRPr="006814CB">
        <w:br w:type="page"/>
      </w:r>
    </w:p>
    <w:p w14:paraId="6B368E26" w14:textId="77777777" w:rsidR="0044665D" w:rsidRPr="006814CB" w:rsidRDefault="0044665D">
      <w:pPr>
        <w:pStyle w:val="Dict-Heading"/>
      </w:pPr>
      <w:bookmarkStart w:id="75" w:name="_Toc147827638"/>
      <w:r w:rsidRPr="006814CB">
        <w:lastRenderedPageBreak/>
        <w:t>Dictionary</w:t>
      </w:r>
      <w:bookmarkEnd w:id="75"/>
    </w:p>
    <w:p w14:paraId="26F8253E" w14:textId="77777777" w:rsidR="0044665D" w:rsidRPr="006814CB" w:rsidRDefault="0044665D" w:rsidP="006814CB">
      <w:pPr>
        <w:pStyle w:val="ref"/>
        <w:keepNext/>
      </w:pPr>
      <w:r w:rsidRPr="006814CB">
        <w:t>(see s 3)</w:t>
      </w:r>
    </w:p>
    <w:p w14:paraId="18B9827C" w14:textId="29DD5600" w:rsidR="0044665D" w:rsidRPr="006814CB" w:rsidRDefault="0044665D" w:rsidP="006814CB">
      <w:pPr>
        <w:pStyle w:val="aNote"/>
        <w:keepNext/>
      </w:pPr>
      <w:r w:rsidRPr="006814CB">
        <w:rPr>
          <w:rStyle w:val="charItals"/>
        </w:rPr>
        <w:t>Note 1</w:t>
      </w:r>
      <w:r w:rsidRPr="006814CB">
        <w:rPr>
          <w:rStyle w:val="charItals"/>
        </w:rPr>
        <w:tab/>
      </w:r>
      <w:r w:rsidRPr="006814CB">
        <w:t xml:space="preserve">The </w:t>
      </w:r>
      <w:hyperlink r:id="rId85" w:tooltip="A2001-14" w:history="1">
        <w:r w:rsidR="00253379" w:rsidRPr="006814CB">
          <w:rPr>
            <w:rStyle w:val="charCitHyperlinkAbbrev"/>
          </w:rPr>
          <w:t>Legislation Act</w:t>
        </w:r>
      </w:hyperlink>
      <w:r w:rsidRPr="006814CB">
        <w:t xml:space="preserve"> contains definitions and other provisions relevant to this Act.</w:t>
      </w:r>
    </w:p>
    <w:p w14:paraId="1FCF830D" w14:textId="484BC52A" w:rsidR="0044665D" w:rsidRPr="006814CB" w:rsidRDefault="0044665D">
      <w:pPr>
        <w:pStyle w:val="aNote"/>
      </w:pPr>
      <w:r w:rsidRPr="006814CB">
        <w:rPr>
          <w:rStyle w:val="charItals"/>
        </w:rPr>
        <w:t>Note 2</w:t>
      </w:r>
      <w:r w:rsidRPr="006814CB">
        <w:rPr>
          <w:rStyle w:val="charItals"/>
        </w:rPr>
        <w:tab/>
      </w:r>
      <w:r w:rsidRPr="006814CB">
        <w:t xml:space="preserve">For example, the </w:t>
      </w:r>
      <w:hyperlink r:id="rId86" w:tooltip="A2001-14" w:history="1">
        <w:r w:rsidR="00253379" w:rsidRPr="006814CB">
          <w:rPr>
            <w:rStyle w:val="charCitHyperlinkAbbrev"/>
          </w:rPr>
          <w:t>Legislation Act</w:t>
        </w:r>
      </w:hyperlink>
      <w:r w:rsidRPr="006814CB">
        <w:t>, dict, pt 1, defines the following terms:</w:t>
      </w:r>
    </w:p>
    <w:p w14:paraId="76E33F71" w14:textId="77777777" w:rsidR="0044665D" w:rsidRPr="006814CB" w:rsidRDefault="006814CB" w:rsidP="006814CB">
      <w:pPr>
        <w:pStyle w:val="aNoteBulletss"/>
        <w:tabs>
          <w:tab w:val="left" w:pos="2300"/>
        </w:tabs>
      </w:pPr>
      <w:r w:rsidRPr="006814CB">
        <w:rPr>
          <w:rFonts w:ascii="Symbol" w:hAnsi="Symbol"/>
        </w:rPr>
        <w:t></w:t>
      </w:r>
      <w:r w:rsidRPr="006814CB">
        <w:rPr>
          <w:rFonts w:ascii="Symbol" w:hAnsi="Symbol"/>
        </w:rPr>
        <w:tab/>
      </w:r>
      <w:r w:rsidR="003374DA" w:rsidRPr="006814CB">
        <w:t>ACAT</w:t>
      </w:r>
    </w:p>
    <w:p w14:paraId="0705DB53" w14:textId="77777777" w:rsidR="003374DA" w:rsidRPr="006814CB" w:rsidRDefault="006814CB" w:rsidP="006814CB">
      <w:pPr>
        <w:pStyle w:val="aNoteBulletss"/>
        <w:tabs>
          <w:tab w:val="left" w:pos="2300"/>
        </w:tabs>
      </w:pPr>
      <w:r w:rsidRPr="006814CB">
        <w:rPr>
          <w:rFonts w:ascii="Symbol" w:hAnsi="Symbol"/>
        </w:rPr>
        <w:t></w:t>
      </w:r>
      <w:r w:rsidRPr="006814CB">
        <w:rPr>
          <w:rFonts w:ascii="Symbol" w:hAnsi="Symbol"/>
        </w:rPr>
        <w:tab/>
      </w:r>
      <w:r w:rsidR="003374DA" w:rsidRPr="006814CB">
        <w:t>ACT</w:t>
      </w:r>
    </w:p>
    <w:p w14:paraId="06BBA9A4" w14:textId="77777777" w:rsidR="003374DA" w:rsidRPr="006814CB" w:rsidRDefault="006814CB" w:rsidP="006814CB">
      <w:pPr>
        <w:pStyle w:val="aNoteBulletss"/>
        <w:tabs>
          <w:tab w:val="left" w:pos="2300"/>
        </w:tabs>
      </w:pPr>
      <w:r w:rsidRPr="006814CB">
        <w:rPr>
          <w:rFonts w:ascii="Symbol" w:hAnsi="Symbol"/>
        </w:rPr>
        <w:t></w:t>
      </w:r>
      <w:r w:rsidRPr="006814CB">
        <w:rPr>
          <w:rFonts w:ascii="Symbol" w:hAnsi="Symbol"/>
        </w:rPr>
        <w:tab/>
      </w:r>
      <w:r w:rsidR="003374DA" w:rsidRPr="006814CB">
        <w:t>Criminal Code</w:t>
      </w:r>
    </w:p>
    <w:p w14:paraId="6867ABAD" w14:textId="77777777" w:rsidR="003374DA" w:rsidRPr="006814CB" w:rsidRDefault="006814CB" w:rsidP="006814CB">
      <w:pPr>
        <w:pStyle w:val="aNoteBulletss"/>
        <w:tabs>
          <w:tab w:val="left" w:pos="2300"/>
        </w:tabs>
      </w:pPr>
      <w:r w:rsidRPr="006814CB">
        <w:rPr>
          <w:rFonts w:ascii="Symbol" w:hAnsi="Symbol"/>
        </w:rPr>
        <w:t></w:t>
      </w:r>
      <w:r w:rsidRPr="006814CB">
        <w:rPr>
          <w:rFonts w:ascii="Symbol" w:hAnsi="Symbol"/>
        </w:rPr>
        <w:tab/>
      </w:r>
      <w:r w:rsidR="003374DA" w:rsidRPr="006814CB">
        <w:t>Executive</w:t>
      </w:r>
    </w:p>
    <w:p w14:paraId="6C320767" w14:textId="77777777" w:rsidR="003374DA" w:rsidRPr="006814CB" w:rsidRDefault="006814CB" w:rsidP="006814CB">
      <w:pPr>
        <w:pStyle w:val="aNoteBulletss"/>
        <w:tabs>
          <w:tab w:val="left" w:pos="2300"/>
        </w:tabs>
      </w:pPr>
      <w:r w:rsidRPr="006814CB">
        <w:rPr>
          <w:rFonts w:ascii="Symbol" w:hAnsi="Symbol"/>
        </w:rPr>
        <w:t></w:t>
      </w:r>
      <w:r w:rsidRPr="006814CB">
        <w:rPr>
          <w:rFonts w:ascii="Symbol" w:hAnsi="Symbol"/>
        </w:rPr>
        <w:tab/>
      </w:r>
      <w:r w:rsidR="003374DA" w:rsidRPr="006814CB">
        <w:t>gambling and racing commission</w:t>
      </w:r>
    </w:p>
    <w:p w14:paraId="5652E869" w14:textId="77777777" w:rsidR="003374DA" w:rsidRPr="006814CB" w:rsidRDefault="006814CB" w:rsidP="006814CB">
      <w:pPr>
        <w:pStyle w:val="aNoteBulletss"/>
        <w:tabs>
          <w:tab w:val="left" w:pos="2300"/>
        </w:tabs>
      </w:pPr>
      <w:r w:rsidRPr="006814CB">
        <w:rPr>
          <w:rFonts w:ascii="Symbol" w:hAnsi="Symbol"/>
        </w:rPr>
        <w:t></w:t>
      </w:r>
      <w:r w:rsidRPr="006814CB">
        <w:rPr>
          <w:rFonts w:ascii="Symbol" w:hAnsi="Symbol"/>
        </w:rPr>
        <w:tab/>
      </w:r>
      <w:r w:rsidR="003374DA" w:rsidRPr="006814CB">
        <w:t>Legislation Act</w:t>
      </w:r>
    </w:p>
    <w:p w14:paraId="45AAF6DC" w14:textId="77777777" w:rsidR="003374DA" w:rsidRPr="006814CB" w:rsidRDefault="006814CB" w:rsidP="006814CB">
      <w:pPr>
        <w:pStyle w:val="aNoteBulletss"/>
        <w:tabs>
          <w:tab w:val="left" w:pos="2300"/>
        </w:tabs>
      </w:pPr>
      <w:r w:rsidRPr="006814CB">
        <w:rPr>
          <w:rFonts w:ascii="Symbol" w:hAnsi="Symbol"/>
        </w:rPr>
        <w:t></w:t>
      </w:r>
      <w:r w:rsidRPr="006814CB">
        <w:rPr>
          <w:rFonts w:ascii="Symbol" w:hAnsi="Symbol"/>
        </w:rPr>
        <w:tab/>
      </w:r>
      <w:r w:rsidR="003374DA" w:rsidRPr="006814CB">
        <w:t>may (see s 146)</w:t>
      </w:r>
    </w:p>
    <w:p w14:paraId="4ACD3348" w14:textId="77777777" w:rsidR="003374DA" w:rsidRPr="006814CB" w:rsidRDefault="006814CB" w:rsidP="006814CB">
      <w:pPr>
        <w:pStyle w:val="aNoteBulletss"/>
        <w:tabs>
          <w:tab w:val="left" w:pos="2300"/>
        </w:tabs>
      </w:pPr>
      <w:r w:rsidRPr="006814CB">
        <w:rPr>
          <w:rFonts w:ascii="Symbol" w:hAnsi="Symbol"/>
        </w:rPr>
        <w:t></w:t>
      </w:r>
      <w:r w:rsidRPr="006814CB">
        <w:rPr>
          <w:rFonts w:ascii="Symbol" w:hAnsi="Symbol"/>
        </w:rPr>
        <w:tab/>
      </w:r>
      <w:r w:rsidR="003374DA" w:rsidRPr="006814CB">
        <w:t>must (see s 146)</w:t>
      </w:r>
    </w:p>
    <w:p w14:paraId="3D35376F" w14:textId="77777777" w:rsidR="00DF2059" w:rsidRPr="006814CB" w:rsidRDefault="006814CB" w:rsidP="006814CB">
      <w:pPr>
        <w:pStyle w:val="aNoteBulletss"/>
        <w:tabs>
          <w:tab w:val="left" w:pos="2300"/>
        </w:tabs>
      </w:pPr>
      <w:r w:rsidRPr="006814CB">
        <w:rPr>
          <w:rFonts w:ascii="Symbol" w:hAnsi="Symbol"/>
        </w:rPr>
        <w:t></w:t>
      </w:r>
      <w:r w:rsidRPr="006814CB">
        <w:rPr>
          <w:rFonts w:ascii="Symbol" w:hAnsi="Symbol"/>
        </w:rPr>
        <w:tab/>
      </w:r>
      <w:r w:rsidR="00DF2059" w:rsidRPr="006814CB">
        <w:t>notifiable instrument (see s 10)</w:t>
      </w:r>
    </w:p>
    <w:p w14:paraId="3D9C74D7" w14:textId="77777777" w:rsidR="003374DA" w:rsidRPr="006814CB" w:rsidRDefault="006814CB" w:rsidP="006814CB">
      <w:pPr>
        <w:pStyle w:val="aNoteBulletss"/>
        <w:tabs>
          <w:tab w:val="left" w:pos="2300"/>
        </w:tabs>
      </w:pPr>
      <w:r w:rsidRPr="006814CB">
        <w:rPr>
          <w:rFonts w:ascii="Symbol" w:hAnsi="Symbol"/>
        </w:rPr>
        <w:t></w:t>
      </w:r>
      <w:r w:rsidRPr="006814CB">
        <w:rPr>
          <w:rFonts w:ascii="Symbol" w:hAnsi="Symbol"/>
        </w:rPr>
        <w:tab/>
      </w:r>
      <w:r w:rsidR="003374DA" w:rsidRPr="006814CB">
        <w:t>penalty unit (see s 133)</w:t>
      </w:r>
    </w:p>
    <w:p w14:paraId="19774C3E" w14:textId="77777777" w:rsidR="003374DA" w:rsidRPr="006814CB" w:rsidRDefault="006814CB" w:rsidP="006814CB">
      <w:pPr>
        <w:pStyle w:val="aNoteBulletss"/>
        <w:tabs>
          <w:tab w:val="left" w:pos="2300"/>
        </w:tabs>
      </w:pPr>
      <w:r w:rsidRPr="006814CB">
        <w:rPr>
          <w:rFonts w:ascii="Symbol" w:hAnsi="Symbol"/>
        </w:rPr>
        <w:t></w:t>
      </w:r>
      <w:r w:rsidRPr="006814CB">
        <w:rPr>
          <w:rFonts w:ascii="Symbol" w:hAnsi="Symbol"/>
        </w:rPr>
        <w:tab/>
      </w:r>
      <w:r w:rsidR="003374DA" w:rsidRPr="006814CB">
        <w:t>prescribed</w:t>
      </w:r>
    </w:p>
    <w:p w14:paraId="10B4A923" w14:textId="77777777" w:rsidR="00A24673" w:rsidRPr="006814CB" w:rsidRDefault="006814CB" w:rsidP="006814CB">
      <w:pPr>
        <w:pStyle w:val="aNoteBulletss"/>
        <w:tabs>
          <w:tab w:val="left" w:pos="2300"/>
        </w:tabs>
      </w:pPr>
      <w:r w:rsidRPr="006814CB">
        <w:rPr>
          <w:rFonts w:ascii="Symbol" w:hAnsi="Symbol"/>
        </w:rPr>
        <w:t></w:t>
      </w:r>
      <w:r w:rsidRPr="006814CB">
        <w:rPr>
          <w:rFonts w:ascii="Symbol" w:hAnsi="Symbol"/>
        </w:rPr>
        <w:tab/>
      </w:r>
      <w:r w:rsidR="00A24673" w:rsidRPr="006814CB">
        <w:t>public notice</w:t>
      </w:r>
    </w:p>
    <w:p w14:paraId="7DC9698B" w14:textId="77777777" w:rsidR="003374DA" w:rsidRDefault="006814CB" w:rsidP="006814CB">
      <w:pPr>
        <w:pStyle w:val="aNoteBulletss"/>
        <w:tabs>
          <w:tab w:val="left" w:pos="2300"/>
        </w:tabs>
      </w:pPr>
      <w:r w:rsidRPr="006814CB">
        <w:rPr>
          <w:rFonts w:ascii="Symbol" w:hAnsi="Symbol"/>
        </w:rPr>
        <w:t></w:t>
      </w:r>
      <w:r w:rsidRPr="006814CB">
        <w:rPr>
          <w:rFonts w:ascii="Symbol" w:hAnsi="Symbol"/>
        </w:rPr>
        <w:tab/>
      </w:r>
      <w:r w:rsidR="003374DA" w:rsidRPr="006814CB">
        <w:t>regulation</w:t>
      </w:r>
    </w:p>
    <w:p w14:paraId="47178E38" w14:textId="42EBE2DF" w:rsidR="007A7112" w:rsidRPr="006814CB" w:rsidRDefault="007A7112" w:rsidP="007A7112">
      <w:pPr>
        <w:pStyle w:val="aNoteBulletss"/>
        <w:tabs>
          <w:tab w:val="left" w:pos="2300"/>
        </w:tabs>
      </w:pPr>
      <w:r w:rsidRPr="006814CB">
        <w:rPr>
          <w:rFonts w:ascii="Symbol" w:hAnsi="Symbol"/>
        </w:rPr>
        <w:t></w:t>
      </w:r>
      <w:r w:rsidRPr="006814CB">
        <w:rPr>
          <w:rFonts w:ascii="Symbol" w:hAnsi="Symbol"/>
        </w:rPr>
        <w:tab/>
      </w:r>
      <w:r w:rsidRPr="00631BBE">
        <w:rPr>
          <w:rStyle w:val="charCitHyperlinkAbbrev"/>
          <w:color w:val="auto"/>
        </w:rPr>
        <w:t>territory plan</w:t>
      </w:r>
      <w:r w:rsidRPr="00631BBE">
        <w:t>ni</w:t>
      </w:r>
      <w:r w:rsidRPr="006F27A9">
        <w:t>ng authority</w:t>
      </w:r>
    </w:p>
    <w:p w14:paraId="32E304CA" w14:textId="77777777" w:rsidR="003374DA" w:rsidRPr="006814CB" w:rsidRDefault="006814CB" w:rsidP="006814CB">
      <w:pPr>
        <w:pStyle w:val="aNoteBulletss"/>
        <w:tabs>
          <w:tab w:val="left" w:pos="2300"/>
        </w:tabs>
      </w:pPr>
      <w:r w:rsidRPr="006814CB">
        <w:rPr>
          <w:rFonts w:ascii="Symbol" w:hAnsi="Symbol"/>
        </w:rPr>
        <w:t></w:t>
      </w:r>
      <w:r w:rsidRPr="006814CB">
        <w:rPr>
          <w:rFonts w:ascii="Symbol" w:hAnsi="Symbol"/>
        </w:rPr>
        <w:tab/>
      </w:r>
      <w:r w:rsidR="003374DA" w:rsidRPr="006814CB">
        <w:t>the Territory</w:t>
      </w:r>
    </w:p>
    <w:p w14:paraId="4A3B86A2" w14:textId="77777777" w:rsidR="003374DA" w:rsidRPr="006814CB" w:rsidRDefault="006814CB" w:rsidP="006814CB">
      <w:pPr>
        <w:pStyle w:val="aNoteBulletss"/>
        <w:tabs>
          <w:tab w:val="left" w:pos="2300"/>
        </w:tabs>
      </w:pPr>
      <w:r w:rsidRPr="006814CB">
        <w:rPr>
          <w:rFonts w:ascii="Symbol" w:hAnsi="Symbol"/>
        </w:rPr>
        <w:t></w:t>
      </w:r>
      <w:r w:rsidRPr="006814CB">
        <w:rPr>
          <w:rFonts w:ascii="Symbol" w:hAnsi="Symbol"/>
        </w:rPr>
        <w:tab/>
      </w:r>
      <w:r w:rsidR="003374DA" w:rsidRPr="006814CB">
        <w:t>under.</w:t>
      </w:r>
    </w:p>
    <w:p w14:paraId="68A8D91A" w14:textId="77777777" w:rsidR="00156E84" w:rsidRPr="006814CB" w:rsidRDefault="003374DA" w:rsidP="006814CB">
      <w:pPr>
        <w:pStyle w:val="aDef"/>
        <w:keepNext/>
      </w:pPr>
      <w:r w:rsidRPr="006814CB">
        <w:rPr>
          <w:rStyle w:val="charBoldItals"/>
        </w:rPr>
        <w:t>authorisation</w:t>
      </w:r>
      <w:r w:rsidRPr="006814CB">
        <w:t xml:space="preserve"> means an authorisation under</w:t>
      </w:r>
      <w:r w:rsidR="00156E84" w:rsidRPr="006814CB">
        <w:t>—</w:t>
      </w:r>
    </w:p>
    <w:p w14:paraId="309DBBFF" w14:textId="77777777" w:rsidR="003374DA" w:rsidRPr="006814CB" w:rsidRDefault="006814CB" w:rsidP="006814CB">
      <w:pPr>
        <w:pStyle w:val="aDefpara"/>
        <w:keepNext/>
      </w:pPr>
      <w:r>
        <w:tab/>
      </w:r>
      <w:r w:rsidRPr="006814CB">
        <w:t>(a)</w:t>
      </w:r>
      <w:r w:rsidRPr="006814CB">
        <w:tab/>
      </w:r>
      <w:r w:rsidR="003374DA" w:rsidRPr="006814CB">
        <w:t xml:space="preserve">a </w:t>
      </w:r>
      <w:r w:rsidR="001B3431" w:rsidRPr="006814CB">
        <w:t>casino gaming machine authorisation certificate</w:t>
      </w:r>
      <w:r w:rsidR="003374DA" w:rsidRPr="006814CB">
        <w:t xml:space="preserve"> to operate a casino gaming machine at the premises stated in the </w:t>
      </w:r>
      <w:r w:rsidR="009937D3" w:rsidRPr="006814CB">
        <w:t>certific</w:t>
      </w:r>
      <w:r w:rsidR="00156E84" w:rsidRPr="006814CB">
        <w:t>ate; or</w:t>
      </w:r>
    </w:p>
    <w:p w14:paraId="2E4201A6" w14:textId="77777777" w:rsidR="00156E84" w:rsidRPr="006814CB" w:rsidRDefault="006814CB" w:rsidP="006814CB">
      <w:pPr>
        <w:pStyle w:val="aDefpara"/>
      </w:pPr>
      <w:r>
        <w:tab/>
      </w:r>
      <w:r w:rsidRPr="006814CB">
        <w:t>(b)</w:t>
      </w:r>
      <w:r w:rsidRPr="006814CB">
        <w:tab/>
      </w:r>
      <w:r w:rsidR="00156E84" w:rsidRPr="006814CB">
        <w:t>a casino FATG authorisation certificate to operate a casino FATG terminal at the premises stated in the certificate.</w:t>
      </w:r>
    </w:p>
    <w:p w14:paraId="3546193E" w14:textId="77777777" w:rsidR="00F31467" w:rsidRPr="006814CB" w:rsidRDefault="00F31467" w:rsidP="006814CB">
      <w:pPr>
        <w:pStyle w:val="aDef"/>
      </w:pPr>
      <w:r w:rsidRPr="006814CB">
        <w:rPr>
          <w:rStyle w:val="charBoldItals"/>
        </w:rPr>
        <w:t>authorisation certificate</w:t>
      </w:r>
      <w:r w:rsidRPr="006814CB">
        <w:t xml:space="preserve"> means a casino gaming machine authorisation certificate or a casino FATG authorisation certificate. </w:t>
      </w:r>
    </w:p>
    <w:p w14:paraId="5D43347E" w14:textId="77777777" w:rsidR="00A24673" w:rsidRPr="006814CB" w:rsidRDefault="00A24673" w:rsidP="006814CB">
      <w:pPr>
        <w:pStyle w:val="aDef"/>
      </w:pPr>
      <w:r w:rsidRPr="006814CB">
        <w:rPr>
          <w:rStyle w:val="charBoldItals"/>
        </w:rPr>
        <w:t>authorisation certificate amendment application</w:t>
      </w:r>
      <w:r w:rsidRPr="006814CB">
        <w:t>—see section</w:t>
      </w:r>
      <w:r w:rsidR="00600905" w:rsidRPr="006814CB">
        <w:t> </w:t>
      </w:r>
      <w:r w:rsidR="002E0DF3" w:rsidRPr="006814CB">
        <w:t>36</w:t>
      </w:r>
      <w:r w:rsidR="00600905" w:rsidRPr="006814CB">
        <w:t> (1).</w:t>
      </w:r>
    </w:p>
    <w:p w14:paraId="76419EDC" w14:textId="77777777" w:rsidR="009937D3" w:rsidRPr="006814CB" w:rsidRDefault="009937D3" w:rsidP="006814CB">
      <w:pPr>
        <w:pStyle w:val="aDef"/>
        <w:keepNext/>
      </w:pPr>
      <w:r w:rsidRPr="006814CB">
        <w:rPr>
          <w:rStyle w:val="charBoldItals"/>
        </w:rPr>
        <w:lastRenderedPageBreak/>
        <w:t>authorisation number</w:t>
      </w:r>
      <w:r w:rsidRPr="006814CB">
        <w:t>—</w:t>
      </w:r>
    </w:p>
    <w:p w14:paraId="4E785D00" w14:textId="77777777" w:rsidR="009937D3" w:rsidRPr="006814CB" w:rsidRDefault="006814CB" w:rsidP="006814CB">
      <w:pPr>
        <w:pStyle w:val="aDefpara"/>
        <w:keepNext/>
      </w:pPr>
      <w:r>
        <w:tab/>
      </w:r>
      <w:r w:rsidRPr="006814CB">
        <w:t>(a)</w:t>
      </w:r>
      <w:r w:rsidRPr="006814CB">
        <w:tab/>
      </w:r>
      <w:r w:rsidR="009937D3" w:rsidRPr="006814CB">
        <w:t xml:space="preserve">for an authorisation under a </w:t>
      </w:r>
      <w:r w:rsidR="001B3431" w:rsidRPr="006814CB">
        <w:t>casino gaming machine authorisation certificate</w:t>
      </w:r>
      <w:r w:rsidR="009937D3" w:rsidRPr="006814CB">
        <w:t>—</w:t>
      </w:r>
      <w:r w:rsidR="0086300F" w:rsidRPr="006814CB">
        <w:t xml:space="preserve">see section </w:t>
      </w:r>
      <w:r w:rsidR="002E0DF3" w:rsidRPr="006814CB">
        <w:t>12</w:t>
      </w:r>
      <w:r w:rsidR="00A24673" w:rsidRPr="006814CB">
        <w:t xml:space="preserve"> (1) (e)</w:t>
      </w:r>
      <w:r w:rsidR="0086300F" w:rsidRPr="006814CB">
        <w:t xml:space="preserve">; </w:t>
      </w:r>
      <w:r w:rsidR="009937D3" w:rsidRPr="006814CB">
        <w:t>and</w:t>
      </w:r>
    </w:p>
    <w:p w14:paraId="7A94A53C" w14:textId="77777777" w:rsidR="009937D3" w:rsidRPr="006814CB" w:rsidRDefault="006814CB" w:rsidP="006814CB">
      <w:pPr>
        <w:pStyle w:val="aDefpara"/>
      </w:pPr>
      <w:r>
        <w:tab/>
      </w:r>
      <w:r w:rsidRPr="006814CB">
        <w:t>(b)</w:t>
      </w:r>
      <w:r w:rsidRPr="006814CB">
        <w:tab/>
      </w:r>
      <w:r w:rsidR="009937D3" w:rsidRPr="006814CB">
        <w:t xml:space="preserve">for an authorisation under a </w:t>
      </w:r>
      <w:r w:rsidR="00156E84" w:rsidRPr="006814CB">
        <w:t>c</w:t>
      </w:r>
      <w:r w:rsidR="001B3431" w:rsidRPr="006814CB">
        <w:t>asino FATG authorisation certificate</w:t>
      </w:r>
      <w:r w:rsidR="001B1031" w:rsidRPr="006814CB">
        <w:t xml:space="preserve">—see section </w:t>
      </w:r>
      <w:r w:rsidR="002E0DF3" w:rsidRPr="006814CB">
        <w:t>15</w:t>
      </w:r>
      <w:r w:rsidR="00156E84" w:rsidRPr="006814CB">
        <w:t xml:space="preserve"> (1) (e</w:t>
      </w:r>
      <w:r w:rsidR="00600905" w:rsidRPr="006814CB">
        <w:t>)</w:t>
      </w:r>
      <w:r w:rsidR="009937D3" w:rsidRPr="006814CB">
        <w:t>.</w:t>
      </w:r>
    </w:p>
    <w:p w14:paraId="3393DFA4" w14:textId="77777777" w:rsidR="009937D3" w:rsidRPr="006814CB" w:rsidRDefault="009937D3" w:rsidP="006814CB">
      <w:pPr>
        <w:pStyle w:val="aDef"/>
        <w:keepNext/>
      </w:pPr>
      <w:r w:rsidRPr="006814CB">
        <w:rPr>
          <w:rStyle w:val="charBoldItals"/>
        </w:rPr>
        <w:t>authorisation schedule</w:t>
      </w:r>
      <w:r w:rsidRPr="006814CB">
        <w:t>—</w:t>
      </w:r>
    </w:p>
    <w:p w14:paraId="4AF75F55" w14:textId="77777777" w:rsidR="009937D3" w:rsidRPr="006814CB" w:rsidRDefault="006814CB" w:rsidP="006814CB">
      <w:pPr>
        <w:pStyle w:val="aDefpara"/>
        <w:keepNext/>
      </w:pPr>
      <w:r>
        <w:tab/>
      </w:r>
      <w:r w:rsidRPr="006814CB">
        <w:t>(a)</w:t>
      </w:r>
      <w:r w:rsidRPr="006814CB">
        <w:tab/>
      </w:r>
      <w:r w:rsidR="009937D3" w:rsidRPr="006814CB">
        <w:t xml:space="preserve">for a </w:t>
      </w:r>
      <w:r w:rsidR="001B3431" w:rsidRPr="006814CB">
        <w:t>casino gaming machine authorisation certificate</w:t>
      </w:r>
      <w:r w:rsidR="009937D3" w:rsidRPr="006814CB">
        <w:t xml:space="preserve">—see section </w:t>
      </w:r>
      <w:r w:rsidR="002E0DF3" w:rsidRPr="006814CB">
        <w:t>12</w:t>
      </w:r>
      <w:r w:rsidR="009937D3" w:rsidRPr="006814CB">
        <w:t xml:space="preserve"> (1) (e); and</w:t>
      </w:r>
    </w:p>
    <w:p w14:paraId="0F112808" w14:textId="77777777" w:rsidR="009937D3" w:rsidRPr="006814CB" w:rsidRDefault="006814CB" w:rsidP="006814CB">
      <w:pPr>
        <w:pStyle w:val="aDefpara"/>
      </w:pPr>
      <w:r>
        <w:tab/>
      </w:r>
      <w:r w:rsidRPr="006814CB">
        <w:t>(b)</w:t>
      </w:r>
      <w:r w:rsidRPr="006814CB">
        <w:tab/>
      </w:r>
      <w:r w:rsidR="009937D3" w:rsidRPr="006814CB">
        <w:t xml:space="preserve">for a </w:t>
      </w:r>
      <w:r w:rsidR="00600905" w:rsidRPr="006814CB">
        <w:t>c</w:t>
      </w:r>
      <w:r w:rsidR="001B3431" w:rsidRPr="006814CB">
        <w:t>asino FATG authorisation certificate</w:t>
      </w:r>
      <w:r w:rsidR="009937D3" w:rsidRPr="006814CB">
        <w:t>—see section</w:t>
      </w:r>
      <w:r w:rsidR="00156E84" w:rsidRPr="006814CB">
        <w:t> </w:t>
      </w:r>
      <w:r w:rsidR="002E0DF3" w:rsidRPr="006814CB">
        <w:t>15</w:t>
      </w:r>
      <w:r w:rsidR="00156E84" w:rsidRPr="006814CB">
        <w:t> (1) (e)</w:t>
      </w:r>
      <w:r w:rsidR="001B1031" w:rsidRPr="006814CB">
        <w:t>.</w:t>
      </w:r>
    </w:p>
    <w:p w14:paraId="203980D1" w14:textId="77777777" w:rsidR="00600905" w:rsidRPr="006814CB" w:rsidRDefault="00600905" w:rsidP="006814CB">
      <w:pPr>
        <w:pStyle w:val="aDef"/>
      </w:pPr>
      <w:r w:rsidRPr="006814CB">
        <w:rPr>
          <w:rStyle w:val="charBoldItals"/>
        </w:rPr>
        <w:t xml:space="preserve">casino FATG authorisation certificate </w:t>
      </w:r>
      <w:r w:rsidRPr="006814CB">
        <w:t xml:space="preserve">means an authorisation certificate issued to the casino licensee under section </w:t>
      </w:r>
      <w:r w:rsidR="002E0DF3" w:rsidRPr="006814CB">
        <w:t>14</w:t>
      </w:r>
      <w:r w:rsidRPr="006814CB">
        <w:t xml:space="preserve"> for authorisations to operate </w:t>
      </w:r>
      <w:r w:rsidR="00AD42DE" w:rsidRPr="006814CB">
        <w:t xml:space="preserve">casino </w:t>
      </w:r>
      <w:r w:rsidRPr="006814CB">
        <w:t>FATG terminals.</w:t>
      </w:r>
    </w:p>
    <w:p w14:paraId="590F9775" w14:textId="77777777" w:rsidR="00600905" w:rsidRPr="006814CB" w:rsidRDefault="00600905" w:rsidP="006814CB">
      <w:pPr>
        <w:pStyle w:val="aDef"/>
      </w:pPr>
      <w:r w:rsidRPr="006814CB">
        <w:rPr>
          <w:rStyle w:val="charBoldItals"/>
        </w:rPr>
        <w:t>casino FATG authorisation certificate number</w:t>
      </w:r>
      <w:r w:rsidR="00DF2059" w:rsidRPr="006814CB">
        <w:t>—see section </w:t>
      </w:r>
      <w:r w:rsidR="002E0DF3" w:rsidRPr="006814CB">
        <w:t>15</w:t>
      </w:r>
      <w:r w:rsidR="00DF2059" w:rsidRPr="006814CB">
        <w:t> </w:t>
      </w:r>
      <w:r w:rsidRPr="006814CB">
        <w:t>(1)</w:t>
      </w:r>
      <w:r w:rsidR="00DF2059" w:rsidRPr="006814CB">
        <w:t> </w:t>
      </w:r>
      <w:r w:rsidRPr="006814CB">
        <w:t>(b).</w:t>
      </w:r>
    </w:p>
    <w:p w14:paraId="463252EC" w14:textId="77777777" w:rsidR="00600905" w:rsidRPr="006814CB" w:rsidRDefault="00600905" w:rsidP="006814CB">
      <w:pPr>
        <w:pStyle w:val="aDef"/>
      </w:pPr>
      <w:r w:rsidRPr="006814CB">
        <w:rPr>
          <w:rStyle w:val="charBoldItals"/>
        </w:rPr>
        <w:t xml:space="preserve">casino FATG terminal </w:t>
      </w:r>
      <w:r w:rsidRPr="006814CB">
        <w:t>means a terminal connected to a fully</w:t>
      </w:r>
      <w:r w:rsidR="008B6A5D" w:rsidRPr="006814CB">
        <w:noBreakHyphen/>
      </w:r>
      <w:r w:rsidRPr="006814CB">
        <w:t xml:space="preserve">automated </w:t>
      </w:r>
      <w:r w:rsidR="00447089" w:rsidRPr="006814CB">
        <w:t>table game</w:t>
      </w:r>
      <w:r w:rsidRPr="006814CB">
        <w:t xml:space="preserve"> machine.</w:t>
      </w:r>
    </w:p>
    <w:p w14:paraId="13A40566" w14:textId="77777777" w:rsidR="00834640" w:rsidRPr="006814CB" w:rsidRDefault="00834640" w:rsidP="006814CB">
      <w:pPr>
        <w:pStyle w:val="aDef"/>
      </w:pPr>
      <w:r w:rsidRPr="006814CB">
        <w:rPr>
          <w:rStyle w:val="charBoldItals"/>
        </w:rPr>
        <w:t>casino FATG terminal authorisation</w:t>
      </w:r>
      <w:r w:rsidRPr="006814CB">
        <w:t>, in relation to a casino</w:t>
      </w:r>
      <w:r w:rsidR="008B6A5D" w:rsidRPr="006814CB">
        <w:t xml:space="preserve"> FATG authorisation certificate</w:t>
      </w:r>
      <w:r w:rsidRPr="006814CB">
        <w:t xml:space="preserve">—see section </w:t>
      </w:r>
      <w:r w:rsidR="002E0DF3" w:rsidRPr="006814CB">
        <w:t>21</w:t>
      </w:r>
      <w:r w:rsidRPr="006814CB">
        <w:t xml:space="preserve"> (1).</w:t>
      </w:r>
    </w:p>
    <w:p w14:paraId="166FCF7B" w14:textId="77777777" w:rsidR="00CB2737" w:rsidRPr="006814CB" w:rsidRDefault="00CB2737" w:rsidP="006814CB">
      <w:pPr>
        <w:pStyle w:val="aDef"/>
        <w:keepNext/>
      </w:pPr>
      <w:r w:rsidRPr="006814CB">
        <w:rPr>
          <w:rStyle w:val="charBoldItals"/>
        </w:rPr>
        <w:t>casino gaming machine</w:t>
      </w:r>
      <w:r w:rsidRPr="006814CB">
        <w:t>—</w:t>
      </w:r>
    </w:p>
    <w:p w14:paraId="5A7768B7" w14:textId="77777777" w:rsidR="00CB2737" w:rsidRPr="006814CB" w:rsidRDefault="006814CB" w:rsidP="006814CB">
      <w:pPr>
        <w:pStyle w:val="aDefpara"/>
      </w:pPr>
      <w:r>
        <w:tab/>
      </w:r>
      <w:r w:rsidRPr="006814CB">
        <w:t>(a)</w:t>
      </w:r>
      <w:r w:rsidRPr="006814CB">
        <w:tab/>
      </w:r>
      <w:r w:rsidR="00CB2737" w:rsidRPr="006814CB">
        <w:t>means a machine—</w:t>
      </w:r>
    </w:p>
    <w:p w14:paraId="31F915D0" w14:textId="77777777" w:rsidR="00CB2737" w:rsidRPr="006814CB" w:rsidRDefault="006814CB" w:rsidP="006814CB">
      <w:pPr>
        <w:pStyle w:val="aDefsubpara"/>
      </w:pPr>
      <w:r>
        <w:tab/>
      </w:r>
      <w:r w:rsidRPr="006814CB">
        <w:t>(i)</w:t>
      </w:r>
      <w:r w:rsidRPr="006814CB">
        <w:tab/>
      </w:r>
      <w:r w:rsidR="00CB2737" w:rsidRPr="006814CB">
        <w:t>designed for playing a game of chance, or of mixed chance and skill; and</w:t>
      </w:r>
    </w:p>
    <w:p w14:paraId="3BC6A487" w14:textId="77777777" w:rsidR="00CB2737" w:rsidRPr="006814CB" w:rsidRDefault="006814CB" w:rsidP="006814CB">
      <w:pPr>
        <w:pStyle w:val="aDefsubpara"/>
      </w:pPr>
      <w:r>
        <w:tab/>
      </w:r>
      <w:r w:rsidRPr="006814CB">
        <w:t>(ii)</w:t>
      </w:r>
      <w:r w:rsidRPr="006814CB">
        <w:tab/>
      </w:r>
      <w:r w:rsidR="00CB2737" w:rsidRPr="006814CB">
        <w:t>designed to be played completely or partly by—</w:t>
      </w:r>
    </w:p>
    <w:p w14:paraId="4EA2B253" w14:textId="77777777" w:rsidR="00CB2737" w:rsidRPr="006814CB" w:rsidRDefault="006814CB" w:rsidP="006814CB">
      <w:pPr>
        <w:pStyle w:val="Asubsubpara"/>
      </w:pPr>
      <w:r>
        <w:tab/>
      </w:r>
      <w:r w:rsidRPr="006814CB">
        <w:t>(A)</w:t>
      </w:r>
      <w:r w:rsidRPr="006814CB">
        <w:tab/>
      </w:r>
      <w:r w:rsidR="00CB2737" w:rsidRPr="006814CB">
        <w:t>the insertion of 1 or more coins, notes or tokens; or</w:t>
      </w:r>
    </w:p>
    <w:p w14:paraId="529FE77A" w14:textId="77777777" w:rsidR="00CB2737" w:rsidRPr="006814CB" w:rsidRDefault="006814CB" w:rsidP="006814CB">
      <w:pPr>
        <w:pStyle w:val="Asubsubpara"/>
      </w:pPr>
      <w:r>
        <w:tab/>
      </w:r>
      <w:r w:rsidRPr="006814CB">
        <w:t>(B)</w:t>
      </w:r>
      <w:r w:rsidRPr="006814CB">
        <w:tab/>
      </w:r>
      <w:r w:rsidR="00CB2737" w:rsidRPr="006814CB">
        <w:t>the application of a monetary credit registered on the machine or elsewhere; and</w:t>
      </w:r>
    </w:p>
    <w:p w14:paraId="5B801E8B" w14:textId="77777777" w:rsidR="00CB2737" w:rsidRPr="006814CB" w:rsidRDefault="006814CB" w:rsidP="006814CB">
      <w:pPr>
        <w:pStyle w:val="aDefsubpara"/>
        <w:keepNext/>
      </w:pPr>
      <w:r>
        <w:lastRenderedPageBreak/>
        <w:tab/>
      </w:r>
      <w:r w:rsidRPr="006814CB">
        <w:t>(iii)</w:t>
      </w:r>
      <w:r w:rsidRPr="006814CB">
        <w:tab/>
      </w:r>
      <w:r w:rsidR="00CB2737" w:rsidRPr="006814CB">
        <w:t>that offers, or that appears to offer, people a chance to win monetary or other valuable consideration by playing the machine; but</w:t>
      </w:r>
    </w:p>
    <w:p w14:paraId="5D209190" w14:textId="77777777" w:rsidR="00CB2737" w:rsidRPr="006814CB" w:rsidRDefault="006814CB" w:rsidP="006814CB">
      <w:pPr>
        <w:pStyle w:val="aDefpara"/>
      </w:pPr>
      <w:r>
        <w:tab/>
      </w:r>
      <w:r w:rsidRPr="006814CB">
        <w:t>(b)</w:t>
      </w:r>
      <w:r w:rsidRPr="006814CB">
        <w:tab/>
      </w:r>
      <w:r w:rsidR="00CB2737" w:rsidRPr="006814CB">
        <w:t>does not include a device prescribed by regulation.</w:t>
      </w:r>
    </w:p>
    <w:p w14:paraId="457D1DB3" w14:textId="77777777" w:rsidR="008026D0" w:rsidRPr="006814CB" w:rsidRDefault="008026D0" w:rsidP="006814CB">
      <w:pPr>
        <w:pStyle w:val="aDef"/>
      </w:pPr>
      <w:r w:rsidRPr="006814CB">
        <w:rPr>
          <w:rStyle w:val="charBoldItals"/>
        </w:rPr>
        <w:t>casino gaming machine authorisation</w:t>
      </w:r>
      <w:r w:rsidRPr="006814CB">
        <w:t xml:space="preserve">, in relation to a </w:t>
      </w:r>
      <w:r w:rsidR="001B3431" w:rsidRPr="006814CB">
        <w:t>casino gaming machine authorisation certificate</w:t>
      </w:r>
      <w:r w:rsidR="00F85132" w:rsidRPr="006814CB">
        <w:t xml:space="preserve">—see section </w:t>
      </w:r>
      <w:r w:rsidR="002E0DF3" w:rsidRPr="006814CB">
        <w:t>21</w:t>
      </w:r>
      <w:r w:rsidR="00834640" w:rsidRPr="006814CB">
        <w:t xml:space="preserve"> (1)</w:t>
      </w:r>
      <w:r w:rsidRPr="006814CB">
        <w:t>.</w:t>
      </w:r>
    </w:p>
    <w:p w14:paraId="6BE93471" w14:textId="77777777" w:rsidR="00834640" w:rsidRPr="006814CB" w:rsidRDefault="00834640" w:rsidP="006814CB">
      <w:pPr>
        <w:pStyle w:val="aDef"/>
      </w:pPr>
      <w:r w:rsidRPr="006814CB">
        <w:rPr>
          <w:rStyle w:val="charBoldItals"/>
        </w:rPr>
        <w:t>casino gaming machine authorisation certificate</w:t>
      </w:r>
      <w:r w:rsidRPr="006814CB">
        <w:t xml:space="preserve"> means an authorisation certificate issued to the casino licensee under section </w:t>
      </w:r>
      <w:r w:rsidR="002E0DF3" w:rsidRPr="006814CB">
        <w:t>11</w:t>
      </w:r>
      <w:r w:rsidRPr="006814CB">
        <w:t xml:space="preserve"> for authorisations to operate casino gaming machines.</w:t>
      </w:r>
    </w:p>
    <w:p w14:paraId="6C8DB9C6" w14:textId="77777777" w:rsidR="00834640" w:rsidRPr="006814CB" w:rsidRDefault="00834640" w:rsidP="006814CB">
      <w:pPr>
        <w:pStyle w:val="aDef"/>
      </w:pPr>
      <w:r w:rsidRPr="006814CB">
        <w:rPr>
          <w:rStyle w:val="charBoldItals"/>
        </w:rPr>
        <w:t>casino gaming machine authorisation certificate number</w:t>
      </w:r>
      <w:r w:rsidRPr="006814CB">
        <w:t>—see section </w:t>
      </w:r>
      <w:r w:rsidR="002E0DF3" w:rsidRPr="006814CB">
        <w:t>12</w:t>
      </w:r>
      <w:r w:rsidRPr="006814CB">
        <w:t>.</w:t>
      </w:r>
    </w:p>
    <w:p w14:paraId="141CE255" w14:textId="793ABA30" w:rsidR="0044665D" w:rsidRPr="006814CB" w:rsidRDefault="00AB4D04" w:rsidP="006814CB">
      <w:pPr>
        <w:pStyle w:val="aDef"/>
      </w:pPr>
      <w:r w:rsidRPr="006814CB">
        <w:rPr>
          <w:rStyle w:val="charBoldItals"/>
        </w:rPr>
        <w:t>casino licensee</w:t>
      </w:r>
      <w:r w:rsidRPr="006814CB">
        <w:t xml:space="preserve">—see the </w:t>
      </w:r>
      <w:hyperlink r:id="rId87" w:tooltip="A2006-2" w:history="1">
        <w:r w:rsidR="00253379" w:rsidRPr="006814CB">
          <w:rPr>
            <w:rStyle w:val="charCitHyperlinkItal"/>
          </w:rPr>
          <w:t>Casino Control Act 2006</w:t>
        </w:r>
      </w:hyperlink>
      <w:r w:rsidRPr="006814CB">
        <w:t xml:space="preserve">, dictionary. </w:t>
      </w:r>
    </w:p>
    <w:p w14:paraId="3323A508" w14:textId="40A82254" w:rsidR="0086300F" w:rsidRPr="006814CB" w:rsidRDefault="00B91746" w:rsidP="006814CB">
      <w:pPr>
        <w:pStyle w:val="aDef"/>
      </w:pPr>
      <w:r w:rsidRPr="006814CB">
        <w:rPr>
          <w:rStyle w:val="charBoldItals"/>
        </w:rPr>
        <w:t>class B licensee</w:t>
      </w:r>
      <w:r w:rsidRPr="006814CB">
        <w:t xml:space="preserve">—see the </w:t>
      </w:r>
      <w:hyperlink r:id="rId88" w:tooltip="A2004-34" w:history="1">
        <w:r w:rsidR="00253379" w:rsidRPr="006814CB">
          <w:rPr>
            <w:rStyle w:val="charCitHyperlinkItal"/>
          </w:rPr>
          <w:t>Gaming Machine Act 2004</w:t>
        </w:r>
      </w:hyperlink>
      <w:r w:rsidRPr="006814CB">
        <w:t>, dictionary.</w:t>
      </w:r>
    </w:p>
    <w:p w14:paraId="797EE8B0" w14:textId="7D4B7445" w:rsidR="00B91746" w:rsidRPr="006814CB" w:rsidRDefault="00B91746" w:rsidP="006814CB">
      <w:pPr>
        <w:pStyle w:val="aDef"/>
      </w:pPr>
      <w:r w:rsidRPr="006814CB">
        <w:rPr>
          <w:rStyle w:val="charBoldItals"/>
        </w:rPr>
        <w:t>class C licensee</w:t>
      </w:r>
      <w:r w:rsidRPr="006814CB">
        <w:t xml:space="preserve">—see the </w:t>
      </w:r>
      <w:hyperlink r:id="rId89" w:tooltip="A2004-34" w:history="1">
        <w:r w:rsidR="00253379" w:rsidRPr="006814CB">
          <w:rPr>
            <w:rStyle w:val="charCitHyperlinkItal"/>
          </w:rPr>
          <w:t>Gaming Machine Act 2004</w:t>
        </w:r>
      </w:hyperlink>
      <w:r w:rsidRPr="006814CB">
        <w:t>, dictionary.</w:t>
      </w:r>
    </w:p>
    <w:p w14:paraId="14B19E67" w14:textId="77777777" w:rsidR="00F72E54" w:rsidRPr="006814CB" w:rsidRDefault="00F72E54" w:rsidP="006814CB">
      <w:pPr>
        <w:pStyle w:val="aDef"/>
      </w:pPr>
      <w:r w:rsidRPr="006814CB">
        <w:rPr>
          <w:rStyle w:val="charBoldItals"/>
        </w:rPr>
        <w:t>commission</w:t>
      </w:r>
      <w:r w:rsidRPr="006814CB">
        <w:t xml:space="preserve"> means the gambling and racing commission.</w:t>
      </w:r>
    </w:p>
    <w:p w14:paraId="7D168FA2" w14:textId="0A103B3C" w:rsidR="00B91746" w:rsidRPr="006814CB" w:rsidRDefault="00B91746" w:rsidP="006814CB">
      <w:pPr>
        <w:pStyle w:val="aDef"/>
      </w:pPr>
      <w:r w:rsidRPr="006814CB">
        <w:rPr>
          <w:rStyle w:val="charBoldItals"/>
        </w:rPr>
        <w:t>Control Act</w:t>
      </w:r>
      <w:r w:rsidRPr="006814CB">
        <w:t xml:space="preserve"> means the </w:t>
      </w:r>
      <w:hyperlink r:id="rId90" w:tooltip="A1999-46" w:history="1">
        <w:r w:rsidR="00253379" w:rsidRPr="006814CB">
          <w:rPr>
            <w:rStyle w:val="charCitHyperlinkItal"/>
          </w:rPr>
          <w:t>Gambling and Racing Control Act 1999</w:t>
        </w:r>
      </w:hyperlink>
      <w:r w:rsidRPr="006814CB">
        <w:t>.</w:t>
      </w:r>
    </w:p>
    <w:p w14:paraId="65913F39" w14:textId="77777777" w:rsidR="006B27CB" w:rsidRPr="006814CB" w:rsidRDefault="006B27CB" w:rsidP="006814CB">
      <w:pPr>
        <w:pStyle w:val="aDef"/>
      </w:pPr>
      <w:r w:rsidRPr="006814CB">
        <w:rPr>
          <w:rStyle w:val="charBoldItals"/>
        </w:rPr>
        <w:t>FATG</w:t>
      </w:r>
      <w:r w:rsidRPr="006814CB">
        <w:t xml:space="preserve">—see </w:t>
      </w:r>
      <w:r w:rsidRPr="006814CB">
        <w:rPr>
          <w:rStyle w:val="charBoldItals"/>
        </w:rPr>
        <w:t>fully-automated table game machine</w:t>
      </w:r>
      <w:r w:rsidRPr="006814CB">
        <w:t>.</w:t>
      </w:r>
    </w:p>
    <w:p w14:paraId="103353D6" w14:textId="77777777" w:rsidR="00890CA8" w:rsidRPr="006814CB" w:rsidRDefault="00890CA8" w:rsidP="006814CB">
      <w:pPr>
        <w:pStyle w:val="aDef"/>
      </w:pPr>
      <w:r w:rsidRPr="006814CB">
        <w:rPr>
          <w:rStyle w:val="charBoldItals"/>
        </w:rPr>
        <w:t>FATG terminal</w:t>
      </w:r>
      <w:r w:rsidRPr="006814CB">
        <w:t xml:space="preserve"> means a terminal connected to a FATG for the purpose of participating in a game on the FATG.</w:t>
      </w:r>
    </w:p>
    <w:p w14:paraId="1C240253" w14:textId="77777777" w:rsidR="00B91746" w:rsidRPr="006814CB" w:rsidRDefault="00B91746" w:rsidP="006814CB">
      <w:pPr>
        <w:pStyle w:val="aDef"/>
        <w:keepNext/>
      </w:pPr>
      <w:r w:rsidRPr="006814CB">
        <w:rPr>
          <w:rStyle w:val="charBoldItals"/>
        </w:rPr>
        <w:t xml:space="preserve">fully-automated </w:t>
      </w:r>
      <w:r w:rsidR="00DE040A" w:rsidRPr="006814CB">
        <w:rPr>
          <w:rStyle w:val="charBoldItals"/>
        </w:rPr>
        <w:t xml:space="preserve">table </w:t>
      </w:r>
      <w:r w:rsidRPr="006814CB">
        <w:rPr>
          <w:rStyle w:val="charBoldItals"/>
        </w:rPr>
        <w:t>gam</w:t>
      </w:r>
      <w:r w:rsidR="00DE040A" w:rsidRPr="006814CB">
        <w:rPr>
          <w:rStyle w:val="charBoldItals"/>
        </w:rPr>
        <w:t>e</w:t>
      </w:r>
      <w:r w:rsidRPr="006814CB">
        <w:rPr>
          <w:rStyle w:val="charBoldItals"/>
        </w:rPr>
        <w:t xml:space="preserve"> machine </w:t>
      </w:r>
      <w:r w:rsidRPr="006814CB">
        <w:t>(</w:t>
      </w:r>
      <w:r w:rsidR="005C58D4" w:rsidRPr="006814CB">
        <w:t>or</w:t>
      </w:r>
      <w:r w:rsidRPr="006814CB">
        <w:t xml:space="preserve"> </w:t>
      </w:r>
      <w:r w:rsidRPr="006814CB">
        <w:rPr>
          <w:rStyle w:val="charBoldItals"/>
        </w:rPr>
        <w:t>FATG</w:t>
      </w:r>
      <w:r w:rsidRPr="006814CB">
        <w:t xml:space="preserve">) means </w:t>
      </w:r>
      <w:r w:rsidR="00A95FEF" w:rsidRPr="006814CB">
        <w:t>a</w:t>
      </w:r>
      <w:r w:rsidR="00447089" w:rsidRPr="006814CB">
        <w:t>n</w:t>
      </w:r>
      <w:r w:rsidR="00A95FEF" w:rsidRPr="006814CB">
        <w:t xml:space="preserve"> </w:t>
      </w:r>
      <w:r w:rsidR="00495273" w:rsidRPr="006814CB">
        <w:t xml:space="preserve">electronic gaming system </w:t>
      </w:r>
      <w:r w:rsidR="00447089" w:rsidRPr="006814CB">
        <w:t xml:space="preserve">or equipment </w:t>
      </w:r>
      <w:r w:rsidR="00A95FEF" w:rsidRPr="006814CB">
        <w:t xml:space="preserve">that </w:t>
      </w:r>
      <w:r w:rsidR="00495273" w:rsidRPr="006814CB">
        <w:t>allows more than 1 </w:t>
      </w:r>
      <w:r w:rsidR="00A95FEF" w:rsidRPr="006814CB">
        <w:t>person to play a game that—</w:t>
      </w:r>
    </w:p>
    <w:p w14:paraId="2C79EBDE" w14:textId="77777777" w:rsidR="00A95FEF" w:rsidRPr="006814CB" w:rsidRDefault="006814CB" w:rsidP="006814CB">
      <w:pPr>
        <w:pStyle w:val="aDefpara"/>
        <w:keepNext/>
      </w:pPr>
      <w:r>
        <w:tab/>
      </w:r>
      <w:r w:rsidRPr="006814CB">
        <w:t>(a)</w:t>
      </w:r>
      <w:r w:rsidRPr="006814CB">
        <w:tab/>
      </w:r>
      <w:r w:rsidR="00A95FEF" w:rsidRPr="006814CB">
        <w:t>imitates a type of game played at a table; and</w:t>
      </w:r>
    </w:p>
    <w:p w14:paraId="5C5A6296" w14:textId="77777777" w:rsidR="00A95FEF" w:rsidRPr="006814CB" w:rsidRDefault="006814CB" w:rsidP="006814CB">
      <w:pPr>
        <w:pStyle w:val="aDefpara"/>
      </w:pPr>
      <w:r>
        <w:tab/>
      </w:r>
      <w:r w:rsidRPr="006814CB">
        <w:t>(b)</w:t>
      </w:r>
      <w:r w:rsidRPr="006814CB">
        <w:tab/>
      </w:r>
      <w:r w:rsidR="00A95FEF" w:rsidRPr="006814CB">
        <w:t>can be played—</w:t>
      </w:r>
    </w:p>
    <w:p w14:paraId="12850483" w14:textId="77777777" w:rsidR="00A95FEF" w:rsidRPr="006814CB" w:rsidRDefault="006814CB" w:rsidP="006814CB">
      <w:pPr>
        <w:pStyle w:val="aDefsubpara"/>
      </w:pPr>
      <w:r>
        <w:tab/>
      </w:r>
      <w:r w:rsidRPr="006814CB">
        <w:t>(i)</w:t>
      </w:r>
      <w:r w:rsidRPr="006814CB">
        <w:tab/>
      </w:r>
      <w:r w:rsidR="00A95FEF" w:rsidRPr="006814CB">
        <w:t>from different terminals; and</w:t>
      </w:r>
    </w:p>
    <w:p w14:paraId="140ADE46" w14:textId="77777777" w:rsidR="00A95FEF" w:rsidRPr="006814CB" w:rsidRDefault="006814CB" w:rsidP="006814CB">
      <w:pPr>
        <w:pStyle w:val="aDefsubpara"/>
      </w:pPr>
      <w:r>
        <w:tab/>
      </w:r>
      <w:r w:rsidRPr="006814CB">
        <w:t>(ii)</w:t>
      </w:r>
      <w:r w:rsidRPr="006814CB">
        <w:tab/>
      </w:r>
      <w:r w:rsidR="00A95FEF" w:rsidRPr="006814CB">
        <w:t>without a casino employee conducting the game.</w:t>
      </w:r>
    </w:p>
    <w:p w14:paraId="7FFDDE3F" w14:textId="77777777" w:rsidR="00913E4E" w:rsidRPr="006814CB" w:rsidRDefault="00913E4E" w:rsidP="006814CB">
      <w:pPr>
        <w:pStyle w:val="aDef"/>
      </w:pPr>
      <w:r w:rsidRPr="006814CB">
        <w:rPr>
          <w:rStyle w:val="charBoldItals"/>
        </w:rPr>
        <w:t>gaming area amendment</w:t>
      </w:r>
      <w:r w:rsidR="00B26C6E" w:rsidRPr="006814CB">
        <w:t xml:space="preserve">—see section </w:t>
      </w:r>
      <w:r w:rsidR="002E0DF3" w:rsidRPr="006814CB">
        <w:t>36</w:t>
      </w:r>
      <w:r w:rsidR="00B26C6E" w:rsidRPr="006814CB">
        <w:t xml:space="preserve"> (1).</w:t>
      </w:r>
    </w:p>
    <w:p w14:paraId="49440747" w14:textId="10E8167A" w:rsidR="00495273" w:rsidRPr="006814CB" w:rsidRDefault="00495273" w:rsidP="006814CB">
      <w:pPr>
        <w:pStyle w:val="aDef"/>
      </w:pPr>
      <w:r w:rsidRPr="006814CB">
        <w:rPr>
          <w:rStyle w:val="charBoldItals"/>
        </w:rPr>
        <w:lastRenderedPageBreak/>
        <w:t>gaming law</w:t>
      </w:r>
      <w:r w:rsidRPr="006814CB">
        <w:t>—</w:t>
      </w:r>
      <w:r w:rsidR="008B6A5D" w:rsidRPr="006814CB">
        <w:t xml:space="preserve">see the </w:t>
      </w:r>
      <w:hyperlink r:id="rId91" w:tooltip="A1999-46" w:history="1">
        <w:r w:rsidR="009D5A87" w:rsidRPr="006814CB">
          <w:rPr>
            <w:rStyle w:val="charCitHyperlinkAbbrev"/>
          </w:rPr>
          <w:t>Control Act</w:t>
        </w:r>
      </w:hyperlink>
      <w:r w:rsidR="008B6A5D" w:rsidRPr="006814CB">
        <w:t>, dictionary.</w:t>
      </w:r>
    </w:p>
    <w:p w14:paraId="51D81A50" w14:textId="77777777" w:rsidR="00913E4E" w:rsidRPr="006814CB" w:rsidRDefault="00913E4E" w:rsidP="006814CB">
      <w:pPr>
        <w:pStyle w:val="aDef"/>
      </w:pPr>
      <w:r w:rsidRPr="006814CB">
        <w:rPr>
          <w:rStyle w:val="charBoldItals"/>
        </w:rPr>
        <w:t>gaming rules</w:t>
      </w:r>
      <w:r w:rsidR="00B26C6E" w:rsidRPr="006814CB">
        <w:t xml:space="preserve">—see section </w:t>
      </w:r>
      <w:r w:rsidR="002E0DF3" w:rsidRPr="006814CB">
        <w:t>21</w:t>
      </w:r>
      <w:r w:rsidR="00B26C6E" w:rsidRPr="006814CB">
        <w:t xml:space="preserve"> (3) (c).</w:t>
      </w:r>
    </w:p>
    <w:p w14:paraId="6A766200" w14:textId="77777777" w:rsidR="00AB4D04" w:rsidRPr="006814CB" w:rsidRDefault="00AB4D04" w:rsidP="006814CB">
      <w:pPr>
        <w:pStyle w:val="aDef"/>
        <w:keepNext/>
      </w:pPr>
      <w:r w:rsidRPr="006814CB">
        <w:rPr>
          <w:rStyle w:val="charBoldItals"/>
        </w:rPr>
        <w:t xml:space="preserve">maximum </w:t>
      </w:r>
      <w:r w:rsidR="002218C7" w:rsidRPr="006814CB">
        <w:rPr>
          <w:rStyle w:val="charBoldItals"/>
        </w:rPr>
        <w:t xml:space="preserve">possible </w:t>
      </w:r>
      <w:r w:rsidRPr="006814CB">
        <w:rPr>
          <w:rStyle w:val="charBoldItals"/>
        </w:rPr>
        <w:t>number</w:t>
      </w:r>
      <w:r w:rsidRPr="006814CB">
        <w:t>, of authorisations—</w:t>
      </w:r>
    </w:p>
    <w:p w14:paraId="5A9A8C44" w14:textId="77777777" w:rsidR="00AB4D04" w:rsidRPr="006814CB" w:rsidRDefault="006814CB" w:rsidP="006814CB">
      <w:pPr>
        <w:pStyle w:val="aDefpara"/>
        <w:keepNext/>
      </w:pPr>
      <w:r>
        <w:tab/>
      </w:r>
      <w:r w:rsidRPr="006814CB">
        <w:t>(a)</w:t>
      </w:r>
      <w:r w:rsidRPr="006814CB">
        <w:tab/>
      </w:r>
      <w:r w:rsidR="00AB4D04" w:rsidRPr="006814CB">
        <w:t>for casino gaming machines—see section</w:t>
      </w:r>
      <w:r w:rsidR="00A95FEF" w:rsidRPr="006814CB">
        <w:t xml:space="preserve"> </w:t>
      </w:r>
      <w:r w:rsidR="002E0DF3" w:rsidRPr="006814CB">
        <w:t>6</w:t>
      </w:r>
      <w:r w:rsidR="00AB4D04" w:rsidRPr="006814CB">
        <w:t>; and</w:t>
      </w:r>
    </w:p>
    <w:p w14:paraId="7603E69D" w14:textId="77777777" w:rsidR="00AB4D04" w:rsidRPr="006814CB" w:rsidRDefault="006814CB" w:rsidP="006814CB">
      <w:pPr>
        <w:pStyle w:val="aDefpara"/>
      </w:pPr>
      <w:r>
        <w:tab/>
      </w:r>
      <w:r w:rsidRPr="006814CB">
        <w:t>(b)</w:t>
      </w:r>
      <w:r w:rsidRPr="006814CB">
        <w:tab/>
      </w:r>
      <w:r w:rsidR="00AB4D04" w:rsidRPr="006814CB">
        <w:t xml:space="preserve">for </w:t>
      </w:r>
      <w:r w:rsidR="0026355C" w:rsidRPr="006814CB">
        <w:t xml:space="preserve">casino </w:t>
      </w:r>
      <w:r w:rsidR="008B6A5D" w:rsidRPr="006814CB">
        <w:t>FATG</w:t>
      </w:r>
      <w:r w:rsidR="00AB4D04" w:rsidRPr="006814CB">
        <w:t xml:space="preserve"> terminals—see section </w:t>
      </w:r>
      <w:r w:rsidR="002E0DF3" w:rsidRPr="006814CB">
        <w:t>7</w:t>
      </w:r>
      <w:r w:rsidR="00AB4D04" w:rsidRPr="006814CB">
        <w:t>.</w:t>
      </w:r>
    </w:p>
    <w:p w14:paraId="0EB3140B" w14:textId="77777777" w:rsidR="001E5C56" w:rsidRPr="006814CB" w:rsidRDefault="001E5C56" w:rsidP="006814CB">
      <w:pPr>
        <w:pStyle w:val="aDef"/>
      </w:pPr>
      <w:r w:rsidRPr="006814CB">
        <w:rPr>
          <w:rStyle w:val="charBoldItals"/>
        </w:rPr>
        <w:t>net loss</w:t>
      </w:r>
      <w:r w:rsidRPr="006814CB">
        <w:t xml:space="preserve">, for part 7 (Casino gaming machines—pre-commitment system)—see section </w:t>
      </w:r>
      <w:r w:rsidR="002E0DF3" w:rsidRPr="006814CB">
        <w:t>30</w:t>
      </w:r>
      <w:r w:rsidRPr="006814CB">
        <w:t>.</w:t>
      </w:r>
    </w:p>
    <w:p w14:paraId="071498FB" w14:textId="77777777" w:rsidR="00890CA8" w:rsidRPr="006814CB" w:rsidRDefault="00890CA8" w:rsidP="006814CB">
      <w:pPr>
        <w:pStyle w:val="aDef"/>
      </w:pPr>
      <w:r w:rsidRPr="006814CB">
        <w:rPr>
          <w:rStyle w:val="charBoldItals"/>
        </w:rPr>
        <w:t>net loss limit</w:t>
      </w:r>
      <w:r w:rsidRPr="006814CB">
        <w:t>, for part 7 (Casino gaming machines—pre</w:t>
      </w:r>
      <w:r w:rsidR="0026355C" w:rsidRPr="006814CB">
        <w:noBreakHyphen/>
      </w:r>
      <w:r w:rsidRPr="006814CB">
        <w:t xml:space="preserve">commitment system)—see section </w:t>
      </w:r>
      <w:r w:rsidR="002E0DF3" w:rsidRPr="006814CB">
        <w:t>30</w:t>
      </w:r>
      <w:r w:rsidRPr="006814CB">
        <w:t>.</w:t>
      </w:r>
    </w:p>
    <w:p w14:paraId="3C3D8464" w14:textId="77777777" w:rsidR="00913E4E" w:rsidRPr="006814CB" w:rsidRDefault="00B26C6E" w:rsidP="006814CB">
      <w:pPr>
        <w:pStyle w:val="aDef"/>
      </w:pPr>
      <w:r w:rsidRPr="006814CB">
        <w:rPr>
          <w:rStyle w:val="charBoldItals"/>
        </w:rPr>
        <w:t>notifiable action</w:t>
      </w:r>
      <w:r w:rsidRPr="006814CB">
        <w:t>—see section</w:t>
      </w:r>
      <w:r w:rsidR="00EC4DE1" w:rsidRPr="006814CB">
        <w:t xml:space="preserve"> </w:t>
      </w:r>
      <w:r w:rsidR="002E0DF3" w:rsidRPr="006814CB">
        <w:t>48</w:t>
      </w:r>
      <w:r w:rsidRPr="006814CB">
        <w:t>.</w:t>
      </w:r>
    </w:p>
    <w:p w14:paraId="1F0CB471" w14:textId="77777777" w:rsidR="006B27CB" w:rsidRPr="006814CB" w:rsidRDefault="006B27CB" w:rsidP="006814CB">
      <w:pPr>
        <w:pStyle w:val="aDef"/>
      </w:pPr>
      <w:r w:rsidRPr="006814CB">
        <w:rPr>
          <w:rStyle w:val="charBoldItals"/>
        </w:rPr>
        <w:t>PCS</w:t>
      </w:r>
      <w:r w:rsidRPr="006814CB">
        <w:t xml:space="preserve">—see </w:t>
      </w:r>
      <w:r w:rsidRPr="006814CB">
        <w:rPr>
          <w:rStyle w:val="charBoldItals"/>
        </w:rPr>
        <w:t>pre-commitment system</w:t>
      </w:r>
      <w:r w:rsidRPr="006814CB">
        <w:t>.</w:t>
      </w:r>
    </w:p>
    <w:p w14:paraId="45730ACC" w14:textId="77777777" w:rsidR="001E5C56" w:rsidRPr="006814CB" w:rsidRDefault="001E5C56" w:rsidP="006814CB">
      <w:pPr>
        <w:pStyle w:val="aDef"/>
      </w:pPr>
      <w:r w:rsidRPr="006814CB">
        <w:rPr>
          <w:rStyle w:val="charBoldItals"/>
        </w:rPr>
        <w:t>playing period</w:t>
      </w:r>
      <w:r w:rsidRPr="006814CB">
        <w:t>, for part 7 (Casino gaming machines—pre</w:t>
      </w:r>
      <w:r w:rsidR="0026355C" w:rsidRPr="006814CB">
        <w:noBreakHyphen/>
      </w:r>
      <w:r w:rsidRPr="006814CB">
        <w:t xml:space="preserve">commitment system)—see section </w:t>
      </w:r>
      <w:r w:rsidR="002E0DF3" w:rsidRPr="006814CB">
        <w:t>30</w:t>
      </w:r>
      <w:r w:rsidRPr="006814CB">
        <w:t>.</w:t>
      </w:r>
    </w:p>
    <w:p w14:paraId="69721357" w14:textId="77777777" w:rsidR="001E5C56" w:rsidRPr="006814CB" w:rsidRDefault="001E5C56" w:rsidP="006814CB">
      <w:pPr>
        <w:pStyle w:val="aDef"/>
      </w:pPr>
      <w:r w:rsidRPr="006814CB">
        <w:rPr>
          <w:rStyle w:val="charBoldItals"/>
        </w:rPr>
        <w:t>pre-commitment information</w:t>
      </w:r>
      <w:r w:rsidRPr="006814CB">
        <w:t xml:space="preserve">, for part 7 (Casino gaming machines—pre-commitment system)—see section </w:t>
      </w:r>
      <w:r w:rsidR="002E0DF3" w:rsidRPr="006814CB">
        <w:t>30</w:t>
      </w:r>
      <w:r w:rsidRPr="006814CB">
        <w:t>.</w:t>
      </w:r>
    </w:p>
    <w:p w14:paraId="585CEBA3" w14:textId="77777777" w:rsidR="00890CA8" w:rsidRPr="006814CB" w:rsidRDefault="00890CA8" w:rsidP="006814CB">
      <w:pPr>
        <w:pStyle w:val="aDef"/>
      </w:pPr>
      <w:r w:rsidRPr="006814CB">
        <w:rPr>
          <w:rStyle w:val="charBoldItals"/>
        </w:rPr>
        <w:t>pre-commitment system</w:t>
      </w:r>
      <w:r w:rsidRPr="006814CB">
        <w:t xml:space="preserve"> (or </w:t>
      </w:r>
      <w:r w:rsidRPr="006814CB">
        <w:rPr>
          <w:rStyle w:val="charBoldItals"/>
        </w:rPr>
        <w:t>PCS</w:t>
      </w:r>
      <w:r w:rsidRPr="006814CB">
        <w:t xml:space="preserve">), for part 7 (Casino gaming machines—pre-commitment system)—see section </w:t>
      </w:r>
      <w:r w:rsidR="002E0DF3" w:rsidRPr="006814CB">
        <w:t>31</w:t>
      </w:r>
      <w:r w:rsidRPr="006814CB">
        <w:t>.</w:t>
      </w:r>
    </w:p>
    <w:p w14:paraId="7FC8AFCA" w14:textId="77777777" w:rsidR="00DE040A" w:rsidRPr="006814CB" w:rsidRDefault="00DE040A" w:rsidP="006814CB">
      <w:pPr>
        <w:pStyle w:val="aDef"/>
      </w:pPr>
      <w:r w:rsidRPr="006814CB">
        <w:rPr>
          <w:rStyle w:val="charBoldItals"/>
        </w:rPr>
        <w:t>prescribed number of days</w:t>
      </w:r>
      <w:r w:rsidR="00B26C6E" w:rsidRPr="006814CB">
        <w:t>—see section</w:t>
      </w:r>
      <w:r w:rsidR="00EC4DE1" w:rsidRPr="006814CB">
        <w:t xml:space="preserve"> </w:t>
      </w:r>
      <w:r w:rsidR="002E0DF3" w:rsidRPr="006814CB">
        <w:t>48</w:t>
      </w:r>
      <w:r w:rsidR="00B26C6E" w:rsidRPr="006814CB">
        <w:t>.</w:t>
      </w:r>
    </w:p>
    <w:p w14:paraId="510CE7F2" w14:textId="77777777" w:rsidR="00DE040A" w:rsidRPr="006814CB" w:rsidRDefault="00DE040A" w:rsidP="006814CB">
      <w:pPr>
        <w:pStyle w:val="aDef"/>
      </w:pPr>
      <w:r w:rsidRPr="006814CB">
        <w:rPr>
          <w:rStyle w:val="charBoldItals"/>
        </w:rPr>
        <w:t>proposed gaming area</w:t>
      </w:r>
      <w:r w:rsidR="00B26C6E" w:rsidRPr="006814CB">
        <w:t xml:space="preserve">—see section </w:t>
      </w:r>
      <w:r w:rsidR="002E0DF3" w:rsidRPr="006814CB">
        <w:t>21</w:t>
      </w:r>
      <w:r w:rsidR="00B26C6E" w:rsidRPr="006814CB">
        <w:t xml:space="preserve"> (3) (b).</w:t>
      </w:r>
    </w:p>
    <w:p w14:paraId="772B09A6" w14:textId="77777777" w:rsidR="008026D0" w:rsidRPr="006814CB" w:rsidRDefault="008026D0" w:rsidP="006814CB">
      <w:pPr>
        <w:pStyle w:val="aDef"/>
      </w:pPr>
      <w:r w:rsidRPr="006814CB">
        <w:rPr>
          <w:rStyle w:val="charBoldItals"/>
        </w:rPr>
        <w:t>restricted authorisation</w:t>
      </w:r>
      <w:r w:rsidRPr="006814CB">
        <w:t xml:space="preserve">, in relation to a </w:t>
      </w:r>
      <w:r w:rsidR="001B3431" w:rsidRPr="006814CB">
        <w:t>casino gaming machine authorisation certificate</w:t>
      </w:r>
      <w:r w:rsidR="00F85132" w:rsidRPr="006814CB">
        <w:t xml:space="preserve">—see section </w:t>
      </w:r>
      <w:r w:rsidR="002E0DF3" w:rsidRPr="006814CB">
        <w:t>20</w:t>
      </w:r>
      <w:r w:rsidRPr="006814CB">
        <w:t xml:space="preserve">. </w:t>
      </w:r>
    </w:p>
    <w:p w14:paraId="491E243C" w14:textId="17C9B16A" w:rsidR="00D40DE4" w:rsidRPr="006814CB" w:rsidRDefault="00D40DE4" w:rsidP="006814CB">
      <w:pPr>
        <w:pStyle w:val="aDef"/>
      </w:pPr>
      <w:r w:rsidRPr="006814CB">
        <w:rPr>
          <w:rStyle w:val="charBoldItals"/>
        </w:rPr>
        <w:t>small or medium club</w:t>
      </w:r>
      <w:r w:rsidRPr="006814CB">
        <w:rPr>
          <w:b/>
        </w:rPr>
        <w:t>—</w:t>
      </w:r>
      <w:r w:rsidRPr="006814CB">
        <w:t xml:space="preserve">see the </w:t>
      </w:r>
      <w:hyperlink r:id="rId92" w:tooltip="A2004-34" w:history="1">
        <w:r w:rsidR="00253379" w:rsidRPr="006814CB">
          <w:rPr>
            <w:rStyle w:val="charCitHyperlinkItal"/>
          </w:rPr>
          <w:t>Gaming Machine Act 2004</w:t>
        </w:r>
      </w:hyperlink>
      <w:r w:rsidRPr="006814CB">
        <w:t xml:space="preserve">, </w:t>
      </w:r>
      <w:r w:rsidR="00B26C6E" w:rsidRPr="006814CB">
        <w:t>dictionary</w:t>
      </w:r>
      <w:r w:rsidRPr="006814CB">
        <w:t>.</w:t>
      </w:r>
    </w:p>
    <w:p w14:paraId="2460E040" w14:textId="55F55824" w:rsidR="00D40DE4" w:rsidRPr="006814CB" w:rsidRDefault="00D40DE4" w:rsidP="006814CB">
      <w:pPr>
        <w:pStyle w:val="aDef"/>
      </w:pPr>
      <w:r w:rsidRPr="006814CB">
        <w:rPr>
          <w:rStyle w:val="charBoldItals"/>
        </w:rPr>
        <w:t>small or medium club group</w:t>
      </w:r>
      <w:r w:rsidRPr="006814CB">
        <w:rPr>
          <w:b/>
        </w:rPr>
        <w:t>—</w:t>
      </w:r>
      <w:r w:rsidRPr="006814CB">
        <w:t xml:space="preserve">see the </w:t>
      </w:r>
      <w:hyperlink r:id="rId93" w:tooltip="A2004-34" w:history="1">
        <w:r w:rsidR="00253379" w:rsidRPr="006814CB">
          <w:rPr>
            <w:rStyle w:val="charCitHyperlinkItal"/>
          </w:rPr>
          <w:t>Gaming Machine Act 2004</w:t>
        </w:r>
      </w:hyperlink>
      <w:r w:rsidRPr="006814CB">
        <w:t xml:space="preserve">, </w:t>
      </w:r>
      <w:r w:rsidR="00B26C6E" w:rsidRPr="006814CB">
        <w:t>dictionary</w:t>
      </w:r>
      <w:r w:rsidRPr="006814CB">
        <w:t>.</w:t>
      </w:r>
    </w:p>
    <w:p w14:paraId="3387B18C" w14:textId="77777777" w:rsidR="00D40DE4" w:rsidRPr="006814CB" w:rsidRDefault="00B26C6E" w:rsidP="006814CB">
      <w:pPr>
        <w:pStyle w:val="aDef"/>
      </w:pPr>
      <w:r w:rsidRPr="006814CB">
        <w:rPr>
          <w:rStyle w:val="charBoldItals"/>
        </w:rPr>
        <w:t>social impact statement</w:t>
      </w:r>
      <w:r w:rsidRPr="006814CB">
        <w:t xml:space="preserve">—see section </w:t>
      </w:r>
      <w:r w:rsidR="002E0DF3" w:rsidRPr="006814CB">
        <w:t>8</w:t>
      </w:r>
      <w:r w:rsidRPr="006814CB">
        <w:t>.</w:t>
      </w:r>
    </w:p>
    <w:p w14:paraId="77B30778" w14:textId="77777777" w:rsidR="006814CB" w:rsidRDefault="006814CB">
      <w:pPr>
        <w:pStyle w:val="04Dictionary"/>
        <w:sectPr w:rsidR="006814CB" w:rsidSect="003D7E21">
          <w:headerReference w:type="even" r:id="rId94"/>
          <w:headerReference w:type="default" r:id="rId95"/>
          <w:footerReference w:type="even" r:id="rId96"/>
          <w:footerReference w:type="default" r:id="rId97"/>
          <w:type w:val="continuous"/>
          <w:pgSz w:w="11907" w:h="16839" w:code="9"/>
          <w:pgMar w:top="3000" w:right="1900" w:bottom="2500" w:left="2300" w:header="2480" w:footer="2100" w:gutter="0"/>
          <w:cols w:space="720"/>
          <w:docGrid w:linePitch="326"/>
        </w:sectPr>
      </w:pPr>
    </w:p>
    <w:p w14:paraId="2A328EF7" w14:textId="77777777" w:rsidR="007B112E" w:rsidRDefault="007B112E">
      <w:pPr>
        <w:pStyle w:val="Endnote1"/>
      </w:pPr>
      <w:bookmarkStart w:id="76" w:name="_Toc147827639"/>
      <w:r>
        <w:lastRenderedPageBreak/>
        <w:t>Endnotes</w:t>
      </w:r>
      <w:bookmarkEnd w:id="76"/>
    </w:p>
    <w:p w14:paraId="70A363AF" w14:textId="77777777" w:rsidR="007B112E" w:rsidRPr="00251CCE" w:rsidRDefault="007B112E">
      <w:pPr>
        <w:pStyle w:val="Endnote20"/>
      </w:pPr>
      <w:bookmarkStart w:id="77" w:name="_Toc147827640"/>
      <w:r w:rsidRPr="00251CCE">
        <w:rPr>
          <w:rStyle w:val="charTableNo"/>
        </w:rPr>
        <w:t>1</w:t>
      </w:r>
      <w:r>
        <w:tab/>
      </w:r>
      <w:r w:rsidRPr="00251CCE">
        <w:rPr>
          <w:rStyle w:val="charTableText"/>
        </w:rPr>
        <w:t>About the endnotes</w:t>
      </w:r>
      <w:bookmarkEnd w:id="77"/>
    </w:p>
    <w:p w14:paraId="47341521" w14:textId="77777777" w:rsidR="007B112E" w:rsidRDefault="007B112E">
      <w:pPr>
        <w:pStyle w:val="EndNoteTextPub"/>
      </w:pPr>
      <w:r>
        <w:t>Amending and modifying laws are annotated in the legislation history and the amendment history.  Current modifications are not included in the republished law but are set out in the endnotes.</w:t>
      </w:r>
    </w:p>
    <w:p w14:paraId="341B63D6" w14:textId="6FEBEC87" w:rsidR="007B112E" w:rsidRDefault="007B112E">
      <w:pPr>
        <w:pStyle w:val="EndNoteTextPub"/>
      </w:pPr>
      <w:r>
        <w:t xml:space="preserve">Not all editorial amendments made under the </w:t>
      </w:r>
      <w:hyperlink r:id="rId98" w:tooltip="A2001-14" w:history="1">
        <w:r w:rsidR="008D4B19" w:rsidRPr="008D4B19">
          <w:rPr>
            <w:rStyle w:val="charCitHyperlinkItal"/>
          </w:rPr>
          <w:t>Legislation Act 2001</w:t>
        </w:r>
      </w:hyperlink>
      <w:r>
        <w:t>, part 11.3 are annotated in the amendment history.  Full details of any amendments can be obtained from the Parliamentary Counsel’s Office.</w:t>
      </w:r>
    </w:p>
    <w:p w14:paraId="19D1E236" w14:textId="77777777" w:rsidR="007B112E" w:rsidRDefault="007B112E" w:rsidP="007B112E">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23DFE073" w14:textId="77777777" w:rsidR="007B112E" w:rsidRDefault="007B112E">
      <w:pPr>
        <w:pStyle w:val="EndNoteTextPub"/>
      </w:pPr>
      <w:r>
        <w:t xml:space="preserve">If all the provisions of the law have been renumbered, a table of renumbered provisions gives details of previous and current numbering.  </w:t>
      </w:r>
    </w:p>
    <w:p w14:paraId="5EB26368" w14:textId="77777777" w:rsidR="007B112E" w:rsidRDefault="007B112E">
      <w:pPr>
        <w:pStyle w:val="EndNoteTextPub"/>
      </w:pPr>
      <w:r>
        <w:t>The endnotes also include a table of earlier republications.</w:t>
      </w:r>
    </w:p>
    <w:p w14:paraId="7C9C7F7E" w14:textId="77777777" w:rsidR="007B112E" w:rsidRPr="00251CCE" w:rsidRDefault="007B112E">
      <w:pPr>
        <w:pStyle w:val="Endnote20"/>
      </w:pPr>
      <w:bookmarkStart w:id="78" w:name="_Toc147827641"/>
      <w:r w:rsidRPr="00251CCE">
        <w:rPr>
          <w:rStyle w:val="charTableNo"/>
        </w:rPr>
        <w:t>2</w:t>
      </w:r>
      <w:r>
        <w:tab/>
      </w:r>
      <w:r w:rsidRPr="00251CCE">
        <w:rPr>
          <w:rStyle w:val="charTableText"/>
        </w:rPr>
        <w:t>Abbreviation key</w:t>
      </w:r>
      <w:bookmarkEnd w:id="78"/>
    </w:p>
    <w:p w14:paraId="1AD40880" w14:textId="77777777" w:rsidR="007B112E" w:rsidRDefault="007B112E">
      <w:pPr>
        <w:rPr>
          <w:sz w:val="4"/>
        </w:rPr>
      </w:pPr>
    </w:p>
    <w:tbl>
      <w:tblPr>
        <w:tblW w:w="7372" w:type="dxa"/>
        <w:tblInd w:w="1100" w:type="dxa"/>
        <w:tblLayout w:type="fixed"/>
        <w:tblLook w:val="0000" w:firstRow="0" w:lastRow="0" w:firstColumn="0" w:lastColumn="0" w:noHBand="0" w:noVBand="0"/>
      </w:tblPr>
      <w:tblGrid>
        <w:gridCol w:w="3720"/>
        <w:gridCol w:w="3652"/>
      </w:tblGrid>
      <w:tr w:rsidR="007B112E" w14:paraId="49D231CB" w14:textId="77777777" w:rsidTr="007B112E">
        <w:tc>
          <w:tcPr>
            <w:tcW w:w="3720" w:type="dxa"/>
          </w:tcPr>
          <w:p w14:paraId="5356D690" w14:textId="77777777" w:rsidR="007B112E" w:rsidRDefault="007B112E">
            <w:pPr>
              <w:pStyle w:val="EndnotesAbbrev"/>
            </w:pPr>
            <w:r>
              <w:t>A = Act</w:t>
            </w:r>
          </w:p>
        </w:tc>
        <w:tc>
          <w:tcPr>
            <w:tcW w:w="3652" w:type="dxa"/>
          </w:tcPr>
          <w:p w14:paraId="457237C4" w14:textId="77777777" w:rsidR="007B112E" w:rsidRDefault="007B112E" w:rsidP="007B112E">
            <w:pPr>
              <w:pStyle w:val="EndnotesAbbrev"/>
            </w:pPr>
            <w:r>
              <w:t>NI = Notifiable instrument</w:t>
            </w:r>
          </w:p>
        </w:tc>
      </w:tr>
      <w:tr w:rsidR="007B112E" w14:paraId="061071BC" w14:textId="77777777" w:rsidTr="007B112E">
        <w:tc>
          <w:tcPr>
            <w:tcW w:w="3720" w:type="dxa"/>
          </w:tcPr>
          <w:p w14:paraId="1FCD1F8D" w14:textId="77777777" w:rsidR="007B112E" w:rsidRDefault="007B112E" w:rsidP="007B112E">
            <w:pPr>
              <w:pStyle w:val="EndnotesAbbrev"/>
            </w:pPr>
            <w:r>
              <w:t>AF = Approved form</w:t>
            </w:r>
          </w:p>
        </w:tc>
        <w:tc>
          <w:tcPr>
            <w:tcW w:w="3652" w:type="dxa"/>
          </w:tcPr>
          <w:p w14:paraId="1B401FCB" w14:textId="77777777" w:rsidR="007B112E" w:rsidRDefault="007B112E" w:rsidP="007B112E">
            <w:pPr>
              <w:pStyle w:val="EndnotesAbbrev"/>
            </w:pPr>
            <w:r>
              <w:t>o = order</w:t>
            </w:r>
          </w:p>
        </w:tc>
      </w:tr>
      <w:tr w:rsidR="007B112E" w14:paraId="0CEB88B1" w14:textId="77777777" w:rsidTr="007B112E">
        <w:tc>
          <w:tcPr>
            <w:tcW w:w="3720" w:type="dxa"/>
          </w:tcPr>
          <w:p w14:paraId="3FE7FB9C" w14:textId="77777777" w:rsidR="007B112E" w:rsidRDefault="007B112E">
            <w:pPr>
              <w:pStyle w:val="EndnotesAbbrev"/>
            </w:pPr>
            <w:r>
              <w:t>am = amended</w:t>
            </w:r>
          </w:p>
        </w:tc>
        <w:tc>
          <w:tcPr>
            <w:tcW w:w="3652" w:type="dxa"/>
          </w:tcPr>
          <w:p w14:paraId="41AC5FFF" w14:textId="77777777" w:rsidR="007B112E" w:rsidRDefault="007B112E" w:rsidP="007B112E">
            <w:pPr>
              <w:pStyle w:val="EndnotesAbbrev"/>
            </w:pPr>
            <w:r>
              <w:t>om = omitted/repealed</w:t>
            </w:r>
          </w:p>
        </w:tc>
      </w:tr>
      <w:tr w:rsidR="007B112E" w14:paraId="0C9F4FCA" w14:textId="77777777" w:rsidTr="007B112E">
        <w:tc>
          <w:tcPr>
            <w:tcW w:w="3720" w:type="dxa"/>
          </w:tcPr>
          <w:p w14:paraId="42E7939D" w14:textId="77777777" w:rsidR="007B112E" w:rsidRDefault="007B112E">
            <w:pPr>
              <w:pStyle w:val="EndnotesAbbrev"/>
            </w:pPr>
            <w:r>
              <w:t>amdt = amendment</w:t>
            </w:r>
          </w:p>
        </w:tc>
        <w:tc>
          <w:tcPr>
            <w:tcW w:w="3652" w:type="dxa"/>
          </w:tcPr>
          <w:p w14:paraId="4916D968" w14:textId="77777777" w:rsidR="007B112E" w:rsidRDefault="007B112E" w:rsidP="007B112E">
            <w:pPr>
              <w:pStyle w:val="EndnotesAbbrev"/>
            </w:pPr>
            <w:r>
              <w:t>ord = ordinance</w:t>
            </w:r>
          </w:p>
        </w:tc>
      </w:tr>
      <w:tr w:rsidR="007B112E" w14:paraId="715D78EA" w14:textId="77777777" w:rsidTr="007B112E">
        <w:tc>
          <w:tcPr>
            <w:tcW w:w="3720" w:type="dxa"/>
          </w:tcPr>
          <w:p w14:paraId="56C4A62A" w14:textId="77777777" w:rsidR="007B112E" w:rsidRDefault="007B112E">
            <w:pPr>
              <w:pStyle w:val="EndnotesAbbrev"/>
            </w:pPr>
            <w:r>
              <w:t>AR = Assembly resolution</w:t>
            </w:r>
          </w:p>
        </w:tc>
        <w:tc>
          <w:tcPr>
            <w:tcW w:w="3652" w:type="dxa"/>
          </w:tcPr>
          <w:p w14:paraId="5127726C" w14:textId="77777777" w:rsidR="007B112E" w:rsidRDefault="007B112E" w:rsidP="007B112E">
            <w:pPr>
              <w:pStyle w:val="EndnotesAbbrev"/>
            </w:pPr>
            <w:r>
              <w:t>orig = original</w:t>
            </w:r>
          </w:p>
        </w:tc>
      </w:tr>
      <w:tr w:rsidR="007B112E" w14:paraId="4CD0C2C9" w14:textId="77777777" w:rsidTr="007B112E">
        <w:tc>
          <w:tcPr>
            <w:tcW w:w="3720" w:type="dxa"/>
          </w:tcPr>
          <w:p w14:paraId="29F4A77D" w14:textId="77777777" w:rsidR="007B112E" w:rsidRDefault="007B112E">
            <w:pPr>
              <w:pStyle w:val="EndnotesAbbrev"/>
            </w:pPr>
            <w:r>
              <w:t>ch = chapter</w:t>
            </w:r>
          </w:p>
        </w:tc>
        <w:tc>
          <w:tcPr>
            <w:tcW w:w="3652" w:type="dxa"/>
          </w:tcPr>
          <w:p w14:paraId="29CA3144" w14:textId="77777777" w:rsidR="007B112E" w:rsidRDefault="007B112E" w:rsidP="007B112E">
            <w:pPr>
              <w:pStyle w:val="EndnotesAbbrev"/>
            </w:pPr>
            <w:r>
              <w:t>par = paragraph/subparagraph</w:t>
            </w:r>
          </w:p>
        </w:tc>
      </w:tr>
      <w:tr w:rsidR="007B112E" w14:paraId="18A44127" w14:textId="77777777" w:rsidTr="007B112E">
        <w:tc>
          <w:tcPr>
            <w:tcW w:w="3720" w:type="dxa"/>
          </w:tcPr>
          <w:p w14:paraId="7FCD84FD" w14:textId="77777777" w:rsidR="007B112E" w:rsidRDefault="007B112E">
            <w:pPr>
              <w:pStyle w:val="EndnotesAbbrev"/>
            </w:pPr>
            <w:r>
              <w:t>CN = Commencement notice</w:t>
            </w:r>
          </w:p>
        </w:tc>
        <w:tc>
          <w:tcPr>
            <w:tcW w:w="3652" w:type="dxa"/>
          </w:tcPr>
          <w:p w14:paraId="0A73D44D" w14:textId="77777777" w:rsidR="007B112E" w:rsidRDefault="007B112E" w:rsidP="007B112E">
            <w:pPr>
              <w:pStyle w:val="EndnotesAbbrev"/>
            </w:pPr>
            <w:r>
              <w:t>pres = present</w:t>
            </w:r>
          </w:p>
        </w:tc>
      </w:tr>
      <w:tr w:rsidR="007B112E" w14:paraId="6D1C1A1C" w14:textId="77777777" w:rsidTr="007B112E">
        <w:tc>
          <w:tcPr>
            <w:tcW w:w="3720" w:type="dxa"/>
          </w:tcPr>
          <w:p w14:paraId="70642AF7" w14:textId="77777777" w:rsidR="007B112E" w:rsidRDefault="007B112E">
            <w:pPr>
              <w:pStyle w:val="EndnotesAbbrev"/>
            </w:pPr>
            <w:r>
              <w:t>def = definition</w:t>
            </w:r>
          </w:p>
        </w:tc>
        <w:tc>
          <w:tcPr>
            <w:tcW w:w="3652" w:type="dxa"/>
          </w:tcPr>
          <w:p w14:paraId="4DD12F9B" w14:textId="77777777" w:rsidR="007B112E" w:rsidRDefault="007B112E" w:rsidP="007B112E">
            <w:pPr>
              <w:pStyle w:val="EndnotesAbbrev"/>
            </w:pPr>
            <w:r>
              <w:t>prev = previous</w:t>
            </w:r>
          </w:p>
        </w:tc>
      </w:tr>
      <w:tr w:rsidR="007B112E" w14:paraId="44C32C10" w14:textId="77777777" w:rsidTr="007B112E">
        <w:tc>
          <w:tcPr>
            <w:tcW w:w="3720" w:type="dxa"/>
          </w:tcPr>
          <w:p w14:paraId="6A2284FA" w14:textId="77777777" w:rsidR="007B112E" w:rsidRDefault="007B112E">
            <w:pPr>
              <w:pStyle w:val="EndnotesAbbrev"/>
            </w:pPr>
            <w:r>
              <w:t>DI = Disallowable instrument</w:t>
            </w:r>
          </w:p>
        </w:tc>
        <w:tc>
          <w:tcPr>
            <w:tcW w:w="3652" w:type="dxa"/>
          </w:tcPr>
          <w:p w14:paraId="49545EBC" w14:textId="77777777" w:rsidR="007B112E" w:rsidRDefault="007B112E" w:rsidP="007B112E">
            <w:pPr>
              <w:pStyle w:val="EndnotesAbbrev"/>
            </w:pPr>
            <w:r>
              <w:t>(prev...) = previously</w:t>
            </w:r>
          </w:p>
        </w:tc>
      </w:tr>
      <w:tr w:rsidR="007B112E" w14:paraId="2A052015" w14:textId="77777777" w:rsidTr="007B112E">
        <w:tc>
          <w:tcPr>
            <w:tcW w:w="3720" w:type="dxa"/>
          </w:tcPr>
          <w:p w14:paraId="0E7E2C85" w14:textId="77777777" w:rsidR="007B112E" w:rsidRDefault="007B112E">
            <w:pPr>
              <w:pStyle w:val="EndnotesAbbrev"/>
            </w:pPr>
            <w:r>
              <w:t>dict = dictionary</w:t>
            </w:r>
          </w:p>
        </w:tc>
        <w:tc>
          <w:tcPr>
            <w:tcW w:w="3652" w:type="dxa"/>
          </w:tcPr>
          <w:p w14:paraId="197EA177" w14:textId="77777777" w:rsidR="007B112E" w:rsidRDefault="007B112E" w:rsidP="007B112E">
            <w:pPr>
              <w:pStyle w:val="EndnotesAbbrev"/>
            </w:pPr>
            <w:r>
              <w:t>pt = part</w:t>
            </w:r>
          </w:p>
        </w:tc>
      </w:tr>
      <w:tr w:rsidR="007B112E" w14:paraId="4DD90782" w14:textId="77777777" w:rsidTr="007B112E">
        <w:tc>
          <w:tcPr>
            <w:tcW w:w="3720" w:type="dxa"/>
          </w:tcPr>
          <w:p w14:paraId="21AC94E8" w14:textId="77777777" w:rsidR="007B112E" w:rsidRDefault="007B112E">
            <w:pPr>
              <w:pStyle w:val="EndnotesAbbrev"/>
            </w:pPr>
            <w:r>
              <w:t xml:space="preserve">disallowed = disallowed by the Legislative </w:t>
            </w:r>
          </w:p>
        </w:tc>
        <w:tc>
          <w:tcPr>
            <w:tcW w:w="3652" w:type="dxa"/>
          </w:tcPr>
          <w:p w14:paraId="74D9427F" w14:textId="77777777" w:rsidR="007B112E" w:rsidRDefault="007B112E" w:rsidP="007B112E">
            <w:pPr>
              <w:pStyle w:val="EndnotesAbbrev"/>
            </w:pPr>
            <w:r>
              <w:t>r = rule/subrule</w:t>
            </w:r>
          </w:p>
        </w:tc>
      </w:tr>
      <w:tr w:rsidR="007B112E" w14:paraId="4A84DD4A" w14:textId="77777777" w:rsidTr="007B112E">
        <w:tc>
          <w:tcPr>
            <w:tcW w:w="3720" w:type="dxa"/>
          </w:tcPr>
          <w:p w14:paraId="1A01EC5B" w14:textId="77777777" w:rsidR="007B112E" w:rsidRDefault="007B112E">
            <w:pPr>
              <w:pStyle w:val="EndnotesAbbrev"/>
              <w:ind w:left="972"/>
            </w:pPr>
            <w:r>
              <w:t>Assembly</w:t>
            </w:r>
          </w:p>
        </w:tc>
        <w:tc>
          <w:tcPr>
            <w:tcW w:w="3652" w:type="dxa"/>
          </w:tcPr>
          <w:p w14:paraId="56D528A3" w14:textId="77777777" w:rsidR="007B112E" w:rsidRDefault="007B112E" w:rsidP="007B112E">
            <w:pPr>
              <w:pStyle w:val="EndnotesAbbrev"/>
            </w:pPr>
            <w:r>
              <w:t>reloc = relocated</w:t>
            </w:r>
          </w:p>
        </w:tc>
      </w:tr>
      <w:tr w:rsidR="007B112E" w14:paraId="4FB5BD66" w14:textId="77777777" w:rsidTr="007B112E">
        <w:tc>
          <w:tcPr>
            <w:tcW w:w="3720" w:type="dxa"/>
          </w:tcPr>
          <w:p w14:paraId="662A452F" w14:textId="77777777" w:rsidR="007B112E" w:rsidRDefault="007B112E">
            <w:pPr>
              <w:pStyle w:val="EndnotesAbbrev"/>
            </w:pPr>
            <w:r>
              <w:t>div = division</w:t>
            </w:r>
          </w:p>
        </w:tc>
        <w:tc>
          <w:tcPr>
            <w:tcW w:w="3652" w:type="dxa"/>
          </w:tcPr>
          <w:p w14:paraId="7EAD0C17" w14:textId="77777777" w:rsidR="007B112E" w:rsidRDefault="007B112E" w:rsidP="007B112E">
            <w:pPr>
              <w:pStyle w:val="EndnotesAbbrev"/>
            </w:pPr>
            <w:r>
              <w:t>renum = renumbered</w:t>
            </w:r>
          </w:p>
        </w:tc>
      </w:tr>
      <w:tr w:rsidR="007B112E" w14:paraId="4B4011BE" w14:textId="77777777" w:rsidTr="007B112E">
        <w:tc>
          <w:tcPr>
            <w:tcW w:w="3720" w:type="dxa"/>
          </w:tcPr>
          <w:p w14:paraId="0A2FD364" w14:textId="77777777" w:rsidR="007B112E" w:rsidRDefault="007B112E">
            <w:pPr>
              <w:pStyle w:val="EndnotesAbbrev"/>
            </w:pPr>
            <w:r>
              <w:t>exp = expires/expired</w:t>
            </w:r>
          </w:p>
        </w:tc>
        <w:tc>
          <w:tcPr>
            <w:tcW w:w="3652" w:type="dxa"/>
          </w:tcPr>
          <w:p w14:paraId="67CD54EE" w14:textId="77777777" w:rsidR="007B112E" w:rsidRDefault="007B112E" w:rsidP="007B112E">
            <w:pPr>
              <w:pStyle w:val="EndnotesAbbrev"/>
            </w:pPr>
            <w:r>
              <w:t>R[X] = Republication No</w:t>
            </w:r>
          </w:p>
        </w:tc>
      </w:tr>
      <w:tr w:rsidR="007B112E" w14:paraId="67F006BA" w14:textId="77777777" w:rsidTr="007B112E">
        <w:tc>
          <w:tcPr>
            <w:tcW w:w="3720" w:type="dxa"/>
          </w:tcPr>
          <w:p w14:paraId="73F57359" w14:textId="77777777" w:rsidR="007B112E" w:rsidRDefault="007B112E">
            <w:pPr>
              <w:pStyle w:val="EndnotesAbbrev"/>
            </w:pPr>
            <w:r>
              <w:t>Gaz = gazette</w:t>
            </w:r>
          </w:p>
        </w:tc>
        <w:tc>
          <w:tcPr>
            <w:tcW w:w="3652" w:type="dxa"/>
          </w:tcPr>
          <w:p w14:paraId="2A57088E" w14:textId="77777777" w:rsidR="007B112E" w:rsidRDefault="007B112E" w:rsidP="007B112E">
            <w:pPr>
              <w:pStyle w:val="EndnotesAbbrev"/>
            </w:pPr>
            <w:r>
              <w:t>RI = reissue</w:t>
            </w:r>
          </w:p>
        </w:tc>
      </w:tr>
      <w:tr w:rsidR="007B112E" w14:paraId="4F564B81" w14:textId="77777777" w:rsidTr="007B112E">
        <w:tc>
          <w:tcPr>
            <w:tcW w:w="3720" w:type="dxa"/>
          </w:tcPr>
          <w:p w14:paraId="7E3EF0EC" w14:textId="77777777" w:rsidR="007B112E" w:rsidRDefault="007B112E">
            <w:pPr>
              <w:pStyle w:val="EndnotesAbbrev"/>
            </w:pPr>
            <w:r>
              <w:t>hdg = heading</w:t>
            </w:r>
          </w:p>
        </w:tc>
        <w:tc>
          <w:tcPr>
            <w:tcW w:w="3652" w:type="dxa"/>
          </w:tcPr>
          <w:p w14:paraId="4FAD8864" w14:textId="77777777" w:rsidR="007B112E" w:rsidRDefault="007B112E" w:rsidP="007B112E">
            <w:pPr>
              <w:pStyle w:val="EndnotesAbbrev"/>
            </w:pPr>
            <w:r>
              <w:t>s = section/subsection</w:t>
            </w:r>
          </w:p>
        </w:tc>
      </w:tr>
      <w:tr w:rsidR="007B112E" w14:paraId="4FEECE88" w14:textId="77777777" w:rsidTr="007B112E">
        <w:tc>
          <w:tcPr>
            <w:tcW w:w="3720" w:type="dxa"/>
          </w:tcPr>
          <w:p w14:paraId="3C9B7246" w14:textId="77777777" w:rsidR="007B112E" w:rsidRDefault="007B112E">
            <w:pPr>
              <w:pStyle w:val="EndnotesAbbrev"/>
            </w:pPr>
            <w:r>
              <w:t>IA = Interpretation Act 1967</w:t>
            </w:r>
          </w:p>
        </w:tc>
        <w:tc>
          <w:tcPr>
            <w:tcW w:w="3652" w:type="dxa"/>
          </w:tcPr>
          <w:p w14:paraId="327BBC2D" w14:textId="77777777" w:rsidR="007B112E" w:rsidRDefault="007B112E" w:rsidP="007B112E">
            <w:pPr>
              <w:pStyle w:val="EndnotesAbbrev"/>
            </w:pPr>
            <w:r>
              <w:t>sch = schedule</w:t>
            </w:r>
          </w:p>
        </w:tc>
      </w:tr>
      <w:tr w:rsidR="007B112E" w14:paraId="2286A5F1" w14:textId="77777777" w:rsidTr="007B112E">
        <w:tc>
          <w:tcPr>
            <w:tcW w:w="3720" w:type="dxa"/>
          </w:tcPr>
          <w:p w14:paraId="17761C7D" w14:textId="77777777" w:rsidR="007B112E" w:rsidRDefault="007B112E">
            <w:pPr>
              <w:pStyle w:val="EndnotesAbbrev"/>
            </w:pPr>
            <w:r>
              <w:t>ins = inserted/added</w:t>
            </w:r>
          </w:p>
        </w:tc>
        <w:tc>
          <w:tcPr>
            <w:tcW w:w="3652" w:type="dxa"/>
          </w:tcPr>
          <w:p w14:paraId="292F9C29" w14:textId="77777777" w:rsidR="007B112E" w:rsidRDefault="007B112E" w:rsidP="007B112E">
            <w:pPr>
              <w:pStyle w:val="EndnotesAbbrev"/>
            </w:pPr>
            <w:r>
              <w:t>sdiv = subdivision</w:t>
            </w:r>
          </w:p>
        </w:tc>
      </w:tr>
      <w:tr w:rsidR="007B112E" w14:paraId="6E11644B" w14:textId="77777777" w:rsidTr="007B112E">
        <w:tc>
          <w:tcPr>
            <w:tcW w:w="3720" w:type="dxa"/>
          </w:tcPr>
          <w:p w14:paraId="2298C83F" w14:textId="77777777" w:rsidR="007B112E" w:rsidRDefault="007B112E">
            <w:pPr>
              <w:pStyle w:val="EndnotesAbbrev"/>
            </w:pPr>
            <w:r>
              <w:t>LA = Legislation Act 2001</w:t>
            </w:r>
          </w:p>
        </w:tc>
        <w:tc>
          <w:tcPr>
            <w:tcW w:w="3652" w:type="dxa"/>
          </w:tcPr>
          <w:p w14:paraId="5A46ED7B" w14:textId="77777777" w:rsidR="007B112E" w:rsidRDefault="007B112E" w:rsidP="007B112E">
            <w:pPr>
              <w:pStyle w:val="EndnotesAbbrev"/>
            </w:pPr>
            <w:r>
              <w:t>SL = Subordinate law</w:t>
            </w:r>
          </w:p>
        </w:tc>
      </w:tr>
      <w:tr w:rsidR="007B112E" w14:paraId="34314A97" w14:textId="77777777" w:rsidTr="007B112E">
        <w:tc>
          <w:tcPr>
            <w:tcW w:w="3720" w:type="dxa"/>
          </w:tcPr>
          <w:p w14:paraId="2C417E91" w14:textId="77777777" w:rsidR="007B112E" w:rsidRDefault="007B112E">
            <w:pPr>
              <w:pStyle w:val="EndnotesAbbrev"/>
            </w:pPr>
            <w:r>
              <w:t>LR = legislation register</w:t>
            </w:r>
          </w:p>
        </w:tc>
        <w:tc>
          <w:tcPr>
            <w:tcW w:w="3652" w:type="dxa"/>
          </w:tcPr>
          <w:p w14:paraId="67A15B1D" w14:textId="77777777" w:rsidR="007B112E" w:rsidRDefault="007B112E" w:rsidP="007B112E">
            <w:pPr>
              <w:pStyle w:val="EndnotesAbbrev"/>
            </w:pPr>
            <w:r>
              <w:t>sub = substituted</w:t>
            </w:r>
          </w:p>
        </w:tc>
      </w:tr>
      <w:tr w:rsidR="007B112E" w14:paraId="4E010B6A" w14:textId="77777777" w:rsidTr="007B112E">
        <w:tc>
          <w:tcPr>
            <w:tcW w:w="3720" w:type="dxa"/>
          </w:tcPr>
          <w:p w14:paraId="620761A3" w14:textId="77777777" w:rsidR="007B112E" w:rsidRDefault="007B112E">
            <w:pPr>
              <w:pStyle w:val="EndnotesAbbrev"/>
            </w:pPr>
            <w:r>
              <w:t>LRA = Legislation (Republication) Act 1996</w:t>
            </w:r>
          </w:p>
        </w:tc>
        <w:tc>
          <w:tcPr>
            <w:tcW w:w="3652" w:type="dxa"/>
          </w:tcPr>
          <w:p w14:paraId="5039A1CD" w14:textId="77777777" w:rsidR="007B112E" w:rsidRDefault="007B112E" w:rsidP="007B112E">
            <w:pPr>
              <w:pStyle w:val="EndnotesAbbrev"/>
            </w:pPr>
            <w:r>
              <w:rPr>
                <w:u w:val="single"/>
              </w:rPr>
              <w:t>underlining</w:t>
            </w:r>
            <w:r>
              <w:t xml:space="preserve"> = whole or part not commenced</w:t>
            </w:r>
          </w:p>
        </w:tc>
      </w:tr>
      <w:tr w:rsidR="007B112E" w14:paraId="6398BD9E" w14:textId="77777777" w:rsidTr="007B112E">
        <w:tc>
          <w:tcPr>
            <w:tcW w:w="3720" w:type="dxa"/>
          </w:tcPr>
          <w:p w14:paraId="191FC876" w14:textId="77777777" w:rsidR="007B112E" w:rsidRDefault="007B112E">
            <w:pPr>
              <w:pStyle w:val="EndnotesAbbrev"/>
            </w:pPr>
            <w:r>
              <w:t>mod = modified/modification</w:t>
            </w:r>
          </w:p>
        </w:tc>
        <w:tc>
          <w:tcPr>
            <w:tcW w:w="3652" w:type="dxa"/>
          </w:tcPr>
          <w:p w14:paraId="735A205E" w14:textId="77777777" w:rsidR="007B112E" w:rsidRDefault="007B112E" w:rsidP="007B112E">
            <w:pPr>
              <w:pStyle w:val="EndnotesAbbrev"/>
              <w:ind w:left="1073"/>
            </w:pPr>
            <w:r>
              <w:t>or to be expired</w:t>
            </w:r>
          </w:p>
        </w:tc>
      </w:tr>
    </w:tbl>
    <w:p w14:paraId="75AF3FD2" w14:textId="77777777" w:rsidR="007B112E" w:rsidRPr="0047411E" w:rsidRDefault="007B112E" w:rsidP="007B112E">
      <w:pPr>
        <w:pStyle w:val="PageBreak"/>
      </w:pPr>
      <w:r w:rsidRPr="0047411E">
        <w:br w:type="page"/>
      </w:r>
    </w:p>
    <w:p w14:paraId="5F304AEE" w14:textId="77777777" w:rsidR="007B112E" w:rsidRPr="00251CCE" w:rsidRDefault="007B112E">
      <w:pPr>
        <w:pStyle w:val="Endnote20"/>
      </w:pPr>
      <w:bookmarkStart w:id="79" w:name="_Toc147827642"/>
      <w:r w:rsidRPr="00251CCE">
        <w:rPr>
          <w:rStyle w:val="charTableNo"/>
        </w:rPr>
        <w:lastRenderedPageBreak/>
        <w:t>3</w:t>
      </w:r>
      <w:r>
        <w:tab/>
      </w:r>
      <w:r w:rsidRPr="00251CCE">
        <w:rPr>
          <w:rStyle w:val="charTableText"/>
        </w:rPr>
        <w:t>Legislation history</w:t>
      </w:r>
      <w:bookmarkEnd w:id="79"/>
    </w:p>
    <w:p w14:paraId="5AB77F2D" w14:textId="77777777" w:rsidR="00954FA9" w:rsidRDefault="00954FA9" w:rsidP="00954FA9">
      <w:pPr>
        <w:pStyle w:val="NewAct"/>
      </w:pPr>
      <w:r w:rsidRPr="00954FA9">
        <w:t>Casino (Electronic Gaming) Act 2017</w:t>
      </w:r>
      <w:r>
        <w:t xml:space="preserve"> A2017-42</w:t>
      </w:r>
    </w:p>
    <w:p w14:paraId="4C96BEB5" w14:textId="77777777" w:rsidR="00954FA9" w:rsidRDefault="00954FA9" w:rsidP="00954FA9">
      <w:pPr>
        <w:pStyle w:val="Actdetails"/>
        <w:keepNext/>
      </w:pPr>
      <w:r>
        <w:t>notified LR 13 November 2017</w:t>
      </w:r>
    </w:p>
    <w:p w14:paraId="4E1F0C08" w14:textId="77777777" w:rsidR="00954FA9" w:rsidRDefault="00954FA9" w:rsidP="00954FA9">
      <w:pPr>
        <w:pStyle w:val="Actdetails"/>
        <w:keepNext/>
      </w:pPr>
      <w:r>
        <w:t>s 1, s 2 commenced 13 November 2017 (LA s 75 (1))</w:t>
      </w:r>
    </w:p>
    <w:p w14:paraId="181D666D" w14:textId="06321FE9" w:rsidR="001850D7" w:rsidRPr="00491A45" w:rsidRDefault="001850D7" w:rsidP="00954FA9">
      <w:pPr>
        <w:pStyle w:val="Actdetails"/>
        <w:keepNext/>
      </w:pPr>
      <w:r w:rsidRPr="00491A45">
        <w:t xml:space="preserve">sch 4 </w:t>
      </w:r>
      <w:r w:rsidR="00491A45" w:rsidRPr="00491A45">
        <w:t xml:space="preserve">om before commenced (see </w:t>
      </w:r>
      <w:hyperlink r:id="rId99" w:tooltip="Gaming Legislation Amendment Act 2018" w:history="1">
        <w:r w:rsidR="00406238" w:rsidRPr="00406238">
          <w:rPr>
            <w:rStyle w:val="Hyperlink"/>
            <w:u w:val="none"/>
          </w:rPr>
          <w:t>A2018</w:t>
        </w:r>
        <w:r w:rsidR="00406238" w:rsidRPr="00406238">
          <w:rPr>
            <w:rStyle w:val="Hyperlink"/>
            <w:u w:val="none"/>
          </w:rPr>
          <w:noBreakHyphen/>
          <w:t>45</w:t>
        </w:r>
      </w:hyperlink>
      <w:r w:rsidR="00491A45" w:rsidRPr="00491A45">
        <w:t xml:space="preserve"> amdt 1.1)</w:t>
      </w:r>
    </w:p>
    <w:p w14:paraId="3AEF1D11" w14:textId="77777777" w:rsidR="00954FA9" w:rsidRDefault="00954FA9" w:rsidP="00954FA9">
      <w:pPr>
        <w:pStyle w:val="Actdetails"/>
      </w:pPr>
      <w:r>
        <w:t xml:space="preserve">remainder commenced </w:t>
      </w:r>
      <w:r w:rsidR="00DC17A2">
        <w:t>13 May 2018</w:t>
      </w:r>
      <w:r>
        <w:t xml:space="preserve"> (s 2</w:t>
      </w:r>
      <w:r w:rsidR="001C18D4">
        <w:t xml:space="preserve"> (1)</w:t>
      </w:r>
      <w:r w:rsidR="00DC17A2">
        <w:t xml:space="preserve"> and LA s 79</w:t>
      </w:r>
      <w:r>
        <w:t>)</w:t>
      </w:r>
    </w:p>
    <w:p w14:paraId="023AFB3B" w14:textId="77777777" w:rsidR="001918A3" w:rsidRDefault="001918A3">
      <w:pPr>
        <w:pStyle w:val="Asamby"/>
      </w:pPr>
      <w:r>
        <w:t>as amended by</w:t>
      </w:r>
    </w:p>
    <w:p w14:paraId="2BC4C90C" w14:textId="0D14C82B" w:rsidR="001918A3" w:rsidRPr="00935D4E" w:rsidRDefault="001918A3" w:rsidP="001918A3">
      <w:pPr>
        <w:pStyle w:val="NewAct"/>
      </w:pPr>
      <w:hyperlink r:id="rId100" w:tooltip="A2018-21" w:history="1">
        <w:r>
          <w:rPr>
            <w:rStyle w:val="charCitHyperlinkAbbrev"/>
          </w:rPr>
          <w:t>Casino and Other Gaming Legislation Amendment Act 2018</w:t>
        </w:r>
      </w:hyperlink>
      <w:r>
        <w:t xml:space="preserve"> A2018-21 pt</w:t>
      </w:r>
      <w:r w:rsidR="003B2E15">
        <w:t> </w:t>
      </w:r>
      <w:r w:rsidR="006D45A0">
        <w:t>3</w:t>
      </w:r>
    </w:p>
    <w:p w14:paraId="37619732" w14:textId="77777777" w:rsidR="001918A3" w:rsidRDefault="001918A3" w:rsidP="001918A3">
      <w:pPr>
        <w:pStyle w:val="Actdetails"/>
      </w:pPr>
      <w:r>
        <w:t>notified LR 14 June 2018</w:t>
      </w:r>
    </w:p>
    <w:p w14:paraId="35F22EBC" w14:textId="77777777" w:rsidR="001918A3" w:rsidRDefault="001918A3" w:rsidP="001918A3">
      <w:pPr>
        <w:pStyle w:val="Actdetails"/>
      </w:pPr>
      <w:r>
        <w:t>s 1, s 2 commenced 14 June 2018 (LA s 75 (1))</w:t>
      </w:r>
    </w:p>
    <w:p w14:paraId="26F7A669" w14:textId="77777777" w:rsidR="001918A3" w:rsidRDefault="001918A3" w:rsidP="001918A3">
      <w:pPr>
        <w:pStyle w:val="Actdetails"/>
      </w:pPr>
      <w:r>
        <w:t xml:space="preserve">pt </w:t>
      </w:r>
      <w:r w:rsidR="006D45A0">
        <w:t>3</w:t>
      </w:r>
      <w:r>
        <w:t xml:space="preserve"> commenced</w:t>
      </w:r>
      <w:r w:rsidRPr="006F3A6F">
        <w:t xml:space="preserve"> </w:t>
      </w:r>
      <w:r>
        <w:t>15 June 2018 (s 2)</w:t>
      </w:r>
    </w:p>
    <w:p w14:paraId="05B7C1E5" w14:textId="1EB55BA9" w:rsidR="00491A45" w:rsidRPr="00935D4E" w:rsidRDefault="00491A45" w:rsidP="00491A45">
      <w:pPr>
        <w:pStyle w:val="NewAct"/>
      </w:pPr>
      <w:hyperlink r:id="rId101" w:tooltip="A2018-45" w:history="1">
        <w:r>
          <w:rPr>
            <w:rStyle w:val="charCitHyperlinkAbbrev"/>
          </w:rPr>
          <w:t>Gaming Legislation Amendment Act 2018</w:t>
        </w:r>
      </w:hyperlink>
      <w:r>
        <w:t xml:space="preserve"> A2018-45 sch 1 pt 1.1</w:t>
      </w:r>
    </w:p>
    <w:p w14:paraId="7596270F" w14:textId="77777777" w:rsidR="00491A45" w:rsidRDefault="00491A45" w:rsidP="00491A45">
      <w:pPr>
        <w:pStyle w:val="Actdetails"/>
      </w:pPr>
      <w:r>
        <w:t>notified LR 4 December 2018</w:t>
      </w:r>
    </w:p>
    <w:p w14:paraId="1C65657C" w14:textId="77777777" w:rsidR="00491A45" w:rsidRDefault="00491A45" w:rsidP="00491A45">
      <w:pPr>
        <w:pStyle w:val="Actdetails"/>
      </w:pPr>
      <w:r>
        <w:t>pt 1 taken to have commenced 15 June 2015 (s 2 (1))</w:t>
      </w:r>
    </w:p>
    <w:p w14:paraId="78F30369" w14:textId="77777777" w:rsidR="00491A45" w:rsidRDefault="00491A45" w:rsidP="00491A45">
      <w:pPr>
        <w:pStyle w:val="Actdetails"/>
      </w:pPr>
      <w:r>
        <w:t>sch 1 pt 1.1 taken to have commenced 13 November 2017 (s 2 (3))</w:t>
      </w:r>
    </w:p>
    <w:p w14:paraId="1CC521FC" w14:textId="0413CB11" w:rsidR="007A7112" w:rsidRDefault="007A7112" w:rsidP="007A7112">
      <w:pPr>
        <w:pStyle w:val="NewAct"/>
      </w:pPr>
      <w:hyperlink r:id="rId102" w:tooltip="A2023-36" w:history="1">
        <w:r>
          <w:rPr>
            <w:rStyle w:val="charCitHyperlinkAbbrev"/>
          </w:rPr>
          <w:t>Planning (Consequential Amendments) Act 2023</w:t>
        </w:r>
      </w:hyperlink>
      <w:r>
        <w:t xml:space="preserve"> A2023-36 sch 1 pt 1.</w:t>
      </w:r>
      <w:r w:rsidR="005B5FDF">
        <w:t>6</w:t>
      </w:r>
    </w:p>
    <w:p w14:paraId="51B57898" w14:textId="77777777" w:rsidR="007A7112" w:rsidRDefault="007A7112" w:rsidP="007A7112">
      <w:pPr>
        <w:pStyle w:val="Actdetails"/>
      </w:pPr>
      <w:r>
        <w:t>notified LR 29 September 2023</w:t>
      </w:r>
    </w:p>
    <w:p w14:paraId="39E033F7" w14:textId="77777777" w:rsidR="007A7112" w:rsidRDefault="007A7112" w:rsidP="007A7112">
      <w:pPr>
        <w:pStyle w:val="Actdetails"/>
      </w:pPr>
      <w:r>
        <w:t>s 1, s 2 commenced 29 September 2023 (LA s 75 (1))</w:t>
      </w:r>
    </w:p>
    <w:p w14:paraId="7ACF2C30" w14:textId="11599B0F" w:rsidR="007A7112" w:rsidRDefault="007A7112" w:rsidP="007A7112">
      <w:pPr>
        <w:pStyle w:val="Actdetails"/>
      </w:pPr>
      <w:r>
        <w:t xml:space="preserve">sch 1 pt 1.6 commenced 27 November 2023 (s 2 (1) and see </w:t>
      </w:r>
      <w:hyperlink r:id="rId103" w:tooltip="A2023-18" w:history="1">
        <w:r w:rsidRPr="00867F56">
          <w:rPr>
            <w:rStyle w:val="charCitHyperlinkAbbrev"/>
          </w:rPr>
          <w:t>Planning Act 2023</w:t>
        </w:r>
      </w:hyperlink>
      <w:r>
        <w:t xml:space="preserve"> A2023-18, s 2 (2) and </w:t>
      </w:r>
      <w:hyperlink r:id="rId104" w:tooltip="Planning Commencement Notice 2023" w:history="1">
        <w:r w:rsidR="00C66C39" w:rsidRPr="00867F56">
          <w:rPr>
            <w:rStyle w:val="charCitHyperlinkAbbrev"/>
          </w:rPr>
          <w:t>CN2023-10</w:t>
        </w:r>
      </w:hyperlink>
      <w:r>
        <w:t>)</w:t>
      </w:r>
    </w:p>
    <w:p w14:paraId="1DD6CA48" w14:textId="77777777" w:rsidR="006D705C" w:rsidRPr="006D705C" w:rsidRDefault="006D705C" w:rsidP="006D705C">
      <w:pPr>
        <w:pStyle w:val="PageBreak"/>
      </w:pPr>
      <w:r w:rsidRPr="006D705C">
        <w:br w:type="page"/>
      </w:r>
    </w:p>
    <w:p w14:paraId="541AFECD" w14:textId="77777777" w:rsidR="007B112E" w:rsidRPr="00251CCE" w:rsidRDefault="007B112E">
      <w:pPr>
        <w:pStyle w:val="Endnote20"/>
      </w:pPr>
      <w:bookmarkStart w:id="80" w:name="_Toc147827643"/>
      <w:r w:rsidRPr="00251CCE">
        <w:rPr>
          <w:rStyle w:val="charTableNo"/>
        </w:rPr>
        <w:lastRenderedPageBreak/>
        <w:t>4</w:t>
      </w:r>
      <w:r>
        <w:tab/>
      </w:r>
      <w:r w:rsidRPr="00251CCE">
        <w:rPr>
          <w:rStyle w:val="charTableText"/>
        </w:rPr>
        <w:t>Amendment history</w:t>
      </w:r>
      <w:bookmarkEnd w:id="80"/>
    </w:p>
    <w:p w14:paraId="2AADE5BA" w14:textId="77777777" w:rsidR="00604408" w:rsidRDefault="00604408" w:rsidP="007B112E">
      <w:pPr>
        <w:pStyle w:val="AmdtsEntryHd"/>
      </w:pPr>
      <w:r>
        <w:t>Commencement</w:t>
      </w:r>
    </w:p>
    <w:p w14:paraId="6C52CF95" w14:textId="77777777" w:rsidR="00604408" w:rsidRPr="00604408" w:rsidRDefault="00604408" w:rsidP="00604408">
      <w:pPr>
        <w:pStyle w:val="AmdtsEntries"/>
      </w:pPr>
      <w:r>
        <w:t>s 2</w:t>
      </w:r>
      <w:r>
        <w:tab/>
        <w:t xml:space="preserve">om </w:t>
      </w:r>
      <w:r w:rsidR="001F56AA">
        <w:t>LA s 89 (4)</w:t>
      </w:r>
    </w:p>
    <w:p w14:paraId="3FF27E1E" w14:textId="77777777" w:rsidR="006D2BB3" w:rsidRDefault="006D2BB3" w:rsidP="007B112E">
      <w:pPr>
        <w:pStyle w:val="AmdtsEntryHd"/>
      </w:pPr>
      <w:r w:rsidRPr="006814CB">
        <w:t>Restricted status of acquired authorisations</w:t>
      </w:r>
    </w:p>
    <w:p w14:paraId="54DD0975" w14:textId="159E5864" w:rsidR="006D2BB3" w:rsidRPr="006D2BB3" w:rsidRDefault="006D2BB3" w:rsidP="006D2BB3">
      <w:pPr>
        <w:pStyle w:val="AmdtsEntries"/>
      </w:pPr>
      <w:r>
        <w:t>s 20</w:t>
      </w:r>
      <w:r>
        <w:tab/>
        <w:t xml:space="preserve">am </w:t>
      </w:r>
      <w:hyperlink r:id="rId105" w:tooltip="Casino and Other Gaming Legislation Amendment Act 2018" w:history="1">
        <w:r w:rsidRPr="006D2BB3">
          <w:rPr>
            <w:rStyle w:val="charCitHyperlinkAbbrev"/>
          </w:rPr>
          <w:t>A2018</w:t>
        </w:r>
        <w:r w:rsidRPr="006D2BB3">
          <w:rPr>
            <w:rStyle w:val="charCitHyperlinkAbbrev"/>
          </w:rPr>
          <w:noBreakHyphen/>
          <w:t>21</w:t>
        </w:r>
      </w:hyperlink>
      <w:r w:rsidRPr="006D2BB3">
        <w:rPr>
          <w:rStyle w:val="charCitHyperlinkAbbrev"/>
        </w:rPr>
        <w:t xml:space="preserve"> </w:t>
      </w:r>
      <w:r>
        <w:t>s 16</w:t>
      </w:r>
    </w:p>
    <w:p w14:paraId="3EC0AF10" w14:textId="77777777" w:rsidR="006D2BB3" w:rsidRDefault="006D2BB3" w:rsidP="006D2BB3">
      <w:pPr>
        <w:pStyle w:val="AmdtsEntryHd"/>
      </w:pPr>
      <w:r w:rsidRPr="006814CB">
        <w:t>Conversion of restricted authorisations—application</w:t>
      </w:r>
    </w:p>
    <w:p w14:paraId="0108BF53" w14:textId="66DC5A54" w:rsidR="006D2BB3" w:rsidRPr="006D2BB3" w:rsidRDefault="006D2BB3" w:rsidP="006D2BB3">
      <w:pPr>
        <w:pStyle w:val="AmdtsEntries"/>
      </w:pPr>
      <w:r>
        <w:t>s 21</w:t>
      </w:r>
      <w:r>
        <w:tab/>
        <w:t xml:space="preserve">am </w:t>
      </w:r>
      <w:hyperlink r:id="rId106" w:tooltip="Casino and Other Gaming Legislation Amendment Act 2018" w:history="1">
        <w:r w:rsidRPr="006D2BB3">
          <w:rPr>
            <w:rStyle w:val="charCitHyperlinkAbbrev"/>
          </w:rPr>
          <w:t>A2018</w:t>
        </w:r>
        <w:r w:rsidRPr="006D2BB3">
          <w:rPr>
            <w:rStyle w:val="charCitHyperlinkAbbrev"/>
          </w:rPr>
          <w:noBreakHyphen/>
          <w:t>21</w:t>
        </w:r>
      </w:hyperlink>
      <w:r w:rsidRPr="006D2BB3">
        <w:rPr>
          <w:rStyle w:val="charCitHyperlinkAbbrev"/>
        </w:rPr>
        <w:t xml:space="preserve"> </w:t>
      </w:r>
      <w:r>
        <w:t>s 17, s 18</w:t>
      </w:r>
      <w:r w:rsidR="003671B7">
        <w:t xml:space="preserve">; </w:t>
      </w:r>
      <w:hyperlink r:id="rId107" w:tooltip="Planning (Consequential Amendments) Act 2023" w:history="1">
        <w:r w:rsidR="003671B7">
          <w:rPr>
            <w:rStyle w:val="charCitHyperlinkAbbrev"/>
          </w:rPr>
          <w:t>A2023-36</w:t>
        </w:r>
      </w:hyperlink>
      <w:r w:rsidR="003671B7">
        <w:t xml:space="preserve"> amdt 1.50, amdt 1.51</w:t>
      </w:r>
    </w:p>
    <w:p w14:paraId="47A083B5" w14:textId="77777777" w:rsidR="00996540" w:rsidRDefault="00996540" w:rsidP="007B112E">
      <w:pPr>
        <w:pStyle w:val="AmdtsEntryHd"/>
      </w:pPr>
      <w:r w:rsidRPr="005D4E1B">
        <w:t>Conversion of restricted authorisations—decision</w:t>
      </w:r>
    </w:p>
    <w:p w14:paraId="73E98534" w14:textId="52418529" w:rsidR="00996540" w:rsidRDefault="00996540" w:rsidP="00996540">
      <w:pPr>
        <w:pStyle w:val="AmdtsEntries"/>
      </w:pPr>
      <w:r>
        <w:t>s 22</w:t>
      </w:r>
      <w:r>
        <w:tab/>
        <w:t xml:space="preserve">sub </w:t>
      </w:r>
      <w:hyperlink r:id="rId108" w:tooltip="Casino and Other Gaming Legislation Amendment Act 2018" w:history="1">
        <w:r w:rsidRPr="006D2BB3">
          <w:rPr>
            <w:rStyle w:val="charCitHyperlinkAbbrev"/>
          </w:rPr>
          <w:t>A2018</w:t>
        </w:r>
        <w:r w:rsidRPr="006D2BB3">
          <w:rPr>
            <w:rStyle w:val="charCitHyperlinkAbbrev"/>
          </w:rPr>
          <w:noBreakHyphen/>
          <w:t>21</w:t>
        </w:r>
      </w:hyperlink>
      <w:r>
        <w:t xml:space="preserve"> s 19</w:t>
      </w:r>
    </w:p>
    <w:p w14:paraId="3D4FFA1B" w14:textId="729F2E61" w:rsidR="003671B7" w:rsidRDefault="003671B7" w:rsidP="00996540">
      <w:pPr>
        <w:pStyle w:val="AmdtsEntries"/>
      </w:pPr>
      <w:r>
        <w:tab/>
        <w:t xml:space="preserve">am </w:t>
      </w:r>
      <w:hyperlink r:id="rId109" w:tooltip="Planning (Consequential Amendments) Act 2023" w:history="1">
        <w:r>
          <w:rPr>
            <w:rStyle w:val="charCitHyperlinkAbbrev"/>
          </w:rPr>
          <w:t>A2023-36</w:t>
        </w:r>
      </w:hyperlink>
      <w:r>
        <w:t xml:space="preserve"> amdt 1.52, amdt 1.53</w:t>
      </w:r>
    </w:p>
    <w:p w14:paraId="51F26107" w14:textId="7B90CDB9" w:rsidR="00575F76" w:rsidRDefault="00575F76" w:rsidP="00575F76">
      <w:pPr>
        <w:pStyle w:val="AmdtsEntryHd"/>
      </w:pPr>
      <w:r w:rsidRPr="006F27A9">
        <w:t>Status of restricted authorisations if development approval ends under Planning Act</w:t>
      </w:r>
      <w:r>
        <w:t xml:space="preserve"> </w:t>
      </w:r>
      <w:r w:rsidRPr="006F27A9">
        <w:t>2023, s</w:t>
      </w:r>
      <w:r>
        <w:t xml:space="preserve"> </w:t>
      </w:r>
      <w:r w:rsidRPr="006F27A9">
        <w:t>211 or because no approval given</w:t>
      </w:r>
    </w:p>
    <w:p w14:paraId="31CBCA84" w14:textId="5F79EE67" w:rsidR="00575F76" w:rsidRDefault="00575F76" w:rsidP="00996540">
      <w:pPr>
        <w:pStyle w:val="AmdtsEntries"/>
      </w:pPr>
      <w:r>
        <w:t>s 23 hdg</w:t>
      </w:r>
      <w:r>
        <w:tab/>
        <w:t xml:space="preserve">sub </w:t>
      </w:r>
      <w:hyperlink r:id="rId110" w:tooltip="Planning (Consequential Amendments) Act 2023" w:history="1">
        <w:r>
          <w:rPr>
            <w:rStyle w:val="charCitHyperlinkAbbrev"/>
          </w:rPr>
          <w:t>A2023-36</w:t>
        </w:r>
      </w:hyperlink>
      <w:r>
        <w:t xml:space="preserve"> amdt 1.54</w:t>
      </w:r>
    </w:p>
    <w:p w14:paraId="43E38542" w14:textId="34857A12" w:rsidR="00575F76" w:rsidRDefault="00575F76" w:rsidP="00996540">
      <w:pPr>
        <w:pStyle w:val="AmdtsEntries"/>
      </w:pPr>
      <w:r>
        <w:tab/>
        <w:t xml:space="preserve">am </w:t>
      </w:r>
      <w:hyperlink r:id="rId111" w:tooltip="Planning (Consequential Amendments) Act 2023" w:history="1">
        <w:r>
          <w:rPr>
            <w:rStyle w:val="charCitHyperlinkAbbrev"/>
          </w:rPr>
          <w:t>A2023-36</w:t>
        </w:r>
      </w:hyperlink>
      <w:r>
        <w:t xml:space="preserve"> amdt 1.55</w:t>
      </w:r>
    </w:p>
    <w:p w14:paraId="06E065F7" w14:textId="5E09BD9B" w:rsidR="00263D90" w:rsidRDefault="00263D90" w:rsidP="00263D90">
      <w:pPr>
        <w:pStyle w:val="AmdtsEntryHd"/>
      </w:pPr>
      <w:r w:rsidRPr="00263D90">
        <w:t>Status of restricted authorisations if development approval ends in other circumstances</w:t>
      </w:r>
    </w:p>
    <w:p w14:paraId="7D336532" w14:textId="0D6215AA" w:rsidR="00263D90" w:rsidRDefault="00263D90" w:rsidP="00996540">
      <w:pPr>
        <w:pStyle w:val="AmdtsEntries"/>
      </w:pPr>
      <w:r>
        <w:t>s 24</w:t>
      </w:r>
      <w:r>
        <w:tab/>
        <w:t xml:space="preserve">am </w:t>
      </w:r>
      <w:hyperlink r:id="rId112" w:tooltip="Planning (Consequential Amendments) Act 2023" w:history="1">
        <w:r>
          <w:rPr>
            <w:rStyle w:val="charCitHyperlinkAbbrev"/>
          </w:rPr>
          <w:t>A2023-36</w:t>
        </w:r>
      </w:hyperlink>
      <w:r>
        <w:t xml:space="preserve"> amdt 1.55</w:t>
      </w:r>
    </w:p>
    <w:p w14:paraId="75ADA6CA" w14:textId="21E1BC47" w:rsidR="00263D90" w:rsidRDefault="00263D90" w:rsidP="00263D90">
      <w:pPr>
        <w:pStyle w:val="AmdtsEntryHd"/>
      </w:pPr>
      <w:r w:rsidRPr="00263D90">
        <w:t>Amendment of authorisation certificate and authorisation schedule</w:t>
      </w:r>
    </w:p>
    <w:p w14:paraId="39E06546" w14:textId="371A7D02" w:rsidR="00263D90" w:rsidRPr="00996540" w:rsidRDefault="00263D90" w:rsidP="00996540">
      <w:pPr>
        <w:pStyle w:val="AmdtsEntries"/>
      </w:pPr>
      <w:r>
        <w:t>s 39</w:t>
      </w:r>
      <w:r>
        <w:tab/>
        <w:t xml:space="preserve">am </w:t>
      </w:r>
      <w:hyperlink r:id="rId113" w:tooltip="Planning (Consequential Amendments) Act 2023" w:history="1">
        <w:r>
          <w:rPr>
            <w:rStyle w:val="charCitHyperlinkAbbrev"/>
          </w:rPr>
          <w:t>A2023-36</w:t>
        </w:r>
      </w:hyperlink>
      <w:r>
        <w:t xml:space="preserve"> amdt 1.56</w:t>
      </w:r>
    </w:p>
    <w:p w14:paraId="60A80803" w14:textId="77777777" w:rsidR="00996540" w:rsidRDefault="00996540" w:rsidP="007B112E">
      <w:pPr>
        <w:pStyle w:val="AmdtsEntryHd"/>
      </w:pPr>
      <w:r w:rsidRPr="005D4E1B">
        <w:t>Reviewable decision notices</w:t>
      </w:r>
    </w:p>
    <w:p w14:paraId="29483920" w14:textId="74FC1DDE" w:rsidR="00996540" w:rsidRPr="00996540" w:rsidRDefault="00996540" w:rsidP="00996540">
      <w:pPr>
        <w:pStyle w:val="AmdtsEntries"/>
      </w:pPr>
      <w:r>
        <w:t>s 46</w:t>
      </w:r>
      <w:r>
        <w:tab/>
        <w:t xml:space="preserve">sub </w:t>
      </w:r>
      <w:hyperlink r:id="rId114" w:tooltip="Casino and Other Gaming Legislation Amendment Act 2018" w:history="1">
        <w:r w:rsidRPr="006D2BB3">
          <w:rPr>
            <w:rStyle w:val="charCitHyperlinkAbbrev"/>
          </w:rPr>
          <w:t>A2018</w:t>
        </w:r>
        <w:r w:rsidRPr="006D2BB3">
          <w:rPr>
            <w:rStyle w:val="charCitHyperlinkAbbrev"/>
          </w:rPr>
          <w:noBreakHyphen/>
          <w:t>21</w:t>
        </w:r>
      </w:hyperlink>
      <w:r>
        <w:t xml:space="preserve"> s 20</w:t>
      </w:r>
    </w:p>
    <w:p w14:paraId="52C458E4" w14:textId="77777777" w:rsidR="00996540" w:rsidRDefault="00996540" w:rsidP="007B112E">
      <w:pPr>
        <w:pStyle w:val="AmdtsEntryHd"/>
      </w:pPr>
      <w:r w:rsidRPr="005D4E1B">
        <w:t>Casino (Electronic Gaming) Regulation 2018—sch 5</w:t>
      </w:r>
    </w:p>
    <w:p w14:paraId="5192FB9E" w14:textId="73A461A7" w:rsidR="00996540" w:rsidRDefault="00996540" w:rsidP="00996540">
      <w:pPr>
        <w:pStyle w:val="AmdtsEntries"/>
      </w:pPr>
      <w:r>
        <w:t>s 54A</w:t>
      </w:r>
      <w:r>
        <w:tab/>
        <w:t xml:space="preserve">ins </w:t>
      </w:r>
      <w:hyperlink r:id="rId115" w:tooltip="Casino and Other Gaming Legislation Amendment Act 2018" w:history="1">
        <w:r w:rsidRPr="006D2BB3">
          <w:rPr>
            <w:rStyle w:val="charCitHyperlinkAbbrev"/>
          </w:rPr>
          <w:t>A2018</w:t>
        </w:r>
        <w:r w:rsidRPr="006D2BB3">
          <w:rPr>
            <w:rStyle w:val="charCitHyperlinkAbbrev"/>
          </w:rPr>
          <w:noBreakHyphen/>
          <w:t>21</w:t>
        </w:r>
      </w:hyperlink>
      <w:r>
        <w:t xml:space="preserve"> s 21</w:t>
      </w:r>
    </w:p>
    <w:p w14:paraId="0ECBBF9B" w14:textId="77777777" w:rsidR="00996540" w:rsidRDefault="00996540" w:rsidP="00996540">
      <w:pPr>
        <w:pStyle w:val="AmdtsEntries"/>
      </w:pPr>
      <w:r>
        <w:tab/>
      </w:r>
      <w:r w:rsidRPr="00E75795">
        <w:t xml:space="preserve">exp 15 June 2018 (s </w:t>
      </w:r>
      <w:r w:rsidR="00C52D04" w:rsidRPr="00E75795">
        <w:t>54A (5))</w:t>
      </w:r>
    </w:p>
    <w:p w14:paraId="39C960EE" w14:textId="0FDE85C7" w:rsidR="00B70E1C" w:rsidRDefault="00B70E1C" w:rsidP="00B70E1C">
      <w:pPr>
        <w:pStyle w:val="AmdtsEntryHd"/>
      </w:pPr>
      <w:r w:rsidRPr="00B70E1C">
        <w:t>Consequential amendments</w:t>
      </w:r>
    </w:p>
    <w:p w14:paraId="6FCC6214" w14:textId="233A8F72" w:rsidR="00B70E1C" w:rsidRDefault="00B70E1C" w:rsidP="00996540">
      <w:pPr>
        <w:pStyle w:val="AmdtsEntries"/>
      </w:pPr>
      <w:r>
        <w:t>pt 12 hdg</w:t>
      </w:r>
      <w:r>
        <w:tab/>
        <w:t>om R5 LA</w:t>
      </w:r>
    </w:p>
    <w:p w14:paraId="6C1E0830" w14:textId="7837EDBF" w:rsidR="00B70E1C" w:rsidRDefault="00B70E1C" w:rsidP="00B70E1C">
      <w:pPr>
        <w:pStyle w:val="AmdtsEntryHd"/>
      </w:pPr>
      <w:r w:rsidRPr="00B70E1C">
        <w:t>Legislation amended—schs 3 and 4</w:t>
      </w:r>
    </w:p>
    <w:p w14:paraId="3097E84A" w14:textId="3FAE2873" w:rsidR="00B70E1C" w:rsidRPr="00E75795" w:rsidRDefault="00B70E1C" w:rsidP="00996540">
      <w:pPr>
        <w:pStyle w:val="AmdtsEntries"/>
      </w:pPr>
      <w:r>
        <w:t>s 55</w:t>
      </w:r>
      <w:r>
        <w:tab/>
        <w:t>om R5 LA</w:t>
      </w:r>
    </w:p>
    <w:p w14:paraId="398263AB" w14:textId="77777777" w:rsidR="00C52D04" w:rsidRDefault="00C52D04" w:rsidP="007B112E">
      <w:pPr>
        <w:pStyle w:val="AmdtsEntryHd"/>
        <w:rPr>
          <w:rStyle w:val="CharChapText"/>
        </w:rPr>
      </w:pPr>
      <w:r w:rsidRPr="00870994">
        <w:rPr>
          <w:rStyle w:val="CharChapText"/>
        </w:rPr>
        <w:t>Reviewable decisions</w:t>
      </w:r>
    </w:p>
    <w:p w14:paraId="5A36601A" w14:textId="20901637" w:rsidR="00C52D04" w:rsidRPr="00C52D04" w:rsidRDefault="00C52D04" w:rsidP="00C52D04">
      <w:pPr>
        <w:pStyle w:val="AmdtsEntries"/>
      </w:pPr>
      <w:r>
        <w:t>sch 1</w:t>
      </w:r>
      <w:r>
        <w:tab/>
        <w:t xml:space="preserve">am </w:t>
      </w:r>
      <w:hyperlink r:id="rId116" w:tooltip="Casino and Other Gaming Legislation Amendment Act 2018" w:history="1">
        <w:r w:rsidRPr="006D2BB3">
          <w:rPr>
            <w:rStyle w:val="charCitHyperlinkAbbrev"/>
          </w:rPr>
          <w:t>A2018</w:t>
        </w:r>
        <w:r w:rsidRPr="006D2BB3">
          <w:rPr>
            <w:rStyle w:val="charCitHyperlinkAbbrev"/>
          </w:rPr>
          <w:noBreakHyphen/>
          <w:t>21</w:t>
        </w:r>
      </w:hyperlink>
      <w:r>
        <w:t xml:space="preserve"> s 22</w:t>
      </w:r>
    </w:p>
    <w:p w14:paraId="73119C22" w14:textId="77777777" w:rsidR="007B112E" w:rsidRDefault="00D41DA0" w:rsidP="007B112E">
      <w:pPr>
        <w:pStyle w:val="AmdtsEntryHd"/>
      </w:pPr>
      <w:r>
        <w:t>Consequential amendments</w:t>
      </w:r>
    </w:p>
    <w:p w14:paraId="059FCAA0" w14:textId="77777777" w:rsidR="00633E04" w:rsidRDefault="00633E04" w:rsidP="00633E04">
      <w:pPr>
        <w:pStyle w:val="AmdtsEntries"/>
      </w:pPr>
      <w:r w:rsidRPr="00633E04">
        <w:t>sch 3</w:t>
      </w:r>
      <w:r w:rsidRPr="00633E04">
        <w:tab/>
        <w:t>om LA s 89 (3)</w:t>
      </w:r>
    </w:p>
    <w:p w14:paraId="5E2D22C8" w14:textId="77777777" w:rsidR="001F56AA" w:rsidRDefault="006D705C" w:rsidP="006D705C">
      <w:pPr>
        <w:pStyle w:val="AmdtsEntryHd"/>
      </w:pPr>
      <w:r>
        <w:t>Other amendments</w:t>
      </w:r>
      <w:r w:rsidRPr="005D4E1B">
        <w:t>—</w:t>
      </w:r>
      <w:r>
        <w:t>maximum authorisation numbers</w:t>
      </w:r>
    </w:p>
    <w:p w14:paraId="049C3784" w14:textId="6CB920D1" w:rsidR="001F56AA" w:rsidRPr="00855F37" w:rsidRDefault="001F56AA" w:rsidP="00633E04">
      <w:pPr>
        <w:pStyle w:val="AmdtsEntries"/>
      </w:pPr>
      <w:r>
        <w:t>sch 4</w:t>
      </w:r>
      <w:r>
        <w:tab/>
        <w:t xml:space="preserve">om </w:t>
      </w:r>
      <w:hyperlink r:id="rId117" w:tooltip="Gaming Legislation Amendment Act 2018" w:history="1">
        <w:r w:rsidR="00855F37" w:rsidRPr="00855F37">
          <w:rPr>
            <w:rStyle w:val="Hyperlink"/>
            <w:u w:val="none"/>
          </w:rPr>
          <w:t>A2018</w:t>
        </w:r>
        <w:r w:rsidR="00855F37" w:rsidRPr="00855F37">
          <w:rPr>
            <w:rStyle w:val="Hyperlink"/>
            <w:u w:val="none"/>
          </w:rPr>
          <w:noBreakHyphen/>
          <w:t>45</w:t>
        </w:r>
      </w:hyperlink>
      <w:r w:rsidR="00855F37">
        <w:t xml:space="preserve"> amdt 1.1</w:t>
      </w:r>
    </w:p>
    <w:p w14:paraId="780A62CB" w14:textId="77777777" w:rsidR="00C52D04" w:rsidRDefault="00C52D04" w:rsidP="004159AC">
      <w:pPr>
        <w:pStyle w:val="AmdtsEntryHd"/>
      </w:pPr>
      <w:r w:rsidRPr="005D4E1B">
        <w:lastRenderedPageBreak/>
        <w:t>Casino (Electronic Gaming) Regulation 2018</w:t>
      </w:r>
    </w:p>
    <w:p w14:paraId="417D0D84" w14:textId="7363C66E" w:rsidR="00C52D04" w:rsidRDefault="00C52D04" w:rsidP="004159AC">
      <w:pPr>
        <w:pStyle w:val="AmdtsEntries"/>
        <w:keepNext/>
      </w:pPr>
      <w:r>
        <w:t>sch 5</w:t>
      </w:r>
      <w:r>
        <w:tab/>
        <w:t xml:space="preserve">ins </w:t>
      </w:r>
      <w:hyperlink r:id="rId118" w:tooltip="Casino and Other Gaming Legislation Amendment Act 2018" w:history="1">
        <w:r w:rsidR="00284563" w:rsidRPr="006D2BB3">
          <w:rPr>
            <w:rStyle w:val="charCitHyperlinkAbbrev"/>
          </w:rPr>
          <w:t>A2018</w:t>
        </w:r>
        <w:r w:rsidR="00284563" w:rsidRPr="006D2BB3">
          <w:rPr>
            <w:rStyle w:val="charCitHyperlinkAbbrev"/>
          </w:rPr>
          <w:noBreakHyphen/>
          <w:t>21</w:t>
        </w:r>
      </w:hyperlink>
      <w:r>
        <w:t xml:space="preserve"> s 23</w:t>
      </w:r>
    </w:p>
    <w:p w14:paraId="757C5FE2" w14:textId="77777777" w:rsidR="00C52D04" w:rsidRDefault="00C52D04" w:rsidP="004159AC">
      <w:pPr>
        <w:pStyle w:val="AmdtsEntries"/>
        <w:keepNext/>
      </w:pPr>
      <w:r>
        <w:tab/>
      </w:r>
      <w:r w:rsidRPr="00E75795">
        <w:t>exp 15 June 2018 (s 54A (5))</w:t>
      </w:r>
    </w:p>
    <w:p w14:paraId="2644CFAF" w14:textId="0E6E72C3" w:rsidR="005C20AC" w:rsidRDefault="005C20AC" w:rsidP="005C20AC">
      <w:pPr>
        <w:pStyle w:val="AmdtsEntryHd"/>
      </w:pPr>
      <w:r>
        <w:t>Dictionary</w:t>
      </w:r>
    </w:p>
    <w:p w14:paraId="15F4520F" w14:textId="528D3561" w:rsidR="005C20AC" w:rsidRDefault="005C20AC" w:rsidP="00C52D04">
      <w:pPr>
        <w:pStyle w:val="AmdtsEntries"/>
      </w:pPr>
      <w:r>
        <w:t>dict</w:t>
      </w:r>
      <w:r>
        <w:tab/>
        <w:t xml:space="preserve">am </w:t>
      </w:r>
      <w:hyperlink r:id="rId119" w:tooltip="Planning (Consequential Amendments) Act 2023" w:history="1">
        <w:r>
          <w:rPr>
            <w:rStyle w:val="charCitHyperlinkAbbrev"/>
          </w:rPr>
          <w:t>A2023-36</w:t>
        </w:r>
      </w:hyperlink>
      <w:r>
        <w:t xml:space="preserve"> amdt 1.57</w:t>
      </w:r>
    </w:p>
    <w:p w14:paraId="3F7766A0" w14:textId="77777777" w:rsidR="006D705C" w:rsidRPr="006D705C" w:rsidRDefault="006D705C" w:rsidP="006D705C">
      <w:pPr>
        <w:pStyle w:val="PageBreak"/>
      </w:pPr>
      <w:r w:rsidRPr="006D705C">
        <w:br w:type="page"/>
      </w:r>
    </w:p>
    <w:p w14:paraId="62A8D5F9" w14:textId="77777777" w:rsidR="00CC5D8B" w:rsidRPr="00251CCE" w:rsidRDefault="00CC5D8B">
      <w:pPr>
        <w:pStyle w:val="Endnote20"/>
      </w:pPr>
      <w:bookmarkStart w:id="81" w:name="_Toc147827644"/>
      <w:r w:rsidRPr="00251CCE">
        <w:rPr>
          <w:rStyle w:val="charTableNo"/>
        </w:rPr>
        <w:lastRenderedPageBreak/>
        <w:t>5</w:t>
      </w:r>
      <w:r>
        <w:tab/>
      </w:r>
      <w:r w:rsidRPr="00251CCE">
        <w:rPr>
          <w:rStyle w:val="charTableText"/>
        </w:rPr>
        <w:t>Earlier republications</w:t>
      </w:r>
      <w:bookmarkEnd w:id="81"/>
    </w:p>
    <w:p w14:paraId="0225A719" w14:textId="77777777" w:rsidR="00CC5D8B" w:rsidRDefault="00CC5D8B">
      <w:pPr>
        <w:pStyle w:val="EndNoteTextPub"/>
      </w:pPr>
      <w:r>
        <w:t xml:space="preserve">Some earlier republications were not numbered. The number in column 1 refers to the publication order.  </w:t>
      </w:r>
    </w:p>
    <w:p w14:paraId="7988244C" w14:textId="77777777" w:rsidR="00CC5D8B" w:rsidRDefault="00CC5D8B">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76E57CFB" w14:textId="77777777" w:rsidR="00CC5D8B" w:rsidRDefault="00CC5D8B">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CC5D8B" w14:paraId="3388170A" w14:textId="77777777">
        <w:trPr>
          <w:tblHeader/>
        </w:trPr>
        <w:tc>
          <w:tcPr>
            <w:tcW w:w="1576" w:type="dxa"/>
            <w:tcBorders>
              <w:bottom w:val="single" w:sz="4" w:space="0" w:color="auto"/>
            </w:tcBorders>
          </w:tcPr>
          <w:p w14:paraId="5CF8A663" w14:textId="77777777" w:rsidR="00CC5D8B" w:rsidRDefault="00CC5D8B">
            <w:pPr>
              <w:pStyle w:val="EarlierRepubHdg"/>
            </w:pPr>
            <w:r>
              <w:t>Republication No and date</w:t>
            </w:r>
          </w:p>
        </w:tc>
        <w:tc>
          <w:tcPr>
            <w:tcW w:w="1681" w:type="dxa"/>
            <w:tcBorders>
              <w:bottom w:val="single" w:sz="4" w:space="0" w:color="auto"/>
            </w:tcBorders>
          </w:tcPr>
          <w:p w14:paraId="4A1411E2" w14:textId="77777777" w:rsidR="00CC5D8B" w:rsidRDefault="00CC5D8B">
            <w:pPr>
              <w:pStyle w:val="EarlierRepubHdg"/>
            </w:pPr>
            <w:r>
              <w:t>Effective</w:t>
            </w:r>
          </w:p>
        </w:tc>
        <w:tc>
          <w:tcPr>
            <w:tcW w:w="1783" w:type="dxa"/>
            <w:tcBorders>
              <w:bottom w:val="single" w:sz="4" w:space="0" w:color="auto"/>
            </w:tcBorders>
          </w:tcPr>
          <w:p w14:paraId="7EFEF6D8" w14:textId="77777777" w:rsidR="00CC5D8B" w:rsidRDefault="00CC5D8B">
            <w:pPr>
              <w:pStyle w:val="EarlierRepubHdg"/>
            </w:pPr>
            <w:r>
              <w:t>Last amendment made by</w:t>
            </w:r>
          </w:p>
        </w:tc>
        <w:tc>
          <w:tcPr>
            <w:tcW w:w="1783" w:type="dxa"/>
            <w:tcBorders>
              <w:bottom w:val="single" w:sz="4" w:space="0" w:color="auto"/>
            </w:tcBorders>
          </w:tcPr>
          <w:p w14:paraId="1650C451" w14:textId="77777777" w:rsidR="00CC5D8B" w:rsidRDefault="00CC5D8B">
            <w:pPr>
              <w:pStyle w:val="EarlierRepubHdg"/>
            </w:pPr>
            <w:r>
              <w:t>Republication for</w:t>
            </w:r>
          </w:p>
        </w:tc>
      </w:tr>
      <w:tr w:rsidR="00CC5D8B" w14:paraId="5B0807B4" w14:textId="77777777">
        <w:tc>
          <w:tcPr>
            <w:tcW w:w="1576" w:type="dxa"/>
            <w:tcBorders>
              <w:top w:val="single" w:sz="4" w:space="0" w:color="auto"/>
              <w:bottom w:val="single" w:sz="4" w:space="0" w:color="auto"/>
            </w:tcBorders>
          </w:tcPr>
          <w:p w14:paraId="06E8BCA5" w14:textId="77777777" w:rsidR="00CC5D8B" w:rsidRDefault="00CC5D8B">
            <w:pPr>
              <w:pStyle w:val="EarlierRepubEntries"/>
            </w:pPr>
            <w:r>
              <w:t>R1</w:t>
            </w:r>
            <w:r>
              <w:br/>
              <w:t>13 May 2018</w:t>
            </w:r>
          </w:p>
        </w:tc>
        <w:tc>
          <w:tcPr>
            <w:tcW w:w="1681" w:type="dxa"/>
            <w:tcBorders>
              <w:top w:val="single" w:sz="4" w:space="0" w:color="auto"/>
              <w:bottom w:val="single" w:sz="4" w:space="0" w:color="auto"/>
            </w:tcBorders>
          </w:tcPr>
          <w:p w14:paraId="2999A989" w14:textId="77777777" w:rsidR="00CC5D8B" w:rsidRDefault="00CC5D8B">
            <w:pPr>
              <w:pStyle w:val="EarlierRepubEntries"/>
            </w:pPr>
            <w:r>
              <w:t>13 May 2018–</w:t>
            </w:r>
            <w:r>
              <w:br/>
              <w:t>14 June 2018</w:t>
            </w:r>
          </w:p>
        </w:tc>
        <w:tc>
          <w:tcPr>
            <w:tcW w:w="1783" w:type="dxa"/>
            <w:tcBorders>
              <w:top w:val="single" w:sz="4" w:space="0" w:color="auto"/>
              <w:bottom w:val="single" w:sz="4" w:space="0" w:color="auto"/>
            </w:tcBorders>
          </w:tcPr>
          <w:p w14:paraId="0709AAF7" w14:textId="77777777" w:rsidR="00CC5D8B" w:rsidRDefault="00CC5D8B">
            <w:pPr>
              <w:pStyle w:val="EarlierRepubEntries"/>
            </w:pPr>
            <w:r>
              <w:t>not amended</w:t>
            </w:r>
          </w:p>
        </w:tc>
        <w:tc>
          <w:tcPr>
            <w:tcW w:w="1783" w:type="dxa"/>
            <w:tcBorders>
              <w:top w:val="single" w:sz="4" w:space="0" w:color="auto"/>
              <w:bottom w:val="single" w:sz="4" w:space="0" w:color="auto"/>
            </w:tcBorders>
          </w:tcPr>
          <w:p w14:paraId="18F07011" w14:textId="77777777" w:rsidR="00CC5D8B" w:rsidRDefault="00CC5D8B">
            <w:pPr>
              <w:pStyle w:val="EarlierRepubEntries"/>
            </w:pPr>
            <w:r>
              <w:t>new Act</w:t>
            </w:r>
          </w:p>
        </w:tc>
      </w:tr>
      <w:tr w:rsidR="00951C4D" w14:paraId="0A6F7296" w14:textId="77777777">
        <w:tc>
          <w:tcPr>
            <w:tcW w:w="1576" w:type="dxa"/>
            <w:tcBorders>
              <w:top w:val="single" w:sz="4" w:space="0" w:color="auto"/>
              <w:bottom w:val="single" w:sz="4" w:space="0" w:color="auto"/>
            </w:tcBorders>
          </w:tcPr>
          <w:p w14:paraId="5E1C61D3" w14:textId="77777777" w:rsidR="00951C4D" w:rsidRDefault="00951C4D">
            <w:pPr>
              <w:pStyle w:val="EarlierRepubEntries"/>
            </w:pPr>
            <w:r>
              <w:t>R2</w:t>
            </w:r>
            <w:r>
              <w:br/>
              <w:t>15 June 2018</w:t>
            </w:r>
          </w:p>
        </w:tc>
        <w:tc>
          <w:tcPr>
            <w:tcW w:w="1681" w:type="dxa"/>
            <w:tcBorders>
              <w:top w:val="single" w:sz="4" w:space="0" w:color="auto"/>
              <w:bottom w:val="single" w:sz="4" w:space="0" w:color="auto"/>
            </w:tcBorders>
          </w:tcPr>
          <w:p w14:paraId="01E1C8E7" w14:textId="77777777" w:rsidR="00951C4D" w:rsidRDefault="00951C4D">
            <w:pPr>
              <w:pStyle w:val="EarlierRepubEntries"/>
            </w:pPr>
            <w:r>
              <w:t>15 June 2018–</w:t>
            </w:r>
            <w:r>
              <w:br/>
              <w:t>15 June 2018</w:t>
            </w:r>
          </w:p>
        </w:tc>
        <w:tc>
          <w:tcPr>
            <w:tcW w:w="1783" w:type="dxa"/>
            <w:tcBorders>
              <w:top w:val="single" w:sz="4" w:space="0" w:color="auto"/>
              <w:bottom w:val="single" w:sz="4" w:space="0" w:color="auto"/>
            </w:tcBorders>
          </w:tcPr>
          <w:p w14:paraId="4DE4F2F3" w14:textId="22667169" w:rsidR="00951C4D" w:rsidRDefault="00811C4C">
            <w:pPr>
              <w:pStyle w:val="EarlierRepubEntries"/>
            </w:pPr>
            <w:hyperlink r:id="rId120" w:tooltip="Casino and Other Gaming Legislation Amendment Act 2018" w:history="1">
              <w:r w:rsidRPr="006D2BB3">
                <w:rPr>
                  <w:rStyle w:val="charCitHyperlinkAbbrev"/>
                </w:rPr>
                <w:t>A2018</w:t>
              </w:r>
              <w:r w:rsidRPr="006D2BB3">
                <w:rPr>
                  <w:rStyle w:val="charCitHyperlinkAbbrev"/>
                </w:rPr>
                <w:noBreakHyphen/>
                <w:t>21</w:t>
              </w:r>
            </w:hyperlink>
          </w:p>
        </w:tc>
        <w:tc>
          <w:tcPr>
            <w:tcW w:w="1783" w:type="dxa"/>
            <w:tcBorders>
              <w:top w:val="single" w:sz="4" w:space="0" w:color="auto"/>
              <w:bottom w:val="single" w:sz="4" w:space="0" w:color="auto"/>
            </w:tcBorders>
          </w:tcPr>
          <w:p w14:paraId="6349347C" w14:textId="24385E9C" w:rsidR="00951C4D" w:rsidRDefault="00951C4D">
            <w:pPr>
              <w:pStyle w:val="EarlierRepubEntries"/>
            </w:pPr>
            <w:r>
              <w:t xml:space="preserve">amendments by </w:t>
            </w:r>
            <w:hyperlink r:id="rId121" w:tooltip="Casino and Other Gaming Legislation Amendment Act 2018" w:history="1">
              <w:r w:rsidR="00811C4C" w:rsidRPr="006D2BB3">
                <w:rPr>
                  <w:rStyle w:val="charCitHyperlinkAbbrev"/>
                </w:rPr>
                <w:t>A2018</w:t>
              </w:r>
              <w:r w:rsidR="00811C4C" w:rsidRPr="006D2BB3">
                <w:rPr>
                  <w:rStyle w:val="charCitHyperlinkAbbrev"/>
                </w:rPr>
                <w:noBreakHyphen/>
                <w:t>21</w:t>
              </w:r>
            </w:hyperlink>
          </w:p>
        </w:tc>
      </w:tr>
      <w:tr w:rsidR="007425EB" w14:paraId="618CF2BB" w14:textId="77777777">
        <w:tc>
          <w:tcPr>
            <w:tcW w:w="1576" w:type="dxa"/>
            <w:tcBorders>
              <w:top w:val="single" w:sz="4" w:space="0" w:color="auto"/>
              <w:bottom w:val="single" w:sz="4" w:space="0" w:color="auto"/>
            </w:tcBorders>
          </w:tcPr>
          <w:p w14:paraId="708B896E" w14:textId="77777777" w:rsidR="007425EB" w:rsidRDefault="007425EB">
            <w:pPr>
              <w:pStyle w:val="EarlierRepubEntries"/>
            </w:pPr>
            <w:r>
              <w:t>R3</w:t>
            </w:r>
            <w:r>
              <w:br/>
              <w:t>16 June 2018</w:t>
            </w:r>
          </w:p>
        </w:tc>
        <w:tc>
          <w:tcPr>
            <w:tcW w:w="1681" w:type="dxa"/>
            <w:tcBorders>
              <w:top w:val="single" w:sz="4" w:space="0" w:color="auto"/>
              <w:bottom w:val="single" w:sz="4" w:space="0" w:color="auto"/>
            </w:tcBorders>
          </w:tcPr>
          <w:p w14:paraId="34242FDB" w14:textId="77777777" w:rsidR="007425EB" w:rsidRDefault="0050122B">
            <w:pPr>
              <w:pStyle w:val="EarlierRepubEntries"/>
            </w:pPr>
            <w:r>
              <w:t>16 June 2018–</w:t>
            </w:r>
            <w:r>
              <w:br/>
              <w:t>3 Dec</w:t>
            </w:r>
            <w:r w:rsidR="007425EB">
              <w:t xml:space="preserve"> 2018</w:t>
            </w:r>
          </w:p>
        </w:tc>
        <w:tc>
          <w:tcPr>
            <w:tcW w:w="1783" w:type="dxa"/>
            <w:tcBorders>
              <w:top w:val="single" w:sz="4" w:space="0" w:color="auto"/>
              <w:bottom w:val="single" w:sz="4" w:space="0" w:color="auto"/>
            </w:tcBorders>
          </w:tcPr>
          <w:p w14:paraId="6B4CB7CD" w14:textId="063D0266" w:rsidR="007425EB" w:rsidRDefault="007425EB">
            <w:pPr>
              <w:pStyle w:val="EarlierRepubEntries"/>
              <w:rPr>
                <w:rStyle w:val="charCitHyperlinkAbbrev"/>
              </w:rPr>
            </w:pPr>
            <w:hyperlink r:id="rId122" w:tooltip="Casino and Other Gaming Legislation Amendment Act 2018" w:history="1">
              <w:r w:rsidRPr="006D2BB3">
                <w:rPr>
                  <w:rStyle w:val="charCitHyperlinkAbbrev"/>
                </w:rPr>
                <w:t>A2018</w:t>
              </w:r>
              <w:r w:rsidRPr="006D2BB3">
                <w:rPr>
                  <w:rStyle w:val="charCitHyperlinkAbbrev"/>
                </w:rPr>
                <w:noBreakHyphen/>
                <w:t>21</w:t>
              </w:r>
            </w:hyperlink>
          </w:p>
        </w:tc>
        <w:tc>
          <w:tcPr>
            <w:tcW w:w="1783" w:type="dxa"/>
            <w:tcBorders>
              <w:top w:val="single" w:sz="4" w:space="0" w:color="auto"/>
              <w:bottom w:val="single" w:sz="4" w:space="0" w:color="auto"/>
            </w:tcBorders>
          </w:tcPr>
          <w:p w14:paraId="79342C1B" w14:textId="77777777" w:rsidR="007425EB" w:rsidRDefault="007425EB">
            <w:pPr>
              <w:pStyle w:val="EarlierRepubEntries"/>
            </w:pPr>
            <w:r w:rsidRPr="00E75795">
              <w:t>expiry of provisions (s 54A and sch 5)</w:t>
            </w:r>
          </w:p>
        </w:tc>
      </w:tr>
      <w:tr w:rsidR="005C20AC" w14:paraId="14881485" w14:textId="77777777">
        <w:tc>
          <w:tcPr>
            <w:tcW w:w="1576" w:type="dxa"/>
            <w:tcBorders>
              <w:top w:val="single" w:sz="4" w:space="0" w:color="auto"/>
              <w:bottom w:val="single" w:sz="4" w:space="0" w:color="auto"/>
            </w:tcBorders>
          </w:tcPr>
          <w:p w14:paraId="4A086748" w14:textId="180FD46B" w:rsidR="005C20AC" w:rsidRDefault="005C20AC">
            <w:pPr>
              <w:pStyle w:val="EarlierRepubEntries"/>
            </w:pPr>
            <w:r>
              <w:t>R4</w:t>
            </w:r>
            <w:r>
              <w:br/>
            </w:r>
            <w:r w:rsidR="006362B3">
              <w:t>4 Dec 2018</w:t>
            </w:r>
          </w:p>
        </w:tc>
        <w:tc>
          <w:tcPr>
            <w:tcW w:w="1681" w:type="dxa"/>
            <w:tcBorders>
              <w:top w:val="single" w:sz="4" w:space="0" w:color="auto"/>
              <w:bottom w:val="single" w:sz="4" w:space="0" w:color="auto"/>
            </w:tcBorders>
          </w:tcPr>
          <w:p w14:paraId="3F6F22ED" w14:textId="1F2A2EE4" w:rsidR="005C20AC" w:rsidRDefault="006362B3">
            <w:pPr>
              <w:pStyle w:val="EarlierRepubEntries"/>
            </w:pPr>
            <w:r>
              <w:t>4 Dec 2018–</w:t>
            </w:r>
            <w:r>
              <w:br/>
              <w:t>26 Nov 2023</w:t>
            </w:r>
          </w:p>
        </w:tc>
        <w:tc>
          <w:tcPr>
            <w:tcW w:w="1783" w:type="dxa"/>
            <w:tcBorders>
              <w:top w:val="single" w:sz="4" w:space="0" w:color="auto"/>
              <w:bottom w:val="single" w:sz="4" w:space="0" w:color="auto"/>
            </w:tcBorders>
          </w:tcPr>
          <w:p w14:paraId="259BBBE9" w14:textId="0787CE70" w:rsidR="005C20AC" w:rsidRDefault="006362B3">
            <w:pPr>
              <w:pStyle w:val="EarlierRepubEntries"/>
            </w:pPr>
            <w:hyperlink r:id="rId123" w:tooltip="Gaming Legislation Amendment Act 2018" w:history="1">
              <w:r>
                <w:rPr>
                  <w:rStyle w:val="charCitHyperlinkAbbrev"/>
                </w:rPr>
                <w:t>A2018</w:t>
              </w:r>
              <w:r>
                <w:rPr>
                  <w:rStyle w:val="charCitHyperlinkAbbrev"/>
                </w:rPr>
                <w:noBreakHyphen/>
                <w:t>45</w:t>
              </w:r>
            </w:hyperlink>
          </w:p>
        </w:tc>
        <w:tc>
          <w:tcPr>
            <w:tcW w:w="1783" w:type="dxa"/>
            <w:tcBorders>
              <w:top w:val="single" w:sz="4" w:space="0" w:color="auto"/>
              <w:bottom w:val="single" w:sz="4" w:space="0" w:color="auto"/>
            </w:tcBorders>
          </w:tcPr>
          <w:p w14:paraId="62849D01" w14:textId="360FCE1A" w:rsidR="005C20AC" w:rsidRPr="00E75795" w:rsidRDefault="006362B3">
            <w:pPr>
              <w:pStyle w:val="EarlierRepubEntries"/>
            </w:pPr>
            <w:r>
              <w:t xml:space="preserve">amendments by </w:t>
            </w:r>
            <w:hyperlink r:id="rId124" w:tooltip="Gaming Legislation Amendment Act 2018" w:history="1">
              <w:r>
                <w:rPr>
                  <w:rStyle w:val="charCitHyperlinkAbbrev"/>
                </w:rPr>
                <w:t>A2018</w:t>
              </w:r>
              <w:r>
                <w:rPr>
                  <w:rStyle w:val="charCitHyperlinkAbbrev"/>
                </w:rPr>
                <w:noBreakHyphen/>
                <w:t>45</w:t>
              </w:r>
            </w:hyperlink>
          </w:p>
        </w:tc>
      </w:tr>
    </w:tbl>
    <w:p w14:paraId="7748D190" w14:textId="77777777" w:rsidR="007B112E" w:rsidRDefault="007B112E">
      <w:pPr>
        <w:pStyle w:val="05EndNote"/>
        <w:sectPr w:rsidR="007B112E" w:rsidSect="00251CCE">
          <w:headerReference w:type="even" r:id="rId125"/>
          <w:headerReference w:type="default" r:id="rId126"/>
          <w:footerReference w:type="even" r:id="rId127"/>
          <w:footerReference w:type="default" r:id="rId128"/>
          <w:pgSz w:w="11907" w:h="16839" w:code="9"/>
          <w:pgMar w:top="3000" w:right="1900" w:bottom="2500" w:left="2300" w:header="2480" w:footer="2100" w:gutter="0"/>
          <w:cols w:space="720"/>
          <w:docGrid w:linePitch="326"/>
        </w:sectPr>
      </w:pPr>
    </w:p>
    <w:p w14:paraId="3F9C7527" w14:textId="77777777" w:rsidR="007B112E" w:rsidRDefault="007B112E"/>
    <w:p w14:paraId="70472C1C" w14:textId="77777777" w:rsidR="007B112E" w:rsidRDefault="007B112E"/>
    <w:p w14:paraId="7574314B" w14:textId="77777777" w:rsidR="007B112E" w:rsidRDefault="007B112E"/>
    <w:p w14:paraId="059405A8" w14:textId="77777777" w:rsidR="007B112E" w:rsidRDefault="007B112E">
      <w:pPr>
        <w:rPr>
          <w:color w:val="000000"/>
          <w:sz w:val="20"/>
        </w:rPr>
      </w:pPr>
    </w:p>
    <w:p w14:paraId="1AA9B7CE" w14:textId="77777777" w:rsidR="007B112E" w:rsidRDefault="007B112E">
      <w:pPr>
        <w:rPr>
          <w:color w:val="000000"/>
          <w:sz w:val="22"/>
        </w:rPr>
      </w:pPr>
    </w:p>
    <w:p w14:paraId="7BFD0F08" w14:textId="77777777" w:rsidR="007B112E" w:rsidRDefault="007B112E">
      <w:pPr>
        <w:rPr>
          <w:color w:val="000000"/>
          <w:sz w:val="22"/>
        </w:rPr>
      </w:pPr>
    </w:p>
    <w:p w14:paraId="3636A4C3" w14:textId="77777777" w:rsidR="00870994" w:rsidRDefault="00870994">
      <w:pPr>
        <w:rPr>
          <w:color w:val="000000"/>
          <w:sz w:val="22"/>
        </w:rPr>
      </w:pPr>
    </w:p>
    <w:p w14:paraId="695B943F" w14:textId="77777777" w:rsidR="00870994" w:rsidRDefault="00870994">
      <w:pPr>
        <w:rPr>
          <w:color w:val="000000"/>
          <w:sz w:val="22"/>
        </w:rPr>
      </w:pPr>
    </w:p>
    <w:p w14:paraId="795312B2" w14:textId="77777777" w:rsidR="00870994" w:rsidRDefault="00870994">
      <w:pPr>
        <w:rPr>
          <w:color w:val="000000"/>
          <w:sz w:val="22"/>
        </w:rPr>
      </w:pPr>
    </w:p>
    <w:p w14:paraId="03012064" w14:textId="41A12665" w:rsidR="007B112E" w:rsidRPr="008D4B19" w:rsidRDefault="007B112E">
      <w:pPr>
        <w:rPr>
          <w:color w:val="000000"/>
          <w:sz w:val="22"/>
        </w:rPr>
      </w:pPr>
      <w:r>
        <w:rPr>
          <w:color w:val="000000"/>
          <w:sz w:val="22"/>
        </w:rPr>
        <w:t xml:space="preserve">©  Australian Capital Territory </w:t>
      </w:r>
      <w:r w:rsidR="00251CCE">
        <w:rPr>
          <w:noProof/>
          <w:color w:val="000000"/>
          <w:sz w:val="22"/>
        </w:rPr>
        <w:t>2023</w:t>
      </w:r>
    </w:p>
    <w:p w14:paraId="5D445B31" w14:textId="77777777" w:rsidR="007B112E" w:rsidRDefault="007B112E">
      <w:pPr>
        <w:pStyle w:val="06Copyright"/>
        <w:sectPr w:rsidR="007B112E" w:rsidSect="007B112E">
          <w:headerReference w:type="even" r:id="rId129"/>
          <w:headerReference w:type="default" r:id="rId130"/>
          <w:footerReference w:type="even" r:id="rId131"/>
          <w:footerReference w:type="default" r:id="rId132"/>
          <w:headerReference w:type="first" r:id="rId133"/>
          <w:footerReference w:type="first" r:id="rId134"/>
          <w:type w:val="continuous"/>
          <w:pgSz w:w="11907" w:h="16839" w:code="9"/>
          <w:pgMar w:top="3000" w:right="1900" w:bottom="2500" w:left="2300" w:header="2480" w:footer="2100" w:gutter="0"/>
          <w:pgNumType w:fmt="lowerRoman"/>
          <w:cols w:space="720"/>
          <w:titlePg/>
          <w:docGrid w:linePitch="326"/>
        </w:sectPr>
      </w:pPr>
    </w:p>
    <w:p w14:paraId="226B4FDB" w14:textId="77777777" w:rsidR="003D7E21" w:rsidRDefault="003D7E21" w:rsidP="007B112E"/>
    <w:sectPr w:rsidR="003D7E21" w:rsidSect="007B112E">
      <w:headerReference w:type="even" r:id="rId135"/>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DE837" w14:textId="77777777" w:rsidR="00C57E8A" w:rsidRDefault="00C57E8A">
      <w:r>
        <w:separator/>
      </w:r>
    </w:p>
  </w:endnote>
  <w:endnote w:type="continuationSeparator" w:id="0">
    <w:p w14:paraId="6DD94F8C" w14:textId="77777777" w:rsidR="00C57E8A" w:rsidRDefault="00C57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9013F" w14:textId="1BDBFFB5" w:rsidR="00530D98" w:rsidRPr="00761C9F" w:rsidRDefault="00761C9F" w:rsidP="00761C9F">
    <w:pPr>
      <w:pStyle w:val="Footer"/>
      <w:jc w:val="center"/>
      <w:rPr>
        <w:rFonts w:cs="Arial"/>
        <w:sz w:val="14"/>
      </w:rPr>
    </w:pPr>
    <w:r w:rsidRPr="00761C9F">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33A3F" w14:textId="77777777" w:rsidR="0096655E" w:rsidRDefault="0096655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6655E" w:rsidRPr="00CB3D59" w14:paraId="14068551" w14:textId="77777777">
      <w:tc>
        <w:tcPr>
          <w:tcW w:w="847" w:type="pct"/>
        </w:tcPr>
        <w:p w14:paraId="42DE371D" w14:textId="77777777" w:rsidR="0096655E" w:rsidRPr="00F02A14" w:rsidRDefault="0096655E" w:rsidP="00EF5D29">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sidR="00761C99">
            <w:rPr>
              <w:rStyle w:val="PageNumber"/>
              <w:rFonts w:cs="Arial"/>
              <w:noProof/>
              <w:szCs w:val="18"/>
            </w:rPr>
            <w:t>50</w:t>
          </w:r>
          <w:r w:rsidRPr="00F02A14">
            <w:rPr>
              <w:rStyle w:val="PageNumber"/>
              <w:rFonts w:cs="Arial"/>
              <w:szCs w:val="18"/>
            </w:rPr>
            <w:fldChar w:fldCharType="end"/>
          </w:r>
        </w:p>
      </w:tc>
      <w:tc>
        <w:tcPr>
          <w:tcW w:w="3092" w:type="pct"/>
        </w:tcPr>
        <w:p w14:paraId="61F51E29" w14:textId="6FED3374" w:rsidR="0096655E" w:rsidRPr="00F02A14" w:rsidRDefault="00761C9F" w:rsidP="00EF5D29">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AC40EF" w:rsidRPr="00AC40EF">
            <w:rPr>
              <w:rFonts w:cs="Arial"/>
              <w:szCs w:val="18"/>
            </w:rPr>
            <w:t>Casino (Electronic Gaming)</w:t>
          </w:r>
          <w:r w:rsidR="00AC40EF">
            <w:t xml:space="preserve"> Act 2017</w:t>
          </w:r>
          <w:r>
            <w:fldChar w:fldCharType="end"/>
          </w:r>
        </w:p>
        <w:p w14:paraId="139307CE" w14:textId="299ACA75" w:rsidR="0096655E" w:rsidRPr="00F02A14" w:rsidRDefault="0096655E" w:rsidP="00EF5D29">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AC40EF">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AC40EF">
            <w:rPr>
              <w:rFonts w:cs="Arial"/>
              <w:szCs w:val="18"/>
            </w:rPr>
            <w:t>27/11/23</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AC40EF">
            <w:rPr>
              <w:rFonts w:cs="Arial"/>
              <w:szCs w:val="18"/>
            </w:rPr>
            <w:t>-15/11/25</w:t>
          </w:r>
          <w:r w:rsidRPr="00F02A14">
            <w:rPr>
              <w:rFonts w:cs="Arial"/>
              <w:szCs w:val="18"/>
            </w:rPr>
            <w:fldChar w:fldCharType="end"/>
          </w:r>
        </w:p>
      </w:tc>
      <w:tc>
        <w:tcPr>
          <w:tcW w:w="1061" w:type="pct"/>
        </w:tcPr>
        <w:p w14:paraId="0A9F1573" w14:textId="5703F284" w:rsidR="0096655E" w:rsidRPr="00F02A14" w:rsidRDefault="0096655E" w:rsidP="00EF5D29">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AC40EF">
            <w:rPr>
              <w:rFonts w:cs="Arial"/>
              <w:szCs w:val="18"/>
            </w:rPr>
            <w:t>R5</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AC40EF">
            <w:rPr>
              <w:rFonts w:cs="Arial"/>
              <w:szCs w:val="18"/>
            </w:rPr>
            <w:t>27/11/23</w:t>
          </w:r>
          <w:r w:rsidRPr="00F02A14">
            <w:rPr>
              <w:rFonts w:cs="Arial"/>
              <w:szCs w:val="18"/>
            </w:rPr>
            <w:fldChar w:fldCharType="end"/>
          </w:r>
        </w:p>
      </w:tc>
    </w:tr>
  </w:tbl>
  <w:p w14:paraId="5935322A" w14:textId="149B11FA" w:rsidR="0096655E" w:rsidRPr="00761C9F" w:rsidRDefault="00761C9F" w:rsidP="00761C9F">
    <w:pPr>
      <w:pStyle w:val="Status"/>
      <w:rPr>
        <w:rFonts w:cs="Arial"/>
      </w:rPr>
    </w:pPr>
    <w:r w:rsidRPr="00761C9F">
      <w:rPr>
        <w:rFonts w:cs="Arial"/>
      </w:rPr>
      <w:fldChar w:fldCharType="begin"/>
    </w:r>
    <w:r w:rsidRPr="00761C9F">
      <w:rPr>
        <w:rFonts w:cs="Arial"/>
      </w:rPr>
      <w:instrText xml:space="preserve"> DOCPROPERTY "Status" </w:instrText>
    </w:r>
    <w:r w:rsidRPr="00761C9F">
      <w:rPr>
        <w:rFonts w:cs="Arial"/>
      </w:rPr>
      <w:fldChar w:fldCharType="separate"/>
    </w:r>
    <w:r w:rsidR="00AC40EF" w:rsidRPr="00761C9F">
      <w:rPr>
        <w:rFonts w:cs="Arial"/>
      </w:rPr>
      <w:t xml:space="preserve"> </w:t>
    </w:r>
    <w:r w:rsidRPr="00761C9F">
      <w:rPr>
        <w:rFonts w:cs="Arial"/>
      </w:rPr>
      <w:fldChar w:fldCharType="end"/>
    </w:r>
    <w:r w:rsidRPr="00761C9F">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E1743" w14:textId="77777777" w:rsidR="0096655E" w:rsidRDefault="0096655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6655E" w:rsidRPr="00CB3D59" w14:paraId="33CC9706" w14:textId="77777777">
      <w:tc>
        <w:tcPr>
          <w:tcW w:w="1061" w:type="pct"/>
        </w:tcPr>
        <w:p w14:paraId="169F66E5" w14:textId="689BB051" w:rsidR="0096655E" w:rsidRPr="00F02A14" w:rsidRDefault="0096655E" w:rsidP="00EF5D29">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AC40EF">
            <w:rPr>
              <w:rFonts w:cs="Arial"/>
              <w:szCs w:val="18"/>
            </w:rPr>
            <w:t>R5</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AC40EF">
            <w:rPr>
              <w:rFonts w:cs="Arial"/>
              <w:szCs w:val="18"/>
            </w:rPr>
            <w:t>27/11/23</w:t>
          </w:r>
          <w:r w:rsidRPr="00F02A14">
            <w:rPr>
              <w:rFonts w:cs="Arial"/>
              <w:szCs w:val="18"/>
            </w:rPr>
            <w:fldChar w:fldCharType="end"/>
          </w:r>
        </w:p>
      </w:tc>
      <w:tc>
        <w:tcPr>
          <w:tcW w:w="3092" w:type="pct"/>
        </w:tcPr>
        <w:p w14:paraId="7C3B14E9" w14:textId="445BEC1F" w:rsidR="0096655E" w:rsidRPr="00F02A14" w:rsidRDefault="00761C9F" w:rsidP="00EF5D29">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AC40EF" w:rsidRPr="00AC40EF">
            <w:rPr>
              <w:rFonts w:cs="Arial"/>
              <w:szCs w:val="18"/>
            </w:rPr>
            <w:t>Casino (Electronic Gaming)</w:t>
          </w:r>
          <w:r w:rsidR="00AC40EF">
            <w:t xml:space="preserve"> Act 2017</w:t>
          </w:r>
          <w:r>
            <w:fldChar w:fldCharType="end"/>
          </w:r>
        </w:p>
        <w:p w14:paraId="019E37EB" w14:textId="36A37829" w:rsidR="0096655E" w:rsidRPr="00F02A14" w:rsidRDefault="0096655E" w:rsidP="00EF5D29">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AC40EF">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AC40EF">
            <w:rPr>
              <w:rFonts w:cs="Arial"/>
              <w:szCs w:val="18"/>
            </w:rPr>
            <w:t>27/11/23</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AC40EF">
            <w:rPr>
              <w:rFonts w:cs="Arial"/>
              <w:szCs w:val="18"/>
            </w:rPr>
            <w:t>-15/11/25</w:t>
          </w:r>
          <w:r w:rsidRPr="00F02A14">
            <w:rPr>
              <w:rFonts w:cs="Arial"/>
              <w:szCs w:val="18"/>
            </w:rPr>
            <w:fldChar w:fldCharType="end"/>
          </w:r>
        </w:p>
      </w:tc>
      <w:tc>
        <w:tcPr>
          <w:tcW w:w="847" w:type="pct"/>
        </w:tcPr>
        <w:p w14:paraId="2DD3DCDB" w14:textId="77777777" w:rsidR="0096655E" w:rsidRPr="00F02A14" w:rsidRDefault="0096655E" w:rsidP="00EF5D29">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sidR="00761C99">
            <w:rPr>
              <w:rStyle w:val="PageNumber"/>
              <w:rFonts w:cs="Arial"/>
              <w:noProof/>
              <w:szCs w:val="18"/>
            </w:rPr>
            <w:t>51</w:t>
          </w:r>
          <w:r w:rsidRPr="00F02A14">
            <w:rPr>
              <w:rStyle w:val="PageNumber"/>
              <w:rFonts w:cs="Arial"/>
              <w:szCs w:val="18"/>
            </w:rPr>
            <w:fldChar w:fldCharType="end"/>
          </w:r>
        </w:p>
      </w:tc>
    </w:tr>
  </w:tbl>
  <w:p w14:paraId="4ACAA1E0" w14:textId="772D0162" w:rsidR="0096655E" w:rsidRPr="00761C9F" w:rsidRDefault="00761C9F" w:rsidP="00761C9F">
    <w:pPr>
      <w:pStyle w:val="Status"/>
      <w:rPr>
        <w:rFonts w:cs="Arial"/>
      </w:rPr>
    </w:pPr>
    <w:r w:rsidRPr="00761C9F">
      <w:rPr>
        <w:rFonts w:cs="Arial"/>
      </w:rPr>
      <w:fldChar w:fldCharType="begin"/>
    </w:r>
    <w:r w:rsidRPr="00761C9F">
      <w:rPr>
        <w:rFonts w:cs="Arial"/>
      </w:rPr>
      <w:instrText xml:space="preserve"> DOCPROPERTY "Status" </w:instrText>
    </w:r>
    <w:r w:rsidRPr="00761C9F">
      <w:rPr>
        <w:rFonts w:cs="Arial"/>
      </w:rPr>
      <w:fldChar w:fldCharType="separate"/>
    </w:r>
    <w:r w:rsidR="00AC40EF" w:rsidRPr="00761C9F">
      <w:rPr>
        <w:rFonts w:cs="Arial"/>
      </w:rPr>
      <w:t xml:space="preserve"> </w:t>
    </w:r>
    <w:r w:rsidRPr="00761C9F">
      <w:rPr>
        <w:rFonts w:cs="Arial"/>
      </w:rPr>
      <w:fldChar w:fldCharType="end"/>
    </w:r>
    <w:r w:rsidRPr="00761C9F">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A3AB6" w14:textId="77777777" w:rsidR="0096655E" w:rsidRDefault="0096655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6655E" w14:paraId="78057BE0" w14:textId="77777777">
      <w:tc>
        <w:tcPr>
          <w:tcW w:w="847" w:type="pct"/>
        </w:tcPr>
        <w:p w14:paraId="660B08F8" w14:textId="77777777" w:rsidR="0096655E" w:rsidRDefault="0096655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761C99">
            <w:rPr>
              <w:rStyle w:val="PageNumber"/>
              <w:noProof/>
            </w:rPr>
            <w:t>54</w:t>
          </w:r>
          <w:r>
            <w:rPr>
              <w:rStyle w:val="PageNumber"/>
            </w:rPr>
            <w:fldChar w:fldCharType="end"/>
          </w:r>
        </w:p>
      </w:tc>
      <w:tc>
        <w:tcPr>
          <w:tcW w:w="3092" w:type="pct"/>
        </w:tcPr>
        <w:p w14:paraId="5063FC6B" w14:textId="53B17DC0" w:rsidR="0096655E" w:rsidRDefault="00761C9F">
          <w:pPr>
            <w:pStyle w:val="Footer"/>
            <w:jc w:val="center"/>
          </w:pPr>
          <w:r>
            <w:fldChar w:fldCharType="begin"/>
          </w:r>
          <w:r>
            <w:instrText xml:space="preserve"> REF Citation *\charformat </w:instrText>
          </w:r>
          <w:r>
            <w:fldChar w:fldCharType="separate"/>
          </w:r>
          <w:r w:rsidR="00AC40EF">
            <w:t>Casino (Electronic Gaming) Act 2017</w:t>
          </w:r>
          <w:r>
            <w:fldChar w:fldCharType="end"/>
          </w:r>
        </w:p>
        <w:p w14:paraId="26D7650C" w14:textId="3A31B537" w:rsidR="0096655E" w:rsidRDefault="00761C9F">
          <w:pPr>
            <w:pStyle w:val="FooterInfoCentre"/>
          </w:pPr>
          <w:r>
            <w:fldChar w:fldCharType="begin"/>
          </w:r>
          <w:r>
            <w:instrText xml:space="preserve"> DOCPROPERTY "Eff"  *\charformat </w:instrText>
          </w:r>
          <w:r>
            <w:fldChar w:fldCharType="separate"/>
          </w:r>
          <w:r w:rsidR="00AC40EF">
            <w:t xml:space="preserve">Effective:  </w:t>
          </w:r>
          <w:r>
            <w:fldChar w:fldCharType="end"/>
          </w:r>
          <w:r>
            <w:fldChar w:fldCharType="begin"/>
          </w:r>
          <w:r>
            <w:instrText xml:space="preserve"> DOCPROPERTY "StartDt"  *\charformat </w:instrText>
          </w:r>
          <w:r>
            <w:fldChar w:fldCharType="separate"/>
          </w:r>
          <w:r w:rsidR="00AC40EF">
            <w:t>27/11/23</w:t>
          </w:r>
          <w:r>
            <w:fldChar w:fldCharType="end"/>
          </w:r>
          <w:r>
            <w:fldChar w:fldCharType="begin"/>
          </w:r>
          <w:r>
            <w:instrText xml:space="preserve"> DOCPROPERTY "EndDt"  *\charformat </w:instrText>
          </w:r>
          <w:r>
            <w:fldChar w:fldCharType="separate"/>
          </w:r>
          <w:r w:rsidR="00AC40EF">
            <w:t>-15/11/25</w:t>
          </w:r>
          <w:r>
            <w:fldChar w:fldCharType="end"/>
          </w:r>
        </w:p>
      </w:tc>
      <w:tc>
        <w:tcPr>
          <w:tcW w:w="1061" w:type="pct"/>
        </w:tcPr>
        <w:p w14:paraId="304C3E79" w14:textId="4C078E31" w:rsidR="0096655E" w:rsidRDefault="00761C9F">
          <w:pPr>
            <w:pStyle w:val="Footer"/>
            <w:jc w:val="right"/>
          </w:pPr>
          <w:r>
            <w:fldChar w:fldCharType="begin"/>
          </w:r>
          <w:r>
            <w:instrText xml:space="preserve"> DOCPROPERTY "Category"  *\charformat  </w:instrText>
          </w:r>
          <w:r>
            <w:fldChar w:fldCharType="separate"/>
          </w:r>
          <w:r w:rsidR="00AC40EF">
            <w:t>R5</w:t>
          </w:r>
          <w:r>
            <w:fldChar w:fldCharType="end"/>
          </w:r>
          <w:r w:rsidR="0096655E">
            <w:br/>
          </w:r>
          <w:r>
            <w:fldChar w:fldCharType="begin"/>
          </w:r>
          <w:r>
            <w:instrText xml:space="preserve"> DOCPROPERTY "RepubDt"  *\charformat  </w:instrText>
          </w:r>
          <w:r>
            <w:fldChar w:fldCharType="separate"/>
          </w:r>
          <w:r w:rsidR="00AC40EF">
            <w:t>27/11/23</w:t>
          </w:r>
          <w:r>
            <w:fldChar w:fldCharType="end"/>
          </w:r>
        </w:p>
      </w:tc>
    </w:tr>
  </w:tbl>
  <w:p w14:paraId="056E2B00" w14:textId="48B23B12" w:rsidR="0096655E" w:rsidRPr="00761C9F" w:rsidRDefault="00761C9F" w:rsidP="00761C9F">
    <w:pPr>
      <w:pStyle w:val="Status"/>
      <w:rPr>
        <w:rFonts w:cs="Arial"/>
      </w:rPr>
    </w:pPr>
    <w:r w:rsidRPr="00761C9F">
      <w:rPr>
        <w:rFonts w:cs="Arial"/>
      </w:rPr>
      <w:fldChar w:fldCharType="begin"/>
    </w:r>
    <w:r w:rsidRPr="00761C9F">
      <w:rPr>
        <w:rFonts w:cs="Arial"/>
      </w:rPr>
      <w:instrText xml:space="preserve"> DOCPROPERTY "Status" </w:instrText>
    </w:r>
    <w:r w:rsidRPr="00761C9F">
      <w:rPr>
        <w:rFonts w:cs="Arial"/>
      </w:rPr>
      <w:fldChar w:fldCharType="separate"/>
    </w:r>
    <w:r w:rsidR="00AC40EF" w:rsidRPr="00761C9F">
      <w:rPr>
        <w:rFonts w:cs="Arial"/>
      </w:rPr>
      <w:t xml:space="preserve"> </w:t>
    </w:r>
    <w:r w:rsidRPr="00761C9F">
      <w:rPr>
        <w:rFonts w:cs="Arial"/>
      </w:rPr>
      <w:fldChar w:fldCharType="end"/>
    </w:r>
    <w:r w:rsidRPr="00761C9F">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A4471" w14:textId="77777777" w:rsidR="0096655E" w:rsidRDefault="0096655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6655E" w14:paraId="135470EA" w14:textId="77777777">
      <w:tc>
        <w:tcPr>
          <w:tcW w:w="1061" w:type="pct"/>
        </w:tcPr>
        <w:p w14:paraId="76304E22" w14:textId="608A94DB" w:rsidR="0096655E" w:rsidRDefault="00761C9F">
          <w:pPr>
            <w:pStyle w:val="Footer"/>
          </w:pPr>
          <w:r>
            <w:fldChar w:fldCharType="begin"/>
          </w:r>
          <w:r>
            <w:instrText xml:space="preserve"> DOCPROPERTY "Category"  *\charformat  </w:instrText>
          </w:r>
          <w:r>
            <w:fldChar w:fldCharType="separate"/>
          </w:r>
          <w:r w:rsidR="00AC40EF">
            <w:t>R5</w:t>
          </w:r>
          <w:r>
            <w:fldChar w:fldCharType="end"/>
          </w:r>
          <w:r w:rsidR="0096655E">
            <w:br/>
          </w:r>
          <w:r>
            <w:fldChar w:fldCharType="begin"/>
          </w:r>
          <w:r>
            <w:instrText xml:space="preserve"> DOCPROPERTY "RepubDt"  *\charformat  </w:instrText>
          </w:r>
          <w:r>
            <w:fldChar w:fldCharType="separate"/>
          </w:r>
          <w:r w:rsidR="00AC40EF">
            <w:t>27/11/23</w:t>
          </w:r>
          <w:r>
            <w:fldChar w:fldCharType="end"/>
          </w:r>
        </w:p>
      </w:tc>
      <w:tc>
        <w:tcPr>
          <w:tcW w:w="3092" w:type="pct"/>
        </w:tcPr>
        <w:p w14:paraId="36325934" w14:textId="7629A4C6" w:rsidR="0096655E" w:rsidRDefault="00761C9F">
          <w:pPr>
            <w:pStyle w:val="Footer"/>
            <w:jc w:val="center"/>
          </w:pPr>
          <w:r>
            <w:fldChar w:fldCharType="begin"/>
          </w:r>
          <w:r>
            <w:instrText xml:space="preserve"> REF Citation *\charformat </w:instrText>
          </w:r>
          <w:r>
            <w:fldChar w:fldCharType="separate"/>
          </w:r>
          <w:r w:rsidR="00AC40EF">
            <w:t>Casino (Electronic Gaming) Act 2017</w:t>
          </w:r>
          <w:r>
            <w:fldChar w:fldCharType="end"/>
          </w:r>
        </w:p>
        <w:p w14:paraId="4494EB32" w14:textId="39FDFE4D" w:rsidR="0096655E" w:rsidRDefault="00761C9F">
          <w:pPr>
            <w:pStyle w:val="FooterInfoCentre"/>
          </w:pPr>
          <w:r>
            <w:fldChar w:fldCharType="begin"/>
          </w:r>
          <w:r>
            <w:instrText xml:space="preserve"> DOCPROPERTY "Eff"  *\charformat </w:instrText>
          </w:r>
          <w:r>
            <w:fldChar w:fldCharType="separate"/>
          </w:r>
          <w:r w:rsidR="00AC40EF">
            <w:t xml:space="preserve">Effective:  </w:t>
          </w:r>
          <w:r>
            <w:fldChar w:fldCharType="end"/>
          </w:r>
          <w:r>
            <w:fldChar w:fldCharType="begin"/>
          </w:r>
          <w:r>
            <w:instrText xml:space="preserve"> DOCPROPERTY "StartDt"  *\charformat </w:instrText>
          </w:r>
          <w:r>
            <w:fldChar w:fldCharType="separate"/>
          </w:r>
          <w:r w:rsidR="00AC40EF">
            <w:t>27/11/23</w:t>
          </w:r>
          <w:r>
            <w:fldChar w:fldCharType="end"/>
          </w:r>
          <w:r>
            <w:fldChar w:fldCharType="begin"/>
          </w:r>
          <w:r>
            <w:instrText xml:space="preserve"> DOCPROPERTY "EndDt"  *\charformat </w:instrText>
          </w:r>
          <w:r>
            <w:fldChar w:fldCharType="separate"/>
          </w:r>
          <w:r w:rsidR="00AC40EF">
            <w:t>-15/11/25</w:t>
          </w:r>
          <w:r>
            <w:fldChar w:fldCharType="end"/>
          </w:r>
        </w:p>
      </w:tc>
      <w:tc>
        <w:tcPr>
          <w:tcW w:w="847" w:type="pct"/>
        </w:tcPr>
        <w:p w14:paraId="200FA5B2" w14:textId="77777777" w:rsidR="0096655E" w:rsidRDefault="0096655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761C99">
            <w:rPr>
              <w:rStyle w:val="PageNumber"/>
              <w:noProof/>
            </w:rPr>
            <w:t>55</w:t>
          </w:r>
          <w:r>
            <w:rPr>
              <w:rStyle w:val="PageNumber"/>
            </w:rPr>
            <w:fldChar w:fldCharType="end"/>
          </w:r>
        </w:p>
      </w:tc>
    </w:tr>
  </w:tbl>
  <w:p w14:paraId="297C6CEB" w14:textId="1C0D6396" w:rsidR="0096655E" w:rsidRPr="00761C9F" w:rsidRDefault="00761C9F" w:rsidP="00761C9F">
    <w:pPr>
      <w:pStyle w:val="Status"/>
      <w:rPr>
        <w:rFonts w:cs="Arial"/>
      </w:rPr>
    </w:pPr>
    <w:r w:rsidRPr="00761C9F">
      <w:rPr>
        <w:rFonts w:cs="Arial"/>
      </w:rPr>
      <w:fldChar w:fldCharType="begin"/>
    </w:r>
    <w:r w:rsidRPr="00761C9F">
      <w:rPr>
        <w:rFonts w:cs="Arial"/>
      </w:rPr>
      <w:instrText xml:space="preserve"> DOCPROPERTY "Status" </w:instrText>
    </w:r>
    <w:r w:rsidRPr="00761C9F">
      <w:rPr>
        <w:rFonts w:cs="Arial"/>
      </w:rPr>
      <w:fldChar w:fldCharType="separate"/>
    </w:r>
    <w:r w:rsidR="00AC40EF" w:rsidRPr="00761C9F">
      <w:rPr>
        <w:rFonts w:cs="Arial"/>
      </w:rPr>
      <w:t xml:space="preserve"> </w:t>
    </w:r>
    <w:r w:rsidRPr="00761C9F">
      <w:rPr>
        <w:rFonts w:cs="Arial"/>
      </w:rPr>
      <w:fldChar w:fldCharType="end"/>
    </w:r>
    <w:r w:rsidRPr="00761C9F">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1ACC3" w14:textId="77777777" w:rsidR="0096655E" w:rsidRDefault="0096655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6655E" w14:paraId="59D4826F" w14:textId="77777777">
      <w:tc>
        <w:tcPr>
          <w:tcW w:w="847" w:type="pct"/>
        </w:tcPr>
        <w:p w14:paraId="6EDD73A1" w14:textId="77777777" w:rsidR="0096655E" w:rsidRDefault="0096655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761C99">
            <w:rPr>
              <w:rStyle w:val="PageNumber"/>
              <w:noProof/>
            </w:rPr>
            <w:t>58</w:t>
          </w:r>
          <w:r>
            <w:rPr>
              <w:rStyle w:val="PageNumber"/>
            </w:rPr>
            <w:fldChar w:fldCharType="end"/>
          </w:r>
        </w:p>
      </w:tc>
      <w:tc>
        <w:tcPr>
          <w:tcW w:w="3092" w:type="pct"/>
        </w:tcPr>
        <w:p w14:paraId="40A9C992" w14:textId="5824F22C" w:rsidR="0096655E" w:rsidRDefault="00761C9F">
          <w:pPr>
            <w:pStyle w:val="Footer"/>
            <w:jc w:val="center"/>
          </w:pPr>
          <w:r>
            <w:fldChar w:fldCharType="begin"/>
          </w:r>
          <w:r>
            <w:instrText xml:space="preserve"> REF Citation *\charformat </w:instrText>
          </w:r>
          <w:r>
            <w:fldChar w:fldCharType="separate"/>
          </w:r>
          <w:r w:rsidR="00AC40EF">
            <w:t>Casino (Electronic Gaming) Act 2017</w:t>
          </w:r>
          <w:r>
            <w:fldChar w:fldCharType="end"/>
          </w:r>
        </w:p>
        <w:p w14:paraId="4CA6B709" w14:textId="621BC813" w:rsidR="0096655E" w:rsidRDefault="00761C9F">
          <w:pPr>
            <w:pStyle w:val="FooterInfoCentre"/>
          </w:pPr>
          <w:r>
            <w:fldChar w:fldCharType="begin"/>
          </w:r>
          <w:r>
            <w:instrText xml:space="preserve"> DOCPROPERTY "Eff"  *\charformat </w:instrText>
          </w:r>
          <w:r>
            <w:fldChar w:fldCharType="separate"/>
          </w:r>
          <w:r w:rsidR="00AC40EF">
            <w:t xml:space="preserve">Effective:  </w:t>
          </w:r>
          <w:r>
            <w:fldChar w:fldCharType="end"/>
          </w:r>
          <w:r>
            <w:fldChar w:fldCharType="begin"/>
          </w:r>
          <w:r>
            <w:instrText xml:space="preserve"> DOCPROPERTY "StartDt"  *\charformat </w:instrText>
          </w:r>
          <w:r>
            <w:fldChar w:fldCharType="separate"/>
          </w:r>
          <w:r w:rsidR="00AC40EF">
            <w:t>27/11/23</w:t>
          </w:r>
          <w:r>
            <w:fldChar w:fldCharType="end"/>
          </w:r>
          <w:r>
            <w:fldChar w:fldCharType="begin"/>
          </w:r>
          <w:r>
            <w:instrText xml:space="preserve"> DOCPROPERTY "EndDt"  *\charformat </w:instrText>
          </w:r>
          <w:r>
            <w:fldChar w:fldCharType="separate"/>
          </w:r>
          <w:r w:rsidR="00AC40EF">
            <w:t>-15/11/25</w:t>
          </w:r>
          <w:r>
            <w:fldChar w:fldCharType="end"/>
          </w:r>
        </w:p>
      </w:tc>
      <w:tc>
        <w:tcPr>
          <w:tcW w:w="1061" w:type="pct"/>
        </w:tcPr>
        <w:p w14:paraId="32C8BBAC" w14:textId="1B1C983F" w:rsidR="0096655E" w:rsidRDefault="00761C9F">
          <w:pPr>
            <w:pStyle w:val="Footer"/>
            <w:jc w:val="right"/>
          </w:pPr>
          <w:r>
            <w:fldChar w:fldCharType="begin"/>
          </w:r>
          <w:r>
            <w:instrText xml:space="preserve"> DOCPROPERTY "Category"  *\charformat  </w:instrText>
          </w:r>
          <w:r>
            <w:fldChar w:fldCharType="separate"/>
          </w:r>
          <w:r w:rsidR="00AC40EF">
            <w:t>R5</w:t>
          </w:r>
          <w:r>
            <w:fldChar w:fldCharType="end"/>
          </w:r>
          <w:r w:rsidR="0096655E">
            <w:br/>
          </w:r>
          <w:r>
            <w:fldChar w:fldCharType="begin"/>
          </w:r>
          <w:r>
            <w:instrText xml:space="preserve"> DOCPROPERTY "RepubDt"  *\charformat  </w:instrText>
          </w:r>
          <w:r>
            <w:fldChar w:fldCharType="separate"/>
          </w:r>
          <w:r w:rsidR="00AC40EF">
            <w:t>27/11/23</w:t>
          </w:r>
          <w:r>
            <w:fldChar w:fldCharType="end"/>
          </w:r>
        </w:p>
      </w:tc>
    </w:tr>
  </w:tbl>
  <w:p w14:paraId="489CCB11" w14:textId="6F2AB156" w:rsidR="0096655E" w:rsidRPr="00761C9F" w:rsidRDefault="00761C9F" w:rsidP="00761C9F">
    <w:pPr>
      <w:pStyle w:val="Status"/>
      <w:rPr>
        <w:rFonts w:cs="Arial"/>
      </w:rPr>
    </w:pPr>
    <w:r w:rsidRPr="00761C9F">
      <w:rPr>
        <w:rFonts w:cs="Arial"/>
      </w:rPr>
      <w:fldChar w:fldCharType="begin"/>
    </w:r>
    <w:r w:rsidRPr="00761C9F">
      <w:rPr>
        <w:rFonts w:cs="Arial"/>
      </w:rPr>
      <w:instrText xml:space="preserve"> DOCPROPERTY "Status" </w:instrText>
    </w:r>
    <w:r w:rsidRPr="00761C9F">
      <w:rPr>
        <w:rFonts w:cs="Arial"/>
      </w:rPr>
      <w:fldChar w:fldCharType="separate"/>
    </w:r>
    <w:r w:rsidR="00AC40EF" w:rsidRPr="00761C9F">
      <w:rPr>
        <w:rFonts w:cs="Arial"/>
      </w:rPr>
      <w:t xml:space="preserve"> </w:t>
    </w:r>
    <w:r w:rsidRPr="00761C9F">
      <w:rPr>
        <w:rFonts w:cs="Arial"/>
      </w:rPr>
      <w:fldChar w:fldCharType="end"/>
    </w:r>
    <w:r w:rsidRPr="00761C9F">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FFD58" w14:textId="77777777" w:rsidR="0096655E" w:rsidRDefault="0096655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6655E" w14:paraId="4B699A57" w14:textId="77777777">
      <w:tc>
        <w:tcPr>
          <w:tcW w:w="1061" w:type="pct"/>
        </w:tcPr>
        <w:p w14:paraId="645702FE" w14:textId="4F3CCF8B" w:rsidR="0096655E" w:rsidRDefault="00761C9F">
          <w:pPr>
            <w:pStyle w:val="Footer"/>
          </w:pPr>
          <w:r>
            <w:fldChar w:fldCharType="begin"/>
          </w:r>
          <w:r>
            <w:instrText xml:space="preserve"> DOCPROPERTY "Category"  *\charformat  </w:instrText>
          </w:r>
          <w:r>
            <w:fldChar w:fldCharType="separate"/>
          </w:r>
          <w:r w:rsidR="00AC40EF">
            <w:t>R5</w:t>
          </w:r>
          <w:r>
            <w:fldChar w:fldCharType="end"/>
          </w:r>
          <w:r w:rsidR="0096655E">
            <w:br/>
          </w:r>
          <w:r>
            <w:fldChar w:fldCharType="begin"/>
          </w:r>
          <w:r>
            <w:instrText xml:space="preserve"> DOCPROPERTY "RepubDt"  *\charformat  </w:instrText>
          </w:r>
          <w:r>
            <w:fldChar w:fldCharType="separate"/>
          </w:r>
          <w:r w:rsidR="00AC40EF">
            <w:t>27/11/23</w:t>
          </w:r>
          <w:r>
            <w:fldChar w:fldCharType="end"/>
          </w:r>
        </w:p>
      </w:tc>
      <w:tc>
        <w:tcPr>
          <w:tcW w:w="3092" w:type="pct"/>
        </w:tcPr>
        <w:p w14:paraId="791AA502" w14:textId="282D756A" w:rsidR="0096655E" w:rsidRDefault="00761C9F">
          <w:pPr>
            <w:pStyle w:val="Footer"/>
            <w:jc w:val="center"/>
          </w:pPr>
          <w:r>
            <w:fldChar w:fldCharType="begin"/>
          </w:r>
          <w:r>
            <w:instrText xml:space="preserve"> REF Citation *\charformat </w:instrText>
          </w:r>
          <w:r>
            <w:fldChar w:fldCharType="separate"/>
          </w:r>
          <w:r w:rsidR="00AC40EF">
            <w:t>Casino (Electronic Gaming) Act 2017</w:t>
          </w:r>
          <w:r>
            <w:fldChar w:fldCharType="end"/>
          </w:r>
        </w:p>
        <w:p w14:paraId="0E393CA9" w14:textId="11EC9A2A" w:rsidR="0096655E" w:rsidRDefault="00761C9F">
          <w:pPr>
            <w:pStyle w:val="FooterInfoCentre"/>
          </w:pPr>
          <w:r>
            <w:fldChar w:fldCharType="begin"/>
          </w:r>
          <w:r>
            <w:instrText xml:space="preserve"> DOCPROPERTY "Eff"  *\charformat </w:instrText>
          </w:r>
          <w:r>
            <w:fldChar w:fldCharType="separate"/>
          </w:r>
          <w:r w:rsidR="00AC40EF">
            <w:t xml:space="preserve">Effective:  </w:t>
          </w:r>
          <w:r>
            <w:fldChar w:fldCharType="end"/>
          </w:r>
          <w:r>
            <w:fldChar w:fldCharType="begin"/>
          </w:r>
          <w:r>
            <w:instrText xml:space="preserve"> DOCPROPERTY "StartDt"  *\charformat </w:instrText>
          </w:r>
          <w:r>
            <w:fldChar w:fldCharType="separate"/>
          </w:r>
          <w:r w:rsidR="00AC40EF">
            <w:t>27/11/23</w:t>
          </w:r>
          <w:r>
            <w:fldChar w:fldCharType="end"/>
          </w:r>
          <w:r>
            <w:fldChar w:fldCharType="begin"/>
          </w:r>
          <w:r>
            <w:instrText xml:space="preserve"> DOCPROPERTY "EndDt"  *\charformat </w:instrText>
          </w:r>
          <w:r>
            <w:fldChar w:fldCharType="separate"/>
          </w:r>
          <w:r w:rsidR="00AC40EF">
            <w:t>-15/11/25</w:t>
          </w:r>
          <w:r>
            <w:fldChar w:fldCharType="end"/>
          </w:r>
        </w:p>
      </w:tc>
      <w:tc>
        <w:tcPr>
          <w:tcW w:w="847" w:type="pct"/>
        </w:tcPr>
        <w:p w14:paraId="44D8C77B" w14:textId="77777777" w:rsidR="0096655E" w:rsidRDefault="0096655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761C99">
            <w:rPr>
              <w:rStyle w:val="PageNumber"/>
              <w:noProof/>
            </w:rPr>
            <w:t>59</w:t>
          </w:r>
          <w:r>
            <w:rPr>
              <w:rStyle w:val="PageNumber"/>
            </w:rPr>
            <w:fldChar w:fldCharType="end"/>
          </w:r>
        </w:p>
      </w:tc>
    </w:tr>
  </w:tbl>
  <w:p w14:paraId="2D52E196" w14:textId="7891099D" w:rsidR="0096655E" w:rsidRPr="00761C9F" w:rsidRDefault="00761C9F" w:rsidP="00761C9F">
    <w:pPr>
      <w:pStyle w:val="Status"/>
      <w:rPr>
        <w:rFonts w:cs="Arial"/>
      </w:rPr>
    </w:pPr>
    <w:r w:rsidRPr="00761C9F">
      <w:rPr>
        <w:rFonts w:cs="Arial"/>
      </w:rPr>
      <w:fldChar w:fldCharType="begin"/>
    </w:r>
    <w:r w:rsidRPr="00761C9F">
      <w:rPr>
        <w:rFonts w:cs="Arial"/>
      </w:rPr>
      <w:instrText xml:space="preserve"> DOCPROPERTY "Status" </w:instrText>
    </w:r>
    <w:r w:rsidRPr="00761C9F">
      <w:rPr>
        <w:rFonts w:cs="Arial"/>
      </w:rPr>
      <w:fldChar w:fldCharType="separate"/>
    </w:r>
    <w:r w:rsidR="00AC40EF" w:rsidRPr="00761C9F">
      <w:rPr>
        <w:rFonts w:cs="Arial"/>
      </w:rPr>
      <w:t xml:space="preserve"> </w:t>
    </w:r>
    <w:r w:rsidRPr="00761C9F">
      <w:rPr>
        <w:rFonts w:cs="Arial"/>
      </w:rPr>
      <w:fldChar w:fldCharType="end"/>
    </w:r>
    <w:r w:rsidRPr="00761C9F">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21968" w14:textId="03D847E0" w:rsidR="0096655E" w:rsidRPr="00761C9F" w:rsidRDefault="00761C9F" w:rsidP="00761C9F">
    <w:pPr>
      <w:pStyle w:val="Footer"/>
      <w:jc w:val="center"/>
      <w:rPr>
        <w:rFonts w:cs="Arial"/>
        <w:sz w:val="14"/>
      </w:rPr>
    </w:pPr>
    <w:r w:rsidRPr="00761C9F">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97C3D" w14:textId="24FC7319" w:rsidR="0096655E" w:rsidRPr="00761C9F" w:rsidRDefault="0096655E" w:rsidP="00761C9F">
    <w:pPr>
      <w:pStyle w:val="Footer"/>
      <w:jc w:val="center"/>
      <w:rPr>
        <w:rFonts w:cs="Arial"/>
        <w:sz w:val="14"/>
      </w:rPr>
    </w:pPr>
    <w:r w:rsidRPr="00761C9F">
      <w:rPr>
        <w:rFonts w:cs="Arial"/>
        <w:sz w:val="14"/>
      </w:rPr>
      <w:fldChar w:fldCharType="begin"/>
    </w:r>
    <w:r w:rsidRPr="00761C9F">
      <w:rPr>
        <w:rFonts w:cs="Arial"/>
        <w:sz w:val="14"/>
      </w:rPr>
      <w:instrText xml:space="preserve"> COMMENTS  \* MERGEFORMAT </w:instrText>
    </w:r>
    <w:r w:rsidRPr="00761C9F">
      <w:rPr>
        <w:rFonts w:cs="Arial"/>
        <w:sz w:val="14"/>
      </w:rPr>
      <w:fldChar w:fldCharType="end"/>
    </w:r>
    <w:r w:rsidR="00761C9F" w:rsidRPr="00761C9F">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ED3AF" w14:textId="53E22042" w:rsidR="0096655E" w:rsidRPr="00761C9F" w:rsidRDefault="00761C9F" w:rsidP="00761C9F">
    <w:pPr>
      <w:pStyle w:val="Footer"/>
      <w:jc w:val="center"/>
      <w:rPr>
        <w:rFonts w:cs="Arial"/>
        <w:sz w:val="14"/>
      </w:rPr>
    </w:pPr>
    <w:r w:rsidRPr="00761C9F">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E3CC5" w14:textId="6A2801DA" w:rsidR="0096655E" w:rsidRPr="00761C9F" w:rsidRDefault="0096655E" w:rsidP="00761C9F">
    <w:pPr>
      <w:pStyle w:val="Footer"/>
      <w:jc w:val="center"/>
      <w:rPr>
        <w:rFonts w:cs="Arial"/>
        <w:sz w:val="14"/>
      </w:rPr>
    </w:pPr>
    <w:r w:rsidRPr="00761C9F">
      <w:rPr>
        <w:rFonts w:cs="Arial"/>
        <w:sz w:val="14"/>
      </w:rPr>
      <w:fldChar w:fldCharType="begin"/>
    </w:r>
    <w:r w:rsidRPr="00761C9F">
      <w:rPr>
        <w:rFonts w:cs="Arial"/>
        <w:sz w:val="14"/>
      </w:rPr>
      <w:instrText xml:space="preserve"> DOCPROPERTY "Status" </w:instrText>
    </w:r>
    <w:r w:rsidRPr="00761C9F">
      <w:rPr>
        <w:rFonts w:cs="Arial"/>
        <w:sz w:val="14"/>
      </w:rPr>
      <w:fldChar w:fldCharType="separate"/>
    </w:r>
    <w:r w:rsidR="00AC40EF" w:rsidRPr="00761C9F">
      <w:rPr>
        <w:rFonts w:cs="Arial"/>
        <w:sz w:val="14"/>
      </w:rPr>
      <w:t xml:space="preserve"> </w:t>
    </w:r>
    <w:r w:rsidRPr="00761C9F">
      <w:rPr>
        <w:rFonts w:cs="Arial"/>
        <w:sz w:val="14"/>
      </w:rPr>
      <w:fldChar w:fldCharType="end"/>
    </w:r>
    <w:r w:rsidRPr="00761C9F">
      <w:rPr>
        <w:rFonts w:cs="Arial"/>
        <w:sz w:val="14"/>
      </w:rPr>
      <w:fldChar w:fldCharType="begin"/>
    </w:r>
    <w:r w:rsidRPr="00761C9F">
      <w:rPr>
        <w:rFonts w:cs="Arial"/>
        <w:sz w:val="14"/>
      </w:rPr>
      <w:instrText xml:space="preserve"> COMMENTS  \* MERGEFORMAT </w:instrText>
    </w:r>
    <w:r w:rsidRPr="00761C9F">
      <w:rPr>
        <w:rFonts w:cs="Arial"/>
        <w:sz w:val="14"/>
      </w:rPr>
      <w:fldChar w:fldCharType="end"/>
    </w:r>
    <w:r w:rsidR="00761C9F" w:rsidRPr="00761C9F">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A5FD0" w14:textId="27E7294C" w:rsidR="00530D98" w:rsidRPr="00761C9F" w:rsidRDefault="00761C9F" w:rsidP="00761C9F">
    <w:pPr>
      <w:pStyle w:val="Footer"/>
      <w:jc w:val="center"/>
      <w:rPr>
        <w:rFonts w:cs="Arial"/>
        <w:sz w:val="14"/>
      </w:rPr>
    </w:pPr>
    <w:r w:rsidRPr="00761C9F">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1EE1C" w14:textId="77777777" w:rsidR="0096655E" w:rsidRDefault="0096655E">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96655E" w14:paraId="1660502F" w14:textId="77777777">
      <w:tc>
        <w:tcPr>
          <w:tcW w:w="846" w:type="pct"/>
        </w:tcPr>
        <w:p w14:paraId="55284FA8" w14:textId="77777777" w:rsidR="0096655E" w:rsidRDefault="0096655E">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sidR="00761C99">
            <w:rPr>
              <w:rStyle w:val="PageNumber"/>
              <w:noProof/>
            </w:rPr>
            <w:t>4</w:t>
          </w:r>
          <w:r>
            <w:rPr>
              <w:rStyle w:val="PageNumber"/>
            </w:rPr>
            <w:fldChar w:fldCharType="end"/>
          </w:r>
        </w:p>
      </w:tc>
      <w:tc>
        <w:tcPr>
          <w:tcW w:w="3093" w:type="pct"/>
        </w:tcPr>
        <w:p w14:paraId="0684D5AC" w14:textId="00C998DC" w:rsidR="0096655E" w:rsidRDefault="00761C9F">
          <w:pPr>
            <w:pStyle w:val="Footer"/>
            <w:jc w:val="center"/>
          </w:pPr>
          <w:r>
            <w:fldChar w:fldCharType="begin"/>
          </w:r>
          <w:r>
            <w:instrText xml:space="preserve"> REF Citation *\charformat </w:instrText>
          </w:r>
          <w:r>
            <w:fldChar w:fldCharType="separate"/>
          </w:r>
          <w:r w:rsidR="00AC40EF">
            <w:t>Casino (Electronic Gaming) Act 2017</w:t>
          </w:r>
          <w:r>
            <w:fldChar w:fldCharType="end"/>
          </w:r>
        </w:p>
        <w:p w14:paraId="3105E1B4" w14:textId="42FA8983" w:rsidR="0096655E" w:rsidRDefault="00761C9F">
          <w:pPr>
            <w:pStyle w:val="FooterInfoCentre"/>
          </w:pPr>
          <w:r>
            <w:fldChar w:fldCharType="begin"/>
          </w:r>
          <w:r>
            <w:instrText xml:space="preserve"> DOCPROPERTY "Eff"  </w:instrText>
          </w:r>
          <w:r>
            <w:fldChar w:fldCharType="separate"/>
          </w:r>
          <w:r w:rsidR="00AC40EF">
            <w:t xml:space="preserve">Effective:  </w:t>
          </w:r>
          <w:r>
            <w:fldChar w:fldCharType="end"/>
          </w:r>
          <w:r>
            <w:fldChar w:fldCharType="begin"/>
          </w:r>
          <w:r>
            <w:instrText xml:space="preserve"> DOCPROPERTY "StartDt"   </w:instrText>
          </w:r>
          <w:r>
            <w:fldChar w:fldCharType="separate"/>
          </w:r>
          <w:r w:rsidR="00AC40EF">
            <w:t>27/11/23</w:t>
          </w:r>
          <w:r>
            <w:fldChar w:fldCharType="end"/>
          </w:r>
          <w:r>
            <w:fldChar w:fldCharType="begin"/>
          </w:r>
          <w:r>
            <w:instrText xml:space="preserve"> DOCPROPERTY "EndDt"  </w:instrText>
          </w:r>
          <w:r>
            <w:fldChar w:fldCharType="separate"/>
          </w:r>
          <w:r w:rsidR="00AC40EF">
            <w:t>-15/11/25</w:t>
          </w:r>
          <w:r>
            <w:fldChar w:fldCharType="end"/>
          </w:r>
        </w:p>
      </w:tc>
      <w:tc>
        <w:tcPr>
          <w:tcW w:w="1061" w:type="pct"/>
        </w:tcPr>
        <w:p w14:paraId="49B09566" w14:textId="1F162B5B" w:rsidR="0096655E" w:rsidRDefault="00761C9F">
          <w:pPr>
            <w:pStyle w:val="Footer"/>
            <w:jc w:val="right"/>
          </w:pPr>
          <w:r>
            <w:fldChar w:fldCharType="begin"/>
          </w:r>
          <w:r>
            <w:instrText xml:space="preserve"> DOCPROPERTY "Category"  </w:instrText>
          </w:r>
          <w:r>
            <w:fldChar w:fldCharType="separate"/>
          </w:r>
          <w:r w:rsidR="00AC40EF">
            <w:t>R5</w:t>
          </w:r>
          <w:r>
            <w:fldChar w:fldCharType="end"/>
          </w:r>
          <w:r w:rsidR="0096655E">
            <w:br/>
          </w:r>
          <w:r>
            <w:fldChar w:fldCharType="begin"/>
          </w:r>
          <w:r>
            <w:instrText xml:space="preserve"> DOCPROPERTY "RepubDt"  </w:instrText>
          </w:r>
          <w:r>
            <w:fldChar w:fldCharType="separate"/>
          </w:r>
          <w:r w:rsidR="00AC40EF">
            <w:t>27/11/23</w:t>
          </w:r>
          <w:r>
            <w:fldChar w:fldCharType="end"/>
          </w:r>
        </w:p>
      </w:tc>
    </w:tr>
  </w:tbl>
  <w:p w14:paraId="07F0E4A8" w14:textId="7D86BE11" w:rsidR="0096655E" w:rsidRPr="00761C9F" w:rsidRDefault="00761C9F" w:rsidP="00761C9F">
    <w:pPr>
      <w:pStyle w:val="Status"/>
      <w:rPr>
        <w:rFonts w:cs="Arial"/>
      </w:rPr>
    </w:pPr>
    <w:r w:rsidRPr="00761C9F">
      <w:rPr>
        <w:rFonts w:cs="Arial"/>
      </w:rPr>
      <w:fldChar w:fldCharType="begin"/>
    </w:r>
    <w:r w:rsidRPr="00761C9F">
      <w:rPr>
        <w:rFonts w:cs="Arial"/>
      </w:rPr>
      <w:instrText xml:space="preserve"> DOCPROPERTY "Status" </w:instrText>
    </w:r>
    <w:r w:rsidRPr="00761C9F">
      <w:rPr>
        <w:rFonts w:cs="Arial"/>
      </w:rPr>
      <w:fldChar w:fldCharType="separate"/>
    </w:r>
    <w:r w:rsidR="00AC40EF" w:rsidRPr="00761C9F">
      <w:rPr>
        <w:rFonts w:cs="Arial"/>
      </w:rPr>
      <w:t xml:space="preserve"> </w:t>
    </w:r>
    <w:r w:rsidRPr="00761C9F">
      <w:rPr>
        <w:rFonts w:cs="Arial"/>
      </w:rPr>
      <w:fldChar w:fldCharType="end"/>
    </w:r>
    <w:r w:rsidRPr="00761C9F">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BD854" w14:textId="77777777" w:rsidR="0096655E" w:rsidRDefault="0096655E">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96655E" w14:paraId="2B01C629" w14:textId="77777777">
      <w:tc>
        <w:tcPr>
          <w:tcW w:w="1061" w:type="pct"/>
        </w:tcPr>
        <w:p w14:paraId="4666D82C" w14:textId="141AE274" w:rsidR="0096655E" w:rsidRDefault="00761C9F">
          <w:pPr>
            <w:pStyle w:val="Footer"/>
          </w:pPr>
          <w:r>
            <w:fldChar w:fldCharType="begin"/>
          </w:r>
          <w:r>
            <w:instrText xml:space="preserve"> DOCPROPERTY "Category"  </w:instrText>
          </w:r>
          <w:r>
            <w:fldChar w:fldCharType="separate"/>
          </w:r>
          <w:r w:rsidR="00AC40EF">
            <w:t>R5</w:t>
          </w:r>
          <w:r>
            <w:fldChar w:fldCharType="end"/>
          </w:r>
          <w:r w:rsidR="0096655E">
            <w:br/>
          </w:r>
          <w:r>
            <w:fldChar w:fldCharType="begin"/>
          </w:r>
          <w:r>
            <w:instrText xml:space="preserve"> DOCPROPERTY "RepubDt"  </w:instrText>
          </w:r>
          <w:r>
            <w:fldChar w:fldCharType="separate"/>
          </w:r>
          <w:r w:rsidR="00AC40EF">
            <w:t>27/11/23</w:t>
          </w:r>
          <w:r>
            <w:fldChar w:fldCharType="end"/>
          </w:r>
        </w:p>
      </w:tc>
      <w:tc>
        <w:tcPr>
          <w:tcW w:w="3093" w:type="pct"/>
        </w:tcPr>
        <w:p w14:paraId="727FD8A9" w14:textId="0CC93131" w:rsidR="0096655E" w:rsidRDefault="00761C9F">
          <w:pPr>
            <w:pStyle w:val="Footer"/>
            <w:jc w:val="center"/>
          </w:pPr>
          <w:r>
            <w:fldChar w:fldCharType="begin"/>
          </w:r>
          <w:r>
            <w:instrText xml:space="preserve"> REF Citation *\charformat </w:instrText>
          </w:r>
          <w:r>
            <w:fldChar w:fldCharType="separate"/>
          </w:r>
          <w:r w:rsidR="00AC40EF">
            <w:t>Casino (Electronic Gaming) Act 2017</w:t>
          </w:r>
          <w:r>
            <w:fldChar w:fldCharType="end"/>
          </w:r>
        </w:p>
        <w:p w14:paraId="2DA7D2F1" w14:textId="3D3FF26A" w:rsidR="0096655E" w:rsidRDefault="00761C9F">
          <w:pPr>
            <w:pStyle w:val="FooterInfoCentre"/>
          </w:pPr>
          <w:r>
            <w:fldChar w:fldCharType="begin"/>
          </w:r>
          <w:r>
            <w:instrText xml:space="preserve"> DOCPROPERTY "Eff"  </w:instrText>
          </w:r>
          <w:r>
            <w:fldChar w:fldCharType="separate"/>
          </w:r>
          <w:r w:rsidR="00AC40EF">
            <w:t xml:space="preserve">Effective:  </w:t>
          </w:r>
          <w:r>
            <w:fldChar w:fldCharType="end"/>
          </w:r>
          <w:r>
            <w:fldChar w:fldCharType="begin"/>
          </w:r>
          <w:r>
            <w:instrText xml:space="preserve"> DOCPROPERTY "StartDt"  </w:instrText>
          </w:r>
          <w:r>
            <w:fldChar w:fldCharType="separate"/>
          </w:r>
          <w:r w:rsidR="00AC40EF">
            <w:t>27/11/23</w:t>
          </w:r>
          <w:r>
            <w:fldChar w:fldCharType="end"/>
          </w:r>
          <w:r>
            <w:fldChar w:fldCharType="begin"/>
          </w:r>
          <w:r>
            <w:instrText xml:space="preserve"> DOCPROPERTY "EndDt"  </w:instrText>
          </w:r>
          <w:r>
            <w:fldChar w:fldCharType="separate"/>
          </w:r>
          <w:r w:rsidR="00AC40EF">
            <w:t>-15/11/25</w:t>
          </w:r>
          <w:r>
            <w:fldChar w:fldCharType="end"/>
          </w:r>
        </w:p>
      </w:tc>
      <w:tc>
        <w:tcPr>
          <w:tcW w:w="846" w:type="pct"/>
        </w:tcPr>
        <w:p w14:paraId="1A5431A8" w14:textId="77777777" w:rsidR="0096655E" w:rsidRDefault="0096655E">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sidR="00761C99">
            <w:rPr>
              <w:rStyle w:val="PageNumber"/>
              <w:noProof/>
            </w:rPr>
            <w:t>3</w:t>
          </w:r>
          <w:r>
            <w:rPr>
              <w:rStyle w:val="PageNumber"/>
            </w:rPr>
            <w:fldChar w:fldCharType="end"/>
          </w:r>
        </w:p>
      </w:tc>
    </w:tr>
  </w:tbl>
  <w:p w14:paraId="7E1BDB59" w14:textId="71FC77A4" w:rsidR="0096655E" w:rsidRPr="00761C9F" w:rsidRDefault="00761C9F" w:rsidP="00761C9F">
    <w:pPr>
      <w:pStyle w:val="Status"/>
      <w:rPr>
        <w:rFonts w:cs="Arial"/>
      </w:rPr>
    </w:pPr>
    <w:r w:rsidRPr="00761C9F">
      <w:rPr>
        <w:rFonts w:cs="Arial"/>
      </w:rPr>
      <w:fldChar w:fldCharType="begin"/>
    </w:r>
    <w:r w:rsidRPr="00761C9F">
      <w:rPr>
        <w:rFonts w:cs="Arial"/>
      </w:rPr>
      <w:instrText xml:space="preserve"> DOCPROPERTY "Status" </w:instrText>
    </w:r>
    <w:r w:rsidRPr="00761C9F">
      <w:rPr>
        <w:rFonts w:cs="Arial"/>
      </w:rPr>
      <w:fldChar w:fldCharType="separate"/>
    </w:r>
    <w:r w:rsidR="00AC40EF" w:rsidRPr="00761C9F">
      <w:rPr>
        <w:rFonts w:cs="Arial"/>
      </w:rPr>
      <w:t xml:space="preserve"> </w:t>
    </w:r>
    <w:r w:rsidRPr="00761C9F">
      <w:rPr>
        <w:rFonts w:cs="Arial"/>
      </w:rPr>
      <w:fldChar w:fldCharType="end"/>
    </w:r>
    <w:r w:rsidRPr="00761C9F">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C4200" w14:textId="77777777" w:rsidR="0096655E" w:rsidRDefault="0096655E">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96655E" w14:paraId="54E06C7B" w14:textId="77777777">
      <w:tc>
        <w:tcPr>
          <w:tcW w:w="1061" w:type="pct"/>
        </w:tcPr>
        <w:p w14:paraId="0F7CCBFA" w14:textId="62CFFBD2" w:rsidR="0096655E" w:rsidRDefault="00761C9F">
          <w:pPr>
            <w:pStyle w:val="Footer"/>
          </w:pPr>
          <w:r>
            <w:fldChar w:fldCharType="begin"/>
          </w:r>
          <w:r>
            <w:instrText xml:space="preserve"> DOCPROPERTY "Category"  </w:instrText>
          </w:r>
          <w:r>
            <w:fldChar w:fldCharType="separate"/>
          </w:r>
          <w:r w:rsidR="00AC40EF">
            <w:t>R5</w:t>
          </w:r>
          <w:r>
            <w:fldChar w:fldCharType="end"/>
          </w:r>
          <w:r w:rsidR="0096655E">
            <w:br/>
          </w:r>
          <w:r>
            <w:fldChar w:fldCharType="begin"/>
          </w:r>
          <w:r>
            <w:instrText xml:space="preserve"> DOCPROPERTY "RepubDt"  </w:instrText>
          </w:r>
          <w:r>
            <w:fldChar w:fldCharType="separate"/>
          </w:r>
          <w:r w:rsidR="00AC40EF">
            <w:t>27/11/23</w:t>
          </w:r>
          <w:r>
            <w:fldChar w:fldCharType="end"/>
          </w:r>
        </w:p>
      </w:tc>
      <w:tc>
        <w:tcPr>
          <w:tcW w:w="3093" w:type="pct"/>
        </w:tcPr>
        <w:p w14:paraId="41A9DE5B" w14:textId="26F302F2" w:rsidR="0096655E" w:rsidRDefault="00761C9F">
          <w:pPr>
            <w:pStyle w:val="Footer"/>
            <w:jc w:val="center"/>
          </w:pPr>
          <w:r>
            <w:fldChar w:fldCharType="begin"/>
          </w:r>
          <w:r>
            <w:instrText xml:space="preserve"> REF Citation *\charformat </w:instrText>
          </w:r>
          <w:r>
            <w:fldChar w:fldCharType="separate"/>
          </w:r>
          <w:r w:rsidR="00AC40EF">
            <w:t>Casino (Electronic Gaming) Act 2017</w:t>
          </w:r>
          <w:r>
            <w:fldChar w:fldCharType="end"/>
          </w:r>
        </w:p>
        <w:p w14:paraId="2CC42D2A" w14:textId="56EB0F51" w:rsidR="0096655E" w:rsidRDefault="00761C9F">
          <w:pPr>
            <w:pStyle w:val="FooterInfoCentre"/>
          </w:pPr>
          <w:r>
            <w:fldChar w:fldCharType="begin"/>
          </w:r>
          <w:r>
            <w:instrText xml:space="preserve"> DOCPROPERTY "Eff"  </w:instrText>
          </w:r>
          <w:r>
            <w:fldChar w:fldCharType="separate"/>
          </w:r>
          <w:r w:rsidR="00AC40EF">
            <w:t xml:space="preserve">Effective:  </w:t>
          </w:r>
          <w:r>
            <w:fldChar w:fldCharType="end"/>
          </w:r>
          <w:r>
            <w:fldChar w:fldCharType="begin"/>
          </w:r>
          <w:r>
            <w:instrText xml:space="preserve"> DOCPROPERTY "StartDt"   </w:instrText>
          </w:r>
          <w:r>
            <w:fldChar w:fldCharType="separate"/>
          </w:r>
          <w:r w:rsidR="00AC40EF">
            <w:t>27/11/23</w:t>
          </w:r>
          <w:r>
            <w:fldChar w:fldCharType="end"/>
          </w:r>
          <w:r>
            <w:fldChar w:fldCharType="begin"/>
          </w:r>
          <w:r>
            <w:instrText xml:space="preserve"> DOCPROPERTY "EndDt"  </w:instrText>
          </w:r>
          <w:r>
            <w:fldChar w:fldCharType="separate"/>
          </w:r>
          <w:r w:rsidR="00AC40EF">
            <w:t>-15/11/25</w:t>
          </w:r>
          <w:r>
            <w:fldChar w:fldCharType="end"/>
          </w:r>
        </w:p>
      </w:tc>
      <w:tc>
        <w:tcPr>
          <w:tcW w:w="846" w:type="pct"/>
        </w:tcPr>
        <w:p w14:paraId="7D057181" w14:textId="77777777" w:rsidR="0096655E" w:rsidRDefault="0096655E">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sidR="00761C99">
            <w:rPr>
              <w:rStyle w:val="PageNumber"/>
              <w:noProof/>
            </w:rPr>
            <w:t>1</w:t>
          </w:r>
          <w:r>
            <w:rPr>
              <w:rStyle w:val="PageNumber"/>
            </w:rPr>
            <w:fldChar w:fldCharType="end"/>
          </w:r>
        </w:p>
      </w:tc>
    </w:tr>
  </w:tbl>
  <w:p w14:paraId="40AE8605" w14:textId="61ED91BA" w:rsidR="0096655E" w:rsidRPr="00761C9F" w:rsidRDefault="00761C9F" w:rsidP="00761C9F">
    <w:pPr>
      <w:pStyle w:val="Status"/>
      <w:rPr>
        <w:rFonts w:cs="Arial"/>
      </w:rPr>
    </w:pPr>
    <w:r w:rsidRPr="00761C9F">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716C8" w14:textId="77777777" w:rsidR="0096655E" w:rsidRDefault="0096655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6655E" w14:paraId="07EF120A" w14:textId="77777777">
      <w:tc>
        <w:tcPr>
          <w:tcW w:w="847" w:type="pct"/>
        </w:tcPr>
        <w:p w14:paraId="1D21E148" w14:textId="77777777" w:rsidR="0096655E" w:rsidRDefault="0096655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761C99">
            <w:rPr>
              <w:rStyle w:val="PageNumber"/>
              <w:noProof/>
            </w:rPr>
            <w:t>48</w:t>
          </w:r>
          <w:r>
            <w:rPr>
              <w:rStyle w:val="PageNumber"/>
            </w:rPr>
            <w:fldChar w:fldCharType="end"/>
          </w:r>
        </w:p>
      </w:tc>
      <w:tc>
        <w:tcPr>
          <w:tcW w:w="3092" w:type="pct"/>
        </w:tcPr>
        <w:p w14:paraId="37CC4CD7" w14:textId="67957630" w:rsidR="0096655E" w:rsidRDefault="00761C9F">
          <w:pPr>
            <w:pStyle w:val="Footer"/>
            <w:jc w:val="center"/>
          </w:pPr>
          <w:r>
            <w:fldChar w:fldCharType="begin"/>
          </w:r>
          <w:r>
            <w:instrText xml:space="preserve"> REF Citation *\charformat </w:instrText>
          </w:r>
          <w:r>
            <w:fldChar w:fldCharType="separate"/>
          </w:r>
          <w:r w:rsidR="00AC40EF">
            <w:t>Casino (Electronic Gaming) Act 2017</w:t>
          </w:r>
          <w:r>
            <w:fldChar w:fldCharType="end"/>
          </w:r>
        </w:p>
        <w:p w14:paraId="33ACAB19" w14:textId="693090EE" w:rsidR="0096655E" w:rsidRDefault="00761C9F">
          <w:pPr>
            <w:pStyle w:val="FooterInfoCentre"/>
          </w:pPr>
          <w:r>
            <w:fldChar w:fldCharType="begin"/>
          </w:r>
          <w:r>
            <w:instrText xml:space="preserve"> DOCPROPERTY "Eff"  *\charformat </w:instrText>
          </w:r>
          <w:r>
            <w:fldChar w:fldCharType="separate"/>
          </w:r>
          <w:r w:rsidR="00AC40EF">
            <w:t xml:space="preserve">Effective:  </w:t>
          </w:r>
          <w:r>
            <w:fldChar w:fldCharType="end"/>
          </w:r>
          <w:r>
            <w:fldChar w:fldCharType="begin"/>
          </w:r>
          <w:r>
            <w:instrText xml:space="preserve"> DOCPROPERTY "StartDt"  *\charformat </w:instrText>
          </w:r>
          <w:r>
            <w:fldChar w:fldCharType="separate"/>
          </w:r>
          <w:r w:rsidR="00AC40EF">
            <w:t>27/11/23</w:t>
          </w:r>
          <w:r>
            <w:fldChar w:fldCharType="end"/>
          </w:r>
          <w:r>
            <w:fldChar w:fldCharType="begin"/>
          </w:r>
          <w:r>
            <w:instrText xml:space="preserve"> DOCPROPERTY "EndDt"  *\charformat </w:instrText>
          </w:r>
          <w:r>
            <w:fldChar w:fldCharType="separate"/>
          </w:r>
          <w:r w:rsidR="00AC40EF">
            <w:t>-15/11/25</w:t>
          </w:r>
          <w:r>
            <w:fldChar w:fldCharType="end"/>
          </w:r>
        </w:p>
      </w:tc>
      <w:tc>
        <w:tcPr>
          <w:tcW w:w="1061" w:type="pct"/>
        </w:tcPr>
        <w:p w14:paraId="022CB381" w14:textId="4F4B48CD" w:rsidR="0096655E" w:rsidRDefault="00761C9F">
          <w:pPr>
            <w:pStyle w:val="Footer"/>
            <w:jc w:val="right"/>
          </w:pPr>
          <w:r>
            <w:fldChar w:fldCharType="begin"/>
          </w:r>
          <w:r>
            <w:instrText xml:space="preserve"> DOCPROPERTY "Category"  *\charformat  </w:instrText>
          </w:r>
          <w:r>
            <w:fldChar w:fldCharType="separate"/>
          </w:r>
          <w:r w:rsidR="00AC40EF">
            <w:t>R5</w:t>
          </w:r>
          <w:r>
            <w:fldChar w:fldCharType="end"/>
          </w:r>
          <w:r w:rsidR="0096655E">
            <w:br/>
          </w:r>
          <w:r>
            <w:fldChar w:fldCharType="begin"/>
          </w:r>
          <w:r>
            <w:instrText xml:space="preserve"> DOCPROPERTY "RepubDt"  *\charformat  </w:instrText>
          </w:r>
          <w:r>
            <w:fldChar w:fldCharType="separate"/>
          </w:r>
          <w:r w:rsidR="00AC40EF">
            <w:t>27/11/23</w:t>
          </w:r>
          <w:r>
            <w:fldChar w:fldCharType="end"/>
          </w:r>
        </w:p>
      </w:tc>
    </w:tr>
  </w:tbl>
  <w:p w14:paraId="7993C99F" w14:textId="061F3B27" w:rsidR="0096655E" w:rsidRPr="00761C9F" w:rsidRDefault="00761C9F" w:rsidP="00761C9F">
    <w:pPr>
      <w:pStyle w:val="Status"/>
      <w:rPr>
        <w:rFonts w:cs="Arial"/>
      </w:rPr>
    </w:pPr>
    <w:r w:rsidRPr="00761C9F">
      <w:rPr>
        <w:rFonts w:cs="Arial"/>
      </w:rPr>
      <w:fldChar w:fldCharType="begin"/>
    </w:r>
    <w:r w:rsidRPr="00761C9F">
      <w:rPr>
        <w:rFonts w:cs="Arial"/>
      </w:rPr>
      <w:instrText xml:space="preserve"> DOCPROPERTY "Status" </w:instrText>
    </w:r>
    <w:r w:rsidRPr="00761C9F">
      <w:rPr>
        <w:rFonts w:cs="Arial"/>
      </w:rPr>
      <w:fldChar w:fldCharType="separate"/>
    </w:r>
    <w:r w:rsidR="00AC40EF" w:rsidRPr="00761C9F">
      <w:rPr>
        <w:rFonts w:cs="Arial"/>
      </w:rPr>
      <w:t xml:space="preserve"> </w:t>
    </w:r>
    <w:r w:rsidRPr="00761C9F">
      <w:rPr>
        <w:rFonts w:cs="Arial"/>
      </w:rPr>
      <w:fldChar w:fldCharType="end"/>
    </w:r>
    <w:r w:rsidRPr="00761C9F">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6E408" w14:textId="77777777" w:rsidR="0096655E" w:rsidRDefault="0096655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6655E" w14:paraId="4BCA270F" w14:textId="77777777">
      <w:tc>
        <w:tcPr>
          <w:tcW w:w="1061" w:type="pct"/>
        </w:tcPr>
        <w:p w14:paraId="2756F9FF" w14:textId="071470F1" w:rsidR="0096655E" w:rsidRDefault="00761C9F">
          <w:pPr>
            <w:pStyle w:val="Footer"/>
          </w:pPr>
          <w:r>
            <w:fldChar w:fldCharType="begin"/>
          </w:r>
          <w:r>
            <w:instrText xml:space="preserve"> DOCPROPERTY "Category"  *\charformat  </w:instrText>
          </w:r>
          <w:r>
            <w:fldChar w:fldCharType="separate"/>
          </w:r>
          <w:r w:rsidR="00AC40EF">
            <w:t>R5</w:t>
          </w:r>
          <w:r>
            <w:fldChar w:fldCharType="end"/>
          </w:r>
          <w:r w:rsidR="0096655E">
            <w:br/>
          </w:r>
          <w:r>
            <w:fldChar w:fldCharType="begin"/>
          </w:r>
          <w:r>
            <w:instrText xml:space="preserve"> DOCPROPERTY "RepubDt"  *\charformat  </w:instrText>
          </w:r>
          <w:r>
            <w:fldChar w:fldCharType="separate"/>
          </w:r>
          <w:r w:rsidR="00AC40EF">
            <w:t>27/11/23</w:t>
          </w:r>
          <w:r>
            <w:fldChar w:fldCharType="end"/>
          </w:r>
        </w:p>
      </w:tc>
      <w:tc>
        <w:tcPr>
          <w:tcW w:w="3092" w:type="pct"/>
        </w:tcPr>
        <w:p w14:paraId="4EC1857A" w14:textId="538D0364" w:rsidR="0096655E" w:rsidRDefault="00761C9F">
          <w:pPr>
            <w:pStyle w:val="Footer"/>
            <w:jc w:val="center"/>
          </w:pPr>
          <w:r>
            <w:fldChar w:fldCharType="begin"/>
          </w:r>
          <w:r>
            <w:instrText xml:space="preserve"> REF Citation *\charformat </w:instrText>
          </w:r>
          <w:r>
            <w:fldChar w:fldCharType="separate"/>
          </w:r>
          <w:r w:rsidR="00AC40EF">
            <w:t>Casino (Electronic Gaming) Act 2017</w:t>
          </w:r>
          <w:r>
            <w:fldChar w:fldCharType="end"/>
          </w:r>
        </w:p>
        <w:p w14:paraId="712A6AFD" w14:textId="73B1F915" w:rsidR="0096655E" w:rsidRDefault="00761C9F">
          <w:pPr>
            <w:pStyle w:val="FooterInfoCentre"/>
          </w:pPr>
          <w:r>
            <w:fldChar w:fldCharType="begin"/>
          </w:r>
          <w:r>
            <w:instrText xml:space="preserve"> DOCPROPERTY "Eff"  *\charformat </w:instrText>
          </w:r>
          <w:r>
            <w:fldChar w:fldCharType="separate"/>
          </w:r>
          <w:r w:rsidR="00AC40EF">
            <w:t xml:space="preserve">Effective:  </w:t>
          </w:r>
          <w:r>
            <w:fldChar w:fldCharType="end"/>
          </w:r>
          <w:r>
            <w:fldChar w:fldCharType="begin"/>
          </w:r>
          <w:r>
            <w:instrText xml:space="preserve"> DOCPROPERTY "StartDt"  *\charformat </w:instrText>
          </w:r>
          <w:r>
            <w:fldChar w:fldCharType="separate"/>
          </w:r>
          <w:r w:rsidR="00AC40EF">
            <w:t>27/11/23</w:t>
          </w:r>
          <w:r>
            <w:fldChar w:fldCharType="end"/>
          </w:r>
          <w:r>
            <w:fldChar w:fldCharType="begin"/>
          </w:r>
          <w:r>
            <w:instrText xml:space="preserve"> DOCPROPERTY "EndDt"  *\charformat </w:instrText>
          </w:r>
          <w:r>
            <w:fldChar w:fldCharType="separate"/>
          </w:r>
          <w:r w:rsidR="00AC40EF">
            <w:t>-15/11/25</w:t>
          </w:r>
          <w:r>
            <w:fldChar w:fldCharType="end"/>
          </w:r>
        </w:p>
      </w:tc>
      <w:tc>
        <w:tcPr>
          <w:tcW w:w="847" w:type="pct"/>
        </w:tcPr>
        <w:p w14:paraId="03576BAB" w14:textId="77777777" w:rsidR="0096655E" w:rsidRDefault="0096655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761C99">
            <w:rPr>
              <w:rStyle w:val="PageNumber"/>
              <w:noProof/>
            </w:rPr>
            <w:t>49</w:t>
          </w:r>
          <w:r>
            <w:rPr>
              <w:rStyle w:val="PageNumber"/>
            </w:rPr>
            <w:fldChar w:fldCharType="end"/>
          </w:r>
        </w:p>
      </w:tc>
    </w:tr>
  </w:tbl>
  <w:p w14:paraId="25493D2C" w14:textId="0B38525E" w:rsidR="0096655E" w:rsidRPr="00761C9F" w:rsidRDefault="00761C9F" w:rsidP="00761C9F">
    <w:pPr>
      <w:pStyle w:val="Status"/>
      <w:rPr>
        <w:rFonts w:cs="Arial"/>
      </w:rPr>
    </w:pPr>
    <w:r w:rsidRPr="00761C9F">
      <w:rPr>
        <w:rFonts w:cs="Arial"/>
      </w:rPr>
      <w:fldChar w:fldCharType="begin"/>
    </w:r>
    <w:r w:rsidRPr="00761C9F">
      <w:rPr>
        <w:rFonts w:cs="Arial"/>
      </w:rPr>
      <w:instrText xml:space="preserve"> DOCPROPERTY "Status" </w:instrText>
    </w:r>
    <w:r w:rsidRPr="00761C9F">
      <w:rPr>
        <w:rFonts w:cs="Arial"/>
      </w:rPr>
      <w:fldChar w:fldCharType="separate"/>
    </w:r>
    <w:r w:rsidR="00AC40EF" w:rsidRPr="00761C9F">
      <w:rPr>
        <w:rFonts w:cs="Arial"/>
      </w:rPr>
      <w:t xml:space="preserve"> </w:t>
    </w:r>
    <w:r w:rsidRPr="00761C9F">
      <w:rPr>
        <w:rFonts w:cs="Arial"/>
      </w:rPr>
      <w:fldChar w:fldCharType="end"/>
    </w:r>
    <w:r w:rsidRPr="00761C9F">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A815D" w14:textId="77777777" w:rsidR="0096655E" w:rsidRDefault="0096655E">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96655E" w14:paraId="293471C8" w14:textId="77777777">
      <w:tc>
        <w:tcPr>
          <w:tcW w:w="1061" w:type="pct"/>
        </w:tcPr>
        <w:p w14:paraId="55A19DC8" w14:textId="4ECCA7FB" w:rsidR="0096655E" w:rsidRDefault="00761C9F">
          <w:pPr>
            <w:pStyle w:val="Footer"/>
          </w:pPr>
          <w:r>
            <w:fldChar w:fldCharType="begin"/>
          </w:r>
          <w:r>
            <w:instrText xml:space="preserve"> DOCPROPERTY "Category"  *\charformat  </w:instrText>
          </w:r>
          <w:r>
            <w:fldChar w:fldCharType="separate"/>
          </w:r>
          <w:r w:rsidR="00AC40EF">
            <w:t>R5</w:t>
          </w:r>
          <w:r>
            <w:fldChar w:fldCharType="end"/>
          </w:r>
          <w:r w:rsidR="0096655E">
            <w:br/>
          </w:r>
          <w:r>
            <w:fldChar w:fldCharType="begin"/>
          </w:r>
          <w:r>
            <w:instrText xml:space="preserve"> DOCPROPERTY "RepubDt"  *\charformat  </w:instrText>
          </w:r>
          <w:r>
            <w:fldChar w:fldCharType="separate"/>
          </w:r>
          <w:r w:rsidR="00AC40EF">
            <w:t>27/11/23</w:t>
          </w:r>
          <w:r>
            <w:fldChar w:fldCharType="end"/>
          </w:r>
        </w:p>
      </w:tc>
      <w:tc>
        <w:tcPr>
          <w:tcW w:w="3092" w:type="pct"/>
        </w:tcPr>
        <w:p w14:paraId="342EE90F" w14:textId="702E7959" w:rsidR="0096655E" w:rsidRDefault="00761C9F">
          <w:pPr>
            <w:pStyle w:val="Footer"/>
            <w:jc w:val="center"/>
          </w:pPr>
          <w:r>
            <w:fldChar w:fldCharType="begin"/>
          </w:r>
          <w:r>
            <w:instrText xml:space="preserve"> REF Citation *\charformat </w:instrText>
          </w:r>
          <w:r>
            <w:fldChar w:fldCharType="separate"/>
          </w:r>
          <w:r w:rsidR="00AC40EF">
            <w:t>Casino (Electronic Gaming) Act 2017</w:t>
          </w:r>
          <w:r>
            <w:fldChar w:fldCharType="end"/>
          </w:r>
        </w:p>
        <w:p w14:paraId="06AFB168" w14:textId="65F9EFA3" w:rsidR="0096655E" w:rsidRDefault="00761C9F">
          <w:pPr>
            <w:pStyle w:val="FooterInfoCentre"/>
          </w:pPr>
          <w:r>
            <w:fldChar w:fldCharType="begin"/>
          </w:r>
          <w:r>
            <w:instrText xml:space="preserve"> DOCPROPERTY "Eff"  *\charformat </w:instrText>
          </w:r>
          <w:r>
            <w:fldChar w:fldCharType="separate"/>
          </w:r>
          <w:r w:rsidR="00AC40EF">
            <w:t xml:space="preserve">Effective:  </w:t>
          </w:r>
          <w:r>
            <w:fldChar w:fldCharType="end"/>
          </w:r>
          <w:r>
            <w:fldChar w:fldCharType="begin"/>
          </w:r>
          <w:r>
            <w:instrText xml:space="preserve"> DOCPROPERTY "StartDt"  *\charformat </w:instrText>
          </w:r>
          <w:r>
            <w:fldChar w:fldCharType="separate"/>
          </w:r>
          <w:r w:rsidR="00AC40EF">
            <w:t>27/11/23</w:t>
          </w:r>
          <w:r>
            <w:fldChar w:fldCharType="end"/>
          </w:r>
          <w:r>
            <w:fldChar w:fldCharType="begin"/>
          </w:r>
          <w:r>
            <w:instrText xml:space="preserve"> DOCPROPERTY "EndDt"  *\charformat </w:instrText>
          </w:r>
          <w:r>
            <w:fldChar w:fldCharType="separate"/>
          </w:r>
          <w:r w:rsidR="00AC40EF">
            <w:t>-15/11/25</w:t>
          </w:r>
          <w:r>
            <w:fldChar w:fldCharType="end"/>
          </w:r>
        </w:p>
      </w:tc>
      <w:tc>
        <w:tcPr>
          <w:tcW w:w="847" w:type="pct"/>
        </w:tcPr>
        <w:p w14:paraId="1D3584CD" w14:textId="77777777" w:rsidR="0096655E" w:rsidRDefault="0096655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761C99">
            <w:rPr>
              <w:rStyle w:val="PageNumber"/>
              <w:noProof/>
            </w:rPr>
            <w:t>1</w:t>
          </w:r>
          <w:r>
            <w:rPr>
              <w:rStyle w:val="PageNumber"/>
            </w:rPr>
            <w:fldChar w:fldCharType="end"/>
          </w:r>
        </w:p>
      </w:tc>
    </w:tr>
  </w:tbl>
  <w:p w14:paraId="5BFDE02B" w14:textId="35369D2B" w:rsidR="0096655E" w:rsidRPr="00761C9F" w:rsidRDefault="00761C9F" w:rsidP="00761C9F">
    <w:pPr>
      <w:pStyle w:val="Status"/>
      <w:rPr>
        <w:rFonts w:cs="Arial"/>
      </w:rPr>
    </w:pPr>
    <w:r w:rsidRPr="00761C9F">
      <w:rPr>
        <w:rFonts w:cs="Arial"/>
      </w:rPr>
      <w:fldChar w:fldCharType="begin"/>
    </w:r>
    <w:r w:rsidRPr="00761C9F">
      <w:rPr>
        <w:rFonts w:cs="Arial"/>
      </w:rPr>
      <w:instrText xml:space="preserve"> DOCPROPERTY "Status" </w:instrText>
    </w:r>
    <w:r w:rsidRPr="00761C9F">
      <w:rPr>
        <w:rFonts w:cs="Arial"/>
      </w:rPr>
      <w:fldChar w:fldCharType="separate"/>
    </w:r>
    <w:r w:rsidR="00AC40EF" w:rsidRPr="00761C9F">
      <w:rPr>
        <w:rFonts w:cs="Arial"/>
      </w:rPr>
      <w:t xml:space="preserve"> </w:t>
    </w:r>
    <w:r w:rsidRPr="00761C9F">
      <w:rPr>
        <w:rFonts w:cs="Arial"/>
      </w:rPr>
      <w:fldChar w:fldCharType="end"/>
    </w:r>
    <w:r w:rsidRPr="00761C9F">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8B7EE" w14:textId="77777777" w:rsidR="00C57E8A" w:rsidRDefault="00C57E8A">
      <w:r>
        <w:separator/>
      </w:r>
    </w:p>
  </w:footnote>
  <w:footnote w:type="continuationSeparator" w:id="0">
    <w:p w14:paraId="5B45F978" w14:textId="77777777" w:rsidR="00C57E8A" w:rsidRDefault="00C57E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E4C3A" w14:textId="77777777" w:rsidR="00530D98" w:rsidRDefault="00530D9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96655E" w14:paraId="3695A619" w14:textId="77777777">
      <w:trPr>
        <w:jc w:val="center"/>
      </w:trPr>
      <w:tc>
        <w:tcPr>
          <w:tcW w:w="1340" w:type="dxa"/>
        </w:tcPr>
        <w:p w14:paraId="4F40CDC2" w14:textId="77777777" w:rsidR="0096655E" w:rsidRDefault="0096655E">
          <w:pPr>
            <w:pStyle w:val="HeaderEven"/>
          </w:pPr>
        </w:p>
      </w:tc>
      <w:tc>
        <w:tcPr>
          <w:tcW w:w="6583" w:type="dxa"/>
        </w:tcPr>
        <w:p w14:paraId="04226552" w14:textId="77777777" w:rsidR="0096655E" w:rsidRDefault="0096655E">
          <w:pPr>
            <w:pStyle w:val="HeaderEven"/>
          </w:pPr>
        </w:p>
      </w:tc>
    </w:tr>
    <w:tr w:rsidR="0096655E" w14:paraId="17C37E2F" w14:textId="77777777">
      <w:trPr>
        <w:jc w:val="center"/>
      </w:trPr>
      <w:tc>
        <w:tcPr>
          <w:tcW w:w="7923" w:type="dxa"/>
          <w:gridSpan w:val="2"/>
          <w:tcBorders>
            <w:bottom w:val="single" w:sz="4" w:space="0" w:color="auto"/>
          </w:tcBorders>
        </w:tcPr>
        <w:p w14:paraId="2611E679" w14:textId="77777777" w:rsidR="0096655E" w:rsidRDefault="0096655E">
          <w:pPr>
            <w:pStyle w:val="HeaderEven6"/>
          </w:pPr>
          <w:r>
            <w:t>Dictionary</w:t>
          </w:r>
        </w:p>
      </w:tc>
    </w:tr>
  </w:tbl>
  <w:p w14:paraId="41CC9CD4" w14:textId="77777777" w:rsidR="0096655E" w:rsidRDefault="0096655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96655E" w14:paraId="1551D45E" w14:textId="77777777">
      <w:trPr>
        <w:jc w:val="center"/>
      </w:trPr>
      <w:tc>
        <w:tcPr>
          <w:tcW w:w="6583" w:type="dxa"/>
        </w:tcPr>
        <w:p w14:paraId="3495BD28" w14:textId="77777777" w:rsidR="0096655E" w:rsidRDefault="0096655E">
          <w:pPr>
            <w:pStyle w:val="HeaderOdd"/>
          </w:pPr>
        </w:p>
      </w:tc>
      <w:tc>
        <w:tcPr>
          <w:tcW w:w="1340" w:type="dxa"/>
        </w:tcPr>
        <w:p w14:paraId="6F867C0C" w14:textId="77777777" w:rsidR="0096655E" w:rsidRDefault="0096655E">
          <w:pPr>
            <w:pStyle w:val="HeaderOdd"/>
          </w:pPr>
        </w:p>
      </w:tc>
    </w:tr>
    <w:tr w:rsidR="0096655E" w14:paraId="44059BEE" w14:textId="77777777">
      <w:trPr>
        <w:jc w:val="center"/>
      </w:trPr>
      <w:tc>
        <w:tcPr>
          <w:tcW w:w="7923" w:type="dxa"/>
          <w:gridSpan w:val="2"/>
          <w:tcBorders>
            <w:bottom w:val="single" w:sz="4" w:space="0" w:color="auto"/>
          </w:tcBorders>
        </w:tcPr>
        <w:p w14:paraId="7F4CE54C" w14:textId="77777777" w:rsidR="0096655E" w:rsidRDefault="0096655E">
          <w:pPr>
            <w:pStyle w:val="HeaderOdd6"/>
          </w:pPr>
          <w:r>
            <w:t>Dictionary</w:t>
          </w:r>
        </w:p>
      </w:tc>
    </w:tr>
  </w:tbl>
  <w:p w14:paraId="263BD51A" w14:textId="77777777" w:rsidR="0096655E" w:rsidRDefault="0096655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96655E" w14:paraId="61D853A9" w14:textId="77777777">
      <w:trPr>
        <w:jc w:val="center"/>
      </w:trPr>
      <w:tc>
        <w:tcPr>
          <w:tcW w:w="1234" w:type="dxa"/>
          <w:gridSpan w:val="2"/>
        </w:tcPr>
        <w:p w14:paraId="1D47C747" w14:textId="77777777" w:rsidR="0096655E" w:rsidRDefault="0096655E">
          <w:pPr>
            <w:pStyle w:val="HeaderEven"/>
            <w:rPr>
              <w:b/>
            </w:rPr>
          </w:pPr>
          <w:r>
            <w:rPr>
              <w:b/>
            </w:rPr>
            <w:t>Endnotes</w:t>
          </w:r>
        </w:p>
      </w:tc>
      <w:tc>
        <w:tcPr>
          <w:tcW w:w="6062" w:type="dxa"/>
        </w:tcPr>
        <w:p w14:paraId="65B4BD8A" w14:textId="77777777" w:rsidR="0096655E" w:rsidRDefault="0096655E">
          <w:pPr>
            <w:pStyle w:val="HeaderEven"/>
          </w:pPr>
        </w:p>
      </w:tc>
    </w:tr>
    <w:tr w:rsidR="0096655E" w14:paraId="1CDB58C2" w14:textId="77777777">
      <w:trPr>
        <w:cantSplit/>
        <w:jc w:val="center"/>
      </w:trPr>
      <w:tc>
        <w:tcPr>
          <w:tcW w:w="7296" w:type="dxa"/>
          <w:gridSpan w:val="3"/>
        </w:tcPr>
        <w:p w14:paraId="430E7640" w14:textId="77777777" w:rsidR="0096655E" w:rsidRDefault="0096655E">
          <w:pPr>
            <w:pStyle w:val="HeaderEven"/>
          </w:pPr>
        </w:p>
      </w:tc>
    </w:tr>
    <w:tr w:rsidR="0096655E" w14:paraId="29A92935" w14:textId="77777777">
      <w:trPr>
        <w:cantSplit/>
        <w:jc w:val="center"/>
      </w:trPr>
      <w:tc>
        <w:tcPr>
          <w:tcW w:w="700" w:type="dxa"/>
          <w:tcBorders>
            <w:bottom w:val="single" w:sz="4" w:space="0" w:color="auto"/>
          </w:tcBorders>
        </w:tcPr>
        <w:p w14:paraId="25E8C659" w14:textId="1D4FE51A" w:rsidR="0096655E" w:rsidRDefault="00761C9F">
          <w:pPr>
            <w:pStyle w:val="HeaderEven6"/>
          </w:pPr>
          <w:r>
            <w:rPr>
              <w:noProof/>
            </w:rPr>
            <w:fldChar w:fldCharType="begin"/>
          </w:r>
          <w:r>
            <w:rPr>
              <w:noProof/>
            </w:rPr>
            <w:instrText xml:space="preserve"> STYLEREF charTableNo \*charformat </w:instrText>
          </w:r>
          <w:r>
            <w:rPr>
              <w:noProof/>
            </w:rPr>
            <w:fldChar w:fldCharType="separate"/>
          </w:r>
          <w:r>
            <w:rPr>
              <w:noProof/>
            </w:rPr>
            <w:t>5</w:t>
          </w:r>
          <w:r>
            <w:rPr>
              <w:noProof/>
            </w:rPr>
            <w:fldChar w:fldCharType="end"/>
          </w:r>
        </w:p>
      </w:tc>
      <w:tc>
        <w:tcPr>
          <w:tcW w:w="6600" w:type="dxa"/>
          <w:gridSpan w:val="2"/>
          <w:tcBorders>
            <w:bottom w:val="single" w:sz="4" w:space="0" w:color="auto"/>
          </w:tcBorders>
        </w:tcPr>
        <w:p w14:paraId="6E0DFCD3" w14:textId="40F23BA6" w:rsidR="0096655E" w:rsidRDefault="00761C9F">
          <w:pPr>
            <w:pStyle w:val="HeaderEven6"/>
          </w:pPr>
          <w:r>
            <w:rPr>
              <w:noProof/>
            </w:rPr>
            <w:fldChar w:fldCharType="begin"/>
          </w:r>
          <w:r>
            <w:rPr>
              <w:noProof/>
            </w:rPr>
            <w:instrText xml:space="preserve"> STYLEREF charTableText \*charformat </w:instrText>
          </w:r>
          <w:r>
            <w:rPr>
              <w:noProof/>
            </w:rPr>
            <w:fldChar w:fldCharType="separate"/>
          </w:r>
          <w:r>
            <w:rPr>
              <w:noProof/>
            </w:rPr>
            <w:t>Earlier republications</w:t>
          </w:r>
          <w:r>
            <w:rPr>
              <w:noProof/>
            </w:rPr>
            <w:fldChar w:fldCharType="end"/>
          </w:r>
        </w:p>
      </w:tc>
    </w:tr>
  </w:tbl>
  <w:p w14:paraId="599EA826" w14:textId="77777777" w:rsidR="0096655E" w:rsidRDefault="0096655E">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96655E" w14:paraId="34228D2E" w14:textId="77777777">
      <w:trPr>
        <w:jc w:val="center"/>
      </w:trPr>
      <w:tc>
        <w:tcPr>
          <w:tcW w:w="5741" w:type="dxa"/>
        </w:tcPr>
        <w:p w14:paraId="0C2EAF50" w14:textId="77777777" w:rsidR="0096655E" w:rsidRDefault="0096655E">
          <w:pPr>
            <w:pStyle w:val="HeaderEven"/>
            <w:jc w:val="right"/>
          </w:pPr>
        </w:p>
      </w:tc>
      <w:tc>
        <w:tcPr>
          <w:tcW w:w="1560" w:type="dxa"/>
          <w:gridSpan w:val="2"/>
        </w:tcPr>
        <w:p w14:paraId="76083693" w14:textId="77777777" w:rsidR="0096655E" w:rsidRDefault="0096655E">
          <w:pPr>
            <w:pStyle w:val="HeaderEven"/>
            <w:jc w:val="right"/>
            <w:rPr>
              <w:b/>
            </w:rPr>
          </w:pPr>
          <w:r>
            <w:rPr>
              <w:b/>
            </w:rPr>
            <w:t>Endnotes</w:t>
          </w:r>
        </w:p>
      </w:tc>
    </w:tr>
    <w:tr w:rsidR="0096655E" w14:paraId="01490A17" w14:textId="77777777">
      <w:trPr>
        <w:jc w:val="center"/>
      </w:trPr>
      <w:tc>
        <w:tcPr>
          <w:tcW w:w="7301" w:type="dxa"/>
          <w:gridSpan w:val="3"/>
        </w:tcPr>
        <w:p w14:paraId="2C8EE738" w14:textId="77777777" w:rsidR="0096655E" w:rsidRDefault="0096655E">
          <w:pPr>
            <w:pStyle w:val="HeaderEven"/>
            <w:jc w:val="right"/>
            <w:rPr>
              <w:b/>
            </w:rPr>
          </w:pPr>
        </w:p>
      </w:tc>
    </w:tr>
    <w:tr w:rsidR="0096655E" w14:paraId="51CEC8D5" w14:textId="77777777">
      <w:trPr>
        <w:jc w:val="center"/>
      </w:trPr>
      <w:tc>
        <w:tcPr>
          <w:tcW w:w="6600" w:type="dxa"/>
          <w:gridSpan w:val="2"/>
          <w:tcBorders>
            <w:bottom w:val="single" w:sz="4" w:space="0" w:color="auto"/>
          </w:tcBorders>
        </w:tcPr>
        <w:p w14:paraId="6A14D76A" w14:textId="18D1EFDA" w:rsidR="0096655E" w:rsidRDefault="00761C9F">
          <w:pPr>
            <w:pStyle w:val="HeaderOdd6"/>
          </w:pPr>
          <w:r>
            <w:rPr>
              <w:noProof/>
            </w:rPr>
            <w:fldChar w:fldCharType="begin"/>
          </w:r>
          <w:r>
            <w:rPr>
              <w:noProof/>
            </w:rPr>
            <w:instrText xml:space="preserve"> STYLEREF charTableText \*charformat </w:instrText>
          </w:r>
          <w:r>
            <w:rPr>
              <w:noProof/>
            </w:rPr>
            <w:fldChar w:fldCharType="separate"/>
          </w:r>
          <w:r>
            <w:rPr>
              <w:noProof/>
            </w:rPr>
            <w:t>Amendment history</w:t>
          </w:r>
          <w:r>
            <w:rPr>
              <w:noProof/>
            </w:rPr>
            <w:fldChar w:fldCharType="end"/>
          </w:r>
        </w:p>
      </w:tc>
      <w:tc>
        <w:tcPr>
          <w:tcW w:w="700" w:type="dxa"/>
          <w:tcBorders>
            <w:bottom w:val="single" w:sz="4" w:space="0" w:color="auto"/>
          </w:tcBorders>
        </w:tcPr>
        <w:p w14:paraId="3C98ED27" w14:textId="0216E293" w:rsidR="0096655E" w:rsidRDefault="00761C9F">
          <w:pPr>
            <w:pStyle w:val="HeaderOdd6"/>
          </w:pPr>
          <w:r>
            <w:rPr>
              <w:noProof/>
            </w:rPr>
            <w:fldChar w:fldCharType="begin"/>
          </w:r>
          <w:r>
            <w:rPr>
              <w:noProof/>
            </w:rPr>
            <w:instrText xml:space="preserve"> STYLEREF charTableNo \*charformat </w:instrText>
          </w:r>
          <w:r>
            <w:rPr>
              <w:noProof/>
            </w:rPr>
            <w:fldChar w:fldCharType="separate"/>
          </w:r>
          <w:r>
            <w:rPr>
              <w:noProof/>
            </w:rPr>
            <w:t>4</w:t>
          </w:r>
          <w:r>
            <w:rPr>
              <w:noProof/>
            </w:rPr>
            <w:fldChar w:fldCharType="end"/>
          </w:r>
        </w:p>
      </w:tc>
    </w:tr>
  </w:tbl>
  <w:p w14:paraId="04FB8127" w14:textId="77777777" w:rsidR="0096655E" w:rsidRDefault="0096655E">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04FAB" w14:textId="77777777" w:rsidR="0096655E" w:rsidRDefault="0096655E">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DB88C" w14:textId="77777777" w:rsidR="0096655E" w:rsidRDefault="0096655E">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2AFCB" w14:textId="77777777" w:rsidR="0096655E" w:rsidRDefault="0096655E">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96655E" w:rsidRPr="00E06D02" w14:paraId="6F2D4319" w14:textId="77777777" w:rsidTr="00567644">
      <w:trPr>
        <w:jc w:val="center"/>
      </w:trPr>
      <w:tc>
        <w:tcPr>
          <w:tcW w:w="1068" w:type="pct"/>
        </w:tcPr>
        <w:p w14:paraId="28890E33" w14:textId="77777777" w:rsidR="0096655E" w:rsidRPr="00567644" w:rsidRDefault="0096655E" w:rsidP="00567644">
          <w:pPr>
            <w:pStyle w:val="HeaderEven"/>
            <w:tabs>
              <w:tab w:val="left" w:pos="700"/>
            </w:tabs>
            <w:ind w:left="697" w:hanging="697"/>
            <w:rPr>
              <w:rFonts w:cs="Arial"/>
              <w:szCs w:val="18"/>
            </w:rPr>
          </w:pPr>
        </w:p>
      </w:tc>
      <w:tc>
        <w:tcPr>
          <w:tcW w:w="3932" w:type="pct"/>
        </w:tcPr>
        <w:p w14:paraId="2CF286E1" w14:textId="77777777" w:rsidR="0096655E" w:rsidRPr="00567644" w:rsidRDefault="0096655E" w:rsidP="00567644">
          <w:pPr>
            <w:pStyle w:val="HeaderEven"/>
            <w:tabs>
              <w:tab w:val="left" w:pos="700"/>
            </w:tabs>
            <w:ind w:left="697" w:hanging="697"/>
            <w:rPr>
              <w:rFonts w:cs="Arial"/>
              <w:szCs w:val="18"/>
            </w:rPr>
          </w:pPr>
        </w:p>
      </w:tc>
    </w:tr>
    <w:tr w:rsidR="0096655E" w:rsidRPr="00E06D02" w14:paraId="4DBCB2E4" w14:textId="77777777" w:rsidTr="00567644">
      <w:trPr>
        <w:jc w:val="center"/>
      </w:trPr>
      <w:tc>
        <w:tcPr>
          <w:tcW w:w="1068" w:type="pct"/>
        </w:tcPr>
        <w:p w14:paraId="3673FC5C" w14:textId="77777777" w:rsidR="0096655E" w:rsidRPr="00567644" w:rsidRDefault="0096655E" w:rsidP="00567644">
          <w:pPr>
            <w:pStyle w:val="HeaderEven"/>
            <w:tabs>
              <w:tab w:val="left" w:pos="700"/>
            </w:tabs>
            <w:ind w:left="697" w:hanging="697"/>
            <w:rPr>
              <w:rFonts w:cs="Arial"/>
              <w:szCs w:val="18"/>
            </w:rPr>
          </w:pPr>
        </w:p>
      </w:tc>
      <w:tc>
        <w:tcPr>
          <w:tcW w:w="3932" w:type="pct"/>
        </w:tcPr>
        <w:p w14:paraId="1AA52D04" w14:textId="77777777" w:rsidR="0096655E" w:rsidRPr="00567644" w:rsidRDefault="0096655E" w:rsidP="00567644">
          <w:pPr>
            <w:pStyle w:val="HeaderEven"/>
            <w:tabs>
              <w:tab w:val="left" w:pos="700"/>
            </w:tabs>
            <w:ind w:left="697" w:hanging="697"/>
            <w:rPr>
              <w:rFonts w:cs="Arial"/>
              <w:szCs w:val="18"/>
            </w:rPr>
          </w:pPr>
        </w:p>
      </w:tc>
    </w:tr>
    <w:tr w:rsidR="0096655E" w:rsidRPr="00E06D02" w14:paraId="1D9B19D4" w14:textId="77777777" w:rsidTr="00567644">
      <w:trPr>
        <w:cantSplit/>
        <w:jc w:val="center"/>
      </w:trPr>
      <w:tc>
        <w:tcPr>
          <w:tcW w:w="4997" w:type="pct"/>
          <w:gridSpan w:val="2"/>
          <w:tcBorders>
            <w:bottom w:val="single" w:sz="4" w:space="0" w:color="auto"/>
          </w:tcBorders>
        </w:tcPr>
        <w:p w14:paraId="5B27B6C2" w14:textId="77777777" w:rsidR="0096655E" w:rsidRPr="00567644" w:rsidRDefault="0096655E" w:rsidP="00567644">
          <w:pPr>
            <w:pStyle w:val="HeaderEven6"/>
            <w:tabs>
              <w:tab w:val="left" w:pos="700"/>
            </w:tabs>
            <w:ind w:left="697" w:hanging="697"/>
            <w:rPr>
              <w:szCs w:val="18"/>
            </w:rPr>
          </w:pPr>
        </w:p>
      </w:tc>
    </w:tr>
  </w:tbl>
  <w:p w14:paraId="623A9C53" w14:textId="77777777" w:rsidR="0096655E" w:rsidRDefault="0096655E"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961DB" w14:textId="77777777" w:rsidR="00530D98" w:rsidRDefault="00530D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6458E" w14:textId="77777777" w:rsidR="00530D98" w:rsidRDefault="00530D9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96655E" w14:paraId="2ABD1168" w14:textId="77777777">
      <w:tc>
        <w:tcPr>
          <w:tcW w:w="900" w:type="pct"/>
        </w:tcPr>
        <w:p w14:paraId="18391E4F" w14:textId="77777777" w:rsidR="0096655E" w:rsidRDefault="0096655E">
          <w:pPr>
            <w:pStyle w:val="HeaderEven"/>
          </w:pPr>
        </w:p>
      </w:tc>
      <w:tc>
        <w:tcPr>
          <w:tcW w:w="4100" w:type="pct"/>
        </w:tcPr>
        <w:p w14:paraId="624C78A4" w14:textId="77777777" w:rsidR="0096655E" w:rsidRDefault="0096655E">
          <w:pPr>
            <w:pStyle w:val="HeaderEven"/>
          </w:pPr>
        </w:p>
      </w:tc>
    </w:tr>
    <w:tr w:rsidR="0096655E" w14:paraId="7F14FB63" w14:textId="77777777">
      <w:tc>
        <w:tcPr>
          <w:tcW w:w="4100" w:type="pct"/>
          <w:gridSpan w:val="2"/>
          <w:tcBorders>
            <w:bottom w:val="single" w:sz="4" w:space="0" w:color="auto"/>
          </w:tcBorders>
        </w:tcPr>
        <w:p w14:paraId="325196DA" w14:textId="1232424A" w:rsidR="0096655E" w:rsidRDefault="00761C9F">
          <w:pPr>
            <w:pStyle w:val="HeaderEven6"/>
          </w:pPr>
          <w:r>
            <w:rPr>
              <w:noProof/>
            </w:rPr>
            <w:fldChar w:fldCharType="begin"/>
          </w:r>
          <w:r>
            <w:rPr>
              <w:noProof/>
            </w:rPr>
            <w:instrText xml:space="preserve"> STYLEREF charContents \* MERGEFORMAT </w:instrText>
          </w:r>
          <w:r>
            <w:rPr>
              <w:noProof/>
            </w:rPr>
            <w:fldChar w:fldCharType="separate"/>
          </w:r>
          <w:r>
            <w:rPr>
              <w:noProof/>
            </w:rPr>
            <w:t>Contents</w:t>
          </w:r>
          <w:r>
            <w:rPr>
              <w:noProof/>
            </w:rPr>
            <w:fldChar w:fldCharType="end"/>
          </w:r>
        </w:p>
      </w:tc>
    </w:tr>
  </w:tbl>
  <w:p w14:paraId="62FD0F21" w14:textId="1ECDB95F" w:rsidR="0096655E" w:rsidRDefault="0096655E">
    <w:pPr>
      <w:pStyle w:val="N-9pt"/>
    </w:pPr>
    <w:r>
      <w:tab/>
    </w:r>
    <w:r>
      <w:rPr>
        <w:noProof/>
      </w:rPr>
      <w:fldChar w:fldCharType="begin"/>
    </w:r>
    <w:r>
      <w:rPr>
        <w:noProof/>
      </w:rPr>
      <w:instrText xml:space="preserve"> STYLEREF charPage \* MERGEFORMAT </w:instrText>
    </w:r>
    <w:r>
      <w:rPr>
        <w:noProof/>
      </w:rPr>
      <w:fldChar w:fldCharType="separate"/>
    </w:r>
    <w:r w:rsidR="00761C9F">
      <w:rPr>
        <w:noProof/>
      </w:rPr>
      <w:t>Page</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96655E" w14:paraId="7269B7E1" w14:textId="77777777">
      <w:tc>
        <w:tcPr>
          <w:tcW w:w="4100" w:type="pct"/>
        </w:tcPr>
        <w:p w14:paraId="57F85E18" w14:textId="77777777" w:rsidR="0096655E" w:rsidRDefault="0096655E">
          <w:pPr>
            <w:pStyle w:val="HeaderOdd"/>
          </w:pPr>
        </w:p>
      </w:tc>
      <w:tc>
        <w:tcPr>
          <w:tcW w:w="900" w:type="pct"/>
        </w:tcPr>
        <w:p w14:paraId="6E3E9868" w14:textId="77777777" w:rsidR="0096655E" w:rsidRDefault="0096655E">
          <w:pPr>
            <w:pStyle w:val="HeaderOdd"/>
          </w:pPr>
        </w:p>
      </w:tc>
    </w:tr>
    <w:tr w:rsidR="0096655E" w14:paraId="4FDA4E10" w14:textId="77777777">
      <w:tc>
        <w:tcPr>
          <w:tcW w:w="900" w:type="pct"/>
          <w:gridSpan w:val="2"/>
          <w:tcBorders>
            <w:bottom w:val="single" w:sz="4" w:space="0" w:color="auto"/>
          </w:tcBorders>
        </w:tcPr>
        <w:p w14:paraId="5CC0145E" w14:textId="21082379" w:rsidR="0096655E" w:rsidRDefault="00761C9F">
          <w:pPr>
            <w:pStyle w:val="HeaderOdd6"/>
          </w:pPr>
          <w:r>
            <w:rPr>
              <w:noProof/>
            </w:rPr>
            <w:fldChar w:fldCharType="begin"/>
          </w:r>
          <w:r>
            <w:rPr>
              <w:noProof/>
            </w:rPr>
            <w:instrText xml:space="preserve"> STYLEREF charContents \* MERGEFORMAT </w:instrText>
          </w:r>
          <w:r>
            <w:rPr>
              <w:noProof/>
            </w:rPr>
            <w:fldChar w:fldCharType="separate"/>
          </w:r>
          <w:r>
            <w:rPr>
              <w:noProof/>
            </w:rPr>
            <w:t>Contents</w:t>
          </w:r>
          <w:r>
            <w:rPr>
              <w:noProof/>
            </w:rPr>
            <w:fldChar w:fldCharType="end"/>
          </w:r>
        </w:p>
      </w:tc>
    </w:tr>
  </w:tbl>
  <w:p w14:paraId="04F19595" w14:textId="19AD3308" w:rsidR="0096655E" w:rsidRDefault="0096655E">
    <w:pPr>
      <w:pStyle w:val="N-9pt"/>
    </w:pPr>
    <w:r>
      <w:tab/>
    </w:r>
    <w:r>
      <w:rPr>
        <w:noProof/>
      </w:rPr>
      <w:fldChar w:fldCharType="begin"/>
    </w:r>
    <w:r>
      <w:rPr>
        <w:noProof/>
      </w:rPr>
      <w:instrText xml:space="preserve"> STYLEREF charPage \* MERGEFORMAT </w:instrText>
    </w:r>
    <w:r>
      <w:rPr>
        <w:noProof/>
      </w:rPr>
      <w:fldChar w:fldCharType="separate"/>
    </w:r>
    <w:r w:rsidR="00761C9F">
      <w:rPr>
        <w:noProof/>
      </w:rPr>
      <w:t>Page</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96655E" w14:paraId="0E71547C" w14:textId="77777777">
      <w:tc>
        <w:tcPr>
          <w:tcW w:w="900" w:type="pct"/>
        </w:tcPr>
        <w:p w14:paraId="122BCDE7" w14:textId="2809B694" w:rsidR="0096655E" w:rsidRDefault="0096655E">
          <w:pPr>
            <w:pStyle w:val="HeaderEven"/>
            <w:rPr>
              <w:b/>
            </w:rPr>
          </w:pPr>
          <w:r>
            <w:rPr>
              <w:b/>
            </w:rPr>
            <w:fldChar w:fldCharType="begin"/>
          </w:r>
          <w:r>
            <w:rPr>
              <w:b/>
            </w:rPr>
            <w:instrText xml:space="preserve"> STYLEREF CharPartNo \*charformat </w:instrText>
          </w:r>
          <w:r>
            <w:rPr>
              <w:b/>
            </w:rPr>
            <w:fldChar w:fldCharType="separate"/>
          </w:r>
          <w:r w:rsidR="00761C9F">
            <w:rPr>
              <w:b/>
              <w:noProof/>
            </w:rPr>
            <w:t>Part 2</w:t>
          </w:r>
          <w:r>
            <w:rPr>
              <w:b/>
            </w:rPr>
            <w:fldChar w:fldCharType="end"/>
          </w:r>
        </w:p>
      </w:tc>
      <w:tc>
        <w:tcPr>
          <w:tcW w:w="4100" w:type="pct"/>
        </w:tcPr>
        <w:p w14:paraId="3586C647" w14:textId="0C98377F" w:rsidR="0096655E" w:rsidRDefault="00761C9F">
          <w:pPr>
            <w:pStyle w:val="HeaderEven"/>
          </w:pPr>
          <w:r>
            <w:rPr>
              <w:noProof/>
            </w:rPr>
            <w:fldChar w:fldCharType="begin"/>
          </w:r>
          <w:r>
            <w:rPr>
              <w:noProof/>
            </w:rPr>
            <w:instrText xml:space="preserve"> STYLEREF CharPartText \*charformat </w:instrText>
          </w:r>
          <w:r>
            <w:rPr>
              <w:noProof/>
            </w:rPr>
            <w:fldChar w:fldCharType="separate"/>
          </w:r>
          <w:r>
            <w:rPr>
              <w:noProof/>
            </w:rPr>
            <w:t>Important concepts</w:t>
          </w:r>
          <w:r>
            <w:rPr>
              <w:noProof/>
            </w:rPr>
            <w:fldChar w:fldCharType="end"/>
          </w:r>
        </w:p>
      </w:tc>
    </w:tr>
    <w:tr w:rsidR="0096655E" w14:paraId="0DE4171D" w14:textId="77777777">
      <w:tc>
        <w:tcPr>
          <w:tcW w:w="900" w:type="pct"/>
        </w:tcPr>
        <w:p w14:paraId="2CC2BF7D" w14:textId="7899D60F" w:rsidR="0096655E" w:rsidRDefault="0096655E">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4638D8DB" w14:textId="1DA905D5" w:rsidR="0096655E" w:rsidRDefault="0096655E">
          <w:pPr>
            <w:pStyle w:val="HeaderEven"/>
          </w:pPr>
          <w:r>
            <w:fldChar w:fldCharType="begin"/>
          </w:r>
          <w:r>
            <w:instrText xml:space="preserve"> STYLEREF CharDivText \*charformat </w:instrText>
          </w:r>
          <w:r>
            <w:fldChar w:fldCharType="end"/>
          </w:r>
        </w:p>
      </w:tc>
    </w:tr>
    <w:tr w:rsidR="0096655E" w14:paraId="6E14CFE3" w14:textId="77777777">
      <w:trPr>
        <w:cantSplit/>
      </w:trPr>
      <w:tc>
        <w:tcPr>
          <w:tcW w:w="4997" w:type="pct"/>
          <w:gridSpan w:val="2"/>
          <w:tcBorders>
            <w:bottom w:val="single" w:sz="4" w:space="0" w:color="auto"/>
          </w:tcBorders>
        </w:tcPr>
        <w:p w14:paraId="025766F1" w14:textId="6A5372AA" w:rsidR="0096655E" w:rsidRDefault="00761C9F">
          <w:pPr>
            <w:pStyle w:val="HeaderEven6"/>
          </w:pPr>
          <w:r>
            <w:fldChar w:fldCharType="begin"/>
          </w:r>
          <w:r>
            <w:instrText xml:space="preserve"> DOCPROPERTY "Company"  \* MERGEFORMAT </w:instrText>
          </w:r>
          <w:r>
            <w:fldChar w:fldCharType="separate"/>
          </w:r>
          <w:r w:rsidR="00AC40EF">
            <w:t>Section</w:t>
          </w:r>
          <w:r>
            <w:fldChar w:fldCharType="end"/>
          </w:r>
          <w:r w:rsidR="0096655E">
            <w:t xml:space="preserve"> </w:t>
          </w:r>
          <w:r>
            <w:rPr>
              <w:noProof/>
            </w:rPr>
            <w:fldChar w:fldCharType="begin"/>
          </w:r>
          <w:r>
            <w:rPr>
              <w:noProof/>
            </w:rPr>
            <w:instrText xml:space="preserve"> STYLEREF CharSectNo \*charformat </w:instrText>
          </w:r>
          <w:r>
            <w:rPr>
              <w:noProof/>
            </w:rPr>
            <w:fldChar w:fldCharType="separate"/>
          </w:r>
          <w:r>
            <w:rPr>
              <w:noProof/>
            </w:rPr>
            <w:t>6</w:t>
          </w:r>
          <w:r>
            <w:rPr>
              <w:noProof/>
            </w:rPr>
            <w:fldChar w:fldCharType="end"/>
          </w:r>
        </w:p>
      </w:tc>
    </w:tr>
  </w:tbl>
  <w:p w14:paraId="2F783B58" w14:textId="77777777" w:rsidR="0096655E" w:rsidRDefault="0096655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96655E" w14:paraId="4F5945D6" w14:textId="77777777">
      <w:tc>
        <w:tcPr>
          <w:tcW w:w="4100" w:type="pct"/>
        </w:tcPr>
        <w:p w14:paraId="5AD61DF2" w14:textId="4FA58A82" w:rsidR="0096655E" w:rsidRDefault="00761C9F">
          <w:pPr>
            <w:pStyle w:val="HeaderEven"/>
            <w:jc w:val="right"/>
          </w:pPr>
          <w:r>
            <w:rPr>
              <w:noProof/>
            </w:rPr>
            <w:fldChar w:fldCharType="begin"/>
          </w:r>
          <w:r>
            <w:rPr>
              <w:noProof/>
            </w:rPr>
            <w:instrText xml:space="preserve"> STYLEREF CharPartText \*charformat </w:instrText>
          </w:r>
          <w:r>
            <w:rPr>
              <w:noProof/>
            </w:rPr>
            <w:fldChar w:fldCharType="separate"/>
          </w:r>
          <w:r>
            <w:rPr>
              <w:noProof/>
            </w:rPr>
            <w:t>Important concepts</w:t>
          </w:r>
          <w:r>
            <w:rPr>
              <w:noProof/>
            </w:rPr>
            <w:fldChar w:fldCharType="end"/>
          </w:r>
        </w:p>
      </w:tc>
      <w:tc>
        <w:tcPr>
          <w:tcW w:w="900" w:type="pct"/>
        </w:tcPr>
        <w:p w14:paraId="6347AA33" w14:textId="79E58639" w:rsidR="0096655E" w:rsidRDefault="0096655E">
          <w:pPr>
            <w:pStyle w:val="HeaderEven"/>
            <w:jc w:val="right"/>
            <w:rPr>
              <w:b/>
            </w:rPr>
          </w:pPr>
          <w:r>
            <w:rPr>
              <w:b/>
            </w:rPr>
            <w:fldChar w:fldCharType="begin"/>
          </w:r>
          <w:r>
            <w:rPr>
              <w:b/>
            </w:rPr>
            <w:instrText xml:space="preserve"> STYLEREF CharPartNo \*charformat </w:instrText>
          </w:r>
          <w:r>
            <w:rPr>
              <w:b/>
            </w:rPr>
            <w:fldChar w:fldCharType="separate"/>
          </w:r>
          <w:r w:rsidR="00761C9F">
            <w:rPr>
              <w:b/>
              <w:noProof/>
            </w:rPr>
            <w:t>Part 2</w:t>
          </w:r>
          <w:r>
            <w:rPr>
              <w:b/>
            </w:rPr>
            <w:fldChar w:fldCharType="end"/>
          </w:r>
        </w:p>
      </w:tc>
    </w:tr>
    <w:tr w:rsidR="0096655E" w14:paraId="0371CC3E" w14:textId="77777777">
      <w:tc>
        <w:tcPr>
          <w:tcW w:w="4100" w:type="pct"/>
        </w:tcPr>
        <w:p w14:paraId="2ED8FE62" w14:textId="44DFF435" w:rsidR="0096655E" w:rsidRDefault="0096655E">
          <w:pPr>
            <w:pStyle w:val="HeaderEven"/>
            <w:jc w:val="right"/>
          </w:pPr>
          <w:r>
            <w:fldChar w:fldCharType="begin"/>
          </w:r>
          <w:r>
            <w:instrText xml:space="preserve"> STYLEREF CharDivText \*charformat </w:instrText>
          </w:r>
          <w:r>
            <w:fldChar w:fldCharType="end"/>
          </w:r>
        </w:p>
      </w:tc>
      <w:tc>
        <w:tcPr>
          <w:tcW w:w="900" w:type="pct"/>
        </w:tcPr>
        <w:p w14:paraId="55A3AEB2" w14:textId="7C6A9807" w:rsidR="0096655E" w:rsidRDefault="0096655E">
          <w:pPr>
            <w:pStyle w:val="HeaderEven"/>
            <w:jc w:val="right"/>
            <w:rPr>
              <w:b/>
            </w:rPr>
          </w:pPr>
          <w:r>
            <w:rPr>
              <w:b/>
            </w:rPr>
            <w:fldChar w:fldCharType="begin"/>
          </w:r>
          <w:r>
            <w:rPr>
              <w:b/>
            </w:rPr>
            <w:instrText xml:space="preserve"> STYLEREF CharDivNo \*charformat </w:instrText>
          </w:r>
          <w:r>
            <w:rPr>
              <w:b/>
            </w:rPr>
            <w:fldChar w:fldCharType="end"/>
          </w:r>
        </w:p>
      </w:tc>
    </w:tr>
    <w:tr w:rsidR="0096655E" w14:paraId="214EA833" w14:textId="77777777">
      <w:trPr>
        <w:cantSplit/>
      </w:trPr>
      <w:tc>
        <w:tcPr>
          <w:tcW w:w="5000" w:type="pct"/>
          <w:gridSpan w:val="2"/>
          <w:tcBorders>
            <w:bottom w:val="single" w:sz="4" w:space="0" w:color="auto"/>
          </w:tcBorders>
        </w:tcPr>
        <w:p w14:paraId="3FB51761" w14:textId="4FA19D60" w:rsidR="0096655E" w:rsidRDefault="00761C9F">
          <w:pPr>
            <w:pStyle w:val="HeaderOdd6"/>
          </w:pPr>
          <w:r>
            <w:fldChar w:fldCharType="begin"/>
          </w:r>
          <w:r>
            <w:instrText xml:space="preserve"> DOCPROPERTY "Company"  \* MERGEFORMAT </w:instrText>
          </w:r>
          <w:r>
            <w:fldChar w:fldCharType="separate"/>
          </w:r>
          <w:r w:rsidR="00AC40EF">
            <w:t>Section</w:t>
          </w:r>
          <w:r>
            <w:fldChar w:fldCharType="end"/>
          </w:r>
          <w:r w:rsidR="0096655E">
            <w:t xml:space="preserve"> </w:t>
          </w:r>
          <w:r>
            <w:rPr>
              <w:noProof/>
            </w:rPr>
            <w:fldChar w:fldCharType="begin"/>
          </w:r>
          <w:r>
            <w:rPr>
              <w:noProof/>
            </w:rPr>
            <w:instrText xml:space="preserve"> STYLEREF CharSectNo \*charformat </w:instrText>
          </w:r>
          <w:r>
            <w:rPr>
              <w:noProof/>
            </w:rPr>
            <w:fldChar w:fldCharType="separate"/>
          </w:r>
          <w:r>
            <w:rPr>
              <w:noProof/>
            </w:rPr>
            <w:t>9</w:t>
          </w:r>
          <w:r>
            <w:rPr>
              <w:noProof/>
            </w:rPr>
            <w:fldChar w:fldCharType="end"/>
          </w:r>
        </w:p>
      </w:tc>
    </w:tr>
  </w:tbl>
  <w:p w14:paraId="61977CB3" w14:textId="77777777" w:rsidR="0096655E" w:rsidRDefault="0096655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96655E" w:rsidRPr="00CB3D59" w14:paraId="328B70B4" w14:textId="77777777">
      <w:trPr>
        <w:jc w:val="center"/>
      </w:trPr>
      <w:tc>
        <w:tcPr>
          <w:tcW w:w="1560" w:type="dxa"/>
        </w:tcPr>
        <w:p w14:paraId="1964839B" w14:textId="33CE67EC" w:rsidR="0096655E" w:rsidRPr="00F02A14" w:rsidRDefault="0096655E">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761C9F">
            <w:rPr>
              <w:rFonts w:cs="Arial"/>
              <w:b/>
              <w:noProof/>
              <w:szCs w:val="18"/>
            </w:rPr>
            <w:t>Schedule 1</w:t>
          </w:r>
          <w:r w:rsidRPr="00F02A14">
            <w:rPr>
              <w:rFonts w:cs="Arial"/>
              <w:b/>
              <w:szCs w:val="18"/>
            </w:rPr>
            <w:fldChar w:fldCharType="end"/>
          </w:r>
        </w:p>
      </w:tc>
      <w:tc>
        <w:tcPr>
          <w:tcW w:w="5741" w:type="dxa"/>
        </w:tcPr>
        <w:p w14:paraId="4019A2E8" w14:textId="0B079D4B" w:rsidR="0096655E" w:rsidRPr="00F02A14" w:rsidRDefault="0096655E">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761C9F">
            <w:rPr>
              <w:rFonts w:cs="Arial"/>
              <w:noProof/>
              <w:szCs w:val="18"/>
            </w:rPr>
            <w:t>Reviewable decisions</w:t>
          </w:r>
          <w:r w:rsidRPr="00F02A14">
            <w:rPr>
              <w:rFonts w:cs="Arial"/>
              <w:szCs w:val="18"/>
            </w:rPr>
            <w:fldChar w:fldCharType="end"/>
          </w:r>
        </w:p>
      </w:tc>
    </w:tr>
    <w:tr w:rsidR="0096655E" w:rsidRPr="00CB3D59" w14:paraId="77C8C821" w14:textId="77777777">
      <w:trPr>
        <w:jc w:val="center"/>
      </w:trPr>
      <w:tc>
        <w:tcPr>
          <w:tcW w:w="1560" w:type="dxa"/>
        </w:tcPr>
        <w:p w14:paraId="2A6F7BBD" w14:textId="6E188073" w:rsidR="0096655E" w:rsidRPr="00F02A14" w:rsidRDefault="0096655E">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11EACD0B" w14:textId="7902C57C" w:rsidR="0096655E" w:rsidRPr="00F02A14" w:rsidRDefault="0096655E">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96655E" w:rsidRPr="00CB3D59" w14:paraId="19370DF8" w14:textId="77777777">
      <w:trPr>
        <w:jc w:val="center"/>
      </w:trPr>
      <w:tc>
        <w:tcPr>
          <w:tcW w:w="7296" w:type="dxa"/>
          <w:gridSpan w:val="2"/>
          <w:tcBorders>
            <w:bottom w:val="single" w:sz="4" w:space="0" w:color="auto"/>
          </w:tcBorders>
        </w:tcPr>
        <w:p w14:paraId="6CB28F79" w14:textId="77777777" w:rsidR="0096655E" w:rsidRPr="00783A18" w:rsidRDefault="0096655E" w:rsidP="00EF5D29">
          <w:pPr>
            <w:pStyle w:val="HeaderEven6"/>
            <w:spacing w:before="0" w:after="0"/>
            <w:rPr>
              <w:rFonts w:ascii="Times New Roman" w:hAnsi="Times New Roman"/>
              <w:sz w:val="24"/>
              <w:szCs w:val="24"/>
            </w:rPr>
          </w:pPr>
        </w:p>
      </w:tc>
    </w:tr>
  </w:tbl>
  <w:p w14:paraId="701FA40E" w14:textId="77777777" w:rsidR="0096655E" w:rsidRDefault="0096655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96655E" w:rsidRPr="00CB3D59" w14:paraId="30973C3F" w14:textId="77777777">
      <w:trPr>
        <w:jc w:val="center"/>
      </w:trPr>
      <w:tc>
        <w:tcPr>
          <w:tcW w:w="5741" w:type="dxa"/>
        </w:tcPr>
        <w:p w14:paraId="6B3C03F9" w14:textId="2B6B83B1" w:rsidR="0096655E" w:rsidRPr="00F02A14" w:rsidRDefault="0096655E">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761C9F">
            <w:rPr>
              <w:rFonts w:cs="Arial"/>
              <w:noProof/>
              <w:szCs w:val="18"/>
            </w:rPr>
            <w:t>Notifiable actions</w:t>
          </w:r>
          <w:r w:rsidRPr="00F02A14">
            <w:rPr>
              <w:rFonts w:cs="Arial"/>
              <w:szCs w:val="18"/>
            </w:rPr>
            <w:fldChar w:fldCharType="end"/>
          </w:r>
        </w:p>
      </w:tc>
      <w:tc>
        <w:tcPr>
          <w:tcW w:w="1560" w:type="dxa"/>
        </w:tcPr>
        <w:p w14:paraId="787160B0" w14:textId="0162988D" w:rsidR="0096655E" w:rsidRPr="00F02A14" w:rsidRDefault="0096655E">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761C9F">
            <w:rPr>
              <w:rFonts w:cs="Arial"/>
              <w:b/>
              <w:noProof/>
              <w:szCs w:val="18"/>
            </w:rPr>
            <w:t>Schedule 2</w:t>
          </w:r>
          <w:r w:rsidRPr="00F02A14">
            <w:rPr>
              <w:rFonts w:cs="Arial"/>
              <w:b/>
              <w:szCs w:val="18"/>
            </w:rPr>
            <w:fldChar w:fldCharType="end"/>
          </w:r>
        </w:p>
      </w:tc>
    </w:tr>
    <w:tr w:rsidR="0096655E" w:rsidRPr="00CB3D59" w14:paraId="43AFBBA6" w14:textId="77777777">
      <w:trPr>
        <w:jc w:val="center"/>
      </w:trPr>
      <w:tc>
        <w:tcPr>
          <w:tcW w:w="5741" w:type="dxa"/>
        </w:tcPr>
        <w:p w14:paraId="34EEFD8D" w14:textId="45C73279" w:rsidR="0096655E" w:rsidRPr="00F02A14" w:rsidRDefault="0096655E">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4F81DAB2" w14:textId="38B3959D" w:rsidR="0096655E" w:rsidRPr="00F02A14" w:rsidRDefault="0096655E">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96655E" w:rsidRPr="00CB3D59" w14:paraId="7AD00690" w14:textId="77777777">
      <w:trPr>
        <w:jc w:val="center"/>
      </w:trPr>
      <w:tc>
        <w:tcPr>
          <w:tcW w:w="7296" w:type="dxa"/>
          <w:gridSpan w:val="2"/>
          <w:tcBorders>
            <w:bottom w:val="single" w:sz="4" w:space="0" w:color="auto"/>
          </w:tcBorders>
        </w:tcPr>
        <w:p w14:paraId="47BEB91A" w14:textId="77777777" w:rsidR="0096655E" w:rsidRPr="00783A18" w:rsidRDefault="0096655E" w:rsidP="00EF5D29">
          <w:pPr>
            <w:pStyle w:val="HeaderOdd6"/>
            <w:spacing w:before="0" w:after="0"/>
            <w:jc w:val="left"/>
            <w:rPr>
              <w:rFonts w:ascii="Times New Roman" w:hAnsi="Times New Roman"/>
              <w:sz w:val="24"/>
              <w:szCs w:val="24"/>
            </w:rPr>
          </w:pPr>
        </w:p>
      </w:tc>
    </w:tr>
  </w:tbl>
  <w:p w14:paraId="1998C6A3" w14:textId="77777777" w:rsidR="0096655E" w:rsidRDefault="009665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7"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8"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0"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1"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2" w15:restartNumberingAfterBreak="0">
    <w:nsid w:val="31D03CEE"/>
    <w:multiLevelType w:val="hybridMultilevel"/>
    <w:tmpl w:val="5DB2CD8E"/>
    <w:lvl w:ilvl="0" w:tplc="0AA00832">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5" w15:restartNumberingAfterBreak="0">
    <w:nsid w:val="42B861FE"/>
    <w:multiLevelType w:val="singleLevel"/>
    <w:tmpl w:val="F3B4C048"/>
    <w:lvl w:ilvl="0">
      <w:start w:val="1"/>
      <w:numFmt w:val="bullet"/>
      <w:lvlText w:val=""/>
      <w:lvlJc w:val="left"/>
      <w:pPr>
        <w:tabs>
          <w:tab w:val="num" w:pos="1500"/>
        </w:tabs>
        <w:ind w:left="1500" w:hanging="400"/>
      </w:pPr>
      <w:rPr>
        <w:rFonts w:ascii="Symbol" w:hAnsi="Symbol" w:hint="default"/>
        <w:sz w:val="20"/>
      </w:rPr>
    </w:lvl>
  </w:abstractNum>
  <w:abstractNum w:abstractNumId="26"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7"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28" w15:restartNumberingAfterBreak="0">
    <w:nsid w:val="47B51BC9"/>
    <w:multiLevelType w:val="multilevel"/>
    <w:tmpl w:val="8FD446E2"/>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29"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0" w15:restartNumberingAfterBreak="0">
    <w:nsid w:val="50800811"/>
    <w:multiLevelType w:val="singleLevel"/>
    <w:tmpl w:val="29F633B6"/>
    <w:lvl w:ilvl="0">
      <w:start w:val="1"/>
      <w:numFmt w:val="decimal"/>
      <w:lvlText w:val="%1"/>
      <w:lvlJc w:val="left"/>
      <w:pPr>
        <w:tabs>
          <w:tab w:val="num" w:pos="360"/>
        </w:tabs>
        <w:ind w:left="0" w:firstLine="0"/>
      </w:pPr>
      <w:rPr>
        <w:b/>
      </w:rPr>
    </w:lvl>
  </w:abstractNum>
  <w:abstractNum w:abstractNumId="31"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2"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7"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8"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39"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0"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FE9684D"/>
    <w:multiLevelType w:val="multilevel"/>
    <w:tmpl w:val="BC84ABB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2067991906">
    <w:abstractNumId w:val="24"/>
  </w:num>
  <w:num w:numId="2" w16cid:durableId="930049713">
    <w:abstractNumId w:val="19"/>
  </w:num>
  <w:num w:numId="3" w16cid:durableId="1035471018">
    <w:abstractNumId w:val="28"/>
  </w:num>
  <w:num w:numId="4" w16cid:durableId="801772343">
    <w:abstractNumId w:val="39"/>
  </w:num>
  <w:num w:numId="5" w16cid:durableId="444077903">
    <w:abstractNumId w:val="27"/>
  </w:num>
  <w:num w:numId="6" w16cid:durableId="264853406">
    <w:abstractNumId w:val="10"/>
  </w:num>
  <w:num w:numId="7" w16cid:durableId="529534489">
    <w:abstractNumId w:val="31"/>
  </w:num>
  <w:num w:numId="8" w16cid:durableId="165176488">
    <w:abstractNumId w:val="20"/>
  </w:num>
  <w:num w:numId="9" w16cid:durableId="462624926">
    <w:abstractNumId w:val="26"/>
  </w:num>
  <w:num w:numId="10" w16cid:durableId="789009559">
    <w:abstractNumId w:val="38"/>
  </w:num>
  <w:num w:numId="11" w16cid:durableId="1686207589">
    <w:abstractNumId w:val="25"/>
  </w:num>
  <w:num w:numId="12" w16cid:durableId="373358680">
    <w:abstractNumId w:val="34"/>
  </w:num>
  <w:num w:numId="13" w16cid:durableId="631640375">
    <w:abstractNumId w:val="22"/>
  </w:num>
  <w:num w:numId="14" w16cid:durableId="240918314">
    <w:abstractNumId w:val="15"/>
  </w:num>
  <w:num w:numId="15" w16cid:durableId="507210872">
    <w:abstractNumId w:val="35"/>
  </w:num>
  <w:num w:numId="16" w16cid:durableId="1340503684">
    <w:abstractNumId w:val="18"/>
  </w:num>
  <w:num w:numId="17" w16cid:durableId="1776289143">
    <w:abstractNumId w:val="12"/>
  </w:num>
  <w:num w:numId="18" w16cid:durableId="20589560">
    <w:abstractNumId w:val="32"/>
  </w:num>
  <w:num w:numId="19" w16cid:durableId="2130858572">
    <w:abstractNumId w:val="40"/>
  </w:num>
  <w:num w:numId="20" w16cid:durableId="1038818684">
    <w:abstractNumId w:val="32"/>
  </w:num>
  <w:num w:numId="21" w16cid:durableId="766854219">
    <w:abstractNumId w:val="40"/>
    <w:lvlOverride w:ilvl="0">
      <w:startOverride w:val="1"/>
    </w:lvlOverride>
  </w:num>
  <w:num w:numId="22" w16cid:durableId="1431850526">
    <w:abstractNumId w:val="32"/>
  </w:num>
  <w:num w:numId="23" w16cid:durableId="1339768175">
    <w:abstractNumId w:val="23"/>
  </w:num>
  <w:num w:numId="24" w16cid:durableId="514150743">
    <w:abstractNumId w:val="41"/>
  </w:num>
  <w:num w:numId="25" w16cid:durableId="592669883">
    <w:abstractNumId w:val="41"/>
  </w:num>
  <w:num w:numId="26" w16cid:durableId="1701511256">
    <w:abstractNumId w:val="21"/>
  </w:num>
  <w:num w:numId="27" w16cid:durableId="1460219316">
    <w:abstractNumId w:val="17"/>
  </w:num>
  <w:num w:numId="28" w16cid:durableId="1823498203">
    <w:abstractNumId w:val="37"/>
  </w:num>
  <w:num w:numId="29" w16cid:durableId="217404685">
    <w:abstractNumId w:val="11"/>
  </w:num>
  <w:num w:numId="30" w16cid:durableId="534463571">
    <w:abstractNumId w:val="29"/>
  </w:num>
  <w:num w:numId="31" w16cid:durableId="988630013">
    <w:abstractNumId w:val="19"/>
  </w:num>
  <w:num w:numId="32" w16cid:durableId="1294672897">
    <w:abstractNumId w:val="4"/>
  </w:num>
  <w:num w:numId="33" w16cid:durableId="1386638331">
    <w:abstractNumId w:val="28"/>
  </w:num>
  <w:num w:numId="34" w16cid:durableId="2057730594">
    <w:abstractNumId w:val="25"/>
    <w:lvlOverride w:ilvl="0">
      <w:startOverride w:val="1"/>
    </w:lvlOverride>
  </w:num>
  <w:num w:numId="35" w16cid:durableId="1587836412">
    <w:abstractNumId w:val="25"/>
    <w:lvlOverride w:ilvl="0">
      <w:startOverride w:val="1"/>
    </w:lvlOverride>
  </w:num>
  <w:num w:numId="36" w16cid:durableId="763956005">
    <w:abstractNumId w:val="41"/>
  </w:num>
  <w:num w:numId="37" w16cid:durableId="1235362057">
    <w:abstractNumId w:val="41"/>
  </w:num>
  <w:num w:numId="38" w16cid:durableId="574510645">
    <w:abstractNumId w:val="30"/>
  </w:num>
  <w:num w:numId="39" w16cid:durableId="881017882">
    <w:abstractNumId w:val="9"/>
  </w:num>
  <w:num w:numId="40" w16cid:durableId="621232187">
    <w:abstractNumId w:val="7"/>
  </w:num>
  <w:num w:numId="41" w16cid:durableId="199899845">
    <w:abstractNumId w:val="6"/>
  </w:num>
  <w:num w:numId="42" w16cid:durableId="1715496504">
    <w:abstractNumId w:val="5"/>
  </w:num>
  <w:num w:numId="43" w16cid:durableId="948391873">
    <w:abstractNumId w:val="8"/>
  </w:num>
  <w:num w:numId="44" w16cid:durableId="1097139276">
    <w:abstractNumId w:val="3"/>
  </w:num>
  <w:num w:numId="45" w16cid:durableId="1394505016">
    <w:abstractNumId w:val="2"/>
  </w:num>
  <w:num w:numId="46" w16cid:durableId="1748991268">
    <w:abstractNumId w:val="1"/>
  </w:num>
  <w:num w:numId="47" w16cid:durableId="109327410">
    <w:abstractNumId w:val="0"/>
  </w:num>
  <w:num w:numId="48" w16cid:durableId="79253230">
    <w:abstractNumId w:val="3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0E8"/>
    <w:rsid w:val="00000C1F"/>
    <w:rsid w:val="000038FA"/>
    <w:rsid w:val="000043A6"/>
    <w:rsid w:val="00004573"/>
    <w:rsid w:val="00005825"/>
    <w:rsid w:val="000067AA"/>
    <w:rsid w:val="00010513"/>
    <w:rsid w:val="0001347E"/>
    <w:rsid w:val="000146D1"/>
    <w:rsid w:val="00016B96"/>
    <w:rsid w:val="0002034F"/>
    <w:rsid w:val="000215AA"/>
    <w:rsid w:val="00022B0E"/>
    <w:rsid w:val="000232D8"/>
    <w:rsid w:val="0002517D"/>
    <w:rsid w:val="00025988"/>
    <w:rsid w:val="0003249F"/>
    <w:rsid w:val="00033284"/>
    <w:rsid w:val="00035636"/>
    <w:rsid w:val="00036A2C"/>
    <w:rsid w:val="000403A5"/>
    <w:rsid w:val="000417E5"/>
    <w:rsid w:val="000420DE"/>
    <w:rsid w:val="000430B6"/>
    <w:rsid w:val="000448E6"/>
    <w:rsid w:val="00046665"/>
    <w:rsid w:val="00046E24"/>
    <w:rsid w:val="00047170"/>
    <w:rsid w:val="00047369"/>
    <w:rsid w:val="000474F2"/>
    <w:rsid w:val="000510F0"/>
    <w:rsid w:val="0005220E"/>
    <w:rsid w:val="00052B1E"/>
    <w:rsid w:val="0005486C"/>
    <w:rsid w:val="00055507"/>
    <w:rsid w:val="00055E30"/>
    <w:rsid w:val="00060488"/>
    <w:rsid w:val="00063210"/>
    <w:rsid w:val="000636DB"/>
    <w:rsid w:val="00064387"/>
    <w:rsid w:val="00064576"/>
    <w:rsid w:val="000667D4"/>
    <w:rsid w:val="00066F6A"/>
    <w:rsid w:val="000702A7"/>
    <w:rsid w:val="00072B06"/>
    <w:rsid w:val="00072ED8"/>
    <w:rsid w:val="00073A37"/>
    <w:rsid w:val="00075C01"/>
    <w:rsid w:val="00077B6E"/>
    <w:rsid w:val="000812D4"/>
    <w:rsid w:val="00081D6E"/>
    <w:rsid w:val="0008211A"/>
    <w:rsid w:val="000824B7"/>
    <w:rsid w:val="00083C32"/>
    <w:rsid w:val="00090587"/>
    <w:rsid w:val="000906B4"/>
    <w:rsid w:val="00091575"/>
    <w:rsid w:val="000949A6"/>
    <w:rsid w:val="00095165"/>
    <w:rsid w:val="0009641C"/>
    <w:rsid w:val="000A2213"/>
    <w:rsid w:val="000A35DA"/>
    <w:rsid w:val="000A5DCB"/>
    <w:rsid w:val="000A637A"/>
    <w:rsid w:val="000B16DC"/>
    <w:rsid w:val="000B1C99"/>
    <w:rsid w:val="000B28BA"/>
    <w:rsid w:val="000B3404"/>
    <w:rsid w:val="000B4951"/>
    <w:rsid w:val="000B5685"/>
    <w:rsid w:val="000B729E"/>
    <w:rsid w:val="000C54A0"/>
    <w:rsid w:val="000C687C"/>
    <w:rsid w:val="000C7832"/>
    <w:rsid w:val="000C7850"/>
    <w:rsid w:val="000D54F2"/>
    <w:rsid w:val="000E0F38"/>
    <w:rsid w:val="000E29CA"/>
    <w:rsid w:val="000E4502"/>
    <w:rsid w:val="000E5145"/>
    <w:rsid w:val="000E576D"/>
    <w:rsid w:val="000F030C"/>
    <w:rsid w:val="000F2735"/>
    <w:rsid w:val="000F2D59"/>
    <w:rsid w:val="000F329E"/>
    <w:rsid w:val="001002C3"/>
    <w:rsid w:val="00101528"/>
    <w:rsid w:val="00102448"/>
    <w:rsid w:val="0010285E"/>
    <w:rsid w:val="001033CB"/>
    <w:rsid w:val="001047CB"/>
    <w:rsid w:val="00104AF7"/>
    <w:rsid w:val="001053AD"/>
    <w:rsid w:val="001058DF"/>
    <w:rsid w:val="00107F85"/>
    <w:rsid w:val="00112982"/>
    <w:rsid w:val="00117222"/>
    <w:rsid w:val="0011788B"/>
    <w:rsid w:val="001206DA"/>
    <w:rsid w:val="00126287"/>
    <w:rsid w:val="001266CF"/>
    <w:rsid w:val="0013010B"/>
    <w:rsid w:val="0013046D"/>
    <w:rsid w:val="001315A1"/>
    <w:rsid w:val="00132957"/>
    <w:rsid w:val="001343A6"/>
    <w:rsid w:val="0013531D"/>
    <w:rsid w:val="00135BDD"/>
    <w:rsid w:val="00136FBE"/>
    <w:rsid w:val="00137410"/>
    <w:rsid w:val="001413F2"/>
    <w:rsid w:val="00147781"/>
    <w:rsid w:val="00150851"/>
    <w:rsid w:val="001520FC"/>
    <w:rsid w:val="001529D7"/>
    <w:rsid w:val="001533C1"/>
    <w:rsid w:val="00153482"/>
    <w:rsid w:val="00154977"/>
    <w:rsid w:val="00156E84"/>
    <w:rsid w:val="001570F0"/>
    <w:rsid w:val="001572E4"/>
    <w:rsid w:val="00160819"/>
    <w:rsid w:val="00160DF7"/>
    <w:rsid w:val="00161155"/>
    <w:rsid w:val="0016411E"/>
    <w:rsid w:val="00164204"/>
    <w:rsid w:val="00165F4E"/>
    <w:rsid w:val="00166C33"/>
    <w:rsid w:val="0017182C"/>
    <w:rsid w:val="00171BF1"/>
    <w:rsid w:val="00172D13"/>
    <w:rsid w:val="001741FF"/>
    <w:rsid w:val="00174376"/>
    <w:rsid w:val="00175E3A"/>
    <w:rsid w:val="00176AE6"/>
    <w:rsid w:val="001773EC"/>
    <w:rsid w:val="00180311"/>
    <w:rsid w:val="00180F9F"/>
    <w:rsid w:val="001815FB"/>
    <w:rsid w:val="00181D8C"/>
    <w:rsid w:val="00183617"/>
    <w:rsid w:val="001842C7"/>
    <w:rsid w:val="001850D7"/>
    <w:rsid w:val="00186911"/>
    <w:rsid w:val="001918A3"/>
    <w:rsid w:val="0019297A"/>
    <w:rsid w:val="00192D1E"/>
    <w:rsid w:val="00193D6B"/>
    <w:rsid w:val="00195101"/>
    <w:rsid w:val="001A351C"/>
    <w:rsid w:val="001A3B6D"/>
    <w:rsid w:val="001A42CD"/>
    <w:rsid w:val="001A52B7"/>
    <w:rsid w:val="001A5D17"/>
    <w:rsid w:val="001A6C0D"/>
    <w:rsid w:val="001B011E"/>
    <w:rsid w:val="001B1031"/>
    <w:rsid w:val="001B1114"/>
    <w:rsid w:val="001B1AD4"/>
    <w:rsid w:val="001B218A"/>
    <w:rsid w:val="001B3431"/>
    <w:rsid w:val="001B3B53"/>
    <w:rsid w:val="001B449A"/>
    <w:rsid w:val="001B4BB0"/>
    <w:rsid w:val="001B6311"/>
    <w:rsid w:val="001B6BC0"/>
    <w:rsid w:val="001C048F"/>
    <w:rsid w:val="001C108E"/>
    <w:rsid w:val="001C1644"/>
    <w:rsid w:val="001C18D4"/>
    <w:rsid w:val="001C29CC"/>
    <w:rsid w:val="001C2B13"/>
    <w:rsid w:val="001C3641"/>
    <w:rsid w:val="001C4A67"/>
    <w:rsid w:val="001C5293"/>
    <w:rsid w:val="001C547E"/>
    <w:rsid w:val="001C6F40"/>
    <w:rsid w:val="001C790E"/>
    <w:rsid w:val="001D09C2"/>
    <w:rsid w:val="001D15FB"/>
    <w:rsid w:val="001D1702"/>
    <w:rsid w:val="001D1F85"/>
    <w:rsid w:val="001D34B1"/>
    <w:rsid w:val="001D4459"/>
    <w:rsid w:val="001D53F0"/>
    <w:rsid w:val="001D56B4"/>
    <w:rsid w:val="001D73DF"/>
    <w:rsid w:val="001E0506"/>
    <w:rsid w:val="001E0780"/>
    <w:rsid w:val="001E0BBC"/>
    <w:rsid w:val="001E1A01"/>
    <w:rsid w:val="001E4694"/>
    <w:rsid w:val="001E5168"/>
    <w:rsid w:val="001E5C56"/>
    <w:rsid w:val="001E5D92"/>
    <w:rsid w:val="001E7915"/>
    <w:rsid w:val="001E79DB"/>
    <w:rsid w:val="001F1B75"/>
    <w:rsid w:val="001F3DB4"/>
    <w:rsid w:val="001F55E5"/>
    <w:rsid w:val="001F56AA"/>
    <w:rsid w:val="001F58FA"/>
    <w:rsid w:val="001F5A2B"/>
    <w:rsid w:val="00200557"/>
    <w:rsid w:val="002012E6"/>
    <w:rsid w:val="00202420"/>
    <w:rsid w:val="00203655"/>
    <w:rsid w:val="002037B2"/>
    <w:rsid w:val="00204E34"/>
    <w:rsid w:val="0020558F"/>
    <w:rsid w:val="0020610F"/>
    <w:rsid w:val="00210721"/>
    <w:rsid w:val="0021248D"/>
    <w:rsid w:val="00213F7A"/>
    <w:rsid w:val="00216873"/>
    <w:rsid w:val="00216FDD"/>
    <w:rsid w:val="00217C8C"/>
    <w:rsid w:val="002208AF"/>
    <w:rsid w:val="0022149F"/>
    <w:rsid w:val="002218C7"/>
    <w:rsid w:val="002222A8"/>
    <w:rsid w:val="002223D7"/>
    <w:rsid w:val="0022348D"/>
    <w:rsid w:val="00224AB1"/>
    <w:rsid w:val="00225307"/>
    <w:rsid w:val="002261CD"/>
    <w:rsid w:val="002263A5"/>
    <w:rsid w:val="00227E9E"/>
    <w:rsid w:val="00231509"/>
    <w:rsid w:val="00231792"/>
    <w:rsid w:val="00233685"/>
    <w:rsid w:val="002337F1"/>
    <w:rsid w:val="00234574"/>
    <w:rsid w:val="00237EF2"/>
    <w:rsid w:val="002409EB"/>
    <w:rsid w:val="00244245"/>
    <w:rsid w:val="002451B2"/>
    <w:rsid w:val="00246F34"/>
    <w:rsid w:val="002502C9"/>
    <w:rsid w:val="00251CCE"/>
    <w:rsid w:val="00252AE8"/>
    <w:rsid w:val="00253379"/>
    <w:rsid w:val="00256093"/>
    <w:rsid w:val="00256E0F"/>
    <w:rsid w:val="00260019"/>
    <w:rsid w:val="0026001C"/>
    <w:rsid w:val="00260D25"/>
    <w:rsid w:val="002612B5"/>
    <w:rsid w:val="00263163"/>
    <w:rsid w:val="002634F4"/>
    <w:rsid w:val="0026355C"/>
    <w:rsid w:val="00263D90"/>
    <w:rsid w:val="002644DC"/>
    <w:rsid w:val="00267BE3"/>
    <w:rsid w:val="002702AE"/>
    <w:rsid w:val="002702D4"/>
    <w:rsid w:val="00270D23"/>
    <w:rsid w:val="00270DBA"/>
    <w:rsid w:val="00272968"/>
    <w:rsid w:val="00273B6D"/>
    <w:rsid w:val="00275BAB"/>
    <w:rsid w:val="00275CE9"/>
    <w:rsid w:val="0027743F"/>
    <w:rsid w:val="00282B0F"/>
    <w:rsid w:val="002831D1"/>
    <w:rsid w:val="00284563"/>
    <w:rsid w:val="002848BD"/>
    <w:rsid w:val="0028517F"/>
    <w:rsid w:val="00287065"/>
    <w:rsid w:val="002877FD"/>
    <w:rsid w:val="00290D70"/>
    <w:rsid w:val="00294087"/>
    <w:rsid w:val="00294D6E"/>
    <w:rsid w:val="00294DE1"/>
    <w:rsid w:val="00295E87"/>
    <w:rsid w:val="0029692F"/>
    <w:rsid w:val="002A11DC"/>
    <w:rsid w:val="002A47F8"/>
    <w:rsid w:val="002A65F7"/>
    <w:rsid w:val="002A6F4D"/>
    <w:rsid w:val="002A756E"/>
    <w:rsid w:val="002B035B"/>
    <w:rsid w:val="002B1E43"/>
    <w:rsid w:val="002B24E3"/>
    <w:rsid w:val="002B2682"/>
    <w:rsid w:val="002B35C5"/>
    <w:rsid w:val="002B4AE0"/>
    <w:rsid w:val="002B58FC"/>
    <w:rsid w:val="002C5DB3"/>
    <w:rsid w:val="002C7985"/>
    <w:rsid w:val="002D09CB"/>
    <w:rsid w:val="002D0EE0"/>
    <w:rsid w:val="002D26EA"/>
    <w:rsid w:val="002D2A42"/>
    <w:rsid w:val="002D2FE5"/>
    <w:rsid w:val="002D6C38"/>
    <w:rsid w:val="002E01EA"/>
    <w:rsid w:val="002E0DF3"/>
    <w:rsid w:val="002E144D"/>
    <w:rsid w:val="002E4800"/>
    <w:rsid w:val="002E6E0C"/>
    <w:rsid w:val="002F1055"/>
    <w:rsid w:val="002F43A0"/>
    <w:rsid w:val="002F587E"/>
    <w:rsid w:val="002F696A"/>
    <w:rsid w:val="002F7C2C"/>
    <w:rsid w:val="003003EC"/>
    <w:rsid w:val="00303D53"/>
    <w:rsid w:val="003068E0"/>
    <w:rsid w:val="003108D1"/>
    <w:rsid w:val="0031143F"/>
    <w:rsid w:val="00312A1A"/>
    <w:rsid w:val="00314266"/>
    <w:rsid w:val="00315B62"/>
    <w:rsid w:val="003175FC"/>
    <w:rsid w:val="003179E8"/>
    <w:rsid w:val="00317FDC"/>
    <w:rsid w:val="0032063D"/>
    <w:rsid w:val="00322075"/>
    <w:rsid w:val="00323CE2"/>
    <w:rsid w:val="00326EEC"/>
    <w:rsid w:val="00331203"/>
    <w:rsid w:val="003321F9"/>
    <w:rsid w:val="00332E54"/>
    <w:rsid w:val="003344D3"/>
    <w:rsid w:val="00336345"/>
    <w:rsid w:val="003374DA"/>
    <w:rsid w:val="00342E3D"/>
    <w:rsid w:val="0034336E"/>
    <w:rsid w:val="00343D40"/>
    <w:rsid w:val="00344085"/>
    <w:rsid w:val="00344F05"/>
    <w:rsid w:val="0034583F"/>
    <w:rsid w:val="003478D2"/>
    <w:rsid w:val="003506EC"/>
    <w:rsid w:val="00353FF3"/>
    <w:rsid w:val="00355AD9"/>
    <w:rsid w:val="003574D1"/>
    <w:rsid w:val="003578DF"/>
    <w:rsid w:val="003620DA"/>
    <w:rsid w:val="003633DF"/>
    <w:rsid w:val="00364000"/>
    <w:rsid w:val="003646D5"/>
    <w:rsid w:val="003659ED"/>
    <w:rsid w:val="003671B7"/>
    <w:rsid w:val="003700C0"/>
    <w:rsid w:val="00370AE8"/>
    <w:rsid w:val="00372395"/>
    <w:rsid w:val="00372BEC"/>
    <w:rsid w:val="00372EF0"/>
    <w:rsid w:val="003736BB"/>
    <w:rsid w:val="0037381B"/>
    <w:rsid w:val="0037423B"/>
    <w:rsid w:val="00375B2E"/>
    <w:rsid w:val="00377D1F"/>
    <w:rsid w:val="00381D64"/>
    <w:rsid w:val="00385097"/>
    <w:rsid w:val="00391C6F"/>
    <w:rsid w:val="00396008"/>
    <w:rsid w:val="00396646"/>
    <w:rsid w:val="00396B0E"/>
    <w:rsid w:val="0039772C"/>
    <w:rsid w:val="003A0664"/>
    <w:rsid w:val="003A160E"/>
    <w:rsid w:val="003A20E7"/>
    <w:rsid w:val="003A2253"/>
    <w:rsid w:val="003A44BB"/>
    <w:rsid w:val="003A450E"/>
    <w:rsid w:val="003A5ACB"/>
    <w:rsid w:val="003A704B"/>
    <w:rsid w:val="003A779F"/>
    <w:rsid w:val="003A7A6C"/>
    <w:rsid w:val="003B01DB"/>
    <w:rsid w:val="003B0F80"/>
    <w:rsid w:val="003B2C7A"/>
    <w:rsid w:val="003B2E15"/>
    <w:rsid w:val="003B31A1"/>
    <w:rsid w:val="003B3F6D"/>
    <w:rsid w:val="003B4139"/>
    <w:rsid w:val="003C0702"/>
    <w:rsid w:val="003C0A3A"/>
    <w:rsid w:val="003C50A2"/>
    <w:rsid w:val="003C6DE9"/>
    <w:rsid w:val="003C6EDF"/>
    <w:rsid w:val="003C7B9C"/>
    <w:rsid w:val="003D0740"/>
    <w:rsid w:val="003D0F2E"/>
    <w:rsid w:val="003D170B"/>
    <w:rsid w:val="003D4AAE"/>
    <w:rsid w:val="003D4C75"/>
    <w:rsid w:val="003D587E"/>
    <w:rsid w:val="003D7254"/>
    <w:rsid w:val="003D7E21"/>
    <w:rsid w:val="003E0653"/>
    <w:rsid w:val="003E1194"/>
    <w:rsid w:val="003E259E"/>
    <w:rsid w:val="003E3141"/>
    <w:rsid w:val="003E4A90"/>
    <w:rsid w:val="003E6B00"/>
    <w:rsid w:val="003E7FDB"/>
    <w:rsid w:val="003F06EE"/>
    <w:rsid w:val="003F38F8"/>
    <w:rsid w:val="003F3B87"/>
    <w:rsid w:val="003F4912"/>
    <w:rsid w:val="003F5904"/>
    <w:rsid w:val="003F5A34"/>
    <w:rsid w:val="003F7A0F"/>
    <w:rsid w:val="003F7DB2"/>
    <w:rsid w:val="004005F0"/>
    <w:rsid w:val="0040136F"/>
    <w:rsid w:val="004033B4"/>
    <w:rsid w:val="00403645"/>
    <w:rsid w:val="00403E37"/>
    <w:rsid w:val="00404FE0"/>
    <w:rsid w:val="00406238"/>
    <w:rsid w:val="00410C20"/>
    <w:rsid w:val="004110BA"/>
    <w:rsid w:val="00414599"/>
    <w:rsid w:val="004159AC"/>
    <w:rsid w:val="00416A4F"/>
    <w:rsid w:val="00421012"/>
    <w:rsid w:val="00422C3C"/>
    <w:rsid w:val="004232C0"/>
    <w:rsid w:val="0042333B"/>
    <w:rsid w:val="00423AC4"/>
    <w:rsid w:val="00423D14"/>
    <w:rsid w:val="00427085"/>
    <w:rsid w:val="0042799E"/>
    <w:rsid w:val="0043127D"/>
    <w:rsid w:val="00431D3D"/>
    <w:rsid w:val="00433064"/>
    <w:rsid w:val="00435893"/>
    <w:rsid w:val="004358D2"/>
    <w:rsid w:val="00437C28"/>
    <w:rsid w:val="0044067A"/>
    <w:rsid w:val="00440811"/>
    <w:rsid w:val="00443ADD"/>
    <w:rsid w:val="00444785"/>
    <w:rsid w:val="00444901"/>
    <w:rsid w:val="0044665D"/>
    <w:rsid w:val="00447089"/>
    <w:rsid w:val="00447B1D"/>
    <w:rsid w:val="00447C31"/>
    <w:rsid w:val="00447F89"/>
    <w:rsid w:val="004500D3"/>
    <w:rsid w:val="004510ED"/>
    <w:rsid w:val="004536AA"/>
    <w:rsid w:val="0045398D"/>
    <w:rsid w:val="00455046"/>
    <w:rsid w:val="00456074"/>
    <w:rsid w:val="004566DF"/>
    <w:rsid w:val="00457476"/>
    <w:rsid w:val="0046076C"/>
    <w:rsid w:val="00460A67"/>
    <w:rsid w:val="00460DF0"/>
    <w:rsid w:val="004614FB"/>
    <w:rsid w:val="00461D78"/>
    <w:rsid w:val="00462B21"/>
    <w:rsid w:val="00462EA7"/>
    <w:rsid w:val="00464372"/>
    <w:rsid w:val="00465180"/>
    <w:rsid w:val="00470B8D"/>
    <w:rsid w:val="00472639"/>
    <w:rsid w:val="00472DD2"/>
    <w:rsid w:val="00475017"/>
    <w:rsid w:val="00475056"/>
    <w:rsid w:val="004751D3"/>
    <w:rsid w:val="00475F03"/>
    <w:rsid w:val="00476DCA"/>
    <w:rsid w:val="00480A8E"/>
    <w:rsid w:val="00480B76"/>
    <w:rsid w:val="00482C91"/>
    <w:rsid w:val="004850C3"/>
    <w:rsid w:val="0048525E"/>
    <w:rsid w:val="0048555E"/>
    <w:rsid w:val="00486243"/>
    <w:rsid w:val="0048624B"/>
    <w:rsid w:val="00486FE2"/>
    <w:rsid w:val="004875BE"/>
    <w:rsid w:val="00487D5F"/>
    <w:rsid w:val="00491236"/>
    <w:rsid w:val="00491A45"/>
    <w:rsid w:val="00491D7C"/>
    <w:rsid w:val="00492997"/>
    <w:rsid w:val="00493ED5"/>
    <w:rsid w:val="004941F4"/>
    <w:rsid w:val="00494267"/>
    <w:rsid w:val="00494355"/>
    <w:rsid w:val="00495273"/>
    <w:rsid w:val="00497D33"/>
    <w:rsid w:val="004A1E58"/>
    <w:rsid w:val="004A2333"/>
    <w:rsid w:val="004A2FDC"/>
    <w:rsid w:val="004A32C4"/>
    <w:rsid w:val="004A3D43"/>
    <w:rsid w:val="004A4083"/>
    <w:rsid w:val="004B0E9D"/>
    <w:rsid w:val="004B19AF"/>
    <w:rsid w:val="004B3F64"/>
    <w:rsid w:val="004B5B98"/>
    <w:rsid w:val="004C19A4"/>
    <w:rsid w:val="004C2A16"/>
    <w:rsid w:val="004C5310"/>
    <w:rsid w:val="004C622C"/>
    <w:rsid w:val="004C724A"/>
    <w:rsid w:val="004C7853"/>
    <w:rsid w:val="004D1D12"/>
    <w:rsid w:val="004D4557"/>
    <w:rsid w:val="004D53B8"/>
    <w:rsid w:val="004D6625"/>
    <w:rsid w:val="004E190A"/>
    <w:rsid w:val="004E2567"/>
    <w:rsid w:val="004E2568"/>
    <w:rsid w:val="004E3576"/>
    <w:rsid w:val="004F1050"/>
    <w:rsid w:val="004F25B3"/>
    <w:rsid w:val="004F2EEF"/>
    <w:rsid w:val="004F5504"/>
    <w:rsid w:val="004F6688"/>
    <w:rsid w:val="0050122B"/>
    <w:rsid w:val="0050125C"/>
    <w:rsid w:val="00501495"/>
    <w:rsid w:val="0050270E"/>
    <w:rsid w:val="00503AE3"/>
    <w:rsid w:val="005055B0"/>
    <w:rsid w:val="0050662E"/>
    <w:rsid w:val="00510F9C"/>
    <w:rsid w:val="00512972"/>
    <w:rsid w:val="005139E9"/>
    <w:rsid w:val="00515082"/>
    <w:rsid w:val="005151B1"/>
    <w:rsid w:val="00515CF5"/>
    <w:rsid w:val="00515E14"/>
    <w:rsid w:val="005171DC"/>
    <w:rsid w:val="0052097D"/>
    <w:rsid w:val="0052186C"/>
    <w:rsid w:val="005218EE"/>
    <w:rsid w:val="005230D9"/>
    <w:rsid w:val="005249B7"/>
    <w:rsid w:val="00524CBC"/>
    <w:rsid w:val="005259D1"/>
    <w:rsid w:val="00525E4B"/>
    <w:rsid w:val="00526A05"/>
    <w:rsid w:val="00530D98"/>
    <w:rsid w:val="00531AF6"/>
    <w:rsid w:val="005337EA"/>
    <w:rsid w:val="0053499F"/>
    <w:rsid w:val="005400A5"/>
    <w:rsid w:val="0054245D"/>
    <w:rsid w:val="00542E65"/>
    <w:rsid w:val="00543739"/>
    <w:rsid w:val="0054378B"/>
    <w:rsid w:val="00544938"/>
    <w:rsid w:val="00544FDF"/>
    <w:rsid w:val="00545787"/>
    <w:rsid w:val="00546B20"/>
    <w:rsid w:val="005474CA"/>
    <w:rsid w:val="00547C35"/>
    <w:rsid w:val="00552735"/>
    <w:rsid w:val="00552FFB"/>
    <w:rsid w:val="00553EA6"/>
    <w:rsid w:val="005569CD"/>
    <w:rsid w:val="00560918"/>
    <w:rsid w:val="00562392"/>
    <w:rsid w:val="005623AE"/>
    <w:rsid w:val="00562E39"/>
    <w:rsid w:val="0056302F"/>
    <w:rsid w:val="00563637"/>
    <w:rsid w:val="00564718"/>
    <w:rsid w:val="005658C2"/>
    <w:rsid w:val="00567644"/>
    <w:rsid w:val="00567CEC"/>
    <w:rsid w:val="00567CF2"/>
    <w:rsid w:val="00570680"/>
    <w:rsid w:val="005710D7"/>
    <w:rsid w:val="00571226"/>
    <w:rsid w:val="00571859"/>
    <w:rsid w:val="00573A9C"/>
    <w:rsid w:val="00574382"/>
    <w:rsid w:val="00574534"/>
    <w:rsid w:val="00575646"/>
    <w:rsid w:val="00575F76"/>
    <w:rsid w:val="005768D1"/>
    <w:rsid w:val="00576AF7"/>
    <w:rsid w:val="00580A86"/>
    <w:rsid w:val="00580EBD"/>
    <w:rsid w:val="0058214C"/>
    <w:rsid w:val="005840DF"/>
    <w:rsid w:val="005856CB"/>
    <w:rsid w:val="0058578F"/>
    <w:rsid w:val="005859BF"/>
    <w:rsid w:val="00587DFD"/>
    <w:rsid w:val="00591BE3"/>
    <w:rsid w:val="0059278C"/>
    <w:rsid w:val="00596BB3"/>
    <w:rsid w:val="005978B7"/>
    <w:rsid w:val="005A0EAE"/>
    <w:rsid w:val="005A4EE0"/>
    <w:rsid w:val="005A5916"/>
    <w:rsid w:val="005B1037"/>
    <w:rsid w:val="005B5FDF"/>
    <w:rsid w:val="005B6C66"/>
    <w:rsid w:val="005C20AC"/>
    <w:rsid w:val="005C28C5"/>
    <w:rsid w:val="005C297B"/>
    <w:rsid w:val="005C2E30"/>
    <w:rsid w:val="005C3189"/>
    <w:rsid w:val="005C4167"/>
    <w:rsid w:val="005C4AF9"/>
    <w:rsid w:val="005C4EEF"/>
    <w:rsid w:val="005C52F8"/>
    <w:rsid w:val="005C58D4"/>
    <w:rsid w:val="005C796F"/>
    <w:rsid w:val="005C7FD4"/>
    <w:rsid w:val="005D1B78"/>
    <w:rsid w:val="005D425A"/>
    <w:rsid w:val="005D45C5"/>
    <w:rsid w:val="005D47C0"/>
    <w:rsid w:val="005E019C"/>
    <w:rsid w:val="005E077A"/>
    <w:rsid w:val="005E08CB"/>
    <w:rsid w:val="005E0ECD"/>
    <w:rsid w:val="005E14CB"/>
    <w:rsid w:val="005E364E"/>
    <w:rsid w:val="005E3659"/>
    <w:rsid w:val="005E3EDE"/>
    <w:rsid w:val="005E4887"/>
    <w:rsid w:val="005E5186"/>
    <w:rsid w:val="005E6765"/>
    <w:rsid w:val="005E6FE2"/>
    <w:rsid w:val="005E749D"/>
    <w:rsid w:val="005E7D93"/>
    <w:rsid w:val="005F51DE"/>
    <w:rsid w:val="005F56A8"/>
    <w:rsid w:val="005F58E5"/>
    <w:rsid w:val="005F608E"/>
    <w:rsid w:val="005F7A86"/>
    <w:rsid w:val="00600905"/>
    <w:rsid w:val="00604408"/>
    <w:rsid w:val="006065D7"/>
    <w:rsid w:val="006065EF"/>
    <w:rsid w:val="00610E78"/>
    <w:rsid w:val="0061139D"/>
    <w:rsid w:val="0061160F"/>
    <w:rsid w:val="006129FF"/>
    <w:rsid w:val="00612BA6"/>
    <w:rsid w:val="00614787"/>
    <w:rsid w:val="00614A4E"/>
    <w:rsid w:val="00616C21"/>
    <w:rsid w:val="00622136"/>
    <w:rsid w:val="006236B5"/>
    <w:rsid w:val="006253B7"/>
    <w:rsid w:val="006320A3"/>
    <w:rsid w:val="00632AB6"/>
    <w:rsid w:val="00633141"/>
    <w:rsid w:val="0063385C"/>
    <w:rsid w:val="00633E04"/>
    <w:rsid w:val="00634292"/>
    <w:rsid w:val="00635397"/>
    <w:rsid w:val="006362B3"/>
    <w:rsid w:val="00636921"/>
    <w:rsid w:val="00640423"/>
    <w:rsid w:val="00641C9A"/>
    <w:rsid w:val="00641CC6"/>
    <w:rsid w:val="00643768"/>
    <w:rsid w:val="00643F71"/>
    <w:rsid w:val="00646AED"/>
    <w:rsid w:val="00646CA9"/>
    <w:rsid w:val="006473C1"/>
    <w:rsid w:val="00651669"/>
    <w:rsid w:val="00651FCE"/>
    <w:rsid w:val="006522E1"/>
    <w:rsid w:val="0065368F"/>
    <w:rsid w:val="00654C2B"/>
    <w:rsid w:val="006564B9"/>
    <w:rsid w:val="00656C84"/>
    <w:rsid w:val="006570FC"/>
    <w:rsid w:val="00657B37"/>
    <w:rsid w:val="006607D3"/>
    <w:rsid w:val="00660E96"/>
    <w:rsid w:val="00661796"/>
    <w:rsid w:val="00662618"/>
    <w:rsid w:val="00664EB1"/>
    <w:rsid w:val="006657C0"/>
    <w:rsid w:val="00667638"/>
    <w:rsid w:val="00671280"/>
    <w:rsid w:val="00671AC6"/>
    <w:rsid w:val="00672A6F"/>
    <w:rsid w:val="00673185"/>
    <w:rsid w:val="00673406"/>
    <w:rsid w:val="00673674"/>
    <w:rsid w:val="006745DD"/>
    <w:rsid w:val="00675E77"/>
    <w:rsid w:val="00677A0C"/>
    <w:rsid w:val="00680547"/>
    <w:rsid w:val="00680887"/>
    <w:rsid w:val="00680A95"/>
    <w:rsid w:val="00680F2B"/>
    <w:rsid w:val="006814CB"/>
    <w:rsid w:val="0068447C"/>
    <w:rsid w:val="00685233"/>
    <w:rsid w:val="006855FC"/>
    <w:rsid w:val="006857B4"/>
    <w:rsid w:val="00687A2B"/>
    <w:rsid w:val="0069179D"/>
    <w:rsid w:val="00691E4F"/>
    <w:rsid w:val="00693C2C"/>
    <w:rsid w:val="00696756"/>
    <w:rsid w:val="0069720F"/>
    <w:rsid w:val="006A1995"/>
    <w:rsid w:val="006A6ACD"/>
    <w:rsid w:val="006B27CB"/>
    <w:rsid w:val="006B505F"/>
    <w:rsid w:val="006C02F6"/>
    <w:rsid w:val="006C08D3"/>
    <w:rsid w:val="006C265F"/>
    <w:rsid w:val="006C332F"/>
    <w:rsid w:val="006C3D19"/>
    <w:rsid w:val="006C552F"/>
    <w:rsid w:val="006C7AAC"/>
    <w:rsid w:val="006D07E0"/>
    <w:rsid w:val="006D2BB3"/>
    <w:rsid w:val="006D3568"/>
    <w:rsid w:val="006D3AEF"/>
    <w:rsid w:val="006D44FF"/>
    <w:rsid w:val="006D45A0"/>
    <w:rsid w:val="006D65BC"/>
    <w:rsid w:val="006D705C"/>
    <w:rsid w:val="006D756E"/>
    <w:rsid w:val="006E0A8E"/>
    <w:rsid w:val="006E1033"/>
    <w:rsid w:val="006E2568"/>
    <w:rsid w:val="006E272E"/>
    <w:rsid w:val="006E2DC7"/>
    <w:rsid w:val="006E3C36"/>
    <w:rsid w:val="006E6639"/>
    <w:rsid w:val="006E746C"/>
    <w:rsid w:val="006F2595"/>
    <w:rsid w:val="006F6520"/>
    <w:rsid w:val="00700158"/>
    <w:rsid w:val="0070106D"/>
    <w:rsid w:val="0070241B"/>
    <w:rsid w:val="00702F8D"/>
    <w:rsid w:val="00703E9F"/>
    <w:rsid w:val="00704185"/>
    <w:rsid w:val="00707F9A"/>
    <w:rsid w:val="00712115"/>
    <w:rsid w:val="007122E9"/>
    <w:rsid w:val="007123A3"/>
    <w:rsid w:val="007123AC"/>
    <w:rsid w:val="00712860"/>
    <w:rsid w:val="00714441"/>
    <w:rsid w:val="007150BC"/>
    <w:rsid w:val="00715DE2"/>
    <w:rsid w:val="00716950"/>
    <w:rsid w:val="00716D6A"/>
    <w:rsid w:val="00726FD8"/>
    <w:rsid w:val="00730107"/>
    <w:rsid w:val="00730EBF"/>
    <w:rsid w:val="007319BE"/>
    <w:rsid w:val="007327A5"/>
    <w:rsid w:val="0073456C"/>
    <w:rsid w:val="00734DC1"/>
    <w:rsid w:val="00737580"/>
    <w:rsid w:val="00737DD2"/>
    <w:rsid w:val="0074064C"/>
    <w:rsid w:val="00741576"/>
    <w:rsid w:val="00741A55"/>
    <w:rsid w:val="00741FD7"/>
    <w:rsid w:val="007421C8"/>
    <w:rsid w:val="007425EB"/>
    <w:rsid w:val="00743755"/>
    <w:rsid w:val="007437FB"/>
    <w:rsid w:val="007449BF"/>
    <w:rsid w:val="0074503E"/>
    <w:rsid w:val="00747BF1"/>
    <w:rsid w:val="00747C76"/>
    <w:rsid w:val="00750265"/>
    <w:rsid w:val="00751B4B"/>
    <w:rsid w:val="00753ABC"/>
    <w:rsid w:val="00755A0B"/>
    <w:rsid w:val="00755B41"/>
    <w:rsid w:val="00756CF6"/>
    <w:rsid w:val="00757268"/>
    <w:rsid w:val="0075734B"/>
    <w:rsid w:val="007614EC"/>
    <w:rsid w:val="00761C8E"/>
    <w:rsid w:val="00761C99"/>
    <w:rsid w:val="00761C9F"/>
    <w:rsid w:val="00762E3C"/>
    <w:rsid w:val="00763096"/>
    <w:rsid w:val="00763210"/>
    <w:rsid w:val="00763EBC"/>
    <w:rsid w:val="0076666F"/>
    <w:rsid w:val="0076686A"/>
    <w:rsid w:val="00766D30"/>
    <w:rsid w:val="00770850"/>
    <w:rsid w:val="00770EB6"/>
    <w:rsid w:val="0077185E"/>
    <w:rsid w:val="0077647C"/>
    <w:rsid w:val="00776635"/>
    <w:rsid w:val="00776724"/>
    <w:rsid w:val="007807B1"/>
    <w:rsid w:val="0078210C"/>
    <w:rsid w:val="00784BA5"/>
    <w:rsid w:val="0078654C"/>
    <w:rsid w:val="00792C4D"/>
    <w:rsid w:val="00792CFB"/>
    <w:rsid w:val="00793841"/>
    <w:rsid w:val="00793FEA"/>
    <w:rsid w:val="00794CA5"/>
    <w:rsid w:val="007979AF"/>
    <w:rsid w:val="007A06FD"/>
    <w:rsid w:val="007A115E"/>
    <w:rsid w:val="007A6970"/>
    <w:rsid w:val="007A70B1"/>
    <w:rsid w:val="007A7112"/>
    <w:rsid w:val="007A79C1"/>
    <w:rsid w:val="007B0D31"/>
    <w:rsid w:val="007B112E"/>
    <w:rsid w:val="007B1D57"/>
    <w:rsid w:val="007B2BBF"/>
    <w:rsid w:val="007B32F0"/>
    <w:rsid w:val="007B34C1"/>
    <w:rsid w:val="007B3910"/>
    <w:rsid w:val="007B503C"/>
    <w:rsid w:val="007B6360"/>
    <w:rsid w:val="007B7D81"/>
    <w:rsid w:val="007C29F6"/>
    <w:rsid w:val="007C30BB"/>
    <w:rsid w:val="007C3BD1"/>
    <w:rsid w:val="007C3BDD"/>
    <w:rsid w:val="007C401E"/>
    <w:rsid w:val="007C44FF"/>
    <w:rsid w:val="007C6B86"/>
    <w:rsid w:val="007C7007"/>
    <w:rsid w:val="007D12DD"/>
    <w:rsid w:val="007D2426"/>
    <w:rsid w:val="007D3EA1"/>
    <w:rsid w:val="007D78B4"/>
    <w:rsid w:val="007E10D3"/>
    <w:rsid w:val="007E3421"/>
    <w:rsid w:val="007E54BB"/>
    <w:rsid w:val="007E56EA"/>
    <w:rsid w:val="007E6376"/>
    <w:rsid w:val="007E6B46"/>
    <w:rsid w:val="007F0503"/>
    <w:rsid w:val="007F0D05"/>
    <w:rsid w:val="007F228D"/>
    <w:rsid w:val="007F30A9"/>
    <w:rsid w:val="007F3E18"/>
    <w:rsid w:val="007F3E33"/>
    <w:rsid w:val="00800B18"/>
    <w:rsid w:val="008026D0"/>
    <w:rsid w:val="00804649"/>
    <w:rsid w:val="008066CC"/>
    <w:rsid w:val="00806717"/>
    <w:rsid w:val="008109A6"/>
    <w:rsid w:val="00810DFB"/>
    <w:rsid w:val="00810F41"/>
    <w:rsid w:val="00811382"/>
    <w:rsid w:val="00811C4C"/>
    <w:rsid w:val="00814887"/>
    <w:rsid w:val="00820CF5"/>
    <w:rsid w:val="008211B6"/>
    <w:rsid w:val="00823B9C"/>
    <w:rsid w:val="008255E8"/>
    <w:rsid w:val="00825D8E"/>
    <w:rsid w:val="008263B0"/>
    <w:rsid w:val="008267A3"/>
    <w:rsid w:val="00827747"/>
    <w:rsid w:val="0083086E"/>
    <w:rsid w:val="00830CEB"/>
    <w:rsid w:val="0083262F"/>
    <w:rsid w:val="008338C3"/>
    <w:rsid w:val="00833D0D"/>
    <w:rsid w:val="00834640"/>
    <w:rsid w:val="00834DA5"/>
    <w:rsid w:val="00837C3E"/>
    <w:rsid w:val="00837DCE"/>
    <w:rsid w:val="00840FCD"/>
    <w:rsid w:val="00843CDB"/>
    <w:rsid w:val="00843EEB"/>
    <w:rsid w:val="008502BB"/>
    <w:rsid w:val="00850545"/>
    <w:rsid w:val="00852472"/>
    <w:rsid w:val="00855579"/>
    <w:rsid w:val="00855F37"/>
    <w:rsid w:val="008602A4"/>
    <w:rsid w:val="008628C6"/>
    <w:rsid w:val="0086300F"/>
    <w:rsid w:val="008630BC"/>
    <w:rsid w:val="00865893"/>
    <w:rsid w:val="00866D02"/>
    <w:rsid w:val="00866E4A"/>
    <w:rsid w:val="00866F6F"/>
    <w:rsid w:val="00867846"/>
    <w:rsid w:val="0086788B"/>
    <w:rsid w:val="0087063D"/>
    <w:rsid w:val="00870994"/>
    <w:rsid w:val="00870B30"/>
    <w:rsid w:val="008718D0"/>
    <w:rsid w:val="008719B7"/>
    <w:rsid w:val="0087303F"/>
    <w:rsid w:val="00875E43"/>
    <w:rsid w:val="00875F55"/>
    <w:rsid w:val="00876604"/>
    <w:rsid w:val="00876C84"/>
    <w:rsid w:val="008803D6"/>
    <w:rsid w:val="00880D20"/>
    <w:rsid w:val="00882CE5"/>
    <w:rsid w:val="00883D8E"/>
    <w:rsid w:val="00884870"/>
    <w:rsid w:val="00884D43"/>
    <w:rsid w:val="00885481"/>
    <w:rsid w:val="008873D9"/>
    <w:rsid w:val="00890CA8"/>
    <w:rsid w:val="00893886"/>
    <w:rsid w:val="00894190"/>
    <w:rsid w:val="0089523E"/>
    <w:rsid w:val="008955D1"/>
    <w:rsid w:val="00896657"/>
    <w:rsid w:val="008A012C"/>
    <w:rsid w:val="008A04D6"/>
    <w:rsid w:val="008A2F16"/>
    <w:rsid w:val="008A3E95"/>
    <w:rsid w:val="008A4C1E"/>
    <w:rsid w:val="008A6370"/>
    <w:rsid w:val="008B0D07"/>
    <w:rsid w:val="008B6788"/>
    <w:rsid w:val="008B6A5D"/>
    <w:rsid w:val="008B779C"/>
    <w:rsid w:val="008B7D6F"/>
    <w:rsid w:val="008C1F06"/>
    <w:rsid w:val="008C5AC8"/>
    <w:rsid w:val="008C5B26"/>
    <w:rsid w:val="008C72B4"/>
    <w:rsid w:val="008D06F4"/>
    <w:rsid w:val="008D4070"/>
    <w:rsid w:val="008D4B19"/>
    <w:rsid w:val="008D6275"/>
    <w:rsid w:val="008E0EDD"/>
    <w:rsid w:val="008E1838"/>
    <w:rsid w:val="008E2C2B"/>
    <w:rsid w:val="008E3EA7"/>
    <w:rsid w:val="008E5040"/>
    <w:rsid w:val="008E6BBE"/>
    <w:rsid w:val="008E7EBF"/>
    <w:rsid w:val="008E7EE9"/>
    <w:rsid w:val="008F1019"/>
    <w:rsid w:val="008F13A0"/>
    <w:rsid w:val="008F1A79"/>
    <w:rsid w:val="008F1E12"/>
    <w:rsid w:val="008F231B"/>
    <w:rsid w:val="008F27EA"/>
    <w:rsid w:val="008F39EB"/>
    <w:rsid w:val="008F3CA6"/>
    <w:rsid w:val="008F6AA7"/>
    <w:rsid w:val="008F740F"/>
    <w:rsid w:val="009005E6"/>
    <w:rsid w:val="00900ACF"/>
    <w:rsid w:val="009015D7"/>
    <w:rsid w:val="009016CF"/>
    <w:rsid w:val="0090382B"/>
    <w:rsid w:val="00903DAE"/>
    <w:rsid w:val="0090415D"/>
    <w:rsid w:val="00911C30"/>
    <w:rsid w:val="0091258C"/>
    <w:rsid w:val="00913AD7"/>
    <w:rsid w:val="00913E4E"/>
    <w:rsid w:val="00913FC8"/>
    <w:rsid w:val="009157CF"/>
    <w:rsid w:val="00916C91"/>
    <w:rsid w:val="009201C5"/>
    <w:rsid w:val="00920330"/>
    <w:rsid w:val="00922821"/>
    <w:rsid w:val="009229E7"/>
    <w:rsid w:val="00923380"/>
    <w:rsid w:val="0092414A"/>
    <w:rsid w:val="00924E20"/>
    <w:rsid w:val="00925750"/>
    <w:rsid w:val="009258F1"/>
    <w:rsid w:val="00925A4F"/>
    <w:rsid w:val="00925BBA"/>
    <w:rsid w:val="00927090"/>
    <w:rsid w:val="00930553"/>
    <w:rsid w:val="00930ACD"/>
    <w:rsid w:val="00930C74"/>
    <w:rsid w:val="0093125B"/>
    <w:rsid w:val="00932717"/>
    <w:rsid w:val="00932ADC"/>
    <w:rsid w:val="00934806"/>
    <w:rsid w:val="00942C88"/>
    <w:rsid w:val="00943FCF"/>
    <w:rsid w:val="009453C3"/>
    <w:rsid w:val="00951C4D"/>
    <w:rsid w:val="00952990"/>
    <w:rsid w:val="00953116"/>
    <w:rsid w:val="009531DF"/>
    <w:rsid w:val="00954381"/>
    <w:rsid w:val="00954FA9"/>
    <w:rsid w:val="00955D15"/>
    <w:rsid w:val="0095612A"/>
    <w:rsid w:val="00956FCD"/>
    <w:rsid w:val="0095751B"/>
    <w:rsid w:val="00957528"/>
    <w:rsid w:val="009603F4"/>
    <w:rsid w:val="00963019"/>
    <w:rsid w:val="0096302E"/>
    <w:rsid w:val="00963647"/>
    <w:rsid w:val="00963864"/>
    <w:rsid w:val="009651DD"/>
    <w:rsid w:val="0096655E"/>
    <w:rsid w:val="00967AFD"/>
    <w:rsid w:val="009704BF"/>
    <w:rsid w:val="00972325"/>
    <w:rsid w:val="009765B3"/>
    <w:rsid w:val="00976895"/>
    <w:rsid w:val="00977A77"/>
    <w:rsid w:val="00980C78"/>
    <w:rsid w:val="00981C9E"/>
    <w:rsid w:val="00984707"/>
    <w:rsid w:val="00984748"/>
    <w:rsid w:val="00984F56"/>
    <w:rsid w:val="00985CCD"/>
    <w:rsid w:val="009868B9"/>
    <w:rsid w:val="00987286"/>
    <w:rsid w:val="00987693"/>
    <w:rsid w:val="00992C32"/>
    <w:rsid w:val="009937D3"/>
    <w:rsid w:val="00993D24"/>
    <w:rsid w:val="009950C6"/>
    <w:rsid w:val="00996540"/>
    <w:rsid w:val="009966FF"/>
    <w:rsid w:val="00997034"/>
    <w:rsid w:val="009971A9"/>
    <w:rsid w:val="009A0241"/>
    <w:rsid w:val="009A0FDB"/>
    <w:rsid w:val="009A37D5"/>
    <w:rsid w:val="009A59D0"/>
    <w:rsid w:val="009A7EC2"/>
    <w:rsid w:val="009B0A60"/>
    <w:rsid w:val="009B56CF"/>
    <w:rsid w:val="009B60AA"/>
    <w:rsid w:val="009C12E7"/>
    <w:rsid w:val="009C137D"/>
    <w:rsid w:val="009C166E"/>
    <w:rsid w:val="009C17F8"/>
    <w:rsid w:val="009C2421"/>
    <w:rsid w:val="009C634A"/>
    <w:rsid w:val="009D063C"/>
    <w:rsid w:val="009D0A91"/>
    <w:rsid w:val="009D1380"/>
    <w:rsid w:val="009D20AA"/>
    <w:rsid w:val="009D22FC"/>
    <w:rsid w:val="009D3904"/>
    <w:rsid w:val="009D3D77"/>
    <w:rsid w:val="009D40CA"/>
    <w:rsid w:val="009D4319"/>
    <w:rsid w:val="009D52BB"/>
    <w:rsid w:val="009D558E"/>
    <w:rsid w:val="009D57E5"/>
    <w:rsid w:val="009D5A87"/>
    <w:rsid w:val="009D6C80"/>
    <w:rsid w:val="009E0424"/>
    <w:rsid w:val="009E2846"/>
    <w:rsid w:val="009E2EF5"/>
    <w:rsid w:val="009E4268"/>
    <w:rsid w:val="009E435E"/>
    <w:rsid w:val="009E4BA9"/>
    <w:rsid w:val="009F55FD"/>
    <w:rsid w:val="009F5B59"/>
    <w:rsid w:val="009F7D77"/>
    <w:rsid w:val="009F7F80"/>
    <w:rsid w:val="00A01682"/>
    <w:rsid w:val="00A01BCD"/>
    <w:rsid w:val="00A04A82"/>
    <w:rsid w:val="00A04C4A"/>
    <w:rsid w:val="00A059C6"/>
    <w:rsid w:val="00A05C7B"/>
    <w:rsid w:val="00A05FB5"/>
    <w:rsid w:val="00A0780F"/>
    <w:rsid w:val="00A11572"/>
    <w:rsid w:val="00A11A8D"/>
    <w:rsid w:val="00A14C5B"/>
    <w:rsid w:val="00A15D01"/>
    <w:rsid w:val="00A22C01"/>
    <w:rsid w:val="00A23ADC"/>
    <w:rsid w:val="00A24673"/>
    <w:rsid w:val="00A24FAC"/>
    <w:rsid w:val="00A2668A"/>
    <w:rsid w:val="00A276A1"/>
    <w:rsid w:val="00A27C2E"/>
    <w:rsid w:val="00A30ECC"/>
    <w:rsid w:val="00A35814"/>
    <w:rsid w:val="00A36434"/>
    <w:rsid w:val="00A36991"/>
    <w:rsid w:val="00A40F41"/>
    <w:rsid w:val="00A4114C"/>
    <w:rsid w:val="00A4319D"/>
    <w:rsid w:val="00A43BFF"/>
    <w:rsid w:val="00A464E4"/>
    <w:rsid w:val="00A46620"/>
    <w:rsid w:val="00A47112"/>
    <w:rsid w:val="00A476AE"/>
    <w:rsid w:val="00A500F3"/>
    <w:rsid w:val="00A50674"/>
    <w:rsid w:val="00A5089E"/>
    <w:rsid w:val="00A5140C"/>
    <w:rsid w:val="00A5228B"/>
    <w:rsid w:val="00A52521"/>
    <w:rsid w:val="00A5319F"/>
    <w:rsid w:val="00A53D3B"/>
    <w:rsid w:val="00A55454"/>
    <w:rsid w:val="00A5629C"/>
    <w:rsid w:val="00A607ED"/>
    <w:rsid w:val="00A62896"/>
    <w:rsid w:val="00A63852"/>
    <w:rsid w:val="00A63DC2"/>
    <w:rsid w:val="00A64826"/>
    <w:rsid w:val="00A64E41"/>
    <w:rsid w:val="00A6603D"/>
    <w:rsid w:val="00A673BC"/>
    <w:rsid w:val="00A70B9D"/>
    <w:rsid w:val="00A71A2E"/>
    <w:rsid w:val="00A72452"/>
    <w:rsid w:val="00A739F4"/>
    <w:rsid w:val="00A74954"/>
    <w:rsid w:val="00A75D8C"/>
    <w:rsid w:val="00A76646"/>
    <w:rsid w:val="00A77CE1"/>
    <w:rsid w:val="00A8007F"/>
    <w:rsid w:val="00A80AA2"/>
    <w:rsid w:val="00A81AAC"/>
    <w:rsid w:val="00A81EF8"/>
    <w:rsid w:val="00A8252E"/>
    <w:rsid w:val="00A82933"/>
    <w:rsid w:val="00A82E56"/>
    <w:rsid w:val="00A83CA7"/>
    <w:rsid w:val="00A84644"/>
    <w:rsid w:val="00A85172"/>
    <w:rsid w:val="00A85940"/>
    <w:rsid w:val="00A86199"/>
    <w:rsid w:val="00A877CC"/>
    <w:rsid w:val="00A87D9F"/>
    <w:rsid w:val="00A9069E"/>
    <w:rsid w:val="00A91776"/>
    <w:rsid w:val="00A919E1"/>
    <w:rsid w:val="00A91F3B"/>
    <w:rsid w:val="00A93CC6"/>
    <w:rsid w:val="00A95FEF"/>
    <w:rsid w:val="00A97C49"/>
    <w:rsid w:val="00AA0FDE"/>
    <w:rsid w:val="00AA42D4"/>
    <w:rsid w:val="00AA4F7F"/>
    <w:rsid w:val="00AA58FD"/>
    <w:rsid w:val="00AA6D95"/>
    <w:rsid w:val="00AA7795"/>
    <w:rsid w:val="00AA78AB"/>
    <w:rsid w:val="00AB0801"/>
    <w:rsid w:val="00AB13F3"/>
    <w:rsid w:val="00AB1A30"/>
    <w:rsid w:val="00AB2573"/>
    <w:rsid w:val="00AB34A5"/>
    <w:rsid w:val="00AB365E"/>
    <w:rsid w:val="00AB4D04"/>
    <w:rsid w:val="00AB53B3"/>
    <w:rsid w:val="00AB6309"/>
    <w:rsid w:val="00AB675C"/>
    <w:rsid w:val="00AB78E7"/>
    <w:rsid w:val="00AB7EE1"/>
    <w:rsid w:val="00AC0074"/>
    <w:rsid w:val="00AC1A70"/>
    <w:rsid w:val="00AC39F8"/>
    <w:rsid w:val="00AC3B3B"/>
    <w:rsid w:val="00AC40EF"/>
    <w:rsid w:val="00AC6727"/>
    <w:rsid w:val="00AC76AC"/>
    <w:rsid w:val="00AD253C"/>
    <w:rsid w:val="00AD2C26"/>
    <w:rsid w:val="00AD42DE"/>
    <w:rsid w:val="00AD5394"/>
    <w:rsid w:val="00AD5588"/>
    <w:rsid w:val="00AE3DC2"/>
    <w:rsid w:val="00AE4ED6"/>
    <w:rsid w:val="00AE541E"/>
    <w:rsid w:val="00AE56F2"/>
    <w:rsid w:val="00AE6611"/>
    <w:rsid w:val="00AE6A93"/>
    <w:rsid w:val="00AE7A99"/>
    <w:rsid w:val="00AF059F"/>
    <w:rsid w:val="00AF6099"/>
    <w:rsid w:val="00B007EF"/>
    <w:rsid w:val="00B01AFD"/>
    <w:rsid w:val="00B01C0E"/>
    <w:rsid w:val="00B02B41"/>
    <w:rsid w:val="00B0371D"/>
    <w:rsid w:val="00B0428D"/>
    <w:rsid w:val="00B04F31"/>
    <w:rsid w:val="00B05020"/>
    <w:rsid w:val="00B0525C"/>
    <w:rsid w:val="00B12806"/>
    <w:rsid w:val="00B12F98"/>
    <w:rsid w:val="00B15B90"/>
    <w:rsid w:val="00B15F32"/>
    <w:rsid w:val="00B17B89"/>
    <w:rsid w:val="00B2418D"/>
    <w:rsid w:val="00B247F0"/>
    <w:rsid w:val="00B24A04"/>
    <w:rsid w:val="00B25580"/>
    <w:rsid w:val="00B26C6E"/>
    <w:rsid w:val="00B27A33"/>
    <w:rsid w:val="00B310BA"/>
    <w:rsid w:val="00B3290A"/>
    <w:rsid w:val="00B34E4A"/>
    <w:rsid w:val="00B359C9"/>
    <w:rsid w:val="00B36347"/>
    <w:rsid w:val="00B40D84"/>
    <w:rsid w:val="00B41E45"/>
    <w:rsid w:val="00B42848"/>
    <w:rsid w:val="00B43442"/>
    <w:rsid w:val="00B4566C"/>
    <w:rsid w:val="00B4773C"/>
    <w:rsid w:val="00B50039"/>
    <w:rsid w:val="00B511D9"/>
    <w:rsid w:val="00B51A61"/>
    <w:rsid w:val="00B5282A"/>
    <w:rsid w:val="00B538F4"/>
    <w:rsid w:val="00B53A1E"/>
    <w:rsid w:val="00B6012B"/>
    <w:rsid w:val="00B60142"/>
    <w:rsid w:val="00B60346"/>
    <w:rsid w:val="00B606F4"/>
    <w:rsid w:val="00B620F6"/>
    <w:rsid w:val="00B666F6"/>
    <w:rsid w:val="00B6704F"/>
    <w:rsid w:val="00B70E1C"/>
    <w:rsid w:val="00B71167"/>
    <w:rsid w:val="00B724E8"/>
    <w:rsid w:val="00B769BA"/>
    <w:rsid w:val="00B77536"/>
    <w:rsid w:val="00B77AEF"/>
    <w:rsid w:val="00B83B16"/>
    <w:rsid w:val="00B855F0"/>
    <w:rsid w:val="00B861FF"/>
    <w:rsid w:val="00B86983"/>
    <w:rsid w:val="00B90C06"/>
    <w:rsid w:val="00B91703"/>
    <w:rsid w:val="00B91746"/>
    <w:rsid w:val="00B923AC"/>
    <w:rsid w:val="00B9300F"/>
    <w:rsid w:val="00B95734"/>
    <w:rsid w:val="00B95B1D"/>
    <w:rsid w:val="00B9665F"/>
    <w:rsid w:val="00B975EA"/>
    <w:rsid w:val="00BA0398"/>
    <w:rsid w:val="00BA08B4"/>
    <w:rsid w:val="00BA17C8"/>
    <w:rsid w:val="00BA268E"/>
    <w:rsid w:val="00BA27C8"/>
    <w:rsid w:val="00BA5216"/>
    <w:rsid w:val="00BB0F03"/>
    <w:rsid w:val="00BB166E"/>
    <w:rsid w:val="00BB19F5"/>
    <w:rsid w:val="00BB3115"/>
    <w:rsid w:val="00BB39B4"/>
    <w:rsid w:val="00BB40C7"/>
    <w:rsid w:val="00BB4184"/>
    <w:rsid w:val="00BB4AC3"/>
    <w:rsid w:val="00BB5A48"/>
    <w:rsid w:val="00BB5F71"/>
    <w:rsid w:val="00BB6DED"/>
    <w:rsid w:val="00BB73F0"/>
    <w:rsid w:val="00BB77C1"/>
    <w:rsid w:val="00BC014C"/>
    <w:rsid w:val="00BC05BA"/>
    <w:rsid w:val="00BC1132"/>
    <w:rsid w:val="00BC14BD"/>
    <w:rsid w:val="00BC1EF9"/>
    <w:rsid w:val="00BC37AE"/>
    <w:rsid w:val="00BC4898"/>
    <w:rsid w:val="00BC6326"/>
    <w:rsid w:val="00BC6ACF"/>
    <w:rsid w:val="00BC77CE"/>
    <w:rsid w:val="00BD3506"/>
    <w:rsid w:val="00BD50B0"/>
    <w:rsid w:val="00BD5C2E"/>
    <w:rsid w:val="00BE3666"/>
    <w:rsid w:val="00BE37CC"/>
    <w:rsid w:val="00BE39CA"/>
    <w:rsid w:val="00BE5ABE"/>
    <w:rsid w:val="00BE62C2"/>
    <w:rsid w:val="00BE77D6"/>
    <w:rsid w:val="00BE7F9A"/>
    <w:rsid w:val="00BF18E6"/>
    <w:rsid w:val="00BF302E"/>
    <w:rsid w:val="00BF31E6"/>
    <w:rsid w:val="00BF5F8B"/>
    <w:rsid w:val="00BF62D8"/>
    <w:rsid w:val="00BF70CA"/>
    <w:rsid w:val="00BF7F05"/>
    <w:rsid w:val="00C01B4C"/>
    <w:rsid w:val="00C01BCA"/>
    <w:rsid w:val="00C02FCB"/>
    <w:rsid w:val="00C03188"/>
    <w:rsid w:val="00C04B5A"/>
    <w:rsid w:val="00C070F2"/>
    <w:rsid w:val="00C07305"/>
    <w:rsid w:val="00C11F58"/>
    <w:rsid w:val="00C120B0"/>
    <w:rsid w:val="00C12406"/>
    <w:rsid w:val="00C12B87"/>
    <w:rsid w:val="00C13661"/>
    <w:rsid w:val="00C14B20"/>
    <w:rsid w:val="00C227A4"/>
    <w:rsid w:val="00C25A14"/>
    <w:rsid w:val="00C2622D"/>
    <w:rsid w:val="00C27723"/>
    <w:rsid w:val="00C27E65"/>
    <w:rsid w:val="00C30267"/>
    <w:rsid w:val="00C31DD3"/>
    <w:rsid w:val="00C32FF9"/>
    <w:rsid w:val="00C3353D"/>
    <w:rsid w:val="00C33C94"/>
    <w:rsid w:val="00C33D9A"/>
    <w:rsid w:val="00C34982"/>
    <w:rsid w:val="00C35828"/>
    <w:rsid w:val="00C36A36"/>
    <w:rsid w:val="00C408F8"/>
    <w:rsid w:val="00C40DF6"/>
    <w:rsid w:val="00C4152F"/>
    <w:rsid w:val="00C41E35"/>
    <w:rsid w:val="00C423DC"/>
    <w:rsid w:val="00C429F3"/>
    <w:rsid w:val="00C44145"/>
    <w:rsid w:val="00C46309"/>
    <w:rsid w:val="00C46EE3"/>
    <w:rsid w:val="00C47253"/>
    <w:rsid w:val="00C52D04"/>
    <w:rsid w:val="00C553CE"/>
    <w:rsid w:val="00C57E8A"/>
    <w:rsid w:val="00C61987"/>
    <w:rsid w:val="00C619C5"/>
    <w:rsid w:val="00C61DA2"/>
    <w:rsid w:val="00C61FB5"/>
    <w:rsid w:val="00C66894"/>
    <w:rsid w:val="00C66C39"/>
    <w:rsid w:val="00C67897"/>
    <w:rsid w:val="00C67A6D"/>
    <w:rsid w:val="00C71B6A"/>
    <w:rsid w:val="00C7278D"/>
    <w:rsid w:val="00C73EC1"/>
    <w:rsid w:val="00C73ED0"/>
    <w:rsid w:val="00C7514D"/>
    <w:rsid w:val="00C75C37"/>
    <w:rsid w:val="00C771B0"/>
    <w:rsid w:val="00C7765D"/>
    <w:rsid w:val="00C805EF"/>
    <w:rsid w:val="00C810B5"/>
    <w:rsid w:val="00C8149E"/>
    <w:rsid w:val="00C8212A"/>
    <w:rsid w:val="00C82A58"/>
    <w:rsid w:val="00C82B82"/>
    <w:rsid w:val="00C82F11"/>
    <w:rsid w:val="00C8448A"/>
    <w:rsid w:val="00C85A4F"/>
    <w:rsid w:val="00C85FE7"/>
    <w:rsid w:val="00C8666D"/>
    <w:rsid w:val="00C87574"/>
    <w:rsid w:val="00C87AB0"/>
    <w:rsid w:val="00C91D31"/>
    <w:rsid w:val="00C95F8F"/>
    <w:rsid w:val="00C96409"/>
    <w:rsid w:val="00C9686A"/>
    <w:rsid w:val="00C97CE3"/>
    <w:rsid w:val="00C97F92"/>
    <w:rsid w:val="00CA1F4F"/>
    <w:rsid w:val="00CA27A3"/>
    <w:rsid w:val="00CA72F3"/>
    <w:rsid w:val="00CB1742"/>
    <w:rsid w:val="00CB2461"/>
    <w:rsid w:val="00CB2701"/>
    <w:rsid w:val="00CB2737"/>
    <w:rsid w:val="00CB2845"/>
    <w:rsid w:val="00CB2912"/>
    <w:rsid w:val="00CB383A"/>
    <w:rsid w:val="00CB4BCC"/>
    <w:rsid w:val="00CB59A6"/>
    <w:rsid w:val="00CB66A4"/>
    <w:rsid w:val="00CB6A2E"/>
    <w:rsid w:val="00CB6F95"/>
    <w:rsid w:val="00CC00D7"/>
    <w:rsid w:val="00CC0302"/>
    <w:rsid w:val="00CC19E0"/>
    <w:rsid w:val="00CC40AF"/>
    <w:rsid w:val="00CC4891"/>
    <w:rsid w:val="00CC540C"/>
    <w:rsid w:val="00CC5D20"/>
    <w:rsid w:val="00CC5D8B"/>
    <w:rsid w:val="00CD081E"/>
    <w:rsid w:val="00CD0FE1"/>
    <w:rsid w:val="00CD1FA2"/>
    <w:rsid w:val="00CD33FB"/>
    <w:rsid w:val="00CD4299"/>
    <w:rsid w:val="00CD492A"/>
    <w:rsid w:val="00CE307C"/>
    <w:rsid w:val="00CE3DFA"/>
    <w:rsid w:val="00CE480D"/>
    <w:rsid w:val="00CE6EA1"/>
    <w:rsid w:val="00CE6FA1"/>
    <w:rsid w:val="00CF0AF9"/>
    <w:rsid w:val="00CF1542"/>
    <w:rsid w:val="00CF1953"/>
    <w:rsid w:val="00CF2697"/>
    <w:rsid w:val="00CF4719"/>
    <w:rsid w:val="00CF48B5"/>
    <w:rsid w:val="00CF4D23"/>
    <w:rsid w:val="00CF65B0"/>
    <w:rsid w:val="00CF77AE"/>
    <w:rsid w:val="00D00C04"/>
    <w:rsid w:val="00D02191"/>
    <w:rsid w:val="00D0246D"/>
    <w:rsid w:val="00D02E41"/>
    <w:rsid w:val="00D030E4"/>
    <w:rsid w:val="00D06C2B"/>
    <w:rsid w:val="00D1089A"/>
    <w:rsid w:val="00D10E1B"/>
    <w:rsid w:val="00D1314F"/>
    <w:rsid w:val="00D1499D"/>
    <w:rsid w:val="00D1514D"/>
    <w:rsid w:val="00D16B8B"/>
    <w:rsid w:val="00D16EDC"/>
    <w:rsid w:val="00D174D8"/>
    <w:rsid w:val="00D1783E"/>
    <w:rsid w:val="00D22821"/>
    <w:rsid w:val="00D23BEE"/>
    <w:rsid w:val="00D26430"/>
    <w:rsid w:val="00D32398"/>
    <w:rsid w:val="00D326AD"/>
    <w:rsid w:val="00D34B85"/>
    <w:rsid w:val="00D34E4F"/>
    <w:rsid w:val="00D35FA0"/>
    <w:rsid w:val="00D36B21"/>
    <w:rsid w:val="00D40830"/>
    <w:rsid w:val="00D40DE4"/>
    <w:rsid w:val="00D41B0A"/>
    <w:rsid w:val="00D41DA0"/>
    <w:rsid w:val="00D4288C"/>
    <w:rsid w:val="00D42937"/>
    <w:rsid w:val="00D43CA9"/>
    <w:rsid w:val="00D43F88"/>
    <w:rsid w:val="00D44B05"/>
    <w:rsid w:val="00D457A3"/>
    <w:rsid w:val="00D46296"/>
    <w:rsid w:val="00D510F3"/>
    <w:rsid w:val="00D51BDC"/>
    <w:rsid w:val="00D51F80"/>
    <w:rsid w:val="00D5257A"/>
    <w:rsid w:val="00D537EC"/>
    <w:rsid w:val="00D56ACD"/>
    <w:rsid w:val="00D5792F"/>
    <w:rsid w:val="00D60372"/>
    <w:rsid w:val="00D610E8"/>
    <w:rsid w:val="00D63802"/>
    <w:rsid w:val="00D63A38"/>
    <w:rsid w:val="00D63D6F"/>
    <w:rsid w:val="00D64805"/>
    <w:rsid w:val="00D67262"/>
    <w:rsid w:val="00D71490"/>
    <w:rsid w:val="00D71AE2"/>
    <w:rsid w:val="00D72D65"/>
    <w:rsid w:val="00D72E30"/>
    <w:rsid w:val="00D7462C"/>
    <w:rsid w:val="00D76EAA"/>
    <w:rsid w:val="00D77419"/>
    <w:rsid w:val="00D8005C"/>
    <w:rsid w:val="00D8098E"/>
    <w:rsid w:val="00D8155E"/>
    <w:rsid w:val="00D82DA9"/>
    <w:rsid w:val="00D8504F"/>
    <w:rsid w:val="00D85CA5"/>
    <w:rsid w:val="00D91037"/>
    <w:rsid w:val="00D928DD"/>
    <w:rsid w:val="00D93C97"/>
    <w:rsid w:val="00D93CCE"/>
    <w:rsid w:val="00D941AF"/>
    <w:rsid w:val="00D9449B"/>
    <w:rsid w:val="00DA2D77"/>
    <w:rsid w:val="00DA2EB6"/>
    <w:rsid w:val="00DA2EBE"/>
    <w:rsid w:val="00DA3F6C"/>
    <w:rsid w:val="00DA4966"/>
    <w:rsid w:val="00DA4EB0"/>
    <w:rsid w:val="00DA5FED"/>
    <w:rsid w:val="00DA6058"/>
    <w:rsid w:val="00DA78FE"/>
    <w:rsid w:val="00DB06F3"/>
    <w:rsid w:val="00DB10BF"/>
    <w:rsid w:val="00DB1813"/>
    <w:rsid w:val="00DB2577"/>
    <w:rsid w:val="00DB379C"/>
    <w:rsid w:val="00DB3ED7"/>
    <w:rsid w:val="00DB40BD"/>
    <w:rsid w:val="00DB42B9"/>
    <w:rsid w:val="00DB4D2A"/>
    <w:rsid w:val="00DB58F5"/>
    <w:rsid w:val="00DB6E04"/>
    <w:rsid w:val="00DB74F1"/>
    <w:rsid w:val="00DB7B4B"/>
    <w:rsid w:val="00DC05D1"/>
    <w:rsid w:val="00DC0D89"/>
    <w:rsid w:val="00DC0ED8"/>
    <w:rsid w:val="00DC17A2"/>
    <w:rsid w:val="00DC2B12"/>
    <w:rsid w:val="00DC45BC"/>
    <w:rsid w:val="00DD04F9"/>
    <w:rsid w:val="00DD1349"/>
    <w:rsid w:val="00DD17E9"/>
    <w:rsid w:val="00DD46AE"/>
    <w:rsid w:val="00DD5243"/>
    <w:rsid w:val="00DD6F38"/>
    <w:rsid w:val="00DE040A"/>
    <w:rsid w:val="00DE1ADA"/>
    <w:rsid w:val="00DE3661"/>
    <w:rsid w:val="00DE422A"/>
    <w:rsid w:val="00DE5F53"/>
    <w:rsid w:val="00DE60F1"/>
    <w:rsid w:val="00DE7926"/>
    <w:rsid w:val="00DF1CAD"/>
    <w:rsid w:val="00DF2059"/>
    <w:rsid w:val="00DF2B8D"/>
    <w:rsid w:val="00DF3C40"/>
    <w:rsid w:val="00DF796D"/>
    <w:rsid w:val="00DF7F9A"/>
    <w:rsid w:val="00E03785"/>
    <w:rsid w:val="00E06664"/>
    <w:rsid w:val="00E06DE5"/>
    <w:rsid w:val="00E079B9"/>
    <w:rsid w:val="00E10EB8"/>
    <w:rsid w:val="00E10F9E"/>
    <w:rsid w:val="00E13B68"/>
    <w:rsid w:val="00E13BFD"/>
    <w:rsid w:val="00E16E9C"/>
    <w:rsid w:val="00E20D17"/>
    <w:rsid w:val="00E225D9"/>
    <w:rsid w:val="00E2278F"/>
    <w:rsid w:val="00E238EA"/>
    <w:rsid w:val="00E2427A"/>
    <w:rsid w:val="00E26A2E"/>
    <w:rsid w:val="00E2723C"/>
    <w:rsid w:val="00E27805"/>
    <w:rsid w:val="00E31609"/>
    <w:rsid w:val="00E3161F"/>
    <w:rsid w:val="00E333FF"/>
    <w:rsid w:val="00E33724"/>
    <w:rsid w:val="00E341E0"/>
    <w:rsid w:val="00E34589"/>
    <w:rsid w:val="00E34B0A"/>
    <w:rsid w:val="00E36C87"/>
    <w:rsid w:val="00E37FD5"/>
    <w:rsid w:val="00E40405"/>
    <w:rsid w:val="00E404CB"/>
    <w:rsid w:val="00E42037"/>
    <w:rsid w:val="00E435B4"/>
    <w:rsid w:val="00E45783"/>
    <w:rsid w:val="00E50B05"/>
    <w:rsid w:val="00E50F23"/>
    <w:rsid w:val="00E52573"/>
    <w:rsid w:val="00E5422B"/>
    <w:rsid w:val="00E54E35"/>
    <w:rsid w:val="00E5643C"/>
    <w:rsid w:val="00E57927"/>
    <w:rsid w:val="00E6076E"/>
    <w:rsid w:val="00E61E25"/>
    <w:rsid w:val="00E63C36"/>
    <w:rsid w:val="00E6433C"/>
    <w:rsid w:val="00E65503"/>
    <w:rsid w:val="00E66CD2"/>
    <w:rsid w:val="00E676EB"/>
    <w:rsid w:val="00E67F03"/>
    <w:rsid w:val="00E7277E"/>
    <w:rsid w:val="00E73B26"/>
    <w:rsid w:val="00E74724"/>
    <w:rsid w:val="00E74DC4"/>
    <w:rsid w:val="00E752FA"/>
    <w:rsid w:val="00E75795"/>
    <w:rsid w:val="00E75DDD"/>
    <w:rsid w:val="00E75FD6"/>
    <w:rsid w:val="00E76C83"/>
    <w:rsid w:val="00E808D2"/>
    <w:rsid w:val="00E83DB1"/>
    <w:rsid w:val="00E84E6A"/>
    <w:rsid w:val="00E85C22"/>
    <w:rsid w:val="00E868AB"/>
    <w:rsid w:val="00E875B2"/>
    <w:rsid w:val="00E92F84"/>
    <w:rsid w:val="00E93562"/>
    <w:rsid w:val="00E93619"/>
    <w:rsid w:val="00E93B75"/>
    <w:rsid w:val="00E970E9"/>
    <w:rsid w:val="00E9774F"/>
    <w:rsid w:val="00E97B54"/>
    <w:rsid w:val="00EA3C5B"/>
    <w:rsid w:val="00EA6D96"/>
    <w:rsid w:val="00EA6F8E"/>
    <w:rsid w:val="00EA737E"/>
    <w:rsid w:val="00EA76D0"/>
    <w:rsid w:val="00EB0EB4"/>
    <w:rsid w:val="00EB1433"/>
    <w:rsid w:val="00EB3272"/>
    <w:rsid w:val="00EB33B2"/>
    <w:rsid w:val="00EB3578"/>
    <w:rsid w:val="00EB4636"/>
    <w:rsid w:val="00EB60D9"/>
    <w:rsid w:val="00EB627F"/>
    <w:rsid w:val="00EC0738"/>
    <w:rsid w:val="00EC078A"/>
    <w:rsid w:val="00EC3630"/>
    <w:rsid w:val="00EC3A35"/>
    <w:rsid w:val="00EC4C15"/>
    <w:rsid w:val="00EC4DE1"/>
    <w:rsid w:val="00EC5E52"/>
    <w:rsid w:val="00EC7538"/>
    <w:rsid w:val="00ED1900"/>
    <w:rsid w:val="00ED2D1C"/>
    <w:rsid w:val="00ED2ED4"/>
    <w:rsid w:val="00ED331E"/>
    <w:rsid w:val="00ED591E"/>
    <w:rsid w:val="00ED67C5"/>
    <w:rsid w:val="00ED758F"/>
    <w:rsid w:val="00ED7623"/>
    <w:rsid w:val="00EE1106"/>
    <w:rsid w:val="00EE40A9"/>
    <w:rsid w:val="00EE4FC4"/>
    <w:rsid w:val="00EE6501"/>
    <w:rsid w:val="00EE7763"/>
    <w:rsid w:val="00EE7B49"/>
    <w:rsid w:val="00EF05CA"/>
    <w:rsid w:val="00EF1417"/>
    <w:rsid w:val="00EF42EB"/>
    <w:rsid w:val="00EF4B42"/>
    <w:rsid w:val="00EF5C18"/>
    <w:rsid w:val="00EF5D29"/>
    <w:rsid w:val="00EF7577"/>
    <w:rsid w:val="00F016D8"/>
    <w:rsid w:val="00F034F8"/>
    <w:rsid w:val="00F04CD5"/>
    <w:rsid w:val="00F0540D"/>
    <w:rsid w:val="00F10144"/>
    <w:rsid w:val="00F10450"/>
    <w:rsid w:val="00F121C7"/>
    <w:rsid w:val="00F149EE"/>
    <w:rsid w:val="00F1614C"/>
    <w:rsid w:val="00F1615C"/>
    <w:rsid w:val="00F17809"/>
    <w:rsid w:val="00F20D7B"/>
    <w:rsid w:val="00F23479"/>
    <w:rsid w:val="00F25EDF"/>
    <w:rsid w:val="00F2646F"/>
    <w:rsid w:val="00F2647F"/>
    <w:rsid w:val="00F27521"/>
    <w:rsid w:val="00F279ED"/>
    <w:rsid w:val="00F30499"/>
    <w:rsid w:val="00F3083D"/>
    <w:rsid w:val="00F31467"/>
    <w:rsid w:val="00F33D82"/>
    <w:rsid w:val="00F344CC"/>
    <w:rsid w:val="00F347CD"/>
    <w:rsid w:val="00F353C4"/>
    <w:rsid w:val="00F3696E"/>
    <w:rsid w:val="00F37466"/>
    <w:rsid w:val="00F4034A"/>
    <w:rsid w:val="00F403D7"/>
    <w:rsid w:val="00F437A1"/>
    <w:rsid w:val="00F4452B"/>
    <w:rsid w:val="00F44672"/>
    <w:rsid w:val="00F4575C"/>
    <w:rsid w:val="00F459A0"/>
    <w:rsid w:val="00F45AA7"/>
    <w:rsid w:val="00F45AC2"/>
    <w:rsid w:val="00F4663D"/>
    <w:rsid w:val="00F50625"/>
    <w:rsid w:val="00F50659"/>
    <w:rsid w:val="00F5321D"/>
    <w:rsid w:val="00F54850"/>
    <w:rsid w:val="00F552AE"/>
    <w:rsid w:val="00F553D8"/>
    <w:rsid w:val="00F559A8"/>
    <w:rsid w:val="00F56639"/>
    <w:rsid w:val="00F57421"/>
    <w:rsid w:val="00F60EAF"/>
    <w:rsid w:val="00F62247"/>
    <w:rsid w:val="00F62263"/>
    <w:rsid w:val="00F65665"/>
    <w:rsid w:val="00F67166"/>
    <w:rsid w:val="00F70223"/>
    <w:rsid w:val="00F7168A"/>
    <w:rsid w:val="00F71B11"/>
    <w:rsid w:val="00F726EE"/>
    <w:rsid w:val="00F72E54"/>
    <w:rsid w:val="00F75671"/>
    <w:rsid w:val="00F765E2"/>
    <w:rsid w:val="00F7783F"/>
    <w:rsid w:val="00F77BAC"/>
    <w:rsid w:val="00F80248"/>
    <w:rsid w:val="00F80A32"/>
    <w:rsid w:val="00F816FC"/>
    <w:rsid w:val="00F8205B"/>
    <w:rsid w:val="00F84268"/>
    <w:rsid w:val="00F85132"/>
    <w:rsid w:val="00F8631C"/>
    <w:rsid w:val="00F86758"/>
    <w:rsid w:val="00F86D19"/>
    <w:rsid w:val="00F904E5"/>
    <w:rsid w:val="00F91574"/>
    <w:rsid w:val="00F91FD9"/>
    <w:rsid w:val="00F945BD"/>
    <w:rsid w:val="00F96676"/>
    <w:rsid w:val="00F97BCF"/>
    <w:rsid w:val="00FA11AF"/>
    <w:rsid w:val="00FA338B"/>
    <w:rsid w:val="00FA6994"/>
    <w:rsid w:val="00FA69CF"/>
    <w:rsid w:val="00FA6F31"/>
    <w:rsid w:val="00FB1248"/>
    <w:rsid w:val="00FB293B"/>
    <w:rsid w:val="00FB49E9"/>
    <w:rsid w:val="00FB4FC8"/>
    <w:rsid w:val="00FB7419"/>
    <w:rsid w:val="00FC28D6"/>
    <w:rsid w:val="00FC2D85"/>
    <w:rsid w:val="00FC2E84"/>
    <w:rsid w:val="00FC332C"/>
    <w:rsid w:val="00FC4E4A"/>
    <w:rsid w:val="00FD2CBA"/>
    <w:rsid w:val="00FD5148"/>
    <w:rsid w:val="00FD5C60"/>
    <w:rsid w:val="00FD73A4"/>
    <w:rsid w:val="00FD7989"/>
    <w:rsid w:val="00FD79BB"/>
    <w:rsid w:val="00FD7FF2"/>
    <w:rsid w:val="00FE260E"/>
    <w:rsid w:val="00FE2B4D"/>
    <w:rsid w:val="00FE2D06"/>
    <w:rsid w:val="00FE39B9"/>
    <w:rsid w:val="00FE3DD1"/>
    <w:rsid w:val="00FE3E27"/>
    <w:rsid w:val="00FE64D2"/>
    <w:rsid w:val="00FF26CD"/>
    <w:rsid w:val="00FF2A9C"/>
    <w:rsid w:val="00FF2E5C"/>
    <w:rsid w:val="00FF50AB"/>
    <w:rsid w:val="00FF618E"/>
    <w:rsid w:val="00FF6289"/>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38F780"/>
  <w15:docId w15:val="{0658FD64-F6C4-4BC3-80C4-FB3DD0CE9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DAE"/>
    <w:pPr>
      <w:tabs>
        <w:tab w:val="left" w:pos="0"/>
      </w:tabs>
    </w:pPr>
    <w:rPr>
      <w:sz w:val="24"/>
      <w:lang w:eastAsia="en-US"/>
    </w:rPr>
  </w:style>
  <w:style w:type="paragraph" w:styleId="Heading1">
    <w:name w:val="heading 1"/>
    <w:basedOn w:val="Normal"/>
    <w:next w:val="Normal"/>
    <w:qFormat/>
    <w:rsid w:val="00903DAE"/>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903DAE"/>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903DAE"/>
    <w:pPr>
      <w:keepNext/>
      <w:spacing w:before="140"/>
      <w:outlineLvl w:val="2"/>
    </w:pPr>
    <w:rPr>
      <w:b/>
    </w:rPr>
  </w:style>
  <w:style w:type="paragraph" w:styleId="Heading4">
    <w:name w:val="heading 4"/>
    <w:basedOn w:val="Normal"/>
    <w:next w:val="Normal"/>
    <w:qFormat/>
    <w:rsid w:val="00903DAE"/>
    <w:pPr>
      <w:keepNext/>
      <w:spacing w:before="240" w:after="60"/>
      <w:outlineLvl w:val="3"/>
    </w:pPr>
    <w:rPr>
      <w:rFonts w:ascii="Arial" w:hAnsi="Arial"/>
      <w:b/>
      <w:bCs/>
      <w:sz w:val="22"/>
      <w:szCs w:val="28"/>
    </w:rPr>
  </w:style>
  <w:style w:type="paragraph" w:styleId="Heading5">
    <w:name w:val="heading 5"/>
    <w:basedOn w:val="Normal"/>
    <w:next w:val="Normal"/>
    <w:qFormat/>
    <w:rsid w:val="002E0DF3"/>
    <w:pPr>
      <w:numPr>
        <w:ilvl w:val="4"/>
        <w:numId w:val="1"/>
      </w:numPr>
      <w:spacing w:before="240" w:after="60"/>
      <w:outlineLvl w:val="4"/>
    </w:pPr>
    <w:rPr>
      <w:sz w:val="22"/>
    </w:rPr>
  </w:style>
  <w:style w:type="paragraph" w:styleId="Heading6">
    <w:name w:val="heading 6"/>
    <w:basedOn w:val="Normal"/>
    <w:next w:val="Normal"/>
    <w:qFormat/>
    <w:rsid w:val="002E0DF3"/>
    <w:pPr>
      <w:numPr>
        <w:ilvl w:val="5"/>
        <w:numId w:val="1"/>
      </w:numPr>
      <w:spacing w:before="240" w:after="60"/>
      <w:outlineLvl w:val="5"/>
    </w:pPr>
    <w:rPr>
      <w:i/>
      <w:sz w:val="22"/>
    </w:rPr>
  </w:style>
  <w:style w:type="paragraph" w:styleId="Heading7">
    <w:name w:val="heading 7"/>
    <w:basedOn w:val="Normal"/>
    <w:next w:val="Normal"/>
    <w:qFormat/>
    <w:rsid w:val="002E0DF3"/>
    <w:pPr>
      <w:numPr>
        <w:ilvl w:val="6"/>
        <w:numId w:val="1"/>
      </w:numPr>
      <w:spacing w:before="240" w:after="60"/>
      <w:outlineLvl w:val="6"/>
    </w:pPr>
    <w:rPr>
      <w:rFonts w:ascii="Arial" w:hAnsi="Arial"/>
      <w:sz w:val="20"/>
    </w:rPr>
  </w:style>
  <w:style w:type="paragraph" w:styleId="Heading8">
    <w:name w:val="heading 8"/>
    <w:basedOn w:val="Normal"/>
    <w:next w:val="Normal"/>
    <w:qFormat/>
    <w:rsid w:val="002E0DF3"/>
    <w:pPr>
      <w:numPr>
        <w:ilvl w:val="7"/>
        <w:numId w:val="1"/>
      </w:numPr>
      <w:spacing w:before="240" w:after="60"/>
      <w:outlineLvl w:val="7"/>
    </w:pPr>
    <w:rPr>
      <w:rFonts w:ascii="Arial" w:hAnsi="Arial"/>
      <w:i/>
      <w:sz w:val="20"/>
    </w:rPr>
  </w:style>
  <w:style w:type="paragraph" w:styleId="Heading9">
    <w:name w:val="heading 9"/>
    <w:basedOn w:val="Normal"/>
    <w:next w:val="Normal"/>
    <w:qFormat/>
    <w:rsid w:val="002E0DF3"/>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903DAE"/>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903DAE"/>
  </w:style>
  <w:style w:type="paragraph" w:customStyle="1" w:styleId="00ClientCover">
    <w:name w:val="00ClientCover"/>
    <w:basedOn w:val="Normal"/>
    <w:rsid w:val="00903DAE"/>
  </w:style>
  <w:style w:type="paragraph" w:customStyle="1" w:styleId="02Text">
    <w:name w:val="02Text"/>
    <w:basedOn w:val="Normal"/>
    <w:rsid w:val="00903DAE"/>
  </w:style>
  <w:style w:type="paragraph" w:customStyle="1" w:styleId="BillBasic">
    <w:name w:val="BillBasic"/>
    <w:link w:val="BillBasicChar"/>
    <w:rsid w:val="00903DAE"/>
    <w:pPr>
      <w:spacing w:before="140"/>
      <w:jc w:val="both"/>
    </w:pPr>
    <w:rPr>
      <w:sz w:val="24"/>
      <w:lang w:eastAsia="en-US"/>
    </w:rPr>
  </w:style>
  <w:style w:type="paragraph" w:styleId="Header">
    <w:name w:val="header"/>
    <w:basedOn w:val="Normal"/>
    <w:link w:val="HeaderChar"/>
    <w:rsid w:val="00903DAE"/>
    <w:pPr>
      <w:tabs>
        <w:tab w:val="center" w:pos="4153"/>
        <w:tab w:val="right" w:pos="8306"/>
      </w:tabs>
    </w:pPr>
  </w:style>
  <w:style w:type="paragraph" w:styleId="Footer">
    <w:name w:val="footer"/>
    <w:basedOn w:val="Normal"/>
    <w:link w:val="FooterChar"/>
    <w:rsid w:val="00903DAE"/>
    <w:pPr>
      <w:spacing w:before="120" w:line="240" w:lineRule="exact"/>
    </w:pPr>
    <w:rPr>
      <w:rFonts w:ascii="Arial" w:hAnsi="Arial"/>
      <w:sz w:val="18"/>
    </w:rPr>
  </w:style>
  <w:style w:type="paragraph" w:customStyle="1" w:styleId="Billname">
    <w:name w:val="Billname"/>
    <w:basedOn w:val="Normal"/>
    <w:rsid w:val="00903DAE"/>
    <w:pPr>
      <w:spacing w:before="1220"/>
    </w:pPr>
    <w:rPr>
      <w:rFonts w:ascii="Arial" w:hAnsi="Arial"/>
      <w:b/>
      <w:sz w:val="40"/>
    </w:rPr>
  </w:style>
  <w:style w:type="paragraph" w:customStyle="1" w:styleId="BillBasicHeading">
    <w:name w:val="BillBasicHeading"/>
    <w:basedOn w:val="BillBasic"/>
    <w:rsid w:val="00903DAE"/>
    <w:pPr>
      <w:keepNext/>
      <w:tabs>
        <w:tab w:val="left" w:pos="2600"/>
      </w:tabs>
      <w:jc w:val="left"/>
    </w:pPr>
    <w:rPr>
      <w:rFonts w:ascii="Arial" w:hAnsi="Arial"/>
      <w:b/>
    </w:rPr>
  </w:style>
  <w:style w:type="paragraph" w:customStyle="1" w:styleId="EnactingWordsRules">
    <w:name w:val="EnactingWordsRules"/>
    <w:basedOn w:val="EnactingWords"/>
    <w:rsid w:val="00903DAE"/>
    <w:pPr>
      <w:spacing w:before="240"/>
    </w:pPr>
  </w:style>
  <w:style w:type="paragraph" w:customStyle="1" w:styleId="EnactingWords">
    <w:name w:val="EnactingWords"/>
    <w:basedOn w:val="BillBasic"/>
    <w:rsid w:val="00903DAE"/>
    <w:pPr>
      <w:spacing w:before="120"/>
    </w:pPr>
  </w:style>
  <w:style w:type="paragraph" w:customStyle="1" w:styleId="Amain">
    <w:name w:val="A main"/>
    <w:basedOn w:val="BillBasic"/>
    <w:rsid w:val="00903DAE"/>
    <w:pPr>
      <w:tabs>
        <w:tab w:val="right" w:pos="900"/>
        <w:tab w:val="left" w:pos="1100"/>
      </w:tabs>
      <w:ind w:left="1100" w:hanging="1100"/>
      <w:outlineLvl w:val="5"/>
    </w:pPr>
  </w:style>
  <w:style w:type="paragraph" w:customStyle="1" w:styleId="Amainreturn">
    <w:name w:val="A main return"/>
    <w:basedOn w:val="BillBasic"/>
    <w:link w:val="AmainreturnChar"/>
    <w:rsid w:val="00903DAE"/>
    <w:pPr>
      <w:ind w:left="1100"/>
    </w:pPr>
  </w:style>
  <w:style w:type="paragraph" w:customStyle="1" w:styleId="Apara">
    <w:name w:val="A para"/>
    <w:basedOn w:val="BillBasic"/>
    <w:link w:val="AparaChar"/>
    <w:rsid w:val="00903DAE"/>
    <w:pPr>
      <w:tabs>
        <w:tab w:val="right" w:pos="1400"/>
        <w:tab w:val="left" w:pos="1600"/>
      </w:tabs>
      <w:ind w:left="1600" w:hanging="1600"/>
      <w:outlineLvl w:val="6"/>
    </w:pPr>
  </w:style>
  <w:style w:type="paragraph" w:customStyle="1" w:styleId="Asubpara">
    <w:name w:val="A subpara"/>
    <w:basedOn w:val="BillBasic"/>
    <w:rsid w:val="00903DAE"/>
    <w:pPr>
      <w:tabs>
        <w:tab w:val="right" w:pos="1900"/>
        <w:tab w:val="left" w:pos="2100"/>
      </w:tabs>
      <w:ind w:left="2100" w:hanging="2100"/>
      <w:outlineLvl w:val="7"/>
    </w:pPr>
  </w:style>
  <w:style w:type="paragraph" w:customStyle="1" w:styleId="Asubsubpara">
    <w:name w:val="A subsubpara"/>
    <w:basedOn w:val="BillBasic"/>
    <w:rsid w:val="00903DAE"/>
    <w:pPr>
      <w:tabs>
        <w:tab w:val="right" w:pos="2400"/>
        <w:tab w:val="left" w:pos="2600"/>
      </w:tabs>
      <w:ind w:left="2600" w:hanging="2600"/>
      <w:outlineLvl w:val="8"/>
    </w:pPr>
  </w:style>
  <w:style w:type="paragraph" w:customStyle="1" w:styleId="aDef">
    <w:name w:val="aDef"/>
    <w:basedOn w:val="BillBasic"/>
    <w:link w:val="aDefChar"/>
    <w:rsid w:val="00903DAE"/>
    <w:pPr>
      <w:ind w:left="1100"/>
    </w:pPr>
  </w:style>
  <w:style w:type="paragraph" w:customStyle="1" w:styleId="aExamHead">
    <w:name w:val="aExam Head"/>
    <w:basedOn w:val="BillBasicHeading"/>
    <w:next w:val="aExam"/>
    <w:rsid w:val="00903DAE"/>
    <w:pPr>
      <w:tabs>
        <w:tab w:val="clear" w:pos="2600"/>
      </w:tabs>
      <w:ind w:left="1100"/>
    </w:pPr>
    <w:rPr>
      <w:sz w:val="18"/>
    </w:rPr>
  </w:style>
  <w:style w:type="paragraph" w:customStyle="1" w:styleId="aExam">
    <w:name w:val="aExam"/>
    <w:basedOn w:val="aNoteSymb"/>
    <w:rsid w:val="00903DAE"/>
    <w:pPr>
      <w:spacing w:before="60"/>
      <w:ind w:left="1100" w:firstLine="0"/>
    </w:pPr>
  </w:style>
  <w:style w:type="paragraph" w:customStyle="1" w:styleId="aNote">
    <w:name w:val="aNote"/>
    <w:basedOn w:val="BillBasic"/>
    <w:link w:val="aNoteChar"/>
    <w:rsid w:val="00903DAE"/>
    <w:pPr>
      <w:ind w:left="1900" w:hanging="800"/>
    </w:pPr>
    <w:rPr>
      <w:sz w:val="20"/>
    </w:rPr>
  </w:style>
  <w:style w:type="paragraph" w:customStyle="1" w:styleId="HeaderEven">
    <w:name w:val="HeaderEven"/>
    <w:basedOn w:val="Normal"/>
    <w:rsid w:val="00903DAE"/>
    <w:rPr>
      <w:rFonts w:ascii="Arial" w:hAnsi="Arial"/>
      <w:sz w:val="18"/>
    </w:rPr>
  </w:style>
  <w:style w:type="paragraph" w:customStyle="1" w:styleId="HeaderEven6">
    <w:name w:val="HeaderEven6"/>
    <w:basedOn w:val="HeaderEven"/>
    <w:rsid w:val="00903DAE"/>
    <w:pPr>
      <w:spacing w:before="120" w:after="60"/>
    </w:pPr>
  </w:style>
  <w:style w:type="paragraph" w:customStyle="1" w:styleId="HeaderOdd6">
    <w:name w:val="HeaderOdd6"/>
    <w:basedOn w:val="HeaderEven6"/>
    <w:rsid w:val="00903DAE"/>
    <w:pPr>
      <w:jc w:val="right"/>
    </w:pPr>
  </w:style>
  <w:style w:type="paragraph" w:customStyle="1" w:styleId="HeaderOdd">
    <w:name w:val="HeaderOdd"/>
    <w:basedOn w:val="HeaderEven"/>
    <w:rsid w:val="00903DAE"/>
    <w:pPr>
      <w:jc w:val="right"/>
    </w:pPr>
  </w:style>
  <w:style w:type="paragraph" w:customStyle="1" w:styleId="N-TOCheading">
    <w:name w:val="N-TOCheading"/>
    <w:basedOn w:val="BillBasicHeading"/>
    <w:next w:val="N-9pt"/>
    <w:rsid w:val="00903DAE"/>
    <w:pPr>
      <w:pBdr>
        <w:bottom w:val="single" w:sz="4" w:space="1" w:color="auto"/>
      </w:pBdr>
      <w:spacing w:before="800"/>
    </w:pPr>
    <w:rPr>
      <w:sz w:val="32"/>
    </w:rPr>
  </w:style>
  <w:style w:type="paragraph" w:customStyle="1" w:styleId="N-9pt">
    <w:name w:val="N-9pt"/>
    <w:basedOn w:val="BillBasic"/>
    <w:next w:val="BillBasic"/>
    <w:rsid w:val="00903DAE"/>
    <w:pPr>
      <w:keepNext/>
      <w:tabs>
        <w:tab w:val="right" w:pos="7707"/>
      </w:tabs>
      <w:spacing w:before="120"/>
    </w:pPr>
    <w:rPr>
      <w:rFonts w:ascii="Arial" w:hAnsi="Arial"/>
      <w:sz w:val="18"/>
    </w:rPr>
  </w:style>
  <w:style w:type="paragraph" w:customStyle="1" w:styleId="N-14pt">
    <w:name w:val="N-14pt"/>
    <w:basedOn w:val="BillBasic"/>
    <w:rsid w:val="00903DAE"/>
    <w:pPr>
      <w:spacing w:before="0"/>
    </w:pPr>
    <w:rPr>
      <w:b/>
      <w:sz w:val="28"/>
    </w:rPr>
  </w:style>
  <w:style w:type="paragraph" w:customStyle="1" w:styleId="N-16pt">
    <w:name w:val="N-16pt"/>
    <w:basedOn w:val="BillBasic"/>
    <w:rsid w:val="00903DAE"/>
    <w:pPr>
      <w:spacing w:before="800"/>
    </w:pPr>
    <w:rPr>
      <w:b/>
      <w:sz w:val="32"/>
    </w:rPr>
  </w:style>
  <w:style w:type="paragraph" w:customStyle="1" w:styleId="N-line3">
    <w:name w:val="N-line3"/>
    <w:basedOn w:val="BillBasic"/>
    <w:next w:val="BillBasic"/>
    <w:rsid w:val="00903DAE"/>
    <w:pPr>
      <w:pBdr>
        <w:bottom w:val="single" w:sz="12" w:space="1" w:color="auto"/>
      </w:pBdr>
      <w:spacing w:before="60"/>
    </w:pPr>
  </w:style>
  <w:style w:type="paragraph" w:customStyle="1" w:styleId="Comment">
    <w:name w:val="Comment"/>
    <w:basedOn w:val="BillBasic"/>
    <w:rsid w:val="00903DAE"/>
    <w:pPr>
      <w:tabs>
        <w:tab w:val="left" w:pos="1800"/>
      </w:tabs>
      <w:ind w:left="1300"/>
      <w:jc w:val="left"/>
    </w:pPr>
    <w:rPr>
      <w:b/>
      <w:sz w:val="18"/>
    </w:rPr>
  </w:style>
  <w:style w:type="paragraph" w:customStyle="1" w:styleId="FooterInfo">
    <w:name w:val="FooterInfo"/>
    <w:basedOn w:val="Normal"/>
    <w:rsid w:val="00903DAE"/>
    <w:pPr>
      <w:tabs>
        <w:tab w:val="right" w:pos="7707"/>
      </w:tabs>
    </w:pPr>
    <w:rPr>
      <w:rFonts w:ascii="Arial" w:hAnsi="Arial"/>
      <w:sz w:val="18"/>
    </w:rPr>
  </w:style>
  <w:style w:type="paragraph" w:customStyle="1" w:styleId="AH1Chapter">
    <w:name w:val="A H1 Chapter"/>
    <w:basedOn w:val="BillBasicHeading"/>
    <w:next w:val="AH2Part"/>
    <w:rsid w:val="00903DAE"/>
    <w:pPr>
      <w:spacing w:before="320"/>
      <w:ind w:left="2600" w:hanging="2600"/>
      <w:outlineLvl w:val="0"/>
    </w:pPr>
    <w:rPr>
      <w:sz w:val="34"/>
    </w:rPr>
  </w:style>
  <w:style w:type="paragraph" w:customStyle="1" w:styleId="AH2Part">
    <w:name w:val="A H2 Part"/>
    <w:basedOn w:val="BillBasicHeading"/>
    <w:next w:val="AH3Div"/>
    <w:rsid w:val="00903DAE"/>
    <w:pPr>
      <w:spacing w:before="380"/>
      <w:ind w:left="2600" w:hanging="2600"/>
      <w:outlineLvl w:val="1"/>
    </w:pPr>
    <w:rPr>
      <w:sz w:val="32"/>
    </w:rPr>
  </w:style>
  <w:style w:type="paragraph" w:customStyle="1" w:styleId="AH3Div">
    <w:name w:val="A H3 Div"/>
    <w:basedOn w:val="BillBasicHeading"/>
    <w:next w:val="AH5Sec"/>
    <w:rsid w:val="00903DAE"/>
    <w:pPr>
      <w:spacing w:before="240"/>
      <w:ind w:left="2600" w:hanging="2600"/>
      <w:outlineLvl w:val="2"/>
    </w:pPr>
    <w:rPr>
      <w:sz w:val="28"/>
    </w:rPr>
  </w:style>
  <w:style w:type="paragraph" w:customStyle="1" w:styleId="AH5Sec">
    <w:name w:val="A H5 Sec"/>
    <w:basedOn w:val="BillBasicHeading"/>
    <w:next w:val="Amain"/>
    <w:link w:val="AH5SecChar"/>
    <w:rsid w:val="00903DAE"/>
    <w:pPr>
      <w:tabs>
        <w:tab w:val="clear" w:pos="2600"/>
        <w:tab w:val="left" w:pos="1100"/>
      </w:tabs>
      <w:spacing w:before="240"/>
      <w:ind w:left="1100" w:hanging="1100"/>
      <w:outlineLvl w:val="4"/>
    </w:pPr>
  </w:style>
  <w:style w:type="paragraph" w:customStyle="1" w:styleId="direction">
    <w:name w:val="direction"/>
    <w:basedOn w:val="BillBasic"/>
    <w:next w:val="AmainreturnSymb"/>
    <w:rsid w:val="00903DAE"/>
    <w:pPr>
      <w:keepNext/>
      <w:ind w:left="1100"/>
    </w:pPr>
    <w:rPr>
      <w:i/>
    </w:rPr>
  </w:style>
  <w:style w:type="paragraph" w:customStyle="1" w:styleId="AH4SubDiv">
    <w:name w:val="A H4 SubDiv"/>
    <w:basedOn w:val="BillBasicHeading"/>
    <w:next w:val="AH5Sec"/>
    <w:rsid w:val="00903DAE"/>
    <w:pPr>
      <w:spacing w:before="240"/>
      <w:ind w:left="2600" w:hanging="2600"/>
      <w:outlineLvl w:val="3"/>
    </w:pPr>
    <w:rPr>
      <w:sz w:val="26"/>
    </w:rPr>
  </w:style>
  <w:style w:type="paragraph" w:customStyle="1" w:styleId="Sched-heading">
    <w:name w:val="Sched-heading"/>
    <w:basedOn w:val="BillBasicHeading"/>
    <w:next w:val="refSymb"/>
    <w:rsid w:val="00903DAE"/>
    <w:pPr>
      <w:spacing w:before="380"/>
      <w:ind w:left="2600" w:hanging="2600"/>
      <w:outlineLvl w:val="0"/>
    </w:pPr>
    <w:rPr>
      <w:sz w:val="34"/>
    </w:rPr>
  </w:style>
  <w:style w:type="paragraph" w:customStyle="1" w:styleId="ref">
    <w:name w:val="ref"/>
    <w:basedOn w:val="BillBasic"/>
    <w:next w:val="Normal"/>
    <w:rsid w:val="00903DAE"/>
    <w:pPr>
      <w:spacing w:before="60"/>
    </w:pPr>
    <w:rPr>
      <w:sz w:val="18"/>
    </w:rPr>
  </w:style>
  <w:style w:type="paragraph" w:customStyle="1" w:styleId="Sched-Part">
    <w:name w:val="Sched-Part"/>
    <w:basedOn w:val="BillBasicHeading"/>
    <w:next w:val="Sched-Form"/>
    <w:rsid w:val="00903DAE"/>
    <w:pPr>
      <w:spacing w:before="380"/>
      <w:ind w:left="2600" w:hanging="2600"/>
      <w:outlineLvl w:val="1"/>
    </w:pPr>
    <w:rPr>
      <w:sz w:val="32"/>
    </w:rPr>
  </w:style>
  <w:style w:type="paragraph" w:customStyle="1" w:styleId="ShadedSchClause">
    <w:name w:val="Shaded Sch Clause"/>
    <w:basedOn w:val="Schclauseheading"/>
    <w:next w:val="direction"/>
    <w:rsid w:val="00903DAE"/>
    <w:pPr>
      <w:shd w:val="pct25" w:color="auto" w:fill="auto"/>
      <w:outlineLvl w:val="3"/>
    </w:pPr>
  </w:style>
  <w:style w:type="paragraph" w:customStyle="1" w:styleId="Sched-Form">
    <w:name w:val="Sched-Form"/>
    <w:basedOn w:val="BillBasicHeading"/>
    <w:next w:val="Schclauseheading"/>
    <w:rsid w:val="00903DAE"/>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903DAE"/>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903DAE"/>
    <w:pPr>
      <w:spacing w:before="320"/>
      <w:ind w:left="2600" w:hanging="2600"/>
      <w:jc w:val="both"/>
      <w:outlineLvl w:val="0"/>
    </w:pPr>
    <w:rPr>
      <w:sz w:val="34"/>
    </w:rPr>
  </w:style>
  <w:style w:type="paragraph" w:styleId="TOC7">
    <w:name w:val="toc 7"/>
    <w:basedOn w:val="TOC2"/>
    <w:next w:val="Normal"/>
    <w:autoRedefine/>
    <w:uiPriority w:val="39"/>
    <w:rsid w:val="00903DAE"/>
    <w:pPr>
      <w:keepNext w:val="0"/>
      <w:spacing w:before="120"/>
    </w:pPr>
    <w:rPr>
      <w:sz w:val="20"/>
    </w:rPr>
  </w:style>
  <w:style w:type="paragraph" w:styleId="TOC2">
    <w:name w:val="toc 2"/>
    <w:basedOn w:val="Normal"/>
    <w:next w:val="Normal"/>
    <w:autoRedefine/>
    <w:uiPriority w:val="39"/>
    <w:rsid w:val="00903DAE"/>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903DAE"/>
    <w:pPr>
      <w:keepNext/>
      <w:tabs>
        <w:tab w:val="left" w:pos="400"/>
      </w:tabs>
      <w:spacing w:before="0"/>
      <w:jc w:val="left"/>
    </w:pPr>
    <w:rPr>
      <w:rFonts w:ascii="Arial" w:hAnsi="Arial"/>
      <w:b/>
      <w:sz w:val="28"/>
    </w:rPr>
  </w:style>
  <w:style w:type="paragraph" w:customStyle="1" w:styleId="EndNote2">
    <w:name w:val="EndNote2"/>
    <w:basedOn w:val="BillBasic"/>
    <w:rsid w:val="002E0DF3"/>
    <w:pPr>
      <w:keepNext/>
      <w:tabs>
        <w:tab w:val="left" w:pos="240"/>
      </w:tabs>
      <w:spacing w:before="320"/>
      <w:jc w:val="left"/>
    </w:pPr>
    <w:rPr>
      <w:b/>
      <w:sz w:val="18"/>
    </w:rPr>
  </w:style>
  <w:style w:type="paragraph" w:customStyle="1" w:styleId="IH1Chap">
    <w:name w:val="I H1 Chap"/>
    <w:basedOn w:val="BillBasicHeading"/>
    <w:next w:val="Normal"/>
    <w:rsid w:val="00903DAE"/>
    <w:pPr>
      <w:spacing w:before="320"/>
      <w:ind w:left="2600" w:hanging="2600"/>
    </w:pPr>
    <w:rPr>
      <w:sz w:val="34"/>
    </w:rPr>
  </w:style>
  <w:style w:type="paragraph" w:customStyle="1" w:styleId="IH2Part">
    <w:name w:val="I H2 Part"/>
    <w:basedOn w:val="BillBasicHeading"/>
    <w:next w:val="Normal"/>
    <w:rsid w:val="00903DAE"/>
    <w:pPr>
      <w:spacing w:before="380"/>
      <w:ind w:left="2600" w:hanging="2600"/>
    </w:pPr>
    <w:rPr>
      <w:sz w:val="32"/>
    </w:rPr>
  </w:style>
  <w:style w:type="paragraph" w:customStyle="1" w:styleId="IH3Div">
    <w:name w:val="I H3 Div"/>
    <w:basedOn w:val="BillBasicHeading"/>
    <w:next w:val="Normal"/>
    <w:rsid w:val="00903DAE"/>
    <w:pPr>
      <w:spacing w:before="240"/>
      <w:ind w:left="2600" w:hanging="2600"/>
    </w:pPr>
    <w:rPr>
      <w:sz w:val="28"/>
    </w:rPr>
  </w:style>
  <w:style w:type="paragraph" w:customStyle="1" w:styleId="IH5Sec">
    <w:name w:val="I H5 Sec"/>
    <w:basedOn w:val="BillBasicHeading"/>
    <w:next w:val="Normal"/>
    <w:rsid w:val="00903DAE"/>
    <w:pPr>
      <w:tabs>
        <w:tab w:val="clear" w:pos="2600"/>
        <w:tab w:val="left" w:pos="1100"/>
      </w:tabs>
      <w:spacing w:before="240"/>
      <w:ind w:left="1100" w:hanging="1100"/>
    </w:pPr>
  </w:style>
  <w:style w:type="paragraph" w:customStyle="1" w:styleId="IH4SubDiv">
    <w:name w:val="I H4 SubDiv"/>
    <w:basedOn w:val="BillBasicHeading"/>
    <w:next w:val="Normal"/>
    <w:rsid w:val="00903DAE"/>
    <w:pPr>
      <w:spacing w:before="240"/>
      <w:ind w:left="2600" w:hanging="2600"/>
      <w:jc w:val="both"/>
    </w:pPr>
    <w:rPr>
      <w:sz w:val="26"/>
    </w:rPr>
  </w:style>
  <w:style w:type="character" w:styleId="LineNumber">
    <w:name w:val="line number"/>
    <w:basedOn w:val="DefaultParagraphFont"/>
    <w:rsid w:val="00903DAE"/>
    <w:rPr>
      <w:rFonts w:ascii="Arial" w:hAnsi="Arial"/>
      <w:sz w:val="16"/>
    </w:rPr>
  </w:style>
  <w:style w:type="paragraph" w:customStyle="1" w:styleId="PageBreak">
    <w:name w:val="PageBreak"/>
    <w:basedOn w:val="Normal"/>
    <w:rsid w:val="00903DAE"/>
    <w:rPr>
      <w:sz w:val="4"/>
    </w:rPr>
  </w:style>
  <w:style w:type="paragraph" w:customStyle="1" w:styleId="04Dictionary">
    <w:name w:val="04Dictionary"/>
    <w:basedOn w:val="Normal"/>
    <w:rsid w:val="00903DAE"/>
  </w:style>
  <w:style w:type="paragraph" w:customStyle="1" w:styleId="N-line1">
    <w:name w:val="N-line1"/>
    <w:basedOn w:val="BillBasic"/>
    <w:rsid w:val="00903DAE"/>
    <w:pPr>
      <w:pBdr>
        <w:bottom w:val="single" w:sz="4" w:space="0" w:color="auto"/>
      </w:pBdr>
      <w:spacing w:before="100"/>
      <w:ind w:left="2980" w:right="3020"/>
      <w:jc w:val="center"/>
    </w:pPr>
  </w:style>
  <w:style w:type="paragraph" w:customStyle="1" w:styleId="N-line2">
    <w:name w:val="N-line2"/>
    <w:basedOn w:val="Normal"/>
    <w:rsid w:val="00903DAE"/>
    <w:pPr>
      <w:pBdr>
        <w:bottom w:val="single" w:sz="8" w:space="0" w:color="auto"/>
      </w:pBdr>
    </w:pPr>
  </w:style>
  <w:style w:type="paragraph" w:customStyle="1" w:styleId="EndNote">
    <w:name w:val="EndNote"/>
    <w:basedOn w:val="BillBasicHeading"/>
    <w:rsid w:val="00903DAE"/>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903DAE"/>
    <w:pPr>
      <w:tabs>
        <w:tab w:val="left" w:pos="700"/>
      </w:tabs>
      <w:spacing w:before="160"/>
      <w:ind w:left="700" w:hanging="700"/>
    </w:pPr>
    <w:rPr>
      <w:rFonts w:ascii="Arial (W1)" w:hAnsi="Arial (W1)"/>
    </w:rPr>
  </w:style>
  <w:style w:type="paragraph" w:customStyle="1" w:styleId="PenaltyHeading">
    <w:name w:val="PenaltyHeading"/>
    <w:basedOn w:val="Normal"/>
    <w:rsid w:val="00903DAE"/>
    <w:pPr>
      <w:tabs>
        <w:tab w:val="left" w:pos="1100"/>
      </w:tabs>
      <w:spacing w:before="120"/>
      <w:ind w:left="1100" w:hanging="1100"/>
    </w:pPr>
    <w:rPr>
      <w:rFonts w:ascii="Arial" w:hAnsi="Arial"/>
      <w:b/>
      <w:sz w:val="20"/>
    </w:rPr>
  </w:style>
  <w:style w:type="paragraph" w:customStyle="1" w:styleId="05EndNote">
    <w:name w:val="05EndNote"/>
    <w:basedOn w:val="Normal"/>
    <w:rsid w:val="00903DAE"/>
  </w:style>
  <w:style w:type="paragraph" w:customStyle="1" w:styleId="03Schedule">
    <w:name w:val="03Schedule"/>
    <w:basedOn w:val="Normal"/>
    <w:rsid w:val="00903DAE"/>
  </w:style>
  <w:style w:type="paragraph" w:customStyle="1" w:styleId="ISched-heading">
    <w:name w:val="I Sched-heading"/>
    <w:basedOn w:val="BillBasicHeading"/>
    <w:next w:val="Normal"/>
    <w:rsid w:val="00903DAE"/>
    <w:pPr>
      <w:spacing w:before="320"/>
      <w:ind w:left="2600" w:hanging="2600"/>
    </w:pPr>
    <w:rPr>
      <w:sz w:val="34"/>
    </w:rPr>
  </w:style>
  <w:style w:type="paragraph" w:customStyle="1" w:styleId="ISched-Part">
    <w:name w:val="I Sched-Part"/>
    <w:basedOn w:val="BillBasicHeading"/>
    <w:rsid w:val="00903DAE"/>
    <w:pPr>
      <w:spacing w:before="380"/>
      <w:ind w:left="2600" w:hanging="2600"/>
    </w:pPr>
    <w:rPr>
      <w:sz w:val="32"/>
    </w:rPr>
  </w:style>
  <w:style w:type="paragraph" w:customStyle="1" w:styleId="ISched-form">
    <w:name w:val="I Sched-form"/>
    <w:basedOn w:val="BillBasicHeading"/>
    <w:rsid w:val="00903DAE"/>
    <w:pPr>
      <w:tabs>
        <w:tab w:val="right" w:pos="7200"/>
      </w:tabs>
      <w:spacing w:before="240"/>
      <w:ind w:left="2600" w:hanging="2600"/>
    </w:pPr>
    <w:rPr>
      <w:sz w:val="28"/>
    </w:rPr>
  </w:style>
  <w:style w:type="paragraph" w:customStyle="1" w:styleId="ISchclauseheading">
    <w:name w:val="I Sch clause heading"/>
    <w:basedOn w:val="BillBasic"/>
    <w:rsid w:val="00903DAE"/>
    <w:pPr>
      <w:keepNext/>
      <w:tabs>
        <w:tab w:val="left" w:pos="1100"/>
      </w:tabs>
      <w:spacing w:before="240"/>
      <w:ind w:left="1100" w:hanging="1100"/>
      <w:jc w:val="left"/>
    </w:pPr>
    <w:rPr>
      <w:rFonts w:ascii="Arial" w:hAnsi="Arial"/>
      <w:b/>
    </w:rPr>
  </w:style>
  <w:style w:type="paragraph" w:customStyle="1" w:styleId="IMain">
    <w:name w:val="I Main"/>
    <w:basedOn w:val="Amain"/>
    <w:rsid w:val="00903DAE"/>
  </w:style>
  <w:style w:type="paragraph" w:customStyle="1" w:styleId="Ipara">
    <w:name w:val="I para"/>
    <w:basedOn w:val="Apara"/>
    <w:rsid w:val="00903DAE"/>
    <w:pPr>
      <w:outlineLvl w:val="9"/>
    </w:pPr>
  </w:style>
  <w:style w:type="paragraph" w:customStyle="1" w:styleId="Isubpara">
    <w:name w:val="I subpara"/>
    <w:basedOn w:val="Asubpara"/>
    <w:rsid w:val="00903DAE"/>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903DAE"/>
    <w:pPr>
      <w:tabs>
        <w:tab w:val="clear" w:pos="2400"/>
        <w:tab w:val="clear" w:pos="2600"/>
        <w:tab w:val="right" w:pos="2460"/>
        <w:tab w:val="left" w:pos="2660"/>
      </w:tabs>
      <w:ind w:left="2660" w:hanging="2660"/>
    </w:pPr>
  </w:style>
  <w:style w:type="character" w:customStyle="1" w:styleId="CharSectNo">
    <w:name w:val="CharSectNo"/>
    <w:basedOn w:val="DefaultParagraphFont"/>
    <w:rsid w:val="00903DAE"/>
  </w:style>
  <w:style w:type="character" w:customStyle="1" w:styleId="CharDivNo">
    <w:name w:val="CharDivNo"/>
    <w:basedOn w:val="DefaultParagraphFont"/>
    <w:rsid w:val="00903DAE"/>
  </w:style>
  <w:style w:type="character" w:customStyle="1" w:styleId="CharDivText">
    <w:name w:val="CharDivText"/>
    <w:basedOn w:val="DefaultParagraphFont"/>
    <w:rsid w:val="00903DAE"/>
  </w:style>
  <w:style w:type="character" w:customStyle="1" w:styleId="CharPartNo">
    <w:name w:val="CharPartNo"/>
    <w:basedOn w:val="DefaultParagraphFont"/>
    <w:rsid w:val="00903DAE"/>
  </w:style>
  <w:style w:type="paragraph" w:customStyle="1" w:styleId="Placeholder">
    <w:name w:val="Placeholder"/>
    <w:basedOn w:val="Normal"/>
    <w:rsid w:val="00903DAE"/>
    <w:rPr>
      <w:sz w:val="10"/>
    </w:rPr>
  </w:style>
  <w:style w:type="paragraph" w:styleId="PlainText">
    <w:name w:val="Plain Text"/>
    <w:basedOn w:val="Normal"/>
    <w:rsid w:val="00903DAE"/>
    <w:rPr>
      <w:rFonts w:ascii="Courier New" w:hAnsi="Courier New"/>
      <w:sz w:val="20"/>
    </w:rPr>
  </w:style>
  <w:style w:type="character" w:customStyle="1" w:styleId="CharChapNo">
    <w:name w:val="CharChapNo"/>
    <w:basedOn w:val="DefaultParagraphFont"/>
    <w:rsid w:val="00903DAE"/>
  </w:style>
  <w:style w:type="character" w:customStyle="1" w:styleId="CharChapText">
    <w:name w:val="CharChapText"/>
    <w:basedOn w:val="DefaultParagraphFont"/>
    <w:rsid w:val="00903DAE"/>
  </w:style>
  <w:style w:type="character" w:customStyle="1" w:styleId="CharPartText">
    <w:name w:val="CharPartText"/>
    <w:basedOn w:val="DefaultParagraphFont"/>
    <w:rsid w:val="00903DAE"/>
  </w:style>
  <w:style w:type="paragraph" w:styleId="TOC1">
    <w:name w:val="toc 1"/>
    <w:basedOn w:val="Normal"/>
    <w:next w:val="Normal"/>
    <w:autoRedefine/>
    <w:uiPriority w:val="39"/>
    <w:rsid w:val="00903DAE"/>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903DAE"/>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903DAE"/>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903DAE"/>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903DAE"/>
  </w:style>
  <w:style w:type="paragraph" w:styleId="Title">
    <w:name w:val="Title"/>
    <w:basedOn w:val="Normal"/>
    <w:qFormat/>
    <w:rsid w:val="002E0DF3"/>
    <w:pPr>
      <w:spacing w:before="240" w:after="60"/>
      <w:jc w:val="center"/>
      <w:outlineLvl w:val="0"/>
    </w:pPr>
    <w:rPr>
      <w:rFonts w:ascii="Arial" w:hAnsi="Arial"/>
      <w:b/>
      <w:kern w:val="28"/>
      <w:sz w:val="32"/>
    </w:rPr>
  </w:style>
  <w:style w:type="paragraph" w:styleId="Signature">
    <w:name w:val="Signature"/>
    <w:basedOn w:val="Normal"/>
    <w:rsid w:val="00903DAE"/>
    <w:pPr>
      <w:ind w:left="4252"/>
    </w:pPr>
  </w:style>
  <w:style w:type="paragraph" w:customStyle="1" w:styleId="ActNo">
    <w:name w:val="ActNo"/>
    <w:basedOn w:val="BillBasicHeading"/>
    <w:rsid w:val="00903DAE"/>
    <w:pPr>
      <w:keepNext w:val="0"/>
      <w:tabs>
        <w:tab w:val="clear" w:pos="2600"/>
      </w:tabs>
      <w:spacing w:before="220"/>
    </w:pPr>
  </w:style>
  <w:style w:type="paragraph" w:customStyle="1" w:styleId="aParaNote">
    <w:name w:val="aParaNote"/>
    <w:basedOn w:val="BillBasic"/>
    <w:rsid w:val="00903DAE"/>
    <w:pPr>
      <w:ind w:left="2840" w:hanging="1240"/>
    </w:pPr>
    <w:rPr>
      <w:sz w:val="20"/>
    </w:rPr>
  </w:style>
  <w:style w:type="paragraph" w:customStyle="1" w:styleId="aExamNum">
    <w:name w:val="aExamNum"/>
    <w:basedOn w:val="aExam"/>
    <w:rsid w:val="00903DAE"/>
    <w:pPr>
      <w:ind w:left="1500" w:hanging="400"/>
    </w:pPr>
  </w:style>
  <w:style w:type="paragraph" w:customStyle="1" w:styleId="LongTitle">
    <w:name w:val="LongTitle"/>
    <w:basedOn w:val="BillBasic"/>
    <w:rsid w:val="00903DAE"/>
    <w:pPr>
      <w:spacing w:before="300"/>
    </w:pPr>
  </w:style>
  <w:style w:type="paragraph" w:customStyle="1" w:styleId="Minister">
    <w:name w:val="Minister"/>
    <w:basedOn w:val="BillBasic"/>
    <w:rsid w:val="00903DAE"/>
    <w:pPr>
      <w:spacing w:before="640"/>
      <w:jc w:val="right"/>
    </w:pPr>
    <w:rPr>
      <w:caps/>
    </w:rPr>
  </w:style>
  <w:style w:type="paragraph" w:customStyle="1" w:styleId="DateLine">
    <w:name w:val="DateLine"/>
    <w:basedOn w:val="BillBasic"/>
    <w:rsid w:val="00903DAE"/>
    <w:pPr>
      <w:tabs>
        <w:tab w:val="left" w:pos="4320"/>
      </w:tabs>
    </w:pPr>
  </w:style>
  <w:style w:type="paragraph" w:customStyle="1" w:styleId="madeunder">
    <w:name w:val="made under"/>
    <w:basedOn w:val="BillBasic"/>
    <w:rsid w:val="00903DAE"/>
    <w:pPr>
      <w:spacing w:before="240"/>
    </w:pPr>
  </w:style>
  <w:style w:type="paragraph" w:customStyle="1" w:styleId="EndNoteSubHeading">
    <w:name w:val="EndNoteSubHeading"/>
    <w:basedOn w:val="Normal"/>
    <w:next w:val="EndNoteText"/>
    <w:rsid w:val="002E0DF3"/>
    <w:pPr>
      <w:keepNext/>
      <w:tabs>
        <w:tab w:val="left" w:pos="700"/>
      </w:tabs>
      <w:spacing w:before="240"/>
      <w:ind w:left="700" w:hanging="700"/>
    </w:pPr>
    <w:rPr>
      <w:rFonts w:ascii="Arial" w:hAnsi="Arial"/>
      <w:b/>
      <w:sz w:val="20"/>
    </w:rPr>
  </w:style>
  <w:style w:type="paragraph" w:customStyle="1" w:styleId="EndNoteText">
    <w:name w:val="EndNoteText"/>
    <w:basedOn w:val="BillBasic"/>
    <w:rsid w:val="00903DAE"/>
    <w:pPr>
      <w:tabs>
        <w:tab w:val="left" w:pos="700"/>
        <w:tab w:val="right" w:pos="6160"/>
      </w:tabs>
      <w:spacing w:before="80"/>
      <w:ind w:left="700" w:hanging="700"/>
    </w:pPr>
    <w:rPr>
      <w:sz w:val="20"/>
    </w:rPr>
  </w:style>
  <w:style w:type="paragraph" w:customStyle="1" w:styleId="BillBasicItalics">
    <w:name w:val="BillBasicItalics"/>
    <w:basedOn w:val="BillBasic"/>
    <w:rsid w:val="00903DAE"/>
    <w:rPr>
      <w:i/>
    </w:rPr>
  </w:style>
  <w:style w:type="paragraph" w:customStyle="1" w:styleId="00SigningPage">
    <w:name w:val="00SigningPage"/>
    <w:basedOn w:val="Normal"/>
    <w:rsid w:val="00903DAE"/>
  </w:style>
  <w:style w:type="paragraph" w:customStyle="1" w:styleId="Aparareturn">
    <w:name w:val="A para return"/>
    <w:basedOn w:val="BillBasic"/>
    <w:rsid w:val="00903DAE"/>
    <w:pPr>
      <w:ind w:left="1600"/>
    </w:pPr>
  </w:style>
  <w:style w:type="paragraph" w:customStyle="1" w:styleId="Asubparareturn">
    <w:name w:val="A subpara return"/>
    <w:basedOn w:val="BillBasic"/>
    <w:rsid w:val="00903DAE"/>
    <w:pPr>
      <w:ind w:left="2100"/>
    </w:pPr>
  </w:style>
  <w:style w:type="paragraph" w:customStyle="1" w:styleId="CommentNum">
    <w:name w:val="CommentNum"/>
    <w:basedOn w:val="Comment"/>
    <w:rsid w:val="00903DAE"/>
    <w:pPr>
      <w:ind w:left="1800" w:hanging="1800"/>
    </w:pPr>
  </w:style>
  <w:style w:type="paragraph" w:styleId="TOC8">
    <w:name w:val="toc 8"/>
    <w:basedOn w:val="TOC3"/>
    <w:next w:val="Normal"/>
    <w:autoRedefine/>
    <w:uiPriority w:val="39"/>
    <w:rsid w:val="00903DAE"/>
    <w:pPr>
      <w:keepNext w:val="0"/>
      <w:spacing w:before="120"/>
    </w:pPr>
  </w:style>
  <w:style w:type="paragraph" w:customStyle="1" w:styleId="Judges">
    <w:name w:val="Judges"/>
    <w:basedOn w:val="Minister"/>
    <w:rsid w:val="00903DAE"/>
    <w:pPr>
      <w:spacing w:before="180"/>
    </w:pPr>
  </w:style>
  <w:style w:type="paragraph" w:customStyle="1" w:styleId="BillFor">
    <w:name w:val="BillFor"/>
    <w:basedOn w:val="BillBasicHeading"/>
    <w:rsid w:val="00903DAE"/>
    <w:pPr>
      <w:keepNext w:val="0"/>
      <w:spacing w:before="320"/>
      <w:jc w:val="both"/>
    </w:pPr>
    <w:rPr>
      <w:sz w:val="28"/>
    </w:rPr>
  </w:style>
  <w:style w:type="paragraph" w:customStyle="1" w:styleId="draft">
    <w:name w:val="draft"/>
    <w:basedOn w:val="Normal"/>
    <w:rsid w:val="00903DAE"/>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903DAE"/>
    <w:pPr>
      <w:spacing w:line="260" w:lineRule="atLeast"/>
      <w:jc w:val="center"/>
    </w:pPr>
  </w:style>
  <w:style w:type="paragraph" w:customStyle="1" w:styleId="Amainbullet">
    <w:name w:val="A main bullet"/>
    <w:basedOn w:val="BillBasic"/>
    <w:rsid w:val="00903DAE"/>
    <w:pPr>
      <w:spacing w:before="60"/>
      <w:ind w:left="1500" w:hanging="400"/>
    </w:pPr>
  </w:style>
  <w:style w:type="paragraph" w:customStyle="1" w:styleId="Aparabullet">
    <w:name w:val="A para bullet"/>
    <w:basedOn w:val="BillBasic"/>
    <w:rsid w:val="00903DAE"/>
    <w:pPr>
      <w:spacing w:before="60"/>
      <w:ind w:left="2000" w:hanging="400"/>
    </w:pPr>
  </w:style>
  <w:style w:type="paragraph" w:customStyle="1" w:styleId="Asubparabullet">
    <w:name w:val="A subpara bullet"/>
    <w:basedOn w:val="BillBasic"/>
    <w:rsid w:val="00903DAE"/>
    <w:pPr>
      <w:spacing w:before="60"/>
      <w:ind w:left="2540" w:hanging="400"/>
    </w:pPr>
  </w:style>
  <w:style w:type="paragraph" w:customStyle="1" w:styleId="aDefpara">
    <w:name w:val="aDef para"/>
    <w:basedOn w:val="Apara"/>
    <w:rsid w:val="00903DAE"/>
  </w:style>
  <w:style w:type="paragraph" w:customStyle="1" w:styleId="aDefsubpara">
    <w:name w:val="aDef subpara"/>
    <w:basedOn w:val="Asubpara"/>
    <w:rsid w:val="00903DAE"/>
  </w:style>
  <w:style w:type="paragraph" w:customStyle="1" w:styleId="Idefpara">
    <w:name w:val="I def para"/>
    <w:basedOn w:val="Ipara"/>
    <w:rsid w:val="00903DAE"/>
  </w:style>
  <w:style w:type="paragraph" w:customStyle="1" w:styleId="Idefsubpara">
    <w:name w:val="I def subpara"/>
    <w:basedOn w:val="Isubpara"/>
    <w:rsid w:val="00903DAE"/>
  </w:style>
  <w:style w:type="paragraph" w:customStyle="1" w:styleId="Notified">
    <w:name w:val="Notified"/>
    <w:basedOn w:val="BillBasic"/>
    <w:rsid w:val="00903DAE"/>
    <w:pPr>
      <w:spacing w:before="360"/>
      <w:jc w:val="right"/>
    </w:pPr>
    <w:rPr>
      <w:i/>
    </w:rPr>
  </w:style>
  <w:style w:type="paragraph" w:customStyle="1" w:styleId="03ScheduleLandscape">
    <w:name w:val="03ScheduleLandscape"/>
    <w:basedOn w:val="Normal"/>
    <w:rsid w:val="00903DAE"/>
  </w:style>
  <w:style w:type="paragraph" w:customStyle="1" w:styleId="IDict-Heading">
    <w:name w:val="I Dict-Heading"/>
    <w:basedOn w:val="BillBasicHeading"/>
    <w:rsid w:val="00903DAE"/>
    <w:pPr>
      <w:spacing w:before="320"/>
      <w:ind w:left="2600" w:hanging="2600"/>
      <w:jc w:val="both"/>
    </w:pPr>
    <w:rPr>
      <w:sz w:val="34"/>
    </w:rPr>
  </w:style>
  <w:style w:type="paragraph" w:customStyle="1" w:styleId="02TextLandscape">
    <w:name w:val="02TextLandscape"/>
    <w:basedOn w:val="Normal"/>
    <w:rsid w:val="00903DAE"/>
  </w:style>
  <w:style w:type="paragraph" w:styleId="Salutation">
    <w:name w:val="Salutation"/>
    <w:basedOn w:val="Normal"/>
    <w:next w:val="Normal"/>
    <w:rsid w:val="002E0DF3"/>
  </w:style>
  <w:style w:type="paragraph" w:customStyle="1" w:styleId="aNoteBullet">
    <w:name w:val="aNoteBullet"/>
    <w:basedOn w:val="aNoteSymb"/>
    <w:rsid w:val="00903DAE"/>
    <w:pPr>
      <w:tabs>
        <w:tab w:val="left" w:pos="2200"/>
      </w:tabs>
      <w:spacing w:before="60"/>
      <w:ind w:left="2600" w:hanging="700"/>
    </w:pPr>
  </w:style>
  <w:style w:type="paragraph" w:customStyle="1" w:styleId="aNotess">
    <w:name w:val="aNotess"/>
    <w:basedOn w:val="BillBasic"/>
    <w:rsid w:val="002E0DF3"/>
    <w:pPr>
      <w:ind w:left="1900" w:hanging="800"/>
    </w:pPr>
    <w:rPr>
      <w:sz w:val="20"/>
    </w:rPr>
  </w:style>
  <w:style w:type="paragraph" w:customStyle="1" w:styleId="aParaNoteBullet">
    <w:name w:val="aParaNoteBullet"/>
    <w:basedOn w:val="aParaNote"/>
    <w:rsid w:val="00903DAE"/>
    <w:pPr>
      <w:tabs>
        <w:tab w:val="left" w:pos="2700"/>
      </w:tabs>
      <w:spacing w:before="60"/>
      <w:ind w:left="3100" w:hanging="700"/>
    </w:pPr>
  </w:style>
  <w:style w:type="paragraph" w:customStyle="1" w:styleId="aNotepar">
    <w:name w:val="aNotepar"/>
    <w:basedOn w:val="BillBasic"/>
    <w:next w:val="Normal"/>
    <w:rsid w:val="00903DAE"/>
    <w:pPr>
      <w:ind w:left="2400" w:hanging="800"/>
    </w:pPr>
    <w:rPr>
      <w:sz w:val="20"/>
    </w:rPr>
  </w:style>
  <w:style w:type="paragraph" w:customStyle="1" w:styleId="aNoteTextpar">
    <w:name w:val="aNoteTextpar"/>
    <w:basedOn w:val="aNotepar"/>
    <w:rsid w:val="00903DAE"/>
    <w:pPr>
      <w:spacing w:before="60"/>
      <w:ind w:firstLine="0"/>
    </w:pPr>
  </w:style>
  <w:style w:type="paragraph" w:customStyle="1" w:styleId="MinisterWord">
    <w:name w:val="MinisterWord"/>
    <w:basedOn w:val="Normal"/>
    <w:rsid w:val="00903DAE"/>
    <w:pPr>
      <w:spacing w:before="60"/>
      <w:jc w:val="right"/>
    </w:pPr>
  </w:style>
  <w:style w:type="paragraph" w:customStyle="1" w:styleId="aExamPara">
    <w:name w:val="aExamPara"/>
    <w:basedOn w:val="aExam"/>
    <w:rsid w:val="00903DAE"/>
    <w:pPr>
      <w:tabs>
        <w:tab w:val="right" w:pos="1720"/>
        <w:tab w:val="left" w:pos="2000"/>
        <w:tab w:val="left" w:pos="2300"/>
      </w:tabs>
      <w:ind w:left="2400" w:hanging="1300"/>
    </w:pPr>
  </w:style>
  <w:style w:type="paragraph" w:customStyle="1" w:styleId="aExamNumText">
    <w:name w:val="aExamNumText"/>
    <w:basedOn w:val="aExam"/>
    <w:rsid w:val="00903DAE"/>
    <w:pPr>
      <w:ind w:left="1500"/>
    </w:pPr>
  </w:style>
  <w:style w:type="paragraph" w:customStyle="1" w:styleId="aExamBullet">
    <w:name w:val="aExamBullet"/>
    <w:basedOn w:val="aExam"/>
    <w:rsid w:val="00903DAE"/>
    <w:pPr>
      <w:tabs>
        <w:tab w:val="left" w:pos="1500"/>
        <w:tab w:val="left" w:pos="2300"/>
      </w:tabs>
      <w:ind w:left="1900" w:hanging="800"/>
    </w:pPr>
  </w:style>
  <w:style w:type="paragraph" w:customStyle="1" w:styleId="aNotePara">
    <w:name w:val="aNotePara"/>
    <w:basedOn w:val="aNote"/>
    <w:rsid w:val="00903DAE"/>
    <w:pPr>
      <w:tabs>
        <w:tab w:val="right" w:pos="2140"/>
        <w:tab w:val="left" w:pos="2400"/>
      </w:tabs>
      <w:spacing w:before="60"/>
      <w:ind w:left="2400" w:hanging="1300"/>
    </w:pPr>
  </w:style>
  <w:style w:type="paragraph" w:customStyle="1" w:styleId="aExplanHeading">
    <w:name w:val="aExplanHeading"/>
    <w:basedOn w:val="BillBasicHeading"/>
    <w:next w:val="Normal"/>
    <w:rsid w:val="00903DAE"/>
    <w:rPr>
      <w:rFonts w:ascii="Arial (W1)" w:hAnsi="Arial (W1)"/>
      <w:sz w:val="18"/>
    </w:rPr>
  </w:style>
  <w:style w:type="paragraph" w:customStyle="1" w:styleId="aExplanText">
    <w:name w:val="aExplanText"/>
    <w:basedOn w:val="BillBasic"/>
    <w:rsid w:val="00903DAE"/>
    <w:rPr>
      <w:sz w:val="20"/>
    </w:rPr>
  </w:style>
  <w:style w:type="paragraph" w:customStyle="1" w:styleId="aParaNotePara">
    <w:name w:val="aParaNotePara"/>
    <w:basedOn w:val="aNoteParaSymb"/>
    <w:rsid w:val="00903DAE"/>
    <w:pPr>
      <w:tabs>
        <w:tab w:val="clear" w:pos="2140"/>
        <w:tab w:val="clear" w:pos="2400"/>
        <w:tab w:val="right" w:pos="2644"/>
      </w:tabs>
      <w:ind w:left="3320" w:hanging="1720"/>
    </w:pPr>
  </w:style>
  <w:style w:type="character" w:customStyle="1" w:styleId="charBold">
    <w:name w:val="charBold"/>
    <w:basedOn w:val="DefaultParagraphFont"/>
    <w:rsid w:val="00903DAE"/>
    <w:rPr>
      <w:b/>
    </w:rPr>
  </w:style>
  <w:style w:type="character" w:customStyle="1" w:styleId="charBoldItals">
    <w:name w:val="charBoldItals"/>
    <w:basedOn w:val="DefaultParagraphFont"/>
    <w:rsid w:val="00903DAE"/>
    <w:rPr>
      <w:b/>
      <w:i/>
    </w:rPr>
  </w:style>
  <w:style w:type="character" w:customStyle="1" w:styleId="charItals">
    <w:name w:val="charItals"/>
    <w:basedOn w:val="DefaultParagraphFont"/>
    <w:rsid w:val="00903DAE"/>
    <w:rPr>
      <w:i/>
    </w:rPr>
  </w:style>
  <w:style w:type="character" w:customStyle="1" w:styleId="charUnderline">
    <w:name w:val="charUnderline"/>
    <w:basedOn w:val="DefaultParagraphFont"/>
    <w:rsid w:val="00903DAE"/>
    <w:rPr>
      <w:u w:val="single"/>
    </w:rPr>
  </w:style>
  <w:style w:type="paragraph" w:customStyle="1" w:styleId="TableHd">
    <w:name w:val="TableHd"/>
    <w:basedOn w:val="Normal"/>
    <w:rsid w:val="00903DAE"/>
    <w:pPr>
      <w:keepNext/>
      <w:spacing w:before="300"/>
      <w:ind w:left="1200" w:hanging="1200"/>
    </w:pPr>
    <w:rPr>
      <w:rFonts w:ascii="Arial" w:hAnsi="Arial"/>
      <w:b/>
      <w:sz w:val="20"/>
    </w:rPr>
  </w:style>
  <w:style w:type="paragraph" w:customStyle="1" w:styleId="TableColHd">
    <w:name w:val="TableColHd"/>
    <w:basedOn w:val="Normal"/>
    <w:rsid w:val="00903DAE"/>
    <w:pPr>
      <w:keepNext/>
      <w:spacing w:after="60"/>
    </w:pPr>
    <w:rPr>
      <w:rFonts w:ascii="Arial" w:hAnsi="Arial"/>
      <w:b/>
      <w:sz w:val="18"/>
    </w:rPr>
  </w:style>
  <w:style w:type="paragraph" w:customStyle="1" w:styleId="PenaltyPara">
    <w:name w:val="PenaltyPara"/>
    <w:basedOn w:val="Normal"/>
    <w:rsid w:val="00903DAE"/>
    <w:pPr>
      <w:tabs>
        <w:tab w:val="right" w:pos="1360"/>
      </w:tabs>
      <w:spacing w:before="60"/>
      <w:ind w:left="1600" w:hanging="1600"/>
      <w:jc w:val="both"/>
    </w:pPr>
  </w:style>
  <w:style w:type="paragraph" w:customStyle="1" w:styleId="tablepara">
    <w:name w:val="table para"/>
    <w:basedOn w:val="Normal"/>
    <w:rsid w:val="00903DAE"/>
    <w:pPr>
      <w:tabs>
        <w:tab w:val="right" w:pos="800"/>
        <w:tab w:val="left" w:pos="1100"/>
      </w:tabs>
      <w:spacing w:before="80" w:after="60"/>
      <w:ind w:left="1100" w:hanging="1100"/>
    </w:pPr>
  </w:style>
  <w:style w:type="paragraph" w:customStyle="1" w:styleId="tablesubpara">
    <w:name w:val="table subpara"/>
    <w:basedOn w:val="Normal"/>
    <w:rsid w:val="00903DAE"/>
    <w:pPr>
      <w:tabs>
        <w:tab w:val="right" w:pos="1500"/>
        <w:tab w:val="left" w:pos="1800"/>
      </w:tabs>
      <w:spacing w:before="80" w:after="60"/>
      <w:ind w:left="1800" w:hanging="1800"/>
    </w:pPr>
  </w:style>
  <w:style w:type="paragraph" w:customStyle="1" w:styleId="TableText">
    <w:name w:val="TableText"/>
    <w:basedOn w:val="Normal"/>
    <w:rsid w:val="00903DAE"/>
    <w:pPr>
      <w:spacing w:before="60" w:after="60"/>
    </w:pPr>
  </w:style>
  <w:style w:type="paragraph" w:customStyle="1" w:styleId="IshadedH5Sec">
    <w:name w:val="I shaded H5 Sec"/>
    <w:basedOn w:val="AH5Sec"/>
    <w:rsid w:val="00903DAE"/>
    <w:pPr>
      <w:shd w:val="pct25" w:color="auto" w:fill="auto"/>
      <w:outlineLvl w:val="9"/>
    </w:pPr>
  </w:style>
  <w:style w:type="paragraph" w:customStyle="1" w:styleId="IshadedSchClause">
    <w:name w:val="I shaded Sch Clause"/>
    <w:basedOn w:val="IshadedH5Sec"/>
    <w:rsid w:val="00903DAE"/>
  </w:style>
  <w:style w:type="paragraph" w:customStyle="1" w:styleId="Penalty">
    <w:name w:val="Penalty"/>
    <w:basedOn w:val="Amainreturn"/>
    <w:rsid w:val="00903DAE"/>
  </w:style>
  <w:style w:type="paragraph" w:customStyle="1" w:styleId="aNoteText">
    <w:name w:val="aNoteText"/>
    <w:basedOn w:val="aNoteSymb"/>
    <w:rsid w:val="00903DAE"/>
    <w:pPr>
      <w:spacing w:before="60"/>
      <w:ind w:firstLine="0"/>
    </w:pPr>
  </w:style>
  <w:style w:type="paragraph" w:customStyle="1" w:styleId="aExamINum">
    <w:name w:val="aExamINum"/>
    <w:basedOn w:val="aExam"/>
    <w:rsid w:val="002E0DF3"/>
    <w:pPr>
      <w:tabs>
        <w:tab w:val="left" w:pos="1500"/>
      </w:tabs>
      <w:ind w:left="1500" w:hanging="400"/>
    </w:pPr>
  </w:style>
  <w:style w:type="paragraph" w:customStyle="1" w:styleId="AExamIPara">
    <w:name w:val="AExamIPara"/>
    <w:basedOn w:val="aExam"/>
    <w:rsid w:val="00903DAE"/>
    <w:pPr>
      <w:tabs>
        <w:tab w:val="right" w:pos="1720"/>
        <w:tab w:val="left" w:pos="2000"/>
      </w:tabs>
      <w:ind w:left="2000" w:hanging="900"/>
    </w:pPr>
  </w:style>
  <w:style w:type="paragraph" w:customStyle="1" w:styleId="AH3sec">
    <w:name w:val="A H3 sec"/>
    <w:basedOn w:val="Normal"/>
    <w:next w:val="Amain"/>
    <w:rsid w:val="002E0DF3"/>
    <w:pPr>
      <w:keepNext/>
      <w:keepLines/>
      <w:numPr>
        <w:numId w:val="10"/>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903DAE"/>
    <w:pPr>
      <w:tabs>
        <w:tab w:val="clear" w:pos="2600"/>
      </w:tabs>
      <w:ind w:left="1100"/>
    </w:pPr>
    <w:rPr>
      <w:sz w:val="18"/>
    </w:rPr>
  </w:style>
  <w:style w:type="paragraph" w:customStyle="1" w:styleId="aExamss">
    <w:name w:val="aExamss"/>
    <w:basedOn w:val="aNoteSymb"/>
    <w:rsid w:val="00903DAE"/>
    <w:pPr>
      <w:spacing w:before="60"/>
      <w:ind w:left="1100" w:firstLine="0"/>
    </w:pPr>
  </w:style>
  <w:style w:type="paragraph" w:customStyle="1" w:styleId="aExamHdgpar">
    <w:name w:val="aExamHdgpar"/>
    <w:basedOn w:val="aExamHdgss"/>
    <w:next w:val="Normal"/>
    <w:rsid w:val="00903DAE"/>
    <w:pPr>
      <w:ind w:left="1600"/>
    </w:pPr>
  </w:style>
  <w:style w:type="paragraph" w:customStyle="1" w:styleId="aExampar">
    <w:name w:val="aExampar"/>
    <w:basedOn w:val="aExamss"/>
    <w:rsid w:val="00903DAE"/>
    <w:pPr>
      <w:ind w:left="1600"/>
    </w:pPr>
  </w:style>
  <w:style w:type="paragraph" w:customStyle="1" w:styleId="aExamINumss">
    <w:name w:val="aExamINumss"/>
    <w:basedOn w:val="aExamss"/>
    <w:rsid w:val="00903DAE"/>
    <w:pPr>
      <w:tabs>
        <w:tab w:val="left" w:pos="1500"/>
      </w:tabs>
      <w:ind w:left="1500" w:hanging="400"/>
    </w:pPr>
  </w:style>
  <w:style w:type="paragraph" w:customStyle="1" w:styleId="aExamINumpar">
    <w:name w:val="aExamINumpar"/>
    <w:basedOn w:val="aExampar"/>
    <w:rsid w:val="00903DAE"/>
    <w:pPr>
      <w:tabs>
        <w:tab w:val="left" w:pos="2000"/>
      </w:tabs>
      <w:ind w:left="2000" w:hanging="400"/>
    </w:pPr>
  </w:style>
  <w:style w:type="paragraph" w:customStyle="1" w:styleId="aExamNumTextss">
    <w:name w:val="aExamNumTextss"/>
    <w:basedOn w:val="aExamss"/>
    <w:rsid w:val="00903DAE"/>
    <w:pPr>
      <w:ind w:left="1500"/>
    </w:pPr>
  </w:style>
  <w:style w:type="paragraph" w:customStyle="1" w:styleId="aExamNumTextpar">
    <w:name w:val="aExamNumTextpar"/>
    <w:basedOn w:val="aExampar"/>
    <w:rsid w:val="002E0DF3"/>
    <w:pPr>
      <w:ind w:left="2000"/>
    </w:pPr>
  </w:style>
  <w:style w:type="paragraph" w:customStyle="1" w:styleId="aExamBulletss">
    <w:name w:val="aExamBulletss"/>
    <w:basedOn w:val="aExamss"/>
    <w:rsid w:val="00903DAE"/>
    <w:pPr>
      <w:ind w:left="1500" w:hanging="400"/>
    </w:pPr>
  </w:style>
  <w:style w:type="paragraph" w:customStyle="1" w:styleId="aExamBulletpar">
    <w:name w:val="aExamBulletpar"/>
    <w:basedOn w:val="aExampar"/>
    <w:rsid w:val="00903DAE"/>
    <w:pPr>
      <w:ind w:left="2000" w:hanging="400"/>
    </w:pPr>
  </w:style>
  <w:style w:type="paragraph" w:customStyle="1" w:styleId="aExamHdgsubpar">
    <w:name w:val="aExamHdgsubpar"/>
    <w:basedOn w:val="aExamHdgss"/>
    <w:next w:val="Normal"/>
    <w:rsid w:val="00903DAE"/>
    <w:pPr>
      <w:ind w:left="2140"/>
    </w:pPr>
  </w:style>
  <w:style w:type="paragraph" w:customStyle="1" w:styleId="aExamsubpar">
    <w:name w:val="aExamsubpar"/>
    <w:basedOn w:val="aExamss"/>
    <w:rsid w:val="00903DAE"/>
    <w:pPr>
      <w:ind w:left="2140"/>
    </w:pPr>
  </w:style>
  <w:style w:type="paragraph" w:customStyle="1" w:styleId="aExamNumsubpar">
    <w:name w:val="aExamNumsubpar"/>
    <w:basedOn w:val="aExamsubpar"/>
    <w:rsid w:val="002E0DF3"/>
    <w:pPr>
      <w:tabs>
        <w:tab w:val="left" w:pos="2540"/>
      </w:tabs>
      <w:ind w:left="2540" w:hanging="400"/>
    </w:pPr>
  </w:style>
  <w:style w:type="paragraph" w:customStyle="1" w:styleId="aExamNumTextsubpar">
    <w:name w:val="aExamNumTextsubpar"/>
    <w:basedOn w:val="aExampar"/>
    <w:rsid w:val="002E0DF3"/>
    <w:pPr>
      <w:ind w:left="2540"/>
    </w:pPr>
  </w:style>
  <w:style w:type="paragraph" w:customStyle="1" w:styleId="aExamBulletsubpar">
    <w:name w:val="aExamBulletsubpar"/>
    <w:basedOn w:val="aExamsubpar"/>
    <w:rsid w:val="002E0DF3"/>
    <w:pPr>
      <w:tabs>
        <w:tab w:val="num" w:pos="2540"/>
      </w:tabs>
      <w:ind w:left="2540" w:hanging="400"/>
    </w:pPr>
  </w:style>
  <w:style w:type="paragraph" w:customStyle="1" w:styleId="aNoteTextss">
    <w:name w:val="aNoteTextss"/>
    <w:basedOn w:val="Normal"/>
    <w:rsid w:val="00903DAE"/>
    <w:pPr>
      <w:spacing w:before="60"/>
      <w:ind w:left="1900"/>
      <w:jc w:val="both"/>
    </w:pPr>
    <w:rPr>
      <w:sz w:val="20"/>
    </w:rPr>
  </w:style>
  <w:style w:type="paragraph" w:customStyle="1" w:styleId="aNoteParass">
    <w:name w:val="aNoteParass"/>
    <w:basedOn w:val="Normal"/>
    <w:rsid w:val="00903DAE"/>
    <w:pPr>
      <w:tabs>
        <w:tab w:val="right" w:pos="2140"/>
        <w:tab w:val="left" w:pos="2400"/>
      </w:tabs>
      <w:spacing w:before="60"/>
      <w:ind w:left="2400" w:hanging="1300"/>
      <w:jc w:val="both"/>
    </w:pPr>
    <w:rPr>
      <w:sz w:val="20"/>
    </w:rPr>
  </w:style>
  <w:style w:type="paragraph" w:customStyle="1" w:styleId="aNoteParapar">
    <w:name w:val="aNoteParapar"/>
    <w:basedOn w:val="aNotepar"/>
    <w:rsid w:val="00903DAE"/>
    <w:pPr>
      <w:tabs>
        <w:tab w:val="right" w:pos="2640"/>
      </w:tabs>
      <w:spacing w:before="60"/>
      <w:ind w:left="2920" w:hanging="1320"/>
    </w:pPr>
  </w:style>
  <w:style w:type="paragraph" w:customStyle="1" w:styleId="aNotesubpar">
    <w:name w:val="aNotesubpar"/>
    <w:basedOn w:val="BillBasic"/>
    <w:next w:val="Normal"/>
    <w:rsid w:val="00903DAE"/>
    <w:pPr>
      <w:ind w:left="2940" w:hanging="800"/>
    </w:pPr>
    <w:rPr>
      <w:sz w:val="20"/>
    </w:rPr>
  </w:style>
  <w:style w:type="paragraph" w:customStyle="1" w:styleId="aNoteTextsubpar">
    <w:name w:val="aNoteTextsubpar"/>
    <w:basedOn w:val="aNotesubpar"/>
    <w:rsid w:val="00903DAE"/>
    <w:pPr>
      <w:spacing w:before="60"/>
      <w:ind w:firstLine="0"/>
    </w:pPr>
  </w:style>
  <w:style w:type="paragraph" w:customStyle="1" w:styleId="aNoteParasubpar">
    <w:name w:val="aNoteParasubpar"/>
    <w:basedOn w:val="aNotesubpar"/>
    <w:rsid w:val="002E0DF3"/>
    <w:pPr>
      <w:tabs>
        <w:tab w:val="right" w:pos="3180"/>
      </w:tabs>
      <w:spacing w:before="60"/>
      <w:ind w:left="3460" w:hanging="1320"/>
    </w:pPr>
  </w:style>
  <w:style w:type="paragraph" w:customStyle="1" w:styleId="aNoteBulletsubpar">
    <w:name w:val="aNoteBulletsubpar"/>
    <w:basedOn w:val="aNotesubpar"/>
    <w:rsid w:val="002E0DF3"/>
    <w:pPr>
      <w:numPr>
        <w:numId w:val="13"/>
      </w:numPr>
      <w:tabs>
        <w:tab w:val="left" w:pos="3240"/>
      </w:tabs>
      <w:spacing w:before="60"/>
    </w:pPr>
  </w:style>
  <w:style w:type="paragraph" w:customStyle="1" w:styleId="aNoteBulletss">
    <w:name w:val="aNoteBulletss"/>
    <w:basedOn w:val="Normal"/>
    <w:rsid w:val="00903DAE"/>
    <w:pPr>
      <w:spacing w:before="60"/>
      <w:ind w:left="2300" w:hanging="400"/>
      <w:jc w:val="both"/>
    </w:pPr>
    <w:rPr>
      <w:sz w:val="20"/>
    </w:rPr>
  </w:style>
  <w:style w:type="paragraph" w:customStyle="1" w:styleId="aNoteBulletpar">
    <w:name w:val="aNoteBulletpar"/>
    <w:basedOn w:val="aNotepar"/>
    <w:rsid w:val="00903DAE"/>
    <w:pPr>
      <w:spacing w:before="60"/>
      <w:ind w:left="2800" w:hanging="400"/>
    </w:pPr>
  </w:style>
  <w:style w:type="paragraph" w:customStyle="1" w:styleId="aExplanBullet">
    <w:name w:val="aExplanBullet"/>
    <w:basedOn w:val="Normal"/>
    <w:rsid w:val="00903DAE"/>
    <w:pPr>
      <w:spacing w:before="140"/>
      <w:ind w:left="400" w:hanging="400"/>
      <w:jc w:val="both"/>
    </w:pPr>
    <w:rPr>
      <w:snapToGrid w:val="0"/>
      <w:sz w:val="20"/>
    </w:rPr>
  </w:style>
  <w:style w:type="paragraph" w:customStyle="1" w:styleId="AuthLaw">
    <w:name w:val="AuthLaw"/>
    <w:basedOn w:val="BillBasic"/>
    <w:rsid w:val="002E0DF3"/>
    <w:rPr>
      <w:rFonts w:ascii="Arial" w:hAnsi="Arial"/>
      <w:b/>
      <w:sz w:val="20"/>
    </w:rPr>
  </w:style>
  <w:style w:type="paragraph" w:customStyle="1" w:styleId="aExamNumpar">
    <w:name w:val="aExamNumpar"/>
    <w:basedOn w:val="aExamINumss"/>
    <w:rsid w:val="002E0DF3"/>
    <w:pPr>
      <w:tabs>
        <w:tab w:val="clear" w:pos="1500"/>
        <w:tab w:val="left" w:pos="2000"/>
      </w:tabs>
      <w:ind w:left="2000"/>
    </w:pPr>
  </w:style>
  <w:style w:type="paragraph" w:customStyle="1" w:styleId="Schsectionheading">
    <w:name w:val="Sch section heading"/>
    <w:basedOn w:val="BillBasic"/>
    <w:next w:val="Amain"/>
    <w:rsid w:val="002E0DF3"/>
    <w:pPr>
      <w:spacing w:before="240"/>
      <w:jc w:val="left"/>
      <w:outlineLvl w:val="4"/>
    </w:pPr>
    <w:rPr>
      <w:rFonts w:ascii="Arial" w:hAnsi="Arial"/>
      <w:b/>
    </w:rPr>
  </w:style>
  <w:style w:type="paragraph" w:customStyle="1" w:styleId="SchAmain">
    <w:name w:val="Sch A main"/>
    <w:basedOn w:val="Amain"/>
    <w:rsid w:val="00903DAE"/>
  </w:style>
  <w:style w:type="paragraph" w:customStyle="1" w:styleId="SchApara">
    <w:name w:val="Sch A para"/>
    <w:basedOn w:val="Apara"/>
    <w:rsid w:val="00903DAE"/>
  </w:style>
  <w:style w:type="paragraph" w:customStyle="1" w:styleId="SchAsubpara">
    <w:name w:val="Sch A subpara"/>
    <w:basedOn w:val="Asubpara"/>
    <w:rsid w:val="00903DAE"/>
  </w:style>
  <w:style w:type="paragraph" w:customStyle="1" w:styleId="SchAsubsubpara">
    <w:name w:val="Sch A subsubpara"/>
    <w:basedOn w:val="Asubsubpara"/>
    <w:rsid w:val="00903DAE"/>
  </w:style>
  <w:style w:type="paragraph" w:customStyle="1" w:styleId="TOCOL1">
    <w:name w:val="TOCOL 1"/>
    <w:basedOn w:val="TOC1"/>
    <w:rsid w:val="00903DAE"/>
  </w:style>
  <w:style w:type="paragraph" w:customStyle="1" w:styleId="TOCOL2">
    <w:name w:val="TOCOL 2"/>
    <w:basedOn w:val="TOC2"/>
    <w:rsid w:val="00903DAE"/>
    <w:pPr>
      <w:keepNext w:val="0"/>
    </w:pPr>
  </w:style>
  <w:style w:type="paragraph" w:customStyle="1" w:styleId="TOCOL3">
    <w:name w:val="TOCOL 3"/>
    <w:basedOn w:val="TOC3"/>
    <w:rsid w:val="00903DAE"/>
    <w:pPr>
      <w:keepNext w:val="0"/>
    </w:pPr>
  </w:style>
  <w:style w:type="paragraph" w:customStyle="1" w:styleId="TOCOL4">
    <w:name w:val="TOCOL 4"/>
    <w:basedOn w:val="TOC4"/>
    <w:rsid w:val="00903DAE"/>
    <w:pPr>
      <w:keepNext w:val="0"/>
    </w:pPr>
  </w:style>
  <w:style w:type="paragraph" w:customStyle="1" w:styleId="TOCOL5">
    <w:name w:val="TOCOL 5"/>
    <w:basedOn w:val="TOC5"/>
    <w:rsid w:val="00903DAE"/>
    <w:pPr>
      <w:tabs>
        <w:tab w:val="left" w:pos="400"/>
      </w:tabs>
    </w:pPr>
  </w:style>
  <w:style w:type="paragraph" w:customStyle="1" w:styleId="TOCOL6">
    <w:name w:val="TOCOL 6"/>
    <w:basedOn w:val="TOC6"/>
    <w:rsid w:val="00903DAE"/>
    <w:pPr>
      <w:keepNext w:val="0"/>
    </w:pPr>
  </w:style>
  <w:style w:type="paragraph" w:customStyle="1" w:styleId="TOCOL7">
    <w:name w:val="TOCOL 7"/>
    <w:basedOn w:val="TOC7"/>
    <w:rsid w:val="00903DAE"/>
  </w:style>
  <w:style w:type="paragraph" w:customStyle="1" w:styleId="TOCOL8">
    <w:name w:val="TOCOL 8"/>
    <w:basedOn w:val="TOC8"/>
    <w:rsid w:val="00903DAE"/>
  </w:style>
  <w:style w:type="paragraph" w:customStyle="1" w:styleId="TOCOL9">
    <w:name w:val="TOCOL 9"/>
    <w:basedOn w:val="TOC9"/>
    <w:rsid w:val="00903DAE"/>
    <w:pPr>
      <w:ind w:right="0"/>
    </w:pPr>
  </w:style>
  <w:style w:type="paragraph" w:styleId="TOC9">
    <w:name w:val="toc 9"/>
    <w:basedOn w:val="Normal"/>
    <w:next w:val="Normal"/>
    <w:autoRedefine/>
    <w:uiPriority w:val="39"/>
    <w:rsid w:val="00903DAE"/>
    <w:pPr>
      <w:ind w:left="1920" w:right="600"/>
    </w:pPr>
  </w:style>
  <w:style w:type="paragraph" w:customStyle="1" w:styleId="Billname1">
    <w:name w:val="Billname1"/>
    <w:basedOn w:val="Normal"/>
    <w:rsid w:val="00903DAE"/>
    <w:pPr>
      <w:tabs>
        <w:tab w:val="left" w:pos="2400"/>
      </w:tabs>
      <w:spacing w:before="1220"/>
    </w:pPr>
    <w:rPr>
      <w:rFonts w:ascii="Arial" w:hAnsi="Arial"/>
      <w:b/>
      <w:sz w:val="40"/>
    </w:rPr>
  </w:style>
  <w:style w:type="paragraph" w:customStyle="1" w:styleId="TableText10">
    <w:name w:val="TableText10"/>
    <w:basedOn w:val="TableText"/>
    <w:rsid w:val="00903DAE"/>
    <w:rPr>
      <w:sz w:val="20"/>
    </w:rPr>
  </w:style>
  <w:style w:type="paragraph" w:customStyle="1" w:styleId="TablePara10">
    <w:name w:val="TablePara10"/>
    <w:basedOn w:val="tablepara"/>
    <w:rsid w:val="00903DAE"/>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903DAE"/>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903DAE"/>
  </w:style>
  <w:style w:type="character" w:customStyle="1" w:styleId="charPage">
    <w:name w:val="charPage"/>
    <w:basedOn w:val="DefaultParagraphFont"/>
    <w:rsid w:val="00903DAE"/>
  </w:style>
  <w:style w:type="character" w:styleId="PageNumber">
    <w:name w:val="page number"/>
    <w:basedOn w:val="DefaultParagraphFont"/>
    <w:rsid w:val="00903DAE"/>
  </w:style>
  <w:style w:type="paragraph" w:customStyle="1" w:styleId="Letterhead">
    <w:name w:val="Letterhead"/>
    <w:rsid w:val="002E0DF3"/>
    <w:pPr>
      <w:widowControl w:val="0"/>
      <w:spacing w:after="180"/>
      <w:jc w:val="right"/>
    </w:pPr>
    <w:rPr>
      <w:rFonts w:ascii="Arial" w:hAnsi="Arial"/>
      <w:sz w:val="32"/>
      <w:lang w:eastAsia="en-US"/>
    </w:rPr>
  </w:style>
  <w:style w:type="paragraph" w:customStyle="1" w:styleId="IShadedschclause0">
    <w:name w:val="I Shaded sch clause"/>
    <w:basedOn w:val="IH5Sec"/>
    <w:rsid w:val="002E0DF3"/>
    <w:pPr>
      <w:shd w:val="pct15" w:color="auto" w:fill="FFFFFF"/>
      <w:tabs>
        <w:tab w:val="clear" w:pos="1100"/>
        <w:tab w:val="left" w:pos="700"/>
      </w:tabs>
      <w:ind w:left="700" w:hanging="700"/>
    </w:pPr>
  </w:style>
  <w:style w:type="paragraph" w:customStyle="1" w:styleId="Billfooter">
    <w:name w:val="Billfooter"/>
    <w:basedOn w:val="Normal"/>
    <w:rsid w:val="002E0DF3"/>
    <w:pPr>
      <w:tabs>
        <w:tab w:val="right" w:pos="7200"/>
      </w:tabs>
      <w:jc w:val="both"/>
    </w:pPr>
    <w:rPr>
      <w:sz w:val="18"/>
    </w:rPr>
  </w:style>
  <w:style w:type="paragraph" w:styleId="BalloonText">
    <w:name w:val="Balloon Text"/>
    <w:basedOn w:val="Normal"/>
    <w:link w:val="BalloonTextChar"/>
    <w:uiPriority w:val="99"/>
    <w:unhideWhenUsed/>
    <w:rsid w:val="00903DAE"/>
    <w:rPr>
      <w:rFonts w:ascii="Tahoma" w:hAnsi="Tahoma" w:cs="Tahoma"/>
      <w:sz w:val="16"/>
      <w:szCs w:val="16"/>
    </w:rPr>
  </w:style>
  <w:style w:type="character" w:customStyle="1" w:styleId="BalloonTextChar">
    <w:name w:val="Balloon Text Char"/>
    <w:basedOn w:val="DefaultParagraphFont"/>
    <w:link w:val="BalloonText"/>
    <w:uiPriority w:val="99"/>
    <w:rsid w:val="00903DAE"/>
    <w:rPr>
      <w:rFonts w:ascii="Tahoma" w:hAnsi="Tahoma" w:cs="Tahoma"/>
      <w:sz w:val="16"/>
      <w:szCs w:val="16"/>
      <w:lang w:eastAsia="en-US"/>
    </w:rPr>
  </w:style>
  <w:style w:type="paragraph" w:customStyle="1" w:styleId="00AssAm">
    <w:name w:val="00AssAm"/>
    <w:basedOn w:val="00SigningPage"/>
    <w:rsid w:val="002E0DF3"/>
  </w:style>
  <w:style w:type="character" w:customStyle="1" w:styleId="FooterChar">
    <w:name w:val="Footer Char"/>
    <w:basedOn w:val="DefaultParagraphFont"/>
    <w:link w:val="Footer"/>
    <w:rsid w:val="00903DAE"/>
    <w:rPr>
      <w:rFonts w:ascii="Arial" w:hAnsi="Arial"/>
      <w:sz w:val="18"/>
      <w:lang w:eastAsia="en-US"/>
    </w:rPr>
  </w:style>
  <w:style w:type="character" w:customStyle="1" w:styleId="HeaderChar">
    <w:name w:val="Header Char"/>
    <w:basedOn w:val="DefaultParagraphFont"/>
    <w:link w:val="Header"/>
    <w:rsid w:val="002E0DF3"/>
    <w:rPr>
      <w:sz w:val="24"/>
      <w:lang w:eastAsia="en-US"/>
    </w:rPr>
  </w:style>
  <w:style w:type="paragraph" w:customStyle="1" w:styleId="01aPreamble">
    <w:name w:val="01aPreamble"/>
    <w:basedOn w:val="Normal"/>
    <w:qFormat/>
    <w:rsid w:val="00903DAE"/>
  </w:style>
  <w:style w:type="paragraph" w:customStyle="1" w:styleId="TableBullet">
    <w:name w:val="TableBullet"/>
    <w:basedOn w:val="TableText10"/>
    <w:qFormat/>
    <w:rsid w:val="00903DAE"/>
    <w:pPr>
      <w:numPr>
        <w:numId w:val="18"/>
      </w:numPr>
    </w:pPr>
  </w:style>
  <w:style w:type="paragraph" w:customStyle="1" w:styleId="BillCrest">
    <w:name w:val="Bill Crest"/>
    <w:basedOn w:val="Normal"/>
    <w:next w:val="Normal"/>
    <w:rsid w:val="00903DAE"/>
    <w:pPr>
      <w:tabs>
        <w:tab w:val="center" w:pos="3160"/>
      </w:tabs>
      <w:spacing w:after="60"/>
    </w:pPr>
    <w:rPr>
      <w:sz w:val="216"/>
    </w:rPr>
  </w:style>
  <w:style w:type="paragraph" w:customStyle="1" w:styleId="BillNo">
    <w:name w:val="BillNo"/>
    <w:basedOn w:val="BillBasicHeading"/>
    <w:rsid w:val="00903DAE"/>
    <w:pPr>
      <w:keepNext w:val="0"/>
      <w:spacing w:before="240"/>
      <w:jc w:val="both"/>
    </w:pPr>
  </w:style>
  <w:style w:type="paragraph" w:customStyle="1" w:styleId="aNoteBulletann">
    <w:name w:val="aNoteBulletann"/>
    <w:basedOn w:val="aNotess"/>
    <w:rsid w:val="002E0DF3"/>
    <w:pPr>
      <w:tabs>
        <w:tab w:val="left" w:pos="2200"/>
      </w:tabs>
      <w:spacing w:before="0"/>
      <w:ind w:left="0" w:firstLine="0"/>
    </w:pPr>
  </w:style>
  <w:style w:type="paragraph" w:customStyle="1" w:styleId="aNoteBulletparann">
    <w:name w:val="aNoteBulletparann"/>
    <w:basedOn w:val="aNotepar"/>
    <w:rsid w:val="002E0DF3"/>
    <w:pPr>
      <w:tabs>
        <w:tab w:val="left" w:pos="2700"/>
      </w:tabs>
      <w:spacing w:before="0"/>
      <w:ind w:left="0" w:firstLine="0"/>
    </w:pPr>
  </w:style>
  <w:style w:type="paragraph" w:customStyle="1" w:styleId="TableNumbered">
    <w:name w:val="TableNumbered"/>
    <w:basedOn w:val="TableText10"/>
    <w:qFormat/>
    <w:rsid w:val="00903DAE"/>
    <w:pPr>
      <w:numPr>
        <w:numId w:val="19"/>
      </w:numPr>
    </w:pPr>
  </w:style>
  <w:style w:type="paragraph" w:customStyle="1" w:styleId="ISchMain">
    <w:name w:val="I Sch Main"/>
    <w:basedOn w:val="BillBasic"/>
    <w:rsid w:val="00903DAE"/>
    <w:pPr>
      <w:tabs>
        <w:tab w:val="right" w:pos="900"/>
        <w:tab w:val="left" w:pos="1100"/>
      </w:tabs>
      <w:ind w:left="1100" w:hanging="1100"/>
    </w:pPr>
  </w:style>
  <w:style w:type="paragraph" w:customStyle="1" w:styleId="ISchpara">
    <w:name w:val="I Sch para"/>
    <w:basedOn w:val="BillBasic"/>
    <w:rsid w:val="00903DAE"/>
    <w:pPr>
      <w:tabs>
        <w:tab w:val="right" w:pos="1400"/>
        <w:tab w:val="left" w:pos="1600"/>
      </w:tabs>
      <w:ind w:left="1600" w:hanging="1600"/>
    </w:pPr>
  </w:style>
  <w:style w:type="paragraph" w:customStyle="1" w:styleId="ISchsubpara">
    <w:name w:val="I Sch subpara"/>
    <w:basedOn w:val="BillBasic"/>
    <w:rsid w:val="00903DAE"/>
    <w:pPr>
      <w:tabs>
        <w:tab w:val="right" w:pos="1940"/>
        <w:tab w:val="left" w:pos="2140"/>
      </w:tabs>
      <w:ind w:left="2140" w:hanging="2140"/>
    </w:pPr>
  </w:style>
  <w:style w:type="paragraph" w:customStyle="1" w:styleId="ISchsubsubpara">
    <w:name w:val="I Sch subsubpara"/>
    <w:basedOn w:val="BillBasic"/>
    <w:rsid w:val="00903DAE"/>
    <w:pPr>
      <w:tabs>
        <w:tab w:val="right" w:pos="2460"/>
        <w:tab w:val="left" w:pos="2660"/>
      </w:tabs>
      <w:ind w:left="2660" w:hanging="2660"/>
    </w:pPr>
  </w:style>
  <w:style w:type="character" w:customStyle="1" w:styleId="aNoteChar">
    <w:name w:val="aNote Char"/>
    <w:basedOn w:val="DefaultParagraphFont"/>
    <w:link w:val="aNote"/>
    <w:locked/>
    <w:rsid w:val="002E0DF3"/>
    <w:rPr>
      <w:lang w:eastAsia="en-US"/>
    </w:rPr>
  </w:style>
  <w:style w:type="character" w:customStyle="1" w:styleId="charCitHyperlinkAbbrev">
    <w:name w:val="charCitHyperlinkAbbrev"/>
    <w:basedOn w:val="Hyperlink"/>
    <w:uiPriority w:val="1"/>
    <w:rsid w:val="00903DAE"/>
    <w:rPr>
      <w:color w:val="0000FF" w:themeColor="hyperlink"/>
      <w:u w:val="none"/>
    </w:rPr>
  </w:style>
  <w:style w:type="character" w:styleId="Hyperlink">
    <w:name w:val="Hyperlink"/>
    <w:basedOn w:val="DefaultParagraphFont"/>
    <w:uiPriority w:val="99"/>
    <w:unhideWhenUsed/>
    <w:rsid w:val="00903DAE"/>
    <w:rPr>
      <w:color w:val="0000FF" w:themeColor="hyperlink"/>
      <w:u w:val="single"/>
    </w:rPr>
  </w:style>
  <w:style w:type="character" w:customStyle="1" w:styleId="charCitHyperlinkItal">
    <w:name w:val="charCitHyperlinkItal"/>
    <w:basedOn w:val="Hyperlink"/>
    <w:uiPriority w:val="1"/>
    <w:rsid w:val="00903DAE"/>
    <w:rPr>
      <w:i/>
      <w:color w:val="0000FF" w:themeColor="hyperlink"/>
      <w:u w:val="none"/>
    </w:rPr>
  </w:style>
  <w:style w:type="character" w:customStyle="1" w:styleId="AH5SecChar">
    <w:name w:val="A H5 Sec Char"/>
    <w:basedOn w:val="DefaultParagraphFont"/>
    <w:link w:val="AH5Sec"/>
    <w:locked/>
    <w:rsid w:val="002E0DF3"/>
    <w:rPr>
      <w:rFonts w:ascii="Arial" w:hAnsi="Arial"/>
      <w:b/>
      <w:sz w:val="24"/>
      <w:lang w:eastAsia="en-US"/>
    </w:rPr>
  </w:style>
  <w:style w:type="character" w:customStyle="1" w:styleId="BillBasicChar">
    <w:name w:val="BillBasic Char"/>
    <w:basedOn w:val="DefaultParagraphFont"/>
    <w:link w:val="BillBasic"/>
    <w:locked/>
    <w:rsid w:val="002E0DF3"/>
    <w:rPr>
      <w:sz w:val="24"/>
      <w:lang w:eastAsia="en-US"/>
    </w:rPr>
  </w:style>
  <w:style w:type="paragraph" w:customStyle="1" w:styleId="Status">
    <w:name w:val="Status"/>
    <w:basedOn w:val="Normal"/>
    <w:rsid w:val="00903DAE"/>
    <w:pPr>
      <w:spacing w:before="280"/>
      <w:jc w:val="center"/>
    </w:pPr>
    <w:rPr>
      <w:rFonts w:ascii="Arial" w:hAnsi="Arial"/>
      <w:sz w:val="14"/>
    </w:rPr>
  </w:style>
  <w:style w:type="paragraph" w:customStyle="1" w:styleId="FooterInfoCentre">
    <w:name w:val="FooterInfoCentre"/>
    <w:basedOn w:val="FooterInfo"/>
    <w:rsid w:val="00903DAE"/>
    <w:pPr>
      <w:spacing w:before="60"/>
      <w:jc w:val="center"/>
    </w:pPr>
  </w:style>
  <w:style w:type="character" w:customStyle="1" w:styleId="aDefChar">
    <w:name w:val="aDef Char"/>
    <w:basedOn w:val="DefaultParagraphFont"/>
    <w:link w:val="aDef"/>
    <w:locked/>
    <w:rsid w:val="0069720F"/>
    <w:rPr>
      <w:sz w:val="24"/>
      <w:lang w:eastAsia="en-US"/>
    </w:rPr>
  </w:style>
  <w:style w:type="paragraph" w:customStyle="1" w:styleId="CoverTextBullet">
    <w:name w:val="CoverTextBullet"/>
    <w:basedOn w:val="CoverText"/>
    <w:qFormat/>
    <w:rsid w:val="00903DAE"/>
    <w:pPr>
      <w:numPr>
        <w:numId w:val="30"/>
      </w:numPr>
    </w:pPr>
    <w:rPr>
      <w:color w:val="000000"/>
    </w:rPr>
  </w:style>
  <w:style w:type="character" w:customStyle="1" w:styleId="AparaChar">
    <w:name w:val="A para Char"/>
    <w:basedOn w:val="DefaultParagraphFont"/>
    <w:link w:val="Apara"/>
    <w:locked/>
    <w:rsid w:val="0069720F"/>
    <w:rPr>
      <w:sz w:val="24"/>
      <w:lang w:eastAsia="en-US"/>
    </w:rPr>
  </w:style>
  <w:style w:type="character" w:customStyle="1" w:styleId="AmainreturnChar">
    <w:name w:val="A main return Char"/>
    <w:basedOn w:val="DefaultParagraphFont"/>
    <w:link w:val="Amainreturn"/>
    <w:locked/>
    <w:rsid w:val="004500D3"/>
    <w:rPr>
      <w:sz w:val="24"/>
      <w:lang w:eastAsia="en-US"/>
    </w:rPr>
  </w:style>
  <w:style w:type="paragraph" w:styleId="ListParagraph">
    <w:name w:val="List Paragraph"/>
    <w:basedOn w:val="Normal"/>
    <w:uiPriority w:val="34"/>
    <w:qFormat/>
    <w:rsid w:val="009937D3"/>
    <w:pPr>
      <w:ind w:left="720"/>
      <w:contextualSpacing/>
    </w:pPr>
  </w:style>
  <w:style w:type="paragraph" w:customStyle="1" w:styleId="00Spine">
    <w:name w:val="00Spine"/>
    <w:basedOn w:val="Normal"/>
    <w:rsid w:val="00903DAE"/>
  </w:style>
  <w:style w:type="paragraph" w:customStyle="1" w:styleId="05Endnote0">
    <w:name w:val="05Endnote"/>
    <w:basedOn w:val="Normal"/>
    <w:rsid w:val="00903DAE"/>
  </w:style>
  <w:style w:type="paragraph" w:customStyle="1" w:styleId="06Copyright">
    <w:name w:val="06Copyright"/>
    <w:basedOn w:val="Normal"/>
    <w:rsid w:val="00903DAE"/>
  </w:style>
  <w:style w:type="paragraph" w:customStyle="1" w:styleId="RepubNo">
    <w:name w:val="RepubNo"/>
    <w:basedOn w:val="BillBasicHeading"/>
    <w:rsid w:val="00903DAE"/>
    <w:pPr>
      <w:keepNext w:val="0"/>
      <w:spacing w:before="600"/>
      <w:jc w:val="both"/>
    </w:pPr>
    <w:rPr>
      <w:sz w:val="26"/>
    </w:rPr>
  </w:style>
  <w:style w:type="paragraph" w:customStyle="1" w:styleId="EffectiveDate">
    <w:name w:val="EffectiveDate"/>
    <w:basedOn w:val="Normal"/>
    <w:rsid w:val="00903DAE"/>
    <w:pPr>
      <w:spacing w:before="120"/>
    </w:pPr>
    <w:rPr>
      <w:rFonts w:ascii="Arial" w:hAnsi="Arial"/>
      <w:b/>
      <w:sz w:val="26"/>
    </w:rPr>
  </w:style>
  <w:style w:type="paragraph" w:customStyle="1" w:styleId="CoverInForce">
    <w:name w:val="CoverInForce"/>
    <w:basedOn w:val="BillBasicHeading"/>
    <w:rsid w:val="00903DAE"/>
    <w:pPr>
      <w:keepNext w:val="0"/>
      <w:spacing w:before="400"/>
    </w:pPr>
    <w:rPr>
      <w:b w:val="0"/>
    </w:rPr>
  </w:style>
  <w:style w:type="paragraph" w:customStyle="1" w:styleId="CoverHeading">
    <w:name w:val="CoverHeading"/>
    <w:basedOn w:val="Normal"/>
    <w:rsid w:val="00903DAE"/>
    <w:rPr>
      <w:rFonts w:ascii="Arial" w:hAnsi="Arial"/>
      <w:b/>
    </w:rPr>
  </w:style>
  <w:style w:type="paragraph" w:customStyle="1" w:styleId="CoverSubHdg">
    <w:name w:val="CoverSubHdg"/>
    <w:basedOn w:val="CoverHeading"/>
    <w:rsid w:val="00903DAE"/>
    <w:pPr>
      <w:spacing w:before="120"/>
    </w:pPr>
    <w:rPr>
      <w:sz w:val="20"/>
    </w:rPr>
  </w:style>
  <w:style w:type="paragraph" w:customStyle="1" w:styleId="CoverActName">
    <w:name w:val="CoverActName"/>
    <w:basedOn w:val="BillBasicHeading"/>
    <w:rsid w:val="00903DAE"/>
    <w:pPr>
      <w:keepNext w:val="0"/>
      <w:spacing w:before="260"/>
    </w:pPr>
  </w:style>
  <w:style w:type="paragraph" w:customStyle="1" w:styleId="CoverText">
    <w:name w:val="CoverText"/>
    <w:basedOn w:val="Normal"/>
    <w:uiPriority w:val="99"/>
    <w:rsid w:val="00903DAE"/>
    <w:pPr>
      <w:spacing w:before="100"/>
      <w:jc w:val="both"/>
    </w:pPr>
    <w:rPr>
      <w:sz w:val="20"/>
    </w:rPr>
  </w:style>
  <w:style w:type="paragraph" w:customStyle="1" w:styleId="CoverTextPara">
    <w:name w:val="CoverTextPara"/>
    <w:basedOn w:val="CoverText"/>
    <w:rsid w:val="00903DAE"/>
    <w:pPr>
      <w:tabs>
        <w:tab w:val="right" w:pos="600"/>
        <w:tab w:val="left" w:pos="840"/>
      </w:tabs>
      <w:ind w:left="840" w:hanging="840"/>
    </w:pPr>
  </w:style>
  <w:style w:type="paragraph" w:customStyle="1" w:styleId="AH1ChapterSymb">
    <w:name w:val="A H1 Chapter Symb"/>
    <w:basedOn w:val="AH1Chapter"/>
    <w:next w:val="AH2Part"/>
    <w:rsid w:val="00903DAE"/>
    <w:pPr>
      <w:tabs>
        <w:tab w:val="clear" w:pos="2600"/>
        <w:tab w:val="left" w:pos="0"/>
      </w:tabs>
      <w:ind w:left="2480" w:hanging="2960"/>
    </w:pPr>
  </w:style>
  <w:style w:type="paragraph" w:customStyle="1" w:styleId="AH2PartSymb">
    <w:name w:val="A H2 Part Symb"/>
    <w:basedOn w:val="AH2Part"/>
    <w:next w:val="AH3Div"/>
    <w:rsid w:val="00903DAE"/>
    <w:pPr>
      <w:tabs>
        <w:tab w:val="clear" w:pos="2600"/>
        <w:tab w:val="left" w:pos="0"/>
      </w:tabs>
      <w:ind w:left="2480" w:hanging="2960"/>
    </w:pPr>
  </w:style>
  <w:style w:type="paragraph" w:customStyle="1" w:styleId="AH3DivSymb">
    <w:name w:val="A H3 Div Symb"/>
    <w:basedOn w:val="AH3Div"/>
    <w:next w:val="AH5Sec"/>
    <w:rsid w:val="00903DAE"/>
    <w:pPr>
      <w:tabs>
        <w:tab w:val="clear" w:pos="2600"/>
        <w:tab w:val="left" w:pos="0"/>
      </w:tabs>
      <w:ind w:left="2480" w:hanging="2960"/>
    </w:pPr>
  </w:style>
  <w:style w:type="paragraph" w:customStyle="1" w:styleId="AH4SubDivSymb">
    <w:name w:val="A H4 SubDiv Symb"/>
    <w:basedOn w:val="AH4SubDiv"/>
    <w:next w:val="AH5Sec"/>
    <w:rsid w:val="00903DAE"/>
    <w:pPr>
      <w:tabs>
        <w:tab w:val="clear" w:pos="2600"/>
        <w:tab w:val="left" w:pos="0"/>
      </w:tabs>
      <w:ind w:left="2480" w:hanging="2960"/>
    </w:pPr>
  </w:style>
  <w:style w:type="paragraph" w:customStyle="1" w:styleId="AH5SecSymb">
    <w:name w:val="A H5 Sec Symb"/>
    <w:basedOn w:val="AH5Sec"/>
    <w:next w:val="Amain"/>
    <w:rsid w:val="00903DAE"/>
    <w:pPr>
      <w:tabs>
        <w:tab w:val="clear" w:pos="1100"/>
        <w:tab w:val="left" w:pos="0"/>
      </w:tabs>
      <w:ind w:hanging="1580"/>
    </w:pPr>
  </w:style>
  <w:style w:type="paragraph" w:customStyle="1" w:styleId="AmainSymb">
    <w:name w:val="A main Symb"/>
    <w:basedOn w:val="Amain"/>
    <w:rsid w:val="00903DAE"/>
    <w:pPr>
      <w:tabs>
        <w:tab w:val="left" w:pos="0"/>
      </w:tabs>
      <w:ind w:left="1120" w:hanging="1600"/>
    </w:pPr>
  </w:style>
  <w:style w:type="paragraph" w:customStyle="1" w:styleId="AparaSymb">
    <w:name w:val="A para Symb"/>
    <w:basedOn w:val="Apara"/>
    <w:rsid w:val="00903DAE"/>
    <w:pPr>
      <w:tabs>
        <w:tab w:val="right" w:pos="0"/>
      </w:tabs>
      <w:ind w:hanging="2080"/>
    </w:pPr>
  </w:style>
  <w:style w:type="paragraph" w:customStyle="1" w:styleId="Assectheading">
    <w:name w:val="A ssect heading"/>
    <w:basedOn w:val="Amain"/>
    <w:rsid w:val="00903DAE"/>
    <w:pPr>
      <w:keepNext/>
      <w:tabs>
        <w:tab w:val="clear" w:pos="900"/>
        <w:tab w:val="clear" w:pos="1100"/>
      </w:tabs>
      <w:spacing w:before="300"/>
      <w:ind w:left="0" w:firstLine="0"/>
      <w:outlineLvl w:val="9"/>
    </w:pPr>
    <w:rPr>
      <w:i/>
    </w:rPr>
  </w:style>
  <w:style w:type="paragraph" w:customStyle="1" w:styleId="AsubparaSymb">
    <w:name w:val="A subpara Symb"/>
    <w:basedOn w:val="Asubpara"/>
    <w:rsid w:val="00903DAE"/>
    <w:pPr>
      <w:tabs>
        <w:tab w:val="left" w:pos="0"/>
      </w:tabs>
      <w:ind w:left="2098" w:hanging="2580"/>
    </w:pPr>
  </w:style>
  <w:style w:type="paragraph" w:customStyle="1" w:styleId="Actdetails">
    <w:name w:val="Act details"/>
    <w:basedOn w:val="Normal"/>
    <w:rsid w:val="00903DAE"/>
    <w:pPr>
      <w:spacing w:before="20"/>
      <w:ind w:left="1400"/>
    </w:pPr>
    <w:rPr>
      <w:rFonts w:ascii="Arial" w:hAnsi="Arial"/>
      <w:sz w:val="20"/>
    </w:rPr>
  </w:style>
  <w:style w:type="paragraph" w:customStyle="1" w:styleId="AmdtsEntriesDefL2">
    <w:name w:val="AmdtsEntriesDefL2"/>
    <w:basedOn w:val="Normal"/>
    <w:rsid w:val="00903DAE"/>
    <w:pPr>
      <w:tabs>
        <w:tab w:val="left" w:pos="3000"/>
      </w:tabs>
      <w:ind w:left="3100" w:hanging="2000"/>
    </w:pPr>
    <w:rPr>
      <w:rFonts w:ascii="Arial" w:hAnsi="Arial"/>
      <w:sz w:val="18"/>
    </w:rPr>
  </w:style>
  <w:style w:type="paragraph" w:customStyle="1" w:styleId="AmdtsEntries">
    <w:name w:val="AmdtsEntries"/>
    <w:basedOn w:val="BillBasicHeading"/>
    <w:rsid w:val="00903DAE"/>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903DAE"/>
    <w:pPr>
      <w:tabs>
        <w:tab w:val="clear" w:pos="2600"/>
      </w:tabs>
      <w:spacing w:before="120"/>
      <w:ind w:left="1100"/>
    </w:pPr>
    <w:rPr>
      <w:sz w:val="18"/>
    </w:rPr>
  </w:style>
  <w:style w:type="paragraph" w:customStyle="1" w:styleId="Asamby">
    <w:name w:val="As am by"/>
    <w:basedOn w:val="Normal"/>
    <w:next w:val="Normal"/>
    <w:rsid w:val="00903DAE"/>
    <w:pPr>
      <w:spacing w:before="240"/>
      <w:ind w:left="1100"/>
    </w:pPr>
    <w:rPr>
      <w:rFonts w:ascii="Arial" w:hAnsi="Arial"/>
      <w:sz w:val="20"/>
    </w:rPr>
  </w:style>
  <w:style w:type="character" w:customStyle="1" w:styleId="charSymb">
    <w:name w:val="charSymb"/>
    <w:basedOn w:val="DefaultParagraphFont"/>
    <w:rsid w:val="00903DAE"/>
    <w:rPr>
      <w:rFonts w:ascii="Arial" w:hAnsi="Arial"/>
      <w:sz w:val="24"/>
      <w:bdr w:val="single" w:sz="4" w:space="0" w:color="auto"/>
    </w:rPr>
  </w:style>
  <w:style w:type="character" w:customStyle="1" w:styleId="charTableNo">
    <w:name w:val="charTableNo"/>
    <w:basedOn w:val="DefaultParagraphFont"/>
    <w:rsid w:val="00903DAE"/>
  </w:style>
  <w:style w:type="character" w:customStyle="1" w:styleId="charTableText">
    <w:name w:val="charTableText"/>
    <w:basedOn w:val="DefaultParagraphFont"/>
    <w:rsid w:val="00903DAE"/>
  </w:style>
  <w:style w:type="paragraph" w:customStyle="1" w:styleId="Dict-HeadingSymb">
    <w:name w:val="Dict-Heading Symb"/>
    <w:basedOn w:val="Dict-Heading"/>
    <w:rsid w:val="00903DAE"/>
    <w:pPr>
      <w:tabs>
        <w:tab w:val="left" w:pos="0"/>
      </w:tabs>
      <w:ind w:left="2480" w:hanging="2960"/>
    </w:pPr>
  </w:style>
  <w:style w:type="paragraph" w:customStyle="1" w:styleId="EarlierRepubEntries">
    <w:name w:val="EarlierRepubEntries"/>
    <w:basedOn w:val="Normal"/>
    <w:rsid w:val="00903DAE"/>
    <w:pPr>
      <w:spacing w:before="60" w:after="60"/>
    </w:pPr>
    <w:rPr>
      <w:rFonts w:ascii="Arial" w:hAnsi="Arial"/>
      <w:sz w:val="18"/>
    </w:rPr>
  </w:style>
  <w:style w:type="paragraph" w:customStyle="1" w:styleId="EarlierRepubHdg">
    <w:name w:val="EarlierRepubHdg"/>
    <w:basedOn w:val="Normal"/>
    <w:rsid w:val="00903DAE"/>
    <w:pPr>
      <w:keepNext/>
    </w:pPr>
    <w:rPr>
      <w:rFonts w:ascii="Arial" w:hAnsi="Arial"/>
      <w:b/>
      <w:sz w:val="20"/>
    </w:rPr>
  </w:style>
  <w:style w:type="paragraph" w:customStyle="1" w:styleId="Endnote20">
    <w:name w:val="Endnote2"/>
    <w:basedOn w:val="Normal"/>
    <w:rsid w:val="00903DAE"/>
    <w:pPr>
      <w:keepNext/>
      <w:tabs>
        <w:tab w:val="left" w:pos="1100"/>
      </w:tabs>
      <w:spacing w:before="360"/>
    </w:pPr>
    <w:rPr>
      <w:rFonts w:ascii="Arial" w:hAnsi="Arial"/>
      <w:b/>
    </w:rPr>
  </w:style>
  <w:style w:type="paragraph" w:customStyle="1" w:styleId="Endnote3">
    <w:name w:val="Endnote3"/>
    <w:basedOn w:val="Normal"/>
    <w:rsid w:val="00903DAE"/>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903DAE"/>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903DAE"/>
    <w:pPr>
      <w:spacing w:before="60"/>
      <w:ind w:left="1100"/>
      <w:jc w:val="both"/>
    </w:pPr>
    <w:rPr>
      <w:sz w:val="20"/>
    </w:rPr>
  </w:style>
  <w:style w:type="paragraph" w:customStyle="1" w:styleId="EndNoteParas">
    <w:name w:val="EndNoteParas"/>
    <w:basedOn w:val="EndNoteTextEPS"/>
    <w:rsid w:val="00903DAE"/>
    <w:pPr>
      <w:tabs>
        <w:tab w:val="right" w:pos="1432"/>
      </w:tabs>
      <w:ind w:left="1840" w:hanging="1840"/>
    </w:pPr>
  </w:style>
  <w:style w:type="paragraph" w:customStyle="1" w:styleId="EndnotesAbbrev">
    <w:name w:val="EndnotesAbbrev"/>
    <w:basedOn w:val="Normal"/>
    <w:rsid w:val="00903DAE"/>
    <w:pPr>
      <w:spacing w:before="20"/>
    </w:pPr>
    <w:rPr>
      <w:rFonts w:ascii="Arial" w:hAnsi="Arial"/>
      <w:color w:val="000000"/>
      <w:sz w:val="16"/>
    </w:rPr>
  </w:style>
  <w:style w:type="paragraph" w:customStyle="1" w:styleId="EPSCoverTop">
    <w:name w:val="EPSCoverTop"/>
    <w:basedOn w:val="Normal"/>
    <w:rsid w:val="00903DAE"/>
    <w:pPr>
      <w:jc w:val="right"/>
    </w:pPr>
    <w:rPr>
      <w:rFonts w:ascii="Arial" w:hAnsi="Arial"/>
      <w:sz w:val="20"/>
    </w:rPr>
  </w:style>
  <w:style w:type="paragraph" w:customStyle="1" w:styleId="LegHistNote">
    <w:name w:val="LegHistNote"/>
    <w:basedOn w:val="Actdetails"/>
    <w:rsid w:val="00903DAE"/>
    <w:pPr>
      <w:spacing w:before="60"/>
      <w:ind w:left="2700" w:right="-60" w:hanging="1300"/>
    </w:pPr>
    <w:rPr>
      <w:sz w:val="18"/>
    </w:rPr>
  </w:style>
  <w:style w:type="paragraph" w:customStyle="1" w:styleId="LongTitleSymb">
    <w:name w:val="LongTitleSymb"/>
    <w:basedOn w:val="LongTitle"/>
    <w:rsid w:val="00903DAE"/>
    <w:pPr>
      <w:ind w:hanging="480"/>
    </w:pPr>
  </w:style>
  <w:style w:type="paragraph" w:styleId="MacroText">
    <w:name w:val="macro"/>
    <w:link w:val="MacroTextChar"/>
    <w:semiHidden/>
    <w:rsid w:val="00903DA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6814CB"/>
    <w:rPr>
      <w:rFonts w:ascii="Courier New" w:hAnsi="Courier New" w:cs="Courier New"/>
      <w:lang w:eastAsia="en-US"/>
    </w:rPr>
  </w:style>
  <w:style w:type="paragraph" w:customStyle="1" w:styleId="NewAct">
    <w:name w:val="New Act"/>
    <w:basedOn w:val="Normal"/>
    <w:next w:val="Actdetails"/>
    <w:link w:val="NewActChar"/>
    <w:rsid w:val="00903DAE"/>
    <w:pPr>
      <w:keepNext/>
      <w:spacing w:before="180"/>
      <w:ind w:left="1100"/>
    </w:pPr>
    <w:rPr>
      <w:rFonts w:ascii="Arial" w:hAnsi="Arial"/>
      <w:b/>
      <w:sz w:val="20"/>
    </w:rPr>
  </w:style>
  <w:style w:type="paragraph" w:customStyle="1" w:styleId="NewReg">
    <w:name w:val="New Reg"/>
    <w:basedOn w:val="NewAct"/>
    <w:next w:val="Actdetails"/>
    <w:rsid w:val="00903DAE"/>
  </w:style>
  <w:style w:type="paragraph" w:customStyle="1" w:styleId="RenumProvEntries">
    <w:name w:val="RenumProvEntries"/>
    <w:basedOn w:val="Normal"/>
    <w:rsid w:val="00903DAE"/>
    <w:pPr>
      <w:spacing w:before="60"/>
    </w:pPr>
    <w:rPr>
      <w:rFonts w:ascii="Arial" w:hAnsi="Arial"/>
      <w:sz w:val="20"/>
    </w:rPr>
  </w:style>
  <w:style w:type="paragraph" w:customStyle="1" w:styleId="RenumProvHdg">
    <w:name w:val="RenumProvHdg"/>
    <w:basedOn w:val="Normal"/>
    <w:rsid w:val="00903DAE"/>
    <w:rPr>
      <w:rFonts w:ascii="Arial" w:hAnsi="Arial"/>
      <w:b/>
      <w:sz w:val="22"/>
    </w:rPr>
  </w:style>
  <w:style w:type="paragraph" w:customStyle="1" w:styleId="RenumProvHeader">
    <w:name w:val="RenumProvHeader"/>
    <w:basedOn w:val="Normal"/>
    <w:rsid w:val="00903DAE"/>
    <w:rPr>
      <w:rFonts w:ascii="Arial" w:hAnsi="Arial"/>
      <w:b/>
      <w:sz w:val="22"/>
    </w:rPr>
  </w:style>
  <w:style w:type="paragraph" w:customStyle="1" w:styleId="RenumProvSubsectEntries">
    <w:name w:val="RenumProvSubsectEntries"/>
    <w:basedOn w:val="RenumProvEntries"/>
    <w:rsid w:val="00903DAE"/>
    <w:pPr>
      <w:ind w:left="252"/>
    </w:pPr>
  </w:style>
  <w:style w:type="paragraph" w:customStyle="1" w:styleId="RenumTableHdg">
    <w:name w:val="RenumTableHdg"/>
    <w:basedOn w:val="Normal"/>
    <w:rsid w:val="00903DAE"/>
    <w:pPr>
      <w:spacing w:before="120"/>
    </w:pPr>
    <w:rPr>
      <w:rFonts w:ascii="Arial" w:hAnsi="Arial"/>
      <w:b/>
      <w:sz w:val="20"/>
    </w:rPr>
  </w:style>
  <w:style w:type="paragraph" w:customStyle="1" w:styleId="SchclauseheadingSymb">
    <w:name w:val="Sch clause heading Symb"/>
    <w:basedOn w:val="Schclauseheading"/>
    <w:rsid w:val="00903DAE"/>
    <w:pPr>
      <w:tabs>
        <w:tab w:val="left" w:pos="0"/>
      </w:tabs>
      <w:ind w:left="980" w:hanging="1460"/>
    </w:pPr>
  </w:style>
  <w:style w:type="paragraph" w:customStyle="1" w:styleId="SchSubClause">
    <w:name w:val="Sch SubClause"/>
    <w:basedOn w:val="Schclauseheading"/>
    <w:rsid w:val="00903DAE"/>
    <w:rPr>
      <w:b w:val="0"/>
    </w:rPr>
  </w:style>
  <w:style w:type="paragraph" w:customStyle="1" w:styleId="Sched-FormSymb">
    <w:name w:val="Sched-Form Symb"/>
    <w:basedOn w:val="Sched-Form"/>
    <w:rsid w:val="00903DAE"/>
    <w:pPr>
      <w:tabs>
        <w:tab w:val="left" w:pos="0"/>
      </w:tabs>
      <w:ind w:left="2480" w:hanging="2960"/>
    </w:pPr>
  </w:style>
  <w:style w:type="paragraph" w:customStyle="1" w:styleId="Sched-headingSymb">
    <w:name w:val="Sched-heading Symb"/>
    <w:basedOn w:val="Sched-heading"/>
    <w:rsid w:val="00903DAE"/>
    <w:pPr>
      <w:tabs>
        <w:tab w:val="left" w:pos="0"/>
      </w:tabs>
      <w:ind w:left="2480" w:hanging="2960"/>
    </w:pPr>
  </w:style>
  <w:style w:type="paragraph" w:customStyle="1" w:styleId="Sched-PartSymb">
    <w:name w:val="Sched-Part Symb"/>
    <w:basedOn w:val="Sched-Part"/>
    <w:rsid w:val="00903DAE"/>
    <w:pPr>
      <w:tabs>
        <w:tab w:val="left" w:pos="0"/>
      </w:tabs>
      <w:ind w:left="2480" w:hanging="2960"/>
    </w:pPr>
  </w:style>
  <w:style w:type="paragraph" w:styleId="Subtitle">
    <w:name w:val="Subtitle"/>
    <w:basedOn w:val="Normal"/>
    <w:link w:val="SubtitleChar"/>
    <w:qFormat/>
    <w:rsid w:val="00903DAE"/>
    <w:pPr>
      <w:spacing w:after="60"/>
      <w:jc w:val="center"/>
      <w:outlineLvl w:val="1"/>
    </w:pPr>
    <w:rPr>
      <w:rFonts w:ascii="Arial" w:hAnsi="Arial"/>
    </w:rPr>
  </w:style>
  <w:style w:type="character" w:customStyle="1" w:styleId="SubtitleChar">
    <w:name w:val="Subtitle Char"/>
    <w:basedOn w:val="DefaultParagraphFont"/>
    <w:link w:val="Subtitle"/>
    <w:rsid w:val="006814CB"/>
    <w:rPr>
      <w:rFonts w:ascii="Arial" w:hAnsi="Arial"/>
      <w:sz w:val="24"/>
      <w:lang w:eastAsia="en-US"/>
    </w:rPr>
  </w:style>
  <w:style w:type="paragraph" w:customStyle="1" w:styleId="TLegEntries">
    <w:name w:val="TLegEntries"/>
    <w:basedOn w:val="Normal"/>
    <w:rsid w:val="00903DAE"/>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903DAE"/>
    <w:pPr>
      <w:ind w:firstLine="0"/>
    </w:pPr>
    <w:rPr>
      <w:b/>
    </w:rPr>
  </w:style>
  <w:style w:type="paragraph" w:customStyle="1" w:styleId="EndNoteTextPub">
    <w:name w:val="EndNoteTextPub"/>
    <w:basedOn w:val="Normal"/>
    <w:rsid w:val="00903DAE"/>
    <w:pPr>
      <w:spacing w:before="60"/>
      <w:ind w:left="1100"/>
      <w:jc w:val="both"/>
    </w:pPr>
    <w:rPr>
      <w:sz w:val="20"/>
    </w:rPr>
  </w:style>
  <w:style w:type="paragraph" w:customStyle="1" w:styleId="TOC10">
    <w:name w:val="TOC 10"/>
    <w:basedOn w:val="TOC5"/>
    <w:rsid w:val="00903DAE"/>
    <w:rPr>
      <w:szCs w:val="24"/>
    </w:rPr>
  </w:style>
  <w:style w:type="character" w:customStyle="1" w:styleId="charNotBold">
    <w:name w:val="charNotBold"/>
    <w:basedOn w:val="DefaultParagraphFont"/>
    <w:rsid w:val="00903DAE"/>
    <w:rPr>
      <w:rFonts w:ascii="Arial" w:hAnsi="Arial"/>
      <w:sz w:val="20"/>
    </w:rPr>
  </w:style>
  <w:style w:type="paragraph" w:customStyle="1" w:styleId="ShadedSchClauseSymb">
    <w:name w:val="Shaded Sch Clause Symb"/>
    <w:basedOn w:val="ShadedSchClause"/>
    <w:rsid w:val="00903DAE"/>
    <w:pPr>
      <w:tabs>
        <w:tab w:val="left" w:pos="0"/>
      </w:tabs>
      <w:ind w:left="975" w:hanging="1457"/>
    </w:pPr>
  </w:style>
  <w:style w:type="character" w:customStyle="1" w:styleId="Heading3Char">
    <w:name w:val="Heading 3 Char"/>
    <w:aliases w:val="h3 Char,sec Char"/>
    <w:basedOn w:val="DefaultParagraphFont"/>
    <w:link w:val="Heading3"/>
    <w:rsid w:val="00903DAE"/>
    <w:rPr>
      <w:b/>
      <w:sz w:val="24"/>
      <w:lang w:eastAsia="en-US"/>
    </w:rPr>
  </w:style>
  <w:style w:type="paragraph" w:customStyle="1" w:styleId="Sched-Form-18Space">
    <w:name w:val="Sched-Form-18Space"/>
    <w:basedOn w:val="Normal"/>
    <w:rsid w:val="00903DAE"/>
    <w:pPr>
      <w:spacing w:before="360" w:after="60"/>
    </w:pPr>
    <w:rPr>
      <w:sz w:val="22"/>
    </w:rPr>
  </w:style>
  <w:style w:type="paragraph" w:customStyle="1" w:styleId="FormRule">
    <w:name w:val="FormRule"/>
    <w:basedOn w:val="Normal"/>
    <w:rsid w:val="00903DAE"/>
    <w:pPr>
      <w:pBdr>
        <w:top w:val="single" w:sz="4" w:space="1" w:color="auto"/>
      </w:pBdr>
      <w:spacing w:before="160" w:after="40"/>
      <w:ind w:left="3220" w:right="3260"/>
    </w:pPr>
    <w:rPr>
      <w:sz w:val="8"/>
    </w:rPr>
  </w:style>
  <w:style w:type="paragraph" w:customStyle="1" w:styleId="OldAmdtsEntries">
    <w:name w:val="OldAmdtsEntries"/>
    <w:basedOn w:val="BillBasicHeading"/>
    <w:rsid w:val="00903DAE"/>
    <w:pPr>
      <w:tabs>
        <w:tab w:val="clear" w:pos="2600"/>
        <w:tab w:val="left" w:leader="dot" w:pos="2700"/>
      </w:tabs>
      <w:ind w:left="2700" w:hanging="2000"/>
    </w:pPr>
    <w:rPr>
      <w:sz w:val="18"/>
    </w:rPr>
  </w:style>
  <w:style w:type="paragraph" w:customStyle="1" w:styleId="OldAmdt2ndLine">
    <w:name w:val="OldAmdt2ndLine"/>
    <w:basedOn w:val="OldAmdtsEntries"/>
    <w:rsid w:val="00903DAE"/>
    <w:pPr>
      <w:tabs>
        <w:tab w:val="left" w:pos="2700"/>
      </w:tabs>
      <w:spacing w:before="0"/>
    </w:pPr>
  </w:style>
  <w:style w:type="paragraph" w:customStyle="1" w:styleId="parainpara">
    <w:name w:val="para in para"/>
    <w:rsid w:val="00903DAE"/>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903DAE"/>
    <w:pPr>
      <w:spacing w:after="60"/>
      <w:ind w:left="2800"/>
    </w:pPr>
    <w:rPr>
      <w:rFonts w:ascii="ACTCrest" w:hAnsi="ACTCrest"/>
      <w:sz w:val="216"/>
    </w:rPr>
  </w:style>
  <w:style w:type="paragraph" w:customStyle="1" w:styleId="Actbullet">
    <w:name w:val="Act bullet"/>
    <w:basedOn w:val="Normal"/>
    <w:uiPriority w:val="99"/>
    <w:rsid w:val="00903DAE"/>
    <w:pPr>
      <w:numPr>
        <w:numId w:val="48"/>
      </w:numPr>
      <w:tabs>
        <w:tab w:val="left" w:pos="900"/>
      </w:tabs>
      <w:spacing w:before="20"/>
      <w:ind w:right="-60"/>
    </w:pPr>
    <w:rPr>
      <w:rFonts w:ascii="Arial" w:hAnsi="Arial"/>
      <w:sz w:val="18"/>
    </w:rPr>
  </w:style>
  <w:style w:type="paragraph" w:customStyle="1" w:styleId="AuthorisedBlock">
    <w:name w:val="AuthorisedBlock"/>
    <w:basedOn w:val="Normal"/>
    <w:rsid w:val="00903DAE"/>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903DAE"/>
    <w:rPr>
      <w:b w:val="0"/>
      <w:sz w:val="32"/>
    </w:rPr>
  </w:style>
  <w:style w:type="paragraph" w:customStyle="1" w:styleId="MH1Chapter">
    <w:name w:val="M H1 Chapter"/>
    <w:basedOn w:val="AH1Chapter"/>
    <w:rsid w:val="00903DAE"/>
    <w:pPr>
      <w:tabs>
        <w:tab w:val="clear" w:pos="2600"/>
        <w:tab w:val="left" w:pos="2720"/>
      </w:tabs>
      <w:ind w:left="4000" w:hanging="3300"/>
    </w:pPr>
  </w:style>
  <w:style w:type="paragraph" w:customStyle="1" w:styleId="ModH1Chapter">
    <w:name w:val="Mod H1 Chapter"/>
    <w:basedOn w:val="IH1ChapSymb"/>
    <w:rsid w:val="00903DAE"/>
    <w:pPr>
      <w:tabs>
        <w:tab w:val="clear" w:pos="2600"/>
        <w:tab w:val="left" w:pos="3300"/>
      </w:tabs>
      <w:ind w:left="3300"/>
    </w:pPr>
  </w:style>
  <w:style w:type="paragraph" w:customStyle="1" w:styleId="ModH2Part">
    <w:name w:val="Mod H2 Part"/>
    <w:basedOn w:val="IH2PartSymb"/>
    <w:rsid w:val="00903DAE"/>
    <w:pPr>
      <w:tabs>
        <w:tab w:val="clear" w:pos="2600"/>
        <w:tab w:val="left" w:pos="3300"/>
      </w:tabs>
      <w:ind w:left="3300"/>
    </w:pPr>
  </w:style>
  <w:style w:type="paragraph" w:customStyle="1" w:styleId="ModH3Div">
    <w:name w:val="Mod H3 Div"/>
    <w:basedOn w:val="IH3DivSymb"/>
    <w:rsid w:val="00903DAE"/>
    <w:pPr>
      <w:tabs>
        <w:tab w:val="clear" w:pos="2600"/>
        <w:tab w:val="left" w:pos="3300"/>
      </w:tabs>
      <w:ind w:left="3300"/>
    </w:pPr>
  </w:style>
  <w:style w:type="paragraph" w:customStyle="1" w:styleId="ModH4SubDiv">
    <w:name w:val="Mod H4 SubDiv"/>
    <w:basedOn w:val="IH4SubDivSymb"/>
    <w:rsid w:val="00903DAE"/>
    <w:pPr>
      <w:tabs>
        <w:tab w:val="clear" w:pos="2600"/>
        <w:tab w:val="left" w:pos="3300"/>
      </w:tabs>
      <w:ind w:left="3300"/>
    </w:pPr>
  </w:style>
  <w:style w:type="paragraph" w:customStyle="1" w:styleId="ModH5Sec">
    <w:name w:val="Mod H5 Sec"/>
    <w:basedOn w:val="IH5SecSymb"/>
    <w:rsid w:val="00903DAE"/>
    <w:pPr>
      <w:tabs>
        <w:tab w:val="clear" w:pos="1100"/>
        <w:tab w:val="left" w:pos="1800"/>
      </w:tabs>
      <w:ind w:left="2200"/>
    </w:pPr>
  </w:style>
  <w:style w:type="paragraph" w:customStyle="1" w:styleId="Modmain">
    <w:name w:val="Mod main"/>
    <w:basedOn w:val="Amain"/>
    <w:rsid w:val="00903DAE"/>
    <w:pPr>
      <w:tabs>
        <w:tab w:val="clear" w:pos="900"/>
        <w:tab w:val="clear" w:pos="1100"/>
        <w:tab w:val="right" w:pos="1600"/>
        <w:tab w:val="left" w:pos="1800"/>
      </w:tabs>
      <w:ind w:left="2200"/>
    </w:pPr>
  </w:style>
  <w:style w:type="paragraph" w:customStyle="1" w:styleId="Modpara">
    <w:name w:val="Mod para"/>
    <w:basedOn w:val="BillBasic"/>
    <w:rsid w:val="00903DAE"/>
    <w:pPr>
      <w:tabs>
        <w:tab w:val="right" w:pos="2100"/>
        <w:tab w:val="left" w:pos="2300"/>
      </w:tabs>
      <w:ind w:left="2700" w:hanging="1600"/>
      <w:outlineLvl w:val="6"/>
    </w:pPr>
  </w:style>
  <w:style w:type="paragraph" w:customStyle="1" w:styleId="Modsubpara">
    <w:name w:val="Mod subpara"/>
    <w:basedOn w:val="Asubpara"/>
    <w:rsid w:val="00903DAE"/>
    <w:pPr>
      <w:tabs>
        <w:tab w:val="clear" w:pos="1900"/>
        <w:tab w:val="clear" w:pos="2100"/>
        <w:tab w:val="right" w:pos="2640"/>
        <w:tab w:val="left" w:pos="2840"/>
      </w:tabs>
      <w:ind w:left="3240" w:hanging="2140"/>
    </w:pPr>
  </w:style>
  <w:style w:type="paragraph" w:customStyle="1" w:styleId="Modsubsubpara">
    <w:name w:val="Mod subsubpara"/>
    <w:basedOn w:val="AsubsubparaSymb"/>
    <w:rsid w:val="00903DAE"/>
    <w:pPr>
      <w:tabs>
        <w:tab w:val="clear" w:pos="2400"/>
        <w:tab w:val="clear" w:pos="2600"/>
        <w:tab w:val="right" w:pos="3160"/>
        <w:tab w:val="left" w:pos="3360"/>
      </w:tabs>
      <w:ind w:left="3760" w:hanging="2660"/>
    </w:pPr>
  </w:style>
  <w:style w:type="paragraph" w:customStyle="1" w:styleId="Modmainreturn">
    <w:name w:val="Mod main return"/>
    <w:basedOn w:val="AmainreturnSymb"/>
    <w:rsid w:val="00903DAE"/>
    <w:pPr>
      <w:ind w:left="1800"/>
    </w:pPr>
  </w:style>
  <w:style w:type="paragraph" w:customStyle="1" w:styleId="Modparareturn">
    <w:name w:val="Mod para return"/>
    <w:basedOn w:val="AparareturnSymb"/>
    <w:rsid w:val="00903DAE"/>
    <w:pPr>
      <w:ind w:left="2300"/>
    </w:pPr>
  </w:style>
  <w:style w:type="paragraph" w:customStyle="1" w:styleId="Modsubparareturn">
    <w:name w:val="Mod subpara return"/>
    <w:basedOn w:val="AsubparareturnSymb"/>
    <w:rsid w:val="00903DAE"/>
    <w:pPr>
      <w:ind w:left="3040"/>
    </w:pPr>
  </w:style>
  <w:style w:type="paragraph" w:customStyle="1" w:styleId="Modref">
    <w:name w:val="Mod ref"/>
    <w:basedOn w:val="refSymb"/>
    <w:rsid w:val="00903DAE"/>
    <w:pPr>
      <w:ind w:left="1100"/>
    </w:pPr>
  </w:style>
  <w:style w:type="paragraph" w:customStyle="1" w:styleId="ModaNote">
    <w:name w:val="Mod aNote"/>
    <w:basedOn w:val="aNoteSymb"/>
    <w:rsid w:val="00903DAE"/>
    <w:pPr>
      <w:tabs>
        <w:tab w:val="left" w:pos="2600"/>
      </w:tabs>
      <w:ind w:left="2600"/>
    </w:pPr>
  </w:style>
  <w:style w:type="paragraph" w:customStyle="1" w:styleId="ModNote">
    <w:name w:val="Mod Note"/>
    <w:basedOn w:val="aNoteSymb"/>
    <w:rsid w:val="00903DAE"/>
    <w:pPr>
      <w:tabs>
        <w:tab w:val="left" w:pos="2600"/>
      </w:tabs>
      <w:ind w:left="2600"/>
    </w:pPr>
  </w:style>
  <w:style w:type="paragraph" w:customStyle="1" w:styleId="ApprFormHd">
    <w:name w:val="ApprFormHd"/>
    <w:basedOn w:val="Sched-heading"/>
    <w:rsid w:val="00903DAE"/>
    <w:pPr>
      <w:ind w:left="0" w:firstLine="0"/>
    </w:pPr>
  </w:style>
  <w:style w:type="paragraph" w:customStyle="1" w:styleId="AmdtEntries">
    <w:name w:val="AmdtEntries"/>
    <w:basedOn w:val="BillBasicHeading"/>
    <w:rsid w:val="00903DAE"/>
    <w:pPr>
      <w:keepNext w:val="0"/>
      <w:tabs>
        <w:tab w:val="clear" w:pos="2600"/>
      </w:tabs>
      <w:spacing w:before="0"/>
      <w:ind w:left="3200" w:hanging="2100"/>
    </w:pPr>
    <w:rPr>
      <w:sz w:val="18"/>
    </w:rPr>
  </w:style>
  <w:style w:type="paragraph" w:customStyle="1" w:styleId="AmdtEntriesDefL2">
    <w:name w:val="AmdtEntriesDefL2"/>
    <w:basedOn w:val="AmdtEntries"/>
    <w:rsid w:val="00903DAE"/>
    <w:pPr>
      <w:tabs>
        <w:tab w:val="left" w:pos="3000"/>
      </w:tabs>
      <w:ind w:left="3600" w:hanging="2500"/>
    </w:pPr>
  </w:style>
  <w:style w:type="paragraph" w:customStyle="1" w:styleId="Actdetailsnote">
    <w:name w:val="Act details note"/>
    <w:basedOn w:val="Actdetails"/>
    <w:uiPriority w:val="99"/>
    <w:rsid w:val="00903DAE"/>
    <w:pPr>
      <w:ind w:left="1620" w:right="-60" w:hanging="720"/>
    </w:pPr>
    <w:rPr>
      <w:sz w:val="18"/>
    </w:rPr>
  </w:style>
  <w:style w:type="paragraph" w:customStyle="1" w:styleId="DetailsNo">
    <w:name w:val="Details No"/>
    <w:basedOn w:val="Actdetails"/>
    <w:uiPriority w:val="99"/>
    <w:rsid w:val="00903DAE"/>
    <w:pPr>
      <w:ind w:left="0"/>
    </w:pPr>
    <w:rPr>
      <w:sz w:val="18"/>
    </w:rPr>
  </w:style>
  <w:style w:type="paragraph" w:customStyle="1" w:styleId="AssectheadingSymb">
    <w:name w:val="A ssect heading Symb"/>
    <w:basedOn w:val="Amain"/>
    <w:rsid w:val="00903DAE"/>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903DAE"/>
    <w:pPr>
      <w:tabs>
        <w:tab w:val="left" w:pos="0"/>
        <w:tab w:val="right" w:pos="2400"/>
        <w:tab w:val="left" w:pos="2600"/>
      </w:tabs>
      <w:ind w:left="2602" w:hanging="3084"/>
      <w:outlineLvl w:val="8"/>
    </w:pPr>
  </w:style>
  <w:style w:type="paragraph" w:customStyle="1" w:styleId="AmainreturnSymb">
    <w:name w:val="A main return Symb"/>
    <w:basedOn w:val="BillBasic"/>
    <w:rsid w:val="00903DAE"/>
    <w:pPr>
      <w:tabs>
        <w:tab w:val="left" w:pos="1582"/>
      </w:tabs>
      <w:ind w:left="1100" w:hanging="1582"/>
    </w:pPr>
  </w:style>
  <w:style w:type="paragraph" w:customStyle="1" w:styleId="AparareturnSymb">
    <w:name w:val="A para return Symb"/>
    <w:basedOn w:val="BillBasic"/>
    <w:rsid w:val="00903DAE"/>
    <w:pPr>
      <w:tabs>
        <w:tab w:val="left" w:pos="2081"/>
      </w:tabs>
      <w:ind w:left="1599" w:hanging="2081"/>
    </w:pPr>
  </w:style>
  <w:style w:type="paragraph" w:customStyle="1" w:styleId="AsubparareturnSymb">
    <w:name w:val="A subpara return Symb"/>
    <w:basedOn w:val="BillBasic"/>
    <w:rsid w:val="00903DAE"/>
    <w:pPr>
      <w:tabs>
        <w:tab w:val="left" w:pos="2580"/>
      </w:tabs>
      <w:ind w:left="2098" w:hanging="2580"/>
    </w:pPr>
  </w:style>
  <w:style w:type="paragraph" w:customStyle="1" w:styleId="aDefSymb">
    <w:name w:val="aDef Symb"/>
    <w:basedOn w:val="BillBasic"/>
    <w:rsid w:val="00903DAE"/>
    <w:pPr>
      <w:tabs>
        <w:tab w:val="left" w:pos="1582"/>
      </w:tabs>
      <w:ind w:left="1100" w:hanging="1582"/>
    </w:pPr>
  </w:style>
  <w:style w:type="paragraph" w:customStyle="1" w:styleId="aDefparaSymb">
    <w:name w:val="aDef para Symb"/>
    <w:basedOn w:val="Apara"/>
    <w:rsid w:val="00903DAE"/>
    <w:pPr>
      <w:tabs>
        <w:tab w:val="clear" w:pos="1600"/>
        <w:tab w:val="left" w:pos="0"/>
        <w:tab w:val="left" w:pos="1599"/>
      </w:tabs>
      <w:ind w:left="1599" w:hanging="2081"/>
    </w:pPr>
  </w:style>
  <w:style w:type="paragraph" w:customStyle="1" w:styleId="aDefsubparaSymb">
    <w:name w:val="aDef subpara Symb"/>
    <w:basedOn w:val="Asubpara"/>
    <w:rsid w:val="00903DAE"/>
    <w:pPr>
      <w:tabs>
        <w:tab w:val="left" w:pos="0"/>
      </w:tabs>
      <w:ind w:left="2098" w:hanging="2580"/>
    </w:pPr>
  </w:style>
  <w:style w:type="paragraph" w:customStyle="1" w:styleId="SchAmainSymb">
    <w:name w:val="Sch A main Symb"/>
    <w:basedOn w:val="Amain"/>
    <w:rsid w:val="00903DAE"/>
    <w:pPr>
      <w:tabs>
        <w:tab w:val="left" w:pos="0"/>
      </w:tabs>
      <w:ind w:hanging="1580"/>
    </w:pPr>
  </w:style>
  <w:style w:type="paragraph" w:customStyle="1" w:styleId="SchAparaSymb">
    <w:name w:val="Sch A para Symb"/>
    <w:basedOn w:val="Apara"/>
    <w:rsid w:val="00903DAE"/>
    <w:pPr>
      <w:tabs>
        <w:tab w:val="left" w:pos="0"/>
      </w:tabs>
      <w:ind w:hanging="2080"/>
    </w:pPr>
  </w:style>
  <w:style w:type="paragraph" w:customStyle="1" w:styleId="SchAsubparaSymb">
    <w:name w:val="Sch A subpara Symb"/>
    <w:basedOn w:val="Asubpara"/>
    <w:rsid w:val="00903DAE"/>
    <w:pPr>
      <w:tabs>
        <w:tab w:val="left" w:pos="0"/>
      </w:tabs>
      <w:ind w:hanging="2580"/>
    </w:pPr>
  </w:style>
  <w:style w:type="paragraph" w:customStyle="1" w:styleId="SchAsubsubparaSymb">
    <w:name w:val="Sch A subsubpara Symb"/>
    <w:basedOn w:val="AsubsubparaSymb"/>
    <w:rsid w:val="00903DAE"/>
  </w:style>
  <w:style w:type="paragraph" w:customStyle="1" w:styleId="refSymb">
    <w:name w:val="ref Symb"/>
    <w:basedOn w:val="BillBasic"/>
    <w:next w:val="Normal"/>
    <w:rsid w:val="00903DAE"/>
    <w:pPr>
      <w:tabs>
        <w:tab w:val="left" w:pos="-480"/>
      </w:tabs>
      <w:spacing w:before="60"/>
      <w:ind w:hanging="480"/>
    </w:pPr>
    <w:rPr>
      <w:sz w:val="18"/>
    </w:rPr>
  </w:style>
  <w:style w:type="paragraph" w:customStyle="1" w:styleId="IshadedH5SecSymb">
    <w:name w:val="I shaded H5 Sec Symb"/>
    <w:basedOn w:val="AH5Sec"/>
    <w:rsid w:val="00903DAE"/>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903DAE"/>
    <w:pPr>
      <w:tabs>
        <w:tab w:val="clear" w:pos="-1580"/>
      </w:tabs>
      <w:ind w:left="975" w:hanging="1457"/>
    </w:pPr>
  </w:style>
  <w:style w:type="paragraph" w:customStyle="1" w:styleId="IH1ChapSymb">
    <w:name w:val="I H1 Chap Symb"/>
    <w:basedOn w:val="BillBasicHeading"/>
    <w:next w:val="Normal"/>
    <w:rsid w:val="00903DAE"/>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903DAE"/>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903DAE"/>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903DAE"/>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903DAE"/>
    <w:pPr>
      <w:tabs>
        <w:tab w:val="clear" w:pos="2600"/>
        <w:tab w:val="left" w:pos="-1580"/>
        <w:tab w:val="left" w:pos="0"/>
        <w:tab w:val="left" w:pos="1100"/>
      </w:tabs>
      <w:spacing w:before="240"/>
      <w:ind w:left="1100" w:hanging="1580"/>
    </w:pPr>
  </w:style>
  <w:style w:type="paragraph" w:customStyle="1" w:styleId="IMainSymb">
    <w:name w:val="I Main Symb"/>
    <w:basedOn w:val="Amain"/>
    <w:rsid w:val="00903DAE"/>
    <w:pPr>
      <w:tabs>
        <w:tab w:val="left" w:pos="0"/>
      </w:tabs>
      <w:ind w:hanging="1580"/>
    </w:pPr>
  </w:style>
  <w:style w:type="paragraph" w:customStyle="1" w:styleId="IparaSymb">
    <w:name w:val="I para Symb"/>
    <w:basedOn w:val="Apara"/>
    <w:rsid w:val="00903DAE"/>
    <w:pPr>
      <w:tabs>
        <w:tab w:val="left" w:pos="0"/>
      </w:tabs>
      <w:ind w:hanging="2080"/>
      <w:outlineLvl w:val="9"/>
    </w:pPr>
  </w:style>
  <w:style w:type="paragraph" w:customStyle="1" w:styleId="IsubparaSymb">
    <w:name w:val="I subpara Symb"/>
    <w:basedOn w:val="Asubpara"/>
    <w:rsid w:val="00903DAE"/>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903DAE"/>
    <w:pPr>
      <w:tabs>
        <w:tab w:val="clear" w:pos="2400"/>
        <w:tab w:val="clear" w:pos="2600"/>
        <w:tab w:val="right" w:pos="2460"/>
        <w:tab w:val="left" w:pos="2660"/>
      </w:tabs>
      <w:ind w:left="2660" w:hanging="3140"/>
    </w:pPr>
  </w:style>
  <w:style w:type="paragraph" w:customStyle="1" w:styleId="IdefparaSymb">
    <w:name w:val="I def para Symb"/>
    <w:basedOn w:val="IparaSymb"/>
    <w:rsid w:val="00903DAE"/>
    <w:pPr>
      <w:ind w:left="1599" w:hanging="2081"/>
    </w:pPr>
  </w:style>
  <w:style w:type="paragraph" w:customStyle="1" w:styleId="IdefsubparaSymb">
    <w:name w:val="I def subpara Symb"/>
    <w:basedOn w:val="IsubparaSymb"/>
    <w:rsid w:val="00903DAE"/>
    <w:pPr>
      <w:ind w:left="2138"/>
    </w:pPr>
  </w:style>
  <w:style w:type="paragraph" w:customStyle="1" w:styleId="ISched-headingSymb">
    <w:name w:val="I Sched-heading Symb"/>
    <w:basedOn w:val="BillBasicHeading"/>
    <w:next w:val="Normal"/>
    <w:rsid w:val="00903DAE"/>
    <w:pPr>
      <w:tabs>
        <w:tab w:val="left" w:pos="-3080"/>
        <w:tab w:val="left" w:pos="0"/>
      </w:tabs>
      <w:spacing w:before="320"/>
      <w:ind w:left="2600" w:hanging="3080"/>
    </w:pPr>
    <w:rPr>
      <w:sz w:val="34"/>
    </w:rPr>
  </w:style>
  <w:style w:type="paragraph" w:customStyle="1" w:styleId="ISched-PartSymb">
    <w:name w:val="I Sched-Part Symb"/>
    <w:basedOn w:val="BillBasicHeading"/>
    <w:rsid w:val="00903DAE"/>
    <w:pPr>
      <w:tabs>
        <w:tab w:val="left" w:pos="-3080"/>
        <w:tab w:val="left" w:pos="0"/>
      </w:tabs>
      <w:spacing w:before="380"/>
      <w:ind w:left="2600" w:hanging="3080"/>
    </w:pPr>
    <w:rPr>
      <w:sz w:val="32"/>
    </w:rPr>
  </w:style>
  <w:style w:type="paragraph" w:customStyle="1" w:styleId="ISched-formSymb">
    <w:name w:val="I Sched-form Symb"/>
    <w:basedOn w:val="BillBasicHeading"/>
    <w:rsid w:val="00903DAE"/>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903DAE"/>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903DAE"/>
    <w:pPr>
      <w:tabs>
        <w:tab w:val="left" w:pos="-3080"/>
        <w:tab w:val="left" w:pos="0"/>
      </w:tabs>
      <w:spacing w:before="320"/>
      <w:ind w:left="2600" w:hanging="3080"/>
      <w:jc w:val="both"/>
    </w:pPr>
    <w:rPr>
      <w:sz w:val="34"/>
    </w:rPr>
  </w:style>
  <w:style w:type="paragraph" w:customStyle="1" w:styleId="AmainbulletSymb">
    <w:name w:val="A main bullet Symb"/>
    <w:basedOn w:val="BillBasic"/>
    <w:rsid w:val="00903DAE"/>
    <w:pPr>
      <w:tabs>
        <w:tab w:val="left" w:pos="1100"/>
      </w:tabs>
      <w:spacing w:before="60"/>
      <w:ind w:left="1500" w:hanging="1986"/>
    </w:pPr>
  </w:style>
  <w:style w:type="paragraph" w:customStyle="1" w:styleId="aExamHdgssSymb">
    <w:name w:val="aExamHdgss Symb"/>
    <w:basedOn w:val="BillBasicHeading"/>
    <w:next w:val="Normal"/>
    <w:rsid w:val="00903DAE"/>
    <w:pPr>
      <w:tabs>
        <w:tab w:val="clear" w:pos="2600"/>
        <w:tab w:val="left" w:pos="1582"/>
      </w:tabs>
      <w:ind w:left="1100" w:hanging="1582"/>
    </w:pPr>
    <w:rPr>
      <w:sz w:val="18"/>
    </w:rPr>
  </w:style>
  <w:style w:type="paragraph" w:customStyle="1" w:styleId="aExamssSymb">
    <w:name w:val="aExamss Symb"/>
    <w:basedOn w:val="aNote"/>
    <w:rsid w:val="00903DAE"/>
    <w:pPr>
      <w:tabs>
        <w:tab w:val="left" w:pos="1582"/>
      </w:tabs>
      <w:spacing w:before="60"/>
      <w:ind w:left="1100" w:hanging="1582"/>
    </w:pPr>
  </w:style>
  <w:style w:type="paragraph" w:customStyle="1" w:styleId="aExamINumssSymb">
    <w:name w:val="aExamINumss Symb"/>
    <w:basedOn w:val="aExamssSymb"/>
    <w:rsid w:val="00903DAE"/>
    <w:pPr>
      <w:tabs>
        <w:tab w:val="left" w:pos="1100"/>
      </w:tabs>
      <w:ind w:left="1500" w:hanging="1986"/>
    </w:pPr>
  </w:style>
  <w:style w:type="paragraph" w:customStyle="1" w:styleId="aExamNumTextssSymb">
    <w:name w:val="aExamNumTextss Symb"/>
    <w:basedOn w:val="aExamssSymb"/>
    <w:rsid w:val="00903DAE"/>
    <w:pPr>
      <w:tabs>
        <w:tab w:val="clear" w:pos="1582"/>
        <w:tab w:val="left" w:pos="1985"/>
      </w:tabs>
      <w:ind w:left="1503" w:hanging="1985"/>
    </w:pPr>
  </w:style>
  <w:style w:type="paragraph" w:customStyle="1" w:styleId="AExamIParaSymb">
    <w:name w:val="AExamIPara Symb"/>
    <w:basedOn w:val="aExam"/>
    <w:rsid w:val="00903DAE"/>
    <w:pPr>
      <w:tabs>
        <w:tab w:val="right" w:pos="1718"/>
      </w:tabs>
      <w:ind w:left="1984" w:hanging="2466"/>
    </w:pPr>
  </w:style>
  <w:style w:type="paragraph" w:customStyle="1" w:styleId="aExamBulletssSymb">
    <w:name w:val="aExamBulletss Symb"/>
    <w:basedOn w:val="aExamssSymb"/>
    <w:rsid w:val="00903DAE"/>
    <w:pPr>
      <w:tabs>
        <w:tab w:val="left" w:pos="1100"/>
      </w:tabs>
      <w:ind w:left="1500" w:hanging="1986"/>
    </w:pPr>
  </w:style>
  <w:style w:type="paragraph" w:customStyle="1" w:styleId="aNoteSymb">
    <w:name w:val="aNote Symb"/>
    <w:basedOn w:val="BillBasic"/>
    <w:rsid w:val="00903DAE"/>
    <w:pPr>
      <w:tabs>
        <w:tab w:val="left" w:pos="1100"/>
        <w:tab w:val="left" w:pos="2381"/>
      </w:tabs>
      <w:ind w:left="1899" w:hanging="2381"/>
    </w:pPr>
    <w:rPr>
      <w:sz w:val="20"/>
    </w:rPr>
  </w:style>
  <w:style w:type="paragraph" w:customStyle="1" w:styleId="aNoteTextssSymb">
    <w:name w:val="aNoteTextss Symb"/>
    <w:basedOn w:val="Normal"/>
    <w:rsid w:val="00903DAE"/>
    <w:pPr>
      <w:tabs>
        <w:tab w:val="clear" w:pos="0"/>
        <w:tab w:val="left" w:pos="1418"/>
      </w:tabs>
      <w:spacing w:before="60"/>
      <w:ind w:left="1417" w:hanging="1899"/>
      <w:jc w:val="both"/>
    </w:pPr>
    <w:rPr>
      <w:sz w:val="20"/>
    </w:rPr>
  </w:style>
  <w:style w:type="paragraph" w:customStyle="1" w:styleId="aNoteParaSymb">
    <w:name w:val="aNotePara Symb"/>
    <w:basedOn w:val="aNoteSymb"/>
    <w:rsid w:val="00903DAE"/>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903DAE"/>
    <w:pPr>
      <w:tabs>
        <w:tab w:val="clear" w:pos="0"/>
        <w:tab w:val="left" w:pos="1899"/>
      </w:tabs>
      <w:spacing w:before="60"/>
      <w:ind w:left="2296" w:hanging="2778"/>
      <w:jc w:val="both"/>
    </w:pPr>
    <w:rPr>
      <w:sz w:val="20"/>
    </w:rPr>
  </w:style>
  <w:style w:type="paragraph" w:customStyle="1" w:styleId="AparabulletSymb">
    <w:name w:val="A para bullet Symb"/>
    <w:basedOn w:val="BillBasic"/>
    <w:rsid w:val="00903DAE"/>
    <w:pPr>
      <w:tabs>
        <w:tab w:val="left" w:pos="1616"/>
        <w:tab w:val="left" w:pos="2495"/>
      </w:tabs>
      <w:spacing w:before="60"/>
      <w:ind w:left="2013" w:hanging="2495"/>
    </w:pPr>
  </w:style>
  <w:style w:type="paragraph" w:customStyle="1" w:styleId="aExamHdgparSymb">
    <w:name w:val="aExamHdgpar Symb"/>
    <w:basedOn w:val="aExamHdgssSymb"/>
    <w:next w:val="Normal"/>
    <w:rsid w:val="00903DAE"/>
    <w:pPr>
      <w:tabs>
        <w:tab w:val="clear" w:pos="1582"/>
        <w:tab w:val="left" w:pos="1599"/>
      </w:tabs>
      <w:ind w:left="1599" w:hanging="2081"/>
    </w:pPr>
  </w:style>
  <w:style w:type="paragraph" w:customStyle="1" w:styleId="aExamparSymb">
    <w:name w:val="aExampar Symb"/>
    <w:basedOn w:val="aExamssSymb"/>
    <w:rsid w:val="00903DAE"/>
    <w:pPr>
      <w:tabs>
        <w:tab w:val="clear" w:pos="1582"/>
        <w:tab w:val="left" w:pos="1599"/>
      </w:tabs>
      <w:ind w:left="1599" w:hanging="2081"/>
    </w:pPr>
  </w:style>
  <w:style w:type="paragraph" w:customStyle="1" w:styleId="aExamINumparSymb">
    <w:name w:val="aExamINumpar Symb"/>
    <w:basedOn w:val="aExamparSymb"/>
    <w:rsid w:val="00903DAE"/>
    <w:pPr>
      <w:tabs>
        <w:tab w:val="left" w:pos="2000"/>
      </w:tabs>
      <w:ind w:left="2041" w:hanging="2495"/>
    </w:pPr>
  </w:style>
  <w:style w:type="paragraph" w:customStyle="1" w:styleId="aExamBulletparSymb">
    <w:name w:val="aExamBulletpar Symb"/>
    <w:basedOn w:val="aExamparSymb"/>
    <w:rsid w:val="00903DAE"/>
    <w:pPr>
      <w:tabs>
        <w:tab w:val="clear" w:pos="1599"/>
        <w:tab w:val="left" w:pos="1616"/>
        <w:tab w:val="left" w:pos="2495"/>
      </w:tabs>
      <w:ind w:left="2013" w:hanging="2495"/>
    </w:pPr>
  </w:style>
  <w:style w:type="paragraph" w:customStyle="1" w:styleId="aNoteparSymb">
    <w:name w:val="aNotepar Symb"/>
    <w:basedOn w:val="BillBasic"/>
    <w:next w:val="Normal"/>
    <w:rsid w:val="00903DAE"/>
    <w:pPr>
      <w:tabs>
        <w:tab w:val="left" w:pos="1599"/>
        <w:tab w:val="left" w:pos="2398"/>
      </w:tabs>
      <w:ind w:left="2410" w:hanging="2892"/>
    </w:pPr>
    <w:rPr>
      <w:sz w:val="20"/>
    </w:rPr>
  </w:style>
  <w:style w:type="paragraph" w:customStyle="1" w:styleId="aNoteTextparSymb">
    <w:name w:val="aNoteTextpar Symb"/>
    <w:basedOn w:val="aNoteparSymb"/>
    <w:rsid w:val="00903DAE"/>
    <w:pPr>
      <w:tabs>
        <w:tab w:val="clear" w:pos="1599"/>
        <w:tab w:val="clear" w:pos="2398"/>
        <w:tab w:val="left" w:pos="2880"/>
      </w:tabs>
      <w:spacing w:before="60"/>
      <w:ind w:left="2398" w:hanging="2880"/>
    </w:pPr>
  </w:style>
  <w:style w:type="paragraph" w:customStyle="1" w:styleId="aNoteParaparSymb">
    <w:name w:val="aNoteParapar Symb"/>
    <w:basedOn w:val="aNoteparSymb"/>
    <w:rsid w:val="00903DAE"/>
    <w:pPr>
      <w:tabs>
        <w:tab w:val="right" w:pos="2640"/>
      </w:tabs>
      <w:spacing w:before="60"/>
      <w:ind w:left="2920" w:hanging="3402"/>
    </w:pPr>
  </w:style>
  <w:style w:type="paragraph" w:customStyle="1" w:styleId="aNoteBulletparSymb">
    <w:name w:val="aNoteBulletpar Symb"/>
    <w:basedOn w:val="aNoteparSymb"/>
    <w:rsid w:val="00903DAE"/>
    <w:pPr>
      <w:tabs>
        <w:tab w:val="clear" w:pos="1599"/>
        <w:tab w:val="left" w:pos="3289"/>
      </w:tabs>
      <w:spacing w:before="60"/>
      <w:ind w:left="2807" w:hanging="3289"/>
    </w:pPr>
  </w:style>
  <w:style w:type="paragraph" w:customStyle="1" w:styleId="AsubparabulletSymb">
    <w:name w:val="A subpara bullet Symb"/>
    <w:basedOn w:val="BillBasic"/>
    <w:rsid w:val="00903DAE"/>
    <w:pPr>
      <w:tabs>
        <w:tab w:val="left" w:pos="2138"/>
        <w:tab w:val="left" w:pos="3005"/>
      </w:tabs>
      <w:spacing w:before="60"/>
      <w:ind w:left="2523" w:hanging="3005"/>
    </w:pPr>
  </w:style>
  <w:style w:type="paragraph" w:customStyle="1" w:styleId="aExamHdgsubparSymb">
    <w:name w:val="aExamHdgsubpar Symb"/>
    <w:basedOn w:val="aExamHdgssSymb"/>
    <w:next w:val="Normal"/>
    <w:rsid w:val="00903DAE"/>
    <w:pPr>
      <w:tabs>
        <w:tab w:val="clear" w:pos="1582"/>
        <w:tab w:val="left" w:pos="2620"/>
      </w:tabs>
      <w:ind w:left="2138" w:hanging="2620"/>
    </w:pPr>
  </w:style>
  <w:style w:type="paragraph" w:customStyle="1" w:styleId="aExamsubparSymb">
    <w:name w:val="aExamsubpar Symb"/>
    <w:basedOn w:val="aExamssSymb"/>
    <w:rsid w:val="00903DAE"/>
    <w:pPr>
      <w:tabs>
        <w:tab w:val="clear" w:pos="1582"/>
        <w:tab w:val="left" w:pos="2620"/>
      </w:tabs>
      <w:ind w:left="2138" w:hanging="2620"/>
    </w:pPr>
  </w:style>
  <w:style w:type="paragraph" w:customStyle="1" w:styleId="aNotesubparSymb">
    <w:name w:val="aNotesubpar Symb"/>
    <w:basedOn w:val="BillBasic"/>
    <w:next w:val="Normal"/>
    <w:rsid w:val="00903DAE"/>
    <w:pPr>
      <w:tabs>
        <w:tab w:val="left" w:pos="2138"/>
        <w:tab w:val="left" w:pos="2937"/>
      </w:tabs>
      <w:ind w:left="2455" w:hanging="2937"/>
    </w:pPr>
    <w:rPr>
      <w:sz w:val="20"/>
    </w:rPr>
  </w:style>
  <w:style w:type="paragraph" w:customStyle="1" w:styleId="aNoteTextsubparSymb">
    <w:name w:val="aNoteTextsubpar Symb"/>
    <w:basedOn w:val="aNotesubparSymb"/>
    <w:rsid w:val="00903DAE"/>
    <w:pPr>
      <w:tabs>
        <w:tab w:val="clear" w:pos="2138"/>
        <w:tab w:val="clear" w:pos="2937"/>
        <w:tab w:val="left" w:pos="2943"/>
      </w:tabs>
      <w:spacing w:before="60"/>
      <w:ind w:left="2943" w:hanging="3425"/>
    </w:pPr>
  </w:style>
  <w:style w:type="paragraph" w:customStyle="1" w:styleId="PenaltySymb">
    <w:name w:val="Penalty Symb"/>
    <w:basedOn w:val="AmainreturnSymb"/>
    <w:rsid w:val="00903DAE"/>
  </w:style>
  <w:style w:type="paragraph" w:customStyle="1" w:styleId="PenaltyParaSymb">
    <w:name w:val="PenaltyPara Symb"/>
    <w:basedOn w:val="Normal"/>
    <w:rsid w:val="00903DAE"/>
    <w:pPr>
      <w:tabs>
        <w:tab w:val="right" w:pos="1360"/>
      </w:tabs>
      <w:spacing w:before="60"/>
      <w:ind w:left="1599" w:hanging="2081"/>
      <w:jc w:val="both"/>
    </w:pPr>
  </w:style>
  <w:style w:type="paragraph" w:customStyle="1" w:styleId="FormulaSymb">
    <w:name w:val="Formula Symb"/>
    <w:basedOn w:val="BillBasic"/>
    <w:rsid w:val="00903DAE"/>
    <w:pPr>
      <w:tabs>
        <w:tab w:val="left" w:pos="-480"/>
      </w:tabs>
      <w:spacing w:line="260" w:lineRule="atLeast"/>
      <w:ind w:hanging="480"/>
      <w:jc w:val="center"/>
    </w:pPr>
  </w:style>
  <w:style w:type="paragraph" w:customStyle="1" w:styleId="NormalSymb">
    <w:name w:val="Normal Symb"/>
    <w:basedOn w:val="Normal"/>
    <w:qFormat/>
    <w:rsid w:val="00903DAE"/>
    <w:pPr>
      <w:ind w:hanging="482"/>
    </w:pPr>
  </w:style>
  <w:style w:type="character" w:styleId="PlaceholderText">
    <w:name w:val="Placeholder Text"/>
    <w:basedOn w:val="DefaultParagraphFont"/>
    <w:uiPriority w:val="99"/>
    <w:semiHidden/>
    <w:rsid w:val="00903DAE"/>
    <w:rPr>
      <w:color w:val="808080"/>
    </w:rPr>
  </w:style>
  <w:style w:type="character" w:customStyle="1" w:styleId="NewActChar">
    <w:name w:val="New Act Char"/>
    <w:basedOn w:val="DefaultParagraphFont"/>
    <w:link w:val="NewAct"/>
    <w:locked/>
    <w:rsid w:val="00954FA9"/>
    <w:rPr>
      <w:rFonts w:ascii="Arial" w:hAnsi="Arial"/>
      <w:b/>
      <w:lang w:eastAsia="en-US"/>
    </w:rPr>
  </w:style>
  <w:style w:type="character" w:customStyle="1" w:styleId="charparttext0">
    <w:name w:val="charparttext"/>
    <w:basedOn w:val="DefaultParagraphFont"/>
    <w:rsid w:val="00B70E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18-45/default.asp" TargetMode="External"/><Relationship Id="rId21" Type="http://schemas.openxmlformats.org/officeDocument/2006/relationships/header" Target="header3.xml"/><Relationship Id="rId42" Type="http://schemas.openxmlformats.org/officeDocument/2006/relationships/hyperlink" Target="http://www.legislation.act.gov.au/a/2001-14" TargetMode="External"/><Relationship Id="rId63" Type="http://schemas.openxmlformats.org/officeDocument/2006/relationships/hyperlink" Target="http://www.legislation.act.gov.au/a/2008-35" TargetMode="External"/><Relationship Id="rId84" Type="http://schemas.openxmlformats.org/officeDocument/2006/relationships/footer" Target="footer11.xml"/><Relationship Id="rId16" Type="http://schemas.openxmlformats.org/officeDocument/2006/relationships/hyperlink" Target="http://www.legislation.act.gov.au/a/2001-14" TargetMode="External"/><Relationship Id="rId107" Type="http://schemas.openxmlformats.org/officeDocument/2006/relationships/hyperlink" Target="https://legislation.act.gov.au/a/2023-36/" TargetMode="Externa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2001-14" TargetMode="External"/><Relationship Id="rId37" Type="http://schemas.openxmlformats.org/officeDocument/2006/relationships/hyperlink" Target="http://www.legislation.act.gov.au/a/2004-34" TargetMode="External"/><Relationship Id="rId53" Type="http://schemas.openxmlformats.org/officeDocument/2006/relationships/hyperlink" Target="http://www.legislation.act.gov.au/a/2001-14" TargetMode="External"/><Relationship Id="rId58" Type="http://schemas.openxmlformats.org/officeDocument/2006/relationships/hyperlink" Target="http://www.legislation.act.gov.au/a/2006-2" TargetMode="External"/><Relationship Id="rId74" Type="http://schemas.openxmlformats.org/officeDocument/2006/relationships/hyperlink" Target="http://www.legislation.act.gov.au/a/2001-14" TargetMode="External"/><Relationship Id="rId79" Type="http://schemas.openxmlformats.org/officeDocument/2006/relationships/footer" Target="footer8.xml"/><Relationship Id="rId102" Type="http://schemas.openxmlformats.org/officeDocument/2006/relationships/hyperlink" Target="https://legislation.act.gov.au/a/2023-36/" TargetMode="External"/><Relationship Id="rId123" Type="http://schemas.openxmlformats.org/officeDocument/2006/relationships/hyperlink" Target="http://www.legislation.act.gov.au/a/2018-45/" TargetMode="External"/><Relationship Id="rId128" Type="http://schemas.openxmlformats.org/officeDocument/2006/relationships/footer" Target="footer15.xml"/><Relationship Id="rId5" Type="http://schemas.openxmlformats.org/officeDocument/2006/relationships/webSettings" Target="webSettings.xml"/><Relationship Id="rId90" Type="http://schemas.openxmlformats.org/officeDocument/2006/relationships/hyperlink" Target="http://www.legislation.act.gov.au/a/1999-46" TargetMode="External"/><Relationship Id="rId95" Type="http://schemas.openxmlformats.org/officeDocument/2006/relationships/header" Target="header11.xml"/><Relationship Id="rId22" Type="http://schemas.openxmlformats.org/officeDocument/2006/relationships/footer" Target="footer3.xml"/><Relationship Id="rId27" Type="http://schemas.openxmlformats.org/officeDocument/2006/relationships/footer" Target="footer6.xml"/><Relationship Id="rId43" Type="http://schemas.openxmlformats.org/officeDocument/2006/relationships/hyperlink" Target="http://www.legislation.act.gov.au/a/2006-2" TargetMode="External"/><Relationship Id="rId48" Type="http://schemas.openxmlformats.org/officeDocument/2006/relationships/hyperlink" Target="http://www.legislation.act.gov.au/a/2002-51" TargetMode="External"/><Relationship Id="rId64" Type="http://schemas.openxmlformats.org/officeDocument/2006/relationships/hyperlink" Target="http://www.legislation.act.gov.au/a/2001-14" TargetMode="External"/><Relationship Id="rId69" Type="http://schemas.openxmlformats.org/officeDocument/2006/relationships/hyperlink" Target="http://www.legislation.act.gov.au/a/2001-14" TargetMode="External"/><Relationship Id="rId113" Type="http://schemas.openxmlformats.org/officeDocument/2006/relationships/hyperlink" Target="https://legislation.act.gov.au/a/2023-36/" TargetMode="External"/><Relationship Id="rId118" Type="http://schemas.openxmlformats.org/officeDocument/2006/relationships/hyperlink" Target="http://www.legislation.act.gov.au/a/2018-21/default.asp" TargetMode="External"/><Relationship Id="rId134" Type="http://schemas.openxmlformats.org/officeDocument/2006/relationships/footer" Target="footer18.xml"/><Relationship Id="rId80" Type="http://schemas.openxmlformats.org/officeDocument/2006/relationships/footer" Target="footer9.xml"/><Relationship Id="rId85" Type="http://schemas.openxmlformats.org/officeDocument/2006/relationships/hyperlink" Target="http://www.legislation.act.gov.au/a/2001-14" TargetMode="External"/><Relationship Id="rId12" Type="http://schemas.openxmlformats.org/officeDocument/2006/relationships/hyperlink" Target="http://www.legislation.act.gov.au/a/2001-14" TargetMode="External"/><Relationship Id="rId17" Type="http://schemas.openxmlformats.org/officeDocument/2006/relationships/header" Target="header1.xml"/><Relationship Id="rId33" Type="http://schemas.openxmlformats.org/officeDocument/2006/relationships/hyperlink" Target="http://www.legislation.act.gov.au/a/2001-14" TargetMode="External"/><Relationship Id="rId38" Type="http://schemas.openxmlformats.org/officeDocument/2006/relationships/hyperlink" Target="http://www.legislation.act.gov.au/a/2001-14" TargetMode="External"/><Relationship Id="rId59" Type="http://schemas.openxmlformats.org/officeDocument/2006/relationships/hyperlink" Target="http://www.legislation.act.gov.au/a/1999-46/default.asp" TargetMode="External"/><Relationship Id="rId103" Type="http://schemas.openxmlformats.org/officeDocument/2006/relationships/hyperlink" Target="https://legislation.act.gov.au/a/2023-18/" TargetMode="External"/><Relationship Id="rId108" Type="http://schemas.openxmlformats.org/officeDocument/2006/relationships/hyperlink" Target="http://www.legislation.act.gov.au/a/2018-21/default.asp" TargetMode="External"/><Relationship Id="rId124" Type="http://schemas.openxmlformats.org/officeDocument/2006/relationships/hyperlink" Target="http://www.legislation.act.gov.au/a/2018-45/" TargetMode="External"/><Relationship Id="rId129" Type="http://schemas.openxmlformats.org/officeDocument/2006/relationships/header" Target="header14.xml"/><Relationship Id="rId54" Type="http://schemas.openxmlformats.org/officeDocument/2006/relationships/hyperlink" Target="http://www.legislation.act.gov.au/a/2000-48" TargetMode="External"/><Relationship Id="rId70" Type="http://schemas.openxmlformats.org/officeDocument/2006/relationships/hyperlink" Target="http://www.legislation.act.gov.au/a/2002-51" TargetMode="External"/><Relationship Id="rId75" Type="http://schemas.openxmlformats.org/officeDocument/2006/relationships/hyperlink" Target="http://www.legislation.act.gov.au/a/2001-14" TargetMode="External"/><Relationship Id="rId91" Type="http://schemas.openxmlformats.org/officeDocument/2006/relationships/hyperlink" Target="http://www.legislation.act.gov.au/a/1999-46/default.asp" TargetMode="External"/><Relationship Id="rId96"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eader" Target="header4.xml"/><Relationship Id="rId28" Type="http://schemas.openxmlformats.org/officeDocument/2006/relationships/hyperlink" Target="http://www.legislation.act.gov.au/a/2006-2" TargetMode="External"/><Relationship Id="rId49" Type="http://schemas.openxmlformats.org/officeDocument/2006/relationships/hyperlink" Target="http://www.legislation.act.gov.au/a/2001-14" TargetMode="External"/><Relationship Id="rId114" Type="http://schemas.openxmlformats.org/officeDocument/2006/relationships/hyperlink" Target="http://www.legislation.act.gov.au/a/2018-21/default.asp" TargetMode="External"/><Relationship Id="rId119" Type="http://schemas.openxmlformats.org/officeDocument/2006/relationships/hyperlink" Target="https://legislation.act.gov.au/a/2023-36/" TargetMode="External"/><Relationship Id="rId44" Type="http://schemas.openxmlformats.org/officeDocument/2006/relationships/hyperlink" Target="https://www.legislation.act.gov.au/a/2023-18/" TargetMode="External"/><Relationship Id="rId60" Type="http://schemas.openxmlformats.org/officeDocument/2006/relationships/hyperlink" Target="http://www.legislation.act.gov.au/a/2002-51" TargetMode="External"/><Relationship Id="rId65" Type="http://schemas.openxmlformats.org/officeDocument/2006/relationships/hyperlink" Target="http://www.legislation.act.gov.au/a/2002-51" TargetMode="External"/><Relationship Id="rId81" Type="http://schemas.openxmlformats.org/officeDocument/2006/relationships/header" Target="header8.xml"/><Relationship Id="rId86" Type="http://schemas.openxmlformats.org/officeDocument/2006/relationships/hyperlink" Target="http://www.legislation.act.gov.au/a/2001-14" TargetMode="External"/><Relationship Id="rId130" Type="http://schemas.openxmlformats.org/officeDocument/2006/relationships/header" Target="header15.xml"/><Relationship Id="rId135" Type="http://schemas.openxmlformats.org/officeDocument/2006/relationships/header" Target="header17.xml"/><Relationship Id="rId13" Type="http://schemas.openxmlformats.org/officeDocument/2006/relationships/hyperlink" Target="http://www.legislation.act.gov.au/a/2001-14" TargetMode="External"/><Relationship Id="rId18" Type="http://schemas.openxmlformats.org/officeDocument/2006/relationships/header" Target="header2.xml"/><Relationship Id="rId39" Type="http://schemas.openxmlformats.org/officeDocument/2006/relationships/hyperlink" Target="http://www.legislation.act.gov.au/a/2004-34" TargetMode="External"/><Relationship Id="rId109" Type="http://schemas.openxmlformats.org/officeDocument/2006/relationships/hyperlink" Target="https://legislation.act.gov.au/a/2023-36/" TargetMode="External"/><Relationship Id="rId34" Type="http://schemas.openxmlformats.org/officeDocument/2006/relationships/hyperlink" Target="http://www.legislation.act.gov.au/a/1999-46/default.asp" TargetMode="External"/><Relationship Id="rId50" Type="http://schemas.openxmlformats.org/officeDocument/2006/relationships/hyperlink" Target="http://www.legislation.act.gov.au/a/2001-14" TargetMode="External"/><Relationship Id="rId55" Type="http://schemas.openxmlformats.org/officeDocument/2006/relationships/hyperlink" Target="http://www.legislation.act.gov.au/a/1999-46/default.asp" TargetMode="External"/><Relationship Id="rId76" Type="http://schemas.openxmlformats.org/officeDocument/2006/relationships/header" Target="header6.xml"/><Relationship Id="rId97" Type="http://schemas.openxmlformats.org/officeDocument/2006/relationships/footer" Target="footer13.xml"/><Relationship Id="rId104" Type="http://schemas.openxmlformats.org/officeDocument/2006/relationships/hyperlink" Target="https://legislation.act.gov.au/cn/2023-10/" TargetMode="External"/><Relationship Id="rId120" Type="http://schemas.openxmlformats.org/officeDocument/2006/relationships/hyperlink" Target="http://www.legislation.act.gov.au/a/2018-21/default.asp" TargetMode="External"/><Relationship Id="rId125" Type="http://schemas.openxmlformats.org/officeDocument/2006/relationships/header" Target="header12.xml"/><Relationship Id="rId7" Type="http://schemas.openxmlformats.org/officeDocument/2006/relationships/endnotes" Target="endnotes.xml"/><Relationship Id="rId71" Type="http://schemas.openxmlformats.org/officeDocument/2006/relationships/hyperlink" Target="http://www.legislation.act.gov.au/a/2001-14" TargetMode="External"/><Relationship Id="rId92" Type="http://schemas.openxmlformats.org/officeDocument/2006/relationships/hyperlink" Target="http://www.legislation.act.gov.au/a/2004-34" TargetMode="Externa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24" Type="http://schemas.openxmlformats.org/officeDocument/2006/relationships/header" Target="header5.xml"/><Relationship Id="rId40" Type="http://schemas.openxmlformats.org/officeDocument/2006/relationships/hyperlink" Target="http://www.legislation.act.gov.au/a/2004-34/" TargetMode="External"/><Relationship Id="rId45" Type="http://schemas.openxmlformats.org/officeDocument/2006/relationships/hyperlink" Target="https://www.legislation.act.gov.au/a/2023-18/" TargetMode="External"/><Relationship Id="rId66" Type="http://schemas.openxmlformats.org/officeDocument/2006/relationships/hyperlink" Target="http://www.legislation.act.gov.au/a/1999-46/default.asp" TargetMode="External"/><Relationship Id="rId87" Type="http://schemas.openxmlformats.org/officeDocument/2006/relationships/hyperlink" Target="http://www.legislation.act.gov.au/a/2006-2" TargetMode="External"/><Relationship Id="rId110" Type="http://schemas.openxmlformats.org/officeDocument/2006/relationships/hyperlink" Target="https://legislation.act.gov.au/a/2023-36/" TargetMode="External"/><Relationship Id="rId115" Type="http://schemas.openxmlformats.org/officeDocument/2006/relationships/hyperlink" Target="http://www.legislation.act.gov.au/a/2018-21/default.asp" TargetMode="External"/><Relationship Id="rId131" Type="http://schemas.openxmlformats.org/officeDocument/2006/relationships/footer" Target="footer16.xml"/><Relationship Id="rId136" Type="http://schemas.openxmlformats.org/officeDocument/2006/relationships/fontTable" Target="fontTable.xml"/><Relationship Id="rId61" Type="http://schemas.openxmlformats.org/officeDocument/2006/relationships/hyperlink" Target="http://www.legislation.act.gov.au/a/2008-35" TargetMode="External"/><Relationship Id="rId82" Type="http://schemas.openxmlformats.org/officeDocument/2006/relationships/header" Target="header9.xml"/><Relationship Id="rId19" Type="http://schemas.openxmlformats.org/officeDocument/2006/relationships/footer" Target="footer1.xml"/><Relationship Id="rId14" Type="http://schemas.openxmlformats.org/officeDocument/2006/relationships/hyperlink" Target="http://www.legislation.act.gov.au" TargetMode="External"/><Relationship Id="rId30" Type="http://schemas.openxmlformats.org/officeDocument/2006/relationships/hyperlink" Target="http://www.legislation.act.gov.au/a/2001-14" TargetMode="External"/><Relationship Id="rId35" Type="http://schemas.openxmlformats.org/officeDocument/2006/relationships/hyperlink" Target="http://www.legislation.act.gov.au/a/1999-46/default.asp" TargetMode="External"/><Relationship Id="rId56" Type="http://schemas.openxmlformats.org/officeDocument/2006/relationships/hyperlink" Target="http://www.legislation.act.gov.au/a/2001-14" TargetMode="External"/><Relationship Id="rId77" Type="http://schemas.openxmlformats.org/officeDocument/2006/relationships/header" Target="header7.xml"/><Relationship Id="rId100" Type="http://schemas.openxmlformats.org/officeDocument/2006/relationships/hyperlink" Target="http://www.legislation.act.gov.au/a/2018-21/default.asp" TargetMode="External"/><Relationship Id="rId105" Type="http://schemas.openxmlformats.org/officeDocument/2006/relationships/hyperlink" Target="http://www.legislation.act.gov.au/a/2018-21/default.asp" TargetMode="External"/><Relationship Id="rId126" Type="http://schemas.openxmlformats.org/officeDocument/2006/relationships/header" Target="header13.xml"/><Relationship Id="rId8" Type="http://schemas.openxmlformats.org/officeDocument/2006/relationships/image" Target="media/image1.png"/><Relationship Id="rId51" Type="http://schemas.openxmlformats.org/officeDocument/2006/relationships/hyperlink" Target="http://www.legislation.act.gov.au/a/2002-51" TargetMode="External"/><Relationship Id="rId72" Type="http://schemas.openxmlformats.org/officeDocument/2006/relationships/hyperlink" Target="http://www.legislation.act.gov.au/a/1999-46/default.asp" TargetMode="External"/><Relationship Id="rId93" Type="http://schemas.openxmlformats.org/officeDocument/2006/relationships/hyperlink" Target="http://www.legislation.act.gov.au/a/2004-34" TargetMode="External"/><Relationship Id="rId98" Type="http://schemas.openxmlformats.org/officeDocument/2006/relationships/hyperlink" Target="http://www.legislation.act.gov.au/a/2001-14" TargetMode="External"/><Relationship Id="rId121" Type="http://schemas.openxmlformats.org/officeDocument/2006/relationships/hyperlink" Target="http://www.legislation.act.gov.au/a/2018-21/default.asp" TargetMode="External"/><Relationship Id="rId3" Type="http://schemas.openxmlformats.org/officeDocument/2006/relationships/styles" Target="styles.xml"/><Relationship Id="rId25" Type="http://schemas.openxmlformats.org/officeDocument/2006/relationships/footer" Target="footer4.xml"/><Relationship Id="rId46" Type="http://schemas.openxmlformats.org/officeDocument/2006/relationships/hyperlink" Target="http://www.legislation.act.gov.au/a/2004-34" TargetMode="External"/><Relationship Id="rId67" Type="http://schemas.openxmlformats.org/officeDocument/2006/relationships/hyperlink" Target="http://www.legislation.act.gov.au/a/2001-14" TargetMode="External"/><Relationship Id="rId116" Type="http://schemas.openxmlformats.org/officeDocument/2006/relationships/hyperlink" Target="http://www.legislation.act.gov.au/a/2018-21/default.asp" TargetMode="External"/><Relationship Id="rId137" Type="http://schemas.openxmlformats.org/officeDocument/2006/relationships/theme" Target="theme/theme1.xml"/><Relationship Id="rId20" Type="http://schemas.openxmlformats.org/officeDocument/2006/relationships/footer" Target="footer2.xml"/><Relationship Id="rId41" Type="http://schemas.openxmlformats.org/officeDocument/2006/relationships/hyperlink" Target="http://www.legislation.act.gov.au/a/1999-46/default.asp" TargetMode="External"/><Relationship Id="rId62" Type="http://schemas.openxmlformats.org/officeDocument/2006/relationships/hyperlink" Target="http://www.legislation.act.gov.au/a/2008-35" TargetMode="External"/><Relationship Id="rId83" Type="http://schemas.openxmlformats.org/officeDocument/2006/relationships/footer" Target="footer10.xml"/><Relationship Id="rId88" Type="http://schemas.openxmlformats.org/officeDocument/2006/relationships/hyperlink" Target="http://www.legislation.act.gov.au/a/2004-34" TargetMode="External"/><Relationship Id="rId111" Type="http://schemas.openxmlformats.org/officeDocument/2006/relationships/hyperlink" Target="https://legislation.act.gov.au/a/2023-36/" TargetMode="External"/><Relationship Id="rId132" Type="http://schemas.openxmlformats.org/officeDocument/2006/relationships/footer" Target="footer17.xm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1999-46/default.asp" TargetMode="External"/><Relationship Id="rId57" Type="http://schemas.openxmlformats.org/officeDocument/2006/relationships/hyperlink" Target="http://www.legislation.act.gov.au/a/2006-2" TargetMode="External"/><Relationship Id="rId106" Type="http://schemas.openxmlformats.org/officeDocument/2006/relationships/hyperlink" Target="http://www.legislation.act.gov.au/a/2018-21/default.asp" TargetMode="External"/><Relationship Id="rId127" Type="http://schemas.openxmlformats.org/officeDocument/2006/relationships/footer" Target="footer14.xml"/><Relationship Id="rId10" Type="http://schemas.openxmlformats.org/officeDocument/2006/relationships/hyperlink" Target="http://www.legislation.act.gov.au" TargetMode="External"/><Relationship Id="rId31" Type="http://schemas.openxmlformats.org/officeDocument/2006/relationships/hyperlink" Target="http://www.legislation.act.gov.au/a/2002-51" TargetMode="External"/><Relationship Id="rId52" Type="http://schemas.openxmlformats.org/officeDocument/2006/relationships/hyperlink" Target="http://www.legislation.act.gov.au/a/2002-51" TargetMode="External"/><Relationship Id="rId73" Type="http://schemas.openxmlformats.org/officeDocument/2006/relationships/hyperlink" Target="http://www.legislation.act.gov.au/a/2001-14" TargetMode="External"/><Relationship Id="rId78" Type="http://schemas.openxmlformats.org/officeDocument/2006/relationships/footer" Target="footer7.xml"/><Relationship Id="rId94" Type="http://schemas.openxmlformats.org/officeDocument/2006/relationships/header" Target="header10.xml"/><Relationship Id="rId99" Type="http://schemas.openxmlformats.org/officeDocument/2006/relationships/hyperlink" Target="http://www.legislation.act.gov.au/a/2018-45/default.asp" TargetMode="External"/><Relationship Id="rId101" Type="http://schemas.openxmlformats.org/officeDocument/2006/relationships/hyperlink" Target="http://www.legislation.act.gov.au/a/2018-45/default.asp" TargetMode="External"/><Relationship Id="rId122" Type="http://schemas.openxmlformats.org/officeDocument/2006/relationships/hyperlink" Target="http://www.legislation.act.gov.au/a/2018-21/default.asp" TargetMode="External"/><Relationship Id="rId4" Type="http://schemas.openxmlformats.org/officeDocument/2006/relationships/settings" Target="settings.xml"/><Relationship Id="rId9" Type="http://schemas.openxmlformats.org/officeDocument/2006/relationships/hyperlink" Target="http://www.legislation.act.gov.au/a/2001-14" TargetMode="External"/><Relationship Id="rId26" Type="http://schemas.openxmlformats.org/officeDocument/2006/relationships/footer" Target="footer5.xml"/><Relationship Id="rId47" Type="http://schemas.openxmlformats.org/officeDocument/2006/relationships/hyperlink" Target="http://www.legislation.act.gov.au/a/2001-14" TargetMode="External"/><Relationship Id="rId68" Type="http://schemas.openxmlformats.org/officeDocument/2006/relationships/hyperlink" Target="http://www.legislation.act.gov.au/a/2006-2" TargetMode="External"/><Relationship Id="rId89" Type="http://schemas.openxmlformats.org/officeDocument/2006/relationships/hyperlink" Target="http://www.legislation.act.gov.au/a/2004-34" TargetMode="External"/><Relationship Id="rId112" Type="http://schemas.openxmlformats.org/officeDocument/2006/relationships/hyperlink" Target="https://legislation.act.gov.au/a/2023-36/" TargetMode="External"/><Relationship Id="rId133" Type="http://schemas.openxmlformats.org/officeDocument/2006/relationships/header" Target="head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B03AF-5464-4F4C-9AB1-3E3B22F1D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64</Pages>
  <Words>11602</Words>
  <Characters>61660</Characters>
  <Application>Microsoft Office Word</Application>
  <DocSecurity>0</DocSecurity>
  <Lines>1633</Lines>
  <Paragraphs>953</Paragraphs>
  <ScaleCrop>false</ScaleCrop>
  <HeadingPairs>
    <vt:vector size="2" baseType="variant">
      <vt:variant>
        <vt:lpstr>Title</vt:lpstr>
      </vt:variant>
      <vt:variant>
        <vt:i4>1</vt:i4>
      </vt:variant>
    </vt:vector>
  </HeadingPairs>
  <TitlesOfParts>
    <vt:vector size="1" baseType="lpstr">
      <vt:lpstr>Casino (Electronic Gaming) Act 2017</vt:lpstr>
    </vt:vector>
  </TitlesOfParts>
  <Manager>Section</Manager>
  <Company>Section</Company>
  <LinksUpToDate>false</LinksUpToDate>
  <CharactersWithSpaces>72773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Casino (Electronic Gaming) Act 2017</dc:title>
  <dc:subject/>
  <dc:creator>ACT Government</dc:creator>
  <cp:keywords>R05</cp:keywords>
  <dc:description/>
  <cp:lastModifiedBy>PCODCS</cp:lastModifiedBy>
  <cp:revision>4</cp:revision>
  <cp:lastPrinted>2017-11-06T04:37:00Z</cp:lastPrinted>
  <dcterms:created xsi:type="dcterms:W3CDTF">2025-11-13T23:11:00Z</dcterms:created>
  <dcterms:modified xsi:type="dcterms:W3CDTF">2025-11-13T23:12:00Z</dcterms:modified>
  <cp:category>R5</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DrafterName">
    <vt:lpwstr>Christina Maselos</vt:lpwstr>
  </property>
  <property fmtid="{D5CDD505-2E9C-101B-9397-08002B2CF9AE}" pid="4" name="DrafterEmail">
    <vt:lpwstr>christina.maselos@act.gov.au</vt:lpwstr>
  </property>
  <property fmtid="{D5CDD505-2E9C-101B-9397-08002B2CF9AE}" pid="5" name="DrafterPh">
    <vt:lpwstr>62053775</vt:lpwstr>
  </property>
  <property fmtid="{D5CDD505-2E9C-101B-9397-08002B2CF9AE}" pid="6" name="SettlerName">
    <vt:lpwstr>David Metcalf</vt:lpwstr>
  </property>
  <property fmtid="{D5CDD505-2E9C-101B-9397-08002B2CF9AE}" pid="7" name="SettlerEmail">
    <vt:lpwstr>david.metcalf@act.gov.au</vt:lpwstr>
  </property>
  <property fmtid="{D5CDD505-2E9C-101B-9397-08002B2CF9AE}" pid="8" name="SettlerPh">
    <vt:lpwstr>62053779</vt:lpwstr>
  </property>
  <property fmtid="{D5CDD505-2E9C-101B-9397-08002B2CF9AE}" pid="9" name="Client">
    <vt:lpwstr>Justice and Community Safety Directorate</vt:lpwstr>
  </property>
  <property fmtid="{D5CDD505-2E9C-101B-9397-08002B2CF9AE}" pid="10" name="ClientName1">
    <vt:lpwstr>Pamela Avell</vt:lpwstr>
  </property>
  <property fmtid="{D5CDD505-2E9C-101B-9397-08002B2CF9AE}" pid="11" name="ClientEmail1">
    <vt:lpwstr>Pamela.Avell@act.gov.au</vt:lpwstr>
  </property>
  <property fmtid="{D5CDD505-2E9C-101B-9397-08002B2CF9AE}" pid="12" name="ClientPh1">
    <vt:lpwstr>62050072</vt:lpwstr>
  </property>
  <property fmtid="{D5CDD505-2E9C-101B-9397-08002B2CF9AE}" pid="13" name="ClientName2">
    <vt:lpwstr/>
  </property>
  <property fmtid="{D5CDD505-2E9C-101B-9397-08002B2CF9AE}" pid="14" name="ClientEmail2">
    <vt:lpwstr/>
  </property>
  <property fmtid="{D5CDD505-2E9C-101B-9397-08002B2CF9AE}" pid="15" name="ClientPh2">
    <vt:lpwstr/>
  </property>
  <property fmtid="{D5CDD505-2E9C-101B-9397-08002B2CF9AE}" pid="16" name="jobType">
    <vt:lpwstr>Drafting</vt:lpwstr>
  </property>
  <property fmtid="{D5CDD505-2E9C-101B-9397-08002B2CF9AE}" pid="17" name="DMSID">
    <vt:lpwstr>11143308</vt:lpwstr>
  </property>
  <property fmtid="{D5CDD505-2E9C-101B-9397-08002B2CF9AE}" pid="18" name="JMSREQUIREDCHECKIN">
    <vt:lpwstr/>
  </property>
  <property fmtid="{D5CDD505-2E9C-101B-9397-08002B2CF9AE}" pid="19" name="CHECKEDOUTFROMJMS">
    <vt:lpwstr/>
  </property>
  <property fmtid="{D5CDD505-2E9C-101B-9397-08002B2CF9AE}" pid="20" name="Citation">
    <vt:lpwstr>Casino (Electronic Gaming) Bill 2017</vt:lpwstr>
  </property>
  <property fmtid="{D5CDD505-2E9C-101B-9397-08002B2CF9AE}" pid="21" name="Status">
    <vt:lpwstr> </vt:lpwstr>
  </property>
  <property fmtid="{D5CDD505-2E9C-101B-9397-08002B2CF9AE}" pid="22" name="Eff">
    <vt:lpwstr>Effective:  </vt:lpwstr>
  </property>
  <property fmtid="{D5CDD505-2E9C-101B-9397-08002B2CF9AE}" pid="23" name="EndDt">
    <vt:lpwstr>-15/11/25</vt:lpwstr>
  </property>
  <property fmtid="{D5CDD505-2E9C-101B-9397-08002B2CF9AE}" pid="24" name="RepubDt">
    <vt:lpwstr>27/11/23</vt:lpwstr>
  </property>
  <property fmtid="{D5CDD505-2E9C-101B-9397-08002B2CF9AE}" pid="25" name="StartDt">
    <vt:lpwstr>27/11/23</vt:lpwstr>
  </property>
  <property fmtid="{D5CDD505-2E9C-101B-9397-08002B2CF9AE}" pid="26" name="MSIP_Label_69af8531-eb46-4968-8cb3-105d2f5ea87e_Enabled">
    <vt:lpwstr>true</vt:lpwstr>
  </property>
  <property fmtid="{D5CDD505-2E9C-101B-9397-08002B2CF9AE}" pid="27" name="MSIP_Label_69af8531-eb46-4968-8cb3-105d2f5ea87e_SetDate">
    <vt:lpwstr>2025-10-27T05:09:54Z</vt:lpwstr>
  </property>
  <property fmtid="{D5CDD505-2E9C-101B-9397-08002B2CF9AE}" pid="28" name="MSIP_Label_69af8531-eb46-4968-8cb3-105d2f5ea87e_Method">
    <vt:lpwstr>Standard</vt:lpwstr>
  </property>
  <property fmtid="{D5CDD505-2E9C-101B-9397-08002B2CF9AE}" pid="29" name="MSIP_Label_69af8531-eb46-4968-8cb3-105d2f5ea87e_Name">
    <vt:lpwstr>Official - No Marking</vt:lpwstr>
  </property>
  <property fmtid="{D5CDD505-2E9C-101B-9397-08002B2CF9AE}" pid="30" name="MSIP_Label_69af8531-eb46-4968-8cb3-105d2f5ea87e_SiteId">
    <vt:lpwstr>b46c1908-0334-4236-b978-585ee88e4199</vt:lpwstr>
  </property>
  <property fmtid="{D5CDD505-2E9C-101B-9397-08002B2CF9AE}" pid="31" name="MSIP_Label_69af8531-eb46-4968-8cb3-105d2f5ea87e_ActionId">
    <vt:lpwstr>c99763d1-5a60-4be5-8c1c-f7186d5454b4</vt:lpwstr>
  </property>
  <property fmtid="{D5CDD505-2E9C-101B-9397-08002B2CF9AE}" pid="32" name="MSIP_Label_69af8531-eb46-4968-8cb3-105d2f5ea87e_ContentBits">
    <vt:lpwstr>0</vt:lpwstr>
  </property>
  <property fmtid="{D5CDD505-2E9C-101B-9397-08002B2CF9AE}" pid="33" name="MSIP_Label_69af8531-eb46-4968-8cb3-105d2f5ea87e_Tag">
    <vt:lpwstr>10, 3, 0, 1</vt:lpwstr>
  </property>
</Properties>
</file>