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59CF" w14:textId="4795EC77" w:rsidR="00807417" w:rsidRDefault="00807417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36825502" w14:textId="77777777" w:rsidR="00807417" w:rsidRDefault="00807417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4103FC67" w14:textId="77777777" w:rsidR="00807417" w:rsidRDefault="00807417">
      <w:pPr>
        <w:pStyle w:val="N-line1"/>
        <w:jc w:val="both"/>
      </w:pPr>
    </w:p>
    <w:p w14:paraId="50F6CA9E" w14:textId="77777777" w:rsidR="00807417" w:rsidRDefault="00807417" w:rsidP="00FE5883">
      <w:pPr>
        <w:spacing w:before="120"/>
        <w:jc w:val="center"/>
      </w:pPr>
      <w:r>
        <w:t>(As presented)</w:t>
      </w:r>
    </w:p>
    <w:p w14:paraId="26C7E904" w14:textId="33F3EEBA" w:rsidR="00807417" w:rsidRDefault="00807417">
      <w:pPr>
        <w:spacing w:before="240"/>
        <w:jc w:val="center"/>
      </w:pPr>
      <w:r>
        <w:t>(</w:t>
      </w:r>
      <w:bookmarkStart w:id="0" w:name="Sponsor"/>
      <w:r>
        <w:t>Minister for Skills, Training and Industrial Relations</w:t>
      </w:r>
      <w:bookmarkEnd w:id="0"/>
      <w:r>
        <w:t>)</w:t>
      </w:r>
    </w:p>
    <w:p w14:paraId="4270D5B8" w14:textId="47F88306" w:rsidR="00183463" w:rsidRPr="006B29D8" w:rsidRDefault="00183463">
      <w:pPr>
        <w:pStyle w:val="Billname1"/>
      </w:pPr>
      <w:r w:rsidRPr="006B29D8">
        <w:fldChar w:fldCharType="begin"/>
      </w:r>
      <w:r w:rsidRPr="006B29D8">
        <w:instrText xml:space="preserve"> REF Citation \*charformat  \* MERGEFORMAT </w:instrText>
      </w:r>
      <w:r w:rsidRPr="006B29D8">
        <w:fldChar w:fldCharType="separate"/>
      </w:r>
      <w:r w:rsidR="008962FB" w:rsidRPr="006B29D8">
        <w:t>Workplace Legislation Amendment Bill</w:t>
      </w:r>
      <w:r w:rsidR="008962FB">
        <w:t> </w:t>
      </w:r>
      <w:r w:rsidR="008962FB" w:rsidRPr="006B29D8">
        <w:t>2025 (No 2)</w:t>
      </w:r>
      <w:r w:rsidRPr="006B29D8">
        <w:fldChar w:fldCharType="end"/>
      </w:r>
    </w:p>
    <w:p w14:paraId="7DC3CDE7" w14:textId="2FC43F1D" w:rsidR="00183463" w:rsidRPr="006B29D8" w:rsidRDefault="00183463">
      <w:pPr>
        <w:pStyle w:val="ActNo"/>
      </w:pPr>
      <w:r w:rsidRPr="006B29D8">
        <w:fldChar w:fldCharType="begin"/>
      </w:r>
      <w:r w:rsidRPr="006B29D8">
        <w:instrText xml:space="preserve"> DOCPROPERTY "Category"  \* MERGEFORMAT </w:instrText>
      </w:r>
      <w:r w:rsidRPr="006B29D8">
        <w:fldChar w:fldCharType="end"/>
      </w:r>
    </w:p>
    <w:p w14:paraId="5BBF23DB" w14:textId="77777777" w:rsidR="00183463" w:rsidRPr="006B29D8" w:rsidRDefault="00183463" w:rsidP="00370538">
      <w:pPr>
        <w:pStyle w:val="Placeholder"/>
        <w:suppressLineNumbers/>
      </w:pPr>
      <w:r w:rsidRPr="006B29D8">
        <w:rPr>
          <w:rStyle w:val="charContents"/>
          <w:sz w:val="16"/>
        </w:rPr>
        <w:t xml:space="preserve">  </w:t>
      </w:r>
      <w:r w:rsidRPr="006B29D8">
        <w:rPr>
          <w:rStyle w:val="charPage"/>
        </w:rPr>
        <w:t xml:space="preserve">  </w:t>
      </w:r>
    </w:p>
    <w:p w14:paraId="4ECF7C06" w14:textId="77777777" w:rsidR="00183463" w:rsidRPr="006B29D8" w:rsidRDefault="00183463">
      <w:pPr>
        <w:pStyle w:val="N-TOCheading"/>
      </w:pPr>
      <w:r w:rsidRPr="006B29D8">
        <w:rPr>
          <w:rStyle w:val="charContents"/>
        </w:rPr>
        <w:t>Contents</w:t>
      </w:r>
    </w:p>
    <w:p w14:paraId="08D5C880" w14:textId="77777777" w:rsidR="00183463" w:rsidRPr="006B29D8" w:rsidRDefault="00183463">
      <w:pPr>
        <w:pStyle w:val="N-9pt"/>
      </w:pPr>
      <w:r w:rsidRPr="006B29D8">
        <w:tab/>
      </w:r>
      <w:r w:rsidRPr="006B29D8">
        <w:rPr>
          <w:rStyle w:val="charPage"/>
        </w:rPr>
        <w:t>Page</w:t>
      </w:r>
    </w:p>
    <w:p w14:paraId="4CEB5F3A" w14:textId="5F3FB97F" w:rsidR="00370538" w:rsidRDefault="00370538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07200671" w:history="1">
        <w:r w:rsidRPr="001613D4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613D4">
          <w:t>Preliminary</w:t>
        </w:r>
        <w:r w:rsidRPr="00370538">
          <w:rPr>
            <w:vanish/>
          </w:rPr>
          <w:tab/>
        </w:r>
        <w:r w:rsidRPr="00370538">
          <w:rPr>
            <w:vanish/>
          </w:rPr>
          <w:fldChar w:fldCharType="begin"/>
        </w:r>
        <w:r w:rsidRPr="00370538">
          <w:rPr>
            <w:vanish/>
          </w:rPr>
          <w:instrText xml:space="preserve"> PAGEREF _Toc207200671 \h </w:instrText>
        </w:r>
        <w:r w:rsidRPr="00370538">
          <w:rPr>
            <w:vanish/>
          </w:rPr>
        </w:r>
        <w:r w:rsidRPr="00370538">
          <w:rPr>
            <w:vanish/>
          </w:rPr>
          <w:fldChar w:fldCharType="separate"/>
        </w:r>
        <w:r w:rsidR="008962FB">
          <w:rPr>
            <w:vanish/>
          </w:rPr>
          <w:t>2</w:t>
        </w:r>
        <w:r w:rsidRPr="00370538">
          <w:rPr>
            <w:vanish/>
          </w:rPr>
          <w:fldChar w:fldCharType="end"/>
        </w:r>
      </w:hyperlink>
    </w:p>
    <w:p w14:paraId="7CB115A0" w14:textId="11AF8E1C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72" w:history="1">
        <w:r w:rsidRPr="001613D4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Name of Act</w:t>
        </w:r>
        <w:r>
          <w:tab/>
        </w:r>
        <w:r>
          <w:fldChar w:fldCharType="begin"/>
        </w:r>
        <w:r>
          <w:instrText xml:space="preserve"> PAGEREF _Toc207200672 \h </w:instrText>
        </w:r>
        <w:r>
          <w:fldChar w:fldCharType="separate"/>
        </w:r>
        <w:r w:rsidR="008962FB">
          <w:t>2</w:t>
        </w:r>
        <w:r>
          <w:fldChar w:fldCharType="end"/>
        </w:r>
      </w:hyperlink>
    </w:p>
    <w:p w14:paraId="309787FF" w14:textId="63D396E3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73" w:history="1">
        <w:r w:rsidRPr="001613D4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Commencement</w:t>
        </w:r>
        <w:r>
          <w:tab/>
        </w:r>
        <w:r>
          <w:fldChar w:fldCharType="begin"/>
        </w:r>
        <w:r>
          <w:instrText xml:space="preserve"> PAGEREF _Toc207200673 \h </w:instrText>
        </w:r>
        <w:r>
          <w:fldChar w:fldCharType="separate"/>
        </w:r>
        <w:r w:rsidR="008962FB">
          <w:t>2</w:t>
        </w:r>
        <w:r>
          <w:fldChar w:fldCharType="end"/>
        </w:r>
      </w:hyperlink>
    </w:p>
    <w:p w14:paraId="404918A1" w14:textId="7472C5A8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74" w:history="1">
        <w:r w:rsidRPr="001613D4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Legislation amended</w:t>
        </w:r>
        <w:r>
          <w:tab/>
        </w:r>
        <w:r>
          <w:fldChar w:fldCharType="begin"/>
        </w:r>
        <w:r>
          <w:instrText xml:space="preserve"> PAGEREF _Toc207200674 \h </w:instrText>
        </w:r>
        <w:r>
          <w:fldChar w:fldCharType="separate"/>
        </w:r>
        <w:r w:rsidR="008962FB">
          <w:t>2</w:t>
        </w:r>
        <w:r>
          <w:fldChar w:fldCharType="end"/>
        </w:r>
      </w:hyperlink>
    </w:p>
    <w:p w14:paraId="4F42ADE8" w14:textId="4427B876" w:rsidR="00370538" w:rsidRDefault="00370538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200675" w:history="1">
        <w:r w:rsidRPr="001613D4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613D4">
          <w:t>Dangerous Substances Act 2004</w:t>
        </w:r>
        <w:r w:rsidRPr="00370538">
          <w:rPr>
            <w:vanish/>
          </w:rPr>
          <w:tab/>
        </w:r>
        <w:r w:rsidRPr="00370538">
          <w:rPr>
            <w:vanish/>
          </w:rPr>
          <w:fldChar w:fldCharType="begin"/>
        </w:r>
        <w:r w:rsidRPr="00370538">
          <w:rPr>
            <w:vanish/>
          </w:rPr>
          <w:instrText xml:space="preserve"> PAGEREF _Toc207200675 \h </w:instrText>
        </w:r>
        <w:r w:rsidRPr="00370538">
          <w:rPr>
            <w:vanish/>
          </w:rPr>
        </w:r>
        <w:r w:rsidRPr="00370538">
          <w:rPr>
            <w:vanish/>
          </w:rPr>
          <w:fldChar w:fldCharType="separate"/>
        </w:r>
        <w:r w:rsidR="008962FB">
          <w:rPr>
            <w:vanish/>
          </w:rPr>
          <w:t>3</w:t>
        </w:r>
        <w:r w:rsidRPr="00370538">
          <w:rPr>
            <w:vanish/>
          </w:rPr>
          <w:fldChar w:fldCharType="end"/>
        </w:r>
      </w:hyperlink>
    </w:p>
    <w:p w14:paraId="4C1679D1" w14:textId="1C7985CA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76" w:history="1">
        <w:r w:rsidRPr="00370538">
          <w:rPr>
            <w:rStyle w:val="CharSectNo"/>
          </w:rPr>
          <w:t>4</w:t>
        </w:r>
        <w:r w:rsidRPr="006B29D8">
          <w:tab/>
          <w:t>Inspectors</w:t>
        </w:r>
        <w:r>
          <w:br/>
        </w:r>
        <w:r w:rsidRPr="006B29D8">
          <w:t>New section 207 (1) (c)</w:t>
        </w:r>
        <w:r>
          <w:tab/>
        </w:r>
        <w:r>
          <w:fldChar w:fldCharType="begin"/>
        </w:r>
        <w:r>
          <w:instrText xml:space="preserve"> PAGEREF _Toc207200676 \h </w:instrText>
        </w:r>
        <w:r>
          <w:fldChar w:fldCharType="separate"/>
        </w:r>
        <w:r w:rsidR="008962FB">
          <w:t>3</w:t>
        </w:r>
        <w:r>
          <w:fldChar w:fldCharType="end"/>
        </w:r>
      </w:hyperlink>
    </w:p>
    <w:p w14:paraId="154C2D48" w14:textId="2A0BB963" w:rsidR="00370538" w:rsidRDefault="00370538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200677" w:history="1">
        <w:r w:rsidRPr="001613D4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613D4">
          <w:t>Evidence (Miscellaneous Provisions) Act 1991</w:t>
        </w:r>
        <w:r w:rsidRPr="00370538">
          <w:rPr>
            <w:vanish/>
          </w:rPr>
          <w:tab/>
        </w:r>
        <w:r w:rsidRPr="00370538">
          <w:rPr>
            <w:vanish/>
          </w:rPr>
          <w:fldChar w:fldCharType="begin"/>
        </w:r>
        <w:r w:rsidRPr="00370538">
          <w:rPr>
            <w:vanish/>
          </w:rPr>
          <w:instrText xml:space="preserve"> PAGEREF _Toc207200677 \h </w:instrText>
        </w:r>
        <w:r w:rsidRPr="00370538">
          <w:rPr>
            <w:vanish/>
          </w:rPr>
        </w:r>
        <w:r w:rsidRPr="00370538">
          <w:rPr>
            <w:vanish/>
          </w:rPr>
          <w:fldChar w:fldCharType="separate"/>
        </w:r>
        <w:r w:rsidR="008962FB">
          <w:rPr>
            <w:vanish/>
          </w:rPr>
          <w:t>4</w:t>
        </w:r>
        <w:r w:rsidRPr="00370538">
          <w:rPr>
            <w:vanish/>
          </w:rPr>
          <w:fldChar w:fldCharType="end"/>
        </w:r>
      </w:hyperlink>
    </w:p>
    <w:p w14:paraId="2671DB48" w14:textId="3E65ADE4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78" w:history="1">
        <w:r w:rsidRPr="00370538">
          <w:rPr>
            <w:rStyle w:val="CharSectNo"/>
          </w:rPr>
          <w:t>5</w:t>
        </w:r>
        <w:r w:rsidRPr="006B29D8">
          <w:tab/>
          <w:t xml:space="preserve">Meaning of </w:t>
        </w:r>
        <w:r w:rsidRPr="006B29D8">
          <w:rPr>
            <w:rStyle w:val="charItals"/>
          </w:rPr>
          <w:t>sexual offence proceeding</w:t>
        </w:r>
        <w:r w:rsidRPr="006B29D8">
          <w:t>—ch 4</w:t>
        </w:r>
        <w:r>
          <w:br/>
        </w:r>
        <w:r w:rsidRPr="006B29D8">
          <w:t xml:space="preserve">Section 41, definition of </w:t>
        </w:r>
        <w:r w:rsidRPr="006B29D8">
          <w:rPr>
            <w:rStyle w:val="charItals"/>
          </w:rPr>
          <w:t>sexual offence proceeding</w:t>
        </w:r>
        <w:r w:rsidRPr="006B29D8">
          <w:t>, new paragraphs (d) and (e)</w:t>
        </w:r>
        <w:r>
          <w:tab/>
        </w:r>
        <w:r>
          <w:fldChar w:fldCharType="begin"/>
        </w:r>
        <w:r>
          <w:instrText xml:space="preserve"> PAGEREF _Toc207200678 \h </w:instrText>
        </w:r>
        <w:r>
          <w:fldChar w:fldCharType="separate"/>
        </w:r>
        <w:r w:rsidR="008962FB">
          <w:t>4</w:t>
        </w:r>
        <w:r>
          <w:fldChar w:fldCharType="end"/>
        </w:r>
      </w:hyperlink>
    </w:p>
    <w:p w14:paraId="78F60E81" w14:textId="197762BE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79" w:history="1">
        <w:r w:rsidRPr="001613D4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New section 41A</w:t>
        </w:r>
        <w:r>
          <w:tab/>
        </w:r>
        <w:r>
          <w:fldChar w:fldCharType="begin"/>
        </w:r>
        <w:r>
          <w:instrText xml:space="preserve"> PAGEREF _Toc207200679 \h </w:instrText>
        </w:r>
        <w:r>
          <w:fldChar w:fldCharType="separate"/>
        </w:r>
        <w:r w:rsidR="008962FB">
          <w:t>4</w:t>
        </w:r>
        <w:r>
          <w:fldChar w:fldCharType="end"/>
        </w:r>
      </w:hyperlink>
    </w:p>
    <w:p w14:paraId="1297514B" w14:textId="55BE6DA7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80" w:history="1">
        <w:r w:rsidRPr="001613D4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 xml:space="preserve">Section 42, definition of </w:t>
        </w:r>
        <w:r w:rsidRPr="001613D4">
          <w:rPr>
            <w:i/>
          </w:rPr>
          <w:t>complainant</w:t>
        </w:r>
        <w:r>
          <w:tab/>
        </w:r>
        <w:r>
          <w:fldChar w:fldCharType="begin"/>
        </w:r>
        <w:r>
          <w:instrText xml:space="preserve"> PAGEREF _Toc207200680 \h </w:instrText>
        </w:r>
        <w:r>
          <w:fldChar w:fldCharType="separate"/>
        </w:r>
        <w:r w:rsidR="008962FB">
          <w:t>5</w:t>
        </w:r>
        <w:r>
          <w:fldChar w:fldCharType="end"/>
        </w:r>
      </w:hyperlink>
    </w:p>
    <w:p w14:paraId="52166969" w14:textId="56555CE9" w:rsidR="00370538" w:rsidRDefault="00370538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200681" w:history="1">
        <w:r w:rsidRPr="001613D4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613D4">
          <w:t>Long Service Leave Act 1976</w:t>
        </w:r>
        <w:r w:rsidRPr="00370538">
          <w:rPr>
            <w:vanish/>
          </w:rPr>
          <w:tab/>
        </w:r>
        <w:r w:rsidRPr="00370538">
          <w:rPr>
            <w:vanish/>
          </w:rPr>
          <w:fldChar w:fldCharType="begin"/>
        </w:r>
        <w:r w:rsidRPr="00370538">
          <w:rPr>
            <w:vanish/>
          </w:rPr>
          <w:instrText xml:space="preserve"> PAGEREF _Toc207200681 \h </w:instrText>
        </w:r>
        <w:r w:rsidRPr="00370538">
          <w:rPr>
            <w:vanish/>
          </w:rPr>
        </w:r>
        <w:r w:rsidRPr="00370538">
          <w:rPr>
            <w:vanish/>
          </w:rPr>
          <w:fldChar w:fldCharType="separate"/>
        </w:r>
        <w:r w:rsidR="008962FB">
          <w:rPr>
            <w:vanish/>
          </w:rPr>
          <w:t>6</w:t>
        </w:r>
        <w:r w:rsidRPr="00370538">
          <w:rPr>
            <w:vanish/>
          </w:rPr>
          <w:fldChar w:fldCharType="end"/>
        </w:r>
      </w:hyperlink>
    </w:p>
    <w:p w14:paraId="40D6BFB4" w14:textId="0609C522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82" w:history="1">
        <w:r w:rsidRPr="00370538">
          <w:rPr>
            <w:rStyle w:val="CharSectNo"/>
          </w:rPr>
          <w:t>8</w:t>
        </w:r>
        <w:r w:rsidRPr="006B29D8">
          <w:tab/>
          <w:t>Manner of payment for leave</w:t>
        </w:r>
        <w:r>
          <w:br/>
        </w:r>
        <w:r w:rsidRPr="006B29D8">
          <w:t>Section 8 (4)</w:t>
        </w:r>
        <w:r>
          <w:tab/>
        </w:r>
        <w:r>
          <w:fldChar w:fldCharType="begin"/>
        </w:r>
        <w:r>
          <w:instrText xml:space="preserve"> PAGEREF _Toc207200682 \h </w:instrText>
        </w:r>
        <w:r>
          <w:fldChar w:fldCharType="separate"/>
        </w:r>
        <w:r w:rsidR="008962FB">
          <w:t>6</w:t>
        </w:r>
        <w:r>
          <w:fldChar w:fldCharType="end"/>
        </w:r>
      </w:hyperlink>
    </w:p>
    <w:p w14:paraId="09853F13" w14:textId="060FA99A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83" w:history="1">
        <w:r w:rsidRPr="00370538">
          <w:rPr>
            <w:rStyle w:val="CharSectNo"/>
          </w:rPr>
          <w:t>9</w:t>
        </w:r>
        <w:r w:rsidRPr="006B29D8">
          <w:tab/>
          <w:t>Pay in lieu of long service leave</w:t>
        </w:r>
        <w:r>
          <w:br/>
        </w:r>
        <w:r w:rsidRPr="006B29D8">
          <w:t>New section 11A (4) and (5)</w:t>
        </w:r>
        <w:r>
          <w:tab/>
        </w:r>
        <w:r>
          <w:fldChar w:fldCharType="begin"/>
        </w:r>
        <w:r>
          <w:instrText xml:space="preserve"> PAGEREF _Toc207200683 \h </w:instrText>
        </w:r>
        <w:r>
          <w:fldChar w:fldCharType="separate"/>
        </w:r>
        <w:r w:rsidR="008962FB">
          <w:t>6</w:t>
        </w:r>
        <w:r>
          <w:fldChar w:fldCharType="end"/>
        </w:r>
      </w:hyperlink>
    </w:p>
    <w:p w14:paraId="57D177D8" w14:textId="30917314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84" w:history="1">
        <w:r w:rsidRPr="001613D4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New section 12A</w:t>
        </w:r>
        <w:r>
          <w:tab/>
        </w:r>
        <w:r>
          <w:fldChar w:fldCharType="begin"/>
        </w:r>
        <w:r>
          <w:instrText xml:space="preserve"> PAGEREF _Toc207200684 \h </w:instrText>
        </w:r>
        <w:r>
          <w:fldChar w:fldCharType="separate"/>
        </w:r>
        <w:r w:rsidR="008962FB">
          <w:t>6</w:t>
        </w:r>
        <w:r>
          <w:fldChar w:fldCharType="end"/>
        </w:r>
      </w:hyperlink>
    </w:p>
    <w:p w14:paraId="19EF7F4D" w14:textId="1A20491F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85" w:history="1">
        <w:r w:rsidRPr="001613D4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Section 13C</w:t>
        </w:r>
        <w:r>
          <w:tab/>
        </w:r>
        <w:r>
          <w:fldChar w:fldCharType="begin"/>
        </w:r>
        <w:r>
          <w:instrText xml:space="preserve"> PAGEREF _Toc207200685 \h </w:instrText>
        </w:r>
        <w:r>
          <w:fldChar w:fldCharType="separate"/>
        </w:r>
        <w:r w:rsidR="008962FB">
          <w:t>7</w:t>
        </w:r>
        <w:r>
          <w:fldChar w:fldCharType="end"/>
        </w:r>
      </w:hyperlink>
    </w:p>
    <w:p w14:paraId="13F35AAF" w14:textId="578A41E1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86" w:history="1">
        <w:r w:rsidRPr="001613D4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Dictionary, new definitions</w:t>
        </w:r>
        <w:r>
          <w:tab/>
        </w:r>
        <w:r>
          <w:fldChar w:fldCharType="begin"/>
        </w:r>
        <w:r>
          <w:instrText xml:space="preserve"> PAGEREF _Toc207200686 \h </w:instrText>
        </w:r>
        <w:r>
          <w:fldChar w:fldCharType="separate"/>
        </w:r>
        <w:r w:rsidR="008962FB">
          <w:t>11</w:t>
        </w:r>
        <w:r>
          <w:fldChar w:fldCharType="end"/>
        </w:r>
      </w:hyperlink>
    </w:p>
    <w:p w14:paraId="79EA9767" w14:textId="30827C6C" w:rsidR="00370538" w:rsidRDefault="00370538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200687" w:history="1">
        <w:r w:rsidRPr="001613D4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613D4">
          <w:t>Long Service Leave (Portable Schemes) Act 2009</w:t>
        </w:r>
        <w:r w:rsidRPr="00370538">
          <w:rPr>
            <w:vanish/>
          </w:rPr>
          <w:tab/>
        </w:r>
        <w:r w:rsidRPr="00370538">
          <w:rPr>
            <w:vanish/>
          </w:rPr>
          <w:fldChar w:fldCharType="begin"/>
        </w:r>
        <w:r w:rsidRPr="00370538">
          <w:rPr>
            <w:vanish/>
          </w:rPr>
          <w:instrText xml:space="preserve"> PAGEREF _Toc207200687 \h </w:instrText>
        </w:r>
        <w:r w:rsidRPr="00370538">
          <w:rPr>
            <w:vanish/>
          </w:rPr>
        </w:r>
        <w:r w:rsidRPr="00370538">
          <w:rPr>
            <w:vanish/>
          </w:rPr>
          <w:fldChar w:fldCharType="separate"/>
        </w:r>
        <w:r w:rsidR="008962FB">
          <w:rPr>
            <w:vanish/>
          </w:rPr>
          <w:t>12</w:t>
        </w:r>
        <w:r w:rsidRPr="00370538">
          <w:rPr>
            <w:vanish/>
          </w:rPr>
          <w:fldChar w:fldCharType="end"/>
        </w:r>
      </w:hyperlink>
    </w:p>
    <w:p w14:paraId="37BF5496" w14:textId="32BAD98B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88" w:history="1">
        <w:r w:rsidRPr="00370538">
          <w:rPr>
            <w:rStyle w:val="CharSectNo"/>
          </w:rPr>
          <w:t>13</w:t>
        </w:r>
        <w:r w:rsidRPr="006B29D8">
          <w:tab/>
          <w:t xml:space="preserve">Who is an </w:t>
        </w:r>
        <w:r w:rsidRPr="006B29D8">
          <w:rPr>
            <w:rStyle w:val="charItals"/>
          </w:rPr>
          <w:t>employer</w:t>
        </w:r>
        <w:r w:rsidRPr="006B29D8">
          <w:t>?</w:t>
        </w:r>
        <w:r>
          <w:br/>
        </w:r>
        <w:r w:rsidRPr="006B29D8">
          <w:t>Section 7 (1) (a)</w:t>
        </w:r>
        <w:r>
          <w:tab/>
        </w:r>
        <w:r>
          <w:fldChar w:fldCharType="begin"/>
        </w:r>
        <w:r>
          <w:instrText xml:space="preserve"> PAGEREF _Toc207200688 \h </w:instrText>
        </w:r>
        <w:r>
          <w:fldChar w:fldCharType="separate"/>
        </w:r>
        <w:r w:rsidR="008962FB">
          <w:t>12</w:t>
        </w:r>
        <w:r>
          <w:fldChar w:fldCharType="end"/>
        </w:r>
      </w:hyperlink>
    </w:p>
    <w:p w14:paraId="421CD63C" w14:textId="21B7A713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89" w:history="1">
        <w:r w:rsidRPr="00370538">
          <w:rPr>
            <w:rStyle w:val="CharSectNo"/>
          </w:rPr>
          <w:t>14</w:t>
        </w:r>
        <w:r w:rsidRPr="006B29D8">
          <w:tab/>
          <w:t>Declarations by Minister—additional coverage of Act</w:t>
        </w:r>
        <w:r>
          <w:br/>
        </w:r>
        <w:r w:rsidRPr="006B29D8">
          <w:t>Section 12 (4) (b)</w:t>
        </w:r>
        <w:r>
          <w:tab/>
        </w:r>
        <w:r>
          <w:fldChar w:fldCharType="begin"/>
        </w:r>
        <w:r>
          <w:instrText xml:space="preserve"> PAGEREF _Toc207200689 \h </w:instrText>
        </w:r>
        <w:r>
          <w:fldChar w:fldCharType="separate"/>
        </w:r>
        <w:r w:rsidR="008962FB">
          <w:t>12</w:t>
        </w:r>
        <w:r>
          <w:fldChar w:fldCharType="end"/>
        </w:r>
      </w:hyperlink>
    </w:p>
    <w:p w14:paraId="67538A2B" w14:textId="6A2B31B2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90" w:history="1">
        <w:r w:rsidRPr="00370538">
          <w:rPr>
            <w:rStyle w:val="CharSectNo"/>
          </w:rPr>
          <w:t>15</w:t>
        </w:r>
        <w:r w:rsidRPr="006B29D8">
          <w:tab/>
          <w:t>Warning to be given</w:t>
        </w:r>
        <w:r>
          <w:br/>
        </w:r>
        <w:r w:rsidRPr="006B29D8">
          <w:t>Section 76B (1)</w:t>
        </w:r>
        <w:r>
          <w:tab/>
        </w:r>
        <w:r>
          <w:fldChar w:fldCharType="begin"/>
        </w:r>
        <w:r>
          <w:instrText xml:space="preserve"> PAGEREF _Toc207200690 \h </w:instrText>
        </w:r>
        <w:r>
          <w:fldChar w:fldCharType="separate"/>
        </w:r>
        <w:r w:rsidR="008962FB">
          <w:t>12</w:t>
        </w:r>
        <w:r>
          <w:fldChar w:fldCharType="end"/>
        </w:r>
      </w:hyperlink>
    </w:p>
    <w:p w14:paraId="0AE893AD" w14:textId="29B1D145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91" w:history="1">
        <w:r w:rsidRPr="00370538">
          <w:rPr>
            <w:rStyle w:val="CharSectNo"/>
          </w:rPr>
          <w:t>16</w:t>
        </w:r>
        <w:r w:rsidRPr="006B29D8">
          <w:tab/>
          <w:t>Payment for leave—building and construction industry</w:t>
        </w:r>
        <w:r>
          <w:br/>
        </w:r>
        <w:r w:rsidRPr="006B29D8">
          <w:t>Schedule 1, section 1.9 (3)</w:t>
        </w:r>
        <w:r>
          <w:tab/>
        </w:r>
        <w:r>
          <w:fldChar w:fldCharType="begin"/>
        </w:r>
        <w:r>
          <w:instrText xml:space="preserve"> PAGEREF _Toc207200691 \h </w:instrText>
        </w:r>
        <w:r>
          <w:fldChar w:fldCharType="separate"/>
        </w:r>
        <w:r w:rsidR="008962FB">
          <w:t>13</w:t>
        </w:r>
        <w:r>
          <w:fldChar w:fldCharType="end"/>
        </w:r>
      </w:hyperlink>
    </w:p>
    <w:p w14:paraId="17761796" w14:textId="563EA39C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92" w:history="1">
        <w:r w:rsidRPr="00370538">
          <w:rPr>
            <w:rStyle w:val="CharSectNo"/>
          </w:rPr>
          <w:t>17</w:t>
        </w:r>
        <w:r w:rsidRPr="006B29D8">
          <w:tab/>
          <w:t xml:space="preserve">What is the </w:t>
        </w:r>
        <w:r w:rsidRPr="006B29D8">
          <w:rPr>
            <w:rStyle w:val="charItals"/>
          </w:rPr>
          <w:t>services industry</w:t>
        </w:r>
        <w:r w:rsidRPr="006B29D8">
          <w:t>?</w:t>
        </w:r>
        <w:r>
          <w:br/>
        </w:r>
        <w:r w:rsidRPr="006B29D8">
          <w:t>Schedule 2, section 2.1 (1) (a) (i)</w:t>
        </w:r>
        <w:r>
          <w:tab/>
        </w:r>
        <w:r>
          <w:fldChar w:fldCharType="begin"/>
        </w:r>
        <w:r>
          <w:instrText xml:space="preserve"> PAGEREF _Toc207200692 \h </w:instrText>
        </w:r>
        <w:r>
          <w:fldChar w:fldCharType="separate"/>
        </w:r>
        <w:r w:rsidR="008962FB">
          <w:t>13</w:t>
        </w:r>
        <w:r>
          <w:fldChar w:fldCharType="end"/>
        </w:r>
      </w:hyperlink>
    </w:p>
    <w:p w14:paraId="287390C3" w14:textId="6995C9D4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93" w:history="1">
        <w:r w:rsidRPr="00370538">
          <w:rPr>
            <w:rStyle w:val="CharSectNo"/>
          </w:rPr>
          <w:t>18</w:t>
        </w:r>
        <w:r w:rsidRPr="006B29D8">
          <w:tab/>
          <w:t xml:space="preserve">What is </w:t>
        </w:r>
        <w:r w:rsidRPr="006B29D8">
          <w:rPr>
            <w:rStyle w:val="charItals"/>
          </w:rPr>
          <w:t>services work</w:t>
        </w:r>
        <w:r w:rsidRPr="006B29D8">
          <w:t>?</w:t>
        </w:r>
        <w:r>
          <w:br/>
        </w:r>
        <w:r w:rsidRPr="006B29D8">
          <w:t xml:space="preserve">Schedule 2, section 2.2 (1), definition of </w:t>
        </w:r>
        <w:r w:rsidRPr="006B29D8">
          <w:rPr>
            <w:rStyle w:val="charItals"/>
          </w:rPr>
          <w:t>services work</w:t>
        </w:r>
        <w:r w:rsidRPr="006B29D8">
          <w:t>, paragraph (a)</w:t>
        </w:r>
        <w:r>
          <w:tab/>
        </w:r>
        <w:r>
          <w:fldChar w:fldCharType="begin"/>
        </w:r>
        <w:r>
          <w:instrText xml:space="preserve"> PAGEREF _Toc207200693 \h </w:instrText>
        </w:r>
        <w:r>
          <w:fldChar w:fldCharType="separate"/>
        </w:r>
        <w:r w:rsidR="008962FB">
          <w:t>13</w:t>
        </w:r>
        <w:r>
          <w:fldChar w:fldCharType="end"/>
        </w:r>
      </w:hyperlink>
    </w:p>
    <w:p w14:paraId="74855650" w14:textId="123A9C28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94" w:history="1">
        <w:r w:rsidRPr="001613D4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Schedule 2, section 2.2 (5)</w:t>
        </w:r>
        <w:r>
          <w:tab/>
        </w:r>
        <w:r>
          <w:fldChar w:fldCharType="begin"/>
        </w:r>
        <w:r>
          <w:instrText xml:space="preserve"> PAGEREF _Toc207200694 \h </w:instrText>
        </w:r>
        <w:r>
          <w:fldChar w:fldCharType="separate"/>
        </w:r>
        <w:r w:rsidR="008962FB">
          <w:t>14</w:t>
        </w:r>
        <w:r>
          <w:fldChar w:fldCharType="end"/>
        </w:r>
      </w:hyperlink>
    </w:p>
    <w:p w14:paraId="3A4D3439" w14:textId="32E6E835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95" w:history="1">
        <w:r w:rsidRPr="00370538">
          <w:rPr>
            <w:rStyle w:val="CharSectNo"/>
          </w:rPr>
          <w:t>20</w:t>
        </w:r>
        <w:r w:rsidRPr="006B29D8">
          <w:tab/>
          <w:t>Payments for leave—services industry</w:t>
        </w:r>
        <w:r>
          <w:br/>
        </w:r>
        <w:r w:rsidRPr="006B29D8">
          <w:t>Schedule 2, section 2.9 (3)</w:t>
        </w:r>
        <w:r>
          <w:tab/>
        </w:r>
        <w:r>
          <w:fldChar w:fldCharType="begin"/>
        </w:r>
        <w:r>
          <w:instrText xml:space="preserve"> PAGEREF _Toc207200695 \h </w:instrText>
        </w:r>
        <w:r>
          <w:fldChar w:fldCharType="separate"/>
        </w:r>
        <w:r w:rsidR="008962FB">
          <w:t>14</w:t>
        </w:r>
        <w:r>
          <w:fldChar w:fldCharType="end"/>
        </w:r>
      </w:hyperlink>
    </w:p>
    <w:p w14:paraId="3ED93D9B" w14:textId="0DDBEDD8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96" w:history="1">
        <w:r w:rsidRPr="00370538">
          <w:rPr>
            <w:rStyle w:val="CharSectNo"/>
          </w:rPr>
          <w:t>21</w:t>
        </w:r>
        <w:r w:rsidRPr="006B29D8">
          <w:tab/>
          <w:t>Payments for leave—community sector industry</w:t>
        </w:r>
        <w:r>
          <w:br/>
        </w:r>
        <w:r w:rsidRPr="006B29D8">
          <w:t>Schedule 3, section 3.10 (3)</w:t>
        </w:r>
        <w:r>
          <w:tab/>
        </w:r>
        <w:r>
          <w:fldChar w:fldCharType="begin"/>
        </w:r>
        <w:r>
          <w:instrText xml:space="preserve"> PAGEREF _Toc207200696 \h </w:instrText>
        </w:r>
        <w:r>
          <w:fldChar w:fldCharType="separate"/>
        </w:r>
        <w:r w:rsidR="008962FB">
          <w:t>14</w:t>
        </w:r>
        <w:r>
          <w:fldChar w:fldCharType="end"/>
        </w:r>
      </w:hyperlink>
    </w:p>
    <w:p w14:paraId="2F1D476A" w14:textId="414E6E76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07200697" w:history="1">
        <w:r w:rsidRPr="00370538">
          <w:rPr>
            <w:rStyle w:val="CharSectNo"/>
          </w:rPr>
          <w:t>22</w:t>
        </w:r>
        <w:r w:rsidRPr="006B29D8">
          <w:tab/>
          <w:t>Payments for leave—security industry</w:t>
        </w:r>
        <w:r>
          <w:br/>
        </w:r>
        <w:r w:rsidRPr="006B29D8">
          <w:t>Schedule 4, section 4.10 (3)</w:t>
        </w:r>
        <w:r>
          <w:tab/>
        </w:r>
        <w:r>
          <w:fldChar w:fldCharType="begin"/>
        </w:r>
        <w:r>
          <w:instrText xml:space="preserve"> PAGEREF _Toc207200697 \h </w:instrText>
        </w:r>
        <w:r>
          <w:fldChar w:fldCharType="separate"/>
        </w:r>
        <w:r w:rsidR="008962FB">
          <w:t>15</w:t>
        </w:r>
        <w:r>
          <w:fldChar w:fldCharType="end"/>
        </w:r>
      </w:hyperlink>
    </w:p>
    <w:p w14:paraId="11497AC3" w14:textId="3C3CC2CF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698" w:history="1">
        <w:r w:rsidRPr="001613D4">
          <w:t>23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Dictionary, new definitions</w:t>
        </w:r>
        <w:r>
          <w:tab/>
        </w:r>
        <w:r>
          <w:fldChar w:fldCharType="begin"/>
        </w:r>
        <w:r>
          <w:instrText xml:space="preserve"> PAGEREF _Toc207200698 \h </w:instrText>
        </w:r>
        <w:r>
          <w:fldChar w:fldCharType="separate"/>
        </w:r>
        <w:r w:rsidR="008962FB">
          <w:t>15</w:t>
        </w:r>
        <w:r>
          <w:fldChar w:fldCharType="end"/>
        </w:r>
      </w:hyperlink>
    </w:p>
    <w:p w14:paraId="4AF748BB" w14:textId="5ED64B08" w:rsidR="00370538" w:rsidRDefault="00370538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200699" w:history="1">
        <w:r w:rsidRPr="001613D4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613D4">
          <w:t>Public Sector Workers Compensation Fund Act 2018</w:t>
        </w:r>
        <w:r w:rsidRPr="00370538">
          <w:rPr>
            <w:vanish/>
          </w:rPr>
          <w:tab/>
        </w:r>
        <w:r w:rsidRPr="00370538">
          <w:rPr>
            <w:vanish/>
          </w:rPr>
          <w:fldChar w:fldCharType="begin"/>
        </w:r>
        <w:r w:rsidRPr="00370538">
          <w:rPr>
            <w:vanish/>
          </w:rPr>
          <w:instrText xml:space="preserve"> PAGEREF _Toc207200699 \h </w:instrText>
        </w:r>
        <w:r w:rsidRPr="00370538">
          <w:rPr>
            <w:vanish/>
          </w:rPr>
        </w:r>
        <w:r w:rsidRPr="00370538">
          <w:rPr>
            <w:vanish/>
          </w:rPr>
          <w:fldChar w:fldCharType="separate"/>
        </w:r>
        <w:r w:rsidR="008962FB">
          <w:rPr>
            <w:vanish/>
          </w:rPr>
          <w:t>16</w:t>
        </w:r>
        <w:r w:rsidRPr="00370538">
          <w:rPr>
            <w:vanish/>
          </w:rPr>
          <w:fldChar w:fldCharType="end"/>
        </w:r>
      </w:hyperlink>
    </w:p>
    <w:p w14:paraId="0BAE0920" w14:textId="2885E637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00" w:history="1">
        <w:r w:rsidRPr="00370538">
          <w:rPr>
            <w:rStyle w:val="CharSectNo"/>
          </w:rPr>
          <w:t>24</w:t>
        </w:r>
        <w:r w:rsidRPr="006B29D8">
          <w:tab/>
          <w:t>Payments from PSWC fund banking accounts</w:t>
        </w:r>
        <w:r>
          <w:br/>
        </w:r>
        <w:r w:rsidRPr="006B29D8">
          <w:t>Section 12 (c)</w:t>
        </w:r>
        <w:r>
          <w:tab/>
        </w:r>
        <w:r>
          <w:fldChar w:fldCharType="begin"/>
        </w:r>
        <w:r>
          <w:instrText xml:space="preserve"> PAGEREF _Toc207200700 \h </w:instrText>
        </w:r>
        <w:r>
          <w:fldChar w:fldCharType="separate"/>
        </w:r>
        <w:r w:rsidR="008962FB">
          <w:t>16</w:t>
        </w:r>
        <w:r>
          <w:fldChar w:fldCharType="end"/>
        </w:r>
      </w:hyperlink>
    </w:p>
    <w:p w14:paraId="2EA0C646" w14:textId="561E7E44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01" w:history="1">
        <w:r w:rsidRPr="00370538">
          <w:rPr>
            <w:rStyle w:val="CharSectNo"/>
          </w:rPr>
          <w:t>25</w:t>
        </w:r>
        <w:r w:rsidRPr="006B29D8">
          <w:tab/>
          <w:t>Functions of PSWC commissioner</w:t>
        </w:r>
        <w:r>
          <w:br/>
        </w:r>
        <w:r w:rsidRPr="006B29D8">
          <w:t>New section 19 (ca)</w:t>
        </w:r>
        <w:r>
          <w:tab/>
        </w:r>
        <w:r>
          <w:fldChar w:fldCharType="begin"/>
        </w:r>
        <w:r>
          <w:instrText xml:space="preserve"> PAGEREF _Toc207200701 \h </w:instrText>
        </w:r>
        <w:r>
          <w:fldChar w:fldCharType="separate"/>
        </w:r>
        <w:r w:rsidR="008962FB">
          <w:t>16</w:t>
        </w:r>
        <w:r>
          <w:fldChar w:fldCharType="end"/>
        </w:r>
      </w:hyperlink>
    </w:p>
    <w:p w14:paraId="68E3475D" w14:textId="02C2015A" w:rsidR="00370538" w:rsidRDefault="00370538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200702" w:history="1">
        <w:r w:rsidRPr="001613D4">
          <w:t>Part 7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613D4">
          <w:t>Workers Compensation Act 1951</w:t>
        </w:r>
        <w:r w:rsidRPr="00370538">
          <w:rPr>
            <w:vanish/>
          </w:rPr>
          <w:tab/>
        </w:r>
        <w:r w:rsidRPr="00370538">
          <w:rPr>
            <w:vanish/>
          </w:rPr>
          <w:fldChar w:fldCharType="begin"/>
        </w:r>
        <w:r w:rsidRPr="00370538">
          <w:rPr>
            <w:vanish/>
          </w:rPr>
          <w:instrText xml:space="preserve"> PAGEREF _Toc207200702 \h </w:instrText>
        </w:r>
        <w:r w:rsidRPr="00370538">
          <w:rPr>
            <w:vanish/>
          </w:rPr>
        </w:r>
        <w:r w:rsidRPr="00370538">
          <w:rPr>
            <w:vanish/>
          </w:rPr>
          <w:fldChar w:fldCharType="separate"/>
        </w:r>
        <w:r w:rsidR="008962FB">
          <w:rPr>
            <w:vanish/>
          </w:rPr>
          <w:t>17</w:t>
        </w:r>
        <w:r w:rsidRPr="00370538">
          <w:rPr>
            <w:vanish/>
          </w:rPr>
          <w:fldChar w:fldCharType="end"/>
        </w:r>
      </w:hyperlink>
    </w:p>
    <w:p w14:paraId="7235B61D" w14:textId="790636D5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03" w:history="1">
        <w:r w:rsidRPr="00370538">
          <w:rPr>
            <w:rStyle w:val="CharSectNo"/>
          </w:rPr>
          <w:t>26</w:t>
        </w:r>
        <w:r w:rsidRPr="006B29D8">
          <w:tab/>
          <w:t>Living outside Australia</w:t>
        </w:r>
        <w:r>
          <w:br/>
        </w:r>
        <w:r w:rsidRPr="006B29D8">
          <w:t>Section 44 (2)</w:t>
        </w:r>
        <w:r>
          <w:tab/>
        </w:r>
        <w:r>
          <w:fldChar w:fldCharType="begin"/>
        </w:r>
        <w:r>
          <w:instrText xml:space="preserve"> PAGEREF _Toc207200703 \h </w:instrText>
        </w:r>
        <w:r>
          <w:fldChar w:fldCharType="separate"/>
        </w:r>
        <w:r w:rsidR="008962FB">
          <w:t>17</w:t>
        </w:r>
        <w:r>
          <w:fldChar w:fldCharType="end"/>
        </w:r>
      </w:hyperlink>
    </w:p>
    <w:p w14:paraId="119875FE" w14:textId="0751F621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04" w:history="1">
        <w:r w:rsidRPr="00370538">
          <w:rPr>
            <w:rStyle w:val="CharSectNo"/>
          </w:rPr>
          <w:t>27</w:t>
        </w:r>
        <w:r w:rsidRPr="006B29D8">
          <w:tab/>
          <w:t>Special provisions for HIV/AIDS</w:t>
        </w:r>
        <w:r>
          <w:br/>
        </w:r>
        <w:r w:rsidRPr="006B29D8">
          <w:t>Section 60</w:t>
        </w:r>
        <w:r>
          <w:tab/>
        </w:r>
        <w:r>
          <w:fldChar w:fldCharType="begin"/>
        </w:r>
        <w:r>
          <w:instrText xml:space="preserve"> PAGEREF _Toc207200704 \h </w:instrText>
        </w:r>
        <w:r>
          <w:fldChar w:fldCharType="separate"/>
        </w:r>
        <w:r w:rsidR="008962FB">
          <w:t>17</w:t>
        </w:r>
        <w:r>
          <w:fldChar w:fldCharType="end"/>
        </w:r>
      </w:hyperlink>
    </w:p>
    <w:p w14:paraId="20F343B4" w14:textId="5ADB3F74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05" w:history="1">
        <w:r w:rsidRPr="001613D4">
          <w:t>28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New part 4.9</w:t>
        </w:r>
        <w:r>
          <w:tab/>
        </w:r>
        <w:r>
          <w:fldChar w:fldCharType="begin"/>
        </w:r>
        <w:r>
          <w:instrText xml:space="preserve"> PAGEREF _Toc207200705 \h </w:instrText>
        </w:r>
        <w:r>
          <w:fldChar w:fldCharType="separate"/>
        </w:r>
        <w:r w:rsidR="008962FB">
          <w:t>17</w:t>
        </w:r>
        <w:r>
          <w:fldChar w:fldCharType="end"/>
        </w:r>
      </w:hyperlink>
    </w:p>
    <w:p w14:paraId="2F790D3C" w14:textId="2835423C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06" w:history="1">
        <w:r w:rsidRPr="00370538">
          <w:rPr>
            <w:rStyle w:val="CharSectNo"/>
          </w:rPr>
          <w:t>29</w:t>
        </w:r>
        <w:r w:rsidRPr="006B29D8">
          <w:tab/>
          <w:t>Inspectors</w:t>
        </w:r>
        <w:r>
          <w:br/>
        </w:r>
        <w:r w:rsidRPr="006B29D8">
          <w:t>New section 188 (3)</w:t>
        </w:r>
        <w:r>
          <w:tab/>
        </w:r>
        <w:r>
          <w:fldChar w:fldCharType="begin"/>
        </w:r>
        <w:r>
          <w:instrText xml:space="preserve"> PAGEREF _Toc207200706 \h </w:instrText>
        </w:r>
        <w:r>
          <w:fldChar w:fldCharType="separate"/>
        </w:r>
        <w:r w:rsidR="008962FB">
          <w:t>19</w:t>
        </w:r>
        <w:r>
          <w:fldChar w:fldCharType="end"/>
        </w:r>
      </w:hyperlink>
    </w:p>
    <w:p w14:paraId="51FD7D27" w14:textId="4EC60BB3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07" w:history="1">
        <w:r w:rsidRPr="00370538">
          <w:rPr>
            <w:rStyle w:val="CharSectNo"/>
          </w:rPr>
          <w:t>30</w:t>
        </w:r>
        <w:r w:rsidRPr="006B29D8">
          <w:tab/>
          <w:t>Medical referees</w:t>
        </w:r>
        <w:r>
          <w:br/>
        </w:r>
        <w:r w:rsidRPr="006B29D8">
          <w:t>Section 201 (1) and (2)</w:t>
        </w:r>
        <w:r>
          <w:tab/>
        </w:r>
        <w:r>
          <w:fldChar w:fldCharType="begin"/>
        </w:r>
        <w:r>
          <w:instrText xml:space="preserve"> PAGEREF _Toc207200707 \h </w:instrText>
        </w:r>
        <w:r>
          <w:fldChar w:fldCharType="separate"/>
        </w:r>
        <w:r w:rsidR="008962FB">
          <w:t>19</w:t>
        </w:r>
        <w:r>
          <w:fldChar w:fldCharType="end"/>
        </w:r>
      </w:hyperlink>
    </w:p>
    <w:p w14:paraId="04B73084" w14:textId="231E99E8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08" w:history="1">
        <w:r w:rsidRPr="001613D4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New chapter 22</w:t>
        </w:r>
        <w:r>
          <w:tab/>
        </w:r>
        <w:r>
          <w:fldChar w:fldCharType="begin"/>
        </w:r>
        <w:r>
          <w:instrText xml:space="preserve"> PAGEREF _Toc207200708 \h </w:instrText>
        </w:r>
        <w:r>
          <w:fldChar w:fldCharType="separate"/>
        </w:r>
        <w:r w:rsidR="008962FB">
          <w:t>19</w:t>
        </w:r>
        <w:r>
          <w:fldChar w:fldCharType="end"/>
        </w:r>
      </w:hyperlink>
    </w:p>
    <w:p w14:paraId="02CCE849" w14:textId="594971EC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09" w:history="1">
        <w:r w:rsidRPr="001613D4">
          <w:t>32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 xml:space="preserve">Dictionary, definition of </w:t>
        </w:r>
        <w:r w:rsidRPr="001613D4">
          <w:rPr>
            <w:i/>
          </w:rPr>
          <w:t>inspector</w:t>
        </w:r>
        <w:r>
          <w:tab/>
        </w:r>
        <w:r>
          <w:fldChar w:fldCharType="begin"/>
        </w:r>
        <w:r>
          <w:instrText xml:space="preserve"> PAGEREF _Toc207200709 \h </w:instrText>
        </w:r>
        <w:r>
          <w:fldChar w:fldCharType="separate"/>
        </w:r>
        <w:r w:rsidR="008962FB">
          <w:t>20</w:t>
        </w:r>
        <w:r>
          <w:fldChar w:fldCharType="end"/>
        </w:r>
      </w:hyperlink>
    </w:p>
    <w:p w14:paraId="09F7F211" w14:textId="46E481B2" w:rsidR="00370538" w:rsidRDefault="00370538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200710" w:history="1">
        <w:r w:rsidRPr="001613D4">
          <w:t>Part 8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613D4">
          <w:t>Work Health and Safety Act 2011</w:t>
        </w:r>
        <w:r w:rsidRPr="00370538">
          <w:rPr>
            <w:vanish/>
          </w:rPr>
          <w:tab/>
        </w:r>
        <w:r w:rsidRPr="00370538">
          <w:rPr>
            <w:vanish/>
          </w:rPr>
          <w:fldChar w:fldCharType="begin"/>
        </w:r>
        <w:r w:rsidRPr="00370538">
          <w:rPr>
            <w:vanish/>
          </w:rPr>
          <w:instrText xml:space="preserve"> PAGEREF _Toc207200710 \h </w:instrText>
        </w:r>
        <w:r w:rsidRPr="00370538">
          <w:rPr>
            <w:vanish/>
          </w:rPr>
        </w:r>
        <w:r w:rsidRPr="00370538">
          <w:rPr>
            <w:vanish/>
          </w:rPr>
          <w:fldChar w:fldCharType="separate"/>
        </w:r>
        <w:r w:rsidR="008962FB">
          <w:rPr>
            <w:vanish/>
          </w:rPr>
          <w:t>21</w:t>
        </w:r>
        <w:r w:rsidRPr="00370538">
          <w:rPr>
            <w:vanish/>
          </w:rPr>
          <w:fldChar w:fldCharType="end"/>
        </w:r>
      </w:hyperlink>
    </w:p>
    <w:p w14:paraId="080E3CD7" w14:textId="6F5FBC0E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11" w:history="1">
        <w:r w:rsidRPr="00370538">
          <w:rPr>
            <w:rStyle w:val="CharSectNo"/>
          </w:rPr>
          <w:t>33</w:t>
        </w:r>
        <w:r w:rsidRPr="006B29D8">
          <w:tab/>
          <w:t xml:space="preserve">What is a </w:t>
        </w:r>
        <w:r w:rsidRPr="006B29D8">
          <w:rPr>
            <w:rStyle w:val="charItals"/>
          </w:rPr>
          <w:t>notifiable incident</w:t>
        </w:r>
        <w:r>
          <w:rPr>
            <w:rStyle w:val="charItals"/>
          </w:rPr>
          <w:br/>
        </w:r>
        <w:r w:rsidRPr="006B29D8">
          <w:t xml:space="preserve">Section 35, definition of </w:t>
        </w:r>
        <w:r w:rsidRPr="006B29D8">
          <w:rPr>
            <w:rStyle w:val="charItals"/>
          </w:rPr>
          <w:t>notifiable incident</w:t>
        </w:r>
        <w:r>
          <w:tab/>
        </w:r>
        <w:r>
          <w:fldChar w:fldCharType="begin"/>
        </w:r>
        <w:r>
          <w:instrText xml:space="preserve"> PAGEREF _Toc207200711 \h </w:instrText>
        </w:r>
        <w:r>
          <w:fldChar w:fldCharType="separate"/>
        </w:r>
        <w:r w:rsidR="008962FB">
          <w:t>21</w:t>
        </w:r>
        <w:r>
          <w:fldChar w:fldCharType="end"/>
        </w:r>
      </w:hyperlink>
    </w:p>
    <w:p w14:paraId="2540B33A" w14:textId="0D750558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12" w:history="1">
        <w:r w:rsidRPr="001613D4">
          <w:t>34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Sections 36 and 37</w:t>
        </w:r>
        <w:r>
          <w:tab/>
        </w:r>
        <w:r>
          <w:fldChar w:fldCharType="begin"/>
        </w:r>
        <w:r>
          <w:instrText xml:space="preserve"> PAGEREF _Toc207200712 \h </w:instrText>
        </w:r>
        <w:r>
          <w:fldChar w:fldCharType="separate"/>
        </w:r>
        <w:r w:rsidR="008962FB">
          <w:t>21</w:t>
        </w:r>
        <w:r>
          <w:fldChar w:fldCharType="end"/>
        </w:r>
      </w:hyperlink>
    </w:p>
    <w:p w14:paraId="3E288C51" w14:textId="7E898B66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13" w:history="1">
        <w:r w:rsidRPr="00370538">
          <w:rPr>
            <w:rStyle w:val="CharSectNo"/>
          </w:rPr>
          <w:t>35</w:t>
        </w:r>
        <w:r w:rsidRPr="006B29D8">
          <w:tab/>
          <w:t>Duty to notify of notifiable incidents</w:t>
        </w:r>
        <w:r>
          <w:br/>
        </w:r>
        <w:r w:rsidRPr="006B29D8">
          <w:t>Section 38 (1)</w:t>
        </w:r>
        <w:r>
          <w:tab/>
        </w:r>
        <w:r>
          <w:fldChar w:fldCharType="begin"/>
        </w:r>
        <w:r>
          <w:instrText xml:space="preserve"> PAGEREF _Toc207200713 \h </w:instrText>
        </w:r>
        <w:r>
          <w:fldChar w:fldCharType="separate"/>
        </w:r>
        <w:r w:rsidR="008962FB">
          <w:t>24</w:t>
        </w:r>
        <w:r>
          <w:fldChar w:fldCharType="end"/>
        </w:r>
      </w:hyperlink>
    </w:p>
    <w:p w14:paraId="349BE6FA" w14:textId="3FEA93A8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14" w:history="1">
        <w:r w:rsidRPr="001613D4">
          <w:t>36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Section 39 heading</w:t>
        </w:r>
        <w:r>
          <w:tab/>
        </w:r>
        <w:r>
          <w:fldChar w:fldCharType="begin"/>
        </w:r>
        <w:r>
          <w:instrText xml:space="preserve"> PAGEREF _Toc207200714 \h </w:instrText>
        </w:r>
        <w:r>
          <w:fldChar w:fldCharType="separate"/>
        </w:r>
        <w:r w:rsidR="008962FB">
          <w:t>25</w:t>
        </w:r>
        <w:r>
          <w:fldChar w:fldCharType="end"/>
        </w:r>
      </w:hyperlink>
    </w:p>
    <w:p w14:paraId="5BF8DFB5" w14:textId="24C27647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15" w:history="1">
        <w:r w:rsidRPr="001613D4">
          <w:t>37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Section 39 (1) and note</w:t>
        </w:r>
        <w:r>
          <w:tab/>
        </w:r>
        <w:r>
          <w:fldChar w:fldCharType="begin"/>
        </w:r>
        <w:r>
          <w:instrText xml:space="preserve"> PAGEREF _Toc207200715 \h </w:instrText>
        </w:r>
        <w:r>
          <w:fldChar w:fldCharType="separate"/>
        </w:r>
        <w:r w:rsidR="008962FB">
          <w:t>25</w:t>
        </w:r>
        <w:r>
          <w:fldChar w:fldCharType="end"/>
        </w:r>
      </w:hyperlink>
    </w:p>
    <w:p w14:paraId="75AB0941" w14:textId="619EA5DB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16" w:history="1">
        <w:r w:rsidRPr="001613D4">
          <w:t>38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Section 39 (2)</w:t>
        </w:r>
        <w:r>
          <w:tab/>
        </w:r>
        <w:r>
          <w:fldChar w:fldCharType="begin"/>
        </w:r>
        <w:r>
          <w:instrText xml:space="preserve"> PAGEREF _Toc207200716 \h </w:instrText>
        </w:r>
        <w:r>
          <w:fldChar w:fldCharType="separate"/>
        </w:r>
        <w:r w:rsidR="008962FB">
          <w:t>25</w:t>
        </w:r>
        <w:r>
          <w:fldChar w:fldCharType="end"/>
        </w:r>
      </w:hyperlink>
    </w:p>
    <w:p w14:paraId="3D8EEF09" w14:textId="26DC9408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17" w:history="1">
        <w:r w:rsidRPr="001613D4">
          <w:t>39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Section 39 (3)</w:t>
        </w:r>
        <w:r>
          <w:tab/>
        </w:r>
        <w:r>
          <w:fldChar w:fldCharType="begin"/>
        </w:r>
        <w:r>
          <w:instrText xml:space="preserve"> PAGEREF _Toc207200717 \h </w:instrText>
        </w:r>
        <w:r>
          <w:fldChar w:fldCharType="separate"/>
        </w:r>
        <w:r w:rsidR="008962FB">
          <w:t>26</w:t>
        </w:r>
        <w:r>
          <w:fldChar w:fldCharType="end"/>
        </w:r>
      </w:hyperlink>
    </w:p>
    <w:p w14:paraId="2F74FFD1" w14:textId="4CCDC914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18" w:history="1">
        <w:r w:rsidRPr="001613D4">
          <w:t>40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Section 39 (4)</w:t>
        </w:r>
        <w:r>
          <w:tab/>
        </w:r>
        <w:r>
          <w:fldChar w:fldCharType="begin"/>
        </w:r>
        <w:r>
          <w:instrText xml:space="preserve"> PAGEREF _Toc207200718 \h </w:instrText>
        </w:r>
        <w:r>
          <w:fldChar w:fldCharType="separate"/>
        </w:r>
        <w:r w:rsidR="008962FB">
          <w:t>26</w:t>
        </w:r>
        <w:r>
          <w:fldChar w:fldCharType="end"/>
        </w:r>
      </w:hyperlink>
    </w:p>
    <w:p w14:paraId="3686BCB5" w14:textId="79FB1AC2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19" w:history="1">
        <w:r w:rsidRPr="001613D4">
          <w:t>41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New section 39A</w:t>
        </w:r>
        <w:r>
          <w:tab/>
        </w:r>
        <w:r>
          <w:fldChar w:fldCharType="begin"/>
        </w:r>
        <w:r>
          <w:instrText xml:space="preserve"> PAGEREF _Toc207200719 \h </w:instrText>
        </w:r>
        <w:r>
          <w:fldChar w:fldCharType="separate"/>
        </w:r>
        <w:r w:rsidR="008962FB">
          <w:t>26</w:t>
        </w:r>
        <w:r>
          <w:fldChar w:fldCharType="end"/>
        </w:r>
      </w:hyperlink>
    </w:p>
    <w:p w14:paraId="6A02460A" w14:textId="429245B4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07200720" w:history="1">
        <w:r w:rsidRPr="00370538">
          <w:rPr>
            <w:rStyle w:val="CharSectNo"/>
          </w:rPr>
          <w:t>42</w:t>
        </w:r>
        <w:r w:rsidRPr="006B29D8">
          <w:tab/>
          <w:t>Limitation period for prosecutions</w:t>
        </w:r>
        <w:r>
          <w:br/>
        </w:r>
        <w:r w:rsidRPr="006B29D8">
          <w:t>Section 232 (2)</w:t>
        </w:r>
        <w:r>
          <w:tab/>
        </w:r>
        <w:r>
          <w:fldChar w:fldCharType="begin"/>
        </w:r>
        <w:r>
          <w:instrText xml:space="preserve"> PAGEREF _Toc207200720 \h </w:instrText>
        </w:r>
        <w:r>
          <w:fldChar w:fldCharType="separate"/>
        </w:r>
        <w:r w:rsidR="008962FB">
          <w:t>27</w:t>
        </w:r>
        <w:r>
          <w:fldChar w:fldCharType="end"/>
        </w:r>
      </w:hyperlink>
    </w:p>
    <w:p w14:paraId="7445E91D" w14:textId="2099C6BC" w:rsidR="00370538" w:rsidRDefault="0037053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200721" w:history="1">
        <w:r w:rsidRPr="001613D4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Dictionary, note 2</w:t>
        </w:r>
        <w:r>
          <w:tab/>
        </w:r>
        <w:r>
          <w:fldChar w:fldCharType="begin"/>
        </w:r>
        <w:r>
          <w:instrText xml:space="preserve"> PAGEREF _Toc207200721 \h </w:instrText>
        </w:r>
        <w:r>
          <w:fldChar w:fldCharType="separate"/>
        </w:r>
        <w:r w:rsidR="008962FB">
          <w:t>27</w:t>
        </w:r>
        <w:r>
          <w:fldChar w:fldCharType="end"/>
        </w:r>
      </w:hyperlink>
    </w:p>
    <w:p w14:paraId="390CE490" w14:textId="665B0755" w:rsidR="00370538" w:rsidRDefault="00370538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200722" w:history="1">
        <w:r w:rsidRPr="001613D4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613D4">
          <w:t>Workers Compensation Act 1951—Other amendments</w:t>
        </w:r>
        <w:r>
          <w:tab/>
        </w:r>
        <w:r w:rsidRPr="00370538">
          <w:rPr>
            <w:b w:val="0"/>
            <w:sz w:val="20"/>
          </w:rPr>
          <w:fldChar w:fldCharType="begin"/>
        </w:r>
        <w:r w:rsidRPr="00370538">
          <w:rPr>
            <w:b w:val="0"/>
            <w:sz w:val="20"/>
          </w:rPr>
          <w:instrText xml:space="preserve"> PAGEREF _Toc207200722 \h </w:instrText>
        </w:r>
        <w:r w:rsidRPr="00370538">
          <w:rPr>
            <w:b w:val="0"/>
            <w:sz w:val="20"/>
          </w:rPr>
        </w:r>
        <w:r w:rsidRPr="00370538">
          <w:rPr>
            <w:b w:val="0"/>
            <w:sz w:val="20"/>
          </w:rPr>
          <w:fldChar w:fldCharType="separate"/>
        </w:r>
        <w:r w:rsidR="008962FB">
          <w:rPr>
            <w:b w:val="0"/>
            <w:sz w:val="20"/>
          </w:rPr>
          <w:t>28</w:t>
        </w:r>
        <w:r w:rsidRPr="00370538">
          <w:rPr>
            <w:b w:val="0"/>
            <w:sz w:val="20"/>
          </w:rPr>
          <w:fldChar w:fldCharType="end"/>
        </w:r>
      </w:hyperlink>
    </w:p>
    <w:p w14:paraId="06957EED" w14:textId="0B21B898" w:rsidR="00370538" w:rsidRDefault="00370538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200732" w:history="1">
        <w:r w:rsidRPr="001613D4">
          <w:t>Schedule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613D4">
          <w:t>Technical amendments</w:t>
        </w:r>
        <w:r>
          <w:tab/>
        </w:r>
        <w:r w:rsidRPr="00370538">
          <w:rPr>
            <w:b w:val="0"/>
            <w:sz w:val="20"/>
          </w:rPr>
          <w:fldChar w:fldCharType="begin"/>
        </w:r>
        <w:r w:rsidRPr="00370538">
          <w:rPr>
            <w:b w:val="0"/>
            <w:sz w:val="20"/>
          </w:rPr>
          <w:instrText xml:space="preserve"> PAGEREF _Toc207200732 \h </w:instrText>
        </w:r>
        <w:r w:rsidRPr="00370538">
          <w:rPr>
            <w:b w:val="0"/>
            <w:sz w:val="20"/>
          </w:rPr>
        </w:r>
        <w:r w:rsidRPr="00370538">
          <w:rPr>
            <w:b w:val="0"/>
            <w:sz w:val="20"/>
          </w:rPr>
          <w:fldChar w:fldCharType="separate"/>
        </w:r>
        <w:r w:rsidR="008962FB">
          <w:rPr>
            <w:b w:val="0"/>
            <w:sz w:val="20"/>
          </w:rPr>
          <w:t>34</w:t>
        </w:r>
        <w:r w:rsidRPr="00370538">
          <w:rPr>
            <w:b w:val="0"/>
            <w:sz w:val="20"/>
          </w:rPr>
          <w:fldChar w:fldCharType="end"/>
        </w:r>
      </w:hyperlink>
    </w:p>
    <w:p w14:paraId="303301FF" w14:textId="28C84230" w:rsidR="00370538" w:rsidRDefault="0037053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7200733" w:history="1">
        <w:r w:rsidRPr="001613D4">
          <w:t>Part 2.1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Dangerous Substances Act 2004</w:t>
        </w:r>
        <w:r>
          <w:tab/>
        </w:r>
        <w:r w:rsidRPr="00370538">
          <w:rPr>
            <w:b w:val="0"/>
          </w:rPr>
          <w:fldChar w:fldCharType="begin"/>
        </w:r>
        <w:r w:rsidRPr="00370538">
          <w:rPr>
            <w:b w:val="0"/>
          </w:rPr>
          <w:instrText xml:space="preserve"> PAGEREF _Toc207200733 \h </w:instrText>
        </w:r>
        <w:r w:rsidRPr="00370538">
          <w:rPr>
            <w:b w:val="0"/>
          </w:rPr>
        </w:r>
        <w:r w:rsidRPr="00370538">
          <w:rPr>
            <w:b w:val="0"/>
          </w:rPr>
          <w:fldChar w:fldCharType="separate"/>
        </w:r>
        <w:r w:rsidR="008962FB">
          <w:rPr>
            <w:b w:val="0"/>
          </w:rPr>
          <w:t>34</w:t>
        </w:r>
        <w:r w:rsidRPr="00370538">
          <w:rPr>
            <w:b w:val="0"/>
          </w:rPr>
          <w:fldChar w:fldCharType="end"/>
        </w:r>
      </w:hyperlink>
    </w:p>
    <w:p w14:paraId="4CFA93D7" w14:textId="02EF54E6" w:rsidR="00370538" w:rsidRDefault="0037053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7200735" w:history="1">
        <w:r w:rsidRPr="001613D4">
          <w:t>Part 2.2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Long Service Leave Act 1976</w:t>
        </w:r>
        <w:r>
          <w:tab/>
        </w:r>
        <w:r w:rsidRPr="00370538">
          <w:rPr>
            <w:b w:val="0"/>
          </w:rPr>
          <w:fldChar w:fldCharType="begin"/>
        </w:r>
        <w:r w:rsidRPr="00370538">
          <w:rPr>
            <w:b w:val="0"/>
          </w:rPr>
          <w:instrText xml:space="preserve"> PAGEREF _Toc207200735 \h </w:instrText>
        </w:r>
        <w:r w:rsidRPr="00370538">
          <w:rPr>
            <w:b w:val="0"/>
          </w:rPr>
        </w:r>
        <w:r w:rsidRPr="00370538">
          <w:rPr>
            <w:b w:val="0"/>
          </w:rPr>
          <w:fldChar w:fldCharType="separate"/>
        </w:r>
        <w:r w:rsidR="008962FB">
          <w:rPr>
            <w:b w:val="0"/>
          </w:rPr>
          <w:t>34</w:t>
        </w:r>
        <w:r w:rsidRPr="00370538">
          <w:rPr>
            <w:b w:val="0"/>
          </w:rPr>
          <w:fldChar w:fldCharType="end"/>
        </w:r>
      </w:hyperlink>
    </w:p>
    <w:p w14:paraId="48ED1B7B" w14:textId="23ED5533" w:rsidR="00370538" w:rsidRDefault="0037053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7200737" w:history="1">
        <w:r w:rsidRPr="001613D4">
          <w:t>Part 2.3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Long Service Leave (Portable Schemes) Act 2009</w:t>
        </w:r>
        <w:r>
          <w:tab/>
        </w:r>
        <w:r w:rsidRPr="00370538">
          <w:rPr>
            <w:b w:val="0"/>
          </w:rPr>
          <w:fldChar w:fldCharType="begin"/>
        </w:r>
        <w:r w:rsidRPr="00370538">
          <w:rPr>
            <w:b w:val="0"/>
          </w:rPr>
          <w:instrText xml:space="preserve"> PAGEREF _Toc207200737 \h </w:instrText>
        </w:r>
        <w:r w:rsidRPr="00370538">
          <w:rPr>
            <w:b w:val="0"/>
          </w:rPr>
        </w:r>
        <w:r w:rsidRPr="00370538">
          <w:rPr>
            <w:b w:val="0"/>
          </w:rPr>
          <w:fldChar w:fldCharType="separate"/>
        </w:r>
        <w:r w:rsidR="008962FB">
          <w:rPr>
            <w:b w:val="0"/>
          </w:rPr>
          <w:t>34</w:t>
        </w:r>
        <w:r w:rsidRPr="00370538">
          <w:rPr>
            <w:b w:val="0"/>
          </w:rPr>
          <w:fldChar w:fldCharType="end"/>
        </w:r>
      </w:hyperlink>
    </w:p>
    <w:p w14:paraId="355D587E" w14:textId="4FADA09F" w:rsidR="00370538" w:rsidRDefault="0037053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7200743" w:history="1">
        <w:r w:rsidRPr="001613D4">
          <w:t>Part 2.4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Workers Compensation Act 1951</w:t>
        </w:r>
        <w:r>
          <w:tab/>
        </w:r>
        <w:r w:rsidRPr="00370538">
          <w:rPr>
            <w:b w:val="0"/>
          </w:rPr>
          <w:fldChar w:fldCharType="begin"/>
        </w:r>
        <w:r w:rsidRPr="00370538">
          <w:rPr>
            <w:b w:val="0"/>
          </w:rPr>
          <w:instrText xml:space="preserve"> PAGEREF _Toc207200743 \h </w:instrText>
        </w:r>
        <w:r w:rsidRPr="00370538">
          <w:rPr>
            <w:b w:val="0"/>
          </w:rPr>
        </w:r>
        <w:r w:rsidRPr="00370538">
          <w:rPr>
            <w:b w:val="0"/>
          </w:rPr>
          <w:fldChar w:fldCharType="separate"/>
        </w:r>
        <w:r w:rsidR="008962FB">
          <w:rPr>
            <w:b w:val="0"/>
          </w:rPr>
          <w:t>36</w:t>
        </w:r>
        <w:r w:rsidRPr="00370538">
          <w:rPr>
            <w:b w:val="0"/>
          </w:rPr>
          <w:fldChar w:fldCharType="end"/>
        </w:r>
      </w:hyperlink>
    </w:p>
    <w:p w14:paraId="25DD48F5" w14:textId="05BA3417" w:rsidR="00370538" w:rsidRDefault="0037053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7200746" w:history="1">
        <w:r w:rsidRPr="001613D4">
          <w:t>Part 2.5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1613D4">
          <w:t>Work Health and Safety Act 2011</w:t>
        </w:r>
        <w:r>
          <w:tab/>
        </w:r>
        <w:r w:rsidRPr="00370538">
          <w:rPr>
            <w:b w:val="0"/>
          </w:rPr>
          <w:fldChar w:fldCharType="begin"/>
        </w:r>
        <w:r w:rsidRPr="00370538">
          <w:rPr>
            <w:b w:val="0"/>
          </w:rPr>
          <w:instrText xml:space="preserve"> PAGEREF _Toc207200746 \h </w:instrText>
        </w:r>
        <w:r w:rsidRPr="00370538">
          <w:rPr>
            <w:b w:val="0"/>
          </w:rPr>
        </w:r>
        <w:r w:rsidRPr="00370538">
          <w:rPr>
            <w:b w:val="0"/>
          </w:rPr>
          <w:fldChar w:fldCharType="separate"/>
        </w:r>
        <w:r w:rsidR="008962FB">
          <w:rPr>
            <w:b w:val="0"/>
          </w:rPr>
          <w:t>37</w:t>
        </w:r>
        <w:r w:rsidRPr="00370538">
          <w:rPr>
            <w:b w:val="0"/>
          </w:rPr>
          <w:fldChar w:fldCharType="end"/>
        </w:r>
      </w:hyperlink>
    </w:p>
    <w:p w14:paraId="0C799392" w14:textId="7D440977" w:rsidR="00183463" w:rsidRPr="006B29D8" w:rsidRDefault="00370538">
      <w:pPr>
        <w:pStyle w:val="BillBasic"/>
      </w:pPr>
      <w:r>
        <w:fldChar w:fldCharType="end"/>
      </w:r>
    </w:p>
    <w:p w14:paraId="569B4959" w14:textId="77777777" w:rsidR="00370538" w:rsidRDefault="00370538">
      <w:pPr>
        <w:pStyle w:val="01Contents"/>
        <w:sectPr w:rsidR="00370538" w:rsidSect="003705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301A121D" w14:textId="62C329F6" w:rsidR="00807417" w:rsidRDefault="00807417" w:rsidP="00370538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7335B361" w14:textId="77777777" w:rsidR="00807417" w:rsidRDefault="00807417" w:rsidP="00370538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E2F9010" w14:textId="77777777" w:rsidR="00807417" w:rsidRDefault="00807417" w:rsidP="00370538">
      <w:pPr>
        <w:pStyle w:val="N-line1"/>
        <w:suppressLineNumbers/>
        <w:jc w:val="both"/>
      </w:pPr>
    </w:p>
    <w:p w14:paraId="31B6B185" w14:textId="77777777" w:rsidR="00807417" w:rsidRDefault="00807417" w:rsidP="00370538">
      <w:pPr>
        <w:suppressLineNumbers/>
        <w:spacing w:before="120"/>
        <w:jc w:val="center"/>
      </w:pPr>
      <w:r>
        <w:t>(As presented)</w:t>
      </w:r>
    </w:p>
    <w:p w14:paraId="48C510F6" w14:textId="742DA2CC" w:rsidR="00807417" w:rsidRDefault="00807417" w:rsidP="00370538">
      <w:pPr>
        <w:suppressLineNumbers/>
        <w:spacing w:before="240"/>
        <w:jc w:val="center"/>
      </w:pPr>
      <w:r>
        <w:t>(Minister for Skills, Training and Industrial Relations)</w:t>
      </w:r>
    </w:p>
    <w:p w14:paraId="70531B11" w14:textId="3BA6F3A0" w:rsidR="00183463" w:rsidRPr="006B29D8" w:rsidRDefault="00E4201B" w:rsidP="00370538">
      <w:pPr>
        <w:pStyle w:val="Billname"/>
        <w:suppressLineNumbers/>
      </w:pPr>
      <w:bookmarkStart w:id="1" w:name="Citation"/>
      <w:r w:rsidRPr="006B29D8">
        <w:t>Workplace Legislation Amendment Bill</w:t>
      </w:r>
      <w:r w:rsidR="001927D2">
        <w:t> </w:t>
      </w:r>
      <w:r w:rsidRPr="006B29D8">
        <w:t>2025 (No 2)</w:t>
      </w:r>
      <w:bookmarkEnd w:id="1"/>
    </w:p>
    <w:p w14:paraId="3F4260C6" w14:textId="18168DF4" w:rsidR="00183463" w:rsidRPr="006B29D8" w:rsidRDefault="00183463" w:rsidP="00370538">
      <w:pPr>
        <w:pStyle w:val="ActNo"/>
        <w:suppressLineNumbers/>
      </w:pPr>
      <w:r w:rsidRPr="006B29D8">
        <w:fldChar w:fldCharType="begin"/>
      </w:r>
      <w:r w:rsidRPr="006B29D8">
        <w:instrText xml:space="preserve"> DOCPROPERTY "Category"  \* MERGEFORMAT </w:instrText>
      </w:r>
      <w:r w:rsidRPr="006B29D8">
        <w:fldChar w:fldCharType="end"/>
      </w:r>
    </w:p>
    <w:p w14:paraId="708760AC" w14:textId="77777777" w:rsidR="00183463" w:rsidRPr="006B29D8" w:rsidRDefault="00183463" w:rsidP="00370538">
      <w:pPr>
        <w:pStyle w:val="N-line3"/>
        <w:suppressLineNumbers/>
      </w:pPr>
    </w:p>
    <w:p w14:paraId="14949109" w14:textId="77777777" w:rsidR="00183463" w:rsidRPr="006B29D8" w:rsidRDefault="00183463" w:rsidP="00370538">
      <w:pPr>
        <w:pStyle w:val="BillFor"/>
        <w:suppressLineNumbers/>
      </w:pPr>
      <w:r w:rsidRPr="006B29D8">
        <w:t>A Bill for</w:t>
      </w:r>
    </w:p>
    <w:p w14:paraId="0D739268" w14:textId="2C0848C2" w:rsidR="00183463" w:rsidRPr="006B29D8" w:rsidRDefault="00183463" w:rsidP="00370538">
      <w:pPr>
        <w:pStyle w:val="LongTitle"/>
        <w:suppressLineNumbers/>
      </w:pPr>
      <w:r w:rsidRPr="006B29D8">
        <w:t xml:space="preserve">An Act to amend </w:t>
      </w:r>
      <w:r w:rsidR="007D0D5D" w:rsidRPr="006B29D8">
        <w:t>workplace legislation, and for other purposes</w:t>
      </w:r>
    </w:p>
    <w:p w14:paraId="1C73A4A9" w14:textId="77777777" w:rsidR="00257BC2" w:rsidRPr="006B29D8" w:rsidRDefault="00257BC2" w:rsidP="00370538">
      <w:pPr>
        <w:pStyle w:val="N-line3"/>
        <w:suppressLineNumbers/>
      </w:pPr>
    </w:p>
    <w:p w14:paraId="25C44639" w14:textId="77777777" w:rsidR="00183463" w:rsidRPr="006B29D8" w:rsidRDefault="00183463" w:rsidP="00370538">
      <w:pPr>
        <w:pStyle w:val="Placeholder"/>
        <w:suppressLineNumbers/>
      </w:pPr>
      <w:r w:rsidRPr="006B29D8">
        <w:rPr>
          <w:rStyle w:val="charContents"/>
          <w:sz w:val="16"/>
        </w:rPr>
        <w:t xml:space="preserve">  </w:t>
      </w:r>
      <w:r w:rsidRPr="006B29D8">
        <w:rPr>
          <w:rStyle w:val="charPage"/>
        </w:rPr>
        <w:t xml:space="preserve">  </w:t>
      </w:r>
    </w:p>
    <w:p w14:paraId="75C6B326" w14:textId="77777777" w:rsidR="00183463" w:rsidRPr="006B29D8" w:rsidRDefault="00183463" w:rsidP="00370538">
      <w:pPr>
        <w:pStyle w:val="Placeholder"/>
        <w:suppressLineNumbers/>
      </w:pPr>
      <w:r w:rsidRPr="006B29D8">
        <w:rPr>
          <w:rStyle w:val="CharChapNo"/>
        </w:rPr>
        <w:t xml:space="preserve">  </w:t>
      </w:r>
      <w:r w:rsidRPr="006B29D8">
        <w:rPr>
          <w:rStyle w:val="CharChapText"/>
        </w:rPr>
        <w:t xml:space="preserve">  </w:t>
      </w:r>
    </w:p>
    <w:p w14:paraId="62D3ACB8" w14:textId="77777777" w:rsidR="00183463" w:rsidRPr="006B29D8" w:rsidRDefault="00183463" w:rsidP="00370538">
      <w:pPr>
        <w:pStyle w:val="Placeholder"/>
        <w:suppressLineNumbers/>
      </w:pPr>
      <w:r w:rsidRPr="006B29D8">
        <w:rPr>
          <w:rStyle w:val="CharPartNo"/>
        </w:rPr>
        <w:t xml:space="preserve">  </w:t>
      </w:r>
      <w:r w:rsidRPr="006B29D8">
        <w:rPr>
          <w:rStyle w:val="CharPartText"/>
        </w:rPr>
        <w:t xml:space="preserve">  </w:t>
      </w:r>
    </w:p>
    <w:p w14:paraId="6D95E8AE" w14:textId="77777777" w:rsidR="00183463" w:rsidRPr="006B29D8" w:rsidRDefault="00183463" w:rsidP="00370538">
      <w:pPr>
        <w:pStyle w:val="Placeholder"/>
        <w:suppressLineNumbers/>
      </w:pPr>
      <w:r w:rsidRPr="006B29D8">
        <w:rPr>
          <w:rStyle w:val="CharDivNo"/>
        </w:rPr>
        <w:t xml:space="preserve">  </w:t>
      </w:r>
      <w:r w:rsidRPr="006B29D8">
        <w:rPr>
          <w:rStyle w:val="CharDivText"/>
        </w:rPr>
        <w:t xml:space="preserve">  </w:t>
      </w:r>
    </w:p>
    <w:p w14:paraId="2B0C533F" w14:textId="77777777" w:rsidR="00183463" w:rsidRPr="006B29D8" w:rsidRDefault="00183463" w:rsidP="00370538">
      <w:pPr>
        <w:pStyle w:val="Notified"/>
        <w:suppressLineNumbers/>
      </w:pPr>
    </w:p>
    <w:p w14:paraId="12E2716E" w14:textId="77777777" w:rsidR="00183463" w:rsidRPr="006B29D8" w:rsidRDefault="00183463" w:rsidP="00370538">
      <w:pPr>
        <w:pStyle w:val="EnactingWords"/>
        <w:suppressLineNumbers/>
      </w:pPr>
      <w:r w:rsidRPr="006B29D8">
        <w:t>The Legislative Assembly for the Australian Capital Territory enacts as follows:</w:t>
      </w:r>
    </w:p>
    <w:p w14:paraId="14263EC3" w14:textId="77777777" w:rsidR="00183463" w:rsidRPr="006B29D8" w:rsidRDefault="00183463" w:rsidP="00370538">
      <w:pPr>
        <w:pStyle w:val="PageBreak"/>
        <w:suppressLineNumbers/>
      </w:pPr>
      <w:r w:rsidRPr="006B29D8">
        <w:br w:type="page"/>
      </w:r>
    </w:p>
    <w:p w14:paraId="4FBB5C4A" w14:textId="2F010EA3" w:rsidR="006D4D74" w:rsidRPr="00370538" w:rsidRDefault="00370538" w:rsidP="00370538">
      <w:pPr>
        <w:pStyle w:val="AH2Part"/>
      </w:pPr>
      <w:bookmarkStart w:id="2" w:name="_Toc207200671"/>
      <w:r w:rsidRPr="00370538">
        <w:rPr>
          <w:rStyle w:val="CharPartNo"/>
        </w:rPr>
        <w:lastRenderedPageBreak/>
        <w:t>Part 1</w:t>
      </w:r>
      <w:r w:rsidRPr="006B29D8">
        <w:tab/>
      </w:r>
      <w:r w:rsidR="006D4D74" w:rsidRPr="00370538">
        <w:rPr>
          <w:rStyle w:val="CharPartText"/>
        </w:rPr>
        <w:t>Preliminary</w:t>
      </w:r>
      <w:bookmarkEnd w:id="2"/>
    </w:p>
    <w:p w14:paraId="61D06783" w14:textId="4E5BB379" w:rsidR="006D4D74" w:rsidRPr="006B29D8" w:rsidRDefault="00370538" w:rsidP="00370538">
      <w:pPr>
        <w:pStyle w:val="AH5Sec"/>
        <w:shd w:val="pct25" w:color="auto" w:fill="auto"/>
      </w:pPr>
      <w:bookmarkStart w:id="3" w:name="_Toc207200672"/>
      <w:r w:rsidRPr="00370538">
        <w:rPr>
          <w:rStyle w:val="CharSectNo"/>
        </w:rPr>
        <w:t>1</w:t>
      </w:r>
      <w:r w:rsidRPr="006B29D8">
        <w:tab/>
      </w:r>
      <w:r w:rsidR="006D4D74" w:rsidRPr="006B29D8">
        <w:t>Name of Act</w:t>
      </w:r>
      <w:bookmarkEnd w:id="3"/>
    </w:p>
    <w:p w14:paraId="131FE442" w14:textId="0E1F021C" w:rsidR="006D4D74" w:rsidRPr="006B29D8" w:rsidRDefault="006D4D74" w:rsidP="006D4D74">
      <w:pPr>
        <w:pStyle w:val="Amainreturn"/>
      </w:pPr>
      <w:r w:rsidRPr="006B29D8">
        <w:t xml:space="preserve">This Act is the </w:t>
      </w:r>
      <w:r w:rsidRPr="006B29D8">
        <w:rPr>
          <w:i/>
        </w:rPr>
        <w:fldChar w:fldCharType="begin"/>
      </w:r>
      <w:r w:rsidRPr="006B29D8">
        <w:rPr>
          <w:i/>
        </w:rPr>
        <w:instrText xml:space="preserve"> TITLE</w:instrText>
      </w:r>
      <w:r w:rsidRPr="006B29D8">
        <w:rPr>
          <w:i/>
        </w:rPr>
        <w:fldChar w:fldCharType="separate"/>
      </w:r>
      <w:r w:rsidR="008962FB">
        <w:rPr>
          <w:i/>
        </w:rPr>
        <w:t>Workplace Legislation Amendment Act 2025 (No 2)</w:t>
      </w:r>
      <w:r w:rsidRPr="006B29D8">
        <w:rPr>
          <w:i/>
        </w:rPr>
        <w:fldChar w:fldCharType="end"/>
      </w:r>
      <w:r w:rsidRPr="006B29D8">
        <w:t>.</w:t>
      </w:r>
    </w:p>
    <w:p w14:paraId="49847F62" w14:textId="26776B4A" w:rsidR="006D4D74" w:rsidRPr="006B29D8" w:rsidRDefault="00370538" w:rsidP="00370538">
      <w:pPr>
        <w:pStyle w:val="AH5Sec"/>
        <w:shd w:val="pct25" w:color="auto" w:fill="auto"/>
      </w:pPr>
      <w:bookmarkStart w:id="4" w:name="_Toc207200673"/>
      <w:r w:rsidRPr="00370538">
        <w:rPr>
          <w:rStyle w:val="CharSectNo"/>
        </w:rPr>
        <w:t>2</w:t>
      </w:r>
      <w:r w:rsidRPr="006B29D8">
        <w:tab/>
      </w:r>
      <w:r w:rsidR="006D4D74" w:rsidRPr="006B29D8">
        <w:t>Commencement</w:t>
      </w:r>
      <w:bookmarkEnd w:id="4"/>
    </w:p>
    <w:p w14:paraId="7B17B069" w14:textId="0E2147F2" w:rsidR="006D4D74" w:rsidRPr="006B29D8" w:rsidRDefault="00370538" w:rsidP="00370538">
      <w:pPr>
        <w:pStyle w:val="Amain"/>
      </w:pPr>
      <w:r>
        <w:tab/>
      </w:r>
      <w:r w:rsidRPr="006B29D8">
        <w:t>(1)</w:t>
      </w:r>
      <w:r w:rsidRPr="006B29D8">
        <w:tab/>
      </w:r>
      <w:r w:rsidR="00607385" w:rsidRPr="006B29D8">
        <w:t>The following provisions</w:t>
      </w:r>
      <w:r w:rsidR="007A279C" w:rsidRPr="006B29D8">
        <w:t xml:space="preserve"> </w:t>
      </w:r>
      <w:r w:rsidR="006D4D74" w:rsidRPr="006B29D8">
        <w:t xml:space="preserve">commence on the day after </w:t>
      </w:r>
      <w:r w:rsidR="00607385" w:rsidRPr="006B29D8">
        <w:t>this Act’s</w:t>
      </w:r>
      <w:r w:rsidR="006D4D74" w:rsidRPr="006B29D8">
        <w:t xml:space="preserve"> notification day</w:t>
      </w:r>
      <w:r w:rsidR="00607385" w:rsidRPr="006B29D8">
        <w:t>:</w:t>
      </w:r>
    </w:p>
    <w:p w14:paraId="700481D2" w14:textId="754A3AA2" w:rsidR="00607385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r w:rsidR="00607385" w:rsidRPr="006B29D8">
        <w:t>section 3</w:t>
      </w:r>
    </w:p>
    <w:p w14:paraId="0F80C8C4" w14:textId="62691B53" w:rsidR="002E6103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r w:rsidR="002E6103" w:rsidRPr="006B29D8">
        <w:t>part 7 (Workers Compensation Act 1951)</w:t>
      </w:r>
    </w:p>
    <w:p w14:paraId="5AA2CFBB" w14:textId="5739E092" w:rsidR="002E6103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r w:rsidR="002E6103" w:rsidRPr="006B29D8">
        <w:t>schedule 1</w:t>
      </w:r>
      <w:r w:rsidR="00C60CF5" w:rsidRPr="006B29D8">
        <w:t xml:space="preserve"> (</w:t>
      </w:r>
      <w:r w:rsidR="00C60CF5" w:rsidRPr="006B29D8">
        <w:rPr>
          <w:spacing w:val="-5"/>
        </w:rPr>
        <w:t>Workers Compensation Act 1951—Other amendments</w:t>
      </w:r>
      <w:r w:rsidR="00C60CF5" w:rsidRPr="006B29D8">
        <w:t>)</w:t>
      </w:r>
    </w:p>
    <w:p w14:paraId="3308328B" w14:textId="4D191B51" w:rsidR="002E6103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r w:rsidR="002E6103" w:rsidRPr="006B29D8">
        <w:t>schedule 2, part 2.4</w:t>
      </w:r>
      <w:r w:rsidR="00C60CF5" w:rsidRPr="006B29D8">
        <w:t xml:space="preserve"> (Workers Compensation Act 1951)</w:t>
      </w:r>
      <w:r w:rsidR="002E6103" w:rsidRPr="006B29D8">
        <w:t>.</w:t>
      </w:r>
    </w:p>
    <w:p w14:paraId="5C87D0C4" w14:textId="4EFD681B" w:rsidR="002E6103" w:rsidRPr="006B29D8" w:rsidRDefault="002E6103" w:rsidP="002E6103">
      <w:pPr>
        <w:pStyle w:val="aNote"/>
      </w:pPr>
      <w:r w:rsidRPr="006B29D8">
        <w:rPr>
          <w:rStyle w:val="charItals"/>
        </w:rPr>
        <w:t>Note</w:t>
      </w:r>
      <w:r w:rsidRPr="006B29D8">
        <w:rPr>
          <w:rStyle w:val="charItals"/>
        </w:rPr>
        <w:tab/>
      </w:r>
      <w:r w:rsidRPr="006B29D8">
        <w:t xml:space="preserve">The naming and commencement provisions automatically commence on the notification day (see </w:t>
      </w:r>
      <w:hyperlink r:id="rId14" w:tooltip="A2001-14" w:history="1">
        <w:r w:rsidR="008E080E" w:rsidRPr="006B29D8">
          <w:rPr>
            <w:rStyle w:val="charCitHyperlinkAbbrev"/>
          </w:rPr>
          <w:t>Legislation Act</w:t>
        </w:r>
      </w:hyperlink>
      <w:r w:rsidRPr="006B29D8">
        <w:t>, s 75 (1)).</w:t>
      </w:r>
    </w:p>
    <w:p w14:paraId="6160D9F9" w14:textId="24B50E9A" w:rsidR="002E6103" w:rsidRPr="006B29D8" w:rsidRDefault="00370538" w:rsidP="00370538">
      <w:pPr>
        <w:pStyle w:val="Amain"/>
      </w:pPr>
      <w:r>
        <w:tab/>
      </w:r>
      <w:r w:rsidRPr="006B29D8">
        <w:t>(2)</w:t>
      </w:r>
      <w:r w:rsidRPr="006B29D8">
        <w:tab/>
      </w:r>
      <w:r w:rsidR="002E6103" w:rsidRPr="006B29D8">
        <w:t>Part 6 (</w:t>
      </w:r>
      <w:hyperlink r:id="rId15" w:tooltip="A2018-47" w:history="1">
        <w:r w:rsidR="008E080E" w:rsidRPr="006B29D8">
          <w:rPr>
            <w:rStyle w:val="charCitHyperlinkAbbrev"/>
          </w:rPr>
          <w:t>Public Sector Workers Compensation Fund Act 2018</w:t>
        </w:r>
      </w:hyperlink>
      <w:r w:rsidR="002E6103" w:rsidRPr="006B29D8">
        <w:t>) commences on 1 March 2026.</w:t>
      </w:r>
    </w:p>
    <w:p w14:paraId="734DE611" w14:textId="62F8C98D" w:rsidR="007A279C" w:rsidRPr="006B29D8" w:rsidRDefault="00370538" w:rsidP="00370538">
      <w:pPr>
        <w:pStyle w:val="Amain"/>
      </w:pPr>
      <w:r>
        <w:tab/>
      </w:r>
      <w:r w:rsidRPr="006B29D8">
        <w:t>(3)</w:t>
      </w:r>
      <w:r w:rsidRPr="006B29D8">
        <w:tab/>
      </w:r>
      <w:r w:rsidR="00607385" w:rsidRPr="006B29D8">
        <w:t>The remaining provisions commence on the 7th day after this Act’s notification day</w:t>
      </w:r>
      <w:r w:rsidR="007A279C" w:rsidRPr="006B29D8">
        <w:t>.</w:t>
      </w:r>
    </w:p>
    <w:p w14:paraId="513C8E66" w14:textId="2D963779" w:rsidR="006D4D74" w:rsidRPr="006B29D8" w:rsidRDefault="00370538" w:rsidP="00370538">
      <w:pPr>
        <w:pStyle w:val="AH5Sec"/>
        <w:shd w:val="pct25" w:color="auto" w:fill="auto"/>
      </w:pPr>
      <w:bookmarkStart w:id="5" w:name="_Toc207200674"/>
      <w:r w:rsidRPr="00370538">
        <w:rPr>
          <w:rStyle w:val="CharSectNo"/>
        </w:rPr>
        <w:t>3</w:t>
      </w:r>
      <w:r w:rsidRPr="006B29D8">
        <w:tab/>
      </w:r>
      <w:r w:rsidR="006D4D74" w:rsidRPr="006B29D8">
        <w:t>Legislation amended</w:t>
      </w:r>
      <w:bookmarkEnd w:id="5"/>
    </w:p>
    <w:p w14:paraId="1B2FBFDD" w14:textId="77777777" w:rsidR="006D4D74" w:rsidRPr="006B29D8" w:rsidRDefault="006D4D74" w:rsidP="006D4D74">
      <w:pPr>
        <w:pStyle w:val="Amainreturn"/>
      </w:pPr>
      <w:r w:rsidRPr="006B29D8">
        <w:t>This Act amends the following legislation:</w:t>
      </w:r>
    </w:p>
    <w:p w14:paraId="11E04ED7" w14:textId="361E8A2A" w:rsidR="006D4D74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hyperlink r:id="rId16" w:tooltip="A2004-7" w:history="1">
        <w:r w:rsidR="008E080E" w:rsidRPr="006B29D8">
          <w:rPr>
            <w:rStyle w:val="charCitHyperlinkItal"/>
          </w:rPr>
          <w:t>Dangerous Substances Act 2004</w:t>
        </w:r>
      </w:hyperlink>
    </w:p>
    <w:p w14:paraId="653D4181" w14:textId="498A4E4E" w:rsidR="006D4D74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hyperlink r:id="rId17" w:tooltip="A1991-34" w:history="1">
        <w:r w:rsidR="008E080E" w:rsidRPr="006B29D8">
          <w:rPr>
            <w:rStyle w:val="charCitHyperlinkItal"/>
          </w:rPr>
          <w:t>Evidence (Miscellaneous Provisions) Act 1991</w:t>
        </w:r>
      </w:hyperlink>
    </w:p>
    <w:p w14:paraId="7A06E2ED" w14:textId="2198BC2E" w:rsidR="006D4D74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hyperlink r:id="rId18" w:tooltip="A1976-27" w:history="1">
        <w:r w:rsidR="008E080E" w:rsidRPr="006B29D8">
          <w:rPr>
            <w:rStyle w:val="charCitHyperlinkItal"/>
          </w:rPr>
          <w:t>Long Service Leave Act 1976</w:t>
        </w:r>
      </w:hyperlink>
    </w:p>
    <w:p w14:paraId="753CA1F8" w14:textId="41F8516B" w:rsidR="006D4D74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hyperlink r:id="rId19" w:tooltip="A2009-25" w:history="1">
        <w:r w:rsidR="008E080E" w:rsidRPr="006B29D8">
          <w:rPr>
            <w:rStyle w:val="charCitHyperlinkItal"/>
          </w:rPr>
          <w:t>Long Service Leave (Portable Schemes) Act 2009</w:t>
        </w:r>
      </w:hyperlink>
    </w:p>
    <w:p w14:paraId="321E9B4F" w14:textId="4E7DB933" w:rsidR="006D4D74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hyperlink r:id="rId20" w:tooltip="A2018-47" w:history="1">
        <w:r w:rsidR="008E080E" w:rsidRPr="006B29D8">
          <w:rPr>
            <w:rStyle w:val="charCitHyperlinkItal"/>
          </w:rPr>
          <w:t>Public Sector Workers Compensation Fund Act 2018</w:t>
        </w:r>
      </w:hyperlink>
    </w:p>
    <w:p w14:paraId="5B38F50C" w14:textId="77BF5578" w:rsidR="006D4D74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hyperlink r:id="rId21" w:tooltip="A1951-2" w:history="1">
        <w:r w:rsidR="008E080E" w:rsidRPr="006B29D8">
          <w:rPr>
            <w:rStyle w:val="charCitHyperlinkItal"/>
          </w:rPr>
          <w:t>Workers Compensation Act 1951</w:t>
        </w:r>
      </w:hyperlink>
    </w:p>
    <w:p w14:paraId="15B22989" w14:textId="40479441" w:rsidR="006D4D74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hyperlink r:id="rId22" w:tooltip="A2011-35" w:history="1">
        <w:r w:rsidR="008E080E" w:rsidRPr="006B29D8">
          <w:rPr>
            <w:rStyle w:val="charCitHyperlinkItal"/>
          </w:rPr>
          <w:t>Work Health and Safety Act 2011</w:t>
        </w:r>
      </w:hyperlink>
      <w:r w:rsidR="006D4D74" w:rsidRPr="006B29D8">
        <w:t>.</w:t>
      </w:r>
    </w:p>
    <w:p w14:paraId="6EF02CE8" w14:textId="77777777" w:rsidR="006D4D74" w:rsidRPr="006B29D8" w:rsidRDefault="006D4D74" w:rsidP="00370538">
      <w:pPr>
        <w:pStyle w:val="PageBreak"/>
        <w:suppressLineNumbers/>
      </w:pPr>
      <w:r w:rsidRPr="006B29D8">
        <w:br w:type="page"/>
      </w:r>
    </w:p>
    <w:p w14:paraId="0EF7ACB5" w14:textId="0A5C7B72" w:rsidR="006D4D74" w:rsidRPr="00370538" w:rsidRDefault="00370538" w:rsidP="00370538">
      <w:pPr>
        <w:pStyle w:val="AH2Part"/>
      </w:pPr>
      <w:bookmarkStart w:id="6" w:name="_Toc207200675"/>
      <w:r w:rsidRPr="00370538">
        <w:rPr>
          <w:rStyle w:val="CharPartNo"/>
        </w:rPr>
        <w:lastRenderedPageBreak/>
        <w:t>Part 2</w:t>
      </w:r>
      <w:r w:rsidRPr="006B29D8">
        <w:tab/>
      </w:r>
      <w:r w:rsidR="006D4D74" w:rsidRPr="00370538">
        <w:rPr>
          <w:rStyle w:val="CharPartText"/>
        </w:rPr>
        <w:t>Dangerous Substances Act 2004</w:t>
      </w:r>
      <w:bookmarkEnd w:id="6"/>
    </w:p>
    <w:p w14:paraId="4EA948EF" w14:textId="2DB16AD7" w:rsidR="006D4D74" w:rsidRPr="006B29D8" w:rsidRDefault="00370538" w:rsidP="00370538">
      <w:pPr>
        <w:pStyle w:val="AH5Sec"/>
        <w:shd w:val="pct25" w:color="auto" w:fill="auto"/>
      </w:pPr>
      <w:bookmarkStart w:id="7" w:name="_Toc207200676"/>
      <w:r w:rsidRPr="00370538">
        <w:rPr>
          <w:rStyle w:val="CharSectNo"/>
        </w:rPr>
        <w:t>4</w:t>
      </w:r>
      <w:r w:rsidRPr="006B29D8">
        <w:tab/>
      </w:r>
      <w:r w:rsidR="006D4D74" w:rsidRPr="006B29D8">
        <w:t>Inspectors</w:t>
      </w:r>
      <w:r w:rsidR="006D4D74" w:rsidRPr="006B29D8">
        <w:br/>
        <w:t>New section 207 (1) (c)</w:t>
      </w:r>
      <w:bookmarkEnd w:id="7"/>
    </w:p>
    <w:p w14:paraId="4F5FE6F8" w14:textId="77777777" w:rsidR="006D4D74" w:rsidRPr="006B29D8" w:rsidRDefault="006D4D74" w:rsidP="006D4D74">
      <w:pPr>
        <w:pStyle w:val="direction"/>
      </w:pPr>
      <w:r w:rsidRPr="006B29D8">
        <w:t>insert</w:t>
      </w:r>
    </w:p>
    <w:p w14:paraId="2D2C9262" w14:textId="77777777" w:rsidR="006D4D74" w:rsidRPr="006B29D8" w:rsidRDefault="006D4D74" w:rsidP="006D4D74">
      <w:pPr>
        <w:pStyle w:val="Ipara"/>
      </w:pPr>
      <w:r w:rsidRPr="006B29D8">
        <w:tab/>
        <w:t>(c)</w:t>
      </w:r>
      <w:r w:rsidRPr="006B29D8">
        <w:tab/>
        <w:t>the work health and safety commissioner.</w:t>
      </w:r>
    </w:p>
    <w:p w14:paraId="21F88EB9" w14:textId="77777777" w:rsidR="006D4D74" w:rsidRPr="006B29D8" w:rsidRDefault="006D4D74" w:rsidP="00370538">
      <w:pPr>
        <w:pStyle w:val="PageBreak"/>
        <w:suppressLineNumbers/>
      </w:pPr>
      <w:r w:rsidRPr="006B29D8">
        <w:br w:type="page"/>
      </w:r>
    </w:p>
    <w:p w14:paraId="57880FDE" w14:textId="67F4997E" w:rsidR="006D4D74" w:rsidRPr="00370538" w:rsidRDefault="00370538" w:rsidP="00370538">
      <w:pPr>
        <w:pStyle w:val="AH2Part"/>
      </w:pPr>
      <w:bookmarkStart w:id="8" w:name="_Toc207200677"/>
      <w:r w:rsidRPr="00370538">
        <w:rPr>
          <w:rStyle w:val="CharPartNo"/>
        </w:rPr>
        <w:lastRenderedPageBreak/>
        <w:t>Part 3</w:t>
      </w:r>
      <w:r w:rsidRPr="006B29D8">
        <w:tab/>
      </w:r>
      <w:r w:rsidR="006D4D74" w:rsidRPr="00370538">
        <w:rPr>
          <w:rStyle w:val="CharPartText"/>
        </w:rPr>
        <w:t>Evidence (Miscellaneous Provisions) Act</w:t>
      </w:r>
      <w:r w:rsidR="00FF67A1" w:rsidRPr="00370538">
        <w:rPr>
          <w:rStyle w:val="CharPartText"/>
        </w:rPr>
        <w:t> </w:t>
      </w:r>
      <w:r w:rsidR="006D4D74" w:rsidRPr="00370538">
        <w:rPr>
          <w:rStyle w:val="CharPartText"/>
        </w:rPr>
        <w:t>1991</w:t>
      </w:r>
      <w:bookmarkEnd w:id="8"/>
    </w:p>
    <w:p w14:paraId="3593A809" w14:textId="4D37924E" w:rsidR="006D4D74" w:rsidRPr="006B29D8" w:rsidRDefault="00370538" w:rsidP="00370538">
      <w:pPr>
        <w:pStyle w:val="AH5Sec"/>
        <w:shd w:val="pct25" w:color="auto" w:fill="auto"/>
      </w:pPr>
      <w:bookmarkStart w:id="9" w:name="_Toc207200678"/>
      <w:r w:rsidRPr="00370538">
        <w:rPr>
          <w:rStyle w:val="CharSectNo"/>
        </w:rPr>
        <w:t>5</w:t>
      </w:r>
      <w:r w:rsidRPr="006B29D8">
        <w:tab/>
      </w:r>
      <w:r w:rsidR="006D4D74" w:rsidRPr="006B29D8">
        <w:t xml:space="preserve">Meaning of </w:t>
      </w:r>
      <w:r w:rsidR="006D4D74" w:rsidRPr="006B29D8">
        <w:rPr>
          <w:rStyle w:val="charItals"/>
        </w:rPr>
        <w:t>sexual offence proceeding</w:t>
      </w:r>
      <w:r w:rsidR="006D4D74" w:rsidRPr="006B29D8">
        <w:t>—ch 4</w:t>
      </w:r>
      <w:r w:rsidR="006D4D74" w:rsidRPr="006B29D8">
        <w:br/>
        <w:t xml:space="preserve">Section 41, definition of </w:t>
      </w:r>
      <w:r w:rsidR="006D4D74" w:rsidRPr="006B29D8">
        <w:rPr>
          <w:rStyle w:val="charItals"/>
        </w:rPr>
        <w:t>sexual offence proceeding</w:t>
      </w:r>
      <w:r w:rsidR="006D4D74" w:rsidRPr="006B29D8">
        <w:t>, new paragraphs</w:t>
      </w:r>
      <w:r w:rsidR="00FF67A1" w:rsidRPr="006B29D8">
        <w:t> </w:t>
      </w:r>
      <w:r w:rsidR="006D4D74" w:rsidRPr="006B29D8">
        <w:t>(d) and (e)</w:t>
      </w:r>
      <w:bookmarkEnd w:id="9"/>
    </w:p>
    <w:p w14:paraId="7CA224B4" w14:textId="77777777" w:rsidR="006D4D74" w:rsidRPr="006B29D8" w:rsidRDefault="006D4D74" w:rsidP="006D4D74">
      <w:pPr>
        <w:pStyle w:val="direction"/>
      </w:pPr>
      <w:r w:rsidRPr="006B29D8">
        <w:t>insert</w:t>
      </w:r>
    </w:p>
    <w:p w14:paraId="7366F982" w14:textId="082EC596" w:rsidR="006D4D74" w:rsidRPr="006B29D8" w:rsidRDefault="006D4D74" w:rsidP="006D4D74">
      <w:pPr>
        <w:pStyle w:val="Idefpara"/>
      </w:pPr>
      <w:r w:rsidRPr="006B29D8">
        <w:tab/>
        <w:t>(d)</w:t>
      </w:r>
      <w:r w:rsidRPr="006B29D8">
        <w:tab/>
        <w:t xml:space="preserve">a proceeding for an offence against any of the following provisions of the </w:t>
      </w:r>
      <w:hyperlink r:id="rId23" w:tooltip="A2011-35" w:history="1">
        <w:r w:rsidR="008E080E" w:rsidRPr="006B29D8">
          <w:rPr>
            <w:rStyle w:val="charCitHyperlinkItal"/>
          </w:rPr>
          <w:t>Work Health and Safety Act 2011</w:t>
        </w:r>
      </w:hyperlink>
      <w:r w:rsidRPr="006B29D8">
        <w:t xml:space="preserve"> if the offence involves </w:t>
      </w:r>
      <w:r w:rsidR="00FE0135" w:rsidRPr="006B29D8">
        <w:t xml:space="preserve">a </w:t>
      </w:r>
      <w:r w:rsidRPr="006B29D8">
        <w:t>suspected or alleged sexual assault or any other act of a sexually offensive, intimidating or humiliating nature:</w:t>
      </w:r>
    </w:p>
    <w:p w14:paraId="507EF4A0" w14:textId="77777777" w:rsidR="006D4D74" w:rsidRPr="006B29D8" w:rsidRDefault="006D4D74" w:rsidP="006D4D74">
      <w:pPr>
        <w:pStyle w:val="Idefsubpara"/>
      </w:pPr>
      <w:r w:rsidRPr="006B29D8">
        <w:tab/>
        <w:t>(i)</w:t>
      </w:r>
      <w:r w:rsidRPr="006B29D8">
        <w:tab/>
        <w:t>section 31 (Negligence or reckless conduct—category 1);</w:t>
      </w:r>
    </w:p>
    <w:p w14:paraId="317B7677" w14:textId="77777777" w:rsidR="006D4D74" w:rsidRPr="006B29D8" w:rsidRDefault="006D4D74" w:rsidP="006D4D74">
      <w:pPr>
        <w:pStyle w:val="Idefsubpara"/>
      </w:pPr>
      <w:r w:rsidRPr="006B29D8">
        <w:tab/>
        <w:t>(ii)</w:t>
      </w:r>
      <w:r w:rsidRPr="006B29D8">
        <w:tab/>
        <w:t>section 32 (Failure to comply with health and safety duty—category 2);</w:t>
      </w:r>
    </w:p>
    <w:p w14:paraId="687C92FD" w14:textId="77777777" w:rsidR="006D4D74" w:rsidRPr="006B29D8" w:rsidRDefault="006D4D74" w:rsidP="006D4D74">
      <w:pPr>
        <w:pStyle w:val="Idefsubpara"/>
      </w:pPr>
      <w:r w:rsidRPr="006B29D8">
        <w:tab/>
        <w:t>(iii)</w:t>
      </w:r>
      <w:r w:rsidRPr="006B29D8">
        <w:tab/>
        <w:t>section 33 (Failure to comply with health and safety duty—category 3); or</w:t>
      </w:r>
    </w:p>
    <w:p w14:paraId="0E1FD2FF" w14:textId="21D91EDA" w:rsidR="006D4D74" w:rsidRPr="006B29D8" w:rsidRDefault="006D4D74" w:rsidP="006D4D74">
      <w:pPr>
        <w:pStyle w:val="Idefpara"/>
      </w:pPr>
      <w:r w:rsidRPr="006B29D8">
        <w:tab/>
        <w:t>(e)</w:t>
      </w:r>
      <w:r w:rsidRPr="006B29D8">
        <w:tab/>
        <w:t xml:space="preserve">a proceeding for an offence against the </w:t>
      </w:r>
      <w:hyperlink r:id="rId24" w:tooltip="A2011-35" w:history="1">
        <w:r w:rsidR="008E080E" w:rsidRPr="006B29D8">
          <w:rPr>
            <w:rStyle w:val="charCitHyperlinkItal"/>
          </w:rPr>
          <w:t>Work Health and Safety Act 2011</w:t>
        </w:r>
      </w:hyperlink>
      <w:r w:rsidRPr="006B29D8">
        <w:t xml:space="preserve">, section 38 (1) </w:t>
      </w:r>
      <w:r w:rsidR="0007573D" w:rsidRPr="006B29D8">
        <w:t>if the notifiable incident</w:t>
      </w:r>
      <w:r w:rsidRPr="006B29D8">
        <w:t xml:space="preserve"> involves a sexual assault incident</w:t>
      </w:r>
      <w:r w:rsidR="009B00A5" w:rsidRPr="006B29D8">
        <w:t>, within the meaning of that Act, section</w:t>
      </w:r>
      <w:r w:rsidR="006C47C5" w:rsidRPr="006B29D8">
        <w:t> </w:t>
      </w:r>
      <w:r w:rsidR="009B00A5" w:rsidRPr="006B29D8">
        <w:t>37A</w:t>
      </w:r>
      <w:r w:rsidRPr="006B29D8">
        <w:t>.</w:t>
      </w:r>
    </w:p>
    <w:p w14:paraId="75EE475E" w14:textId="5335ACEB" w:rsidR="006D4D74" w:rsidRPr="006B29D8" w:rsidRDefault="00370538" w:rsidP="00370538">
      <w:pPr>
        <w:pStyle w:val="AH5Sec"/>
        <w:shd w:val="pct25" w:color="auto" w:fill="auto"/>
      </w:pPr>
      <w:bookmarkStart w:id="10" w:name="_Toc207200679"/>
      <w:r w:rsidRPr="00370538">
        <w:rPr>
          <w:rStyle w:val="CharSectNo"/>
        </w:rPr>
        <w:t>6</w:t>
      </w:r>
      <w:r w:rsidRPr="006B29D8">
        <w:tab/>
      </w:r>
      <w:r w:rsidR="006D4D74" w:rsidRPr="006B29D8">
        <w:t>New section 41</w:t>
      </w:r>
      <w:r w:rsidR="009B00A5" w:rsidRPr="006B29D8">
        <w:t>A</w:t>
      </w:r>
      <w:bookmarkEnd w:id="10"/>
    </w:p>
    <w:p w14:paraId="5134CCF8" w14:textId="0A975B63" w:rsidR="006D4D74" w:rsidRPr="006B29D8" w:rsidRDefault="00756D69" w:rsidP="006D4D74">
      <w:pPr>
        <w:pStyle w:val="direction"/>
      </w:pPr>
      <w:r w:rsidRPr="006B29D8">
        <w:t>in</w:t>
      </w:r>
      <w:r w:rsidR="00FE0135" w:rsidRPr="006B29D8">
        <w:t xml:space="preserve"> part 4.1,</w:t>
      </w:r>
      <w:r w:rsidRPr="006B29D8">
        <w:t xml:space="preserve"> </w:t>
      </w:r>
      <w:r w:rsidR="006D4D74" w:rsidRPr="006B29D8">
        <w:t>insert</w:t>
      </w:r>
    </w:p>
    <w:p w14:paraId="41A327A0" w14:textId="6AB7ED28" w:rsidR="009B00A5" w:rsidRPr="006B29D8" w:rsidRDefault="009B00A5" w:rsidP="009B00A5">
      <w:pPr>
        <w:pStyle w:val="IH5Sec"/>
      </w:pPr>
      <w:r w:rsidRPr="006B29D8">
        <w:t>41A</w:t>
      </w:r>
      <w:r w:rsidRPr="006B29D8">
        <w:tab/>
      </w:r>
      <w:r w:rsidR="00756D69" w:rsidRPr="006B29D8">
        <w:t>References to accused people—</w:t>
      </w:r>
      <w:r w:rsidR="007F42D1" w:rsidRPr="006B29D8">
        <w:t xml:space="preserve">sexual </w:t>
      </w:r>
      <w:r w:rsidR="00756D69" w:rsidRPr="006B29D8">
        <w:t>o</w:t>
      </w:r>
      <w:r w:rsidR="00085549" w:rsidRPr="006B29D8">
        <w:t>ffence proceedings under Work Health and Safety Act 2011</w:t>
      </w:r>
    </w:p>
    <w:p w14:paraId="3F5E13C0" w14:textId="77777777" w:rsidR="00FE0135" w:rsidRPr="006B29D8" w:rsidRDefault="00FE0135" w:rsidP="00FE0135">
      <w:pPr>
        <w:pStyle w:val="IMain"/>
      </w:pPr>
      <w:r w:rsidRPr="006B29D8">
        <w:tab/>
        <w:t>(1)</w:t>
      </w:r>
      <w:r w:rsidRPr="006B29D8">
        <w:tab/>
        <w:t xml:space="preserve">This section applies to a proceeding mentioned in section 41, definition of </w:t>
      </w:r>
      <w:r w:rsidRPr="006B29D8">
        <w:rPr>
          <w:rStyle w:val="charBoldItals"/>
        </w:rPr>
        <w:t>sexual offence proceeding</w:t>
      </w:r>
      <w:r w:rsidRPr="006B29D8">
        <w:t>, paragraph (d) or (e).</w:t>
      </w:r>
    </w:p>
    <w:p w14:paraId="17287462" w14:textId="77777777" w:rsidR="00FE0135" w:rsidRPr="006B29D8" w:rsidRDefault="00FE0135" w:rsidP="009C4360">
      <w:pPr>
        <w:pStyle w:val="IMain"/>
        <w:keepLines/>
      </w:pPr>
      <w:r w:rsidRPr="006B29D8">
        <w:lastRenderedPageBreak/>
        <w:tab/>
        <w:t>(2)</w:t>
      </w:r>
      <w:r w:rsidRPr="006B29D8">
        <w:tab/>
        <w:t>A reference to an accused person in the following provisions includes a person who is suspected or alleged to have committed the sexual assault or other act of a sexually offensive, intimidating or humiliating nature to which the proceeding relates:</w:t>
      </w:r>
    </w:p>
    <w:p w14:paraId="06059FF5" w14:textId="77777777" w:rsidR="00FE0135" w:rsidRPr="006B29D8" w:rsidRDefault="00FE0135" w:rsidP="00FE0135">
      <w:pPr>
        <w:pStyle w:val="Ipara"/>
      </w:pPr>
      <w:r w:rsidRPr="006B29D8">
        <w:tab/>
        <w:t>(a)</w:t>
      </w:r>
      <w:r w:rsidRPr="006B29D8">
        <w:tab/>
        <w:t>section 47 (1);</w:t>
      </w:r>
    </w:p>
    <w:p w14:paraId="20D63101" w14:textId="77777777" w:rsidR="00FE0135" w:rsidRPr="006B29D8" w:rsidRDefault="00FE0135" w:rsidP="00FE0135">
      <w:pPr>
        <w:pStyle w:val="Ipara"/>
      </w:pPr>
      <w:r w:rsidRPr="006B29D8">
        <w:tab/>
        <w:t>(b)</w:t>
      </w:r>
      <w:r w:rsidRPr="006B29D8">
        <w:tab/>
        <w:t>section 60 (6) (a) and (b);</w:t>
      </w:r>
    </w:p>
    <w:p w14:paraId="5422B347" w14:textId="77777777" w:rsidR="00FE0135" w:rsidRPr="006B29D8" w:rsidRDefault="00FE0135" w:rsidP="00FE0135">
      <w:pPr>
        <w:pStyle w:val="Ipara"/>
      </w:pPr>
      <w:r w:rsidRPr="006B29D8">
        <w:tab/>
        <w:t>(c)</w:t>
      </w:r>
      <w:r w:rsidRPr="006B29D8">
        <w:tab/>
        <w:t>section 68 (5) (a) and (b);</w:t>
      </w:r>
    </w:p>
    <w:p w14:paraId="5244824F" w14:textId="77777777" w:rsidR="00FE0135" w:rsidRPr="006B29D8" w:rsidRDefault="00FE0135" w:rsidP="00FE0135">
      <w:pPr>
        <w:pStyle w:val="Ipara"/>
      </w:pPr>
      <w:r w:rsidRPr="006B29D8">
        <w:tab/>
        <w:t>(d)</w:t>
      </w:r>
      <w:r w:rsidRPr="006B29D8">
        <w:tab/>
        <w:t>section 76 (2);</w:t>
      </w:r>
    </w:p>
    <w:p w14:paraId="2947F089" w14:textId="77777777" w:rsidR="00FE0135" w:rsidRPr="006B29D8" w:rsidRDefault="00FE0135" w:rsidP="00FE0135">
      <w:pPr>
        <w:pStyle w:val="Ipara"/>
      </w:pPr>
      <w:r w:rsidRPr="006B29D8">
        <w:tab/>
        <w:t>(e)</w:t>
      </w:r>
      <w:r w:rsidRPr="006B29D8">
        <w:tab/>
        <w:t>section 80C.</w:t>
      </w:r>
    </w:p>
    <w:p w14:paraId="1AB992C6" w14:textId="4DDDDB5F" w:rsidR="006D4D74" w:rsidRPr="006B29D8" w:rsidRDefault="00370538" w:rsidP="00370538">
      <w:pPr>
        <w:pStyle w:val="AH5Sec"/>
        <w:shd w:val="pct25" w:color="auto" w:fill="auto"/>
        <w:rPr>
          <w:rStyle w:val="charItals"/>
        </w:rPr>
      </w:pPr>
      <w:bookmarkStart w:id="11" w:name="_Toc207200680"/>
      <w:r w:rsidRPr="00370538">
        <w:rPr>
          <w:rStyle w:val="CharSectNo"/>
        </w:rPr>
        <w:t>7</w:t>
      </w:r>
      <w:r w:rsidRPr="006B29D8">
        <w:rPr>
          <w:rStyle w:val="charItals"/>
          <w:i w:val="0"/>
        </w:rPr>
        <w:tab/>
      </w:r>
      <w:r w:rsidR="006D4D74" w:rsidRPr="006B29D8">
        <w:t xml:space="preserve">Section 42, definition of </w:t>
      </w:r>
      <w:r w:rsidR="006D4D74" w:rsidRPr="006B29D8">
        <w:rPr>
          <w:rStyle w:val="charItals"/>
        </w:rPr>
        <w:t>complainant</w:t>
      </w:r>
      <w:bookmarkEnd w:id="11"/>
    </w:p>
    <w:p w14:paraId="5C4074A5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2FC7B90E" w14:textId="37BD9FB9" w:rsidR="006D4D74" w:rsidRPr="006B29D8" w:rsidRDefault="006D4D74" w:rsidP="00370538">
      <w:pPr>
        <w:pStyle w:val="aDef"/>
      </w:pPr>
      <w:r w:rsidRPr="006B29D8">
        <w:rPr>
          <w:rStyle w:val="charBoldItals"/>
        </w:rPr>
        <w:t>complainant</w:t>
      </w:r>
      <w:r w:rsidRPr="006B29D8">
        <w:t>, in relation to a proceeding for an offence—</w:t>
      </w:r>
    </w:p>
    <w:p w14:paraId="1C132322" w14:textId="77777777" w:rsidR="006D4D74" w:rsidRPr="006B29D8" w:rsidRDefault="006D4D74" w:rsidP="006D4D74">
      <w:pPr>
        <w:pStyle w:val="Idefpara"/>
      </w:pPr>
      <w:r w:rsidRPr="006B29D8">
        <w:tab/>
        <w:t>(a)</w:t>
      </w:r>
      <w:r w:rsidRPr="006B29D8">
        <w:tab/>
        <w:t>means a person—</w:t>
      </w:r>
    </w:p>
    <w:p w14:paraId="2537890C" w14:textId="77777777" w:rsidR="006D4D74" w:rsidRPr="006B29D8" w:rsidRDefault="006D4D74" w:rsidP="006D4D74">
      <w:pPr>
        <w:pStyle w:val="Idefsubpara"/>
      </w:pPr>
      <w:r w:rsidRPr="006B29D8">
        <w:tab/>
        <w:t>(i)</w:t>
      </w:r>
      <w:r w:rsidRPr="006B29D8">
        <w:tab/>
        <w:t>against whom the offence is alleged, or has been found, to be committed; and</w:t>
      </w:r>
    </w:p>
    <w:p w14:paraId="5E9165F4" w14:textId="77777777" w:rsidR="006D4D74" w:rsidRPr="006B29D8" w:rsidRDefault="006D4D74" w:rsidP="006D4D74">
      <w:pPr>
        <w:pStyle w:val="Idefsubpara"/>
      </w:pPr>
      <w:r w:rsidRPr="006B29D8">
        <w:tab/>
        <w:t>(ii)</w:t>
      </w:r>
      <w:r w:rsidRPr="006B29D8">
        <w:tab/>
        <w:t>for a family violence offence proceeding—who is also a family member of the accused person; and</w:t>
      </w:r>
    </w:p>
    <w:p w14:paraId="0B011E41" w14:textId="771D4D30" w:rsidR="006D4D74" w:rsidRPr="006B29D8" w:rsidRDefault="006D4D74" w:rsidP="006D4D74">
      <w:pPr>
        <w:pStyle w:val="Idefpara"/>
      </w:pPr>
      <w:r w:rsidRPr="006B29D8">
        <w:tab/>
        <w:t>(b)</w:t>
      </w:r>
      <w:r w:rsidRPr="006B29D8">
        <w:tab/>
        <w:t>for a sexual offence proceeding</w:t>
      </w:r>
      <w:r w:rsidR="00F14F3A" w:rsidRPr="006B29D8">
        <w:t xml:space="preserve"> for an offence against the </w:t>
      </w:r>
      <w:hyperlink r:id="rId25" w:tooltip="A2011-35" w:history="1">
        <w:r w:rsidR="008E080E" w:rsidRPr="006B29D8">
          <w:rPr>
            <w:rStyle w:val="charCitHyperlinkItal"/>
          </w:rPr>
          <w:t>Work Health and Safety Act 2011</w:t>
        </w:r>
      </w:hyperlink>
      <w:r w:rsidRPr="006B29D8">
        <w:t>—includes a person against whom a sexual assault or an act of a sexually offensive, intimidating or humiliating nature is suspected or alleged, or has been found, to have been committed.</w:t>
      </w:r>
    </w:p>
    <w:p w14:paraId="38695BC5" w14:textId="77777777" w:rsidR="006D4D74" w:rsidRPr="006B29D8" w:rsidRDefault="006D4D74" w:rsidP="00370538">
      <w:pPr>
        <w:pStyle w:val="PageBreak"/>
        <w:suppressLineNumbers/>
      </w:pPr>
      <w:r w:rsidRPr="006B29D8">
        <w:br w:type="page"/>
      </w:r>
    </w:p>
    <w:p w14:paraId="3CF2656A" w14:textId="59488331" w:rsidR="006D4D74" w:rsidRPr="00370538" w:rsidRDefault="00370538" w:rsidP="00370538">
      <w:pPr>
        <w:pStyle w:val="AH2Part"/>
      </w:pPr>
      <w:bookmarkStart w:id="12" w:name="_Toc207200681"/>
      <w:r w:rsidRPr="00370538">
        <w:rPr>
          <w:rStyle w:val="CharPartNo"/>
        </w:rPr>
        <w:lastRenderedPageBreak/>
        <w:t>Part 4</w:t>
      </w:r>
      <w:r w:rsidRPr="006B29D8">
        <w:tab/>
      </w:r>
      <w:r w:rsidR="006D4D74" w:rsidRPr="00370538">
        <w:rPr>
          <w:rStyle w:val="CharPartText"/>
        </w:rPr>
        <w:t>Long Service Leave Act 1976</w:t>
      </w:r>
      <w:bookmarkEnd w:id="12"/>
    </w:p>
    <w:p w14:paraId="3A296CF9" w14:textId="6636A443" w:rsidR="006D4D74" w:rsidRPr="006B29D8" w:rsidRDefault="00370538" w:rsidP="00370538">
      <w:pPr>
        <w:pStyle w:val="AH5Sec"/>
        <w:shd w:val="pct25" w:color="auto" w:fill="auto"/>
      </w:pPr>
      <w:bookmarkStart w:id="13" w:name="_Toc207200682"/>
      <w:r w:rsidRPr="00370538">
        <w:rPr>
          <w:rStyle w:val="CharSectNo"/>
        </w:rPr>
        <w:t>8</w:t>
      </w:r>
      <w:r w:rsidRPr="006B29D8">
        <w:tab/>
      </w:r>
      <w:r w:rsidR="006D4D74" w:rsidRPr="006B29D8">
        <w:t>Manner of payment for leave</w:t>
      </w:r>
      <w:r w:rsidR="006D4D74" w:rsidRPr="006B29D8">
        <w:br/>
        <w:t>Section 8 (4)</w:t>
      </w:r>
      <w:bookmarkEnd w:id="13"/>
    </w:p>
    <w:p w14:paraId="624661A6" w14:textId="77777777" w:rsidR="006D4D74" w:rsidRPr="006B29D8" w:rsidRDefault="006D4D74" w:rsidP="006D4D74">
      <w:pPr>
        <w:pStyle w:val="direction"/>
      </w:pPr>
      <w:r w:rsidRPr="006B29D8">
        <w:t>omit</w:t>
      </w:r>
    </w:p>
    <w:p w14:paraId="411D0B4D" w14:textId="199AE457" w:rsidR="006D4D74" w:rsidRPr="006B29D8" w:rsidRDefault="00370538" w:rsidP="00370538">
      <w:pPr>
        <w:pStyle w:val="AH5Sec"/>
        <w:shd w:val="pct25" w:color="auto" w:fill="auto"/>
      </w:pPr>
      <w:bookmarkStart w:id="14" w:name="_Toc207200683"/>
      <w:r w:rsidRPr="00370538">
        <w:rPr>
          <w:rStyle w:val="CharSectNo"/>
        </w:rPr>
        <w:t>9</w:t>
      </w:r>
      <w:r w:rsidRPr="006B29D8">
        <w:tab/>
      </w:r>
      <w:r w:rsidR="009D7781" w:rsidRPr="006B29D8">
        <w:t>Pay</w:t>
      </w:r>
      <w:r w:rsidR="006D4D74" w:rsidRPr="006B29D8">
        <w:t xml:space="preserve"> in lieu of long service leave</w:t>
      </w:r>
      <w:r w:rsidR="006D4D74" w:rsidRPr="006B29D8">
        <w:br/>
        <w:t>New section 11A (4) and (5)</w:t>
      </w:r>
      <w:bookmarkEnd w:id="14"/>
    </w:p>
    <w:p w14:paraId="12475554" w14:textId="77777777" w:rsidR="006D4D74" w:rsidRPr="006B29D8" w:rsidRDefault="006D4D74" w:rsidP="006D4D74">
      <w:pPr>
        <w:pStyle w:val="direction"/>
      </w:pPr>
      <w:r w:rsidRPr="006B29D8">
        <w:t>insert</w:t>
      </w:r>
    </w:p>
    <w:p w14:paraId="55A12E83" w14:textId="77777777" w:rsidR="006D4D74" w:rsidRPr="006B29D8" w:rsidRDefault="006D4D74" w:rsidP="006D4D74">
      <w:pPr>
        <w:pStyle w:val="IMain"/>
      </w:pPr>
      <w:r w:rsidRPr="006B29D8">
        <w:tab/>
        <w:t>(4)</w:t>
      </w:r>
      <w:r w:rsidRPr="006B29D8">
        <w:tab/>
        <w:t>An employer commits an offence if the employer—</w:t>
      </w:r>
    </w:p>
    <w:p w14:paraId="23823DDE" w14:textId="77777777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is required to pay an amount under subsection (2); and</w:t>
      </w:r>
    </w:p>
    <w:p w14:paraId="568C452A" w14:textId="02F50514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does not pay the amount within 90 days after</w:t>
      </w:r>
      <w:r w:rsidR="00774F7C" w:rsidRPr="006B29D8">
        <w:t xml:space="preserve"> the day</w:t>
      </w:r>
      <w:r w:rsidRPr="006B29D8">
        <w:t xml:space="preserve"> the person’s employment ceases.</w:t>
      </w:r>
    </w:p>
    <w:p w14:paraId="5E463C17" w14:textId="77777777" w:rsidR="006D4D74" w:rsidRPr="006B29D8" w:rsidRDefault="006D4D74" w:rsidP="006D4D74">
      <w:pPr>
        <w:pStyle w:val="Penalty"/>
      </w:pPr>
      <w:r w:rsidRPr="006B29D8">
        <w:t>Maximum penalty:  50 penalty units.</w:t>
      </w:r>
    </w:p>
    <w:p w14:paraId="477C2468" w14:textId="77777777" w:rsidR="006D4D74" w:rsidRPr="006B29D8" w:rsidRDefault="006D4D74" w:rsidP="006D4D74">
      <w:pPr>
        <w:pStyle w:val="IMain"/>
      </w:pPr>
      <w:r w:rsidRPr="006B29D8">
        <w:tab/>
        <w:t>(5)</w:t>
      </w:r>
      <w:r w:rsidRPr="006B29D8">
        <w:tab/>
        <w:t>An offence against this section is a strict liability offence.</w:t>
      </w:r>
    </w:p>
    <w:p w14:paraId="008D92C3" w14:textId="466B3346" w:rsidR="006D4D74" w:rsidRPr="006B29D8" w:rsidRDefault="00370538" w:rsidP="00370538">
      <w:pPr>
        <w:pStyle w:val="AH5Sec"/>
        <w:shd w:val="pct25" w:color="auto" w:fill="auto"/>
      </w:pPr>
      <w:bookmarkStart w:id="15" w:name="_Toc207200684"/>
      <w:r w:rsidRPr="00370538">
        <w:rPr>
          <w:rStyle w:val="CharSectNo"/>
        </w:rPr>
        <w:t>10</w:t>
      </w:r>
      <w:r w:rsidRPr="006B29D8">
        <w:tab/>
      </w:r>
      <w:r w:rsidR="006D4D74" w:rsidRPr="006B29D8">
        <w:t>New section 12A</w:t>
      </w:r>
      <w:bookmarkEnd w:id="15"/>
    </w:p>
    <w:p w14:paraId="5243E24F" w14:textId="77777777" w:rsidR="006D4D74" w:rsidRPr="006B29D8" w:rsidRDefault="006D4D74" w:rsidP="006D4D74">
      <w:pPr>
        <w:pStyle w:val="direction"/>
      </w:pPr>
      <w:r w:rsidRPr="006B29D8">
        <w:t>in part 3, insert</w:t>
      </w:r>
    </w:p>
    <w:p w14:paraId="114DD5A2" w14:textId="77777777" w:rsidR="006D4D74" w:rsidRPr="006B29D8" w:rsidRDefault="006D4D74" w:rsidP="006D4D74">
      <w:pPr>
        <w:pStyle w:val="IH5Sec"/>
      </w:pPr>
      <w:r w:rsidRPr="006B29D8">
        <w:t>12A</w:t>
      </w:r>
      <w:r w:rsidRPr="006B29D8">
        <w:tab/>
        <w:t>Definitions—pt 3</w:t>
      </w:r>
    </w:p>
    <w:p w14:paraId="72095A20" w14:textId="77777777" w:rsidR="006D4D74" w:rsidRPr="006B29D8" w:rsidRDefault="006D4D74" w:rsidP="006D4D74">
      <w:pPr>
        <w:pStyle w:val="Amainreturn"/>
      </w:pPr>
      <w:r w:rsidRPr="006B29D8">
        <w:t>In this part:</w:t>
      </w:r>
    </w:p>
    <w:p w14:paraId="6BD37941" w14:textId="77777777" w:rsidR="006D4D74" w:rsidRPr="006B29D8" w:rsidRDefault="006D4D74" w:rsidP="00370538">
      <w:pPr>
        <w:pStyle w:val="aDef"/>
      </w:pPr>
      <w:r w:rsidRPr="006B29D8">
        <w:rPr>
          <w:rStyle w:val="charBoldItals"/>
        </w:rPr>
        <w:t>at</w:t>
      </w:r>
      <w:r w:rsidRPr="006B29D8">
        <w:t xml:space="preserve"> premises includes in or on the premises.</w:t>
      </w:r>
    </w:p>
    <w:p w14:paraId="2ADFA7BA" w14:textId="002903AE" w:rsidR="006D4D74" w:rsidRPr="006B29D8" w:rsidRDefault="006D4D74" w:rsidP="00370538">
      <w:pPr>
        <w:pStyle w:val="aDef"/>
      </w:pPr>
      <w:r w:rsidRPr="006B29D8">
        <w:rPr>
          <w:rStyle w:val="charBoldItals"/>
        </w:rPr>
        <w:t>occupier</w:t>
      </w:r>
      <w:r w:rsidR="00086261" w:rsidRPr="006B29D8">
        <w:rPr>
          <w:rStyle w:val="charBoldItals"/>
          <w:b w:val="0"/>
          <w:bCs/>
          <w:i w:val="0"/>
          <w:iCs/>
        </w:rPr>
        <w:t>,</w:t>
      </w:r>
      <w:r w:rsidRPr="006B29D8">
        <w:t xml:space="preserve"> of premises, includes—</w:t>
      </w:r>
    </w:p>
    <w:p w14:paraId="613260D0" w14:textId="77777777" w:rsidR="006D4D74" w:rsidRPr="006B29D8" w:rsidRDefault="006D4D74" w:rsidP="006D4D74">
      <w:pPr>
        <w:pStyle w:val="Idefpara"/>
      </w:pPr>
      <w:r w:rsidRPr="006B29D8">
        <w:tab/>
        <w:t>(a)</w:t>
      </w:r>
      <w:r w:rsidRPr="006B29D8">
        <w:tab/>
        <w:t>a person an authorised officer believes on reasonable grounds to be the occupier of the premises; and</w:t>
      </w:r>
    </w:p>
    <w:p w14:paraId="64B8E806" w14:textId="77777777" w:rsidR="006D4D74" w:rsidRPr="006B29D8" w:rsidRDefault="006D4D74" w:rsidP="006D4D74">
      <w:pPr>
        <w:pStyle w:val="Idefpara"/>
      </w:pPr>
      <w:r w:rsidRPr="006B29D8">
        <w:tab/>
        <w:t>(b)</w:t>
      </w:r>
      <w:r w:rsidRPr="006B29D8">
        <w:tab/>
        <w:t>a person apparently in charge of the premises.</w:t>
      </w:r>
    </w:p>
    <w:p w14:paraId="24AA0D91" w14:textId="77777777" w:rsidR="006D4D74" w:rsidRPr="006B29D8" w:rsidRDefault="006D4D74" w:rsidP="00370538">
      <w:pPr>
        <w:pStyle w:val="aDef"/>
      </w:pPr>
      <w:r w:rsidRPr="006B29D8">
        <w:rPr>
          <w:rStyle w:val="charBoldItals"/>
        </w:rPr>
        <w:t>premises</w:t>
      </w:r>
      <w:r w:rsidRPr="006B29D8">
        <w:t xml:space="preserve"> includes any land, structure or vehicle and any part of land, a structure or a vehicle.</w:t>
      </w:r>
    </w:p>
    <w:p w14:paraId="2AD72FEB" w14:textId="25303B99" w:rsidR="006D4D74" w:rsidRPr="006B29D8" w:rsidRDefault="00370538" w:rsidP="00370538">
      <w:pPr>
        <w:pStyle w:val="AH5Sec"/>
        <w:shd w:val="pct25" w:color="auto" w:fill="auto"/>
      </w:pPr>
      <w:bookmarkStart w:id="16" w:name="_Toc207200685"/>
      <w:r w:rsidRPr="00370538">
        <w:rPr>
          <w:rStyle w:val="CharSectNo"/>
        </w:rPr>
        <w:lastRenderedPageBreak/>
        <w:t>11</w:t>
      </w:r>
      <w:r w:rsidRPr="006B29D8">
        <w:tab/>
      </w:r>
      <w:r w:rsidR="006D4D74" w:rsidRPr="006B29D8">
        <w:t>Section 13C</w:t>
      </w:r>
      <w:bookmarkEnd w:id="16"/>
    </w:p>
    <w:p w14:paraId="1C5625B6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2FF17AB4" w14:textId="77777777" w:rsidR="006D4D74" w:rsidRPr="006B29D8" w:rsidRDefault="006D4D74" w:rsidP="006D4D74">
      <w:pPr>
        <w:pStyle w:val="IH5Sec"/>
      </w:pPr>
      <w:r w:rsidRPr="006B29D8">
        <w:t>13C</w:t>
      </w:r>
      <w:r w:rsidRPr="006B29D8">
        <w:tab/>
        <w:t>Powers of authorised officer to enter premises</w:t>
      </w:r>
    </w:p>
    <w:p w14:paraId="5DFD1F16" w14:textId="77777777" w:rsidR="006D4D74" w:rsidRPr="006B29D8" w:rsidRDefault="006D4D74" w:rsidP="006D4D74">
      <w:pPr>
        <w:pStyle w:val="IMain"/>
      </w:pPr>
      <w:r w:rsidRPr="006B29D8">
        <w:tab/>
        <w:t>(1)</w:t>
      </w:r>
      <w:r w:rsidRPr="006B29D8">
        <w:tab/>
        <w:t>For this Act, an authorised officer may—</w:t>
      </w:r>
    </w:p>
    <w:p w14:paraId="529E64B6" w14:textId="77777777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at any reasonable time, enter premises that the authorised officer believes on reasonable grounds are a workplace; or</w:t>
      </w:r>
    </w:p>
    <w:p w14:paraId="218A6C2A" w14:textId="77777777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at any reasonable time, enter premises that the public is entitled to use or that are open to the public (whether or not on payment of money); or</w:t>
      </w:r>
    </w:p>
    <w:p w14:paraId="56645D20" w14:textId="77777777" w:rsidR="006D4D74" w:rsidRPr="006B29D8" w:rsidRDefault="006D4D74" w:rsidP="006D4D74">
      <w:pPr>
        <w:pStyle w:val="Ipara"/>
      </w:pPr>
      <w:r w:rsidRPr="006B29D8">
        <w:tab/>
        <w:t>(c)</w:t>
      </w:r>
      <w:r w:rsidRPr="006B29D8">
        <w:tab/>
        <w:t>at any time, enter premises with the occupier’s consent.</w:t>
      </w:r>
    </w:p>
    <w:p w14:paraId="6355749B" w14:textId="77777777" w:rsidR="006D4D74" w:rsidRPr="006B29D8" w:rsidRDefault="006D4D74" w:rsidP="006D4D74">
      <w:pPr>
        <w:pStyle w:val="IMain"/>
      </w:pPr>
      <w:r w:rsidRPr="006B29D8">
        <w:tab/>
        <w:t>(2)</w:t>
      </w:r>
      <w:r w:rsidRPr="006B29D8">
        <w:tab/>
        <w:t>However, subsection (1) (a) and (b) does not authorise entry into a part of the premises that is being used only for residential purposes.</w:t>
      </w:r>
    </w:p>
    <w:p w14:paraId="6067524C" w14:textId="77777777" w:rsidR="006D4D74" w:rsidRPr="006B29D8" w:rsidRDefault="006D4D74" w:rsidP="006D4D74">
      <w:pPr>
        <w:pStyle w:val="IMain"/>
      </w:pPr>
      <w:r w:rsidRPr="006B29D8">
        <w:tab/>
        <w:t>(3)</w:t>
      </w:r>
      <w:r w:rsidRPr="006B29D8">
        <w:tab/>
        <w:t>For the purpose of seeking consent to enter a building or other structure on the premises, an authorised officer may, without the occupier’s consent, enter any land that forms part of the premises.</w:t>
      </w:r>
    </w:p>
    <w:p w14:paraId="76CD0E57" w14:textId="77777777" w:rsidR="006D4D74" w:rsidRPr="006B29D8" w:rsidRDefault="006D4D74" w:rsidP="006D4D74">
      <w:pPr>
        <w:pStyle w:val="IMain"/>
      </w:pPr>
      <w:r w:rsidRPr="006B29D8">
        <w:tab/>
        <w:t>(4)</w:t>
      </w:r>
      <w:r w:rsidRPr="006B29D8">
        <w:tab/>
        <w:t>To remove any doubt, an authorised officer may enter premises under subsection (1) without payment of an entry fee or other charge.</w:t>
      </w:r>
    </w:p>
    <w:p w14:paraId="33AC0C8D" w14:textId="77777777" w:rsidR="006D4D74" w:rsidRPr="006B29D8" w:rsidRDefault="006D4D74" w:rsidP="006D4D74">
      <w:pPr>
        <w:pStyle w:val="IMain"/>
      </w:pPr>
      <w:r w:rsidRPr="006B29D8">
        <w:tab/>
        <w:t>(5)</w:t>
      </w:r>
      <w:r w:rsidRPr="006B29D8">
        <w:tab/>
        <w:t>An authorised officer may enter the premises with 1 or more people who, in the opinion of the authorised officer, have knowledge or skills that could assist the authorised officer to carry out their functions.</w:t>
      </w:r>
    </w:p>
    <w:p w14:paraId="49F0E250" w14:textId="77777777" w:rsidR="006D4D74" w:rsidRPr="006B29D8" w:rsidRDefault="006D4D74" w:rsidP="006D4D74">
      <w:pPr>
        <w:pStyle w:val="IH5Sec"/>
      </w:pPr>
      <w:r w:rsidRPr="006B29D8">
        <w:t>13CA</w:t>
      </w:r>
      <w:r w:rsidRPr="006B29D8">
        <w:tab/>
        <w:t>Production of identity card</w:t>
      </w:r>
    </w:p>
    <w:p w14:paraId="3926FA45" w14:textId="77777777" w:rsidR="006D4D74" w:rsidRPr="006B29D8" w:rsidRDefault="006D4D74" w:rsidP="006D4D74">
      <w:pPr>
        <w:pStyle w:val="Amainreturn"/>
      </w:pPr>
      <w:r w:rsidRPr="006B29D8">
        <w:t>An authorised officer must not remain at premises entered under this part if the officer does not produce their identity card when asked by the occupier.</w:t>
      </w:r>
    </w:p>
    <w:p w14:paraId="275BEF6D" w14:textId="77777777" w:rsidR="006D4D74" w:rsidRPr="006B29D8" w:rsidRDefault="006D4D74" w:rsidP="006D4D74">
      <w:pPr>
        <w:pStyle w:val="IH5Sec"/>
      </w:pPr>
      <w:r w:rsidRPr="006B29D8">
        <w:lastRenderedPageBreak/>
        <w:t>13CB</w:t>
      </w:r>
      <w:r w:rsidRPr="006B29D8">
        <w:tab/>
        <w:t>Consent to entry</w:t>
      </w:r>
    </w:p>
    <w:p w14:paraId="0CFCF195" w14:textId="7D590AB3" w:rsidR="006D4D74" w:rsidRPr="006B29D8" w:rsidRDefault="00370538" w:rsidP="00DA3468">
      <w:pPr>
        <w:pStyle w:val="Amain"/>
        <w:keepNext/>
      </w:pPr>
      <w:r>
        <w:tab/>
      </w:r>
      <w:r w:rsidRPr="006B29D8">
        <w:t>(1)</w:t>
      </w:r>
      <w:r w:rsidRPr="006B29D8">
        <w:tab/>
      </w:r>
      <w:r w:rsidR="006D4D74" w:rsidRPr="006B29D8">
        <w:t>When seeking consent to entry under section 13C (1) (c) (Powers of authorised officer to enter premises), an authorised officer must—</w:t>
      </w:r>
    </w:p>
    <w:p w14:paraId="5ECC9175" w14:textId="77777777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produce the officer’s identity card; and</w:t>
      </w:r>
    </w:p>
    <w:p w14:paraId="68F51569" w14:textId="77777777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tell the occupier—</w:t>
      </w:r>
    </w:p>
    <w:p w14:paraId="1D434A2B" w14:textId="77777777" w:rsidR="006D4D74" w:rsidRPr="006B29D8" w:rsidRDefault="006D4D74" w:rsidP="006D4D74">
      <w:pPr>
        <w:pStyle w:val="Isubpara"/>
      </w:pPr>
      <w:r w:rsidRPr="006B29D8">
        <w:tab/>
        <w:t>(i)</w:t>
      </w:r>
      <w:r w:rsidRPr="006B29D8">
        <w:tab/>
        <w:t>the purpose of the entry; and</w:t>
      </w:r>
    </w:p>
    <w:p w14:paraId="3981121D" w14:textId="77777777" w:rsidR="006D4D74" w:rsidRPr="006B29D8" w:rsidRDefault="006D4D74" w:rsidP="006D4D74">
      <w:pPr>
        <w:pStyle w:val="Isubpara"/>
      </w:pPr>
      <w:r w:rsidRPr="006B29D8">
        <w:tab/>
        <w:t>(ii)</w:t>
      </w:r>
      <w:r w:rsidRPr="006B29D8">
        <w:tab/>
        <w:t>that anything found under this part may be used as evidence in court; and</w:t>
      </w:r>
    </w:p>
    <w:p w14:paraId="27A0A8BF" w14:textId="77777777" w:rsidR="006D4D74" w:rsidRPr="006B29D8" w:rsidRDefault="006D4D74" w:rsidP="006D4D74">
      <w:pPr>
        <w:pStyle w:val="Isubpara"/>
      </w:pPr>
      <w:r w:rsidRPr="006B29D8">
        <w:tab/>
        <w:t>(iii)</w:t>
      </w:r>
      <w:r w:rsidRPr="006B29D8">
        <w:tab/>
        <w:t>that consent may be refused.</w:t>
      </w:r>
    </w:p>
    <w:p w14:paraId="5976626E" w14:textId="3832433D" w:rsidR="006D4D74" w:rsidRPr="006B29D8" w:rsidRDefault="006D4D74" w:rsidP="006D4D74">
      <w:pPr>
        <w:pStyle w:val="IMain"/>
      </w:pPr>
      <w:r w:rsidRPr="006B29D8">
        <w:tab/>
        <w:t>(2)</w:t>
      </w:r>
      <w:r w:rsidRPr="006B29D8">
        <w:tab/>
        <w:t>If the occupier consents, the authorised officer must ask the occupier to sign a written acknowledgment of consent stating—</w:t>
      </w:r>
    </w:p>
    <w:p w14:paraId="2DAAF4E6" w14:textId="30A163AD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that the occupier was told</w:t>
      </w:r>
      <w:r w:rsidR="00774F7C" w:rsidRPr="006B29D8">
        <w:t>—</w:t>
      </w:r>
    </w:p>
    <w:p w14:paraId="1281D45A" w14:textId="77777777" w:rsidR="006D4D74" w:rsidRPr="006B29D8" w:rsidRDefault="006D4D74" w:rsidP="006D4D74">
      <w:pPr>
        <w:pStyle w:val="Isubpara"/>
      </w:pPr>
      <w:r w:rsidRPr="006B29D8">
        <w:tab/>
        <w:t>(i)</w:t>
      </w:r>
      <w:r w:rsidRPr="006B29D8">
        <w:tab/>
        <w:t>the purpose of the entry; and</w:t>
      </w:r>
    </w:p>
    <w:p w14:paraId="19BC4E66" w14:textId="77777777" w:rsidR="006D4D74" w:rsidRPr="006B29D8" w:rsidRDefault="006D4D74" w:rsidP="006D4D74">
      <w:pPr>
        <w:pStyle w:val="Isubpara"/>
      </w:pPr>
      <w:r w:rsidRPr="006B29D8">
        <w:tab/>
        <w:t>(ii)</w:t>
      </w:r>
      <w:r w:rsidRPr="006B29D8">
        <w:tab/>
        <w:t>that anything found under this part may be used as evidence in court; and</w:t>
      </w:r>
    </w:p>
    <w:p w14:paraId="68186064" w14:textId="77777777" w:rsidR="006D4D74" w:rsidRPr="006B29D8" w:rsidRDefault="006D4D74" w:rsidP="006D4D74">
      <w:pPr>
        <w:pStyle w:val="Isubpara"/>
      </w:pPr>
      <w:r w:rsidRPr="006B29D8">
        <w:tab/>
        <w:t>(iii)</w:t>
      </w:r>
      <w:r w:rsidRPr="006B29D8">
        <w:tab/>
        <w:t>that consent may be refused; and</w:t>
      </w:r>
    </w:p>
    <w:p w14:paraId="0A36C528" w14:textId="77777777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that the occupier consented to the entry; and</w:t>
      </w:r>
    </w:p>
    <w:p w14:paraId="7236476D" w14:textId="77777777" w:rsidR="006D4D74" w:rsidRPr="006B29D8" w:rsidRDefault="006D4D74" w:rsidP="006D4D74">
      <w:pPr>
        <w:pStyle w:val="Ipara"/>
      </w:pPr>
      <w:r w:rsidRPr="006B29D8">
        <w:tab/>
        <w:t>(c)</w:t>
      </w:r>
      <w:r w:rsidRPr="006B29D8">
        <w:tab/>
        <w:t>the time and date consent was given.</w:t>
      </w:r>
    </w:p>
    <w:p w14:paraId="275F0DC5" w14:textId="77777777" w:rsidR="006D4D74" w:rsidRPr="006B29D8" w:rsidRDefault="006D4D74" w:rsidP="006D4D74">
      <w:pPr>
        <w:pStyle w:val="IMain"/>
      </w:pPr>
      <w:r w:rsidRPr="006B29D8">
        <w:tab/>
        <w:t>(3)</w:t>
      </w:r>
      <w:r w:rsidRPr="006B29D8">
        <w:tab/>
        <w:t>If the occupier signs an acknowledgment of consent, the authorised officer must immediately give a copy to the occupier.</w:t>
      </w:r>
    </w:p>
    <w:p w14:paraId="04A00B12" w14:textId="77777777" w:rsidR="006D4D74" w:rsidRPr="006B29D8" w:rsidRDefault="006D4D74" w:rsidP="006D4D74">
      <w:pPr>
        <w:pStyle w:val="IMain"/>
      </w:pPr>
      <w:r w:rsidRPr="006B29D8">
        <w:tab/>
        <w:t>(4)</w:t>
      </w:r>
      <w:r w:rsidRPr="006B29D8">
        <w:tab/>
        <w:t>A court must find that an occupier did not consent if—</w:t>
      </w:r>
    </w:p>
    <w:p w14:paraId="0AD5767A" w14:textId="77777777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a question arises in a proceeding before the court about whether the occupier consented to the authorised officer entering the premises under this part; and</w:t>
      </w:r>
    </w:p>
    <w:p w14:paraId="3A2EDDFE" w14:textId="1AE5E9A6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an acknowledgment of consent is not produced in evidence; and</w:t>
      </w:r>
    </w:p>
    <w:p w14:paraId="3307318A" w14:textId="77777777" w:rsidR="006D4D74" w:rsidRPr="006B29D8" w:rsidRDefault="006D4D74" w:rsidP="006D4D74">
      <w:pPr>
        <w:pStyle w:val="Ipara"/>
      </w:pPr>
      <w:r w:rsidRPr="006B29D8">
        <w:tab/>
        <w:t>(c)</w:t>
      </w:r>
      <w:r w:rsidRPr="006B29D8">
        <w:tab/>
        <w:t>it is not proved that the occupier consented to the entry.</w:t>
      </w:r>
    </w:p>
    <w:p w14:paraId="360453EC" w14:textId="77777777" w:rsidR="006D4D74" w:rsidRPr="006B29D8" w:rsidRDefault="006D4D74" w:rsidP="006D4D74">
      <w:pPr>
        <w:pStyle w:val="IH5Sec"/>
      </w:pPr>
      <w:r w:rsidRPr="006B29D8">
        <w:lastRenderedPageBreak/>
        <w:t>13CC</w:t>
      </w:r>
      <w:r w:rsidRPr="006B29D8">
        <w:tab/>
        <w:t>Power to obtain, inspect and copy information</w:t>
      </w:r>
    </w:p>
    <w:p w14:paraId="5F1467F0" w14:textId="77777777" w:rsidR="006D4D74" w:rsidRPr="006B29D8" w:rsidRDefault="006D4D74" w:rsidP="006D4D74">
      <w:pPr>
        <w:pStyle w:val="IMain"/>
      </w:pPr>
      <w:r w:rsidRPr="006B29D8">
        <w:tab/>
        <w:t>(1)</w:t>
      </w:r>
      <w:r w:rsidRPr="006B29D8">
        <w:tab/>
        <w:t>An authorised officer may, in writing, direct a person to give the officer information, a document or other thing within a stated reasonable period if the information, document or thing is reasonably required by the officer for this Act.</w:t>
      </w:r>
    </w:p>
    <w:p w14:paraId="2CE44EE9" w14:textId="429DD5E7" w:rsidR="006D4D74" w:rsidRPr="006B29D8" w:rsidRDefault="006D4D74" w:rsidP="006D4D74">
      <w:pPr>
        <w:pStyle w:val="IMain"/>
      </w:pPr>
      <w:r w:rsidRPr="006B29D8">
        <w:tab/>
        <w:t>(2)</w:t>
      </w:r>
      <w:r w:rsidRPr="006B29D8">
        <w:tab/>
        <w:t>An authorised officer who enters premises under this part may do 1</w:t>
      </w:r>
      <w:r w:rsidR="00F91264" w:rsidRPr="006B29D8">
        <w:t> </w:t>
      </w:r>
      <w:r w:rsidRPr="006B29D8">
        <w:t>or more of the following in relation to the premises or anyone at the premises:</w:t>
      </w:r>
    </w:p>
    <w:p w14:paraId="4DB409A0" w14:textId="77777777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examine anything;</w:t>
      </w:r>
    </w:p>
    <w:p w14:paraId="0EE215D2" w14:textId="77777777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take images, make audio or video recordings or any other kind of record;</w:t>
      </w:r>
    </w:p>
    <w:p w14:paraId="126BD2D6" w14:textId="77777777" w:rsidR="006D4D74" w:rsidRPr="006B29D8" w:rsidRDefault="006D4D74" w:rsidP="006D4D74">
      <w:pPr>
        <w:pStyle w:val="Ipara"/>
      </w:pPr>
      <w:r w:rsidRPr="006B29D8">
        <w:tab/>
        <w:t>(c)</w:t>
      </w:r>
      <w:r w:rsidRPr="006B29D8">
        <w:tab/>
        <w:t>if reasonably required by the authorised officer to exercise a power under this part, direct the occupier or anyone at the premises to do 1 or more of the following:</w:t>
      </w:r>
    </w:p>
    <w:p w14:paraId="4D842266" w14:textId="77777777" w:rsidR="006D4D74" w:rsidRPr="006B29D8" w:rsidRDefault="006D4D74" w:rsidP="006D4D74">
      <w:pPr>
        <w:pStyle w:val="Isubpara"/>
      </w:pPr>
      <w:r w:rsidRPr="006B29D8">
        <w:tab/>
        <w:t>(i)</w:t>
      </w:r>
      <w:r w:rsidRPr="006B29D8">
        <w:tab/>
        <w:t>give information, a document or other thing (including information, a document or a thing not at the premises);</w:t>
      </w:r>
    </w:p>
    <w:p w14:paraId="612887E8" w14:textId="77777777" w:rsidR="006D4D74" w:rsidRPr="006B29D8" w:rsidRDefault="006D4D74" w:rsidP="006D4D74">
      <w:pPr>
        <w:pStyle w:val="Isubpara"/>
      </w:pPr>
      <w:r w:rsidRPr="006B29D8">
        <w:tab/>
        <w:t>(ii)</w:t>
      </w:r>
      <w:r w:rsidRPr="006B29D8">
        <w:tab/>
        <w:t>produce a document or other thing (including a document or other thing not at the premises);</w:t>
      </w:r>
    </w:p>
    <w:p w14:paraId="6AF2BBDA" w14:textId="77777777" w:rsidR="006D4D74" w:rsidRPr="006B29D8" w:rsidRDefault="006D4D74" w:rsidP="006D4D74">
      <w:pPr>
        <w:pStyle w:val="Isubpara"/>
      </w:pPr>
      <w:r w:rsidRPr="006B29D8">
        <w:tab/>
        <w:t>(iii)</w:t>
      </w:r>
      <w:r w:rsidRPr="006B29D8">
        <w:tab/>
        <w:t>answer a question;</w:t>
      </w:r>
    </w:p>
    <w:p w14:paraId="7D1D7B99" w14:textId="77777777" w:rsidR="006D4D74" w:rsidRPr="006B29D8" w:rsidRDefault="006D4D74" w:rsidP="006D4D74">
      <w:pPr>
        <w:pStyle w:val="Isubpara"/>
      </w:pPr>
      <w:r w:rsidRPr="006B29D8">
        <w:tab/>
        <w:t>(iv)</w:t>
      </w:r>
      <w:r w:rsidRPr="006B29D8">
        <w:tab/>
        <w:t>give the authorised officer reasonable help to exercise a power under this part.</w:t>
      </w:r>
    </w:p>
    <w:p w14:paraId="6F1BA1E0" w14:textId="0ABB716A" w:rsidR="006D4D74" w:rsidRPr="006B29D8" w:rsidRDefault="006D4D74" w:rsidP="006D4D74">
      <w:pPr>
        <w:pStyle w:val="aNote"/>
      </w:pPr>
      <w:r w:rsidRPr="006B29D8">
        <w:rPr>
          <w:rStyle w:val="charItals"/>
        </w:rPr>
        <w:t>Note</w:t>
      </w:r>
      <w:r w:rsidRPr="006B29D8">
        <w:rPr>
          <w:rStyle w:val="charItals"/>
        </w:rPr>
        <w:tab/>
      </w:r>
      <w:r w:rsidRPr="006B29D8">
        <w:t xml:space="preserve">The </w:t>
      </w:r>
      <w:hyperlink r:id="rId26" w:tooltip="A2001-14" w:history="1">
        <w:r w:rsidR="008E080E" w:rsidRPr="006B29D8">
          <w:rPr>
            <w:rStyle w:val="charCitHyperlinkAbbrev"/>
          </w:rPr>
          <w:t>Legislation Act</w:t>
        </w:r>
      </w:hyperlink>
      <w:r w:rsidRPr="006B29D8">
        <w:t>, s 171 deals with the application of client legal privilege.</w:t>
      </w:r>
    </w:p>
    <w:p w14:paraId="121E13FA" w14:textId="36D72C02" w:rsidR="006D4D74" w:rsidRPr="006B29D8" w:rsidRDefault="006D4D74" w:rsidP="006D4D74">
      <w:pPr>
        <w:pStyle w:val="IMain"/>
      </w:pPr>
      <w:r w:rsidRPr="006B29D8">
        <w:tab/>
        <w:t>(3)</w:t>
      </w:r>
      <w:r w:rsidRPr="006B29D8">
        <w:tab/>
        <w:t>A person must take all reasonable steps to comply with a direction given under subsection</w:t>
      </w:r>
      <w:r w:rsidR="006C47C5" w:rsidRPr="006B29D8">
        <w:t xml:space="preserve"> </w:t>
      </w:r>
      <w:r w:rsidRPr="006B29D8">
        <w:t>(1) or (2)</w:t>
      </w:r>
      <w:r w:rsidR="006C47C5" w:rsidRPr="006B29D8">
        <w:t xml:space="preserve"> </w:t>
      </w:r>
      <w:r w:rsidRPr="006B29D8">
        <w:t>(c).</w:t>
      </w:r>
    </w:p>
    <w:p w14:paraId="26F10C34" w14:textId="77777777" w:rsidR="006D4D74" w:rsidRPr="006B29D8" w:rsidRDefault="006D4D74" w:rsidP="006D4D74">
      <w:pPr>
        <w:pStyle w:val="Penalty"/>
      </w:pPr>
      <w:r w:rsidRPr="006B29D8">
        <w:t>Maximum penalty:  50 penalty units.</w:t>
      </w:r>
    </w:p>
    <w:p w14:paraId="086DEB14" w14:textId="77777777" w:rsidR="006D4D74" w:rsidRPr="006B29D8" w:rsidRDefault="006D4D74" w:rsidP="006D4D74">
      <w:pPr>
        <w:pStyle w:val="IH5Sec"/>
      </w:pPr>
      <w:r w:rsidRPr="006B29D8">
        <w:lastRenderedPageBreak/>
        <w:t>13CD</w:t>
      </w:r>
      <w:r w:rsidRPr="006B29D8">
        <w:tab/>
        <w:t>Abrogation of privilege against self-incrimination</w:t>
      </w:r>
    </w:p>
    <w:p w14:paraId="7BE01CFA" w14:textId="5A5B53C9" w:rsidR="006D4D74" w:rsidRPr="006B29D8" w:rsidRDefault="006D4D74" w:rsidP="006D4D74">
      <w:pPr>
        <w:pStyle w:val="IMain"/>
      </w:pPr>
      <w:r w:rsidRPr="006B29D8">
        <w:tab/>
        <w:t>(1)</w:t>
      </w:r>
      <w:r w:rsidRPr="006B29D8">
        <w:tab/>
        <w:t xml:space="preserve">If an authorised officer </w:t>
      </w:r>
      <w:r w:rsidR="00F14F3A" w:rsidRPr="006B29D8">
        <w:t>directs a person</w:t>
      </w:r>
      <w:r w:rsidRPr="006B29D8">
        <w:t xml:space="preserve"> to answer a question or to give information, a document or other thing under this part, the person is not excused from complying with the direction on the ground that doing so may—</w:t>
      </w:r>
    </w:p>
    <w:p w14:paraId="5FC4A44B" w14:textId="77777777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tend to incriminate the person; or</w:t>
      </w:r>
    </w:p>
    <w:p w14:paraId="15DFCCA8" w14:textId="77777777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expose the person to civil penalty.</w:t>
      </w:r>
    </w:p>
    <w:p w14:paraId="45BB02BA" w14:textId="77777777" w:rsidR="006D4D74" w:rsidRPr="006B29D8" w:rsidRDefault="006D4D74" w:rsidP="006D4D74">
      <w:pPr>
        <w:pStyle w:val="IMain"/>
      </w:pPr>
      <w:r w:rsidRPr="006B29D8">
        <w:tab/>
        <w:t>(2)</w:t>
      </w:r>
      <w:r w:rsidRPr="006B29D8">
        <w:tab/>
        <w:t>However, any information, document or thing obtained, directly or indirectly, because of the person’s compliance with the direction is not admissible in evidence against the person in a civil or criminal proceeding, other than a proceeding for an offence arising out of the false or misleading nature of the information, document or thing.</w:t>
      </w:r>
    </w:p>
    <w:p w14:paraId="32646E2A" w14:textId="77777777" w:rsidR="006D4D74" w:rsidRPr="006B29D8" w:rsidRDefault="006D4D74" w:rsidP="006D4D74">
      <w:pPr>
        <w:pStyle w:val="IH5Sec"/>
      </w:pPr>
      <w:r w:rsidRPr="006B29D8">
        <w:t>13CE</w:t>
      </w:r>
      <w:r w:rsidRPr="006B29D8">
        <w:tab/>
        <w:t>Warning to be given</w:t>
      </w:r>
    </w:p>
    <w:p w14:paraId="51E31DDE" w14:textId="77777777" w:rsidR="006D4D74" w:rsidRPr="006B29D8" w:rsidRDefault="006D4D74" w:rsidP="006D4D74">
      <w:pPr>
        <w:pStyle w:val="IMain"/>
      </w:pPr>
      <w:r w:rsidRPr="006B29D8">
        <w:tab/>
        <w:t>(1)</w:t>
      </w:r>
      <w:r w:rsidRPr="006B29D8">
        <w:tab/>
        <w:t>Before directing a person under section 13CC, an authorised officer must warn the person about the effect of—</w:t>
      </w:r>
    </w:p>
    <w:p w14:paraId="10FDBAF9" w14:textId="77777777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section 13CC (3); and</w:t>
      </w:r>
    </w:p>
    <w:p w14:paraId="70FA9674" w14:textId="77777777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section 13CD.</w:t>
      </w:r>
    </w:p>
    <w:p w14:paraId="586AE297" w14:textId="77777777" w:rsidR="006D4D74" w:rsidRPr="006B29D8" w:rsidRDefault="006D4D74" w:rsidP="006D4D74">
      <w:pPr>
        <w:pStyle w:val="IMain"/>
      </w:pPr>
      <w:r w:rsidRPr="006B29D8">
        <w:tab/>
        <w:t>(2)</w:t>
      </w:r>
      <w:r w:rsidRPr="006B29D8">
        <w:tab/>
        <w:t>It is not an offence for an individual to fail to comply with a direction on the ground that the question, information or document might tend to incriminate the individual, unless the individual was first given the warning in subsection (1) (b).</w:t>
      </w:r>
    </w:p>
    <w:p w14:paraId="267BDDFD" w14:textId="592392A1" w:rsidR="007F42D1" w:rsidRPr="006B29D8" w:rsidRDefault="00370538" w:rsidP="00370538">
      <w:pPr>
        <w:pStyle w:val="AH5Sec"/>
        <w:shd w:val="pct25" w:color="auto" w:fill="auto"/>
      </w:pPr>
      <w:bookmarkStart w:id="17" w:name="_Toc207200686"/>
      <w:r w:rsidRPr="00370538">
        <w:rPr>
          <w:rStyle w:val="CharSectNo"/>
        </w:rPr>
        <w:lastRenderedPageBreak/>
        <w:t>12</w:t>
      </w:r>
      <w:r w:rsidRPr="006B29D8">
        <w:tab/>
      </w:r>
      <w:r w:rsidR="007F42D1" w:rsidRPr="006B29D8">
        <w:t>Dictionary, new definitions</w:t>
      </w:r>
      <w:bookmarkEnd w:id="17"/>
    </w:p>
    <w:p w14:paraId="7E54898C" w14:textId="7C970075" w:rsidR="007F42D1" w:rsidRPr="006B29D8" w:rsidRDefault="007F42D1" w:rsidP="007F42D1">
      <w:pPr>
        <w:pStyle w:val="direction"/>
      </w:pPr>
      <w:r w:rsidRPr="006B29D8">
        <w:t>insert</w:t>
      </w:r>
    </w:p>
    <w:p w14:paraId="4BE44F27" w14:textId="4425A1B3" w:rsidR="007F42D1" w:rsidRPr="006B29D8" w:rsidRDefault="00065A98" w:rsidP="00370538">
      <w:pPr>
        <w:pStyle w:val="aDef"/>
        <w:keepNext/>
      </w:pPr>
      <w:r w:rsidRPr="006B29D8">
        <w:rPr>
          <w:rStyle w:val="charBoldItals"/>
        </w:rPr>
        <w:t>at</w:t>
      </w:r>
      <w:r w:rsidRPr="006B29D8">
        <w:t xml:space="preserve"> premises</w:t>
      </w:r>
      <w:r w:rsidR="000F2B58" w:rsidRPr="006B29D8">
        <w:t>, for part 3 (Administration and enforcement)—see section 12A.</w:t>
      </w:r>
    </w:p>
    <w:p w14:paraId="7BE2B28D" w14:textId="407EE10F" w:rsidR="000F2B58" w:rsidRPr="006B29D8" w:rsidRDefault="000F2B58" w:rsidP="00370538">
      <w:pPr>
        <w:pStyle w:val="aDef"/>
        <w:keepNext/>
        <w:rPr>
          <w:bCs/>
          <w:iCs/>
        </w:rPr>
      </w:pPr>
      <w:r w:rsidRPr="006B29D8">
        <w:rPr>
          <w:rStyle w:val="charBoldItals"/>
        </w:rPr>
        <w:t>occupier</w:t>
      </w:r>
      <w:r w:rsidR="00086261" w:rsidRPr="006B29D8">
        <w:rPr>
          <w:rStyle w:val="charBoldItals"/>
          <w:b w:val="0"/>
          <w:bCs/>
          <w:i w:val="0"/>
          <w:iCs/>
        </w:rPr>
        <w:t>,</w:t>
      </w:r>
      <w:r w:rsidRPr="006B29D8">
        <w:rPr>
          <w:bCs/>
          <w:iCs/>
        </w:rPr>
        <w:t xml:space="preserve"> of premises, for part 3 (Administration and enforcement)</w:t>
      </w:r>
      <w:r w:rsidR="00F13B26" w:rsidRPr="006B29D8">
        <w:rPr>
          <w:bCs/>
          <w:iCs/>
        </w:rPr>
        <w:t>—</w:t>
      </w:r>
      <w:r w:rsidRPr="006B29D8">
        <w:rPr>
          <w:bCs/>
          <w:iCs/>
        </w:rPr>
        <w:t>see section 12A.</w:t>
      </w:r>
    </w:p>
    <w:p w14:paraId="3819E07F" w14:textId="43795C18" w:rsidR="000F2B58" w:rsidRPr="006B29D8" w:rsidRDefault="000F2B58" w:rsidP="00370538">
      <w:pPr>
        <w:pStyle w:val="aDef"/>
        <w:rPr>
          <w:bCs/>
          <w:iCs/>
        </w:rPr>
      </w:pPr>
      <w:r w:rsidRPr="006B29D8">
        <w:rPr>
          <w:rStyle w:val="charBoldItals"/>
        </w:rPr>
        <w:t>premises</w:t>
      </w:r>
      <w:r w:rsidRPr="006B29D8">
        <w:rPr>
          <w:bCs/>
          <w:iCs/>
        </w:rPr>
        <w:t>, for part 3 (Administration and enforcement)—see section</w:t>
      </w:r>
      <w:r w:rsidR="00F91264" w:rsidRPr="006B29D8">
        <w:rPr>
          <w:bCs/>
          <w:iCs/>
        </w:rPr>
        <w:t> </w:t>
      </w:r>
      <w:r w:rsidRPr="006B29D8">
        <w:rPr>
          <w:bCs/>
          <w:iCs/>
        </w:rPr>
        <w:t>12A.</w:t>
      </w:r>
    </w:p>
    <w:p w14:paraId="17839DD7" w14:textId="77777777" w:rsidR="006D4D74" w:rsidRPr="006B29D8" w:rsidRDefault="006D4D74" w:rsidP="00370538">
      <w:pPr>
        <w:pStyle w:val="PageBreak"/>
        <w:suppressLineNumbers/>
      </w:pPr>
      <w:r w:rsidRPr="006B29D8">
        <w:br w:type="page"/>
      </w:r>
    </w:p>
    <w:p w14:paraId="2F4AF28F" w14:textId="06F3FC52" w:rsidR="006D4D74" w:rsidRPr="00370538" w:rsidRDefault="00370538" w:rsidP="00370538">
      <w:pPr>
        <w:pStyle w:val="AH2Part"/>
      </w:pPr>
      <w:bookmarkStart w:id="18" w:name="_Toc207200687"/>
      <w:r w:rsidRPr="00370538">
        <w:rPr>
          <w:rStyle w:val="CharPartNo"/>
        </w:rPr>
        <w:lastRenderedPageBreak/>
        <w:t>Part 5</w:t>
      </w:r>
      <w:r w:rsidRPr="006B29D8">
        <w:tab/>
      </w:r>
      <w:r w:rsidR="006D4D74" w:rsidRPr="00370538">
        <w:rPr>
          <w:rStyle w:val="CharPartText"/>
        </w:rPr>
        <w:t>Long Service Leave (Portable Schemes) Act</w:t>
      </w:r>
      <w:r w:rsidR="00FF67A1" w:rsidRPr="00370538">
        <w:rPr>
          <w:rStyle w:val="CharPartText"/>
        </w:rPr>
        <w:t> </w:t>
      </w:r>
      <w:r w:rsidR="006D4D74" w:rsidRPr="00370538">
        <w:rPr>
          <w:rStyle w:val="CharPartText"/>
        </w:rPr>
        <w:t>2009</w:t>
      </w:r>
      <w:bookmarkEnd w:id="18"/>
    </w:p>
    <w:p w14:paraId="2AFE142B" w14:textId="4C878B33" w:rsidR="00065A98" w:rsidRPr="006B29D8" w:rsidRDefault="00370538" w:rsidP="00370538">
      <w:pPr>
        <w:pStyle w:val="AH5Sec"/>
        <w:shd w:val="pct25" w:color="auto" w:fill="auto"/>
      </w:pPr>
      <w:bookmarkStart w:id="19" w:name="_Toc207200688"/>
      <w:r w:rsidRPr="00370538">
        <w:rPr>
          <w:rStyle w:val="CharSectNo"/>
        </w:rPr>
        <w:t>13</w:t>
      </w:r>
      <w:r w:rsidRPr="006B29D8">
        <w:tab/>
      </w:r>
      <w:r w:rsidR="00065A98" w:rsidRPr="006B29D8">
        <w:t xml:space="preserve">Who is an </w:t>
      </w:r>
      <w:r w:rsidR="00065A98" w:rsidRPr="006B29D8">
        <w:rPr>
          <w:rStyle w:val="charItals"/>
        </w:rPr>
        <w:t>employer</w:t>
      </w:r>
      <w:r w:rsidR="00065A98" w:rsidRPr="006B29D8">
        <w:t>?</w:t>
      </w:r>
      <w:r w:rsidR="00065A98" w:rsidRPr="006B29D8">
        <w:br/>
        <w:t>Section 7 (1)</w:t>
      </w:r>
      <w:r w:rsidR="00E45A71" w:rsidRPr="006B29D8">
        <w:t xml:space="preserve"> (a)</w:t>
      </w:r>
      <w:bookmarkEnd w:id="19"/>
    </w:p>
    <w:p w14:paraId="3BCE8E25" w14:textId="4EB23509" w:rsidR="00E45A71" w:rsidRPr="006B29D8" w:rsidRDefault="00E45A71" w:rsidP="00065A98">
      <w:pPr>
        <w:pStyle w:val="direction"/>
      </w:pPr>
      <w:r w:rsidRPr="006B29D8">
        <w:t>substitute</w:t>
      </w:r>
    </w:p>
    <w:p w14:paraId="6FD5737B" w14:textId="47E7B8FC" w:rsidR="00E45A71" w:rsidRPr="006B29D8" w:rsidRDefault="00E45A71" w:rsidP="00E45A71">
      <w:pPr>
        <w:pStyle w:val="Ipara"/>
      </w:pPr>
      <w:r w:rsidRPr="006B29D8">
        <w:tab/>
        <w:t>(a)</w:t>
      </w:r>
      <w:r w:rsidRPr="006B29D8">
        <w:tab/>
        <w:t>either—</w:t>
      </w:r>
    </w:p>
    <w:p w14:paraId="5234CA60" w14:textId="5624EE20" w:rsidR="00E45A71" w:rsidRPr="006B29D8" w:rsidRDefault="00E45A71" w:rsidP="00E45A71">
      <w:pPr>
        <w:pStyle w:val="Isubpara"/>
      </w:pPr>
      <w:r w:rsidRPr="006B29D8">
        <w:tab/>
        <w:t>(</w:t>
      </w:r>
      <w:r w:rsidR="008D2BCE" w:rsidRPr="006B29D8">
        <w:t>i</w:t>
      </w:r>
      <w:r w:rsidRPr="006B29D8">
        <w:t>)</w:t>
      </w:r>
      <w:r w:rsidRPr="006B29D8">
        <w:tab/>
        <w:t>for the hairdressing and beauty services industry or the accommodation and food services industry—conducts business in the ACT for the predominant purpose of engaging in the industry; or</w:t>
      </w:r>
    </w:p>
    <w:p w14:paraId="0B8AB2EA" w14:textId="6DA431C2" w:rsidR="00E45A71" w:rsidRPr="006B29D8" w:rsidRDefault="00E45A71" w:rsidP="00E45A71">
      <w:pPr>
        <w:pStyle w:val="Isubpara"/>
      </w:pPr>
      <w:r w:rsidRPr="006B29D8">
        <w:tab/>
        <w:t>(</w:t>
      </w:r>
      <w:r w:rsidR="008D2BCE" w:rsidRPr="006B29D8">
        <w:t>ii</w:t>
      </w:r>
      <w:r w:rsidRPr="006B29D8">
        <w:t>)</w:t>
      </w:r>
      <w:r w:rsidRPr="006B29D8">
        <w:tab/>
        <w:t>for any other industry—engages, in any way and to any extent, in the industry in the ACT</w:t>
      </w:r>
      <w:r w:rsidR="008D2BCE" w:rsidRPr="006B29D8">
        <w:t>; and</w:t>
      </w:r>
    </w:p>
    <w:p w14:paraId="34604BD1" w14:textId="07F491BC" w:rsidR="009608B8" w:rsidRPr="006B29D8" w:rsidRDefault="00370538" w:rsidP="00370538">
      <w:pPr>
        <w:pStyle w:val="AH5Sec"/>
        <w:shd w:val="pct25" w:color="auto" w:fill="auto"/>
      </w:pPr>
      <w:bookmarkStart w:id="20" w:name="_Toc207200689"/>
      <w:r w:rsidRPr="00370538">
        <w:rPr>
          <w:rStyle w:val="CharSectNo"/>
        </w:rPr>
        <w:t>14</w:t>
      </w:r>
      <w:r w:rsidRPr="006B29D8">
        <w:tab/>
      </w:r>
      <w:r w:rsidR="009608B8" w:rsidRPr="006B29D8">
        <w:t>Declarations by Minister</w:t>
      </w:r>
      <w:r w:rsidR="00A52C32" w:rsidRPr="006B29D8">
        <w:t>—additional coverage of Act</w:t>
      </w:r>
      <w:r w:rsidR="00A52C32" w:rsidRPr="006B29D8">
        <w:br/>
        <w:t>Section 12 (4) (b)</w:t>
      </w:r>
      <w:bookmarkEnd w:id="20"/>
    </w:p>
    <w:p w14:paraId="484DEFDA" w14:textId="71915704" w:rsidR="00A52C32" w:rsidRPr="006B29D8" w:rsidRDefault="00A52C32" w:rsidP="00A52C32">
      <w:pPr>
        <w:pStyle w:val="direction"/>
        <w:keepNext w:val="0"/>
      </w:pPr>
      <w:r w:rsidRPr="006B29D8">
        <w:t>omit</w:t>
      </w:r>
    </w:p>
    <w:p w14:paraId="6F4541FE" w14:textId="6551A35A" w:rsidR="006D4D74" w:rsidRPr="006B29D8" w:rsidRDefault="00370538" w:rsidP="00370538">
      <w:pPr>
        <w:pStyle w:val="AH5Sec"/>
        <w:shd w:val="pct25" w:color="auto" w:fill="auto"/>
      </w:pPr>
      <w:bookmarkStart w:id="21" w:name="_Toc207200690"/>
      <w:r w:rsidRPr="00370538">
        <w:rPr>
          <w:rStyle w:val="CharSectNo"/>
        </w:rPr>
        <w:t>15</w:t>
      </w:r>
      <w:r w:rsidRPr="006B29D8">
        <w:tab/>
      </w:r>
      <w:r w:rsidR="006D4D74" w:rsidRPr="006B29D8">
        <w:t>Warning to be given</w:t>
      </w:r>
      <w:r w:rsidR="006D4D74" w:rsidRPr="006B29D8">
        <w:br/>
        <w:t>Section 76B (1)</w:t>
      </w:r>
      <w:bookmarkEnd w:id="21"/>
    </w:p>
    <w:p w14:paraId="4F019918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0B5B163F" w14:textId="77777777" w:rsidR="006D4D74" w:rsidRPr="006B29D8" w:rsidRDefault="006D4D74" w:rsidP="006D4D74">
      <w:pPr>
        <w:pStyle w:val="IMain"/>
      </w:pPr>
      <w:r w:rsidRPr="006B29D8">
        <w:tab/>
        <w:t>(1)</w:t>
      </w:r>
      <w:r w:rsidRPr="006B29D8">
        <w:tab/>
        <w:t>Before making a requirement of a person under section 76, an inspector must warn the person about the effect of—</w:t>
      </w:r>
    </w:p>
    <w:p w14:paraId="40713146" w14:textId="77777777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section 76 (3); and</w:t>
      </w:r>
    </w:p>
    <w:p w14:paraId="517C21B8" w14:textId="77777777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section 76A.</w:t>
      </w:r>
    </w:p>
    <w:p w14:paraId="22268123" w14:textId="6EA25988" w:rsidR="006D4D74" w:rsidRPr="006B29D8" w:rsidRDefault="00370538" w:rsidP="00370538">
      <w:pPr>
        <w:pStyle w:val="AH5Sec"/>
        <w:shd w:val="pct25" w:color="auto" w:fill="auto"/>
      </w:pPr>
      <w:bookmarkStart w:id="22" w:name="_Toc207200691"/>
      <w:r w:rsidRPr="00370538">
        <w:rPr>
          <w:rStyle w:val="CharSectNo"/>
        </w:rPr>
        <w:lastRenderedPageBreak/>
        <w:t>16</w:t>
      </w:r>
      <w:r w:rsidRPr="006B29D8">
        <w:tab/>
      </w:r>
      <w:r w:rsidR="006D4D74" w:rsidRPr="006B29D8">
        <w:t>Payment for leave—building and construction industry</w:t>
      </w:r>
      <w:r w:rsidR="006D4D74" w:rsidRPr="006B29D8">
        <w:br/>
        <w:t>Schedule 1, section 1.9 (3)</w:t>
      </w:r>
      <w:bookmarkEnd w:id="22"/>
    </w:p>
    <w:p w14:paraId="3A34E7C5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1AAC320E" w14:textId="157CA54F" w:rsidR="006D4D74" w:rsidRPr="006B29D8" w:rsidRDefault="006D4D74" w:rsidP="006D4D74">
      <w:pPr>
        <w:pStyle w:val="IMain"/>
      </w:pPr>
      <w:r w:rsidRPr="006B29D8">
        <w:tab/>
        <w:t>(3)</w:t>
      </w:r>
      <w:r w:rsidRPr="006B29D8">
        <w:tab/>
        <w:t>The authority must pay an applicant any amount payable under subsection</w:t>
      </w:r>
      <w:r w:rsidR="00F91264" w:rsidRPr="006B29D8">
        <w:t> </w:t>
      </w:r>
      <w:r w:rsidRPr="006B29D8">
        <w:t>(2)—</w:t>
      </w:r>
    </w:p>
    <w:p w14:paraId="5B09137C" w14:textId="77777777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if agreed between the worker and the authority—in the 14-day period before the day the long service leave starts; or</w:t>
      </w:r>
    </w:p>
    <w:p w14:paraId="063D5212" w14:textId="77777777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in any other case—within 21 days after the day the worker’s application was made.</w:t>
      </w:r>
    </w:p>
    <w:p w14:paraId="79821DBB" w14:textId="2A829532" w:rsidR="006D4D74" w:rsidRPr="006B29D8" w:rsidRDefault="00370538" w:rsidP="00370538">
      <w:pPr>
        <w:pStyle w:val="AH5Sec"/>
        <w:shd w:val="pct25" w:color="auto" w:fill="auto"/>
      </w:pPr>
      <w:bookmarkStart w:id="23" w:name="_Toc207200692"/>
      <w:r w:rsidRPr="00370538">
        <w:rPr>
          <w:rStyle w:val="CharSectNo"/>
        </w:rPr>
        <w:t>17</w:t>
      </w:r>
      <w:r w:rsidRPr="006B29D8">
        <w:tab/>
      </w:r>
      <w:r w:rsidR="006D4D74" w:rsidRPr="006B29D8">
        <w:t xml:space="preserve">What is the </w:t>
      </w:r>
      <w:r w:rsidR="006D4D74" w:rsidRPr="006B29D8">
        <w:rPr>
          <w:rStyle w:val="charItals"/>
        </w:rPr>
        <w:t>services industry</w:t>
      </w:r>
      <w:r w:rsidR="006D4D74" w:rsidRPr="006B29D8">
        <w:t>?</w:t>
      </w:r>
      <w:r w:rsidR="006D4D74" w:rsidRPr="006B29D8">
        <w:br/>
        <w:t>Schedule 2, section 2.1 (1) (a) (i)</w:t>
      </w:r>
      <w:bookmarkEnd w:id="23"/>
    </w:p>
    <w:p w14:paraId="0FBB7AAF" w14:textId="77777777" w:rsidR="006D4D74" w:rsidRPr="006B29D8" w:rsidRDefault="006D4D74" w:rsidP="006D4D74">
      <w:pPr>
        <w:pStyle w:val="direction"/>
      </w:pPr>
      <w:r w:rsidRPr="006B29D8">
        <w:t>omit</w:t>
      </w:r>
    </w:p>
    <w:p w14:paraId="265E46D8" w14:textId="77777777" w:rsidR="006D4D74" w:rsidRPr="006B29D8" w:rsidRDefault="006D4D74" w:rsidP="006D4D74">
      <w:pPr>
        <w:pStyle w:val="Amainreturn"/>
      </w:pPr>
      <w:r w:rsidRPr="006B29D8">
        <w:rPr>
          <w:rStyle w:val="charBoldItals"/>
        </w:rPr>
        <w:t>cleaning services industry</w:t>
      </w:r>
    </w:p>
    <w:p w14:paraId="09D099F3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22AEABB6" w14:textId="77777777" w:rsidR="006D4D74" w:rsidRPr="006B29D8" w:rsidRDefault="006D4D74" w:rsidP="006D4D74">
      <w:pPr>
        <w:pStyle w:val="Amainreturn"/>
        <w:rPr>
          <w:rStyle w:val="charBoldItals"/>
        </w:rPr>
      </w:pPr>
      <w:r w:rsidRPr="006B29D8">
        <w:rPr>
          <w:rStyle w:val="charBoldItals"/>
        </w:rPr>
        <w:t>contract cleaning services industry</w:t>
      </w:r>
    </w:p>
    <w:p w14:paraId="301B81B0" w14:textId="62712AC4" w:rsidR="006D4D74" w:rsidRPr="006B29D8" w:rsidRDefault="00370538" w:rsidP="00370538">
      <w:pPr>
        <w:pStyle w:val="AH5Sec"/>
        <w:shd w:val="pct25" w:color="auto" w:fill="auto"/>
      </w:pPr>
      <w:bookmarkStart w:id="24" w:name="_Toc207200693"/>
      <w:r w:rsidRPr="00370538">
        <w:rPr>
          <w:rStyle w:val="CharSectNo"/>
        </w:rPr>
        <w:t>18</w:t>
      </w:r>
      <w:r w:rsidRPr="006B29D8">
        <w:tab/>
      </w:r>
      <w:r w:rsidR="006D4D74" w:rsidRPr="006B29D8">
        <w:t xml:space="preserve">What is </w:t>
      </w:r>
      <w:r w:rsidR="006D4D74" w:rsidRPr="006B29D8">
        <w:rPr>
          <w:rStyle w:val="charItals"/>
        </w:rPr>
        <w:t>services work</w:t>
      </w:r>
      <w:r w:rsidR="006D4D74" w:rsidRPr="006B29D8">
        <w:t>?</w:t>
      </w:r>
      <w:r w:rsidR="006D4D74" w:rsidRPr="006B29D8">
        <w:br/>
        <w:t xml:space="preserve">Schedule 2, section 2.2 (1), definition of </w:t>
      </w:r>
      <w:r w:rsidR="006D4D74" w:rsidRPr="006B29D8">
        <w:rPr>
          <w:rStyle w:val="charItals"/>
        </w:rPr>
        <w:t>services work</w:t>
      </w:r>
      <w:r w:rsidR="006D4D74" w:rsidRPr="006B29D8">
        <w:t>, paragraph</w:t>
      </w:r>
      <w:r w:rsidR="006C47C5" w:rsidRPr="006B29D8">
        <w:t xml:space="preserve"> </w:t>
      </w:r>
      <w:r w:rsidR="006D4D74" w:rsidRPr="006B29D8">
        <w:t>(a)</w:t>
      </w:r>
      <w:bookmarkEnd w:id="24"/>
    </w:p>
    <w:p w14:paraId="2A4B0E50" w14:textId="77777777" w:rsidR="006D4D74" w:rsidRPr="006B29D8" w:rsidRDefault="006D4D74" w:rsidP="006D4D74">
      <w:pPr>
        <w:pStyle w:val="direction"/>
      </w:pPr>
      <w:r w:rsidRPr="006B29D8">
        <w:t>omit</w:t>
      </w:r>
    </w:p>
    <w:p w14:paraId="1C70D095" w14:textId="77777777" w:rsidR="006D4D74" w:rsidRPr="006B29D8" w:rsidRDefault="006D4D74" w:rsidP="006D4D74">
      <w:pPr>
        <w:pStyle w:val="Amainreturn"/>
      </w:pPr>
      <w:r w:rsidRPr="006B29D8">
        <w:t>cleaning services</w:t>
      </w:r>
    </w:p>
    <w:p w14:paraId="2EFE9C7A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78C5BE92" w14:textId="77777777" w:rsidR="006D4D74" w:rsidRPr="006B29D8" w:rsidRDefault="006D4D74" w:rsidP="006D4D74">
      <w:pPr>
        <w:pStyle w:val="Amainreturn"/>
      </w:pPr>
      <w:r w:rsidRPr="006B29D8">
        <w:t>contract cleaning services</w:t>
      </w:r>
    </w:p>
    <w:p w14:paraId="552CE777" w14:textId="4D34175D" w:rsidR="006D4D74" w:rsidRPr="006B29D8" w:rsidRDefault="00370538" w:rsidP="00370538">
      <w:pPr>
        <w:pStyle w:val="AH5Sec"/>
        <w:shd w:val="pct25" w:color="auto" w:fill="auto"/>
        <w:rPr>
          <w:rStyle w:val="charItals"/>
        </w:rPr>
      </w:pPr>
      <w:bookmarkStart w:id="25" w:name="_Toc207200694"/>
      <w:r w:rsidRPr="00370538">
        <w:rPr>
          <w:rStyle w:val="CharSectNo"/>
        </w:rPr>
        <w:lastRenderedPageBreak/>
        <w:t>19</w:t>
      </w:r>
      <w:r w:rsidRPr="006B29D8">
        <w:rPr>
          <w:rStyle w:val="charItals"/>
          <w:i w:val="0"/>
        </w:rPr>
        <w:tab/>
      </w:r>
      <w:r w:rsidR="006D4D74" w:rsidRPr="006B29D8">
        <w:t>Schedule 2, section 2.2 (5</w:t>
      </w:r>
      <w:r w:rsidR="00D16155" w:rsidRPr="006B29D8">
        <w:t>)</w:t>
      </w:r>
      <w:bookmarkEnd w:id="25"/>
    </w:p>
    <w:p w14:paraId="36B8A6F5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4680DDAD" w14:textId="0952C4E2" w:rsidR="008D2BCE" w:rsidRPr="006B29D8" w:rsidRDefault="008D2BCE" w:rsidP="00DA3468">
      <w:pPr>
        <w:pStyle w:val="IMain"/>
        <w:keepNext/>
        <w:rPr>
          <w:rStyle w:val="charBoldItals"/>
          <w:b w:val="0"/>
          <w:i w:val="0"/>
        </w:rPr>
      </w:pPr>
      <w:r w:rsidRPr="006B29D8">
        <w:rPr>
          <w:rStyle w:val="charBoldItals"/>
          <w:b w:val="0"/>
          <w:i w:val="0"/>
        </w:rPr>
        <w:tab/>
        <w:t>(5)</w:t>
      </w:r>
      <w:r w:rsidRPr="006B29D8">
        <w:rPr>
          <w:rStyle w:val="charBoldItals"/>
          <w:b w:val="0"/>
          <w:i w:val="0"/>
        </w:rPr>
        <w:tab/>
        <w:t>In this section:</w:t>
      </w:r>
    </w:p>
    <w:p w14:paraId="213C2E70" w14:textId="0FD01315" w:rsidR="00D16155" w:rsidRPr="006B29D8" w:rsidRDefault="00D16155" w:rsidP="00370538">
      <w:pPr>
        <w:pStyle w:val="aDef"/>
        <w:rPr>
          <w:rStyle w:val="charBoldItals"/>
          <w:b w:val="0"/>
          <w:i w:val="0"/>
        </w:rPr>
      </w:pPr>
      <w:r w:rsidRPr="006B29D8">
        <w:rPr>
          <w:rStyle w:val="charBoldItals"/>
          <w:bCs/>
          <w:iCs/>
        </w:rPr>
        <w:t>ANZSIC</w:t>
      </w:r>
      <w:r w:rsidRPr="006B29D8">
        <w:rPr>
          <w:rStyle w:val="charBoldItals"/>
          <w:b w:val="0"/>
          <w:i w:val="0"/>
        </w:rPr>
        <w:t>—see section 2.</w:t>
      </w:r>
      <w:r w:rsidR="008D2BCE" w:rsidRPr="006B29D8">
        <w:rPr>
          <w:rStyle w:val="charBoldItals"/>
          <w:b w:val="0"/>
          <w:i w:val="0"/>
        </w:rPr>
        <w:t>1</w:t>
      </w:r>
      <w:r w:rsidRPr="006B29D8">
        <w:rPr>
          <w:rStyle w:val="charBoldItals"/>
          <w:b w:val="0"/>
          <w:i w:val="0"/>
        </w:rPr>
        <w:t xml:space="preserve"> (2).</w:t>
      </w:r>
    </w:p>
    <w:p w14:paraId="64E9DFF7" w14:textId="3A170C35" w:rsidR="006D4D74" w:rsidRPr="006B29D8" w:rsidRDefault="006D4D74" w:rsidP="00370538">
      <w:pPr>
        <w:pStyle w:val="aDef"/>
      </w:pPr>
      <w:r w:rsidRPr="006B29D8">
        <w:rPr>
          <w:rStyle w:val="charBoldItals"/>
        </w:rPr>
        <w:t>contract cleaning services industry</w:t>
      </w:r>
      <w:r w:rsidRPr="006B29D8">
        <w:t>—see section 2.1 (1) (a) (i).</w:t>
      </w:r>
    </w:p>
    <w:p w14:paraId="7B41F433" w14:textId="20BB518B" w:rsidR="006D4D74" w:rsidRPr="006B29D8" w:rsidRDefault="00370538" w:rsidP="00370538">
      <w:pPr>
        <w:pStyle w:val="AH5Sec"/>
        <w:shd w:val="pct25" w:color="auto" w:fill="auto"/>
      </w:pPr>
      <w:bookmarkStart w:id="26" w:name="_Toc207200695"/>
      <w:r w:rsidRPr="00370538">
        <w:rPr>
          <w:rStyle w:val="CharSectNo"/>
        </w:rPr>
        <w:t>20</w:t>
      </w:r>
      <w:r w:rsidRPr="006B29D8">
        <w:tab/>
      </w:r>
      <w:r w:rsidR="006D4D74" w:rsidRPr="006B29D8">
        <w:t>Payments for leave—services industry</w:t>
      </w:r>
      <w:r w:rsidR="006D4D74" w:rsidRPr="006B29D8">
        <w:br/>
        <w:t>Schedule 2, section 2.9 (3)</w:t>
      </w:r>
      <w:bookmarkEnd w:id="26"/>
    </w:p>
    <w:p w14:paraId="2C4230D4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025808DD" w14:textId="18EB8AB8" w:rsidR="006D4D74" w:rsidRPr="006B29D8" w:rsidRDefault="006D4D74" w:rsidP="006D4D74">
      <w:pPr>
        <w:pStyle w:val="IMain"/>
      </w:pPr>
      <w:r w:rsidRPr="006B29D8">
        <w:tab/>
        <w:t>(3)</w:t>
      </w:r>
      <w:r w:rsidRPr="006B29D8">
        <w:tab/>
        <w:t>The authority must pay an applicant any amount payable under subsection</w:t>
      </w:r>
      <w:r w:rsidR="00F91264" w:rsidRPr="006B29D8">
        <w:t> </w:t>
      </w:r>
      <w:r w:rsidRPr="006B29D8">
        <w:t>(2)—</w:t>
      </w:r>
    </w:p>
    <w:p w14:paraId="0658C395" w14:textId="77777777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if agreed between the worker and the authority—in the 14-day period before the day the long service leave starts; or</w:t>
      </w:r>
    </w:p>
    <w:p w14:paraId="1653CE93" w14:textId="77777777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in any other case—within 21 days after the day the worker’s application was made.</w:t>
      </w:r>
    </w:p>
    <w:p w14:paraId="2828A4A7" w14:textId="2463B8F5" w:rsidR="006D4D74" w:rsidRPr="006B29D8" w:rsidRDefault="00370538" w:rsidP="00370538">
      <w:pPr>
        <w:pStyle w:val="AH5Sec"/>
        <w:shd w:val="pct25" w:color="auto" w:fill="auto"/>
      </w:pPr>
      <w:bookmarkStart w:id="27" w:name="_Toc207200696"/>
      <w:r w:rsidRPr="00370538">
        <w:rPr>
          <w:rStyle w:val="CharSectNo"/>
        </w:rPr>
        <w:t>21</w:t>
      </w:r>
      <w:r w:rsidRPr="006B29D8">
        <w:tab/>
      </w:r>
      <w:r w:rsidR="006D4D74" w:rsidRPr="006B29D8">
        <w:t>Payments for leave—community sector industry</w:t>
      </w:r>
      <w:r w:rsidR="006D4D74" w:rsidRPr="006B29D8">
        <w:br/>
        <w:t>Schedule 3, section 3.10 (3)</w:t>
      </w:r>
      <w:bookmarkEnd w:id="27"/>
    </w:p>
    <w:p w14:paraId="3A415B4B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78582C6A" w14:textId="49F59DCA" w:rsidR="006D4D74" w:rsidRPr="006B29D8" w:rsidRDefault="006D4D74" w:rsidP="00DA3468">
      <w:pPr>
        <w:pStyle w:val="IMain"/>
      </w:pPr>
      <w:r w:rsidRPr="006B29D8">
        <w:tab/>
        <w:t>(3)</w:t>
      </w:r>
      <w:r w:rsidRPr="006B29D8">
        <w:tab/>
        <w:t>The authority must pay an applicant any amount payable under subsection</w:t>
      </w:r>
      <w:r w:rsidR="00356BFB" w:rsidRPr="006B29D8">
        <w:t> </w:t>
      </w:r>
      <w:r w:rsidRPr="006B29D8">
        <w:t>(2)—</w:t>
      </w:r>
    </w:p>
    <w:p w14:paraId="69ACD0B2" w14:textId="77777777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if agreed between the worker and the authority—in the 14-day period before the day the long service leave starts; or</w:t>
      </w:r>
    </w:p>
    <w:p w14:paraId="25CF35FA" w14:textId="77777777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in any other case—within 21 days after the day the worker’s application was made.</w:t>
      </w:r>
    </w:p>
    <w:p w14:paraId="19566E39" w14:textId="03065125" w:rsidR="006D4D74" w:rsidRPr="006B29D8" w:rsidRDefault="00370538" w:rsidP="00370538">
      <w:pPr>
        <w:pStyle w:val="AH5Sec"/>
        <w:shd w:val="pct25" w:color="auto" w:fill="auto"/>
      </w:pPr>
      <w:bookmarkStart w:id="28" w:name="_Toc207200697"/>
      <w:r w:rsidRPr="00370538">
        <w:rPr>
          <w:rStyle w:val="CharSectNo"/>
        </w:rPr>
        <w:lastRenderedPageBreak/>
        <w:t>22</w:t>
      </w:r>
      <w:r w:rsidRPr="006B29D8">
        <w:tab/>
      </w:r>
      <w:r w:rsidR="006D4D74" w:rsidRPr="006B29D8">
        <w:t>Payments for leave—security industry</w:t>
      </w:r>
      <w:r w:rsidR="006D4D74" w:rsidRPr="006B29D8">
        <w:br/>
        <w:t>Schedule 4, section 4.10 (3)</w:t>
      </w:r>
      <w:bookmarkEnd w:id="28"/>
    </w:p>
    <w:p w14:paraId="23CF2F3D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5E540948" w14:textId="6A2F0379" w:rsidR="006D4D74" w:rsidRPr="006B29D8" w:rsidRDefault="006D4D74" w:rsidP="006D4D74">
      <w:pPr>
        <w:pStyle w:val="IMain"/>
      </w:pPr>
      <w:r w:rsidRPr="006B29D8">
        <w:tab/>
        <w:t>(3)</w:t>
      </w:r>
      <w:r w:rsidRPr="006B29D8">
        <w:tab/>
        <w:t>The authority must pay an applicant any amount payable under subsection</w:t>
      </w:r>
      <w:r w:rsidR="00356BFB" w:rsidRPr="006B29D8">
        <w:t> </w:t>
      </w:r>
      <w:r w:rsidRPr="006B29D8">
        <w:t>(2)—</w:t>
      </w:r>
    </w:p>
    <w:p w14:paraId="58F4EBFE" w14:textId="77777777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if agreed between the worker and the authority—in the 14-day period before the day the long service leave starts; or</w:t>
      </w:r>
    </w:p>
    <w:p w14:paraId="470E4B23" w14:textId="77777777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in any other case—within 21 days after the day the worker’s application was made.</w:t>
      </w:r>
    </w:p>
    <w:p w14:paraId="6ED95829" w14:textId="0EC6FDE1" w:rsidR="00D16155" w:rsidRPr="006B29D8" w:rsidRDefault="00370538" w:rsidP="00370538">
      <w:pPr>
        <w:pStyle w:val="AH5Sec"/>
        <w:shd w:val="pct25" w:color="auto" w:fill="auto"/>
      </w:pPr>
      <w:bookmarkStart w:id="29" w:name="_Toc207200698"/>
      <w:r w:rsidRPr="00370538">
        <w:rPr>
          <w:rStyle w:val="CharSectNo"/>
        </w:rPr>
        <w:t>23</w:t>
      </w:r>
      <w:r w:rsidRPr="006B29D8">
        <w:tab/>
      </w:r>
      <w:r w:rsidR="00D16155" w:rsidRPr="006B29D8">
        <w:t>Dictionary, new definitions</w:t>
      </w:r>
      <w:bookmarkEnd w:id="29"/>
    </w:p>
    <w:p w14:paraId="483DBFFB" w14:textId="03FACC64" w:rsidR="00D16155" w:rsidRPr="006B29D8" w:rsidRDefault="00D16155" w:rsidP="00D16155">
      <w:pPr>
        <w:pStyle w:val="direction"/>
      </w:pPr>
      <w:r w:rsidRPr="006B29D8">
        <w:t>insert</w:t>
      </w:r>
    </w:p>
    <w:p w14:paraId="0B2AE17D" w14:textId="75CD1900" w:rsidR="00D16155" w:rsidRPr="006B29D8" w:rsidRDefault="00D16155" w:rsidP="00370538">
      <w:pPr>
        <w:pStyle w:val="aDef"/>
      </w:pPr>
      <w:r w:rsidRPr="006B29D8">
        <w:rPr>
          <w:b/>
          <w:i/>
        </w:rPr>
        <w:t>accommodation and food services industry</w:t>
      </w:r>
      <w:r w:rsidRPr="006B29D8">
        <w:t>—see schedule 2, section 2.1 (1) (a) (iii).</w:t>
      </w:r>
    </w:p>
    <w:p w14:paraId="69D025BA" w14:textId="63724D69" w:rsidR="00D16155" w:rsidRPr="006B29D8" w:rsidRDefault="00D16155" w:rsidP="00370538">
      <w:pPr>
        <w:pStyle w:val="aDef"/>
      </w:pPr>
      <w:r w:rsidRPr="006B29D8">
        <w:rPr>
          <w:b/>
          <w:i/>
        </w:rPr>
        <w:t>hairdressing and beauty services industry</w:t>
      </w:r>
      <w:r w:rsidRPr="006B29D8">
        <w:rPr>
          <w:bCs/>
          <w:iCs/>
        </w:rPr>
        <w:t>—see schedule 2, section 2.1 (1) (a) (ii).</w:t>
      </w:r>
    </w:p>
    <w:p w14:paraId="0A654BB8" w14:textId="77777777" w:rsidR="006D4D74" w:rsidRPr="006B29D8" w:rsidRDefault="006D4D74" w:rsidP="00370538">
      <w:pPr>
        <w:pStyle w:val="PageBreak"/>
        <w:suppressLineNumbers/>
      </w:pPr>
      <w:r w:rsidRPr="006B29D8">
        <w:br w:type="page"/>
      </w:r>
    </w:p>
    <w:p w14:paraId="6B1688B0" w14:textId="35015281" w:rsidR="006D4D74" w:rsidRPr="00370538" w:rsidRDefault="00370538" w:rsidP="00370538">
      <w:pPr>
        <w:pStyle w:val="AH2Part"/>
      </w:pPr>
      <w:bookmarkStart w:id="30" w:name="_Toc207200699"/>
      <w:r w:rsidRPr="00370538">
        <w:rPr>
          <w:rStyle w:val="CharPartNo"/>
        </w:rPr>
        <w:lastRenderedPageBreak/>
        <w:t>Part 6</w:t>
      </w:r>
      <w:r w:rsidRPr="006B29D8">
        <w:tab/>
      </w:r>
      <w:r w:rsidR="006D4D74" w:rsidRPr="00370538">
        <w:rPr>
          <w:rStyle w:val="CharPartText"/>
        </w:rPr>
        <w:t>Public Sector Workers Compensation Fund Act 2018</w:t>
      </w:r>
      <w:bookmarkEnd w:id="30"/>
    </w:p>
    <w:p w14:paraId="5A86C6A4" w14:textId="01B5C2DD" w:rsidR="006D4D74" w:rsidRPr="006B29D8" w:rsidRDefault="00370538" w:rsidP="00370538">
      <w:pPr>
        <w:pStyle w:val="AH5Sec"/>
        <w:shd w:val="pct25" w:color="auto" w:fill="auto"/>
      </w:pPr>
      <w:bookmarkStart w:id="31" w:name="_Toc207200700"/>
      <w:r w:rsidRPr="00370538">
        <w:rPr>
          <w:rStyle w:val="CharSectNo"/>
        </w:rPr>
        <w:t>24</w:t>
      </w:r>
      <w:r w:rsidRPr="006B29D8">
        <w:tab/>
      </w:r>
      <w:r w:rsidR="006D4D74" w:rsidRPr="006B29D8">
        <w:t>Payments from PS</w:t>
      </w:r>
      <w:r w:rsidR="00966C53" w:rsidRPr="006B29D8">
        <w:t>W</w:t>
      </w:r>
      <w:r w:rsidR="006D4D74" w:rsidRPr="006B29D8">
        <w:t>C fund banking accounts</w:t>
      </w:r>
      <w:r w:rsidR="006D4D74" w:rsidRPr="006B29D8">
        <w:br/>
        <w:t>Section 12 (c)</w:t>
      </w:r>
      <w:bookmarkEnd w:id="31"/>
    </w:p>
    <w:p w14:paraId="7F7F6168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54C8DF32" w14:textId="5393F75F" w:rsidR="006D4D74" w:rsidRPr="006B29D8" w:rsidRDefault="006D4D74" w:rsidP="006D4D74">
      <w:pPr>
        <w:pStyle w:val="Ipara"/>
      </w:pPr>
      <w:r w:rsidRPr="006B29D8">
        <w:tab/>
        <w:t>(c)</w:t>
      </w:r>
      <w:r w:rsidRPr="006B29D8">
        <w:tab/>
        <w:t xml:space="preserve">the reasonable costs of the PSWC commissioner in exercising the commissioner’s functions under this Act, including costs </w:t>
      </w:r>
      <w:r w:rsidR="00BF5398" w:rsidRPr="006B29D8">
        <w:t>of</w:t>
      </w:r>
      <w:r w:rsidRPr="006B29D8">
        <w:t xml:space="preserve"> remuneration, allowances and office accommodation;</w:t>
      </w:r>
    </w:p>
    <w:p w14:paraId="39276A4A" w14:textId="52CF9C8E" w:rsidR="006D4D74" w:rsidRPr="006B29D8" w:rsidRDefault="00370538" w:rsidP="00370538">
      <w:pPr>
        <w:pStyle w:val="AH5Sec"/>
        <w:shd w:val="pct25" w:color="auto" w:fill="auto"/>
      </w:pPr>
      <w:bookmarkStart w:id="32" w:name="_Toc207200701"/>
      <w:r w:rsidRPr="00370538">
        <w:rPr>
          <w:rStyle w:val="CharSectNo"/>
        </w:rPr>
        <w:t>25</w:t>
      </w:r>
      <w:r w:rsidRPr="006B29D8">
        <w:tab/>
      </w:r>
      <w:r w:rsidR="006D4D74" w:rsidRPr="006B29D8">
        <w:t>Functions of PSWC commissioner</w:t>
      </w:r>
      <w:r w:rsidR="006D4D74" w:rsidRPr="006B29D8">
        <w:br/>
        <w:t>New section 19 (ca)</w:t>
      </w:r>
      <w:bookmarkEnd w:id="32"/>
    </w:p>
    <w:p w14:paraId="38256CA7" w14:textId="77777777" w:rsidR="006D4D74" w:rsidRPr="006B29D8" w:rsidRDefault="006D4D74" w:rsidP="006D4D74">
      <w:pPr>
        <w:pStyle w:val="direction"/>
      </w:pPr>
      <w:r w:rsidRPr="006B29D8">
        <w:t>insert</w:t>
      </w:r>
    </w:p>
    <w:p w14:paraId="0EC61F5C" w14:textId="77777777" w:rsidR="006D4D74" w:rsidRPr="006B29D8" w:rsidRDefault="006D4D74" w:rsidP="006D4D74">
      <w:pPr>
        <w:pStyle w:val="Ipara"/>
      </w:pPr>
      <w:r w:rsidRPr="006B29D8">
        <w:tab/>
        <w:t>(ca)</w:t>
      </w:r>
      <w:r w:rsidRPr="006B29D8">
        <w:tab/>
        <w:t>conducting and supporting initiatives and activities to prevent and reduce the risk of injury to employees of the Territory;</w:t>
      </w:r>
    </w:p>
    <w:p w14:paraId="5FDEA0CA" w14:textId="77777777" w:rsidR="006D4D74" w:rsidRPr="006B29D8" w:rsidRDefault="006D4D74" w:rsidP="00370538">
      <w:pPr>
        <w:pStyle w:val="PageBreak"/>
        <w:suppressLineNumbers/>
      </w:pPr>
      <w:r w:rsidRPr="006B29D8">
        <w:br w:type="page"/>
      </w:r>
    </w:p>
    <w:p w14:paraId="7ACB41D7" w14:textId="12153644" w:rsidR="006D4D74" w:rsidRPr="00370538" w:rsidRDefault="00370538" w:rsidP="00370538">
      <w:pPr>
        <w:pStyle w:val="AH2Part"/>
      </w:pPr>
      <w:bookmarkStart w:id="33" w:name="_Toc207200702"/>
      <w:r w:rsidRPr="00370538">
        <w:rPr>
          <w:rStyle w:val="CharPartNo"/>
        </w:rPr>
        <w:lastRenderedPageBreak/>
        <w:t>Part 7</w:t>
      </w:r>
      <w:r w:rsidRPr="006B29D8">
        <w:tab/>
      </w:r>
      <w:r w:rsidR="006D4D74" w:rsidRPr="00370538">
        <w:rPr>
          <w:rStyle w:val="CharPartText"/>
        </w:rPr>
        <w:t>Workers Compensation Act 1951</w:t>
      </w:r>
      <w:bookmarkEnd w:id="33"/>
    </w:p>
    <w:p w14:paraId="62A9DADA" w14:textId="6DE8ABD7" w:rsidR="006D4D74" w:rsidRPr="006B29D8" w:rsidRDefault="00370538" w:rsidP="00370538">
      <w:pPr>
        <w:pStyle w:val="AH5Sec"/>
        <w:shd w:val="pct25" w:color="auto" w:fill="auto"/>
      </w:pPr>
      <w:bookmarkStart w:id="34" w:name="_Toc207200703"/>
      <w:r w:rsidRPr="00370538">
        <w:rPr>
          <w:rStyle w:val="CharSectNo"/>
        </w:rPr>
        <w:t>26</w:t>
      </w:r>
      <w:r w:rsidRPr="006B29D8">
        <w:tab/>
      </w:r>
      <w:r w:rsidR="006D4D74" w:rsidRPr="006B29D8">
        <w:t>Living outside Australia</w:t>
      </w:r>
      <w:r w:rsidR="006D4D74" w:rsidRPr="006B29D8">
        <w:br/>
        <w:t>Section 44</w:t>
      </w:r>
      <w:r w:rsidR="00F13B26" w:rsidRPr="006B29D8">
        <w:t xml:space="preserve"> (2)</w:t>
      </w:r>
      <w:bookmarkEnd w:id="34"/>
    </w:p>
    <w:p w14:paraId="293DBFE1" w14:textId="77777777" w:rsidR="006D4D74" w:rsidRPr="006B29D8" w:rsidRDefault="006D4D74" w:rsidP="006D4D74">
      <w:pPr>
        <w:pStyle w:val="direction"/>
      </w:pPr>
      <w:r w:rsidRPr="006B29D8">
        <w:t>omit</w:t>
      </w:r>
    </w:p>
    <w:p w14:paraId="40F6D6AE" w14:textId="77777777" w:rsidR="006D4D74" w:rsidRPr="006B29D8" w:rsidRDefault="006D4D74" w:rsidP="006D4D74">
      <w:pPr>
        <w:pStyle w:val="Amainreturn"/>
      </w:pPr>
      <w:r w:rsidRPr="006B29D8">
        <w:t>a medical referee certifies that</w:t>
      </w:r>
    </w:p>
    <w:p w14:paraId="5896B70A" w14:textId="5C276208" w:rsidR="006D4D74" w:rsidRPr="006B29D8" w:rsidRDefault="00370538" w:rsidP="00370538">
      <w:pPr>
        <w:pStyle w:val="AH5Sec"/>
        <w:shd w:val="pct25" w:color="auto" w:fill="auto"/>
      </w:pPr>
      <w:bookmarkStart w:id="35" w:name="_Toc207200704"/>
      <w:r w:rsidRPr="00370538">
        <w:rPr>
          <w:rStyle w:val="CharSectNo"/>
        </w:rPr>
        <w:t>27</w:t>
      </w:r>
      <w:r w:rsidRPr="006B29D8">
        <w:tab/>
      </w:r>
      <w:r w:rsidR="006D4D74" w:rsidRPr="006B29D8">
        <w:t>Special provision</w:t>
      </w:r>
      <w:r w:rsidR="00F13B26" w:rsidRPr="006B29D8">
        <w:t>s</w:t>
      </w:r>
      <w:r w:rsidR="006D4D74" w:rsidRPr="006B29D8">
        <w:t xml:space="preserve"> for HIV/AIDS</w:t>
      </w:r>
      <w:r w:rsidR="006D4D74" w:rsidRPr="006B29D8">
        <w:br/>
        <w:t>Section 60</w:t>
      </w:r>
      <w:bookmarkEnd w:id="35"/>
    </w:p>
    <w:p w14:paraId="28F8CEB4" w14:textId="77777777" w:rsidR="006D4D74" w:rsidRPr="006B29D8" w:rsidRDefault="006D4D74" w:rsidP="006D4D74">
      <w:pPr>
        <w:pStyle w:val="direction"/>
        <w:keepNext w:val="0"/>
      </w:pPr>
      <w:r w:rsidRPr="006B29D8">
        <w:t>omit</w:t>
      </w:r>
    </w:p>
    <w:p w14:paraId="4AE2C154" w14:textId="78DD4830" w:rsidR="00253046" w:rsidRPr="006B29D8" w:rsidRDefault="00370538" w:rsidP="00370538">
      <w:pPr>
        <w:pStyle w:val="AH5Sec"/>
        <w:shd w:val="pct25" w:color="auto" w:fill="auto"/>
      </w:pPr>
      <w:bookmarkStart w:id="36" w:name="_Toc207200705"/>
      <w:r w:rsidRPr="00370538">
        <w:rPr>
          <w:rStyle w:val="CharSectNo"/>
        </w:rPr>
        <w:t>28</w:t>
      </w:r>
      <w:r w:rsidRPr="006B29D8">
        <w:tab/>
      </w:r>
      <w:r w:rsidR="00253046" w:rsidRPr="006B29D8">
        <w:t>New part 4.9</w:t>
      </w:r>
      <w:bookmarkEnd w:id="36"/>
    </w:p>
    <w:p w14:paraId="781F8CE7" w14:textId="77777777" w:rsidR="00253046" w:rsidRPr="006B29D8" w:rsidRDefault="00253046" w:rsidP="00253046">
      <w:pPr>
        <w:pStyle w:val="direction"/>
      </w:pPr>
      <w:r w:rsidRPr="006B29D8">
        <w:t>insert</w:t>
      </w:r>
    </w:p>
    <w:p w14:paraId="1B4B3D3A" w14:textId="24122029" w:rsidR="004710F1" w:rsidRPr="006B29D8" w:rsidRDefault="004710F1" w:rsidP="004710F1">
      <w:pPr>
        <w:pStyle w:val="IH2Part"/>
      </w:pPr>
      <w:r w:rsidRPr="006B29D8">
        <w:t>Part 4.9</w:t>
      </w:r>
      <w:r w:rsidRPr="006B29D8">
        <w:tab/>
        <w:t>Payments to families of deceased workers</w:t>
      </w:r>
    </w:p>
    <w:p w14:paraId="3078AC6B" w14:textId="5A535FDB" w:rsidR="004710F1" w:rsidRPr="006B29D8" w:rsidRDefault="004710F1" w:rsidP="004710F1">
      <w:pPr>
        <w:pStyle w:val="IH5Sec"/>
      </w:pPr>
      <w:r w:rsidRPr="006B29D8">
        <w:t>84</w:t>
      </w:r>
      <w:r w:rsidR="00DE580E" w:rsidRPr="006B29D8">
        <w:t>A</w:t>
      </w:r>
      <w:r w:rsidRPr="006B29D8">
        <w:tab/>
        <w:t>Application—pt 4.9</w:t>
      </w:r>
    </w:p>
    <w:p w14:paraId="35C276C0" w14:textId="41E71D14" w:rsidR="004710F1" w:rsidRPr="006B29D8" w:rsidRDefault="00F13B26" w:rsidP="00DE580E">
      <w:pPr>
        <w:pStyle w:val="IMain"/>
      </w:pPr>
      <w:r w:rsidRPr="006B29D8">
        <w:tab/>
        <w:t>(1)</w:t>
      </w:r>
      <w:r w:rsidRPr="006B29D8">
        <w:tab/>
      </w:r>
      <w:r w:rsidR="004710F1" w:rsidRPr="006B29D8">
        <w:t>This part applies to the death of a worker that</w:t>
      </w:r>
      <w:r w:rsidR="00DE580E" w:rsidRPr="006B29D8">
        <w:t xml:space="preserve"> </w:t>
      </w:r>
      <w:r w:rsidR="004710F1" w:rsidRPr="006B29D8">
        <w:t>arises out of, or in the course of, the worker’s employment</w:t>
      </w:r>
      <w:r w:rsidR="00DE580E" w:rsidRPr="006B29D8">
        <w:t>.</w:t>
      </w:r>
    </w:p>
    <w:p w14:paraId="760DCE05" w14:textId="77777777" w:rsidR="004710F1" w:rsidRPr="006B29D8" w:rsidRDefault="004710F1" w:rsidP="004710F1">
      <w:pPr>
        <w:pStyle w:val="IMain"/>
      </w:pPr>
      <w:r w:rsidRPr="006B29D8">
        <w:tab/>
        <w:t>(2)</w:t>
      </w:r>
      <w:r w:rsidRPr="006B29D8">
        <w:tab/>
        <w:t>This part does not apply to a worker’s death prescribed by regulation.</w:t>
      </w:r>
    </w:p>
    <w:p w14:paraId="65C5EBFD" w14:textId="28C4DB7C" w:rsidR="004710F1" w:rsidRPr="006B29D8" w:rsidRDefault="004710F1" w:rsidP="004710F1">
      <w:pPr>
        <w:pStyle w:val="IH5Sec"/>
      </w:pPr>
      <w:r w:rsidRPr="006B29D8">
        <w:t>84</w:t>
      </w:r>
      <w:r w:rsidR="00DE580E" w:rsidRPr="006B29D8">
        <w:t>B</w:t>
      </w:r>
      <w:r w:rsidRPr="006B29D8">
        <w:tab/>
        <w:t>Payments to families of deceased workers</w:t>
      </w:r>
    </w:p>
    <w:p w14:paraId="74FB261E" w14:textId="612D9E00" w:rsidR="004710F1" w:rsidRPr="006B29D8" w:rsidRDefault="00F13B26" w:rsidP="00F13B26">
      <w:pPr>
        <w:pStyle w:val="IMain"/>
      </w:pPr>
      <w:r w:rsidRPr="006B29D8">
        <w:tab/>
        <w:t>(1)</w:t>
      </w:r>
      <w:r w:rsidRPr="006B29D8">
        <w:tab/>
      </w:r>
      <w:r w:rsidR="004710F1" w:rsidRPr="006B29D8">
        <w:t>On application by a family member of a worker made within 3</w:t>
      </w:r>
      <w:r w:rsidR="00356BFB" w:rsidRPr="006B29D8">
        <w:t> </w:t>
      </w:r>
      <w:r w:rsidR="004710F1" w:rsidRPr="006B29D8">
        <w:t>months after the death of the worker, the employer must pay the family member—</w:t>
      </w:r>
    </w:p>
    <w:p w14:paraId="61F24B9A" w14:textId="38983253" w:rsidR="004710F1" w:rsidRPr="006B29D8" w:rsidRDefault="004710F1" w:rsidP="004710F1">
      <w:pPr>
        <w:pStyle w:val="Ipara"/>
      </w:pPr>
      <w:r w:rsidRPr="006B29D8">
        <w:tab/>
        <w:t>(a)</w:t>
      </w:r>
      <w:r w:rsidRPr="006B29D8">
        <w:tab/>
        <w:t>for the deceased worker’s domestic partner</w:t>
      </w:r>
      <w:r w:rsidR="00CD25B6" w:rsidRPr="006B29D8">
        <w:t>—$10</w:t>
      </w:r>
      <w:r w:rsidR="00356BFB" w:rsidRPr="006B29D8">
        <w:t> </w:t>
      </w:r>
      <w:r w:rsidR="00CD25B6" w:rsidRPr="006B29D8">
        <w:t>000 cpi indexed</w:t>
      </w:r>
      <w:r w:rsidRPr="006B29D8">
        <w:t xml:space="preserve">; </w:t>
      </w:r>
      <w:r w:rsidR="00CD25B6" w:rsidRPr="006B29D8">
        <w:t>or</w:t>
      </w:r>
    </w:p>
    <w:p w14:paraId="274B32C8" w14:textId="4B600E73" w:rsidR="004710F1" w:rsidRPr="006B29D8" w:rsidRDefault="004710F1" w:rsidP="004710F1">
      <w:pPr>
        <w:pStyle w:val="Ipara"/>
      </w:pPr>
      <w:r w:rsidRPr="006B29D8">
        <w:tab/>
        <w:t>(b)</w:t>
      </w:r>
      <w:r w:rsidRPr="006B29D8">
        <w:tab/>
        <w:t>for any other family member</w:t>
      </w:r>
      <w:r w:rsidR="00CD25B6" w:rsidRPr="006B29D8">
        <w:t>—$5</w:t>
      </w:r>
      <w:r w:rsidR="00356BFB" w:rsidRPr="006B29D8">
        <w:t> </w:t>
      </w:r>
      <w:r w:rsidR="00CD25B6" w:rsidRPr="006B29D8">
        <w:t>000 cpi indexed</w:t>
      </w:r>
      <w:r w:rsidRPr="006B29D8">
        <w:t>.</w:t>
      </w:r>
    </w:p>
    <w:p w14:paraId="0A5E15CF" w14:textId="660721DF" w:rsidR="00922383" w:rsidRPr="006B29D8" w:rsidRDefault="00922383" w:rsidP="00922383">
      <w:pPr>
        <w:pStyle w:val="IMain"/>
      </w:pPr>
      <w:r w:rsidRPr="006B29D8">
        <w:lastRenderedPageBreak/>
        <w:tab/>
        <w:t>(2)</w:t>
      </w:r>
      <w:r w:rsidRPr="006B29D8">
        <w:tab/>
      </w:r>
      <w:r w:rsidR="007D7537" w:rsidRPr="006B29D8">
        <w:t>An employer must</w:t>
      </w:r>
      <w:r w:rsidR="00B44A44" w:rsidRPr="006B29D8">
        <w:t>, within 48 hours after the employer receives the application,</w:t>
      </w:r>
      <w:r w:rsidR="007D7537" w:rsidRPr="006B29D8">
        <w:t xml:space="preserve"> give the application to the licensed insurer liable to indemnify the employer for the </w:t>
      </w:r>
      <w:r w:rsidR="00262A04" w:rsidRPr="006B29D8">
        <w:t>payment</w:t>
      </w:r>
      <w:r w:rsidR="002D50C3" w:rsidRPr="006B29D8">
        <w:t>.</w:t>
      </w:r>
    </w:p>
    <w:p w14:paraId="0AE7E259" w14:textId="77C014C1" w:rsidR="004710F1" w:rsidRPr="006B29D8" w:rsidRDefault="004710F1" w:rsidP="004710F1">
      <w:pPr>
        <w:pStyle w:val="IMain"/>
      </w:pPr>
      <w:r w:rsidRPr="006B29D8">
        <w:tab/>
        <w:t>(</w:t>
      </w:r>
      <w:r w:rsidR="002D50C3" w:rsidRPr="006B29D8">
        <w:t>3</w:t>
      </w:r>
      <w:r w:rsidRPr="006B29D8">
        <w:t>)</w:t>
      </w:r>
      <w:r w:rsidRPr="006B29D8">
        <w:tab/>
        <w:t>The employer must pay the family member the amount mentioned in subsection</w:t>
      </w:r>
      <w:r w:rsidR="00356BFB" w:rsidRPr="006B29D8">
        <w:t> </w:t>
      </w:r>
      <w:r w:rsidRPr="006B29D8">
        <w:t>(1) within 7 days after the day the employer receives the application.</w:t>
      </w:r>
    </w:p>
    <w:p w14:paraId="7CE332F1" w14:textId="7465145B" w:rsidR="004710F1" w:rsidRPr="006B29D8" w:rsidRDefault="004710F1" w:rsidP="004710F1">
      <w:pPr>
        <w:pStyle w:val="IMain"/>
      </w:pPr>
      <w:r w:rsidRPr="006B29D8">
        <w:tab/>
        <w:t>(</w:t>
      </w:r>
      <w:r w:rsidR="002D50C3" w:rsidRPr="006B29D8">
        <w:t>4</w:t>
      </w:r>
      <w:r w:rsidRPr="006B29D8">
        <w:t>)</w:t>
      </w:r>
      <w:r w:rsidRPr="006B29D8">
        <w:tab/>
        <w:t>The employer may refuse to pay a family member if the employer has already paid a total of $50</w:t>
      </w:r>
      <w:r w:rsidR="00356BFB" w:rsidRPr="006B29D8">
        <w:t> </w:t>
      </w:r>
      <w:r w:rsidRPr="006B29D8">
        <w:t>000 cpi indexed to other family members under this part.</w:t>
      </w:r>
    </w:p>
    <w:p w14:paraId="3F4F5C61" w14:textId="65DCDA3E" w:rsidR="00DE580E" w:rsidRPr="006B29D8" w:rsidRDefault="00DE580E" w:rsidP="004710F1">
      <w:pPr>
        <w:pStyle w:val="IMain"/>
      </w:pPr>
      <w:r w:rsidRPr="006B29D8">
        <w:tab/>
        <w:t>(5)</w:t>
      </w:r>
      <w:r w:rsidRPr="006B29D8">
        <w:tab/>
        <w:t>In this section:</w:t>
      </w:r>
    </w:p>
    <w:p w14:paraId="04F01520" w14:textId="77777777" w:rsidR="00DE580E" w:rsidRPr="006B29D8" w:rsidRDefault="00DE580E" w:rsidP="00370538">
      <w:pPr>
        <w:pStyle w:val="aDef"/>
      </w:pPr>
      <w:r w:rsidRPr="006B29D8">
        <w:rPr>
          <w:rStyle w:val="charBoldItals"/>
        </w:rPr>
        <w:t>family member</w:t>
      </w:r>
      <w:r w:rsidRPr="006B29D8">
        <w:rPr>
          <w:bCs/>
          <w:iCs/>
        </w:rPr>
        <w:t>, of a deceased worker, means—</w:t>
      </w:r>
    </w:p>
    <w:p w14:paraId="5341262C" w14:textId="77777777" w:rsidR="002E6103" w:rsidRPr="006B29D8" w:rsidRDefault="002E6103" w:rsidP="002E6103">
      <w:pPr>
        <w:pStyle w:val="Ipara"/>
      </w:pPr>
      <w:r w:rsidRPr="006B29D8">
        <w:tab/>
        <w:t>(a)</w:t>
      </w:r>
      <w:r w:rsidRPr="006B29D8">
        <w:tab/>
        <w:t>any of the following people who, in the 6 months before the worker’s death, lived with the worker:</w:t>
      </w:r>
    </w:p>
    <w:p w14:paraId="05623DCE" w14:textId="77777777" w:rsidR="002E6103" w:rsidRPr="006B29D8" w:rsidRDefault="002E6103" w:rsidP="002E6103">
      <w:pPr>
        <w:pStyle w:val="Idefsubpara"/>
      </w:pPr>
      <w:r w:rsidRPr="006B29D8">
        <w:tab/>
        <w:t>(i)</w:t>
      </w:r>
      <w:r w:rsidRPr="006B29D8">
        <w:tab/>
        <w:t>a domestic partner;</w:t>
      </w:r>
    </w:p>
    <w:p w14:paraId="24E9B6D1" w14:textId="6ADEB622" w:rsidR="002E6103" w:rsidRPr="006B29D8" w:rsidRDefault="002E6103" w:rsidP="002E6103">
      <w:pPr>
        <w:pStyle w:val="Idefsubpara"/>
      </w:pPr>
      <w:r w:rsidRPr="006B29D8">
        <w:tab/>
        <w:t>(ii)</w:t>
      </w:r>
      <w:r w:rsidRPr="006B29D8">
        <w:tab/>
        <w:t>a child or stepchild;</w:t>
      </w:r>
    </w:p>
    <w:p w14:paraId="3517457F" w14:textId="77777777" w:rsidR="002E6103" w:rsidRPr="006B29D8" w:rsidRDefault="002E6103" w:rsidP="002E6103">
      <w:pPr>
        <w:pStyle w:val="Idefsubpara"/>
      </w:pPr>
      <w:r w:rsidRPr="006B29D8">
        <w:tab/>
        <w:t>(iii)</w:t>
      </w:r>
      <w:r w:rsidRPr="006B29D8">
        <w:tab/>
        <w:t>a parent or step-parent; or</w:t>
      </w:r>
    </w:p>
    <w:p w14:paraId="58D1DD3F" w14:textId="77777777" w:rsidR="002E6103" w:rsidRPr="006B29D8" w:rsidRDefault="002E6103" w:rsidP="002E6103">
      <w:pPr>
        <w:pStyle w:val="Idefpara"/>
      </w:pPr>
      <w:r w:rsidRPr="006B29D8">
        <w:tab/>
        <w:t>(b)</w:t>
      </w:r>
      <w:r w:rsidRPr="006B29D8">
        <w:tab/>
        <w:t>any other person prescribed by regulation.</w:t>
      </w:r>
    </w:p>
    <w:p w14:paraId="6BB11E9B" w14:textId="534F192A" w:rsidR="00DE580E" w:rsidRPr="006B29D8" w:rsidRDefault="00DE580E" w:rsidP="00DE580E">
      <w:pPr>
        <w:pStyle w:val="IH5Sec"/>
      </w:pPr>
      <w:r w:rsidRPr="006B29D8">
        <w:t>84C</w:t>
      </w:r>
      <w:r w:rsidRPr="006B29D8">
        <w:tab/>
        <w:t>Effect of payment</w:t>
      </w:r>
    </w:p>
    <w:p w14:paraId="3F4BF4A8" w14:textId="175F53A6" w:rsidR="00DE580E" w:rsidRPr="006B29D8" w:rsidRDefault="00DE580E" w:rsidP="00DE580E">
      <w:pPr>
        <w:pStyle w:val="Amainreturn"/>
      </w:pPr>
      <w:r w:rsidRPr="006B29D8">
        <w:t>A payment made to a person under this part—</w:t>
      </w:r>
    </w:p>
    <w:p w14:paraId="5B9C0B50" w14:textId="61638217" w:rsidR="004710F1" w:rsidRPr="006B29D8" w:rsidRDefault="004710F1" w:rsidP="004710F1">
      <w:pPr>
        <w:pStyle w:val="Ipara"/>
        <w:rPr>
          <w:rFonts w:eastAsia="Calibri"/>
        </w:rPr>
      </w:pPr>
      <w:r w:rsidRPr="006B29D8">
        <w:rPr>
          <w:rFonts w:eastAsia="Calibri"/>
        </w:rPr>
        <w:tab/>
        <w:t>(a)</w:t>
      </w:r>
      <w:r w:rsidRPr="006B29D8">
        <w:rPr>
          <w:rFonts w:eastAsia="Calibri"/>
        </w:rPr>
        <w:tab/>
        <w:t>is not an admission of liability by the employer or the insurer for the death of the worker; and</w:t>
      </w:r>
    </w:p>
    <w:p w14:paraId="0C6AEF9B" w14:textId="77777777" w:rsidR="004710F1" w:rsidRPr="006B29D8" w:rsidRDefault="004710F1" w:rsidP="004710F1">
      <w:pPr>
        <w:pStyle w:val="Ipara"/>
        <w:rPr>
          <w:rFonts w:eastAsia="Calibri"/>
        </w:rPr>
      </w:pPr>
      <w:r w:rsidRPr="006B29D8">
        <w:rPr>
          <w:rFonts w:eastAsia="Calibri"/>
        </w:rPr>
        <w:tab/>
        <w:t>(b)</w:t>
      </w:r>
      <w:r w:rsidRPr="006B29D8">
        <w:rPr>
          <w:rFonts w:eastAsia="Calibri"/>
        </w:rPr>
        <w:tab/>
        <w:t>is not recoverable from the person, unless the person was not entitled to the payment; and</w:t>
      </w:r>
    </w:p>
    <w:p w14:paraId="7D76C43A" w14:textId="0CE3D9E1" w:rsidR="004710F1" w:rsidRPr="006B29D8" w:rsidRDefault="004710F1" w:rsidP="004710F1">
      <w:pPr>
        <w:pStyle w:val="Ipara"/>
        <w:rPr>
          <w:rFonts w:eastAsia="Calibri"/>
        </w:rPr>
      </w:pPr>
      <w:r w:rsidRPr="006B29D8">
        <w:rPr>
          <w:rFonts w:eastAsia="Calibri"/>
        </w:rPr>
        <w:tab/>
        <w:t>(c)</w:t>
      </w:r>
      <w:r w:rsidRPr="006B29D8">
        <w:rPr>
          <w:rFonts w:eastAsia="Calibri"/>
        </w:rPr>
        <w:tab/>
        <w:t>does not affect a claim for compensation or compensation payable under this Act in relation to the worker’s death.</w:t>
      </w:r>
    </w:p>
    <w:p w14:paraId="40FFF951" w14:textId="3E0C4C70" w:rsidR="006D4D74" w:rsidRPr="006B29D8" w:rsidRDefault="00370538" w:rsidP="00370538">
      <w:pPr>
        <w:pStyle w:val="AH5Sec"/>
        <w:shd w:val="pct25" w:color="auto" w:fill="auto"/>
      </w:pPr>
      <w:bookmarkStart w:id="37" w:name="_Toc207200706"/>
      <w:r w:rsidRPr="00370538">
        <w:rPr>
          <w:rStyle w:val="CharSectNo"/>
        </w:rPr>
        <w:lastRenderedPageBreak/>
        <w:t>29</w:t>
      </w:r>
      <w:r w:rsidRPr="006B29D8">
        <w:tab/>
      </w:r>
      <w:r w:rsidR="006D4D74" w:rsidRPr="006B29D8">
        <w:t>Inspectors</w:t>
      </w:r>
      <w:r w:rsidR="006D4D74" w:rsidRPr="006B29D8">
        <w:br/>
        <w:t>New section 188 (3)</w:t>
      </w:r>
      <w:bookmarkEnd w:id="37"/>
    </w:p>
    <w:p w14:paraId="370C5F4F" w14:textId="77777777" w:rsidR="006D4D74" w:rsidRPr="006B29D8" w:rsidRDefault="006D4D74" w:rsidP="006D4D74">
      <w:pPr>
        <w:pStyle w:val="direction"/>
      </w:pPr>
      <w:r w:rsidRPr="006B29D8">
        <w:t>insert</w:t>
      </w:r>
    </w:p>
    <w:p w14:paraId="70B12D17" w14:textId="77777777" w:rsidR="006D4D74" w:rsidRPr="006B29D8" w:rsidRDefault="006D4D74" w:rsidP="006D4D74">
      <w:pPr>
        <w:pStyle w:val="IMain"/>
      </w:pPr>
      <w:r w:rsidRPr="006B29D8">
        <w:tab/>
        <w:t>(3)</w:t>
      </w:r>
      <w:r w:rsidRPr="006B29D8">
        <w:tab/>
        <w:t>The regulator is also an inspector.</w:t>
      </w:r>
    </w:p>
    <w:p w14:paraId="581BD1ED" w14:textId="08DDBF9B" w:rsidR="006D4D74" w:rsidRPr="006B29D8" w:rsidRDefault="00370538" w:rsidP="00370538">
      <w:pPr>
        <w:pStyle w:val="AH5Sec"/>
        <w:shd w:val="pct25" w:color="auto" w:fill="auto"/>
      </w:pPr>
      <w:bookmarkStart w:id="38" w:name="_Toc207200707"/>
      <w:r w:rsidRPr="00370538">
        <w:rPr>
          <w:rStyle w:val="CharSectNo"/>
        </w:rPr>
        <w:t>30</w:t>
      </w:r>
      <w:r w:rsidRPr="006B29D8">
        <w:tab/>
      </w:r>
      <w:r w:rsidR="006D4D74" w:rsidRPr="006B29D8">
        <w:t>Medical referees</w:t>
      </w:r>
      <w:r w:rsidR="006D4D74" w:rsidRPr="006B29D8">
        <w:br/>
        <w:t>Section 201 (1) and (2)</w:t>
      </w:r>
      <w:bookmarkEnd w:id="38"/>
    </w:p>
    <w:p w14:paraId="3E5153A1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51021BDB" w14:textId="37BDFFD3" w:rsidR="006D4D74" w:rsidRPr="006B29D8" w:rsidRDefault="006D4D74" w:rsidP="006D4D74">
      <w:pPr>
        <w:pStyle w:val="IMain"/>
      </w:pPr>
      <w:r w:rsidRPr="006B29D8">
        <w:tab/>
        <w:t>(1)</w:t>
      </w:r>
      <w:r w:rsidRPr="006B29D8">
        <w:tab/>
        <w:t>The regulator may appoint a doctor as a medical referee for this</w:t>
      </w:r>
      <w:r w:rsidR="006C47C5" w:rsidRPr="006B29D8">
        <w:t xml:space="preserve"> </w:t>
      </w:r>
      <w:r w:rsidRPr="006B29D8">
        <w:t>Act.</w:t>
      </w:r>
    </w:p>
    <w:p w14:paraId="58F38EA1" w14:textId="54732AE1" w:rsidR="006D4D74" w:rsidRPr="006B29D8" w:rsidRDefault="006D4D74" w:rsidP="006D4D74">
      <w:pPr>
        <w:pStyle w:val="aNote"/>
      </w:pPr>
      <w:r w:rsidRPr="006B29D8">
        <w:rPr>
          <w:rStyle w:val="charItals"/>
        </w:rPr>
        <w:t>Note</w:t>
      </w:r>
      <w:r w:rsidRPr="006B29D8">
        <w:tab/>
        <w:t xml:space="preserve">For laws about appointments, see the </w:t>
      </w:r>
      <w:hyperlink r:id="rId27" w:tooltip="A2001-14" w:history="1">
        <w:r w:rsidR="008E080E" w:rsidRPr="006B29D8">
          <w:rPr>
            <w:rStyle w:val="charCitHyperlinkAbbrev"/>
          </w:rPr>
          <w:t>Legislation Act</w:t>
        </w:r>
      </w:hyperlink>
      <w:r w:rsidRPr="006B29D8">
        <w:t>, pt</w:t>
      </w:r>
      <w:r w:rsidR="006C47C5" w:rsidRPr="006B29D8">
        <w:t xml:space="preserve"> </w:t>
      </w:r>
      <w:r w:rsidRPr="006B29D8">
        <w:t>19.3.</w:t>
      </w:r>
    </w:p>
    <w:p w14:paraId="12B389D0" w14:textId="77777777" w:rsidR="006D4D74" w:rsidRPr="006B29D8" w:rsidRDefault="006D4D74" w:rsidP="006D4D74">
      <w:pPr>
        <w:pStyle w:val="IMain"/>
      </w:pPr>
      <w:r w:rsidRPr="006B29D8">
        <w:tab/>
        <w:t>(2)</w:t>
      </w:r>
      <w:r w:rsidRPr="006B29D8">
        <w:tab/>
        <w:t>The regulator may appoint a doctor as a medical referee only if satisfied that the doctor has the experience and expertise to adequately perform the duties of a medical referee.</w:t>
      </w:r>
    </w:p>
    <w:p w14:paraId="4BD488E4" w14:textId="1A033A3C" w:rsidR="00DE580E" w:rsidRPr="006B29D8" w:rsidRDefault="00370538" w:rsidP="00370538">
      <w:pPr>
        <w:pStyle w:val="AH5Sec"/>
        <w:shd w:val="pct25" w:color="auto" w:fill="auto"/>
      </w:pPr>
      <w:bookmarkStart w:id="39" w:name="_Toc207200708"/>
      <w:r w:rsidRPr="00370538">
        <w:rPr>
          <w:rStyle w:val="CharSectNo"/>
        </w:rPr>
        <w:t>31</w:t>
      </w:r>
      <w:r w:rsidRPr="006B29D8">
        <w:tab/>
      </w:r>
      <w:r w:rsidR="00DE580E" w:rsidRPr="006B29D8">
        <w:t>New chapter 2</w:t>
      </w:r>
      <w:r w:rsidR="000A6646" w:rsidRPr="006B29D8">
        <w:t>2</w:t>
      </w:r>
      <w:bookmarkEnd w:id="39"/>
    </w:p>
    <w:p w14:paraId="561724D6" w14:textId="2305D4AD" w:rsidR="00DE580E" w:rsidRPr="006B29D8" w:rsidRDefault="00DE580E" w:rsidP="00DE580E">
      <w:pPr>
        <w:pStyle w:val="direction"/>
      </w:pPr>
      <w:r w:rsidRPr="006B29D8">
        <w:t>insert</w:t>
      </w:r>
    </w:p>
    <w:p w14:paraId="2E5D45CA" w14:textId="23384672" w:rsidR="00DE580E" w:rsidRPr="006B29D8" w:rsidRDefault="00DE580E" w:rsidP="00DE580E">
      <w:pPr>
        <w:pStyle w:val="IH1Chap"/>
      </w:pPr>
      <w:r w:rsidRPr="006B29D8">
        <w:t>Chapter 2</w:t>
      </w:r>
      <w:r w:rsidR="000A6646" w:rsidRPr="006B29D8">
        <w:t>2</w:t>
      </w:r>
      <w:r w:rsidRPr="006B29D8">
        <w:tab/>
        <w:t>Transitional—Workplace Legislation Amendment Act</w:t>
      </w:r>
      <w:r w:rsidR="00356BFB" w:rsidRPr="006B29D8">
        <w:t> </w:t>
      </w:r>
      <w:r w:rsidRPr="006B29D8">
        <w:t>2025 (No 2)</w:t>
      </w:r>
    </w:p>
    <w:p w14:paraId="50001336" w14:textId="6844BF36" w:rsidR="000A6646" w:rsidRPr="006B29D8" w:rsidRDefault="000A6646" w:rsidP="000A6646">
      <w:pPr>
        <w:pStyle w:val="IH5Sec"/>
      </w:pPr>
      <w:r w:rsidRPr="006B29D8">
        <w:t>274</w:t>
      </w:r>
      <w:r w:rsidRPr="006B29D8">
        <w:tab/>
      </w:r>
      <w:r w:rsidR="00C54CAD" w:rsidRPr="006B29D8">
        <w:t>Application of pt 4.9</w:t>
      </w:r>
    </w:p>
    <w:p w14:paraId="75140526" w14:textId="25BF1C0E" w:rsidR="00754EB3" w:rsidRPr="006B29D8" w:rsidRDefault="00754EB3" w:rsidP="00754EB3">
      <w:pPr>
        <w:pStyle w:val="Amainreturn"/>
      </w:pPr>
      <w:r w:rsidRPr="006B29D8">
        <w:t>Part 4.9 (Payments to families of deceased workers) applies only to the death of a worker that happens on or after the later of—</w:t>
      </w:r>
    </w:p>
    <w:p w14:paraId="1DFB30A9" w14:textId="0C3900AD" w:rsidR="00C54CAD" w:rsidRPr="006B29D8" w:rsidRDefault="00C54CAD" w:rsidP="00C54CAD">
      <w:pPr>
        <w:pStyle w:val="Ipara"/>
      </w:pPr>
      <w:r w:rsidRPr="006B29D8">
        <w:tab/>
        <w:t>(a)</w:t>
      </w:r>
      <w:r w:rsidRPr="006B29D8">
        <w:tab/>
        <w:t>1 January 2026; and</w:t>
      </w:r>
    </w:p>
    <w:p w14:paraId="6406A647" w14:textId="3FF50608" w:rsidR="00C54CAD" w:rsidRPr="006B29D8" w:rsidRDefault="00C54CAD" w:rsidP="00C54CAD">
      <w:pPr>
        <w:pStyle w:val="Ipara"/>
      </w:pPr>
      <w:r w:rsidRPr="006B29D8">
        <w:tab/>
        <w:t>(b)</w:t>
      </w:r>
      <w:r w:rsidRPr="006B29D8">
        <w:tab/>
        <w:t xml:space="preserve">the day the </w:t>
      </w:r>
      <w:r w:rsidRPr="006B29D8">
        <w:rPr>
          <w:rStyle w:val="charItals"/>
        </w:rPr>
        <w:t>Workplace Legislation Amendment Act 2025 (No</w:t>
      </w:r>
      <w:r w:rsidR="009C4360" w:rsidRPr="006B29D8">
        <w:rPr>
          <w:rStyle w:val="charItals"/>
        </w:rPr>
        <w:t xml:space="preserve"> </w:t>
      </w:r>
      <w:r w:rsidRPr="006B29D8">
        <w:rPr>
          <w:rStyle w:val="charItals"/>
        </w:rPr>
        <w:t>2)</w:t>
      </w:r>
      <w:r w:rsidRPr="006B29D8">
        <w:t xml:space="preserve">, section </w:t>
      </w:r>
      <w:r w:rsidR="0013379C" w:rsidRPr="006B29D8">
        <w:t>28</w:t>
      </w:r>
      <w:r w:rsidRPr="006B29D8">
        <w:t xml:space="preserve"> commences.</w:t>
      </w:r>
    </w:p>
    <w:p w14:paraId="16A673D7" w14:textId="2443BBF1" w:rsidR="00C54CAD" w:rsidRPr="006B29D8" w:rsidRDefault="00C54CAD" w:rsidP="00C54CAD">
      <w:pPr>
        <w:pStyle w:val="IH5Sec"/>
      </w:pPr>
      <w:r w:rsidRPr="006B29D8">
        <w:lastRenderedPageBreak/>
        <w:t>275</w:t>
      </w:r>
      <w:r w:rsidRPr="006B29D8">
        <w:tab/>
        <w:t>Expiry—ch 22</w:t>
      </w:r>
    </w:p>
    <w:p w14:paraId="3CD57E24" w14:textId="38534578" w:rsidR="00C54CAD" w:rsidRPr="006B29D8" w:rsidRDefault="00F53A00" w:rsidP="00C54CAD">
      <w:pPr>
        <w:pStyle w:val="Amainreturn"/>
      </w:pPr>
      <w:r w:rsidRPr="006B29D8">
        <w:t>This chapter expires 12 months after the day it commences.</w:t>
      </w:r>
    </w:p>
    <w:p w14:paraId="05D1DBBC" w14:textId="0DDF5381" w:rsidR="00F53A00" w:rsidRPr="006B29D8" w:rsidRDefault="00F53A00">
      <w:pPr>
        <w:pStyle w:val="aNote"/>
      </w:pPr>
      <w:r w:rsidRPr="006B29D8">
        <w:rPr>
          <w:rStyle w:val="charItals"/>
        </w:rPr>
        <w:t>Note</w:t>
      </w:r>
      <w:r w:rsidRPr="006B29D8">
        <w:tab/>
        <w:t xml:space="preserve">A transitional provision is repealed on its expiry but continues to have effect after its repeal (see </w:t>
      </w:r>
      <w:hyperlink r:id="rId28" w:tooltip="A2001-14" w:history="1">
        <w:r w:rsidR="008E080E" w:rsidRPr="006B29D8">
          <w:rPr>
            <w:rStyle w:val="charCitHyperlinkAbbrev"/>
          </w:rPr>
          <w:t>Legislation Act</w:t>
        </w:r>
      </w:hyperlink>
      <w:r w:rsidRPr="006B29D8">
        <w:t>, s 88).</w:t>
      </w:r>
    </w:p>
    <w:p w14:paraId="0CBAA371" w14:textId="14B90BB7" w:rsidR="006D4D74" w:rsidRPr="006B29D8" w:rsidRDefault="00370538" w:rsidP="00370538">
      <w:pPr>
        <w:pStyle w:val="AH5Sec"/>
        <w:shd w:val="pct25" w:color="auto" w:fill="auto"/>
        <w:rPr>
          <w:rStyle w:val="charItals"/>
        </w:rPr>
      </w:pPr>
      <w:bookmarkStart w:id="40" w:name="_Toc207200709"/>
      <w:r w:rsidRPr="00370538">
        <w:rPr>
          <w:rStyle w:val="CharSectNo"/>
        </w:rPr>
        <w:t>32</w:t>
      </w:r>
      <w:r w:rsidRPr="006B29D8">
        <w:rPr>
          <w:rStyle w:val="charItals"/>
          <w:i w:val="0"/>
        </w:rPr>
        <w:tab/>
      </w:r>
      <w:r w:rsidR="006D4D74" w:rsidRPr="006B29D8">
        <w:t xml:space="preserve">Dictionary, definition of </w:t>
      </w:r>
      <w:r w:rsidR="006D4D74" w:rsidRPr="006B29D8">
        <w:rPr>
          <w:rStyle w:val="charItals"/>
        </w:rPr>
        <w:t>inspector</w:t>
      </w:r>
      <w:bookmarkEnd w:id="40"/>
    </w:p>
    <w:p w14:paraId="6F1CE656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42BD6B9A" w14:textId="77777777" w:rsidR="006D4D74" w:rsidRPr="006B29D8" w:rsidRDefault="006D4D74" w:rsidP="00370538">
      <w:pPr>
        <w:pStyle w:val="aDef"/>
      </w:pPr>
      <w:r w:rsidRPr="006B29D8">
        <w:rPr>
          <w:rStyle w:val="charBoldItals"/>
        </w:rPr>
        <w:t>inspector</w:t>
      </w:r>
      <w:r w:rsidRPr="006B29D8">
        <w:t xml:space="preserve"> means an inspector under section 188.</w:t>
      </w:r>
    </w:p>
    <w:p w14:paraId="77D5BE3F" w14:textId="77777777" w:rsidR="006D4D74" w:rsidRPr="006B29D8" w:rsidRDefault="006D4D74" w:rsidP="00370538">
      <w:pPr>
        <w:pStyle w:val="PageBreak"/>
        <w:suppressLineNumbers/>
      </w:pPr>
      <w:r w:rsidRPr="006B29D8">
        <w:br w:type="page"/>
      </w:r>
    </w:p>
    <w:p w14:paraId="5BC0DB4F" w14:textId="335666F8" w:rsidR="006D4D74" w:rsidRPr="00370538" w:rsidRDefault="00370538" w:rsidP="00370538">
      <w:pPr>
        <w:pStyle w:val="AH2Part"/>
      </w:pPr>
      <w:bookmarkStart w:id="41" w:name="_Toc207200710"/>
      <w:r w:rsidRPr="00370538">
        <w:rPr>
          <w:rStyle w:val="CharPartNo"/>
        </w:rPr>
        <w:lastRenderedPageBreak/>
        <w:t>Part 8</w:t>
      </w:r>
      <w:r w:rsidRPr="006B29D8">
        <w:tab/>
      </w:r>
      <w:r w:rsidR="006D4D74" w:rsidRPr="00370538">
        <w:rPr>
          <w:rStyle w:val="CharPartText"/>
        </w:rPr>
        <w:t>Work Health and Safety Act 2011</w:t>
      </w:r>
      <w:bookmarkEnd w:id="41"/>
    </w:p>
    <w:p w14:paraId="10AA4396" w14:textId="0C7D05DB" w:rsidR="006D4D74" w:rsidRPr="006B29D8" w:rsidRDefault="00370538" w:rsidP="00370538">
      <w:pPr>
        <w:pStyle w:val="AH5Sec"/>
        <w:shd w:val="pct25" w:color="auto" w:fill="auto"/>
      </w:pPr>
      <w:bookmarkStart w:id="42" w:name="_Toc207200711"/>
      <w:r w:rsidRPr="00370538">
        <w:rPr>
          <w:rStyle w:val="CharSectNo"/>
        </w:rPr>
        <w:t>33</w:t>
      </w:r>
      <w:r w:rsidRPr="006B29D8">
        <w:tab/>
      </w:r>
      <w:r w:rsidR="006D4D74" w:rsidRPr="006B29D8">
        <w:t xml:space="preserve">What is a </w:t>
      </w:r>
      <w:r w:rsidR="006D4D74" w:rsidRPr="006B29D8">
        <w:rPr>
          <w:rStyle w:val="charItals"/>
        </w:rPr>
        <w:t>notifiable incident</w:t>
      </w:r>
      <w:r w:rsidR="006D4D74" w:rsidRPr="006B29D8">
        <w:br/>
        <w:t xml:space="preserve">Section 35, definition of </w:t>
      </w:r>
      <w:r w:rsidR="006D4D74" w:rsidRPr="006B29D8">
        <w:rPr>
          <w:rStyle w:val="charItals"/>
        </w:rPr>
        <w:t>notifiable incident</w:t>
      </w:r>
      <w:bookmarkEnd w:id="42"/>
    </w:p>
    <w:p w14:paraId="6EEF9BD2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7939A851" w14:textId="77777777" w:rsidR="006D4D74" w:rsidRPr="006B29D8" w:rsidRDefault="006D4D74" w:rsidP="00370538">
      <w:pPr>
        <w:pStyle w:val="aDef"/>
      </w:pPr>
      <w:r w:rsidRPr="006B29D8">
        <w:rPr>
          <w:rStyle w:val="charBoldItals"/>
        </w:rPr>
        <w:t>notifiable incident</w:t>
      </w:r>
      <w:r w:rsidRPr="006B29D8">
        <w:t xml:space="preserve"> means any of the following arising out of the conduct of a business or undertaking:</w:t>
      </w:r>
    </w:p>
    <w:p w14:paraId="33FB3452" w14:textId="77777777" w:rsidR="006D4D74" w:rsidRPr="006B29D8" w:rsidRDefault="006D4D74" w:rsidP="006D4D74">
      <w:pPr>
        <w:pStyle w:val="Idefpara"/>
      </w:pPr>
      <w:r w:rsidRPr="006B29D8">
        <w:tab/>
        <w:t>(a)</w:t>
      </w:r>
      <w:r w:rsidRPr="006B29D8">
        <w:tab/>
        <w:t>the death of a person;</w:t>
      </w:r>
    </w:p>
    <w:p w14:paraId="4713023C" w14:textId="77777777" w:rsidR="006D4D74" w:rsidRPr="006B29D8" w:rsidRDefault="006D4D74" w:rsidP="006D4D74">
      <w:pPr>
        <w:pStyle w:val="Idefpara"/>
      </w:pPr>
      <w:r w:rsidRPr="006B29D8">
        <w:tab/>
        <w:t>(b)</w:t>
      </w:r>
      <w:r w:rsidRPr="006B29D8">
        <w:tab/>
        <w:t>a serious injury or illness of a person;</w:t>
      </w:r>
    </w:p>
    <w:p w14:paraId="3F498679" w14:textId="77777777" w:rsidR="006D4D74" w:rsidRPr="006B29D8" w:rsidRDefault="006D4D74" w:rsidP="006D4D74">
      <w:pPr>
        <w:pStyle w:val="Idefpara"/>
      </w:pPr>
      <w:r w:rsidRPr="006B29D8">
        <w:tab/>
        <w:t>(c)</w:t>
      </w:r>
      <w:r w:rsidRPr="006B29D8">
        <w:tab/>
        <w:t>a dangerous incident;</w:t>
      </w:r>
    </w:p>
    <w:p w14:paraId="02B89F29" w14:textId="77777777" w:rsidR="006D4D74" w:rsidRPr="006B29D8" w:rsidRDefault="006D4D74" w:rsidP="006D4D74">
      <w:pPr>
        <w:pStyle w:val="Idefpara"/>
      </w:pPr>
      <w:r w:rsidRPr="006B29D8">
        <w:tab/>
        <w:t>(d)</w:t>
      </w:r>
      <w:r w:rsidRPr="006B29D8">
        <w:tab/>
        <w:t>a sexual assault incident.</w:t>
      </w:r>
    </w:p>
    <w:p w14:paraId="7FBE9B24" w14:textId="11DDFE9A" w:rsidR="006D4D74" w:rsidRPr="006B29D8" w:rsidRDefault="00370538" w:rsidP="00370538">
      <w:pPr>
        <w:pStyle w:val="AH5Sec"/>
        <w:shd w:val="pct25" w:color="auto" w:fill="auto"/>
      </w:pPr>
      <w:bookmarkStart w:id="43" w:name="_Toc207200712"/>
      <w:r w:rsidRPr="00370538">
        <w:rPr>
          <w:rStyle w:val="CharSectNo"/>
        </w:rPr>
        <w:t>34</w:t>
      </w:r>
      <w:r w:rsidRPr="006B29D8">
        <w:tab/>
      </w:r>
      <w:r w:rsidR="006D4D74" w:rsidRPr="006B29D8">
        <w:t>Section</w:t>
      </w:r>
      <w:r w:rsidR="001A41C9" w:rsidRPr="006B29D8">
        <w:t>s</w:t>
      </w:r>
      <w:r w:rsidR="006D4D74" w:rsidRPr="006B29D8">
        <w:t xml:space="preserve"> 36</w:t>
      </w:r>
      <w:r w:rsidR="001A41C9" w:rsidRPr="006B29D8">
        <w:t xml:space="preserve"> and 37</w:t>
      </w:r>
      <w:bookmarkEnd w:id="43"/>
    </w:p>
    <w:p w14:paraId="4E52BD93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3B230425" w14:textId="77777777" w:rsidR="006D4D74" w:rsidRPr="006B29D8" w:rsidRDefault="006D4D74" w:rsidP="006D4D74">
      <w:pPr>
        <w:pStyle w:val="IH5Sec"/>
      </w:pPr>
      <w:r w:rsidRPr="006B29D8">
        <w:t>36</w:t>
      </w:r>
      <w:r w:rsidRPr="006B29D8">
        <w:tab/>
        <w:t xml:space="preserve">What is a </w:t>
      </w:r>
      <w:r w:rsidRPr="006B29D8">
        <w:rPr>
          <w:rStyle w:val="charItals"/>
        </w:rPr>
        <w:t>serious injury or illness</w:t>
      </w:r>
      <w:r w:rsidRPr="006B29D8">
        <w:t>—pt 3</w:t>
      </w:r>
    </w:p>
    <w:p w14:paraId="4962D695" w14:textId="77777777" w:rsidR="006D4D74" w:rsidRPr="006B29D8" w:rsidRDefault="006D4D74" w:rsidP="006D4D74">
      <w:pPr>
        <w:pStyle w:val="IMain"/>
      </w:pPr>
      <w:r w:rsidRPr="006B29D8">
        <w:tab/>
        <w:t>(1)</w:t>
      </w:r>
      <w:r w:rsidRPr="006B29D8">
        <w:tab/>
        <w:t>In this part:</w:t>
      </w:r>
    </w:p>
    <w:p w14:paraId="6FCEF57B" w14:textId="77777777" w:rsidR="006D4D74" w:rsidRPr="006B29D8" w:rsidRDefault="006D4D74" w:rsidP="00370538">
      <w:pPr>
        <w:pStyle w:val="aDef"/>
      </w:pPr>
      <w:r w:rsidRPr="006B29D8">
        <w:rPr>
          <w:rStyle w:val="charBoldItals"/>
        </w:rPr>
        <w:t>serious injury or illness</w:t>
      </w:r>
      <w:r w:rsidRPr="006B29D8">
        <w:t>, in relation to a person, means—</w:t>
      </w:r>
    </w:p>
    <w:p w14:paraId="71AC6A57" w14:textId="77777777" w:rsidR="006D4D74" w:rsidRPr="006B29D8" w:rsidRDefault="006D4D74" w:rsidP="006D4D74">
      <w:pPr>
        <w:pStyle w:val="Idefpara"/>
      </w:pPr>
      <w:r w:rsidRPr="006B29D8">
        <w:tab/>
        <w:t>(a)</w:t>
      </w:r>
      <w:r w:rsidRPr="006B29D8">
        <w:tab/>
        <w:t>an injury or illness that would ordinarily require the person to have immediate treatment as an in-patient of a hospital, whether or not treatment is available or sought; or</w:t>
      </w:r>
    </w:p>
    <w:p w14:paraId="7E7872C7" w14:textId="77777777" w:rsidR="006D4D74" w:rsidRPr="006B29D8" w:rsidRDefault="006D4D74" w:rsidP="006D4D74">
      <w:pPr>
        <w:pStyle w:val="Idefpara"/>
      </w:pPr>
      <w:r w:rsidRPr="006B29D8">
        <w:tab/>
        <w:t>(b)</w:t>
      </w:r>
      <w:r w:rsidRPr="006B29D8">
        <w:tab/>
        <w:t>any of the following injuries or illnesses if a person would ordinarily seek immediate treatment, whether or not treatment is available or sought:</w:t>
      </w:r>
    </w:p>
    <w:p w14:paraId="6DD84123" w14:textId="77777777" w:rsidR="006D4D74" w:rsidRPr="006B29D8" w:rsidRDefault="006D4D74" w:rsidP="006D4D74">
      <w:pPr>
        <w:pStyle w:val="Idefsubpara"/>
      </w:pPr>
      <w:r w:rsidRPr="006B29D8">
        <w:tab/>
        <w:t>(i)</w:t>
      </w:r>
      <w:r w:rsidRPr="006B29D8">
        <w:tab/>
        <w:t>the amputation of a body part;</w:t>
      </w:r>
    </w:p>
    <w:p w14:paraId="1C47DDDE" w14:textId="77777777" w:rsidR="006D4D74" w:rsidRPr="006B29D8" w:rsidRDefault="006D4D74" w:rsidP="006D4D74">
      <w:pPr>
        <w:pStyle w:val="Idefsubpara"/>
      </w:pPr>
      <w:r w:rsidRPr="006B29D8">
        <w:tab/>
        <w:t>(ii)</w:t>
      </w:r>
      <w:r w:rsidRPr="006B29D8">
        <w:tab/>
        <w:t>a serious eye injury;</w:t>
      </w:r>
    </w:p>
    <w:p w14:paraId="0C1754C2" w14:textId="77777777" w:rsidR="006D4D74" w:rsidRPr="006B29D8" w:rsidRDefault="006D4D74" w:rsidP="006D4D74">
      <w:pPr>
        <w:pStyle w:val="Idefsubpara"/>
      </w:pPr>
      <w:r w:rsidRPr="006B29D8">
        <w:tab/>
        <w:t>(iii)</w:t>
      </w:r>
      <w:r w:rsidRPr="006B29D8">
        <w:tab/>
        <w:t>a serious burn;</w:t>
      </w:r>
    </w:p>
    <w:p w14:paraId="761B5869" w14:textId="77777777" w:rsidR="006D4D74" w:rsidRPr="006B29D8" w:rsidRDefault="006D4D74" w:rsidP="006D4D74">
      <w:pPr>
        <w:pStyle w:val="Idefsubpara"/>
      </w:pPr>
      <w:r w:rsidRPr="006B29D8">
        <w:lastRenderedPageBreak/>
        <w:tab/>
        <w:t>(iv)</w:t>
      </w:r>
      <w:r w:rsidRPr="006B29D8">
        <w:tab/>
        <w:t>the separation of skin from an underlying tissue, such as degloving or scalping;</w:t>
      </w:r>
    </w:p>
    <w:p w14:paraId="121BAE5B" w14:textId="77777777" w:rsidR="006D4D74" w:rsidRPr="006B29D8" w:rsidRDefault="006D4D74" w:rsidP="006D4D74">
      <w:pPr>
        <w:pStyle w:val="Idefsubpara"/>
      </w:pPr>
      <w:r w:rsidRPr="006B29D8">
        <w:tab/>
        <w:t>(v)</w:t>
      </w:r>
      <w:r w:rsidRPr="006B29D8">
        <w:tab/>
        <w:t>a spinal injury, including a fracture of 1 or more vertebrae;</w:t>
      </w:r>
    </w:p>
    <w:p w14:paraId="0809EEFC" w14:textId="4351240A" w:rsidR="00E41164" w:rsidRPr="006B29D8" w:rsidRDefault="00E41164" w:rsidP="006D4D74">
      <w:pPr>
        <w:pStyle w:val="Idefsubpara"/>
      </w:pPr>
      <w:r w:rsidRPr="006B29D8">
        <w:tab/>
        <w:t>(vi)</w:t>
      </w:r>
      <w:r w:rsidRPr="006B29D8">
        <w:tab/>
        <w:t>a fracture of the pelvis, the skull or other facial bones;</w:t>
      </w:r>
    </w:p>
    <w:p w14:paraId="4DA12D77" w14:textId="78456511" w:rsidR="00E41164" w:rsidRPr="006B29D8" w:rsidRDefault="00E41164" w:rsidP="006D4D74">
      <w:pPr>
        <w:pStyle w:val="Idefsubpara"/>
      </w:pPr>
      <w:r w:rsidRPr="006B29D8">
        <w:tab/>
        <w:t>(vii)</w:t>
      </w:r>
      <w:r w:rsidRPr="006B29D8">
        <w:tab/>
        <w:t xml:space="preserve">another serious bone </w:t>
      </w:r>
      <w:r w:rsidR="007D4083" w:rsidRPr="006B29D8">
        <w:t>fracture;</w:t>
      </w:r>
    </w:p>
    <w:p w14:paraId="43F55FA4" w14:textId="5132C3E1" w:rsidR="007D4083" w:rsidRPr="006B29D8" w:rsidRDefault="007D4083" w:rsidP="006D4D74">
      <w:pPr>
        <w:pStyle w:val="Idefsubpara"/>
      </w:pPr>
      <w:r w:rsidRPr="006B29D8">
        <w:tab/>
        <w:t>(viii)</w:t>
      </w:r>
      <w:r w:rsidRPr="006B29D8">
        <w:tab/>
        <w:t>a serious crush injury;</w:t>
      </w:r>
    </w:p>
    <w:p w14:paraId="4AFC966D" w14:textId="741F9002" w:rsidR="006D4D74" w:rsidRPr="006B29D8" w:rsidRDefault="006D4D74" w:rsidP="006D4D74">
      <w:pPr>
        <w:pStyle w:val="Idefsubpara"/>
      </w:pPr>
      <w:r w:rsidRPr="006B29D8">
        <w:tab/>
        <w:t>(</w:t>
      </w:r>
      <w:r w:rsidR="007D4083" w:rsidRPr="006B29D8">
        <w:t>ix</w:t>
      </w:r>
      <w:r w:rsidRPr="006B29D8">
        <w:t>)</w:t>
      </w:r>
      <w:r w:rsidRPr="006B29D8">
        <w:tab/>
        <w:t xml:space="preserve">the loss of </w:t>
      </w:r>
      <w:r w:rsidR="00660311" w:rsidRPr="006B29D8">
        <w:t xml:space="preserve">a </w:t>
      </w:r>
      <w:r w:rsidRPr="006B29D8">
        <w:t>bodily function;</w:t>
      </w:r>
    </w:p>
    <w:p w14:paraId="5723A45F" w14:textId="50CA1AA0" w:rsidR="006D4D74" w:rsidRPr="006B29D8" w:rsidRDefault="006D4D74" w:rsidP="006D4D74">
      <w:pPr>
        <w:pStyle w:val="Idefsubpara"/>
      </w:pPr>
      <w:r w:rsidRPr="006B29D8">
        <w:tab/>
        <w:t>(</w:t>
      </w:r>
      <w:r w:rsidR="007D4083" w:rsidRPr="006B29D8">
        <w:t>x</w:t>
      </w:r>
      <w:r w:rsidRPr="006B29D8">
        <w:t>)</w:t>
      </w:r>
      <w:r w:rsidRPr="006B29D8">
        <w:tab/>
        <w:t>serious lacerations; or</w:t>
      </w:r>
    </w:p>
    <w:p w14:paraId="0D65A303" w14:textId="77777777" w:rsidR="006D4D74" w:rsidRPr="006B29D8" w:rsidRDefault="006D4D74" w:rsidP="006D4D74">
      <w:pPr>
        <w:pStyle w:val="Idefpara"/>
      </w:pPr>
      <w:r w:rsidRPr="006B29D8">
        <w:tab/>
        <w:t>(c)</w:t>
      </w:r>
      <w:r w:rsidRPr="006B29D8">
        <w:tab/>
        <w:t>a serious head injury or illness, including any head injury or illness resulting from—</w:t>
      </w:r>
    </w:p>
    <w:p w14:paraId="0F2B5D0B" w14:textId="77777777" w:rsidR="006D4D74" w:rsidRPr="006B29D8" w:rsidRDefault="006D4D74" w:rsidP="006D4D74">
      <w:pPr>
        <w:pStyle w:val="Isubpara"/>
      </w:pPr>
      <w:r w:rsidRPr="006B29D8">
        <w:tab/>
        <w:t>(i)</w:t>
      </w:r>
      <w:r w:rsidRPr="006B29D8">
        <w:tab/>
        <w:t>a significant blow, knock or other shock to the person’s head, whether or not immediate treatment is sought; or</w:t>
      </w:r>
    </w:p>
    <w:p w14:paraId="0D9D3642" w14:textId="77777777" w:rsidR="006D4D74" w:rsidRPr="006B29D8" w:rsidRDefault="006D4D74" w:rsidP="006D4D74">
      <w:pPr>
        <w:pStyle w:val="Isubpara"/>
      </w:pPr>
      <w:r w:rsidRPr="006B29D8">
        <w:tab/>
        <w:t>(ii)</w:t>
      </w:r>
      <w:r w:rsidRPr="006B29D8">
        <w:tab/>
        <w:t>repeated blows, knocks or shocks to the person’s head; or</w:t>
      </w:r>
    </w:p>
    <w:p w14:paraId="63372B7C" w14:textId="77777777" w:rsidR="006D4D74" w:rsidRPr="006B29D8" w:rsidRDefault="006D4D74" w:rsidP="006D4D74">
      <w:pPr>
        <w:pStyle w:val="Idefpara"/>
      </w:pPr>
      <w:r w:rsidRPr="006B29D8">
        <w:tab/>
        <w:t>(d)</w:t>
      </w:r>
      <w:r w:rsidRPr="006B29D8">
        <w:tab/>
        <w:t>an injury or illness for which the person seeks treatment from a relevant registered health professional within 48 hours after exposure to a substance; or</w:t>
      </w:r>
    </w:p>
    <w:p w14:paraId="568C2603" w14:textId="77777777" w:rsidR="006D4D74" w:rsidRPr="006B29D8" w:rsidRDefault="006D4D74" w:rsidP="006D4D74">
      <w:pPr>
        <w:pStyle w:val="Idefpara"/>
      </w:pPr>
      <w:r w:rsidRPr="006B29D8">
        <w:tab/>
        <w:t>(e)</w:t>
      </w:r>
      <w:r w:rsidRPr="006B29D8">
        <w:tab/>
        <w:t>an injury or illness prescribed by regulation.</w:t>
      </w:r>
    </w:p>
    <w:p w14:paraId="599B257E" w14:textId="77777777" w:rsidR="006D4D74" w:rsidRPr="006B29D8" w:rsidRDefault="006D4D74" w:rsidP="006D4D74">
      <w:pPr>
        <w:pStyle w:val="IMain"/>
      </w:pPr>
      <w:r w:rsidRPr="006B29D8">
        <w:tab/>
        <w:t>(2)</w:t>
      </w:r>
      <w:r w:rsidRPr="006B29D8">
        <w:tab/>
        <w:t>A regulation may prescribe that an injury or illness is not a serious injury or illness for this part.</w:t>
      </w:r>
    </w:p>
    <w:p w14:paraId="2FFA3BE6" w14:textId="77777777" w:rsidR="006D4D74" w:rsidRPr="006B29D8" w:rsidRDefault="006D4D74" w:rsidP="006D4D74">
      <w:pPr>
        <w:pStyle w:val="IMain"/>
      </w:pPr>
      <w:r w:rsidRPr="006B29D8">
        <w:tab/>
        <w:t>(3)</w:t>
      </w:r>
      <w:r w:rsidRPr="006B29D8">
        <w:tab/>
        <w:t>In this section:</w:t>
      </w:r>
    </w:p>
    <w:p w14:paraId="2DD8BA53" w14:textId="77777777" w:rsidR="006D4D74" w:rsidRPr="006B29D8" w:rsidRDefault="006D4D74" w:rsidP="00370538">
      <w:pPr>
        <w:pStyle w:val="aDef"/>
      </w:pPr>
      <w:r w:rsidRPr="006B29D8">
        <w:rPr>
          <w:rStyle w:val="charBoldItals"/>
        </w:rPr>
        <w:t>relevant registered health professional</w:t>
      </w:r>
      <w:r w:rsidRPr="006B29D8">
        <w:t xml:space="preserve"> means—</w:t>
      </w:r>
    </w:p>
    <w:p w14:paraId="6E70DED6" w14:textId="1B6EBD0E" w:rsidR="006D4D74" w:rsidRPr="006B29D8" w:rsidRDefault="006D4D74" w:rsidP="001A41C9">
      <w:pPr>
        <w:pStyle w:val="Idefpara"/>
        <w:tabs>
          <w:tab w:val="left" w:pos="4584"/>
        </w:tabs>
      </w:pPr>
      <w:r w:rsidRPr="006B29D8">
        <w:tab/>
        <w:t>(a)</w:t>
      </w:r>
      <w:r w:rsidRPr="006B29D8">
        <w:tab/>
      </w:r>
      <w:r w:rsidR="00BB1F5D" w:rsidRPr="006B29D8">
        <w:t>a doctor</w:t>
      </w:r>
      <w:r w:rsidR="001A41C9" w:rsidRPr="006B29D8">
        <w:t>; or</w:t>
      </w:r>
    </w:p>
    <w:p w14:paraId="7B21AC07" w14:textId="6D0E4375" w:rsidR="006D4D74" w:rsidRPr="006B29D8" w:rsidRDefault="006D4D74" w:rsidP="006D4D74">
      <w:pPr>
        <w:pStyle w:val="Idefpara"/>
      </w:pPr>
      <w:r w:rsidRPr="006B29D8">
        <w:tab/>
        <w:t>(b)</w:t>
      </w:r>
      <w:r w:rsidRPr="006B29D8">
        <w:tab/>
        <w:t>a</w:t>
      </w:r>
      <w:r w:rsidR="00BB1F5D" w:rsidRPr="006B29D8">
        <w:t>n enrolled nurse</w:t>
      </w:r>
      <w:r w:rsidRPr="006B29D8">
        <w:t>; or</w:t>
      </w:r>
    </w:p>
    <w:p w14:paraId="55D18526" w14:textId="77777777" w:rsidR="006D4D74" w:rsidRPr="006B29D8" w:rsidRDefault="006D4D74" w:rsidP="006D4D74">
      <w:pPr>
        <w:pStyle w:val="Idefpara"/>
      </w:pPr>
      <w:r w:rsidRPr="006B29D8">
        <w:tab/>
        <w:t>(c)</w:t>
      </w:r>
      <w:r w:rsidRPr="006B29D8">
        <w:tab/>
        <w:t>a nurse; or</w:t>
      </w:r>
    </w:p>
    <w:p w14:paraId="61EDDF57" w14:textId="679D5902" w:rsidR="006D4D74" w:rsidRPr="006B29D8" w:rsidRDefault="006D4D74" w:rsidP="006D4D74">
      <w:pPr>
        <w:pStyle w:val="Idefpara"/>
      </w:pPr>
      <w:r w:rsidRPr="006B29D8">
        <w:lastRenderedPageBreak/>
        <w:tab/>
        <w:t>(d)</w:t>
      </w:r>
      <w:r w:rsidRPr="006B29D8">
        <w:tab/>
        <w:t xml:space="preserve">a person registered under the </w:t>
      </w:r>
      <w:hyperlink r:id="rId29" w:history="1">
        <w:r w:rsidR="006B29D8" w:rsidRPr="006B29D8">
          <w:rPr>
            <w:rStyle w:val="charCitHyperlinkItal"/>
          </w:rPr>
          <w:t>Health Practitioner Regulation National Law (ACT)</w:t>
        </w:r>
      </w:hyperlink>
      <w:r w:rsidRPr="006B29D8">
        <w:t xml:space="preserve"> to practise in the paramedicine profession (other than as a student).</w:t>
      </w:r>
    </w:p>
    <w:p w14:paraId="22EDBA33" w14:textId="77777777" w:rsidR="006D4D74" w:rsidRPr="006B29D8" w:rsidRDefault="006D4D74" w:rsidP="006D4D74">
      <w:pPr>
        <w:pStyle w:val="IH5Sec"/>
      </w:pPr>
      <w:r w:rsidRPr="006B29D8">
        <w:t>37</w:t>
      </w:r>
      <w:r w:rsidRPr="006B29D8">
        <w:tab/>
        <w:t xml:space="preserve">What is a </w:t>
      </w:r>
      <w:r w:rsidRPr="006B29D8">
        <w:rPr>
          <w:rStyle w:val="charItals"/>
        </w:rPr>
        <w:t>dangerous incident</w:t>
      </w:r>
      <w:r w:rsidRPr="006B29D8">
        <w:t>—pt 3</w:t>
      </w:r>
    </w:p>
    <w:p w14:paraId="150CFD90" w14:textId="77777777" w:rsidR="006D4D74" w:rsidRPr="006B29D8" w:rsidRDefault="006D4D74" w:rsidP="006D4D74">
      <w:pPr>
        <w:pStyle w:val="IMain"/>
      </w:pPr>
      <w:r w:rsidRPr="006B29D8">
        <w:tab/>
        <w:t>(1)</w:t>
      </w:r>
      <w:r w:rsidRPr="006B29D8">
        <w:tab/>
        <w:t>In this part:</w:t>
      </w:r>
    </w:p>
    <w:p w14:paraId="2E683848" w14:textId="09306CA1" w:rsidR="006D4D74" w:rsidRPr="006B29D8" w:rsidRDefault="006D4D74" w:rsidP="00370538">
      <w:pPr>
        <w:pStyle w:val="aDef"/>
      </w:pPr>
      <w:r w:rsidRPr="006B29D8">
        <w:rPr>
          <w:rStyle w:val="charBoldItals"/>
        </w:rPr>
        <w:t>dangerous incident</w:t>
      </w:r>
      <w:r w:rsidRPr="006B29D8">
        <w:t xml:space="preserve"> means </w:t>
      </w:r>
      <w:r w:rsidR="00A21F75" w:rsidRPr="006B29D8">
        <w:t>any of the following incidents, in relation to a workplace, that immediately or imminently exposes a person to a serious risk to the person’s health and safety:</w:t>
      </w:r>
    </w:p>
    <w:p w14:paraId="741C6A61" w14:textId="4EBD3672" w:rsidR="006D4D74" w:rsidRPr="006B29D8" w:rsidRDefault="006D4D74" w:rsidP="00A21F75">
      <w:pPr>
        <w:pStyle w:val="Idefpara"/>
      </w:pPr>
      <w:r w:rsidRPr="006B29D8">
        <w:tab/>
        <w:t>(</w:t>
      </w:r>
      <w:r w:rsidR="00A21F75" w:rsidRPr="006B29D8">
        <w:t>a</w:t>
      </w:r>
      <w:r w:rsidRPr="006B29D8">
        <w:t>)</w:t>
      </w:r>
      <w:r w:rsidRPr="006B29D8">
        <w:tab/>
        <w:t>an uncontrolled escape, spillage or leakage of a substance;</w:t>
      </w:r>
    </w:p>
    <w:p w14:paraId="012A048D" w14:textId="1B1C7330" w:rsidR="006D4D74" w:rsidRPr="006B29D8" w:rsidRDefault="006D4D74" w:rsidP="00A21F75">
      <w:pPr>
        <w:pStyle w:val="Idefpara"/>
      </w:pPr>
      <w:r w:rsidRPr="006B29D8">
        <w:tab/>
        <w:t>(</w:t>
      </w:r>
      <w:r w:rsidR="00A21F75" w:rsidRPr="006B29D8">
        <w:t>b</w:t>
      </w:r>
      <w:r w:rsidRPr="006B29D8">
        <w:t>)</w:t>
      </w:r>
      <w:r w:rsidRPr="006B29D8">
        <w:tab/>
        <w:t xml:space="preserve">an uncontrolled fire, implosion or explosion, including an electrical explosion or an arc flash </w:t>
      </w:r>
      <w:r w:rsidR="00A21F75" w:rsidRPr="006B29D8">
        <w:t>ex</w:t>
      </w:r>
      <w:r w:rsidRPr="006B29D8">
        <w:t>plosion;</w:t>
      </w:r>
    </w:p>
    <w:p w14:paraId="43FD4BB2" w14:textId="3DE0B292" w:rsidR="006D4D74" w:rsidRPr="006B29D8" w:rsidRDefault="006D4D74" w:rsidP="00A21F75">
      <w:pPr>
        <w:pStyle w:val="Idefpara"/>
      </w:pPr>
      <w:r w:rsidRPr="006B29D8">
        <w:tab/>
        <w:t>(</w:t>
      </w:r>
      <w:r w:rsidR="00A21F75" w:rsidRPr="006B29D8">
        <w:t>c</w:t>
      </w:r>
      <w:r w:rsidRPr="006B29D8">
        <w:t>)</w:t>
      </w:r>
      <w:r w:rsidRPr="006B29D8">
        <w:tab/>
        <w:t>an uncontrolled escape of gas or steam;</w:t>
      </w:r>
    </w:p>
    <w:p w14:paraId="674DC786" w14:textId="52383388" w:rsidR="006D4D74" w:rsidRPr="006B29D8" w:rsidRDefault="006D4D74" w:rsidP="00A21F75">
      <w:pPr>
        <w:pStyle w:val="Idefpara"/>
      </w:pPr>
      <w:r w:rsidRPr="006B29D8">
        <w:tab/>
        <w:t>(</w:t>
      </w:r>
      <w:r w:rsidR="00A21F75" w:rsidRPr="006B29D8">
        <w:t>d</w:t>
      </w:r>
      <w:r w:rsidRPr="006B29D8">
        <w:t>)</w:t>
      </w:r>
      <w:r w:rsidRPr="006B29D8">
        <w:tab/>
        <w:t>an uncontrolled escape of a pressurised substance;</w:t>
      </w:r>
    </w:p>
    <w:p w14:paraId="2DEC5F82" w14:textId="01A86EE9" w:rsidR="006D4D74" w:rsidRPr="006B29D8" w:rsidRDefault="006D4D74" w:rsidP="00A21F75">
      <w:pPr>
        <w:pStyle w:val="Idefpara"/>
      </w:pPr>
      <w:r w:rsidRPr="006B29D8">
        <w:tab/>
        <w:t>(</w:t>
      </w:r>
      <w:r w:rsidR="00A21F75" w:rsidRPr="006B29D8">
        <w:t>e</w:t>
      </w:r>
      <w:r w:rsidRPr="006B29D8">
        <w:t>)</w:t>
      </w:r>
      <w:r w:rsidRPr="006B29D8">
        <w:tab/>
        <w:t>an electric shock;</w:t>
      </w:r>
    </w:p>
    <w:p w14:paraId="6018D36B" w14:textId="45F041DA" w:rsidR="006D4D74" w:rsidRPr="006B29D8" w:rsidRDefault="006D4D74" w:rsidP="00A21F75">
      <w:pPr>
        <w:pStyle w:val="Idefpara"/>
      </w:pPr>
      <w:r w:rsidRPr="006B29D8">
        <w:tab/>
        <w:t>(</w:t>
      </w:r>
      <w:r w:rsidR="00A21F75" w:rsidRPr="006B29D8">
        <w:t>f</w:t>
      </w:r>
      <w:r w:rsidRPr="006B29D8">
        <w:t>)</w:t>
      </w:r>
      <w:r w:rsidRPr="006B29D8">
        <w:tab/>
        <w:t>the fall or release from a height of a thing;</w:t>
      </w:r>
    </w:p>
    <w:p w14:paraId="33739DDE" w14:textId="44C7AC23" w:rsidR="006D4D74" w:rsidRPr="006B29D8" w:rsidRDefault="006D4D74" w:rsidP="00A21F75">
      <w:pPr>
        <w:pStyle w:val="Idefpara"/>
      </w:pPr>
      <w:r w:rsidRPr="006B29D8">
        <w:tab/>
        <w:t>(</w:t>
      </w:r>
      <w:r w:rsidR="00A21F75" w:rsidRPr="006B29D8">
        <w:t>g</w:t>
      </w:r>
      <w:r w:rsidRPr="006B29D8">
        <w:t>)</w:t>
      </w:r>
      <w:r w:rsidRPr="006B29D8">
        <w:tab/>
        <w:t>the collapse, overturning, failure or malfunction of, or damage to, plant that is required to be authorised for use in accordance with a regulation;</w:t>
      </w:r>
    </w:p>
    <w:p w14:paraId="757C19FF" w14:textId="5561ABAC" w:rsidR="006D4D74" w:rsidRPr="006B29D8" w:rsidRDefault="006D4D74" w:rsidP="00A21F75">
      <w:pPr>
        <w:pStyle w:val="Idefpara"/>
      </w:pPr>
      <w:r w:rsidRPr="006B29D8">
        <w:tab/>
        <w:t>(</w:t>
      </w:r>
      <w:r w:rsidR="00A21F75" w:rsidRPr="006B29D8">
        <w:t>h</w:t>
      </w:r>
      <w:r w:rsidRPr="006B29D8">
        <w:t>)</w:t>
      </w:r>
      <w:r w:rsidRPr="006B29D8">
        <w:tab/>
        <w:t>a mobile plant incident;</w:t>
      </w:r>
    </w:p>
    <w:p w14:paraId="34FE4F5D" w14:textId="1F03CDB6" w:rsidR="006D4D74" w:rsidRPr="006B29D8" w:rsidRDefault="006D4D74" w:rsidP="00A21F75">
      <w:pPr>
        <w:pStyle w:val="Idefpara"/>
      </w:pPr>
      <w:r w:rsidRPr="006B29D8">
        <w:tab/>
        <w:t>(i)</w:t>
      </w:r>
      <w:r w:rsidRPr="006B29D8">
        <w:tab/>
        <w:t>the collapse or partial collapse of a structure;</w:t>
      </w:r>
    </w:p>
    <w:p w14:paraId="1B3762DA" w14:textId="06C2770E" w:rsidR="006D4D74" w:rsidRPr="006B29D8" w:rsidRDefault="006D4D74" w:rsidP="00A21F75">
      <w:pPr>
        <w:pStyle w:val="Idefpara"/>
      </w:pPr>
      <w:r w:rsidRPr="006B29D8">
        <w:tab/>
        <w:t>(</w:t>
      </w:r>
      <w:r w:rsidR="00A21F75" w:rsidRPr="006B29D8">
        <w:t>j</w:t>
      </w:r>
      <w:r w:rsidRPr="006B29D8">
        <w:t>)</w:t>
      </w:r>
      <w:r w:rsidRPr="006B29D8">
        <w:tab/>
        <w:t>the collapse or failure of an excavation or of any shoring supporting an excavation;</w:t>
      </w:r>
    </w:p>
    <w:p w14:paraId="36D80449" w14:textId="2CB7A0C6" w:rsidR="006D4D74" w:rsidRPr="006B29D8" w:rsidRDefault="006D4D74" w:rsidP="00A21F75">
      <w:pPr>
        <w:pStyle w:val="Idefpara"/>
      </w:pPr>
      <w:r w:rsidRPr="006B29D8">
        <w:tab/>
        <w:t>(</w:t>
      </w:r>
      <w:r w:rsidR="00A21F75" w:rsidRPr="006B29D8">
        <w:t>k</w:t>
      </w:r>
      <w:r w:rsidRPr="006B29D8">
        <w:t>)</w:t>
      </w:r>
      <w:r w:rsidRPr="006B29D8">
        <w:tab/>
        <w:t>the inrush of water, mud or gas in workings, in an underground excavation or tunnel;</w:t>
      </w:r>
    </w:p>
    <w:p w14:paraId="18293C1D" w14:textId="1E4B23A4" w:rsidR="006D4D74" w:rsidRPr="006B29D8" w:rsidRDefault="006D4D74" w:rsidP="00A21F75">
      <w:pPr>
        <w:pStyle w:val="Idefpara"/>
      </w:pPr>
      <w:r w:rsidRPr="006B29D8">
        <w:tab/>
        <w:t>(</w:t>
      </w:r>
      <w:r w:rsidR="00A21F75" w:rsidRPr="006B29D8">
        <w:t>l</w:t>
      </w:r>
      <w:r w:rsidRPr="006B29D8">
        <w:t>)</w:t>
      </w:r>
      <w:r w:rsidRPr="006B29D8">
        <w:tab/>
        <w:t>the interruption of the main system of ventilation in an underground excavation or tunnel;</w:t>
      </w:r>
    </w:p>
    <w:p w14:paraId="00F3E4FA" w14:textId="759ADC12" w:rsidR="006D4D74" w:rsidRPr="006B29D8" w:rsidRDefault="006D4D74" w:rsidP="00A21F75">
      <w:pPr>
        <w:pStyle w:val="Idefpara"/>
      </w:pPr>
      <w:r w:rsidRPr="006B29D8">
        <w:tab/>
        <w:t>(</w:t>
      </w:r>
      <w:r w:rsidR="00A21F75" w:rsidRPr="006B29D8">
        <w:t>m</w:t>
      </w:r>
      <w:r w:rsidRPr="006B29D8">
        <w:t>)</w:t>
      </w:r>
      <w:r w:rsidRPr="006B29D8">
        <w:tab/>
        <w:t>a serious fall;</w:t>
      </w:r>
    </w:p>
    <w:p w14:paraId="27A40664" w14:textId="46C051FB" w:rsidR="006D4D74" w:rsidRPr="006B29D8" w:rsidRDefault="006D4D74" w:rsidP="00A21F75">
      <w:pPr>
        <w:pStyle w:val="Idefpara"/>
      </w:pPr>
      <w:r w:rsidRPr="006B29D8">
        <w:lastRenderedPageBreak/>
        <w:tab/>
        <w:t>(</w:t>
      </w:r>
      <w:r w:rsidR="00A21F75" w:rsidRPr="006B29D8">
        <w:t>n</w:t>
      </w:r>
      <w:r w:rsidRPr="006B29D8">
        <w:t>)</w:t>
      </w:r>
      <w:r w:rsidRPr="006B29D8">
        <w:tab/>
        <w:t xml:space="preserve">another </w:t>
      </w:r>
      <w:r w:rsidR="00A21F75" w:rsidRPr="006B29D8">
        <w:t>incident</w:t>
      </w:r>
      <w:r w:rsidRPr="006B29D8">
        <w:t xml:space="preserve"> prescribed by regulation.</w:t>
      </w:r>
    </w:p>
    <w:p w14:paraId="5A95ED50" w14:textId="77777777" w:rsidR="006D4D74" w:rsidRPr="006B29D8" w:rsidRDefault="006D4D74" w:rsidP="006D4D74">
      <w:pPr>
        <w:pStyle w:val="IMain"/>
      </w:pPr>
      <w:r w:rsidRPr="006B29D8">
        <w:tab/>
        <w:t>(2)</w:t>
      </w:r>
      <w:r w:rsidRPr="006B29D8">
        <w:tab/>
        <w:t>A regulation may prescribe that an incident is not a dangerous incident for this part.</w:t>
      </w:r>
    </w:p>
    <w:p w14:paraId="44BE0A3D" w14:textId="77777777" w:rsidR="006D4D74" w:rsidRPr="006B29D8" w:rsidRDefault="006D4D74" w:rsidP="006D4D74">
      <w:pPr>
        <w:pStyle w:val="IMain"/>
      </w:pPr>
      <w:r w:rsidRPr="006B29D8">
        <w:tab/>
        <w:t>(3)</w:t>
      </w:r>
      <w:r w:rsidRPr="006B29D8">
        <w:tab/>
        <w:t>In this section:</w:t>
      </w:r>
    </w:p>
    <w:p w14:paraId="499BA52B" w14:textId="77777777" w:rsidR="006D4D74" w:rsidRPr="006B29D8" w:rsidRDefault="006D4D74" w:rsidP="00370538">
      <w:pPr>
        <w:pStyle w:val="aDef"/>
      </w:pPr>
      <w:r w:rsidRPr="006B29D8">
        <w:rPr>
          <w:rStyle w:val="charBoldItals"/>
        </w:rPr>
        <w:t>mobile plant</w:t>
      </w:r>
      <w:r w:rsidRPr="006B29D8">
        <w:t xml:space="preserve"> means plant designed to move or be moved, either autonomously or under the direct or remote control of an operator.</w:t>
      </w:r>
    </w:p>
    <w:p w14:paraId="731C48BF" w14:textId="77777777" w:rsidR="006D4D74" w:rsidRPr="006B29D8" w:rsidRDefault="006D4D74" w:rsidP="00370538">
      <w:pPr>
        <w:pStyle w:val="aDef"/>
      </w:pPr>
      <w:r w:rsidRPr="006B29D8">
        <w:rPr>
          <w:rStyle w:val="charBoldItals"/>
        </w:rPr>
        <w:t>mobile plant incident</w:t>
      </w:r>
      <w:r w:rsidRPr="006B29D8">
        <w:t xml:space="preserve"> means an incident in which—</w:t>
      </w:r>
    </w:p>
    <w:p w14:paraId="1F1FB755" w14:textId="77777777" w:rsidR="006D4D74" w:rsidRPr="006B29D8" w:rsidRDefault="006D4D74" w:rsidP="006D4D74">
      <w:pPr>
        <w:pStyle w:val="Idefpara"/>
      </w:pPr>
      <w:r w:rsidRPr="006B29D8">
        <w:tab/>
        <w:t>(a)</w:t>
      </w:r>
      <w:r w:rsidRPr="006B29D8">
        <w:tab/>
        <w:t>mobile plant overturns or partially overturns; or</w:t>
      </w:r>
    </w:p>
    <w:p w14:paraId="1EC8F9BE" w14:textId="77777777" w:rsidR="006D4D74" w:rsidRPr="006B29D8" w:rsidRDefault="006D4D74" w:rsidP="006D4D74">
      <w:pPr>
        <w:pStyle w:val="Idefpara"/>
      </w:pPr>
      <w:r w:rsidRPr="006B29D8">
        <w:tab/>
        <w:t>(b)</w:t>
      </w:r>
      <w:r w:rsidRPr="006B29D8">
        <w:tab/>
        <w:t>mobile plant collides with a person or thing; or</w:t>
      </w:r>
    </w:p>
    <w:p w14:paraId="1F21BAE7" w14:textId="77777777" w:rsidR="006D4D74" w:rsidRPr="006B29D8" w:rsidRDefault="006D4D74" w:rsidP="006D4D74">
      <w:pPr>
        <w:pStyle w:val="Idefpara"/>
      </w:pPr>
      <w:r w:rsidRPr="006B29D8">
        <w:tab/>
        <w:t>(c)</w:t>
      </w:r>
      <w:r w:rsidRPr="006B29D8">
        <w:tab/>
        <w:t>a person is pinned to the ground or another thing by mobile plant; or</w:t>
      </w:r>
    </w:p>
    <w:p w14:paraId="6C0BF154" w14:textId="77777777" w:rsidR="006D4D74" w:rsidRPr="006B29D8" w:rsidRDefault="006D4D74" w:rsidP="006D4D74">
      <w:pPr>
        <w:pStyle w:val="Idefpara"/>
      </w:pPr>
      <w:r w:rsidRPr="006B29D8">
        <w:tab/>
        <w:t>(d)</w:t>
      </w:r>
      <w:r w:rsidRPr="006B29D8">
        <w:tab/>
        <w:t>a person is ejected from mobile plant; or</w:t>
      </w:r>
    </w:p>
    <w:p w14:paraId="21361350" w14:textId="77777777" w:rsidR="006D4D74" w:rsidRPr="006B29D8" w:rsidRDefault="006D4D74" w:rsidP="006D4D74">
      <w:pPr>
        <w:pStyle w:val="Idefpara"/>
      </w:pPr>
      <w:r w:rsidRPr="006B29D8">
        <w:tab/>
        <w:t>(e)</w:t>
      </w:r>
      <w:r w:rsidRPr="006B29D8">
        <w:tab/>
        <w:t>mobile plant malfunctions; or</w:t>
      </w:r>
    </w:p>
    <w:p w14:paraId="328F97D7" w14:textId="77777777" w:rsidR="006D4D74" w:rsidRPr="006B29D8" w:rsidRDefault="006D4D74" w:rsidP="006D4D74">
      <w:pPr>
        <w:pStyle w:val="Idefpara"/>
      </w:pPr>
      <w:r w:rsidRPr="006B29D8">
        <w:tab/>
        <w:t>(f)</w:t>
      </w:r>
      <w:r w:rsidRPr="006B29D8">
        <w:tab/>
        <w:t>mobile plant that is ordinarily controlled directly or remotely by an operator moves while not under control.</w:t>
      </w:r>
    </w:p>
    <w:p w14:paraId="49C0DA49" w14:textId="77777777" w:rsidR="006D4D74" w:rsidRPr="006B29D8" w:rsidRDefault="006D4D74" w:rsidP="00370538">
      <w:pPr>
        <w:pStyle w:val="aDef"/>
      </w:pPr>
      <w:r w:rsidRPr="006B29D8">
        <w:rPr>
          <w:rStyle w:val="charBoldItals"/>
        </w:rPr>
        <w:t>serious fall</w:t>
      </w:r>
      <w:r w:rsidRPr="006B29D8">
        <w:t xml:space="preserve"> means a person falling, or the risk of a person falling—</w:t>
      </w:r>
    </w:p>
    <w:p w14:paraId="068311CB" w14:textId="71E59058" w:rsidR="006D4D74" w:rsidRPr="006B29D8" w:rsidRDefault="006D4D74" w:rsidP="006D4D74">
      <w:pPr>
        <w:pStyle w:val="Idefpara"/>
      </w:pPr>
      <w:r w:rsidRPr="006B29D8">
        <w:tab/>
        <w:t>(a)</w:t>
      </w:r>
      <w:r w:rsidRPr="006B29D8">
        <w:tab/>
        <w:t xml:space="preserve">from </w:t>
      </w:r>
      <w:r w:rsidR="003D196B" w:rsidRPr="006B29D8">
        <w:t>1</w:t>
      </w:r>
      <w:r w:rsidRPr="006B29D8">
        <w:t xml:space="preserve"> level to a lower level; or</w:t>
      </w:r>
    </w:p>
    <w:p w14:paraId="6D4E421B" w14:textId="77777777" w:rsidR="006D4D74" w:rsidRPr="006B29D8" w:rsidRDefault="006D4D74" w:rsidP="006D4D74">
      <w:pPr>
        <w:pStyle w:val="Idefpara"/>
      </w:pPr>
      <w:r w:rsidRPr="006B29D8">
        <w:tab/>
        <w:t>(b)</w:t>
      </w:r>
      <w:r w:rsidRPr="006B29D8">
        <w:tab/>
        <w:t>into a hole, trench, pit or void; or</w:t>
      </w:r>
    </w:p>
    <w:p w14:paraId="6E4AE9D6" w14:textId="77777777" w:rsidR="006D4D74" w:rsidRPr="006B29D8" w:rsidRDefault="006D4D74" w:rsidP="006D4D74">
      <w:pPr>
        <w:pStyle w:val="Idefpara"/>
      </w:pPr>
      <w:r w:rsidRPr="006B29D8">
        <w:tab/>
        <w:t>(c)</w:t>
      </w:r>
      <w:r w:rsidRPr="006B29D8">
        <w:tab/>
        <w:t>into a body of water; or</w:t>
      </w:r>
    </w:p>
    <w:p w14:paraId="4AF9A376" w14:textId="77777777" w:rsidR="006D4D74" w:rsidRPr="006B29D8" w:rsidRDefault="006D4D74" w:rsidP="006D4D74">
      <w:pPr>
        <w:pStyle w:val="Idefpara"/>
      </w:pPr>
      <w:r w:rsidRPr="006B29D8">
        <w:tab/>
        <w:t>(d)</w:t>
      </w:r>
      <w:r w:rsidRPr="006B29D8">
        <w:tab/>
        <w:t>onto a dangerous surface or object.</w:t>
      </w:r>
    </w:p>
    <w:p w14:paraId="6600D549" w14:textId="10B52F23" w:rsidR="006D4D74" w:rsidRPr="006B29D8" w:rsidRDefault="00370538" w:rsidP="00370538">
      <w:pPr>
        <w:pStyle w:val="AH5Sec"/>
        <w:shd w:val="pct25" w:color="auto" w:fill="auto"/>
      </w:pPr>
      <w:bookmarkStart w:id="44" w:name="_Toc207200713"/>
      <w:r w:rsidRPr="00370538">
        <w:rPr>
          <w:rStyle w:val="CharSectNo"/>
        </w:rPr>
        <w:t>35</w:t>
      </w:r>
      <w:r w:rsidRPr="006B29D8">
        <w:tab/>
      </w:r>
      <w:r w:rsidR="006D4D74" w:rsidRPr="006B29D8">
        <w:t xml:space="preserve">Duty to notify </w:t>
      </w:r>
      <w:r w:rsidR="00A21F75" w:rsidRPr="006B29D8">
        <w:t xml:space="preserve">of </w:t>
      </w:r>
      <w:r w:rsidR="006D4D74" w:rsidRPr="006B29D8">
        <w:t>notifiable incidents</w:t>
      </w:r>
      <w:r w:rsidR="006D4D74" w:rsidRPr="006B29D8">
        <w:br/>
        <w:t>Section 38 (1)</w:t>
      </w:r>
      <w:bookmarkEnd w:id="44"/>
    </w:p>
    <w:p w14:paraId="49032F2E" w14:textId="77777777" w:rsidR="006D4D74" w:rsidRPr="006B29D8" w:rsidRDefault="006D4D74" w:rsidP="006D4D74">
      <w:pPr>
        <w:pStyle w:val="direction"/>
      </w:pPr>
      <w:r w:rsidRPr="006B29D8">
        <w:t>omit</w:t>
      </w:r>
    </w:p>
    <w:p w14:paraId="1A35D380" w14:textId="77777777" w:rsidR="006D4D74" w:rsidRPr="006B29D8" w:rsidRDefault="006D4D74" w:rsidP="006D4D74">
      <w:pPr>
        <w:pStyle w:val="Amainreturn"/>
      </w:pPr>
      <w:r w:rsidRPr="006B29D8">
        <w:t>arising out of the conduct of the business or undertaking</w:t>
      </w:r>
    </w:p>
    <w:p w14:paraId="1DFF9C89" w14:textId="16172362" w:rsidR="006D4D74" w:rsidRPr="006B29D8" w:rsidRDefault="00370538" w:rsidP="00370538">
      <w:pPr>
        <w:pStyle w:val="AH5Sec"/>
        <w:shd w:val="pct25" w:color="auto" w:fill="auto"/>
      </w:pPr>
      <w:bookmarkStart w:id="45" w:name="_Toc207200714"/>
      <w:r w:rsidRPr="00370538">
        <w:rPr>
          <w:rStyle w:val="CharSectNo"/>
        </w:rPr>
        <w:lastRenderedPageBreak/>
        <w:t>36</w:t>
      </w:r>
      <w:r w:rsidRPr="006B29D8">
        <w:tab/>
      </w:r>
      <w:r w:rsidR="006D4D74" w:rsidRPr="006B29D8">
        <w:t>Section 39 heading</w:t>
      </w:r>
      <w:bookmarkEnd w:id="45"/>
    </w:p>
    <w:p w14:paraId="7224EEBC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0DE7A0A1" w14:textId="77777777" w:rsidR="006D4D74" w:rsidRPr="006B29D8" w:rsidRDefault="006D4D74" w:rsidP="006D4D74">
      <w:pPr>
        <w:pStyle w:val="IH5Sec"/>
      </w:pPr>
      <w:r w:rsidRPr="006B29D8">
        <w:t>39</w:t>
      </w:r>
      <w:r w:rsidRPr="006B29D8">
        <w:tab/>
        <w:t>Duty to preserve incident sites and evidence</w:t>
      </w:r>
    </w:p>
    <w:p w14:paraId="0A09FD8F" w14:textId="14838F24" w:rsidR="006D4D74" w:rsidRPr="006B29D8" w:rsidRDefault="00370538" w:rsidP="00370538">
      <w:pPr>
        <w:pStyle w:val="AH5Sec"/>
        <w:shd w:val="pct25" w:color="auto" w:fill="auto"/>
      </w:pPr>
      <w:bookmarkStart w:id="46" w:name="_Toc207200715"/>
      <w:r w:rsidRPr="00370538">
        <w:rPr>
          <w:rStyle w:val="CharSectNo"/>
        </w:rPr>
        <w:t>37</w:t>
      </w:r>
      <w:r w:rsidRPr="006B29D8">
        <w:tab/>
      </w:r>
      <w:r w:rsidR="006D4D74" w:rsidRPr="006B29D8">
        <w:t>Section 39 (1)</w:t>
      </w:r>
      <w:r w:rsidR="00A21F75" w:rsidRPr="006B29D8">
        <w:t xml:space="preserve"> and note</w:t>
      </w:r>
      <w:bookmarkEnd w:id="46"/>
    </w:p>
    <w:p w14:paraId="3C510BD9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0C4066D1" w14:textId="77777777" w:rsidR="006D4D74" w:rsidRPr="006B29D8" w:rsidRDefault="006D4D74" w:rsidP="006D4D74">
      <w:pPr>
        <w:pStyle w:val="IMain"/>
      </w:pPr>
      <w:r w:rsidRPr="006B29D8">
        <w:tab/>
        <w:t>(1)</w:t>
      </w:r>
      <w:r w:rsidRPr="006B29D8">
        <w:tab/>
        <w:t>The person with management or control of a workplace at which a notifiable incident has occurred must, so far as reasonably practicable, ensure—</w:t>
      </w:r>
    </w:p>
    <w:p w14:paraId="1DB51162" w14:textId="77777777" w:rsidR="006D4D74" w:rsidRPr="006B29D8" w:rsidRDefault="006D4D74" w:rsidP="006D4D74">
      <w:pPr>
        <w:pStyle w:val="Ipara"/>
      </w:pPr>
      <w:r w:rsidRPr="006B29D8">
        <w:tab/>
        <w:t>(a)</w:t>
      </w:r>
      <w:r w:rsidRPr="006B29D8">
        <w:tab/>
        <w:t>the site where the incident occurred is preserved until released by an inspector; and</w:t>
      </w:r>
    </w:p>
    <w:p w14:paraId="46688B95" w14:textId="77777777" w:rsidR="006D4D74" w:rsidRPr="006B29D8" w:rsidRDefault="006D4D74" w:rsidP="006D4D74">
      <w:pPr>
        <w:pStyle w:val="Ipara"/>
      </w:pPr>
      <w:r w:rsidRPr="006B29D8">
        <w:tab/>
        <w:t>(b)</w:t>
      </w:r>
      <w:r w:rsidRPr="006B29D8">
        <w:tab/>
        <w:t>evidence of the incident, including electronic and digital records and witness details, is preserved.</w:t>
      </w:r>
    </w:p>
    <w:p w14:paraId="33BFA8B3" w14:textId="77777777" w:rsidR="006D4D74" w:rsidRPr="006B29D8" w:rsidRDefault="006D4D74" w:rsidP="006D4D74">
      <w:pPr>
        <w:pStyle w:val="Penalty"/>
      </w:pPr>
      <w:r w:rsidRPr="006B29D8">
        <w:t>Maximum penalty:  tier D monetary penalty.</w:t>
      </w:r>
    </w:p>
    <w:p w14:paraId="5AB79F23" w14:textId="6FAE0408" w:rsidR="006D4D74" w:rsidRPr="006B29D8" w:rsidRDefault="006D4D74" w:rsidP="006D4D74">
      <w:pPr>
        <w:pStyle w:val="aNote"/>
      </w:pPr>
      <w:r w:rsidRPr="006B29D8">
        <w:rPr>
          <w:rStyle w:val="charItals"/>
        </w:rPr>
        <w:t>Note</w:t>
      </w:r>
      <w:r w:rsidRPr="006B29D8">
        <w:rPr>
          <w:rStyle w:val="charItals"/>
        </w:rPr>
        <w:tab/>
      </w:r>
      <w:r w:rsidRPr="006B29D8">
        <w:rPr>
          <w:iCs/>
        </w:rPr>
        <w:t>Strict liability applies to each physical element of this offence (see s</w:t>
      </w:r>
      <w:r w:rsidR="00356BFB" w:rsidRPr="006B29D8">
        <w:rPr>
          <w:iCs/>
        </w:rPr>
        <w:t> </w:t>
      </w:r>
      <w:r w:rsidRPr="006B29D8">
        <w:rPr>
          <w:iCs/>
        </w:rPr>
        <w:t>12A).</w:t>
      </w:r>
    </w:p>
    <w:p w14:paraId="5160DFD3" w14:textId="77777777" w:rsidR="006D4D74" w:rsidRPr="006B29D8" w:rsidRDefault="006D4D74" w:rsidP="006D4D74">
      <w:pPr>
        <w:pStyle w:val="IMain"/>
      </w:pPr>
      <w:r w:rsidRPr="006B29D8">
        <w:tab/>
        <w:t>(1A)</w:t>
      </w:r>
      <w:r w:rsidRPr="006B29D8">
        <w:tab/>
        <w:t>To remove any doubt, an inspector may release the whole or any part of the site under subsection (1) (a).</w:t>
      </w:r>
    </w:p>
    <w:p w14:paraId="0C7780E4" w14:textId="5BDEFC57" w:rsidR="006D4D74" w:rsidRPr="006B29D8" w:rsidRDefault="00370538" w:rsidP="00370538">
      <w:pPr>
        <w:pStyle w:val="AH5Sec"/>
        <w:shd w:val="pct25" w:color="auto" w:fill="auto"/>
      </w:pPr>
      <w:bookmarkStart w:id="47" w:name="_Toc207200716"/>
      <w:r w:rsidRPr="00370538">
        <w:rPr>
          <w:rStyle w:val="CharSectNo"/>
        </w:rPr>
        <w:t>38</w:t>
      </w:r>
      <w:r w:rsidRPr="006B29D8">
        <w:tab/>
      </w:r>
      <w:r w:rsidR="006D4D74" w:rsidRPr="006B29D8">
        <w:t>Section 39 (2)</w:t>
      </w:r>
      <w:bookmarkEnd w:id="47"/>
    </w:p>
    <w:p w14:paraId="5F985922" w14:textId="77777777" w:rsidR="006D4D74" w:rsidRPr="006B29D8" w:rsidRDefault="006D4D74" w:rsidP="006D4D74">
      <w:pPr>
        <w:pStyle w:val="direction"/>
      </w:pPr>
      <w:r w:rsidRPr="006B29D8">
        <w:t>omit</w:t>
      </w:r>
    </w:p>
    <w:p w14:paraId="72A050EE" w14:textId="77777777" w:rsidR="006D4D74" w:rsidRPr="006B29D8" w:rsidRDefault="006D4D74" w:rsidP="006D4D74">
      <w:pPr>
        <w:pStyle w:val="Amainreturn"/>
      </w:pPr>
      <w:r w:rsidRPr="006B29D8">
        <w:t>subsection (1)</w:t>
      </w:r>
    </w:p>
    <w:p w14:paraId="0B4DA3AA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3C8C6522" w14:textId="77777777" w:rsidR="006D4D74" w:rsidRPr="006B29D8" w:rsidRDefault="006D4D74" w:rsidP="006D4D74">
      <w:pPr>
        <w:pStyle w:val="Amainreturn"/>
      </w:pPr>
      <w:r w:rsidRPr="006B29D8">
        <w:t>this section,</w:t>
      </w:r>
    </w:p>
    <w:p w14:paraId="7110A1EA" w14:textId="568C3520" w:rsidR="006D4D74" w:rsidRPr="006B29D8" w:rsidRDefault="00370538" w:rsidP="00370538">
      <w:pPr>
        <w:pStyle w:val="AH5Sec"/>
        <w:shd w:val="pct25" w:color="auto" w:fill="auto"/>
      </w:pPr>
      <w:bookmarkStart w:id="48" w:name="_Toc207200717"/>
      <w:r w:rsidRPr="00370538">
        <w:rPr>
          <w:rStyle w:val="CharSectNo"/>
        </w:rPr>
        <w:lastRenderedPageBreak/>
        <w:t>39</w:t>
      </w:r>
      <w:r w:rsidRPr="006B29D8">
        <w:tab/>
      </w:r>
      <w:r w:rsidR="006D4D74" w:rsidRPr="006B29D8">
        <w:t>Section 39 (3)</w:t>
      </w:r>
      <w:bookmarkEnd w:id="48"/>
    </w:p>
    <w:p w14:paraId="262082AC" w14:textId="77777777" w:rsidR="006D4D74" w:rsidRPr="006B29D8" w:rsidRDefault="006D4D74" w:rsidP="006D4D74">
      <w:pPr>
        <w:pStyle w:val="direction"/>
      </w:pPr>
      <w:r w:rsidRPr="006B29D8">
        <w:t>omit</w:t>
      </w:r>
    </w:p>
    <w:p w14:paraId="4841D348" w14:textId="77777777" w:rsidR="006D4D74" w:rsidRPr="006B29D8" w:rsidRDefault="006D4D74" w:rsidP="00DA3468">
      <w:pPr>
        <w:pStyle w:val="Amainreturn"/>
        <w:keepNext/>
      </w:pPr>
      <w:r w:rsidRPr="006B29D8">
        <w:t>Subsection (1)</w:t>
      </w:r>
    </w:p>
    <w:p w14:paraId="20533FFC" w14:textId="77777777" w:rsidR="006D4D74" w:rsidRPr="006B29D8" w:rsidRDefault="006D4D74" w:rsidP="006D4D74">
      <w:pPr>
        <w:pStyle w:val="direction"/>
      </w:pPr>
      <w:r w:rsidRPr="006B29D8">
        <w:t>substitute</w:t>
      </w:r>
    </w:p>
    <w:p w14:paraId="34CA5D52" w14:textId="77777777" w:rsidR="006D4D74" w:rsidRPr="006B29D8" w:rsidRDefault="006D4D74" w:rsidP="006D4D74">
      <w:pPr>
        <w:pStyle w:val="Amainreturn"/>
      </w:pPr>
      <w:r w:rsidRPr="006B29D8">
        <w:t>This section</w:t>
      </w:r>
    </w:p>
    <w:p w14:paraId="526AE429" w14:textId="5D8BC833" w:rsidR="006D4D74" w:rsidRPr="006B29D8" w:rsidRDefault="00370538" w:rsidP="00370538">
      <w:pPr>
        <w:pStyle w:val="AH5Sec"/>
        <w:shd w:val="pct25" w:color="auto" w:fill="auto"/>
      </w:pPr>
      <w:bookmarkStart w:id="49" w:name="_Toc207200718"/>
      <w:r w:rsidRPr="00370538">
        <w:rPr>
          <w:rStyle w:val="CharSectNo"/>
        </w:rPr>
        <w:t>40</w:t>
      </w:r>
      <w:r w:rsidRPr="006B29D8">
        <w:tab/>
      </w:r>
      <w:r w:rsidR="006D4D74" w:rsidRPr="006B29D8">
        <w:t>Section 39 (4)</w:t>
      </w:r>
      <w:bookmarkEnd w:id="49"/>
    </w:p>
    <w:p w14:paraId="69BFDCC6" w14:textId="77777777" w:rsidR="006D4D74" w:rsidRPr="006B29D8" w:rsidRDefault="006D4D74" w:rsidP="006D4D74">
      <w:pPr>
        <w:pStyle w:val="direction"/>
      </w:pPr>
      <w:r w:rsidRPr="006B29D8">
        <w:t>omit</w:t>
      </w:r>
    </w:p>
    <w:p w14:paraId="1B253BD6" w14:textId="123D87B4" w:rsidR="006D4D74" w:rsidRPr="006B29D8" w:rsidRDefault="00370538" w:rsidP="00370538">
      <w:pPr>
        <w:pStyle w:val="AH5Sec"/>
        <w:shd w:val="pct25" w:color="auto" w:fill="auto"/>
      </w:pPr>
      <w:bookmarkStart w:id="50" w:name="_Toc207200719"/>
      <w:r w:rsidRPr="00370538">
        <w:rPr>
          <w:rStyle w:val="CharSectNo"/>
        </w:rPr>
        <w:t>41</w:t>
      </w:r>
      <w:r w:rsidRPr="006B29D8">
        <w:tab/>
      </w:r>
      <w:r w:rsidR="006D4D74" w:rsidRPr="006B29D8">
        <w:t>New section 39A</w:t>
      </w:r>
      <w:bookmarkEnd w:id="50"/>
    </w:p>
    <w:p w14:paraId="7E753471" w14:textId="77777777" w:rsidR="006D4D74" w:rsidRPr="006B29D8" w:rsidRDefault="006D4D74" w:rsidP="006D4D74">
      <w:pPr>
        <w:pStyle w:val="direction"/>
      </w:pPr>
      <w:r w:rsidRPr="006B29D8">
        <w:t>in part 3, insert</w:t>
      </w:r>
    </w:p>
    <w:p w14:paraId="7169C520" w14:textId="77777777" w:rsidR="006D4D74" w:rsidRPr="006B29D8" w:rsidRDefault="006D4D74" w:rsidP="006D4D74">
      <w:pPr>
        <w:pStyle w:val="IH5Sec"/>
      </w:pPr>
      <w:r w:rsidRPr="006B29D8">
        <w:t>39A</w:t>
      </w:r>
      <w:r w:rsidRPr="006B29D8">
        <w:tab/>
        <w:t>Person conducting business or undertaking and person with management or control of workplace to notify each other of notifiable incidents</w:t>
      </w:r>
    </w:p>
    <w:p w14:paraId="01BC5EC8" w14:textId="77777777" w:rsidR="006D4D74" w:rsidRPr="006B29D8" w:rsidRDefault="006D4D74" w:rsidP="006D4D74">
      <w:pPr>
        <w:pStyle w:val="IMain"/>
      </w:pPr>
      <w:r w:rsidRPr="006B29D8">
        <w:tab/>
        <w:t>(1)</w:t>
      </w:r>
      <w:r w:rsidRPr="006B29D8">
        <w:tab/>
        <w:t>A person with a duty under section 38 must, immediately after becoming aware of the notifiable incident activating the duty, ensure a person with a corresponding duty under section 39 is notified of the incident.</w:t>
      </w:r>
    </w:p>
    <w:p w14:paraId="328CBF67" w14:textId="77777777" w:rsidR="006D4D74" w:rsidRPr="006B29D8" w:rsidRDefault="006D4D74" w:rsidP="006D4D74">
      <w:pPr>
        <w:pStyle w:val="Penalty"/>
      </w:pPr>
      <w:r w:rsidRPr="006B29D8">
        <w:t>Maximum penalty:  tier D monetary penalty.</w:t>
      </w:r>
    </w:p>
    <w:p w14:paraId="5C97945B" w14:textId="2A9B05F5" w:rsidR="006D4D74" w:rsidRPr="006B29D8" w:rsidRDefault="006D4D74" w:rsidP="006D4D74">
      <w:pPr>
        <w:pStyle w:val="aNote"/>
      </w:pPr>
      <w:r w:rsidRPr="006B29D8">
        <w:rPr>
          <w:rStyle w:val="charItals"/>
        </w:rPr>
        <w:t>Note</w:t>
      </w:r>
      <w:r w:rsidRPr="006B29D8">
        <w:rPr>
          <w:rStyle w:val="charItals"/>
        </w:rPr>
        <w:tab/>
      </w:r>
      <w:r w:rsidRPr="006B29D8">
        <w:t>Strict liability applies to each physical element of this offence (see s</w:t>
      </w:r>
      <w:r w:rsidR="00356BFB" w:rsidRPr="006B29D8">
        <w:t> </w:t>
      </w:r>
      <w:r w:rsidRPr="006B29D8">
        <w:t>12A).</w:t>
      </w:r>
    </w:p>
    <w:p w14:paraId="3E2351E8" w14:textId="77777777" w:rsidR="006D4D74" w:rsidRPr="006B29D8" w:rsidRDefault="006D4D74" w:rsidP="006D4D74">
      <w:pPr>
        <w:pStyle w:val="IMain"/>
      </w:pPr>
      <w:r w:rsidRPr="006B29D8">
        <w:tab/>
        <w:t>(2)</w:t>
      </w:r>
      <w:r w:rsidRPr="006B29D8">
        <w:tab/>
        <w:t>A person with a duty under section 39 must, immediately after becoming aware of the notifiable incident activating the duty, ensure a person with a corresponding duty under section 38 is notified of the incident.</w:t>
      </w:r>
    </w:p>
    <w:p w14:paraId="6C0A0BDE" w14:textId="77777777" w:rsidR="006D4D74" w:rsidRPr="006B29D8" w:rsidRDefault="006D4D74" w:rsidP="006D4D74">
      <w:pPr>
        <w:pStyle w:val="Penalty"/>
      </w:pPr>
      <w:r w:rsidRPr="006B29D8">
        <w:t>Maximum penalty:  tier D monetary penalty.</w:t>
      </w:r>
    </w:p>
    <w:p w14:paraId="587634A4" w14:textId="78FF23C1" w:rsidR="006D4D74" w:rsidRPr="006B29D8" w:rsidRDefault="006D4D74" w:rsidP="006D4D74">
      <w:pPr>
        <w:pStyle w:val="aNote"/>
      </w:pPr>
      <w:r w:rsidRPr="006B29D8">
        <w:rPr>
          <w:rStyle w:val="charItals"/>
        </w:rPr>
        <w:t>Note</w:t>
      </w:r>
      <w:r w:rsidRPr="006B29D8">
        <w:rPr>
          <w:rStyle w:val="charItals"/>
        </w:rPr>
        <w:tab/>
      </w:r>
      <w:r w:rsidRPr="006B29D8">
        <w:t>Strict liability applies to each physical element of this offence (see s</w:t>
      </w:r>
      <w:r w:rsidR="00356BFB" w:rsidRPr="006B29D8">
        <w:t> </w:t>
      </w:r>
      <w:r w:rsidRPr="006B29D8">
        <w:t>12A).</w:t>
      </w:r>
    </w:p>
    <w:p w14:paraId="70BC3D16" w14:textId="249C10CE" w:rsidR="004167DB" w:rsidRPr="006B29D8" w:rsidRDefault="00370538" w:rsidP="00370538">
      <w:pPr>
        <w:pStyle w:val="AH5Sec"/>
        <w:shd w:val="pct25" w:color="auto" w:fill="auto"/>
      </w:pPr>
      <w:bookmarkStart w:id="51" w:name="_Toc207200720"/>
      <w:r w:rsidRPr="00370538">
        <w:rPr>
          <w:rStyle w:val="CharSectNo"/>
        </w:rPr>
        <w:lastRenderedPageBreak/>
        <w:t>42</w:t>
      </w:r>
      <w:r w:rsidRPr="006B29D8">
        <w:tab/>
      </w:r>
      <w:r w:rsidR="004167DB" w:rsidRPr="006B29D8">
        <w:t>Limitation period for prosecutions</w:t>
      </w:r>
      <w:r w:rsidR="004167DB" w:rsidRPr="006B29D8">
        <w:br/>
        <w:t>Section 232 (2)</w:t>
      </w:r>
      <w:bookmarkEnd w:id="51"/>
    </w:p>
    <w:p w14:paraId="19BA7293" w14:textId="1049AB79" w:rsidR="004167DB" w:rsidRPr="006B29D8" w:rsidRDefault="004167DB" w:rsidP="004167DB">
      <w:pPr>
        <w:pStyle w:val="direction"/>
      </w:pPr>
      <w:r w:rsidRPr="006B29D8">
        <w:t>substitute</w:t>
      </w:r>
    </w:p>
    <w:p w14:paraId="4E944F00" w14:textId="703B377E" w:rsidR="004167DB" w:rsidRPr="006B29D8" w:rsidRDefault="004167DB" w:rsidP="004167DB">
      <w:pPr>
        <w:pStyle w:val="IMain"/>
      </w:pPr>
      <w:r w:rsidRPr="006B29D8">
        <w:tab/>
        <w:t>(2)</w:t>
      </w:r>
      <w:r w:rsidRPr="006B29D8">
        <w:tab/>
      </w:r>
      <w:r w:rsidR="00277278" w:rsidRPr="006B29D8">
        <w:t>A proceeding for an offence may be brought after the end of the applicable limitation period in subsection (1) with the leave of the court.</w:t>
      </w:r>
    </w:p>
    <w:p w14:paraId="0CC27D20" w14:textId="5741E448" w:rsidR="00277278" w:rsidRPr="006B29D8" w:rsidRDefault="00277278" w:rsidP="004167DB">
      <w:pPr>
        <w:pStyle w:val="IMain"/>
      </w:pPr>
      <w:r w:rsidRPr="006B29D8">
        <w:tab/>
        <w:t>(2A)</w:t>
      </w:r>
      <w:r w:rsidRPr="006B29D8">
        <w:tab/>
        <w:t xml:space="preserve">The court may grant leave under subsection (2) only </w:t>
      </w:r>
      <w:r w:rsidR="008C0E43" w:rsidRPr="006B29D8">
        <w:t xml:space="preserve">if </w:t>
      </w:r>
      <w:r w:rsidR="00A7193F" w:rsidRPr="006B29D8">
        <w:t>satisfied that it is in the interests of justice.</w:t>
      </w:r>
    </w:p>
    <w:p w14:paraId="49CE4E1F" w14:textId="5C542F01" w:rsidR="006D4D74" w:rsidRPr="006B29D8" w:rsidRDefault="00370538" w:rsidP="00370538">
      <w:pPr>
        <w:pStyle w:val="AH5Sec"/>
        <w:shd w:val="pct25" w:color="auto" w:fill="auto"/>
      </w:pPr>
      <w:bookmarkStart w:id="52" w:name="_Toc207200721"/>
      <w:r w:rsidRPr="00370538">
        <w:rPr>
          <w:rStyle w:val="CharSectNo"/>
        </w:rPr>
        <w:t>43</w:t>
      </w:r>
      <w:r w:rsidRPr="006B29D8">
        <w:tab/>
      </w:r>
      <w:r w:rsidR="006D4D74" w:rsidRPr="006B29D8">
        <w:t>Dictionary, note 2</w:t>
      </w:r>
      <w:bookmarkEnd w:id="52"/>
    </w:p>
    <w:p w14:paraId="0A97CD3D" w14:textId="77777777" w:rsidR="006D4D74" w:rsidRPr="006B29D8" w:rsidRDefault="006D4D74" w:rsidP="006D4D74">
      <w:pPr>
        <w:pStyle w:val="direction"/>
      </w:pPr>
      <w:r w:rsidRPr="006B29D8">
        <w:t>insert</w:t>
      </w:r>
    </w:p>
    <w:p w14:paraId="7CA945B1" w14:textId="76274A24" w:rsidR="006D4D74" w:rsidRPr="006B29D8" w:rsidRDefault="00370538" w:rsidP="00370538">
      <w:pPr>
        <w:pStyle w:val="aNoteBulletss"/>
        <w:tabs>
          <w:tab w:val="left" w:pos="2300"/>
        </w:tabs>
      </w:pPr>
      <w:r w:rsidRPr="006B29D8">
        <w:rPr>
          <w:rFonts w:ascii="Symbol" w:hAnsi="Symbol"/>
        </w:rPr>
        <w:t></w:t>
      </w:r>
      <w:r w:rsidRPr="006B29D8">
        <w:rPr>
          <w:rFonts w:ascii="Symbol" w:hAnsi="Symbol"/>
        </w:rPr>
        <w:tab/>
      </w:r>
      <w:r w:rsidR="006D4D74" w:rsidRPr="006B29D8">
        <w:t>doctor</w:t>
      </w:r>
    </w:p>
    <w:p w14:paraId="04E3A1C6" w14:textId="799577F1" w:rsidR="006D4D74" w:rsidRPr="006B29D8" w:rsidRDefault="00370538" w:rsidP="00370538">
      <w:pPr>
        <w:pStyle w:val="aNoteBulletss"/>
        <w:tabs>
          <w:tab w:val="left" w:pos="2300"/>
        </w:tabs>
      </w:pPr>
      <w:r w:rsidRPr="006B29D8">
        <w:rPr>
          <w:rFonts w:ascii="Symbol" w:hAnsi="Symbol"/>
        </w:rPr>
        <w:t></w:t>
      </w:r>
      <w:r w:rsidRPr="006B29D8">
        <w:rPr>
          <w:rFonts w:ascii="Symbol" w:hAnsi="Symbol"/>
        </w:rPr>
        <w:tab/>
      </w:r>
      <w:r w:rsidR="00A21F75" w:rsidRPr="006B29D8">
        <w:t>enrolled nurse</w:t>
      </w:r>
    </w:p>
    <w:p w14:paraId="51284135" w14:textId="4FE0AE8F" w:rsidR="0026513F" w:rsidRPr="006B29D8" w:rsidRDefault="00370538" w:rsidP="00370538">
      <w:pPr>
        <w:pStyle w:val="aNoteBulletss"/>
        <w:tabs>
          <w:tab w:val="left" w:pos="2300"/>
        </w:tabs>
      </w:pPr>
      <w:r w:rsidRPr="006B29D8">
        <w:rPr>
          <w:rFonts w:ascii="Symbol" w:hAnsi="Symbol"/>
        </w:rPr>
        <w:t></w:t>
      </w:r>
      <w:r w:rsidRPr="006B29D8">
        <w:rPr>
          <w:rFonts w:ascii="Symbol" w:hAnsi="Symbol"/>
        </w:rPr>
        <w:tab/>
      </w:r>
      <w:r w:rsidR="006D4D74" w:rsidRPr="006B29D8">
        <w:t>nurse</w:t>
      </w:r>
    </w:p>
    <w:p w14:paraId="71421F87" w14:textId="77777777" w:rsidR="00370538" w:rsidRDefault="00370538">
      <w:pPr>
        <w:pStyle w:val="02Text"/>
        <w:sectPr w:rsidR="00370538" w:rsidSect="00370538">
          <w:headerReference w:type="even" r:id="rId30"/>
          <w:headerReference w:type="default" r:id="rId31"/>
          <w:footerReference w:type="even" r:id="rId32"/>
          <w:footerReference w:type="default" r:id="rId33"/>
          <w:footerReference w:type="first" r:id="rId3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49F939B" w14:textId="382BE0C5" w:rsidR="003A792E" w:rsidRPr="006B29D8" w:rsidRDefault="003A792E" w:rsidP="00370538">
      <w:pPr>
        <w:pStyle w:val="PageBreak"/>
        <w:suppressLineNumbers/>
      </w:pPr>
      <w:r w:rsidRPr="006B29D8">
        <w:br w:type="page"/>
      </w:r>
    </w:p>
    <w:p w14:paraId="065AC09C" w14:textId="4D299908" w:rsidR="003A792E" w:rsidRPr="00370538" w:rsidRDefault="00370538" w:rsidP="00370538">
      <w:pPr>
        <w:pStyle w:val="Sched-heading"/>
      </w:pPr>
      <w:bookmarkStart w:id="53" w:name="_Toc207200722"/>
      <w:r w:rsidRPr="00370538">
        <w:rPr>
          <w:rStyle w:val="CharChapNo"/>
        </w:rPr>
        <w:lastRenderedPageBreak/>
        <w:t>Schedule 1</w:t>
      </w:r>
      <w:r w:rsidRPr="006B29D8">
        <w:tab/>
      </w:r>
      <w:r w:rsidR="003A792E" w:rsidRPr="00370538">
        <w:rPr>
          <w:rStyle w:val="CharChapText"/>
        </w:rPr>
        <w:t>Workers Compensation Act</w:t>
      </w:r>
      <w:r w:rsidR="00674918" w:rsidRPr="00370538">
        <w:rPr>
          <w:rStyle w:val="CharChapText"/>
        </w:rPr>
        <w:t> </w:t>
      </w:r>
      <w:r w:rsidR="003A792E" w:rsidRPr="00370538">
        <w:rPr>
          <w:rStyle w:val="CharChapText"/>
        </w:rPr>
        <w:t>1951—Other amendments</w:t>
      </w:r>
      <w:bookmarkEnd w:id="53"/>
    </w:p>
    <w:p w14:paraId="27155C62" w14:textId="77777777" w:rsidR="00DA3468" w:rsidRDefault="00DA3468" w:rsidP="00DB23AE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5D1F6693" w14:textId="645BC76E" w:rsidR="003A792E" w:rsidRPr="006B29D8" w:rsidRDefault="003A792E" w:rsidP="003A792E">
      <w:pPr>
        <w:pStyle w:val="ref"/>
      </w:pPr>
      <w:r w:rsidRPr="006B29D8">
        <w:t>(see s 3)</w:t>
      </w:r>
    </w:p>
    <w:p w14:paraId="59BBA3FE" w14:textId="2980CC47" w:rsidR="003A792E" w:rsidRPr="006B29D8" w:rsidRDefault="00370538" w:rsidP="00370538">
      <w:pPr>
        <w:pStyle w:val="ShadedSchClause"/>
      </w:pPr>
      <w:bookmarkStart w:id="54" w:name="_Toc207200723"/>
      <w:r w:rsidRPr="00370538">
        <w:rPr>
          <w:rStyle w:val="CharSectNo"/>
        </w:rPr>
        <w:t>[1.1]</w:t>
      </w:r>
      <w:r w:rsidRPr="006B29D8">
        <w:tab/>
      </w:r>
      <w:r w:rsidR="00EE269B" w:rsidRPr="006B29D8">
        <w:t>Section 145K</w:t>
      </w:r>
      <w:bookmarkEnd w:id="54"/>
    </w:p>
    <w:p w14:paraId="017D6AD7" w14:textId="300ECE06" w:rsidR="00EE269B" w:rsidRPr="006B29D8" w:rsidRDefault="00EE269B" w:rsidP="00EE269B">
      <w:pPr>
        <w:pStyle w:val="direction"/>
      </w:pPr>
      <w:r w:rsidRPr="006B29D8">
        <w:t>substitute</w:t>
      </w:r>
    </w:p>
    <w:p w14:paraId="47250A0E" w14:textId="77777777" w:rsidR="00EE269B" w:rsidRPr="006B29D8" w:rsidRDefault="00EE269B" w:rsidP="00EE269B">
      <w:pPr>
        <w:pStyle w:val="IH5Sec"/>
      </w:pPr>
      <w:r w:rsidRPr="006B29D8">
        <w:t>145K</w:t>
      </w:r>
      <w:r w:rsidRPr="006B29D8">
        <w:tab/>
        <w:t>Requirement to hold self-insurer licence</w:t>
      </w:r>
    </w:p>
    <w:p w14:paraId="72FF8F9B" w14:textId="77777777" w:rsidR="00EE269B" w:rsidRPr="006B29D8" w:rsidRDefault="00EE269B" w:rsidP="00EE269B">
      <w:pPr>
        <w:pStyle w:val="IMain"/>
      </w:pPr>
      <w:r w:rsidRPr="006B29D8">
        <w:tab/>
        <w:t>(1)</w:t>
      </w:r>
      <w:r w:rsidRPr="006B29D8">
        <w:tab/>
        <w:t>An employer, other than a prescribed employer, must hold a self</w:t>
      </w:r>
      <w:r w:rsidRPr="006B29D8">
        <w:noBreakHyphen/>
        <w:t>insurer licence unless the employer holds a compulsory insurance policy with a licenced insurer.</w:t>
      </w:r>
    </w:p>
    <w:p w14:paraId="513519F4" w14:textId="77777777" w:rsidR="00EE269B" w:rsidRPr="006B29D8" w:rsidRDefault="00EE269B" w:rsidP="00EE269B">
      <w:pPr>
        <w:pStyle w:val="IMain"/>
      </w:pPr>
      <w:r w:rsidRPr="006B29D8">
        <w:tab/>
        <w:t>(2)</w:t>
      </w:r>
      <w:r w:rsidRPr="006B29D8">
        <w:tab/>
        <w:t>A prescribed employer must hold a self-insurer licence for any workers who are not prescribed workers unless the prescribed employer holds a compulsory insurance policy with a licensed insurer for the workers.</w:t>
      </w:r>
    </w:p>
    <w:p w14:paraId="616FE5A5" w14:textId="6AE9E19A" w:rsidR="00EE269B" w:rsidRPr="006B29D8" w:rsidRDefault="00370538" w:rsidP="00370538">
      <w:pPr>
        <w:pStyle w:val="ShadedSchClause"/>
      </w:pPr>
      <w:bookmarkStart w:id="55" w:name="_Toc207200724"/>
      <w:r w:rsidRPr="00370538">
        <w:rPr>
          <w:rStyle w:val="CharSectNo"/>
        </w:rPr>
        <w:t>[1.2]</w:t>
      </w:r>
      <w:r w:rsidRPr="006B29D8">
        <w:tab/>
      </w:r>
      <w:r w:rsidR="00EE269B" w:rsidRPr="006B29D8">
        <w:t>Section 145S (1) (b)</w:t>
      </w:r>
      <w:bookmarkEnd w:id="55"/>
    </w:p>
    <w:p w14:paraId="732F1AEC" w14:textId="7DB14954" w:rsidR="00EE269B" w:rsidRPr="006B29D8" w:rsidRDefault="00EE269B" w:rsidP="00EE269B">
      <w:pPr>
        <w:pStyle w:val="direction"/>
      </w:pPr>
      <w:r w:rsidRPr="006B29D8">
        <w:t>substitute</w:t>
      </w:r>
    </w:p>
    <w:p w14:paraId="38B36795" w14:textId="77777777" w:rsidR="00EE269B" w:rsidRPr="006B29D8" w:rsidRDefault="00EE269B" w:rsidP="00EE269B">
      <w:pPr>
        <w:pStyle w:val="Ipara"/>
      </w:pPr>
      <w:r w:rsidRPr="006B29D8">
        <w:tab/>
        <w:t>(b)</w:t>
      </w:r>
      <w:r w:rsidRPr="006B29D8">
        <w:tab/>
        <w:t>is not—</w:t>
      </w:r>
    </w:p>
    <w:p w14:paraId="559999A4" w14:textId="77777777" w:rsidR="00EE269B" w:rsidRPr="006B29D8" w:rsidRDefault="00EE269B" w:rsidP="00EE269B">
      <w:pPr>
        <w:pStyle w:val="Isubpara"/>
      </w:pPr>
      <w:r w:rsidRPr="006B29D8">
        <w:tab/>
        <w:t>(i)</w:t>
      </w:r>
      <w:r w:rsidRPr="006B29D8">
        <w:tab/>
        <w:t>the holder of a compulsory insurance policy with a licensed insurer; or</w:t>
      </w:r>
    </w:p>
    <w:p w14:paraId="00A8129B" w14:textId="77777777" w:rsidR="00EE269B" w:rsidRPr="006B29D8" w:rsidRDefault="00EE269B" w:rsidP="00EE269B">
      <w:pPr>
        <w:pStyle w:val="Isubpara"/>
      </w:pPr>
      <w:r w:rsidRPr="006B29D8">
        <w:tab/>
        <w:t>(ii)</w:t>
      </w:r>
      <w:r w:rsidRPr="006B29D8">
        <w:tab/>
        <w:t>a prescribed employer that employs only prescribed workers; and</w:t>
      </w:r>
    </w:p>
    <w:p w14:paraId="26940C3B" w14:textId="28B60BA8" w:rsidR="00EE269B" w:rsidRPr="006B29D8" w:rsidRDefault="00370538" w:rsidP="00370538">
      <w:pPr>
        <w:pStyle w:val="ShadedSchClause"/>
      </w:pPr>
      <w:bookmarkStart w:id="56" w:name="_Toc207200725"/>
      <w:r w:rsidRPr="00370538">
        <w:rPr>
          <w:rStyle w:val="CharSectNo"/>
        </w:rPr>
        <w:lastRenderedPageBreak/>
        <w:t>[1.3]</w:t>
      </w:r>
      <w:r w:rsidRPr="006B29D8">
        <w:tab/>
      </w:r>
      <w:r w:rsidR="00EE269B" w:rsidRPr="006B29D8">
        <w:t>Section 145S (1), note</w:t>
      </w:r>
      <w:bookmarkEnd w:id="56"/>
    </w:p>
    <w:p w14:paraId="7E47EFB0" w14:textId="165097DA" w:rsidR="00EE269B" w:rsidRPr="006B29D8" w:rsidRDefault="00EE269B" w:rsidP="00EE269B">
      <w:pPr>
        <w:pStyle w:val="direction"/>
      </w:pPr>
      <w:r w:rsidRPr="006B29D8">
        <w:t>omit</w:t>
      </w:r>
    </w:p>
    <w:p w14:paraId="4D585D1F" w14:textId="2C2F2BF4" w:rsidR="00EE269B" w:rsidRPr="006B29D8" w:rsidRDefault="00370538" w:rsidP="00370538">
      <w:pPr>
        <w:pStyle w:val="ShadedSchClause"/>
      </w:pPr>
      <w:bookmarkStart w:id="57" w:name="_Toc207200726"/>
      <w:r w:rsidRPr="00370538">
        <w:rPr>
          <w:rStyle w:val="CharSectNo"/>
        </w:rPr>
        <w:t>[1.4]</w:t>
      </w:r>
      <w:r w:rsidRPr="006B29D8">
        <w:tab/>
      </w:r>
      <w:r w:rsidR="00EE269B" w:rsidRPr="006B29D8">
        <w:t>New section 147 (2) (e)</w:t>
      </w:r>
      <w:bookmarkEnd w:id="57"/>
    </w:p>
    <w:p w14:paraId="3677E887" w14:textId="66FC8DE6" w:rsidR="00EE269B" w:rsidRPr="006B29D8" w:rsidRDefault="00AB3840" w:rsidP="00EE269B">
      <w:pPr>
        <w:pStyle w:val="direction"/>
      </w:pPr>
      <w:r w:rsidRPr="006B29D8">
        <w:t xml:space="preserve">before the note, </w:t>
      </w:r>
      <w:r w:rsidR="00EE269B" w:rsidRPr="006B29D8">
        <w:t>insert</w:t>
      </w:r>
    </w:p>
    <w:p w14:paraId="5F90BB86" w14:textId="77777777" w:rsidR="00EE269B" w:rsidRPr="006B29D8" w:rsidRDefault="00EE269B" w:rsidP="00EE269B">
      <w:pPr>
        <w:pStyle w:val="Ipara"/>
      </w:pPr>
      <w:r w:rsidRPr="006B29D8">
        <w:tab/>
        <w:t>(e)</w:t>
      </w:r>
      <w:r w:rsidRPr="006B29D8">
        <w:tab/>
        <w:t>the employer is a prescribed employer and employs only prescribed workers.</w:t>
      </w:r>
    </w:p>
    <w:p w14:paraId="22389A91" w14:textId="0DD47F95" w:rsidR="00EE269B" w:rsidRPr="006B29D8" w:rsidRDefault="00370538" w:rsidP="00370538">
      <w:pPr>
        <w:pStyle w:val="ShadedSchClause"/>
      </w:pPr>
      <w:bookmarkStart w:id="58" w:name="_Toc207200727"/>
      <w:r w:rsidRPr="00370538">
        <w:rPr>
          <w:rStyle w:val="CharSectNo"/>
        </w:rPr>
        <w:t>[1.5]</w:t>
      </w:r>
      <w:r w:rsidRPr="006B29D8">
        <w:tab/>
      </w:r>
      <w:r w:rsidR="00EE269B" w:rsidRPr="006B29D8">
        <w:t>Section 166A (2) and note</w:t>
      </w:r>
      <w:bookmarkEnd w:id="58"/>
    </w:p>
    <w:p w14:paraId="328ED4AE" w14:textId="783A1D18" w:rsidR="00EE269B" w:rsidRPr="006B29D8" w:rsidRDefault="00EE269B" w:rsidP="00EE269B">
      <w:pPr>
        <w:pStyle w:val="direction"/>
      </w:pPr>
      <w:r w:rsidRPr="006B29D8">
        <w:t>substitute</w:t>
      </w:r>
    </w:p>
    <w:p w14:paraId="0AA44506" w14:textId="77777777" w:rsidR="00EE269B" w:rsidRPr="006B29D8" w:rsidRDefault="00EE269B" w:rsidP="00EE269B">
      <w:pPr>
        <w:pStyle w:val="IMain"/>
      </w:pPr>
      <w:r w:rsidRPr="006B29D8">
        <w:tab/>
        <w:t>(2)</w:t>
      </w:r>
      <w:r w:rsidRPr="006B29D8">
        <w:tab/>
        <w:t>The DI fund must meet the cost of compensation to an injured worker if—</w:t>
      </w:r>
    </w:p>
    <w:p w14:paraId="5AF8A2DD" w14:textId="77777777" w:rsidR="00EE269B" w:rsidRPr="006B29D8" w:rsidRDefault="00EE269B" w:rsidP="00EE269B">
      <w:pPr>
        <w:pStyle w:val="Ipara"/>
      </w:pPr>
      <w:r w:rsidRPr="006B29D8">
        <w:tab/>
        <w:t>(a)</w:t>
      </w:r>
      <w:r w:rsidRPr="006B29D8">
        <w:tab/>
        <w:t>the employer of the injured worker does not have a compulsory insurance policy to cover the worker for the claim; or</w:t>
      </w:r>
    </w:p>
    <w:p w14:paraId="0F8CCE28" w14:textId="77777777" w:rsidR="00EE269B" w:rsidRPr="006B29D8" w:rsidRDefault="00EE269B" w:rsidP="00EE269B">
      <w:pPr>
        <w:pStyle w:val="Ipara"/>
      </w:pPr>
      <w:r w:rsidRPr="006B29D8">
        <w:tab/>
        <w:t>(b)</w:t>
      </w:r>
      <w:r w:rsidRPr="006B29D8">
        <w:tab/>
        <w:t>the employer is a prescribed employer and the injured worker is a prescribed worker.</w:t>
      </w:r>
    </w:p>
    <w:p w14:paraId="3355D700" w14:textId="56E54FBF" w:rsidR="00AD5C4D" w:rsidRPr="006B29D8" w:rsidRDefault="00AD5C4D" w:rsidP="00AD5C4D">
      <w:pPr>
        <w:pStyle w:val="aNote"/>
      </w:pPr>
      <w:r w:rsidRPr="006B29D8">
        <w:rPr>
          <w:rStyle w:val="charItals"/>
        </w:rPr>
        <w:t>Note</w:t>
      </w:r>
      <w:r w:rsidRPr="006B29D8">
        <w:rPr>
          <w:rStyle w:val="charItals"/>
        </w:rPr>
        <w:tab/>
      </w:r>
      <w:r w:rsidRPr="006B29D8">
        <w:t>An injured worker who was a director of the employer at the time of the injury may not make a claim against the fund, unless the injured worker is a prescribed worker and the employer is a prescribed employer (see s</w:t>
      </w:r>
      <w:r w:rsidR="005869BB" w:rsidRPr="006B29D8">
        <w:t> </w:t>
      </w:r>
      <w:r w:rsidRPr="006B29D8">
        <w:t>170 (3)).</w:t>
      </w:r>
    </w:p>
    <w:p w14:paraId="06FA4EE4" w14:textId="73E75C80" w:rsidR="00EE269B" w:rsidRPr="006B29D8" w:rsidRDefault="00370538" w:rsidP="00370538">
      <w:pPr>
        <w:pStyle w:val="ShadedSchClause"/>
      </w:pPr>
      <w:bookmarkStart w:id="59" w:name="_Toc207200728"/>
      <w:r w:rsidRPr="00370538">
        <w:rPr>
          <w:rStyle w:val="CharSectNo"/>
        </w:rPr>
        <w:t>[1.6]</w:t>
      </w:r>
      <w:r w:rsidRPr="006B29D8">
        <w:tab/>
      </w:r>
      <w:r w:rsidR="00EE269B" w:rsidRPr="006B29D8">
        <w:t>Section 166A (</w:t>
      </w:r>
      <w:r w:rsidR="00C24A55" w:rsidRPr="006B29D8">
        <w:t>4</w:t>
      </w:r>
      <w:r w:rsidR="00EE269B" w:rsidRPr="006B29D8">
        <w:t>) and note</w:t>
      </w:r>
      <w:bookmarkEnd w:id="59"/>
    </w:p>
    <w:p w14:paraId="661F7DCD" w14:textId="35C2C9F4" w:rsidR="00EE269B" w:rsidRPr="006B29D8" w:rsidRDefault="00EE269B" w:rsidP="00EE269B">
      <w:pPr>
        <w:pStyle w:val="direction"/>
      </w:pPr>
      <w:r w:rsidRPr="006B29D8">
        <w:t>substitute</w:t>
      </w:r>
    </w:p>
    <w:p w14:paraId="3EED7132" w14:textId="1C46860A" w:rsidR="00C24A55" w:rsidRPr="006B29D8" w:rsidRDefault="00C24A55" w:rsidP="00C24A55">
      <w:pPr>
        <w:pStyle w:val="IMain"/>
      </w:pPr>
      <w:r w:rsidRPr="006B29D8">
        <w:tab/>
        <w:t>(4)</w:t>
      </w:r>
      <w:r w:rsidRPr="006B29D8">
        <w:tab/>
      </w:r>
      <w:r w:rsidR="00EE269B" w:rsidRPr="006B29D8">
        <w:t>The DI fund must meet the cost of an employer’s liability that arises independently of this Act in relation to an injury to, or the death of, a territory worker of the employer by paying an amount that satisfies or discharges the liability to a person entitled to that amount if—</w:t>
      </w:r>
    </w:p>
    <w:p w14:paraId="1569A560" w14:textId="784AC0D4" w:rsidR="00EE269B" w:rsidRPr="006B29D8" w:rsidRDefault="00C24A55" w:rsidP="00EE269B">
      <w:pPr>
        <w:pStyle w:val="Ipara"/>
      </w:pPr>
      <w:r w:rsidRPr="006B29D8">
        <w:tab/>
      </w:r>
      <w:r w:rsidR="00EE269B" w:rsidRPr="006B29D8">
        <w:t>(a)</w:t>
      </w:r>
      <w:r w:rsidR="00EE269B" w:rsidRPr="006B29D8">
        <w:tab/>
        <w:t>the employer of the worker does not have a compulsory insurance policy to cover the liability; or</w:t>
      </w:r>
    </w:p>
    <w:p w14:paraId="10FA027C" w14:textId="77777777" w:rsidR="00EE269B" w:rsidRPr="006B29D8" w:rsidRDefault="00EE269B" w:rsidP="00EE269B">
      <w:pPr>
        <w:pStyle w:val="Ipara"/>
      </w:pPr>
      <w:r w:rsidRPr="006B29D8">
        <w:lastRenderedPageBreak/>
        <w:tab/>
        <w:t>(b)</w:t>
      </w:r>
      <w:r w:rsidRPr="006B29D8">
        <w:tab/>
        <w:t>the employer is a prescribed employer and the territory worker is a prescribed worker.</w:t>
      </w:r>
    </w:p>
    <w:p w14:paraId="0793C6BA" w14:textId="6EFE4175" w:rsidR="00AD5C4D" w:rsidRPr="006B29D8" w:rsidRDefault="00AD5C4D" w:rsidP="00AD5C4D">
      <w:pPr>
        <w:pStyle w:val="aNote"/>
      </w:pPr>
      <w:r w:rsidRPr="006B29D8">
        <w:rPr>
          <w:rStyle w:val="charItals"/>
        </w:rPr>
        <w:t>Note</w:t>
      </w:r>
      <w:r w:rsidRPr="006B29D8">
        <w:rPr>
          <w:rStyle w:val="charItals"/>
        </w:rPr>
        <w:tab/>
      </w:r>
      <w:r w:rsidRPr="006B29D8">
        <w:t>An injured worker who was a director of the employer at the time of the injury may not make a claim against the fund, unless the injured worker is a prescribed worker and the employer is a prescribed employer (see s</w:t>
      </w:r>
      <w:r w:rsidR="005869BB" w:rsidRPr="006B29D8">
        <w:t> </w:t>
      </w:r>
      <w:r w:rsidRPr="006B29D8">
        <w:t>170 (3)).</w:t>
      </w:r>
    </w:p>
    <w:p w14:paraId="7533B47A" w14:textId="60E2B284" w:rsidR="00EE269B" w:rsidRPr="006B29D8" w:rsidRDefault="00370538" w:rsidP="00370538">
      <w:pPr>
        <w:pStyle w:val="ShadedSchClause"/>
      </w:pPr>
      <w:bookmarkStart w:id="60" w:name="_Toc207200729"/>
      <w:r w:rsidRPr="00370538">
        <w:rPr>
          <w:rStyle w:val="CharSectNo"/>
        </w:rPr>
        <w:t>[1.7]</w:t>
      </w:r>
      <w:r w:rsidRPr="006B29D8">
        <w:tab/>
      </w:r>
      <w:r w:rsidR="00EE269B" w:rsidRPr="006B29D8">
        <w:t>New division 8.2.2A</w:t>
      </w:r>
      <w:bookmarkEnd w:id="60"/>
    </w:p>
    <w:p w14:paraId="2D7032F7" w14:textId="6EA26084" w:rsidR="00EE269B" w:rsidRPr="006B29D8" w:rsidRDefault="00EE269B" w:rsidP="00EE269B">
      <w:pPr>
        <w:pStyle w:val="direction"/>
      </w:pPr>
      <w:r w:rsidRPr="006B29D8">
        <w:t>insert</w:t>
      </w:r>
    </w:p>
    <w:p w14:paraId="090FDCAA" w14:textId="77777777" w:rsidR="00EE269B" w:rsidRPr="006B29D8" w:rsidRDefault="00EE269B" w:rsidP="00EE269B">
      <w:pPr>
        <w:pStyle w:val="IH3Div"/>
      </w:pPr>
      <w:r w:rsidRPr="006B29D8">
        <w:t>Division 8.2.2A</w:t>
      </w:r>
      <w:r w:rsidRPr="006B29D8">
        <w:tab/>
        <w:t>DI fund and prescribed employers etc</w:t>
      </w:r>
    </w:p>
    <w:p w14:paraId="40910D18" w14:textId="77777777" w:rsidR="00EE269B" w:rsidRPr="006B29D8" w:rsidRDefault="00EE269B" w:rsidP="00EE269B">
      <w:pPr>
        <w:pStyle w:val="IH5Sec"/>
      </w:pPr>
      <w:r w:rsidRPr="006B29D8">
        <w:t>166J</w:t>
      </w:r>
      <w:r w:rsidRPr="006B29D8">
        <w:tab/>
        <w:t>Determination about DI fund objects, prescribed employers and workers</w:t>
      </w:r>
    </w:p>
    <w:p w14:paraId="17B0396C" w14:textId="7D475C1C" w:rsidR="00EE269B" w:rsidRPr="006B29D8" w:rsidRDefault="00EE269B" w:rsidP="00EE269B">
      <w:pPr>
        <w:pStyle w:val="IMain"/>
      </w:pPr>
      <w:r w:rsidRPr="006B29D8">
        <w:tab/>
        <w:t>(1)</w:t>
      </w:r>
      <w:r w:rsidRPr="006B29D8">
        <w:tab/>
        <w:t>The Executive may determine the objects of the DI fund</w:t>
      </w:r>
      <w:r w:rsidR="00674918" w:rsidRPr="006B29D8">
        <w:br/>
      </w:r>
      <w:r w:rsidRPr="006B29D8">
        <w:t>for the purpose of an employer and worker mentioned in section</w:t>
      </w:r>
      <w:r w:rsidR="00674918" w:rsidRPr="006B29D8">
        <w:t> </w:t>
      </w:r>
      <w:r w:rsidRPr="006B29D8">
        <w:t>166A</w:t>
      </w:r>
      <w:r w:rsidR="00674918" w:rsidRPr="006B29D8">
        <w:t> </w:t>
      </w:r>
      <w:r w:rsidRPr="006B29D8">
        <w:t>(2)</w:t>
      </w:r>
      <w:r w:rsidR="00674918" w:rsidRPr="006B29D8">
        <w:t> </w:t>
      </w:r>
      <w:r w:rsidRPr="006B29D8">
        <w:t>(b) and (4) (b), including any requirements for the operation of the fund, including in relation to the following</w:t>
      </w:r>
      <w:r w:rsidR="00AB3840" w:rsidRPr="006B29D8">
        <w:t>:</w:t>
      </w:r>
    </w:p>
    <w:p w14:paraId="5E97A6B2" w14:textId="77777777" w:rsidR="00EE269B" w:rsidRPr="006B29D8" w:rsidRDefault="00EE269B" w:rsidP="00EE269B">
      <w:pPr>
        <w:pStyle w:val="Ipara"/>
      </w:pPr>
      <w:r w:rsidRPr="006B29D8">
        <w:tab/>
        <w:t>(a)</w:t>
      </w:r>
      <w:r w:rsidRPr="006B29D8">
        <w:tab/>
        <w:t>the class of employer that may apply to be a prescribed employer;</w:t>
      </w:r>
    </w:p>
    <w:p w14:paraId="7AE2D8EC" w14:textId="77777777" w:rsidR="00EE269B" w:rsidRPr="006B29D8" w:rsidRDefault="00EE269B" w:rsidP="00EE269B">
      <w:pPr>
        <w:pStyle w:val="Ipara"/>
      </w:pPr>
      <w:r w:rsidRPr="006B29D8">
        <w:tab/>
        <w:t>(b)</w:t>
      </w:r>
      <w:r w:rsidRPr="006B29D8">
        <w:tab/>
        <w:t>the class of worker that is a prescribed worker;</w:t>
      </w:r>
    </w:p>
    <w:p w14:paraId="6BA8C2E7" w14:textId="77777777" w:rsidR="00EE269B" w:rsidRPr="006B29D8" w:rsidRDefault="00EE269B" w:rsidP="00EE269B">
      <w:pPr>
        <w:pStyle w:val="Ipara"/>
      </w:pPr>
      <w:r w:rsidRPr="006B29D8">
        <w:tab/>
        <w:t>(c)</w:t>
      </w:r>
      <w:r w:rsidRPr="006B29D8">
        <w:tab/>
        <w:t>how an employer may apply to be a prescribed employer;</w:t>
      </w:r>
    </w:p>
    <w:p w14:paraId="444A0AC8" w14:textId="77777777" w:rsidR="00EE269B" w:rsidRPr="006B29D8" w:rsidRDefault="00EE269B" w:rsidP="00EE269B">
      <w:pPr>
        <w:pStyle w:val="Ipara"/>
      </w:pPr>
      <w:r w:rsidRPr="006B29D8">
        <w:tab/>
        <w:t>(d)</w:t>
      </w:r>
      <w:r w:rsidRPr="006B29D8">
        <w:tab/>
        <w:t>the conditions with which a prescribed employer must comply;</w:t>
      </w:r>
    </w:p>
    <w:p w14:paraId="678C8607" w14:textId="77777777" w:rsidR="00EE269B" w:rsidRPr="006B29D8" w:rsidRDefault="00EE269B" w:rsidP="00EE269B">
      <w:pPr>
        <w:pStyle w:val="Ipara"/>
      </w:pPr>
      <w:r w:rsidRPr="006B29D8">
        <w:tab/>
        <w:t>(e)</w:t>
      </w:r>
      <w:r w:rsidRPr="006B29D8">
        <w:tab/>
        <w:t>the maximum period for which an employer may be a prescribed employer.</w:t>
      </w:r>
    </w:p>
    <w:p w14:paraId="14FE9F8D" w14:textId="77777777" w:rsidR="00EE269B" w:rsidRPr="006B29D8" w:rsidRDefault="00EE269B" w:rsidP="00EE269B">
      <w:pPr>
        <w:pStyle w:val="IMain"/>
      </w:pPr>
      <w:r w:rsidRPr="006B29D8">
        <w:tab/>
        <w:t>(2)</w:t>
      </w:r>
      <w:r w:rsidRPr="006B29D8">
        <w:tab/>
        <w:t>A determination is a notifiable instrument.</w:t>
      </w:r>
    </w:p>
    <w:p w14:paraId="073B9202" w14:textId="77777777" w:rsidR="00EE269B" w:rsidRPr="006B29D8" w:rsidRDefault="00EE269B" w:rsidP="00EE269B">
      <w:pPr>
        <w:pStyle w:val="IH5Sec"/>
      </w:pPr>
      <w:r w:rsidRPr="006B29D8">
        <w:t>166K</w:t>
      </w:r>
      <w:r w:rsidRPr="006B29D8">
        <w:tab/>
        <w:t>Determination of fees for prescribed employers</w:t>
      </w:r>
    </w:p>
    <w:p w14:paraId="135D0988" w14:textId="77777777" w:rsidR="00EE269B" w:rsidRPr="006B29D8" w:rsidRDefault="00EE269B" w:rsidP="00DA3468">
      <w:pPr>
        <w:pStyle w:val="IMain"/>
      </w:pPr>
      <w:r w:rsidRPr="006B29D8">
        <w:tab/>
        <w:t>(1)</w:t>
      </w:r>
      <w:r w:rsidRPr="006B29D8">
        <w:tab/>
        <w:t>The Executive may determine fees payable by a prescribed employer in relation to the administration of the DI fund under this part.</w:t>
      </w:r>
    </w:p>
    <w:p w14:paraId="73435FB9" w14:textId="77777777" w:rsidR="00EE269B" w:rsidRPr="006B29D8" w:rsidRDefault="00EE269B" w:rsidP="00EE269B">
      <w:pPr>
        <w:pStyle w:val="IMain"/>
      </w:pPr>
      <w:r w:rsidRPr="006B29D8">
        <w:tab/>
        <w:t>(2)</w:t>
      </w:r>
      <w:r w:rsidRPr="006B29D8">
        <w:tab/>
        <w:t>A determination is a disallowable instrument.</w:t>
      </w:r>
    </w:p>
    <w:p w14:paraId="7ABC3AAF" w14:textId="77777777" w:rsidR="00EE269B" w:rsidRPr="006B29D8" w:rsidRDefault="00EE269B" w:rsidP="00EE269B">
      <w:pPr>
        <w:pStyle w:val="IH5Sec"/>
      </w:pPr>
      <w:r w:rsidRPr="006B29D8">
        <w:lastRenderedPageBreak/>
        <w:t>166L</w:t>
      </w:r>
      <w:r w:rsidRPr="006B29D8">
        <w:tab/>
        <w:t>Application to be prescribed employer</w:t>
      </w:r>
    </w:p>
    <w:p w14:paraId="22243CCB" w14:textId="77777777" w:rsidR="00EE269B" w:rsidRPr="006B29D8" w:rsidRDefault="00EE269B" w:rsidP="00EE269B">
      <w:pPr>
        <w:pStyle w:val="IMain"/>
      </w:pPr>
      <w:r w:rsidRPr="006B29D8">
        <w:tab/>
        <w:t>(1)</w:t>
      </w:r>
      <w:r w:rsidRPr="006B29D8">
        <w:tab/>
        <w:t>An employer who employs prescribed workers may apply to the Minister to be a prescribed employer for a particular period.</w:t>
      </w:r>
    </w:p>
    <w:p w14:paraId="633CFCE7" w14:textId="77777777" w:rsidR="00EE269B" w:rsidRPr="006B29D8" w:rsidRDefault="00EE269B" w:rsidP="00EE269B">
      <w:pPr>
        <w:pStyle w:val="IMain"/>
      </w:pPr>
      <w:r w:rsidRPr="006B29D8">
        <w:tab/>
        <w:t>(2)</w:t>
      </w:r>
      <w:r w:rsidRPr="006B29D8">
        <w:tab/>
        <w:t>The employer must give the Minister, with the application—</w:t>
      </w:r>
    </w:p>
    <w:p w14:paraId="35BF1CDC" w14:textId="77777777" w:rsidR="00EE269B" w:rsidRPr="006B29D8" w:rsidRDefault="00EE269B" w:rsidP="00EE269B">
      <w:pPr>
        <w:pStyle w:val="Ipara"/>
      </w:pPr>
      <w:r w:rsidRPr="006B29D8">
        <w:tab/>
        <w:t>(a)</w:t>
      </w:r>
      <w:r w:rsidRPr="006B29D8">
        <w:tab/>
        <w:t>a statement of the employer’s estimate for the particular period; and</w:t>
      </w:r>
    </w:p>
    <w:p w14:paraId="7FC2EFD2" w14:textId="77777777" w:rsidR="00EE269B" w:rsidRPr="006B29D8" w:rsidRDefault="00EE269B" w:rsidP="00EE269B">
      <w:pPr>
        <w:pStyle w:val="Ipara"/>
      </w:pPr>
      <w:r w:rsidRPr="006B29D8">
        <w:tab/>
        <w:t>(b)</w:t>
      </w:r>
      <w:r w:rsidRPr="006B29D8">
        <w:tab/>
        <w:t>any other information prescribed by regulation.</w:t>
      </w:r>
    </w:p>
    <w:p w14:paraId="74774B90" w14:textId="77777777" w:rsidR="00EE269B" w:rsidRPr="006B29D8" w:rsidRDefault="00EE269B" w:rsidP="00EE269B">
      <w:pPr>
        <w:pStyle w:val="IMain"/>
      </w:pPr>
      <w:r w:rsidRPr="006B29D8">
        <w:tab/>
        <w:t>(3)</w:t>
      </w:r>
      <w:r w:rsidRPr="006B29D8">
        <w:tab/>
        <w:t>In this section:</w:t>
      </w:r>
    </w:p>
    <w:p w14:paraId="1F9AD251" w14:textId="77777777" w:rsidR="00EE269B" w:rsidRPr="006B29D8" w:rsidRDefault="00EE269B" w:rsidP="00370538">
      <w:pPr>
        <w:pStyle w:val="aDef"/>
      </w:pPr>
      <w:r w:rsidRPr="006B29D8">
        <w:rPr>
          <w:rStyle w:val="charBoldItals"/>
        </w:rPr>
        <w:t>employer’s estimate</w:t>
      </w:r>
      <w:r w:rsidRPr="006B29D8">
        <w:rPr>
          <w:bCs/>
          <w:iCs/>
        </w:rPr>
        <w:t>,</w:t>
      </w:r>
      <w:r w:rsidRPr="006B29D8">
        <w:t xml:space="preserve"> for the particular period, means the employer’s estimate of the following:</w:t>
      </w:r>
    </w:p>
    <w:p w14:paraId="118342C6" w14:textId="54711BA0" w:rsidR="00EE269B" w:rsidRPr="006B29D8" w:rsidRDefault="00EE269B" w:rsidP="00674918">
      <w:pPr>
        <w:pStyle w:val="Idefpara"/>
      </w:pPr>
      <w:r w:rsidRPr="006B29D8">
        <w:tab/>
        <w:t>(a)</w:t>
      </w:r>
      <w:r w:rsidRPr="006B29D8">
        <w:tab/>
        <w:t>the number of prescribed workers to be employed by the employer in the period;</w:t>
      </w:r>
    </w:p>
    <w:p w14:paraId="73A55522" w14:textId="77777777" w:rsidR="00EE269B" w:rsidRPr="006B29D8" w:rsidRDefault="00EE269B" w:rsidP="00674918">
      <w:pPr>
        <w:pStyle w:val="Idefpara"/>
      </w:pPr>
      <w:r w:rsidRPr="006B29D8">
        <w:tab/>
        <w:t>(b)</w:t>
      </w:r>
      <w:r w:rsidRPr="006B29D8">
        <w:tab/>
        <w:t>the total wages to be paid to prescribed workers in the period;</w:t>
      </w:r>
    </w:p>
    <w:p w14:paraId="28BFE3D4" w14:textId="77777777" w:rsidR="00EE269B" w:rsidRPr="006B29D8" w:rsidRDefault="00EE269B" w:rsidP="00674918">
      <w:pPr>
        <w:pStyle w:val="Idefpara"/>
      </w:pPr>
      <w:r w:rsidRPr="006B29D8">
        <w:tab/>
        <w:t>(c)</w:t>
      </w:r>
      <w:r w:rsidRPr="006B29D8">
        <w:tab/>
        <w:t>the number of paid and unpaid prescribed workers who will work for the employer in the period;</w:t>
      </w:r>
    </w:p>
    <w:p w14:paraId="6493F3D6" w14:textId="77777777" w:rsidR="00EE269B" w:rsidRPr="006B29D8" w:rsidRDefault="00EE269B" w:rsidP="00674918">
      <w:pPr>
        <w:pStyle w:val="Idefpara"/>
      </w:pPr>
      <w:r w:rsidRPr="006B29D8">
        <w:tab/>
        <w:t>(d)</w:t>
      </w:r>
      <w:r w:rsidRPr="006B29D8">
        <w:tab/>
        <w:t>the approximate amount of time each paid and unpaid prescribed worker will work for the employer in the period.</w:t>
      </w:r>
    </w:p>
    <w:p w14:paraId="1AFE3EF2" w14:textId="77777777" w:rsidR="00EE269B" w:rsidRPr="006B29D8" w:rsidRDefault="00EE269B" w:rsidP="00EE269B">
      <w:pPr>
        <w:pStyle w:val="IH5Sec"/>
      </w:pPr>
      <w:r w:rsidRPr="006B29D8">
        <w:t>166M</w:t>
      </w:r>
      <w:r w:rsidRPr="006B29D8">
        <w:tab/>
        <w:t>Assessment of application to be prescribed employer</w:t>
      </w:r>
    </w:p>
    <w:p w14:paraId="26C19A77" w14:textId="53AF46AD" w:rsidR="00EE269B" w:rsidRPr="006B29D8" w:rsidRDefault="00EE269B" w:rsidP="00DA3468">
      <w:pPr>
        <w:pStyle w:val="IMain"/>
      </w:pPr>
      <w:r w:rsidRPr="006B29D8">
        <w:tab/>
        <w:t>(1)</w:t>
      </w:r>
      <w:r w:rsidRPr="006B29D8">
        <w:tab/>
        <w:t>The Minister must approve an employer’s application to be a prescribed employer for a particular period if</w:t>
      </w:r>
      <w:r w:rsidR="00AB3840" w:rsidRPr="006B29D8">
        <w:t xml:space="preserve"> the employer</w:t>
      </w:r>
      <w:r w:rsidRPr="006B29D8">
        <w:t>—</w:t>
      </w:r>
    </w:p>
    <w:p w14:paraId="6C4F84D2" w14:textId="2EA22C88" w:rsidR="00EE269B" w:rsidRPr="006B29D8" w:rsidRDefault="00EE269B" w:rsidP="00DA3468">
      <w:pPr>
        <w:pStyle w:val="Ipara"/>
      </w:pPr>
      <w:r w:rsidRPr="006B29D8">
        <w:tab/>
        <w:t>(a)</w:t>
      </w:r>
      <w:r w:rsidRPr="006B29D8">
        <w:tab/>
        <w:t>employs prescribed workers; and</w:t>
      </w:r>
    </w:p>
    <w:p w14:paraId="41A751F8" w14:textId="540F06FC" w:rsidR="00EE269B" w:rsidRPr="006B29D8" w:rsidRDefault="00EE269B" w:rsidP="00EE269B">
      <w:pPr>
        <w:pStyle w:val="Ipara"/>
      </w:pPr>
      <w:r w:rsidRPr="006B29D8">
        <w:tab/>
        <w:t>(b)</w:t>
      </w:r>
      <w:r w:rsidRPr="006B29D8">
        <w:tab/>
        <w:t>has given the Minister the information mentioned in section</w:t>
      </w:r>
      <w:r w:rsidR="00674918" w:rsidRPr="006B29D8">
        <w:t> </w:t>
      </w:r>
      <w:r w:rsidRPr="006B29D8">
        <w:t>166L (2).</w:t>
      </w:r>
    </w:p>
    <w:p w14:paraId="4B005D4D" w14:textId="3D7B4B83" w:rsidR="00EE269B" w:rsidRPr="006B29D8" w:rsidRDefault="00EE269B" w:rsidP="00EE269B">
      <w:pPr>
        <w:pStyle w:val="IMain"/>
      </w:pPr>
      <w:r w:rsidRPr="006B29D8">
        <w:tab/>
        <w:t>(2)</w:t>
      </w:r>
      <w:r w:rsidRPr="006B29D8">
        <w:tab/>
        <w:t>The period for which the Minister approves an employer’s application must not be longer than the period mentioned in section</w:t>
      </w:r>
      <w:r w:rsidR="00DA3468">
        <w:t xml:space="preserve"> </w:t>
      </w:r>
      <w:r w:rsidRPr="006B29D8">
        <w:t>166J</w:t>
      </w:r>
      <w:r w:rsidR="006C47C5" w:rsidRPr="006B29D8">
        <w:t xml:space="preserve"> </w:t>
      </w:r>
      <w:r w:rsidRPr="006B29D8">
        <w:t>(1)</w:t>
      </w:r>
      <w:r w:rsidR="006C47C5" w:rsidRPr="006B29D8">
        <w:t xml:space="preserve"> </w:t>
      </w:r>
      <w:r w:rsidRPr="006B29D8">
        <w:t>(e).</w:t>
      </w:r>
    </w:p>
    <w:p w14:paraId="68083461" w14:textId="1A2E08E8" w:rsidR="00EE269B" w:rsidRPr="006B29D8" w:rsidRDefault="00EE269B" w:rsidP="00EE269B">
      <w:pPr>
        <w:pStyle w:val="IMain"/>
      </w:pPr>
      <w:r w:rsidRPr="006B29D8">
        <w:lastRenderedPageBreak/>
        <w:tab/>
        <w:t>(3)</w:t>
      </w:r>
      <w:r w:rsidRPr="006B29D8">
        <w:tab/>
        <w:t xml:space="preserve">The </w:t>
      </w:r>
      <w:r w:rsidR="00AB3840" w:rsidRPr="006B29D8">
        <w:t>Minister</w:t>
      </w:r>
      <w:r w:rsidRPr="006B29D8">
        <w:t xml:space="preserve"> may decide that a prescribed employer is no longer a prescribed employer if the employer breaches a condition mentioned in section 166J (1) (d).</w:t>
      </w:r>
    </w:p>
    <w:p w14:paraId="1DCE4C2D" w14:textId="78623633" w:rsidR="00EE269B" w:rsidRPr="006B29D8" w:rsidRDefault="00EE269B" w:rsidP="00EE269B">
      <w:pPr>
        <w:pStyle w:val="IMain"/>
      </w:pPr>
      <w:r w:rsidRPr="006B29D8">
        <w:tab/>
        <w:t>(4)</w:t>
      </w:r>
      <w:r w:rsidRPr="006B29D8">
        <w:tab/>
        <w:t xml:space="preserve">The </w:t>
      </w:r>
      <w:r w:rsidR="00AB3840" w:rsidRPr="006B29D8">
        <w:t>Minister</w:t>
      </w:r>
      <w:r w:rsidRPr="006B29D8">
        <w:t xml:space="preserve"> must tell the employer, in writing, of their decision made under subsection (3).</w:t>
      </w:r>
    </w:p>
    <w:p w14:paraId="3DE44024" w14:textId="77777777" w:rsidR="00EE269B" w:rsidRPr="006B29D8" w:rsidRDefault="00EE269B" w:rsidP="00EE269B">
      <w:pPr>
        <w:pStyle w:val="IH5Sec"/>
      </w:pPr>
      <w:r w:rsidRPr="006B29D8">
        <w:t>166N</w:t>
      </w:r>
      <w:r w:rsidRPr="006B29D8">
        <w:tab/>
        <w:t>Application of amendments before commencement</w:t>
      </w:r>
    </w:p>
    <w:p w14:paraId="787D8CC7" w14:textId="77777777" w:rsidR="00EE269B" w:rsidRPr="006B29D8" w:rsidRDefault="00EE269B" w:rsidP="00EE269B">
      <w:pPr>
        <w:pStyle w:val="IMain"/>
      </w:pPr>
      <w:r w:rsidRPr="006B29D8">
        <w:tab/>
        <w:t>(1)</w:t>
      </w:r>
      <w:r w:rsidRPr="006B29D8">
        <w:tab/>
        <w:t>This section applies if the Minister approves an employer’s application to be a prescribed employer on or after the commencement day but before the end of February 2026.</w:t>
      </w:r>
    </w:p>
    <w:p w14:paraId="038E971F" w14:textId="0ED4895E" w:rsidR="00EE269B" w:rsidRPr="006B29D8" w:rsidRDefault="00EE269B" w:rsidP="00EE269B">
      <w:pPr>
        <w:pStyle w:val="IMain"/>
      </w:pPr>
      <w:r w:rsidRPr="006B29D8">
        <w:tab/>
        <w:t>(2)</w:t>
      </w:r>
      <w:r w:rsidRPr="006B29D8">
        <w:tab/>
      </w:r>
      <w:r w:rsidR="00AB3840" w:rsidRPr="006B29D8">
        <w:t>This</w:t>
      </w:r>
      <w:r w:rsidRPr="006B29D8">
        <w:t xml:space="preserve"> Act, as amended by the </w:t>
      </w:r>
      <w:r w:rsidRPr="006B29D8">
        <w:rPr>
          <w:rStyle w:val="charItals"/>
        </w:rPr>
        <w:t>Workplace Legislation Amendment Act</w:t>
      </w:r>
      <w:r w:rsidR="00674918" w:rsidRPr="006B29D8">
        <w:rPr>
          <w:rStyle w:val="charItals"/>
        </w:rPr>
        <w:t> </w:t>
      </w:r>
      <w:r w:rsidRPr="006B29D8">
        <w:rPr>
          <w:rStyle w:val="charItals"/>
        </w:rPr>
        <w:t>2025 (No 2)</w:t>
      </w:r>
      <w:r w:rsidRPr="006B29D8">
        <w:t>,</w:t>
      </w:r>
      <w:r w:rsidR="008A2564" w:rsidRPr="006B29D8">
        <w:t xml:space="preserve"> schedule 1</w:t>
      </w:r>
      <w:r w:rsidRPr="006B29D8">
        <w:t xml:space="preserve">, applies to the prescribed employer and any worker of the employer who would on or after the commencement day be a prescribed worker in </w:t>
      </w:r>
      <w:r w:rsidR="00AB3840" w:rsidRPr="006B29D8">
        <w:t>relation to</w:t>
      </w:r>
      <w:r w:rsidRPr="006B29D8">
        <w:t xml:space="preserve"> an injury suffered by the worker.</w:t>
      </w:r>
    </w:p>
    <w:p w14:paraId="1048383D" w14:textId="28C90B54" w:rsidR="00EE269B" w:rsidRPr="006B29D8" w:rsidRDefault="00EE269B" w:rsidP="00EE269B">
      <w:pPr>
        <w:pStyle w:val="IMain"/>
      </w:pPr>
      <w:r w:rsidRPr="006B29D8">
        <w:tab/>
        <w:t>(</w:t>
      </w:r>
      <w:r w:rsidR="00AB3840" w:rsidRPr="006B29D8">
        <w:t>3</w:t>
      </w:r>
      <w:r w:rsidRPr="006B29D8">
        <w:t>)</w:t>
      </w:r>
      <w:r w:rsidRPr="006B29D8">
        <w:tab/>
        <w:t>In this section:</w:t>
      </w:r>
    </w:p>
    <w:p w14:paraId="56FC4A9D" w14:textId="3DC17311" w:rsidR="00EE269B" w:rsidRPr="006B29D8" w:rsidRDefault="00EE269B" w:rsidP="00EE269B">
      <w:pPr>
        <w:pStyle w:val="Amainreturn"/>
      </w:pPr>
      <w:r w:rsidRPr="006B29D8">
        <w:rPr>
          <w:rStyle w:val="charBoldItals"/>
        </w:rPr>
        <w:t>commencement day</w:t>
      </w:r>
      <w:r w:rsidRPr="006B29D8">
        <w:t xml:space="preserve"> means the day the </w:t>
      </w:r>
      <w:r w:rsidRPr="006B29D8">
        <w:rPr>
          <w:rStyle w:val="charItals"/>
        </w:rPr>
        <w:t>Workplace Legislation Amendment Act 2025 (No 2)</w:t>
      </w:r>
      <w:r w:rsidRPr="006B29D8">
        <w:t xml:space="preserve">, </w:t>
      </w:r>
      <w:r w:rsidR="00AB3840" w:rsidRPr="006B29D8">
        <w:t>schedule 1</w:t>
      </w:r>
      <w:r w:rsidRPr="006B29D8">
        <w:t xml:space="preserve"> commences.</w:t>
      </w:r>
    </w:p>
    <w:p w14:paraId="1D2BEF9C" w14:textId="13272C7F" w:rsidR="00EE269B" w:rsidRPr="006B29D8" w:rsidRDefault="00370538" w:rsidP="00370538">
      <w:pPr>
        <w:pStyle w:val="ShadedSchClause"/>
      </w:pPr>
      <w:bookmarkStart w:id="61" w:name="_Toc207200730"/>
      <w:r w:rsidRPr="00370538">
        <w:rPr>
          <w:rStyle w:val="CharSectNo"/>
        </w:rPr>
        <w:t>[1.8]</w:t>
      </w:r>
      <w:r w:rsidRPr="006B29D8">
        <w:tab/>
      </w:r>
      <w:r w:rsidR="00EE269B" w:rsidRPr="006B29D8">
        <w:t>Section 170 (3) (b)</w:t>
      </w:r>
      <w:bookmarkEnd w:id="61"/>
    </w:p>
    <w:p w14:paraId="0EBCFB48" w14:textId="345A9B07" w:rsidR="00EE269B" w:rsidRPr="006B29D8" w:rsidRDefault="00EE269B" w:rsidP="00EE269B">
      <w:pPr>
        <w:pStyle w:val="direction"/>
      </w:pPr>
      <w:r w:rsidRPr="006B29D8">
        <w:t>substitute</w:t>
      </w:r>
    </w:p>
    <w:p w14:paraId="45F29AFD" w14:textId="77777777" w:rsidR="00EE269B" w:rsidRPr="006B29D8" w:rsidRDefault="00EE269B" w:rsidP="00EE269B">
      <w:pPr>
        <w:pStyle w:val="Ipara"/>
      </w:pPr>
      <w:r w:rsidRPr="006B29D8">
        <w:tab/>
        <w:t>(b)</w:t>
      </w:r>
      <w:r w:rsidRPr="006B29D8">
        <w:tab/>
        <w:t>the employer—</w:t>
      </w:r>
    </w:p>
    <w:p w14:paraId="0730C15E" w14:textId="77777777" w:rsidR="00EE269B" w:rsidRPr="006B29D8" w:rsidRDefault="00EE269B" w:rsidP="00EE269B">
      <w:pPr>
        <w:pStyle w:val="Isubpara"/>
      </w:pPr>
      <w:r w:rsidRPr="006B29D8">
        <w:tab/>
        <w:t>(i)</w:t>
      </w:r>
      <w:r w:rsidRPr="006B29D8">
        <w:tab/>
        <w:t>did not hold a compulsory insurance policy that applies to the injured worker for the injury; or</w:t>
      </w:r>
    </w:p>
    <w:p w14:paraId="7476E460" w14:textId="77777777" w:rsidR="00EE269B" w:rsidRPr="006B29D8" w:rsidRDefault="00EE269B" w:rsidP="00EE269B">
      <w:pPr>
        <w:pStyle w:val="Isubpara"/>
      </w:pPr>
      <w:r w:rsidRPr="006B29D8">
        <w:tab/>
        <w:t>(ii)</w:t>
      </w:r>
      <w:r w:rsidRPr="006B29D8">
        <w:tab/>
        <w:t>is not a prescribed employer and the injured worker is not a prescribed worker.</w:t>
      </w:r>
    </w:p>
    <w:p w14:paraId="5A0032E1" w14:textId="72DFEA29" w:rsidR="00EE269B" w:rsidRPr="006B29D8" w:rsidRDefault="00370538" w:rsidP="00370538">
      <w:pPr>
        <w:pStyle w:val="ShadedSchClause"/>
      </w:pPr>
      <w:bookmarkStart w:id="62" w:name="_Toc207200731"/>
      <w:r w:rsidRPr="00370538">
        <w:rPr>
          <w:rStyle w:val="CharSectNo"/>
        </w:rPr>
        <w:lastRenderedPageBreak/>
        <w:t>[1.9]</w:t>
      </w:r>
      <w:r w:rsidRPr="006B29D8">
        <w:tab/>
      </w:r>
      <w:r w:rsidR="00EE269B" w:rsidRPr="006B29D8">
        <w:t>Dictionary, new definitions</w:t>
      </w:r>
      <w:bookmarkEnd w:id="62"/>
    </w:p>
    <w:p w14:paraId="2A65E2A2" w14:textId="05D878DA" w:rsidR="00EE269B" w:rsidRPr="006B29D8" w:rsidRDefault="00EE269B" w:rsidP="00EE269B">
      <w:pPr>
        <w:pStyle w:val="direction"/>
      </w:pPr>
      <w:r w:rsidRPr="006B29D8">
        <w:t>insert</w:t>
      </w:r>
    </w:p>
    <w:p w14:paraId="083572CA" w14:textId="77777777" w:rsidR="00EE269B" w:rsidRPr="006B29D8" w:rsidRDefault="00EE269B" w:rsidP="00370538">
      <w:pPr>
        <w:pStyle w:val="aDef"/>
      </w:pPr>
      <w:r w:rsidRPr="006B29D8">
        <w:rPr>
          <w:rStyle w:val="charBoldItals"/>
        </w:rPr>
        <w:t>prescribed employer</w:t>
      </w:r>
      <w:r w:rsidRPr="006B29D8">
        <w:t xml:space="preserve"> means an employer approved by the Minister under section 166M to be a prescribed employer.</w:t>
      </w:r>
    </w:p>
    <w:p w14:paraId="27CA8326" w14:textId="451EBC3F" w:rsidR="00EE269B" w:rsidRPr="006B29D8" w:rsidRDefault="00EE269B" w:rsidP="00370538">
      <w:pPr>
        <w:pStyle w:val="aDef"/>
      </w:pPr>
      <w:r w:rsidRPr="006B29D8">
        <w:rPr>
          <w:rStyle w:val="charBoldItals"/>
        </w:rPr>
        <w:t>prescribed worker</w:t>
      </w:r>
      <w:r w:rsidRPr="006B29D8">
        <w:t xml:space="preserve"> means a worker who is determined to be a prescribed worker by the Executive under section 166J (1).</w:t>
      </w:r>
    </w:p>
    <w:p w14:paraId="1E7AE083" w14:textId="370AD6F2" w:rsidR="003A792E" w:rsidRPr="006B29D8" w:rsidRDefault="003A792E" w:rsidP="00370538">
      <w:pPr>
        <w:pStyle w:val="PageBreak"/>
        <w:suppressLineNumbers/>
      </w:pPr>
      <w:r w:rsidRPr="006B29D8">
        <w:br w:type="page"/>
      </w:r>
    </w:p>
    <w:p w14:paraId="1A3621D8" w14:textId="60B09F66" w:rsidR="00183463" w:rsidRPr="00370538" w:rsidRDefault="00370538" w:rsidP="00370538">
      <w:pPr>
        <w:pStyle w:val="Sched-heading"/>
      </w:pPr>
      <w:bookmarkStart w:id="63" w:name="_Toc207200732"/>
      <w:r w:rsidRPr="00370538">
        <w:rPr>
          <w:rStyle w:val="CharChapNo"/>
        </w:rPr>
        <w:lastRenderedPageBreak/>
        <w:t>Schedule 2</w:t>
      </w:r>
      <w:r w:rsidRPr="006B29D8">
        <w:tab/>
      </w:r>
      <w:r w:rsidR="00EE5E94" w:rsidRPr="00370538">
        <w:rPr>
          <w:rStyle w:val="CharChapText"/>
        </w:rPr>
        <w:t>Technical amendments</w:t>
      </w:r>
      <w:bookmarkEnd w:id="63"/>
    </w:p>
    <w:p w14:paraId="29BD2068" w14:textId="69258945" w:rsidR="00183463" w:rsidRPr="006B29D8" w:rsidRDefault="00183463">
      <w:pPr>
        <w:pStyle w:val="ref"/>
      </w:pPr>
      <w:r w:rsidRPr="006B29D8">
        <w:t xml:space="preserve">(see s </w:t>
      </w:r>
      <w:r w:rsidR="00DB0918" w:rsidRPr="006B29D8">
        <w:t>3</w:t>
      </w:r>
      <w:r w:rsidRPr="006B29D8">
        <w:t>)</w:t>
      </w:r>
    </w:p>
    <w:p w14:paraId="348996B6" w14:textId="5429BFD1" w:rsidR="003571B5" w:rsidRPr="00370538" w:rsidRDefault="00370538" w:rsidP="00370538">
      <w:pPr>
        <w:pStyle w:val="Sched-Part"/>
      </w:pPr>
      <w:bookmarkStart w:id="64" w:name="_Toc207200733"/>
      <w:r w:rsidRPr="00370538">
        <w:rPr>
          <w:rStyle w:val="CharPartNo"/>
        </w:rPr>
        <w:t>Part 2.1</w:t>
      </w:r>
      <w:r w:rsidRPr="006B29D8">
        <w:tab/>
      </w:r>
      <w:r w:rsidR="003571B5" w:rsidRPr="00370538">
        <w:rPr>
          <w:rStyle w:val="CharPartText"/>
        </w:rPr>
        <w:t>Dangerous Substances Act 2004</w:t>
      </w:r>
      <w:bookmarkEnd w:id="64"/>
    </w:p>
    <w:p w14:paraId="66D040F4" w14:textId="41256F40" w:rsidR="003571B5" w:rsidRPr="006B29D8" w:rsidRDefault="00370538" w:rsidP="00370538">
      <w:pPr>
        <w:pStyle w:val="ShadedSchClause"/>
      </w:pPr>
      <w:bookmarkStart w:id="65" w:name="_Toc207200734"/>
      <w:r w:rsidRPr="00370538">
        <w:rPr>
          <w:rStyle w:val="CharSectNo"/>
        </w:rPr>
        <w:t>[2.1]</w:t>
      </w:r>
      <w:r w:rsidRPr="006B29D8">
        <w:tab/>
      </w:r>
      <w:r w:rsidR="00FB1E24" w:rsidRPr="006B29D8">
        <w:t>Section</w:t>
      </w:r>
      <w:r w:rsidR="00C548D1" w:rsidRPr="006B29D8">
        <w:t>s</w:t>
      </w:r>
      <w:r w:rsidR="00FB1E24" w:rsidRPr="006B29D8">
        <w:t xml:space="preserve"> 207 (2), notes and 210</w:t>
      </w:r>
      <w:r w:rsidR="00FF2906" w:rsidRPr="006B29D8">
        <w:t>, notes</w:t>
      </w:r>
      <w:bookmarkEnd w:id="65"/>
    </w:p>
    <w:p w14:paraId="7C288040" w14:textId="58B4D690" w:rsidR="00FF2906" w:rsidRPr="006B29D8" w:rsidRDefault="00FF2906" w:rsidP="00FF2906">
      <w:pPr>
        <w:pStyle w:val="direction"/>
      </w:pPr>
      <w:r w:rsidRPr="006B29D8">
        <w:t>substitute</w:t>
      </w:r>
    </w:p>
    <w:p w14:paraId="64C8C700" w14:textId="54001F78" w:rsidR="00FF2906" w:rsidRPr="006B29D8" w:rsidRDefault="00FF2906" w:rsidP="00FF2906">
      <w:pPr>
        <w:pStyle w:val="aNote"/>
      </w:pPr>
      <w:r w:rsidRPr="006B29D8">
        <w:rPr>
          <w:rStyle w:val="charItals"/>
        </w:rPr>
        <w:t>Note</w:t>
      </w:r>
      <w:r w:rsidRPr="006B29D8">
        <w:tab/>
        <w:t xml:space="preserve">For laws about appointments, see the </w:t>
      </w:r>
      <w:hyperlink r:id="rId35" w:tooltip="A2001-14" w:history="1">
        <w:r w:rsidR="008E080E" w:rsidRPr="006B29D8">
          <w:rPr>
            <w:rStyle w:val="charCitHyperlinkAbbrev"/>
          </w:rPr>
          <w:t>Legislation Act</w:t>
        </w:r>
      </w:hyperlink>
      <w:r w:rsidRPr="006B29D8">
        <w:t>, pt</w:t>
      </w:r>
      <w:r w:rsidR="006C47C5" w:rsidRPr="006B29D8">
        <w:t xml:space="preserve"> </w:t>
      </w:r>
      <w:r w:rsidRPr="006B29D8">
        <w:t>19.3.</w:t>
      </w:r>
    </w:p>
    <w:p w14:paraId="2C217BA8" w14:textId="77777777" w:rsidR="00FF2906" w:rsidRPr="006B29D8" w:rsidRDefault="00FF2906" w:rsidP="00FF2906">
      <w:pPr>
        <w:pStyle w:val="aExplanHeading"/>
      </w:pPr>
      <w:r w:rsidRPr="006B29D8">
        <w:t>Explanatory note</w:t>
      </w:r>
    </w:p>
    <w:p w14:paraId="14DAE21F" w14:textId="3C8B6542" w:rsidR="00FF2906" w:rsidRPr="006B29D8" w:rsidRDefault="00FF2906" w:rsidP="00FF2906">
      <w:pPr>
        <w:pStyle w:val="aExplanText"/>
      </w:pPr>
      <w:r w:rsidRPr="006B29D8">
        <w:t>This amendment updates standard notes in line with current legislative drafting practice.</w:t>
      </w:r>
    </w:p>
    <w:p w14:paraId="7B45F6FB" w14:textId="2F509308" w:rsidR="00F63669" w:rsidRPr="00370538" w:rsidRDefault="00370538" w:rsidP="00370538">
      <w:pPr>
        <w:pStyle w:val="Sched-Part"/>
      </w:pPr>
      <w:bookmarkStart w:id="66" w:name="_Toc207200735"/>
      <w:r w:rsidRPr="00370538">
        <w:rPr>
          <w:rStyle w:val="CharPartNo"/>
        </w:rPr>
        <w:t>Part 2.2</w:t>
      </w:r>
      <w:r w:rsidRPr="006B29D8">
        <w:tab/>
      </w:r>
      <w:r w:rsidR="00F63669" w:rsidRPr="00370538">
        <w:rPr>
          <w:rStyle w:val="CharPartText"/>
        </w:rPr>
        <w:t>Long Service Leave Act 1976</w:t>
      </w:r>
      <w:bookmarkEnd w:id="66"/>
    </w:p>
    <w:p w14:paraId="68FCC49A" w14:textId="3DC7A6A3" w:rsidR="00F63669" w:rsidRPr="006B29D8" w:rsidRDefault="00370538" w:rsidP="00370538">
      <w:pPr>
        <w:pStyle w:val="ShadedSchClause"/>
      </w:pPr>
      <w:bookmarkStart w:id="67" w:name="_Toc207200736"/>
      <w:r w:rsidRPr="00370538">
        <w:rPr>
          <w:rStyle w:val="CharSectNo"/>
        </w:rPr>
        <w:t>[2.2]</w:t>
      </w:r>
      <w:r w:rsidRPr="006B29D8">
        <w:tab/>
      </w:r>
      <w:r w:rsidR="00F63669" w:rsidRPr="006B29D8">
        <w:t>Section</w:t>
      </w:r>
      <w:r w:rsidR="00C548D1" w:rsidRPr="006B29D8">
        <w:t>s</w:t>
      </w:r>
      <w:r w:rsidR="00F63669" w:rsidRPr="006B29D8">
        <w:t xml:space="preserve"> 13 (1), notes</w:t>
      </w:r>
      <w:r w:rsidR="00ED0C57" w:rsidRPr="006B29D8">
        <w:t xml:space="preserve"> and 13A, notes</w:t>
      </w:r>
      <w:bookmarkEnd w:id="67"/>
    </w:p>
    <w:p w14:paraId="440F4586" w14:textId="77777777" w:rsidR="00F63669" w:rsidRPr="006B29D8" w:rsidRDefault="00F63669" w:rsidP="00F63669">
      <w:pPr>
        <w:pStyle w:val="direction"/>
      </w:pPr>
      <w:r w:rsidRPr="006B29D8">
        <w:t>substitute</w:t>
      </w:r>
    </w:p>
    <w:p w14:paraId="18EB1001" w14:textId="365CFB50" w:rsidR="00F63669" w:rsidRPr="006B29D8" w:rsidRDefault="00F63669" w:rsidP="00F63669">
      <w:pPr>
        <w:pStyle w:val="aNote"/>
      </w:pPr>
      <w:r w:rsidRPr="006B29D8">
        <w:rPr>
          <w:rStyle w:val="charItals"/>
        </w:rPr>
        <w:t>Note</w:t>
      </w:r>
      <w:r w:rsidRPr="006B29D8">
        <w:tab/>
        <w:t xml:space="preserve">For laws about appointments, see the </w:t>
      </w:r>
      <w:hyperlink r:id="rId36" w:tooltip="A2001-14" w:history="1">
        <w:r w:rsidR="008E080E" w:rsidRPr="006B29D8">
          <w:rPr>
            <w:rStyle w:val="charCitHyperlinkAbbrev"/>
          </w:rPr>
          <w:t>Legislation Act</w:t>
        </w:r>
      </w:hyperlink>
      <w:r w:rsidRPr="006B29D8">
        <w:t>, pt</w:t>
      </w:r>
      <w:r w:rsidR="006C47C5" w:rsidRPr="006B29D8">
        <w:t xml:space="preserve"> </w:t>
      </w:r>
      <w:r w:rsidRPr="006B29D8">
        <w:t>19.3.</w:t>
      </w:r>
    </w:p>
    <w:p w14:paraId="0CD1C68A" w14:textId="77777777" w:rsidR="00F63669" w:rsidRPr="006B29D8" w:rsidRDefault="00F63669" w:rsidP="00F63669">
      <w:pPr>
        <w:pStyle w:val="aExplanHeading"/>
      </w:pPr>
      <w:r w:rsidRPr="006B29D8">
        <w:t>Explanatory note</w:t>
      </w:r>
    </w:p>
    <w:p w14:paraId="66BA5D3E" w14:textId="77777777" w:rsidR="00F63669" w:rsidRPr="006B29D8" w:rsidRDefault="00F63669" w:rsidP="00F63669">
      <w:pPr>
        <w:pStyle w:val="aExplanText"/>
      </w:pPr>
      <w:r w:rsidRPr="006B29D8">
        <w:t>This amendment updates standard notes in line with current legislative drafting practice.</w:t>
      </w:r>
    </w:p>
    <w:p w14:paraId="25264F9C" w14:textId="664D47C8" w:rsidR="00F63669" w:rsidRPr="00370538" w:rsidRDefault="00370538" w:rsidP="00370538">
      <w:pPr>
        <w:pStyle w:val="Sched-Part"/>
      </w:pPr>
      <w:bookmarkStart w:id="68" w:name="_Toc207200737"/>
      <w:r w:rsidRPr="00370538">
        <w:rPr>
          <w:rStyle w:val="CharPartNo"/>
        </w:rPr>
        <w:t>Part 2.3</w:t>
      </w:r>
      <w:r w:rsidRPr="006B29D8">
        <w:tab/>
      </w:r>
      <w:r w:rsidR="00F63669" w:rsidRPr="00370538">
        <w:rPr>
          <w:rStyle w:val="CharPartText"/>
        </w:rPr>
        <w:t>Long Service Leave (Portable Schemes) Act 2009</w:t>
      </w:r>
      <w:bookmarkEnd w:id="68"/>
    </w:p>
    <w:p w14:paraId="0C535C6C" w14:textId="7F11BB59" w:rsidR="00F63669" w:rsidRPr="006B29D8" w:rsidRDefault="00370538" w:rsidP="00370538">
      <w:pPr>
        <w:pStyle w:val="ShadedSchClause"/>
      </w:pPr>
      <w:bookmarkStart w:id="69" w:name="_Toc207200738"/>
      <w:r w:rsidRPr="00370538">
        <w:rPr>
          <w:rStyle w:val="CharSectNo"/>
        </w:rPr>
        <w:t>[2.3]</w:t>
      </w:r>
      <w:r w:rsidRPr="006B29D8">
        <w:tab/>
      </w:r>
      <w:r w:rsidR="00F63669" w:rsidRPr="006B29D8">
        <w:t xml:space="preserve">Section </w:t>
      </w:r>
      <w:r w:rsidR="00ED0C57" w:rsidRPr="006B29D8">
        <w:t>71</w:t>
      </w:r>
      <w:r w:rsidR="00F63669" w:rsidRPr="006B29D8">
        <w:t>, notes</w:t>
      </w:r>
      <w:bookmarkEnd w:id="69"/>
    </w:p>
    <w:p w14:paraId="750D63E9" w14:textId="77777777" w:rsidR="00F63669" w:rsidRPr="006B29D8" w:rsidRDefault="00F63669" w:rsidP="00F63669">
      <w:pPr>
        <w:pStyle w:val="direction"/>
      </w:pPr>
      <w:r w:rsidRPr="006B29D8">
        <w:t>substitute</w:t>
      </w:r>
    </w:p>
    <w:p w14:paraId="1DBEE931" w14:textId="3D09D7ED" w:rsidR="00F63669" w:rsidRPr="006B29D8" w:rsidRDefault="00F63669" w:rsidP="00F63669">
      <w:pPr>
        <w:pStyle w:val="aNote"/>
      </w:pPr>
      <w:r w:rsidRPr="006B29D8">
        <w:rPr>
          <w:rStyle w:val="charItals"/>
        </w:rPr>
        <w:t>Note</w:t>
      </w:r>
      <w:r w:rsidRPr="006B29D8">
        <w:tab/>
        <w:t xml:space="preserve">For laws about appointments, see the </w:t>
      </w:r>
      <w:hyperlink r:id="rId37" w:tooltip="A2001-14" w:history="1">
        <w:r w:rsidR="008E080E" w:rsidRPr="006B29D8">
          <w:rPr>
            <w:rStyle w:val="charCitHyperlinkAbbrev"/>
          </w:rPr>
          <w:t>Legislation Act</w:t>
        </w:r>
      </w:hyperlink>
      <w:r w:rsidRPr="006B29D8">
        <w:t>, pt</w:t>
      </w:r>
      <w:r w:rsidR="006C47C5" w:rsidRPr="006B29D8">
        <w:t xml:space="preserve"> </w:t>
      </w:r>
      <w:r w:rsidRPr="006B29D8">
        <w:t>19.3.</w:t>
      </w:r>
    </w:p>
    <w:p w14:paraId="4004C6E8" w14:textId="77777777" w:rsidR="00F63669" w:rsidRPr="006B29D8" w:rsidRDefault="00F63669" w:rsidP="00F63669">
      <w:pPr>
        <w:pStyle w:val="aExplanHeading"/>
      </w:pPr>
      <w:r w:rsidRPr="006B29D8">
        <w:t>Explanatory note</w:t>
      </w:r>
    </w:p>
    <w:p w14:paraId="124F7E69" w14:textId="77777777" w:rsidR="00F63669" w:rsidRPr="006B29D8" w:rsidRDefault="00F63669" w:rsidP="00F63669">
      <w:pPr>
        <w:pStyle w:val="aExplanText"/>
      </w:pPr>
      <w:r w:rsidRPr="006B29D8">
        <w:t>This amendment updates standard notes in line with current legislative drafting practice.</w:t>
      </w:r>
    </w:p>
    <w:p w14:paraId="3990020C" w14:textId="3442BB21" w:rsidR="00DE5C84" w:rsidRPr="006B29D8" w:rsidRDefault="00370538" w:rsidP="00370538">
      <w:pPr>
        <w:pStyle w:val="ShadedSchClause"/>
      </w:pPr>
      <w:bookmarkStart w:id="70" w:name="_Toc207200739"/>
      <w:r w:rsidRPr="00370538">
        <w:rPr>
          <w:rStyle w:val="CharSectNo"/>
        </w:rPr>
        <w:lastRenderedPageBreak/>
        <w:t>[2.4]</w:t>
      </w:r>
      <w:r w:rsidRPr="006B29D8">
        <w:tab/>
      </w:r>
      <w:r w:rsidR="00DE5C84" w:rsidRPr="006B29D8">
        <w:t>Section 73 (1) (a)</w:t>
      </w:r>
      <w:bookmarkEnd w:id="70"/>
    </w:p>
    <w:p w14:paraId="64AB521C" w14:textId="77777777" w:rsidR="00DE5C84" w:rsidRPr="006B29D8" w:rsidRDefault="00DE5C84" w:rsidP="00DE5C84">
      <w:pPr>
        <w:pStyle w:val="direction"/>
      </w:pPr>
      <w:r w:rsidRPr="006B29D8">
        <w:t>omit</w:t>
      </w:r>
    </w:p>
    <w:p w14:paraId="1B79EE84" w14:textId="77777777" w:rsidR="00DE5C84" w:rsidRPr="006B29D8" w:rsidRDefault="00DE5C84" w:rsidP="00DE5C84">
      <w:pPr>
        <w:pStyle w:val="Amainreturn"/>
      </w:pPr>
      <w:r w:rsidRPr="006B29D8">
        <w:t>is</w:t>
      </w:r>
    </w:p>
    <w:p w14:paraId="2FBFF879" w14:textId="77777777" w:rsidR="00DE5C84" w:rsidRPr="006B29D8" w:rsidRDefault="00DE5C84" w:rsidP="00DE5C84">
      <w:pPr>
        <w:pStyle w:val="direction"/>
      </w:pPr>
      <w:r w:rsidRPr="006B29D8">
        <w:t>substitute</w:t>
      </w:r>
    </w:p>
    <w:p w14:paraId="72AC0E79" w14:textId="77777777" w:rsidR="00DE5C84" w:rsidRPr="006B29D8" w:rsidRDefault="00DE5C84" w:rsidP="00DE5C84">
      <w:pPr>
        <w:pStyle w:val="Amainreturn"/>
      </w:pPr>
      <w:r w:rsidRPr="006B29D8">
        <w:t>are</w:t>
      </w:r>
    </w:p>
    <w:p w14:paraId="4D526A99" w14:textId="598E60BD" w:rsidR="00DE5C84" w:rsidRPr="006B29D8" w:rsidRDefault="00DE5C84" w:rsidP="00DE5C84">
      <w:pPr>
        <w:pStyle w:val="aExplanHeading"/>
      </w:pPr>
      <w:r w:rsidRPr="006B29D8">
        <w:t>Explanatory note</w:t>
      </w:r>
    </w:p>
    <w:p w14:paraId="71F8E688" w14:textId="353EBB76" w:rsidR="00DE5C84" w:rsidRPr="006B29D8" w:rsidRDefault="00DE5C84" w:rsidP="00DE5C84">
      <w:pPr>
        <w:pStyle w:val="aExplanText"/>
      </w:pPr>
      <w:r w:rsidRPr="006B29D8">
        <w:t>This amendment corrects a</w:t>
      </w:r>
      <w:r w:rsidR="00497231" w:rsidRPr="006B29D8">
        <w:t xml:space="preserve"> minor</w:t>
      </w:r>
      <w:r w:rsidRPr="006B29D8">
        <w:t xml:space="preserve"> typographical error.</w:t>
      </w:r>
    </w:p>
    <w:p w14:paraId="68FABB0F" w14:textId="1318AA1C" w:rsidR="00FA7755" w:rsidRPr="006B29D8" w:rsidRDefault="00370538" w:rsidP="00370538">
      <w:pPr>
        <w:pStyle w:val="ShadedSchClause"/>
      </w:pPr>
      <w:bookmarkStart w:id="71" w:name="_Toc207200740"/>
      <w:r w:rsidRPr="00370538">
        <w:rPr>
          <w:rStyle w:val="CharSectNo"/>
        </w:rPr>
        <w:t>[2.5]</w:t>
      </w:r>
      <w:r w:rsidRPr="006B29D8">
        <w:tab/>
      </w:r>
      <w:r w:rsidR="00FA7755" w:rsidRPr="006B29D8">
        <w:t>Section 76 (2), new note 2</w:t>
      </w:r>
      <w:bookmarkEnd w:id="71"/>
    </w:p>
    <w:p w14:paraId="6BA6620D" w14:textId="29763312" w:rsidR="00FA7755" w:rsidRPr="006B29D8" w:rsidRDefault="00FA7755" w:rsidP="00FA7755">
      <w:pPr>
        <w:pStyle w:val="direction"/>
      </w:pPr>
      <w:r w:rsidRPr="006B29D8">
        <w:t>insert</w:t>
      </w:r>
    </w:p>
    <w:p w14:paraId="70E4D8CB" w14:textId="41D1CEB3" w:rsidR="00FA7755" w:rsidRPr="006B29D8" w:rsidRDefault="00FA7755" w:rsidP="00082B56">
      <w:pPr>
        <w:pStyle w:val="aNote"/>
      </w:pPr>
      <w:r w:rsidRPr="006B29D8">
        <w:rPr>
          <w:rStyle w:val="charItals"/>
        </w:rPr>
        <w:t>Note</w:t>
      </w:r>
      <w:r w:rsidR="001757DA" w:rsidRPr="006B29D8">
        <w:rPr>
          <w:rStyle w:val="charItals"/>
        </w:rPr>
        <w:t xml:space="preserve"> 2</w:t>
      </w:r>
      <w:r w:rsidRPr="006B29D8">
        <w:rPr>
          <w:rStyle w:val="charItals"/>
        </w:rPr>
        <w:tab/>
      </w:r>
      <w:r w:rsidRPr="006B29D8">
        <w:t xml:space="preserve">The </w:t>
      </w:r>
      <w:hyperlink r:id="rId38" w:tooltip="A2001-14" w:history="1">
        <w:r w:rsidR="008E080E" w:rsidRPr="006B29D8">
          <w:rPr>
            <w:rStyle w:val="charCitHyperlinkAbbrev"/>
          </w:rPr>
          <w:t>Legislation Act</w:t>
        </w:r>
      </w:hyperlink>
      <w:r w:rsidRPr="006B29D8">
        <w:t>, s 171 deals with the application of client legal privilege.</w:t>
      </w:r>
    </w:p>
    <w:p w14:paraId="6BCB6913" w14:textId="758AE227" w:rsidR="00FA7755" w:rsidRPr="006B29D8" w:rsidRDefault="00FA7755" w:rsidP="00FA7755">
      <w:pPr>
        <w:pStyle w:val="aExplanHeading"/>
      </w:pPr>
      <w:r w:rsidRPr="006B29D8">
        <w:t>Explanatory note</w:t>
      </w:r>
    </w:p>
    <w:p w14:paraId="2E2275AC" w14:textId="1B7181E5" w:rsidR="00FA7755" w:rsidRPr="006B29D8" w:rsidRDefault="00FA7755" w:rsidP="00FA7755">
      <w:pPr>
        <w:pStyle w:val="aExplanText"/>
      </w:pPr>
      <w:r w:rsidRPr="006B29D8">
        <w:t>This amendment inserts a standard note in line with current legislative drafting practice.</w:t>
      </w:r>
    </w:p>
    <w:p w14:paraId="45D4130C" w14:textId="5D514D8B" w:rsidR="005A0B50" w:rsidRPr="006B29D8" w:rsidRDefault="00370538" w:rsidP="00370538">
      <w:pPr>
        <w:pStyle w:val="ShadedSchClause"/>
      </w:pPr>
      <w:bookmarkStart w:id="72" w:name="_Toc207200741"/>
      <w:r w:rsidRPr="00370538">
        <w:rPr>
          <w:rStyle w:val="CharSectNo"/>
        </w:rPr>
        <w:t>[2.6]</w:t>
      </w:r>
      <w:r w:rsidRPr="006B29D8">
        <w:tab/>
      </w:r>
      <w:r w:rsidR="005A0B50" w:rsidRPr="006B29D8">
        <w:t>Section 79H (2), note</w:t>
      </w:r>
      <w:bookmarkEnd w:id="72"/>
    </w:p>
    <w:p w14:paraId="73EB9FB4" w14:textId="77777777" w:rsidR="005A0B50" w:rsidRPr="006B29D8" w:rsidRDefault="005A0B50" w:rsidP="005A0B50">
      <w:pPr>
        <w:pStyle w:val="direction"/>
      </w:pPr>
      <w:r w:rsidRPr="006B29D8">
        <w:t>omit</w:t>
      </w:r>
    </w:p>
    <w:p w14:paraId="315AAF42" w14:textId="77777777" w:rsidR="005A0B50" w:rsidRPr="006B29D8" w:rsidRDefault="005A0B50" w:rsidP="005A0B50">
      <w:pPr>
        <w:pStyle w:val="aExplanHeading"/>
      </w:pPr>
      <w:r w:rsidRPr="006B29D8">
        <w:t>Explanatory note</w:t>
      </w:r>
    </w:p>
    <w:p w14:paraId="7F023BFB" w14:textId="77777777" w:rsidR="005A0B50" w:rsidRPr="006B29D8" w:rsidRDefault="005A0B50" w:rsidP="005A0B50">
      <w:pPr>
        <w:pStyle w:val="aExplanText"/>
      </w:pPr>
      <w:r w:rsidRPr="006B29D8">
        <w:t>This amendment omits a note in line with current legislative drafting practice.</w:t>
      </w:r>
    </w:p>
    <w:p w14:paraId="15361D5B" w14:textId="1E84878F" w:rsidR="00ED0C57" w:rsidRPr="006B29D8" w:rsidRDefault="00370538" w:rsidP="00370538">
      <w:pPr>
        <w:pStyle w:val="ShadedSchClause"/>
      </w:pPr>
      <w:bookmarkStart w:id="73" w:name="_Toc207200742"/>
      <w:r w:rsidRPr="00370538">
        <w:rPr>
          <w:rStyle w:val="CharSectNo"/>
        </w:rPr>
        <w:t>[2.7]</w:t>
      </w:r>
      <w:r w:rsidRPr="006B29D8">
        <w:tab/>
      </w:r>
      <w:r w:rsidR="00ED0C57" w:rsidRPr="006B29D8">
        <w:t>Section 79N (1), notes</w:t>
      </w:r>
      <w:bookmarkEnd w:id="73"/>
    </w:p>
    <w:p w14:paraId="5810DD23" w14:textId="77777777" w:rsidR="00ED0C57" w:rsidRPr="006B29D8" w:rsidRDefault="00ED0C57" w:rsidP="00ED0C57">
      <w:pPr>
        <w:pStyle w:val="direction"/>
      </w:pPr>
      <w:r w:rsidRPr="006B29D8">
        <w:t>substitute</w:t>
      </w:r>
    </w:p>
    <w:p w14:paraId="1A006095" w14:textId="1DF69298" w:rsidR="00ED0C57" w:rsidRPr="006B29D8" w:rsidRDefault="00ED0C57" w:rsidP="00ED0C57">
      <w:pPr>
        <w:pStyle w:val="aNote"/>
      </w:pPr>
      <w:r w:rsidRPr="006B29D8">
        <w:rPr>
          <w:rStyle w:val="charItals"/>
        </w:rPr>
        <w:t>Note</w:t>
      </w:r>
      <w:r w:rsidRPr="006B29D8">
        <w:tab/>
        <w:t xml:space="preserve">For laws about appointments, see the </w:t>
      </w:r>
      <w:hyperlink r:id="rId39" w:tooltip="A2001-14" w:history="1">
        <w:r w:rsidR="008E080E" w:rsidRPr="006B29D8">
          <w:rPr>
            <w:rStyle w:val="charCitHyperlinkAbbrev"/>
          </w:rPr>
          <w:t>Legislation Act</w:t>
        </w:r>
      </w:hyperlink>
      <w:r w:rsidRPr="006B29D8">
        <w:t>, pt</w:t>
      </w:r>
      <w:r w:rsidR="006C47C5" w:rsidRPr="006B29D8">
        <w:t xml:space="preserve"> </w:t>
      </w:r>
      <w:r w:rsidRPr="006B29D8">
        <w:t>19.3.</w:t>
      </w:r>
    </w:p>
    <w:p w14:paraId="1B85F7F1" w14:textId="77777777" w:rsidR="00ED0C57" w:rsidRPr="006B29D8" w:rsidRDefault="00ED0C57" w:rsidP="00ED0C57">
      <w:pPr>
        <w:pStyle w:val="aExplanHeading"/>
      </w:pPr>
      <w:r w:rsidRPr="006B29D8">
        <w:t>Explanatory note</w:t>
      </w:r>
    </w:p>
    <w:p w14:paraId="7D859AC9" w14:textId="77777777" w:rsidR="00ED0C57" w:rsidRPr="006B29D8" w:rsidRDefault="00ED0C57" w:rsidP="00ED0C57">
      <w:pPr>
        <w:pStyle w:val="aExplanText"/>
      </w:pPr>
      <w:r w:rsidRPr="006B29D8">
        <w:t>This amendment updates standard notes in line with current legislative drafting practice.</w:t>
      </w:r>
    </w:p>
    <w:p w14:paraId="5790ED74" w14:textId="549CCD80" w:rsidR="00183463" w:rsidRPr="00370538" w:rsidRDefault="00370538" w:rsidP="00370538">
      <w:pPr>
        <w:pStyle w:val="Sched-Part"/>
      </w:pPr>
      <w:bookmarkStart w:id="74" w:name="_Toc207200743"/>
      <w:r w:rsidRPr="00370538">
        <w:rPr>
          <w:rStyle w:val="CharPartNo"/>
        </w:rPr>
        <w:lastRenderedPageBreak/>
        <w:t>Part 2.4</w:t>
      </w:r>
      <w:r w:rsidRPr="006B29D8">
        <w:tab/>
      </w:r>
      <w:r w:rsidR="00EE22FA" w:rsidRPr="00370538">
        <w:rPr>
          <w:rStyle w:val="CharPartText"/>
        </w:rPr>
        <w:t>Workers Compensation Act 1951</w:t>
      </w:r>
      <w:bookmarkEnd w:id="74"/>
    </w:p>
    <w:p w14:paraId="453E7AE6" w14:textId="2E1AC8F9" w:rsidR="00EE22FA" w:rsidRPr="006B29D8" w:rsidRDefault="00370538" w:rsidP="00370538">
      <w:pPr>
        <w:pStyle w:val="ShadedSchClause"/>
      </w:pPr>
      <w:bookmarkStart w:id="75" w:name="_Toc207200744"/>
      <w:r w:rsidRPr="00370538">
        <w:rPr>
          <w:rStyle w:val="CharSectNo"/>
        </w:rPr>
        <w:t>[2.8]</w:t>
      </w:r>
      <w:r w:rsidRPr="006B29D8">
        <w:tab/>
      </w:r>
      <w:r w:rsidR="00EE22FA" w:rsidRPr="006B29D8">
        <w:t>Section 166C, note</w:t>
      </w:r>
      <w:r w:rsidR="00FF2906" w:rsidRPr="006B29D8">
        <w:t>s</w:t>
      </w:r>
      <w:r w:rsidR="00EE22FA" w:rsidRPr="006B29D8">
        <w:t xml:space="preserve"> </w:t>
      </w:r>
      <w:r w:rsidR="004A5C37" w:rsidRPr="006B29D8">
        <w:t>etc</w:t>
      </w:r>
      <w:bookmarkEnd w:id="75"/>
    </w:p>
    <w:p w14:paraId="7D1FB14F" w14:textId="3AB34824" w:rsidR="004A5C37" w:rsidRPr="006B29D8" w:rsidRDefault="004A5C37" w:rsidP="004A5C37">
      <w:pPr>
        <w:pStyle w:val="direction"/>
      </w:pPr>
      <w:r w:rsidRPr="006B29D8">
        <w:t>omit the following notes</w:t>
      </w:r>
    </w:p>
    <w:p w14:paraId="4D91BDD7" w14:textId="7DCC9FC8" w:rsidR="004A5C37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r w:rsidR="004A5C37" w:rsidRPr="006B29D8">
        <w:t>section 166C, notes</w:t>
      </w:r>
    </w:p>
    <w:p w14:paraId="3003AD3E" w14:textId="01A3A3B9" w:rsidR="004A5C37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r w:rsidR="004A5C37" w:rsidRPr="006B29D8">
        <w:t>section 188 (1), notes</w:t>
      </w:r>
    </w:p>
    <w:p w14:paraId="30787868" w14:textId="6D84259B" w:rsidR="004A5C37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r w:rsidR="004A5C37" w:rsidRPr="006B29D8">
        <w:t>section 201 (1), note</w:t>
      </w:r>
    </w:p>
    <w:p w14:paraId="43F278B7" w14:textId="2BABE93E" w:rsidR="00EE22FA" w:rsidRPr="006B29D8" w:rsidRDefault="00EE22FA" w:rsidP="00EE22FA">
      <w:pPr>
        <w:pStyle w:val="direction"/>
      </w:pPr>
      <w:r w:rsidRPr="006B29D8">
        <w:t>substitute</w:t>
      </w:r>
    </w:p>
    <w:p w14:paraId="0C03DFD1" w14:textId="3C273434" w:rsidR="00EE22FA" w:rsidRPr="006B29D8" w:rsidRDefault="00EE22FA">
      <w:pPr>
        <w:pStyle w:val="aNote"/>
      </w:pPr>
      <w:r w:rsidRPr="006B29D8">
        <w:rPr>
          <w:rStyle w:val="charItals"/>
        </w:rPr>
        <w:t>Note</w:t>
      </w:r>
      <w:r w:rsidRPr="006B29D8">
        <w:tab/>
        <w:t xml:space="preserve">For laws about appointments, see the </w:t>
      </w:r>
      <w:hyperlink r:id="rId40" w:tooltip="A2001-14" w:history="1">
        <w:r w:rsidR="008E080E" w:rsidRPr="006B29D8">
          <w:rPr>
            <w:rStyle w:val="charCitHyperlinkAbbrev"/>
          </w:rPr>
          <w:t>Legislation Act</w:t>
        </w:r>
      </w:hyperlink>
      <w:r w:rsidRPr="006B29D8">
        <w:t>, pt</w:t>
      </w:r>
      <w:r w:rsidR="006C47C5" w:rsidRPr="006B29D8">
        <w:t xml:space="preserve"> </w:t>
      </w:r>
      <w:r w:rsidRPr="006B29D8">
        <w:t>19.3.</w:t>
      </w:r>
    </w:p>
    <w:p w14:paraId="6DB7BD35" w14:textId="3CE2857A" w:rsidR="00EE5E94" w:rsidRPr="006B29D8" w:rsidRDefault="00EE5E94" w:rsidP="00EE5E94">
      <w:pPr>
        <w:pStyle w:val="aExplanHeading"/>
      </w:pPr>
      <w:r w:rsidRPr="006B29D8">
        <w:t>Explanatory note</w:t>
      </w:r>
    </w:p>
    <w:p w14:paraId="59124239" w14:textId="739E9331" w:rsidR="00EE5E94" w:rsidRPr="006B29D8" w:rsidRDefault="00EE5E94" w:rsidP="00EE5E94">
      <w:pPr>
        <w:pStyle w:val="aExplanText"/>
      </w:pPr>
      <w:r w:rsidRPr="006B29D8">
        <w:t>This amendment updates standard notes in line with current legislative drafting practice.</w:t>
      </w:r>
    </w:p>
    <w:p w14:paraId="3FEFDC32" w14:textId="0F8B4935" w:rsidR="00EE5E94" w:rsidRPr="006B29D8" w:rsidRDefault="00370538" w:rsidP="00370538">
      <w:pPr>
        <w:pStyle w:val="ShadedSchClause"/>
      </w:pPr>
      <w:bookmarkStart w:id="76" w:name="_Toc207200745"/>
      <w:r w:rsidRPr="00370538">
        <w:rPr>
          <w:rStyle w:val="CharSectNo"/>
        </w:rPr>
        <w:t>[2.9]</w:t>
      </w:r>
      <w:r w:rsidRPr="006B29D8">
        <w:tab/>
      </w:r>
      <w:r w:rsidR="00EE5E94" w:rsidRPr="006B29D8">
        <w:t>Section 202 (1), 1st dot point</w:t>
      </w:r>
      <w:bookmarkEnd w:id="76"/>
    </w:p>
    <w:p w14:paraId="6FDF4CFE" w14:textId="77777777" w:rsidR="00EE5E94" w:rsidRPr="006B29D8" w:rsidRDefault="00EE5E94" w:rsidP="00EE5E94">
      <w:pPr>
        <w:pStyle w:val="direction"/>
      </w:pPr>
      <w:r w:rsidRPr="006B29D8">
        <w:t>substitute</w:t>
      </w:r>
    </w:p>
    <w:p w14:paraId="64999C84" w14:textId="15B9AF6B" w:rsidR="00EE5E94" w:rsidRPr="006B29D8" w:rsidRDefault="00370538" w:rsidP="00370538">
      <w:pPr>
        <w:pStyle w:val="Amainbullet"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r w:rsidR="00EE5E94" w:rsidRPr="006B29D8">
        <w:t>section 147A (Compulsory insurance—offences)</w:t>
      </w:r>
    </w:p>
    <w:p w14:paraId="4DC955DD" w14:textId="34A1A803" w:rsidR="00EE5E94" w:rsidRPr="006B29D8" w:rsidRDefault="00EE5E94" w:rsidP="00EE5E94">
      <w:pPr>
        <w:pStyle w:val="aExplanHeading"/>
      </w:pPr>
      <w:r w:rsidRPr="006B29D8">
        <w:t>Explanatory note</w:t>
      </w:r>
    </w:p>
    <w:p w14:paraId="6CD1B9AA" w14:textId="11F0BC1D" w:rsidR="00EE5E94" w:rsidRPr="006B29D8" w:rsidRDefault="00EE5E94" w:rsidP="00EE5E94">
      <w:pPr>
        <w:pStyle w:val="aExplanText"/>
      </w:pPr>
      <w:r w:rsidRPr="006B29D8">
        <w:t>This amendment corrects a cross-reference.</w:t>
      </w:r>
    </w:p>
    <w:p w14:paraId="517C3683" w14:textId="3067B5E4" w:rsidR="00EE22FA" w:rsidRPr="00370538" w:rsidRDefault="00370538" w:rsidP="00370538">
      <w:pPr>
        <w:pStyle w:val="Sched-Part"/>
      </w:pPr>
      <w:bookmarkStart w:id="77" w:name="_Toc207200746"/>
      <w:r w:rsidRPr="00370538">
        <w:rPr>
          <w:rStyle w:val="CharPartNo"/>
        </w:rPr>
        <w:lastRenderedPageBreak/>
        <w:t>Part 2.5</w:t>
      </w:r>
      <w:r w:rsidRPr="006B29D8">
        <w:tab/>
      </w:r>
      <w:r w:rsidR="00DE3FCC" w:rsidRPr="00370538">
        <w:rPr>
          <w:rStyle w:val="CharPartText"/>
        </w:rPr>
        <w:t>Work Health and Safety Act 2011</w:t>
      </w:r>
      <w:bookmarkEnd w:id="77"/>
    </w:p>
    <w:p w14:paraId="71B29284" w14:textId="2B8BE1F1" w:rsidR="00DE3FCC" w:rsidRPr="006B29D8" w:rsidRDefault="00370538" w:rsidP="00370538">
      <w:pPr>
        <w:pStyle w:val="ShadedSchClause"/>
      </w:pPr>
      <w:bookmarkStart w:id="78" w:name="_Toc207200747"/>
      <w:r w:rsidRPr="00370538">
        <w:rPr>
          <w:rStyle w:val="CharSectNo"/>
        </w:rPr>
        <w:t>[2.10]</w:t>
      </w:r>
      <w:r w:rsidRPr="006B29D8">
        <w:tab/>
      </w:r>
      <w:r w:rsidR="00DE3FCC" w:rsidRPr="006B29D8">
        <w:t>Section 156, notes etc</w:t>
      </w:r>
      <w:bookmarkEnd w:id="78"/>
    </w:p>
    <w:p w14:paraId="547045C2" w14:textId="445D5BF2" w:rsidR="00DE3FCC" w:rsidRPr="006B29D8" w:rsidRDefault="00DE3FCC" w:rsidP="00DE3FCC">
      <w:pPr>
        <w:pStyle w:val="direction"/>
      </w:pPr>
      <w:r w:rsidRPr="006B29D8">
        <w:t>omit the following notes</w:t>
      </w:r>
    </w:p>
    <w:p w14:paraId="78617376" w14:textId="388D9B4E" w:rsidR="00DE3FCC" w:rsidRPr="006B29D8" w:rsidRDefault="00370538" w:rsidP="00370538">
      <w:pPr>
        <w:pStyle w:val="Amainbullet"/>
        <w:keepNext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r w:rsidR="00FB1E24" w:rsidRPr="006B29D8">
        <w:t>section 156, notes</w:t>
      </w:r>
    </w:p>
    <w:p w14:paraId="16C21B65" w14:textId="0CDA94DD" w:rsidR="00FB1E24" w:rsidRPr="006B29D8" w:rsidRDefault="00370538" w:rsidP="00370538">
      <w:pPr>
        <w:pStyle w:val="Amainbullet"/>
        <w:keepNext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r w:rsidR="00FB1E24" w:rsidRPr="006B29D8">
        <w:t>schedule 2, section 2.21 (1), notes</w:t>
      </w:r>
    </w:p>
    <w:p w14:paraId="21F30181" w14:textId="25B7879F" w:rsidR="00FB1E24" w:rsidRPr="006B29D8" w:rsidRDefault="00370538" w:rsidP="00370538">
      <w:pPr>
        <w:pStyle w:val="Amainbullet"/>
        <w:keepNext/>
        <w:tabs>
          <w:tab w:val="left" w:pos="1500"/>
        </w:tabs>
      </w:pPr>
      <w:r w:rsidRPr="006B29D8">
        <w:rPr>
          <w:rFonts w:ascii="Symbol" w:hAnsi="Symbol"/>
          <w:sz w:val="20"/>
        </w:rPr>
        <w:t></w:t>
      </w:r>
      <w:r w:rsidRPr="006B29D8">
        <w:rPr>
          <w:rFonts w:ascii="Symbol" w:hAnsi="Symbol"/>
          <w:sz w:val="20"/>
        </w:rPr>
        <w:tab/>
      </w:r>
      <w:r w:rsidR="00FB1E24" w:rsidRPr="006B29D8">
        <w:t>schedule 2, section 2.31 (1), notes</w:t>
      </w:r>
    </w:p>
    <w:p w14:paraId="0DD88438" w14:textId="2799DAEC" w:rsidR="00DE3FCC" w:rsidRPr="006B29D8" w:rsidRDefault="00DE3FCC" w:rsidP="005869BB">
      <w:pPr>
        <w:pStyle w:val="direction"/>
      </w:pPr>
      <w:r w:rsidRPr="006B29D8">
        <w:t>substitute</w:t>
      </w:r>
    </w:p>
    <w:p w14:paraId="672EC5B3" w14:textId="79EFE251" w:rsidR="00DE3FCC" w:rsidRPr="006B29D8" w:rsidRDefault="00DE3FCC" w:rsidP="005869BB">
      <w:pPr>
        <w:pStyle w:val="aNote"/>
        <w:keepNext/>
      </w:pPr>
      <w:r w:rsidRPr="006B29D8">
        <w:rPr>
          <w:rStyle w:val="charItals"/>
        </w:rPr>
        <w:t>Note</w:t>
      </w:r>
      <w:r w:rsidRPr="006B29D8">
        <w:tab/>
        <w:t xml:space="preserve">For laws about appointments, see the </w:t>
      </w:r>
      <w:hyperlink r:id="rId41" w:tooltip="A2001-14" w:history="1">
        <w:r w:rsidR="008E080E" w:rsidRPr="006B29D8">
          <w:rPr>
            <w:rStyle w:val="charCitHyperlinkAbbrev"/>
          </w:rPr>
          <w:t>Legislation Act</w:t>
        </w:r>
      </w:hyperlink>
      <w:r w:rsidRPr="006B29D8">
        <w:t>, pt</w:t>
      </w:r>
      <w:r w:rsidR="006C47C5" w:rsidRPr="006B29D8">
        <w:t xml:space="preserve"> </w:t>
      </w:r>
      <w:r w:rsidRPr="006B29D8">
        <w:t>19.3.</w:t>
      </w:r>
    </w:p>
    <w:p w14:paraId="096275F8" w14:textId="77777777" w:rsidR="00AC7706" w:rsidRPr="006B29D8" w:rsidRDefault="00AC7706" w:rsidP="00AC7706">
      <w:pPr>
        <w:pStyle w:val="aExplanHeading"/>
      </w:pPr>
      <w:r w:rsidRPr="006B29D8">
        <w:t>Explanatory note</w:t>
      </w:r>
    </w:p>
    <w:p w14:paraId="21545D4C" w14:textId="77777777" w:rsidR="00AC7706" w:rsidRPr="006B29D8" w:rsidRDefault="00AC7706" w:rsidP="00AC7706">
      <w:pPr>
        <w:pStyle w:val="aExplanText"/>
      </w:pPr>
      <w:r w:rsidRPr="006B29D8">
        <w:t>This amendment updates standard notes in line with current legislative drafting practice.</w:t>
      </w:r>
    </w:p>
    <w:p w14:paraId="6B7350E8" w14:textId="15DBA0E1" w:rsidR="00DE3FCC" w:rsidRPr="006B29D8" w:rsidRDefault="00370538" w:rsidP="00370538">
      <w:pPr>
        <w:pStyle w:val="ShadedSchClause"/>
      </w:pPr>
      <w:bookmarkStart w:id="79" w:name="_Toc207200748"/>
      <w:r w:rsidRPr="00370538">
        <w:rPr>
          <w:rStyle w:val="CharSectNo"/>
        </w:rPr>
        <w:t>[2.11]</w:t>
      </w:r>
      <w:r w:rsidRPr="006B29D8">
        <w:tab/>
      </w:r>
      <w:r w:rsidR="00FB1E24" w:rsidRPr="006B29D8">
        <w:t>Schedule 2, section 2.31 (3), note</w:t>
      </w:r>
      <w:bookmarkEnd w:id="79"/>
    </w:p>
    <w:p w14:paraId="48993E9D" w14:textId="1916476E" w:rsidR="00DE3FCC" w:rsidRPr="006B29D8" w:rsidRDefault="00AC7706" w:rsidP="00FB1E24">
      <w:pPr>
        <w:pStyle w:val="direction"/>
      </w:pPr>
      <w:r w:rsidRPr="006B29D8">
        <w:t>o</w:t>
      </w:r>
      <w:r w:rsidR="00FB1E24" w:rsidRPr="006B29D8">
        <w:t>mit</w:t>
      </w:r>
    </w:p>
    <w:p w14:paraId="2A8D5579" w14:textId="77777777" w:rsidR="00AC7706" w:rsidRPr="006B29D8" w:rsidRDefault="00AC7706" w:rsidP="00AC7706">
      <w:pPr>
        <w:pStyle w:val="aExplanHeading"/>
      </w:pPr>
      <w:r w:rsidRPr="006B29D8">
        <w:t>Explanatory note</w:t>
      </w:r>
    </w:p>
    <w:p w14:paraId="0B14CC17" w14:textId="4E01C7A9" w:rsidR="00AC7706" w:rsidRPr="006B29D8" w:rsidRDefault="00AC7706" w:rsidP="00AC7706">
      <w:pPr>
        <w:pStyle w:val="aExplanText"/>
      </w:pPr>
      <w:r w:rsidRPr="006B29D8">
        <w:t xml:space="preserve">This amendment </w:t>
      </w:r>
      <w:r w:rsidR="00F63669" w:rsidRPr="006B29D8">
        <w:t>omits a note</w:t>
      </w:r>
      <w:r w:rsidRPr="006B29D8">
        <w:t xml:space="preserve"> in line with current legislative drafting practice.</w:t>
      </w:r>
    </w:p>
    <w:p w14:paraId="487E2BBA" w14:textId="77777777" w:rsidR="00370538" w:rsidRDefault="00370538">
      <w:pPr>
        <w:pStyle w:val="03Schedule"/>
        <w:sectPr w:rsidR="00370538" w:rsidSect="00370538">
          <w:headerReference w:type="even" r:id="rId42"/>
          <w:headerReference w:type="default" r:id="rId43"/>
          <w:footerReference w:type="even" r:id="rId44"/>
          <w:footerReference w:type="default" r:id="rId45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5454E551" w14:textId="77777777" w:rsidR="00183463" w:rsidRPr="006B29D8" w:rsidRDefault="00183463">
      <w:pPr>
        <w:pStyle w:val="EndNoteHeading"/>
      </w:pPr>
      <w:r w:rsidRPr="006B29D8">
        <w:lastRenderedPageBreak/>
        <w:t>Endnotes</w:t>
      </w:r>
    </w:p>
    <w:p w14:paraId="57EE481D" w14:textId="77777777" w:rsidR="00183463" w:rsidRPr="006B29D8" w:rsidRDefault="00183463">
      <w:pPr>
        <w:pStyle w:val="EndNoteSubHeading"/>
      </w:pPr>
      <w:r w:rsidRPr="006B29D8">
        <w:t>1</w:t>
      </w:r>
      <w:r w:rsidRPr="006B29D8">
        <w:tab/>
        <w:t>Presentation speech</w:t>
      </w:r>
    </w:p>
    <w:p w14:paraId="6B516BC1" w14:textId="4944570E" w:rsidR="00183463" w:rsidRPr="006B29D8" w:rsidRDefault="00183463">
      <w:pPr>
        <w:pStyle w:val="EndNoteText"/>
      </w:pPr>
      <w:r w:rsidRPr="006B29D8">
        <w:tab/>
        <w:t>Presentation speech made in the Legislative Assembly on</w:t>
      </w:r>
      <w:r w:rsidR="00327A13">
        <w:t xml:space="preserve"> 2 September 2025.</w:t>
      </w:r>
    </w:p>
    <w:p w14:paraId="2D9FC88B" w14:textId="77777777" w:rsidR="00183463" w:rsidRPr="006B29D8" w:rsidRDefault="00183463">
      <w:pPr>
        <w:pStyle w:val="EndNoteSubHeading"/>
      </w:pPr>
      <w:r w:rsidRPr="006B29D8">
        <w:t>2</w:t>
      </w:r>
      <w:r w:rsidRPr="006B29D8">
        <w:tab/>
        <w:t>Notification</w:t>
      </w:r>
    </w:p>
    <w:p w14:paraId="65DD5908" w14:textId="25126AFF" w:rsidR="00183463" w:rsidRPr="006B29D8" w:rsidRDefault="00183463">
      <w:pPr>
        <w:pStyle w:val="EndNoteText"/>
      </w:pPr>
      <w:r w:rsidRPr="006B29D8">
        <w:tab/>
        <w:t xml:space="preserve">Notified under the </w:t>
      </w:r>
      <w:hyperlink r:id="rId46" w:tooltip="A2001-14" w:history="1">
        <w:r w:rsidR="008E080E" w:rsidRPr="006B29D8">
          <w:rPr>
            <w:rStyle w:val="charCitHyperlinkAbbrev"/>
          </w:rPr>
          <w:t>Legislation Act</w:t>
        </w:r>
      </w:hyperlink>
      <w:r w:rsidRPr="006B29D8">
        <w:t xml:space="preserve"> on</w:t>
      </w:r>
      <w:r w:rsidRPr="006B29D8">
        <w:tab/>
      </w:r>
      <w:r w:rsidR="00931CFA">
        <w:rPr>
          <w:noProof/>
        </w:rPr>
        <w:t>2025</w:t>
      </w:r>
      <w:r w:rsidRPr="006B29D8">
        <w:t>.</w:t>
      </w:r>
    </w:p>
    <w:p w14:paraId="77AD6E41" w14:textId="77777777" w:rsidR="00183463" w:rsidRPr="006B29D8" w:rsidRDefault="00183463">
      <w:pPr>
        <w:pStyle w:val="EndNoteSubHeading"/>
      </w:pPr>
      <w:r w:rsidRPr="006B29D8">
        <w:t>3</w:t>
      </w:r>
      <w:r w:rsidRPr="006B29D8">
        <w:tab/>
        <w:t>Republications of amended laws</w:t>
      </w:r>
    </w:p>
    <w:p w14:paraId="536BB876" w14:textId="583C7818" w:rsidR="00183463" w:rsidRPr="006B29D8" w:rsidRDefault="00183463">
      <w:pPr>
        <w:pStyle w:val="EndNoteText"/>
      </w:pPr>
      <w:r w:rsidRPr="006B29D8">
        <w:tab/>
        <w:t xml:space="preserve">For the latest republication of amended laws, see </w:t>
      </w:r>
      <w:hyperlink r:id="rId47" w:history="1">
        <w:r w:rsidR="008E080E" w:rsidRPr="006B29D8">
          <w:rPr>
            <w:rStyle w:val="charCitHyperlinkAbbrev"/>
          </w:rPr>
          <w:t>www.legislation.act.gov.au</w:t>
        </w:r>
      </w:hyperlink>
      <w:r w:rsidRPr="006B29D8">
        <w:t>.</w:t>
      </w:r>
    </w:p>
    <w:p w14:paraId="669062A7" w14:textId="77777777" w:rsidR="00183463" w:rsidRPr="006B29D8" w:rsidRDefault="00183463">
      <w:pPr>
        <w:pStyle w:val="N-line2"/>
      </w:pPr>
    </w:p>
    <w:p w14:paraId="1F6B7315" w14:textId="77777777" w:rsidR="00370538" w:rsidRDefault="00370538">
      <w:pPr>
        <w:pStyle w:val="05EndNote"/>
        <w:sectPr w:rsidR="00370538" w:rsidSect="00472184">
          <w:headerReference w:type="even" r:id="rId48"/>
          <w:headerReference w:type="default" r:id="rId49"/>
          <w:footerReference w:type="even" r:id="rId50"/>
          <w:footerReference w:type="default" r:id="rId5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97BAC69" w14:textId="77777777" w:rsidR="002F18F3" w:rsidRDefault="002F18F3" w:rsidP="00183463"/>
    <w:p w14:paraId="7CC025E8" w14:textId="77777777" w:rsidR="00370538" w:rsidRDefault="00370538" w:rsidP="00370538"/>
    <w:p w14:paraId="52495656" w14:textId="77777777" w:rsidR="00370538" w:rsidRDefault="00370538" w:rsidP="00370538"/>
    <w:p w14:paraId="2F22AAF5" w14:textId="77777777" w:rsidR="00370538" w:rsidRDefault="00370538" w:rsidP="00370538"/>
    <w:p w14:paraId="07534697" w14:textId="77777777" w:rsidR="00370538" w:rsidRDefault="00370538" w:rsidP="00370538">
      <w:pPr>
        <w:suppressLineNumbers/>
      </w:pPr>
    </w:p>
    <w:p w14:paraId="2D0C56D5" w14:textId="77777777" w:rsidR="00370538" w:rsidRDefault="00370538" w:rsidP="00370538">
      <w:pPr>
        <w:suppressLineNumbers/>
      </w:pPr>
    </w:p>
    <w:p w14:paraId="4411E986" w14:textId="77777777" w:rsidR="00370538" w:rsidRDefault="00370538" w:rsidP="00370538">
      <w:pPr>
        <w:suppressLineNumbers/>
      </w:pPr>
    </w:p>
    <w:p w14:paraId="5C01812B" w14:textId="77777777" w:rsidR="00370538" w:rsidRDefault="00370538" w:rsidP="00370538">
      <w:pPr>
        <w:suppressLineNumbers/>
      </w:pPr>
    </w:p>
    <w:p w14:paraId="6793FE31" w14:textId="77777777" w:rsidR="00370538" w:rsidRDefault="00370538" w:rsidP="00370538">
      <w:pPr>
        <w:suppressLineNumbers/>
      </w:pPr>
    </w:p>
    <w:p w14:paraId="0ABE4621" w14:textId="77777777" w:rsidR="00370538" w:rsidRDefault="00370538" w:rsidP="00370538">
      <w:pPr>
        <w:suppressLineNumbers/>
      </w:pPr>
    </w:p>
    <w:p w14:paraId="33C1FAC3" w14:textId="77777777" w:rsidR="00370538" w:rsidRDefault="00370538" w:rsidP="00370538">
      <w:pPr>
        <w:suppressLineNumbers/>
      </w:pPr>
    </w:p>
    <w:p w14:paraId="177EF2F0" w14:textId="77777777" w:rsidR="00370538" w:rsidRDefault="00370538" w:rsidP="00370538">
      <w:pPr>
        <w:suppressLineNumbers/>
      </w:pPr>
    </w:p>
    <w:p w14:paraId="6EAB0C53" w14:textId="77777777" w:rsidR="00370538" w:rsidRDefault="00370538" w:rsidP="00370538">
      <w:pPr>
        <w:suppressLineNumbers/>
      </w:pPr>
    </w:p>
    <w:p w14:paraId="56C2379A" w14:textId="77777777" w:rsidR="00370538" w:rsidRDefault="00370538" w:rsidP="00370538">
      <w:pPr>
        <w:suppressLineNumbers/>
      </w:pPr>
    </w:p>
    <w:p w14:paraId="58C5BE70" w14:textId="77777777" w:rsidR="00370538" w:rsidRDefault="00370538" w:rsidP="00370538">
      <w:pPr>
        <w:suppressLineNumbers/>
      </w:pPr>
    </w:p>
    <w:p w14:paraId="4E87488F" w14:textId="77777777" w:rsidR="00370538" w:rsidRDefault="00370538" w:rsidP="00370538">
      <w:pPr>
        <w:suppressLineNumbers/>
      </w:pPr>
    </w:p>
    <w:p w14:paraId="4CE7714C" w14:textId="77777777" w:rsidR="00370538" w:rsidRDefault="00370538" w:rsidP="00370538">
      <w:pPr>
        <w:suppressLineNumbers/>
      </w:pPr>
    </w:p>
    <w:p w14:paraId="1B24AF31" w14:textId="77777777" w:rsidR="00370538" w:rsidRDefault="00370538" w:rsidP="00370538">
      <w:pPr>
        <w:suppressLineNumbers/>
      </w:pPr>
    </w:p>
    <w:p w14:paraId="65742840" w14:textId="77777777" w:rsidR="00370538" w:rsidRDefault="00370538" w:rsidP="00370538">
      <w:pPr>
        <w:suppressLineNumbers/>
      </w:pPr>
    </w:p>
    <w:p w14:paraId="0B4DDB49" w14:textId="77777777" w:rsidR="00370538" w:rsidRDefault="00370538" w:rsidP="00370538">
      <w:pPr>
        <w:suppressLineNumbers/>
      </w:pPr>
    </w:p>
    <w:p w14:paraId="36691FB0" w14:textId="77777777" w:rsidR="00370538" w:rsidRDefault="00370538" w:rsidP="00370538">
      <w:pPr>
        <w:suppressLineNumbers/>
      </w:pPr>
    </w:p>
    <w:p w14:paraId="3D898FC8" w14:textId="77777777" w:rsidR="00370538" w:rsidRDefault="00370538" w:rsidP="00370538">
      <w:pPr>
        <w:suppressLineNumbers/>
      </w:pPr>
    </w:p>
    <w:p w14:paraId="6210119B" w14:textId="77777777" w:rsidR="00370538" w:rsidRDefault="00370538" w:rsidP="00370538">
      <w:pPr>
        <w:suppressLineNumbers/>
      </w:pPr>
    </w:p>
    <w:p w14:paraId="711C5375" w14:textId="7EEC3FB4" w:rsidR="00370538" w:rsidRDefault="00370538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370538" w:rsidSect="00370538">
      <w:headerReference w:type="even" r:id="rId52"/>
      <w:headerReference w:type="default" r:id="rId53"/>
      <w:headerReference w:type="first" r:id="rId5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F4A6" w14:textId="77777777" w:rsidR="00CE30D4" w:rsidRDefault="00CE30D4">
      <w:r>
        <w:separator/>
      </w:r>
    </w:p>
  </w:endnote>
  <w:endnote w:type="continuationSeparator" w:id="0">
    <w:p w14:paraId="766F1036" w14:textId="77777777" w:rsidR="00CE30D4" w:rsidRDefault="00CE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8E8F" w14:textId="77777777" w:rsidR="00370538" w:rsidRDefault="0037053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370538" w:rsidRPr="00CB3D59" w14:paraId="2F7134B3" w14:textId="77777777">
      <w:tc>
        <w:tcPr>
          <w:tcW w:w="845" w:type="pct"/>
        </w:tcPr>
        <w:p w14:paraId="1399DB2B" w14:textId="77777777" w:rsidR="00370538" w:rsidRPr="0097645D" w:rsidRDefault="0037053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079C496" w14:textId="75016E06" w:rsidR="00370538" w:rsidRPr="00783A18" w:rsidRDefault="00327A1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6B29D8">
              <w:t>Workplace Legislation Amendment Bill</w:t>
            </w:r>
            <w:r>
              <w:t> </w:t>
            </w:r>
            <w:r w:rsidRPr="006B29D8">
              <w:t>2025 (No 2)</w:t>
            </w:r>
          </w:fldSimple>
        </w:p>
        <w:p w14:paraId="2A77584E" w14:textId="6EFCF3A2" w:rsidR="00370538" w:rsidRPr="00783A18" w:rsidRDefault="0037053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27A1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27A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27A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F836973" w14:textId="237555B5" w:rsidR="00370538" w:rsidRPr="00743346" w:rsidRDefault="0037053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4FF7B4A" w14:textId="1C230F9E" w:rsidR="00370538" w:rsidRPr="00996868" w:rsidRDefault="00370538" w:rsidP="00996868">
    <w:pPr>
      <w:pStyle w:val="Status"/>
      <w:rPr>
        <w:rFonts w:cs="Arial"/>
      </w:rPr>
    </w:pPr>
    <w:r w:rsidRPr="00996868">
      <w:rPr>
        <w:rFonts w:cs="Arial"/>
      </w:rPr>
      <w:fldChar w:fldCharType="begin"/>
    </w:r>
    <w:r w:rsidRPr="00996868">
      <w:rPr>
        <w:rFonts w:cs="Arial"/>
      </w:rPr>
      <w:instrText xml:space="preserve"> DOCPROPERTY "Status" </w:instrText>
    </w:r>
    <w:r w:rsidRPr="00996868">
      <w:rPr>
        <w:rFonts w:cs="Arial"/>
      </w:rPr>
      <w:fldChar w:fldCharType="separate"/>
    </w:r>
    <w:r w:rsidR="00327A13" w:rsidRPr="00996868">
      <w:rPr>
        <w:rFonts w:cs="Arial"/>
      </w:rPr>
      <w:t xml:space="preserve"> </w:t>
    </w:r>
    <w:r w:rsidRPr="00996868">
      <w:rPr>
        <w:rFonts w:cs="Arial"/>
      </w:rPr>
      <w:fldChar w:fldCharType="end"/>
    </w:r>
    <w:r w:rsidR="00996868" w:rsidRPr="00996868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1213" w14:textId="77777777" w:rsidR="00370538" w:rsidRDefault="0037053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70538" w14:paraId="5DEABD32" w14:textId="77777777">
      <w:trPr>
        <w:jc w:val="center"/>
      </w:trPr>
      <w:tc>
        <w:tcPr>
          <w:tcW w:w="1553" w:type="dxa"/>
        </w:tcPr>
        <w:p w14:paraId="287F4D3A" w14:textId="70669175" w:rsidR="00370538" w:rsidRDefault="0037053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27A13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6C27A52" w14:textId="535FA88D" w:rsidR="00370538" w:rsidRDefault="0037053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27A13" w:rsidRPr="006B29D8">
            <w:t>Workplace Legislation Amendment Bill</w:t>
          </w:r>
          <w:r w:rsidR="00327A13">
            <w:t> </w:t>
          </w:r>
          <w:r w:rsidR="00327A13" w:rsidRPr="006B29D8">
            <w:t>2025 (No 2)</w:t>
          </w:r>
          <w:r>
            <w:fldChar w:fldCharType="end"/>
          </w:r>
        </w:p>
        <w:p w14:paraId="5DDB63DE" w14:textId="70F8B4CC" w:rsidR="00370538" w:rsidRDefault="0037053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27A1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27A1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27A13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49331CF" w14:textId="77777777" w:rsidR="00370538" w:rsidRDefault="0037053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1690FB1" w14:textId="56C06EDE" w:rsidR="00370538" w:rsidRPr="00996868" w:rsidRDefault="00370538" w:rsidP="00996868">
    <w:pPr>
      <w:pStyle w:val="Status"/>
      <w:rPr>
        <w:rFonts w:cs="Arial"/>
      </w:rPr>
    </w:pPr>
    <w:r w:rsidRPr="00996868">
      <w:rPr>
        <w:rFonts w:cs="Arial"/>
      </w:rPr>
      <w:fldChar w:fldCharType="begin"/>
    </w:r>
    <w:r w:rsidRPr="00996868">
      <w:rPr>
        <w:rFonts w:cs="Arial"/>
      </w:rPr>
      <w:instrText xml:space="preserve"> DOCPROPERTY "Status" </w:instrText>
    </w:r>
    <w:r w:rsidRPr="00996868">
      <w:rPr>
        <w:rFonts w:cs="Arial"/>
      </w:rPr>
      <w:fldChar w:fldCharType="separate"/>
    </w:r>
    <w:r w:rsidR="00327A13" w:rsidRPr="00996868">
      <w:rPr>
        <w:rFonts w:cs="Arial"/>
      </w:rPr>
      <w:t xml:space="preserve"> </w:t>
    </w:r>
    <w:r w:rsidRPr="00996868">
      <w:rPr>
        <w:rFonts w:cs="Arial"/>
      </w:rPr>
      <w:fldChar w:fldCharType="end"/>
    </w:r>
    <w:r w:rsidR="00996868" w:rsidRPr="0099686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10AA" w14:textId="77777777" w:rsidR="00370538" w:rsidRDefault="0037053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370538" w:rsidRPr="00CB3D59" w14:paraId="55E62F55" w14:textId="77777777">
      <w:tc>
        <w:tcPr>
          <w:tcW w:w="1060" w:type="pct"/>
        </w:tcPr>
        <w:p w14:paraId="5178459D" w14:textId="1CE18AB3" w:rsidR="00370538" w:rsidRPr="00743346" w:rsidRDefault="0037053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E137B9E" w14:textId="43BC0637" w:rsidR="00370538" w:rsidRPr="00783A18" w:rsidRDefault="00327A1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6B29D8">
              <w:t>Workplace Legislation Amendment Bill</w:t>
            </w:r>
            <w:r>
              <w:t> </w:t>
            </w:r>
            <w:r w:rsidRPr="006B29D8">
              <w:t>2025 (No 2)</w:t>
            </w:r>
          </w:fldSimple>
        </w:p>
        <w:p w14:paraId="1C7A1F3D" w14:textId="36600DC8" w:rsidR="00370538" w:rsidRPr="00783A18" w:rsidRDefault="0037053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27A1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27A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27A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40D1B8A" w14:textId="77777777" w:rsidR="00370538" w:rsidRPr="0097645D" w:rsidRDefault="0037053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AB2C48A" w14:textId="6AE2DC1C" w:rsidR="00370538" w:rsidRPr="00996868" w:rsidRDefault="00370538" w:rsidP="00996868">
    <w:pPr>
      <w:pStyle w:val="Status"/>
      <w:rPr>
        <w:rFonts w:cs="Arial"/>
      </w:rPr>
    </w:pPr>
    <w:r w:rsidRPr="00996868">
      <w:rPr>
        <w:rFonts w:cs="Arial"/>
      </w:rPr>
      <w:fldChar w:fldCharType="begin"/>
    </w:r>
    <w:r w:rsidRPr="00996868">
      <w:rPr>
        <w:rFonts w:cs="Arial"/>
      </w:rPr>
      <w:instrText xml:space="preserve"> DOCPROPERTY "Status" </w:instrText>
    </w:r>
    <w:r w:rsidRPr="00996868">
      <w:rPr>
        <w:rFonts w:cs="Arial"/>
      </w:rPr>
      <w:fldChar w:fldCharType="separate"/>
    </w:r>
    <w:r w:rsidR="00327A13" w:rsidRPr="00996868">
      <w:rPr>
        <w:rFonts w:cs="Arial"/>
      </w:rPr>
      <w:t xml:space="preserve"> </w:t>
    </w:r>
    <w:r w:rsidRPr="00996868">
      <w:rPr>
        <w:rFonts w:cs="Arial"/>
      </w:rPr>
      <w:fldChar w:fldCharType="end"/>
    </w:r>
    <w:r w:rsidR="00996868" w:rsidRPr="0099686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BB34" w14:textId="77777777" w:rsidR="00370538" w:rsidRDefault="00370538">
    <w:pPr>
      <w:rPr>
        <w:sz w:val="16"/>
      </w:rPr>
    </w:pPr>
  </w:p>
  <w:p w14:paraId="6FA274C8" w14:textId="3C8A05DD" w:rsidR="00370538" w:rsidRDefault="0037053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27A13">
      <w:rPr>
        <w:rFonts w:ascii="Arial" w:hAnsi="Arial"/>
        <w:sz w:val="12"/>
      </w:rPr>
      <w:t>J2025-345</w:t>
    </w:r>
    <w:r>
      <w:rPr>
        <w:rFonts w:ascii="Arial" w:hAnsi="Arial"/>
        <w:sz w:val="12"/>
      </w:rPr>
      <w:fldChar w:fldCharType="end"/>
    </w:r>
  </w:p>
  <w:p w14:paraId="46671405" w14:textId="42E1C8D8" w:rsidR="00370538" w:rsidRPr="00996868" w:rsidRDefault="00370538" w:rsidP="00996868">
    <w:pPr>
      <w:pStyle w:val="Status"/>
      <w:tabs>
        <w:tab w:val="center" w:pos="3853"/>
        <w:tab w:val="left" w:pos="4575"/>
      </w:tabs>
      <w:rPr>
        <w:rFonts w:cs="Arial"/>
      </w:rPr>
    </w:pPr>
    <w:r w:rsidRPr="00996868">
      <w:rPr>
        <w:rFonts w:cs="Arial"/>
      </w:rPr>
      <w:fldChar w:fldCharType="begin"/>
    </w:r>
    <w:r w:rsidRPr="00996868">
      <w:rPr>
        <w:rFonts w:cs="Arial"/>
      </w:rPr>
      <w:instrText xml:space="preserve"> DOCPROPERTY "Status" </w:instrText>
    </w:r>
    <w:r w:rsidRPr="00996868">
      <w:rPr>
        <w:rFonts w:cs="Arial"/>
      </w:rPr>
      <w:fldChar w:fldCharType="separate"/>
    </w:r>
    <w:r w:rsidR="00327A13" w:rsidRPr="00996868">
      <w:rPr>
        <w:rFonts w:cs="Arial"/>
      </w:rPr>
      <w:t xml:space="preserve"> </w:t>
    </w:r>
    <w:r w:rsidRPr="00996868">
      <w:rPr>
        <w:rFonts w:cs="Arial"/>
      </w:rPr>
      <w:fldChar w:fldCharType="end"/>
    </w:r>
    <w:r w:rsidR="00996868" w:rsidRPr="0099686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B27E" w14:textId="77777777" w:rsidR="00370538" w:rsidRDefault="0037053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70538" w:rsidRPr="00CB3D59" w14:paraId="79DB3392" w14:textId="77777777">
      <w:tc>
        <w:tcPr>
          <w:tcW w:w="847" w:type="pct"/>
        </w:tcPr>
        <w:p w14:paraId="5BB83775" w14:textId="77777777" w:rsidR="00370538" w:rsidRPr="006D109C" w:rsidRDefault="0037053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534595F" w14:textId="2A993CD9" w:rsidR="00370538" w:rsidRPr="006D109C" w:rsidRDefault="0037053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27A13" w:rsidRPr="00327A13">
            <w:rPr>
              <w:rFonts w:cs="Arial"/>
              <w:szCs w:val="18"/>
            </w:rPr>
            <w:t>Workplace Legislation Amendment Bill 2025</w:t>
          </w:r>
          <w:r w:rsidR="00327A13" w:rsidRPr="006B29D8">
            <w:t xml:space="preserve"> (No 2)</w:t>
          </w:r>
          <w:r>
            <w:rPr>
              <w:rFonts w:cs="Arial"/>
              <w:szCs w:val="18"/>
            </w:rPr>
            <w:fldChar w:fldCharType="end"/>
          </w:r>
        </w:p>
        <w:p w14:paraId="04557180" w14:textId="310A0112" w:rsidR="00370538" w:rsidRPr="00783A18" w:rsidRDefault="0037053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27A1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27A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27A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CEFE2C3" w14:textId="212E66AA" w:rsidR="00370538" w:rsidRPr="006D109C" w:rsidRDefault="0037053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95654FC" w14:textId="2E8AEF50" w:rsidR="00370538" w:rsidRPr="00996868" w:rsidRDefault="00370538" w:rsidP="00996868">
    <w:pPr>
      <w:pStyle w:val="Status"/>
      <w:rPr>
        <w:rFonts w:cs="Arial"/>
      </w:rPr>
    </w:pPr>
    <w:r w:rsidRPr="00996868">
      <w:rPr>
        <w:rFonts w:cs="Arial"/>
      </w:rPr>
      <w:fldChar w:fldCharType="begin"/>
    </w:r>
    <w:r w:rsidRPr="00996868">
      <w:rPr>
        <w:rFonts w:cs="Arial"/>
      </w:rPr>
      <w:instrText xml:space="preserve"> DOCPROPERTY "Status" </w:instrText>
    </w:r>
    <w:r w:rsidRPr="00996868">
      <w:rPr>
        <w:rFonts w:cs="Arial"/>
      </w:rPr>
      <w:fldChar w:fldCharType="separate"/>
    </w:r>
    <w:r w:rsidR="00327A13" w:rsidRPr="00996868">
      <w:rPr>
        <w:rFonts w:cs="Arial"/>
      </w:rPr>
      <w:t xml:space="preserve"> </w:t>
    </w:r>
    <w:r w:rsidRPr="00996868">
      <w:rPr>
        <w:rFonts w:cs="Arial"/>
      </w:rPr>
      <w:fldChar w:fldCharType="end"/>
    </w:r>
    <w:r w:rsidR="00996868" w:rsidRPr="0099686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9D66" w14:textId="77777777" w:rsidR="00370538" w:rsidRDefault="0037053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70538" w:rsidRPr="00CB3D59" w14:paraId="509EC390" w14:textId="77777777">
      <w:tc>
        <w:tcPr>
          <w:tcW w:w="1061" w:type="pct"/>
        </w:tcPr>
        <w:p w14:paraId="4658047B" w14:textId="20EAE616" w:rsidR="00370538" w:rsidRPr="006D109C" w:rsidRDefault="0037053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9B0C5E4" w14:textId="14BD04A9" w:rsidR="00370538" w:rsidRPr="006D109C" w:rsidRDefault="0037053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27A13" w:rsidRPr="00327A13">
            <w:rPr>
              <w:rFonts w:cs="Arial"/>
              <w:szCs w:val="18"/>
            </w:rPr>
            <w:t>Workplace Legislation Amendment Bill 2025</w:t>
          </w:r>
          <w:r w:rsidR="00327A13" w:rsidRPr="006B29D8">
            <w:t xml:space="preserve"> (No 2)</w:t>
          </w:r>
          <w:r>
            <w:rPr>
              <w:rFonts w:cs="Arial"/>
              <w:szCs w:val="18"/>
            </w:rPr>
            <w:fldChar w:fldCharType="end"/>
          </w:r>
        </w:p>
        <w:p w14:paraId="4DA4822F" w14:textId="3568A296" w:rsidR="00370538" w:rsidRPr="00783A18" w:rsidRDefault="0037053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27A1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27A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27A1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B23346B" w14:textId="77777777" w:rsidR="00370538" w:rsidRPr="006D109C" w:rsidRDefault="0037053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5C14B38" w14:textId="084A8989" w:rsidR="00370538" w:rsidRPr="00996868" w:rsidRDefault="00370538" w:rsidP="00996868">
    <w:pPr>
      <w:pStyle w:val="Status"/>
      <w:rPr>
        <w:rFonts w:cs="Arial"/>
      </w:rPr>
    </w:pPr>
    <w:r w:rsidRPr="00996868">
      <w:rPr>
        <w:rFonts w:cs="Arial"/>
      </w:rPr>
      <w:fldChar w:fldCharType="begin"/>
    </w:r>
    <w:r w:rsidRPr="00996868">
      <w:rPr>
        <w:rFonts w:cs="Arial"/>
      </w:rPr>
      <w:instrText xml:space="preserve"> DOCPROPERTY "Status" </w:instrText>
    </w:r>
    <w:r w:rsidRPr="00996868">
      <w:rPr>
        <w:rFonts w:cs="Arial"/>
      </w:rPr>
      <w:fldChar w:fldCharType="separate"/>
    </w:r>
    <w:r w:rsidR="00327A13" w:rsidRPr="00996868">
      <w:rPr>
        <w:rFonts w:cs="Arial"/>
      </w:rPr>
      <w:t xml:space="preserve"> </w:t>
    </w:r>
    <w:r w:rsidRPr="00996868">
      <w:rPr>
        <w:rFonts w:cs="Arial"/>
      </w:rPr>
      <w:fldChar w:fldCharType="end"/>
    </w:r>
    <w:r w:rsidR="00996868" w:rsidRPr="0099686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24B7" w14:textId="77777777" w:rsidR="00370538" w:rsidRDefault="00370538">
    <w:pPr>
      <w:rPr>
        <w:sz w:val="16"/>
      </w:rPr>
    </w:pPr>
  </w:p>
  <w:p w14:paraId="7F474DA7" w14:textId="7A5A7A6E" w:rsidR="00370538" w:rsidRDefault="0037053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27A13">
      <w:rPr>
        <w:rFonts w:ascii="Arial" w:hAnsi="Arial"/>
        <w:sz w:val="12"/>
      </w:rPr>
      <w:t>J2025-345</w:t>
    </w:r>
    <w:r>
      <w:rPr>
        <w:rFonts w:ascii="Arial" w:hAnsi="Arial"/>
        <w:sz w:val="12"/>
      </w:rPr>
      <w:fldChar w:fldCharType="end"/>
    </w:r>
  </w:p>
  <w:p w14:paraId="6D7B0351" w14:textId="081AD42D" w:rsidR="00370538" w:rsidRPr="00996868" w:rsidRDefault="00370538" w:rsidP="00996868">
    <w:pPr>
      <w:pStyle w:val="Status"/>
      <w:rPr>
        <w:rFonts w:cs="Arial"/>
      </w:rPr>
    </w:pPr>
    <w:r w:rsidRPr="00996868">
      <w:rPr>
        <w:rFonts w:cs="Arial"/>
      </w:rPr>
      <w:fldChar w:fldCharType="begin"/>
    </w:r>
    <w:r w:rsidRPr="00996868">
      <w:rPr>
        <w:rFonts w:cs="Arial"/>
      </w:rPr>
      <w:instrText xml:space="preserve"> DOCPROPERTY "Status" </w:instrText>
    </w:r>
    <w:r w:rsidRPr="00996868">
      <w:rPr>
        <w:rFonts w:cs="Arial"/>
      </w:rPr>
      <w:fldChar w:fldCharType="separate"/>
    </w:r>
    <w:r w:rsidR="00327A13" w:rsidRPr="00996868">
      <w:rPr>
        <w:rFonts w:cs="Arial"/>
      </w:rPr>
      <w:t xml:space="preserve"> </w:t>
    </w:r>
    <w:r w:rsidRPr="00996868">
      <w:rPr>
        <w:rFonts w:cs="Arial"/>
      </w:rPr>
      <w:fldChar w:fldCharType="end"/>
    </w:r>
    <w:r w:rsidR="00996868" w:rsidRPr="0099686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2BFD" w14:textId="77777777" w:rsidR="00370538" w:rsidRDefault="0037053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70538" w:rsidRPr="00CB3D59" w14:paraId="57ABD6B7" w14:textId="77777777">
      <w:tc>
        <w:tcPr>
          <w:tcW w:w="847" w:type="pct"/>
        </w:tcPr>
        <w:p w14:paraId="3A184800" w14:textId="77777777" w:rsidR="00370538" w:rsidRPr="00ED273E" w:rsidRDefault="0037053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08EFF97" w14:textId="64B65718" w:rsidR="00370538" w:rsidRPr="00ED273E" w:rsidRDefault="0037053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27A13" w:rsidRPr="006B29D8">
            <w:t>Workplace Legislation Amendment Bill</w:t>
          </w:r>
          <w:r w:rsidR="00327A13">
            <w:t> </w:t>
          </w:r>
          <w:r w:rsidR="00327A13" w:rsidRPr="006B29D8">
            <w:t>2025 (No 2)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18F02AA9" w14:textId="7FA85A09" w:rsidR="00370538" w:rsidRPr="00ED273E" w:rsidRDefault="00370538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50A150F6" w14:textId="589F3035" w:rsidR="00370538" w:rsidRPr="00ED273E" w:rsidRDefault="0037053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6591327" w14:textId="366B8B01" w:rsidR="00370538" w:rsidRPr="00996868" w:rsidRDefault="00370538" w:rsidP="00996868">
    <w:pPr>
      <w:pStyle w:val="Status"/>
      <w:rPr>
        <w:rFonts w:cs="Arial"/>
      </w:rPr>
    </w:pPr>
    <w:r w:rsidRPr="00996868">
      <w:rPr>
        <w:rFonts w:cs="Arial"/>
      </w:rPr>
      <w:fldChar w:fldCharType="begin"/>
    </w:r>
    <w:r w:rsidRPr="00996868">
      <w:rPr>
        <w:rFonts w:cs="Arial"/>
      </w:rPr>
      <w:instrText xml:space="preserve"> DOCPROPERTY "Status" </w:instrText>
    </w:r>
    <w:r w:rsidRPr="00996868">
      <w:rPr>
        <w:rFonts w:cs="Arial"/>
      </w:rPr>
      <w:fldChar w:fldCharType="separate"/>
    </w:r>
    <w:r w:rsidR="00327A13" w:rsidRPr="00996868">
      <w:rPr>
        <w:rFonts w:cs="Arial"/>
      </w:rPr>
      <w:t xml:space="preserve"> </w:t>
    </w:r>
    <w:r w:rsidRPr="00996868">
      <w:rPr>
        <w:rFonts w:cs="Arial"/>
      </w:rPr>
      <w:fldChar w:fldCharType="end"/>
    </w:r>
    <w:r w:rsidR="00996868" w:rsidRPr="0099686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619C" w14:textId="77777777" w:rsidR="00370538" w:rsidRDefault="0037053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70538" w:rsidRPr="00CB3D59" w14:paraId="60B294E8" w14:textId="77777777">
      <w:tc>
        <w:tcPr>
          <w:tcW w:w="1061" w:type="pct"/>
        </w:tcPr>
        <w:p w14:paraId="25E6695A" w14:textId="3790EA27" w:rsidR="00370538" w:rsidRPr="00ED273E" w:rsidRDefault="0037053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36466B5" w14:textId="4115FE79" w:rsidR="00370538" w:rsidRPr="00ED273E" w:rsidRDefault="0037053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27A13" w:rsidRPr="00327A13">
            <w:rPr>
              <w:rFonts w:cs="Arial"/>
              <w:szCs w:val="18"/>
            </w:rPr>
            <w:t>Workplace Legislation Amendment Bill 2025</w:t>
          </w:r>
          <w:r w:rsidR="00327A13" w:rsidRPr="006B29D8">
            <w:t xml:space="preserve"> (No 2)</w:t>
          </w:r>
          <w:r>
            <w:rPr>
              <w:rFonts w:cs="Arial"/>
              <w:szCs w:val="18"/>
            </w:rPr>
            <w:fldChar w:fldCharType="end"/>
          </w:r>
        </w:p>
        <w:p w14:paraId="0DC4EC66" w14:textId="720F45C3" w:rsidR="00370538" w:rsidRPr="00ED273E" w:rsidRDefault="00370538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6ADB2D6" w14:textId="77777777" w:rsidR="00370538" w:rsidRPr="00ED273E" w:rsidRDefault="0037053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E0767F7" w14:textId="230B9FCA" w:rsidR="00370538" w:rsidRPr="00996868" w:rsidRDefault="00370538" w:rsidP="00996868">
    <w:pPr>
      <w:pStyle w:val="Status"/>
      <w:rPr>
        <w:rFonts w:cs="Arial"/>
      </w:rPr>
    </w:pPr>
    <w:r w:rsidRPr="00996868">
      <w:rPr>
        <w:rFonts w:cs="Arial"/>
      </w:rPr>
      <w:fldChar w:fldCharType="begin"/>
    </w:r>
    <w:r w:rsidRPr="00996868">
      <w:rPr>
        <w:rFonts w:cs="Arial"/>
      </w:rPr>
      <w:instrText xml:space="preserve"> DOCPROPERTY "Status" </w:instrText>
    </w:r>
    <w:r w:rsidRPr="00996868">
      <w:rPr>
        <w:rFonts w:cs="Arial"/>
      </w:rPr>
      <w:fldChar w:fldCharType="separate"/>
    </w:r>
    <w:r w:rsidR="00327A13" w:rsidRPr="00996868">
      <w:rPr>
        <w:rFonts w:cs="Arial"/>
      </w:rPr>
      <w:t xml:space="preserve"> </w:t>
    </w:r>
    <w:r w:rsidRPr="00996868">
      <w:rPr>
        <w:rFonts w:cs="Arial"/>
      </w:rPr>
      <w:fldChar w:fldCharType="end"/>
    </w:r>
    <w:r w:rsidR="00996868" w:rsidRPr="00996868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E6D9" w14:textId="77777777" w:rsidR="00370538" w:rsidRDefault="0037053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70538" w14:paraId="6974CBB8" w14:textId="77777777">
      <w:trPr>
        <w:jc w:val="center"/>
      </w:trPr>
      <w:tc>
        <w:tcPr>
          <w:tcW w:w="1240" w:type="dxa"/>
        </w:tcPr>
        <w:p w14:paraId="797CF06A" w14:textId="77777777" w:rsidR="00370538" w:rsidRDefault="0037053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9200DB1" w14:textId="55CB4877" w:rsidR="00370538" w:rsidRDefault="0037053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27A13" w:rsidRPr="006B29D8">
            <w:t>Workplace Legislation Amendment Bill</w:t>
          </w:r>
          <w:r w:rsidR="00327A13">
            <w:t> </w:t>
          </w:r>
          <w:r w:rsidR="00327A13" w:rsidRPr="006B29D8">
            <w:t>2025 (No 2)</w:t>
          </w:r>
          <w:r>
            <w:fldChar w:fldCharType="end"/>
          </w:r>
        </w:p>
        <w:p w14:paraId="6DBA0A74" w14:textId="2A44C4C3" w:rsidR="00370538" w:rsidRDefault="0037053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27A1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27A1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27A13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52FE51A" w14:textId="5B89D439" w:rsidR="00370538" w:rsidRDefault="0037053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27A13">
            <w:t xml:space="preserve">  </w:t>
          </w:r>
          <w:r>
            <w:fldChar w:fldCharType="end"/>
          </w:r>
        </w:p>
      </w:tc>
    </w:tr>
  </w:tbl>
  <w:p w14:paraId="40B8314D" w14:textId="2F6A1BC2" w:rsidR="00370538" w:rsidRPr="00996868" w:rsidRDefault="00370538" w:rsidP="00996868">
    <w:pPr>
      <w:pStyle w:val="Status"/>
      <w:rPr>
        <w:rFonts w:cs="Arial"/>
      </w:rPr>
    </w:pPr>
    <w:r w:rsidRPr="00996868">
      <w:rPr>
        <w:rFonts w:cs="Arial"/>
      </w:rPr>
      <w:fldChar w:fldCharType="begin"/>
    </w:r>
    <w:r w:rsidRPr="00996868">
      <w:rPr>
        <w:rFonts w:cs="Arial"/>
      </w:rPr>
      <w:instrText xml:space="preserve"> DOCPROPERTY "Status" </w:instrText>
    </w:r>
    <w:r w:rsidRPr="00996868">
      <w:rPr>
        <w:rFonts w:cs="Arial"/>
      </w:rPr>
      <w:fldChar w:fldCharType="separate"/>
    </w:r>
    <w:r w:rsidR="00327A13" w:rsidRPr="00996868">
      <w:rPr>
        <w:rFonts w:cs="Arial"/>
      </w:rPr>
      <w:t xml:space="preserve"> </w:t>
    </w:r>
    <w:r w:rsidRPr="00996868">
      <w:rPr>
        <w:rFonts w:cs="Arial"/>
      </w:rPr>
      <w:fldChar w:fldCharType="end"/>
    </w:r>
    <w:r w:rsidR="00996868" w:rsidRPr="0099686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0F8F" w14:textId="77777777" w:rsidR="00CE30D4" w:rsidRDefault="00CE30D4">
      <w:r>
        <w:separator/>
      </w:r>
    </w:p>
  </w:footnote>
  <w:footnote w:type="continuationSeparator" w:id="0">
    <w:p w14:paraId="0965703B" w14:textId="77777777" w:rsidR="00CE30D4" w:rsidRDefault="00CE3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370538" w:rsidRPr="00CB3D59" w14:paraId="5F0C978B" w14:textId="77777777">
      <w:tc>
        <w:tcPr>
          <w:tcW w:w="900" w:type="pct"/>
        </w:tcPr>
        <w:p w14:paraId="1E59B5C6" w14:textId="77777777" w:rsidR="00370538" w:rsidRPr="00783A18" w:rsidRDefault="0037053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29F299E" w14:textId="77777777" w:rsidR="00370538" w:rsidRPr="00783A18" w:rsidRDefault="0037053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370538" w:rsidRPr="00CB3D59" w14:paraId="0FFF8672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011EA729" w14:textId="11B3EFB3" w:rsidR="00370538" w:rsidRPr="0097645D" w:rsidRDefault="008962FB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996868">
              <w:rPr>
                <w:noProof/>
              </w:rPr>
              <w:t>Contents</w:t>
            </w:r>
          </w:fldSimple>
        </w:p>
      </w:tc>
    </w:tr>
  </w:tbl>
  <w:p w14:paraId="58D57FE2" w14:textId="67EDDAF1" w:rsidR="00370538" w:rsidRDefault="00370538">
    <w:pPr>
      <w:pStyle w:val="N-9pt"/>
    </w:pPr>
    <w:r>
      <w:tab/>
    </w:r>
    <w:fldSimple w:instr=" STYLEREF charPage \* MERGEFORMAT ">
      <w:r w:rsidR="00996868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6C2B3E6" w14:textId="77777777" w:rsidTr="00567644">
      <w:trPr>
        <w:jc w:val="center"/>
      </w:trPr>
      <w:tc>
        <w:tcPr>
          <w:tcW w:w="1068" w:type="pct"/>
        </w:tcPr>
        <w:p w14:paraId="6AEE23D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CE2758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B4CD579" w14:textId="77777777" w:rsidTr="00567644">
      <w:trPr>
        <w:jc w:val="center"/>
      </w:trPr>
      <w:tc>
        <w:tcPr>
          <w:tcW w:w="1068" w:type="pct"/>
        </w:tcPr>
        <w:p w14:paraId="167C56D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B1B8F1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F57716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DA64951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8A67979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694E" w14:textId="77777777" w:rsidR="004E49DF" w:rsidRPr="00370538" w:rsidRDefault="004E49DF" w:rsidP="0037053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DCFE" w14:textId="77777777" w:rsidR="004E49DF" w:rsidRPr="00370538" w:rsidRDefault="004E49DF" w:rsidP="00370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370538" w:rsidRPr="00CB3D59" w14:paraId="5673F14C" w14:textId="77777777">
      <w:tc>
        <w:tcPr>
          <w:tcW w:w="4100" w:type="pct"/>
        </w:tcPr>
        <w:p w14:paraId="090C18E2" w14:textId="77777777" w:rsidR="00370538" w:rsidRPr="00783A18" w:rsidRDefault="0037053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02354AB" w14:textId="77777777" w:rsidR="00370538" w:rsidRPr="00783A18" w:rsidRDefault="0037053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370538" w:rsidRPr="00CB3D59" w14:paraId="5573A98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8FCCDE5" w14:textId="682E191F" w:rsidR="00370538" w:rsidRPr="0097645D" w:rsidRDefault="008962FB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996868">
              <w:rPr>
                <w:noProof/>
              </w:rPr>
              <w:t>Contents</w:t>
            </w:r>
          </w:fldSimple>
        </w:p>
      </w:tc>
    </w:tr>
  </w:tbl>
  <w:p w14:paraId="513A6F23" w14:textId="06F1E3D8" w:rsidR="00370538" w:rsidRDefault="00370538">
    <w:pPr>
      <w:pStyle w:val="N-9pt"/>
    </w:pPr>
    <w:r>
      <w:tab/>
    </w:r>
    <w:fldSimple w:instr=" STYLEREF charPage \* MERGEFORMAT ">
      <w:r w:rsidR="00996868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59C9" w14:textId="77777777" w:rsidR="00370538" w:rsidRDefault="003705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8"/>
      <w:gridCol w:w="6059"/>
    </w:tblGrid>
    <w:tr w:rsidR="00370538" w:rsidRPr="00CB3D59" w14:paraId="64A3C70D" w14:textId="77777777" w:rsidTr="003A49FD">
      <w:tc>
        <w:tcPr>
          <w:tcW w:w="1701" w:type="dxa"/>
        </w:tcPr>
        <w:p w14:paraId="10C08119" w14:textId="6EB47414" w:rsidR="00370538" w:rsidRPr="006D109C" w:rsidRDefault="0037053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96868">
            <w:rPr>
              <w:rFonts w:cs="Arial"/>
              <w:b/>
              <w:noProof/>
              <w:szCs w:val="18"/>
            </w:rPr>
            <w:t>Part 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42543B8" w14:textId="7E24A67B" w:rsidR="00370538" w:rsidRPr="006D109C" w:rsidRDefault="0037053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6868">
            <w:rPr>
              <w:rFonts w:cs="Arial"/>
              <w:noProof/>
              <w:szCs w:val="18"/>
            </w:rPr>
            <w:t>Long Service Leave Act 1976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70538" w:rsidRPr="00CB3D59" w14:paraId="4FE7DF4B" w14:textId="77777777" w:rsidTr="003A49FD">
      <w:tc>
        <w:tcPr>
          <w:tcW w:w="1701" w:type="dxa"/>
        </w:tcPr>
        <w:p w14:paraId="7A183C6C" w14:textId="108D6175" w:rsidR="00370538" w:rsidRPr="006D109C" w:rsidRDefault="0037053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ED3015C" w14:textId="31EF96F3" w:rsidR="00370538" w:rsidRPr="006D109C" w:rsidRDefault="0037053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70538" w:rsidRPr="00CB3D59" w14:paraId="5325389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D6E14EB" w14:textId="4B9F3971" w:rsidR="00370538" w:rsidRPr="006D109C" w:rsidRDefault="00370538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6868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5F8BBB1" w14:textId="77777777" w:rsidR="00370538" w:rsidRDefault="0037053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59"/>
      <w:gridCol w:w="1648"/>
    </w:tblGrid>
    <w:tr w:rsidR="00370538" w:rsidRPr="00CB3D59" w14:paraId="599BA9CF" w14:textId="77777777" w:rsidTr="003A49FD">
      <w:tc>
        <w:tcPr>
          <w:tcW w:w="6320" w:type="dxa"/>
        </w:tcPr>
        <w:p w14:paraId="781C6832" w14:textId="7381AAA2" w:rsidR="00370538" w:rsidRPr="006D109C" w:rsidRDefault="0037053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6868">
            <w:rPr>
              <w:rFonts w:cs="Arial"/>
              <w:noProof/>
              <w:szCs w:val="18"/>
            </w:rPr>
            <w:t>Evidence (Miscellaneous Provisions) Act 1991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4D63AD3" w14:textId="40A53925" w:rsidR="00370538" w:rsidRPr="006D109C" w:rsidRDefault="0037053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96868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70538" w:rsidRPr="00CB3D59" w14:paraId="7924BEB4" w14:textId="77777777" w:rsidTr="003A49FD">
      <w:tc>
        <w:tcPr>
          <w:tcW w:w="6320" w:type="dxa"/>
        </w:tcPr>
        <w:p w14:paraId="43CE5F76" w14:textId="6F06342A" w:rsidR="00370538" w:rsidRPr="006D109C" w:rsidRDefault="0037053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F3115F8" w14:textId="5638A512" w:rsidR="00370538" w:rsidRPr="006D109C" w:rsidRDefault="0037053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70538" w:rsidRPr="00CB3D59" w14:paraId="694DCA1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1B50A03" w14:textId="5E945B3E" w:rsidR="00370538" w:rsidRPr="006D109C" w:rsidRDefault="00370538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27A1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6868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84DB1C2" w14:textId="77777777" w:rsidR="00370538" w:rsidRDefault="0037053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370538" w:rsidRPr="00CB3D59" w14:paraId="0586EE68" w14:textId="77777777">
      <w:trPr>
        <w:jc w:val="center"/>
      </w:trPr>
      <w:tc>
        <w:tcPr>
          <w:tcW w:w="1560" w:type="dxa"/>
        </w:tcPr>
        <w:p w14:paraId="2B604947" w14:textId="0CA3ACF8" w:rsidR="00370538" w:rsidRPr="00ED273E" w:rsidRDefault="00370538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96868">
            <w:rPr>
              <w:rFonts w:cs="Arial"/>
              <w:b/>
              <w:noProof/>
              <w:szCs w:val="18"/>
            </w:rPr>
            <w:t>Schedule 2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7E7DFF1" w14:textId="7C82E591" w:rsidR="00370538" w:rsidRPr="00ED273E" w:rsidRDefault="00370538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96868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370538" w:rsidRPr="00CB3D59" w14:paraId="66281F1C" w14:textId="77777777">
      <w:trPr>
        <w:jc w:val="center"/>
      </w:trPr>
      <w:tc>
        <w:tcPr>
          <w:tcW w:w="1560" w:type="dxa"/>
        </w:tcPr>
        <w:p w14:paraId="2474B4B2" w14:textId="5D2280CC" w:rsidR="00370538" w:rsidRPr="00ED273E" w:rsidRDefault="00370538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="00996868">
            <w:rPr>
              <w:rFonts w:cs="Arial"/>
              <w:b/>
              <w:szCs w:val="18"/>
            </w:rPr>
            <w:fldChar w:fldCharType="separate"/>
          </w:r>
          <w:r w:rsidR="00996868">
            <w:rPr>
              <w:rFonts w:cs="Arial"/>
              <w:b/>
              <w:noProof/>
              <w:szCs w:val="18"/>
            </w:rPr>
            <w:t>Part 2.4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C44CAE3" w14:textId="068922C5" w:rsidR="00370538" w:rsidRPr="00ED273E" w:rsidRDefault="00370538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="00996868">
            <w:rPr>
              <w:rFonts w:cs="Arial"/>
              <w:szCs w:val="18"/>
            </w:rPr>
            <w:fldChar w:fldCharType="separate"/>
          </w:r>
          <w:r w:rsidR="00996868">
            <w:rPr>
              <w:rFonts w:cs="Arial"/>
              <w:noProof/>
              <w:szCs w:val="18"/>
            </w:rPr>
            <w:t>Workers Compensation Act 1951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370538" w:rsidRPr="00CB3D59" w14:paraId="6F41628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C3E5B4D" w14:textId="7B0E4543" w:rsidR="00370538" w:rsidRPr="00ED273E" w:rsidRDefault="00370538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96868">
            <w:rPr>
              <w:rFonts w:cs="Arial"/>
              <w:noProof/>
              <w:szCs w:val="18"/>
            </w:rPr>
            <w:t>[2.8]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A6EA34C" w14:textId="77777777" w:rsidR="00370538" w:rsidRDefault="0037053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370538" w:rsidRPr="00CB3D59" w14:paraId="6B419912" w14:textId="77777777">
      <w:trPr>
        <w:jc w:val="center"/>
      </w:trPr>
      <w:tc>
        <w:tcPr>
          <w:tcW w:w="5741" w:type="dxa"/>
        </w:tcPr>
        <w:p w14:paraId="39E9DD89" w14:textId="7D10B89F" w:rsidR="00370538" w:rsidRPr="00ED273E" w:rsidRDefault="00370538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96868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BE49554" w14:textId="3F0589B0" w:rsidR="00370538" w:rsidRPr="00ED273E" w:rsidRDefault="0037053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96868">
            <w:rPr>
              <w:rFonts w:cs="Arial"/>
              <w:b/>
              <w:noProof/>
              <w:szCs w:val="18"/>
            </w:rPr>
            <w:t>Schedule 2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370538" w:rsidRPr="00CB3D59" w14:paraId="0DBC4F23" w14:textId="77777777">
      <w:trPr>
        <w:jc w:val="center"/>
      </w:trPr>
      <w:tc>
        <w:tcPr>
          <w:tcW w:w="5741" w:type="dxa"/>
        </w:tcPr>
        <w:p w14:paraId="4E9A3469" w14:textId="12249810" w:rsidR="00370538" w:rsidRPr="00ED273E" w:rsidRDefault="00370538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="00996868">
            <w:rPr>
              <w:rFonts w:cs="Arial"/>
              <w:szCs w:val="18"/>
            </w:rPr>
            <w:fldChar w:fldCharType="separate"/>
          </w:r>
          <w:r w:rsidR="00996868">
            <w:rPr>
              <w:rFonts w:cs="Arial"/>
              <w:noProof/>
              <w:szCs w:val="18"/>
            </w:rPr>
            <w:t>Work Health and Safety Act 2011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CD97724" w14:textId="5C3F8762" w:rsidR="00370538" w:rsidRPr="00ED273E" w:rsidRDefault="0037053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="00996868">
            <w:rPr>
              <w:rFonts w:cs="Arial"/>
              <w:b/>
              <w:szCs w:val="18"/>
            </w:rPr>
            <w:fldChar w:fldCharType="separate"/>
          </w:r>
          <w:r w:rsidR="00996868">
            <w:rPr>
              <w:rFonts w:cs="Arial"/>
              <w:b/>
              <w:noProof/>
              <w:szCs w:val="18"/>
            </w:rPr>
            <w:t>Part 2.5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370538" w:rsidRPr="00CB3D59" w14:paraId="5B1995D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C34A7E4" w14:textId="1BAC7A70" w:rsidR="00370538" w:rsidRPr="00ED273E" w:rsidRDefault="00370538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96868">
            <w:rPr>
              <w:rFonts w:cs="Arial"/>
              <w:noProof/>
              <w:szCs w:val="18"/>
            </w:rPr>
            <w:t>[2.10]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F955168" w14:textId="77777777" w:rsidR="00370538" w:rsidRDefault="0037053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370538" w14:paraId="2C46C293" w14:textId="77777777">
      <w:trPr>
        <w:jc w:val="center"/>
      </w:trPr>
      <w:tc>
        <w:tcPr>
          <w:tcW w:w="1234" w:type="dxa"/>
        </w:tcPr>
        <w:p w14:paraId="782AA8B8" w14:textId="77777777" w:rsidR="00370538" w:rsidRDefault="00370538">
          <w:pPr>
            <w:pStyle w:val="HeaderEven"/>
          </w:pPr>
        </w:p>
      </w:tc>
      <w:tc>
        <w:tcPr>
          <w:tcW w:w="6062" w:type="dxa"/>
        </w:tcPr>
        <w:p w14:paraId="17978E9C" w14:textId="77777777" w:rsidR="00370538" w:rsidRDefault="00370538">
          <w:pPr>
            <w:pStyle w:val="HeaderEven"/>
          </w:pPr>
        </w:p>
      </w:tc>
    </w:tr>
    <w:tr w:rsidR="00370538" w14:paraId="20FC6072" w14:textId="77777777">
      <w:trPr>
        <w:jc w:val="center"/>
      </w:trPr>
      <w:tc>
        <w:tcPr>
          <w:tcW w:w="1234" w:type="dxa"/>
        </w:tcPr>
        <w:p w14:paraId="31A35B51" w14:textId="77777777" w:rsidR="00370538" w:rsidRDefault="00370538">
          <w:pPr>
            <w:pStyle w:val="HeaderEven"/>
          </w:pPr>
        </w:p>
      </w:tc>
      <w:tc>
        <w:tcPr>
          <w:tcW w:w="6062" w:type="dxa"/>
        </w:tcPr>
        <w:p w14:paraId="62F30B10" w14:textId="77777777" w:rsidR="00370538" w:rsidRDefault="00370538">
          <w:pPr>
            <w:pStyle w:val="HeaderEven"/>
          </w:pPr>
        </w:p>
      </w:tc>
    </w:tr>
    <w:tr w:rsidR="00370538" w14:paraId="3DC895A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D0CC404" w14:textId="77777777" w:rsidR="00370538" w:rsidRDefault="00370538">
          <w:pPr>
            <w:pStyle w:val="HeaderEven6"/>
          </w:pPr>
        </w:p>
      </w:tc>
    </w:tr>
  </w:tbl>
  <w:p w14:paraId="5323384F" w14:textId="77777777" w:rsidR="00370538" w:rsidRDefault="0037053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370538" w14:paraId="35147E6D" w14:textId="77777777">
      <w:trPr>
        <w:jc w:val="center"/>
      </w:trPr>
      <w:tc>
        <w:tcPr>
          <w:tcW w:w="6062" w:type="dxa"/>
        </w:tcPr>
        <w:p w14:paraId="2D8E786B" w14:textId="77777777" w:rsidR="00370538" w:rsidRDefault="00370538">
          <w:pPr>
            <w:pStyle w:val="HeaderOdd"/>
          </w:pPr>
        </w:p>
      </w:tc>
      <w:tc>
        <w:tcPr>
          <w:tcW w:w="1234" w:type="dxa"/>
        </w:tcPr>
        <w:p w14:paraId="4DAE5C37" w14:textId="77777777" w:rsidR="00370538" w:rsidRDefault="00370538">
          <w:pPr>
            <w:pStyle w:val="HeaderOdd"/>
          </w:pPr>
        </w:p>
      </w:tc>
    </w:tr>
    <w:tr w:rsidR="00370538" w14:paraId="772F502D" w14:textId="77777777">
      <w:trPr>
        <w:jc w:val="center"/>
      </w:trPr>
      <w:tc>
        <w:tcPr>
          <w:tcW w:w="6062" w:type="dxa"/>
        </w:tcPr>
        <w:p w14:paraId="6E42EA45" w14:textId="77777777" w:rsidR="00370538" w:rsidRDefault="00370538">
          <w:pPr>
            <w:pStyle w:val="HeaderOdd"/>
          </w:pPr>
        </w:p>
      </w:tc>
      <w:tc>
        <w:tcPr>
          <w:tcW w:w="1234" w:type="dxa"/>
        </w:tcPr>
        <w:p w14:paraId="18224EA2" w14:textId="77777777" w:rsidR="00370538" w:rsidRDefault="00370538">
          <w:pPr>
            <w:pStyle w:val="HeaderOdd"/>
          </w:pPr>
        </w:p>
      </w:tc>
    </w:tr>
    <w:tr w:rsidR="00370538" w14:paraId="0E67CF0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D23B872" w14:textId="77777777" w:rsidR="00370538" w:rsidRDefault="00370538">
          <w:pPr>
            <w:pStyle w:val="HeaderOdd6"/>
          </w:pPr>
        </w:p>
      </w:tc>
    </w:tr>
  </w:tbl>
  <w:p w14:paraId="3F7ECCE9" w14:textId="77777777" w:rsidR="00370538" w:rsidRDefault="00370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2064598401">
    <w:abstractNumId w:val="6"/>
  </w:num>
  <w:num w:numId="5" w16cid:durableId="2107458146">
    <w:abstractNumId w:val="12"/>
  </w:num>
  <w:num w:numId="6" w16cid:durableId="1595045508">
    <w:abstractNumId w:val="9"/>
  </w:num>
  <w:num w:numId="7" w16cid:durableId="132337768">
    <w:abstractNumId w:val="5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63"/>
    <w:rsid w:val="00000C1F"/>
    <w:rsid w:val="000038FA"/>
    <w:rsid w:val="000043A6"/>
    <w:rsid w:val="00004573"/>
    <w:rsid w:val="00005825"/>
    <w:rsid w:val="00005A43"/>
    <w:rsid w:val="00010513"/>
    <w:rsid w:val="000121DB"/>
    <w:rsid w:val="0001347E"/>
    <w:rsid w:val="00015375"/>
    <w:rsid w:val="0002034F"/>
    <w:rsid w:val="000215AA"/>
    <w:rsid w:val="00022462"/>
    <w:rsid w:val="0002517D"/>
    <w:rsid w:val="00025988"/>
    <w:rsid w:val="00026838"/>
    <w:rsid w:val="00026FAB"/>
    <w:rsid w:val="0003249F"/>
    <w:rsid w:val="00032EFF"/>
    <w:rsid w:val="00036A2C"/>
    <w:rsid w:val="00037D73"/>
    <w:rsid w:val="000417E5"/>
    <w:rsid w:val="00041E6D"/>
    <w:rsid w:val="000420DE"/>
    <w:rsid w:val="00042F45"/>
    <w:rsid w:val="000448E6"/>
    <w:rsid w:val="00044BCA"/>
    <w:rsid w:val="00046E24"/>
    <w:rsid w:val="00047170"/>
    <w:rsid w:val="00047369"/>
    <w:rsid w:val="000474F2"/>
    <w:rsid w:val="0004765E"/>
    <w:rsid w:val="000510F0"/>
    <w:rsid w:val="00052B1E"/>
    <w:rsid w:val="00055507"/>
    <w:rsid w:val="00055E30"/>
    <w:rsid w:val="00063210"/>
    <w:rsid w:val="00064576"/>
    <w:rsid w:val="00065A98"/>
    <w:rsid w:val="000663A1"/>
    <w:rsid w:val="00066F6A"/>
    <w:rsid w:val="000702A7"/>
    <w:rsid w:val="00072B06"/>
    <w:rsid w:val="00072ED8"/>
    <w:rsid w:val="00075618"/>
    <w:rsid w:val="0007573D"/>
    <w:rsid w:val="000812D4"/>
    <w:rsid w:val="00081D6E"/>
    <w:rsid w:val="0008211A"/>
    <w:rsid w:val="00082F45"/>
    <w:rsid w:val="00083C32"/>
    <w:rsid w:val="00085549"/>
    <w:rsid w:val="00085646"/>
    <w:rsid w:val="00086261"/>
    <w:rsid w:val="000906B4"/>
    <w:rsid w:val="00091575"/>
    <w:rsid w:val="0009428E"/>
    <w:rsid w:val="000949A6"/>
    <w:rsid w:val="00095165"/>
    <w:rsid w:val="00096213"/>
    <w:rsid w:val="0009641C"/>
    <w:rsid w:val="00096811"/>
    <w:rsid w:val="000978C2"/>
    <w:rsid w:val="000A2213"/>
    <w:rsid w:val="000A29C3"/>
    <w:rsid w:val="000A5DCB"/>
    <w:rsid w:val="000A637A"/>
    <w:rsid w:val="000A6646"/>
    <w:rsid w:val="000B16DC"/>
    <w:rsid w:val="000B17F0"/>
    <w:rsid w:val="000B1C99"/>
    <w:rsid w:val="000B3404"/>
    <w:rsid w:val="000B4951"/>
    <w:rsid w:val="000B5464"/>
    <w:rsid w:val="000B5685"/>
    <w:rsid w:val="000B729E"/>
    <w:rsid w:val="000C05E0"/>
    <w:rsid w:val="000C2815"/>
    <w:rsid w:val="000C4761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2B58"/>
    <w:rsid w:val="000F329E"/>
    <w:rsid w:val="000F7A8F"/>
    <w:rsid w:val="001002C3"/>
    <w:rsid w:val="00101528"/>
    <w:rsid w:val="001033CB"/>
    <w:rsid w:val="001047CB"/>
    <w:rsid w:val="001053AD"/>
    <w:rsid w:val="001058DF"/>
    <w:rsid w:val="00107F85"/>
    <w:rsid w:val="001135C2"/>
    <w:rsid w:val="00115A8C"/>
    <w:rsid w:val="001228E5"/>
    <w:rsid w:val="00126287"/>
    <w:rsid w:val="00127EE1"/>
    <w:rsid w:val="0013046D"/>
    <w:rsid w:val="001315A1"/>
    <w:rsid w:val="00132957"/>
    <w:rsid w:val="0013379C"/>
    <w:rsid w:val="001343A6"/>
    <w:rsid w:val="0013531D"/>
    <w:rsid w:val="00136FBE"/>
    <w:rsid w:val="00137336"/>
    <w:rsid w:val="00143061"/>
    <w:rsid w:val="00143B89"/>
    <w:rsid w:val="00145DD7"/>
    <w:rsid w:val="00147781"/>
    <w:rsid w:val="00150851"/>
    <w:rsid w:val="001520FC"/>
    <w:rsid w:val="001533C1"/>
    <w:rsid w:val="00153482"/>
    <w:rsid w:val="00154977"/>
    <w:rsid w:val="001549FD"/>
    <w:rsid w:val="001570F0"/>
    <w:rsid w:val="001571D2"/>
    <w:rsid w:val="001572E4"/>
    <w:rsid w:val="00160DF7"/>
    <w:rsid w:val="00164204"/>
    <w:rsid w:val="0016799C"/>
    <w:rsid w:val="00167B8F"/>
    <w:rsid w:val="00167C93"/>
    <w:rsid w:val="0017182C"/>
    <w:rsid w:val="00172D13"/>
    <w:rsid w:val="001741FF"/>
    <w:rsid w:val="001757DA"/>
    <w:rsid w:val="00175FD1"/>
    <w:rsid w:val="00176AE6"/>
    <w:rsid w:val="00180311"/>
    <w:rsid w:val="001815FB"/>
    <w:rsid w:val="00181D8C"/>
    <w:rsid w:val="00182DC2"/>
    <w:rsid w:val="00183463"/>
    <w:rsid w:val="001842C7"/>
    <w:rsid w:val="001927D2"/>
    <w:rsid w:val="0019297A"/>
    <w:rsid w:val="00192D1E"/>
    <w:rsid w:val="00193D6B"/>
    <w:rsid w:val="00195101"/>
    <w:rsid w:val="0019637A"/>
    <w:rsid w:val="00196542"/>
    <w:rsid w:val="001A351C"/>
    <w:rsid w:val="001A39AF"/>
    <w:rsid w:val="001A3B6D"/>
    <w:rsid w:val="001A41C9"/>
    <w:rsid w:val="001A43E4"/>
    <w:rsid w:val="001B1114"/>
    <w:rsid w:val="001B1AD4"/>
    <w:rsid w:val="001B1F86"/>
    <w:rsid w:val="001B218A"/>
    <w:rsid w:val="001B3A98"/>
    <w:rsid w:val="001B3B53"/>
    <w:rsid w:val="001B449A"/>
    <w:rsid w:val="001B4FD6"/>
    <w:rsid w:val="001B6311"/>
    <w:rsid w:val="001B6BC0"/>
    <w:rsid w:val="001B7DD9"/>
    <w:rsid w:val="001C1644"/>
    <w:rsid w:val="001C29CC"/>
    <w:rsid w:val="001C3441"/>
    <w:rsid w:val="001C3E8A"/>
    <w:rsid w:val="001C4A67"/>
    <w:rsid w:val="001C547E"/>
    <w:rsid w:val="001D09C2"/>
    <w:rsid w:val="001D15FB"/>
    <w:rsid w:val="001D1702"/>
    <w:rsid w:val="001D1F85"/>
    <w:rsid w:val="001D53F0"/>
    <w:rsid w:val="001D56B4"/>
    <w:rsid w:val="001D58CE"/>
    <w:rsid w:val="001D73DF"/>
    <w:rsid w:val="001E0780"/>
    <w:rsid w:val="001E0BBC"/>
    <w:rsid w:val="001E15ED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0D9"/>
    <w:rsid w:val="00202420"/>
    <w:rsid w:val="00203655"/>
    <w:rsid w:val="002037B2"/>
    <w:rsid w:val="00204E34"/>
    <w:rsid w:val="0020610F"/>
    <w:rsid w:val="00210886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35270"/>
    <w:rsid w:val="002409EB"/>
    <w:rsid w:val="0024419A"/>
    <w:rsid w:val="00246F34"/>
    <w:rsid w:val="002502C9"/>
    <w:rsid w:val="00253046"/>
    <w:rsid w:val="00256093"/>
    <w:rsid w:val="00256E0F"/>
    <w:rsid w:val="00257BC2"/>
    <w:rsid w:val="00260019"/>
    <w:rsid w:val="0026001C"/>
    <w:rsid w:val="002612B5"/>
    <w:rsid w:val="00262A04"/>
    <w:rsid w:val="00263163"/>
    <w:rsid w:val="0026354E"/>
    <w:rsid w:val="002644DC"/>
    <w:rsid w:val="00264D9C"/>
    <w:rsid w:val="0026513F"/>
    <w:rsid w:val="00267BE3"/>
    <w:rsid w:val="002702D4"/>
    <w:rsid w:val="00272968"/>
    <w:rsid w:val="00273B6D"/>
    <w:rsid w:val="00275CE9"/>
    <w:rsid w:val="00277278"/>
    <w:rsid w:val="00282B0F"/>
    <w:rsid w:val="00287065"/>
    <w:rsid w:val="00290D70"/>
    <w:rsid w:val="0029692F"/>
    <w:rsid w:val="002A3F81"/>
    <w:rsid w:val="002A6F4D"/>
    <w:rsid w:val="002A756E"/>
    <w:rsid w:val="002B1EAF"/>
    <w:rsid w:val="002B23CB"/>
    <w:rsid w:val="002B2682"/>
    <w:rsid w:val="002B58FC"/>
    <w:rsid w:val="002B7E1A"/>
    <w:rsid w:val="002C553E"/>
    <w:rsid w:val="002C5DB3"/>
    <w:rsid w:val="002C5E1C"/>
    <w:rsid w:val="002C74CB"/>
    <w:rsid w:val="002C7985"/>
    <w:rsid w:val="002D09CB"/>
    <w:rsid w:val="002D26EA"/>
    <w:rsid w:val="002D2A42"/>
    <w:rsid w:val="002D2FE5"/>
    <w:rsid w:val="002D50C3"/>
    <w:rsid w:val="002D754D"/>
    <w:rsid w:val="002E01EA"/>
    <w:rsid w:val="002E144D"/>
    <w:rsid w:val="002E339A"/>
    <w:rsid w:val="002E6103"/>
    <w:rsid w:val="002E65AF"/>
    <w:rsid w:val="002E6E0C"/>
    <w:rsid w:val="002F0D37"/>
    <w:rsid w:val="002F18F3"/>
    <w:rsid w:val="002F3725"/>
    <w:rsid w:val="002F43A0"/>
    <w:rsid w:val="002F5271"/>
    <w:rsid w:val="002F696A"/>
    <w:rsid w:val="003003EC"/>
    <w:rsid w:val="003026E9"/>
    <w:rsid w:val="00303D53"/>
    <w:rsid w:val="003068E0"/>
    <w:rsid w:val="003108D1"/>
    <w:rsid w:val="0031143F"/>
    <w:rsid w:val="00312B6B"/>
    <w:rsid w:val="00314266"/>
    <w:rsid w:val="00315B62"/>
    <w:rsid w:val="003178D2"/>
    <w:rsid w:val="003179E8"/>
    <w:rsid w:val="00317FDC"/>
    <w:rsid w:val="0032063D"/>
    <w:rsid w:val="00320781"/>
    <w:rsid w:val="00327A13"/>
    <w:rsid w:val="00331203"/>
    <w:rsid w:val="00333078"/>
    <w:rsid w:val="003344D3"/>
    <w:rsid w:val="00336345"/>
    <w:rsid w:val="00342E3D"/>
    <w:rsid w:val="0034336E"/>
    <w:rsid w:val="0034583F"/>
    <w:rsid w:val="00346DDD"/>
    <w:rsid w:val="003478D2"/>
    <w:rsid w:val="00350B41"/>
    <w:rsid w:val="00351EE7"/>
    <w:rsid w:val="00353FF3"/>
    <w:rsid w:val="00355AD9"/>
    <w:rsid w:val="00356BFB"/>
    <w:rsid w:val="003571B5"/>
    <w:rsid w:val="003574D1"/>
    <w:rsid w:val="003646D5"/>
    <w:rsid w:val="003659ED"/>
    <w:rsid w:val="003700C0"/>
    <w:rsid w:val="00370538"/>
    <w:rsid w:val="00370AE8"/>
    <w:rsid w:val="003712F7"/>
    <w:rsid w:val="00372EF0"/>
    <w:rsid w:val="00373077"/>
    <w:rsid w:val="003736FC"/>
    <w:rsid w:val="00375B2E"/>
    <w:rsid w:val="00375C2A"/>
    <w:rsid w:val="00376CA6"/>
    <w:rsid w:val="00377D1F"/>
    <w:rsid w:val="00381D64"/>
    <w:rsid w:val="00385097"/>
    <w:rsid w:val="0038626C"/>
    <w:rsid w:val="00391C6F"/>
    <w:rsid w:val="0039435E"/>
    <w:rsid w:val="0039645B"/>
    <w:rsid w:val="00396646"/>
    <w:rsid w:val="00396B0E"/>
    <w:rsid w:val="003A0664"/>
    <w:rsid w:val="003A160E"/>
    <w:rsid w:val="003A44BB"/>
    <w:rsid w:val="003A779F"/>
    <w:rsid w:val="003A792E"/>
    <w:rsid w:val="003A7A6C"/>
    <w:rsid w:val="003B01DB"/>
    <w:rsid w:val="003B0F80"/>
    <w:rsid w:val="003B2C7A"/>
    <w:rsid w:val="003B31A1"/>
    <w:rsid w:val="003B6C1E"/>
    <w:rsid w:val="003B7D9E"/>
    <w:rsid w:val="003C0702"/>
    <w:rsid w:val="003C0A3A"/>
    <w:rsid w:val="003C1C34"/>
    <w:rsid w:val="003C46E2"/>
    <w:rsid w:val="003C50A2"/>
    <w:rsid w:val="003C6DE9"/>
    <w:rsid w:val="003C6EDF"/>
    <w:rsid w:val="003C7B9C"/>
    <w:rsid w:val="003D0740"/>
    <w:rsid w:val="003D196B"/>
    <w:rsid w:val="003D4AAE"/>
    <w:rsid w:val="003D4C75"/>
    <w:rsid w:val="003D68FB"/>
    <w:rsid w:val="003D7254"/>
    <w:rsid w:val="003E0653"/>
    <w:rsid w:val="003E4509"/>
    <w:rsid w:val="003E4A56"/>
    <w:rsid w:val="003E5210"/>
    <w:rsid w:val="003E6B00"/>
    <w:rsid w:val="003E7FDB"/>
    <w:rsid w:val="003F06EE"/>
    <w:rsid w:val="003F175C"/>
    <w:rsid w:val="003F3B87"/>
    <w:rsid w:val="003F4912"/>
    <w:rsid w:val="003F5904"/>
    <w:rsid w:val="003F7896"/>
    <w:rsid w:val="003F7A0F"/>
    <w:rsid w:val="003F7DB2"/>
    <w:rsid w:val="004005F0"/>
    <w:rsid w:val="0040136F"/>
    <w:rsid w:val="00402213"/>
    <w:rsid w:val="004033B4"/>
    <w:rsid w:val="00403645"/>
    <w:rsid w:val="00404FE0"/>
    <w:rsid w:val="00405BDC"/>
    <w:rsid w:val="00410C20"/>
    <w:rsid w:val="004110BA"/>
    <w:rsid w:val="00413127"/>
    <w:rsid w:val="00415152"/>
    <w:rsid w:val="004167DB"/>
    <w:rsid w:val="00416A4F"/>
    <w:rsid w:val="00417C52"/>
    <w:rsid w:val="00423AC4"/>
    <w:rsid w:val="0042592F"/>
    <w:rsid w:val="0042799E"/>
    <w:rsid w:val="00433064"/>
    <w:rsid w:val="00433E6A"/>
    <w:rsid w:val="004351F3"/>
    <w:rsid w:val="00435893"/>
    <w:rsid w:val="004358D2"/>
    <w:rsid w:val="004372E4"/>
    <w:rsid w:val="0044067A"/>
    <w:rsid w:val="00440811"/>
    <w:rsid w:val="00442F56"/>
    <w:rsid w:val="00443ADD"/>
    <w:rsid w:val="00444297"/>
    <w:rsid w:val="00444785"/>
    <w:rsid w:val="00447B1D"/>
    <w:rsid w:val="00447C31"/>
    <w:rsid w:val="004510ED"/>
    <w:rsid w:val="004536AA"/>
    <w:rsid w:val="0045398D"/>
    <w:rsid w:val="00455046"/>
    <w:rsid w:val="0045588F"/>
    <w:rsid w:val="00456074"/>
    <w:rsid w:val="00457476"/>
    <w:rsid w:val="0046076C"/>
    <w:rsid w:val="00460A67"/>
    <w:rsid w:val="004614FB"/>
    <w:rsid w:val="00461D78"/>
    <w:rsid w:val="004623FF"/>
    <w:rsid w:val="00462B21"/>
    <w:rsid w:val="00464372"/>
    <w:rsid w:val="00470B8D"/>
    <w:rsid w:val="00470CAD"/>
    <w:rsid w:val="004710F1"/>
    <w:rsid w:val="00471831"/>
    <w:rsid w:val="00472184"/>
    <w:rsid w:val="00472639"/>
    <w:rsid w:val="00472DD2"/>
    <w:rsid w:val="00472DF2"/>
    <w:rsid w:val="00475017"/>
    <w:rsid w:val="004751D3"/>
    <w:rsid w:val="00475F03"/>
    <w:rsid w:val="00476DCA"/>
    <w:rsid w:val="00480A8E"/>
    <w:rsid w:val="00480E4E"/>
    <w:rsid w:val="00482C91"/>
    <w:rsid w:val="0048525E"/>
    <w:rsid w:val="00486FE2"/>
    <w:rsid w:val="004875BE"/>
    <w:rsid w:val="00487D5F"/>
    <w:rsid w:val="00491236"/>
    <w:rsid w:val="00491606"/>
    <w:rsid w:val="00491702"/>
    <w:rsid w:val="00491D7C"/>
    <w:rsid w:val="00493ED5"/>
    <w:rsid w:val="00494267"/>
    <w:rsid w:val="00494D32"/>
    <w:rsid w:val="0049570D"/>
    <w:rsid w:val="00497231"/>
    <w:rsid w:val="00497D33"/>
    <w:rsid w:val="004A1E58"/>
    <w:rsid w:val="004A2333"/>
    <w:rsid w:val="004A2FDC"/>
    <w:rsid w:val="004A32C4"/>
    <w:rsid w:val="004A3D43"/>
    <w:rsid w:val="004A47FC"/>
    <w:rsid w:val="004A49BA"/>
    <w:rsid w:val="004A5C37"/>
    <w:rsid w:val="004A6F77"/>
    <w:rsid w:val="004B0AF3"/>
    <w:rsid w:val="004B0E9D"/>
    <w:rsid w:val="004B24D7"/>
    <w:rsid w:val="004B5B98"/>
    <w:rsid w:val="004C17EA"/>
    <w:rsid w:val="004C2A16"/>
    <w:rsid w:val="004C49C4"/>
    <w:rsid w:val="004C724A"/>
    <w:rsid w:val="004D16B8"/>
    <w:rsid w:val="004D181C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4C4F"/>
    <w:rsid w:val="004F6688"/>
    <w:rsid w:val="00501495"/>
    <w:rsid w:val="00503AE3"/>
    <w:rsid w:val="005055B0"/>
    <w:rsid w:val="0050662E"/>
    <w:rsid w:val="00507181"/>
    <w:rsid w:val="00510ABE"/>
    <w:rsid w:val="00511902"/>
    <w:rsid w:val="00512972"/>
    <w:rsid w:val="0051367E"/>
    <w:rsid w:val="005139E1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3C69"/>
    <w:rsid w:val="005249B7"/>
    <w:rsid w:val="00524CBC"/>
    <w:rsid w:val="005259D1"/>
    <w:rsid w:val="00526BB5"/>
    <w:rsid w:val="00527095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1764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5D80"/>
    <w:rsid w:val="005768D1"/>
    <w:rsid w:val="00580EBD"/>
    <w:rsid w:val="005840DF"/>
    <w:rsid w:val="005859BF"/>
    <w:rsid w:val="005869BB"/>
    <w:rsid w:val="00587DFD"/>
    <w:rsid w:val="0059278C"/>
    <w:rsid w:val="005932F0"/>
    <w:rsid w:val="00596BB3"/>
    <w:rsid w:val="005A0B50"/>
    <w:rsid w:val="005A4EE0"/>
    <w:rsid w:val="005A5916"/>
    <w:rsid w:val="005B1F18"/>
    <w:rsid w:val="005B22C2"/>
    <w:rsid w:val="005B3426"/>
    <w:rsid w:val="005B6C66"/>
    <w:rsid w:val="005C004E"/>
    <w:rsid w:val="005C282A"/>
    <w:rsid w:val="005C28C5"/>
    <w:rsid w:val="005C297B"/>
    <w:rsid w:val="005C2E30"/>
    <w:rsid w:val="005C3189"/>
    <w:rsid w:val="005C4167"/>
    <w:rsid w:val="005C4AF9"/>
    <w:rsid w:val="005D084C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38F1"/>
    <w:rsid w:val="005F56A8"/>
    <w:rsid w:val="005F58E5"/>
    <w:rsid w:val="006002C4"/>
    <w:rsid w:val="006005C8"/>
    <w:rsid w:val="00603B51"/>
    <w:rsid w:val="006065D7"/>
    <w:rsid w:val="006065EF"/>
    <w:rsid w:val="00607385"/>
    <w:rsid w:val="00610E78"/>
    <w:rsid w:val="006120C6"/>
    <w:rsid w:val="00612BA6"/>
    <w:rsid w:val="00614787"/>
    <w:rsid w:val="00616C21"/>
    <w:rsid w:val="0062086D"/>
    <w:rsid w:val="00622136"/>
    <w:rsid w:val="006236B5"/>
    <w:rsid w:val="00624B6F"/>
    <w:rsid w:val="006253B7"/>
    <w:rsid w:val="00626F21"/>
    <w:rsid w:val="006320A3"/>
    <w:rsid w:val="00632853"/>
    <w:rsid w:val="006338A5"/>
    <w:rsid w:val="006355DA"/>
    <w:rsid w:val="006410E4"/>
    <w:rsid w:val="00641C9A"/>
    <w:rsid w:val="00641CC6"/>
    <w:rsid w:val="006430DD"/>
    <w:rsid w:val="00643F71"/>
    <w:rsid w:val="006444E8"/>
    <w:rsid w:val="00644573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311"/>
    <w:rsid w:val="00660B9F"/>
    <w:rsid w:val="00660E96"/>
    <w:rsid w:val="006610ED"/>
    <w:rsid w:val="006613D5"/>
    <w:rsid w:val="0066141B"/>
    <w:rsid w:val="00663BF1"/>
    <w:rsid w:val="00667638"/>
    <w:rsid w:val="00671280"/>
    <w:rsid w:val="00671AC6"/>
    <w:rsid w:val="00673674"/>
    <w:rsid w:val="006747D1"/>
    <w:rsid w:val="00674918"/>
    <w:rsid w:val="00675E77"/>
    <w:rsid w:val="00680547"/>
    <w:rsid w:val="00680887"/>
    <w:rsid w:val="00680A95"/>
    <w:rsid w:val="006820EB"/>
    <w:rsid w:val="0068447C"/>
    <w:rsid w:val="00685233"/>
    <w:rsid w:val="006855FC"/>
    <w:rsid w:val="00687A2B"/>
    <w:rsid w:val="00690DB4"/>
    <w:rsid w:val="00692B7A"/>
    <w:rsid w:val="00693C2C"/>
    <w:rsid w:val="00694725"/>
    <w:rsid w:val="0069624C"/>
    <w:rsid w:val="006A0A7D"/>
    <w:rsid w:val="006A187F"/>
    <w:rsid w:val="006A4DA9"/>
    <w:rsid w:val="006B22E3"/>
    <w:rsid w:val="006B29D8"/>
    <w:rsid w:val="006B3F45"/>
    <w:rsid w:val="006C02F6"/>
    <w:rsid w:val="006C08D3"/>
    <w:rsid w:val="006C1D6C"/>
    <w:rsid w:val="006C265F"/>
    <w:rsid w:val="006C332F"/>
    <w:rsid w:val="006C3D19"/>
    <w:rsid w:val="006C3F48"/>
    <w:rsid w:val="006C47C5"/>
    <w:rsid w:val="006C552F"/>
    <w:rsid w:val="006C7AAC"/>
    <w:rsid w:val="006D0757"/>
    <w:rsid w:val="006D07E0"/>
    <w:rsid w:val="006D3568"/>
    <w:rsid w:val="006D3AEF"/>
    <w:rsid w:val="006D4B9E"/>
    <w:rsid w:val="006D4D74"/>
    <w:rsid w:val="006D755C"/>
    <w:rsid w:val="006D756E"/>
    <w:rsid w:val="006E0A8E"/>
    <w:rsid w:val="006E2468"/>
    <w:rsid w:val="006E2568"/>
    <w:rsid w:val="006E272E"/>
    <w:rsid w:val="006E2DC7"/>
    <w:rsid w:val="006E4733"/>
    <w:rsid w:val="006E6F23"/>
    <w:rsid w:val="006F2595"/>
    <w:rsid w:val="006F4CA1"/>
    <w:rsid w:val="006F6520"/>
    <w:rsid w:val="00700158"/>
    <w:rsid w:val="00702F8D"/>
    <w:rsid w:val="00703E9F"/>
    <w:rsid w:val="00704185"/>
    <w:rsid w:val="00710509"/>
    <w:rsid w:val="00712115"/>
    <w:rsid w:val="007123AC"/>
    <w:rsid w:val="00715DE2"/>
    <w:rsid w:val="00716D6A"/>
    <w:rsid w:val="00726278"/>
    <w:rsid w:val="00726765"/>
    <w:rsid w:val="00726C90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5FA7"/>
    <w:rsid w:val="00747C76"/>
    <w:rsid w:val="00750265"/>
    <w:rsid w:val="007525CE"/>
    <w:rsid w:val="00753ABC"/>
    <w:rsid w:val="00754EB3"/>
    <w:rsid w:val="00756CF6"/>
    <w:rsid w:val="00756D69"/>
    <w:rsid w:val="00756FA3"/>
    <w:rsid w:val="00757268"/>
    <w:rsid w:val="0075734B"/>
    <w:rsid w:val="00760B11"/>
    <w:rsid w:val="00761C8E"/>
    <w:rsid w:val="00762E3C"/>
    <w:rsid w:val="00763210"/>
    <w:rsid w:val="00763EBC"/>
    <w:rsid w:val="0076666F"/>
    <w:rsid w:val="00766D30"/>
    <w:rsid w:val="00767FA6"/>
    <w:rsid w:val="00770EB6"/>
    <w:rsid w:val="0077185E"/>
    <w:rsid w:val="007732F8"/>
    <w:rsid w:val="00774F7C"/>
    <w:rsid w:val="00776635"/>
    <w:rsid w:val="00776724"/>
    <w:rsid w:val="007807B1"/>
    <w:rsid w:val="00781A27"/>
    <w:rsid w:val="0078210C"/>
    <w:rsid w:val="00784BA5"/>
    <w:rsid w:val="0078654C"/>
    <w:rsid w:val="00790C99"/>
    <w:rsid w:val="00790EEF"/>
    <w:rsid w:val="00792C4D"/>
    <w:rsid w:val="00793841"/>
    <w:rsid w:val="00793FEA"/>
    <w:rsid w:val="00794CA5"/>
    <w:rsid w:val="00795857"/>
    <w:rsid w:val="00795BD2"/>
    <w:rsid w:val="00797079"/>
    <w:rsid w:val="007979AF"/>
    <w:rsid w:val="007A011F"/>
    <w:rsid w:val="007A07E7"/>
    <w:rsid w:val="007A1FFD"/>
    <w:rsid w:val="007A279C"/>
    <w:rsid w:val="007A6970"/>
    <w:rsid w:val="007A70B1"/>
    <w:rsid w:val="007B0D31"/>
    <w:rsid w:val="007B1D57"/>
    <w:rsid w:val="007B32F0"/>
    <w:rsid w:val="007B3910"/>
    <w:rsid w:val="007B4D52"/>
    <w:rsid w:val="007B7D81"/>
    <w:rsid w:val="007C089C"/>
    <w:rsid w:val="007C29F6"/>
    <w:rsid w:val="007C3A5B"/>
    <w:rsid w:val="007C3BD1"/>
    <w:rsid w:val="007C401E"/>
    <w:rsid w:val="007D0D5D"/>
    <w:rsid w:val="007D1686"/>
    <w:rsid w:val="007D2426"/>
    <w:rsid w:val="007D3EA1"/>
    <w:rsid w:val="007D4083"/>
    <w:rsid w:val="007D7537"/>
    <w:rsid w:val="007D78B4"/>
    <w:rsid w:val="007E003E"/>
    <w:rsid w:val="007E10D3"/>
    <w:rsid w:val="007E1525"/>
    <w:rsid w:val="007E3E2C"/>
    <w:rsid w:val="007E54BB"/>
    <w:rsid w:val="007E6376"/>
    <w:rsid w:val="007E67F0"/>
    <w:rsid w:val="007F0503"/>
    <w:rsid w:val="007F0D05"/>
    <w:rsid w:val="007F228D"/>
    <w:rsid w:val="007F29DE"/>
    <w:rsid w:val="007F30A9"/>
    <w:rsid w:val="007F3E33"/>
    <w:rsid w:val="007F42D1"/>
    <w:rsid w:val="007F4662"/>
    <w:rsid w:val="007F56F1"/>
    <w:rsid w:val="008003A8"/>
    <w:rsid w:val="00800B18"/>
    <w:rsid w:val="008022E6"/>
    <w:rsid w:val="00804649"/>
    <w:rsid w:val="00806717"/>
    <w:rsid w:val="00807020"/>
    <w:rsid w:val="00807417"/>
    <w:rsid w:val="008109A6"/>
    <w:rsid w:val="00810DFB"/>
    <w:rsid w:val="00811382"/>
    <w:rsid w:val="00816ECF"/>
    <w:rsid w:val="00820CF5"/>
    <w:rsid w:val="008211B6"/>
    <w:rsid w:val="008216C0"/>
    <w:rsid w:val="00821C43"/>
    <w:rsid w:val="00823BAB"/>
    <w:rsid w:val="008255E8"/>
    <w:rsid w:val="00825650"/>
    <w:rsid w:val="008267A3"/>
    <w:rsid w:val="00827747"/>
    <w:rsid w:val="008279EA"/>
    <w:rsid w:val="0083086E"/>
    <w:rsid w:val="0083262F"/>
    <w:rsid w:val="00833D0D"/>
    <w:rsid w:val="00834DA5"/>
    <w:rsid w:val="0083709B"/>
    <w:rsid w:val="00837C3E"/>
    <w:rsid w:val="00837DCE"/>
    <w:rsid w:val="008400F0"/>
    <w:rsid w:val="00843CDB"/>
    <w:rsid w:val="00845B8E"/>
    <w:rsid w:val="00850545"/>
    <w:rsid w:val="00855072"/>
    <w:rsid w:val="0085753E"/>
    <w:rsid w:val="008628C6"/>
    <w:rsid w:val="008630BC"/>
    <w:rsid w:val="00865893"/>
    <w:rsid w:val="00866E4A"/>
    <w:rsid w:val="00866F6F"/>
    <w:rsid w:val="00867846"/>
    <w:rsid w:val="00867AB3"/>
    <w:rsid w:val="0087063D"/>
    <w:rsid w:val="008718D0"/>
    <w:rsid w:val="008719B7"/>
    <w:rsid w:val="00871D79"/>
    <w:rsid w:val="00875777"/>
    <w:rsid w:val="00875E43"/>
    <w:rsid w:val="00875F55"/>
    <w:rsid w:val="008803D6"/>
    <w:rsid w:val="008817FA"/>
    <w:rsid w:val="008825C4"/>
    <w:rsid w:val="00883D8E"/>
    <w:rsid w:val="0088436F"/>
    <w:rsid w:val="008845F8"/>
    <w:rsid w:val="00884870"/>
    <w:rsid w:val="00884D43"/>
    <w:rsid w:val="008866FB"/>
    <w:rsid w:val="0089523E"/>
    <w:rsid w:val="008955D1"/>
    <w:rsid w:val="008962FB"/>
    <w:rsid w:val="00896657"/>
    <w:rsid w:val="008A012C"/>
    <w:rsid w:val="008A0799"/>
    <w:rsid w:val="008A2564"/>
    <w:rsid w:val="008A323A"/>
    <w:rsid w:val="008A3E95"/>
    <w:rsid w:val="008A4C1E"/>
    <w:rsid w:val="008A77B8"/>
    <w:rsid w:val="008B3198"/>
    <w:rsid w:val="008B62A0"/>
    <w:rsid w:val="008B6788"/>
    <w:rsid w:val="008B779C"/>
    <w:rsid w:val="008B7D05"/>
    <w:rsid w:val="008B7D6F"/>
    <w:rsid w:val="008C0975"/>
    <w:rsid w:val="008C0E43"/>
    <w:rsid w:val="008C1E20"/>
    <w:rsid w:val="008C1F06"/>
    <w:rsid w:val="008C72B4"/>
    <w:rsid w:val="008D2BCE"/>
    <w:rsid w:val="008D41C8"/>
    <w:rsid w:val="008D6275"/>
    <w:rsid w:val="008E080E"/>
    <w:rsid w:val="008E1838"/>
    <w:rsid w:val="008E2C2B"/>
    <w:rsid w:val="008E3EA7"/>
    <w:rsid w:val="008E5040"/>
    <w:rsid w:val="008E7EE9"/>
    <w:rsid w:val="008F11DF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244"/>
    <w:rsid w:val="00910688"/>
    <w:rsid w:val="00910911"/>
    <w:rsid w:val="009119DF"/>
    <w:rsid w:val="00911C30"/>
    <w:rsid w:val="00913FC8"/>
    <w:rsid w:val="00916C91"/>
    <w:rsid w:val="00917A90"/>
    <w:rsid w:val="00920330"/>
    <w:rsid w:val="0092112B"/>
    <w:rsid w:val="00922383"/>
    <w:rsid w:val="00922821"/>
    <w:rsid w:val="00923380"/>
    <w:rsid w:val="0092414A"/>
    <w:rsid w:val="00924E20"/>
    <w:rsid w:val="009252F0"/>
    <w:rsid w:val="00925BBA"/>
    <w:rsid w:val="00927090"/>
    <w:rsid w:val="00930553"/>
    <w:rsid w:val="00930ACD"/>
    <w:rsid w:val="00930E8E"/>
    <w:rsid w:val="00931CFA"/>
    <w:rsid w:val="00932ADC"/>
    <w:rsid w:val="00934806"/>
    <w:rsid w:val="009446BD"/>
    <w:rsid w:val="0094524C"/>
    <w:rsid w:val="009453C3"/>
    <w:rsid w:val="00950BD4"/>
    <w:rsid w:val="00953148"/>
    <w:rsid w:val="009531DF"/>
    <w:rsid w:val="00954381"/>
    <w:rsid w:val="00955259"/>
    <w:rsid w:val="00955D15"/>
    <w:rsid w:val="0095612A"/>
    <w:rsid w:val="00956EE7"/>
    <w:rsid w:val="00956FCD"/>
    <w:rsid w:val="0095751B"/>
    <w:rsid w:val="009608B8"/>
    <w:rsid w:val="00963019"/>
    <w:rsid w:val="00963647"/>
    <w:rsid w:val="00963864"/>
    <w:rsid w:val="009651DD"/>
    <w:rsid w:val="00966C53"/>
    <w:rsid w:val="00967AFD"/>
    <w:rsid w:val="00972325"/>
    <w:rsid w:val="00976895"/>
    <w:rsid w:val="00980DA4"/>
    <w:rsid w:val="00981C9E"/>
    <w:rsid w:val="00982516"/>
    <w:rsid w:val="00982536"/>
    <w:rsid w:val="00982EA8"/>
    <w:rsid w:val="00983B9A"/>
    <w:rsid w:val="00984452"/>
    <w:rsid w:val="00984748"/>
    <w:rsid w:val="00985EA2"/>
    <w:rsid w:val="00987D2C"/>
    <w:rsid w:val="00993D24"/>
    <w:rsid w:val="009966FF"/>
    <w:rsid w:val="00996868"/>
    <w:rsid w:val="00997034"/>
    <w:rsid w:val="009971A9"/>
    <w:rsid w:val="009A0FDB"/>
    <w:rsid w:val="009A37D5"/>
    <w:rsid w:val="009A678C"/>
    <w:rsid w:val="009A7EC2"/>
    <w:rsid w:val="009B00A5"/>
    <w:rsid w:val="009B0A60"/>
    <w:rsid w:val="009B1CAE"/>
    <w:rsid w:val="009B4592"/>
    <w:rsid w:val="009B56CF"/>
    <w:rsid w:val="009B60AA"/>
    <w:rsid w:val="009B648A"/>
    <w:rsid w:val="009C0511"/>
    <w:rsid w:val="009C12E7"/>
    <w:rsid w:val="009C137D"/>
    <w:rsid w:val="009C166E"/>
    <w:rsid w:val="009C17F8"/>
    <w:rsid w:val="009C1A53"/>
    <w:rsid w:val="009C2421"/>
    <w:rsid w:val="009C4360"/>
    <w:rsid w:val="009C634A"/>
    <w:rsid w:val="009D063C"/>
    <w:rsid w:val="009D0A91"/>
    <w:rsid w:val="009D1380"/>
    <w:rsid w:val="009D1790"/>
    <w:rsid w:val="009D20AA"/>
    <w:rsid w:val="009D22FC"/>
    <w:rsid w:val="009D3904"/>
    <w:rsid w:val="009D3D77"/>
    <w:rsid w:val="009D4319"/>
    <w:rsid w:val="009D51A3"/>
    <w:rsid w:val="009D558E"/>
    <w:rsid w:val="009D57E5"/>
    <w:rsid w:val="009D6C80"/>
    <w:rsid w:val="009D7781"/>
    <w:rsid w:val="009E2846"/>
    <w:rsid w:val="009E2B48"/>
    <w:rsid w:val="009E2EF5"/>
    <w:rsid w:val="009E435E"/>
    <w:rsid w:val="009E4BA9"/>
    <w:rsid w:val="009E7097"/>
    <w:rsid w:val="009E7875"/>
    <w:rsid w:val="009F35E4"/>
    <w:rsid w:val="009F55FD"/>
    <w:rsid w:val="009F5B59"/>
    <w:rsid w:val="009F7F80"/>
    <w:rsid w:val="00A04A82"/>
    <w:rsid w:val="00A05C7B"/>
    <w:rsid w:val="00A05FB5"/>
    <w:rsid w:val="00A06AA5"/>
    <w:rsid w:val="00A0780F"/>
    <w:rsid w:val="00A11572"/>
    <w:rsid w:val="00A11A8D"/>
    <w:rsid w:val="00A14BB6"/>
    <w:rsid w:val="00A15D01"/>
    <w:rsid w:val="00A168B4"/>
    <w:rsid w:val="00A1768A"/>
    <w:rsid w:val="00A21F75"/>
    <w:rsid w:val="00A22C01"/>
    <w:rsid w:val="00A24FAC"/>
    <w:rsid w:val="00A2668A"/>
    <w:rsid w:val="00A27C2E"/>
    <w:rsid w:val="00A3081E"/>
    <w:rsid w:val="00A311B2"/>
    <w:rsid w:val="00A34047"/>
    <w:rsid w:val="00A36991"/>
    <w:rsid w:val="00A40F41"/>
    <w:rsid w:val="00A4114C"/>
    <w:rsid w:val="00A426F5"/>
    <w:rsid w:val="00A4319D"/>
    <w:rsid w:val="00A432FA"/>
    <w:rsid w:val="00A43BFF"/>
    <w:rsid w:val="00A464E4"/>
    <w:rsid w:val="00A476AE"/>
    <w:rsid w:val="00A5089E"/>
    <w:rsid w:val="00A5140C"/>
    <w:rsid w:val="00A52521"/>
    <w:rsid w:val="00A52C32"/>
    <w:rsid w:val="00A5319F"/>
    <w:rsid w:val="00A53D3B"/>
    <w:rsid w:val="00A55454"/>
    <w:rsid w:val="00A60A55"/>
    <w:rsid w:val="00A62896"/>
    <w:rsid w:val="00A63852"/>
    <w:rsid w:val="00A63DC2"/>
    <w:rsid w:val="00A64826"/>
    <w:rsid w:val="00A64E41"/>
    <w:rsid w:val="00A673BC"/>
    <w:rsid w:val="00A7193F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6B44"/>
    <w:rsid w:val="00A919E1"/>
    <w:rsid w:val="00A93CC6"/>
    <w:rsid w:val="00A95FB9"/>
    <w:rsid w:val="00A97C49"/>
    <w:rsid w:val="00AA224F"/>
    <w:rsid w:val="00AA3041"/>
    <w:rsid w:val="00AA3CE3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840"/>
    <w:rsid w:val="00AB3883"/>
    <w:rsid w:val="00AB3E20"/>
    <w:rsid w:val="00AB53B3"/>
    <w:rsid w:val="00AB6309"/>
    <w:rsid w:val="00AB7605"/>
    <w:rsid w:val="00AB78E7"/>
    <w:rsid w:val="00AB7EE1"/>
    <w:rsid w:val="00AC0074"/>
    <w:rsid w:val="00AC39F8"/>
    <w:rsid w:val="00AC3B3B"/>
    <w:rsid w:val="00AC6727"/>
    <w:rsid w:val="00AC7706"/>
    <w:rsid w:val="00AD378B"/>
    <w:rsid w:val="00AD5394"/>
    <w:rsid w:val="00AD5C4D"/>
    <w:rsid w:val="00AD64BF"/>
    <w:rsid w:val="00AE3281"/>
    <w:rsid w:val="00AE3DC2"/>
    <w:rsid w:val="00AE4B70"/>
    <w:rsid w:val="00AE4E81"/>
    <w:rsid w:val="00AE4ED6"/>
    <w:rsid w:val="00AE541E"/>
    <w:rsid w:val="00AE56F2"/>
    <w:rsid w:val="00AE62C0"/>
    <w:rsid w:val="00AE6611"/>
    <w:rsid w:val="00AE6A93"/>
    <w:rsid w:val="00AE7A99"/>
    <w:rsid w:val="00B007EF"/>
    <w:rsid w:val="00B01C0E"/>
    <w:rsid w:val="00B02435"/>
    <w:rsid w:val="00B02798"/>
    <w:rsid w:val="00B02B41"/>
    <w:rsid w:val="00B0371D"/>
    <w:rsid w:val="00B042C6"/>
    <w:rsid w:val="00B0466B"/>
    <w:rsid w:val="00B04F31"/>
    <w:rsid w:val="00B117F9"/>
    <w:rsid w:val="00B12806"/>
    <w:rsid w:val="00B12F98"/>
    <w:rsid w:val="00B15B90"/>
    <w:rsid w:val="00B17B89"/>
    <w:rsid w:val="00B22EC6"/>
    <w:rsid w:val="00B23868"/>
    <w:rsid w:val="00B2418D"/>
    <w:rsid w:val="00B244BB"/>
    <w:rsid w:val="00B24A04"/>
    <w:rsid w:val="00B272DF"/>
    <w:rsid w:val="00B308F1"/>
    <w:rsid w:val="00B310BA"/>
    <w:rsid w:val="00B3290A"/>
    <w:rsid w:val="00B33206"/>
    <w:rsid w:val="00B34E4A"/>
    <w:rsid w:val="00B36347"/>
    <w:rsid w:val="00B40D84"/>
    <w:rsid w:val="00B41E45"/>
    <w:rsid w:val="00B43442"/>
    <w:rsid w:val="00B44A44"/>
    <w:rsid w:val="00B4566C"/>
    <w:rsid w:val="00B4773C"/>
    <w:rsid w:val="00B50039"/>
    <w:rsid w:val="00B511D9"/>
    <w:rsid w:val="00B51F52"/>
    <w:rsid w:val="00B5282A"/>
    <w:rsid w:val="00B538F4"/>
    <w:rsid w:val="00B545FE"/>
    <w:rsid w:val="00B5516D"/>
    <w:rsid w:val="00B6012B"/>
    <w:rsid w:val="00B60142"/>
    <w:rsid w:val="00B606F4"/>
    <w:rsid w:val="00B620F6"/>
    <w:rsid w:val="00B666F6"/>
    <w:rsid w:val="00B66CFF"/>
    <w:rsid w:val="00B6704F"/>
    <w:rsid w:val="00B71021"/>
    <w:rsid w:val="00B71167"/>
    <w:rsid w:val="00B724E8"/>
    <w:rsid w:val="00B77AEF"/>
    <w:rsid w:val="00B77EBA"/>
    <w:rsid w:val="00B81327"/>
    <w:rsid w:val="00B83B16"/>
    <w:rsid w:val="00B84724"/>
    <w:rsid w:val="00B855F0"/>
    <w:rsid w:val="00B861DF"/>
    <w:rsid w:val="00B861FF"/>
    <w:rsid w:val="00B86983"/>
    <w:rsid w:val="00B91703"/>
    <w:rsid w:val="00B9183C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4218"/>
    <w:rsid w:val="00BA50BB"/>
    <w:rsid w:val="00BA5216"/>
    <w:rsid w:val="00BB043F"/>
    <w:rsid w:val="00BB04F8"/>
    <w:rsid w:val="00BB0F03"/>
    <w:rsid w:val="00BB166E"/>
    <w:rsid w:val="00BB1F5D"/>
    <w:rsid w:val="00BB3115"/>
    <w:rsid w:val="00BB39B4"/>
    <w:rsid w:val="00BB4184"/>
    <w:rsid w:val="00BB4AC3"/>
    <w:rsid w:val="00BB5A48"/>
    <w:rsid w:val="00BB73F0"/>
    <w:rsid w:val="00BB7969"/>
    <w:rsid w:val="00BC014C"/>
    <w:rsid w:val="00BC14BD"/>
    <w:rsid w:val="00BC1EF9"/>
    <w:rsid w:val="00BC3679"/>
    <w:rsid w:val="00BC3B10"/>
    <w:rsid w:val="00BC4898"/>
    <w:rsid w:val="00BC6ACF"/>
    <w:rsid w:val="00BD2B77"/>
    <w:rsid w:val="00BD3506"/>
    <w:rsid w:val="00BD50B0"/>
    <w:rsid w:val="00BD5C2E"/>
    <w:rsid w:val="00BE13B3"/>
    <w:rsid w:val="00BE3666"/>
    <w:rsid w:val="00BE37CC"/>
    <w:rsid w:val="00BE39CA"/>
    <w:rsid w:val="00BE5ABE"/>
    <w:rsid w:val="00BE62C2"/>
    <w:rsid w:val="00BE6E4F"/>
    <w:rsid w:val="00BE7F9A"/>
    <w:rsid w:val="00BF302E"/>
    <w:rsid w:val="00BF31E6"/>
    <w:rsid w:val="00BF455D"/>
    <w:rsid w:val="00BF4FDA"/>
    <w:rsid w:val="00BF5398"/>
    <w:rsid w:val="00BF5F8B"/>
    <w:rsid w:val="00BF62D8"/>
    <w:rsid w:val="00BF7F05"/>
    <w:rsid w:val="00C01AB8"/>
    <w:rsid w:val="00C01BCA"/>
    <w:rsid w:val="00C02FCB"/>
    <w:rsid w:val="00C03188"/>
    <w:rsid w:val="00C070F2"/>
    <w:rsid w:val="00C11AD3"/>
    <w:rsid w:val="00C12406"/>
    <w:rsid w:val="00C12B87"/>
    <w:rsid w:val="00C13661"/>
    <w:rsid w:val="00C14B20"/>
    <w:rsid w:val="00C24A55"/>
    <w:rsid w:val="00C27723"/>
    <w:rsid w:val="00C30267"/>
    <w:rsid w:val="00C338A5"/>
    <w:rsid w:val="00C33D9A"/>
    <w:rsid w:val="00C34982"/>
    <w:rsid w:val="00C357B9"/>
    <w:rsid w:val="00C35828"/>
    <w:rsid w:val="00C36A36"/>
    <w:rsid w:val="00C408F8"/>
    <w:rsid w:val="00C41E35"/>
    <w:rsid w:val="00C429F3"/>
    <w:rsid w:val="00C43478"/>
    <w:rsid w:val="00C44145"/>
    <w:rsid w:val="00C46309"/>
    <w:rsid w:val="00C47253"/>
    <w:rsid w:val="00C548D1"/>
    <w:rsid w:val="00C54CAD"/>
    <w:rsid w:val="00C553CE"/>
    <w:rsid w:val="00C60CF5"/>
    <w:rsid w:val="00C61DA2"/>
    <w:rsid w:val="00C63266"/>
    <w:rsid w:val="00C66894"/>
    <w:rsid w:val="00C677C4"/>
    <w:rsid w:val="00C67A6D"/>
    <w:rsid w:val="00C70130"/>
    <w:rsid w:val="00C7038B"/>
    <w:rsid w:val="00C71B6A"/>
    <w:rsid w:val="00C736A7"/>
    <w:rsid w:val="00C74A15"/>
    <w:rsid w:val="00C771B0"/>
    <w:rsid w:val="00C7765D"/>
    <w:rsid w:val="00C805EF"/>
    <w:rsid w:val="00C80F03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787"/>
    <w:rsid w:val="00C96409"/>
    <w:rsid w:val="00C97CE3"/>
    <w:rsid w:val="00CA27A3"/>
    <w:rsid w:val="00CA5B32"/>
    <w:rsid w:val="00CA72F3"/>
    <w:rsid w:val="00CA741E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25B6"/>
    <w:rsid w:val="00CD33FB"/>
    <w:rsid w:val="00CD4299"/>
    <w:rsid w:val="00CD492A"/>
    <w:rsid w:val="00CD78B5"/>
    <w:rsid w:val="00CE307C"/>
    <w:rsid w:val="00CE30D4"/>
    <w:rsid w:val="00CE3DFA"/>
    <w:rsid w:val="00CE4265"/>
    <w:rsid w:val="00CE596A"/>
    <w:rsid w:val="00CE6EA1"/>
    <w:rsid w:val="00CE6FA1"/>
    <w:rsid w:val="00CF1542"/>
    <w:rsid w:val="00CF1953"/>
    <w:rsid w:val="00CF2697"/>
    <w:rsid w:val="00CF4D23"/>
    <w:rsid w:val="00CF5D7B"/>
    <w:rsid w:val="00CF63C4"/>
    <w:rsid w:val="00CF77AE"/>
    <w:rsid w:val="00D0089D"/>
    <w:rsid w:val="00D02191"/>
    <w:rsid w:val="00D0246D"/>
    <w:rsid w:val="00D02E41"/>
    <w:rsid w:val="00D030E4"/>
    <w:rsid w:val="00D05EDB"/>
    <w:rsid w:val="00D06C2B"/>
    <w:rsid w:val="00D1089A"/>
    <w:rsid w:val="00D1314F"/>
    <w:rsid w:val="00D1514D"/>
    <w:rsid w:val="00D16155"/>
    <w:rsid w:val="00D16B8B"/>
    <w:rsid w:val="00D16EDC"/>
    <w:rsid w:val="00D174D8"/>
    <w:rsid w:val="00D1783E"/>
    <w:rsid w:val="00D22821"/>
    <w:rsid w:val="00D238E8"/>
    <w:rsid w:val="00D24B49"/>
    <w:rsid w:val="00D252E0"/>
    <w:rsid w:val="00D25F70"/>
    <w:rsid w:val="00D26430"/>
    <w:rsid w:val="00D27F15"/>
    <w:rsid w:val="00D27FE0"/>
    <w:rsid w:val="00D32398"/>
    <w:rsid w:val="00D33DC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0F9D"/>
    <w:rsid w:val="00D510F3"/>
    <w:rsid w:val="00D51BDC"/>
    <w:rsid w:val="00D5257A"/>
    <w:rsid w:val="00D56B7C"/>
    <w:rsid w:val="00D57F52"/>
    <w:rsid w:val="00D60642"/>
    <w:rsid w:val="00D63802"/>
    <w:rsid w:val="00D63A38"/>
    <w:rsid w:val="00D658DC"/>
    <w:rsid w:val="00D67262"/>
    <w:rsid w:val="00D72E30"/>
    <w:rsid w:val="00D74919"/>
    <w:rsid w:val="00D8098E"/>
    <w:rsid w:val="00D8155E"/>
    <w:rsid w:val="00D8504F"/>
    <w:rsid w:val="00D850A1"/>
    <w:rsid w:val="00D85CA5"/>
    <w:rsid w:val="00D91037"/>
    <w:rsid w:val="00D928DD"/>
    <w:rsid w:val="00D93CCE"/>
    <w:rsid w:val="00D941AF"/>
    <w:rsid w:val="00D972E9"/>
    <w:rsid w:val="00DA2D77"/>
    <w:rsid w:val="00DA2EB6"/>
    <w:rsid w:val="00DA3468"/>
    <w:rsid w:val="00DA42E5"/>
    <w:rsid w:val="00DA4966"/>
    <w:rsid w:val="00DA4EB0"/>
    <w:rsid w:val="00DA5FED"/>
    <w:rsid w:val="00DA6058"/>
    <w:rsid w:val="00DA78FE"/>
    <w:rsid w:val="00DB0918"/>
    <w:rsid w:val="00DB10BF"/>
    <w:rsid w:val="00DB2577"/>
    <w:rsid w:val="00DB379C"/>
    <w:rsid w:val="00DB3CF8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00B1"/>
    <w:rsid w:val="00DD1349"/>
    <w:rsid w:val="00DD17E9"/>
    <w:rsid w:val="00DD3F49"/>
    <w:rsid w:val="00DD46AE"/>
    <w:rsid w:val="00DD5243"/>
    <w:rsid w:val="00DE1ADA"/>
    <w:rsid w:val="00DE31AF"/>
    <w:rsid w:val="00DE3FCC"/>
    <w:rsid w:val="00DE580E"/>
    <w:rsid w:val="00DE5C84"/>
    <w:rsid w:val="00DE5F53"/>
    <w:rsid w:val="00DE60F1"/>
    <w:rsid w:val="00DE66AC"/>
    <w:rsid w:val="00DF03CA"/>
    <w:rsid w:val="00DF1CAD"/>
    <w:rsid w:val="00DF2F73"/>
    <w:rsid w:val="00DF3C40"/>
    <w:rsid w:val="00DF796D"/>
    <w:rsid w:val="00DF7F9A"/>
    <w:rsid w:val="00E03956"/>
    <w:rsid w:val="00E05CEF"/>
    <w:rsid w:val="00E06664"/>
    <w:rsid w:val="00E06DE5"/>
    <w:rsid w:val="00E079B9"/>
    <w:rsid w:val="00E10F9E"/>
    <w:rsid w:val="00E13B68"/>
    <w:rsid w:val="00E13BFD"/>
    <w:rsid w:val="00E13D71"/>
    <w:rsid w:val="00E15EDD"/>
    <w:rsid w:val="00E16011"/>
    <w:rsid w:val="00E20D17"/>
    <w:rsid w:val="00E225D9"/>
    <w:rsid w:val="00E2278F"/>
    <w:rsid w:val="00E238EA"/>
    <w:rsid w:val="00E2427A"/>
    <w:rsid w:val="00E26A2E"/>
    <w:rsid w:val="00E3161F"/>
    <w:rsid w:val="00E33537"/>
    <w:rsid w:val="00E33724"/>
    <w:rsid w:val="00E341E0"/>
    <w:rsid w:val="00E34589"/>
    <w:rsid w:val="00E34B0A"/>
    <w:rsid w:val="00E36C87"/>
    <w:rsid w:val="00E37FD5"/>
    <w:rsid w:val="00E40405"/>
    <w:rsid w:val="00E404CB"/>
    <w:rsid w:val="00E41164"/>
    <w:rsid w:val="00E41DE9"/>
    <w:rsid w:val="00E4201B"/>
    <w:rsid w:val="00E42037"/>
    <w:rsid w:val="00E4463C"/>
    <w:rsid w:val="00E45A71"/>
    <w:rsid w:val="00E46DCF"/>
    <w:rsid w:val="00E47AF2"/>
    <w:rsid w:val="00E51F80"/>
    <w:rsid w:val="00E54E35"/>
    <w:rsid w:val="00E559A6"/>
    <w:rsid w:val="00E5643C"/>
    <w:rsid w:val="00E56B4A"/>
    <w:rsid w:val="00E577E9"/>
    <w:rsid w:val="00E57927"/>
    <w:rsid w:val="00E61E25"/>
    <w:rsid w:val="00E63C36"/>
    <w:rsid w:val="00E6433C"/>
    <w:rsid w:val="00E65503"/>
    <w:rsid w:val="00E66CD2"/>
    <w:rsid w:val="00E7277E"/>
    <w:rsid w:val="00E736E2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87706"/>
    <w:rsid w:val="00E92F84"/>
    <w:rsid w:val="00E93562"/>
    <w:rsid w:val="00E93854"/>
    <w:rsid w:val="00E94AEB"/>
    <w:rsid w:val="00E9774F"/>
    <w:rsid w:val="00E97BE7"/>
    <w:rsid w:val="00E97E68"/>
    <w:rsid w:val="00EA0E91"/>
    <w:rsid w:val="00EA737E"/>
    <w:rsid w:val="00EA76D0"/>
    <w:rsid w:val="00EB0EB4"/>
    <w:rsid w:val="00EB1433"/>
    <w:rsid w:val="00EB15F9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0C57"/>
    <w:rsid w:val="00ED1900"/>
    <w:rsid w:val="00ED2D1C"/>
    <w:rsid w:val="00ED2ED4"/>
    <w:rsid w:val="00ED591E"/>
    <w:rsid w:val="00ED758F"/>
    <w:rsid w:val="00EE1106"/>
    <w:rsid w:val="00EE22FA"/>
    <w:rsid w:val="00EE269B"/>
    <w:rsid w:val="00EE40A9"/>
    <w:rsid w:val="00EE4FC4"/>
    <w:rsid w:val="00EE5E79"/>
    <w:rsid w:val="00EE5E94"/>
    <w:rsid w:val="00EE5F51"/>
    <w:rsid w:val="00EE6501"/>
    <w:rsid w:val="00EE742D"/>
    <w:rsid w:val="00EE7763"/>
    <w:rsid w:val="00EE7B49"/>
    <w:rsid w:val="00EF42EB"/>
    <w:rsid w:val="00EF4B42"/>
    <w:rsid w:val="00EF56E9"/>
    <w:rsid w:val="00EF5C18"/>
    <w:rsid w:val="00EF6227"/>
    <w:rsid w:val="00F016D8"/>
    <w:rsid w:val="00F034F8"/>
    <w:rsid w:val="00F04CD5"/>
    <w:rsid w:val="00F0540D"/>
    <w:rsid w:val="00F07FCF"/>
    <w:rsid w:val="00F10450"/>
    <w:rsid w:val="00F121C7"/>
    <w:rsid w:val="00F1285F"/>
    <w:rsid w:val="00F13B26"/>
    <w:rsid w:val="00F149EE"/>
    <w:rsid w:val="00F14EC8"/>
    <w:rsid w:val="00F14F3A"/>
    <w:rsid w:val="00F1614C"/>
    <w:rsid w:val="00F1615C"/>
    <w:rsid w:val="00F17809"/>
    <w:rsid w:val="00F20D7B"/>
    <w:rsid w:val="00F20F8D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45BA"/>
    <w:rsid w:val="00F4575C"/>
    <w:rsid w:val="00F459A0"/>
    <w:rsid w:val="00F45AC2"/>
    <w:rsid w:val="00F45ED3"/>
    <w:rsid w:val="00F4663D"/>
    <w:rsid w:val="00F503F3"/>
    <w:rsid w:val="00F506C9"/>
    <w:rsid w:val="00F5321D"/>
    <w:rsid w:val="00F53A00"/>
    <w:rsid w:val="00F54288"/>
    <w:rsid w:val="00F54850"/>
    <w:rsid w:val="00F553D8"/>
    <w:rsid w:val="00F57421"/>
    <w:rsid w:val="00F60EAF"/>
    <w:rsid w:val="00F62247"/>
    <w:rsid w:val="00F63669"/>
    <w:rsid w:val="00F65595"/>
    <w:rsid w:val="00F65665"/>
    <w:rsid w:val="00F6576E"/>
    <w:rsid w:val="00F67166"/>
    <w:rsid w:val="00F726EE"/>
    <w:rsid w:val="00F73F46"/>
    <w:rsid w:val="00F74ED6"/>
    <w:rsid w:val="00F75671"/>
    <w:rsid w:val="00F765E2"/>
    <w:rsid w:val="00F7783F"/>
    <w:rsid w:val="00F77BAC"/>
    <w:rsid w:val="00F80A32"/>
    <w:rsid w:val="00F8205B"/>
    <w:rsid w:val="00F84268"/>
    <w:rsid w:val="00F846F9"/>
    <w:rsid w:val="00F8631C"/>
    <w:rsid w:val="00F86758"/>
    <w:rsid w:val="00F91264"/>
    <w:rsid w:val="00F91FD9"/>
    <w:rsid w:val="00F931D1"/>
    <w:rsid w:val="00F945BD"/>
    <w:rsid w:val="00F96676"/>
    <w:rsid w:val="00F9761B"/>
    <w:rsid w:val="00F97BCF"/>
    <w:rsid w:val="00FA0763"/>
    <w:rsid w:val="00FA11F2"/>
    <w:rsid w:val="00FA338B"/>
    <w:rsid w:val="00FA6994"/>
    <w:rsid w:val="00FA6F31"/>
    <w:rsid w:val="00FA7755"/>
    <w:rsid w:val="00FB1248"/>
    <w:rsid w:val="00FB1E24"/>
    <w:rsid w:val="00FB293B"/>
    <w:rsid w:val="00FB49E9"/>
    <w:rsid w:val="00FB4FC8"/>
    <w:rsid w:val="00FB5819"/>
    <w:rsid w:val="00FB7419"/>
    <w:rsid w:val="00FC28D6"/>
    <w:rsid w:val="00FC2D17"/>
    <w:rsid w:val="00FC2D85"/>
    <w:rsid w:val="00FC2E84"/>
    <w:rsid w:val="00FC62E0"/>
    <w:rsid w:val="00FD4A8D"/>
    <w:rsid w:val="00FD4E9B"/>
    <w:rsid w:val="00FD5148"/>
    <w:rsid w:val="00FD73A4"/>
    <w:rsid w:val="00FD7989"/>
    <w:rsid w:val="00FD79BB"/>
    <w:rsid w:val="00FE0135"/>
    <w:rsid w:val="00FE1CED"/>
    <w:rsid w:val="00FE260E"/>
    <w:rsid w:val="00FE2D06"/>
    <w:rsid w:val="00FE39B9"/>
    <w:rsid w:val="00FE3DD1"/>
    <w:rsid w:val="00FE3E27"/>
    <w:rsid w:val="00FE64D2"/>
    <w:rsid w:val="00FF2906"/>
    <w:rsid w:val="00FF2A9C"/>
    <w:rsid w:val="00FF50AB"/>
    <w:rsid w:val="00FF5C67"/>
    <w:rsid w:val="00FF618E"/>
    <w:rsid w:val="00FF61BD"/>
    <w:rsid w:val="00FF6289"/>
    <w:rsid w:val="00FF67A1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0744D"/>
  <w15:docId w15:val="{26E3BDD5-1416-4A6B-93F9-FCA07F7A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538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7053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70538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70538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70538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31CF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31CF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31CF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31CF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31CF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7053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70538"/>
  </w:style>
  <w:style w:type="paragraph" w:customStyle="1" w:styleId="00ClientCover">
    <w:name w:val="00ClientCover"/>
    <w:basedOn w:val="Normal"/>
    <w:rsid w:val="00370538"/>
  </w:style>
  <w:style w:type="paragraph" w:customStyle="1" w:styleId="02Text">
    <w:name w:val="02Text"/>
    <w:basedOn w:val="Normal"/>
    <w:rsid w:val="00370538"/>
  </w:style>
  <w:style w:type="paragraph" w:customStyle="1" w:styleId="BillBasic">
    <w:name w:val="BillBasic"/>
    <w:link w:val="BillBasicChar"/>
    <w:rsid w:val="00370538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705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70538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70538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7053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70538"/>
    <w:pPr>
      <w:spacing w:before="240"/>
    </w:pPr>
  </w:style>
  <w:style w:type="paragraph" w:customStyle="1" w:styleId="EnactingWords">
    <w:name w:val="EnactingWords"/>
    <w:basedOn w:val="BillBasic"/>
    <w:rsid w:val="00370538"/>
    <w:pPr>
      <w:spacing w:before="120"/>
    </w:pPr>
  </w:style>
  <w:style w:type="paragraph" w:customStyle="1" w:styleId="Amain">
    <w:name w:val="A main"/>
    <w:basedOn w:val="BillBasic"/>
    <w:rsid w:val="0037053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370538"/>
    <w:pPr>
      <w:ind w:left="1100"/>
    </w:pPr>
  </w:style>
  <w:style w:type="paragraph" w:customStyle="1" w:styleId="Apara">
    <w:name w:val="A para"/>
    <w:basedOn w:val="BillBasic"/>
    <w:rsid w:val="0037053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37053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7053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370538"/>
    <w:pPr>
      <w:ind w:left="1100"/>
    </w:pPr>
  </w:style>
  <w:style w:type="paragraph" w:customStyle="1" w:styleId="aExamHead">
    <w:name w:val="aExam Head"/>
    <w:basedOn w:val="BillBasicHeading"/>
    <w:next w:val="aExam"/>
    <w:rsid w:val="00370538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70538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70538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70538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70538"/>
    <w:pPr>
      <w:spacing w:before="120" w:after="60"/>
    </w:pPr>
  </w:style>
  <w:style w:type="paragraph" w:customStyle="1" w:styleId="HeaderOdd6">
    <w:name w:val="HeaderOdd6"/>
    <w:basedOn w:val="HeaderEven6"/>
    <w:rsid w:val="00370538"/>
    <w:pPr>
      <w:jc w:val="right"/>
    </w:pPr>
  </w:style>
  <w:style w:type="paragraph" w:customStyle="1" w:styleId="HeaderOdd">
    <w:name w:val="HeaderOdd"/>
    <w:basedOn w:val="HeaderEven"/>
    <w:rsid w:val="00370538"/>
    <w:pPr>
      <w:jc w:val="right"/>
    </w:pPr>
  </w:style>
  <w:style w:type="paragraph" w:customStyle="1" w:styleId="N-TOCheading">
    <w:name w:val="N-TOCheading"/>
    <w:basedOn w:val="BillBasicHeading"/>
    <w:next w:val="N-9pt"/>
    <w:rsid w:val="00370538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70538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70538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70538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70538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70538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70538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70538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70538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70538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70538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70538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70538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70538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70538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70538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70538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70538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70538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70538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370538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370538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70538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31CF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70538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70538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70538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70538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70538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370538"/>
    <w:rPr>
      <w:rFonts w:ascii="Arial" w:hAnsi="Arial"/>
      <w:sz w:val="16"/>
    </w:rPr>
  </w:style>
  <w:style w:type="paragraph" w:customStyle="1" w:styleId="PageBreak">
    <w:name w:val="PageBreak"/>
    <w:basedOn w:val="Normal"/>
    <w:rsid w:val="00370538"/>
    <w:rPr>
      <w:sz w:val="4"/>
    </w:rPr>
  </w:style>
  <w:style w:type="paragraph" w:customStyle="1" w:styleId="04Dictionary">
    <w:name w:val="04Dictionary"/>
    <w:basedOn w:val="Normal"/>
    <w:rsid w:val="00370538"/>
  </w:style>
  <w:style w:type="paragraph" w:customStyle="1" w:styleId="N-line1">
    <w:name w:val="N-line1"/>
    <w:basedOn w:val="BillBasic"/>
    <w:rsid w:val="00370538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7053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70538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70538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370538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70538"/>
  </w:style>
  <w:style w:type="paragraph" w:customStyle="1" w:styleId="03Schedule">
    <w:name w:val="03Schedule"/>
    <w:basedOn w:val="Normal"/>
    <w:rsid w:val="00370538"/>
  </w:style>
  <w:style w:type="paragraph" w:customStyle="1" w:styleId="ISched-heading">
    <w:name w:val="I Sched-heading"/>
    <w:basedOn w:val="BillBasicHeading"/>
    <w:next w:val="Normal"/>
    <w:rsid w:val="00370538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70538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70538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70538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70538"/>
  </w:style>
  <w:style w:type="paragraph" w:customStyle="1" w:styleId="Ipara">
    <w:name w:val="I para"/>
    <w:basedOn w:val="Apara"/>
    <w:rsid w:val="00370538"/>
    <w:pPr>
      <w:outlineLvl w:val="9"/>
    </w:pPr>
  </w:style>
  <w:style w:type="paragraph" w:customStyle="1" w:styleId="Isubpara">
    <w:name w:val="I subpara"/>
    <w:basedOn w:val="Asubpara"/>
    <w:rsid w:val="0037053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7053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70538"/>
  </w:style>
  <w:style w:type="character" w:customStyle="1" w:styleId="CharDivNo">
    <w:name w:val="CharDivNo"/>
    <w:basedOn w:val="DefaultParagraphFont"/>
    <w:rsid w:val="00370538"/>
  </w:style>
  <w:style w:type="character" w:customStyle="1" w:styleId="CharDivText">
    <w:name w:val="CharDivText"/>
    <w:basedOn w:val="DefaultParagraphFont"/>
    <w:rsid w:val="00370538"/>
  </w:style>
  <w:style w:type="character" w:customStyle="1" w:styleId="CharPartNo">
    <w:name w:val="CharPartNo"/>
    <w:basedOn w:val="DefaultParagraphFont"/>
    <w:rsid w:val="00370538"/>
  </w:style>
  <w:style w:type="paragraph" w:customStyle="1" w:styleId="Placeholder">
    <w:name w:val="Placeholder"/>
    <w:basedOn w:val="Normal"/>
    <w:rsid w:val="00370538"/>
    <w:rPr>
      <w:sz w:val="10"/>
    </w:rPr>
  </w:style>
  <w:style w:type="paragraph" w:styleId="PlainText">
    <w:name w:val="Plain Text"/>
    <w:basedOn w:val="Normal"/>
    <w:rsid w:val="00370538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70538"/>
  </w:style>
  <w:style w:type="character" w:customStyle="1" w:styleId="CharChapText">
    <w:name w:val="CharChapText"/>
    <w:basedOn w:val="DefaultParagraphFont"/>
    <w:rsid w:val="00370538"/>
  </w:style>
  <w:style w:type="character" w:customStyle="1" w:styleId="CharPartText">
    <w:name w:val="CharPartText"/>
    <w:basedOn w:val="DefaultParagraphFont"/>
    <w:rsid w:val="00370538"/>
  </w:style>
  <w:style w:type="paragraph" w:styleId="TOC1">
    <w:name w:val="toc 1"/>
    <w:basedOn w:val="Normal"/>
    <w:next w:val="Normal"/>
    <w:autoRedefine/>
    <w:rsid w:val="00370538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7053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37053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370538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370538"/>
  </w:style>
  <w:style w:type="paragraph" w:styleId="Title">
    <w:name w:val="Title"/>
    <w:basedOn w:val="Normal"/>
    <w:qFormat/>
    <w:rsid w:val="00931CF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70538"/>
    <w:pPr>
      <w:ind w:left="4252"/>
    </w:pPr>
  </w:style>
  <w:style w:type="paragraph" w:customStyle="1" w:styleId="ActNo">
    <w:name w:val="ActNo"/>
    <w:basedOn w:val="BillBasicHeading"/>
    <w:rsid w:val="00370538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70538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70538"/>
    <w:pPr>
      <w:ind w:left="1500" w:hanging="400"/>
    </w:pPr>
  </w:style>
  <w:style w:type="paragraph" w:customStyle="1" w:styleId="LongTitle">
    <w:name w:val="LongTitle"/>
    <w:basedOn w:val="BillBasic"/>
    <w:rsid w:val="00370538"/>
    <w:pPr>
      <w:spacing w:before="300"/>
    </w:pPr>
  </w:style>
  <w:style w:type="paragraph" w:customStyle="1" w:styleId="Minister">
    <w:name w:val="Minister"/>
    <w:basedOn w:val="BillBasic"/>
    <w:rsid w:val="00370538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70538"/>
    <w:pPr>
      <w:tabs>
        <w:tab w:val="left" w:pos="4320"/>
      </w:tabs>
    </w:pPr>
  </w:style>
  <w:style w:type="paragraph" w:customStyle="1" w:styleId="madeunder">
    <w:name w:val="made under"/>
    <w:basedOn w:val="BillBasic"/>
    <w:rsid w:val="00370538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70538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70538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70538"/>
    <w:rPr>
      <w:i/>
    </w:rPr>
  </w:style>
  <w:style w:type="paragraph" w:customStyle="1" w:styleId="00SigningPage">
    <w:name w:val="00SigningPage"/>
    <w:basedOn w:val="Normal"/>
    <w:rsid w:val="00370538"/>
  </w:style>
  <w:style w:type="paragraph" w:customStyle="1" w:styleId="Aparareturn">
    <w:name w:val="A para return"/>
    <w:basedOn w:val="BillBasic"/>
    <w:rsid w:val="00370538"/>
    <w:pPr>
      <w:ind w:left="1600"/>
    </w:pPr>
  </w:style>
  <w:style w:type="paragraph" w:customStyle="1" w:styleId="Asubparareturn">
    <w:name w:val="A subpara return"/>
    <w:basedOn w:val="BillBasic"/>
    <w:rsid w:val="00370538"/>
    <w:pPr>
      <w:ind w:left="2100"/>
    </w:pPr>
  </w:style>
  <w:style w:type="paragraph" w:customStyle="1" w:styleId="CommentNum">
    <w:name w:val="CommentNum"/>
    <w:basedOn w:val="Comment"/>
    <w:rsid w:val="00370538"/>
    <w:pPr>
      <w:ind w:left="1800" w:hanging="1800"/>
    </w:pPr>
  </w:style>
  <w:style w:type="paragraph" w:styleId="TOC8">
    <w:name w:val="toc 8"/>
    <w:basedOn w:val="TOC3"/>
    <w:next w:val="Normal"/>
    <w:autoRedefine/>
    <w:rsid w:val="00370538"/>
    <w:pPr>
      <w:keepNext w:val="0"/>
      <w:spacing w:before="120"/>
    </w:pPr>
  </w:style>
  <w:style w:type="paragraph" w:customStyle="1" w:styleId="Judges">
    <w:name w:val="Judges"/>
    <w:basedOn w:val="Minister"/>
    <w:rsid w:val="00370538"/>
    <w:pPr>
      <w:spacing w:before="180"/>
    </w:pPr>
  </w:style>
  <w:style w:type="paragraph" w:customStyle="1" w:styleId="BillFor">
    <w:name w:val="BillFor"/>
    <w:basedOn w:val="BillBasicHeading"/>
    <w:rsid w:val="00370538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70538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370538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70538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70538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70538"/>
    <w:pPr>
      <w:spacing w:before="60"/>
      <w:ind w:left="2540" w:hanging="400"/>
    </w:pPr>
  </w:style>
  <w:style w:type="paragraph" w:customStyle="1" w:styleId="aDefpara">
    <w:name w:val="aDef para"/>
    <w:basedOn w:val="Apara"/>
    <w:rsid w:val="00370538"/>
  </w:style>
  <w:style w:type="paragraph" w:customStyle="1" w:styleId="aDefsubpara">
    <w:name w:val="aDef subpara"/>
    <w:basedOn w:val="Asubpara"/>
    <w:rsid w:val="00370538"/>
  </w:style>
  <w:style w:type="paragraph" w:customStyle="1" w:styleId="Idefpara">
    <w:name w:val="I def para"/>
    <w:basedOn w:val="Ipara"/>
    <w:rsid w:val="00370538"/>
  </w:style>
  <w:style w:type="paragraph" w:customStyle="1" w:styleId="Idefsubpara">
    <w:name w:val="I def subpara"/>
    <w:basedOn w:val="Isubpara"/>
    <w:rsid w:val="00370538"/>
  </w:style>
  <w:style w:type="paragraph" w:customStyle="1" w:styleId="Notified">
    <w:name w:val="Notified"/>
    <w:basedOn w:val="BillBasic"/>
    <w:rsid w:val="00370538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70538"/>
  </w:style>
  <w:style w:type="paragraph" w:customStyle="1" w:styleId="IDict-Heading">
    <w:name w:val="I Dict-Heading"/>
    <w:basedOn w:val="BillBasicHeading"/>
    <w:rsid w:val="00370538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70538"/>
  </w:style>
  <w:style w:type="paragraph" w:styleId="Salutation">
    <w:name w:val="Salutation"/>
    <w:basedOn w:val="Normal"/>
    <w:next w:val="Normal"/>
    <w:rsid w:val="00931CFA"/>
  </w:style>
  <w:style w:type="paragraph" w:customStyle="1" w:styleId="aNoteBullet">
    <w:name w:val="aNoteBullet"/>
    <w:basedOn w:val="aNoteSymb"/>
    <w:rsid w:val="00370538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31CF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70538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70538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70538"/>
    <w:pPr>
      <w:spacing w:before="60"/>
      <w:ind w:firstLine="0"/>
    </w:pPr>
  </w:style>
  <w:style w:type="paragraph" w:customStyle="1" w:styleId="MinisterWord">
    <w:name w:val="MinisterWord"/>
    <w:basedOn w:val="Normal"/>
    <w:rsid w:val="00370538"/>
    <w:pPr>
      <w:spacing w:before="60"/>
      <w:jc w:val="right"/>
    </w:pPr>
  </w:style>
  <w:style w:type="paragraph" w:customStyle="1" w:styleId="aExamPara">
    <w:name w:val="aExamPara"/>
    <w:basedOn w:val="aExam"/>
    <w:rsid w:val="0037053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70538"/>
    <w:pPr>
      <w:ind w:left="1500"/>
    </w:pPr>
  </w:style>
  <w:style w:type="paragraph" w:customStyle="1" w:styleId="aExamBullet">
    <w:name w:val="aExamBullet"/>
    <w:basedOn w:val="aExam"/>
    <w:rsid w:val="00370538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70538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70538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70538"/>
    <w:rPr>
      <w:sz w:val="20"/>
    </w:rPr>
  </w:style>
  <w:style w:type="paragraph" w:customStyle="1" w:styleId="aParaNotePara">
    <w:name w:val="aParaNotePara"/>
    <w:basedOn w:val="aNoteParaSymb"/>
    <w:rsid w:val="00370538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70538"/>
    <w:rPr>
      <w:b/>
    </w:rPr>
  </w:style>
  <w:style w:type="character" w:customStyle="1" w:styleId="charBoldItals">
    <w:name w:val="charBoldItals"/>
    <w:basedOn w:val="DefaultParagraphFont"/>
    <w:rsid w:val="00370538"/>
    <w:rPr>
      <w:b/>
      <w:i/>
    </w:rPr>
  </w:style>
  <w:style w:type="character" w:customStyle="1" w:styleId="charItals">
    <w:name w:val="charItals"/>
    <w:basedOn w:val="DefaultParagraphFont"/>
    <w:rsid w:val="00370538"/>
    <w:rPr>
      <w:i/>
    </w:rPr>
  </w:style>
  <w:style w:type="character" w:customStyle="1" w:styleId="charUnderline">
    <w:name w:val="charUnderline"/>
    <w:basedOn w:val="DefaultParagraphFont"/>
    <w:rsid w:val="00370538"/>
    <w:rPr>
      <w:u w:val="single"/>
    </w:rPr>
  </w:style>
  <w:style w:type="paragraph" w:customStyle="1" w:styleId="TableHd">
    <w:name w:val="TableHd"/>
    <w:basedOn w:val="Normal"/>
    <w:rsid w:val="00370538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70538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70538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7053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7053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70538"/>
    <w:pPr>
      <w:spacing w:before="60" w:after="60"/>
    </w:pPr>
  </w:style>
  <w:style w:type="paragraph" w:customStyle="1" w:styleId="IshadedH5Sec">
    <w:name w:val="I shaded H5 Sec"/>
    <w:basedOn w:val="AH5Sec"/>
    <w:rsid w:val="00370538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70538"/>
  </w:style>
  <w:style w:type="paragraph" w:customStyle="1" w:styleId="Penalty">
    <w:name w:val="Penalty"/>
    <w:basedOn w:val="Amainreturn"/>
    <w:rsid w:val="00370538"/>
  </w:style>
  <w:style w:type="paragraph" w:customStyle="1" w:styleId="aNoteText">
    <w:name w:val="aNoteText"/>
    <w:basedOn w:val="aNoteSymb"/>
    <w:rsid w:val="00370538"/>
    <w:pPr>
      <w:spacing w:before="60"/>
      <w:ind w:firstLine="0"/>
    </w:pPr>
  </w:style>
  <w:style w:type="paragraph" w:customStyle="1" w:styleId="aExamINum">
    <w:name w:val="aExamINum"/>
    <w:basedOn w:val="aExam"/>
    <w:rsid w:val="00931CF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70538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31CFA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70538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70538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70538"/>
    <w:pPr>
      <w:ind w:left="1600"/>
    </w:pPr>
  </w:style>
  <w:style w:type="paragraph" w:customStyle="1" w:styleId="aExampar">
    <w:name w:val="aExampar"/>
    <w:basedOn w:val="aExamss"/>
    <w:rsid w:val="00370538"/>
    <w:pPr>
      <w:ind w:left="1600"/>
    </w:pPr>
  </w:style>
  <w:style w:type="paragraph" w:customStyle="1" w:styleId="aExamINumss">
    <w:name w:val="aExamINumss"/>
    <w:basedOn w:val="aExamss"/>
    <w:rsid w:val="00370538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70538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70538"/>
    <w:pPr>
      <w:ind w:left="1500"/>
    </w:pPr>
  </w:style>
  <w:style w:type="paragraph" w:customStyle="1" w:styleId="aExamNumTextpar">
    <w:name w:val="aExamNumTextpar"/>
    <w:basedOn w:val="aExampar"/>
    <w:rsid w:val="00931CFA"/>
    <w:pPr>
      <w:ind w:left="2000"/>
    </w:pPr>
  </w:style>
  <w:style w:type="paragraph" w:customStyle="1" w:styleId="aExamBulletss">
    <w:name w:val="aExamBulletss"/>
    <w:basedOn w:val="aExamss"/>
    <w:rsid w:val="00370538"/>
    <w:pPr>
      <w:ind w:left="1500" w:hanging="400"/>
    </w:pPr>
  </w:style>
  <w:style w:type="paragraph" w:customStyle="1" w:styleId="aExamBulletpar">
    <w:name w:val="aExamBulletpar"/>
    <w:basedOn w:val="aExampar"/>
    <w:rsid w:val="00370538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70538"/>
    <w:pPr>
      <w:ind w:left="2140"/>
    </w:pPr>
  </w:style>
  <w:style w:type="paragraph" w:customStyle="1" w:styleId="aExamsubpar">
    <w:name w:val="aExamsubpar"/>
    <w:basedOn w:val="aExamss"/>
    <w:rsid w:val="00370538"/>
    <w:pPr>
      <w:ind w:left="2140"/>
    </w:pPr>
  </w:style>
  <w:style w:type="paragraph" w:customStyle="1" w:styleId="aExamNumsubpar">
    <w:name w:val="aExamNumsubpar"/>
    <w:basedOn w:val="aExamsubpar"/>
    <w:rsid w:val="00370538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31CFA"/>
    <w:pPr>
      <w:ind w:left="2540"/>
    </w:pPr>
  </w:style>
  <w:style w:type="paragraph" w:customStyle="1" w:styleId="aExamBulletsubpar">
    <w:name w:val="aExamBulletsubpar"/>
    <w:basedOn w:val="aExamsubpar"/>
    <w:rsid w:val="00370538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370538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70538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70538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70538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70538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31CF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370538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370538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70538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70538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70538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31CF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31CF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70538"/>
  </w:style>
  <w:style w:type="paragraph" w:customStyle="1" w:styleId="SchApara">
    <w:name w:val="Sch A para"/>
    <w:basedOn w:val="Apara"/>
    <w:rsid w:val="00370538"/>
  </w:style>
  <w:style w:type="paragraph" w:customStyle="1" w:styleId="SchAsubpara">
    <w:name w:val="Sch A subpara"/>
    <w:basedOn w:val="Asubpara"/>
    <w:rsid w:val="00370538"/>
  </w:style>
  <w:style w:type="paragraph" w:customStyle="1" w:styleId="SchAsubsubpara">
    <w:name w:val="Sch A subsubpara"/>
    <w:basedOn w:val="Asubsubpara"/>
    <w:rsid w:val="00370538"/>
  </w:style>
  <w:style w:type="paragraph" w:customStyle="1" w:styleId="TOCOL1">
    <w:name w:val="TOCOL 1"/>
    <w:basedOn w:val="TOC1"/>
    <w:rsid w:val="00370538"/>
  </w:style>
  <w:style w:type="paragraph" w:customStyle="1" w:styleId="TOCOL2">
    <w:name w:val="TOCOL 2"/>
    <w:basedOn w:val="TOC2"/>
    <w:rsid w:val="00370538"/>
    <w:pPr>
      <w:keepNext w:val="0"/>
    </w:pPr>
  </w:style>
  <w:style w:type="paragraph" w:customStyle="1" w:styleId="TOCOL3">
    <w:name w:val="TOCOL 3"/>
    <w:basedOn w:val="TOC3"/>
    <w:rsid w:val="00370538"/>
    <w:pPr>
      <w:keepNext w:val="0"/>
    </w:pPr>
  </w:style>
  <w:style w:type="paragraph" w:customStyle="1" w:styleId="TOCOL4">
    <w:name w:val="TOCOL 4"/>
    <w:basedOn w:val="TOC4"/>
    <w:rsid w:val="00370538"/>
    <w:pPr>
      <w:keepNext w:val="0"/>
    </w:pPr>
  </w:style>
  <w:style w:type="paragraph" w:customStyle="1" w:styleId="TOCOL5">
    <w:name w:val="TOCOL 5"/>
    <w:basedOn w:val="TOC5"/>
    <w:rsid w:val="00370538"/>
    <w:pPr>
      <w:tabs>
        <w:tab w:val="left" w:pos="400"/>
      </w:tabs>
    </w:pPr>
  </w:style>
  <w:style w:type="paragraph" w:customStyle="1" w:styleId="TOCOL6">
    <w:name w:val="TOCOL 6"/>
    <w:basedOn w:val="TOC6"/>
    <w:rsid w:val="00370538"/>
    <w:pPr>
      <w:keepNext w:val="0"/>
    </w:pPr>
  </w:style>
  <w:style w:type="paragraph" w:customStyle="1" w:styleId="TOCOL7">
    <w:name w:val="TOCOL 7"/>
    <w:basedOn w:val="TOC7"/>
    <w:rsid w:val="00370538"/>
  </w:style>
  <w:style w:type="paragraph" w:customStyle="1" w:styleId="TOCOL8">
    <w:name w:val="TOCOL 8"/>
    <w:basedOn w:val="TOC8"/>
    <w:rsid w:val="00370538"/>
  </w:style>
  <w:style w:type="paragraph" w:customStyle="1" w:styleId="TOCOL9">
    <w:name w:val="TOCOL 9"/>
    <w:basedOn w:val="TOC9"/>
    <w:rsid w:val="00370538"/>
    <w:pPr>
      <w:ind w:right="0"/>
    </w:pPr>
  </w:style>
  <w:style w:type="paragraph" w:styleId="TOC9">
    <w:name w:val="toc 9"/>
    <w:basedOn w:val="Normal"/>
    <w:next w:val="Normal"/>
    <w:autoRedefine/>
    <w:rsid w:val="00370538"/>
    <w:pPr>
      <w:ind w:left="1920" w:right="600"/>
    </w:pPr>
  </w:style>
  <w:style w:type="paragraph" w:customStyle="1" w:styleId="Billname1">
    <w:name w:val="Billname1"/>
    <w:basedOn w:val="Normal"/>
    <w:rsid w:val="00370538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70538"/>
    <w:rPr>
      <w:sz w:val="20"/>
    </w:rPr>
  </w:style>
  <w:style w:type="paragraph" w:customStyle="1" w:styleId="TablePara10">
    <w:name w:val="TablePara10"/>
    <w:basedOn w:val="tablepara"/>
    <w:rsid w:val="00370538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70538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70538"/>
  </w:style>
  <w:style w:type="character" w:customStyle="1" w:styleId="charPage">
    <w:name w:val="charPage"/>
    <w:basedOn w:val="DefaultParagraphFont"/>
    <w:rsid w:val="00370538"/>
  </w:style>
  <w:style w:type="character" w:styleId="PageNumber">
    <w:name w:val="page number"/>
    <w:basedOn w:val="DefaultParagraphFont"/>
    <w:rsid w:val="00370538"/>
  </w:style>
  <w:style w:type="paragraph" w:customStyle="1" w:styleId="Letterhead">
    <w:name w:val="Letterhead"/>
    <w:rsid w:val="00370538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31CF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31CF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70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70538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31CFA"/>
  </w:style>
  <w:style w:type="character" w:customStyle="1" w:styleId="FooterChar">
    <w:name w:val="Footer Char"/>
    <w:basedOn w:val="DefaultParagraphFont"/>
    <w:link w:val="Footer"/>
    <w:rsid w:val="00370538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70538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70538"/>
  </w:style>
  <w:style w:type="paragraph" w:customStyle="1" w:styleId="TableBullet">
    <w:name w:val="TableBullet"/>
    <w:basedOn w:val="TableText10"/>
    <w:qFormat/>
    <w:rsid w:val="00370538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370538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70538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31CF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31CF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70538"/>
    <w:pPr>
      <w:numPr>
        <w:numId w:val="5"/>
      </w:numPr>
    </w:pPr>
  </w:style>
  <w:style w:type="paragraph" w:customStyle="1" w:styleId="ISchMain">
    <w:name w:val="I Sch Main"/>
    <w:basedOn w:val="BillBasic"/>
    <w:rsid w:val="00370538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70538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70538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70538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370538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70538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70538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70538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70538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70538"/>
    <w:rPr>
      <w:sz w:val="24"/>
      <w:lang w:eastAsia="en-US"/>
    </w:rPr>
  </w:style>
  <w:style w:type="paragraph" w:customStyle="1" w:styleId="Status">
    <w:name w:val="Status"/>
    <w:basedOn w:val="Normal"/>
    <w:rsid w:val="00370538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370538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31CFA"/>
  </w:style>
  <w:style w:type="character" w:styleId="UnresolvedMention">
    <w:name w:val="Unresolved Mention"/>
    <w:basedOn w:val="DefaultParagraphFont"/>
    <w:uiPriority w:val="99"/>
    <w:semiHidden/>
    <w:unhideWhenUsed/>
    <w:rsid w:val="003705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8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0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0F1"/>
    <w:rPr>
      <w:lang w:eastAsia="en-US"/>
    </w:rPr>
  </w:style>
  <w:style w:type="paragraph" w:customStyle="1" w:styleId="00Spine">
    <w:name w:val="00Spine"/>
    <w:basedOn w:val="Normal"/>
    <w:rsid w:val="00370538"/>
  </w:style>
  <w:style w:type="paragraph" w:customStyle="1" w:styleId="05Endnote0">
    <w:name w:val="05Endnote"/>
    <w:basedOn w:val="Normal"/>
    <w:rsid w:val="00370538"/>
  </w:style>
  <w:style w:type="paragraph" w:customStyle="1" w:styleId="06Copyright">
    <w:name w:val="06Copyright"/>
    <w:basedOn w:val="Normal"/>
    <w:rsid w:val="00370538"/>
  </w:style>
  <w:style w:type="paragraph" w:customStyle="1" w:styleId="RepubNo">
    <w:name w:val="RepubNo"/>
    <w:basedOn w:val="BillBasicHeading"/>
    <w:rsid w:val="00370538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70538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70538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70538"/>
    <w:rPr>
      <w:rFonts w:ascii="Arial" w:hAnsi="Arial"/>
      <w:b/>
    </w:rPr>
  </w:style>
  <w:style w:type="paragraph" w:customStyle="1" w:styleId="CoverSubHdg">
    <w:name w:val="CoverSubHdg"/>
    <w:basedOn w:val="CoverHeading"/>
    <w:rsid w:val="00370538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70538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70538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70538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70538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70538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7053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70538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70538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70538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7053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70538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70538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70538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70538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70538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70538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70538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70538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70538"/>
  </w:style>
  <w:style w:type="character" w:customStyle="1" w:styleId="charTableText">
    <w:name w:val="charTableText"/>
    <w:basedOn w:val="DefaultParagraphFont"/>
    <w:rsid w:val="00370538"/>
  </w:style>
  <w:style w:type="paragraph" w:customStyle="1" w:styleId="Dict-HeadingSymb">
    <w:name w:val="Dict-Heading Symb"/>
    <w:basedOn w:val="Dict-Heading"/>
    <w:rsid w:val="00370538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70538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70538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70538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70538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705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70538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70538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70538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70538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70538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70538"/>
    <w:pPr>
      <w:ind w:hanging="480"/>
    </w:pPr>
  </w:style>
  <w:style w:type="paragraph" w:styleId="MacroText">
    <w:name w:val="macro"/>
    <w:link w:val="MacroTextChar"/>
    <w:semiHidden/>
    <w:rsid w:val="003705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70538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70538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70538"/>
  </w:style>
  <w:style w:type="paragraph" w:customStyle="1" w:styleId="RenumProvEntries">
    <w:name w:val="RenumProvEntries"/>
    <w:basedOn w:val="Normal"/>
    <w:rsid w:val="00370538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70538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70538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70538"/>
    <w:pPr>
      <w:ind w:left="252"/>
    </w:pPr>
  </w:style>
  <w:style w:type="paragraph" w:customStyle="1" w:styleId="RenumTableHdg">
    <w:name w:val="RenumTableHdg"/>
    <w:basedOn w:val="Normal"/>
    <w:rsid w:val="00370538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70538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70538"/>
    <w:rPr>
      <w:b w:val="0"/>
    </w:rPr>
  </w:style>
  <w:style w:type="paragraph" w:customStyle="1" w:styleId="Sched-FormSymb">
    <w:name w:val="Sched-Form Symb"/>
    <w:basedOn w:val="Sched-Form"/>
    <w:rsid w:val="0037053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7053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70538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7053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70538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70538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70538"/>
    <w:pPr>
      <w:ind w:firstLine="0"/>
    </w:pPr>
    <w:rPr>
      <w:b/>
    </w:rPr>
  </w:style>
  <w:style w:type="paragraph" w:customStyle="1" w:styleId="EndNoteTextPub">
    <w:name w:val="EndNoteTextPub"/>
    <w:basedOn w:val="Normal"/>
    <w:rsid w:val="00370538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70538"/>
    <w:rPr>
      <w:szCs w:val="24"/>
    </w:rPr>
  </w:style>
  <w:style w:type="character" w:customStyle="1" w:styleId="charNotBold">
    <w:name w:val="charNotBold"/>
    <w:basedOn w:val="DefaultParagraphFont"/>
    <w:rsid w:val="00370538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70538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370538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370538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70538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70538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70538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70538"/>
    <w:pPr>
      <w:tabs>
        <w:tab w:val="left" w:pos="2700"/>
      </w:tabs>
      <w:spacing w:before="0"/>
    </w:pPr>
  </w:style>
  <w:style w:type="paragraph" w:customStyle="1" w:styleId="parainpara">
    <w:name w:val="para in para"/>
    <w:rsid w:val="00370538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70538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70538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7053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70538"/>
    <w:rPr>
      <w:b w:val="0"/>
      <w:sz w:val="32"/>
    </w:rPr>
  </w:style>
  <w:style w:type="paragraph" w:customStyle="1" w:styleId="MH1Chapter">
    <w:name w:val="M H1 Chapter"/>
    <w:basedOn w:val="AH1Chapter"/>
    <w:rsid w:val="0037053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7053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7053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7053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7053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7053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7053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7053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7053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7053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70538"/>
    <w:pPr>
      <w:ind w:left="1800"/>
    </w:pPr>
  </w:style>
  <w:style w:type="paragraph" w:customStyle="1" w:styleId="Modparareturn">
    <w:name w:val="Mod para return"/>
    <w:basedOn w:val="AparareturnSymb"/>
    <w:rsid w:val="00370538"/>
    <w:pPr>
      <w:ind w:left="2300"/>
    </w:pPr>
  </w:style>
  <w:style w:type="paragraph" w:customStyle="1" w:styleId="Modsubparareturn">
    <w:name w:val="Mod subpara return"/>
    <w:basedOn w:val="AsubparareturnSymb"/>
    <w:rsid w:val="00370538"/>
    <w:pPr>
      <w:ind w:left="3040"/>
    </w:pPr>
  </w:style>
  <w:style w:type="paragraph" w:customStyle="1" w:styleId="Modref">
    <w:name w:val="Mod ref"/>
    <w:basedOn w:val="refSymb"/>
    <w:rsid w:val="00370538"/>
    <w:pPr>
      <w:ind w:left="1100"/>
    </w:pPr>
  </w:style>
  <w:style w:type="paragraph" w:customStyle="1" w:styleId="ModaNote">
    <w:name w:val="Mod aNote"/>
    <w:basedOn w:val="aNoteSymb"/>
    <w:rsid w:val="00370538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7053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70538"/>
    <w:pPr>
      <w:ind w:left="0" w:firstLine="0"/>
    </w:pPr>
  </w:style>
  <w:style w:type="paragraph" w:customStyle="1" w:styleId="AmdtEntries">
    <w:name w:val="AmdtEntries"/>
    <w:basedOn w:val="BillBasicHeading"/>
    <w:rsid w:val="00370538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70538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70538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70538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70538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70538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70538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70538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70538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70538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70538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70538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70538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70538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70538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70538"/>
  </w:style>
  <w:style w:type="paragraph" w:customStyle="1" w:styleId="refSymb">
    <w:name w:val="ref Symb"/>
    <w:basedOn w:val="BillBasic"/>
    <w:next w:val="Normal"/>
    <w:rsid w:val="00370538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70538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70538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7053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7053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70538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70538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70538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70538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70538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70538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70538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70538"/>
    <w:pPr>
      <w:ind w:left="1599" w:hanging="2081"/>
    </w:pPr>
  </w:style>
  <w:style w:type="paragraph" w:customStyle="1" w:styleId="IdefsubparaSymb">
    <w:name w:val="I def subpara Symb"/>
    <w:basedOn w:val="IsubparaSymb"/>
    <w:rsid w:val="00370538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7053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7053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70538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70538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70538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70538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70538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70538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70538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70538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70538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70538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70538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70538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70538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70538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70538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70538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70538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70538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70538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70538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70538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70538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70538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70538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70538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70538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70538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70538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70538"/>
  </w:style>
  <w:style w:type="paragraph" w:customStyle="1" w:styleId="PenaltyParaSymb">
    <w:name w:val="PenaltyPara Symb"/>
    <w:basedOn w:val="Normal"/>
    <w:rsid w:val="00370538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70538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70538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3705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76-27" TargetMode="External"/><Relationship Id="rId26" Type="http://schemas.openxmlformats.org/officeDocument/2006/relationships/hyperlink" Target="http://www.legislation.act.gov.au/a/2001-14" TargetMode="External"/><Relationship Id="rId39" Type="http://schemas.openxmlformats.org/officeDocument/2006/relationships/hyperlink" Target="http://www.legislation.act.gov.au/a/2001-14" TargetMode="External"/><Relationship Id="rId21" Type="http://schemas.openxmlformats.org/officeDocument/2006/relationships/hyperlink" Target="http://www.legislation.act.gov.au/a/1951-2" TargetMode="External"/><Relationship Id="rId34" Type="http://schemas.openxmlformats.org/officeDocument/2006/relationships/footer" Target="footer6.xml"/><Relationship Id="rId42" Type="http://schemas.openxmlformats.org/officeDocument/2006/relationships/header" Target="header6.xml"/><Relationship Id="rId47" Type="http://schemas.openxmlformats.org/officeDocument/2006/relationships/hyperlink" Target="http://www.legislation.act.gov.au/" TargetMode="External"/><Relationship Id="rId50" Type="http://schemas.openxmlformats.org/officeDocument/2006/relationships/footer" Target="footer9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4-7" TargetMode="External"/><Relationship Id="rId29" Type="http://schemas.openxmlformats.org/officeDocument/2006/relationships/hyperlink" Target="https://www.legislation.act.gov.au/a/db_39269/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11-35" TargetMode="External"/><Relationship Id="rId32" Type="http://schemas.openxmlformats.org/officeDocument/2006/relationships/footer" Target="footer4.xml"/><Relationship Id="rId37" Type="http://schemas.openxmlformats.org/officeDocument/2006/relationships/hyperlink" Target="http://www.legislation.act.gov.au/a/2001-14" TargetMode="External"/><Relationship Id="rId40" Type="http://schemas.openxmlformats.org/officeDocument/2006/relationships/hyperlink" Target="http://www.legislation.act.gov.au/a/2001-14" TargetMode="External"/><Relationship Id="rId45" Type="http://schemas.openxmlformats.org/officeDocument/2006/relationships/footer" Target="footer8.xml"/><Relationship Id="rId53" Type="http://schemas.openxmlformats.org/officeDocument/2006/relationships/header" Target="header1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9-25" TargetMode="External"/><Relationship Id="rId31" Type="http://schemas.openxmlformats.org/officeDocument/2006/relationships/header" Target="header5.xml"/><Relationship Id="rId44" Type="http://schemas.openxmlformats.org/officeDocument/2006/relationships/footer" Target="footer7.xml"/><Relationship Id="rId52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11-35" TargetMode="Externa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4.xml"/><Relationship Id="rId35" Type="http://schemas.openxmlformats.org/officeDocument/2006/relationships/hyperlink" Target="http://www.legislation.act.gov.au/a/2001-14" TargetMode="External"/><Relationship Id="rId43" Type="http://schemas.openxmlformats.org/officeDocument/2006/relationships/header" Target="header7.xml"/><Relationship Id="rId48" Type="http://schemas.openxmlformats.org/officeDocument/2006/relationships/header" Target="header8.xml"/><Relationship Id="rId5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10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1-34" TargetMode="External"/><Relationship Id="rId25" Type="http://schemas.openxmlformats.org/officeDocument/2006/relationships/hyperlink" Target="http://www.legislation.act.gov.au/a/2011-35" TargetMode="External"/><Relationship Id="rId33" Type="http://schemas.openxmlformats.org/officeDocument/2006/relationships/footer" Target="footer5.xml"/><Relationship Id="rId38" Type="http://schemas.openxmlformats.org/officeDocument/2006/relationships/hyperlink" Target="http://www.legislation.act.gov.au/a/2001-14" TargetMode="External"/><Relationship Id="rId4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18-47" TargetMode="External"/><Relationship Id="rId41" Type="http://schemas.openxmlformats.org/officeDocument/2006/relationships/hyperlink" Target="http://www.legislation.act.gov.au/a/2001-14" TargetMode="External"/><Relationship Id="rId54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2018-47" TargetMode="External"/><Relationship Id="rId23" Type="http://schemas.openxmlformats.org/officeDocument/2006/relationships/hyperlink" Target="http://www.legislation.act.gov.au/a/2011-35" TargetMode="Externa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yperlink" Target="http://www.legislation.act.gov.au/a/2001-14" TargetMode="External"/><Relationship Id="rId49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5698</Words>
  <Characters>28406</Characters>
  <Application>Microsoft Office Word</Application>
  <DocSecurity>0</DocSecurity>
  <Lines>903</Lines>
  <Paragraphs>579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Legislation Amendment Act 2025 (No 2)</vt:lpstr>
    </vt:vector>
  </TitlesOfParts>
  <Manager>Section</Manager>
  <Company>Section</Company>
  <LinksUpToDate>false</LinksUpToDate>
  <CharactersWithSpaces>33789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Legislation Amendment Act 2025 (No 2)</dc:title>
  <dc:subject>Amendment</dc:subject>
  <dc:creator>ACT Government</dc:creator>
  <cp:keywords>D12</cp:keywords>
  <dc:description>J2025-345</dc:description>
  <cp:lastModifiedBy>PCODCS</cp:lastModifiedBy>
  <cp:revision>4</cp:revision>
  <cp:lastPrinted>2025-08-27T05:35:00Z</cp:lastPrinted>
  <dcterms:created xsi:type="dcterms:W3CDTF">2025-09-02T00:06:00Z</dcterms:created>
  <dcterms:modified xsi:type="dcterms:W3CDTF">2025-09-02T00:06:00Z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Chief Minister, Treasury and Economic Development Directorate</vt:lpwstr>
  </property>
  <property fmtid="{D5CDD505-2E9C-101B-9397-08002B2CF9AE}" pid="11" name="ClientName1">
    <vt:lpwstr>Ellen Lukins</vt:lpwstr>
  </property>
  <property fmtid="{D5CDD505-2E9C-101B-9397-08002B2CF9AE}" pid="12" name="ClientEmail1">
    <vt:lpwstr>Ellen.Lukins@act.gov.au</vt:lpwstr>
  </property>
  <property fmtid="{D5CDD505-2E9C-101B-9397-08002B2CF9AE}" pid="13" name="ClientPh1">
    <vt:lpwstr>62053874</vt:lpwstr>
  </property>
  <property fmtid="{D5CDD505-2E9C-101B-9397-08002B2CF9AE}" pid="14" name="ClientName2">
    <vt:lpwstr>Jess Wolski</vt:lpwstr>
  </property>
  <property fmtid="{D5CDD505-2E9C-101B-9397-08002B2CF9AE}" pid="15" name="ClientEmail2">
    <vt:lpwstr>Jess.Wolski@act.gov.au</vt:lpwstr>
  </property>
  <property fmtid="{D5CDD505-2E9C-101B-9397-08002B2CF9AE}" pid="16" name="ClientPh2">
    <vt:lpwstr>62070537</vt:lpwstr>
  </property>
  <property fmtid="{D5CDD505-2E9C-101B-9397-08002B2CF9AE}" pid="17" name="jobType">
    <vt:lpwstr>Drafting</vt:lpwstr>
  </property>
  <property fmtid="{D5CDD505-2E9C-101B-9397-08002B2CF9AE}" pid="18" name="DMSID">
    <vt:lpwstr>14704391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Workplace Legislation Amendment Bill 2025 (No 2)</vt:lpwstr>
  </property>
  <property fmtid="{D5CDD505-2E9C-101B-9397-08002B2CF9AE}" pid="22" name="ActName">
    <vt:lpwstr/>
  </property>
  <property fmtid="{D5CDD505-2E9C-101B-9397-08002B2CF9AE}" pid="23" name="DrafterName">
    <vt:lpwstr>Sue Erickson</vt:lpwstr>
  </property>
  <property fmtid="{D5CDD505-2E9C-101B-9397-08002B2CF9AE}" pid="24" name="DrafterEmail">
    <vt:lpwstr>Sue.Erickson@act.gov.au</vt:lpwstr>
  </property>
  <property fmtid="{D5CDD505-2E9C-101B-9397-08002B2CF9AE}" pid="25" name="DrafterPh">
    <vt:lpwstr>(02) 6207 9578</vt:lpwstr>
  </property>
  <property fmtid="{D5CDD505-2E9C-101B-9397-08002B2CF9AE}" pid="26" name="SettlerName">
    <vt:lpwstr>Abbie Hartley</vt:lpwstr>
  </property>
  <property fmtid="{D5CDD505-2E9C-101B-9397-08002B2CF9AE}" pid="27" name="SettlerEmail">
    <vt:lpwstr>abbie.hartley@act.gov.au</vt:lpwstr>
  </property>
  <property fmtid="{D5CDD505-2E9C-101B-9397-08002B2CF9AE}" pid="28" name="SettlerPh">
    <vt:lpwstr>62055558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