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0E" w:rsidRDefault="00B4220E" w:rsidP="00B4220E">
      <w:pPr>
        <w:pStyle w:val="Header"/>
        <w:tabs>
          <w:tab w:val="clear" w:pos="4819"/>
          <w:tab w:val="clear" w:pos="9071"/>
        </w:tabs>
        <w:spacing w:before="120"/>
        <w:rPr>
          <w:rFonts w:ascii="Arial" w:hAnsi="Arial" w:cs="Arial"/>
        </w:rPr>
      </w:pPr>
      <w:bookmarkStart w:id="0" w:name="_GoBack"/>
      <w:bookmarkEnd w:id="0"/>
      <w:r>
        <w:rPr>
          <w:rFonts w:ascii="Arial" w:hAnsi="Arial" w:cs="Arial"/>
        </w:rPr>
        <w:t>Australian Capital Territory</w:t>
      </w:r>
    </w:p>
    <w:p w:rsidR="00B4220E" w:rsidRPr="00D33017" w:rsidRDefault="00B4220E" w:rsidP="00B4220E">
      <w:pPr>
        <w:spacing w:before="700" w:after="100"/>
        <w:rPr>
          <w:rFonts w:ascii="Arial" w:hAnsi="Arial" w:cs="Arial"/>
          <w:b/>
          <w:bCs/>
          <w:sz w:val="32"/>
          <w:szCs w:val="32"/>
        </w:rPr>
      </w:pPr>
      <w:r w:rsidRPr="00D33017">
        <w:rPr>
          <w:rFonts w:ascii="Arial" w:hAnsi="Arial" w:cs="Arial"/>
          <w:b/>
          <w:bCs/>
          <w:noProof/>
          <w:sz w:val="40"/>
          <w:szCs w:val="40"/>
        </w:rPr>
        <w:t>Public Place Names</w:t>
      </w:r>
      <w:r w:rsidRPr="00D33017">
        <w:rPr>
          <w:rFonts w:ascii="Arial" w:hAnsi="Arial" w:cs="Arial"/>
          <w:b/>
          <w:bCs/>
          <w:sz w:val="40"/>
          <w:szCs w:val="40"/>
        </w:rPr>
        <w:t xml:space="preserve"> (</w:t>
      </w:r>
      <w:r w:rsidR="008A280A">
        <w:rPr>
          <w:rFonts w:ascii="Arial" w:hAnsi="Arial" w:cs="Arial"/>
          <w:b/>
          <w:bCs/>
          <w:sz w:val="40"/>
          <w:szCs w:val="40"/>
        </w:rPr>
        <w:t>Moncrieff</w:t>
      </w:r>
      <w:r w:rsidRPr="00D33017">
        <w:rPr>
          <w:rFonts w:ascii="Arial" w:hAnsi="Arial" w:cs="Arial"/>
          <w:b/>
          <w:bCs/>
          <w:sz w:val="40"/>
          <w:szCs w:val="40"/>
        </w:rPr>
        <w:t>) Determination 201</w:t>
      </w:r>
      <w:r w:rsidR="003A41BF">
        <w:rPr>
          <w:rFonts w:ascii="Arial" w:hAnsi="Arial" w:cs="Arial"/>
          <w:b/>
          <w:bCs/>
          <w:sz w:val="40"/>
          <w:szCs w:val="40"/>
        </w:rPr>
        <w:t>5</w:t>
      </w:r>
      <w:r w:rsidRPr="00D33017">
        <w:rPr>
          <w:rFonts w:ascii="Arial" w:hAnsi="Arial" w:cs="Arial"/>
          <w:b/>
          <w:bCs/>
          <w:sz w:val="40"/>
          <w:szCs w:val="40"/>
        </w:rPr>
        <w:t xml:space="preserve"> (No </w:t>
      </w:r>
      <w:r w:rsidR="00FA76DB">
        <w:rPr>
          <w:rFonts w:ascii="Arial" w:hAnsi="Arial" w:cs="Arial"/>
          <w:b/>
          <w:bCs/>
          <w:sz w:val="40"/>
          <w:szCs w:val="40"/>
        </w:rPr>
        <w:t>2</w:t>
      </w:r>
      <w:r w:rsidRPr="00D33017">
        <w:rPr>
          <w:rFonts w:ascii="Arial" w:hAnsi="Arial" w:cs="Arial"/>
          <w:b/>
          <w:bCs/>
          <w:sz w:val="40"/>
          <w:szCs w:val="40"/>
        </w:rPr>
        <w:t>)</w:t>
      </w:r>
    </w:p>
    <w:p w:rsidR="00B4220E" w:rsidRDefault="007D2D29" w:rsidP="00B4220E">
      <w:pPr>
        <w:spacing w:before="240" w:after="120"/>
        <w:rPr>
          <w:rFonts w:ascii="Arial" w:hAnsi="Arial" w:cs="Arial"/>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margin-left:-193.95pt;margin-top:17.35pt;width:67.65pt;height:18pt;z-index:251657728" stroked="f">
            <v:textbox style="mso-next-textbox:#_x0000_s1026">
              <w:txbxContent>
                <w:p w:rsidR="00B4220E" w:rsidRDefault="00B4220E" w:rsidP="00B4220E">
                  <w:pPr>
                    <w:rPr>
                      <w:sz w:val="16"/>
                      <w:szCs w:val="16"/>
                    </w:rPr>
                  </w:pPr>
                  <w:r>
                    <w:rPr>
                      <w:sz w:val="16"/>
                      <w:szCs w:val="16"/>
                    </w:rPr>
                    <w:t>Arial 12pt, bold</w:t>
                  </w:r>
                </w:p>
              </w:txbxContent>
            </v:textbox>
          </v:shape>
        </w:pict>
      </w:r>
      <w:r w:rsidR="00B4220E">
        <w:rPr>
          <w:rFonts w:ascii="Arial" w:hAnsi="Arial" w:cs="Arial"/>
          <w:b/>
          <w:bCs/>
        </w:rPr>
        <w:t>Disallowable instrument DI201</w:t>
      </w:r>
      <w:r w:rsidR="00DD67BA">
        <w:rPr>
          <w:rFonts w:ascii="Arial" w:hAnsi="Arial" w:cs="Arial"/>
          <w:b/>
          <w:bCs/>
        </w:rPr>
        <w:t>5</w:t>
      </w:r>
      <w:r w:rsidR="00FA76DB">
        <w:rPr>
          <w:rFonts w:ascii="Arial" w:hAnsi="Arial" w:cs="Arial"/>
        </w:rPr>
        <w:t>-</w:t>
      </w:r>
      <w:r w:rsidR="0030350E">
        <w:rPr>
          <w:rFonts w:ascii="Arial" w:hAnsi="Arial" w:cs="Arial"/>
        </w:rPr>
        <w:t>48</w:t>
      </w:r>
    </w:p>
    <w:p w:rsidR="00B4220E" w:rsidRDefault="00B4220E" w:rsidP="00B4220E">
      <w:pPr>
        <w:pStyle w:val="Header"/>
        <w:tabs>
          <w:tab w:val="clear" w:pos="4819"/>
          <w:tab w:val="clear" w:pos="9071"/>
        </w:tabs>
        <w:spacing w:before="240" w:after="120"/>
      </w:pPr>
      <w:r>
        <w:t xml:space="preserve">made under the </w:t>
      </w:r>
    </w:p>
    <w:p w:rsidR="00B4220E" w:rsidRDefault="00B4220E" w:rsidP="00B4220E">
      <w:pPr>
        <w:spacing w:before="240" w:after="60"/>
        <w:rPr>
          <w:rFonts w:ascii="Arial" w:hAnsi="Arial" w:cs="Arial"/>
          <w:b/>
          <w:bCs/>
          <w:sz w:val="20"/>
          <w:szCs w:val="20"/>
          <w:vertAlign w:val="superscript"/>
        </w:rPr>
      </w:pPr>
      <w:r>
        <w:rPr>
          <w:rFonts w:ascii="Arial" w:hAnsi="Arial" w:cs="Arial"/>
          <w:b/>
          <w:bCs/>
          <w:sz w:val="20"/>
          <w:szCs w:val="20"/>
        </w:rPr>
        <w:t>Public Place Names Act 1989 — section 3 (Minister to determine names)</w:t>
      </w:r>
    </w:p>
    <w:p w:rsidR="00B4220E" w:rsidRDefault="00B4220E" w:rsidP="00B4220E">
      <w:pPr>
        <w:pStyle w:val="N-line3"/>
        <w:pBdr>
          <w:bottom w:val="none" w:sz="0" w:space="0" w:color="auto"/>
        </w:pBdr>
        <w:rPr>
          <w:b/>
          <w:bCs/>
          <w:sz w:val="20"/>
          <w:szCs w:val="20"/>
        </w:rPr>
      </w:pPr>
    </w:p>
    <w:p w:rsidR="00B4220E" w:rsidRDefault="00B4220E" w:rsidP="00B4220E">
      <w:pPr>
        <w:pStyle w:val="N-line3"/>
        <w:pBdr>
          <w:top w:val="single" w:sz="12" w:space="1" w:color="auto"/>
          <w:bottom w:val="none" w:sz="0" w:space="0" w:color="auto"/>
        </w:pBdr>
      </w:pPr>
    </w:p>
    <w:p w:rsidR="00B4220E" w:rsidRDefault="00B4220E" w:rsidP="00B4220E">
      <w:pPr>
        <w:pStyle w:val="N-line3"/>
        <w:pBdr>
          <w:top w:val="single" w:sz="12" w:space="1" w:color="auto"/>
          <w:bottom w:val="none" w:sz="0" w:space="0" w:color="auto"/>
        </w:pBdr>
      </w:pPr>
    </w:p>
    <w:p w:rsidR="00B4220E" w:rsidRPr="00D33017" w:rsidRDefault="00B4220E" w:rsidP="00B4220E">
      <w:pPr>
        <w:pStyle w:val="Amain"/>
        <w:tabs>
          <w:tab w:val="clear" w:pos="700"/>
          <w:tab w:val="left" w:pos="0"/>
        </w:tabs>
        <w:ind w:left="0" w:firstLine="0"/>
        <w:jc w:val="left"/>
        <w:rPr>
          <w:b/>
          <w:bCs/>
        </w:rPr>
      </w:pPr>
      <w:r w:rsidRPr="00D33017">
        <w:t>I DETERMINE the names of the public places that are Territory land as specified in the attached schedule and as indicated on the associated plan.</w:t>
      </w:r>
    </w:p>
    <w:p w:rsidR="00B4220E" w:rsidRDefault="00B4220E" w:rsidP="00B4220E">
      <w:pPr>
        <w:pStyle w:val="CoverActName"/>
        <w:rPr>
          <w:rFonts w:ascii="Times New Roman" w:hAnsi="Times New Roman" w:cs="Times New Roman"/>
          <w:b w:val="0"/>
          <w:bCs w:val="0"/>
        </w:rPr>
      </w:pPr>
    </w:p>
    <w:p w:rsidR="00B4220E" w:rsidRDefault="00B4220E" w:rsidP="00B4220E">
      <w:pPr>
        <w:pStyle w:val="CoverActName"/>
        <w:rPr>
          <w:rFonts w:ascii="Times New Roman" w:hAnsi="Times New Roman" w:cs="Times New Roman"/>
          <w:b w:val="0"/>
          <w:bCs w:val="0"/>
        </w:rPr>
      </w:pPr>
    </w:p>
    <w:p w:rsidR="00B4220E" w:rsidRDefault="00B4220E" w:rsidP="00B4220E">
      <w:pPr>
        <w:pStyle w:val="CoverActName"/>
        <w:rPr>
          <w:rFonts w:ascii="Times New Roman" w:hAnsi="Times New Roman" w:cs="Times New Roman"/>
          <w:b w:val="0"/>
          <w:bCs w:val="0"/>
        </w:rPr>
      </w:pPr>
    </w:p>
    <w:p w:rsidR="00B4220E" w:rsidRDefault="00B4220E" w:rsidP="00B4220E">
      <w:pPr>
        <w:pStyle w:val="CoverActName"/>
        <w:rPr>
          <w:rFonts w:ascii="Times New Roman" w:hAnsi="Times New Roman" w:cs="Times New Roman"/>
          <w:b w:val="0"/>
          <w:bCs w:val="0"/>
        </w:rPr>
      </w:pPr>
    </w:p>
    <w:p w:rsidR="00B4220E" w:rsidRDefault="00B4220E" w:rsidP="00B4220E">
      <w:pPr>
        <w:pStyle w:val="CoverActName"/>
        <w:rPr>
          <w:rFonts w:ascii="Times New Roman" w:hAnsi="Times New Roman" w:cs="Times New Roman"/>
          <w:b w:val="0"/>
          <w:bCs w:val="0"/>
        </w:rPr>
      </w:pPr>
    </w:p>
    <w:p w:rsidR="00B4220E" w:rsidRPr="00B11E5A" w:rsidRDefault="00B4220E" w:rsidP="00B4220E">
      <w:pPr>
        <w:pStyle w:val="CoverActName"/>
        <w:rPr>
          <w:rFonts w:ascii="Times New Roman" w:hAnsi="Times New Roman" w:cs="Times New Roman"/>
          <w:b w:val="0"/>
          <w:bCs w:val="0"/>
        </w:rPr>
      </w:pPr>
    </w:p>
    <w:p w:rsidR="00B4220E" w:rsidRPr="00B11E5A" w:rsidRDefault="00B4220E" w:rsidP="00B4220E">
      <w:pPr>
        <w:pStyle w:val="CoverActName"/>
        <w:rPr>
          <w:rFonts w:ascii="Times New Roman" w:hAnsi="Times New Roman" w:cs="Times New Roman"/>
          <w:b w:val="0"/>
          <w:bCs w:val="0"/>
        </w:rPr>
      </w:pPr>
    </w:p>
    <w:p w:rsidR="00B4220E" w:rsidRPr="00B11E5A" w:rsidRDefault="00B4220E" w:rsidP="00B4220E">
      <w:pPr>
        <w:pStyle w:val="CoverActName"/>
        <w:rPr>
          <w:rFonts w:ascii="Times New Roman" w:hAnsi="Times New Roman" w:cs="Times New Roman"/>
          <w:b w:val="0"/>
          <w:bCs w:val="0"/>
        </w:rPr>
      </w:pPr>
    </w:p>
    <w:p w:rsidR="00B4220E" w:rsidRPr="00B11E5A" w:rsidRDefault="00FA76DB" w:rsidP="00B4220E">
      <w:r>
        <w:t>Dorte Ekelund</w:t>
      </w:r>
      <w:r w:rsidR="00A45623">
        <w:t xml:space="preserve"> </w:t>
      </w:r>
      <w:r w:rsidR="00A45623">
        <w:br/>
      </w:r>
      <w:r w:rsidR="00B4220E" w:rsidRPr="00B11E5A">
        <w:t>Delegate of the Minister</w:t>
      </w:r>
    </w:p>
    <w:p w:rsidR="00B4220E" w:rsidRPr="00B11E5A" w:rsidRDefault="00B4220E" w:rsidP="00B4220E">
      <w:pPr>
        <w:jc w:val="center"/>
        <w:rPr>
          <w:b/>
          <w:bCs/>
        </w:rPr>
      </w:pPr>
    </w:p>
    <w:p w:rsidR="00B4220E" w:rsidRPr="00B11E5A" w:rsidRDefault="00B4220E" w:rsidP="00B4220E">
      <w:r>
        <w:t xml:space="preserve">    </w:t>
      </w:r>
      <w:r w:rsidR="0030350E">
        <w:t xml:space="preserve">27 </w:t>
      </w:r>
      <w:r w:rsidR="00FA76DB">
        <w:t>March</w:t>
      </w:r>
      <w:r w:rsidR="00A96DEF">
        <w:t xml:space="preserve"> </w:t>
      </w:r>
      <w:r w:rsidRPr="00B11E5A">
        <w:t>201</w:t>
      </w:r>
      <w:r w:rsidR="003A41BF">
        <w:t>5</w:t>
      </w:r>
    </w:p>
    <w:p w:rsidR="00B4220E" w:rsidRPr="00B11E5A" w:rsidRDefault="00B4220E" w:rsidP="00B4220E">
      <w:pPr>
        <w:rPr>
          <w:rFonts w:ascii="Arial" w:hAnsi="Arial" w:cs="Arial"/>
        </w:rPr>
      </w:pPr>
    </w:p>
    <w:p w:rsidR="00B4220E" w:rsidRPr="00B11E5A" w:rsidRDefault="00017981" w:rsidP="00B4220E">
      <w:pPr>
        <w:rPr>
          <w:b/>
          <w:bCs/>
        </w:rPr>
      </w:pPr>
      <w:r>
        <w:br w:type="page"/>
      </w:r>
      <w:r w:rsidR="00B4220E" w:rsidRPr="00B11E5A">
        <w:rPr>
          <w:b/>
          <w:bCs/>
        </w:rPr>
        <w:lastRenderedPageBreak/>
        <w:t xml:space="preserve">SCHEDULE </w:t>
      </w:r>
    </w:p>
    <w:p w:rsidR="00B4220E" w:rsidRPr="00B11E5A" w:rsidRDefault="00B4220E" w:rsidP="00B4220E">
      <w:pPr>
        <w:pStyle w:val="Heading2"/>
        <w:rPr>
          <w:rFonts w:ascii="Times New Roman" w:hAnsi="Times New Roman" w:cs="Times New Roman"/>
        </w:rPr>
      </w:pPr>
    </w:p>
    <w:p w:rsidR="00B4220E" w:rsidRPr="00B11E5A" w:rsidRDefault="00B4220E" w:rsidP="00B4220E">
      <w:pPr>
        <w:pStyle w:val="Heading2"/>
        <w:rPr>
          <w:rFonts w:ascii="Times New Roman" w:hAnsi="Times New Roman" w:cs="Times New Roman"/>
        </w:rPr>
      </w:pPr>
      <w:r w:rsidRPr="00B11E5A">
        <w:rPr>
          <w:rFonts w:ascii="Times New Roman" w:hAnsi="Times New Roman" w:cs="Times New Roman"/>
        </w:rPr>
        <w:t>Public Place Names (</w:t>
      </w:r>
      <w:r w:rsidR="008A280A">
        <w:rPr>
          <w:rFonts w:ascii="Times New Roman" w:hAnsi="Times New Roman" w:cs="Times New Roman"/>
        </w:rPr>
        <w:t>Moncrieff</w:t>
      </w:r>
      <w:r w:rsidRPr="00B11E5A">
        <w:rPr>
          <w:rFonts w:ascii="Times New Roman" w:hAnsi="Times New Roman" w:cs="Times New Roman"/>
        </w:rPr>
        <w:t>) Determination 201</w:t>
      </w:r>
      <w:r w:rsidR="003A41BF">
        <w:rPr>
          <w:rFonts w:ascii="Times New Roman" w:hAnsi="Times New Roman" w:cs="Times New Roman"/>
        </w:rPr>
        <w:t>5</w:t>
      </w:r>
      <w:r w:rsidRPr="00B11E5A">
        <w:rPr>
          <w:rFonts w:ascii="Times New Roman" w:hAnsi="Times New Roman" w:cs="Times New Roman"/>
        </w:rPr>
        <w:t xml:space="preserve"> (No </w:t>
      </w:r>
      <w:r w:rsidR="00FA76DB">
        <w:rPr>
          <w:rFonts w:ascii="Times New Roman" w:hAnsi="Times New Roman" w:cs="Times New Roman"/>
        </w:rPr>
        <w:t>2</w:t>
      </w:r>
      <w:r w:rsidRPr="00B11E5A">
        <w:rPr>
          <w:rFonts w:ascii="Times New Roman" w:hAnsi="Times New Roman" w:cs="Times New Roman"/>
        </w:rPr>
        <w:t>)</w:t>
      </w:r>
    </w:p>
    <w:p w:rsidR="00B4220E" w:rsidRPr="008A280A" w:rsidRDefault="00B4220E" w:rsidP="00B4220E">
      <w:pPr>
        <w:spacing w:before="120" w:after="120"/>
        <w:rPr>
          <w:b/>
          <w:bCs/>
          <w:noProof/>
          <w:sz w:val="16"/>
          <w:szCs w:val="16"/>
        </w:rPr>
      </w:pPr>
      <w:r w:rsidRPr="00B11E5A">
        <w:rPr>
          <w:b/>
          <w:bCs/>
        </w:rPr>
        <w:t xml:space="preserve">Division of </w:t>
      </w:r>
      <w:r w:rsidR="007A2A2E">
        <w:rPr>
          <w:b/>
          <w:bCs/>
          <w:noProof/>
        </w:rPr>
        <w:t>Moncrieff</w:t>
      </w:r>
      <w:r w:rsidRPr="00B11E5A">
        <w:rPr>
          <w:b/>
          <w:bCs/>
          <w:noProof/>
        </w:rPr>
        <w:t xml:space="preserve">: </w:t>
      </w:r>
      <w:r w:rsidR="007A2A2E" w:rsidRPr="006E041C">
        <w:rPr>
          <w:b/>
          <w:bCs/>
          <w:noProof/>
          <w:sz w:val="16"/>
          <w:szCs w:val="16"/>
        </w:rPr>
        <w:t xml:space="preserve"> </w:t>
      </w:r>
      <w:r w:rsidR="008A280A">
        <w:rPr>
          <w:b/>
          <w:bCs/>
          <w:i/>
          <w:noProof/>
        </w:rPr>
        <w:t>Musicians and those associated with the field of music</w:t>
      </w:r>
    </w:p>
    <w:tbl>
      <w:tblPr>
        <w:tblW w:w="9747" w:type="dxa"/>
        <w:tblLayout w:type="fixed"/>
        <w:tblLook w:val="0000" w:firstRow="0" w:lastRow="0" w:firstColumn="0" w:lastColumn="0" w:noHBand="0" w:noVBand="0"/>
      </w:tblPr>
      <w:tblGrid>
        <w:gridCol w:w="2376"/>
        <w:gridCol w:w="2552"/>
        <w:gridCol w:w="4819"/>
      </w:tblGrid>
      <w:tr w:rsidR="00B4220E" w:rsidRPr="00B11E5A" w:rsidTr="00CC16BD">
        <w:trPr>
          <w:cantSplit/>
        </w:trPr>
        <w:tc>
          <w:tcPr>
            <w:tcW w:w="2376" w:type="dxa"/>
            <w:tcBorders>
              <w:top w:val="nil"/>
              <w:left w:val="nil"/>
              <w:bottom w:val="nil"/>
              <w:right w:val="nil"/>
            </w:tcBorders>
          </w:tcPr>
          <w:p w:rsidR="00B4220E" w:rsidRPr="00B11E5A" w:rsidRDefault="00B4220E" w:rsidP="004A1641">
            <w:pPr>
              <w:pStyle w:val="Heading2"/>
              <w:spacing w:before="120" w:after="120"/>
              <w:rPr>
                <w:rFonts w:ascii="Times New Roman" w:hAnsi="Times New Roman" w:cs="Times New Roman"/>
              </w:rPr>
            </w:pPr>
            <w:r w:rsidRPr="00B11E5A">
              <w:rPr>
                <w:rFonts w:ascii="Times New Roman" w:hAnsi="Times New Roman" w:cs="Times New Roman"/>
              </w:rPr>
              <w:t>NAME</w:t>
            </w:r>
          </w:p>
        </w:tc>
        <w:tc>
          <w:tcPr>
            <w:tcW w:w="2552" w:type="dxa"/>
            <w:tcBorders>
              <w:top w:val="nil"/>
              <w:left w:val="nil"/>
              <w:bottom w:val="nil"/>
              <w:right w:val="nil"/>
            </w:tcBorders>
          </w:tcPr>
          <w:p w:rsidR="00B4220E" w:rsidRPr="00B11E5A" w:rsidRDefault="00B4220E" w:rsidP="004A1641">
            <w:pPr>
              <w:spacing w:before="120" w:after="120"/>
            </w:pPr>
            <w:r w:rsidRPr="00B11E5A">
              <w:rPr>
                <w:b/>
                <w:bCs/>
              </w:rPr>
              <w:t>ORIGIN</w:t>
            </w:r>
          </w:p>
        </w:tc>
        <w:tc>
          <w:tcPr>
            <w:tcW w:w="4819" w:type="dxa"/>
            <w:tcBorders>
              <w:top w:val="nil"/>
              <w:left w:val="nil"/>
              <w:bottom w:val="nil"/>
              <w:right w:val="nil"/>
            </w:tcBorders>
          </w:tcPr>
          <w:p w:rsidR="00B4220E" w:rsidRPr="00B11E5A" w:rsidRDefault="00B4220E" w:rsidP="004A1641">
            <w:pPr>
              <w:pStyle w:val="CoverActName"/>
              <w:tabs>
                <w:tab w:val="clear" w:pos="2600"/>
              </w:tabs>
              <w:spacing w:before="120" w:after="120"/>
              <w:rPr>
                <w:rFonts w:ascii="Times New Roman" w:hAnsi="Times New Roman" w:cs="Times New Roman"/>
                <w:lang w:val="en-GB"/>
              </w:rPr>
            </w:pPr>
            <w:r w:rsidRPr="00B11E5A">
              <w:rPr>
                <w:rFonts w:ascii="Times New Roman" w:hAnsi="Times New Roman" w:cs="Times New Roman"/>
                <w:lang w:val="en-GB"/>
              </w:rPr>
              <w:t>SIGNIFICANCE</w:t>
            </w:r>
          </w:p>
        </w:tc>
      </w:tr>
      <w:tr w:rsidR="00862295" w:rsidRPr="00B11E5A" w:rsidTr="00CC16BD">
        <w:trPr>
          <w:cantSplit/>
        </w:trPr>
        <w:tc>
          <w:tcPr>
            <w:tcW w:w="2376" w:type="dxa"/>
            <w:tcBorders>
              <w:top w:val="nil"/>
              <w:left w:val="nil"/>
              <w:bottom w:val="nil"/>
              <w:right w:val="nil"/>
            </w:tcBorders>
          </w:tcPr>
          <w:p w:rsidR="003A0D15" w:rsidRPr="003A0D15" w:rsidRDefault="00033B79" w:rsidP="00E5190D">
            <w:pPr>
              <w:spacing w:before="120"/>
              <w:rPr>
                <w:b/>
                <w:bCs/>
                <w:color w:val="FF0000"/>
              </w:rPr>
            </w:pPr>
            <w:r>
              <w:rPr>
                <w:b/>
                <w:bCs/>
              </w:rPr>
              <w:t xml:space="preserve">Bellhouse </w:t>
            </w:r>
            <w:r w:rsidR="003A0D15" w:rsidRPr="00E5190D">
              <w:rPr>
                <w:b/>
                <w:bCs/>
              </w:rPr>
              <w:t>Crescent</w:t>
            </w:r>
          </w:p>
        </w:tc>
        <w:tc>
          <w:tcPr>
            <w:tcW w:w="2552" w:type="dxa"/>
            <w:tcBorders>
              <w:top w:val="nil"/>
              <w:left w:val="nil"/>
              <w:bottom w:val="nil"/>
              <w:right w:val="nil"/>
            </w:tcBorders>
          </w:tcPr>
          <w:p w:rsidR="00862295" w:rsidRDefault="00033B79" w:rsidP="00135E2E">
            <w:pPr>
              <w:spacing w:before="120"/>
              <w:rPr>
                <w:bCs/>
              </w:rPr>
            </w:pPr>
            <w:r>
              <w:rPr>
                <w:bCs/>
              </w:rPr>
              <w:t xml:space="preserve">Dr Alan </w:t>
            </w:r>
            <w:r w:rsidR="00B96C1A">
              <w:rPr>
                <w:bCs/>
              </w:rPr>
              <w:t>Robert</w:t>
            </w:r>
            <w:r w:rsidR="00B96C1A">
              <w:rPr>
                <w:bCs/>
              </w:rPr>
              <w:br/>
            </w:r>
            <w:r>
              <w:rPr>
                <w:bCs/>
              </w:rPr>
              <w:t>Bellhouse</w:t>
            </w:r>
            <w:r w:rsidR="00B96C1A">
              <w:rPr>
                <w:bCs/>
              </w:rPr>
              <w:t xml:space="preserve"> AM</w:t>
            </w:r>
          </w:p>
          <w:p w:rsidR="00862295" w:rsidRDefault="00862295" w:rsidP="00135E2E">
            <w:pPr>
              <w:spacing w:before="120"/>
              <w:rPr>
                <w:bCs/>
              </w:rPr>
            </w:pPr>
            <w:r>
              <w:rPr>
                <w:bCs/>
              </w:rPr>
              <w:t>(19</w:t>
            </w:r>
            <w:r w:rsidR="00A45EF4" w:rsidRPr="00A45EF4">
              <w:rPr>
                <w:bCs/>
              </w:rPr>
              <w:t>14</w:t>
            </w:r>
            <w:r>
              <w:rPr>
                <w:bCs/>
              </w:rPr>
              <w:t>-</w:t>
            </w:r>
            <w:r w:rsidR="00756E51">
              <w:rPr>
                <w:bCs/>
              </w:rPr>
              <w:t>19</w:t>
            </w:r>
            <w:r w:rsidR="00D7248D">
              <w:rPr>
                <w:bCs/>
              </w:rPr>
              <w:t>80</w:t>
            </w:r>
            <w:r>
              <w:rPr>
                <w:bCs/>
              </w:rPr>
              <w:t>)</w:t>
            </w:r>
          </w:p>
          <w:p w:rsidR="00862295" w:rsidRDefault="00862295" w:rsidP="00135E2E">
            <w:pPr>
              <w:spacing w:before="120"/>
              <w:rPr>
                <w:bCs/>
              </w:rPr>
            </w:pPr>
          </w:p>
          <w:p w:rsidR="00862295" w:rsidRPr="002A4BDC" w:rsidRDefault="00862295" w:rsidP="00E22635">
            <w:pPr>
              <w:spacing w:before="120"/>
              <w:rPr>
                <w:bCs/>
                <w:color w:val="FF0000"/>
              </w:rPr>
            </w:pPr>
          </w:p>
        </w:tc>
        <w:tc>
          <w:tcPr>
            <w:tcW w:w="4819" w:type="dxa"/>
            <w:tcBorders>
              <w:top w:val="nil"/>
              <w:left w:val="nil"/>
              <w:bottom w:val="nil"/>
              <w:right w:val="nil"/>
            </w:tcBorders>
          </w:tcPr>
          <w:p w:rsidR="00B80C48" w:rsidRDefault="00B80C48" w:rsidP="001D3459">
            <w:pPr>
              <w:spacing w:before="120"/>
              <w:rPr>
                <w:rFonts w:ascii="Arial" w:hAnsi="Arial" w:cs="Arial"/>
                <w:color w:val="333333"/>
                <w:sz w:val="18"/>
                <w:szCs w:val="18"/>
              </w:rPr>
            </w:pPr>
            <w:r>
              <w:rPr>
                <w:bCs/>
              </w:rPr>
              <w:t>Conductor</w:t>
            </w:r>
            <w:r w:rsidR="00D7248D">
              <w:rPr>
                <w:bCs/>
              </w:rPr>
              <w:t xml:space="preserve">, </w:t>
            </w:r>
            <w:r w:rsidR="002B380D">
              <w:rPr>
                <w:bCs/>
              </w:rPr>
              <w:t xml:space="preserve">musician, </w:t>
            </w:r>
            <w:r w:rsidR="00A45EF4">
              <w:rPr>
                <w:bCs/>
              </w:rPr>
              <w:t>teacher, author</w:t>
            </w:r>
            <w:r w:rsidR="00862295">
              <w:rPr>
                <w:bCs/>
              </w:rPr>
              <w:br/>
            </w:r>
          </w:p>
          <w:p w:rsidR="00B80C48" w:rsidRPr="003E7F83" w:rsidRDefault="002A121A" w:rsidP="002A121A">
            <w:pPr>
              <w:rPr>
                <w:lang w:eastAsia="en-AU"/>
              </w:rPr>
            </w:pPr>
            <w:r>
              <w:rPr>
                <w:rStyle w:val="apple-style-span"/>
              </w:rPr>
              <w:t xml:space="preserve">After wartime </w:t>
            </w:r>
            <w:r w:rsidR="007A2528">
              <w:rPr>
                <w:rStyle w:val="apple-style-span"/>
              </w:rPr>
              <w:t xml:space="preserve">air force </w:t>
            </w:r>
            <w:r>
              <w:rPr>
                <w:rStyle w:val="apple-style-span"/>
              </w:rPr>
              <w:t xml:space="preserve">service, Alan Bellhouse approached North Sydney Council for help in forming an orchestra. This led to the North Shore Symphony Orchestra </w:t>
            </w:r>
            <w:r w:rsidR="00B96C1A">
              <w:rPr>
                <w:rStyle w:val="apple-style-span"/>
              </w:rPr>
              <w:t xml:space="preserve">being founded and </w:t>
            </w:r>
            <w:r w:rsidR="00D7248D" w:rsidRPr="003E7F83">
              <w:rPr>
                <w:rStyle w:val="apple-style-span"/>
              </w:rPr>
              <w:t>conducted by Dr Bellhouse from 1947 until shortly before his death in 1980.</w:t>
            </w:r>
            <w:r w:rsidR="00B96C1A" w:rsidRPr="003E7F83">
              <w:rPr>
                <w:rStyle w:val="apple-style-span"/>
              </w:rPr>
              <w:t xml:space="preserve"> </w:t>
            </w:r>
            <w:r w:rsidRPr="003E7F83">
              <w:rPr>
                <w:lang w:val="en-AU" w:eastAsia="en-AU"/>
              </w:rPr>
              <w:t>The orchestra featured on numerous special occasions including the op</w:t>
            </w:r>
            <w:r w:rsidR="00756E51" w:rsidRPr="003E7F83">
              <w:rPr>
                <w:lang w:val="en-AU" w:eastAsia="en-AU"/>
              </w:rPr>
              <w:t xml:space="preserve">ening of the Sydney Opera House. In 1986 it changed its name to </w:t>
            </w:r>
            <w:r w:rsidR="00B96C1A" w:rsidRPr="003E7F83">
              <w:rPr>
                <w:lang w:val="en-AU" w:eastAsia="en-AU"/>
              </w:rPr>
              <w:t xml:space="preserve">North Sydney Symphony Orchestra. </w:t>
            </w:r>
            <w:r w:rsidR="00B96C1A" w:rsidRPr="003E7F83">
              <w:rPr>
                <w:lang w:eastAsia="en-AU"/>
              </w:rPr>
              <w:t>I</w:t>
            </w:r>
            <w:r w:rsidR="00756E51" w:rsidRPr="003E7F83">
              <w:rPr>
                <w:lang w:eastAsia="en-AU"/>
              </w:rPr>
              <w:t>t celebrated its 300</w:t>
            </w:r>
            <w:r w:rsidR="00756E51" w:rsidRPr="003E7F83">
              <w:rPr>
                <w:vertAlign w:val="superscript"/>
                <w:lang w:eastAsia="en-AU"/>
              </w:rPr>
              <w:t>th</w:t>
            </w:r>
            <w:r w:rsidR="00756E51" w:rsidRPr="003E7F83">
              <w:rPr>
                <w:lang w:eastAsia="en-AU"/>
              </w:rPr>
              <w:t xml:space="preserve"> </w:t>
            </w:r>
            <w:r w:rsidR="00D7248D" w:rsidRPr="003E7F83">
              <w:rPr>
                <w:lang w:eastAsia="en-AU"/>
              </w:rPr>
              <w:t xml:space="preserve">concert </w:t>
            </w:r>
            <w:r w:rsidR="00B96C1A" w:rsidRPr="003E7F83">
              <w:rPr>
                <w:lang w:eastAsia="en-AU"/>
              </w:rPr>
              <w:t xml:space="preserve">in 1994 </w:t>
            </w:r>
            <w:r w:rsidR="00D7248D" w:rsidRPr="003E7F83">
              <w:rPr>
                <w:lang w:eastAsia="en-AU"/>
              </w:rPr>
              <w:t>and still serves the North Sydney community.</w:t>
            </w:r>
          </w:p>
          <w:p w:rsidR="002A121A" w:rsidRDefault="00756E51" w:rsidP="00B96C1A">
            <w:pPr>
              <w:rPr>
                <w:bCs/>
              </w:rPr>
            </w:pPr>
            <w:r w:rsidRPr="003E7F83">
              <w:rPr>
                <w:sz w:val="12"/>
                <w:szCs w:val="12"/>
                <w:lang w:eastAsia="en-AU"/>
              </w:rPr>
              <w:br/>
            </w:r>
            <w:r w:rsidR="002B380D">
              <w:rPr>
                <w:bCs/>
              </w:rPr>
              <w:t xml:space="preserve">Dr Bellhouse was married to composer </w:t>
            </w:r>
            <w:r w:rsidR="009D3151">
              <w:rPr>
                <w:bCs/>
              </w:rPr>
              <w:br w:type="textWrapping" w:clear="all"/>
            </w:r>
            <w:r w:rsidR="003E7F83">
              <w:rPr>
                <w:bCs/>
              </w:rPr>
              <w:t xml:space="preserve">Dr </w:t>
            </w:r>
            <w:r w:rsidR="002B380D">
              <w:rPr>
                <w:bCs/>
              </w:rPr>
              <w:t xml:space="preserve">Dulcie Holland who wrote many frequently heard orchestral pieces. She was well known as a music educator and patron of the orchestra until her death in </w:t>
            </w:r>
            <w:r w:rsidR="00A45EF4">
              <w:rPr>
                <w:bCs/>
              </w:rPr>
              <w:t>2000</w:t>
            </w:r>
            <w:r w:rsidR="002B380D">
              <w:rPr>
                <w:bCs/>
              </w:rPr>
              <w:t>.</w:t>
            </w:r>
            <w:r w:rsidR="00B96C1A">
              <w:rPr>
                <w:bCs/>
              </w:rPr>
              <w:t xml:space="preserve"> </w:t>
            </w:r>
            <w:r w:rsidR="002B380D">
              <w:rPr>
                <w:bCs/>
              </w:rPr>
              <w:t>A</w:t>
            </w:r>
            <w:r w:rsidR="001D3459">
              <w:rPr>
                <w:bCs/>
              </w:rPr>
              <w:t xml:space="preserve">n ongoing </w:t>
            </w:r>
            <w:r w:rsidR="001D3459" w:rsidRPr="001D3459">
              <w:rPr>
                <w:bCs/>
              </w:rPr>
              <w:t>U</w:t>
            </w:r>
            <w:r w:rsidR="002A121A" w:rsidRPr="002A121A">
              <w:rPr>
                <w:bCs/>
              </w:rPr>
              <w:t>niversity of Sy</w:t>
            </w:r>
            <w:r w:rsidR="002B380D">
              <w:rPr>
                <w:bCs/>
              </w:rPr>
              <w:t>d</w:t>
            </w:r>
            <w:r w:rsidR="002A121A" w:rsidRPr="002A121A">
              <w:rPr>
                <w:bCs/>
              </w:rPr>
              <w:t xml:space="preserve">ney scholarship </w:t>
            </w:r>
            <w:r w:rsidR="003E7F83">
              <w:rPr>
                <w:bCs/>
              </w:rPr>
              <w:t>titled T</w:t>
            </w:r>
            <w:r w:rsidR="001D3459">
              <w:rPr>
                <w:bCs/>
              </w:rPr>
              <w:t xml:space="preserve">he Alan Bellhouse Award is presented to an </w:t>
            </w:r>
            <w:r w:rsidR="002A121A" w:rsidRPr="002A121A">
              <w:rPr>
                <w:bCs/>
              </w:rPr>
              <w:t>outstanding stu</w:t>
            </w:r>
            <w:r w:rsidR="00B96C1A">
              <w:rPr>
                <w:bCs/>
              </w:rPr>
              <w:t>dent with the highest marks in c</w:t>
            </w:r>
            <w:r w:rsidR="002A121A" w:rsidRPr="002A121A">
              <w:rPr>
                <w:bCs/>
              </w:rPr>
              <w:t>onducting.</w:t>
            </w:r>
          </w:p>
          <w:p w:rsidR="00B96C1A" w:rsidRPr="00B11E5A" w:rsidRDefault="00B96C1A" w:rsidP="00B96C1A">
            <w:pPr>
              <w:rPr>
                <w:bCs/>
              </w:rPr>
            </w:pPr>
          </w:p>
        </w:tc>
      </w:tr>
      <w:tr w:rsidR="00B4220E" w:rsidRPr="00B11E5A" w:rsidTr="00CC16BD">
        <w:trPr>
          <w:cantSplit/>
        </w:trPr>
        <w:tc>
          <w:tcPr>
            <w:tcW w:w="2376" w:type="dxa"/>
            <w:tcBorders>
              <w:top w:val="nil"/>
              <w:left w:val="nil"/>
              <w:bottom w:val="nil"/>
              <w:right w:val="nil"/>
            </w:tcBorders>
          </w:tcPr>
          <w:p w:rsidR="003A0D15" w:rsidRPr="003A0D15" w:rsidRDefault="002E5753" w:rsidP="00E5190D">
            <w:pPr>
              <w:spacing w:before="120"/>
              <w:rPr>
                <w:b/>
                <w:bCs/>
                <w:color w:val="FF0000"/>
              </w:rPr>
            </w:pPr>
            <w:r>
              <w:rPr>
                <w:b/>
                <w:bCs/>
              </w:rPr>
              <w:t>Crackajack</w:t>
            </w:r>
            <w:r w:rsidR="00E5190D">
              <w:rPr>
                <w:b/>
                <w:bCs/>
              </w:rPr>
              <w:t xml:space="preserve"> Way</w:t>
            </w:r>
            <w:r w:rsidR="00033B79">
              <w:rPr>
                <w:b/>
                <w:bCs/>
              </w:rPr>
              <w:br/>
            </w:r>
          </w:p>
        </w:tc>
        <w:tc>
          <w:tcPr>
            <w:tcW w:w="2552" w:type="dxa"/>
            <w:tcBorders>
              <w:top w:val="nil"/>
              <w:left w:val="nil"/>
              <w:bottom w:val="nil"/>
              <w:right w:val="nil"/>
            </w:tcBorders>
          </w:tcPr>
          <w:p w:rsidR="00FB5AD8" w:rsidRDefault="002E5753" w:rsidP="004A1641">
            <w:pPr>
              <w:spacing w:before="120"/>
              <w:rPr>
                <w:bCs/>
              </w:rPr>
            </w:pPr>
            <w:r>
              <w:rPr>
                <w:bCs/>
              </w:rPr>
              <w:t>Brand of musical instrument</w:t>
            </w:r>
          </w:p>
          <w:p w:rsidR="00CC16BD" w:rsidRDefault="00CC16BD" w:rsidP="004A1641">
            <w:pPr>
              <w:spacing w:before="120"/>
              <w:rPr>
                <w:bCs/>
              </w:rPr>
            </w:pPr>
          </w:p>
          <w:p w:rsidR="00CC16BD" w:rsidRPr="00CC16BD" w:rsidRDefault="00CC16BD" w:rsidP="00CC16BD">
            <w:pPr>
              <w:spacing w:before="120"/>
              <w:rPr>
                <w:bCs/>
                <w:i/>
                <w:lang w:val="en"/>
              </w:rPr>
            </w:pPr>
          </w:p>
          <w:p w:rsidR="00CC16BD" w:rsidRPr="00B11E5A" w:rsidRDefault="00CC16BD" w:rsidP="007B7D6D">
            <w:pPr>
              <w:spacing w:before="120"/>
              <w:rPr>
                <w:bCs/>
              </w:rPr>
            </w:pPr>
          </w:p>
        </w:tc>
        <w:tc>
          <w:tcPr>
            <w:tcW w:w="4819" w:type="dxa"/>
            <w:tcBorders>
              <w:top w:val="nil"/>
              <w:left w:val="nil"/>
              <w:bottom w:val="nil"/>
              <w:right w:val="nil"/>
            </w:tcBorders>
          </w:tcPr>
          <w:p w:rsidR="00CC16BD" w:rsidRDefault="00C30F9E" w:rsidP="007B7D6D">
            <w:pPr>
              <w:pStyle w:val="Standard"/>
              <w:spacing w:before="120"/>
              <w:rPr>
                <w:bCs/>
                <w:lang w:val="en"/>
              </w:rPr>
            </w:pPr>
            <w:r>
              <w:rPr>
                <w:bCs/>
                <w:lang w:val="en"/>
              </w:rPr>
              <w:t>A popular brand of Australian mouth organ, introduced in 1902 by George Clark Allan and Charles Tait of Allan &amp; Co in Melbourne, Australia’s largest music-house</w:t>
            </w:r>
            <w:r w:rsidR="003E7F83">
              <w:rPr>
                <w:bCs/>
                <w:lang w:val="en"/>
              </w:rPr>
              <w:t xml:space="preserve"> at the time.</w:t>
            </w:r>
            <w:r w:rsidR="003E7F83">
              <w:rPr>
                <w:bCs/>
                <w:lang w:val="en"/>
              </w:rPr>
              <w:br/>
            </w:r>
            <w:r>
              <w:rPr>
                <w:bCs/>
                <w:lang w:val="en"/>
              </w:rPr>
              <w:t xml:space="preserve">For more than 30 years the </w:t>
            </w:r>
            <w:r w:rsidRPr="00C30F9E">
              <w:rPr>
                <w:bCs/>
                <w:i/>
                <w:lang w:val="en"/>
              </w:rPr>
              <w:t>Crackajack</w:t>
            </w:r>
            <w:r>
              <w:rPr>
                <w:bCs/>
                <w:lang w:val="en"/>
              </w:rPr>
              <w:t xml:space="preserve"> was the only brand that </w:t>
            </w:r>
            <w:r w:rsidR="006B00A2">
              <w:rPr>
                <w:bCs/>
                <w:lang w:val="en"/>
              </w:rPr>
              <w:t>rival</w:t>
            </w:r>
            <w:r w:rsidR="003E7F83">
              <w:rPr>
                <w:bCs/>
                <w:lang w:val="en"/>
              </w:rPr>
              <w:t>l</w:t>
            </w:r>
            <w:r w:rsidR="006B00A2">
              <w:rPr>
                <w:bCs/>
                <w:lang w:val="en"/>
              </w:rPr>
              <w:t>ed</w:t>
            </w:r>
            <w:r>
              <w:rPr>
                <w:bCs/>
                <w:lang w:val="en"/>
              </w:rPr>
              <w:t xml:space="preserve"> the </w:t>
            </w:r>
            <w:r w:rsidRPr="00C30F9E">
              <w:rPr>
                <w:bCs/>
                <w:i/>
                <w:lang w:val="en"/>
              </w:rPr>
              <w:t>Boomerang</w:t>
            </w:r>
            <w:r>
              <w:rPr>
                <w:bCs/>
                <w:lang w:val="en"/>
              </w:rPr>
              <w:t xml:space="preserve"> in popularity.</w:t>
            </w:r>
            <w:r w:rsidR="00F20A10">
              <w:rPr>
                <w:bCs/>
                <w:lang w:val="en"/>
              </w:rPr>
              <w:t xml:space="preserve"> </w:t>
            </w:r>
            <w:r w:rsidR="003A5523">
              <w:t>It</w:t>
            </w:r>
            <w:r w:rsidR="00D206C5">
              <w:t xml:space="preserve"> was widely used in vaudeville acts and productions.</w:t>
            </w:r>
            <w:r w:rsidR="003A5523">
              <w:t xml:space="preserve"> </w:t>
            </w:r>
            <w:r w:rsidR="00D206C5">
              <w:t xml:space="preserve">A number of </w:t>
            </w:r>
            <w:r w:rsidR="00D206C5" w:rsidRPr="006D4C8F">
              <w:rPr>
                <w:i/>
              </w:rPr>
              <w:t xml:space="preserve">Crackajack </w:t>
            </w:r>
            <w:r w:rsidR="00D206C5">
              <w:t>mouth organ bands were formed. One was set up in 1915 to aid the war effort and featured no less than 103 players (boys only). It was the Victorian Patriotic Crackajack Band.</w:t>
            </w:r>
            <w:r w:rsidR="007B1BE6">
              <w:t xml:space="preserve"> </w:t>
            </w:r>
            <w:r w:rsidR="007B1BE6">
              <w:br/>
            </w:r>
            <w:r w:rsidR="007B1BE6" w:rsidRPr="00F45D5B">
              <w:rPr>
                <w:sz w:val="12"/>
                <w:szCs w:val="12"/>
              </w:rPr>
              <w:br/>
            </w:r>
            <w:r w:rsidR="00D206C5" w:rsidRPr="007B1BE6">
              <w:rPr>
                <w:bCs/>
              </w:rPr>
              <w:t xml:space="preserve">During the 1930s mouth organ champion Harold Collier became a major promoter of </w:t>
            </w:r>
            <w:r w:rsidR="00D206C5" w:rsidRPr="007B1BE6">
              <w:rPr>
                <w:bCs/>
                <w:i/>
              </w:rPr>
              <w:t>Crackajack</w:t>
            </w:r>
            <w:r w:rsidR="00D206C5" w:rsidRPr="007B1BE6">
              <w:rPr>
                <w:bCs/>
              </w:rPr>
              <w:t xml:space="preserve"> for Allan &amp; Co.</w:t>
            </w:r>
            <w:r w:rsidR="00D206C5">
              <w:rPr>
                <w:bCs/>
                <w:color w:val="FF0000"/>
              </w:rPr>
              <w:t xml:space="preserve"> </w:t>
            </w:r>
            <w:r w:rsidR="003A5523">
              <w:rPr>
                <w:bCs/>
                <w:lang w:val="en"/>
              </w:rPr>
              <w:t xml:space="preserve">The </w:t>
            </w:r>
            <w:r w:rsidR="003A5523" w:rsidRPr="00E2677E">
              <w:rPr>
                <w:bCs/>
                <w:i/>
                <w:lang w:val="en"/>
              </w:rPr>
              <w:t>Crackajack</w:t>
            </w:r>
            <w:r w:rsidR="003A5523">
              <w:rPr>
                <w:bCs/>
                <w:lang w:val="en"/>
              </w:rPr>
              <w:t xml:space="preserve"> brand included a chromatic version of </w:t>
            </w:r>
            <w:r w:rsidR="00CC16BD">
              <w:rPr>
                <w:bCs/>
                <w:lang w:val="en"/>
              </w:rPr>
              <w:t>harmonica just before the brand was withdrawn from the market in 1938.</w:t>
            </w:r>
          </w:p>
          <w:p w:rsidR="005E3F38" w:rsidRPr="00390914" w:rsidRDefault="005E3F38" w:rsidP="00CC16BD">
            <w:pPr>
              <w:pStyle w:val="Standard"/>
              <w:rPr>
                <w:bCs/>
                <w:lang w:val="en"/>
              </w:rPr>
            </w:pPr>
          </w:p>
        </w:tc>
      </w:tr>
      <w:tr w:rsidR="00305982" w:rsidRPr="00B11E5A" w:rsidTr="00CC16BD">
        <w:trPr>
          <w:cantSplit/>
        </w:trPr>
        <w:tc>
          <w:tcPr>
            <w:tcW w:w="2376" w:type="dxa"/>
            <w:tcBorders>
              <w:top w:val="nil"/>
              <w:left w:val="nil"/>
              <w:bottom w:val="nil"/>
              <w:right w:val="nil"/>
            </w:tcBorders>
          </w:tcPr>
          <w:p w:rsidR="003A0D15" w:rsidRPr="003A0D15" w:rsidRDefault="00033B79" w:rsidP="00E5190D">
            <w:pPr>
              <w:spacing w:before="120"/>
              <w:rPr>
                <w:b/>
                <w:bCs/>
                <w:color w:val="FF0000"/>
              </w:rPr>
            </w:pPr>
            <w:r>
              <w:rPr>
                <w:b/>
                <w:bCs/>
              </w:rPr>
              <w:lastRenderedPageBreak/>
              <w:t>Gell</w:t>
            </w:r>
            <w:r w:rsidRPr="00E5190D">
              <w:rPr>
                <w:b/>
                <w:bCs/>
              </w:rPr>
              <w:t xml:space="preserve"> </w:t>
            </w:r>
            <w:r w:rsidR="003A0D15" w:rsidRPr="00E5190D">
              <w:rPr>
                <w:b/>
                <w:bCs/>
              </w:rPr>
              <w:t>Street</w:t>
            </w:r>
          </w:p>
        </w:tc>
        <w:tc>
          <w:tcPr>
            <w:tcW w:w="2552" w:type="dxa"/>
            <w:tcBorders>
              <w:top w:val="nil"/>
              <w:left w:val="nil"/>
              <w:bottom w:val="nil"/>
              <w:right w:val="nil"/>
            </w:tcBorders>
          </w:tcPr>
          <w:p w:rsidR="00F34366" w:rsidRPr="00253960" w:rsidRDefault="00500D4D" w:rsidP="00810C7F">
            <w:pPr>
              <w:spacing w:before="120"/>
              <w:rPr>
                <w:bCs/>
              </w:rPr>
            </w:pPr>
            <w:r w:rsidRPr="00253960">
              <w:rPr>
                <w:bCs/>
              </w:rPr>
              <w:t xml:space="preserve">Heather </w:t>
            </w:r>
            <w:r w:rsidR="00253960">
              <w:rPr>
                <w:bCs/>
              </w:rPr>
              <w:t xml:space="preserve">Doris </w:t>
            </w:r>
            <w:r w:rsidRPr="00253960">
              <w:rPr>
                <w:bCs/>
              </w:rPr>
              <w:t xml:space="preserve">Gell </w:t>
            </w:r>
            <w:r w:rsidR="00253960" w:rsidRPr="00253960">
              <w:rPr>
                <w:bCs/>
              </w:rPr>
              <w:t>MBE</w:t>
            </w:r>
          </w:p>
          <w:p w:rsidR="00500D4D" w:rsidRDefault="00500D4D" w:rsidP="00810C7F">
            <w:pPr>
              <w:spacing w:before="120"/>
              <w:rPr>
                <w:bCs/>
              </w:rPr>
            </w:pPr>
            <w:r w:rsidRPr="00253960">
              <w:rPr>
                <w:bCs/>
              </w:rPr>
              <w:t>(1896-1988)</w:t>
            </w:r>
          </w:p>
          <w:p w:rsidR="00850917" w:rsidRDefault="00850917" w:rsidP="00810C7F">
            <w:pPr>
              <w:spacing w:before="120"/>
              <w:rPr>
                <w:bCs/>
              </w:rPr>
            </w:pPr>
          </w:p>
          <w:p w:rsidR="00850917" w:rsidRPr="00850917" w:rsidRDefault="00850917" w:rsidP="00E22635">
            <w:pPr>
              <w:spacing w:before="120"/>
              <w:rPr>
                <w:bCs/>
                <w:i/>
                <w:color w:val="FF0000"/>
              </w:rPr>
            </w:pPr>
          </w:p>
        </w:tc>
        <w:tc>
          <w:tcPr>
            <w:tcW w:w="4819" w:type="dxa"/>
            <w:tcBorders>
              <w:top w:val="nil"/>
              <w:left w:val="nil"/>
              <w:bottom w:val="nil"/>
              <w:right w:val="nil"/>
            </w:tcBorders>
          </w:tcPr>
          <w:p w:rsidR="00253960" w:rsidRDefault="00394CC3" w:rsidP="00394CC3">
            <w:pPr>
              <w:spacing w:before="120"/>
              <w:rPr>
                <w:bCs/>
              </w:rPr>
            </w:pPr>
            <w:r>
              <w:rPr>
                <w:bCs/>
              </w:rPr>
              <w:t>Teacher, eurhythmics pioneer, broadcaster</w:t>
            </w:r>
          </w:p>
          <w:p w:rsidR="00253960" w:rsidRDefault="00253960" w:rsidP="00253960">
            <w:pPr>
              <w:rPr>
                <w:bCs/>
              </w:rPr>
            </w:pPr>
          </w:p>
          <w:p w:rsidR="00305982" w:rsidRDefault="00253960" w:rsidP="00FF0EEC">
            <w:pPr>
              <w:rPr>
                <w:bCs/>
              </w:rPr>
            </w:pPr>
            <w:r>
              <w:rPr>
                <w:bCs/>
              </w:rPr>
              <w:t xml:space="preserve">Heather </w:t>
            </w:r>
            <w:r w:rsidR="00500D4D">
              <w:rPr>
                <w:bCs/>
              </w:rPr>
              <w:t xml:space="preserve">Gell graduated from Adelaide Kindergarten Teachers College in 1916 where she was influenced by </w:t>
            </w:r>
            <w:r w:rsidR="00394CC3">
              <w:rPr>
                <w:bCs/>
              </w:rPr>
              <w:t>exposure to the new Dalcroz</w:t>
            </w:r>
            <w:r w:rsidR="00500D4D">
              <w:rPr>
                <w:bCs/>
              </w:rPr>
              <w:t>e Eur</w:t>
            </w:r>
            <w:r w:rsidR="00A26252">
              <w:rPr>
                <w:bCs/>
              </w:rPr>
              <w:t>h</w:t>
            </w:r>
            <w:r w:rsidR="00500D4D">
              <w:rPr>
                <w:bCs/>
              </w:rPr>
              <w:t xml:space="preserve">ythmics </w:t>
            </w:r>
            <w:r>
              <w:rPr>
                <w:bCs/>
              </w:rPr>
              <w:t>approach to music education</w:t>
            </w:r>
            <w:r w:rsidR="00500D4D">
              <w:rPr>
                <w:bCs/>
              </w:rPr>
              <w:t xml:space="preserve">. </w:t>
            </w:r>
            <w:r>
              <w:rPr>
                <w:bCs/>
              </w:rPr>
              <w:t>Gell</w:t>
            </w:r>
            <w:r w:rsidR="00500D4D">
              <w:rPr>
                <w:bCs/>
              </w:rPr>
              <w:t xml:space="preserve"> trained in Dalcro</w:t>
            </w:r>
            <w:r w:rsidR="00394CC3">
              <w:rPr>
                <w:bCs/>
              </w:rPr>
              <w:t>z</w:t>
            </w:r>
            <w:r w:rsidR="00500D4D">
              <w:rPr>
                <w:bCs/>
              </w:rPr>
              <w:t xml:space="preserve">e teaching techniques in London before conducting classes in Adelaide from 1924 to 1938.  On moving to Sydney she broadcast </w:t>
            </w:r>
            <w:r w:rsidR="00500D4D" w:rsidRPr="00500D4D">
              <w:rPr>
                <w:bCs/>
                <w:i/>
              </w:rPr>
              <w:t>Music through Movement</w:t>
            </w:r>
            <w:r w:rsidR="00500D4D">
              <w:rPr>
                <w:bCs/>
              </w:rPr>
              <w:t xml:space="preserve"> sessions for 20 years with the </w:t>
            </w:r>
            <w:r>
              <w:rPr>
                <w:bCs/>
              </w:rPr>
              <w:t>Australian Broadcasting Commission</w:t>
            </w:r>
            <w:r w:rsidR="00500D4D">
              <w:rPr>
                <w:bCs/>
              </w:rPr>
              <w:t>. In 1</w:t>
            </w:r>
            <w:r w:rsidR="00394CC3">
              <w:rPr>
                <w:bCs/>
              </w:rPr>
              <w:t>956 she opened the first Dalcroz</w:t>
            </w:r>
            <w:r w:rsidR="00500D4D">
              <w:rPr>
                <w:bCs/>
              </w:rPr>
              <w:t xml:space="preserve">e training school in Australia which she titled </w:t>
            </w:r>
            <w:r>
              <w:rPr>
                <w:bCs/>
              </w:rPr>
              <w:t xml:space="preserve">the Australian National School of Music and Movement.  Several of her students became the next generation of Dalcroze teachers in Australia. </w:t>
            </w:r>
            <w:r>
              <w:rPr>
                <w:bCs/>
              </w:rPr>
              <w:br/>
            </w:r>
            <w:r w:rsidRPr="00F45D5B">
              <w:rPr>
                <w:bCs/>
                <w:sz w:val="12"/>
                <w:szCs w:val="12"/>
              </w:rPr>
              <w:br/>
            </w:r>
            <w:r>
              <w:rPr>
                <w:bCs/>
              </w:rPr>
              <w:t xml:space="preserve">In 1976 she was </w:t>
            </w:r>
            <w:r w:rsidR="00FF0EEC">
              <w:rPr>
                <w:bCs/>
              </w:rPr>
              <w:t>appointed</w:t>
            </w:r>
            <w:r>
              <w:rPr>
                <w:bCs/>
              </w:rPr>
              <w:t xml:space="preserve"> MBE for her services to music education. A revised version of Gell’s 1949 book </w:t>
            </w:r>
            <w:r w:rsidRPr="00253960">
              <w:rPr>
                <w:bCs/>
                <w:i/>
              </w:rPr>
              <w:t>Music, Movement and the Young Child</w:t>
            </w:r>
            <w:r>
              <w:rPr>
                <w:bCs/>
              </w:rPr>
              <w:t xml:space="preserve"> was released in 2006. </w:t>
            </w:r>
          </w:p>
          <w:p w:rsidR="007B7D6D" w:rsidRPr="00C32E0F" w:rsidRDefault="007B7D6D" w:rsidP="00FF0EEC">
            <w:pPr>
              <w:rPr>
                <w:bCs/>
                <w:sz w:val="36"/>
                <w:szCs w:val="36"/>
              </w:rPr>
            </w:pPr>
          </w:p>
        </w:tc>
      </w:tr>
      <w:tr w:rsidR="00B964CF" w:rsidRPr="00B11E5A" w:rsidTr="00CC16BD">
        <w:trPr>
          <w:cantSplit/>
        </w:trPr>
        <w:tc>
          <w:tcPr>
            <w:tcW w:w="2376" w:type="dxa"/>
            <w:tcBorders>
              <w:top w:val="nil"/>
              <w:left w:val="nil"/>
              <w:bottom w:val="nil"/>
              <w:right w:val="nil"/>
            </w:tcBorders>
          </w:tcPr>
          <w:p w:rsidR="003A0D15" w:rsidRPr="003A0D15" w:rsidRDefault="00B964CF" w:rsidP="00C32E0F">
            <w:pPr>
              <w:spacing w:before="120"/>
              <w:rPr>
                <w:b/>
                <w:bCs/>
                <w:color w:val="FF0000"/>
              </w:rPr>
            </w:pPr>
            <w:r>
              <w:rPr>
                <w:b/>
                <w:bCs/>
              </w:rPr>
              <w:t>Lester</w:t>
            </w:r>
            <w:r w:rsidRPr="00E5190D">
              <w:rPr>
                <w:b/>
                <w:bCs/>
              </w:rPr>
              <w:t xml:space="preserve"> </w:t>
            </w:r>
            <w:r w:rsidR="003A0D15" w:rsidRPr="00E5190D">
              <w:rPr>
                <w:b/>
                <w:bCs/>
              </w:rPr>
              <w:t>Terrace</w:t>
            </w:r>
          </w:p>
        </w:tc>
        <w:tc>
          <w:tcPr>
            <w:tcW w:w="2552" w:type="dxa"/>
            <w:tcBorders>
              <w:top w:val="nil"/>
              <w:left w:val="nil"/>
              <w:bottom w:val="nil"/>
              <w:right w:val="nil"/>
            </w:tcBorders>
          </w:tcPr>
          <w:p w:rsidR="00E5190D" w:rsidRDefault="00E5190D" w:rsidP="00810C7F">
            <w:pPr>
              <w:spacing w:before="120"/>
              <w:rPr>
                <w:bCs/>
              </w:rPr>
            </w:pPr>
            <w:r>
              <w:rPr>
                <w:bCs/>
              </w:rPr>
              <w:t xml:space="preserve">Olive </w:t>
            </w:r>
            <w:r w:rsidR="00345018">
              <w:rPr>
                <w:bCs/>
              </w:rPr>
              <w:t>Zena Marks (formerly Redgrave, nee Lester)</w:t>
            </w:r>
          </w:p>
          <w:p w:rsidR="00E5190D" w:rsidRDefault="00E5190D" w:rsidP="00E5190D">
            <w:pPr>
              <w:spacing w:before="120"/>
              <w:rPr>
                <w:bCs/>
              </w:rPr>
            </w:pPr>
            <w:r>
              <w:rPr>
                <w:bCs/>
              </w:rPr>
              <w:t>(19</w:t>
            </w:r>
            <w:r w:rsidR="0007440D">
              <w:rPr>
                <w:bCs/>
              </w:rPr>
              <w:t>16</w:t>
            </w:r>
            <w:r>
              <w:rPr>
                <w:bCs/>
              </w:rPr>
              <w:t>-</w:t>
            </w:r>
            <w:r w:rsidR="00345018">
              <w:rPr>
                <w:bCs/>
              </w:rPr>
              <w:t>1989</w:t>
            </w:r>
            <w:r>
              <w:rPr>
                <w:bCs/>
              </w:rPr>
              <w:t>)</w:t>
            </w:r>
          </w:p>
          <w:p w:rsidR="00127CC2" w:rsidRDefault="0007440D" w:rsidP="00127CC2">
            <w:pPr>
              <w:spacing w:before="120"/>
              <w:rPr>
                <w:bCs/>
                <w:color w:val="808080"/>
              </w:rPr>
            </w:pPr>
            <w:r>
              <w:rPr>
                <w:i/>
                <w:color w:val="FF0000"/>
                <w:sz w:val="20"/>
                <w:szCs w:val="20"/>
              </w:rPr>
              <w:br/>
            </w:r>
            <w:r w:rsidR="00127CC2">
              <w:rPr>
                <w:i/>
                <w:color w:val="FF0000"/>
                <w:sz w:val="20"/>
                <w:szCs w:val="20"/>
              </w:rPr>
              <w:t xml:space="preserve">  </w:t>
            </w:r>
          </w:p>
          <w:p w:rsidR="00127CC2" w:rsidRDefault="00127CC2" w:rsidP="00127CC2">
            <w:pPr>
              <w:spacing w:before="120"/>
              <w:rPr>
                <w:bCs/>
                <w:color w:val="808080"/>
              </w:rPr>
            </w:pPr>
          </w:p>
          <w:p w:rsidR="00127CC2" w:rsidRPr="00C32E0F" w:rsidRDefault="00127CC2" w:rsidP="00127CC2">
            <w:pPr>
              <w:spacing w:before="120"/>
              <w:rPr>
                <w:i/>
                <w:color w:val="FF0000"/>
                <w:sz w:val="20"/>
                <w:szCs w:val="20"/>
              </w:rPr>
            </w:pPr>
            <w:r>
              <w:rPr>
                <w:bCs/>
                <w:color w:val="808080"/>
              </w:rPr>
              <w:br/>
            </w:r>
            <w:r>
              <w:rPr>
                <w:bCs/>
                <w:color w:val="808080"/>
              </w:rPr>
              <w:br/>
            </w:r>
          </w:p>
          <w:p w:rsidR="00814844" w:rsidRPr="00C32E0F" w:rsidRDefault="00814844" w:rsidP="00127CC2">
            <w:pPr>
              <w:rPr>
                <w:i/>
                <w:color w:val="FF0000"/>
                <w:sz w:val="20"/>
                <w:szCs w:val="20"/>
              </w:rPr>
            </w:pPr>
          </w:p>
        </w:tc>
        <w:tc>
          <w:tcPr>
            <w:tcW w:w="4819" w:type="dxa"/>
            <w:tcBorders>
              <w:top w:val="nil"/>
              <w:left w:val="nil"/>
              <w:bottom w:val="nil"/>
              <w:right w:val="nil"/>
            </w:tcBorders>
          </w:tcPr>
          <w:p w:rsidR="00701126" w:rsidRPr="00127CC2" w:rsidRDefault="007057F0" w:rsidP="003E7F83">
            <w:pPr>
              <w:spacing w:before="120"/>
              <w:rPr>
                <w:bCs/>
              </w:rPr>
            </w:pPr>
            <w:r>
              <w:rPr>
                <w:bCs/>
              </w:rPr>
              <w:t>Solo vocalist, h</w:t>
            </w:r>
            <w:r w:rsidR="00127CC2" w:rsidRPr="00127CC2">
              <w:rPr>
                <w:bCs/>
              </w:rPr>
              <w:t>armony singer</w:t>
            </w:r>
            <w:r w:rsidR="00AC7D4D">
              <w:rPr>
                <w:bCs/>
              </w:rPr>
              <w:t xml:space="preserve"> and teacher</w:t>
            </w:r>
            <w:r w:rsidR="0007440D">
              <w:rPr>
                <w:bCs/>
              </w:rPr>
              <w:br/>
            </w:r>
            <w:r w:rsidR="00701126">
              <w:rPr>
                <w:bCs/>
              </w:rPr>
              <w:br/>
              <w:t xml:space="preserve">As eldest child in a musically talented family, Olive Lester began singing in a harmony trio </w:t>
            </w:r>
            <w:r w:rsidR="00701126" w:rsidRPr="003C41F4">
              <w:rPr>
                <w:bCs/>
                <w:i/>
              </w:rPr>
              <w:t>The Rhythm Girls</w:t>
            </w:r>
            <w:r w:rsidR="00701126">
              <w:rPr>
                <w:bCs/>
              </w:rPr>
              <w:t xml:space="preserve">, before </w:t>
            </w:r>
            <w:r w:rsidR="003C41F4">
              <w:rPr>
                <w:bCs/>
              </w:rPr>
              <w:t xml:space="preserve">she formed </w:t>
            </w:r>
            <w:r w:rsidR="0007440D" w:rsidRPr="0007440D">
              <w:rPr>
                <w:bCs/>
                <w:i/>
              </w:rPr>
              <w:t>The</w:t>
            </w:r>
            <w:r w:rsidR="003C41F4" w:rsidRPr="0007440D">
              <w:rPr>
                <w:bCs/>
                <w:i/>
              </w:rPr>
              <w:t xml:space="preserve"> </w:t>
            </w:r>
            <w:r w:rsidR="003C41F4" w:rsidRPr="003C41F4">
              <w:rPr>
                <w:bCs/>
                <w:i/>
              </w:rPr>
              <w:t>Lester Sisters</w:t>
            </w:r>
            <w:r w:rsidR="003C41F4">
              <w:rPr>
                <w:bCs/>
              </w:rPr>
              <w:t xml:space="preserve"> with her siblings Betty and Nola. In 1940 they debuted on the Jack Davey radio variety show ‘Dr. </w:t>
            </w:r>
            <w:r w:rsidR="003E7F83">
              <w:rPr>
                <w:bCs/>
              </w:rPr>
              <w:t>Davey’, which</w:t>
            </w:r>
            <w:r w:rsidR="003C41F4">
              <w:rPr>
                <w:bCs/>
              </w:rPr>
              <w:t xml:space="preserve"> broadcast nationally on 2GB.</w:t>
            </w:r>
            <w:r w:rsidR="007D6A3F">
              <w:rPr>
                <w:bCs/>
              </w:rPr>
              <w:t xml:space="preserve"> D</w:t>
            </w:r>
            <w:r w:rsidR="002432E0">
              <w:rPr>
                <w:bCs/>
              </w:rPr>
              <w:t xml:space="preserve">uring World War II they sang arrangements </w:t>
            </w:r>
            <w:r>
              <w:rPr>
                <w:bCs/>
              </w:rPr>
              <w:t xml:space="preserve">inspired by the </w:t>
            </w:r>
            <w:r w:rsidRPr="007057F0">
              <w:rPr>
                <w:bCs/>
                <w:i/>
              </w:rPr>
              <w:t>Boswell Sisters</w:t>
            </w:r>
            <w:r>
              <w:rPr>
                <w:bCs/>
              </w:rPr>
              <w:t xml:space="preserve"> and the</w:t>
            </w:r>
            <w:r w:rsidR="002432E0">
              <w:rPr>
                <w:bCs/>
              </w:rPr>
              <w:t xml:space="preserve"> </w:t>
            </w:r>
            <w:r w:rsidR="002432E0" w:rsidRPr="002432E0">
              <w:rPr>
                <w:bCs/>
                <w:i/>
              </w:rPr>
              <w:t>Andrews Sisters</w:t>
            </w:r>
            <w:r w:rsidR="002432E0">
              <w:rPr>
                <w:bCs/>
                <w:i/>
              </w:rPr>
              <w:t xml:space="preserve">, </w:t>
            </w:r>
            <w:r w:rsidR="006540A8" w:rsidRPr="006540A8">
              <w:rPr>
                <w:bCs/>
              </w:rPr>
              <w:t xml:space="preserve">and </w:t>
            </w:r>
            <w:r w:rsidR="002432E0">
              <w:rPr>
                <w:bCs/>
              </w:rPr>
              <w:t xml:space="preserve">Olive </w:t>
            </w:r>
            <w:r w:rsidR="002432E0" w:rsidRPr="002432E0">
              <w:rPr>
                <w:bCs/>
              </w:rPr>
              <w:t>also perform</w:t>
            </w:r>
            <w:r w:rsidR="002432E0">
              <w:rPr>
                <w:bCs/>
              </w:rPr>
              <w:t>ed</w:t>
            </w:r>
            <w:r w:rsidR="002432E0" w:rsidRPr="002432E0">
              <w:rPr>
                <w:bCs/>
              </w:rPr>
              <w:t xml:space="preserve"> solo at coffee lounges, night clubs,</w:t>
            </w:r>
            <w:r w:rsidR="002432E0">
              <w:rPr>
                <w:bCs/>
              </w:rPr>
              <w:t xml:space="preserve"> </w:t>
            </w:r>
            <w:r w:rsidR="002432E0" w:rsidRPr="002432E0">
              <w:rPr>
                <w:bCs/>
              </w:rPr>
              <w:t>and on radio shows</w:t>
            </w:r>
            <w:r w:rsidR="002432E0">
              <w:rPr>
                <w:bCs/>
              </w:rPr>
              <w:t xml:space="preserve"> in both Melbourne and Sydney</w:t>
            </w:r>
            <w:r>
              <w:rPr>
                <w:bCs/>
              </w:rPr>
              <w:t xml:space="preserve"> from the mid-1930s</w:t>
            </w:r>
            <w:r w:rsidR="002432E0" w:rsidRPr="002432E0">
              <w:rPr>
                <w:bCs/>
              </w:rPr>
              <w:t>.</w:t>
            </w:r>
            <w:r w:rsidR="007D6A3F">
              <w:rPr>
                <w:bCs/>
              </w:rPr>
              <w:br/>
            </w:r>
            <w:r w:rsidR="00595372" w:rsidRPr="007D6A3F">
              <w:rPr>
                <w:bCs/>
                <w:sz w:val="12"/>
                <w:szCs w:val="12"/>
              </w:rPr>
              <w:br/>
            </w:r>
            <w:r w:rsidR="002432E0">
              <w:rPr>
                <w:bCs/>
              </w:rPr>
              <w:t xml:space="preserve">She appeared on </w:t>
            </w:r>
            <w:r w:rsidR="006540A8">
              <w:rPr>
                <w:bCs/>
              </w:rPr>
              <w:t xml:space="preserve">radio </w:t>
            </w:r>
            <w:r w:rsidR="002432E0">
              <w:rPr>
                <w:bCs/>
              </w:rPr>
              <w:t xml:space="preserve">with </w:t>
            </w:r>
            <w:r w:rsidR="006540A8">
              <w:rPr>
                <w:bCs/>
              </w:rPr>
              <w:t>Dick Cranbourne and Bob Dyer,</w:t>
            </w:r>
            <w:r w:rsidR="002432E0">
              <w:rPr>
                <w:bCs/>
              </w:rPr>
              <w:t xml:space="preserve"> the Colgate-Palmol</w:t>
            </w:r>
            <w:r w:rsidR="00E22635">
              <w:rPr>
                <w:bCs/>
              </w:rPr>
              <w:t xml:space="preserve">ive shows and </w:t>
            </w:r>
            <w:r w:rsidR="00A552BC">
              <w:rPr>
                <w:bCs/>
              </w:rPr>
              <w:t>with Jim Gussey’s ABC dance band.</w:t>
            </w:r>
            <w:r w:rsidR="00AC7D4D">
              <w:rPr>
                <w:bCs/>
              </w:rPr>
              <w:t xml:space="preserve"> </w:t>
            </w:r>
            <w:r w:rsidR="002432E0">
              <w:rPr>
                <w:bCs/>
              </w:rPr>
              <w:t xml:space="preserve"> </w:t>
            </w:r>
            <w:r w:rsidR="006540A8">
              <w:rPr>
                <w:bCs/>
              </w:rPr>
              <w:t xml:space="preserve">During the Korean War the sisters performed to troops in Japan and Korea. </w:t>
            </w:r>
            <w:r w:rsidR="00243895">
              <w:rPr>
                <w:bCs/>
              </w:rPr>
              <w:t xml:space="preserve">From 1956 they starred in television shows </w:t>
            </w:r>
            <w:r w:rsidR="00E57567">
              <w:rPr>
                <w:bCs/>
              </w:rPr>
              <w:t xml:space="preserve">including </w:t>
            </w:r>
            <w:r w:rsidR="007D6A3F">
              <w:rPr>
                <w:bCs/>
              </w:rPr>
              <w:t xml:space="preserve">‘Bandstand’ </w:t>
            </w:r>
            <w:r w:rsidR="00243895">
              <w:rPr>
                <w:bCs/>
              </w:rPr>
              <w:t xml:space="preserve">and </w:t>
            </w:r>
            <w:r w:rsidR="00AC7D4D">
              <w:rPr>
                <w:bCs/>
              </w:rPr>
              <w:t xml:space="preserve">featured in </w:t>
            </w:r>
            <w:r w:rsidR="00243895">
              <w:rPr>
                <w:bCs/>
              </w:rPr>
              <w:t xml:space="preserve">numerous </w:t>
            </w:r>
            <w:r w:rsidR="00AC7D4D">
              <w:rPr>
                <w:bCs/>
              </w:rPr>
              <w:t>advertising jingles</w:t>
            </w:r>
            <w:r w:rsidR="00243895">
              <w:rPr>
                <w:bCs/>
              </w:rPr>
              <w:t>.</w:t>
            </w:r>
            <w:r w:rsidR="006B2ED8">
              <w:rPr>
                <w:bCs/>
              </w:rPr>
              <w:t xml:space="preserve"> </w:t>
            </w:r>
            <w:r w:rsidR="00E22635">
              <w:rPr>
                <w:bCs/>
              </w:rPr>
              <w:t xml:space="preserve">Olive also wrote </w:t>
            </w:r>
            <w:r w:rsidR="00357E43">
              <w:rPr>
                <w:bCs/>
              </w:rPr>
              <w:t xml:space="preserve">song </w:t>
            </w:r>
            <w:r w:rsidR="00E22635">
              <w:rPr>
                <w:bCs/>
              </w:rPr>
              <w:t>lyrics for her husband composer Glenn Marks</w:t>
            </w:r>
            <w:r w:rsidR="00AC7D4D">
              <w:rPr>
                <w:bCs/>
              </w:rPr>
              <w:t>, sang as a solo vocalist</w:t>
            </w:r>
            <w:r w:rsidR="00E57567">
              <w:rPr>
                <w:bCs/>
              </w:rPr>
              <w:t xml:space="preserve"> and was a musical mentor to many stars of her time.</w:t>
            </w:r>
            <w:r w:rsidR="00E22635">
              <w:rPr>
                <w:bCs/>
              </w:rPr>
              <w:t xml:space="preserve">  </w:t>
            </w:r>
            <w:r w:rsidR="00243895">
              <w:rPr>
                <w:bCs/>
              </w:rPr>
              <w:t xml:space="preserve"> </w:t>
            </w:r>
            <w:r w:rsidR="006540A8">
              <w:rPr>
                <w:bCs/>
              </w:rPr>
              <w:t xml:space="preserve">  </w:t>
            </w:r>
            <w:r w:rsidR="002432E0">
              <w:rPr>
                <w:bCs/>
              </w:rPr>
              <w:br/>
            </w:r>
            <w:r w:rsidR="006B2ED8">
              <w:rPr>
                <w:bCs/>
              </w:rPr>
              <w:t xml:space="preserve">                         </w:t>
            </w:r>
          </w:p>
        </w:tc>
      </w:tr>
      <w:tr w:rsidR="00B964CF" w:rsidRPr="00B11E5A" w:rsidTr="00CC16BD">
        <w:trPr>
          <w:cantSplit/>
        </w:trPr>
        <w:tc>
          <w:tcPr>
            <w:tcW w:w="2376" w:type="dxa"/>
            <w:tcBorders>
              <w:top w:val="nil"/>
              <w:left w:val="nil"/>
              <w:bottom w:val="nil"/>
              <w:right w:val="nil"/>
            </w:tcBorders>
          </w:tcPr>
          <w:p w:rsidR="003A0D15" w:rsidRPr="003A0D15" w:rsidRDefault="00507E70" w:rsidP="00E5190D">
            <w:pPr>
              <w:spacing w:before="120"/>
              <w:rPr>
                <w:b/>
                <w:bCs/>
                <w:color w:val="FF0000"/>
              </w:rPr>
            </w:pPr>
            <w:r>
              <w:rPr>
                <w:b/>
                <w:bCs/>
              </w:rPr>
              <w:t>Pikler</w:t>
            </w:r>
            <w:r w:rsidRPr="00E5190D">
              <w:rPr>
                <w:b/>
                <w:bCs/>
              </w:rPr>
              <w:t xml:space="preserve"> </w:t>
            </w:r>
            <w:r w:rsidR="003A0D15" w:rsidRPr="00E5190D">
              <w:rPr>
                <w:b/>
                <w:bCs/>
              </w:rPr>
              <w:t>Rise</w:t>
            </w:r>
          </w:p>
        </w:tc>
        <w:tc>
          <w:tcPr>
            <w:tcW w:w="2552" w:type="dxa"/>
            <w:tcBorders>
              <w:top w:val="nil"/>
              <w:left w:val="nil"/>
              <w:bottom w:val="nil"/>
              <w:right w:val="nil"/>
            </w:tcBorders>
          </w:tcPr>
          <w:p w:rsidR="00B964CF" w:rsidRDefault="00507E70" w:rsidP="005D52A5">
            <w:pPr>
              <w:spacing w:before="120" w:after="120"/>
              <w:rPr>
                <w:bCs/>
              </w:rPr>
            </w:pPr>
            <w:r>
              <w:rPr>
                <w:bCs/>
              </w:rPr>
              <w:t xml:space="preserve">Robert </w:t>
            </w:r>
            <w:r w:rsidRPr="00507E70">
              <w:rPr>
                <w:bCs/>
              </w:rPr>
              <w:t>P</w:t>
            </w:r>
            <w:r w:rsidR="005D52A5">
              <w:rPr>
                <w:bCs/>
              </w:rPr>
              <w:t>ikler</w:t>
            </w:r>
            <w:r w:rsidRPr="00507E70">
              <w:rPr>
                <w:bCs/>
              </w:rPr>
              <w:t xml:space="preserve"> OBE</w:t>
            </w:r>
            <w:r w:rsidR="005D52A5">
              <w:rPr>
                <w:bCs/>
              </w:rPr>
              <w:br/>
            </w:r>
            <w:r w:rsidR="005D52A5" w:rsidRPr="005D52A5">
              <w:rPr>
                <w:bCs/>
                <w:sz w:val="12"/>
                <w:szCs w:val="12"/>
              </w:rPr>
              <w:br/>
            </w:r>
            <w:r w:rsidRPr="00507E70">
              <w:rPr>
                <w:bCs/>
              </w:rPr>
              <w:t xml:space="preserve">(1909-1984) </w:t>
            </w:r>
          </w:p>
          <w:p w:rsidR="00850917" w:rsidRDefault="00850917" w:rsidP="005D52A5">
            <w:pPr>
              <w:spacing w:before="120" w:after="120"/>
              <w:rPr>
                <w:bCs/>
              </w:rPr>
            </w:pPr>
          </w:p>
          <w:p w:rsidR="00E5190D" w:rsidRDefault="00E5190D" w:rsidP="00507E70">
            <w:pPr>
              <w:spacing w:before="120"/>
              <w:rPr>
                <w:bCs/>
              </w:rPr>
            </w:pPr>
          </w:p>
          <w:p w:rsidR="00E5190D" w:rsidRPr="00E660E0" w:rsidRDefault="00E5190D" w:rsidP="00507E70">
            <w:pPr>
              <w:spacing w:before="120"/>
              <w:rPr>
                <w:bCs/>
                <w:sz w:val="20"/>
                <w:szCs w:val="20"/>
              </w:rPr>
            </w:pPr>
          </w:p>
          <w:p w:rsidR="00E5190D" w:rsidRDefault="00E5190D" w:rsidP="00507E70">
            <w:pPr>
              <w:spacing w:before="120"/>
              <w:rPr>
                <w:bCs/>
              </w:rPr>
            </w:pPr>
          </w:p>
          <w:p w:rsidR="00E5190D" w:rsidRPr="00E660E0" w:rsidRDefault="00E5190D" w:rsidP="00507E70">
            <w:pPr>
              <w:spacing w:before="120"/>
              <w:rPr>
                <w:bCs/>
                <w:sz w:val="20"/>
                <w:szCs w:val="20"/>
              </w:rPr>
            </w:pPr>
          </w:p>
          <w:p w:rsidR="00E5190D" w:rsidRPr="00E660E0" w:rsidRDefault="00E5190D" w:rsidP="00507E70">
            <w:pPr>
              <w:spacing w:before="120"/>
              <w:rPr>
                <w:bCs/>
                <w:sz w:val="16"/>
                <w:szCs w:val="16"/>
              </w:rPr>
            </w:pPr>
          </w:p>
          <w:p w:rsidR="00E660E0" w:rsidRPr="00E660E0" w:rsidRDefault="00E660E0" w:rsidP="005D52A5">
            <w:pPr>
              <w:spacing w:before="120"/>
              <w:rPr>
                <w:bCs/>
                <w:sz w:val="16"/>
                <w:szCs w:val="16"/>
              </w:rPr>
            </w:pPr>
          </w:p>
          <w:p w:rsidR="00F45D5B" w:rsidRDefault="00F45D5B" w:rsidP="005D52A5">
            <w:pPr>
              <w:spacing w:before="120"/>
              <w:rPr>
                <w:bCs/>
              </w:rPr>
            </w:pPr>
          </w:p>
          <w:p w:rsidR="00F45D5B" w:rsidRDefault="00F45D5B" w:rsidP="005D52A5">
            <w:pPr>
              <w:spacing w:before="120"/>
              <w:rPr>
                <w:bCs/>
              </w:rPr>
            </w:pPr>
          </w:p>
          <w:p w:rsidR="00F45D5B" w:rsidRPr="00F45D5B" w:rsidRDefault="00F45D5B" w:rsidP="005D52A5">
            <w:pPr>
              <w:spacing w:before="120"/>
              <w:rPr>
                <w:bCs/>
                <w:sz w:val="28"/>
                <w:szCs w:val="28"/>
              </w:rPr>
            </w:pPr>
          </w:p>
          <w:p w:rsidR="00F45D5B" w:rsidRPr="00E64691" w:rsidRDefault="00F45D5B" w:rsidP="005D52A5">
            <w:pPr>
              <w:spacing w:before="120"/>
              <w:rPr>
                <w:bCs/>
              </w:rPr>
            </w:pPr>
          </w:p>
          <w:p w:rsidR="00F45D5B" w:rsidRPr="00E64691" w:rsidRDefault="00F45D5B" w:rsidP="005D52A5">
            <w:pPr>
              <w:spacing w:before="120"/>
              <w:rPr>
                <w:bCs/>
              </w:rPr>
            </w:pPr>
          </w:p>
          <w:p w:rsidR="00E64691" w:rsidRDefault="00E64691" w:rsidP="005D52A5">
            <w:pPr>
              <w:spacing w:before="120"/>
              <w:rPr>
                <w:bCs/>
              </w:rPr>
            </w:pPr>
          </w:p>
          <w:p w:rsidR="00E64691" w:rsidRDefault="00E64691" w:rsidP="005D52A5">
            <w:pPr>
              <w:spacing w:before="120"/>
              <w:rPr>
                <w:bCs/>
              </w:rPr>
            </w:pPr>
          </w:p>
          <w:p w:rsidR="00E22635" w:rsidRDefault="00E22635" w:rsidP="005D52A5">
            <w:pPr>
              <w:spacing w:before="120"/>
              <w:rPr>
                <w:bCs/>
              </w:rPr>
            </w:pPr>
          </w:p>
          <w:p w:rsidR="00E22635" w:rsidRDefault="00E22635" w:rsidP="005D52A5">
            <w:pPr>
              <w:spacing w:before="120"/>
              <w:rPr>
                <w:bCs/>
              </w:rPr>
            </w:pPr>
          </w:p>
          <w:p w:rsidR="00E22635" w:rsidRPr="00CE66B9" w:rsidRDefault="00E22635" w:rsidP="005D52A5">
            <w:pPr>
              <w:rPr>
                <w:bCs/>
                <w:sz w:val="20"/>
                <w:szCs w:val="20"/>
              </w:rPr>
            </w:pPr>
          </w:p>
          <w:p w:rsidR="005D52A5" w:rsidRDefault="00E5190D" w:rsidP="005D52A5">
            <w:pPr>
              <w:rPr>
                <w:bCs/>
              </w:rPr>
            </w:pPr>
            <w:r>
              <w:rPr>
                <w:bCs/>
              </w:rPr>
              <w:t xml:space="preserve">George </w:t>
            </w:r>
            <w:r w:rsidRPr="00507E70">
              <w:rPr>
                <w:bCs/>
              </w:rPr>
              <w:t>P</w:t>
            </w:r>
            <w:r w:rsidR="005D52A5">
              <w:rPr>
                <w:bCs/>
              </w:rPr>
              <w:t>ikler</w:t>
            </w:r>
          </w:p>
          <w:p w:rsidR="00E5190D" w:rsidRDefault="00E5190D" w:rsidP="006940E1">
            <w:pPr>
              <w:spacing w:before="120"/>
              <w:rPr>
                <w:bCs/>
                <w:i/>
              </w:rPr>
            </w:pPr>
            <w:r w:rsidRPr="00507E70">
              <w:rPr>
                <w:bCs/>
              </w:rPr>
              <w:t xml:space="preserve">(1910-2011) </w:t>
            </w:r>
            <w:r w:rsidRPr="00507E70">
              <w:rPr>
                <w:bCs/>
                <w:i/>
              </w:rPr>
              <w:t xml:space="preserve"> </w:t>
            </w:r>
          </w:p>
          <w:p w:rsidR="00850917" w:rsidRDefault="00850917" w:rsidP="005D52A5">
            <w:pPr>
              <w:spacing w:before="120"/>
              <w:rPr>
                <w:bCs/>
                <w:i/>
              </w:rPr>
            </w:pPr>
          </w:p>
          <w:p w:rsidR="00850917" w:rsidRPr="00850917" w:rsidRDefault="00850917" w:rsidP="00F45D5B">
            <w:pPr>
              <w:spacing w:before="120"/>
              <w:rPr>
                <w:bCs/>
                <w:color w:val="FF0000"/>
              </w:rPr>
            </w:pPr>
          </w:p>
        </w:tc>
        <w:tc>
          <w:tcPr>
            <w:tcW w:w="4819" w:type="dxa"/>
            <w:tcBorders>
              <w:top w:val="nil"/>
              <w:left w:val="nil"/>
              <w:bottom w:val="nil"/>
              <w:right w:val="nil"/>
            </w:tcBorders>
          </w:tcPr>
          <w:p w:rsidR="007B7D6D" w:rsidRPr="003C4FD5" w:rsidRDefault="007B7D6D" w:rsidP="007B7D6D">
            <w:pPr>
              <w:widowControl w:val="0"/>
              <w:autoSpaceDE w:val="0"/>
              <w:autoSpaceDN w:val="0"/>
              <w:adjustRightInd w:val="0"/>
              <w:spacing w:before="120" w:line="480" w:lineRule="auto"/>
              <w:rPr>
                <w:szCs w:val="32"/>
              </w:rPr>
            </w:pPr>
            <w:r w:rsidRPr="003C4FD5">
              <w:rPr>
                <w:szCs w:val="32"/>
              </w:rPr>
              <w:t>Violinist, violist, conductor</w:t>
            </w:r>
            <w:r>
              <w:rPr>
                <w:szCs w:val="32"/>
              </w:rPr>
              <w:t>, teacher</w:t>
            </w:r>
          </w:p>
          <w:p w:rsidR="007B7D6D" w:rsidRPr="00F45D5B" w:rsidRDefault="007B7D6D" w:rsidP="007B7D6D">
            <w:pPr>
              <w:widowControl w:val="0"/>
              <w:autoSpaceDE w:val="0"/>
              <w:autoSpaceDN w:val="0"/>
              <w:adjustRightInd w:val="0"/>
              <w:rPr>
                <w:sz w:val="12"/>
                <w:szCs w:val="12"/>
              </w:rPr>
            </w:pPr>
            <w:r>
              <w:rPr>
                <w:szCs w:val="32"/>
              </w:rPr>
              <w:t xml:space="preserve">Violinist Robert Pikler's </w:t>
            </w:r>
            <w:r w:rsidRPr="003C4FD5">
              <w:rPr>
                <w:szCs w:val="32"/>
              </w:rPr>
              <w:t xml:space="preserve">chamber orchestra </w:t>
            </w:r>
            <w:r>
              <w:rPr>
                <w:szCs w:val="32"/>
              </w:rPr>
              <w:t>toured</w:t>
            </w:r>
            <w:r w:rsidRPr="003C4FD5">
              <w:rPr>
                <w:szCs w:val="32"/>
              </w:rPr>
              <w:t xml:space="preserve"> Europe</w:t>
            </w:r>
            <w:r>
              <w:rPr>
                <w:szCs w:val="32"/>
              </w:rPr>
              <w:t xml:space="preserve"> before leaving Hungary for Asia in 1934.  Settling in Australia in 1946, Pikler led the Musica Viva Chamber Players in the pioneering years of Music Viva 1946-1951.  P</w:t>
            </w:r>
            <w:r w:rsidRPr="003C4FD5">
              <w:rPr>
                <w:szCs w:val="32"/>
              </w:rPr>
              <w:t>rincipal viola in the Sydney Symphony Orchestra 1952-66,</w:t>
            </w:r>
            <w:r>
              <w:rPr>
                <w:szCs w:val="32"/>
              </w:rPr>
              <w:t xml:space="preserve"> Pikler later conducted the SSO in performances and recordings. Joining the NSW Conservatorium in 1966 he was violist artistic director of the Sydney String Quartet. As a teacher his influence was extended through his direction of the Sydney Conservatorium Chamber Orchestra which toured internationally.</w:t>
            </w:r>
            <w:r w:rsidR="00F45D5B">
              <w:rPr>
                <w:szCs w:val="32"/>
              </w:rPr>
              <w:br/>
            </w:r>
          </w:p>
          <w:p w:rsidR="007B7D6D" w:rsidRPr="003F39DE" w:rsidRDefault="007B7D6D" w:rsidP="007B7D6D">
            <w:pPr>
              <w:widowControl w:val="0"/>
              <w:autoSpaceDE w:val="0"/>
              <w:autoSpaceDN w:val="0"/>
              <w:adjustRightInd w:val="0"/>
              <w:rPr>
                <w:szCs w:val="32"/>
              </w:rPr>
            </w:pPr>
            <w:r>
              <w:rPr>
                <w:lang w:val="en-AU"/>
              </w:rPr>
              <w:t>Pikler made an enormous contribution to chamber and orchestral music in Australia as a performer and conductor, and his teaching empowered two generations of young musicians whose influence continues locally and internationally.  I</w:t>
            </w:r>
            <w:r w:rsidRPr="003C4FD5">
              <w:rPr>
                <w:szCs w:val="32"/>
              </w:rPr>
              <w:t xml:space="preserve">n 1974 </w:t>
            </w:r>
            <w:r>
              <w:rPr>
                <w:szCs w:val="32"/>
              </w:rPr>
              <w:t>he was awarded an</w:t>
            </w:r>
            <w:r w:rsidRPr="003C4FD5">
              <w:rPr>
                <w:szCs w:val="32"/>
              </w:rPr>
              <w:t> OBE for his service to music.</w:t>
            </w:r>
            <w:r w:rsidR="00F45D5B">
              <w:rPr>
                <w:szCs w:val="32"/>
              </w:rPr>
              <w:br/>
            </w:r>
            <w:r>
              <w:rPr>
                <w:szCs w:val="32"/>
              </w:rPr>
              <w:t xml:space="preserve">  </w:t>
            </w:r>
          </w:p>
          <w:p w:rsidR="00E5190D" w:rsidRDefault="00E5190D" w:rsidP="00E5190D">
            <w:r>
              <w:t> </w:t>
            </w:r>
          </w:p>
          <w:p w:rsidR="00E5190D" w:rsidRDefault="00E5190D" w:rsidP="00E5190D">
            <w:r>
              <w:t>Musician, composer</w:t>
            </w:r>
          </w:p>
          <w:p w:rsidR="00E5190D" w:rsidRDefault="00E5190D" w:rsidP="00E5190D">
            <w:r>
              <w:t> </w:t>
            </w:r>
          </w:p>
          <w:p w:rsidR="00C30827" w:rsidRPr="00C30827" w:rsidRDefault="00C30827" w:rsidP="00C30827">
            <w:r w:rsidRPr="00C30827">
              <w:t>A talented musician on several instruments including clarinet, piano, saxophone and accordion, George Pikler played in an orchestra with his brothers in Europe and Asia. After wartime internment by Japanese forces in Indonesia, George and his family moved to Australia.  From 1957 he performed in his own Sunday ABC radio program specialising in continental and light classical music. He was one of the founding members of the Music Arrangers’ Guild of Australia in 1961.</w:t>
            </w:r>
            <w:r w:rsidR="00F45D5B">
              <w:br/>
            </w:r>
            <w:r w:rsidR="00F45D5B" w:rsidRPr="00F45D5B">
              <w:rPr>
                <w:sz w:val="12"/>
                <w:szCs w:val="12"/>
              </w:rPr>
              <w:br/>
            </w:r>
            <w:r w:rsidR="00F45D5B">
              <w:t>Pikler</w:t>
            </w:r>
            <w:r w:rsidRPr="00C30827">
              <w:t xml:space="preserve"> led the band at Spellson’s restaurant in Sydney providing backing for famous national and international artists.  He held several roles as a musical director including the</w:t>
            </w:r>
            <w:r w:rsidRPr="00C30827">
              <w:rPr>
                <w:rStyle w:val="apple-converted-space"/>
              </w:rPr>
              <w:t> </w:t>
            </w:r>
            <w:r w:rsidRPr="00C30827">
              <w:rPr>
                <w:i/>
                <w:iCs/>
              </w:rPr>
              <w:t>Keith Walsh Show</w:t>
            </w:r>
            <w:r w:rsidRPr="00C30827">
              <w:rPr>
                <w:rStyle w:val="apple-converted-space"/>
                <w:i/>
                <w:iCs/>
              </w:rPr>
              <w:t> </w:t>
            </w:r>
            <w:r w:rsidRPr="00C30827">
              <w:t>on Channel Seven, and his orchestra of Hungarian musicians released 12 gypsy melody records.  His outstanding talent was recognised by all musicians who played his compositions.</w:t>
            </w:r>
          </w:p>
          <w:p w:rsidR="00507E70" w:rsidRPr="00D1048E" w:rsidRDefault="00507E70" w:rsidP="00E5190D">
            <w:pPr>
              <w:rPr>
                <w:bCs/>
              </w:rPr>
            </w:pPr>
          </w:p>
        </w:tc>
      </w:tr>
    </w:tbl>
    <w:p w:rsidR="005E3F38" w:rsidRDefault="00867967" w:rsidP="00FA76D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v:imagedata r:id="rId7" o:title=""/>
          </v:shape>
        </w:pict>
      </w:r>
    </w:p>
    <w:p w:rsidR="00850917" w:rsidRDefault="00850917" w:rsidP="00FA76DB">
      <w:pPr>
        <w:jc w:val="center"/>
      </w:pPr>
    </w:p>
    <w:p w:rsidR="00850917" w:rsidRDefault="00850917" w:rsidP="00FA76DB">
      <w:pPr>
        <w:jc w:val="center"/>
      </w:pPr>
    </w:p>
    <w:p w:rsidR="005E3F38" w:rsidRDefault="005E3F38"/>
    <w:p w:rsidR="005E3F38" w:rsidRDefault="005E3F38"/>
    <w:sectPr w:rsidR="005E3F38" w:rsidSect="004A1641">
      <w:headerReference w:type="even" r:id="rId8"/>
      <w:headerReference w:type="default" r:id="rId9"/>
      <w:footerReference w:type="even" r:id="rId10"/>
      <w:footerReference w:type="default" r:id="rId11"/>
      <w:headerReference w:type="first" r:id="rId12"/>
      <w:footerReference w:type="first" r:id="rId13"/>
      <w:pgSz w:w="11907" w:h="16840" w:code="9"/>
      <w:pgMar w:top="1304" w:right="1440" w:bottom="907" w:left="1440" w:header="510" w:footer="73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44" w:rsidRDefault="00510A44">
      <w:r>
        <w:separator/>
      </w:r>
    </w:p>
  </w:endnote>
  <w:endnote w:type="continuationSeparator" w:id="0">
    <w:p w:rsidR="00510A44" w:rsidRDefault="0051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2E" w:rsidRDefault="007D3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F1" w:rsidRDefault="004A1641">
    <w:pPr>
      <w:pStyle w:val="Footer"/>
      <w:rPr>
        <w:rFonts w:ascii="Arial" w:hAnsi="Arial" w:cs="Arial"/>
        <w:snapToGrid w:val="0"/>
        <w:sz w:val="24"/>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7D3D2E">
      <w:rPr>
        <w:noProof/>
        <w:snapToGrid w:val="0"/>
        <w:sz w:val="20"/>
        <w:szCs w:val="24"/>
      </w:rPr>
      <w:t>2</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7D3D2E">
      <w:rPr>
        <w:noProof/>
        <w:snapToGrid w:val="0"/>
        <w:sz w:val="20"/>
        <w:szCs w:val="24"/>
      </w:rPr>
      <w:t>4</w:t>
    </w:r>
    <w:r>
      <w:rPr>
        <w:snapToGrid w:val="0"/>
        <w:sz w:val="20"/>
        <w:szCs w:val="24"/>
      </w:rPr>
      <w:fldChar w:fldCharType="end"/>
    </w:r>
    <w:r>
      <w:rPr>
        <w:rFonts w:ascii="Arial" w:hAnsi="Arial" w:cs="Arial"/>
        <w:snapToGrid w:val="0"/>
        <w:sz w:val="24"/>
        <w:szCs w:val="24"/>
      </w:rPr>
      <w:t xml:space="preserve">                                           </w:t>
    </w:r>
    <w:r>
      <w:rPr>
        <w:rFonts w:ascii="Arial" w:hAnsi="Arial" w:cs="Arial"/>
        <w:snapToGrid w:val="0"/>
        <w:sz w:val="24"/>
        <w:szCs w:val="24"/>
      </w:rPr>
      <w:tab/>
    </w:r>
    <w:r w:rsidR="008A280A">
      <w:rPr>
        <w:rFonts w:ascii="Arial" w:hAnsi="Arial" w:cs="Arial"/>
        <w:snapToGrid w:val="0"/>
        <w:sz w:val="24"/>
        <w:szCs w:val="24"/>
      </w:rPr>
      <w:t xml:space="preserve">      </w:t>
    </w:r>
    <w:r>
      <w:rPr>
        <w:sz w:val="20"/>
      </w:rPr>
      <w:t xml:space="preserve">Public Place </w:t>
    </w:r>
    <w:r w:rsidRPr="00074447">
      <w:rPr>
        <w:sz w:val="20"/>
      </w:rPr>
      <w:t>Names (</w:t>
    </w:r>
    <w:r w:rsidR="008A280A">
      <w:rPr>
        <w:sz w:val="20"/>
      </w:rPr>
      <w:t>Moncrieff</w:t>
    </w:r>
    <w:r w:rsidRPr="00074447">
      <w:rPr>
        <w:sz w:val="20"/>
      </w:rPr>
      <w:t>) Determination 201</w:t>
    </w:r>
    <w:r w:rsidR="003A41BF">
      <w:rPr>
        <w:sz w:val="20"/>
      </w:rPr>
      <w:t>5</w:t>
    </w:r>
    <w:r w:rsidRPr="00074447">
      <w:rPr>
        <w:sz w:val="20"/>
      </w:rPr>
      <w:t xml:space="preserve"> (No </w:t>
    </w:r>
    <w:r w:rsidR="00FA76DB">
      <w:rPr>
        <w:sz w:val="20"/>
      </w:rPr>
      <w:t>2</w:t>
    </w:r>
    <w:r w:rsidRPr="00074447">
      <w:rPr>
        <w:sz w:val="20"/>
      </w:rPr>
      <w:t>)</w:t>
    </w:r>
    <w:r w:rsidRPr="00074447">
      <w:rPr>
        <w:rFonts w:ascii="Arial" w:hAnsi="Arial" w:cs="Arial"/>
        <w:snapToGrid w:val="0"/>
        <w:sz w:val="24"/>
        <w:szCs w:val="24"/>
      </w:rPr>
      <w:tab/>
    </w:r>
  </w:p>
  <w:p w:rsidR="004A1641" w:rsidRPr="007D3D2E" w:rsidRDefault="007D3D2E" w:rsidP="007D3D2E">
    <w:pPr>
      <w:pStyle w:val="Footer"/>
      <w:jc w:val="center"/>
      <w:rPr>
        <w:rFonts w:ascii="Arial" w:hAnsi="Arial" w:cs="Arial"/>
        <w:sz w:val="14"/>
        <w:szCs w:val="24"/>
      </w:rPr>
    </w:pPr>
    <w:r w:rsidRPr="007D3D2E">
      <w:rPr>
        <w:rFonts w:ascii="Arial" w:hAnsi="Arial" w:cs="Arial"/>
        <w:sz w:val="14"/>
        <w:szCs w:val="2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F1" w:rsidRDefault="004A1641">
    <w:pPr>
      <w:pStyle w:val="Footer"/>
      <w:rPr>
        <w:snapToGrid w:val="0"/>
        <w:sz w:val="20"/>
        <w:szCs w:val="24"/>
      </w:rPr>
    </w:pPr>
    <w:r>
      <w:rPr>
        <w:snapToGrid w:val="0"/>
        <w:sz w:val="20"/>
        <w:szCs w:val="24"/>
      </w:rPr>
      <w:t xml:space="preserve">Page </w:t>
    </w:r>
    <w:r>
      <w:rPr>
        <w:snapToGrid w:val="0"/>
        <w:sz w:val="20"/>
        <w:szCs w:val="24"/>
      </w:rPr>
      <w:fldChar w:fldCharType="begin"/>
    </w:r>
    <w:r>
      <w:rPr>
        <w:snapToGrid w:val="0"/>
        <w:sz w:val="20"/>
        <w:szCs w:val="24"/>
      </w:rPr>
      <w:instrText xml:space="preserve"> PAGE </w:instrText>
    </w:r>
    <w:r>
      <w:rPr>
        <w:snapToGrid w:val="0"/>
        <w:sz w:val="20"/>
        <w:szCs w:val="24"/>
      </w:rPr>
      <w:fldChar w:fldCharType="separate"/>
    </w:r>
    <w:r w:rsidR="007D3D2E">
      <w:rPr>
        <w:noProof/>
        <w:snapToGrid w:val="0"/>
        <w:sz w:val="20"/>
        <w:szCs w:val="24"/>
      </w:rPr>
      <w:t>1</w:t>
    </w:r>
    <w:r>
      <w:rPr>
        <w:snapToGrid w:val="0"/>
        <w:sz w:val="20"/>
        <w:szCs w:val="24"/>
      </w:rPr>
      <w:fldChar w:fldCharType="end"/>
    </w:r>
    <w:r>
      <w:rPr>
        <w:snapToGrid w:val="0"/>
        <w:sz w:val="20"/>
        <w:szCs w:val="24"/>
      </w:rPr>
      <w:t xml:space="preserve"> of </w:t>
    </w:r>
    <w:r>
      <w:rPr>
        <w:snapToGrid w:val="0"/>
        <w:sz w:val="20"/>
        <w:szCs w:val="24"/>
      </w:rPr>
      <w:fldChar w:fldCharType="begin"/>
    </w:r>
    <w:r>
      <w:rPr>
        <w:snapToGrid w:val="0"/>
        <w:sz w:val="20"/>
        <w:szCs w:val="24"/>
      </w:rPr>
      <w:instrText xml:space="preserve"> NUMPAGES </w:instrText>
    </w:r>
    <w:r>
      <w:rPr>
        <w:snapToGrid w:val="0"/>
        <w:sz w:val="20"/>
        <w:szCs w:val="24"/>
      </w:rPr>
      <w:fldChar w:fldCharType="separate"/>
    </w:r>
    <w:r w:rsidR="007D3D2E">
      <w:rPr>
        <w:noProof/>
        <w:snapToGrid w:val="0"/>
        <w:sz w:val="20"/>
        <w:szCs w:val="24"/>
      </w:rPr>
      <w:t>2</w:t>
    </w:r>
    <w:r>
      <w:rPr>
        <w:snapToGrid w:val="0"/>
        <w:sz w:val="20"/>
        <w:szCs w:val="24"/>
      </w:rPr>
      <w:fldChar w:fldCharType="end"/>
    </w:r>
    <w:r w:rsidRPr="00074447">
      <w:rPr>
        <w:snapToGrid w:val="0"/>
        <w:sz w:val="20"/>
        <w:szCs w:val="24"/>
      </w:rPr>
      <w:tab/>
      <w:t xml:space="preserve"> </w:t>
    </w:r>
    <w:r w:rsidR="008A280A">
      <w:rPr>
        <w:snapToGrid w:val="0"/>
        <w:sz w:val="20"/>
        <w:szCs w:val="24"/>
      </w:rPr>
      <w:t xml:space="preserve">                                                                </w:t>
    </w:r>
    <w:r w:rsidRPr="00074447">
      <w:rPr>
        <w:sz w:val="20"/>
      </w:rPr>
      <w:t>Public Place N</w:t>
    </w:r>
    <w:r w:rsidR="004A094C">
      <w:rPr>
        <w:sz w:val="20"/>
      </w:rPr>
      <w:t>ames (</w:t>
    </w:r>
    <w:r w:rsidR="008A280A">
      <w:rPr>
        <w:sz w:val="20"/>
      </w:rPr>
      <w:t>Moncrieff</w:t>
    </w:r>
    <w:r w:rsidR="004A094C">
      <w:rPr>
        <w:sz w:val="20"/>
      </w:rPr>
      <w:t>) Determination 201</w:t>
    </w:r>
    <w:r w:rsidR="003A41BF">
      <w:rPr>
        <w:sz w:val="20"/>
      </w:rPr>
      <w:t>5</w:t>
    </w:r>
    <w:r w:rsidRPr="00074447">
      <w:rPr>
        <w:sz w:val="20"/>
      </w:rPr>
      <w:t xml:space="preserve"> (No </w:t>
    </w:r>
    <w:r w:rsidR="00FA76DB">
      <w:rPr>
        <w:sz w:val="20"/>
      </w:rPr>
      <w:t>2</w:t>
    </w:r>
    <w:r w:rsidRPr="00074447">
      <w:rPr>
        <w:sz w:val="20"/>
      </w:rPr>
      <w:t>)</w:t>
    </w:r>
    <w:r>
      <w:rPr>
        <w:snapToGrid w:val="0"/>
        <w:sz w:val="20"/>
        <w:szCs w:val="24"/>
      </w:rPr>
      <w:tab/>
    </w:r>
    <w:r>
      <w:rPr>
        <w:snapToGrid w:val="0"/>
        <w:sz w:val="20"/>
        <w:szCs w:val="24"/>
      </w:rPr>
      <w:tab/>
    </w:r>
  </w:p>
  <w:p w:rsidR="004A1641" w:rsidRPr="007D3D2E" w:rsidRDefault="007D3D2E" w:rsidP="007D3D2E">
    <w:pPr>
      <w:pStyle w:val="Footer"/>
      <w:jc w:val="center"/>
      <w:rPr>
        <w:rFonts w:ascii="Arial" w:hAnsi="Arial" w:cs="Arial"/>
        <w:sz w:val="14"/>
        <w:szCs w:val="24"/>
      </w:rPr>
    </w:pPr>
    <w:r w:rsidRPr="007D3D2E">
      <w:rPr>
        <w:rFonts w:ascii="Arial" w:hAnsi="Arial" w:cs="Arial"/>
        <w:sz w:val="14"/>
        <w:szCs w:val="2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44" w:rsidRDefault="00510A44">
      <w:r>
        <w:separator/>
      </w:r>
    </w:p>
  </w:footnote>
  <w:footnote w:type="continuationSeparator" w:id="0">
    <w:p w:rsidR="00510A44" w:rsidRDefault="0051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2E" w:rsidRDefault="007D3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2E" w:rsidRDefault="007D3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2E" w:rsidRDefault="007D3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F2777"/>
    <w:multiLevelType w:val="multilevel"/>
    <w:tmpl w:val="678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1B5936"/>
    <w:multiLevelType w:val="hybridMultilevel"/>
    <w:tmpl w:val="4FE218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20E"/>
    <w:rsid w:val="00005531"/>
    <w:rsid w:val="000069F9"/>
    <w:rsid w:val="00017895"/>
    <w:rsid w:val="00017981"/>
    <w:rsid w:val="00021106"/>
    <w:rsid w:val="00033B79"/>
    <w:rsid w:val="0004125C"/>
    <w:rsid w:val="000413FB"/>
    <w:rsid w:val="000472EF"/>
    <w:rsid w:val="000509F8"/>
    <w:rsid w:val="00053186"/>
    <w:rsid w:val="00066C72"/>
    <w:rsid w:val="0007440D"/>
    <w:rsid w:val="00074447"/>
    <w:rsid w:val="000A1D1D"/>
    <w:rsid w:val="000A64BE"/>
    <w:rsid w:val="000C3675"/>
    <w:rsid w:val="000C6D36"/>
    <w:rsid w:val="000D17B3"/>
    <w:rsid w:val="000D3C13"/>
    <w:rsid w:val="000E41DE"/>
    <w:rsid w:val="000E77E0"/>
    <w:rsid w:val="00101D57"/>
    <w:rsid w:val="00113852"/>
    <w:rsid w:val="00122F80"/>
    <w:rsid w:val="00123A49"/>
    <w:rsid w:val="00127CC2"/>
    <w:rsid w:val="00127E7B"/>
    <w:rsid w:val="00135E2E"/>
    <w:rsid w:val="00142A70"/>
    <w:rsid w:val="0014312A"/>
    <w:rsid w:val="001521B2"/>
    <w:rsid w:val="00194121"/>
    <w:rsid w:val="001A63D3"/>
    <w:rsid w:val="001B4C8B"/>
    <w:rsid w:val="001D3459"/>
    <w:rsid w:val="0020308D"/>
    <w:rsid w:val="00226D16"/>
    <w:rsid w:val="00226E8E"/>
    <w:rsid w:val="00227239"/>
    <w:rsid w:val="002432E0"/>
    <w:rsid w:val="00243895"/>
    <w:rsid w:val="00251FF8"/>
    <w:rsid w:val="00253960"/>
    <w:rsid w:val="00266259"/>
    <w:rsid w:val="00266974"/>
    <w:rsid w:val="00277BEA"/>
    <w:rsid w:val="00280347"/>
    <w:rsid w:val="0028527B"/>
    <w:rsid w:val="002A121A"/>
    <w:rsid w:val="002A22BC"/>
    <w:rsid w:val="002A4BDC"/>
    <w:rsid w:val="002B380D"/>
    <w:rsid w:val="002C011F"/>
    <w:rsid w:val="002D2973"/>
    <w:rsid w:val="002D6DF9"/>
    <w:rsid w:val="002E5753"/>
    <w:rsid w:val="002F7940"/>
    <w:rsid w:val="0030350E"/>
    <w:rsid w:val="00305982"/>
    <w:rsid w:val="00306418"/>
    <w:rsid w:val="003232FF"/>
    <w:rsid w:val="00325A80"/>
    <w:rsid w:val="00345018"/>
    <w:rsid w:val="00346637"/>
    <w:rsid w:val="00357E43"/>
    <w:rsid w:val="00357F62"/>
    <w:rsid w:val="00357F71"/>
    <w:rsid w:val="00367F69"/>
    <w:rsid w:val="00373FF9"/>
    <w:rsid w:val="00386DAD"/>
    <w:rsid w:val="00390914"/>
    <w:rsid w:val="00394CC3"/>
    <w:rsid w:val="003966EF"/>
    <w:rsid w:val="003A0D15"/>
    <w:rsid w:val="003A2DF1"/>
    <w:rsid w:val="003A41BF"/>
    <w:rsid w:val="003A5523"/>
    <w:rsid w:val="003A778D"/>
    <w:rsid w:val="003B014A"/>
    <w:rsid w:val="003B2C9C"/>
    <w:rsid w:val="003B303B"/>
    <w:rsid w:val="003C41F4"/>
    <w:rsid w:val="003C4FD5"/>
    <w:rsid w:val="003C5E2A"/>
    <w:rsid w:val="003E73D4"/>
    <w:rsid w:val="003E7F83"/>
    <w:rsid w:val="003F39DE"/>
    <w:rsid w:val="00402D5C"/>
    <w:rsid w:val="0040602D"/>
    <w:rsid w:val="00431A57"/>
    <w:rsid w:val="00433CAF"/>
    <w:rsid w:val="00467E70"/>
    <w:rsid w:val="00471669"/>
    <w:rsid w:val="00476D5A"/>
    <w:rsid w:val="004850D6"/>
    <w:rsid w:val="00485147"/>
    <w:rsid w:val="004A094C"/>
    <w:rsid w:val="004A1641"/>
    <w:rsid w:val="004C4BD9"/>
    <w:rsid w:val="004C744C"/>
    <w:rsid w:val="004C75FF"/>
    <w:rsid w:val="004D556D"/>
    <w:rsid w:val="004F3743"/>
    <w:rsid w:val="00500D4D"/>
    <w:rsid w:val="00507E70"/>
    <w:rsid w:val="00510A44"/>
    <w:rsid w:val="0051101D"/>
    <w:rsid w:val="005141A9"/>
    <w:rsid w:val="00517098"/>
    <w:rsid w:val="005201EC"/>
    <w:rsid w:val="00530E4B"/>
    <w:rsid w:val="005459D3"/>
    <w:rsid w:val="00566DAC"/>
    <w:rsid w:val="00573E4B"/>
    <w:rsid w:val="0058563E"/>
    <w:rsid w:val="00595372"/>
    <w:rsid w:val="005A6E60"/>
    <w:rsid w:val="005B0D1A"/>
    <w:rsid w:val="005B3E06"/>
    <w:rsid w:val="005B428A"/>
    <w:rsid w:val="005D348D"/>
    <w:rsid w:val="005D52A5"/>
    <w:rsid w:val="005E3F38"/>
    <w:rsid w:val="005F09D7"/>
    <w:rsid w:val="005F1A58"/>
    <w:rsid w:val="00602EDB"/>
    <w:rsid w:val="006063FF"/>
    <w:rsid w:val="0062046E"/>
    <w:rsid w:val="0062624D"/>
    <w:rsid w:val="006403A9"/>
    <w:rsid w:val="00650E7C"/>
    <w:rsid w:val="0065221F"/>
    <w:rsid w:val="006540A8"/>
    <w:rsid w:val="006550D4"/>
    <w:rsid w:val="00670A80"/>
    <w:rsid w:val="00675C7D"/>
    <w:rsid w:val="006851FF"/>
    <w:rsid w:val="006940E1"/>
    <w:rsid w:val="0069686A"/>
    <w:rsid w:val="00697740"/>
    <w:rsid w:val="006A7E9E"/>
    <w:rsid w:val="006B00A2"/>
    <w:rsid w:val="006B2AC9"/>
    <w:rsid w:val="006B2ED8"/>
    <w:rsid w:val="006D2DB8"/>
    <w:rsid w:val="006D4C8F"/>
    <w:rsid w:val="006E041C"/>
    <w:rsid w:val="006E123C"/>
    <w:rsid w:val="006F2B65"/>
    <w:rsid w:val="006F6FA7"/>
    <w:rsid w:val="00701126"/>
    <w:rsid w:val="007057F0"/>
    <w:rsid w:val="00714961"/>
    <w:rsid w:val="00732800"/>
    <w:rsid w:val="00756E51"/>
    <w:rsid w:val="0076282A"/>
    <w:rsid w:val="00766011"/>
    <w:rsid w:val="00766621"/>
    <w:rsid w:val="00772A6E"/>
    <w:rsid w:val="007972B6"/>
    <w:rsid w:val="007A2528"/>
    <w:rsid w:val="007A2A2E"/>
    <w:rsid w:val="007B1BE6"/>
    <w:rsid w:val="007B5A7C"/>
    <w:rsid w:val="007B758F"/>
    <w:rsid w:val="007B7D6D"/>
    <w:rsid w:val="007C2FE8"/>
    <w:rsid w:val="007D2D29"/>
    <w:rsid w:val="007D3D2E"/>
    <w:rsid w:val="007D64AB"/>
    <w:rsid w:val="007D6A3F"/>
    <w:rsid w:val="00804A7D"/>
    <w:rsid w:val="008075D2"/>
    <w:rsid w:val="00810C7F"/>
    <w:rsid w:val="00811602"/>
    <w:rsid w:val="0081173C"/>
    <w:rsid w:val="00814844"/>
    <w:rsid w:val="00850917"/>
    <w:rsid w:val="00855122"/>
    <w:rsid w:val="008617CF"/>
    <w:rsid w:val="00862295"/>
    <w:rsid w:val="00862C62"/>
    <w:rsid w:val="00867478"/>
    <w:rsid w:val="00867967"/>
    <w:rsid w:val="00881AB6"/>
    <w:rsid w:val="008A0EBF"/>
    <w:rsid w:val="008A280A"/>
    <w:rsid w:val="008B796F"/>
    <w:rsid w:val="008D649A"/>
    <w:rsid w:val="008F01CF"/>
    <w:rsid w:val="009272E9"/>
    <w:rsid w:val="0093015A"/>
    <w:rsid w:val="009310A9"/>
    <w:rsid w:val="00933632"/>
    <w:rsid w:val="00934CE1"/>
    <w:rsid w:val="00961E9C"/>
    <w:rsid w:val="00994FA1"/>
    <w:rsid w:val="00995FCA"/>
    <w:rsid w:val="009A719A"/>
    <w:rsid w:val="009A73B6"/>
    <w:rsid w:val="009B0B76"/>
    <w:rsid w:val="009B271F"/>
    <w:rsid w:val="009B37B5"/>
    <w:rsid w:val="009C3AD4"/>
    <w:rsid w:val="009D3151"/>
    <w:rsid w:val="009D64CA"/>
    <w:rsid w:val="009D6B37"/>
    <w:rsid w:val="009E2301"/>
    <w:rsid w:val="009E2B9D"/>
    <w:rsid w:val="009E52DA"/>
    <w:rsid w:val="00A03E94"/>
    <w:rsid w:val="00A17DEF"/>
    <w:rsid w:val="00A220D7"/>
    <w:rsid w:val="00A23CA4"/>
    <w:rsid w:val="00A26252"/>
    <w:rsid w:val="00A27102"/>
    <w:rsid w:val="00A44BFD"/>
    <w:rsid w:val="00A45623"/>
    <w:rsid w:val="00A45EF4"/>
    <w:rsid w:val="00A462CA"/>
    <w:rsid w:val="00A552BC"/>
    <w:rsid w:val="00A57CC6"/>
    <w:rsid w:val="00A71A4C"/>
    <w:rsid w:val="00A81543"/>
    <w:rsid w:val="00A96DEF"/>
    <w:rsid w:val="00AA2050"/>
    <w:rsid w:val="00AB6DEF"/>
    <w:rsid w:val="00AC446B"/>
    <w:rsid w:val="00AC7D4D"/>
    <w:rsid w:val="00AE1B12"/>
    <w:rsid w:val="00AE24FC"/>
    <w:rsid w:val="00AE3EE5"/>
    <w:rsid w:val="00B00688"/>
    <w:rsid w:val="00B01AAA"/>
    <w:rsid w:val="00B11483"/>
    <w:rsid w:val="00B11E5A"/>
    <w:rsid w:val="00B14430"/>
    <w:rsid w:val="00B1755D"/>
    <w:rsid w:val="00B311A7"/>
    <w:rsid w:val="00B368CD"/>
    <w:rsid w:val="00B4220E"/>
    <w:rsid w:val="00B42AEF"/>
    <w:rsid w:val="00B43C62"/>
    <w:rsid w:val="00B470C1"/>
    <w:rsid w:val="00B55A5F"/>
    <w:rsid w:val="00B55BC0"/>
    <w:rsid w:val="00B571A6"/>
    <w:rsid w:val="00B80C48"/>
    <w:rsid w:val="00B87136"/>
    <w:rsid w:val="00B964CF"/>
    <w:rsid w:val="00B966DF"/>
    <w:rsid w:val="00B96C1A"/>
    <w:rsid w:val="00B96E67"/>
    <w:rsid w:val="00BA3799"/>
    <w:rsid w:val="00BC1778"/>
    <w:rsid w:val="00BC1E0F"/>
    <w:rsid w:val="00BC36A7"/>
    <w:rsid w:val="00BC3E69"/>
    <w:rsid w:val="00BC5816"/>
    <w:rsid w:val="00BC673F"/>
    <w:rsid w:val="00BD0E8D"/>
    <w:rsid w:val="00BD666A"/>
    <w:rsid w:val="00BD6888"/>
    <w:rsid w:val="00BE5114"/>
    <w:rsid w:val="00BF71D2"/>
    <w:rsid w:val="00C24EF4"/>
    <w:rsid w:val="00C30827"/>
    <w:rsid w:val="00C30F9E"/>
    <w:rsid w:val="00C3195D"/>
    <w:rsid w:val="00C32E0F"/>
    <w:rsid w:val="00C34BA2"/>
    <w:rsid w:val="00C53999"/>
    <w:rsid w:val="00C54178"/>
    <w:rsid w:val="00C55240"/>
    <w:rsid w:val="00C646AE"/>
    <w:rsid w:val="00C670C8"/>
    <w:rsid w:val="00C77FE5"/>
    <w:rsid w:val="00C92A45"/>
    <w:rsid w:val="00CA6BEE"/>
    <w:rsid w:val="00CB1C52"/>
    <w:rsid w:val="00CC10D7"/>
    <w:rsid w:val="00CC16BD"/>
    <w:rsid w:val="00CE66B9"/>
    <w:rsid w:val="00D04813"/>
    <w:rsid w:val="00D1048E"/>
    <w:rsid w:val="00D12BB0"/>
    <w:rsid w:val="00D15A21"/>
    <w:rsid w:val="00D206C5"/>
    <w:rsid w:val="00D33017"/>
    <w:rsid w:val="00D34A58"/>
    <w:rsid w:val="00D3759C"/>
    <w:rsid w:val="00D52752"/>
    <w:rsid w:val="00D7132C"/>
    <w:rsid w:val="00D71A6C"/>
    <w:rsid w:val="00D7248D"/>
    <w:rsid w:val="00D7274C"/>
    <w:rsid w:val="00D803B2"/>
    <w:rsid w:val="00D85763"/>
    <w:rsid w:val="00D92C00"/>
    <w:rsid w:val="00D95B0D"/>
    <w:rsid w:val="00DA2DBA"/>
    <w:rsid w:val="00DD3D6E"/>
    <w:rsid w:val="00DD67BA"/>
    <w:rsid w:val="00DD73A4"/>
    <w:rsid w:val="00DE2643"/>
    <w:rsid w:val="00DF1F3C"/>
    <w:rsid w:val="00E117BF"/>
    <w:rsid w:val="00E213A1"/>
    <w:rsid w:val="00E22635"/>
    <w:rsid w:val="00E243C8"/>
    <w:rsid w:val="00E26279"/>
    <w:rsid w:val="00E2677E"/>
    <w:rsid w:val="00E375AF"/>
    <w:rsid w:val="00E5190D"/>
    <w:rsid w:val="00E57567"/>
    <w:rsid w:val="00E6243E"/>
    <w:rsid w:val="00E64691"/>
    <w:rsid w:val="00E64BA7"/>
    <w:rsid w:val="00E660E0"/>
    <w:rsid w:val="00E72847"/>
    <w:rsid w:val="00E81F0A"/>
    <w:rsid w:val="00E84F24"/>
    <w:rsid w:val="00E95EF9"/>
    <w:rsid w:val="00E961A2"/>
    <w:rsid w:val="00E9718C"/>
    <w:rsid w:val="00E9796E"/>
    <w:rsid w:val="00EA2CC3"/>
    <w:rsid w:val="00EC7E01"/>
    <w:rsid w:val="00ED051E"/>
    <w:rsid w:val="00F20A10"/>
    <w:rsid w:val="00F34366"/>
    <w:rsid w:val="00F36B73"/>
    <w:rsid w:val="00F40F64"/>
    <w:rsid w:val="00F42B09"/>
    <w:rsid w:val="00F455CC"/>
    <w:rsid w:val="00F45D5B"/>
    <w:rsid w:val="00F52E29"/>
    <w:rsid w:val="00F60795"/>
    <w:rsid w:val="00F6378A"/>
    <w:rsid w:val="00F70864"/>
    <w:rsid w:val="00F82A8E"/>
    <w:rsid w:val="00FA0C0B"/>
    <w:rsid w:val="00FA4230"/>
    <w:rsid w:val="00FA5A93"/>
    <w:rsid w:val="00FA76DB"/>
    <w:rsid w:val="00FB5AD8"/>
    <w:rsid w:val="00FB74BD"/>
    <w:rsid w:val="00FD4888"/>
    <w:rsid w:val="00FE2800"/>
    <w:rsid w:val="00FF0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9510FE90-213A-4FC4-A963-BE40EE9B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20E"/>
    <w:rPr>
      <w:rFonts w:ascii="Times New Roman" w:hAnsi="Times New Roman"/>
      <w:sz w:val="24"/>
      <w:szCs w:val="24"/>
      <w:lang w:val="en-GB" w:eastAsia="en-US"/>
    </w:rPr>
  </w:style>
  <w:style w:type="paragraph" w:styleId="Heading2">
    <w:name w:val="heading 2"/>
    <w:basedOn w:val="Normal"/>
    <w:next w:val="Normal"/>
    <w:link w:val="Heading2Char"/>
    <w:uiPriority w:val="9"/>
    <w:qFormat/>
    <w:rsid w:val="00B4220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B4220E"/>
    <w:rPr>
      <w:rFonts w:ascii="Arial" w:hAnsi="Arial" w:cs="Arial"/>
      <w:b/>
      <w:bCs/>
      <w:sz w:val="24"/>
      <w:szCs w:val="24"/>
      <w:lang w:val="en-GB" w:eastAsia="x-none"/>
    </w:rPr>
  </w:style>
  <w:style w:type="paragraph" w:styleId="Footer">
    <w:name w:val="footer"/>
    <w:basedOn w:val="Normal"/>
    <w:link w:val="FooterChar"/>
    <w:uiPriority w:val="99"/>
    <w:rsid w:val="00B4220E"/>
    <w:pPr>
      <w:tabs>
        <w:tab w:val="center" w:pos="4252"/>
        <w:tab w:val="right" w:pos="8504"/>
      </w:tabs>
    </w:pPr>
    <w:rPr>
      <w:sz w:val="16"/>
      <w:szCs w:val="16"/>
    </w:rPr>
  </w:style>
  <w:style w:type="character" w:customStyle="1" w:styleId="FooterChar">
    <w:name w:val="Footer Char"/>
    <w:basedOn w:val="DefaultParagraphFont"/>
    <w:link w:val="Footer"/>
    <w:uiPriority w:val="99"/>
    <w:locked/>
    <w:rsid w:val="00B4220E"/>
    <w:rPr>
      <w:rFonts w:ascii="Times New Roman" w:hAnsi="Times New Roman" w:cs="Times New Roman"/>
      <w:sz w:val="16"/>
      <w:szCs w:val="16"/>
      <w:lang w:val="en-GB" w:eastAsia="x-none"/>
    </w:rPr>
  </w:style>
  <w:style w:type="paragraph" w:styleId="Header">
    <w:name w:val="header"/>
    <w:basedOn w:val="Normal"/>
    <w:link w:val="HeaderChar"/>
    <w:uiPriority w:val="99"/>
    <w:rsid w:val="00B4220E"/>
    <w:pPr>
      <w:tabs>
        <w:tab w:val="center" w:pos="4819"/>
        <w:tab w:val="right" w:pos="9071"/>
      </w:tabs>
    </w:pPr>
  </w:style>
  <w:style w:type="character" w:customStyle="1" w:styleId="HeaderChar">
    <w:name w:val="Header Char"/>
    <w:basedOn w:val="DefaultParagraphFont"/>
    <w:link w:val="Header"/>
    <w:uiPriority w:val="99"/>
    <w:locked/>
    <w:rsid w:val="00B4220E"/>
    <w:rPr>
      <w:rFonts w:ascii="Times New Roman" w:hAnsi="Times New Roman" w:cs="Times New Roman"/>
      <w:sz w:val="24"/>
      <w:szCs w:val="24"/>
      <w:lang w:val="en-GB" w:eastAsia="x-none"/>
    </w:rPr>
  </w:style>
  <w:style w:type="paragraph" w:customStyle="1" w:styleId="Amain">
    <w:name w:val="A main"/>
    <w:basedOn w:val="Normal"/>
    <w:rsid w:val="00B4220E"/>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rsid w:val="00B4220E"/>
    <w:pPr>
      <w:pBdr>
        <w:bottom w:val="single" w:sz="12" w:space="1" w:color="auto"/>
      </w:pBdr>
      <w:jc w:val="both"/>
    </w:pPr>
    <w:rPr>
      <w:lang w:val="en-AU"/>
    </w:rPr>
  </w:style>
  <w:style w:type="paragraph" w:customStyle="1" w:styleId="CoverActName">
    <w:name w:val="CoverActName"/>
    <w:basedOn w:val="Normal"/>
    <w:rsid w:val="00B4220E"/>
    <w:pPr>
      <w:tabs>
        <w:tab w:val="left" w:pos="2600"/>
      </w:tabs>
      <w:spacing w:before="200" w:after="60"/>
      <w:jc w:val="both"/>
    </w:pPr>
    <w:rPr>
      <w:rFonts w:ascii="Arial" w:hAnsi="Arial" w:cs="Arial"/>
      <w:b/>
      <w:bCs/>
      <w:lang w:val="en-AU"/>
    </w:rPr>
  </w:style>
  <w:style w:type="paragraph" w:styleId="NormalWeb">
    <w:name w:val="Normal (Web)"/>
    <w:basedOn w:val="Normal"/>
    <w:uiPriority w:val="99"/>
    <w:rsid w:val="00B4220E"/>
    <w:pPr>
      <w:spacing w:before="100" w:beforeAutospacing="1" w:after="100" w:afterAutospacing="1"/>
    </w:pPr>
    <w:rPr>
      <w:rFonts w:ascii="Arial" w:hAnsi="Arial" w:cs="Arial"/>
      <w:color w:val="FFFFFF"/>
      <w:sz w:val="20"/>
      <w:szCs w:val="20"/>
      <w:lang w:val="en-AU"/>
    </w:rPr>
  </w:style>
  <w:style w:type="character" w:customStyle="1" w:styleId="a1">
    <w:name w:val="a1"/>
    <w:basedOn w:val="DefaultParagraphFont"/>
    <w:rsid w:val="00B4220E"/>
    <w:rPr>
      <w:rFonts w:cs="Times New Roman"/>
      <w:bdr w:val="none" w:sz="0" w:space="0" w:color="auto" w:frame="1"/>
    </w:rPr>
  </w:style>
  <w:style w:type="character" w:customStyle="1" w:styleId="l92">
    <w:name w:val="l92"/>
    <w:basedOn w:val="DefaultParagraphFont"/>
    <w:rsid w:val="00B4220E"/>
    <w:rPr>
      <w:rFonts w:cs="Times New Roman"/>
      <w:bdr w:val="none" w:sz="0" w:space="0" w:color="auto" w:frame="1"/>
    </w:rPr>
  </w:style>
  <w:style w:type="character" w:customStyle="1" w:styleId="l72">
    <w:name w:val="l72"/>
    <w:basedOn w:val="DefaultParagraphFont"/>
    <w:rsid w:val="00B4220E"/>
    <w:rPr>
      <w:rFonts w:cs="Times New Roman"/>
      <w:bdr w:val="none" w:sz="0" w:space="0" w:color="auto" w:frame="1"/>
    </w:rPr>
  </w:style>
  <w:style w:type="character" w:customStyle="1" w:styleId="l62">
    <w:name w:val="l62"/>
    <w:basedOn w:val="DefaultParagraphFont"/>
    <w:rsid w:val="00B4220E"/>
    <w:rPr>
      <w:rFonts w:cs="Times New Roman"/>
      <w:bdr w:val="none" w:sz="0" w:space="0" w:color="auto" w:frame="1"/>
    </w:rPr>
  </w:style>
  <w:style w:type="paragraph" w:styleId="PlainText">
    <w:name w:val="Plain Text"/>
    <w:basedOn w:val="Normal"/>
    <w:link w:val="PlainTextChar"/>
    <w:uiPriority w:val="99"/>
    <w:unhideWhenUsed/>
    <w:rsid w:val="00B4220E"/>
    <w:rPr>
      <w:rFonts w:ascii="Consolas" w:hAnsi="Consolas"/>
      <w:sz w:val="21"/>
      <w:szCs w:val="21"/>
      <w:lang w:val="en-AU"/>
    </w:rPr>
  </w:style>
  <w:style w:type="character" w:customStyle="1" w:styleId="PlainTextChar">
    <w:name w:val="Plain Text Char"/>
    <w:basedOn w:val="DefaultParagraphFont"/>
    <w:link w:val="PlainText"/>
    <w:uiPriority w:val="99"/>
    <w:locked/>
    <w:rsid w:val="00B4220E"/>
    <w:rPr>
      <w:rFonts w:ascii="Consolas" w:hAnsi="Consolas" w:cs="Times New Roman"/>
      <w:sz w:val="21"/>
      <w:szCs w:val="21"/>
    </w:rPr>
  </w:style>
  <w:style w:type="character" w:customStyle="1" w:styleId="st1">
    <w:name w:val="st1"/>
    <w:basedOn w:val="DefaultParagraphFont"/>
    <w:rsid w:val="00B4220E"/>
    <w:rPr>
      <w:rFonts w:cs="Times New Roman"/>
    </w:rPr>
  </w:style>
  <w:style w:type="character" w:styleId="Emphasis">
    <w:name w:val="Emphasis"/>
    <w:basedOn w:val="DefaultParagraphFont"/>
    <w:uiPriority w:val="20"/>
    <w:qFormat/>
    <w:rsid w:val="00B4220E"/>
    <w:rPr>
      <w:rFonts w:cs="Times New Roman"/>
      <w:i/>
      <w:iCs/>
    </w:rPr>
  </w:style>
  <w:style w:type="character" w:customStyle="1" w:styleId="apple-converted-space">
    <w:name w:val="apple-converted-space"/>
    <w:basedOn w:val="DefaultParagraphFont"/>
    <w:rsid w:val="009B37B5"/>
    <w:rPr>
      <w:rFonts w:cs="Times New Roman"/>
    </w:rPr>
  </w:style>
  <w:style w:type="character" w:styleId="Hyperlink">
    <w:name w:val="Hyperlink"/>
    <w:basedOn w:val="DefaultParagraphFont"/>
    <w:uiPriority w:val="99"/>
    <w:unhideWhenUsed/>
    <w:rsid w:val="00C77FE5"/>
    <w:rPr>
      <w:rFonts w:cs="Times New Roman"/>
      <w:color w:val="0000FF"/>
      <w:u w:val="single"/>
    </w:rPr>
  </w:style>
  <w:style w:type="character" w:customStyle="1" w:styleId="apple-style-span">
    <w:name w:val="apple-style-span"/>
    <w:basedOn w:val="DefaultParagraphFont"/>
    <w:rsid w:val="00D7274C"/>
    <w:rPr>
      <w:rFonts w:cs="Times New Roman"/>
    </w:rPr>
  </w:style>
  <w:style w:type="paragraph" w:customStyle="1" w:styleId="Standard">
    <w:name w:val="Standard"/>
    <w:rsid w:val="00F6378A"/>
    <w:pPr>
      <w:widowControl w:val="0"/>
      <w:suppressAutoHyphens/>
      <w:autoSpaceDN w:val="0"/>
      <w:textAlignment w:val="baseline"/>
    </w:pPr>
    <w:rPr>
      <w:rFonts w:ascii="Times New Roman"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0509">
      <w:marLeft w:val="0"/>
      <w:marRight w:val="0"/>
      <w:marTop w:val="0"/>
      <w:marBottom w:val="0"/>
      <w:divBdr>
        <w:top w:val="none" w:sz="0" w:space="0" w:color="auto"/>
        <w:left w:val="none" w:sz="0" w:space="0" w:color="auto"/>
        <w:bottom w:val="none" w:sz="0" w:space="0" w:color="auto"/>
        <w:right w:val="none" w:sz="0" w:space="0" w:color="auto"/>
      </w:divBdr>
    </w:div>
    <w:div w:id="147940512">
      <w:marLeft w:val="0"/>
      <w:marRight w:val="0"/>
      <w:marTop w:val="0"/>
      <w:marBottom w:val="0"/>
      <w:divBdr>
        <w:top w:val="none" w:sz="0" w:space="0" w:color="auto"/>
        <w:left w:val="none" w:sz="0" w:space="0" w:color="auto"/>
        <w:bottom w:val="none" w:sz="0" w:space="0" w:color="auto"/>
        <w:right w:val="none" w:sz="0" w:space="0" w:color="auto"/>
      </w:divBdr>
    </w:div>
    <w:div w:id="147940513">
      <w:marLeft w:val="204"/>
      <w:marRight w:val="204"/>
      <w:marTop w:val="204"/>
      <w:marBottom w:val="204"/>
      <w:divBdr>
        <w:top w:val="none" w:sz="0" w:space="0" w:color="auto"/>
        <w:left w:val="none" w:sz="0" w:space="0" w:color="auto"/>
        <w:bottom w:val="none" w:sz="0" w:space="0" w:color="auto"/>
        <w:right w:val="none" w:sz="0" w:space="0" w:color="auto"/>
      </w:divBdr>
      <w:divsChild>
        <w:div w:id="147940522">
          <w:marLeft w:val="0"/>
          <w:marRight w:val="0"/>
          <w:marTop w:val="0"/>
          <w:marBottom w:val="0"/>
          <w:divBdr>
            <w:top w:val="none" w:sz="0" w:space="0" w:color="auto"/>
            <w:left w:val="none" w:sz="0" w:space="0" w:color="auto"/>
            <w:bottom w:val="none" w:sz="0" w:space="0" w:color="auto"/>
            <w:right w:val="none" w:sz="0" w:space="0" w:color="auto"/>
          </w:divBdr>
          <w:divsChild>
            <w:div w:id="147940535">
              <w:marLeft w:val="0"/>
              <w:marRight w:val="0"/>
              <w:marTop w:val="0"/>
              <w:marBottom w:val="0"/>
              <w:divBdr>
                <w:top w:val="none" w:sz="0" w:space="0" w:color="auto"/>
                <w:left w:val="none" w:sz="0" w:space="0" w:color="auto"/>
                <w:bottom w:val="none" w:sz="0" w:space="0" w:color="auto"/>
                <w:right w:val="none" w:sz="0" w:space="0" w:color="auto"/>
              </w:divBdr>
            </w:div>
            <w:div w:id="1479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514">
      <w:marLeft w:val="0"/>
      <w:marRight w:val="0"/>
      <w:marTop w:val="0"/>
      <w:marBottom w:val="0"/>
      <w:divBdr>
        <w:top w:val="none" w:sz="0" w:space="0" w:color="auto"/>
        <w:left w:val="none" w:sz="0" w:space="0" w:color="auto"/>
        <w:bottom w:val="none" w:sz="0" w:space="0" w:color="auto"/>
        <w:right w:val="none" w:sz="0" w:space="0" w:color="auto"/>
      </w:divBdr>
    </w:div>
    <w:div w:id="147940515">
      <w:marLeft w:val="0"/>
      <w:marRight w:val="0"/>
      <w:marTop w:val="0"/>
      <w:marBottom w:val="0"/>
      <w:divBdr>
        <w:top w:val="none" w:sz="0" w:space="0" w:color="auto"/>
        <w:left w:val="none" w:sz="0" w:space="0" w:color="auto"/>
        <w:bottom w:val="none" w:sz="0" w:space="0" w:color="auto"/>
        <w:right w:val="none" w:sz="0" w:space="0" w:color="auto"/>
      </w:divBdr>
    </w:div>
    <w:div w:id="147940516">
      <w:marLeft w:val="0"/>
      <w:marRight w:val="0"/>
      <w:marTop w:val="0"/>
      <w:marBottom w:val="0"/>
      <w:divBdr>
        <w:top w:val="none" w:sz="0" w:space="0" w:color="auto"/>
        <w:left w:val="none" w:sz="0" w:space="0" w:color="auto"/>
        <w:bottom w:val="none" w:sz="0" w:space="0" w:color="auto"/>
        <w:right w:val="none" w:sz="0" w:space="0" w:color="auto"/>
      </w:divBdr>
    </w:div>
    <w:div w:id="147940517">
      <w:marLeft w:val="0"/>
      <w:marRight w:val="0"/>
      <w:marTop w:val="0"/>
      <w:marBottom w:val="0"/>
      <w:divBdr>
        <w:top w:val="none" w:sz="0" w:space="0" w:color="auto"/>
        <w:left w:val="none" w:sz="0" w:space="0" w:color="auto"/>
        <w:bottom w:val="none" w:sz="0" w:space="0" w:color="auto"/>
        <w:right w:val="none" w:sz="0" w:space="0" w:color="auto"/>
      </w:divBdr>
    </w:div>
    <w:div w:id="147940519">
      <w:marLeft w:val="0"/>
      <w:marRight w:val="0"/>
      <w:marTop w:val="0"/>
      <w:marBottom w:val="0"/>
      <w:divBdr>
        <w:top w:val="none" w:sz="0" w:space="0" w:color="auto"/>
        <w:left w:val="none" w:sz="0" w:space="0" w:color="auto"/>
        <w:bottom w:val="none" w:sz="0" w:space="0" w:color="auto"/>
        <w:right w:val="none" w:sz="0" w:space="0" w:color="auto"/>
      </w:divBdr>
    </w:div>
    <w:div w:id="147940520">
      <w:marLeft w:val="0"/>
      <w:marRight w:val="0"/>
      <w:marTop w:val="0"/>
      <w:marBottom w:val="0"/>
      <w:divBdr>
        <w:top w:val="none" w:sz="0" w:space="0" w:color="auto"/>
        <w:left w:val="none" w:sz="0" w:space="0" w:color="auto"/>
        <w:bottom w:val="none" w:sz="0" w:space="0" w:color="auto"/>
        <w:right w:val="none" w:sz="0" w:space="0" w:color="auto"/>
      </w:divBdr>
    </w:div>
    <w:div w:id="147940521">
      <w:marLeft w:val="0"/>
      <w:marRight w:val="0"/>
      <w:marTop w:val="0"/>
      <w:marBottom w:val="0"/>
      <w:divBdr>
        <w:top w:val="none" w:sz="0" w:space="0" w:color="auto"/>
        <w:left w:val="none" w:sz="0" w:space="0" w:color="auto"/>
        <w:bottom w:val="none" w:sz="0" w:space="0" w:color="auto"/>
        <w:right w:val="none" w:sz="0" w:space="0" w:color="auto"/>
      </w:divBdr>
    </w:div>
    <w:div w:id="147940523">
      <w:marLeft w:val="0"/>
      <w:marRight w:val="0"/>
      <w:marTop w:val="0"/>
      <w:marBottom w:val="0"/>
      <w:divBdr>
        <w:top w:val="none" w:sz="0" w:space="0" w:color="auto"/>
        <w:left w:val="none" w:sz="0" w:space="0" w:color="auto"/>
        <w:bottom w:val="none" w:sz="0" w:space="0" w:color="auto"/>
        <w:right w:val="none" w:sz="0" w:space="0" w:color="auto"/>
      </w:divBdr>
      <w:divsChild>
        <w:div w:id="147940527">
          <w:marLeft w:val="0"/>
          <w:marRight w:val="0"/>
          <w:marTop w:val="0"/>
          <w:marBottom w:val="0"/>
          <w:divBdr>
            <w:top w:val="none" w:sz="0" w:space="0" w:color="auto"/>
            <w:left w:val="none" w:sz="0" w:space="0" w:color="auto"/>
            <w:bottom w:val="none" w:sz="0" w:space="0" w:color="auto"/>
            <w:right w:val="none" w:sz="0" w:space="0" w:color="auto"/>
          </w:divBdr>
          <w:divsChild>
            <w:div w:id="147940510">
              <w:marLeft w:val="0"/>
              <w:marRight w:val="0"/>
              <w:marTop w:val="0"/>
              <w:marBottom w:val="0"/>
              <w:divBdr>
                <w:top w:val="none" w:sz="0" w:space="0" w:color="auto"/>
                <w:left w:val="none" w:sz="0" w:space="0" w:color="auto"/>
                <w:bottom w:val="none" w:sz="0" w:space="0" w:color="auto"/>
                <w:right w:val="none" w:sz="0" w:space="0" w:color="auto"/>
              </w:divBdr>
              <w:divsChild>
                <w:div w:id="1479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0525">
      <w:marLeft w:val="0"/>
      <w:marRight w:val="0"/>
      <w:marTop w:val="0"/>
      <w:marBottom w:val="0"/>
      <w:divBdr>
        <w:top w:val="none" w:sz="0" w:space="0" w:color="auto"/>
        <w:left w:val="none" w:sz="0" w:space="0" w:color="auto"/>
        <w:bottom w:val="none" w:sz="0" w:space="0" w:color="auto"/>
        <w:right w:val="none" w:sz="0" w:space="0" w:color="auto"/>
      </w:divBdr>
    </w:div>
    <w:div w:id="147940526">
      <w:marLeft w:val="0"/>
      <w:marRight w:val="0"/>
      <w:marTop w:val="0"/>
      <w:marBottom w:val="0"/>
      <w:divBdr>
        <w:top w:val="none" w:sz="0" w:space="0" w:color="auto"/>
        <w:left w:val="none" w:sz="0" w:space="0" w:color="auto"/>
        <w:bottom w:val="none" w:sz="0" w:space="0" w:color="auto"/>
        <w:right w:val="none" w:sz="0" w:space="0" w:color="auto"/>
      </w:divBdr>
    </w:div>
    <w:div w:id="147940528">
      <w:marLeft w:val="0"/>
      <w:marRight w:val="0"/>
      <w:marTop w:val="0"/>
      <w:marBottom w:val="0"/>
      <w:divBdr>
        <w:top w:val="none" w:sz="0" w:space="0" w:color="auto"/>
        <w:left w:val="none" w:sz="0" w:space="0" w:color="auto"/>
        <w:bottom w:val="none" w:sz="0" w:space="0" w:color="auto"/>
        <w:right w:val="none" w:sz="0" w:space="0" w:color="auto"/>
      </w:divBdr>
    </w:div>
    <w:div w:id="147940529">
      <w:marLeft w:val="0"/>
      <w:marRight w:val="0"/>
      <w:marTop w:val="0"/>
      <w:marBottom w:val="0"/>
      <w:divBdr>
        <w:top w:val="none" w:sz="0" w:space="0" w:color="auto"/>
        <w:left w:val="none" w:sz="0" w:space="0" w:color="auto"/>
        <w:bottom w:val="none" w:sz="0" w:space="0" w:color="auto"/>
        <w:right w:val="none" w:sz="0" w:space="0" w:color="auto"/>
      </w:divBdr>
    </w:div>
    <w:div w:id="147940530">
      <w:marLeft w:val="0"/>
      <w:marRight w:val="0"/>
      <w:marTop w:val="0"/>
      <w:marBottom w:val="0"/>
      <w:divBdr>
        <w:top w:val="none" w:sz="0" w:space="0" w:color="auto"/>
        <w:left w:val="none" w:sz="0" w:space="0" w:color="auto"/>
        <w:bottom w:val="none" w:sz="0" w:space="0" w:color="auto"/>
        <w:right w:val="none" w:sz="0" w:space="0" w:color="auto"/>
      </w:divBdr>
    </w:div>
    <w:div w:id="147940531">
      <w:marLeft w:val="0"/>
      <w:marRight w:val="0"/>
      <w:marTop w:val="0"/>
      <w:marBottom w:val="0"/>
      <w:divBdr>
        <w:top w:val="none" w:sz="0" w:space="0" w:color="auto"/>
        <w:left w:val="none" w:sz="0" w:space="0" w:color="auto"/>
        <w:bottom w:val="none" w:sz="0" w:space="0" w:color="auto"/>
        <w:right w:val="none" w:sz="0" w:space="0" w:color="auto"/>
      </w:divBdr>
    </w:div>
    <w:div w:id="147940532">
      <w:marLeft w:val="0"/>
      <w:marRight w:val="0"/>
      <w:marTop w:val="0"/>
      <w:marBottom w:val="0"/>
      <w:divBdr>
        <w:top w:val="none" w:sz="0" w:space="0" w:color="auto"/>
        <w:left w:val="none" w:sz="0" w:space="0" w:color="auto"/>
        <w:bottom w:val="none" w:sz="0" w:space="0" w:color="auto"/>
        <w:right w:val="none" w:sz="0" w:space="0" w:color="auto"/>
      </w:divBdr>
    </w:div>
    <w:div w:id="147940533">
      <w:marLeft w:val="0"/>
      <w:marRight w:val="0"/>
      <w:marTop w:val="0"/>
      <w:marBottom w:val="0"/>
      <w:divBdr>
        <w:top w:val="none" w:sz="0" w:space="0" w:color="auto"/>
        <w:left w:val="none" w:sz="0" w:space="0" w:color="auto"/>
        <w:bottom w:val="none" w:sz="0" w:space="0" w:color="auto"/>
        <w:right w:val="none" w:sz="0" w:space="0" w:color="auto"/>
      </w:divBdr>
      <w:divsChild>
        <w:div w:id="147940518">
          <w:marLeft w:val="0"/>
          <w:marRight w:val="0"/>
          <w:marTop w:val="0"/>
          <w:marBottom w:val="0"/>
          <w:divBdr>
            <w:top w:val="none" w:sz="0" w:space="0" w:color="auto"/>
            <w:left w:val="none" w:sz="0" w:space="0" w:color="auto"/>
            <w:bottom w:val="none" w:sz="0" w:space="0" w:color="auto"/>
            <w:right w:val="none" w:sz="0" w:space="0" w:color="auto"/>
          </w:divBdr>
          <w:divsChild>
            <w:div w:id="147940539">
              <w:marLeft w:val="0"/>
              <w:marRight w:val="0"/>
              <w:marTop w:val="0"/>
              <w:marBottom w:val="0"/>
              <w:divBdr>
                <w:top w:val="none" w:sz="0" w:space="0" w:color="auto"/>
                <w:left w:val="none" w:sz="0" w:space="0" w:color="auto"/>
                <w:bottom w:val="none" w:sz="0" w:space="0" w:color="auto"/>
                <w:right w:val="none" w:sz="0" w:space="0" w:color="auto"/>
              </w:divBdr>
              <w:divsChild>
                <w:div w:id="1479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0534">
      <w:marLeft w:val="0"/>
      <w:marRight w:val="0"/>
      <w:marTop w:val="0"/>
      <w:marBottom w:val="0"/>
      <w:divBdr>
        <w:top w:val="none" w:sz="0" w:space="0" w:color="auto"/>
        <w:left w:val="none" w:sz="0" w:space="0" w:color="auto"/>
        <w:bottom w:val="none" w:sz="0" w:space="0" w:color="auto"/>
        <w:right w:val="none" w:sz="0" w:space="0" w:color="auto"/>
      </w:divBdr>
    </w:div>
    <w:div w:id="147940536">
      <w:marLeft w:val="0"/>
      <w:marRight w:val="0"/>
      <w:marTop w:val="0"/>
      <w:marBottom w:val="0"/>
      <w:divBdr>
        <w:top w:val="none" w:sz="0" w:space="0" w:color="auto"/>
        <w:left w:val="none" w:sz="0" w:space="0" w:color="auto"/>
        <w:bottom w:val="none" w:sz="0" w:space="0" w:color="auto"/>
        <w:right w:val="none" w:sz="0" w:space="0" w:color="auto"/>
      </w:divBdr>
    </w:div>
    <w:div w:id="147940537">
      <w:marLeft w:val="0"/>
      <w:marRight w:val="0"/>
      <w:marTop w:val="0"/>
      <w:marBottom w:val="0"/>
      <w:divBdr>
        <w:top w:val="none" w:sz="0" w:space="0" w:color="auto"/>
        <w:left w:val="none" w:sz="0" w:space="0" w:color="auto"/>
        <w:bottom w:val="none" w:sz="0" w:space="0" w:color="auto"/>
        <w:right w:val="none" w:sz="0" w:space="0" w:color="auto"/>
      </w:divBdr>
    </w:div>
    <w:div w:id="147940540">
      <w:marLeft w:val="0"/>
      <w:marRight w:val="0"/>
      <w:marTop w:val="0"/>
      <w:marBottom w:val="0"/>
      <w:divBdr>
        <w:top w:val="none" w:sz="0" w:space="0" w:color="auto"/>
        <w:left w:val="none" w:sz="0" w:space="0" w:color="auto"/>
        <w:bottom w:val="none" w:sz="0" w:space="0" w:color="auto"/>
        <w:right w:val="none" w:sz="0" w:space="0" w:color="auto"/>
      </w:divBdr>
    </w:div>
    <w:div w:id="147940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5177</Characters>
  <Application>Microsoft Office Word</Application>
  <DocSecurity>0</DocSecurity>
  <Lines>234</Lines>
  <Paragraphs>41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Ann</cp:lastModifiedBy>
  <cp:revision>5</cp:revision>
  <cp:lastPrinted>2015-03-23T23:40:00Z</cp:lastPrinted>
  <dcterms:created xsi:type="dcterms:W3CDTF">2018-08-20T05:31:00Z</dcterms:created>
  <dcterms:modified xsi:type="dcterms:W3CDTF">2018-08-20T05:31:00Z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A10412952</vt:lpwstr>
  </property>
  <property fmtid="{D5CDD505-2E9C-101B-9397-08002B2CF9AE}" pid="3" name="Objective-Title">
    <vt:lpwstr>2015 Moncrieff (2) - Disallowable Instrument</vt:lpwstr>
  </property>
  <property fmtid="{D5CDD505-2E9C-101B-9397-08002B2CF9AE}" pid="4" name="Objective-Comment">
    <vt:lpwstr/>
  </property>
  <property fmtid="{D5CDD505-2E9C-101B-9397-08002B2CF9AE}" pid="5" name="Objective-CreationStamp">
    <vt:filetime>2015-02-22T14:00:00Z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2015-03-22T14:00:00Z</vt:filetime>
  </property>
  <property fmtid="{D5CDD505-2E9C-101B-9397-08002B2CF9AE}" pid="10" name="Objective-Owner">
    <vt:lpwstr>Peter Phillips</vt:lpwstr>
  </property>
  <property fmtid="{D5CDD505-2E9C-101B-9397-08002B2CF9AE}" pid="11" name="Objective-Path">
    <vt:lpwstr>Whole of ACT Government:EPD - Environment and Planning Directorate:07. Ministerial, Cabinet and Government Relations:07. Executive Correspondence:Director-General:2014 - Director-General Correspondence:Construction and Services:Briefs:15/03222  - Public P</vt:lpwstr>
  </property>
  <property fmtid="{D5CDD505-2E9C-101B-9397-08002B2CF9AE}" pid="12" name="Objective-Parent">
    <vt:lpwstr>15/03222  - Public Place Names (Moncrieff) Determination 2015 (2)</vt:lpwstr>
  </property>
  <property fmtid="{D5CDD505-2E9C-101B-9397-08002B2CF9AE}" pid="13" name="Objective-State">
    <vt:lpwstr>Being Edited</vt:lpwstr>
  </property>
  <property fmtid="{D5CDD505-2E9C-101B-9397-08002B2CF9AE}" pid="14" name="Objective-Version">
    <vt:lpwstr>12.1</vt:lpwstr>
  </property>
  <property fmtid="{D5CDD505-2E9C-101B-9397-08002B2CF9AE}" pid="15" name="Objective-VersionNumber">
    <vt:r8>15</vt:r8>
  </property>
  <property fmtid="{D5CDD505-2E9C-101B-9397-08002B2CF9AE}" pid="16" name="Objective-VersionComment">
    <vt:lpwstr/>
  </property>
  <property fmtid="{D5CDD505-2E9C-101B-9397-08002B2CF9AE}" pid="17" name="Objective-FileNumber">
    <vt:lpwstr>1-2015/03222</vt:lpwstr>
  </property>
  <property fmtid="{D5CDD505-2E9C-101B-9397-08002B2CF9AE}" pid="18" name="Objective-Classification">
    <vt:lpwstr>Unclassified (beige file cover)</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