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CB2" w:rsidRDefault="00F10CB2">
      <w:pPr>
        <w:spacing w:before="120"/>
        <w:rPr>
          <w:rFonts w:ascii="Arial" w:hAnsi="Arial" w:cs="Arial"/>
        </w:rPr>
      </w:pPr>
      <w:bookmarkStart w:id="0" w:name="_Toc44738651"/>
      <w:r>
        <w:rPr>
          <w:rFonts w:ascii="Arial" w:hAnsi="Arial" w:cs="Arial"/>
        </w:rPr>
        <w:t>Australian Capital Territory</w:t>
      </w:r>
    </w:p>
    <w:p w:rsidR="00F10CB2" w:rsidRDefault="00EB7BC9">
      <w:pPr>
        <w:pStyle w:val="Billname"/>
        <w:spacing w:before="700"/>
      </w:pPr>
      <w:r>
        <w:t>Civil Law (Wrongs) The Australian Computer Society Pr</w:t>
      </w:r>
      <w:r w:rsidR="008E5145">
        <w:t>ofessional Standards Scheme 2018</w:t>
      </w:r>
      <w:r>
        <w:t xml:space="preserve"> </w:t>
      </w:r>
    </w:p>
    <w:p w:rsidR="00F10CB2" w:rsidRDefault="00F10CB2" w:rsidP="00D47F13">
      <w:pPr>
        <w:spacing w:before="340"/>
        <w:rPr>
          <w:rFonts w:ascii="Arial" w:hAnsi="Arial" w:cs="Arial"/>
          <w:b/>
          <w:bCs/>
        </w:rPr>
      </w:pPr>
      <w:r>
        <w:rPr>
          <w:rFonts w:ascii="Arial" w:hAnsi="Arial" w:cs="Arial"/>
          <w:b/>
          <w:bCs/>
        </w:rPr>
        <w:t>Disallowable instrument DI</w:t>
      </w:r>
      <w:r w:rsidR="008E5145">
        <w:rPr>
          <w:rFonts w:ascii="Arial" w:hAnsi="Arial" w:cs="Arial"/>
          <w:b/>
          <w:bCs/>
          <w:iCs/>
        </w:rPr>
        <w:t>2018</w:t>
      </w:r>
      <w:r>
        <w:rPr>
          <w:rFonts w:ascii="Arial" w:hAnsi="Arial" w:cs="Arial"/>
          <w:b/>
          <w:bCs/>
        </w:rPr>
        <w:t>–</w:t>
      </w:r>
      <w:r w:rsidR="00A865F8">
        <w:rPr>
          <w:rFonts w:ascii="Arial" w:hAnsi="Arial" w:cs="Arial"/>
          <w:b/>
          <w:bCs/>
        </w:rPr>
        <w:t>301</w:t>
      </w:r>
      <w:bookmarkStart w:id="1" w:name="_GoBack"/>
      <w:bookmarkEnd w:id="1"/>
    </w:p>
    <w:p w:rsidR="00F10CB2" w:rsidRDefault="00F10CB2" w:rsidP="00CD4E55">
      <w:pPr>
        <w:pStyle w:val="madeunder"/>
        <w:spacing w:before="300" w:after="0"/>
      </w:pPr>
      <w:r>
        <w:t xml:space="preserve">made under the  </w:t>
      </w:r>
    </w:p>
    <w:p w:rsidR="00F10CB2" w:rsidRDefault="00EB7BC9" w:rsidP="00EB7BC9">
      <w:pPr>
        <w:pStyle w:val="CoverActName"/>
        <w:spacing w:before="320" w:after="0"/>
        <w:jc w:val="left"/>
        <w:rPr>
          <w:rFonts w:cs="Arial"/>
          <w:sz w:val="20"/>
        </w:rPr>
      </w:pPr>
      <w:r>
        <w:rPr>
          <w:rFonts w:cs="Arial"/>
          <w:sz w:val="20"/>
        </w:rPr>
        <w:t xml:space="preserve">Civil Law (Wrongs) Act 2002, section 4.10, schedule 4 (Schemes are subject to disallowance) </w:t>
      </w:r>
    </w:p>
    <w:p w:rsidR="00F10CB2" w:rsidRDefault="00F10CB2" w:rsidP="00CD4E55">
      <w:pPr>
        <w:pStyle w:val="N-line3"/>
        <w:pBdr>
          <w:bottom w:val="none" w:sz="0" w:space="0" w:color="auto"/>
        </w:pBdr>
        <w:spacing w:before="60"/>
      </w:pPr>
    </w:p>
    <w:p w:rsidR="00F10CB2" w:rsidRDefault="00F10CB2">
      <w:pPr>
        <w:pStyle w:val="N-line3"/>
        <w:pBdr>
          <w:top w:val="single" w:sz="12" w:space="1" w:color="auto"/>
          <w:bottom w:val="none" w:sz="0" w:space="0" w:color="auto"/>
        </w:pBdr>
      </w:pPr>
    </w:p>
    <w:p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F10CB2" w:rsidRDefault="00F10CB2" w:rsidP="00D47F13">
      <w:pPr>
        <w:spacing w:before="140"/>
        <w:ind w:left="720"/>
      </w:pPr>
      <w:r>
        <w:t xml:space="preserve">This instrument is the </w:t>
      </w:r>
      <w:r w:rsidR="00EB7BC9">
        <w:rPr>
          <w:i/>
        </w:rPr>
        <w:t>Civil Law (Wrongs) The Australian Computer Society Pr</w:t>
      </w:r>
      <w:r w:rsidR="008E5145">
        <w:rPr>
          <w:i/>
        </w:rPr>
        <w:t>ofessional Standards Scheme 2018</w:t>
      </w:r>
      <w:r w:rsidR="00EB7BC9">
        <w:rPr>
          <w:i/>
        </w:rPr>
        <w:t xml:space="preserve">. </w:t>
      </w:r>
    </w:p>
    <w:p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F10CB2" w:rsidRDefault="00EB7BC9" w:rsidP="00D47F13">
      <w:pPr>
        <w:spacing w:before="140"/>
        <w:ind w:left="720"/>
      </w:pPr>
      <w:r>
        <w:t xml:space="preserve">This instrument commences on 1 January 2019. </w:t>
      </w:r>
      <w:r w:rsidR="00F10CB2">
        <w:t xml:space="preserve"> </w:t>
      </w:r>
    </w:p>
    <w:p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EB7BC9">
        <w:rPr>
          <w:rFonts w:ascii="Arial" w:hAnsi="Arial" w:cs="Arial"/>
          <w:b/>
          <w:bCs/>
        </w:rPr>
        <w:t xml:space="preserve">Notice </w:t>
      </w:r>
    </w:p>
    <w:p w:rsidR="00B91007" w:rsidRDefault="00EB7BC9" w:rsidP="00EB7BC9">
      <w:pPr>
        <w:spacing w:before="140"/>
        <w:ind w:left="1440" w:hanging="720"/>
      </w:pPr>
      <w:r>
        <w:t>(1)</w:t>
      </w:r>
      <w:r>
        <w:tab/>
        <w:t xml:space="preserve">I give notice of the </w:t>
      </w:r>
      <w:r w:rsidR="00DE4BAB">
        <w:t>Professional Standards Council of New South Wales’</w:t>
      </w:r>
      <w:r>
        <w:t xml:space="preserve"> approval of the attached </w:t>
      </w:r>
      <w:r w:rsidR="00B91007">
        <w:t xml:space="preserve">The Australian Computer Society Professional Standards Scheme. </w:t>
      </w:r>
    </w:p>
    <w:p w:rsidR="00F10CB2" w:rsidRDefault="00B91007" w:rsidP="00EB7BC9">
      <w:pPr>
        <w:spacing w:before="140"/>
        <w:ind w:left="1440" w:hanging="720"/>
      </w:pPr>
      <w:r>
        <w:t>(2)</w:t>
      </w:r>
      <w:r>
        <w:tab/>
        <w:t xml:space="preserve">The scheme is in force for a period of five years, beginning on the commencement of this instrument. </w:t>
      </w:r>
    </w:p>
    <w:p w:rsidR="00F10CB2" w:rsidRDefault="00F10CB2" w:rsidP="00D47F13">
      <w:pPr>
        <w:spacing w:before="140"/>
        <w:ind w:left="720"/>
      </w:pPr>
    </w:p>
    <w:p w:rsidR="00D47F13" w:rsidRDefault="00EB7BC9" w:rsidP="00232478">
      <w:pPr>
        <w:tabs>
          <w:tab w:val="left" w:pos="4320"/>
        </w:tabs>
        <w:spacing w:before="720"/>
      </w:pPr>
      <w:r>
        <w:t>Gordon Ramsay MLA</w:t>
      </w:r>
    </w:p>
    <w:p w:rsidR="00F10CB2" w:rsidRDefault="00EB7BC9" w:rsidP="00D47F13">
      <w:pPr>
        <w:tabs>
          <w:tab w:val="left" w:pos="4320"/>
        </w:tabs>
      </w:pPr>
      <w:r>
        <w:t>Attorney-General</w:t>
      </w:r>
    </w:p>
    <w:bookmarkEnd w:id="0"/>
    <w:p w:rsidR="00F10CB2" w:rsidRDefault="005F1389" w:rsidP="00232478">
      <w:pPr>
        <w:tabs>
          <w:tab w:val="left" w:pos="4320"/>
        </w:tabs>
      </w:pPr>
      <w:r>
        <w:t>19 December 2018</w:t>
      </w:r>
    </w:p>
    <w:p w:rsidR="000748F3" w:rsidRDefault="000748F3" w:rsidP="00232478">
      <w:pPr>
        <w:tabs>
          <w:tab w:val="left" w:pos="4320"/>
        </w:tabs>
      </w:pPr>
    </w:p>
    <w:p w:rsidR="000748F3" w:rsidRDefault="000748F3" w:rsidP="00232478">
      <w:pPr>
        <w:tabs>
          <w:tab w:val="left" w:pos="4320"/>
        </w:tabs>
      </w:pPr>
    </w:p>
    <w:p w:rsidR="000748F3" w:rsidRDefault="000748F3">
      <w:r>
        <w:br w:type="page"/>
      </w:r>
    </w:p>
    <w:p w:rsidR="000748F3" w:rsidRDefault="000748F3" w:rsidP="000748F3">
      <w:pPr>
        <w:jc w:val="center"/>
        <w:rPr>
          <w:b/>
        </w:rPr>
      </w:pPr>
      <w:r w:rsidRPr="00B65BE9">
        <w:rPr>
          <w:b/>
        </w:rPr>
        <w:lastRenderedPageBreak/>
        <w:t>THE AUSTRALIAN COMPUTER SOCIETY PROFESSIONAL STANDARDS SCHEME</w:t>
      </w:r>
    </w:p>
    <w:p w:rsidR="000748F3" w:rsidRPr="00B65BE9" w:rsidRDefault="000748F3" w:rsidP="000748F3">
      <w:pPr>
        <w:jc w:val="center"/>
        <w:rPr>
          <w:b/>
        </w:rPr>
      </w:pPr>
    </w:p>
    <w:p w:rsidR="000748F3" w:rsidRPr="003152CB" w:rsidRDefault="000748F3" w:rsidP="000748F3">
      <w:pPr>
        <w:jc w:val="center"/>
        <w:rPr>
          <w:i/>
        </w:rPr>
      </w:pPr>
      <w:r w:rsidRPr="003152CB">
        <w:rPr>
          <w:i/>
        </w:rPr>
        <w:t>Professional Standards Act 1994</w:t>
      </w:r>
      <w:r w:rsidRPr="00A46B85">
        <w:t xml:space="preserve"> (NSW)</w:t>
      </w:r>
    </w:p>
    <w:p w:rsidR="000748F3" w:rsidRPr="00B65BE9" w:rsidRDefault="000748F3" w:rsidP="000748F3">
      <w:pPr>
        <w:rPr>
          <w:b/>
        </w:rPr>
      </w:pPr>
    </w:p>
    <w:p w:rsidR="000748F3" w:rsidRPr="00B65BE9" w:rsidRDefault="000748F3" w:rsidP="000748F3">
      <w:pPr>
        <w:rPr>
          <w:b/>
        </w:rPr>
      </w:pPr>
      <w:r w:rsidRPr="00B65BE9">
        <w:rPr>
          <w:b/>
        </w:rPr>
        <w:t>PREAMBLE</w:t>
      </w:r>
    </w:p>
    <w:p w:rsidR="000748F3" w:rsidRPr="00B65BE9" w:rsidRDefault="000748F3" w:rsidP="000748F3"/>
    <w:p w:rsidR="000748F3" w:rsidRPr="00B65BE9" w:rsidRDefault="000748F3" w:rsidP="000748F3">
      <w:pPr>
        <w:pStyle w:val="ListParagraph"/>
        <w:numPr>
          <w:ilvl w:val="0"/>
          <w:numId w:val="10"/>
        </w:numPr>
        <w:ind w:left="709" w:hanging="425"/>
        <w:jc w:val="left"/>
      </w:pPr>
      <w:r w:rsidRPr="00B65BE9">
        <w:t xml:space="preserve">The Australian Computer Society </w:t>
      </w:r>
      <w:proofErr w:type="spellStart"/>
      <w:r>
        <w:t>Inc</w:t>
      </w:r>
      <w:proofErr w:type="spellEnd"/>
      <w:r>
        <w:t xml:space="preserve"> </w:t>
      </w:r>
      <w:r w:rsidRPr="00B65BE9">
        <w:t>(ACS) is an occupational association.</w:t>
      </w:r>
    </w:p>
    <w:p w:rsidR="000748F3" w:rsidRPr="00B65BE9" w:rsidRDefault="000748F3" w:rsidP="000748F3">
      <w:pPr>
        <w:ind w:left="709" w:hanging="425"/>
      </w:pPr>
    </w:p>
    <w:p w:rsidR="000748F3" w:rsidRPr="00B65BE9" w:rsidRDefault="000748F3" w:rsidP="000748F3">
      <w:pPr>
        <w:pStyle w:val="ListParagraph"/>
        <w:numPr>
          <w:ilvl w:val="0"/>
          <w:numId w:val="10"/>
        </w:numPr>
        <w:ind w:left="709" w:hanging="425"/>
        <w:jc w:val="left"/>
      </w:pPr>
      <w:r w:rsidRPr="00B65BE9">
        <w:t xml:space="preserve">The ACS has made an application to the Professional Standards Council, appointed under the </w:t>
      </w:r>
      <w:r w:rsidRPr="00CA415B">
        <w:rPr>
          <w:i/>
        </w:rPr>
        <w:t xml:space="preserve">Professional Standards Act 1994 </w:t>
      </w:r>
      <w:r w:rsidRPr="00B65BE9">
        <w:t xml:space="preserve">(NSW) (the Act), for </w:t>
      </w:r>
      <w:r>
        <w:t xml:space="preserve">the approval of </w:t>
      </w:r>
      <w:r w:rsidRPr="00B65BE9">
        <w:t>a scheme under the Act</w:t>
      </w:r>
      <w:r>
        <w:t xml:space="preserve"> as set out in this document</w:t>
      </w:r>
      <w:r w:rsidRPr="00B65BE9">
        <w:t>.</w:t>
      </w:r>
    </w:p>
    <w:p w:rsidR="000748F3" w:rsidRPr="00B65BE9" w:rsidRDefault="000748F3" w:rsidP="000748F3">
      <w:pPr>
        <w:ind w:left="709" w:hanging="425"/>
      </w:pPr>
    </w:p>
    <w:p w:rsidR="000748F3" w:rsidRPr="00B65BE9" w:rsidRDefault="000748F3" w:rsidP="000748F3">
      <w:pPr>
        <w:pStyle w:val="ListParagraph"/>
        <w:numPr>
          <w:ilvl w:val="0"/>
          <w:numId w:val="10"/>
        </w:numPr>
        <w:ind w:left="709" w:hanging="425"/>
        <w:jc w:val="left"/>
      </w:pPr>
      <w:r w:rsidRPr="00B65BE9">
        <w:t>The scheme is prepared by the ACS for the purposes of limiting occupational liability to the extent to which such liability may be limited under the Act.</w:t>
      </w:r>
    </w:p>
    <w:p w:rsidR="000748F3" w:rsidRPr="00B65BE9" w:rsidRDefault="000748F3" w:rsidP="000748F3">
      <w:pPr>
        <w:ind w:left="709" w:hanging="425"/>
      </w:pPr>
    </w:p>
    <w:p w:rsidR="000748F3" w:rsidRPr="00B65BE9" w:rsidRDefault="000748F3" w:rsidP="000748F3">
      <w:pPr>
        <w:pStyle w:val="ListParagraph"/>
        <w:numPr>
          <w:ilvl w:val="0"/>
          <w:numId w:val="10"/>
        </w:numPr>
        <w:ind w:left="709" w:hanging="425"/>
        <w:jc w:val="left"/>
      </w:pPr>
      <w:r w:rsidRPr="00B65BE9">
        <w:t>The scheme propounded by the ACS is to apply to all Certified Professional Members of the ACS.</w:t>
      </w:r>
    </w:p>
    <w:p w:rsidR="000748F3" w:rsidRPr="00B65BE9" w:rsidRDefault="000748F3" w:rsidP="000748F3">
      <w:pPr>
        <w:ind w:left="709" w:hanging="425"/>
      </w:pPr>
    </w:p>
    <w:p w:rsidR="000748F3" w:rsidRPr="00B65BE9" w:rsidRDefault="000748F3" w:rsidP="000748F3">
      <w:pPr>
        <w:pStyle w:val="ListParagraph"/>
        <w:numPr>
          <w:ilvl w:val="0"/>
          <w:numId w:val="10"/>
        </w:numPr>
        <w:ind w:left="709" w:hanging="425"/>
        <w:jc w:val="left"/>
      </w:pPr>
      <w:r w:rsidRPr="00B65BE9">
        <w:t>The ACS has furnished the Council with a detailed list of the risk management strategies intended to be implemented in respect of its members and the means by which those strategies are intended to be implemented.</w:t>
      </w:r>
    </w:p>
    <w:p w:rsidR="000748F3" w:rsidRPr="00B65BE9" w:rsidRDefault="000748F3" w:rsidP="000748F3">
      <w:pPr>
        <w:ind w:left="709" w:hanging="425"/>
      </w:pPr>
    </w:p>
    <w:p w:rsidR="000748F3" w:rsidRPr="00B65BE9" w:rsidRDefault="000748F3" w:rsidP="000748F3">
      <w:pPr>
        <w:pStyle w:val="ListParagraph"/>
        <w:numPr>
          <w:ilvl w:val="0"/>
          <w:numId w:val="10"/>
        </w:numPr>
        <w:ind w:left="709" w:hanging="425"/>
        <w:jc w:val="left"/>
      </w:pPr>
      <w:r w:rsidRPr="00B65BE9">
        <w:t xml:space="preserve">The scheme is intended to commence </w:t>
      </w:r>
      <w:r>
        <w:t xml:space="preserve">in New South Wales </w:t>
      </w:r>
      <w:r w:rsidRPr="00B65BE9">
        <w:t xml:space="preserve">on 1 January 2019 and remain in force for five (5) years from its commencement unless, prior to that time, it is revoked, its operation ceases, or it is extended pursuant to </w:t>
      </w:r>
      <w:r>
        <w:t>the applicable legislation of the relevant jurisdiction</w:t>
      </w:r>
      <w:r w:rsidRPr="00B65BE9">
        <w:t>.</w:t>
      </w:r>
    </w:p>
    <w:p w:rsidR="000748F3" w:rsidRDefault="000748F3" w:rsidP="000748F3">
      <w:pPr>
        <w:pStyle w:val="ListParagraph"/>
        <w:ind w:left="709" w:hanging="425"/>
        <w:jc w:val="left"/>
      </w:pPr>
    </w:p>
    <w:p w:rsidR="000748F3" w:rsidRDefault="000748F3" w:rsidP="000748F3">
      <w:pPr>
        <w:pStyle w:val="ListParagraph"/>
        <w:numPr>
          <w:ilvl w:val="0"/>
          <w:numId w:val="10"/>
        </w:numPr>
        <w:ind w:left="709" w:hanging="425"/>
        <w:jc w:val="left"/>
      </w:pPr>
      <w:r>
        <w:t>Unless otherwise defined in this scheme, terms used in the scheme have the meaning given in the Act.</w:t>
      </w:r>
    </w:p>
    <w:p w:rsidR="000748F3" w:rsidRDefault="000748F3" w:rsidP="000748F3">
      <w:pPr>
        <w:pStyle w:val="ListParagraph"/>
        <w:ind w:left="709" w:hanging="425"/>
      </w:pPr>
    </w:p>
    <w:p w:rsidR="000748F3" w:rsidRPr="00B65BE9" w:rsidRDefault="000748F3" w:rsidP="000748F3">
      <w:pPr>
        <w:pStyle w:val="ListParagraph"/>
        <w:numPr>
          <w:ilvl w:val="0"/>
          <w:numId w:val="10"/>
        </w:numPr>
        <w:ind w:left="709" w:hanging="425"/>
      </w:pPr>
      <w:r>
        <w:t xml:space="preserve">The scheme is intended to apply in all states and territories of Australia. </w:t>
      </w:r>
    </w:p>
    <w:p w:rsidR="000748F3" w:rsidRPr="00B65BE9" w:rsidRDefault="000748F3" w:rsidP="000748F3"/>
    <w:p w:rsidR="000748F3" w:rsidRPr="00B65BE9" w:rsidRDefault="000748F3" w:rsidP="000748F3">
      <w:pPr>
        <w:rPr>
          <w:b/>
        </w:rPr>
      </w:pPr>
      <w:r w:rsidRPr="00B65BE9">
        <w:rPr>
          <w:b/>
        </w:rPr>
        <w:t>THE AUSTRALIAN COMPUTER SOCIETY</w:t>
      </w:r>
      <w:r>
        <w:rPr>
          <w:b/>
        </w:rPr>
        <w:t xml:space="preserve"> PROFESSIONAL STANDARDS SCHEME</w:t>
      </w:r>
    </w:p>
    <w:p w:rsidR="000748F3" w:rsidRPr="00B65BE9" w:rsidRDefault="000748F3" w:rsidP="000748F3">
      <w:pPr>
        <w:rPr>
          <w:b/>
        </w:rPr>
      </w:pPr>
    </w:p>
    <w:p w:rsidR="000748F3" w:rsidRPr="00B65BE9" w:rsidRDefault="000748F3" w:rsidP="000748F3">
      <w:pPr>
        <w:ind w:left="709" w:hanging="709"/>
        <w:rPr>
          <w:b/>
        </w:rPr>
      </w:pPr>
      <w:r w:rsidRPr="00B65BE9">
        <w:rPr>
          <w:b/>
        </w:rPr>
        <w:t>1</w:t>
      </w:r>
      <w:r w:rsidRPr="00B65BE9">
        <w:rPr>
          <w:b/>
        </w:rPr>
        <w:tab/>
        <w:t>Occupational association</w:t>
      </w:r>
    </w:p>
    <w:p w:rsidR="000748F3" w:rsidRDefault="000748F3" w:rsidP="000748F3"/>
    <w:p w:rsidR="000748F3" w:rsidRPr="00B65BE9" w:rsidRDefault="000748F3" w:rsidP="000748F3">
      <w:pPr>
        <w:ind w:left="709" w:hanging="709"/>
      </w:pPr>
      <w:r>
        <w:t xml:space="preserve">1.1 </w:t>
      </w:r>
      <w:r>
        <w:tab/>
      </w:r>
      <w:r w:rsidRPr="003152CB">
        <w:t xml:space="preserve">The Australian Computer Society Professional Standards Scheme (the scheme) is a scheme under the Act prepared by the Australian Computer Society </w:t>
      </w:r>
      <w:proofErr w:type="spellStart"/>
      <w:r w:rsidRPr="003152CB">
        <w:t>Inc</w:t>
      </w:r>
      <w:proofErr w:type="spellEnd"/>
      <w:r w:rsidRPr="003152CB">
        <w:t xml:space="preserve"> (ACS) whose national office</w:t>
      </w:r>
      <w:r w:rsidRPr="00B65BE9">
        <w:t xml:space="preserve"> address is Tower One, International Towers, 100 </w:t>
      </w:r>
      <w:proofErr w:type="spellStart"/>
      <w:r w:rsidRPr="00B65BE9">
        <w:t>Barangaroo</w:t>
      </w:r>
      <w:proofErr w:type="spellEnd"/>
      <w:r w:rsidRPr="00B65BE9">
        <w:t xml:space="preserve"> Ave, Sydney, NSW, 2000.</w:t>
      </w:r>
    </w:p>
    <w:p w:rsidR="000748F3" w:rsidRPr="00B65BE9" w:rsidRDefault="000748F3" w:rsidP="000748F3"/>
    <w:p w:rsidR="000748F3" w:rsidRPr="003152CB" w:rsidRDefault="000748F3" w:rsidP="000748F3">
      <w:pPr>
        <w:pStyle w:val="ListParagraph"/>
        <w:numPr>
          <w:ilvl w:val="0"/>
          <w:numId w:val="11"/>
        </w:numPr>
        <w:ind w:hanging="720"/>
        <w:rPr>
          <w:b/>
        </w:rPr>
      </w:pPr>
      <w:r w:rsidRPr="003152CB">
        <w:rPr>
          <w:b/>
        </w:rPr>
        <w:t>Persons to Whom the Scheme Applies</w:t>
      </w:r>
    </w:p>
    <w:p w:rsidR="000748F3" w:rsidRDefault="000748F3" w:rsidP="000748F3"/>
    <w:p w:rsidR="000748F3" w:rsidRPr="00B65BE9" w:rsidRDefault="000748F3" w:rsidP="000748F3">
      <w:pPr>
        <w:ind w:left="709" w:hanging="709"/>
      </w:pPr>
      <w:r>
        <w:t>2.1</w:t>
      </w:r>
      <w:r>
        <w:tab/>
      </w:r>
      <w:r w:rsidRPr="00B65BE9">
        <w:t xml:space="preserve">The scheme will apply to ACS members who </w:t>
      </w:r>
      <w:r>
        <w:t>are</w:t>
      </w:r>
      <w:r w:rsidRPr="00B65BE9">
        <w:t xml:space="preserve"> Certified Professional </w:t>
      </w:r>
      <w:r>
        <w:t>Members</w:t>
      </w:r>
      <w:r w:rsidRPr="00B65BE9">
        <w:t xml:space="preserve">. </w:t>
      </w:r>
      <w:r w:rsidRPr="00E778B6">
        <w:t xml:space="preserve">A Certified Professional </w:t>
      </w:r>
      <w:r>
        <w:t xml:space="preserve">Member </w:t>
      </w:r>
      <w:r w:rsidRPr="00E778B6">
        <w:t>is defined as a member of ACS with a current 'Certified Professional' certification from ACS.</w:t>
      </w:r>
      <w:r w:rsidRPr="00B477E8">
        <w:t xml:space="preserve"> </w:t>
      </w:r>
      <w:r w:rsidRPr="00B65BE9">
        <w:t xml:space="preserve">A list of </w:t>
      </w:r>
      <w:r w:rsidRPr="00E778B6">
        <w:t>Members participating in the ACS Professional Standards Scheme will be published on the ACS web site.</w:t>
      </w:r>
    </w:p>
    <w:p w:rsidR="000748F3" w:rsidRDefault="000748F3" w:rsidP="000748F3"/>
    <w:p w:rsidR="000748F3" w:rsidRDefault="000748F3" w:rsidP="000748F3">
      <w:pPr>
        <w:ind w:left="720" w:hanging="720"/>
      </w:pPr>
      <w:r>
        <w:lastRenderedPageBreak/>
        <w:t>2.2</w:t>
      </w:r>
      <w:r>
        <w:tab/>
        <w:t xml:space="preserve">A person referred to in clause 2.1 may, on application, be exempted from participation in the scheme by the ACS with effect from the date specified by the ACS. </w:t>
      </w:r>
    </w:p>
    <w:p w:rsidR="000748F3" w:rsidRDefault="000748F3" w:rsidP="000748F3">
      <w:pPr>
        <w:ind w:left="720" w:hanging="720"/>
      </w:pPr>
    </w:p>
    <w:p w:rsidR="000748F3" w:rsidRDefault="000748F3" w:rsidP="000748F3">
      <w:pPr>
        <w:ind w:left="709" w:hanging="709"/>
        <w:rPr>
          <w:b/>
        </w:rPr>
      </w:pPr>
      <w:r>
        <w:rPr>
          <w:b/>
        </w:rPr>
        <w:t>3</w:t>
      </w:r>
      <w:r>
        <w:rPr>
          <w:b/>
        </w:rPr>
        <w:tab/>
        <w:t>Jurisdiction</w:t>
      </w:r>
    </w:p>
    <w:p w:rsidR="000748F3" w:rsidRDefault="000748F3" w:rsidP="000748F3">
      <w:pPr>
        <w:rPr>
          <w:b/>
        </w:rPr>
      </w:pPr>
    </w:p>
    <w:p w:rsidR="000748F3" w:rsidRDefault="000748F3" w:rsidP="000748F3">
      <w:pPr>
        <w:ind w:left="709" w:hanging="709"/>
      </w:pPr>
      <w:r>
        <w:t>3.1</w:t>
      </w:r>
      <w:r>
        <w:tab/>
        <w:t>The scheme applies in New South Wales in accordance with the Act.</w:t>
      </w:r>
    </w:p>
    <w:p w:rsidR="000748F3" w:rsidRDefault="000748F3" w:rsidP="000748F3"/>
    <w:p w:rsidR="000748F3" w:rsidRPr="003F6C24" w:rsidRDefault="000748F3" w:rsidP="000748F3">
      <w:pPr>
        <w:ind w:left="709" w:hanging="709"/>
      </w:pPr>
      <w:r>
        <w:t>3.2</w:t>
      </w:r>
      <w:r>
        <w:tab/>
        <w:t xml:space="preserve">In addition to New South Wales, the scheme is intended to operate in the Australian Capital Territory, the Northern Territory, Queensland, South Australia, Tasmania, Victoria, and Western Australia, in accordance with the professional standards legislation of those states and territories. </w:t>
      </w:r>
    </w:p>
    <w:p w:rsidR="000748F3" w:rsidRDefault="000748F3" w:rsidP="000748F3">
      <w:pPr>
        <w:rPr>
          <w:b/>
        </w:rPr>
      </w:pPr>
    </w:p>
    <w:p w:rsidR="000748F3" w:rsidRPr="00B65BE9" w:rsidRDefault="000748F3" w:rsidP="000748F3">
      <w:pPr>
        <w:ind w:left="709" w:hanging="709"/>
        <w:rPr>
          <w:b/>
        </w:rPr>
      </w:pPr>
      <w:r>
        <w:rPr>
          <w:b/>
        </w:rPr>
        <w:t>4</w:t>
      </w:r>
      <w:r>
        <w:rPr>
          <w:b/>
        </w:rPr>
        <w:tab/>
      </w:r>
      <w:r w:rsidRPr="00B65BE9">
        <w:rPr>
          <w:b/>
        </w:rPr>
        <w:t>Limitation of liability</w:t>
      </w:r>
    </w:p>
    <w:p w:rsidR="000748F3" w:rsidRDefault="000748F3" w:rsidP="000748F3"/>
    <w:p w:rsidR="000748F3" w:rsidRPr="003152CB" w:rsidRDefault="000748F3" w:rsidP="000748F3">
      <w:pPr>
        <w:ind w:left="720" w:hanging="720"/>
        <w:rPr>
          <w:spacing w:val="-1"/>
        </w:rPr>
      </w:pPr>
      <w:r>
        <w:rPr>
          <w:spacing w:val="-1"/>
        </w:rPr>
        <w:t>4.1</w:t>
      </w:r>
      <w:r>
        <w:rPr>
          <w:spacing w:val="-1"/>
        </w:rPr>
        <w:tab/>
      </w:r>
      <w:r w:rsidRPr="003152CB">
        <w:rPr>
          <w:spacing w:val="-1"/>
        </w:rPr>
        <w:t>This scheme only affects the liability for damages arising from a single cause of action to the extent to which the liability results in damages exceeding $</w:t>
      </w:r>
      <w:r>
        <w:rPr>
          <w:spacing w:val="-1"/>
        </w:rPr>
        <w:t>2,0</w:t>
      </w:r>
      <w:r w:rsidRPr="003152CB">
        <w:rPr>
          <w:spacing w:val="-1"/>
        </w:rPr>
        <w:t>00,000.</w:t>
      </w:r>
    </w:p>
    <w:p w:rsidR="000748F3" w:rsidRDefault="000748F3" w:rsidP="000748F3">
      <w:pPr>
        <w:rPr>
          <w:spacing w:val="-1"/>
        </w:rPr>
      </w:pPr>
    </w:p>
    <w:p w:rsidR="000748F3" w:rsidRDefault="000748F3" w:rsidP="000748F3">
      <w:pPr>
        <w:ind w:left="720" w:hanging="720"/>
        <w:rPr>
          <w:spacing w:val="-1"/>
        </w:rPr>
      </w:pPr>
      <w:r>
        <w:rPr>
          <w:spacing w:val="-1"/>
        </w:rPr>
        <w:t>4.2</w:t>
      </w:r>
      <w:r>
        <w:rPr>
          <w:spacing w:val="-1"/>
        </w:rPr>
        <w:tab/>
        <w:t xml:space="preserve">This scheme </w:t>
      </w:r>
      <w:r w:rsidRPr="00B477E8">
        <w:rPr>
          <w:spacing w:val="-1"/>
        </w:rPr>
        <w:t>limits the occupational liability in respect of a cause of action founded on an act or omission occurring during the period when the scheme was in force of any person to whom the scheme applied at the tim</w:t>
      </w:r>
      <w:r>
        <w:rPr>
          <w:spacing w:val="-1"/>
        </w:rPr>
        <w:t>e the act or omission occurred.</w:t>
      </w:r>
    </w:p>
    <w:p w:rsidR="000748F3" w:rsidRDefault="000748F3" w:rsidP="000748F3">
      <w:pPr>
        <w:ind w:left="720" w:hanging="720"/>
        <w:rPr>
          <w:spacing w:val="-1"/>
        </w:rPr>
      </w:pPr>
    </w:p>
    <w:p w:rsidR="000748F3" w:rsidRPr="003152CB" w:rsidRDefault="000748F3" w:rsidP="000748F3">
      <w:pPr>
        <w:ind w:left="720" w:hanging="720"/>
        <w:rPr>
          <w:spacing w:val="-1"/>
        </w:rPr>
      </w:pPr>
      <w:r>
        <w:rPr>
          <w:spacing w:val="-1"/>
        </w:rPr>
        <w:t>4.3</w:t>
      </w:r>
      <w:r>
        <w:rPr>
          <w:spacing w:val="-1"/>
        </w:rPr>
        <w:tab/>
      </w:r>
      <w:r w:rsidRPr="003152CB">
        <w:rPr>
          <w:spacing w:val="-1"/>
        </w:rPr>
        <w:t>If a person, who was at the time of the act or omission giving rise to occupational liability, a person to whom the scheme applied</w:t>
      </w:r>
      <w:r>
        <w:rPr>
          <w:spacing w:val="-1"/>
        </w:rPr>
        <w:t xml:space="preserve"> and</w:t>
      </w:r>
      <w:r w:rsidRPr="003152CB">
        <w:rPr>
          <w:spacing w:val="-1"/>
        </w:rPr>
        <w:t xml:space="preserve"> against whom a proceeding relating to occupational liability is brought, is able to satisfy the court that such person has the benefit of an insurance policy:</w:t>
      </w:r>
    </w:p>
    <w:p w:rsidR="000748F3" w:rsidRDefault="000748F3" w:rsidP="000748F3"/>
    <w:p w:rsidR="000748F3" w:rsidRDefault="000748F3" w:rsidP="000748F3">
      <w:pPr>
        <w:pStyle w:val="BodyText"/>
        <w:ind w:left="360" w:right="115" w:firstLine="360"/>
        <w:jc w:val="both"/>
        <w:rPr>
          <w:spacing w:val="-1"/>
        </w:rPr>
      </w:pPr>
      <w:r>
        <w:rPr>
          <w:spacing w:val="-1"/>
        </w:rPr>
        <w:t>(a)</w:t>
      </w:r>
      <w:r>
        <w:rPr>
          <w:spacing w:val="-1"/>
        </w:rPr>
        <w:tab/>
      </w:r>
      <w:r w:rsidRPr="003C3B7D">
        <w:rPr>
          <w:spacing w:val="-1"/>
        </w:rPr>
        <w:t xml:space="preserve">of a kind which </w:t>
      </w:r>
      <w:r>
        <w:rPr>
          <w:spacing w:val="-1"/>
        </w:rPr>
        <w:t>complies</w:t>
      </w:r>
      <w:r w:rsidRPr="003C3B7D">
        <w:rPr>
          <w:spacing w:val="-1"/>
        </w:rPr>
        <w:t xml:space="preserve"> with </w:t>
      </w:r>
      <w:r>
        <w:rPr>
          <w:spacing w:val="-1"/>
        </w:rPr>
        <w:t>the</w:t>
      </w:r>
      <w:r w:rsidRPr="003C3B7D">
        <w:rPr>
          <w:spacing w:val="-1"/>
        </w:rPr>
        <w:t xml:space="preserve"> </w:t>
      </w:r>
      <w:r>
        <w:rPr>
          <w:spacing w:val="-1"/>
        </w:rPr>
        <w:t>standards</w:t>
      </w:r>
      <w:r w:rsidRPr="003C3B7D">
        <w:rPr>
          <w:spacing w:val="-1"/>
        </w:rPr>
        <w:t xml:space="preserve"> </w:t>
      </w:r>
      <w:r>
        <w:rPr>
          <w:spacing w:val="-1"/>
        </w:rPr>
        <w:t>determined</w:t>
      </w:r>
      <w:r w:rsidRPr="003C3B7D">
        <w:rPr>
          <w:spacing w:val="-1"/>
        </w:rPr>
        <w:t xml:space="preserve"> </w:t>
      </w:r>
      <w:r>
        <w:rPr>
          <w:spacing w:val="-1"/>
        </w:rPr>
        <w:t>by</w:t>
      </w:r>
      <w:r w:rsidRPr="003C3B7D">
        <w:rPr>
          <w:spacing w:val="-1"/>
        </w:rPr>
        <w:t xml:space="preserve"> </w:t>
      </w:r>
      <w:r>
        <w:rPr>
          <w:spacing w:val="-1"/>
        </w:rPr>
        <w:t>the</w:t>
      </w:r>
      <w:r w:rsidRPr="003C3B7D">
        <w:rPr>
          <w:spacing w:val="-1"/>
        </w:rPr>
        <w:t xml:space="preserve"> </w:t>
      </w:r>
      <w:r>
        <w:rPr>
          <w:spacing w:val="-1"/>
        </w:rPr>
        <w:t>ACS;</w:t>
      </w:r>
    </w:p>
    <w:p w:rsidR="000748F3" w:rsidRDefault="000748F3" w:rsidP="000748F3">
      <w:pPr>
        <w:pStyle w:val="BodyText"/>
        <w:ind w:right="115"/>
        <w:jc w:val="both"/>
        <w:rPr>
          <w:spacing w:val="-1"/>
        </w:rPr>
      </w:pPr>
    </w:p>
    <w:p w:rsidR="000748F3" w:rsidRPr="003C3B7D" w:rsidRDefault="000748F3" w:rsidP="000748F3">
      <w:pPr>
        <w:pStyle w:val="BodyText"/>
        <w:ind w:left="360" w:right="115" w:firstLine="360"/>
        <w:jc w:val="both"/>
        <w:rPr>
          <w:spacing w:val="-1"/>
        </w:rPr>
      </w:pPr>
      <w:r>
        <w:rPr>
          <w:spacing w:val="-1"/>
        </w:rPr>
        <w:t>(b)</w:t>
      </w:r>
      <w:r>
        <w:rPr>
          <w:spacing w:val="-1"/>
        </w:rPr>
        <w:tab/>
        <w:t>insuring</w:t>
      </w:r>
      <w:r w:rsidRPr="003C3B7D">
        <w:rPr>
          <w:spacing w:val="-1"/>
        </w:rPr>
        <w:t xml:space="preserve"> </w:t>
      </w:r>
      <w:r>
        <w:rPr>
          <w:spacing w:val="-1"/>
        </w:rPr>
        <w:t>such</w:t>
      </w:r>
      <w:r w:rsidRPr="003C3B7D">
        <w:rPr>
          <w:spacing w:val="-1"/>
        </w:rPr>
        <w:t xml:space="preserve"> </w:t>
      </w:r>
      <w:r>
        <w:rPr>
          <w:spacing w:val="-1"/>
        </w:rPr>
        <w:t>person</w:t>
      </w:r>
      <w:r w:rsidRPr="003C3B7D">
        <w:rPr>
          <w:spacing w:val="-1"/>
        </w:rPr>
        <w:t xml:space="preserve"> </w:t>
      </w:r>
      <w:r>
        <w:rPr>
          <w:spacing w:val="-1"/>
        </w:rPr>
        <w:t>against that occupational</w:t>
      </w:r>
      <w:r w:rsidRPr="003C3B7D">
        <w:rPr>
          <w:spacing w:val="-1"/>
        </w:rPr>
        <w:t xml:space="preserve"> </w:t>
      </w:r>
      <w:r>
        <w:rPr>
          <w:spacing w:val="-1"/>
        </w:rPr>
        <w:t>liability;</w:t>
      </w:r>
      <w:r w:rsidRPr="003C3B7D">
        <w:rPr>
          <w:spacing w:val="-1"/>
        </w:rPr>
        <w:t xml:space="preserve"> </w:t>
      </w:r>
      <w:r>
        <w:rPr>
          <w:spacing w:val="-1"/>
        </w:rPr>
        <w:t>and</w:t>
      </w:r>
    </w:p>
    <w:p w:rsidR="000748F3" w:rsidRPr="003C3B7D" w:rsidRDefault="000748F3" w:rsidP="000748F3">
      <w:pPr>
        <w:pStyle w:val="BodyText"/>
        <w:ind w:right="115"/>
        <w:jc w:val="both"/>
        <w:rPr>
          <w:spacing w:val="-1"/>
        </w:rPr>
      </w:pPr>
    </w:p>
    <w:p w:rsidR="000748F3" w:rsidRDefault="000748F3" w:rsidP="000748F3">
      <w:pPr>
        <w:pStyle w:val="BodyText"/>
        <w:ind w:left="720" w:right="115"/>
        <w:jc w:val="both"/>
        <w:rPr>
          <w:spacing w:val="-1"/>
        </w:rPr>
      </w:pPr>
      <w:r>
        <w:rPr>
          <w:spacing w:val="-1"/>
        </w:rPr>
        <w:t>(c)</w:t>
      </w:r>
      <w:r>
        <w:rPr>
          <w:spacing w:val="-1"/>
        </w:rPr>
        <w:tab/>
      </w:r>
      <w:r w:rsidRPr="003C3B7D">
        <w:rPr>
          <w:spacing w:val="-1"/>
        </w:rPr>
        <w:t xml:space="preserve">under which </w:t>
      </w:r>
      <w:r>
        <w:rPr>
          <w:spacing w:val="-1"/>
        </w:rPr>
        <w:t>the</w:t>
      </w:r>
      <w:r w:rsidRPr="003C3B7D">
        <w:rPr>
          <w:spacing w:val="-1"/>
        </w:rPr>
        <w:t xml:space="preserve"> </w:t>
      </w:r>
      <w:r>
        <w:rPr>
          <w:spacing w:val="-1"/>
        </w:rPr>
        <w:t>amount</w:t>
      </w:r>
      <w:r w:rsidRPr="003C3B7D">
        <w:rPr>
          <w:spacing w:val="-1"/>
        </w:rPr>
        <w:t xml:space="preserve"> payable </w:t>
      </w:r>
      <w:r>
        <w:rPr>
          <w:spacing w:val="-1"/>
        </w:rPr>
        <w:t>in</w:t>
      </w:r>
      <w:r w:rsidRPr="003C3B7D">
        <w:rPr>
          <w:spacing w:val="-1"/>
        </w:rPr>
        <w:t xml:space="preserve"> </w:t>
      </w:r>
      <w:r>
        <w:rPr>
          <w:spacing w:val="-1"/>
        </w:rPr>
        <w:t>respect</w:t>
      </w:r>
      <w:r w:rsidRPr="003C3B7D">
        <w:rPr>
          <w:spacing w:val="-1"/>
        </w:rPr>
        <w:t xml:space="preserve"> of </w:t>
      </w:r>
      <w:r>
        <w:rPr>
          <w:spacing w:val="-1"/>
        </w:rPr>
        <w:t>that</w:t>
      </w:r>
      <w:r w:rsidRPr="003C3B7D">
        <w:rPr>
          <w:spacing w:val="-1"/>
        </w:rPr>
        <w:t xml:space="preserve"> </w:t>
      </w:r>
      <w:r>
        <w:rPr>
          <w:spacing w:val="-1"/>
        </w:rPr>
        <w:t>occupational</w:t>
      </w:r>
      <w:r w:rsidRPr="003C3B7D">
        <w:rPr>
          <w:spacing w:val="-1"/>
        </w:rPr>
        <w:t xml:space="preserve"> </w:t>
      </w:r>
      <w:r>
        <w:rPr>
          <w:spacing w:val="-1"/>
        </w:rPr>
        <w:t>liability</w:t>
      </w:r>
      <w:r w:rsidRPr="003C3B7D">
        <w:rPr>
          <w:spacing w:val="-1"/>
        </w:rPr>
        <w:t xml:space="preserve"> </w:t>
      </w:r>
      <w:r>
        <w:rPr>
          <w:spacing w:val="-1"/>
        </w:rPr>
        <w:t>is</w:t>
      </w:r>
      <w:r w:rsidRPr="003C3B7D">
        <w:rPr>
          <w:spacing w:val="-1"/>
        </w:rPr>
        <w:t xml:space="preserve"> not </w:t>
      </w:r>
    </w:p>
    <w:p w:rsidR="000748F3" w:rsidRPr="003C3B7D" w:rsidRDefault="000748F3" w:rsidP="000748F3">
      <w:pPr>
        <w:pStyle w:val="BodyText"/>
        <w:ind w:left="1440" w:right="115"/>
        <w:jc w:val="both"/>
        <w:rPr>
          <w:spacing w:val="-1"/>
        </w:rPr>
      </w:pPr>
      <w:r>
        <w:rPr>
          <w:spacing w:val="-1"/>
        </w:rPr>
        <w:t>less</w:t>
      </w:r>
      <w:r w:rsidRPr="003C3B7D">
        <w:rPr>
          <w:spacing w:val="-1"/>
        </w:rPr>
        <w:t xml:space="preserve"> </w:t>
      </w:r>
      <w:r>
        <w:rPr>
          <w:spacing w:val="-1"/>
        </w:rPr>
        <w:t>than</w:t>
      </w:r>
      <w:r w:rsidRPr="003C3B7D">
        <w:rPr>
          <w:spacing w:val="-1"/>
        </w:rPr>
        <w:t xml:space="preserve"> </w:t>
      </w:r>
      <w:r>
        <w:rPr>
          <w:spacing w:val="-1"/>
        </w:rPr>
        <w:t>the</w:t>
      </w:r>
      <w:r w:rsidRPr="003C3B7D">
        <w:rPr>
          <w:spacing w:val="-1"/>
        </w:rPr>
        <w:t xml:space="preserve"> </w:t>
      </w:r>
      <w:r>
        <w:rPr>
          <w:spacing w:val="-1"/>
        </w:rPr>
        <w:t>monetary</w:t>
      </w:r>
      <w:r w:rsidRPr="003C3B7D">
        <w:rPr>
          <w:spacing w:val="-1"/>
        </w:rPr>
        <w:t xml:space="preserve"> </w:t>
      </w:r>
      <w:r>
        <w:rPr>
          <w:spacing w:val="-1"/>
        </w:rPr>
        <w:t>ceiling</w:t>
      </w:r>
      <w:r w:rsidRPr="003C3B7D">
        <w:rPr>
          <w:spacing w:val="-1"/>
        </w:rPr>
        <w:t xml:space="preserve"> </w:t>
      </w:r>
      <w:r>
        <w:rPr>
          <w:spacing w:val="-1"/>
        </w:rPr>
        <w:t>specified</w:t>
      </w:r>
      <w:r w:rsidRPr="003C3B7D">
        <w:rPr>
          <w:spacing w:val="-1"/>
        </w:rPr>
        <w:t xml:space="preserve"> </w:t>
      </w:r>
      <w:r>
        <w:rPr>
          <w:spacing w:val="-1"/>
        </w:rPr>
        <w:t>in</w:t>
      </w:r>
      <w:r w:rsidRPr="003C3B7D">
        <w:rPr>
          <w:spacing w:val="-1"/>
        </w:rPr>
        <w:t xml:space="preserve"> </w:t>
      </w:r>
      <w:r>
        <w:rPr>
          <w:spacing w:val="-1"/>
        </w:rPr>
        <w:t>this</w:t>
      </w:r>
      <w:r w:rsidRPr="003C3B7D">
        <w:rPr>
          <w:spacing w:val="-1"/>
        </w:rPr>
        <w:t xml:space="preserve"> scheme,</w:t>
      </w:r>
    </w:p>
    <w:p w:rsidR="000748F3" w:rsidRDefault="000748F3" w:rsidP="000748F3">
      <w:pPr>
        <w:pStyle w:val="BodyText"/>
        <w:ind w:right="120"/>
      </w:pPr>
    </w:p>
    <w:p w:rsidR="000748F3" w:rsidRDefault="000748F3" w:rsidP="000748F3">
      <w:pPr>
        <w:pStyle w:val="BodyText"/>
        <w:ind w:left="720" w:right="120"/>
      </w:pPr>
      <w:r>
        <w:rPr>
          <w:spacing w:val="-1"/>
        </w:rPr>
        <w:t>that</w:t>
      </w:r>
      <w:r>
        <w:rPr>
          <w:spacing w:val="16"/>
        </w:rPr>
        <w:t xml:space="preserve"> </w:t>
      </w:r>
      <w:r>
        <w:rPr>
          <w:spacing w:val="-1"/>
        </w:rPr>
        <w:t>person</w:t>
      </w:r>
      <w:r>
        <w:rPr>
          <w:spacing w:val="15"/>
        </w:rPr>
        <w:t xml:space="preserve"> </w:t>
      </w:r>
      <w:r>
        <w:rPr>
          <w:spacing w:val="-1"/>
        </w:rPr>
        <w:t>is</w:t>
      </w:r>
      <w:r>
        <w:rPr>
          <w:spacing w:val="15"/>
        </w:rPr>
        <w:t xml:space="preserve"> </w:t>
      </w:r>
      <w:r>
        <w:rPr>
          <w:spacing w:val="-2"/>
        </w:rPr>
        <w:t>not</w:t>
      </w:r>
      <w:r>
        <w:rPr>
          <w:spacing w:val="18"/>
        </w:rPr>
        <w:t xml:space="preserve"> </w:t>
      </w:r>
      <w:r>
        <w:rPr>
          <w:spacing w:val="-2"/>
        </w:rPr>
        <w:t>liable</w:t>
      </w:r>
      <w:r>
        <w:rPr>
          <w:spacing w:val="17"/>
        </w:rPr>
        <w:t xml:space="preserve"> </w:t>
      </w:r>
      <w:r>
        <w:rPr>
          <w:spacing w:val="-1"/>
        </w:rPr>
        <w:t>in</w:t>
      </w:r>
      <w:r>
        <w:rPr>
          <w:spacing w:val="17"/>
        </w:rPr>
        <w:t xml:space="preserve"> </w:t>
      </w:r>
      <w:r>
        <w:rPr>
          <w:spacing w:val="-1"/>
        </w:rPr>
        <w:t>damages</w:t>
      </w:r>
      <w:r>
        <w:rPr>
          <w:spacing w:val="15"/>
        </w:rPr>
        <w:t xml:space="preserve"> </w:t>
      </w: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that</w:t>
      </w:r>
      <w:r>
        <w:rPr>
          <w:spacing w:val="16"/>
        </w:rPr>
        <w:t xml:space="preserve"> </w:t>
      </w:r>
      <w:r>
        <w:rPr>
          <w:spacing w:val="-1"/>
        </w:rPr>
        <w:t>cause</w:t>
      </w:r>
      <w:r>
        <w:rPr>
          <w:spacing w:val="15"/>
        </w:rPr>
        <w:t xml:space="preserve"> </w:t>
      </w:r>
      <w:r>
        <w:rPr>
          <w:spacing w:val="-2"/>
        </w:rPr>
        <w:t>of</w:t>
      </w:r>
      <w:r>
        <w:rPr>
          <w:spacing w:val="18"/>
        </w:rPr>
        <w:t xml:space="preserve"> </w:t>
      </w:r>
      <w:r>
        <w:rPr>
          <w:spacing w:val="-2"/>
        </w:rPr>
        <w:t>action</w:t>
      </w:r>
      <w:r>
        <w:rPr>
          <w:spacing w:val="17"/>
        </w:rPr>
        <w:t xml:space="preserve"> </w:t>
      </w:r>
      <w:r>
        <w:rPr>
          <w:spacing w:val="-2"/>
        </w:rPr>
        <w:t>above</w:t>
      </w:r>
      <w:r>
        <w:rPr>
          <w:spacing w:val="15"/>
        </w:rPr>
        <w:t xml:space="preserve"> </w:t>
      </w:r>
      <w:r>
        <w:rPr>
          <w:spacing w:val="-1"/>
        </w:rPr>
        <w:t>the</w:t>
      </w:r>
      <w:r>
        <w:rPr>
          <w:spacing w:val="61"/>
        </w:rPr>
        <w:t xml:space="preserve"> </w:t>
      </w:r>
      <w:r>
        <w:rPr>
          <w:spacing w:val="-1"/>
        </w:rPr>
        <w:t>monetary</w:t>
      </w:r>
      <w:r>
        <w:rPr>
          <w:spacing w:val="-2"/>
        </w:rPr>
        <w:t xml:space="preserve"> </w:t>
      </w:r>
      <w:r>
        <w:rPr>
          <w:spacing w:val="-1"/>
        </w:rPr>
        <w:t>ceiling</w:t>
      </w:r>
      <w:r>
        <w:rPr>
          <w:spacing w:val="2"/>
        </w:rPr>
        <w:t xml:space="preserve"> </w:t>
      </w:r>
      <w:r>
        <w:rPr>
          <w:spacing w:val="-1"/>
        </w:rPr>
        <w:t>specified</w:t>
      </w:r>
      <w:r>
        <w:t xml:space="preserve"> </w:t>
      </w:r>
      <w:r>
        <w:rPr>
          <w:spacing w:val="-1"/>
        </w:rPr>
        <w:t>in</w:t>
      </w:r>
      <w:r>
        <w:t xml:space="preserve"> </w:t>
      </w:r>
      <w:r>
        <w:rPr>
          <w:spacing w:val="-1"/>
        </w:rPr>
        <w:t>this</w:t>
      </w:r>
      <w:r>
        <w:rPr>
          <w:spacing w:val="-2"/>
        </w:rPr>
        <w:t xml:space="preserve"> </w:t>
      </w:r>
      <w:r>
        <w:rPr>
          <w:spacing w:val="-1"/>
        </w:rPr>
        <w:t>scheme.</w:t>
      </w:r>
    </w:p>
    <w:p w:rsidR="000748F3" w:rsidRDefault="000748F3" w:rsidP="000748F3">
      <w:pPr>
        <w:pStyle w:val="BodyText"/>
        <w:ind w:right="120"/>
        <w:rPr>
          <w:spacing w:val="-1"/>
        </w:rPr>
      </w:pPr>
    </w:p>
    <w:p w:rsidR="000748F3" w:rsidRDefault="000748F3" w:rsidP="000748F3">
      <w:pPr>
        <w:pStyle w:val="BodyText"/>
        <w:ind w:right="120"/>
        <w:rPr>
          <w:spacing w:val="-1"/>
        </w:rPr>
      </w:pPr>
      <w:r>
        <w:rPr>
          <w:spacing w:val="-1"/>
        </w:rPr>
        <w:t>4.4</w:t>
      </w:r>
      <w:r>
        <w:rPr>
          <w:spacing w:val="-1"/>
        </w:rPr>
        <w:tab/>
        <w:t>The</w:t>
      </w:r>
      <w:r>
        <w:rPr>
          <w:spacing w:val="-2"/>
        </w:rPr>
        <w:t xml:space="preserve"> </w:t>
      </w:r>
      <w:r>
        <w:rPr>
          <w:spacing w:val="-1"/>
        </w:rPr>
        <w:t>monetary</w:t>
      </w:r>
      <w:r>
        <w:rPr>
          <w:spacing w:val="-2"/>
        </w:rPr>
        <w:t xml:space="preserve"> </w:t>
      </w:r>
      <w:r>
        <w:rPr>
          <w:spacing w:val="-1"/>
        </w:rPr>
        <w:t>ceiling</w:t>
      </w:r>
      <w:r>
        <w:rPr>
          <w:spacing w:val="2"/>
        </w:rPr>
        <w:t xml:space="preserve"> </w:t>
      </w:r>
      <w:r>
        <w:rPr>
          <w:spacing w:val="-1"/>
        </w:rPr>
        <w:t>is</w:t>
      </w:r>
      <w:r>
        <w:t xml:space="preserve"> </w:t>
      </w:r>
      <w:r w:rsidRPr="008F367D">
        <w:rPr>
          <w:spacing w:val="-1"/>
        </w:rPr>
        <w:t>$2.0</w:t>
      </w:r>
      <w:r w:rsidRPr="008F367D">
        <w:rPr>
          <w:spacing w:val="-2"/>
        </w:rPr>
        <w:t xml:space="preserve"> </w:t>
      </w:r>
      <w:r w:rsidRPr="008F367D">
        <w:rPr>
          <w:spacing w:val="-1"/>
        </w:rPr>
        <w:t>million</w:t>
      </w:r>
      <w:r>
        <w:rPr>
          <w:spacing w:val="-1"/>
        </w:rPr>
        <w:t>.</w:t>
      </w:r>
    </w:p>
    <w:p w:rsidR="000748F3" w:rsidRDefault="000748F3" w:rsidP="000748F3">
      <w:pPr>
        <w:pStyle w:val="BodyText"/>
        <w:ind w:right="120"/>
        <w:rPr>
          <w:spacing w:val="-1"/>
        </w:rPr>
      </w:pPr>
    </w:p>
    <w:p w:rsidR="000748F3" w:rsidRPr="00171733" w:rsidRDefault="000748F3" w:rsidP="000748F3">
      <w:pPr>
        <w:pStyle w:val="BodyText"/>
        <w:ind w:left="720" w:right="120" w:hanging="720"/>
        <w:rPr>
          <w:spacing w:val="-1"/>
        </w:rPr>
      </w:pPr>
      <w:r>
        <w:rPr>
          <w:spacing w:val="-1"/>
        </w:rPr>
        <w:t>4.5</w:t>
      </w:r>
      <w:r>
        <w:rPr>
          <w:spacing w:val="-1"/>
        </w:rPr>
        <w:tab/>
      </w:r>
      <w:r w:rsidRPr="00E3501B">
        <w:rPr>
          <w:spacing w:val="-1"/>
        </w:rPr>
        <w:t>Clause 4.3 only affects liability for damages arising from a single cause of action to the extent to which the liability results in damages exceeding the amount of damages specified in clause 4.1</w:t>
      </w:r>
      <w:r>
        <w:rPr>
          <w:spacing w:val="-1"/>
        </w:rPr>
        <w:t>.</w:t>
      </w:r>
    </w:p>
    <w:p w:rsidR="000748F3" w:rsidRPr="00171733" w:rsidRDefault="000748F3" w:rsidP="000748F3">
      <w:pPr>
        <w:pStyle w:val="BodyText"/>
        <w:ind w:left="720" w:right="120" w:hanging="720"/>
        <w:rPr>
          <w:spacing w:val="-1"/>
        </w:rPr>
      </w:pPr>
    </w:p>
    <w:p w:rsidR="000748F3" w:rsidRPr="00171733" w:rsidRDefault="000748F3" w:rsidP="000748F3">
      <w:pPr>
        <w:ind w:left="720" w:right="261" w:hanging="720"/>
      </w:pPr>
      <w:r w:rsidRPr="00171733">
        <w:t xml:space="preserve">4.6 </w:t>
      </w:r>
      <w:r w:rsidRPr="00171733">
        <w:tab/>
        <w:t xml:space="preserve">Notwithstanding anything to the contrary contained in this scheme if, in particular circumstances giving rise to occupational liability, the liability of any person who is subject to this scheme is capped both by this scheme and also by any other scheme under professional standards legislation (whether of this jurisdiction or under the corresponding law of any other Australian state or territory) and, if the amount of such caps should differ, then the cap on the liability of such person arising from such circumstances which is higher shall </w:t>
      </w:r>
      <w:r w:rsidRPr="00171733">
        <w:rPr>
          <w:spacing w:val="-41"/>
        </w:rPr>
        <w:t> </w:t>
      </w:r>
      <w:r w:rsidRPr="00171733">
        <w:t>be the applicable</w:t>
      </w:r>
      <w:r w:rsidRPr="00171733">
        <w:rPr>
          <w:spacing w:val="2"/>
        </w:rPr>
        <w:t xml:space="preserve"> </w:t>
      </w:r>
      <w:r w:rsidRPr="00171733">
        <w:t>cap.</w:t>
      </w:r>
    </w:p>
    <w:p w:rsidR="000748F3" w:rsidRPr="00171733" w:rsidRDefault="000748F3" w:rsidP="000748F3">
      <w:pPr>
        <w:ind w:left="720" w:right="262" w:hanging="720"/>
      </w:pPr>
    </w:p>
    <w:p w:rsidR="000748F3" w:rsidRDefault="000748F3" w:rsidP="000748F3">
      <w:pPr>
        <w:rPr>
          <w:b/>
        </w:rPr>
      </w:pPr>
      <w:r>
        <w:rPr>
          <w:b/>
        </w:rPr>
        <w:t>5</w:t>
      </w:r>
      <w:r>
        <w:rPr>
          <w:b/>
        </w:rPr>
        <w:tab/>
        <w:t>Discretionary authority</w:t>
      </w:r>
    </w:p>
    <w:p w:rsidR="000748F3" w:rsidRDefault="000748F3" w:rsidP="000748F3">
      <w:pPr>
        <w:rPr>
          <w:b/>
        </w:rPr>
      </w:pPr>
    </w:p>
    <w:p w:rsidR="000748F3" w:rsidRDefault="000748F3" w:rsidP="000748F3">
      <w:pPr>
        <w:ind w:left="720" w:hanging="720"/>
        <w:rPr>
          <w:b/>
        </w:rPr>
      </w:pPr>
      <w:r>
        <w:t>5.1</w:t>
      </w:r>
      <w:r>
        <w:tab/>
      </w:r>
      <w:r w:rsidRPr="00B477E8">
        <w:t xml:space="preserve">This scheme confers on the ACS a discretionary authority to specify, on application by a person to whom the scheme applies, in relation to that person, a </w:t>
      </w:r>
      <w:r>
        <w:t xml:space="preserve">higher maximum amount of liability </w:t>
      </w:r>
      <w:r w:rsidRPr="00B477E8">
        <w:t>not exceeding $10 million</w:t>
      </w:r>
      <w:r>
        <w:t>,</w:t>
      </w:r>
      <w:r w:rsidRPr="00B477E8">
        <w:t xml:space="preserve"> in relation to that person either in all cases or in any specified case or class of case.</w:t>
      </w:r>
      <w:r w:rsidRPr="003152CB">
        <w:rPr>
          <w:b/>
        </w:rPr>
        <w:tab/>
      </w:r>
    </w:p>
    <w:p w:rsidR="000748F3" w:rsidRDefault="000748F3" w:rsidP="000748F3">
      <w:pPr>
        <w:rPr>
          <w:b/>
        </w:rPr>
      </w:pPr>
    </w:p>
    <w:p w:rsidR="000748F3" w:rsidRPr="003152CB" w:rsidRDefault="000748F3" w:rsidP="000748F3">
      <w:pPr>
        <w:rPr>
          <w:b/>
        </w:rPr>
      </w:pPr>
      <w:r>
        <w:rPr>
          <w:b/>
        </w:rPr>
        <w:t>6</w:t>
      </w:r>
      <w:r>
        <w:rPr>
          <w:b/>
        </w:rPr>
        <w:tab/>
      </w:r>
      <w:r w:rsidRPr="003152CB">
        <w:rPr>
          <w:b/>
        </w:rPr>
        <w:t>Duration</w:t>
      </w:r>
    </w:p>
    <w:p w:rsidR="000748F3" w:rsidRPr="00B65BE9" w:rsidRDefault="000748F3" w:rsidP="000748F3"/>
    <w:p w:rsidR="000748F3" w:rsidRDefault="000748F3" w:rsidP="000748F3">
      <w:pPr>
        <w:ind w:left="720" w:hanging="720"/>
        <w:rPr>
          <w:color w:val="1D1D1D"/>
        </w:rPr>
      </w:pPr>
      <w:r>
        <w:rPr>
          <w:color w:val="1C1C1C"/>
        </w:rPr>
        <w:t>6.1</w:t>
      </w:r>
      <w:r>
        <w:rPr>
          <w:color w:val="1C1C1C"/>
          <w:sz w:val="14"/>
          <w:szCs w:val="14"/>
        </w:rPr>
        <w:tab/>
      </w:r>
      <w:r>
        <w:rPr>
          <w:color w:val="1D1D1D"/>
        </w:rPr>
        <w:t>This scheme will commence in New South Wales, the Northern Territory, Tasmania, Western Australia, Victoria and Queensland on 1 January 2019.</w:t>
      </w:r>
    </w:p>
    <w:p w:rsidR="000748F3" w:rsidRDefault="000748F3" w:rsidP="000748F3">
      <w:pPr>
        <w:overflowPunct w:val="0"/>
        <w:spacing w:before="115"/>
        <w:ind w:right="97"/>
        <w:jc w:val="both"/>
        <w:rPr>
          <w:color w:val="1D1D1D"/>
        </w:rPr>
      </w:pPr>
      <w:r>
        <w:rPr>
          <w:color w:val="1C1C1C"/>
        </w:rPr>
        <w:t>6.2</w:t>
      </w:r>
      <w:r>
        <w:rPr>
          <w:color w:val="1C1C1C"/>
          <w:sz w:val="14"/>
          <w:szCs w:val="14"/>
        </w:rPr>
        <w:tab/>
      </w:r>
      <w:r>
        <w:rPr>
          <w:color w:val="1D1D1D"/>
        </w:rPr>
        <w:t>In the Australian Capital Territory and in South Australia, the scheme will commence:</w:t>
      </w:r>
    </w:p>
    <w:p w:rsidR="000748F3" w:rsidRDefault="000748F3" w:rsidP="000748F3">
      <w:pPr>
        <w:ind w:firstLine="720"/>
      </w:pPr>
    </w:p>
    <w:p w:rsidR="000748F3" w:rsidRDefault="000748F3" w:rsidP="000748F3">
      <w:pPr>
        <w:ind w:left="720"/>
      </w:pPr>
      <w:r>
        <w:t>(a)</w:t>
      </w:r>
      <w:r>
        <w:tab/>
      </w:r>
      <w:r w:rsidRPr="00D10526">
        <w:t xml:space="preserve">on the date provided for in the Minister's notice in relation to the scheme, if a </w:t>
      </w:r>
    </w:p>
    <w:p w:rsidR="000748F3" w:rsidRDefault="000748F3" w:rsidP="000748F3">
      <w:pPr>
        <w:ind w:left="720" w:firstLine="720"/>
      </w:pPr>
      <w:r w:rsidRPr="00D10526">
        <w:t>date is provided; or</w:t>
      </w:r>
    </w:p>
    <w:p w:rsidR="000748F3" w:rsidRPr="00D10526" w:rsidRDefault="000748F3" w:rsidP="000748F3"/>
    <w:p w:rsidR="000748F3" w:rsidRDefault="000748F3" w:rsidP="000748F3">
      <w:pPr>
        <w:ind w:left="720"/>
      </w:pPr>
      <w:r>
        <w:t>(b)</w:t>
      </w:r>
      <w:r>
        <w:tab/>
      </w:r>
      <w:r w:rsidRPr="00D10526">
        <w:t xml:space="preserve">on the first day two months after the day on which notice was given, in any </w:t>
      </w:r>
    </w:p>
    <w:p w:rsidR="000748F3" w:rsidRDefault="000748F3" w:rsidP="000748F3">
      <w:pPr>
        <w:ind w:left="720" w:firstLine="720"/>
      </w:pPr>
      <w:r w:rsidRPr="00D10526">
        <w:t>other case.</w:t>
      </w:r>
    </w:p>
    <w:p w:rsidR="000748F3" w:rsidRDefault="000748F3" w:rsidP="000748F3"/>
    <w:p w:rsidR="000748F3" w:rsidRDefault="000748F3" w:rsidP="000748F3">
      <w:pPr>
        <w:ind w:left="709" w:hanging="709"/>
      </w:pPr>
      <w:r>
        <w:t>6.3</w:t>
      </w:r>
      <w:r>
        <w:tab/>
        <w:t>This scheme will be in force in New South Wales for five years from the date of commencement in that jurisdiction.</w:t>
      </w:r>
    </w:p>
    <w:p w:rsidR="000748F3" w:rsidRPr="00D10526" w:rsidRDefault="000748F3" w:rsidP="000748F3"/>
    <w:p w:rsidR="000748F3" w:rsidRDefault="000748F3" w:rsidP="000748F3">
      <w:pPr>
        <w:overflowPunct w:val="0"/>
        <w:ind w:right="152"/>
        <w:jc w:val="both"/>
        <w:rPr>
          <w:color w:val="1D1D1D"/>
        </w:rPr>
      </w:pPr>
      <w:r>
        <w:rPr>
          <w:color w:val="1C1C1C"/>
        </w:rPr>
        <w:t>6.4</w:t>
      </w:r>
      <w:r>
        <w:rPr>
          <w:color w:val="1C1C1C"/>
          <w:sz w:val="14"/>
          <w:szCs w:val="14"/>
        </w:rPr>
        <w:tab/>
      </w:r>
      <w:r>
        <w:rPr>
          <w:color w:val="1D1D1D"/>
        </w:rPr>
        <w:t>For any other jurisdiction, the scheme will be in force for:</w:t>
      </w:r>
    </w:p>
    <w:p w:rsidR="000748F3" w:rsidRDefault="000748F3" w:rsidP="000748F3">
      <w:pPr>
        <w:overflowPunct w:val="0"/>
        <w:ind w:right="152"/>
        <w:jc w:val="both"/>
        <w:rPr>
          <w:color w:val="1D1D1D"/>
        </w:rPr>
      </w:pPr>
    </w:p>
    <w:p w:rsidR="000748F3" w:rsidRDefault="000748F3" w:rsidP="000748F3">
      <w:pPr>
        <w:overflowPunct w:val="0"/>
        <w:ind w:right="153" w:firstLine="720"/>
        <w:jc w:val="both"/>
        <w:rPr>
          <w:color w:val="1D1D1D"/>
        </w:rPr>
      </w:pPr>
      <w:r>
        <w:rPr>
          <w:color w:val="1C1C1C"/>
        </w:rPr>
        <w:t>(a)</w:t>
      </w:r>
      <w:r>
        <w:rPr>
          <w:color w:val="1C1C1C"/>
          <w:sz w:val="14"/>
          <w:szCs w:val="14"/>
        </w:rPr>
        <w:tab/>
      </w:r>
      <w:r>
        <w:rPr>
          <w:color w:val="1D1D1D"/>
        </w:rPr>
        <w:t>5 years from the date of commencement in that jurisdiction; or</w:t>
      </w:r>
    </w:p>
    <w:p w:rsidR="000748F3" w:rsidRDefault="000748F3" w:rsidP="000748F3">
      <w:pPr>
        <w:overflowPunct w:val="0"/>
        <w:ind w:right="153"/>
        <w:jc w:val="both"/>
        <w:rPr>
          <w:color w:val="1D1D1D"/>
        </w:rPr>
      </w:pPr>
    </w:p>
    <w:p w:rsidR="000748F3" w:rsidRDefault="000748F3" w:rsidP="000748F3">
      <w:pPr>
        <w:overflowPunct w:val="0"/>
        <w:ind w:right="153" w:firstLine="720"/>
        <w:jc w:val="both"/>
        <w:rPr>
          <w:color w:val="1D1D1D"/>
        </w:rPr>
      </w:pPr>
      <w:r>
        <w:rPr>
          <w:color w:val="1C1C1C"/>
        </w:rPr>
        <w:t>(b)</w:t>
      </w:r>
      <w:r>
        <w:rPr>
          <w:color w:val="1C1C1C"/>
          <w:sz w:val="14"/>
          <w:szCs w:val="14"/>
        </w:rPr>
        <w:tab/>
      </w:r>
      <w:r>
        <w:rPr>
          <w:color w:val="1D1D1D"/>
        </w:rPr>
        <w:t>5 years from the date of commencement in New South Wales;</w:t>
      </w:r>
    </w:p>
    <w:p w:rsidR="000748F3" w:rsidRDefault="000748F3" w:rsidP="000748F3">
      <w:pPr>
        <w:overflowPunct w:val="0"/>
        <w:ind w:right="153"/>
        <w:jc w:val="both"/>
        <w:rPr>
          <w:color w:val="1D1D1D"/>
        </w:rPr>
      </w:pPr>
    </w:p>
    <w:p w:rsidR="000748F3" w:rsidRDefault="000748F3" w:rsidP="000748F3">
      <w:pPr>
        <w:overflowPunct w:val="0"/>
        <w:ind w:left="851" w:right="137" w:hanging="142"/>
        <w:jc w:val="both"/>
        <w:rPr>
          <w:color w:val="1D1D1D"/>
        </w:rPr>
      </w:pPr>
      <w:r>
        <w:rPr>
          <w:color w:val="1D1D1D"/>
        </w:rPr>
        <w:t>whichever period ends first.</w:t>
      </w:r>
    </w:p>
    <w:p w:rsidR="000748F3" w:rsidRDefault="000748F3" w:rsidP="000748F3">
      <w:pPr>
        <w:overflowPunct w:val="0"/>
        <w:ind w:right="107"/>
        <w:jc w:val="both"/>
        <w:rPr>
          <w:color w:val="1C1C1C"/>
        </w:rPr>
      </w:pPr>
    </w:p>
    <w:p w:rsidR="000748F3" w:rsidRDefault="000748F3" w:rsidP="000748F3">
      <w:pPr>
        <w:overflowPunct w:val="0"/>
        <w:ind w:left="709" w:right="107" w:hanging="709"/>
        <w:jc w:val="both"/>
        <w:rPr>
          <w:color w:val="1D1D1D"/>
        </w:rPr>
      </w:pPr>
      <w:r>
        <w:rPr>
          <w:color w:val="1C1C1C"/>
        </w:rPr>
        <w:t>6.5</w:t>
      </w:r>
      <w:r>
        <w:rPr>
          <w:color w:val="1C1C1C"/>
        </w:rPr>
        <w:tab/>
      </w:r>
      <w:r>
        <w:rPr>
          <w:color w:val="1D1D1D"/>
        </w:rPr>
        <w:t>Clauses 6.3 and 6.4 are subject to the provisions of each jurisdiction applicable to the revocation, extension or cessation of schemes.</w:t>
      </w:r>
    </w:p>
    <w:p w:rsidR="000748F3" w:rsidRDefault="000748F3" w:rsidP="00232478">
      <w:pPr>
        <w:tabs>
          <w:tab w:val="left" w:pos="4320"/>
        </w:tabs>
      </w:pPr>
    </w:p>
    <w:sectPr w:rsidR="000748F3" w:rsidSect="00F15AC3">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E9D" w:rsidRDefault="00784E9D" w:rsidP="00F10CB2">
      <w:r>
        <w:separator/>
      </w:r>
    </w:p>
  </w:endnote>
  <w:endnote w:type="continuationSeparator" w:id="0">
    <w:p w:rsidR="00784E9D" w:rsidRDefault="00784E9D"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C3" w:rsidRDefault="00704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C3" w:rsidRPr="005001B4" w:rsidRDefault="005001B4" w:rsidP="005001B4">
    <w:pPr>
      <w:pStyle w:val="Footer"/>
      <w:jc w:val="center"/>
      <w:rPr>
        <w:rFonts w:cs="Arial"/>
        <w:sz w:val="14"/>
      </w:rPr>
    </w:pPr>
    <w:r w:rsidRPr="005001B4">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C3" w:rsidRDefault="00704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E9D" w:rsidRDefault="00784E9D" w:rsidP="00F10CB2">
      <w:r>
        <w:separator/>
      </w:r>
    </w:p>
  </w:footnote>
  <w:footnote w:type="continuationSeparator" w:id="0">
    <w:p w:rsidR="00784E9D" w:rsidRDefault="00784E9D" w:rsidP="00F10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C3" w:rsidRDefault="00704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C3" w:rsidRDefault="00704D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C3" w:rsidRDefault="00704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76799"/>
    <w:multiLevelType w:val="hybridMultilevel"/>
    <w:tmpl w:val="A4AE1F48"/>
    <w:lvl w:ilvl="0" w:tplc="5ACCA98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963823"/>
    <w:multiLevelType w:val="hybridMultilevel"/>
    <w:tmpl w:val="D13EEE6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9"/>
  </w:num>
  <w:num w:numId="5">
    <w:abstractNumId w:val="10"/>
  </w:num>
  <w:num w:numId="6">
    <w:abstractNumId w:val="1"/>
  </w:num>
  <w:num w:numId="7">
    <w:abstractNumId w:val="7"/>
  </w:num>
  <w:num w:numId="8">
    <w:abstractNumId w:val="8"/>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0585C"/>
    <w:rsid w:val="00022B16"/>
    <w:rsid w:val="000748F3"/>
    <w:rsid w:val="000A1A69"/>
    <w:rsid w:val="00194AC7"/>
    <w:rsid w:val="001E640B"/>
    <w:rsid w:val="00232478"/>
    <w:rsid w:val="005001B4"/>
    <w:rsid w:val="00513046"/>
    <w:rsid w:val="005F1389"/>
    <w:rsid w:val="00612471"/>
    <w:rsid w:val="00627F0C"/>
    <w:rsid w:val="00667281"/>
    <w:rsid w:val="00704DC3"/>
    <w:rsid w:val="0072003E"/>
    <w:rsid w:val="00784E9D"/>
    <w:rsid w:val="008E5145"/>
    <w:rsid w:val="00A0585C"/>
    <w:rsid w:val="00A865F8"/>
    <w:rsid w:val="00A90DB7"/>
    <w:rsid w:val="00B30B9A"/>
    <w:rsid w:val="00B430A0"/>
    <w:rsid w:val="00B91007"/>
    <w:rsid w:val="00BA52F5"/>
    <w:rsid w:val="00BB241F"/>
    <w:rsid w:val="00C41B1B"/>
    <w:rsid w:val="00CD4E55"/>
    <w:rsid w:val="00D47F13"/>
    <w:rsid w:val="00DE4BAB"/>
    <w:rsid w:val="00E556F2"/>
    <w:rsid w:val="00EB7BC9"/>
    <w:rsid w:val="00F05F25"/>
    <w:rsid w:val="00F10CB2"/>
    <w:rsid w:val="00F15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BodyText">
    <w:name w:val="Body Text"/>
    <w:basedOn w:val="Normal"/>
    <w:link w:val="BodyTextChar"/>
    <w:uiPriority w:val="99"/>
    <w:semiHidden/>
    <w:unhideWhenUsed/>
    <w:rsid w:val="000748F3"/>
    <w:pPr>
      <w:spacing w:after="120"/>
    </w:pPr>
  </w:style>
  <w:style w:type="character" w:customStyle="1" w:styleId="BodyTextChar">
    <w:name w:val="Body Text Char"/>
    <w:basedOn w:val="DefaultParagraphFont"/>
    <w:link w:val="BodyText"/>
    <w:uiPriority w:val="99"/>
    <w:semiHidden/>
    <w:rsid w:val="000748F3"/>
    <w:rPr>
      <w:sz w:val="24"/>
      <w:lang w:eastAsia="en-US"/>
    </w:rPr>
  </w:style>
  <w:style w:type="paragraph" w:styleId="ListParagraph">
    <w:name w:val="List Paragraph"/>
    <w:basedOn w:val="Normal"/>
    <w:uiPriority w:val="1"/>
    <w:qFormat/>
    <w:rsid w:val="000748F3"/>
    <w:pPr>
      <w:widowControl w:val="0"/>
      <w:autoSpaceDE w:val="0"/>
      <w:autoSpaceDN w:val="0"/>
      <w:ind w:left="837" w:hanging="720"/>
      <w:jc w:val="both"/>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FB8F1F54.dotm</Template>
  <TotalTime>0</TotalTime>
  <Pages>4</Pages>
  <Words>1012</Words>
  <Characters>5638</Characters>
  <Application>Microsoft Office Word</Application>
  <DocSecurity>0</DocSecurity>
  <Lines>122</Lines>
  <Paragraphs>37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  </cp:lastModifiedBy>
  <cp:revision>5</cp:revision>
  <cp:lastPrinted>2004-04-05T00:37:00Z</cp:lastPrinted>
  <dcterms:created xsi:type="dcterms:W3CDTF">2018-12-20T04:02:00Z</dcterms:created>
  <dcterms:modified xsi:type="dcterms:W3CDTF">2018-12-20T23:55:00Z</dcterms:modified>
</cp:coreProperties>
</file>