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F10CB2" w:rsidRDefault="00125ACC">
      <w:pPr>
        <w:pStyle w:val="Billname"/>
        <w:spacing w:before="700"/>
      </w:pPr>
      <w:r>
        <w:t>Integrity Commission (</w:t>
      </w:r>
      <w:r w:rsidR="00B622B4">
        <w:t>Commissioner</w:t>
      </w:r>
      <w:r w:rsidR="00DE1B4E">
        <w:t xml:space="preserve"> S</w:t>
      </w:r>
      <w:r w:rsidR="00B622B4">
        <w:t xml:space="preserve">election </w:t>
      </w:r>
      <w:r w:rsidR="00DE1B4E">
        <w:t>C</w:t>
      </w:r>
      <w:r w:rsidR="00B622B4">
        <w:t xml:space="preserve">riteria and </w:t>
      </w:r>
      <w:r w:rsidR="00DE1B4E">
        <w:t>P</w:t>
      </w:r>
      <w:r w:rsidR="00B622B4">
        <w:t>rocess</w:t>
      </w:r>
      <w:r>
        <w:t>)</w:t>
      </w:r>
      <w:r w:rsidR="00B622B4">
        <w:t xml:space="preserve"> </w:t>
      </w:r>
      <w:r>
        <w:t>D</w:t>
      </w:r>
      <w:r w:rsidR="00B622B4">
        <w:t>etermination</w:t>
      </w:r>
      <w:r>
        <w:t xml:space="preserve"> 201</w:t>
      </w:r>
      <w:r w:rsidR="00497CF5">
        <w:t>9</w:t>
      </w:r>
    </w:p>
    <w:p w:rsidR="00F10CB2" w:rsidRDefault="00D7251C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</w:t>
      </w:r>
      <w:r w:rsidR="00B622B4">
        <w:rPr>
          <w:rFonts w:ascii="Arial" w:hAnsi="Arial" w:cs="Arial"/>
          <w:b/>
          <w:bCs/>
        </w:rPr>
        <w:t xml:space="preserve"> </w:t>
      </w:r>
      <w:r w:rsidR="00F10CB2">
        <w:rPr>
          <w:rFonts w:ascii="Arial" w:hAnsi="Arial" w:cs="Arial"/>
          <w:b/>
          <w:bCs/>
        </w:rPr>
        <w:t xml:space="preserve">instrument </w:t>
      </w:r>
      <w:r>
        <w:rPr>
          <w:rFonts w:ascii="Arial" w:hAnsi="Arial" w:cs="Arial"/>
          <w:b/>
          <w:bCs/>
        </w:rPr>
        <w:t>D</w:t>
      </w:r>
      <w:r w:rsidR="00F10CB2">
        <w:rPr>
          <w:rFonts w:ascii="Arial" w:hAnsi="Arial" w:cs="Arial"/>
          <w:b/>
          <w:bCs/>
        </w:rPr>
        <w:t>I</w:t>
      </w:r>
      <w:r w:rsidR="00F87C41">
        <w:rPr>
          <w:rFonts w:ascii="Arial" w:hAnsi="Arial" w:cs="Arial"/>
          <w:b/>
          <w:bCs/>
          <w:iCs/>
        </w:rPr>
        <w:t>201</w:t>
      </w:r>
      <w:r w:rsidR="00497CF5">
        <w:rPr>
          <w:rFonts w:ascii="Arial" w:hAnsi="Arial" w:cs="Arial"/>
          <w:b/>
          <w:bCs/>
          <w:iCs/>
        </w:rPr>
        <w:t>9</w:t>
      </w:r>
      <w:r w:rsidR="00F10CB2">
        <w:rPr>
          <w:rFonts w:ascii="Arial" w:hAnsi="Arial" w:cs="Arial"/>
          <w:b/>
          <w:bCs/>
        </w:rPr>
        <w:t>–</w:t>
      </w:r>
      <w:r w:rsidR="00D96767">
        <w:rPr>
          <w:rFonts w:ascii="Arial" w:hAnsi="Arial" w:cs="Arial"/>
          <w:b/>
          <w:bCs/>
        </w:rPr>
        <w:t>1</w:t>
      </w:r>
    </w:p>
    <w:p w:rsidR="00F10CB2" w:rsidRPr="00DE1B4E" w:rsidRDefault="00F87C41" w:rsidP="00CD4E55">
      <w:pPr>
        <w:pStyle w:val="madeunder"/>
        <w:spacing w:before="300" w:after="0"/>
      </w:pPr>
      <w:r w:rsidRPr="00DE1B4E">
        <w:t xml:space="preserve">made under </w:t>
      </w:r>
    </w:p>
    <w:p w:rsidR="00F10CB2" w:rsidRDefault="00B622B4" w:rsidP="00CD4E55">
      <w:pPr>
        <w:pStyle w:val="CoverActName"/>
        <w:spacing w:before="320" w:after="0"/>
        <w:rPr>
          <w:rFonts w:cs="Arial"/>
          <w:sz w:val="20"/>
        </w:rPr>
      </w:pPr>
      <w:r w:rsidRPr="00DE1B4E">
        <w:rPr>
          <w:rFonts w:cs="Arial"/>
          <w:sz w:val="20"/>
        </w:rPr>
        <w:t>Integrity Commission Ac</w:t>
      </w:r>
      <w:r w:rsidR="00F87C41" w:rsidRPr="00DE1B4E">
        <w:rPr>
          <w:rFonts w:cs="Arial"/>
          <w:sz w:val="20"/>
        </w:rPr>
        <w:t xml:space="preserve">t </w:t>
      </w:r>
      <w:r w:rsidRPr="00DE1B4E">
        <w:rPr>
          <w:rFonts w:cs="Arial"/>
          <w:sz w:val="20"/>
        </w:rPr>
        <w:t>2018</w:t>
      </w:r>
      <w:r w:rsidR="00F87C41">
        <w:rPr>
          <w:rFonts w:cs="Arial"/>
          <w:sz w:val="20"/>
        </w:rPr>
        <w:t>, s</w:t>
      </w:r>
      <w:r w:rsidR="00DE1B4E">
        <w:rPr>
          <w:rFonts w:cs="Arial"/>
          <w:sz w:val="20"/>
        </w:rPr>
        <w:t xml:space="preserve"> </w:t>
      </w:r>
      <w:r>
        <w:rPr>
          <w:rFonts w:cs="Arial"/>
          <w:sz w:val="20"/>
        </w:rPr>
        <w:t>27</w:t>
      </w:r>
      <w:r w:rsidR="00F87C41">
        <w:rPr>
          <w:rFonts w:cs="Arial"/>
          <w:sz w:val="20"/>
        </w:rPr>
        <w:t xml:space="preserve"> (</w:t>
      </w:r>
      <w:r w:rsidR="00DE1B4E" w:rsidRPr="00DE1B4E">
        <w:rPr>
          <w:rFonts w:cs="Arial"/>
          <w:sz w:val="20"/>
        </w:rPr>
        <w:t>Commissioner—</w:t>
      </w:r>
      <w:r w:rsidR="00DE1B4E">
        <w:rPr>
          <w:rFonts w:cs="Arial"/>
          <w:sz w:val="20"/>
        </w:rPr>
        <w:t>s</w:t>
      </w:r>
      <w:r>
        <w:rPr>
          <w:rFonts w:cs="Arial"/>
          <w:sz w:val="20"/>
        </w:rPr>
        <w:t>election criteria and process)</w:t>
      </w:r>
    </w:p>
    <w:p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:rsidR="00F10CB2" w:rsidRPr="005742C1" w:rsidRDefault="00F10CB2" w:rsidP="005742C1">
      <w:pPr>
        <w:pStyle w:val="Headinglevel3"/>
        <w:spacing w:before="60" w:after="60" w:line="240" w:lineRule="auto"/>
        <w:ind w:left="0"/>
        <w:rPr>
          <w:rFonts w:ascii="Arial" w:hAnsi="Arial"/>
          <w:b w:val="0"/>
          <w:bCs/>
          <w:sz w:val="24"/>
          <w:szCs w:val="24"/>
        </w:rPr>
      </w:pPr>
      <w:r w:rsidRPr="005742C1">
        <w:rPr>
          <w:sz w:val="24"/>
          <w:szCs w:val="24"/>
        </w:rPr>
        <w:t>1</w:t>
      </w:r>
      <w:r w:rsidRPr="005742C1">
        <w:rPr>
          <w:sz w:val="24"/>
          <w:szCs w:val="24"/>
        </w:rPr>
        <w:tab/>
        <w:t>Name of instrument</w:t>
      </w:r>
    </w:p>
    <w:p w:rsidR="00F10CB2" w:rsidRPr="005742C1" w:rsidRDefault="00F10CB2" w:rsidP="00D47F13">
      <w:pPr>
        <w:spacing w:before="140"/>
        <w:ind w:left="720"/>
        <w:rPr>
          <w:rFonts w:asciiTheme="minorHAnsi" w:hAnsiTheme="minorHAnsi"/>
        </w:rPr>
      </w:pPr>
      <w:r w:rsidRPr="005742C1">
        <w:rPr>
          <w:rFonts w:asciiTheme="minorHAnsi" w:hAnsiTheme="minorHAnsi"/>
        </w:rPr>
        <w:t xml:space="preserve">This instrument is the </w:t>
      </w:r>
      <w:r w:rsidR="00125ACC" w:rsidRPr="005742C1">
        <w:rPr>
          <w:rFonts w:asciiTheme="minorHAnsi" w:hAnsiTheme="minorHAnsi"/>
          <w:i/>
        </w:rPr>
        <w:t>Integrity Commission (</w:t>
      </w:r>
      <w:r w:rsidR="00B622B4" w:rsidRPr="005742C1">
        <w:rPr>
          <w:rFonts w:asciiTheme="minorHAnsi" w:hAnsiTheme="minorHAnsi"/>
          <w:i/>
        </w:rPr>
        <w:t>Commissioner</w:t>
      </w:r>
      <w:r w:rsidR="00DE1B4E" w:rsidRPr="005742C1">
        <w:rPr>
          <w:rFonts w:asciiTheme="minorHAnsi" w:hAnsiTheme="minorHAnsi"/>
          <w:i/>
        </w:rPr>
        <w:t xml:space="preserve"> S</w:t>
      </w:r>
      <w:r w:rsidR="00B622B4" w:rsidRPr="005742C1">
        <w:rPr>
          <w:rFonts w:asciiTheme="minorHAnsi" w:hAnsiTheme="minorHAnsi"/>
          <w:i/>
        </w:rPr>
        <w:t xml:space="preserve">election </w:t>
      </w:r>
      <w:r w:rsidR="00DE1B4E" w:rsidRPr="005742C1">
        <w:rPr>
          <w:rFonts w:asciiTheme="minorHAnsi" w:hAnsiTheme="minorHAnsi"/>
          <w:i/>
        </w:rPr>
        <w:t>C</w:t>
      </w:r>
      <w:r w:rsidR="00B622B4" w:rsidRPr="005742C1">
        <w:rPr>
          <w:rFonts w:asciiTheme="minorHAnsi" w:hAnsiTheme="minorHAnsi"/>
          <w:i/>
        </w:rPr>
        <w:t xml:space="preserve">riteria and </w:t>
      </w:r>
      <w:r w:rsidR="00DE1B4E" w:rsidRPr="005742C1">
        <w:rPr>
          <w:rFonts w:asciiTheme="minorHAnsi" w:hAnsiTheme="minorHAnsi"/>
          <w:i/>
        </w:rPr>
        <w:t>P</w:t>
      </w:r>
      <w:r w:rsidR="00B622B4" w:rsidRPr="005742C1">
        <w:rPr>
          <w:rFonts w:asciiTheme="minorHAnsi" w:hAnsiTheme="minorHAnsi"/>
          <w:i/>
        </w:rPr>
        <w:t>rocess</w:t>
      </w:r>
      <w:r w:rsidR="00125ACC" w:rsidRPr="005742C1">
        <w:rPr>
          <w:rFonts w:asciiTheme="minorHAnsi" w:hAnsiTheme="minorHAnsi"/>
          <w:i/>
        </w:rPr>
        <w:t>)</w:t>
      </w:r>
      <w:r w:rsidR="00B622B4" w:rsidRPr="005742C1">
        <w:rPr>
          <w:rFonts w:asciiTheme="minorHAnsi" w:hAnsiTheme="minorHAnsi"/>
          <w:i/>
        </w:rPr>
        <w:t xml:space="preserve"> </w:t>
      </w:r>
      <w:r w:rsidR="00125ACC" w:rsidRPr="005742C1">
        <w:rPr>
          <w:rFonts w:asciiTheme="minorHAnsi" w:hAnsiTheme="minorHAnsi"/>
          <w:i/>
        </w:rPr>
        <w:t>Determination 201</w:t>
      </w:r>
      <w:r w:rsidR="00DE1B4E" w:rsidRPr="005742C1">
        <w:rPr>
          <w:rFonts w:asciiTheme="minorHAnsi" w:hAnsiTheme="minorHAnsi"/>
          <w:i/>
        </w:rPr>
        <w:t>9</w:t>
      </w:r>
      <w:r w:rsidR="00694A1E" w:rsidRPr="005742C1">
        <w:rPr>
          <w:rFonts w:asciiTheme="minorHAnsi" w:hAnsiTheme="minorHAnsi"/>
        </w:rPr>
        <w:t>.</w:t>
      </w:r>
    </w:p>
    <w:p w:rsidR="00F10CB2" w:rsidRPr="005742C1" w:rsidRDefault="00F10CB2" w:rsidP="005742C1">
      <w:pPr>
        <w:pStyle w:val="Headinglevel3"/>
        <w:spacing w:before="300" w:after="0" w:line="240" w:lineRule="auto"/>
        <w:ind w:left="0"/>
        <w:rPr>
          <w:sz w:val="24"/>
          <w:szCs w:val="24"/>
        </w:rPr>
      </w:pPr>
      <w:r w:rsidRPr="005742C1">
        <w:rPr>
          <w:sz w:val="24"/>
          <w:szCs w:val="24"/>
        </w:rPr>
        <w:t>2</w:t>
      </w:r>
      <w:r w:rsidRPr="005742C1">
        <w:rPr>
          <w:sz w:val="24"/>
          <w:szCs w:val="24"/>
        </w:rPr>
        <w:tab/>
        <w:t xml:space="preserve">Commencement </w:t>
      </w:r>
    </w:p>
    <w:p w:rsidR="00DE1B4E" w:rsidRPr="005742C1" w:rsidRDefault="00DE1B4E" w:rsidP="00DE1B4E">
      <w:pPr>
        <w:pStyle w:val="IMain"/>
        <w:jc w:val="left"/>
        <w:rPr>
          <w:rFonts w:asciiTheme="minorHAnsi" w:hAnsiTheme="minorHAnsi"/>
        </w:rPr>
      </w:pPr>
      <w:r w:rsidRPr="005742C1">
        <w:rPr>
          <w:rFonts w:asciiTheme="minorHAnsi" w:hAnsiTheme="minorHAnsi"/>
        </w:rPr>
        <w:tab/>
        <w:t>(1)</w:t>
      </w:r>
      <w:r w:rsidRPr="005742C1">
        <w:rPr>
          <w:rFonts w:asciiTheme="minorHAnsi" w:hAnsiTheme="minorHAnsi"/>
        </w:rPr>
        <w:tab/>
        <w:t>This instrument commences on the day after its notification day.</w:t>
      </w:r>
    </w:p>
    <w:p w:rsidR="00DE1B4E" w:rsidRPr="005742C1" w:rsidRDefault="00DE1B4E" w:rsidP="00DE1B4E">
      <w:pPr>
        <w:pStyle w:val="IMain"/>
        <w:jc w:val="left"/>
        <w:rPr>
          <w:rFonts w:asciiTheme="minorHAnsi" w:hAnsiTheme="minorHAnsi"/>
        </w:rPr>
      </w:pPr>
      <w:r w:rsidRPr="005742C1">
        <w:rPr>
          <w:rFonts w:asciiTheme="minorHAnsi" w:hAnsiTheme="minorHAnsi"/>
        </w:rPr>
        <w:tab/>
        <w:t>(2)</w:t>
      </w:r>
      <w:r w:rsidRPr="005742C1">
        <w:rPr>
          <w:rFonts w:asciiTheme="minorHAnsi" w:hAnsiTheme="minorHAnsi"/>
        </w:rPr>
        <w:tab/>
        <w:t xml:space="preserve">The </w:t>
      </w:r>
      <w:r w:rsidRPr="005742C1">
        <w:rPr>
          <w:rFonts w:asciiTheme="minorHAnsi" w:hAnsiTheme="minorHAnsi"/>
          <w:i/>
        </w:rPr>
        <w:t>Legislation Act 2001</w:t>
      </w:r>
      <w:r w:rsidRPr="005742C1">
        <w:rPr>
          <w:rFonts w:asciiTheme="minorHAnsi" w:hAnsiTheme="minorHAnsi"/>
        </w:rPr>
        <w:t>, section 81 (6) applies to this instrument.</w:t>
      </w:r>
    </w:p>
    <w:p w:rsidR="00DE1B4E" w:rsidRPr="005742C1" w:rsidRDefault="00DE1B4E" w:rsidP="00DE1B4E">
      <w:pPr>
        <w:pStyle w:val="aNote"/>
        <w:jc w:val="left"/>
        <w:rPr>
          <w:rStyle w:val="charItals"/>
          <w:rFonts w:asciiTheme="minorHAnsi" w:hAnsiTheme="minorHAnsi"/>
        </w:rPr>
      </w:pPr>
      <w:r w:rsidRPr="005742C1">
        <w:rPr>
          <w:rStyle w:val="charItals"/>
          <w:rFonts w:asciiTheme="minorHAnsi" w:hAnsiTheme="minorHAnsi"/>
        </w:rPr>
        <w:t xml:space="preserve">Note: </w:t>
      </w:r>
      <w:r w:rsidRPr="005742C1">
        <w:rPr>
          <w:rStyle w:val="charItals"/>
          <w:rFonts w:asciiTheme="minorHAnsi" w:hAnsiTheme="minorHAnsi"/>
        </w:rPr>
        <w:tab/>
        <w:t>The Legislation Act 2001, s 81 provides for the exercise of a power given by a law if the law, or amending law, has been notified but has not yet commenced.</w:t>
      </w:r>
    </w:p>
    <w:p w:rsidR="00F10CB2" w:rsidRPr="005742C1" w:rsidRDefault="00F10CB2" w:rsidP="005742C1">
      <w:pPr>
        <w:pStyle w:val="Headinglevel3"/>
        <w:spacing w:before="300" w:after="0" w:line="240" w:lineRule="auto"/>
        <w:ind w:left="0"/>
        <w:rPr>
          <w:sz w:val="24"/>
          <w:szCs w:val="24"/>
        </w:rPr>
      </w:pPr>
      <w:r w:rsidRPr="005742C1">
        <w:rPr>
          <w:sz w:val="24"/>
          <w:szCs w:val="24"/>
        </w:rPr>
        <w:t>3</w:t>
      </w:r>
      <w:r w:rsidRPr="005742C1">
        <w:rPr>
          <w:sz w:val="24"/>
          <w:szCs w:val="24"/>
        </w:rPr>
        <w:tab/>
      </w:r>
      <w:r w:rsidR="00B622B4" w:rsidRPr="005742C1">
        <w:rPr>
          <w:sz w:val="24"/>
          <w:szCs w:val="24"/>
        </w:rPr>
        <w:t>Determination</w:t>
      </w:r>
    </w:p>
    <w:p w:rsidR="000F4B8F" w:rsidRPr="005742C1" w:rsidRDefault="00DE1B4E" w:rsidP="00D47F13">
      <w:pPr>
        <w:spacing w:before="140"/>
        <w:ind w:left="720"/>
        <w:rPr>
          <w:rFonts w:asciiTheme="minorHAnsi" w:hAnsiTheme="minorHAnsi"/>
        </w:rPr>
      </w:pPr>
      <w:r w:rsidRPr="005742C1">
        <w:rPr>
          <w:rFonts w:asciiTheme="minorHAnsi" w:hAnsiTheme="minorHAnsi"/>
        </w:rPr>
        <w:t>I</w:t>
      </w:r>
      <w:r w:rsidR="00B622B4" w:rsidRPr="005742C1">
        <w:rPr>
          <w:rFonts w:asciiTheme="minorHAnsi" w:hAnsiTheme="minorHAnsi"/>
        </w:rPr>
        <w:t xml:space="preserve"> determine </w:t>
      </w:r>
      <w:r w:rsidR="005742C1" w:rsidRPr="005742C1">
        <w:rPr>
          <w:rFonts w:asciiTheme="minorHAnsi" w:hAnsiTheme="minorHAnsi"/>
        </w:rPr>
        <w:t xml:space="preserve">that </w:t>
      </w:r>
      <w:r w:rsidR="00B622B4" w:rsidRPr="005742C1">
        <w:rPr>
          <w:rFonts w:asciiTheme="minorHAnsi" w:hAnsiTheme="minorHAnsi"/>
        </w:rPr>
        <w:t xml:space="preserve">the selection process and </w:t>
      </w:r>
      <w:r w:rsidR="005742C1" w:rsidRPr="005742C1">
        <w:rPr>
          <w:rFonts w:asciiTheme="minorHAnsi" w:hAnsiTheme="minorHAnsi"/>
        </w:rPr>
        <w:t xml:space="preserve">selection </w:t>
      </w:r>
      <w:r w:rsidR="00B622B4" w:rsidRPr="005742C1">
        <w:rPr>
          <w:rFonts w:asciiTheme="minorHAnsi" w:hAnsiTheme="minorHAnsi"/>
        </w:rPr>
        <w:t xml:space="preserve">criteria </w:t>
      </w:r>
      <w:r w:rsidR="005742C1" w:rsidRPr="005742C1">
        <w:rPr>
          <w:rFonts w:asciiTheme="minorHAnsi" w:hAnsiTheme="minorHAnsi"/>
        </w:rPr>
        <w:t xml:space="preserve">in schedule 1 are the selection process and criteria that </w:t>
      </w:r>
      <w:r w:rsidR="00B622B4" w:rsidRPr="005742C1">
        <w:rPr>
          <w:rFonts w:asciiTheme="minorHAnsi" w:hAnsiTheme="minorHAnsi"/>
        </w:rPr>
        <w:t>appl</w:t>
      </w:r>
      <w:r w:rsidR="005742C1" w:rsidRPr="005742C1">
        <w:rPr>
          <w:rFonts w:asciiTheme="minorHAnsi" w:hAnsiTheme="minorHAnsi"/>
        </w:rPr>
        <w:t>y</w:t>
      </w:r>
      <w:r w:rsidR="00B622B4" w:rsidRPr="005742C1">
        <w:rPr>
          <w:rFonts w:asciiTheme="minorHAnsi" w:hAnsiTheme="minorHAnsi"/>
        </w:rPr>
        <w:t xml:space="preserve"> to the appointment of the Integrity Commissioner.</w:t>
      </w:r>
    </w:p>
    <w:p w:rsidR="00D47F13" w:rsidRPr="005742C1" w:rsidRDefault="002C4829" w:rsidP="00232478">
      <w:pPr>
        <w:tabs>
          <w:tab w:val="left" w:pos="4320"/>
        </w:tabs>
        <w:spacing w:before="720"/>
        <w:rPr>
          <w:rFonts w:asciiTheme="minorHAnsi" w:hAnsiTheme="minorHAnsi"/>
        </w:rPr>
      </w:pPr>
      <w:r w:rsidRPr="005742C1">
        <w:rPr>
          <w:rFonts w:asciiTheme="minorHAnsi" w:hAnsiTheme="minorHAnsi"/>
        </w:rPr>
        <w:t>Joy Burch MLA</w:t>
      </w:r>
    </w:p>
    <w:p w:rsidR="002C4829" w:rsidRPr="005742C1" w:rsidRDefault="002C4829" w:rsidP="00D47F13">
      <w:pPr>
        <w:tabs>
          <w:tab w:val="left" w:pos="4320"/>
        </w:tabs>
        <w:rPr>
          <w:rFonts w:asciiTheme="minorHAnsi" w:hAnsiTheme="minorHAnsi"/>
        </w:rPr>
      </w:pPr>
      <w:r w:rsidRPr="005742C1">
        <w:rPr>
          <w:rFonts w:asciiTheme="minorHAnsi" w:hAnsiTheme="minorHAnsi"/>
        </w:rPr>
        <w:t>Speaker</w:t>
      </w:r>
    </w:p>
    <w:p w:rsidR="00F10CB2" w:rsidRPr="005742C1" w:rsidRDefault="002C4829" w:rsidP="00D47F13">
      <w:pPr>
        <w:tabs>
          <w:tab w:val="left" w:pos="4320"/>
        </w:tabs>
        <w:rPr>
          <w:rFonts w:asciiTheme="minorHAnsi" w:hAnsiTheme="minorHAnsi"/>
        </w:rPr>
      </w:pPr>
      <w:r w:rsidRPr="005742C1">
        <w:rPr>
          <w:rFonts w:asciiTheme="minorHAnsi" w:hAnsiTheme="minorHAnsi"/>
        </w:rPr>
        <w:t>Legislative Assembly for the ACT</w:t>
      </w:r>
    </w:p>
    <w:bookmarkEnd w:id="0"/>
    <w:p w:rsidR="00F10CB2" w:rsidRPr="005742C1" w:rsidRDefault="0078385D" w:rsidP="00232478">
      <w:pPr>
        <w:tabs>
          <w:tab w:val="left" w:pos="4320"/>
        </w:tabs>
        <w:rPr>
          <w:rFonts w:asciiTheme="minorHAnsi" w:hAnsiTheme="minorHAnsi"/>
        </w:rPr>
      </w:pPr>
      <w:r>
        <w:rPr>
          <w:rFonts w:asciiTheme="minorHAnsi" w:hAnsiTheme="minorHAnsi"/>
        </w:rPr>
        <w:t>14 January 2019</w:t>
      </w:r>
    </w:p>
    <w:p w:rsidR="00B622B4" w:rsidRPr="005742C1" w:rsidRDefault="00B622B4" w:rsidP="00232478">
      <w:pPr>
        <w:tabs>
          <w:tab w:val="left" w:pos="4320"/>
        </w:tabs>
        <w:rPr>
          <w:rFonts w:asciiTheme="minorHAnsi" w:hAnsiTheme="minorHAnsi"/>
        </w:rPr>
      </w:pPr>
    </w:p>
    <w:p w:rsidR="00B622B4" w:rsidRPr="005742C1" w:rsidRDefault="00B622B4">
      <w:pPr>
        <w:rPr>
          <w:rFonts w:asciiTheme="minorHAnsi" w:hAnsiTheme="minorHAnsi"/>
        </w:rPr>
      </w:pPr>
      <w:r w:rsidRPr="005742C1">
        <w:rPr>
          <w:rFonts w:asciiTheme="minorHAnsi" w:hAnsiTheme="minorHAnsi"/>
        </w:rPr>
        <w:br w:type="page"/>
      </w:r>
    </w:p>
    <w:p w:rsidR="00B70935" w:rsidRDefault="00B70935" w:rsidP="00B70935">
      <w:pPr>
        <w:keepNext/>
        <w:pageBreakBefore/>
        <w:pBdr>
          <w:bottom w:val="single" w:sz="8" w:space="1" w:color="auto"/>
        </w:pBdr>
        <w:tabs>
          <w:tab w:val="left" w:pos="2880"/>
        </w:tabs>
        <w:spacing w:before="480" w:after="120"/>
        <w:outlineLvl w:val="0"/>
        <w:rPr>
          <w:rFonts w:ascii="Arial" w:hAnsi="Arial"/>
          <w:b/>
          <w:kern w:val="28"/>
          <w:sz w:val="36"/>
        </w:rPr>
      </w:pPr>
      <w:r>
        <w:rPr>
          <w:rFonts w:ascii="Arial" w:hAnsi="Arial"/>
          <w:b/>
          <w:kern w:val="28"/>
          <w:sz w:val="36"/>
        </w:rPr>
        <w:lastRenderedPageBreak/>
        <w:t>Schedule 1</w:t>
      </w:r>
    </w:p>
    <w:p w:rsidR="00B70935" w:rsidRDefault="00B70935" w:rsidP="00B70935">
      <w:pPr>
        <w:pStyle w:val="Headinglevel3"/>
        <w:ind w:left="0"/>
      </w:pPr>
      <w:r>
        <w:t>Selection process</w:t>
      </w:r>
    </w:p>
    <w:p w:rsidR="00D7251C" w:rsidRDefault="00D7251C" w:rsidP="00B70935">
      <w:pPr>
        <w:rPr>
          <w:rFonts w:ascii="Calibri" w:hAnsi="Calibri"/>
        </w:rPr>
      </w:pPr>
      <w:r>
        <w:rPr>
          <w:rFonts w:ascii="Calibri" w:hAnsi="Calibri"/>
        </w:rPr>
        <w:t xml:space="preserve">The selection process for the position of Integrity Commissioner must be open, accountable and competitive. </w:t>
      </w:r>
    </w:p>
    <w:p w:rsidR="00D7251C" w:rsidRDefault="00D7251C" w:rsidP="00B70935">
      <w:pPr>
        <w:rPr>
          <w:rFonts w:ascii="Calibri" w:hAnsi="Calibri"/>
        </w:rPr>
      </w:pPr>
    </w:p>
    <w:p w:rsidR="00B70935" w:rsidRDefault="00B70935" w:rsidP="00B70935">
      <w:pPr>
        <w:rPr>
          <w:rFonts w:ascii="Calibri" w:hAnsi="Calibri"/>
        </w:rPr>
      </w:pPr>
      <w:r>
        <w:rPr>
          <w:rFonts w:ascii="Calibri" w:hAnsi="Calibri"/>
        </w:rPr>
        <w:t>The Speaker must seek expressions of interest</w:t>
      </w:r>
      <w:r w:rsidR="00D7251C">
        <w:rPr>
          <w:rFonts w:ascii="Calibri" w:hAnsi="Calibri"/>
        </w:rPr>
        <w:t xml:space="preserve"> from eligible persons </w:t>
      </w:r>
      <w:r>
        <w:rPr>
          <w:rFonts w:ascii="Calibri" w:hAnsi="Calibri"/>
        </w:rPr>
        <w:t>through public advertising</w:t>
      </w:r>
      <w:r w:rsidR="00D7251C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D7251C">
        <w:rPr>
          <w:rFonts w:ascii="Calibri" w:hAnsi="Calibri"/>
        </w:rPr>
        <w:t xml:space="preserve"> </w:t>
      </w:r>
    </w:p>
    <w:p w:rsidR="00B70935" w:rsidRDefault="00B70935" w:rsidP="00B70935">
      <w:pPr>
        <w:rPr>
          <w:rFonts w:ascii="Calibri" w:hAnsi="Calibri"/>
        </w:rPr>
      </w:pPr>
    </w:p>
    <w:p w:rsidR="00B70935" w:rsidRDefault="00B70935" w:rsidP="00B70935">
      <w:pPr>
        <w:rPr>
          <w:rFonts w:ascii="Calibri" w:hAnsi="Calibri"/>
        </w:rPr>
      </w:pPr>
      <w:r>
        <w:rPr>
          <w:rFonts w:ascii="Calibri" w:hAnsi="Calibri"/>
        </w:rPr>
        <w:t>The Speaker must appoint an appointment advisory panel</w:t>
      </w:r>
      <w:r w:rsidR="00387524">
        <w:rPr>
          <w:rFonts w:ascii="Calibri" w:hAnsi="Calibri"/>
        </w:rPr>
        <w:t xml:space="preserve"> (the panel)</w:t>
      </w:r>
      <w:r>
        <w:rPr>
          <w:rFonts w:ascii="Calibri" w:hAnsi="Calibri"/>
        </w:rPr>
        <w:t xml:space="preserve"> to evaluate the suitability and eligibility of persons who have lodged an expression of interest (applicants). The </w:t>
      </w:r>
      <w:r w:rsidR="008471D5">
        <w:rPr>
          <w:rFonts w:ascii="Calibri" w:hAnsi="Calibri"/>
        </w:rPr>
        <w:t>panel must</w:t>
      </w:r>
      <w:r>
        <w:rPr>
          <w:rFonts w:ascii="Calibri" w:hAnsi="Calibri"/>
        </w:rPr>
        <w:t xml:space="preserve"> include, but not be limited to:</w:t>
      </w:r>
    </w:p>
    <w:p w:rsidR="00B70935" w:rsidRDefault="00B70935" w:rsidP="00B70935">
      <w:pPr>
        <w:rPr>
          <w:rFonts w:ascii="Calibri" w:hAnsi="Calibri"/>
        </w:rPr>
      </w:pPr>
    </w:p>
    <w:p w:rsidR="00B70935" w:rsidRDefault="00B70935" w:rsidP="00B70935">
      <w:pPr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an esteemed representative of the Australian legal community (for example, a retired judge or justice, or an eminent Senior Counsel or Queen’s Counsel);</w:t>
      </w:r>
    </w:p>
    <w:p w:rsidR="00B70935" w:rsidRDefault="00B70935" w:rsidP="00B70935">
      <w:pPr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a current or former member of an anti-corruption/integrity body from another state/territory or the Commonwealth;</w:t>
      </w:r>
    </w:p>
    <w:p w:rsidR="00B70935" w:rsidRDefault="00B70935" w:rsidP="00B70935">
      <w:pPr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a current or former statutory office holder from another state/territory or the Commonwealth); and</w:t>
      </w:r>
    </w:p>
    <w:p w:rsidR="00B70935" w:rsidRDefault="00B70935" w:rsidP="00B70935">
      <w:pPr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one male and one female member.</w:t>
      </w:r>
    </w:p>
    <w:p w:rsidR="00B70935" w:rsidRDefault="00B70935" w:rsidP="00B70935">
      <w:pPr>
        <w:rPr>
          <w:rFonts w:ascii="Calibri" w:hAnsi="Calibri"/>
        </w:rPr>
      </w:pPr>
    </w:p>
    <w:p w:rsidR="00B70935" w:rsidRDefault="00B70935" w:rsidP="00B70935">
      <w:pPr>
        <w:rPr>
          <w:rFonts w:ascii="Calibri" w:hAnsi="Calibri"/>
        </w:rPr>
      </w:pPr>
      <w:r>
        <w:rPr>
          <w:rFonts w:ascii="Calibri" w:hAnsi="Calibri"/>
        </w:rPr>
        <w:t>The suitability of applicants must be evaluated by the panel on the basis of the selection criteria set out in this determination and other requirements as provided for in the</w:t>
      </w:r>
      <w:r>
        <w:rPr>
          <w:rFonts w:ascii="Calibri" w:hAnsi="Calibri"/>
          <w:i/>
        </w:rPr>
        <w:t xml:space="preserve"> Integrity Commission Act 2018 </w:t>
      </w:r>
      <w:r>
        <w:rPr>
          <w:rFonts w:ascii="Calibri" w:hAnsi="Calibri"/>
        </w:rPr>
        <w:t xml:space="preserve">(the Act).  </w:t>
      </w:r>
    </w:p>
    <w:p w:rsidR="00B70935" w:rsidRDefault="00B70935" w:rsidP="00B70935">
      <w:pPr>
        <w:rPr>
          <w:rFonts w:ascii="Calibri" w:hAnsi="Calibri"/>
        </w:rPr>
      </w:pPr>
    </w:p>
    <w:p w:rsidR="00B70935" w:rsidRDefault="00B70935" w:rsidP="00B70935">
      <w:pPr>
        <w:rPr>
          <w:rFonts w:ascii="Calibri" w:hAnsi="Calibri"/>
        </w:rPr>
      </w:pPr>
      <w:r>
        <w:rPr>
          <w:rFonts w:ascii="Calibri" w:hAnsi="Calibri"/>
        </w:rPr>
        <w:t>The panel must not consider a person for appointment who does not satisfy the eligibility criteria set out in section 26 of the Act.</w:t>
      </w:r>
    </w:p>
    <w:p w:rsidR="00B70935" w:rsidRDefault="00B70935" w:rsidP="00B70935">
      <w:pPr>
        <w:rPr>
          <w:rFonts w:ascii="Calibri" w:hAnsi="Calibri"/>
        </w:rPr>
      </w:pPr>
    </w:p>
    <w:p w:rsidR="00B70935" w:rsidRDefault="00B70935" w:rsidP="00B70935">
      <w:pPr>
        <w:rPr>
          <w:rFonts w:ascii="Calibri" w:hAnsi="Calibri"/>
        </w:rPr>
      </w:pPr>
      <w:r>
        <w:rPr>
          <w:rFonts w:ascii="Calibri" w:hAnsi="Calibri"/>
        </w:rPr>
        <w:t>The panel must consider applicants who are former judges or justices first and only if there is no suitable applicant from that cohort may it consider applicants who have been a lawyer for at least 10 years but who have not been a judge or a justice.</w:t>
      </w:r>
    </w:p>
    <w:p w:rsidR="00B70935" w:rsidRDefault="00B70935" w:rsidP="00B70935">
      <w:pPr>
        <w:rPr>
          <w:rFonts w:ascii="Calibri" w:hAnsi="Calibri"/>
        </w:rPr>
      </w:pPr>
    </w:p>
    <w:p w:rsidR="00B70935" w:rsidRDefault="00B70935" w:rsidP="00B70935">
      <w:pPr>
        <w:rPr>
          <w:rFonts w:ascii="Calibri" w:hAnsi="Calibri"/>
        </w:rPr>
      </w:pPr>
      <w:r>
        <w:rPr>
          <w:rFonts w:ascii="Calibri" w:hAnsi="Calibri"/>
        </w:rPr>
        <w:t xml:space="preserve">The panel must make a recommendation to the Speaker as to the person it considers is most suitable for the position. It is open to the panel to prepare an order of merit. </w:t>
      </w:r>
    </w:p>
    <w:p w:rsidR="00B70935" w:rsidRDefault="00B70935" w:rsidP="00B70935">
      <w:pPr>
        <w:rPr>
          <w:rFonts w:ascii="Calibri" w:hAnsi="Calibri"/>
        </w:rPr>
      </w:pPr>
    </w:p>
    <w:p w:rsidR="00B70935" w:rsidRDefault="00B70935" w:rsidP="00B70935">
      <w:pPr>
        <w:rPr>
          <w:rFonts w:ascii="Calibri" w:hAnsi="Calibri"/>
        </w:rPr>
      </w:pPr>
      <w:r>
        <w:rPr>
          <w:rFonts w:ascii="Calibri" w:hAnsi="Calibri"/>
        </w:rPr>
        <w:t>The Speaker must consider the recommendation of the panel.</w:t>
      </w:r>
    </w:p>
    <w:p w:rsidR="00D7251C" w:rsidRDefault="00D7251C" w:rsidP="00B70935">
      <w:pPr>
        <w:rPr>
          <w:rFonts w:ascii="Calibri" w:hAnsi="Calibri"/>
        </w:rPr>
      </w:pPr>
    </w:p>
    <w:p w:rsidR="00077FC3" w:rsidRDefault="00077FC3" w:rsidP="00077FC3">
      <w:pPr>
        <w:rPr>
          <w:rFonts w:ascii="Calibri" w:hAnsi="Calibri"/>
        </w:rPr>
      </w:pPr>
      <w:r>
        <w:rPr>
          <w:rFonts w:ascii="Calibri" w:hAnsi="Calibri"/>
        </w:rPr>
        <w:t xml:space="preserve">The Speaker must make the appointment in consultation with: the Chief Minister; the Leader of the Opposition; the leader of a registered political party (other than the party to which the Chief Minister or Leader of the Opposition belongs) if at least </w:t>
      </w:r>
      <w:r w:rsidR="00387524">
        <w:rPr>
          <w:rFonts w:ascii="Calibri" w:hAnsi="Calibri"/>
        </w:rPr>
        <w:t>two</w:t>
      </w:r>
      <w:r>
        <w:rPr>
          <w:rFonts w:ascii="Calibri" w:hAnsi="Calibri"/>
        </w:rPr>
        <w:t xml:space="preserve"> members of the Legislative Assembly are members of the party; and the Standing Committee on the Integrity Commission.  </w:t>
      </w:r>
    </w:p>
    <w:p w:rsidR="00077FC3" w:rsidRDefault="00077FC3" w:rsidP="00077FC3">
      <w:pPr>
        <w:rPr>
          <w:rFonts w:ascii="Calibri" w:hAnsi="Calibri"/>
        </w:rPr>
      </w:pPr>
    </w:p>
    <w:p w:rsidR="00D55446" w:rsidRDefault="00D55446" w:rsidP="00077FC3">
      <w:pPr>
        <w:rPr>
          <w:rFonts w:ascii="Calibri" w:hAnsi="Calibri"/>
        </w:rPr>
      </w:pPr>
      <w:r>
        <w:rPr>
          <w:rFonts w:ascii="Calibri" w:hAnsi="Calibri"/>
        </w:rPr>
        <w:t xml:space="preserve">The Speaker must not appoint a person as Integrity Commissioner unless satisfied that the person has extensive knowledge of, and experience in: i) criminal </w:t>
      </w:r>
      <w:r>
        <w:rPr>
          <w:rFonts w:ascii="Calibri" w:hAnsi="Calibri"/>
        </w:rPr>
        <w:lastRenderedPageBreak/>
        <w:t xml:space="preserve">investigation or criminal adjudication; or ii) law enforcement or the conduct of investigations; or iii) public administration, governance or government. </w:t>
      </w:r>
    </w:p>
    <w:p w:rsidR="00D55446" w:rsidRDefault="00D55446" w:rsidP="00077FC3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D55446" w:rsidRDefault="00D55446" w:rsidP="00077FC3">
      <w:pPr>
        <w:rPr>
          <w:rFonts w:ascii="Calibri" w:hAnsi="Calibri"/>
        </w:rPr>
      </w:pPr>
      <w:r>
        <w:rPr>
          <w:rFonts w:ascii="Calibri" w:hAnsi="Calibri"/>
        </w:rPr>
        <w:t>T</w:t>
      </w:r>
      <w:r w:rsidR="00077FC3">
        <w:rPr>
          <w:rFonts w:ascii="Calibri" w:hAnsi="Calibri"/>
        </w:rPr>
        <w:t xml:space="preserve">he Speaker must not make an appointment unless the Legislative Assembly has approved the appointment, by resolution passed by a majority of at least 2/3 of the members. </w:t>
      </w:r>
    </w:p>
    <w:p w:rsidR="00D85AA3" w:rsidRDefault="00D85AA3" w:rsidP="00077FC3">
      <w:pPr>
        <w:rPr>
          <w:rFonts w:ascii="Calibri" w:hAnsi="Calibri"/>
        </w:rPr>
      </w:pPr>
    </w:p>
    <w:p w:rsidR="00D55446" w:rsidRDefault="00D55446" w:rsidP="00077FC3">
      <w:pPr>
        <w:rPr>
          <w:rFonts w:ascii="Calibri" w:hAnsi="Calibri"/>
        </w:rPr>
      </w:pPr>
      <w:r>
        <w:rPr>
          <w:rFonts w:ascii="Calibri" w:hAnsi="Calibri"/>
        </w:rPr>
        <w:t>Before a person is appointed as Commissioner, the person must take an oath of office, or make an affirmation o</w:t>
      </w:r>
      <w:r w:rsidR="00387524">
        <w:rPr>
          <w:rFonts w:ascii="Calibri" w:hAnsi="Calibri"/>
        </w:rPr>
        <w:t>f</w:t>
      </w:r>
      <w:r>
        <w:rPr>
          <w:rFonts w:ascii="Calibri" w:hAnsi="Calibri"/>
        </w:rPr>
        <w:t xml:space="preserve"> office, before the Speaker. </w:t>
      </w:r>
    </w:p>
    <w:p w:rsidR="00B70935" w:rsidRDefault="00B70935" w:rsidP="00B70935">
      <w:pPr>
        <w:pStyle w:val="Headinglevel3"/>
        <w:ind w:left="0"/>
      </w:pPr>
      <w:r>
        <w:t>Selection criteria</w:t>
      </w:r>
    </w:p>
    <w:p w:rsidR="00B70935" w:rsidRDefault="00B70935" w:rsidP="00B70935">
      <w:pPr>
        <w:outlineLvl w:val="2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Intellectual capacity </w:t>
      </w:r>
    </w:p>
    <w:p w:rsidR="00B70935" w:rsidRDefault="00B70935" w:rsidP="00FD7F56">
      <w:pPr>
        <w:pStyle w:val="dotpoints2"/>
      </w:pPr>
      <w:r>
        <w:t>Extensive knowledge of, and experience in, criminal investigation or criminal adjudication; or law enforcement or the conduct of investigations; or public administration, governance or government</w:t>
      </w:r>
    </w:p>
    <w:p w:rsidR="00B70935" w:rsidRDefault="00B70935" w:rsidP="00FD7F56">
      <w:pPr>
        <w:pStyle w:val="dotpoints2"/>
      </w:pPr>
      <w:r>
        <w:t>Extensive knowledge of the law, its application and underlying principles, and the ability to acquire new knowledge</w:t>
      </w:r>
    </w:p>
    <w:p w:rsidR="00B70935" w:rsidRDefault="00B70935" w:rsidP="00FD7F56">
      <w:pPr>
        <w:pStyle w:val="dotpoints2"/>
      </w:pPr>
      <w:r>
        <w:t xml:space="preserve">Ability to quickly absorb and analyse information </w:t>
      </w:r>
    </w:p>
    <w:p w:rsidR="00B70935" w:rsidRDefault="00B70935" w:rsidP="00B70935">
      <w:pPr>
        <w:rPr>
          <w:rFonts w:ascii="Calibri" w:hAnsi="Calibri"/>
        </w:rPr>
      </w:pPr>
    </w:p>
    <w:p w:rsidR="00B70935" w:rsidRDefault="00B70935" w:rsidP="00B70935">
      <w:pPr>
        <w:outlineLvl w:val="2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Personal qualities </w:t>
      </w:r>
    </w:p>
    <w:p w:rsidR="00B70935" w:rsidRDefault="00B70935" w:rsidP="00FD7F56">
      <w:pPr>
        <w:pStyle w:val="dotpoints2"/>
      </w:pPr>
      <w:r>
        <w:t xml:space="preserve">Integrity and independence of mind </w:t>
      </w:r>
    </w:p>
    <w:p w:rsidR="00B70935" w:rsidRDefault="00B70935" w:rsidP="00FD7F56">
      <w:pPr>
        <w:pStyle w:val="dotpoints2"/>
      </w:pPr>
      <w:r>
        <w:t xml:space="preserve">Sound judgement </w:t>
      </w:r>
    </w:p>
    <w:p w:rsidR="00B70935" w:rsidRDefault="00B70935" w:rsidP="00FD7F56">
      <w:pPr>
        <w:pStyle w:val="dotpoints2"/>
      </w:pPr>
      <w:r>
        <w:t xml:space="preserve">Decisiveness </w:t>
      </w:r>
    </w:p>
    <w:p w:rsidR="00B70935" w:rsidRDefault="00B70935" w:rsidP="00FD7F56">
      <w:pPr>
        <w:pStyle w:val="dotpoints2"/>
      </w:pPr>
      <w:r>
        <w:t xml:space="preserve">Objectivity </w:t>
      </w:r>
    </w:p>
    <w:p w:rsidR="00B70935" w:rsidRDefault="00B70935" w:rsidP="00FD7F56">
      <w:pPr>
        <w:pStyle w:val="dotpoints2"/>
      </w:pPr>
      <w:r>
        <w:t xml:space="preserve">Diligence </w:t>
      </w:r>
    </w:p>
    <w:p w:rsidR="00B70935" w:rsidRDefault="00B70935" w:rsidP="00FD7F56">
      <w:pPr>
        <w:pStyle w:val="dotpoints2"/>
      </w:pPr>
      <w:r>
        <w:t>Sound temperament</w:t>
      </w:r>
    </w:p>
    <w:p w:rsidR="00B70935" w:rsidRDefault="00B70935" w:rsidP="00FD7F56">
      <w:pPr>
        <w:pStyle w:val="dotpoints2"/>
      </w:pPr>
      <w:r>
        <w:t xml:space="preserve">Ability and willingness to learn, develop professionally and adapt to change </w:t>
      </w:r>
    </w:p>
    <w:p w:rsidR="00B70935" w:rsidRDefault="00B70935" w:rsidP="00B70935">
      <w:pPr>
        <w:ind w:left="1146"/>
        <w:rPr>
          <w:rFonts w:ascii="Calibri" w:hAnsi="Calibri"/>
        </w:rPr>
      </w:pPr>
    </w:p>
    <w:p w:rsidR="00B70935" w:rsidRDefault="00B70935" w:rsidP="00B70935">
      <w:pPr>
        <w:outlineLvl w:val="2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An ability to understand and deal fairly</w:t>
      </w:r>
    </w:p>
    <w:p w:rsidR="00F57936" w:rsidRDefault="00077FC3" w:rsidP="00FD7F56">
      <w:pPr>
        <w:pStyle w:val="dotpoints2"/>
      </w:pPr>
      <w:r>
        <w:t>Commitment to respect users of the Commission</w:t>
      </w:r>
    </w:p>
    <w:p w:rsidR="00B70935" w:rsidRDefault="00B70935" w:rsidP="00FD7F56">
      <w:pPr>
        <w:pStyle w:val="dotpoints2"/>
      </w:pPr>
      <w:r>
        <w:t xml:space="preserve">Impartiality </w:t>
      </w:r>
    </w:p>
    <w:p w:rsidR="00B70935" w:rsidRDefault="00B70935" w:rsidP="00FD7F56">
      <w:pPr>
        <w:pStyle w:val="dotpoints2"/>
      </w:pPr>
      <w:r>
        <w:t>Commitment to justice, independence, public service and fair treatment</w:t>
      </w:r>
    </w:p>
    <w:p w:rsidR="00B70935" w:rsidRDefault="00B70935" w:rsidP="00B70935">
      <w:pPr>
        <w:ind w:left="1146"/>
        <w:rPr>
          <w:rFonts w:ascii="Calibri" w:hAnsi="Calibri"/>
        </w:rPr>
      </w:pPr>
    </w:p>
    <w:p w:rsidR="00B70935" w:rsidRDefault="00B70935" w:rsidP="00B70935">
      <w:pPr>
        <w:outlineLvl w:val="2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Authority and communication skills </w:t>
      </w:r>
    </w:p>
    <w:p w:rsidR="00B70935" w:rsidRDefault="00B70935" w:rsidP="00FD7F56">
      <w:pPr>
        <w:pStyle w:val="dotpoints2"/>
      </w:pPr>
      <w:r>
        <w:t>Ability to explain procedure and any findings</w:t>
      </w:r>
      <w:r w:rsidR="00FD7F56">
        <w:t>, o</w:t>
      </w:r>
      <w:r w:rsidR="00B5228E">
        <w:t>pinions and</w:t>
      </w:r>
      <w:r w:rsidR="00FD7F56">
        <w:t xml:space="preserve"> recommendations</w:t>
      </w:r>
      <w:r>
        <w:t xml:space="preserve"> clearly and succinctly to all those involved</w:t>
      </w:r>
    </w:p>
    <w:p w:rsidR="00B70935" w:rsidRDefault="00B70935" w:rsidP="00FD7F56">
      <w:pPr>
        <w:pStyle w:val="dotpoints2"/>
      </w:pPr>
      <w:r>
        <w:t>Ability to inspire respect and confidence</w:t>
      </w:r>
    </w:p>
    <w:p w:rsidR="00B70935" w:rsidRDefault="00B70935" w:rsidP="00FD7F56">
      <w:pPr>
        <w:pStyle w:val="dotpoints2"/>
      </w:pPr>
      <w:r>
        <w:t>Ability to maintain authority when challenged</w:t>
      </w:r>
    </w:p>
    <w:p w:rsidR="00B70935" w:rsidRDefault="00B70935" w:rsidP="00FD7F56">
      <w:pPr>
        <w:pStyle w:val="dotpoints2"/>
      </w:pPr>
      <w:r>
        <w:t xml:space="preserve">Ability to communicate orally and in writing in clear standard English </w:t>
      </w:r>
    </w:p>
    <w:p w:rsidR="00B70935" w:rsidRDefault="00B70935" w:rsidP="00B70935">
      <w:pPr>
        <w:outlineLvl w:val="2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br/>
        <w:t xml:space="preserve">Efficiency </w:t>
      </w:r>
    </w:p>
    <w:p w:rsidR="00B70935" w:rsidRDefault="00B70935" w:rsidP="00FD7F56">
      <w:pPr>
        <w:pStyle w:val="dotpoints2"/>
      </w:pPr>
      <w:r>
        <w:t>Ability to organise time effectively and work at speed and under pressure</w:t>
      </w:r>
    </w:p>
    <w:p w:rsidR="00B70935" w:rsidRDefault="00B70935" w:rsidP="00FD7F56">
      <w:pPr>
        <w:pStyle w:val="dotpoints2"/>
      </w:pPr>
      <w:r w:rsidRPr="00FD7F56">
        <w:t>Ability</w:t>
      </w:r>
      <w:r>
        <w:t xml:space="preserve"> to produce clear reasoned </w:t>
      </w:r>
      <w:r w:rsidR="00FD7F56">
        <w:t xml:space="preserve">findings, </w:t>
      </w:r>
      <w:r w:rsidR="00B5228E">
        <w:t>opinions</w:t>
      </w:r>
      <w:r w:rsidR="00FD7F56">
        <w:t xml:space="preserve"> </w:t>
      </w:r>
      <w:r w:rsidR="00B5228E">
        <w:t xml:space="preserve">and </w:t>
      </w:r>
      <w:r w:rsidR="00FD7F56">
        <w:t>recommendations</w:t>
      </w:r>
      <w:r>
        <w:t xml:space="preserve"> expeditiously </w:t>
      </w:r>
    </w:p>
    <w:p w:rsidR="00B70935" w:rsidRDefault="00B70935" w:rsidP="00FD7F56">
      <w:pPr>
        <w:pStyle w:val="dotpoints2"/>
      </w:pPr>
      <w:r>
        <w:t>Ability to work constructively with others in service of the Commission’s functions</w:t>
      </w:r>
    </w:p>
    <w:p w:rsidR="00B70935" w:rsidRDefault="00B70935" w:rsidP="00B70935">
      <w:pPr>
        <w:pStyle w:val="headinga"/>
        <w:tabs>
          <w:tab w:val="clear" w:pos="360"/>
          <w:tab w:val="left" w:pos="720"/>
        </w:tabs>
      </w:pPr>
    </w:p>
    <w:p w:rsidR="00B70935" w:rsidRDefault="00B70935" w:rsidP="00B70935">
      <w:pPr>
        <w:pStyle w:val="headinga"/>
        <w:tabs>
          <w:tab w:val="clear" w:pos="360"/>
          <w:tab w:val="left" w:pos="720"/>
        </w:tabs>
      </w:pPr>
      <w:r>
        <w:t xml:space="preserve">Leadership and Management Skills </w:t>
      </w:r>
    </w:p>
    <w:p w:rsidR="00B70935" w:rsidRDefault="00B70935" w:rsidP="00FD7F56">
      <w:pPr>
        <w:pStyle w:val="dotpoints2"/>
      </w:pPr>
      <w:r>
        <w:t xml:space="preserve">Ability to form strategic objectives and to provide leadership to implement them effectively  </w:t>
      </w:r>
    </w:p>
    <w:p w:rsidR="00B70935" w:rsidRDefault="00B70935" w:rsidP="00FD7F56">
      <w:pPr>
        <w:pStyle w:val="dotpoints2"/>
      </w:pPr>
      <w:r>
        <w:t>Ability to represent the Commission and communicate with stakeholders</w:t>
      </w:r>
    </w:p>
    <w:p w:rsidR="00B70935" w:rsidRDefault="00B70935" w:rsidP="00FD7F56">
      <w:pPr>
        <w:pStyle w:val="dotpoints2"/>
      </w:pPr>
      <w:r>
        <w:t>Ability to motivate, support and encourage the professional development of others in the Commission</w:t>
      </w:r>
    </w:p>
    <w:p w:rsidR="00B70935" w:rsidRDefault="00B70935" w:rsidP="00FD7F56">
      <w:pPr>
        <w:pStyle w:val="dotpoints2"/>
      </w:pPr>
      <w:r>
        <w:t>Ability to manage change effectively</w:t>
      </w:r>
    </w:p>
    <w:p w:rsidR="008B2549" w:rsidRDefault="00B70935" w:rsidP="00B70935">
      <w:pPr>
        <w:pStyle w:val="dotpoints"/>
        <w:ind w:left="709" w:hanging="283"/>
      </w:pPr>
      <w:r>
        <w:t xml:space="preserve">Ability to manage available resources </w:t>
      </w:r>
    </w:p>
    <w:sectPr w:rsidR="008B2549" w:rsidSect="00F15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ACC" w:rsidRDefault="00125ACC" w:rsidP="00F10CB2">
      <w:r>
        <w:separator/>
      </w:r>
    </w:p>
  </w:endnote>
  <w:endnote w:type="continuationSeparator" w:id="0">
    <w:p w:rsidR="00125ACC" w:rsidRDefault="00125ACC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DCD" w:rsidRDefault="00465D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6334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5ACC" w:rsidRDefault="00D85AA3">
        <w:pPr>
          <w:pStyle w:val="Footer"/>
          <w:jc w:val="right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9676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65DCD" w:rsidRPr="00465DCD" w:rsidRDefault="00465DCD" w:rsidP="00465DCD">
    <w:pPr>
      <w:pStyle w:val="Footer"/>
      <w:jc w:val="center"/>
      <w:rPr>
        <w:rFonts w:cs="Arial"/>
        <w:sz w:val="14"/>
      </w:rPr>
    </w:pPr>
    <w:r w:rsidRPr="00465DC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DCD" w:rsidRDefault="00465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ACC" w:rsidRDefault="00125ACC" w:rsidP="00F10CB2">
      <w:r>
        <w:separator/>
      </w:r>
    </w:p>
  </w:footnote>
  <w:footnote w:type="continuationSeparator" w:id="0">
    <w:p w:rsidR="00125ACC" w:rsidRDefault="00125ACC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DCD" w:rsidRDefault="00465D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DCD" w:rsidRDefault="00465D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DCD" w:rsidRDefault="00465D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C1234"/>
    <w:multiLevelType w:val="hybridMultilevel"/>
    <w:tmpl w:val="6B180420"/>
    <w:lvl w:ilvl="0" w:tplc="855CBF0E">
      <w:start w:val="1"/>
      <w:numFmt w:val="bullet"/>
      <w:pStyle w:val="dotpoints2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21532EBC"/>
    <w:multiLevelType w:val="hybridMultilevel"/>
    <w:tmpl w:val="2406475A"/>
    <w:lvl w:ilvl="0" w:tplc="BE3C9D8E">
      <w:start w:val="1"/>
      <w:numFmt w:val="bullet"/>
      <w:pStyle w:val="dotpoints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3290744"/>
    <w:multiLevelType w:val="hybridMultilevel"/>
    <w:tmpl w:val="EC4CB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4A805768"/>
    <w:multiLevelType w:val="multilevel"/>
    <w:tmpl w:val="BB0E87F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caps w:val="0"/>
        <w:vanish w:val="0"/>
        <w:w w:val="95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0"/>
  </w:num>
  <w:num w:numId="5">
    <w:abstractNumId w:val="12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22B16"/>
    <w:rsid w:val="00077FC3"/>
    <w:rsid w:val="000A1A69"/>
    <w:rsid w:val="000F4B8F"/>
    <w:rsid w:val="00110E10"/>
    <w:rsid w:val="00125ACC"/>
    <w:rsid w:val="00131507"/>
    <w:rsid w:val="00194AC7"/>
    <w:rsid w:val="00232478"/>
    <w:rsid w:val="0028096A"/>
    <w:rsid w:val="002C4829"/>
    <w:rsid w:val="002E1C14"/>
    <w:rsid w:val="00301013"/>
    <w:rsid w:val="00303C1D"/>
    <w:rsid w:val="00317047"/>
    <w:rsid w:val="00387524"/>
    <w:rsid w:val="00406281"/>
    <w:rsid w:val="00435D20"/>
    <w:rsid w:val="00465DCD"/>
    <w:rsid w:val="004845A2"/>
    <w:rsid w:val="00497CF5"/>
    <w:rsid w:val="00510BC7"/>
    <w:rsid w:val="005355D2"/>
    <w:rsid w:val="005367B4"/>
    <w:rsid w:val="005742C1"/>
    <w:rsid w:val="005A2983"/>
    <w:rsid w:val="005B082D"/>
    <w:rsid w:val="00627F0C"/>
    <w:rsid w:val="00635DE9"/>
    <w:rsid w:val="00667281"/>
    <w:rsid w:val="00692639"/>
    <w:rsid w:val="00694A1E"/>
    <w:rsid w:val="006C3394"/>
    <w:rsid w:val="00703D50"/>
    <w:rsid w:val="00704DC3"/>
    <w:rsid w:val="0072003E"/>
    <w:rsid w:val="0078385D"/>
    <w:rsid w:val="008467E0"/>
    <w:rsid w:val="008471D5"/>
    <w:rsid w:val="008B2549"/>
    <w:rsid w:val="009551F5"/>
    <w:rsid w:val="009A0883"/>
    <w:rsid w:val="009B251C"/>
    <w:rsid w:val="009D339E"/>
    <w:rsid w:val="00A01DD4"/>
    <w:rsid w:val="00A04D4F"/>
    <w:rsid w:val="00A0585C"/>
    <w:rsid w:val="00B30B9A"/>
    <w:rsid w:val="00B37323"/>
    <w:rsid w:val="00B5228E"/>
    <w:rsid w:val="00B61169"/>
    <w:rsid w:val="00B622B4"/>
    <w:rsid w:val="00B70935"/>
    <w:rsid w:val="00BA00B4"/>
    <w:rsid w:val="00BA52F5"/>
    <w:rsid w:val="00BB241F"/>
    <w:rsid w:val="00BD3D95"/>
    <w:rsid w:val="00C41B1B"/>
    <w:rsid w:val="00CD4E55"/>
    <w:rsid w:val="00CE3B14"/>
    <w:rsid w:val="00D24265"/>
    <w:rsid w:val="00D47F13"/>
    <w:rsid w:val="00D55446"/>
    <w:rsid w:val="00D7251C"/>
    <w:rsid w:val="00D85AA3"/>
    <w:rsid w:val="00D96767"/>
    <w:rsid w:val="00DE1B4E"/>
    <w:rsid w:val="00E45306"/>
    <w:rsid w:val="00E556F2"/>
    <w:rsid w:val="00EA30E1"/>
    <w:rsid w:val="00F10CB2"/>
    <w:rsid w:val="00F15AC3"/>
    <w:rsid w:val="00F57936"/>
    <w:rsid w:val="00F87C41"/>
    <w:rsid w:val="00F90CA5"/>
    <w:rsid w:val="00F91BC6"/>
    <w:rsid w:val="00FD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EBB51BF4-66D5-4A16-AD19-FDD84173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BA00B4"/>
    <w:pPr>
      <w:keepNext/>
      <w:widowControl w:val="0"/>
      <w:outlineLvl w:val="1"/>
    </w:pPr>
    <w:rPr>
      <w:rFonts w:asciiTheme="minorHAnsi" w:hAnsiTheme="minorHAnsi" w:cs="Arial"/>
      <w:b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622B4"/>
    <w:pPr>
      <w:outlineLvl w:val="2"/>
    </w:pPr>
    <w:rPr>
      <w:rFonts w:asciiTheme="minorHAnsi" w:hAnsiTheme="minorHAnsi"/>
      <w:u w:val="single"/>
    </w:rPr>
  </w:style>
  <w:style w:type="paragraph" w:styleId="Heading4">
    <w:name w:val="heading 4"/>
    <w:basedOn w:val="Aparabullet"/>
    <w:next w:val="Normal"/>
    <w:qFormat/>
    <w:rsid w:val="00317047"/>
    <w:pPr>
      <w:numPr>
        <w:numId w:val="0"/>
      </w:numPr>
      <w:spacing w:before="120" w:after="120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alloonText">
    <w:name w:val="Balloon Text"/>
    <w:basedOn w:val="Normal"/>
    <w:link w:val="BalloonTextChar"/>
    <w:uiPriority w:val="99"/>
    <w:semiHidden/>
    <w:unhideWhenUsed/>
    <w:rsid w:val="00F90C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CA5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E3B14"/>
    <w:pPr>
      <w:ind w:left="720"/>
      <w:contextualSpacing/>
    </w:pPr>
  </w:style>
  <w:style w:type="paragraph" w:customStyle="1" w:styleId="dotpoints">
    <w:name w:val="dot points"/>
    <w:basedOn w:val="Normal"/>
    <w:qFormat/>
    <w:rsid w:val="009A0883"/>
    <w:pPr>
      <w:numPr>
        <w:numId w:val="11"/>
      </w:numPr>
    </w:pPr>
    <w:rPr>
      <w:rFonts w:asciiTheme="minorHAnsi" w:hAnsiTheme="minorHAnsi"/>
    </w:rPr>
  </w:style>
  <w:style w:type="paragraph" w:customStyle="1" w:styleId="BodyText1">
    <w:name w:val="Body Text1"/>
    <w:basedOn w:val="Heading2"/>
    <w:rsid w:val="00A04D4F"/>
    <w:pPr>
      <w:widowControl/>
      <w:tabs>
        <w:tab w:val="num" w:pos="680"/>
      </w:tabs>
      <w:spacing w:before="160" w:after="80" w:line="288" w:lineRule="auto"/>
      <w:ind w:left="680" w:hanging="680"/>
    </w:pPr>
    <w:rPr>
      <w:rFonts w:ascii="Times New Roman" w:hAnsi="Times New Roman"/>
      <w:b w:val="0"/>
      <w:sz w:val="24"/>
      <w:szCs w:val="24"/>
    </w:rPr>
  </w:style>
  <w:style w:type="paragraph" w:customStyle="1" w:styleId="dotpoints1">
    <w:name w:val="dot points 1"/>
    <w:basedOn w:val="ListParagraph"/>
    <w:qFormat/>
    <w:rsid w:val="00A04D4F"/>
    <w:pPr>
      <w:ind w:left="1506" w:hanging="360"/>
    </w:pPr>
    <w:rPr>
      <w:rFonts w:ascii="Calibri" w:hAnsi="Calibri"/>
    </w:rPr>
  </w:style>
  <w:style w:type="paragraph" w:customStyle="1" w:styleId="headinga">
    <w:name w:val="heading a"/>
    <w:basedOn w:val="Normal"/>
    <w:qFormat/>
    <w:rsid w:val="00A04D4F"/>
    <w:pPr>
      <w:tabs>
        <w:tab w:val="num" w:pos="360"/>
      </w:tabs>
      <w:outlineLvl w:val="2"/>
    </w:pPr>
    <w:rPr>
      <w:rFonts w:ascii="Calibri" w:hAnsi="Calibri"/>
      <w:u w:val="single"/>
    </w:rPr>
  </w:style>
  <w:style w:type="paragraph" w:customStyle="1" w:styleId="dotpoints2">
    <w:name w:val="dot points 2"/>
    <w:basedOn w:val="dotpoints1"/>
    <w:qFormat/>
    <w:rsid w:val="00FD7F56"/>
    <w:pPr>
      <w:numPr>
        <w:numId w:val="15"/>
      </w:numPr>
      <w:tabs>
        <w:tab w:val="left" w:pos="720"/>
      </w:tabs>
      <w:ind w:left="709" w:hanging="283"/>
    </w:pPr>
  </w:style>
  <w:style w:type="character" w:customStyle="1" w:styleId="FooterChar">
    <w:name w:val="Footer Char"/>
    <w:basedOn w:val="DefaultParagraphFont"/>
    <w:link w:val="Footer"/>
    <w:uiPriority w:val="99"/>
    <w:rsid w:val="009D339E"/>
    <w:rPr>
      <w:rFonts w:ascii="Arial" w:hAnsi="Arial"/>
      <w:sz w:val="18"/>
      <w:lang w:eastAsia="en-US"/>
    </w:rPr>
  </w:style>
  <w:style w:type="paragraph" w:customStyle="1" w:styleId="Headinglevel3">
    <w:name w:val="Heading level 3"/>
    <w:basedOn w:val="Normal"/>
    <w:next w:val="BodyText1"/>
    <w:rsid w:val="00B70935"/>
    <w:pPr>
      <w:spacing w:before="320" w:after="100" w:line="312" w:lineRule="auto"/>
      <w:ind w:left="680"/>
    </w:pPr>
    <w:rPr>
      <w:rFonts w:ascii="Univers LT Std 55" w:hAnsi="Univers LT Std 55" w:cs="Arial"/>
      <w:b/>
      <w:sz w:val="28"/>
      <w:szCs w:val="28"/>
    </w:rPr>
  </w:style>
  <w:style w:type="paragraph" w:customStyle="1" w:styleId="IMain">
    <w:name w:val="I Main"/>
    <w:basedOn w:val="Normal"/>
    <w:rsid w:val="00DE1B4E"/>
    <w:pPr>
      <w:tabs>
        <w:tab w:val="right" w:pos="900"/>
        <w:tab w:val="left" w:pos="1100"/>
      </w:tabs>
      <w:spacing w:before="140"/>
      <w:ind w:left="1100" w:hanging="1100"/>
      <w:jc w:val="both"/>
    </w:pPr>
  </w:style>
  <w:style w:type="paragraph" w:customStyle="1" w:styleId="aNote">
    <w:name w:val="aNote"/>
    <w:basedOn w:val="Normal"/>
    <w:rsid w:val="00DE1B4E"/>
    <w:pPr>
      <w:spacing w:before="140"/>
      <w:ind w:left="1900" w:hanging="800"/>
      <w:jc w:val="both"/>
    </w:pPr>
    <w:rPr>
      <w:sz w:val="20"/>
    </w:rPr>
  </w:style>
  <w:style w:type="character" w:customStyle="1" w:styleId="charItals">
    <w:name w:val="charItals"/>
    <w:basedOn w:val="DefaultParagraphFont"/>
    <w:rsid w:val="00DE1B4E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A7495882-7F67-44B6-A5EB-4D4C538C156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4577</Characters>
  <Application>Microsoft Office Word</Application>
  <DocSecurity>0</DocSecurity>
  <Lines>125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5</cp:revision>
  <cp:lastPrinted>2019-01-10T21:20:00Z</cp:lastPrinted>
  <dcterms:created xsi:type="dcterms:W3CDTF">2019-01-17T00:00:00Z</dcterms:created>
  <dcterms:modified xsi:type="dcterms:W3CDTF">2019-01-17T00:00:00Z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bc672453-7fe0-41a5-9a67-16ca1c8b2328</vt:lpwstr>
  </property>
  <property fmtid="{D5CDD505-2E9C-101B-9397-08002B2CF9AE}" pid="3" name="bjSaver">
    <vt:lpwstr>xRtr0Y+AP3tD2VerDksYxudjwGZ2mqaO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</Properties>
</file>