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A6" w:rsidRDefault="00EC24A6">
      <w:pPr>
        <w:jc w:val="center"/>
        <w:rPr>
          <w:sz w:val="20"/>
          <w:szCs w:val="20"/>
        </w:rPr>
      </w:pPr>
      <w:bookmarkStart w:id="0" w:name="_GoBack"/>
      <w:bookmarkEnd w:id="0"/>
    </w:p>
    <w:p w:rsidR="00EC24A6" w:rsidRPr="001F1F4A" w:rsidRDefault="00EC24A6" w:rsidP="007F66E7">
      <w:pPr>
        <w:spacing w:before="120"/>
        <w:jc w:val="both"/>
        <w:rPr>
          <w:rFonts w:ascii="Arial" w:hAnsi="Arial" w:cs="Arial"/>
        </w:rPr>
      </w:pPr>
      <w:r w:rsidRPr="001F1F4A">
        <w:rPr>
          <w:rFonts w:ascii="Arial" w:hAnsi="Arial" w:cs="Arial"/>
        </w:rPr>
        <w:t>Australian Capital Territory</w:t>
      </w:r>
    </w:p>
    <w:p w:rsidR="00EC24A6" w:rsidRDefault="00EC24A6" w:rsidP="007F66E7">
      <w:pPr>
        <w:pStyle w:val="Billname"/>
        <w:spacing w:before="700" w:after="0"/>
        <w:jc w:val="both"/>
      </w:pPr>
      <w:r>
        <w:t>Lotteries (Fees)</w:t>
      </w:r>
    </w:p>
    <w:p w:rsidR="00EC24A6" w:rsidRDefault="00EC24A6" w:rsidP="007F66E7">
      <w:pPr>
        <w:pStyle w:val="Billname"/>
        <w:spacing w:before="0"/>
        <w:jc w:val="both"/>
      </w:pPr>
      <w:r>
        <w:t>Determination 20</w:t>
      </w:r>
      <w:r w:rsidR="00724DB9">
        <w:t>1</w:t>
      </w:r>
      <w:r w:rsidR="000138CB">
        <w:t>9</w:t>
      </w:r>
      <w:r>
        <w:t xml:space="preserve"> (No 1)</w:t>
      </w:r>
    </w:p>
    <w:p w:rsidR="00EC24A6" w:rsidRPr="00992822" w:rsidRDefault="00EC24A6" w:rsidP="007F66E7">
      <w:pPr>
        <w:spacing w:before="240" w:after="60"/>
        <w:jc w:val="both"/>
        <w:rPr>
          <w:rFonts w:ascii="Arial" w:hAnsi="Arial" w:cs="Arial"/>
          <w:b/>
          <w:bCs/>
        </w:rPr>
      </w:pPr>
      <w:r w:rsidRPr="001F1F4A">
        <w:rPr>
          <w:rFonts w:ascii="Arial" w:hAnsi="Arial" w:cs="Arial"/>
          <w:b/>
          <w:bCs/>
        </w:rPr>
        <w:t xml:space="preserve">Disallowable Instrument </w:t>
      </w:r>
      <w:r w:rsidR="00992822" w:rsidRPr="00992822">
        <w:rPr>
          <w:rFonts w:ascii="Arial" w:hAnsi="Arial" w:cs="Arial"/>
          <w:b/>
          <w:bCs/>
        </w:rPr>
        <w:t>DI2019–100</w:t>
      </w:r>
    </w:p>
    <w:p w:rsidR="00EC24A6" w:rsidRDefault="00EC24A6" w:rsidP="007F66E7">
      <w:pPr>
        <w:pStyle w:val="madeunder"/>
        <w:rPr>
          <w:rFonts w:ascii="Times New Roman" w:hAnsi="Times New Roman"/>
        </w:rPr>
      </w:pPr>
      <w:r>
        <w:rPr>
          <w:rFonts w:ascii="Times New Roman" w:hAnsi="Times New Roman"/>
        </w:rPr>
        <w:t>made under the</w:t>
      </w:r>
    </w:p>
    <w:p w:rsidR="00EC24A6" w:rsidRDefault="00EC24A6" w:rsidP="007F66E7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Lotteries Act 1964, s18A (Determination of fees)</w:t>
      </w: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7E5904" w:rsidRDefault="00EC24A6" w:rsidP="007F66E7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/>
        </w:rPr>
      </w:pP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1F1F4A" w:rsidRDefault="00EC24A6" w:rsidP="007F66E7">
      <w:pPr>
        <w:pStyle w:val="Heading5"/>
        <w:numPr>
          <w:ilvl w:val="0"/>
          <w:numId w:val="13"/>
        </w:numPr>
        <w:tabs>
          <w:tab w:val="clear" w:pos="1080"/>
          <w:tab w:val="num" w:pos="720"/>
        </w:tabs>
        <w:ind w:hanging="1080"/>
        <w:jc w:val="both"/>
        <w:rPr>
          <w:rFonts w:cs="Arial"/>
        </w:rPr>
      </w:pPr>
      <w:r w:rsidRPr="001F1F4A">
        <w:rPr>
          <w:rFonts w:cs="Arial"/>
        </w:rPr>
        <w:t>Name of Instrument</w:t>
      </w:r>
    </w:p>
    <w:p w:rsidR="00EC24A6" w:rsidRDefault="00EC24A6" w:rsidP="007F66E7">
      <w:pPr>
        <w:ind w:firstLine="720"/>
        <w:jc w:val="both"/>
      </w:pPr>
      <w:r>
        <w:t xml:space="preserve">This instrument is the </w:t>
      </w:r>
      <w:r>
        <w:rPr>
          <w:i/>
          <w:iCs/>
        </w:rPr>
        <w:t>Lotteries (Fees) Determination 20</w:t>
      </w:r>
      <w:r w:rsidR="00724DB9">
        <w:rPr>
          <w:i/>
          <w:iCs/>
        </w:rPr>
        <w:t>1</w:t>
      </w:r>
      <w:r w:rsidR="000138CB">
        <w:rPr>
          <w:i/>
          <w:iCs/>
        </w:rPr>
        <w:t>9</w:t>
      </w:r>
      <w:r>
        <w:rPr>
          <w:i/>
          <w:iCs/>
        </w:rPr>
        <w:t xml:space="preserve"> (No 1)</w:t>
      </w:r>
      <w:r>
        <w:t>.</w:t>
      </w: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1F1F4A" w:rsidRDefault="00EC24A6" w:rsidP="007F66E7">
      <w:pPr>
        <w:pStyle w:val="Heading6"/>
        <w:numPr>
          <w:ilvl w:val="0"/>
          <w:numId w:val="13"/>
        </w:numPr>
        <w:tabs>
          <w:tab w:val="clear" w:pos="1080"/>
          <w:tab w:val="num" w:pos="720"/>
        </w:tabs>
        <w:ind w:hanging="1080"/>
        <w:jc w:val="both"/>
        <w:rPr>
          <w:rFonts w:cs="Arial"/>
        </w:rPr>
      </w:pPr>
      <w:r w:rsidRPr="001F1F4A">
        <w:rPr>
          <w:rFonts w:cs="Arial"/>
        </w:rPr>
        <w:t>Commencement</w:t>
      </w:r>
    </w:p>
    <w:p w:rsidR="00EC24A6" w:rsidRDefault="00EC24A6" w:rsidP="007F66E7">
      <w:pPr>
        <w:pStyle w:val="BodyTextInden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</w:t>
      </w:r>
      <w:r w:rsidR="00724DB9">
        <w:rPr>
          <w:rFonts w:ascii="Times New Roman" w:hAnsi="Times New Roman"/>
        </w:rPr>
        <w:t>strument commences on 1 July 201</w:t>
      </w:r>
      <w:r w:rsidR="000138CB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1F1F4A" w:rsidRDefault="00EC24A6" w:rsidP="007F66E7">
      <w:pPr>
        <w:pStyle w:val="Heading6"/>
        <w:numPr>
          <w:ilvl w:val="0"/>
          <w:numId w:val="14"/>
        </w:numPr>
        <w:ind w:hanging="720"/>
        <w:jc w:val="both"/>
        <w:rPr>
          <w:rFonts w:cs="Arial"/>
        </w:rPr>
      </w:pPr>
      <w:r w:rsidRPr="001F1F4A">
        <w:rPr>
          <w:rFonts w:cs="Arial"/>
        </w:rPr>
        <w:t>Determination of fees</w:t>
      </w:r>
    </w:p>
    <w:p w:rsidR="00EC24A6" w:rsidRDefault="00EC24A6" w:rsidP="007F66E7">
      <w:pPr>
        <w:pStyle w:val="BodyTextInden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determine the fees set out in the schedule to this instrument to be the fees for the Act.</w:t>
      </w: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1F1F4A" w:rsidRDefault="00EC24A6" w:rsidP="007F66E7">
      <w:pPr>
        <w:pStyle w:val="BodyTextIndent"/>
        <w:ind w:hanging="709"/>
        <w:jc w:val="both"/>
        <w:rPr>
          <w:rFonts w:cs="Arial"/>
          <w:b/>
          <w:bCs/>
        </w:rPr>
      </w:pPr>
      <w:r w:rsidRPr="001F1F4A">
        <w:rPr>
          <w:rFonts w:cs="Arial"/>
          <w:b/>
          <w:bCs/>
        </w:rPr>
        <w:t>4</w:t>
      </w:r>
      <w:r w:rsidRPr="001F1F4A">
        <w:rPr>
          <w:rFonts w:cs="Arial"/>
          <w:b/>
          <w:bCs/>
        </w:rPr>
        <w:tab/>
        <w:t>Payment of fee</w:t>
      </w:r>
    </w:p>
    <w:p w:rsidR="00EC24A6" w:rsidRDefault="00EC24A6" w:rsidP="007F66E7">
      <w:pPr>
        <w:pStyle w:val="BodyTextInden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fee to which this determination applies is payable to the ACT Gambling and Racing Commission by the applicant for the matters to which the application relates.</w:t>
      </w:r>
    </w:p>
    <w:p w:rsidR="00EC24A6" w:rsidRPr="007E5904" w:rsidRDefault="00EC24A6" w:rsidP="007E5904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EC24A6" w:rsidRPr="00E97401" w:rsidRDefault="00EC24A6" w:rsidP="007F66E7">
      <w:pPr>
        <w:jc w:val="both"/>
        <w:rPr>
          <w:rFonts w:ascii="Arial" w:hAnsi="Arial" w:cs="Arial"/>
          <w:b/>
          <w:bCs/>
        </w:rPr>
      </w:pPr>
      <w:r w:rsidRPr="00E97401">
        <w:rPr>
          <w:rFonts w:ascii="Arial" w:hAnsi="Arial" w:cs="Arial"/>
          <w:b/>
          <w:bCs/>
        </w:rPr>
        <w:t>5</w:t>
      </w:r>
      <w:r w:rsidRPr="00E97401">
        <w:rPr>
          <w:rFonts w:ascii="Arial" w:hAnsi="Arial" w:cs="Arial"/>
          <w:b/>
          <w:bCs/>
        </w:rPr>
        <w:tab/>
        <w:t>Revocation</w:t>
      </w:r>
    </w:p>
    <w:p w:rsidR="007E5904" w:rsidRDefault="007E5904" w:rsidP="007F66E7">
      <w:pPr>
        <w:ind w:left="709"/>
        <w:jc w:val="both"/>
      </w:pPr>
      <w:r w:rsidRPr="00271782">
        <w:t xml:space="preserve">This instrument revokes the </w:t>
      </w:r>
      <w:r>
        <w:t>Lotteries (Fees) Determination 201</w:t>
      </w:r>
      <w:r w:rsidR="000138CB">
        <w:t>8</w:t>
      </w:r>
      <w:r w:rsidR="005F04DB">
        <w:t xml:space="preserve"> (No </w:t>
      </w:r>
      <w:r w:rsidR="004D2EDF">
        <w:t>1</w:t>
      </w:r>
      <w:r>
        <w:t>)</w:t>
      </w:r>
      <w:r w:rsidRPr="00271782">
        <w:t xml:space="preserve"> - DI201</w:t>
      </w:r>
      <w:r w:rsidR="000138CB">
        <w:t>8</w:t>
      </w:r>
      <w:r w:rsidRPr="00271782">
        <w:t>-</w:t>
      </w:r>
      <w:r w:rsidR="00A13837">
        <w:t>1</w:t>
      </w:r>
      <w:r w:rsidR="000138CB">
        <w:t>15</w:t>
      </w:r>
      <w:r w:rsidRPr="00271782">
        <w:t xml:space="preserve">, notified on the Legislation Register on </w:t>
      </w:r>
      <w:r w:rsidR="000138CB">
        <w:t>4</w:t>
      </w:r>
      <w:r w:rsidR="004D2EDF">
        <w:t> June 201</w:t>
      </w:r>
      <w:r w:rsidR="000138CB">
        <w:t>8</w:t>
      </w:r>
      <w:r>
        <w:t>.</w:t>
      </w: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Alice Tay</w:t>
      </w: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Deputy Chairperson</w:t>
      </w: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ACT Gambling and Racing Commission</w:t>
      </w:r>
    </w:p>
    <w:p w:rsidR="0042033E" w:rsidRDefault="0042033E" w:rsidP="0042033E">
      <w:pPr>
        <w:pStyle w:val="CoverActName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42033E" w:rsidRDefault="0042033E" w:rsidP="0042033E">
      <w:pPr>
        <w:pStyle w:val="Heading4"/>
        <w:jc w:val="left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18 June 2019</w:t>
      </w:r>
    </w:p>
    <w:p w:rsidR="00EC24A6" w:rsidRPr="00F64279" w:rsidRDefault="00EC24A6" w:rsidP="00F64279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  <w:r w:rsidRPr="00E97401">
        <w:rPr>
          <w:rFonts w:ascii="Times New Roman" w:hAnsi="Times New Roman"/>
          <w:b/>
        </w:rPr>
        <w:br w:type="page"/>
      </w:r>
    </w:p>
    <w:p w:rsidR="00EC24A6" w:rsidRDefault="00EC24A6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Schedule</w:t>
      </w:r>
    </w:p>
    <w:p w:rsidR="00EC24A6" w:rsidRPr="00F64279" w:rsidRDefault="00EC24A6" w:rsidP="00F64279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</w:p>
    <w:p w:rsidR="00EC24A6" w:rsidRPr="00F64279" w:rsidRDefault="00EC24A6" w:rsidP="00F64279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</w:p>
    <w:p w:rsidR="00EC24A6" w:rsidRDefault="00EC24A6" w:rsidP="007F66E7">
      <w:pPr>
        <w:pStyle w:val="Heading1"/>
        <w:tabs>
          <w:tab w:val="left" w:pos="360"/>
        </w:tabs>
        <w:jc w:val="both"/>
      </w:pPr>
      <w:r>
        <w:t>1.</w:t>
      </w:r>
      <w:r>
        <w:tab/>
        <w:t>A lottery that is not a trade promotion lottery</w:t>
      </w:r>
    </w:p>
    <w:p w:rsidR="00EC24A6" w:rsidRDefault="00EC24A6" w:rsidP="007F66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</w:p>
    <w:p w:rsidR="00EC24A6" w:rsidRDefault="00EC24A6" w:rsidP="007F66E7">
      <w:pPr>
        <w:numPr>
          <w:ilvl w:val="0"/>
          <w:numId w:val="6"/>
        </w:numPr>
        <w:jc w:val="both"/>
        <w:rPr>
          <w:rFonts w:ascii="Times New (W1)" w:hAnsi="Times New (W1)"/>
        </w:rPr>
      </w:pPr>
      <w:r>
        <w:t>The fee payable to the Commission by an applicant applying under section 7 of the Lotteries Act for approval to conduct a lottery that is not a trade promotion lottery</w:t>
      </w:r>
      <w:r>
        <w:rPr>
          <w:b/>
          <w:bCs/>
        </w:rPr>
        <w:t xml:space="preserve"> </w:t>
      </w:r>
      <w:r>
        <w:t>is</w:t>
      </w:r>
      <w:r>
        <w:rPr>
          <w:b/>
          <w:bCs/>
          <w:u w:val="single"/>
        </w:rPr>
        <w:t xml:space="preserve"> the fee shown in Table A Column 2, that is in respect of the corresponding prize values listed in Column 1</w:t>
      </w:r>
      <w:r>
        <w:rPr>
          <w:b/>
          <w:bCs/>
        </w:rPr>
        <w:t>.</w:t>
      </w:r>
    </w:p>
    <w:p w:rsidR="00EC24A6" w:rsidRDefault="00EC24A6" w:rsidP="007F66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(W1)" w:hAnsi="Times New (W1)"/>
          <w:lang w:val="en-AU"/>
        </w:rPr>
      </w:pPr>
    </w:p>
    <w:p w:rsidR="0052150E" w:rsidRDefault="0052150E" w:rsidP="007F66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(W1)" w:hAnsi="Times New (W1)"/>
          <w:lang w:val="en-AU"/>
        </w:rPr>
      </w:pPr>
    </w:p>
    <w:p w:rsidR="00EC24A6" w:rsidRDefault="0052150E" w:rsidP="007F66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b/>
          <w:lang w:val="en-AU"/>
        </w:rPr>
      </w:pPr>
      <w:r w:rsidRPr="0052150E">
        <w:rPr>
          <w:rFonts w:ascii="Times New Roman" w:hAnsi="Times New Roman"/>
          <w:b/>
          <w:lang w:val="en-AU"/>
        </w:rPr>
        <w:t>Table A</w:t>
      </w:r>
    </w:p>
    <w:p w:rsidR="0052150E" w:rsidRPr="0052150E" w:rsidRDefault="0052150E" w:rsidP="007F66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</w:p>
    <w:tbl>
      <w:tblPr>
        <w:tblW w:w="7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1418"/>
      </w:tblGrid>
      <w:tr w:rsidR="00A232CB" w:rsidRPr="0052150E" w:rsidTr="00A232CB">
        <w:trPr>
          <w:tblHeader/>
          <w:jc w:val="center"/>
        </w:trPr>
        <w:tc>
          <w:tcPr>
            <w:tcW w:w="5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2150E" w:rsidRPr="0052150E" w:rsidTr="00F64279">
        <w:trPr>
          <w:tblHeader/>
          <w:jc w:val="center"/>
        </w:trPr>
        <w:tc>
          <w:tcPr>
            <w:tcW w:w="5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150E" w:rsidRPr="0052150E" w:rsidRDefault="0052150E" w:rsidP="005215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Prize Value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150E" w:rsidRPr="0052150E" w:rsidRDefault="0052150E" w:rsidP="00735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</w:t>
            </w:r>
            <w:r w:rsidRPr="0052150E"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top w:val="single" w:sz="12" w:space="0" w:color="auto"/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Less than or equal to $500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Nil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$500 and less than or equal to $1,000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52150E" w:rsidP="00F64BBC">
            <w:r w:rsidRPr="00F64279">
              <w:t>$</w:t>
            </w:r>
            <w:r w:rsidR="00164B12">
              <w:t>7</w:t>
            </w:r>
            <w:r w:rsidR="004817ED">
              <w:t>6</w:t>
            </w:r>
            <w:r w:rsidRPr="00F64279">
              <w:t>.00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$1,000 and less than or equal to $2,500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52150E" w:rsidP="00A13837">
            <w:r w:rsidRPr="00F64279">
              <w:t>$1</w:t>
            </w:r>
            <w:r w:rsidR="00A13837">
              <w:t>4</w:t>
            </w:r>
            <w:r w:rsidR="004817ED">
              <w:t>6</w:t>
            </w:r>
            <w:r w:rsidRPr="00F64279">
              <w:t>.00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$2,500 and less than or equal to $5,000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164B12" w:rsidP="00A13837">
            <w:r>
              <w:t>$2</w:t>
            </w:r>
            <w:r w:rsidR="00A13837">
              <w:t>1</w:t>
            </w:r>
            <w:r w:rsidR="004817ED">
              <w:t>6</w:t>
            </w:r>
            <w:r w:rsidR="0052150E" w:rsidRPr="00F64279">
              <w:t>.00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$5,000 and less than or equal to $10,000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52150E" w:rsidP="00F64BBC">
            <w:r w:rsidRPr="00F64279">
              <w:t>$</w:t>
            </w:r>
            <w:r w:rsidR="00765469">
              <w:t>3</w:t>
            </w:r>
            <w:r w:rsidR="004817ED">
              <w:t>15</w:t>
            </w:r>
            <w:r w:rsidRPr="00F64279">
              <w:t>.00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$10,000 or less than or equal to $50,000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52150E" w:rsidP="00F64BBC">
            <w:r w:rsidRPr="00F64279">
              <w:t>$</w:t>
            </w:r>
            <w:r w:rsidR="004817ED">
              <w:t>605</w:t>
            </w:r>
            <w:r w:rsidRPr="00F64279">
              <w:t>.00</w:t>
            </w:r>
          </w:p>
        </w:tc>
      </w:tr>
      <w:tr w:rsidR="0052150E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52150E" w:rsidRPr="00F64279" w:rsidRDefault="0052150E" w:rsidP="0052150E">
            <w:r w:rsidRPr="00F64279">
              <w:t>Greater than $50,000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150E" w:rsidRPr="00F64279" w:rsidRDefault="00164B12" w:rsidP="00A13837">
            <w:r>
              <w:t>$8</w:t>
            </w:r>
            <w:r w:rsidR="004817ED">
              <w:t>64</w:t>
            </w:r>
            <w:r w:rsidR="0052150E" w:rsidRPr="00F64279">
              <w:t>.00</w:t>
            </w:r>
          </w:p>
        </w:tc>
      </w:tr>
    </w:tbl>
    <w:p w:rsidR="00EC24A6" w:rsidRDefault="00EC24A6" w:rsidP="007F66E7">
      <w:pPr>
        <w:tabs>
          <w:tab w:val="left" w:pos="567"/>
          <w:tab w:val="left" w:pos="1134"/>
          <w:tab w:val="left" w:pos="1701"/>
          <w:tab w:val="left" w:pos="7230"/>
        </w:tabs>
        <w:ind w:right="-51"/>
        <w:jc w:val="both"/>
      </w:pPr>
    </w:p>
    <w:p w:rsidR="00EC24A6" w:rsidRDefault="00EC24A6" w:rsidP="007F66E7">
      <w:pPr>
        <w:pStyle w:val="BodyText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not a trade promotion lottery is withdrawn prior to commencement of its assessment, the fee payable in this determination is refundable to t</w:t>
      </w:r>
      <w:r w:rsidR="00164B12">
        <w:rPr>
          <w:rFonts w:ascii="Times New Roman" w:hAnsi="Times New Roman"/>
        </w:rPr>
        <w:t>he amount of that fee less $6</w:t>
      </w:r>
      <w:r w:rsidR="004817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EC24A6" w:rsidRDefault="00EC24A6" w:rsidP="007F66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7F66E7">
      <w:pPr>
        <w:pStyle w:val="BodyText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not a trade promotion lottery is withdrawn following the commencement of its assessment, the fees in this determination are not refundable.</w:t>
      </w:r>
    </w:p>
    <w:p w:rsidR="00EC24A6" w:rsidRDefault="00EC24A6" w:rsidP="007F66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7F66E7">
      <w:pPr>
        <w:pStyle w:val="BodyText"/>
        <w:numPr>
          <w:ilvl w:val="0"/>
          <w:numId w:val="6"/>
        </w:numPr>
        <w:tabs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not a trade promotion lottery is refused, the fees in this determination are not refundable.</w:t>
      </w:r>
    </w:p>
    <w:p w:rsidR="00EC24A6" w:rsidRDefault="00EC24A6" w:rsidP="007F66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7F66E7">
      <w:pPr>
        <w:pStyle w:val="BodyText"/>
        <w:numPr>
          <w:ilvl w:val="0"/>
          <w:numId w:val="6"/>
        </w:numPr>
        <w:tabs>
          <w:tab w:val="clear" w:pos="567"/>
          <w:tab w:val="left" w:pos="360"/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an application is made under section 7A of the Act to vary the approval to conduct a lottery that is not a trade promotio</w:t>
      </w:r>
      <w:r w:rsidR="00164B12">
        <w:rPr>
          <w:rFonts w:ascii="Times New Roman" w:hAnsi="Times New Roman"/>
        </w:rPr>
        <w:t>n lottery, the fee is $6</w:t>
      </w:r>
      <w:r w:rsidR="004817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61458" w:rsidRDefault="00461458" w:rsidP="00461458">
      <w:pPr>
        <w:pStyle w:val="ListParagraph"/>
      </w:pPr>
    </w:p>
    <w:p w:rsidR="00461458" w:rsidRDefault="00461458" w:rsidP="00461458">
      <w:pPr>
        <w:pStyle w:val="BodyText"/>
        <w:tabs>
          <w:tab w:val="clear" w:pos="567"/>
          <w:tab w:val="left" w:pos="1701"/>
        </w:tabs>
        <w:jc w:val="both"/>
        <w:rPr>
          <w:rFonts w:ascii="Times New Roman" w:hAnsi="Times New Roman"/>
        </w:rPr>
      </w:pPr>
    </w:p>
    <w:p w:rsidR="00461458" w:rsidRDefault="00461458" w:rsidP="00461458">
      <w:pPr>
        <w:pStyle w:val="BodyText"/>
        <w:numPr>
          <w:ilvl w:val="0"/>
          <w:numId w:val="6"/>
        </w:numPr>
        <w:tabs>
          <w:tab w:val="clear" w:pos="567"/>
          <w:tab w:val="left" w:pos="360"/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Commission may at its discretion, decide to waive or reduce the fee applying to a lottery that is not a trade promotion where the applicant is a charitable organisation or the activity being supported is for a charitable purpose and the Commission considers that it is in the public interest to waive or reduce the fee.</w:t>
      </w:r>
    </w:p>
    <w:p w:rsidR="00461458" w:rsidRDefault="00461458" w:rsidP="00461458">
      <w:pPr>
        <w:pStyle w:val="BodyText"/>
        <w:tabs>
          <w:tab w:val="clear" w:pos="567"/>
          <w:tab w:val="left" w:pos="1701"/>
        </w:tabs>
        <w:jc w:val="both"/>
        <w:rPr>
          <w:rFonts w:ascii="Times New Roman" w:hAnsi="Times New Roman"/>
        </w:rPr>
      </w:pPr>
    </w:p>
    <w:p w:rsidR="001B01B3" w:rsidRPr="00461458" w:rsidRDefault="001B01B3" w:rsidP="00461458">
      <w:pPr>
        <w:pStyle w:val="BodyText"/>
        <w:tabs>
          <w:tab w:val="clear" w:pos="567"/>
          <w:tab w:val="left" w:pos="1701"/>
        </w:tabs>
        <w:jc w:val="both"/>
        <w:rPr>
          <w:rFonts w:ascii="Times New Roman" w:hAnsi="Times New Roman"/>
        </w:rPr>
      </w:pPr>
    </w:p>
    <w:p w:rsidR="00461458" w:rsidRPr="00461458" w:rsidRDefault="00461458" w:rsidP="00461458">
      <w:pPr>
        <w:pStyle w:val="BodyText"/>
        <w:tabs>
          <w:tab w:val="clear" w:pos="567"/>
          <w:tab w:val="left" w:pos="1701"/>
        </w:tabs>
        <w:jc w:val="both"/>
        <w:rPr>
          <w:rFonts w:ascii="Times New Roman" w:hAnsi="Times New Roman"/>
        </w:rPr>
        <w:sectPr w:rsidR="00461458" w:rsidRPr="00461458" w:rsidSect="007E59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701" w:bottom="1440" w:left="1797" w:header="720" w:footer="975" w:gutter="0"/>
          <w:paperSrc w:first="7" w:other="7"/>
          <w:pgNumType w:start="0"/>
          <w:cols w:space="720"/>
          <w:titlePg/>
          <w:docGrid w:linePitch="326"/>
        </w:sectPr>
      </w:pPr>
    </w:p>
    <w:p w:rsidR="00EC24A6" w:rsidRDefault="00EC24A6" w:rsidP="001559E7">
      <w:pPr>
        <w:pStyle w:val="BodyText"/>
        <w:tabs>
          <w:tab w:val="clear" w:pos="567"/>
          <w:tab w:val="left" w:pos="360"/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lastRenderedPageBreak/>
        <w:t>2.</w:t>
      </w:r>
      <w:r>
        <w:rPr>
          <w:rFonts w:ascii="Times New Roman" w:hAnsi="Times New Roman"/>
          <w:b/>
          <w:bCs/>
          <w:u w:val="single"/>
        </w:rPr>
        <w:tab/>
        <w:t>A lottery that is a trade promotion lottery</w:t>
      </w:r>
    </w:p>
    <w:p w:rsidR="00EC24A6" w:rsidRDefault="00EC24A6" w:rsidP="001559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1559E7">
      <w:pPr>
        <w:pStyle w:val="BodyText"/>
        <w:tabs>
          <w:tab w:val="clear" w:pos="567"/>
          <w:tab w:val="left" w:pos="360"/>
          <w:tab w:val="left" w:pos="1701"/>
        </w:tabs>
        <w:ind w:left="36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The fee payable to the Commission by an applicant applying under section 7 of the Act for approval to conduct a lottery that is a trade promotion lottery is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u w:val="single"/>
        </w:rPr>
        <w:t xml:space="preserve">the fee shown in </w:t>
      </w:r>
      <w:r w:rsidR="00136054">
        <w:rPr>
          <w:rFonts w:ascii="Times New Roman" w:hAnsi="Times New Roman"/>
          <w:b/>
          <w:bCs/>
          <w:u w:val="single"/>
        </w:rPr>
        <w:t>Table B Column 2</w:t>
      </w:r>
      <w:r>
        <w:rPr>
          <w:rFonts w:ascii="Times New Roman" w:hAnsi="Times New Roman"/>
          <w:b/>
          <w:bCs/>
          <w:u w:val="single"/>
        </w:rPr>
        <w:t xml:space="preserve"> that is in respect of the corresponding prize values listed in Column 1</w:t>
      </w:r>
      <w:r>
        <w:rPr>
          <w:rFonts w:ascii="Times New Roman" w:hAnsi="Times New Roman"/>
          <w:b/>
          <w:bCs/>
        </w:rPr>
        <w:t xml:space="preserve">. </w:t>
      </w:r>
    </w:p>
    <w:p w:rsidR="00EC24A6" w:rsidRDefault="00EC24A6" w:rsidP="00A9708B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A9708B" w:rsidRPr="00A9708B" w:rsidRDefault="00A9708B" w:rsidP="00A9708B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A9708B" w:rsidRPr="00A9708B" w:rsidRDefault="00A9708B" w:rsidP="00A9708B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b/>
          <w:lang w:val="en-AU"/>
        </w:rPr>
      </w:pPr>
      <w:r w:rsidRPr="00A9708B">
        <w:rPr>
          <w:rFonts w:ascii="Times New Roman" w:hAnsi="Times New Roman"/>
          <w:b/>
          <w:lang w:val="en-AU"/>
        </w:rPr>
        <w:t>Table B</w:t>
      </w:r>
    </w:p>
    <w:p w:rsidR="00A9708B" w:rsidRPr="00A9708B" w:rsidRDefault="00A9708B" w:rsidP="00A9708B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tbl>
      <w:tblPr>
        <w:tblW w:w="7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1418"/>
      </w:tblGrid>
      <w:tr w:rsidR="00A232CB" w:rsidRPr="0052150E" w:rsidTr="00A232CB">
        <w:trPr>
          <w:tblHeader/>
          <w:jc w:val="center"/>
        </w:trPr>
        <w:tc>
          <w:tcPr>
            <w:tcW w:w="5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9708B" w:rsidRPr="0052150E" w:rsidTr="00F64279">
        <w:trPr>
          <w:tblHeader/>
          <w:jc w:val="center"/>
        </w:trPr>
        <w:tc>
          <w:tcPr>
            <w:tcW w:w="5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08B" w:rsidRPr="0052150E" w:rsidRDefault="00A9708B" w:rsidP="00735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Prize Value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9708B" w:rsidRPr="0052150E" w:rsidRDefault="00A9708B" w:rsidP="00735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</w:t>
            </w:r>
            <w:r w:rsidRPr="0052150E"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A9708B">
            <w:r w:rsidRPr="00F64279">
              <w:t>Greater than $3,000 and less than or equal to $5,000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A13837">
            <w:r>
              <w:t>$2</w:t>
            </w:r>
            <w:r w:rsidR="00A13837">
              <w:t>1</w:t>
            </w:r>
            <w:r w:rsidR="004817ED">
              <w:t>6</w:t>
            </w:r>
            <w:r w:rsidR="00A9708B" w:rsidRPr="00F64279">
              <w:t>.00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7354FC">
            <w:r w:rsidRPr="00F64279">
              <w:t>Greater than $5,000 and less than or equal to $10,000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F64BBC">
            <w:r>
              <w:t>$</w:t>
            </w:r>
            <w:r w:rsidR="00765469">
              <w:t>3</w:t>
            </w:r>
            <w:r w:rsidR="004817ED">
              <w:t>15</w:t>
            </w:r>
            <w:r w:rsidR="00A9708B" w:rsidRPr="00F64279">
              <w:t>.00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7354FC">
            <w:r w:rsidRPr="00F64279">
              <w:t>Greater than $10,000 or less than or equal to $50,000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F64BBC">
            <w:r>
              <w:t>$</w:t>
            </w:r>
            <w:r w:rsidR="004817ED">
              <w:t>605</w:t>
            </w:r>
            <w:r w:rsidR="00A9708B" w:rsidRPr="00F64279">
              <w:t>.00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7354FC">
            <w:r w:rsidRPr="00F64279">
              <w:t>Greater than $50,000 and less than or equal to $100,000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A13837">
            <w:r>
              <w:t>$8</w:t>
            </w:r>
            <w:r w:rsidR="004817ED">
              <w:t>64</w:t>
            </w:r>
            <w:r w:rsidR="00A9708B" w:rsidRPr="00F64279">
              <w:t>.00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A9708B">
            <w:r w:rsidRPr="00F64279">
              <w:t>Greater than $100,000 and less than or equal to $200,000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F64BBC">
            <w:r>
              <w:t>$1,</w:t>
            </w:r>
            <w:r w:rsidR="004817ED">
              <w:t>724</w:t>
            </w:r>
            <w:r w:rsidR="00A9708B" w:rsidRPr="00F64279">
              <w:t>.00</w:t>
            </w:r>
          </w:p>
        </w:tc>
      </w:tr>
      <w:tr w:rsidR="00A9708B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A9708B" w:rsidRPr="00F64279" w:rsidRDefault="00A9708B" w:rsidP="007354FC">
            <w:r w:rsidRPr="00F64279">
              <w:t>Greater than $200,000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A9708B" w:rsidRPr="00F64279" w:rsidRDefault="00164B12" w:rsidP="00F64BBC">
            <w:r>
              <w:t>$3,</w:t>
            </w:r>
            <w:r w:rsidR="004817ED">
              <w:t>456</w:t>
            </w:r>
            <w:r w:rsidR="00A9708B" w:rsidRPr="00F64279">
              <w:t>.00</w:t>
            </w:r>
          </w:p>
        </w:tc>
      </w:tr>
    </w:tbl>
    <w:p w:rsidR="00EC24A6" w:rsidRPr="00A9708B" w:rsidRDefault="00EC24A6" w:rsidP="00A9708B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A9708B">
      <w:pPr>
        <w:pStyle w:val="BodyText"/>
        <w:numPr>
          <w:ilvl w:val="0"/>
          <w:numId w:val="16"/>
        </w:numPr>
        <w:tabs>
          <w:tab w:val="clear" w:pos="720"/>
          <w:tab w:val="num" w:pos="360"/>
          <w:tab w:val="left" w:pos="1701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a trade promotion lottery is withdrawn prior to commencement of its assessment, the fee payable in this determination is refundable to the amount of that fee less $</w:t>
      </w:r>
      <w:r w:rsidR="00164B12">
        <w:rPr>
          <w:rFonts w:ascii="Times New Roman" w:hAnsi="Times New Roman"/>
        </w:rPr>
        <w:t>6</w:t>
      </w:r>
      <w:r w:rsidR="004817E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EC24A6" w:rsidRDefault="00EC24A6">
      <w:pPr>
        <w:pStyle w:val="BodyText"/>
        <w:tabs>
          <w:tab w:val="left" w:pos="360"/>
          <w:tab w:val="left" w:pos="1701"/>
        </w:tabs>
        <w:rPr>
          <w:rFonts w:ascii="Times New Roman" w:hAnsi="Times New Roman"/>
        </w:rPr>
      </w:pPr>
    </w:p>
    <w:p w:rsidR="00EC24A6" w:rsidRDefault="00EC24A6">
      <w:pPr>
        <w:pStyle w:val="BodyText"/>
        <w:numPr>
          <w:ilvl w:val="0"/>
          <w:numId w:val="16"/>
        </w:numPr>
        <w:tabs>
          <w:tab w:val="clear" w:pos="720"/>
          <w:tab w:val="num" w:pos="360"/>
          <w:tab w:val="left" w:pos="1701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a trade promotion lottery is withdrawn following the commencement of its assessment, the fees in this determination are not refundable.</w:t>
      </w:r>
    </w:p>
    <w:p w:rsidR="00EC24A6" w:rsidRDefault="00EC24A6">
      <w:pPr>
        <w:pStyle w:val="BodyText"/>
        <w:tabs>
          <w:tab w:val="left" w:pos="1701"/>
        </w:tabs>
        <w:rPr>
          <w:rFonts w:ascii="Times New Roman" w:hAnsi="Times New Roman"/>
        </w:rPr>
      </w:pPr>
    </w:p>
    <w:p w:rsidR="00EC24A6" w:rsidRDefault="00EC24A6">
      <w:pPr>
        <w:pStyle w:val="BodyText"/>
        <w:numPr>
          <w:ilvl w:val="0"/>
          <w:numId w:val="16"/>
        </w:numPr>
        <w:tabs>
          <w:tab w:val="clear" w:pos="720"/>
          <w:tab w:val="num" w:pos="360"/>
          <w:tab w:val="left" w:pos="1701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If an application for approval to conduct a lottery that is a trade promotion lottery is refused, the fees in this determination are not refundable.</w:t>
      </w:r>
    </w:p>
    <w:p w:rsidR="001B01B3" w:rsidRDefault="001B01B3">
      <w:pPr>
        <w:pStyle w:val="BodyText"/>
        <w:tabs>
          <w:tab w:val="left" w:pos="1701"/>
        </w:tabs>
        <w:rPr>
          <w:rFonts w:ascii="Times New Roman" w:hAnsi="Times New Roman"/>
        </w:rPr>
      </w:pPr>
    </w:p>
    <w:p w:rsidR="00EC24A6" w:rsidRDefault="00EC24A6" w:rsidP="001559E7">
      <w:pPr>
        <w:pStyle w:val="BodyText"/>
        <w:numPr>
          <w:ilvl w:val="0"/>
          <w:numId w:val="16"/>
        </w:numPr>
        <w:tabs>
          <w:tab w:val="clear" w:pos="720"/>
          <w:tab w:val="num" w:pos="360"/>
          <w:tab w:val="left" w:pos="1701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 request is made to vary the application once the assessment of the application has commenced, the fee is </w:t>
      </w:r>
      <w:r w:rsidR="00136054">
        <w:rPr>
          <w:rFonts w:ascii="Times New Roman" w:hAnsi="Times New Roman"/>
          <w:b/>
          <w:bCs/>
          <w:u w:val="single"/>
        </w:rPr>
        <w:t>shown in Table C Column 2</w:t>
      </w:r>
      <w:r>
        <w:rPr>
          <w:rFonts w:ascii="Times New Roman" w:hAnsi="Times New Roman"/>
          <w:b/>
          <w:bCs/>
          <w:u w:val="single"/>
        </w:rPr>
        <w:t xml:space="preserve"> that is in respect of the corresponding prize value of the lottery listed in Column 1.</w:t>
      </w:r>
    </w:p>
    <w:p w:rsidR="00EC24A6" w:rsidRDefault="00EC24A6" w:rsidP="001559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1559E7">
      <w:pPr>
        <w:pStyle w:val="BodyText"/>
        <w:tabs>
          <w:tab w:val="clear" w:pos="567"/>
          <w:tab w:val="left" w:pos="360"/>
          <w:tab w:val="left" w:pos="1701"/>
        </w:tabs>
        <w:ind w:left="360" w:hanging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(f)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If an application is made under section 7A of the Act to vary the approval to conduct a lottery that is a trade promotion lottery, the fee is </w:t>
      </w:r>
      <w:r>
        <w:rPr>
          <w:rFonts w:ascii="Times New Roman" w:hAnsi="Times New Roman"/>
          <w:b/>
          <w:bCs/>
          <w:u w:val="single"/>
        </w:rPr>
        <w:t>shown in Table C Column 2 that is in respect of the corresponding prize value of the lottery listed in Column 1</w:t>
      </w:r>
      <w:r>
        <w:rPr>
          <w:rFonts w:ascii="Times New Roman" w:hAnsi="Times New Roman"/>
          <w:b/>
          <w:bCs/>
        </w:rPr>
        <w:t>.</w:t>
      </w:r>
    </w:p>
    <w:p w:rsidR="00EC24A6" w:rsidRDefault="00EC24A6" w:rsidP="001559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Pr="00360699" w:rsidRDefault="002B7C72" w:rsidP="001559E7">
      <w:pPr>
        <w:pStyle w:val="BodyText"/>
        <w:numPr>
          <w:ilvl w:val="0"/>
          <w:numId w:val="6"/>
        </w:numPr>
        <w:tabs>
          <w:tab w:val="clear" w:pos="567"/>
          <w:tab w:val="left" w:pos="360"/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Commission may at its discretion, decide to waive or reduce the fee applying to a lottery that is a trade promotion where the applicant is a charitable organisation or the activity being supported is for a charitable purpose and the Commission considers that it</w:t>
      </w:r>
      <w:r w:rsidR="004716B0" w:rsidRPr="004716B0">
        <w:rPr>
          <w:rFonts w:ascii="Times New Roman" w:hAnsi="Times New Roman"/>
        </w:rPr>
        <w:t xml:space="preserve"> </w:t>
      </w:r>
      <w:r w:rsidR="004716B0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in the public interest to waive or reduce the fee.</w:t>
      </w:r>
    </w:p>
    <w:p w:rsidR="00CD37C3" w:rsidRDefault="00CD37C3" w:rsidP="00461458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461458" w:rsidRPr="00A9708B" w:rsidRDefault="00461458" w:rsidP="00461458">
      <w:pPr>
        <w:pStyle w:val="BodyText"/>
        <w:tabs>
          <w:tab w:val="left" w:pos="170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A9708B">
        <w:rPr>
          <w:rFonts w:ascii="Times New Roman" w:hAnsi="Times New Roman"/>
          <w:b/>
        </w:rPr>
        <w:lastRenderedPageBreak/>
        <w:t xml:space="preserve">Table </w:t>
      </w:r>
      <w:r>
        <w:rPr>
          <w:rFonts w:ascii="Times New Roman" w:hAnsi="Times New Roman"/>
          <w:b/>
        </w:rPr>
        <w:t>C</w:t>
      </w:r>
    </w:p>
    <w:p w:rsidR="00461458" w:rsidRPr="00A9708B" w:rsidRDefault="00461458" w:rsidP="00461458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tbl>
      <w:tblPr>
        <w:tblW w:w="7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1418"/>
      </w:tblGrid>
      <w:tr w:rsidR="00A232CB" w:rsidRPr="0052150E" w:rsidTr="00A232CB">
        <w:trPr>
          <w:tblHeader/>
          <w:jc w:val="center"/>
        </w:trPr>
        <w:tc>
          <w:tcPr>
            <w:tcW w:w="5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2CB" w:rsidRPr="0052150E" w:rsidRDefault="00A232CB" w:rsidP="007354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2150E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61458" w:rsidRPr="0052150E" w:rsidTr="00F64279">
        <w:trPr>
          <w:tblHeader/>
          <w:jc w:val="center"/>
        </w:trPr>
        <w:tc>
          <w:tcPr>
            <w:tcW w:w="5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1458" w:rsidRPr="0052150E" w:rsidRDefault="00461458" w:rsidP="00735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Prize Value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1458" w:rsidRPr="0052150E" w:rsidRDefault="00461458" w:rsidP="007354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</w:t>
            </w:r>
            <w:r w:rsidRPr="0052150E"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461458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461458" w:rsidRPr="00F64279" w:rsidRDefault="00461458" w:rsidP="007354FC">
            <w:r w:rsidRPr="00F64279">
              <w:t>Less than or equal to $5,000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1458" w:rsidRPr="00F64279" w:rsidRDefault="00164B12" w:rsidP="00A13837">
            <w:r>
              <w:t>$6</w:t>
            </w:r>
            <w:r w:rsidR="004817ED">
              <w:t>4</w:t>
            </w:r>
            <w:r w:rsidR="00461458" w:rsidRPr="00F64279">
              <w:t>.00</w:t>
            </w:r>
          </w:p>
        </w:tc>
      </w:tr>
      <w:tr w:rsidR="00461458" w:rsidRPr="00F64279" w:rsidTr="00F64279">
        <w:trPr>
          <w:jc w:val="center"/>
        </w:trPr>
        <w:tc>
          <w:tcPr>
            <w:tcW w:w="5915" w:type="dxa"/>
            <w:tcBorders>
              <w:left w:val="nil"/>
              <w:right w:val="nil"/>
            </w:tcBorders>
          </w:tcPr>
          <w:p w:rsidR="00461458" w:rsidRPr="00F64279" w:rsidRDefault="00461458" w:rsidP="007354FC">
            <w:r w:rsidRPr="00F64279">
              <w:t>Greater than $5,000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1458" w:rsidRPr="00F64279" w:rsidRDefault="00164B12" w:rsidP="00F64BBC">
            <w:r>
              <w:t>$1</w:t>
            </w:r>
            <w:r w:rsidR="004817ED">
              <w:t>22</w:t>
            </w:r>
            <w:r w:rsidR="00461458" w:rsidRPr="00F64279">
              <w:t>.00</w:t>
            </w:r>
          </w:p>
        </w:tc>
      </w:tr>
    </w:tbl>
    <w:p w:rsidR="00EC24A6" w:rsidRDefault="00EC24A6">
      <w:pPr>
        <w:pStyle w:val="BodyText"/>
        <w:tabs>
          <w:tab w:val="left" w:pos="1701"/>
        </w:tabs>
        <w:rPr>
          <w:rFonts w:ascii="Times New Roman" w:hAnsi="Times New Roman"/>
        </w:rPr>
      </w:pPr>
    </w:p>
    <w:p w:rsidR="00EC24A6" w:rsidRDefault="00EC24A6">
      <w:pPr>
        <w:pStyle w:val="BodyText"/>
        <w:tabs>
          <w:tab w:val="left" w:pos="1701"/>
        </w:tabs>
        <w:rPr>
          <w:rFonts w:ascii="Times New Roman" w:hAnsi="Times New Roman"/>
        </w:rPr>
      </w:pPr>
    </w:p>
    <w:p w:rsidR="00EC24A6" w:rsidRDefault="00EC24A6" w:rsidP="001559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Notes</w:t>
      </w:r>
      <w:r>
        <w:rPr>
          <w:rFonts w:ascii="Times New Roman" w:hAnsi="Times New Roman"/>
        </w:rPr>
        <w:t>:</w:t>
      </w:r>
    </w:p>
    <w:p w:rsidR="00EC24A6" w:rsidRDefault="00EC24A6" w:rsidP="001559E7">
      <w:pPr>
        <w:pStyle w:val="BodyText"/>
        <w:tabs>
          <w:tab w:val="left" w:pos="1701"/>
        </w:tabs>
        <w:jc w:val="both"/>
        <w:rPr>
          <w:rFonts w:ascii="Times New Roman" w:hAnsi="Times New Roman"/>
        </w:rPr>
      </w:pPr>
    </w:p>
    <w:p w:rsidR="00EC24A6" w:rsidRDefault="00EC24A6" w:rsidP="001559E7">
      <w:pPr>
        <w:pStyle w:val="BodyText"/>
        <w:tabs>
          <w:tab w:val="clear" w:pos="567"/>
          <w:tab w:val="clear" w:pos="1134"/>
        </w:tabs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The </w:t>
      </w:r>
      <w:r>
        <w:rPr>
          <w:rFonts w:ascii="Times New Roman" w:hAnsi="Times New Roman"/>
          <w:b/>
          <w:bCs/>
        </w:rPr>
        <w:t>assessment of an application</w:t>
      </w:r>
      <w:r>
        <w:rPr>
          <w:rFonts w:ascii="Times New Roman" w:hAnsi="Times New Roman"/>
        </w:rPr>
        <w:t xml:space="preserve"> means the consideration or analysis of an application to determine its eligibility under the Act,</w:t>
      </w:r>
      <w:r w:rsidR="00CA40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but does not include the registration or recording of the receipt of an application or its associated fee.</w:t>
      </w:r>
    </w:p>
    <w:p w:rsidR="00EC24A6" w:rsidRDefault="00EC24A6" w:rsidP="001559E7">
      <w:pPr>
        <w:pStyle w:val="Header"/>
        <w:tabs>
          <w:tab w:val="clear" w:pos="2880"/>
          <w:tab w:val="clear" w:pos="4153"/>
          <w:tab w:val="clear" w:pos="8306"/>
        </w:tabs>
        <w:jc w:val="both"/>
        <w:rPr>
          <w:rFonts w:ascii="Times New Roman" w:hAnsi="Times New Roman"/>
          <w:lang w:val="en-AU"/>
        </w:rPr>
      </w:pPr>
    </w:p>
    <w:p w:rsidR="00EC24A6" w:rsidRDefault="00EC24A6" w:rsidP="001559E7">
      <w:pPr>
        <w:pStyle w:val="Header"/>
        <w:tabs>
          <w:tab w:val="clear" w:pos="2880"/>
          <w:tab w:val="clear" w:pos="4153"/>
          <w:tab w:val="clear" w:pos="8306"/>
        </w:tabs>
        <w:ind w:left="360" w:hanging="360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2.</w:t>
      </w:r>
      <w:r>
        <w:rPr>
          <w:rFonts w:ascii="Times New Roman" w:hAnsi="Times New Roman"/>
          <w:lang w:val="en-AU"/>
        </w:rPr>
        <w:tab/>
        <w:t xml:space="preserve">A </w:t>
      </w:r>
      <w:r>
        <w:rPr>
          <w:rFonts w:ascii="Times New Roman" w:hAnsi="Times New Roman"/>
          <w:b/>
          <w:bCs/>
          <w:lang w:val="en-AU"/>
        </w:rPr>
        <w:t>trade promotion lottery</w:t>
      </w:r>
      <w:r>
        <w:rPr>
          <w:rFonts w:ascii="Times New Roman" w:hAnsi="Times New Roman"/>
          <w:lang w:val="en-AU"/>
        </w:rPr>
        <w:t xml:space="preserve"> is in general terms a promotion activity by a business enterprise that involves a lottery with prizewinners determined by any means that includes an element of chance or a mixture of chance and skill.  A prize includes anything of value or benefit.</w:t>
      </w:r>
    </w:p>
    <w:p w:rsidR="00544D5B" w:rsidRDefault="00544D5B" w:rsidP="001559E7">
      <w:pPr>
        <w:pStyle w:val="Header"/>
        <w:tabs>
          <w:tab w:val="clear" w:pos="2880"/>
          <w:tab w:val="clear" w:pos="4153"/>
          <w:tab w:val="clear" w:pos="8306"/>
        </w:tabs>
        <w:ind w:left="360" w:hanging="360"/>
        <w:jc w:val="both"/>
        <w:rPr>
          <w:rFonts w:ascii="Times New Roman" w:hAnsi="Times New Roman"/>
          <w:lang w:val="en-AU"/>
        </w:rPr>
      </w:pPr>
    </w:p>
    <w:p w:rsidR="00544D5B" w:rsidRDefault="00544D5B" w:rsidP="001559E7">
      <w:pPr>
        <w:pStyle w:val="Header"/>
        <w:tabs>
          <w:tab w:val="clear" w:pos="2880"/>
          <w:tab w:val="clear" w:pos="4153"/>
          <w:tab w:val="clear" w:pos="8306"/>
        </w:tabs>
        <w:ind w:left="360" w:hanging="360"/>
        <w:jc w:val="both"/>
        <w:rPr>
          <w:rFonts w:ascii="Times New Roman" w:hAnsi="Times New Roman"/>
          <w:lang w:val="en-AU"/>
        </w:rPr>
      </w:pPr>
    </w:p>
    <w:sectPr w:rsidR="00544D5B" w:rsidSect="00461458">
      <w:headerReference w:type="default" r:id="rId13"/>
      <w:headerReference w:type="first" r:id="rId14"/>
      <w:pgSz w:w="11907" w:h="16839" w:code="9"/>
      <w:pgMar w:top="1440" w:right="1701" w:bottom="1440" w:left="1797" w:header="720" w:footer="97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7D" w:rsidRDefault="001D4F7D">
      <w:r>
        <w:separator/>
      </w:r>
    </w:p>
  </w:endnote>
  <w:endnote w:type="continuationSeparator" w:id="0">
    <w:p w:rsidR="001D4F7D" w:rsidRDefault="001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86" w:rsidRDefault="00495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86" w:rsidRPr="00495286" w:rsidRDefault="00495286" w:rsidP="00495286">
    <w:pPr>
      <w:pStyle w:val="Footer"/>
      <w:jc w:val="center"/>
      <w:rPr>
        <w:sz w:val="14"/>
      </w:rPr>
    </w:pPr>
    <w:r w:rsidRPr="00495286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86" w:rsidRPr="00495286" w:rsidRDefault="00495286" w:rsidP="00495286">
    <w:pPr>
      <w:pStyle w:val="Footer"/>
      <w:jc w:val="center"/>
      <w:rPr>
        <w:sz w:val="14"/>
      </w:rPr>
    </w:pPr>
    <w:r w:rsidRPr="00495286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7D" w:rsidRDefault="001D4F7D">
      <w:r>
        <w:separator/>
      </w:r>
    </w:p>
  </w:footnote>
  <w:footnote w:type="continuationSeparator" w:id="0">
    <w:p w:rsidR="001D4F7D" w:rsidRDefault="001D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86" w:rsidRDefault="00495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E7" w:rsidRPr="00B83142" w:rsidRDefault="001559E7" w:rsidP="001B01B3">
    <w:pPr>
      <w:pStyle w:val="Header"/>
      <w:jc w:val="center"/>
      <w:rPr>
        <w:rFonts w:ascii="Times New Roman" w:hAnsi="Times New Roman"/>
        <w:b/>
        <w:b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sz w:val="22"/>
        <w:szCs w:val="22"/>
        <w:lang w:val="en-AU"/>
      </w:rPr>
      <w:t xml:space="preserve">This is </w:t>
    </w:r>
    <w:r w:rsidR="00B17292" w:rsidRPr="00B83142">
      <w:rPr>
        <w:rFonts w:ascii="Times New Roman" w:hAnsi="Times New Roman"/>
        <w:b/>
        <w:bCs/>
        <w:sz w:val="22"/>
        <w:szCs w:val="22"/>
        <w:lang w:val="en-AU"/>
      </w:rPr>
      <w:t>p</w:t>
    </w:r>
    <w:r w:rsidRPr="00B83142">
      <w:rPr>
        <w:rFonts w:ascii="Times New Roman" w:hAnsi="Times New Roman"/>
        <w:b/>
        <w:bCs/>
        <w:sz w:val="22"/>
        <w:szCs w:val="22"/>
        <w:lang w:val="en-AU"/>
      </w:rPr>
      <w:t xml:space="preserve">age 1 of 3 </w:t>
    </w:r>
    <w:r w:rsidR="00B17292" w:rsidRPr="00B83142">
      <w:rPr>
        <w:rFonts w:ascii="Times New Roman" w:hAnsi="Times New Roman"/>
        <w:b/>
        <w:bCs/>
        <w:sz w:val="22"/>
        <w:szCs w:val="22"/>
        <w:lang w:val="en-AU"/>
      </w:rPr>
      <w:t>p</w:t>
    </w:r>
    <w:r w:rsidRPr="00B83142">
      <w:rPr>
        <w:rFonts w:ascii="Times New Roman" w:hAnsi="Times New Roman"/>
        <w:b/>
        <w:bCs/>
        <w:sz w:val="22"/>
        <w:szCs w:val="22"/>
        <w:lang w:val="en-AU"/>
      </w:rPr>
      <w:t>ages of the Schedule to the</w:t>
    </w:r>
  </w:p>
  <w:p w:rsidR="001559E7" w:rsidRPr="00B83142" w:rsidRDefault="001559E7" w:rsidP="001B01B3">
    <w:pPr>
      <w:pStyle w:val="Header"/>
      <w:jc w:val="center"/>
      <w:rPr>
        <w:rFonts w:ascii="Times New Roman" w:hAnsi="Times New Roman"/>
        <w:b/>
        <w:bCs/>
        <w:i/>
        <w:i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>Lotteries (Fees) Determination 201</w:t>
    </w:r>
    <w:r w:rsidR="000138CB">
      <w:rPr>
        <w:rFonts w:ascii="Times New Roman" w:hAnsi="Times New Roman"/>
        <w:b/>
        <w:bCs/>
        <w:i/>
        <w:iCs/>
        <w:sz w:val="22"/>
        <w:szCs w:val="22"/>
        <w:lang w:val="en-AU"/>
      </w:rPr>
      <w:t>9</w:t>
    </w: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 xml:space="preserve"> (No 1)</w:t>
    </w:r>
  </w:p>
  <w:p w:rsidR="001559E7" w:rsidRPr="00B83142" w:rsidRDefault="001559E7">
    <w:pPr>
      <w:pStyle w:val="Head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86" w:rsidRDefault="004952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46B" w:rsidRPr="00B83142" w:rsidRDefault="008E646B" w:rsidP="001B01B3">
    <w:pPr>
      <w:pStyle w:val="Header"/>
      <w:jc w:val="center"/>
      <w:rPr>
        <w:rFonts w:ascii="Times New Roman" w:hAnsi="Times New Roman"/>
        <w:b/>
        <w:b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sz w:val="22"/>
        <w:szCs w:val="22"/>
        <w:lang w:val="en-AU"/>
      </w:rPr>
      <w:t>This is page 3 of 3 pages of the Schedule to the</w:t>
    </w:r>
  </w:p>
  <w:p w:rsidR="008E646B" w:rsidRPr="00B83142" w:rsidRDefault="008E646B" w:rsidP="001B01B3">
    <w:pPr>
      <w:pStyle w:val="Header"/>
      <w:jc w:val="center"/>
      <w:rPr>
        <w:rFonts w:ascii="Times New Roman" w:hAnsi="Times New Roman"/>
        <w:b/>
        <w:bCs/>
        <w:i/>
        <w:i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>Lotteries (Fees) Determination 201</w:t>
    </w:r>
    <w:r w:rsidR="004817ED">
      <w:rPr>
        <w:rFonts w:ascii="Times New Roman" w:hAnsi="Times New Roman"/>
        <w:b/>
        <w:bCs/>
        <w:i/>
        <w:iCs/>
        <w:sz w:val="22"/>
        <w:szCs w:val="22"/>
        <w:lang w:val="en-AU"/>
      </w:rPr>
      <w:t>9</w:t>
    </w: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 xml:space="preserve"> (No 1)</w:t>
    </w:r>
  </w:p>
  <w:p w:rsidR="008E646B" w:rsidRPr="00B83142" w:rsidRDefault="008E646B">
    <w:pPr>
      <w:pStyle w:val="Header"/>
      <w:rPr>
        <w:rFonts w:ascii="Times New Roman" w:hAnsi="Times New Roman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E7" w:rsidRPr="00B83142" w:rsidRDefault="001559E7">
    <w:pPr>
      <w:pStyle w:val="Header"/>
      <w:jc w:val="center"/>
      <w:rPr>
        <w:rFonts w:ascii="Times New Roman" w:hAnsi="Times New Roman"/>
        <w:b/>
        <w:b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sz w:val="22"/>
        <w:szCs w:val="22"/>
        <w:lang w:val="en-AU"/>
      </w:rPr>
      <w:t xml:space="preserve">This is page </w:t>
    </w:r>
    <w:r w:rsidR="008E646B" w:rsidRPr="00B83142">
      <w:rPr>
        <w:rFonts w:ascii="Times New Roman" w:hAnsi="Times New Roman"/>
        <w:b/>
        <w:bCs/>
        <w:sz w:val="22"/>
        <w:szCs w:val="22"/>
        <w:lang w:val="en-AU"/>
      </w:rPr>
      <w:t>2</w:t>
    </w:r>
    <w:r w:rsidRPr="00B83142">
      <w:rPr>
        <w:rFonts w:ascii="Times New Roman" w:hAnsi="Times New Roman"/>
        <w:b/>
        <w:bCs/>
        <w:sz w:val="22"/>
        <w:szCs w:val="22"/>
        <w:lang w:val="en-AU"/>
      </w:rPr>
      <w:t xml:space="preserve"> of 3 pages of the Schedule to the</w:t>
    </w:r>
  </w:p>
  <w:p w:rsidR="001559E7" w:rsidRPr="00B83142" w:rsidRDefault="001559E7" w:rsidP="001E0DB9">
    <w:pPr>
      <w:pStyle w:val="Header"/>
      <w:jc w:val="center"/>
      <w:rPr>
        <w:rFonts w:ascii="Times New Roman" w:hAnsi="Times New Roman"/>
        <w:b/>
        <w:bCs/>
        <w:i/>
        <w:iCs/>
        <w:sz w:val="22"/>
        <w:szCs w:val="22"/>
        <w:lang w:val="en-AU"/>
      </w:rPr>
    </w:pP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>Lotteries (Fees) Determination 201</w:t>
    </w:r>
    <w:r w:rsidR="004817ED">
      <w:rPr>
        <w:rFonts w:ascii="Times New Roman" w:hAnsi="Times New Roman"/>
        <w:b/>
        <w:bCs/>
        <w:i/>
        <w:iCs/>
        <w:sz w:val="22"/>
        <w:szCs w:val="22"/>
        <w:lang w:val="en-AU"/>
      </w:rPr>
      <w:t>9</w:t>
    </w:r>
    <w:r w:rsidRPr="00B83142">
      <w:rPr>
        <w:rFonts w:ascii="Times New Roman" w:hAnsi="Times New Roman"/>
        <w:b/>
        <w:bCs/>
        <w:i/>
        <w:iCs/>
        <w:sz w:val="22"/>
        <w:szCs w:val="22"/>
        <w:lang w:val="en-AU"/>
      </w:rPr>
      <w:t xml:space="preserve"> (No 1)</w:t>
    </w:r>
  </w:p>
  <w:p w:rsidR="00B83142" w:rsidRPr="00B83142" w:rsidRDefault="00B83142" w:rsidP="00B83142">
    <w:pPr>
      <w:pStyle w:val="Header"/>
      <w:rPr>
        <w:rFonts w:ascii="Times New Roman" w:hAnsi="Times New Roman"/>
        <w:b/>
        <w:bCs/>
        <w:i/>
        <w:iCs/>
        <w:sz w:val="22"/>
        <w:szCs w:val="2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034"/>
    <w:multiLevelType w:val="hybridMultilevel"/>
    <w:tmpl w:val="97C851FA"/>
    <w:lvl w:ilvl="0" w:tplc="0400CBA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D150C5"/>
    <w:multiLevelType w:val="hybridMultilevel"/>
    <w:tmpl w:val="E2B612BC"/>
    <w:lvl w:ilvl="0" w:tplc="721C093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E0273"/>
    <w:multiLevelType w:val="hybridMultilevel"/>
    <w:tmpl w:val="47E80DFE"/>
    <w:lvl w:ilvl="0" w:tplc="130CFB7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20A04CF7"/>
    <w:multiLevelType w:val="hybridMultilevel"/>
    <w:tmpl w:val="ECE6E7DC"/>
    <w:lvl w:ilvl="0" w:tplc="4750202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A577E"/>
    <w:multiLevelType w:val="hybridMultilevel"/>
    <w:tmpl w:val="8F5C31D8"/>
    <w:lvl w:ilvl="0" w:tplc="8972424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E4A41"/>
    <w:multiLevelType w:val="hybridMultilevel"/>
    <w:tmpl w:val="C442A9C0"/>
    <w:lvl w:ilvl="0" w:tplc="0400CBA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41F94"/>
    <w:multiLevelType w:val="hybridMultilevel"/>
    <w:tmpl w:val="32CE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F2004"/>
    <w:multiLevelType w:val="singleLevel"/>
    <w:tmpl w:val="E3B63B6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32C01F7B"/>
    <w:multiLevelType w:val="hybridMultilevel"/>
    <w:tmpl w:val="C4941AF0"/>
    <w:lvl w:ilvl="0" w:tplc="4AAAF48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1619"/>
    <w:multiLevelType w:val="hybridMultilevel"/>
    <w:tmpl w:val="FFD4F16A"/>
    <w:lvl w:ilvl="0" w:tplc="0400CBA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650855"/>
    <w:multiLevelType w:val="hybridMultilevel"/>
    <w:tmpl w:val="5CF8130C"/>
    <w:lvl w:ilvl="0" w:tplc="9B045F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B356D"/>
    <w:multiLevelType w:val="singleLevel"/>
    <w:tmpl w:val="0F8E1142"/>
    <w:lvl w:ilvl="0">
      <w:start w:val="2"/>
      <w:numFmt w:val="decimal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2B43D3E"/>
    <w:multiLevelType w:val="hybridMultilevel"/>
    <w:tmpl w:val="61D6BDB4"/>
    <w:lvl w:ilvl="0" w:tplc="5B2AC76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26587"/>
    <w:multiLevelType w:val="hybridMultilevel"/>
    <w:tmpl w:val="58B8FC62"/>
    <w:lvl w:ilvl="0" w:tplc="0400CBA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A571D9"/>
    <w:multiLevelType w:val="hybridMultilevel"/>
    <w:tmpl w:val="DB96C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41ABA"/>
    <w:multiLevelType w:val="hybridMultilevel"/>
    <w:tmpl w:val="1532A5F6"/>
    <w:lvl w:ilvl="0" w:tplc="8BE8ED6A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2F2"/>
    <w:rsid w:val="000138CB"/>
    <w:rsid w:val="00067BF6"/>
    <w:rsid w:val="00070CBD"/>
    <w:rsid w:val="000B3A3B"/>
    <w:rsid w:val="000B3B42"/>
    <w:rsid w:val="000C0FE9"/>
    <w:rsid w:val="000E4133"/>
    <w:rsid w:val="00101D6E"/>
    <w:rsid w:val="0012417A"/>
    <w:rsid w:val="00136054"/>
    <w:rsid w:val="00147503"/>
    <w:rsid w:val="001559E7"/>
    <w:rsid w:val="00164B12"/>
    <w:rsid w:val="001840D2"/>
    <w:rsid w:val="00195C83"/>
    <w:rsid w:val="001B016C"/>
    <w:rsid w:val="001B01B3"/>
    <w:rsid w:val="001B3D36"/>
    <w:rsid w:val="001D0539"/>
    <w:rsid w:val="001D4CA3"/>
    <w:rsid w:val="001D4F7D"/>
    <w:rsid w:val="001E0DB9"/>
    <w:rsid w:val="001F1B2B"/>
    <w:rsid w:val="001F1F4A"/>
    <w:rsid w:val="001F22F2"/>
    <w:rsid w:val="002353E5"/>
    <w:rsid w:val="002362C5"/>
    <w:rsid w:val="00264CA9"/>
    <w:rsid w:val="002B7C72"/>
    <w:rsid w:val="002C4BFD"/>
    <w:rsid w:val="00334C9F"/>
    <w:rsid w:val="00347929"/>
    <w:rsid w:val="00351275"/>
    <w:rsid w:val="0035238B"/>
    <w:rsid w:val="0035673C"/>
    <w:rsid w:val="00360699"/>
    <w:rsid w:val="003E7312"/>
    <w:rsid w:val="0042033E"/>
    <w:rsid w:val="00461458"/>
    <w:rsid w:val="004716B0"/>
    <w:rsid w:val="004817ED"/>
    <w:rsid w:val="00495286"/>
    <w:rsid w:val="004D0D9A"/>
    <w:rsid w:val="004D2EDF"/>
    <w:rsid w:val="004D4907"/>
    <w:rsid w:val="00511B68"/>
    <w:rsid w:val="0052150E"/>
    <w:rsid w:val="005247CD"/>
    <w:rsid w:val="00544D5B"/>
    <w:rsid w:val="00557544"/>
    <w:rsid w:val="0056484F"/>
    <w:rsid w:val="00577936"/>
    <w:rsid w:val="005C58C6"/>
    <w:rsid w:val="005E3EE9"/>
    <w:rsid w:val="005F04DB"/>
    <w:rsid w:val="0060071D"/>
    <w:rsid w:val="00613AA3"/>
    <w:rsid w:val="00623F3D"/>
    <w:rsid w:val="00626511"/>
    <w:rsid w:val="00636DDF"/>
    <w:rsid w:val="006444D0"/>
    <w:rsid w:val="0065238C"/>
    <w:rsid w:val="00691A32"/>
    <w:rsid w:val="00695ED9"/>
    <w:rsid w:val="006A177C"/>
    <w:rsid w:val="006E4D7D"/>
    <w:rsid w:val="00724DB9"/>
    <w:rsid w:val="007354FC"/>
    <w:rsid w:val="00765469"/>
    <w:rsid w:val="0076727E"/>
    <w:rsid w:val="0079087B"/>
    <w:rsid w:val="007A0F89"/>
    <w:rsid w:val="007E5904"/>
    <w:rsid w:val="007F66E7"/>
    <w:rsid w:val="0080370C"/>
    <w:rsid w:val="0082578F"/>
    <w:rsid w:val="00855C61"/>
    <w:rsid w:val="008E5C2D"/>
    <w:rsid w:val="008E646B"/>
    <w:rsid w:val="00921AAF"/>
    <w:rsid w:val="00956DBA"/>
    <w:rsid w:val="009773E1"/>
    <w:rsid w:val="00984145"/>
    <w:rsid w:val="00992822"/>
    <w:rsid w:val="009D3BF2"/>
    <w:rsid w:val="00A13837"/>
    <w:rsid w:val="00A232CB"/>
    <w:rsid w:val="00A54CE6"/>
    <w:rsid w:val="00A55830"/>
    <w:rsid w:val="00A7498B"/>
    <w:rsid w:val="00A9708B"/>
    <w:rsid w:val="00A9709D"/>
    <w:rsid w:val="00AE51B3"/>
    <w:rsid w:val="00B16D08"/>
    <w:rsid w:val="00B17292"/>
    <w:rsid w:val="00B7142A"/>
    <w:rsid w:val="00B83142"/>
    <w:rsid w:val="00BC4096"/>
    <w:rsid w:val="00BE0F00"/>
    <w:rsid w:val="00C25177"/>
    <w:rsid w:val="00CA40A6"/>
    <w:rsid w:val="00CC6F38"/>
    <w:rsid w:val="00CD37C3"/>
    <w:rsid w:val="00DB2635"/>
    <w:rsid w:val="00DE1BA3"/>
    <w:rsid w:val="00DF0CF2"/>
    <w:rsid w:val="00E142B1"/>
    <w:rsid w:val="00E30732"/>
    <w:rsid w:val="00E879D3"/>
    <w:rsid w:val="00E97401"/>
    <w:rsid w:val="00EB5175"/>
    <w:rsid w:val="00EC24A6"/>
    <w:rsid w:val="00EC4A33"/>
    <w:rsid w:val="00EF2A73"/>
    <w:rsid w:val="00EF6D81"/>
    <w:rsid w:val="00F61CF4"/>
    <w:rsid w:val="00F64279"/>
    <w:rsid w:val="00F64BBC"/>
    <w:rsid w:val="00F74DD0"/>
    <w:rsid w:val="00F97C34"/>
    <w:rsid w:val="00FA1408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9EF3-2C58-474F-8E67-D3B333E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  <w:rPr>
      <w:rFonts w:ascii="Arial" w:hAnsi="Arial"/>
      <w:lang w:val="en-US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rFonts w:ascii="Arial" w:hAnsi="Arial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rFonts w:ascii="Arial" w:hAnsi="Arial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tabs>
        <w:tab w:val="left" w:pos="1440"/>
      </w:tabs>
      <w:ind w:left="709"/>
    </w:pPr>
    <w:rPr>
      <w:rFonts w:ascii="Arial" w:hAnsi="Arial"/>
    </w:rPr>
  </w:style>
  <w:style w:type="paragraph" w:styleId="BodyText">
    <w:name w:val="Body Text"/>
    <w:basedOn w:val="Normal"/>
    <w:pPr>
      <w:tabs>
        <w:tab w:val="left" w:pos="567"/>
        <w:tab w:val="left" w:pos="1134"/>
        <w:tab w:val="left" w:pos="7230"/>
      </w:tabs>
      <w:ind w:right="-51"/>
    </w:pPr>
    <w:rPr>
      <w:rFonts w:ascii="Arial" w:hAnsi="Arial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alloonText">
    <w:name w:val="Balloon Text"/>
    <w:basedOn w:val="Normal"/>
    <w:semiHidden/>
    <w:rsid w:val="00DE1BA3"/>
    <w:rPr>
      <w:rFonts w:ascii="Tahoma" w:hAnsi="Tahoma" w:cs="Tahoma"/>
      <w:sz w:val="16"/>
      <w:szCs w:val="16"/>
    </w:rPr>
  </w:style>
  <w:style w:type="paragraph" w:customStyle="1" w:styleId="01Contents">
    <w:name w:val="01Contents"/>
    <w:basedOn w:val="Normal"/>
    <w:rsid w:val="00724DB9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B01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4500</Characters>
  <Application>Microsoft Office Word</Application>
  <DocSecurity>0</DocSecurity>
  <Lines>175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tamara grocott</dc:creator>
  <cp:keywords/>
  <dc:description/>
  <cp:lastModifiedBy>PCODCS</cp:lastModifiedBy>
  <cp:revision>4</cp:revision>
  <cp:lastPrinted>2015-06-09T03:58:00Z</cp:lastPrinted>
  <dcterms:created xsi:type="dcterms:W3CDTF">2019-06-18T05:47:00Z</dcterms:created>
  <dcterms:modified xsi:type="dcterms:W3CDTF">2019-06-18T05:47:00Z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A20168334</vt:lpwstr>
  </property>
  <property fmtid="{D5CDD505-2E9C-101B-9397-08002B2CF9AE}" pid="3" name="Objective-Title">
    <vt:lpwstr>Lotteries (Fees) Determination 2019 (No1) - DI2019-</vt:lpwstr>
  </property>
  <property fmtid="{D5CDD505-2E9C-101B-9397-08002B2CF9AE}" pid="4" name="Objective-Comment">
    <vt:lpwstr/>
  </property>
  <property fmtid="{D5CDD505-2E9C-101B-9397-08002B2CF9AE}" pid="5" name="Objective-CreationStamp">
    <vt:filetime>2019-06-12T05:32:24Z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2019-06-13T05:10:57Z</vt:filetime>
  </property>
  <property fmtid="{D5CDD505-2E9C-101B-9397-08002B2CF9AE}" pid="9" name="Objective-ModificationStamp">
    <vt:filetime>2019-06-18T04:56:33Z</vt:filetime>
  </property>
  <property fmtid="{D5CDD505-2E9C-101B-9397-08002B2CF9AE}" pid="10" name="Objective-Owner">
    <vt:lpwstr>Tina Gioffre</vt:lpwstr>
  </property>
  <property fmtid="{D5CDD505-2E9C-101B-9397-08002B2CF9AE}" pid="11" name="Objective-Path">
    <vt:lpwstr>Whole of ACT Government:AC - Access Canberra:16. BRANCH - Projects, Governance &amp; Support:SECTION - Policy &amp; Coordination:UNIT - Government Business &amp; Coordination:07. GBC Secretariat Services:ACT Gambling and Racing Commission (GRC) Secretariat:01. Board </vt:lpwstr>
  </property>
  <property fmtid="{D5CDD505-2E9C-101B-9397-08002B2CF9AE}" pid="12" name="Objective-Parent">
    <vt:lpwstr>01. Meeting Agenda and Papers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