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Pr="009A69ED" w:rsidRDefault="001C737C">
      <w:pPr>
        <w:pStyle w:val="Billname"/>
        <w:spacing w:before="700"/>
      </w:pPr>
      <w:r>
        <w:t>Public Place Names</w:t>
      </w:r>
      <w:r w:rsidR="00F10CB2">
        <w:t xml:space="preserve"> (</w:t>
      </w:r>
      <w:r w:rsidR="001F149D">
        <w:t>Wright</w:t>
      </w:r>
      <w:r w:rsidR="00F10CB2">
        <w:t xml:space="preserve">) </w:t>
      </w:r>
      <w:r>
        <w:t>Determination</w:t>
      </w:r>
      <w:r w:rsidR="00B30B9A">
        <w:t xml:space="preserve"> </w:t>
      </w:r>
      <w:r w:rsidR="001B22A4">
        <w:t>2019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A69ED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8448FC">
        <w:rPr>
          <w:rFonts w:ascii="Arial" w:hAnsi="Arial" w:cs="Arial"/>
          <w:b/>
          <w:bCs/>
        </w:rPr>
        <w:t>169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1C737C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Place Names Act 1989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Minister to determine names</w:t>
      </w:r>
      <w:r w:rsidR="00F10CB2">
        <w:rPr>
          <w:rFonts w:cs="Arial"/>
          <w:sz w:val="20"/>
        </w:rPr>
        <w:t>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Pr="001B22A4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1B22A4" w:rsidRPr="001B22A4">
        <w:rPr>
          <w:i/>
        </w:rPr>
        <w:t>Public Place Names</w:t>
      </w:r>
      <w:r w:rsidR="001B22A4">
        <w:t xml:space="preserve"> </w:t>
      </w:r>
      <w:r w:rsidR="001B22A4" w:rsidRPr="001B22A4">
        <w:rPr>
          <w:i/>
        </w:rPr>
        <w:t>(</w:t>
      </w:r>
      <w:r w:rsidR="009A69ED">
        <w:rPr>
          <w:i/>
        </w:rPr>
        <w:t>Wright</w:t>
      </w:r>
      <w:r w:rsidR="001B22A4" w:rsidRPr="001B22A4">
        <w:rPr>
          <w:i/>
        </w:rPr>
        <w:t>)</w:t>
      </w:r>
      <w:r w:rsidR="001B22A4">
        <w:t xml:space="preserve"> </w:t>
      </w:r>
      <w:r w:rsidR="001B22A4" w:rsidRPr="001B22A4">
        <w:rPr>
          <w:i/>
        </w:rPr>
        <w:t>Determination 2019</w:t>
      </w:r>
      <w:r w:rsidRPr="001B22A4">
        <w:rPr>
          <w:bCs/>
          <w:i/>
          <w:iCs/>
        </w:rPr>
        <w:t>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Pr="009A69ED" w:rsidRDefault="00F10CB2" w:rsidP="00D47F13">
      <w:pPr>
        <w:spacing w:before="140"/>
        <w:ind w:left="720"/>
      </w:pPr>
      <w:r>
        <w:t xml:space="preserve">This instrument commences on </w:t>
      </w:r>
      <w:r w:rsidR="00492788">
        <w:t xml:space="preserve">the day </w:t>
      </w:r>
      <w:r w:rsidR="00492788" w:rsidRPr="009A69ED">
        <w:t xml:space="preserve">after </w:t>
      </w:r>
      <w:r w:rsidR="000C501D" w:rsidRPr="009A69ED">
        <w:t xml:space="preserve">its </w:t>
      </w:r>
      <w:r w:rsidR="00492788" w:rsidRPr="009A69ED">
        <w:t>notification</w:t>
      </w:r>
      <w:r w:rsidR="000C501D" w:rsidRPr="009A69ED">
        <w:t xml:space="preserve"> day</w:t>
      </w:r>
      <w:r w:rsidRPr="009A69ED">
        <w:t xml:space="preserve">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737C">
        <w:rPr>
          <w:rFonts w:ascii="Arial" w:hAnsi="Arial" w:cs="Arial"/>
          <w:b/>
          <w:bCs/>
        </w:rPr>
        <w:t>Determination of Place Name</w:t>
      </w:r>
    </w:p>
    <w:p w:rsidR="00E358BC" w:rsidRPr="00970517" w:rsidRDefault="00E358BC" w:rsidP="00E358BC">
      <w:pPr>
        <w:spacing w:before="140"/>
        <w:ind w:left="720"/>
      </w:pPr>
      <w:r>
        <w:t xml:space="preserve">I determine the </w:t>
      </w:r>
      <w:r w:rsidR="00A502EA">
        <w:t xml:space="preserve">place </w:t>
      </w:r>
      <w:r>
        <w:t xml:space="preserve">name </w:t>
      </w:r>
      <w:r w:rsidR="00A502EA">
        <w:t xml:space="preserve">as </w:t>
      </w:r>
      <w:r>
        <w:t xml:space="preserve">indicated in the schedule. </w:t>
      </w:r>
    </w:p>
    <w:p w:rsidR="00D47F13" w:rsidRDefault="00F236C5" w:rsidP="00232478">
      <w:pPr>
        <w:tabs>
          <w:tab w:val="left" w:pos="4320"/>
        </w:tabs>
        <w:spacing w:before="720"/>
      </w:pPr>
      <w:r>
        <w:t>Ben Ponton</w:t>
      </w:r>
    </w:p>
    <w:p w:rsidR="009A69ED" w:rsidRDefault="001C737C" w:rsidP="00232478">
      <w:pPr>
        <w:tabs>
          <w:tab w:val="left" w:pos="4320"/>
        </w:tabs>
      </w:pPr>
      <w:r>
        <w:t>Delegate of the Minister</w:t>
      </w:r>
      <w:r w:rsidR="008F060D">
        <w:t xml:space="preserve"> for Planning and Land Management </w:t>
      </w:r>
    </w:p>
    <w:bookmarkEnd w:id="0"/>
    <w:p w:rsidR="00F10CB2" w:rsidRDefault="008448FC" w:rsidP="00232478">
      <w:pPr>
        <w:tabs>
          <w:tab w:val="left" w:pos="4320"/>
        </w:tabs>
      </w:pPr>
      <w:r>
        <w:t xml:space="preserve">1 </w:t>
      </w:r>
      <w:r w:rsidR="009A69ED">
        <w:t>Ju</w:t>
      </w:r>
      <w:r w:rsidR="00164650">
        <w:t>ly</w:t>
      </w:r>
      <w:r w:rsidR="009A69ED">
        <w:t xml:space="preserve"> 2019</w:t>
      </w:r>
    </w:p>
    <w:p w:rsidR="001F1298" w:rsidRDefault="001F1298" w:rsidP="00232478">
      <w:pPr>
        <w:tabs>
          <w:tab w:val="left" w:pos="4320"/>
        </w:tabs>
      </w:pPr>
    </w:p>
    <w:p w:rsidR="001F1298" w:rsidRDefault="001F1298" w:rsidP="00232478">
      <w:pPr>
        <w:tabs>
          <w:tab w:val="left" w:pos="4320"/>
        </w:tabs>
      </w:pPr>
    </w:p>
    <w:p w:rsidR="001F1298" w:rsidRDefault="001F1298" w:rsidP="00232478">
      <w:pPr>
        <w:tabs>
          <w:tab w:val="left" w:pos="4320"/>
        </w:tabs>
      </w:pPr>
    </w:p>
    <w:p w:rsidR="00AA02C9" w:rsidRDefault="00AA02C9" w:rsidP="00232478">
      <w:pPr>
        <w:tabs>
          <w:tab w:val="left" w:pos="4320"/>
        </w:tabs>
      </w:pPr>
    </w:p>
    <w:p w:rsidR="001056A5" w:rsidRDefault="001056A5">
      <w:pPr>
        <w:sectPr w:rsidR="001056A5" w:rsidSect="001056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26"/>
        </w:sectPr>
      </w:pPr>
    </w:p>
    <w:p w:rsidR="003D7174" w:rsidRPr="00513572" w:rsidRDefault="002A039C" w:rsidP="002A039C">
      <w:pPr>
        <w:rPr>
          <w:b/>
          <w:bCs/>
          <w:szCs w:val="28"/>
        </w:rPr>
      </w:pPr>
      <w:r w:rsidRPr="00513572">
        <w:rPr>
          <w:b/>
          <w:bCs/>
          <w:szCs w:val="28"/>
        </w:rPr>
        <w:lastRenderedPageBreak/>
        <w:t>SCHEDULE</w:t>
      </w:r>
    </w:p>
    <w:p w:rsidR="008A3808" w:rsidRPr="009A69ED" w:rsidRDefault="008A3808" w:rsidP="008A3808">
      <w:pPr>
        <w:pStyle w:val="Heading2"/>
        <w:pBdr>
          <w:bottom w:val="single" w:sz="12" w:space="24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(See </w:t>
      </w:r>
      <w:r w:rsidR="00894148">
        <w:rPr>
          <w:rFonts w:ascii="Times New Roman" w:hAnsi="Times New Roman" w:cs="Times New Roman"/>
          <w:i w:val="0"/>
          <w:sz w:val="24"/>
          <w:szCs w:val="24"/>
        </w:rPr>
        <w:t>Clause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3)</w:t>
      </w:r>
      <w:r w:rsidR="00894148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</w:p>
    <w:p w:rsidR="002A039C" w:rsidRDefault="002A039C" w:rsidP="002A039C"/>
    <w:p w:rsidR="003D7174" w:rsidRPr="002A039C" w:rsidRDefault="003D7174" w:rsidP="002A039C"/>
    <w:p w:rsidR="00B63A10" w:rsidRPr="00B63A10" w:rsidRDefault="00AA02C9" w:rsidP="00AA02C9">
      <w:pPr>
        <w:spacing w:before="120" w:after="120"/>
        <w:rPr>
          <w:b/>
          <w:bCs/>
          <w:noProof/>
          <w:szCs w:val="24"/>
        </w:rPr>
      </w:pPr>
      <w:r w:rsidRPr="00AA02C9">
        <w:rPr>
          <w:b/>
          <w:bCs/>
          <w:szCs w:val="24"/>
        </w:rPr>
        <w:t xml:space="preserve">Division of </w:t>
      </w:r>
      <w:r w:rsidR="009A69ED">
        <w:rPr>
          <w:b/>
          <w:bCs/>
          <w:noProof/>
          <w:szCs w:val="24"/>
        </w:rPr>
        <w:t>Wright – Environment, poets and butterflies</w:t>
      </w:r>
    </w:p>
    <w:p w:rsidR="00B63A10" w:rsidRPr="00B63A10" w:rsidRDefault="00B63A10" w:rsidP="00AA02C9">
      <w:pPr>
        <w:spacing w:before="120" w:after="120"/>
        <w:rPr>
          <w:bCs/>
          <w:noProof/>
        </w:rPr>
      </w:pPr>
      <w:r w:rsidRPr="00B63A10">
        <w:rPr>
          <w:bCs/>
          <w:noProof/>
        </w:rPr>
        <w:t xml:space="preserve">The location of the public place </w:t>
      </w:r>
      <w:r w:rsidR="008B556F">
        <w:rPr>
          <w:bCs/>
          <w:noProof/>
        </w:rPr>
        <w:t>with the following name</w:t>
      </w:r>
      <w:r w:rsidRPr="00B63A10">
        <w:rPr>
          <w:bCs/>
          <w:noProof/>
        </w:rPr>
        <w:t xml:space="preserve"> is indicated on the associated </w:t>
      </w:r>
      <w:r w:rsidR="00B96911">
        <w:rPr>
          <w:bCs/>
          <w:noProof/>
        </w:rPr>
        <w:t>diagram</w:t>
      </w:r>
      <w:r w:rsidRPr="00B63A10">
        <w:rPr>
          <w:bCs/>
          <w:noProof/>
        </w:rPr>
        <w:t>.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4536"/>
      </w:tblGrid>
      <w:tr w:rsidR="00AA02C9" w:rsidTr="009A69ED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A02C9" w:rsidRPr="00CE3399" w:rsidRDefault="00AA02C9" w:rsidP="009A69ED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E33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NAME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02C9" w:rsidRPr="002929A6" w:rsidRDefault="00AA02C9" w:rsidP="002A039C">
            <w:pPr>
              <w:spacing w:before="120" w:after="120"/>
              <w:rPr>
                <w:szCs w:val="24"/>
              </w:rPr>
            </w:pPr>
            <w:r w:rsidRPr="002929A6">
              <w:rPr>
                <w:b/>
                <w:bCs/>
                <w:szCs w:val="24"/>
              </w:rPr>
              <w:t>ORIGIN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A02C9" w:rsidRPr="002929A6" w:rsidRDefault="00AA02C9" w:rsidP="002A039C">
            <w:pPr>
              <w:pStyle w:val="CoverActName"/>
              <w:tabs>
                <w:tab w:val="clear" w:pos="2600"/>
              </w:tabs>
              <w:spacing w:before="120" w:after="120"/>
              <w:rPr>
                <w:rFonts w:ascii="Times New Roman" w:hAnsi="Times New Roman"/>
                <w:szCs w:val="24"/>
                <w:lang w:val="en-GB"/>
              </w:rPr>
            </w:pPr>
            <w:r w:rsidRPr="002929A6">
              <w:rPr>
                <w:rFonts w:ascii="Times New Roman" w:hAnsi="Times New Roman"/>
                <w:szCs w:val="24"/>
                <w:lang w:val="en-GB"/>
              </w:rPr>
              <w:t>SIGNIFICANCE</w:t>
            </w:r>
          </w:p>
        </w:tc>
      </w:tr>
      <w:tr w:rsidR="009A69ED" w:rsidTr="009A69ED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A69ED" w:rsidRPr="0032343E" w:rsidRDefault="009A69ED" w:rsidP="009A69ED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234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Glasswing Park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A69ED" w:rsidRPr="0032343E" w:rsidRDefault="009A69ED" w:rsidP="009A69ED">
            <w:pPr>
              <w:pStyle w:val="CoverActName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32343E">
              <w:rPr>
                <w:rFonts w:ascii="Times New Roman" w:hAnsi="Times New Roman"/>
                <w:b w:val="0"/>
                <w:szCs w:val="24"/>
                <w:lang w:val="en-GB"/>
              </w:rPr>
              <w:t>Glasswing butterfly</w:t>
            </w:r>
          </w:p>
          <w:p w:rsidR="009A69ED" w:rsidRPr="0032343E" w:rsidRDefault="009A69ED" w:rsidP="009A69ED">
            <w:pPr>
              <w:spacing w:before="120" w:after="120"/>
              <w:rPr>
                <w:i/>
                <w:szCs w:val="24"/>
                <w:lang w:val="en-GB"/>
              </w:rPr>
            </w:pPr>
            <w:r w:rsidRPr="0032343E">
              <w:rPr>
                <w:i/>
                <w:szCs w:val="24"/>
                <w:lang w:val="en-GB"/>
              </w:rPr>
              <w:t>(Acraea andromacha)</w:t>
            </w:r>
          </w:p>
          <w:p w:rsidR="00653EC5" w:rsidRPr="0032343E" w:rsidRDefault="0032343E" w:rsidP="009A69ED">
            <w:pPr>
              <w:spacing w:before="120" w:after="120"/>
              <w:rPr>
                <w:i/>
                <w:szCs w:val="24"/>
                <w:lang w:val="en-GB"/>
              </w:rPr>
            </w:pPr>
            <w:r w:rsidRPr="0032343E">
              <w:rPr>
                <w:szCs w:val="24"/>
              </w:rPr>
              <w:t>A</w:t>
            </w:r>
            <w:r w:rsidRPr="0032343E">
              <w:rPr>
                <w:bCs/>
                <w:szCs w:val="24"/>
              </w:rPr>
              <w:t xml:space="preserve">lso </w:t>
            </w:r>
            <w:r w:rsidR="001F149D">
              <w:rPr>
                <w:bCs/>
                <w:szCs w:val="24"/>
              </w:rPr>
              <w:t xml:space="preserve">known as </w:t>
            </w:r>
            <w:r w:rsidR="001F149D">
              <w:rPr>
                <w:bCs/>
                <w:szCs w:val="24"/>
              </w:rPr>
              <w:br w:type="textWrapping" w:clear="all"/>
            </w:r>
            <w:r w:rsidRPr="0032343E">
              <w:rPr>
                <w:bCs/>
                <w:szCs w:val="24"/>
              </w:rPr>
              <w:t>Little Greasy</w:t>
            </w:r>
            <w:r w:rsidR="001F149D">
              <w:rPr>
                <w:bCs/>
                <w:szCs w:val="24"/>
              </w:rPr>
              <w:t xml:space="preserve"> or</w:t>
            </w:r>
            <w:r w:rsidR="001F149D">
              <w:rPr>
                <w:bCs/>
                <w:szCs w:val="24"/>
              </w:rPr>
              <w:br w:type="textWrapping" w:clear="all"/>
            </w:r>
            <w:r w:rsidRPr="0032343E">
              <w:rPr>
                <w:bCs/>
                <w:szCs w:val="24"/>
              </w:rPr>
              <w:t>Small Greasy</w:t>
            </w:r>
          </w:p>
          <w:p w:rsidR="0020308B" w:rsidRPr="0032343E" w:rsidRDefault="0020308B" w:rsidP="009A69ED">
            <w:pPr>
              <w:spacing w:before="120" w:after="120"/>
              <w:rPr>
                <w:bCs/>
                <w:i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9A69ED" w:rsidRPr="0032343E" w:rsidRDefault="009A69ED" w:rsidP="009A69ED">
            <w:pPr>
              <w:pStyle w:val="CoverActName"/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32343E">
              <w:rPr>
                <w:rFonts w:ascii="Times New Roman" w:hAnsi="Times New Roman"/>
                <w:b w:val="0"/>
                <w:szCs w:val="24"/>
                <w:lang w:val="en-GB"/>
              </w:rPr>
              <w:t xml:space="preserve">Butterfly; family </w:t>
            </w:r>
            <w:r w:rsidRPr="0032343E">
              <w:rPr>
                <w:rFonts w:ascii="Times New Roman" w:hAnsi="Times New Roman"/>
                <w:b w:val="0"/>
                <w:szCs w:val="24"/>
                <w:shd w:val="clear" w:color="auto" w:fill="FFFFFF"/>
              </w:rPr>
              <w:t>Nymphalidae (Nymphs)</w:t>
            </w:r>
          </w:p>
          <w:p w:rsidR="009A69ED" w:rsidRPr="0032343E" w:rsidRDefault="009A69ED" w:rsidP="008F308E">
            <w:pPr>
              <w:pStyle w:val="CoverActName"/>
              <w:tabs>
                <w:tab w:val="clear" w:pos="2600"/>
              </w:tabs>
              <w:spacing w:before="120" w:after="12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2343E">
              <w:rPr>
                <w:rFonts w:ascii="Times New Roman" w:hAnsi="Times New Roman"/>
                <w:b w:val="0"/>
                <w:szCs w:val="24"/>
              </w:rPr>
              <w:t>The Glasswing is a medium sized black and white butterfly with a fore</w:t>
            </w:r>
            <w:r w:rsidR="0032343E" w:rsidRPr="0032343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32343E">
              <w:rPr>
                <w:rFonts w:ascii="Times New Roman" w:hAnsi="Times New Roman"/>
                <w:b w:val="0"/>
                <w:szCs w:val="24"/>
              </w:rPr>
              <w:t xml:space="preserve">wing that is </w:t>
            </w:r>
            <w:r w:rsidR="00653EC5" w:rsidRPr="0032343E">
              <w:rPr>
                <w:rFonts w:ascii="Times New Roman" w:hAnsi="Times New Roman"/>
                <w:b w:val="0"/>
                <w:szCs w:val="24"/>
              </w:rPr>
              <w:t xml:space="preserve">almost </w:t>
            </w:r>
            <w:r w:rsidRPr="0032343E">
              <w:rPr>
                <w:rFonts w:ascii="Times New Roman" w:hAnsi="Times New Roman"/>
                <w:b w:val="0"/>
                <w:szCs w:val="24"/>
              </w:rPr>
              <w:t>transparent</w:t>
            </w:r>
            <w:r w:rsidR="00653EC5" w:rsidRPr="0032343E">
              <w:rPr>
                <w:rFonts w:ascii="Times New Roman" w:hAnsi="Times New Roman"/>
                <w:b w:val="0"/>
                <w:szCs w:val="24"/>
              </w:rPr>
              <w:t xml:space="preserve">, like glass, </w:t>
            </w:r>
            <w:r w:rsidR="005233A5" w:rsidRPr="0032343E">
              <w:rPr>
                <w:rFonts w:ascii="Times New Roman" w:hAnsi="Times New Roman"/>
                <w:b w:val="0"/>
                <w:szCs w:val="24"/>
              </w:rPr>
              <w:t>with dark brown spots</w:t>
            </w:r>
            <w:r w:rsidR="0032343E" w:rsidRPr="0032343E">
              <w:rPr>
                <w:rFonts w:ascii="Times New Roman" w:hAnsi="Times New Roman"/>
                <w:b w:val="0"/>
                <w:szCs w:val="24"/>
              </w:rPr>
              <w:t xml:space="preserve">. The hind </w:t>
            </w:r>
            <w:r w:rsidR="005233A5" w:rsidRPr="0032343E">
              <w:rPr>
                <w:rFonts w:ascii="Times New Roman" w:hAnsi="Times New Roman"/>
                <w:b w:val="0"/>
                <w:szCs w:val="24"/>
              </w:rPr>
              <w:t xml:space="preserve">wing is white or cream in colour with </w:t>
            </w:r>
            <w:r w:rsidR="0032343E" w:rsidRPr="0032343E">
              <w:rPr>
                <w:rFonts w:ascii="Times New Roman" w:hAnsi="Times New Roman"/>
                <w:b w:val="0"/>
                <w:szCs w:val="24"/>
              </w:rPr>
              <w:t xml:space="preserve">embedded </w:t>
            </w:r>
            <w:r w:rsidR="005233A5" w:rsidRPr="0032343E">
              <w:rPr>
                <w:rFonts w:ascii="Times New Roman" w:hAnsi="Times New Roman"/>
                <w:b w:val="0"/>
                <w:szCs w:val="24"/>
              </w:rPr>
              <w:t>black spots.</w:t>
            </w:r>
            <w:r w:rsidRPr="0032343E">
              <w:rPr>
                <w:rFonts w:ascii="Times New Roman" w:hAnsi="Times New Roman"/>
                <w:b w:val="0"/>
                <w:szCs w:val="24"/>
              </w:rPr>
              <w:t xml:space="preserve">  </w:t>
            </w:r>
            <w:r w:rsidR="0020308B" w:rsidRPr="0032343E">
              <w:rPr>
                <w:rFonts w:ascii="Times New Roman" w:hAnsi="Times New Roman"/>
                <w:b w:val="0"/>
                <w:szCs w:val="24"/>
              </w:rPr>
              <w:t xml:space="preserve">The species </w:t>
            </w:r>
            <w:r w:rsidR="0032343E" w:rsidRPr="0032343E">
              <w:rPr>
                <w:rFonts w:ascii="Times New Roman" w:hAnsi="Times New Roman"/>
                <w:b w:val="0"/>
                <w:bCs/>
                <w:szCs w:val="24"/>
              </w:rPr>
              <w:t xml:space="preserve">has a wingspan of between </w:t>
            </w:r>
            <w:r w:rsidR="001F149D">
              <w:rPr>
                <w:rFonts w:ascii="Times New Roman" w:hAnsi="Times New Roman"/>
                <w:b w:val="0"/>
                <w:bCs/>
                <w:szCs w:val="24"/>
              </w:rPr>
              <w:br w:type="textWrapping" w:clear="all"/>
            </w:r>
            <w:r w:rsidR="001F149D">
              <w:rPr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 xml:space="preserve">53 to </w:t>
            </w:r>
            <w:r w:rsidR="0032343E" w:rsidRPr="0032343E">
              <w:rPr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56 millimetres.</w:t>
            </w:r>
            <w:r w:rsidR="0032343E" w:rsidRPr="0032343E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20308B" w:rsidRPr="0032343E">
              <w:rPr>
                <w:rFonts w:ascii="Times New Roman" w:hAnsi="Times New Roman"/>
                <w:b w:val="0"/>
                <w:bCs/>
                <w:szCs w:val="24"/>
              </w:rPr>
              <w:br w:type="textWrapping" w:clear="all"/>
            </w:r>
            <w:r w:rsidRPr="0032343E">
              <w:rPr>
                <w:rFonts w:ascii="Times New Roman" w:hAnsi="Times New Roman"/>
                <w:b w:val="0"/>
                <w:szCs w:val="24"/>
              </w:rPr>
              <w:t xml:space="preserve">The </w:t>
            </w:r>
            <w:r w:rsidR="0020308B" w:rsidRPr="0032343E">
              <w:rPr>
                <w:rFonts w:ascii="Times New Roman" w:hAnsi="Times New Roman"/>
                <w:b w:val="0"/>
                <w:szCs w:val="24"/>
              </w:rPr>
              <w:t xml:space="preserve">Glasswing butterfly </w:t>
            </w:r>
            <w:r w:rsidRPr="0032343E">
              <w:rPr>
                <w:rFonts w:ascii="Times New Roman" w:hAnsi="Times New Roman"/>
                <w:b w:val="0"/>
                <w:szCs w:val="24"/>
              </w:rPr>
              <w:t xml:space="preserve">has a slow, gliding flight within a few metres of the ground, interspersed with perching </w:t>
            </w:r>
            <w:r w:rsidR="00653EC5" w:rsidRPr="0032343E">
              <w:rPr>
                <w:rFonts w:ascii="Times New Roman" w:hAnsi="Times New Roman"/>
                <w:b w:val="0"/>
                <w:szCs w:val="24"/>
              </w:rPr>
              <w:t xml:space="preserve">on low plants </w:t>
            </w:r>
            <w:r w:rsidR="00C5595F">
              <w:rPr>
                <w:rFonts w:ascii="Times New Roman" w:hAnsi="Times New Roman"/>
                <w:b w:val="0"/>
                <w:szCs w:val="24"/>
              </w:rPr>
              <w:t xml:space="preserve">usually </w:t>
            </w:r>
            <w:r w:rsidRPr="0032343E">
              <w:rPr>
                <w:rFonts w:ascii="Times New Roman" w:hAnsi="Times New Roman"/>
                <w:b w:val="0"/>
                <w:szCs w:val="24"/>
              </w:rPr>
              <w:t xml:space="preserve">with </w:t>
            </w:r>
            <w:r w:rsidR="00653EC5" w:rsidRPr="0032343E">
              <w:rPr>
                <w:rFonts w:ascii="Times New Roman" w:hAnsi="Times New Roman"/>
                <w:b w:val="0"/>
                <w:szCs w:val="24"/>
              </w:rPr>
              <w:t>closed wings.</w:t>
            </w:r>
            <w:r w:rsidR="001B5D8D" w:rsidRPr="0032343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32343E">
              <w:rPr>
                <w:rFonts w:ascii="Times New Roman" w:hAnsi="Times New Roman"/>
                <w:b w:val="0"/>
                <w:szCs w:val="24"/>
              </w:rPr>
              <w:t xml:space="preserve">The butterfly </w:t>
            </w:r>
            <w:r w:rsidR="008F308E" w:rsidRPr="0032343E">
              <w:rPr>
                <w:rFonts w:ascii="Times New Roman" w:hAnsi="Times New Roman"/>
                <w:b w:val="0"/>
                <w:szCs w:val="24"/>
              </w:rPr>
              <w:t>is widely distributed in northern and eastern Australia</w:t>
            </w:r>
            <w:r w:rsidRPr="0032343E">
              <w:rPr>
                <w:rFonts w:ascii="Times New Roman" w:hAnsi="Times New Roman"/>
                <w:b w:val="0"/>
                <w:szCs w:val="24"/>
              </w:rPr>
              <w:t>. In the A</w:t>
            </w:r>
            <w:r w:rsidR="008F308E" w:rsidRPr="0032343E">
              <w:rPr>
                <w:rFonts w:ascii="Times New Roman" w:hAnsi="Times New Roman"/>
                <w:b w:val="0"/>
                <w:szCs w:val="24"/>
              </w:rPr>
              <w:t>ustralian Capital Territory</w:t>
            </w:r>
            <w:r w:rsidR="00E35A17">
              <w:rPr>
                <w:rFonts w:ascii="Times New Roman" w:hAnsi="Times New Roman"/>
                <w:b w:val="0"/>
                <w:szCs w:val="24"/>
              </w:rPr>
              <w:t>,</w:t>
            </w:r>
            <w:r w:rsidR="008F308E" w:rsidRPr="0032343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32343E" w:rsidRPr="0032343E">
              <w:rPr>
                <w:rFonts w:ascii="Times New Roman" w:hAnsi="Times New Roman"/>
                <w:b w:val="0"/>
                <w:szCs w:val="24"/>
              </w:rPr>
              <w:t>the Glasswing</w:t>
            </w:r>
            <w:r w:rsidR="008F308E" w:rsidRPr="0032343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32343E" w:rsidRPr="0032343E">
              <w:rPr>
                <w:rFonts w:ascii="Times New Roman" w:hAnsi="Times New Roman"/>
                <w:b w:val="0"/>
                <w:szCs w:val="24"/>
              </w:rPr>
              <w:t xml:space="preserve">has </w:t>
            </w:r>
            <w:r w:rsidR="008F308E" w:rsidRPr="0032343E">
              <w:rPr>
                <w:rFonts w:ascii="Times New Roman" w:hAnsi="Times New Roman"/>
                <w:b w:val="0"/>
                <w:szCs w:val="24"/>
              </w:rPr>
              <w:t xml:space="preserve">been </w:t>
            </w:r>
            <w:r w:rsidR="00653EC5" w:rsidRPr="0032343E">
              <w:rPr>
                <w:rFonts w:ascii="Times New Roman" w:hAnsi="Times New Roman"/>
                <w:b w:val="0"/>
                <w:szCs w:val="24"/>
              </w:rPr>
              <w:t>recorded</w:t>
            </w:r>
            <w:r w:rsidRPr="0032343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1F149D">
              <w:rPr>
                <w:rFonts w:ascii="Times New Roman" w:hAnsi="Times New Roman"/>
                <w:b w:val="0"/>
                <w:szCs w:val="24"/>
              </w:rPr>
              <w:t xml:space="preserve">at </w:t>
            </w:r>
            <w:r w:rsidRPr="0032343E">
              <w:rPr>
                <w:rFonts w:ascii="Times New Roman" w:hAnsi="Times New Roman"/>
                <w:b w:val="0"/>
                <w:szCs w:val="24"/>
              </w:rPr>
              <w:t xml:space="preserve">the Australian National Botanic Gardens, </w:t>
            </w:r>
            <w:r w:rsidR="0032343E" w:rsidRPr="0032343E">
              <w:rPr>
                <w:rFonts w:ascii="Times New Roman" w:hAnsi="Times New Roman"/>
                <w:b w:val="0"/>
                <w:szCs w:val="24"/>
              </w:rPr>
              <w:br w:type="textWrapping" w:clear="all"/>
            </w:r>
            <w:r w:rsidR="001F149D">
              <w:rPr>
                <w:rFonts w:ascii="Times New Roman" w:hAnsi="Times New Roman"/>
                <w:b w:val="0"/>
                <w:szCs w:val="24"/>
              </w:rPr>
              <w:t xml:space="preserve">Black Mountain, </w:t>
            </w:r>
            <w:r w:rsidRPr="0032343E">
              <w:rPr>
                <w:rFonts w:ascii="Times New Roman" w:hAnsi="Times New Roman"/>
                <w:b w:val="0"/>
                <w:szCs w:val="24"/>
              </w:rPr>
              <w:t>Mount Ainslie</w:t>
            </w:r>
            <w:r w:rsidR="00653EC5" w:rsidRPr="0032343E">
              <w:rPr>
                <w:rFonts w:ascii="Times New Roman" w:hAnsi="Times New Roman"/>
                <w:b w:val="0"/>
                <w:szCs w:val="24"/>
              </w:rPr>
              <w:t xml:space="preserve">, </w:t>
            </w:r>
            <w:r w:rsidR="001F149D">
              <w:rPr>
                <w:rFonts w:ascii="Times New Roman" w:hAnsi="Times New Roman"/>
                <w:b w:val="0"/>
                <w:szCs w:val="24"/>
              </w:rPr>
              <w:t xml:space="preserve">Mount Coree and </w:t>
            </w:r>
            <w:r w:rsidR="00653EC5" w:rsidRPr="0032343E">
              <w:rPr>
                <w:rFonts w:ascii="Times New Roman" w:hAnsi="Times New Roman"/>
                <w:b w:val="0"/>
                <w:szCs w:val="24"/>
              </w:rPr>
              <w:t>Red Hill</w:t>
            </w:r>
            <w:r w:rsidR="001F149D">
              <w:rPr>
                <w:rFonts w:ascii="Times New Roman" w:hAnsi="Times New Roman"/>
                <w:b w:val="0"/>
                <w:szCs w:val="24"/>
              </w:rPr>
              <w:t xml:space="preserve">.  There are records of summer breeding on native Passion Vine, </w:t>
            </w:r>
            <w:r w:rsidR="001F149D" w:rsidRPr="001F149D">
              <w:rPr>
                <w:rFonts w:ascii="Times New Roman" w:hAnsi="Times New Roman"/>
                <w:b w:val="0"/>
                <w:i/>
                <w:szCs w:val="24"/>
              </w:rPr>
              <w:t>Passiflora cinnabarina</w:t>
            </w:r>
            <w:r w:rsidR="00A31C10">
              <w:rPr>
                <w:rFonts w:ascii="Times New Roman" w:hAnsi="Times New Roman"/>
                <w:b w:val="0"/>
                <w:szCs w:val="24"/>
              </w:rPr>
              <w:t xml:space="preserve"> at the Botanic Gardens</w:t>
            </w:r>
            <w:r w:rsidR="00D32EA1">
              <w:rPr>
                <w:rFonts w:ascii="Times New Roman" w:hAnsi="Times New Roman"/>
                <w:b w:val="0"/>
                <w:szCs w:val="24"/>
              </w:rPr>
              <w:t>.</w:t>
            </w:r>
            <w:r w:rsidR="00A31C1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653EC5" w:rsidRPr="0032343E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  <w:p w:rsidR="005233A5" w:rsidRPr="0032343E" w:rsidRDefault="005233A5" w:rsidP="008F308E">
            <w:pPr>
              <w:pStyle w:val="CoverActName"/>
              <w:tabs>
                <w:tab w:val="clear" w:pos="2600"/>
              </w:tabs>
              <w:spacing w:before="120" w:after="120"/>
              <w:jc w:val="left"/>
              <w:rPr>
                <w:rFonts w:ascii="Times New Roman" w:hAnsi="Times New Roman"/>
                <w:b w:val="0"/>
                <w:szCs w:val="24"/>
                <w:lang w:val="en-GB"/>
              </w:rPr>
            </w:pPr>
          </w:p>
        </w:tc>
      </w:tr>
    </w:tbl>
    <w:p w:rsidR="00AA02C9" w:rsidRDefault="00AA02C9" w:rsidP="00232478">
      <w:pPr>
        <w:tabs>
          <w:tab w:val="left" w:pos="4320"/>
        </w:tabs>
      </w:pPr>
    </w:p>
    <w:p w:rsidR="001056A5" w:rsidRDefault="001056A5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br w:type="page"/>
      </w:r>
      <w:r w:rsidR="009A69ED">
        <w:rPr>
          <w:rFonts w:asciiTheme="minorHAnsi" w:hAnsiTheme="minorHAnsi" w:cstheme="minorBidi"/>
          <w:noProof/>
          <w:color w:val="1F497D" w:themeColor="dark2"/>
          <w:lang w:eastAsia="en-AU"/>
        </w:rPr>
        <w:lastRenderedPageBreak/>
        <w:drawing>
          <wp:inline distT="0" distB="0" distL="0" distR="0">
            <wp:extent cx="5274945" cy="7459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614 - diagram - draft park name - Glasswing (A20199726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6A5" w:rsidSect="00AA02C9">
      <w:footerReference w:type="defaul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F32" w:rsidRDefault="00C77F32" w:rsidP="00F10CB2">
      <w:r>
        <w:separator/>
      </w:r>
    </w:p>
  </w:endnote>
  <w:endnote w:type="continuationSeparator" w:id="0">
    <w:p w:rsidR="00C77F32" w:rsidRDefault="00C77F3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8F6" w:rsidRDefault="00666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054357"/>
      <w:docPartObj>
        <w:docPartGallery w:val="Page Numbers (Top of Page)"/>
        <w:docPartUnique/>
      </w:docPartObj>
    </w:sdtPr>
    <w:sdtEndPr/>
    <w:sdtContent>
      <w:sdt>
        <w:sdtPr>
          <w:id w:val="325054361"/>
          <w:docPartObj>
            <w:docPartGallery w:val="Page Numbers (Top of Page)"/>
            <w:docPartUnique/>
          </w:docPartObj>
        </w:sdtPr>
        <w:sdtEndPr/>
        <w:sdtContent>
          <w:p w:rsidR="001056A5" w:rsidRPr="00AF1C0D" w:rsidRDefault="001056A5" w:rsidP="001056A5">
            <w:pPr>
              <w:pStyle w:val="Footer"/>
              <w:tabs>
                <w:tab w:val="clear" w:pos="2880"/>
              </w:tabs>
            </w:pPr>
          </w:p>
          <w:p w:rsidR="003B0D5B" w:rsidRDefault="003B0D5B" w:rsidP="001056A5">
            <w:pPr>
              <w:pStyle w:val="Footer"/>
            </w:pPr>
          </w:p>
        </w:sdtContent>
      </w:sdt>
    </w:sdtContent>
  </w:sdt>
  <w:p w:rsidR="002A039C" w:rsidRPr="003B0D5B" w:rsidRDefault="003B0D5B" w:rsidP="003B0D5B">
    <w:pPr>
      <w:pStyle w:val="Footer"/>
      <w:jc w:val="center"/>
      <w:rPr>
        <w:rFonts w:ascii="Arial" w:hAnsi="Arial" w:cs="Arial"/>
        <w:sz w:val="14"/>
      </w:rPr>
    </w:pPr>
    <w:r w:rsidRPr="003B0D5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05432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056A5" w:rsidRPr="00AF1C0D" w:rsidRDefault="001056A5" w:rsidP="001056A5">
            <w:pPr>
              <w:pStyle w:val="Footer"/>
              <w:tabs>
                <w:tab w:val="clear" w:pos="2880"/>
              </w:tabs>
            </w:pPr>
            <w:r>
              <w:t xml:space="preserve">Page </w:t>
            </w:r>
            <w:r w:rsidR="00522381">
              <w:fldChar w:fldCharType="begin"/>
            </w:r>
            <w:r w:rsidR="00522381">
              <w:instrText xml:space="preserve"> PAGE </w:instrText>
            </w:r>
            <w:r w:rsidR="00522381">
              <w:fldChar w:fldCharType="separate"/>
            </w:r>
            <w:r w:rsidR="00D32EA1">
              <w:rPr>
                <w:noProof/>
              </w:rPr>
              <w:t>1</w:t>
            </w:r>
            <w:r w:rsidR="00522381">
              <w:rPr>
                <w:noProof/>
              </w:rPr>
              <w:fldChar w:fldCharType="end"/>
            </w:r>
            <w:r>
              <w:t xml:space="preserve"> of </w:t>
            </w:r>
            <w:r w:rsidR="008036F7">
              <w:rPr>
                <w:noProof/>
              </w:rPr>
              <w:fldChar w:fldCharType="begin"/>
            </w:r>
            <w:r w:rsidR="008036F7">
              <w:rPr>
                <w:noProof/>
              </w:rPr>
              <w:instrText xml:space="preserve"> SECTIONPAGES  </w:instrText>
            </w:r>
            <w:r w:rsidR="008036F7">
              <w:rPr>
                <w:noProof/>
              </w:rPr>
              <w:fldChar w:fldCharType="separate"/>
            </w:r>
            <w:r w:rsidR="003B0D5B">
              <w:rPr>
                <w:noProof/>
              </w:rPr>
              <w:t>2</w:t>
            </w:r>
            <w:r w:rsidR="008036F7">
              <w:rPr>
                <w:noProof/>
              </w:rPr>
              <w:fldChar w:fldCharType="end"/>
            </w:r>
            <w:r>
              <w:tab/>
            </w:r>
            <w:r w:rsidRPr="008B556F">
              <w:rPr>
                <w:i/>
              </w:rPr>
              <w:t xml:space="preserve"> </w:t>
            </w:r>
          </w:p>
          <w:p w:rsidR="002A039C" w:rsidRPr="00AA02C9" w:rsidRDefault="003B0D5B" w:rsidP="00AA02C9">
            <w:pPr>
              <w:pStyle w:val="Footer"/>
            </w:pP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054370"/>
      <w:docPartObj>
        <w:docPartGallery w:val="Page Numbers (Top of Page)"/>
        <w:docPartUnique/>
      </w:docPartObj>
    </w:sdtPr>
    <w:sdtEndPr>
      <w:rPr>
        <w:color w:val="FF0000"/>
      </w:rPr>
    </w:sdtEndPr>
    <w:sdtContent>
      <w:sdt>
        <w:sdtPr>
          <w:id w:val="325054371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sdt>
            <w:sdtPr>
              <w:id w:val="325054372"/>
              <w:docPartObj>
                <w:docPartGallery w:val="Page Numbers (Top of Page)"/>
                <w:docPartUnique/>
              </w:docPartObj>
            </w:sdtPr>
            <w:sdtEndPr>
              <w:rPr>
                <w:color w:val="FF0000"/>
              </w:rPr>
            </w:sdtEndPr>
            <w:sdtContent>
              <w:p w:rsidR="001056A5" w:rsidRDefault="001056A5" w:rsidP="001056A5">
                <w:pPr>
                  <w:pStyle w:val="Footer"/>
                  <w:tabs>
                    <w:tab w:val="clear" w:pos="2880"/>
                  </w:tabs>
                  <w:rPr>
                    <w:color w:val="FF0000"/>
                  </w:rPr>
                </w:pPr>
                <w:r>
                  <w:t xml:space="preserve">Page </w:t>
                </w:r>
                <w:r w:rsidR="00522381">
                  <w:fldChar w:fldCharType="begin"/>
                </w:r>
                <w:r w:rsidR="00522381">
                  <w:instrText xml:space="preserve"> PAGE </w:instrText>
                </w:r>
                <w:r w:rsidR="00522381">
                  <w:fldChar w:fldCharType="separate"/>
                </w:r>
                <w:r w:rsidR="00D32EA1">
                  <w:rPr>
                    <w:noProof/>
                  </w:rPr>
                  <w:t>2</w:t>
                </w:r>
                <w:r w:rsidR="00522381">
                  <w:rPr>
                    <w:noProof/>
                  </w:rPr>
                  <w:fldChar w:fldCharType="end"/>
                </w:r>
                <w:r>
                  <w:t xml:space="preserve"> of </w:t>
                </w:r>
                <w:r w:rsidR="008036F7">
                  <w:rPr>
                    <w:noProof/>
                  </w:rPr>
                  <w:fldChar w:fldCharType="begin"/>
                </w:r>
                <w:r w:rsidR="008036F7">
                  <w:rPr>
                    <w:noProof/>
                  </w:rPr>
                  <w:instrText xml:space="preserve"> SECTIONPAGES  </w:instrText>
                </w:r>
                <w:r w:rsidR="008036F7">
                  <w:rPr>
                    <w:noProof/>
                  </w:rPr>
                  <w:fldChar w:fldCharType="separate"/>
                </w:r>
                <w:r w:rsidR="00AE46A3">
                  <w:rPr>
                    <w:noProof/>
                  </w:rPr>
                  <w:t>2</w:t>
                </w:r>
                <w:r w:rsidR="008036F7">
                  <w:rPr>
                    <w:noProof/>
                  </w:rPr>
                  <w:fldChar w:fldCharType="end"/>
                </w:r>
                <w:r>
                  <w:tab/>
                </w:r>
              </w:p>
            </w:sdtContent>
          </w:sdt>
        </w:sdtContent>
      </w:sdt>
    </w:sdtContent>
  </w:sdt>
  <w:p w:rsidR="003B0D5B" w:rsidRPr="003B0D5B" w:rsidRDefault="003B0D5B" w:rsidP="003B0D5B">
    <w:pPr>
      <w:pStyle w:val="Footer"/>
      <w:tabs>
        <w:tab w:val="clear" w:pos="2880"/>
      </w:tabs>
      <w:jc w:val="center"/>
      <w:rPr>
        <w:rFonts w:ascii="Arial" w:hAnsi="Arial" w:cs="Arial"/>
        <w:sz w:val="14"/>
      </w:rPr>
    </w:pPr>
    <w:r w:rsidRPr="003B0D5B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F32" w:rsidRDefault="00C77F32" w:rsidP="00F10CB2">
      <w:r>
        <w:separator/>
      </w:r>
    </w:p>
  </w:footnote>
  <w:footnote w:type="continuationSeparator" w:id="0">
    <w:p w:rsidR="00C77F32" w:rsidRDefault="00C77F3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8F6" w:rsidRDefault="00666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8F6" w:rsidRDefault="00666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8F6" w:rsidRDefault="00666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840D6D"/>
    <w:multiLevelType w:val="hybridMultilevel"/>
    <w:tmpl w:val="BBE4BD4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04684C"/>
    <w:multiLevelType w:val="hybridMultilevel"/>
    <w:tmpl w:val="8CDA286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4515E"/>
    <w:rsid w:val="000A1A69"/>
    <w:rsid w:val="000C501D"/>
    <w:rsid w:val="001056A5"/>
    <w:rsid w:val="00111262"/>
    <w:rsid w:val="00134786"/>
    <w:rsid w:val="00164650"/>
    <w:rsid w:val="00194AC7"/>
    <w:rsid w:val="001B22A4"/>
    <w:rsid w:val="001B5D8D"/>
    <w:rsid w:val="001C737C"/>
    <w:rsid w:val="001F1298"/>
    <w:rsid w:val="001F149D"/>
    <w:rsid w:val="0020308B"/>
    <w:rsid w:val="00205E99"/>
    <w:rsid w:val="00232478"/>
    <w:rsid w:val="00267FC1"/>
    <w:rsid w:val="002A039C"/>
    <w:rsid w:val="0032343E"/>
    <w:rsid w:val="003B0D5B"/>
    <w:rsid w:val="003C330F"/>
    <w:rsid w:val="003D7174"/>
    <w:rsid w:val="003E1ECA"/>
    <w:rsid w:val="00445322"/>
    <w:rsid w:val="00481934"/>
    <w:rsid w:val="00492788"/>
    <w:rsid w:val="00513572"/>
    <w:rsid w:val="00522381"/>
    <w:rsid w:val="005233A5"/>
    <w:rsid w:val="005961A3"/>
    <w:rsid w:val="005D55E0"/>
    <w:rsid w:val="005D68B8"/>
    <w:rsid w:val="005F75A1"/>
    <w:rsid w:val="00627F0C"/>
    <w:rsid w:val="00653EC5"/>
    <w:rsid w:val="00664E2E"/>
    <w:rsid w:val="006668F6"/>
    <w:rsid w:val="00667281"/>
    <w:rsid w:val="00685113"/>
    <w:rsid w:val="006A3A2F"/>
    <w:rsid w:val="00704DC3"/>
    <w:rsid w:val="0072003E"/>
    <w:rsid w:val="0077162F"/>
    <w:rsid w:val="00784B87"/>
    <w:rsid w:val="007A3299"/>
    <w:rsid w:val="007A42E4"/>
    <w:rsid w:val="007B2E24"/>
    <w:rsid w:val="007B75BF"/>
    <w:rsid w:val="007C3B22"/>
    <w:rsid w:val="008036F7"/>
    <w:rsid w:val="00805F8D"/>
    <w:rsid w:val="00824EB1"/>
    <w:rsid w:val="008448FC"/>
    <w:rsid w:val="00894148"/>
    <w:rsid w:val="008A1D96"/>
    <w:rsid w:val="008A3808"/>
    <w:rsid w:val="008B556F"/>
    <w:rsid w:val="008E4A39"/>
    <w:rsid w:val="008F060D"/>
    <w:rsid w:val="008F308E"/>
    <w:rsid w:val="008F60A5"/>
    <w:rsid w:val="009070F7"/>
    <w:rsid w:val="00970517"/>
    <w:rsid w:val="00970F06"/>
    <w:rsid w:val="009876DB"/>
    <w:rsid w:val="009A69ED"/>
    <w:rsid w:val="00A0585C"/>
    <w:rsid w:val="00A07BFA"/>
    <w:rsid w:val="00A31C10"/>
    <w:rsid w:val="00A43FE7"/>
    <w:rsid w:val="00A502EA"/>
    <w:rsid w:val="00A74247"/>
    <w:rsid w:val="00A9655D"/>
    <w:rsid w:val="00AA02C9"/>
    <w:rsid w:val="00AE46A3"/>
    <w:rsid w:val="00B021A5"/>
    <w:rsid w:val="00B1549F"/>
    <w:rsid w:val="00B30B9A"/>
    <w:rsid w:val="00B63A10"/>
    <w:rsid w:val="00B6603C"/>
    <w:rsid w:val="00B96911"/>
    <w:rsid w:val="00BA52F5"/>
    <w:rsid w:val="00BB241F"/>
    <w:rsid w:val="00BD02C6"/>
    <w:rsid w:val="00C41B1B"/>
    <w:rsid w:val="00C5595F"/>
    <w:rsid w:val="00C65523"/>
    <w:rsid w:val="00C77F32"/>
    <w:rsid w:val="00CD4E55"/>
    <w:rsid w:val="00CE3399"/>
    <w:rsid w:val="00CF28EB"/>
    <w:rsid w:val="00D32EA1"/>
    <w:rsid w:val="00D36CFC"/>
    <w:rsid w:val="00D40FDE"/>
    <w:rsid w:val="00D47F13"/>
    <w:rsid w:val="00D9612A"/>
    <w:rsid w:val="00DB1051"/>
    <w:rsid w:val="00DF1D10"/>
    <w:rsid w:val="00E323FC"/>
    <w:rsid w:val="00E358BC"/>
    <w:rsid w:val="00E35A17"/>
    <w:rsid w:val="00E73C6D"/>
    <w:rsid w:val="00F0488B"/>
    <w:rsid w:val="00F10CB2"/>
    <w:rsid w:val="00F15AC3"/>
    <w:rsid w:val="00F236C5"/>
    <w:rsid w:val="00F56AED"/>
    <w:rsid w:val="00FB4806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FB4717D-5267-4DB7-B0CC-7F3710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02C9"/>
    <w:pPr>
      <w:tabs>
        <w:tab w:val="left" w:pos="1701"/>
        <w:tab w:val="left" w:pos="2880"/>
      </w:tabs>
    </w:pPr>
    <w:rPr>
      <w:snapToGrid w:val="0"/>
      <w:sz w:val="20"/>
      <w:szCs w:val="24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74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4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02C9"/>
    <w:rPr>
      <w:snapToGrid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1385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2019-07-01T05:16:00Z</dcterms:created>
  <dcterms:modified xsi:type="dcterms:W3CDTF">2019-07-01T05:16:00Z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A20182808</vt:lpwstr>
  </property>
  <property fmtid="{D5CDD505-2E9C-101B-9397-08002B2CF9AE}" pid="4" name="Objective-Title">
    <vt:lpwstr>Public Place Names (Wright) Determination 2019</vt:lpwstr>
  </property>
  <property fmtid="{D5CDD505-2E9C-101B-9397-08002B2CF9AE}" pid="5" name="Objective-Comment">
    <vt:lpwstr/>
  </property>
  <property fmtid="{D5CDD505-2E9C-101B-9397-08002B2CF9AE}" pid="6" name="Objective-CreationStamp">
    <vt:filetime>2019-06-13T06:31:06Z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2019-06-28T05:45:53Z</vt:filetime>
  </property>
  <property fmtid="{D5CDD505-2E9C-101B-9397-08002B2CF9AE}" pid="10" name="Objective-ModificationStamp">
    <vt:filetime>2019-06-28T05:45:53Z</vt:filetime>
  </property>
  <property fmtid="{D5CDD505-2E9C-101B-9397-08002B2CF9AE}" pid="11" name="Objective-Owner">
    <vt:lpwstr>Sharon Priestly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Correspondence:Director-General:2015 - Director-General Correspondence:Office of the Surveyor-Gene</vt:lpwstr>
  </property>
  <property fmtid="{D5CDD505-2E9C-101B-9397-08002B2CF9AE}" pid="13" name="Objective-Parent">
    <vt:lpwstr>19/18916 - Public Place Names (Wright) Determination 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1-2019/18916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