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Pr="00B65E50" w:rsidRDefault="001C737C">
      <w:pPr>
        <w:pStyle w:val="Billname"/>
        <w:spacing w:before="700"/>
      </w:pPr>
      <w:r>
        <w:t>Public Place Names</w:t>
      </w:r>
      <w:r w:rsidR="00F10CB2">
        <w:t xml:space="preserve"> (</w:t>
      </w:r>
      <w:r w:rsidR="007D24D6">
        <w:t>Coombs</w:t>
      </w:r>
      <w:r w:rsidR="00F10CB2">
        <w:t xml:space="preserve">) </w:t>
      </w:r>
      <w:r>
        <w:t>Determination</w:t>
      </w:r>
      <w:r w:rsidR="00B30B9A">
        <w:t xml:space="preserve"> </w:t>
      </w:r>
      <w:r w:rsidR="001B22A4">
        <w:t>2019</w:t>
      </w:r>
      <w:r w:rsidR="00F10CB2">
        <w:t xml:space="preserve"> 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7D24D6">
        <w:rPr>
          <w:rFonts w:ascii="Arial" w:hAnsi="Arial" w:cs="Arial"/>
          <w:b/>
          <w:bCs/>
          <w:iCs/>
        </w:rPr>
        <w:t>2019</w:t>
      </w:r>
      <w:r>
        <w:rPr>
          <w:rFonts w:ascii="Arial" w:hAnsi="Arial" w:cs="Arial"/>
          <w:b/>
          <w:bCs/>
        </w:rPr>
        <w:t>–</w:t>
      </w:r>
      <w:r w:rsidR="00FF71D6">
        <w:rPr>
          <w:rFonts w:ascii="Arial" w:hAnsi="Arial" w:cs="Arial"/>
          <w:b/>
          <w:bCs/>
        </w:rPr>
        <w:t>187</w:t>
      </w:r>
    </w:p>
    <w:p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:rsidR="00F10CB2" w:rsidRDefault="001C737C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Public Place Names Act 1989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3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Minister to determine names</w:t>
      </w:r>
      <w:r w:rsidR="00F10CB2">
        <w:rPr>
          <w:rFonts w:cs="Arial"/>
          <w:sz w:val="20"/>
        </w:rPr>
        <w:t>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Pr="001B22A4" w:rsidRDefault="00F10CB2" w:rsidP="00D47F13">
      <w:pPr>
        <w:spacing w:before="140"/>
        <w:ind w:left="720"/>
        <w:rPr>
          <w:i/>
        </w:rPr>
      </w:pPr>
      <w:r>
        <w:t xml:space="preserve">This instrument is the </w:t>
      </w:r>
      <w:r w:rsidR="001B22A4" w:rsidRPr="001B22A4">
        <w:rPr>
          <w:i/>
        </w:rPr>
        <w:t>Public Place Names</w:t>
      </w:r>
      <w:r w:rsidR="001B22A4">
        <w:t xml:space="preserve"> </w:t>
      </w:r>
      <w:r w:rsidR="001B22A4" w:rsidRPr="001B22A4">
        <w:rPr>
          <w:i/>
        </w:rPr>
        <w:t>(</w:t>
      </w:r>
      <w:r w:rsidR="007D24D6">
        <w:rPr>
          <w:i/>
        </w:rPr>
        <w:t>Coombs</w:t>
      </w:r>
      <w:r w:rsidR="001B22A4" w:rsidRPr="001B22A4">
        <w:rPr>
          <w:i/>
        </w:rPr>
        <w:t>)</w:t>
      </w:r>
      <w:r w:rsidR="007D24D6">
        <w:t xml:space="preserve"> </w:t>
      </w:r>
      <w:r w:rsidR="001B22A4" w:rsidRPr="001B22A4">
        <w:rPr>
          <w:i/>
        </w:rPr>
        <w:t>Determination 2019</w:t>
      </w:r>
      <w:r w:rsidRPr="001B22A4">
        <w:rPr>
          <w:bCs/>
          <w:i/>
          <w:iCs/>
        </w:rPr>
        <w:t>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Pr="007D24D6" w:rsidRDefault="00F10CB2" w:rsidP="00D47F13">
      <w:pPr>
        <w:spacing w:before="140"/>
        <w:ind w:left="720"/>
      </w:pPr>
      <w:r w:rsidRPr="007D24D6">
        <w:t xml:space="preserve">This instrument commences on </w:t>
      </w:r>
      <w:r w:rsidR="00492788" w:rsidRPr="007D24D6">
        <w:t xml:space="preserve">the day after </w:t>
      </w:r>
      <w:r w:rsidR="000C501D" w:rsidRPr="007D24D6">
        <w:t xml:space="preserve">its </w:t>
      </w:r>
      <w:r w:rsidR="00492788" w:rsidRPr="007D24D6">
        <w:t>notification</w:t>
      </w:r>
      <w:r w:rsidR="000C501D" w:rsidRPr="007D24D6">
        <w:t xml:space="preserve"> day</w:t>
      </w:r>
      <w:r w:rsidRPr="007D24D6">
        <w:t xml:space="preserve">.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737C">
        <w:rPr>
          <w:rFonts w:ascii="Arial" w:hAnsi="Arial" w:cs="Arial"/>
          <w:b/>
          <w:bCs/>
        </w:rPr>
        <w:t xml:space="preserve">Determination of </w:t>
      </w:r>
      <w:r w:rsidR="00F92E37">
        <w:rPr>
          <w:rFonts w:ascii="Arial" w:hAnsi="Arial" w:cs="Arial"/>
          <w:b/>
          <w:bCs/>
        </w:rPr>
        <w:t>p</w:t>
      </w:r>
      <w:r w:rsidR="001C737C">
        <w:rPr>
          <w:rFonts w:ascii="Arial" w:hAnsi="Arial" w:cs="Arial"/>
          <w:b/>
          <w:bCs/>
        </w:rPr>
        <w:t xml:space="preserve">lace </w:t>
      </w:r>
      <w:r w:rsidR="00F92E37">
        <w:rPr>
          <w:rFonts w:ascii="Arial" w:hAnsi="Arial" w:cs="Arial"/>
          <w:b/>
          <w:bCs/>
        </w:rPr>
        <w:t>n</w:t>
      </w:r>
      <w:r w:rsidR="001C737C">
        <w:rPr>
          <w:rFonts w:ascii="Arial" w:hAnsi="Arial" w:cs="Arial"/>
          <w:b/>
          <w:bCs/>
        </w:rPr>
        <w:t>ame</w:t>
      </w:r>
    </w:p>
    <w:p w:rsidR="00E358BC" w:rsidRPr="00970517" w:rsidRDefault="00E358BC" w:rsidP="00E358BC">
      <w:pPr>
        <w:spacing w:before="140"/>
        <w:ind w:left="720"/>
      </w:pPr>
      <w:r>
        <w:t xml:space="preserve">I determine the </w:t>
      </w:r>
      <w:r w:rsidR="00A502EA">
        <w:t xml:space="preserve">place </w:t>
      </w:r>
      <w:r w:rsidR="007D24D6">
        <w:t>name</w:t>
      </w:r>
      <w:r>
        <w:t xml:space="preserve"> </w:t>
      </w:r>
      <w:r w:rsidR="00A502EA">
        <w:t xml:space="preserve">as </w:t>
      </w:r>
      <w:r>
        <w:t xml:space="preserve">indicated in the schedule. </w:t>
      </w:r>
    </w:p>
    <w:p w:rsidR="00D47F13" w:rsidRDefault="00F236C5" w:rsidP="00232478">
      <w:pPr>
        <w:tabs>
          <w:tab w:val="left" w:pos="4320"/>
        </w:tabs>
        <w:spacing w:before="720"/>
      </w:pPr>
      <w:r>
        <w:t>Ben Ponton</w:t>
      </w:r>
    </w:p>
    <w:p w:rsidR="00F10CB2" w:rsidRPr="007D24D6" w:rsidRDefault="001C737C" w:rsidP="00D47F13">
      <w:pPr>
        <w:tabs>
          <w:tab w:val="left" w:pos="4320"/>
        </w:tabs>
      </w:pPr>
      <w:r>
        <w:t>Delegate of the Minister</w:t>
      </w:r>
      <w:r w:rsidR="008F060D">
        <w:t xml:space="preserve"> for Planning and Land Management </w:t>
      </w:r>
    </w:p>
    <w:bookmarkEnd w:id="0"/>
    <w:p w:rsidR="00F10CB2" w:rsidRDefault="00FF71D6" w:rsidP="00232478">
      <w:pPr>
        <w:tabs>
          <w:tab w:val="left" w:pos="4320"/>
        </w:tabs>
      </w:pPr>
      <w:r>
        <w:t xml:space="preserve">15 </w:t>
      </w:r>
      <w:r w:rsidR="007D24D6">
        <w:t>J</w:t>
      </w:r>
      <w:r w:rsidR="00267A3E">
        <w:t>uly</w:t>
      </w:r>
      <w:r w:rsidR="007D24D6">
        <w:t xml:space="preserve"> 2019</w:t>
      </w:r>
    </w:p>
    <w:p w:rsidR="001F1298" w:rsidRDefault="001F1298" w:rsidP="00232478">
      <w:pPr>
        <w:tabs>
          <w:tab w:val="left" w:pos="4320"/>
        </w:tabs>
      </w:pPr>
    </w:p>
    <w:p w:rsidR="002D783E" w:rsidRDefault="002D783E" w:rsidP="00232478">
      <w:pPr>
        <w:tabs>
          <w:tab w:val="left" w:pos="4320"/>
        </w:tabs>
      </w:pPr>
    </w:p>
    <w:p w:rsidR="001F1298" w:rsidRDefault="001F1298" w:rsidP="00232478">
      <w:pPr>
        <w:tabs>
          <w:tab w:val="left" w:pos="4320"/>
        </w:tabs>
      </w:pPr>
    </w:p>
    <w:p w:rsidR="001F1298" w:rsidRDefault="001F1298" w:rsidP="00232478">
      <w:pPr>
        <w:tabs>
          <w:tab w:val="left" w:pos="4320"/>
        </w:tabs>
      </w:pPr>
    </w:p>
    <w:p w:rsidR="00AA02C9" w:rsidRDefault="00AA02C9" w:rsidP="00232478">
      <w:pPr>
        <w:tabs>
          <w:tab w:val="left" w:pos="4320"/>
        </w:tabs>
      </w:pPr>
    </w:p>
    <w:p w:rsidR="001056A5" w:rsidRDefault="001056A5">
      <w:pPr>
        <w:sectPr w:rsidR="001056A5" w:rsidSect="001A69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  <w:titlePg/>
          <w:docGrid w:linePitch="326"/>
        </w:sectPr>
      </w:pPr>
    </w:p>
    <w:p w:rsidR="003D7174" w:rsidRPr="00513572" w:rsidRDefault="002A039C" w:rsidP="002A039C">
      <w:pPr>
        <w:rPr>
          <w:b/>
          <w:bCs/>
          <w:szCs w:val="28"/>
        </w:rPr>
      </w:pPr>
      <w:r w:rsidRPr="00513572">
        <w:rPr>
          <w:b/>
          <w:bCs/>
          <w:szCs w:val="28"/>
        </w:rPr>
        <w:lastRenderedPageBreak/>
        <w:t>SCHEDULE</w:t>
      </w:r>
    </w:p>
    <w:p w:rsidR="008A3808" w:rsidRPr="007D24D6" w:rsidRDefault="008A3808" w:rsidP="008A3808">
      <w:pPr>
        <w:pStyle w:val="Heading2"/>
        <w:pBdr>
          <w:bottom w:val="single" w:sz="12" w:space="24" w:color="auto"/>
        </w:pBd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(See </w:t>
      </w:r>
      <w:r w:rsidR="00894148">
        <w:rPr>
          <w:rFonts w:ascii="Times New Roman" w:hAnsi="Times New Roman" w:cs="Times New Roman"/>
          <w:i w:val="0"/>
          <w:sz w:val="24"/>
          <w:szCs w:val="24"/>
        </w:rPr>
        <w:t>Clause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3)</w:t>
      </w:r>
    </w:p>
    <w:p w:rsidR="002A039C" w:rsidRDefault="002A039C" w:rsidP="002A039C"/>
    <w:p w:rsidR="003D7174" w:rsidRPr="002A039C" w:rsidRDefault="003D7174" w:rsidP="002A039C"/>
    <w:p w:rsidR="00B63A10" w:rsidRPr="00B63A10" w:rsidRDefault="00AA02C9" w:rsidP="00AA02C9">
      <w:pPr>
        <w:spacing w:before="120" w:after="120"/>
        <w:rPr>
          <w:b/>
          <w:bCs/>
          <w:noProof/>
          <w:szCs w:val="24"/>
        </w:rPr>
      </w:pPr>
      <w:r w:rsidRPr="00AA02C9">
        <w:rPr>
          <w:b/>
          <w:bCs/>
          <w:szCs w:val="24"/>
        </w:rPr>
        <w:t xml:space="preserve">Division of </w:t>
      </w:r>
      <w:r w:rsidR="007D24D6">
        <w:rPr>
          <w:b/>
          <w:bCs/>
          <w:noProof/>
          <w:szCs w:val="24"/>
        </w:rPr>
        <w:t>Coombs</w:t>
      </w:r>
      <w:r w:rsidRPr="00AA02C9">
        <w:rPr>
          <w:b/>
          <w:bCs/>
          <w:noProof/>
          <w:szCs w:val="24"/>
        </w:rPr>
        <w:t xml:space="preserve">– </w:t>
      </w:r>
      <w:r w:rsidR="007D24D6">
        <w:rPr>
          <w:b/>
          <w:bCs/>
          <w:noProof/>
          <w:szCs w:val="24"/>
        </w:rPr>
        <w:t>Notable public service</w:t>
      </w:r>
    </w:p>
    <w:p w:rsidR="00B63A10" w:rsidRPr="00B63A10" w:rsidRDefault="00B63A10" w:rsidP="00AA02C9">
      <w:pPr>
        <w:spacing w:before="120" w:after="120"/>
        <w:rPr>
          <w:bCs/>
          <w:noProof/>
        </w:rPr>
      </w:pPr>
      <w:r w:rsidRPr="00B63A10">
        <w:rPr>
          <w:bCs/>
          <w:noProof/>
        </w:rPr>
        <w:t xml:space="preserve">The location of the public place </w:t>
      </w:r>
      <w:r w:rsidR="008B556F">
        <w:rPr>
          <w:bCs/>
          <w:noProof/>
        </w:rPr>
        <w:t>with the following name</w:t>
      </w:r>
      <w:r w:rsidRPr="00B63A10">
        <w:rPr>
          <w:bCs/>
          <w:noProof/>
        </w:rPr>
        <w:t xml:space="preserve"> is indicated on the associated </w:t>
      </w:r>
      <w:r w:rsidR="00B96911">
        <w:rPr>
          <w:bCs/>
          <w:noProof/>
        </w:rPr>
        <w:t>diagram</w:t>
      </w:r>
      <w:r w:rsidRPr="00B63A10">
        <w:rPr>
          <w:bCs/>
          <w:noProof/>
        </w:rPr>
        <w:t>.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4678"/>
      </w:tblGrid>
      <w:tr w:rsidR="00AA02C9" w:rsidTr="003C17FE">
        <w:trPr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A02C9" w:rsidRPr="00CE3399" w:rsidRDefault="00AA02C9" w:rsidP="007D24D6">
            <w:pPr>
              <w:pStyle w:val="Heading2"/>
              <w:spacing w:before="120" w:after="12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E339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NAME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A02C9" w:rsidRPr="002929A6" w:rsidRDefault="00AA02C9" w:rsidP="002A039C">
            <w:pPr>
              <w:spacing w:before="120" w:after="120"/>
              <w:rPr>
                <w:szCs w:val="24"/>
              </w:rPr>
            </w:pPr>
            <w:r w:rsidRPr="002929A6">
              <w:rPr>
                <w:b/>
                <w:bCs/>
                <w:szCs w:val="24"/>
              </w:rPr>
              <w:t>ORIGIN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A02C9" w:rsidRPr="002929A6" w:rsidRDefault="00AA02C9" w:rsidP="002A039C">
            <w:pPr>
              <w:pStyle w:val="CoverActName"/>
              <w:tabs>
                <w:tab w:val="clear" w:pos="2600"/>
              </w:tabs>
              <w:spacing w:before="120" w:after="120"/>
              <w:rPr>
                <w:rFonts w:ascii="Times New Roman" w:hAnsi="Times New Roman"/>
                <w:szCs w:val="24"/>
                <w:lang w:val="en-GB"/>
              </w:rPr>
            </w:pPr>
            <w:r w:rsidRPr="002929A6">
              <w:rPr>
                <w:rFonts w:ascii="Times New Roman" w:hAnsi="Times New Roman"/>
                <w:szCs w:val="24"/>
                <w:lang w:val="en-GB"/>
              </w:rPr>
              <w:t>SIGNIFICANCE</w:t>
            </w:r>
          </w:p>
        </w:tc>
      </w:tr>
      <w:tr w:rsidR="00CE3399" w:rsidTr="003C17FE">
        <w:trPr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E3399" w:rsidRPr="00E17E25" w:rsidRDefault="007D24D6" w:rsidP="007D24D6">
            <w:pPr>
              <w:pStyle w:val="Heading2"/>
              <w:spacing w:before="120" w:after="12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17E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Judy Harris Park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E3399" w:rsidRPr="00E17E25" w:rsidRDefault="007D24D6" w:rsidP="002A039C">
            <w:pPr>
              <w:spacing w:before="120" w:after="120"/>
              <w:rPr>
                <w:bCs/>
                <w:szCs w:val="24"/>
              </w:rPr>
            </w:pPr>
            <w:r w:rsidRPr="00E17E25">
              <w:rPr>
                <w:bCs/>
                <w:szCs w:val="24"/>
              </w:rPr>
              <w:t>Judith Anne Harris OAM</w:t>
            </w:r>
          </w:p>
          <w:p w:rsidR="007D24D6" w:rsidRDefault="007D24D6" w:rsidP="002A039C">
            <w:pPr>
              <w:spacing w:before="120" w:after="120"/>
              <w:rPr>
                <w:bCs/>
                <w:szCs w:val="24"/>
              </w:rPr>
            </w:pPr>
            <w:r w:rsidRPr="00E17E25">
              <w:rPr>
                <w:bCs/>
                <w:szCs w:val="24"/>
              </w:rPr>
              <w:t>(1945 – 2015)</w:t>
            </w:r>
          </w:p>
          <w:p w:rsidR="00267A3E" w:rsidRDefault="00267A3E" w:rsidP="002A039C">
            <w:pPr>
              <w:spacing w:before="120" w:after="120"/>
              <w:rPr>
                <w:bCs/>
                <w:szCs w:val="24"/>
              </w:rPr>
            </w:pPr>
          </w:p>
          <w:p w:rsidR="00E32253" w:rsidRDefault="00E32253" w:rsidP="00267A3E">
            <w:pPr>
              <w:rPr>
                <w:rFonts w:ascii="New" w:hAnsi="New" w:cs="Helvetica"/>
                <w:sz w:val="20"/>
              </w:rPr>
            </w:pPr>
          </w:p>
          <w:p w:rsidR="00E32253" w:rsidRDefault="00E32253" w:rsidP="00267A3E">
            <w:pPr>
              <w:rPr>
                <w:rFonts w:ascii="Helvetica" w:hAnsi="Helvetica" w:cs="Helvetica"/>
                <w:lang w:eastAsia="en-AU"/>
              </w:rPr>
            </w:pPr>
          </w:p>
          <w:p w:rsidR="00267A3E" w:rsidRDefault="00267A3E" w:rsidP="00267A3E">
            <w:pPr>
              <w:rPr>
                <w:rFonts w:ascii="Helvetica" w:hAnsi="Helvetica" w:cs="Helvetica"/>
              </w:rPr>
            </w:pPr>
          </w:p>
          <w:p w:rsidR="00267A3E" w:rsidRPr="00E17E25" w:rsidRDefault="00267A3E" w:rsidP="002A039C">
            <w:pPr>
              <w:spacing w:before="120" w:after="120"/>
              <w:rPr>
                <w:bCs/>
                <w:szCs w:val="24"/>
              </w:rPr>
            </w:pPr>
          </w:p>
          <w:p w:rsidR="00817815" w:rsidRPr="00E17E25" w:rsidRDefault="00817815" w:rsidP="002A039C">
            <w:pPr>
              <w:spacing w:before="120" w:after="120"/>
              <w:rPr>
                <w:b/>
                <w:bCs/>
                <w:szCs w:val="24"/>
              </w:rPr>
            </w:pPr>
          </w:p>
          <w:p w:rsidR="00817815" w:rsidRPr="00E17E25" w:rsidRDefault="00817815" w:rsidP="002A039C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7D24D6" w:rsidRPr="00E17E25" w:rsidRDefault="007D24D6" w:rsidP="007D24D6">
            <w:pPr>
              <w:rPr>
                <w:bCs/>
                <w:sz w:val="10"/>
                <w:szCs w:val="10"/>
              </w:rPr>
            </w:pPr>
          </w:p>
          <w:p w:rsidR="007D24D6" w:rsidRPr="00E17E25" w:rsidRDefault="007D24D6" w:rsidP="007D24D6">
            <w:pPr>
              <w:rPr>
                <w:szCs w:val="24"/>
              </w:rPr>
            </w:pPr>
            <w:r w:rsidRPr="00E17E25">
              <w:rPr>
                <w:szCs w:val="24"/>
              </w:rPr>
              <w:t>Elder of Wiradjuri and Ngunnawal Country; community service; health and children</w:t>
            </w:r>
            <w:r w:rsidR="00F92E37">
              <w:rPr>
                <w:szCs w:val="24"/>
              </w:rPr>
              <w:t>’</w:t>
            </w:r>
            <w:r w:rsidRPr="00E17E25">
              <w:rPr>
                <w:szCs w:val="24"/>
              </w:rPr>
              <w:t>s services</w:t>
            </w:r>
          </w:p>
          <w:p w:rsidR="007D24D6" w:rsidRPr="00E17E25" w:rsidRDefault="007D24D6" w:rsidP="007D24D6">
            <w:pPr>
              <w:rPr>
                <w:szCs w:val="24"/>
              </w:rPr>
            </w:pPr>
          </w:p>
          <w:p w:rsidR="000C65CD" w:rsidRPr="000C65CD" w:rsidRDefault="000C65CD" w:rsidP="000C65CD">
            <w:pPr>
              <w:rPr>
                <w:szCs w:val="24"/>
              </w:rPr>
            </w:pPr>
            <w:r w:rsidRPr="000C65CD">
              <w:rPr>
                <w:szCs w:val="24"/>
              </w:rPr>
              <w:t xml:space="preserve">Judy Harris was dedicated to improving health outcomes for Aboriginal people throughout the Australian Capital Territory and </w:t>
            </w:r>
            <w:r w:rsidRPr="000C65CD">
              <w:rPr>
                <w:rStyle w:val="hps-normal1"/>
                <w:szCs w:val="24"/>
                <w:lang w:val="en"/>
              </w:rPr>
              <w:t>south-east region of New South Wales</w:t>
            </w:r>
            <w:r w:rsidRPr="000C65CD">
              <w:rPr>
                <w:szCs w:val="24"/>
              </w:rPr>
              <w:t xml:space="preserve">.  In 1988, she was a founding director and member of the community controlled Winnunga Nimmityjah Aboriginal Health Service (now </w:t>
            </w:r>
            <w:r w:rsidRPr="000C65CD">
              <w:rPr>
                <w:szCs w:val="24"/>
                <w:lang w:val="en-US"/>
              </w:rPr>
              <w:t>Winnunga Nimmityjah Aboriginal Health and Community Services</w:t>
            </w:r>
            <w:r w:rsidRPr="000C65CD">
              <w:rPr>
                <w:szCs w:val="24"/>
              </w:rPr>
              <w:t xml:space="preserve">). She was an advocate for Aboriginal children, working as an Aboriginal Liaison Officer in the ACT Catholic Education Office during 1991–99.  </w:t>
            </w:r>
          </w:p>
          <w:p w:rsidR="00CE3399" w:rsidRPr="00E17E25" w:rsidRDefault="000C65CD" w:rsidP="000C65CD">
            <w:pPr>
              <w:rPr>
                <w:szCs w:val="24"/>
                <w:lang w:val="en-GB"/>
              </w:rPr>
            </w:pPr>
            <w:r w:rsidRPr="000C65CD">
              <w:rPr>
                <w:szCs w:val="24"/>
                <w:lang w:val="en-US"/>
              </w:rPr>
              <w:t>Judy Harris</w:t>
            </w:r>
            <w:r w:rsidRPr="000C65CD">
              <w:rPr>
                <w:szCs w:val="24"/>
              </w:rPr>
              <w:t xml:space="preserve"> was chairperson of </w:t>
            </w:r>
            <w:r w:rsidRPr="000C65CD">
              <w:rPr>
                <w:szCs w:val="24"/>
                <w:lang w:val="en-US"/>
              </w:rPr>
              <w:t xml:space="preserve">Winnunga Nimmityjah almost from its inception and continued in the role </w:t>
            </w:r>
            <w:r w:rsidRPr="000C65CD">
              <w:rPr>
                <w:szCs w:val="24"/>
              </w:rPr>
              <w:t>for over 23 years, standing down in late 2014.</w:t>
            </w:r>
            <w:r w:rsidRPr="000C65CD">
              <w:rPr>
                <w:szCs w:val="24"/>
              </w:rPr>
              <w:br w:type="textWrapping" w:clear="all"/>
              <w:t xml:space="preserve">Affectionately known as Aunty Jude Harris by </w:t>
            </w:r>
            <w:r w:rsidRPr="000C65CD">
              <w:rPr>
                <w:szCs w:val="24"/>
                <w:lang w:val="en-US"/>
              </w:rPr>
              <w:t xml:space="preserve">clients and community people, </w:t>
            </w:r>
            <w:r w:rsidRPr="000C65CD">
              <w:rPr>
                <w:szCs w:val="24"/>
              </w:rPr>
              <w:t>she was awarded the Medal of the Order of Australia in 2009 for service to the community of the Australian Capital Territory, particularly through the Winnunga Nimmityjah Aboriginal Health Service.</w:t>
            </w:r>
          </w:p>
        </w:tc>
      </w:tr>
    </w:tbl>
    <w:p w:rsidR="00AA02C9" w:rsidRDefault="00AA02C9" w:rsidP="00232478">
      <w:pPr>
        <w:tabs>
          <w:tab w:val="left" w:pos="4320"/>
        </w:tabs>
      </w:pPr>
    </w:p>
    <w:p w:rsidR="001056A5" w:rsidRDefault="001056A5">
      <w:pPr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color w:val="1F497D" w:themeColor="dark2"/>
        </w:rPr>
        <w:br w:type="page"/>
      </w:r>
      <w:r w:rsidR="00316027">
        <w:rPr>
          <w:rFonts w:asciiTheme="minorHAnsi" w:hAnsiTheme="minorHAnsi" w:cstheme="minorBidi"/>
          <w:noProof/>
          <w:color w:val="1F497D" w:themeColor="dark2"/>
          <w:lang w:eastAsia="en-AU"/>
        </w:rPr>
        <w:lastRenderedPageBreak/>
        <w:drawing>
          <wp:inline distT="0" distB="0" distL="0" distR="0">
            <wp:extent cx="5274945" cy="7459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605 - instrument diagram - Judy Harris Park (draft) (A20033605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6A5" w:rsidSect="001A69F0">
      <w:footerReference w:type="defaul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C79" w:rsidRDefault="000A3C79" w:rsidP="00F10CB2">
      <w:r>
        <w:separator/>
      </w:r>
    </w:p>
  </w:endnote>
  <w:endnote w:type="continuationSeparator" w:id="0">
    <w:p w:rsidR="000A3C79" w:rsidRDefault="000A3C7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93" w:rsidRDefault="007B1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9C" w:rsidRPr="00E20EDD" w:rsidRDefault="00E20EDD" w:rsidP="00E20EDD">
    <w:pPr>
      <w:pStyle w:val="Footer"/>
      <w:tabs>
        <w:tab w:val="clear" w:pos="2880"/>
      </w:tabs>
      <w:jc w:val="center"/>
      <w:rPr>
        <w:rFonts w:ascii="Arial" w:hAnsi="Arial" w:cs="Arial"/>
        <w:sz w:val="14"/>
      </w:rPr>
    </w:pPr>
    <w:r w:rsidRPr="00E20ED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9C" w:rsidRPr="00E20EDD" w:rsidRDefault="00E20EDD" w:rsidP="00E20EDD">
    <w:pPr>
      <w:pStyle w:val="Footer"/>
      <w:tabs>
        <w:tab w:val="clear" w:pos="2880"/>
      </w:tabs>
      <w:jc w:val="center"/>
      <w:rPr>
        <w:rFonts w:ascii="Arial" w:hAnsi="Arial" w:cs="Arial"/>
        <w:sz w:val="14"/>
      </w:rPr>
    </w:pPr>
    <w:r w:rsidRPr="00E20EDD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054372"/>
      <w:docPartObj>
        <w:docPartGallery w:val="Page Numbers (Top of Page)"/>
        <w:docPartUnique/>
      </w:docPartObj>
    </w:sdtPr>
    <w:sdtEndPr/>
    <w:sdtContent>
      <w:p w:rsidR="00BB7795" w:rsidRPr="00BB7795" w:rsidRDefault="00BB7795" w:rsidP="00BB7795">
        <w:pPr>
          <w:pStyle w:val="Footer"/>
          <w:tabs>
            <w:tab w:val="clear" w:pos="2880"/>
          </w:tabs>
        </w:pPr>
        <w:r w:rsidRPr="00BB7795">
          <w:t xml:space="preserve">Page </w:t>
        </w:r>
        <w:r w:rsidRPr="00BB7795">
          <w:fldChar w:fldCharType="begin"/>
        </w:r>
        <w:r w:rsidRPr="00BB7795">
          <w:instrText xml:space="preserve"> PAGE </w:instrText>
        </w:r>
        <w:r w:rsidRPr="00BB7795">
          <w:fldChar w:fldCharType="separate"/>
        </w:r>
        <w:r w:rsidRPr="00BB7795">
          <w:t>1</w:t>
        </w:r>
        <w:r w:rsidRPr="00BB7795">
          <w:rPr>
            <w:noProof/>
          </w:rPr>
          <w:fldChar w:fldCharType="end"/>
        </w:r>
        <w:r w:rsidRPr="00BB7795">
          <w:t xml:space="preserve"> of </w:t>
        </w:r>
        <w:r w:rsidRPr="00BB7795">
          <w:rPr>
            <w:noProof/>
          </w:rPr>
          <w:fldChar w:fldCharType="begin"/>
        </w:r>
        <w:r w:rsidRPr="00BB7795">
          <w:rPr>
            <w:noProof/>
          </w:rPr>
          <w:instrText xml:space="preserve"> SECTIONPAGES  </w:instrText>
        </w:r>
        <w:r w:rsidRPr="00BB7795">
          <w:rPr>
            <w:noProof/>
          </w:rPr>
          <w:fldChar w:fldCharType="separate"/>
        </w:r>
        <w:r w:rsidR="0014227D">
          <w:rPr>
            <w:noProof/>
          </w:rPr>
          <w:t>2</w:t>
        </w:r>
        <w:r w:rsidRPr="00BB7795">
          <w:rPr>
            <w:noProof/>
          </w:rPr>
          <w:fldChar w:fldCharType="end"/>
        </w:r>
      </w:p>
      <w:p w:rsidR="00E20EDD" w:rsidRDefault="00E20EDD" w:rsidP="00BB7795">
        <w:pPr>
          <w:pStyle w:val="Footer"/>
          <w:jc w:val="center"/>
        </w:pPr>
      </w:p>
    </w:sdtContent>
  </w:sdt>
  <w:p w:rsidR="009D57D2" w:rsidRPr="00E20EDD" w:rsidRDefault="00E20EDD" w:rsidP="00E20EDD">
    <w:pPr>
      <w:pStyle w:val="Footer"/>
      <w:jc w:val="center"/>
      <w:rPr>
        <w:rFonts w:ascii="Arial" w:hAnsi="Arial" w:cs="Arial"/>
        <w:sz w:val="14"/>
      </w:rPr>
    </w:pPr>
    <w:r w:rsidRPr="00E20EDD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607572"/>
      <w:docPartObj>
        <w:docPartGallery w:val="Page Numbers (Bottom of Page)"/>
        <w:docPartUnique/>
      </w:docPartObj>
    </w:sdtPr>
    <w:sdtEndPr/>
    <w:sdtContent>
      <w:sdt>
        <w:sdtPr>
          <w:id w:val="1416741858"/>
          <w:docPartObj>
            <w:docPartGallery w:val="Page Numbers (Top of Page)"/>
            <w:docPartUnique/>
          </w:docPartObj>
        </w:sdtPr>
        <w:sdtEndPr/>
        <w:sdtContent>
          <w:p w:rsidR="001A69F0" w:rsidRPr="00AF1C0D" w:rsidRDefault="001A69F0" w:rsidP="001056A5">
            <w:pPr>
              <w:pStyle w:val="Footer"/>
              <w:tabs>
                <w:tab w:val="clear" w:pos="2880"/>
              </w:tabs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SECTIONPAGES 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>
              <w:tab/>
            </w:r>
            <w:r w:rsidRPr="008B556F">
              <w:rPr>
                <w:i/>
              </w:rPr>
              <w:t xml:space="preserve"> </w:t>
            </w:r>
          </w:p>
          <w:p w:rsidR="001A69F0" w:rsidRPr="00AA02C9" w:rsidRDefault="00E20EDD" w:rsidP="00AA02C9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C79" w:rsidRDefault="000A3C79" w:rsidP="00F10CB2">
      <w:r>
        <w:separator/>
      </w:r>
    </w:p>
  </w:footnote>
  <w:footnote w:type="continuationSeparator" w:id="0">
    <w:p w:rsidR="000A3C79" w:rsidRDefault="000A3C7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93" w:rsidRDefault="007B1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93" w:rsidRDefault="007B1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93" w:rsidRDefault="007B1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840D6D"/>
    <w:multiLevelType w:val="hybridMultilevel"/>
    <w:tmpl w:val="BBE4BD4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04684C"/>
    <w:multiLevelType w:val="hybridMultilevel"/>
    <w:tmpl w:val="8CDA286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4515E"/>
    <w:rsid w:val="000A1A69"/>
    <w:rsid w:val="000A3C79"/>
    <w:rsid w:val="000C501D"/>
    <w:rsid w:val="000C65CD"/>
    <w:rsid w:val="001056A5"/>
    <w:rsid w:val="00111262"/>
    <w:rsid w:val="00134786"/>
    <w:rsid w:val="0014227D"/>
    <w:rsid w:val="001666B0"/>
    <w:rsid w:val="00194AC7"/>
    <w:rsid w:val="001A69F0"/>
    <w:rsid w:val="001B22A4"/>
    <w:rsid w:val="001C737C"/>
    <w:rsid w:val="001F1298"/>
    <w:rsid w:val="00205E99"/>
    <w:rsid w:val="00232478"/>
    <w:rsid w:val="002376AB"/>
    <w:rsid w:val="0025154A"/>
    <w:rsid w:val="00267A3E"/>
    <w:rsid w:val="00267FC1"/>
    <w:rsid w:val="002A039C"/>
    <w:rsid w:val="002A4363"/>
    <w:rsid w:val="002D783E"/>
    <w:rsid w:val="00316027"/>
    <w:rsid w:val="003C17FE"/>
    <w:rsid w:val="003C330F"/>
    <w:rsid w:val="003D7174"/>
    <w:rsid w:val="003F71D2"/>
    <w:rsid w:val="00445322"/>
    <w:rsid w:val="00481934"/>
    <w:rsid w:val="00492788"/>
    <w:rsid w:val="00513572"/>
    <w:rsid w:val="00522381"/>
    <w:rsid w:val="005961A3"/>
    <w:rsid w:val="005D55E0"/>
    <w:rsid w:val="005D68B8"/>
    <w:rsid w:val="005E5C5D"/>
    <w:rsid w:val="005F75A1"/>
    <w:rsid w:val="00627F0C"/>
    <w:rsid w:val="006668F6"/>
    <w:rsid w:val="00667281"/>
    <w:rsid w:val="00685113"/>
    <w:rsid w:val="006A3A2F"/>
    <w:rsid w:val="00704DC3"/>
    <w:rsid w:val="0072003E"/>
    <w:rsid w:val="00734FC6"/>
    <w:rsid w:val="0077162F"/>
    <w:rsid w:val="00784B87"/>
    <w:rsid w:val="007A3299"/>
    <w:rsid w:val="007B1993"/>
    <w:rsid w:val="007B2E24"/>
    <w:rsid w:val="007B52A7"/>
    <w:rsid w:val="007C29D3"/>
    <w:rsid w:val="007C3B22"/>
    <w:rsid w:val="007D24D6"/>
    <w:rsid w:val="007E15FC"/>
    <w:rsid w:val="008036F7"/>
    <w:rsid w:val="00817815"/>
    <w:rsid w:val="00824EB1"/>
    <w:rsid w:val="00843B27"/>
    <w:rsid w:val="008754D1"/>
    <w:rsid w:val="00894148"/>
    <w:rsid w:val="008A1D96"/>
    <w:rsid w:val="008A3808"/>
    <w:rsid w:val="008B556F"/>
    <w:rsid w:val="008E4A39"/>
    <w:rsid w:val="008F060D"/>
    <w:rsid w:val="008F60A5"/>
    <w:rsid w:val="009070F7"/>
    <w:rsid w:val="00970517"/>
    <w:rsid w:val="009876DB"/>
    <w:rsid w:val="009A149C"/>
    <w:rsid w:val="009D57D2"/>
    <w:rsid w:val="00A0585C"/>
    <w:rsid w:val="00A07BFA"/>
    <w:rsid w:val="00A43FE7"/>
    <w:rsid w:val="00A502EA"/>
    <w:rsid w:val="00A74247"/>
    <w:rsid w:val="00A9655D"/>
    <w:rsid w:val="00AA02C9"/>
    <w:rsid w:val="00AA09D1"/>
    <w:rsid w:val="00AD2007"/>
    <w:rsid w:val="00AE6BD7"/>
    <w:rsid w:val="00B021A5"/>
    <w:rsid w:val="00B1549F"/>
    <w:rsid w:val="00B15D71"/>
    <w:rsid w:val="00B30B9A"/>
    <w:rsid w:val="00B63A10"/>
    <w:rsid w:val="00B65E50"/>
    <w:rsid w:val="00B6603C"/>
    <w:rsid w:val="00B96911"/>
    <w:rsid w:val="00BA52F5"/>
    <w:rsid w:val="00BB241F"/>
    <w:rsid w:val="00BB7795"/>
    <w:rsid w:val="00BD02C6"/>
    <w:rsid w:val="00C41B1B"/>
    <w:rsid w:val="00C56321"/>
    <w:rsid w:val="00C65523"/>
    <w:rsid w:val="00C7191F"/>
    <w:rsid w:val="00CD4E55"/>
    <w:rsid w:val="00CE3399"/>
    <w:rsid w:val="00CF28EB"/>
    <w:rsid w:val="00D36CFC"/>
    <w:rsid w:val="00D47F13"/>
    <w:rsid w:val="00D8049E"/>
    <w:rsid w:val="00D82FCB"/>
    <w:rsid w:val="00D9612A"/>
    <w:rsid w:val="00DB1051"/>
    <w:rsid w:val="00DF1D10"/>
    <w:rsid w:val="00E17E25"/>
    <w:rsid w:val="00E20EDD"/>
    <w:rsid w:val="00E32253"/>
    <w:rsid w:val="00E323FC"/>
    <w:rsid w:val="00E358BC"/>
    <w:rsid w:val="00E57E53"/>
    <w:rsid w:val="00E73C6D"/>
    <w:rsid w:val="00F0488B"/>
    <w:rsid w:val="00F10CB2"/>
    <w:rsid w:val="00F15AC3"/>
    <w:rsid w:val="00F236C5"/>
    <w:rsid w:val="00F36049"/>
    <w:rsid w:val="00F56AED"/>
    <w:rsid w:val="00F92E37"/>
    <w:rsid w:val="00F93D2B"/>
    <w:rsid w:val="00FB4806"/>
    <w:rsid w:val="00FF71D6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FB4717D-5267-4DB7-B0CC-7F37108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02C9"/>
    <w:pPr>
      <w:tabs>
        <w:tab w:val="left" w:pos="1701"/>
        <w:tab w:val="left" w:pos="2880"/>
      </w:tabs>
    </w:pPr>
    <w:rPr>
      <w:snapToGrid w:val="0"/>
      <w:sz w:val="20"/>
      <w:szCs w:val="24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A74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4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02C9"/>
    <w:rPr>
      <w:snapToGrid w:val="0"/>
      <w:szCs w:val="24"/>
      <w:lang w:eastAsia="en-US"/>
    </w:rPr>
  </w:style>
  <w:style w:type="character" w:customStyle="1" w:styleId="hps-normal1">
    <w:name w:val="hps-normal1"/>
    <w:basedOn w:val="DefaultParagraphFont"/>
    <w:rsid w:val="009A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1512</Characters>
  <Application>Microsoft Office Word</Application>
  <DocSecurity>0</DocSecurity>
  <Lines>76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2004-04-05T00:37:00Z</cp:lastPrinted>
  <dcterms:created xsi:type="dcterms:W3CDTF">2019-07-17T00:09:00Z</dcterms:created>
  <dcterms:modified xsi:type="dcterms:W3CDTF">2019-07-17T00:09:00Z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A20018090</vt:lpwstr>
  </property>
  <property fmtid="{D5CDD505-2E9C-101B-9397-08002B2CF9AE}" pid="4" name="Objective-Title">
    <vt:lpwstr>Public Place Names (Coombs) Determination 2019</vt:lpwstr>
  </property>
  <property fmtid="{D5CDD505-2E9C-101B-9397-08002B2CF9AE}" pid="5" name="Objective-Comment">
    <vt:lpwstr/>
  </property>
  <property fmtid="{D5CDD505-2E9C-101B-9397-08002B2CF9AE}" pid="6" name="Objective-CreationStamp">
    <vt:filetime>2019-06-04T05:56:33Z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2019-07-15T01:11:13Z</vt:filetime>
  </property>
  <property fmtid="{D5CDD505-2E9C-101B-9397-08002B2CF9AE}" pid="10" name="Objective-ModificationStamp">
    <vt:filetime>2019-07-15T01:11:13Z</vt:filetime>
  </property>
  <property fmtid="{D5CDD505-2E9C-101B-9397-08002B2CF9AE}" pid="11" name="Objective-Owner">
    <vt:lpwstr>Sharon Priestly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Correspondence:Director-General:2015 - Director-General Correspondence:Office of the Surveyor-Gene</vt:lpwstr>
  </property>
  <property fmtid="{D5CDD505-2E9C-101B-9397-08002B2CF9AE}" pid="13" name="Objective-Parent">
    <vt:lpwstr>19/19969 - Public Place Names (Coombs) Determination 2019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1-2019/19969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