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89A3"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58511D70" w14:textId="5F25D9BD" w:rsidR="00F10CB2" w:rsidRDefault="00B0503B">
      <w:pPr>
        <w:pStyle w:val="Billname"/>
        <w:spacing w:before="700"/>
      </w:pPr>
      <w:bookmarkStart w:id="2" w:name="_Hlk11400037"/>
      <w:r>
        <w:t>Road Transport</w:t>
      </w:r>
      <w:r w:rsidR="00F10CB2">
        <w:t xml:space="preserve"> </w:t>
      </w:r>
      <w:r w:rsidR="000159DB">
        <w:t xml:space="preserve">(General) </w:t>
      </w:r>
      <w:r w:rsidR="000D570C">
        <w:t>E</w:t>
      </w:r>
      <w:r>
        <w:t xml:space="preserve">xtension of </w:t>
      </w:r>
      <w:r w:rsidR="000D570C">
        <w:t>T</w:t>
      </w:r>
      <w:r>
        <w:t>ime</w:t>
      </w:r>
      <w:r w:rsidR="00F10CB2">
        <w:t xml:space="preserve"> </w:t>
      </w:r>
      <w:r>
        <w:t>Guidelines</w:t>
      </w:r>
      <w:r w:rsidR="00B30B9A">
        <w:t xml:space="preserve"> </w:t>
      </w:r>
      <w:r>
        <w:t>2019</w:t>
      </w:r>
      <w:r w:rsidR="00F10CB2">
        <w:t xml:space="preserve"> (No </w:t>
      </w:r>
      <w:r>
        <w:t>1</w:t>
      </w:r>
      <w:r w:rsidR="00F10CB2">
        <w:t>)</w:t>
      </w:r>
      <w:bookmarkEnd w:id="2"/>
    </w:p>
    <w:p w14:paraId="3AE328D4" w14:textId="6AD063E2" w:rsidR="00F10CB2" w:rsidRDefault="00F10CB2" w:rsidP="00D47F13">
      <w:pPr>
        <w:spacing w:before="340"/>
        <w:rPr>
          <w:rFonts w:ascii="Arial" w:hAnsi="Arial" w:cs="Arial"/>
          <w:b/>
          <w:bCs/>
        </w:rPr>
      </w:pPr>
      <w:r>
        <w:rPr>
          <w:rFonts w:ascii="Arial" w:hAnsi="Arial" w:cs="Arial"/>
          <w:b/>
          <w:bCs/>
        </w:rPr>
        <w:t>Disallowable instrument DI</w:t>
      </w:r>
      <w:r w:rsidR="00B0503B">
        <w:rPr>
          <w:rFonts w:ascii="Arial" w:hAnsi="Arial" w:cs="Arial"/>
          <w:b/>
          <w:bCs/>
          <w:iCs/>
        </w:rPr>
        <w:t>2019</w:t>
      </w:r>
      <w:r>
        <w:rPr>
          <w:rFonts w:ascii="Arial" w:hAnsi="Arial" w:cs="Arial"/>
          <w:b/>
          <w:bCs/>
        </w:rPr>
        <w:t>–</w:t>
      </w:r>
      <w:r w:rsidR="00731785">
        <w:rPr>
          <w:rFonts w:ascii="Arial" w:hAnsi="Arial" w:cs="Arial"/>
          <w:b/>
          <w:bCs/>
        </w:rPr>
        <w:t>213</w:t>
      </w:r>
    </w:p>
    <w:p w14:paraId="37A2305F" w14:textId="77777777" w:rsidR="00F10CB2" w:rsidRDefault="00F10CB2" w:rsidP="00CD4E55">
      <w:pPr>
        <w:pStyle w:val="madeunder"/>
        <w:spacing w:before="300" w:after="0"/>
      </w:pPr>
      <w:r>
        <w:t xml:space="preserve">made under the  </w:t>
      </w:r>
    </w:p>
    <w:p w14:paraId="642680CE" w14:textId="77777777" w:rsidR="00F10CB2" w:rsidRDefault="00B0503B" w:rsidP="00CD4E55">
      <w:pPr>
        <w:pStyle w:val="CoverActName"/>
        <w:spacing w:before="320" w:after="0"/>
        <w:rPr>
          <w:rFonts w:cs="Arial"/>
          <w:sz w:val="20"/>
        </w:rPr>
      </w:pPr>
      <w:r>
        <w:rPr>
          <w:rFonts w:cs="Arial"/>
          <w:i/>
          <w:sz w:val="20"/>
        </w:rPr>
        <w:t>Road Transport (General) Act 1999</w:t>
      </w:r>
      <w:r w:rsidR="00F10CB2">
        <w:rPr>
          <w:rFonts w:cs="Arial"/>
          <w:sz w:val="20"/>
        </w:rPr>
        <w:t xml:space="preserve">, </w:t>
      </w:r>
      <w:r w:rsidR="00EA23E4">
        <w:rPr>
          <w:rFonts w:cs="Arial"/>
          <w:sz w:val="20"/>
        </w:rPr>
        <w:t>s</w:t>
      </w:r>
      <w:r w:rsidR="008E0904">
        <w:rPr>
          <w:rFonts w:cs="Arial"/>
          <w:sz w:val="20"/>
        </w:rPr>
        <w:t xml:space="preserve">ection </w:t>
      </w:r>
      <w:r>
        <w:rPr>
          <w:rFonts w:cs="Arial"/>
          <w:sz w:val="20"/>
        </w:rPr>
        <w:t>30</w:t>
      </w:r>
      <w:r w:rsidR="00F10CB2">
        <w:rPr>
          <w:rFonts w:cs="Arial"/>
          <w:sz w:val="20"/>
        </w:rPr>
        <w:t xml:space="preserve"> (</w:t>
      </w:r>
      <w:r w:rsidR="00C35B25">
        <w:rPr>
          <w:rFonts w:cs="Arial"/>
          <w:sz w:val="20"/>
        </w:rPr>
        <w:t>Ex</w:t>
      </w:r>
      <w:r>
        <w:rPr>
          <w:rFonts w:cs="Arial"/>
          <w:sz w:val="20"/>
        </w:rPr>
        <w:t>tension of time</w:t>
      </w:r>
      <w:r w:rsidR="00C35B25">
        <w:rPr>
          <w:rFonts w:cs="Arial"/>
          <w:bCs/>
        </w:rPr>
        <w:t>–</w:t>
      </w:r>
      <w:r>
        <w:rPr>
          <w:rFonts w:cs="Arial"/>
          <w:sz w:val="20"/>
        </w:rPr>
        <w:t>guidelines</w:t>
      </w:r>
      <w:r w:rsidR="009C1618">
        <w:rPr>
          <w:rFonts w:cs="Arial"/>
          <w:sz w:val="20"/>
        </w:rPr>
        <w:t>)</w:t>
      </w:r>
    </w:p>
    <w:p w14:paraId="342845F0" w14:textId="77777777" w:rsidR="00F10CB2" w:rsidRDefault="00F10CB2" w:rsidP="00CD4E55">
      <w:pPr>
        <w:pStyle w:val="N-line3"/>
        <w:pBdr>
          <w:bottom w:val="none" w:sz="0" w:space="0" w:color="auto"/>
        </w:pBdr>
        <w:spacing w:before="60"/>
      </w:pPr>
    </w:p>
    <w:p w14:paraId="080FDFA2" w14:textId="77777777" w:rsidR="00F10CB2" w:rsidRDefault="00F10CB2">
      <w:pPr>
        <w:pStyle w:val="N-line3"/>
        <w:pBdr>
          <w:top w:val="single" w:sz="12" w:space="1" w:color="auto"/>
          <w:bottom w:val="none" w:sz="0" w:space="0" w:color="auto"/>
        </w:pBdr>
      </w:pPr>
    </w:p>
    <w:p w14:paraId="6402FC5A"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197F2DE" w14:textId="77777777" w:rsidR="00F10CB2" w:rsidRDefault="00F10CB2" w:rsidP="00D47F13">
      <w:pPr>
        <w:spacing w:before="140"/>
        <w:ind w:left="720"/>
      </w:pPr>
      <w:r>
        <w:t xml:space="preserve">This instrument is the </w:t>
      </w:r>
      <w:r w:rsidR="00B0503B" w:rsidRPr="00B0503B">
        <w:rPr>
          <w:i/>
        </w:rPr>
        <w:t>Road</w:t>
      </w:r>
      <w:r w:rsidR="00B0503B">
        <w:t xml:space="preserve"> </w:t>
      </w:r>
      <w:r w:rsidR="00B0503B" w:rsidRPr="00B0503B">
        <w:rPr>
          <w:bCs/>
          <w:i/>
          <w:iCs/>
        </w:rPr>
        <w:t>Transpo</w:t>
      </w:r>
      <w:r w:rsidR="00B0503B">
        <w:rPr>
          <w:bCs/>
          <w:i/>
          <w:iCs/>
        </w:rPr>
        <w:t xml:space="preserve">rt </w:t>
      </w:r>
      <w:r w:rsidR="007C76A8">
        <w:rPr>
          <w:bCs/>
          <w:i/>
          <w:iCs/>
        </w:rPr>
        <w:t>E</w:t>
      </w:r>
      <w:r w:rsidR="00B0503B">
        <w:rPr>
          <w:bCs/>
          <w:i/>
          <w:iCs/>
        </w:rPr>
        <w:t xml:space="preserve">xtension of </w:t>
      </w:r>
      <w:r w:rsidR="007C76A8">
        <w:rPr>
          <w:bCs/>
          <w:i/>
          <w:iCs/>
        </w:rPr>
        <w:t>T</w:t>
      </w:r>
      <w:r w:rsidR="00B0503B">
        <w:rPr>
          <w:bCs/>
          <w:i/>
          <w:iCs/>
        </w:rPr>
        <w:t>im</w:t>
      </w:r>
      <w:r w:rsidR="00C35B25">
        <w:rPr>
          <w:bCs/>
          <w:i/>
          <w:iCs/>
        </w:rPr>
        <w:t>e</w:t>
      </w:r>
      <w:r w:rsidR="00B0503B">
        <w:rPr>
          <w:bCs/>
          <w:i/>
          <w:iCs/>
        </w:rPr>
        <w:t xml:space="preserve"> Guidelines 2019 (No 1)</w:t>
      </w:r>
      <w:r w:rsidRPr="00627F0C">
        <w:rPr>
          <w:bCs/>
          <w:iCs/>
        </w:rPr>
        <w:t>.</w:t>
      </w:r>
    </w:p>
    <w:p w14:paraId="1D4D1740"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181BB9B" w14:textId="77777777" w:rsidR="00F10CB2" w:rsidRDefault="00F10CB2" w:rsidP="00D47F13">
      <w:pPr>
        <w:spacing w:before="140"/>
        <w:ind w:left="720"/>
      </w:pPr>
      <w:r>
        <w:t xml:space="preserve">This instrument commences on </w:t>
      </w:r>
      <w:r w:rsidR="00B0503B">
        <w:t xml:space="preserve">the </w:t>
      </w:r>
      <w:r w:rsidR="00481D1C">
        <w:t>day after</w:t>
      </w:r>
      <w:r w:rsidR="00E85A81">
        <w:t xml:space="preserve"> it is notified</w:t>
      </w:r>
      <w:r w:rsidR="00481D1C">
        <w:t>.</w:t>
      </w:r>
    </w:p>
    <w:p w14:paraId="5906FC7A"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8E0904">
        <w:rPr>
          <w:rFonts w:ascii="Arial" w:hAnsi="Arial" w:cs="Arial"/>
          <w:b/>
          <w:bCs/>
        </w:rPr>
        <w:t>G</w:t>
      </w:r>
      <w:r w:rsidR="001D796A">
        <w:rPr>
          <w:rFonts w:ascii="Arial" w:hAnsi="Arial" w:cs="Arial"/>
          <w:b/>
          <w:bCs/>
        </w:rPr>
        <w:t>uidelines</w:t>
      </w:r>
    </w:p>
    <w:p w14:paraId="7C10C5FC" w14:textId="70F723F3" w:rsidR="0012344E" w:rsidRDefault="001D796A" w:rsidP="007102CA">
      <w:pPr>
        <w:spacing w:before="140"/>
        <w:ind w:left="720"/>
      </w:pPr>
      <w:r>
        <w:t xml:space="preserve">I issue the guidelines in Schedule 1 for </w:t>
      </w:r>
      <w:r w:rsidR="007102CA">
        <w:t>deciding applications for an extension of time</w:t>
      </w:r>
      <w:r w:rsidR="004C7A6F">
        <w:t xml:space="preserve"> </w:t>
      </w:r>
      <w:r w:rsidR="00C35B25">
        <w:t xml:space="preserve">in relation to </w:t>
      </w:r>
      <w:r w:rsidR="00B035AA">
        <w:t>taking action</w:t>
      </w:r>
      <w:r w:rsidR="00C35B25">
        <w:t xml:space="preserve"> in response to an infringement notice or reminder notice</w:t>
      </w:r>
      <w:r w:rsidR="00B3254F">
        <w:t xml:space="preserve"> received for an infringement notice offence</w:t>
      </w:r>
      <w:r w:rsidR="00721970">
        <w:t>.</w:t>
      </w:r>
    </w:p>
    <w:p w14:paraId="2A884371" w14:textId="77777777" w:rsidR="00C35B25" w:rsidRDefault="00C35B25" w:rsidP="00C35B25">
      <w:pPr>
        <w:spacing w:before="300"/>
        <w:ind w:left="720" w:hanging="720"/>
        <w:rPr>
          <w:rFonts w:ascii="Arial" w:hAnsi="Arial" w:cs="Arial"/>
          <w:b/>
          <w:bCs/>
        </w:rPr>
      </w:pPr>
      <w:r>
        <w:rPr>
          <w:rFonts w:ascii="Arial" w:hAnsi="Arial" w:cs="Arial"/>
          <w:b/>
          <w:bCs/>
        </w:rPr>
        <w:t>4</w:t>
      </w:r>
      <w:r>
        <w:rPr>
          <w:rFonts w:ascii="Arial" w:hAnsi="Arial" w:cs="Arial"/>
          <w:b/>
          <w:bCs/>
        </w:rPr>
        <w:tab/>
        <w:t>Definitions</w:t>
      </w:r>
    </w:p>
    <w:p w14:paraId="4890194C" w14:textId="77777777" w:rsidR="00B3254F" w:rsidRDefault="00B3254F" w:rsidP="00B3254F">
      <w:pPr>
        <w:spacing w:before="140"/>
        <w:ind w:left="720"/>
      </w:pPr>
      <w:r w:rsidRPr="00A56D48">
        <w:rPr>
          <w:b/>
          <w:i/>
        </w:rPr>
        <w:t>Administering authority</w:t>
      </w:r>
      <w:r>
        <w:t xml:space="preserve">, for an infringement notice offence, means the entity that, under section 8 of the </w:t>
      </w:r>
      <w:r w:rsidRPr="00A56D48">
        <w:rPr>
          <w:i/>
        </w:rPr>
        <w:t>Road Transport (Offences) Regulation 2005</w:t>
      </w:r>
      <w:r>
        <w:t>, is the administering authority for the offence.</w:t>
      </w:r>
    </w:p>
    <w:p w14:paraId="5B274AE1" w14:textId="77777777" w:rsidR="00B3254F" w:rsidRPr="00DF2B5B" w:rsidRDefault="00B3254F" w:rsidP="00B3254F">
      <w:pPr>
        <w:spacing w:before="140"/>
        <w:ind w:left="720"/>
        <w:rPr>
          <w:sz w:val="22"/>
          <w:szCs w:val="22"/>
        </w:rPr>
      </w:pPr>
      <w:r w:rsidRPr="00DF2B5B">
        <w:rPr>
          <w:sz w:val="22"/>
          <w:szCs w:val="22"/>
        </w:rPr>
        <w:t>Note:</w:t>
      </w:r>
      <w:r w:rsidRPr="00DF2B5B">
        <w:rPr>
          <w:sz w:val="22"/>
          <w:szCs w:val="22"/>
        </w:rPr>
        <w:tab/>
        <w:t xml:space="preserve">Section 8 (1) (a) of the </w:t>
      </w:r>
      <w:r w:rsidRPr="00DF2B5B">
        <w:rPr>
          <w:i/>
          <w:sz w:val="22"/>
          <w:szCs w:val="22"/>
        </w:rPr>
        <w:t>Road Transport (Offences) Regulation 2005</w:t>
      </w:r>
      <w:r w:rsidRPr="00DF2B5B">
        <w:rPr>
          <w:sz w:val="22"/>
          <w:szCs w:val="22"/>
        </w:rPr>
        <w:t xml:space="preserve"> provides </w:t>
      </w:r>
      <w:r w:rsidRPr="00DF2B5B">
        <w:rPr>
          <w:sz w:val="22"/>
          <w:szCs w:val="22"/>
        </w:rPr>
        <w:tab/>
        <w:t>that a road transport authority (</w:t>
      </w:r>
      <w:r>
        <w:rPr>
          <w:sz w:val="22"/>
          <w:szCs w:val="22"/>
        </w:rPr>
        <w:t>the</w:t>
      </w:r>
      <w:r w:rsidRPr="00DF2B5B">
        <w:rPr>
          <w:sz w:val="22"/>
          <w:szCs w:val="22"/>
        </w:rPr>
        <w:t xml:space="preserve"> Director-General of the Environment, </w:t>
      </w:r>
      <w:r w:rsidRPr="00DF2B5B">
        <w:rPr>
          <w:sz w:val="22"/>
          <w:szCs w:val="22"/>
        </w:rPr>
        <w:tab/>
        <w:t>Planning and Sustainable Development Directorate</w:t>
      </w:r>
      <w:r>
        <w:rPr>
          <w:sz w:val="22"/>
          <w:szCs w:val="22"/>
        </w:rPr>
        <w:t xml:space="preserve"> and the Director-General </w:t>
      </w:r>
      <w:r>
        <w:rPr>
          <w:sz w:val="22"/>
          <w:szCs w:val="22"/>
        </w:rPr>
        <w:tab/>
        <w:t xml:space="preserve">of the Justice and Community Safety Directorate) is the administering </w:t>
      </w:r>
      <w:r>
        <w:rPr>
          <w:sz w:val="22"/>
          <w:szCs w:val="22"/>
        </w:rPr>
        <w:tab/>
      </w:r>
      <w:r w:rsidRPr="00DF2B5B">
        <w:rPr>
          <w:sz w:val="22"/>
          <w:szCs w:val="22"/>
        </w:rPr>
        <w:t xml:space="preserve">authority for the purposes of certain offences contained in part 12 of the </w:t>
      </w:r>
      <w:r w:rsidRPr="00DF2B5B">
        <w:rPr>
          <w:i/>
          <w:sz w:val="22"/>
          <w:szCs w:val="22"/>
        </w:rPr>
        <w:t xml:space="preserve">Road </w:t>
      </w:r>
      <w:r w:rsidRPr="00DF2B5B">
        <w:rPr>
          <w:i/>
          <w:sz w:val="22"/>
          <w:szCs w:val="22"/>
        </w:rPr>
        <w:tab/>
        <w:t>Transport (Road Rules) Regulation 2017</w:t>
      </w:r>
      <w:r w:rsidRPr="00DF2B5B">
        <w:rPr>
          <w:sz w:val="22"/>
          <w:szCs w:val="22"/>
        </w:rPr>
        <w:t>,</w:t>
      </w:r>
      <w:r w:rsidRPr="00DF2B5B">
        <w:rPr>
          <w:i/>
          <w:sz w:val="22"/>
          <w:szCs w:val="22"/>
        </w:rPr>
        <w:t xml:space="preserve"> </w:t>
      </w:r>
      <w:r w:rsidRPr="00DF2B5B">
        <w:rPr>
          <w:sz w:val="22"/>
          <w:szCs w:val="22"/>
        </w:rPr>
        <w:t xml:space="preserve">where those offences are </w:t>
      </w:r>
      <w:r>
        <w:rPr>
          <w:sz w:val="22"/>
          <w:szCs w:val="22"/>
        </w:rPr>
        <w:tab/>
      </w:r>
      <w:r w:rsidRPr="00DF2B5B">
        <w:rPr>
          <w:sz w:val="22"/>
          <w:szCs w:val="22"/>
        </w:rPr>
        <w:t xml:space="preserve">infringement notice offences under part 1.12A of schedule 1 of the </w:t>
      </w:r>
      <w:r w:rsidRPr="00DF2B5B">
        <w:rPr>
          <w:i/>
          <w:sz w:val="22"/>
          <w:szCs w:val="22"/>
        </w:rPr>
        <w:t xml:space="preserve">Road </w:t>
      </w:r>
      <w:r>
        <w:rPr>
          <w:i/>
          <w:sz w:val="22"/>
          <w:szCs w:val="22"/>
        </w:rPr>
        <w:tab/>
      </w:r>
      <w:r w:rsidRPr="00DF2B5B">
        <w:rPr>
          <w:i/>
          <w:sz w:val="22"/>
          <w:szCs w:val="22"/>
        </w:rPr>
        <w:t>Transport (Offences) Regulation 2005</w:t>
      </w:r>
      <w:r w:rsidRPr="00DF2B5B">
        <w:rPr>
          <w:sz w:val="22"/>
          <w:szCs w:val="22"/>
        </w:rPr>
        <w:t xml:space="preserve">. This does not extend to those specific </w:t>
      </w:r>
      <w:r>
        <w:rPr>
          <w:sz w:val="22"/>
          <w:szCs w:val="22"/>
        </w:rPr>
        <w:tab/>
      </w:r>
      <w:r w:rsidRPr="00DF2B5B">
        <w:rPr>
          <w:sz w:val="22"/>
          <w:szCs w:val="22"/>
        </w:rPr>
        <w:t xml:space="preserve">sections of part 12 of the </w:t>
      </w:r>
      <w:r w:rsidRPr="00DF2B5B">
        <w:rPr>
          <w:i/>
          <w:sz w:val="22"/>
          <w:szCs w:val="22"/>
        </w:rPr>
        <w:t xml:space="preserve">Road Transport (Road Rules) Regulation 2017 </w:t>
      </w:r>
      <w:r w:rsidRPr="00DF2B5B">
        <w:rPr>
          <w:i/>
          <w:sz w:val="22"/>
          <w:szCs w:val="22"/>
        </w:rPr>
        <w:tab/>
      </w:r>
      <w:r w:rsidRPr="00DF2B5B">
        <w:rPr>
          <w:sz w:val="22"/>
          <w:szCs w:val="22"/>
        </w:rPr>
        <w:t xml:space="preserve">listed in section 8 (1) (a) of the </w:t>
      </w:r>
      <w:r w:rsidRPr="00DF2B5B">
        <w:rPr>
          <w:i/>
          <w:sz w:val="22"/>
          <w:szCs w:val="22"/>
        </w:rPr>
        <w:t>Road Transport (Offences) Regulation 2005</w:t>
      </w:r>
      <w:r w:rsidRPr="00DF2B5B">
        <w:rPr>
          <w:sz w:val="22"/>
          <w:szCs w:val="22"/>
        </w:rPr>
        <w:t xml:space="preserve"> </w:t>
      </w:r>
      <w:r>
        <w:rPr>
          <w:sz w:val="22"/>
          <w:szCs w:val="22"/>
        </w:rPr>
        <w:tab/>
      </w:r>
      <w:r w:rsidRPr="00DF2B5B">
        <w:rPr>
          <w:sz w:val="22"/>
          <w:szCs w:val="22"/>
        </w:rPr>
        <w:t>in relation to which the Chief Police Officer</w:t>
      </w:r>
      <w:r>
        <w:rPr>
          <w:sz w:val="22"/>
          <w:szCs w:val="22"/>
        </w:rPr>
        <w:t xml:space="preserve"> is the relevant administering </w:t>
      </w:r>
      <w:r>
        <w:rPr>
          <w:sz w:val="22"/>
          <w:szCs w:val="22"/>
        </w:rPr>
        <w:tab/>
      </w:r>
      <w:r w:rsidRPr="00DF2B5B">
        <w:rPr>
          <w:sz w:val="22"/>
          <w:szCs w:val="22"/>
        </w:rPr>
        <w:t>authority under section 8 (2) of the</w:t>
      </w:r>
      <w:r w:rsidRPr="00DF2B5B">
        <w:rPr>
          <w:i/>
          <w:sz w:val="22"/>
          <w:szCs w:val="22"/>
        </w:rPr>
        <w:t xml:space="preserve"> Road T</w:t>
      </w:r>
      <w:r>
        <w:rPr>
          <w:i/>
          <w:sz w:val="22"/>
          <w:szCs w:val="22"/>
        </w:rPr>
        <w:t xml:space="preserve">ransport (Offences) Regulation </w:t>
      </w:r>
      <w:r>
        <w:rPr>
          <w:i/>
          <w:sz w:val="22"/>
          <w:szCs w:val="22"/>
        </w:rPr>
        <w:tab/>
      </w:r>
      <w:r w:rsidRPr="00DF2B5B">
        <w:rPr>
          <w:i/>
          <w:sz w:val="22"/>
          <w:szCs w:val="22"/>
        </w:rPr>
        <w:t>2005</w:t>
      </w:r>
      <w:r w:rsidRPr="00DF2B5B">
        <w:rPr>
          <w:sz w:val="22"/>
          <w:szCs w:val="22"/>
        </w:rPr>
        <w:t>.</w:t>
      </w:r>
    </w:p>
    <w:p w14:paraId="0D708484" w14:textId="77777777" w:rsidR="00B3254F" w:rsidRPr="00DF2B5B" w:rsidRDefault="00B3254F" w:rsidP="00B3254F">
      <w:pPr>
        <w:spacing w:before="140"/>
        <w:ind w:left="1440"/>
        <w:rPr>
          <w:i/>
          <w:sz w:val="22"/>
          <w:szCs w:val="22"/>
        </w:rPr>
      </w:pPr>
      <w:r w:rsidRPr="00DF2B5B">
        <w:rPr>
          <w:sz w:val="22"/>
          <w:szCs w:val="22"/>
        </w:rPr>
        <w:t xml:space="preserve">Section 8 (1) (b) of the </w:t>
      </w:r>
      <w:r w:rsidRPr="00DF2B5B">
        <w:rPr>
          <w:i/>
          <w:sz w:val="22"/>
          <w:szCs w:val="22"/>
        </w:rPr>
        <w:t>Road Transport (Offences) Regulation 2005</w:t>
      </w:r>
      <w:r w:rsidRPr="00DF2B5B">
        <w:rPr>
          <w:sz w:val="22"/>
          <w:szCs w:val="22"/>
        </w:rPr>
        <w:t xml:space="preserve"> provides that the road transport authority (the Director-General of the Environment, Planning and Sustainable Development Directorate) is the administering </w:t>
      </w:r>
      <w:r w:rsidRPr="00DF2B5B">
        <w:rPr>
          <w:sz w:val="22"/>
          <w:szCs w:val="22"/>
        </w:rPr>
        <w:lastRenderedPageBreak/>
        <w:t xml:space="preserve">authority for the purposes of certain offences contained in division 7.3 of the </w:t>
      </w:r>
      <w:r w:rsidRPr="00DF2B5B">
        <w:rPr>
          <w:i/>
          <w:sz w:val="22"/>
          <w:szCs w:val="22"/>
        </w:rPr>
        <w:t>Road Transport (Safety and Traffic Management) Regulation 2017</w:t>
      </w:r>
      <w:r w:rsidRPr="00DF2B5B">
        <w:rPr>
          <w:sz w:val="22"/>
          <w:szCs w:val="22"/>
        </w:rPr>
        <w:t>,</w:t>
      </w:r>
      <w:r w:rsidRPr="00DF2B5B">
        <w:rPr>
          <w:i/>
          <w:sz w:val="22"/>
          <w:szCs w:val="22"/>
        </w:rPr>
        <w:t xml:space="preserve"> </w:t>
      </w:r>
      <w:r w:rsidRPr="00DF2B5B">
        <w:rPr>
          <w:sz w:val="22"/>
          <w:szCs w:val="22"/>
        </w:rPr>
        <w:t xml:space="preserve">where those offences are infringement notice offences under part 1.13 of schedule 1 of the </w:t>
      </w:r>
      <w:r w:rsidRPr="00DF2B5B">
        <w:rPr>
          <w:i/>
          <w:sz w:val="22"/>
          <w:szCs w:val="22"/>
        </w:rPr>
        <w:t>Road Transport (Offences) Regulation 2005</w:t>
      </w:r>
      <w:r w:rsidRPr="00DF2B5B">
        <w:rPr>
          <w:sz w:val="22"/>
          <w:szCs w:val="22"/>
        </w:rPr>
        <w:t xml:space="preserve">. This does not extend to offences in the </w:t>
      </w:r>
      <w:r w:rsidRPr="00DF2B5B">
        <w:rPr>
          <w:i/>
          <w:sz w:val="22"/>
          <w:szCs w:val="22"/>
        </w:rPr>
        <w:t xml:space="preserve">Road Transport (Safety and Traffic Management) Regulation 2017 </w:t>
      </w:r>
      <w:r w:rsidRPr="00DF2B5B">
        <w:rPr>
          <w:sz w:val="22"/>
          <w:szCs w:val="22"/>
        </w:rPr>
        <w:t>(which are not contained in division 7.3) in relation to which the Chief Police Officer is the relevant administering authority under section 8 (2) of the</w:t>
      </w:r>
      <w:r w:rsidRPr="00DF2B5B">
        <w:rPr>
          <w:i/>
          <w:sz w:val="22"/>
          <w:szCs w:val="22"/>
        </w:rPr>
        <w:t xml:space="preserve"> Road Transport (Offences) Regulation 2005</w:t>
      </w:r>
      <w:r w:rsidRPr="00DF2B5B">
        <w:rPr>
          <w:sz w:val="22"/>
          <w:szCs w:val="22"/>
        </w:rPr>
        <w:t>.</w:t>
      </w:r>
    </w:p>
    <w:p w14:paraId="30986936" w14:textId="77777777" w:rsidR="00B3254F" w:rsidRPr="00DF2B5B" w:rsidRDefault="00B3254F" w:rsidP="00B3254F">
      <w:pPr>
        <w:spacing w:before="140"/>
        <w:ind w:left="1440"/>
        <w:rPr>
          <w:sz w:val="22"/>
          <w:szCs w:val="22"/>
        </w:rPr>
      </w:pPr>
      <w:r w:rsidRPr="00DF2B5B">
        <w:rPr>
          <w:sz w:val="22"/>
          <w:szCs w:val="22"/>
        </w:rPr>
        <w:t xml:space="preserve">Section 8 (1) (c) of the </w:t>
      </w:r>
      <w:r w:rsidRPr="00DF2B5B">
        <w:rPr>
          <w:i/>
          <w:sz w:val="22"/>
          <w:szCs w:val="22"/>
        </w:rPr>
        <w:t>Road Transport (Offences) Regulation 2005</w:t>
      </w:r>
      <w:r w:rsidRPr="00DF2B5B">
        <w:rPr>
          <w:sz w:val="22"/>
          <w:szCs w:val="22"/>
        </w:rPr>
        <w:t xml:space="preserve"> provides th</w:t>
      </w:r>
      <w:r>
        <w:rPr>
          <w:sz w:val="22"/>
          <w:szCs w:val="22"/>
        </w:rPr>
        <w:t>at a road transport authority (</w:t>
      </w:r>
      <w:r w:rsidRPr="00DF2B5B">
        <w:rPr>
          <w:sz w:val="22"/>
          <w:szCs w:val="22"/>
        </w:rPr>
        <w:t xml:space="preserve">the Director-General of the Justice and Community Safety Directorate) is the administering authority for the purposes of certain offences contained in the </w:t>
      </w:r>
      <w:r w:rsidRPr="00DF2B5B">
        <w:rPr>
          <w:i/>
          <w:sz w:val="22"/>
          <w:szCs w:val="22"/>
        </w:rPr>
        <w:t xml:space="preserve">Road Transport (Public Passenger Services) Act 2001 </w:t>
      </w:r>
      <w:r w:rsidRPr="006924DD">
        <w:rPr>
          <w:sz w:val="22"/>
          <w:szCs w:val="22"/>
        </w:rPr>
        <w:t>and the</w:t>
      </w:r>
      <w:r w:rsidRPr="00DF2B5B">
        <w:rPr>
          <w:i/>
          <w:sz w:val="22"/>
          <w:szCs w:val="22"/>
        </w:rPr>
        <w:t xml:space="preserve"> Road Transport (Public Passenger Services) Regulation 2002</w:t>
      </w:r>
      <w:r w:rsidRPr="00DF2B5B">
        <w:rPr>
          <w:sz w:val="22"/>
          <w:szCs w:val="22"/>
        </w:rPr>
        <w:t xml:space="preserve">, where those offences are infringement notice offences under parts 1.10 and 1.11 of schedule 1 of the </w:t>
      </w:r>
      <w:r w:rsidRPr="00DF2B5B">
        <w:rPr>
          <w:i/>
          <w:sz w:val="22"/>
          <w:szCs w:val="22"/>
        </w:rPr>
        <w:t>Road Transport (Offences) Regulation 2005.</w:t>
      </w:r>
    </w:p>
    <w:p w14:paraId="62090B5D" w14:textId="3B076174" w:rsidR="00B3254F" w:rsidRPr="00DF2B5B" w:rsidRDefault="00B3254F" w:rsidP="00B3254F">
      <w:pPr>
        <w:spacing w:before="140"/>
        <w:ind w:left="1440"/>
        <w:rPr>
          <w:sz w:val="22"/>
          <w:szCs w:val="22"/>
        </w:rPr>
      </w:pPr>
      <w:r w:rsidRPr="00DF2B5B">
        <w:rPr>
          <w:sz w:val="22"/>
          <w:szCs w:val="22"/>
        </w:rPr>
        <w:t xml:space="preserve">Which Director-General is the road transport authority is determined by section 16 (3) of the </w:t>
      </w:r>
      <w:r w:rsidRPr="00DF2B5B">
        <w:rPr>
          <w:i/>
          <w:sz w:val="22"/>
          <w:szCs w:val="22"/>
        </w:rPr>
        <w:t xml:space="preserve">Road Transport (General) Act 1999 </w:t>
      </w:r>
      <w:r w:rsidRPr="00DF2B5B">
        <w:rPr>
          <w:sz w:val="22"/>
          <w:szCs w:val="22"/>
        </w:rPr>
        <w:t xml:space="preserve">read in conjunction with the </w:t>
      </w:r>
      <w:r w:rsidRPr="00DF2B5B">
        <w:rPr>
          <w:i/>
          <w:sz w:val="22"/>
          <w:szCs w:val="22"/>
        </w:rPr>
        <w:t>Administrative Arrangements 201</w:t>
      </w:r>
      <w:r w:rsidR="00F64DF2">
        <w:rPr>
          <w:i/>
          <w:sz w:val="22"/>
          <w:szCs w:val="22"/>
        </w:rPr>
        <w:t>9</w:t>
      </w:r>
      <w:r w:rsidRPr="00DF2B5B">
        <w:rPr>
          <w:i/>
          <w:sz w:val="22"/>
          <w:szCs w:val="22"/>
        </w:rPr>
        <w:t xml:space="preserve"> (No</w:t>
      </w:r>
      <w:r w:rsidR="00F64DF2">
        <w:rPr>
          <w:i/>
          <w:sz w:val="22"/>
          <w:szCs w:val="22"/>
        </w:rPr>
        <w:t xml:space="preserve"> 1</w:t>
      </w:r>
      <w:r w:rsidRPr="00DF2B5B">
        <w:rPr>
          <w:i/>
          <w:sz w:val="22"/>
          <w:szCs w:val="22"/>
        </w:rPr>
        <w:t>)</w:t>
      </w:r>
      <w:r w:rsidRPr="00DF2B5B">
        <w:rPr>
          <w:sz w:val="22"/>
          <w:szCs w:val="22"/>
        </w:rPr>
        <w:t>.</w:t>
      </w:r>
    </w:p>
    <w:p w14:paraId="1005EB52" w14:textId="77777777" w:rsidR="00B3254F" w:rsidRPr="00DF2B5B" w:rsidRDefault="00B3254F" w:rsidP="00B3254F">
      <w:pPr>
        <w:spacing w:before="140"/>
        <w:ind w:left="1440"/>
        <w:rPr>
          <w:i/>
          <w:sz w:val="22"/>
          <w:szCs w:val="22"/>
        </w:rPr>
      </w:pPr>
      <w:r w:rsidRPr="00DF2B5B">
        <w:rPr>
          <w:sz w:val="22"/>
          <w:szCs w:val="22"/>
        </w:rPr>
        <w:t xml:space="preserve">Section 8 (2) of the </w:t>
      </w:r>
      <w:r w:rsidRPr="00DF2B5B">
        <w:rPr>
          <w:i/>
          <w:sz w:val="22"/>
          <w:szCs w:val="22"/>
        </w:rPr>
        <w:t xml:space="preserve">Road Transport (Offences) Regulation 2005 </w:t>
      </w:r>
      <w:r w:rsidRPr="00DF2B5B">
        <w:rPr>
          <w:sz w:val="22"/>
          <w:szCs w:val="22"/>
        </w:rPr>
        <w:t>provides that the Chief Police Officer is the administering authority for infringement notice offences that are not described in section 8 (1) of the</w:t>
      </w:r>
      <w:r w:rsidRPr="00DF2B5B">
        <w:rPr>
          <w:i/>
          <w:sz w:val="22"/>
          <w:szCs w:val="22"/>
        </w:rPr>
        <w:t xml:space="preserve"> Road Transport (Offences) Regulation 2005.</w:t>
      </w:r>
    </w:p>
    <w:p w14:paraId="4E2157EB" w14:textId="77777777" w:rsidR="00C35B25" w:rsidRPr="00B3254F" w:rsidRDefault="00C35B25" w:rsidP="00C35B25">
      <w:pPr>
        <w:spacing w:before="140"/>
        <w:ind w:left="720"/>
        <w:rPr>
          <w:i/>
        </w:rPr>
      </w:pPr>
      <w:r w:rsidRPr="00B3254F">
        <w:rPr>
          <w:b/>
          <w:i/>
        </w:rPr>
        <w:t>Infringement notice</w:t>
      </w:r>
      <w:r w:rsidR="00B3254F" w:rsidRPr="00B3254F">
        <w:t xml:space="preserve"> – see the </w:t>
      </w:r>
      <w:r w:rsidR="00B3254F" w:rsidRPr="00B035AA">
        <w:rPr>
          <w:i/>
        </w:rPr>
        <w:t>Legislation Act 2001</w:t>
      </w:r>
      <w:r w:rsidR="00B3254F" w:rsidRPr="00B3254F">
        <w:t xml:space="preserve"> and section 24 (6) of the </w:t>
      </w:r>
      <w:r w:rsidR="00B3254F" w:rsidRPr="00B3254F">
        <w:rPr>
          <w:i/>
        </w:rPr>
        <w:t>Road Transport (General) Act 1999</w:t>
      </w:r>
    </w:p>
    <w:p w14:paraId="7036B5E0" w14:textId="77777777" w:rsidR="00B3254F" w:rsidRPr="00B3254F" w:rsidRDefault="00B3254F" w:rsidP="00C35B25">
      <w:pPr>
        <w:spacing w:before="140"/>
        <w:ind w:left="720"/>
      </w:pPr>
      <w:r w:rsidRPr="00B3254F">
        <w:rPr>
          <w:b/>
          <w:i/>
        </w:rPr>
        <w:t>Infringement notice offence</w:t>
      </w:r>
      <w:r w:rsidRPr="00B3254F">
        <w:t xml:space="preserve"> means an offence mentioned in schedule 1 of the </w:t>
      </w:r>
      <w:r w:rsidRPr="00B3254F">
        <w:rPr>
          <w:i/>
        </w:rPr>
        <w:t>Road Transport (Offences) Regulation 2005</w:t>
      </w:r>
      <w:r w:rsidRPr="00B3254F">
        <w:t xml:space="preserve"> for which an infringement penalty is provided in column 5 of the item applying to the offence</w:t>
      </w:r>
    </w:p>
    <w:p w14:paraId="7DEC349A" w14:textId="77777777" w:rsidR="00C35B25" w:rsidRDefault="00C35B25" w:rsidP="00C35B25">
      <w:pPr>
        <w:spacing w:before="140"/>
        <w:ind w:left="720"/>
      </w:pPr>
      <w:r w:rsidRPr="00B3254F">
        <w:rPr>
          <w:b/>
          <w:i/>
        </w:rPr>
        <w:t>Reminder notice</w:t>
      </w:r>
      <w:r w:rsidR="00B3254F" w:rsidRPr="00B3254F">
        <w:t xml:space="preserve"> – see section 6 of the </w:t>
      </w:r>
      <w:r w:rsidR="00B3254F" w:rsidRPr="00B3254F">
        <w:rPr>
          <w:i/>
        </w:rPr>
        <w:t>Road Transport (General) Act 1999</w:t>
      </w:r>
    </w:p>
    <w:p w14:paraId="69AAFD3E" w14:textId="77777777" w:rsidR="007102CA" w:rsidRDefault="007102CA" w:rsidP="00232478">
      <w:pPr>
        <w:tabs>
          <w:tab w:val="left" w:pos="4320"/>
        </w:tabs>
        <w:spacing w:before="720"/>
      </w:pPr>
    </w:p>
    <w:p w14:paraId="5FC212C1" w14:textId="77777777" w:rsidR="00D47F13" w:rsidRDefault="005D433A" w:rsidP="00232478">
      <w:pPr>
        <w:tabs>
          <w:tab w:val="left" w:pos="4320"/>
        </w:tabs>
        <w:spacing w:before="720"/>
      </w:pPr>
      <w:r>
        <w:t>Shane Rattenbury</w:t>
      </w:r>
    </w:p>
    <w:p w14:paraId="33567126" w14:textId="77777777" w:rsidR="00F10CB2" w:rsidRDefault="005D433A" w:rsidP="00D47F13">
      <w:pPr>
        <w:tabs>
          <w:tab w:val="left" w:pos="4320"/>
        </w:tabs>
      </w:pPr>
      <w:r>
        <w:t>Minister for Justice, Consumer Affairs and Road Safety</w:t>
      </w:r>
    </w:p>
    <w:bookmarkEnd w:id="0"/>
    <w:p w14:paraId="507E3531" w14:textId="6222C455" w:rsidR="002D50EA" w:rsidRDefault="002336D0" w:rsidP="002336D0">
      <w:pPr>
        <w:tabs>
          <w:tab w:val="left" w:pos="4320"/>
        </w:tabs>
      </w:pPr>
      <w:r>
        <w:t>18 September</w:t>
      </w:r>
      <w:r w:rsidR="007102CA">
        <w:t xml:space="preserve"> </w:t>
      </w:r>
      <w:r>
        <w:t>2</w:t>
      </w:r>
      <w:r w:rsidR="00951400">
        <w:t>019</w:t>
      </w:r>
      <w:r w:rsidR="002D50EA">
        <w:br w:type="page"/>
      </w:r>
    </w:p>
    <w:p w14:paraId="14CB715E" w14:textId="77777777" w:rsidR="002D50EA" w:rsidRPr="008946AD" w:rsidRDefault="002D50EA" w:rsidP="002D50EA">
      <w:pPr>
        <w:pStyle w:val="Header"/>
        <w:jc w:val="center"/>
        <w:rPr>
          <w:b/>
          <w:sz w:val="28"/>
          <w:szCs w:val="28"/>
        </w:rPr>
      </w:pPr>
      <w:r w:rsidRPr="008946AD">
        <w:rPr>
          <w:b/>
          <w:sz w:val="28"/>
          <w:szCs w:val="28"/>
        </w:rPr>
        <w:lastRenderedPageBreak/>
        <w:t>Schedule 1</w:t>
      </w:r>
    </w:p>
    <w:p w14:paraId="5BC8F172" w14:textId="77777777" w:rsidR="00F502CA" w:rsidRDefault="00F502CA" w:rsidP="00F502CA">
      <w:pPr>
        <w:tabs>
          <w:tab w:val="left" w:pos="4320"/>
        </w:tabs>
        <w:rPr>
          <w:b/>
          <w:sz w:val="28"/>
        </w:rPr>
      </w:pPr>
    </w:p>
    <w:p w14:paraId="46E39B80" w14:textId="77777777" w:rsidR="00F502CA" w:rsidRPr="008946AD" w:rsidRDefault="00F502CA" w:rsidP="00F502CA">
      <w:pPr>
        <w:tabs>
          <w:tab w:val="left" w:pos="4320"/>
        </w:tabs>
        <w:rPr>
          <w:b/>
          <w:szCs w:val="24"/>
        </w:rPr>
      </w:pPr>
      <w:r w:rsidRPr="008946AD">
        <w:rPr>
          <w:b/>
          <w:szCs w:val="24"/>
        </w:rPr>
        <w:t>APPLYING FOR AN EXTENSION OF TIME</w:t>
      </w:r>
    </w:p>
    <w:p w14:paraId="24D1455C" w14:textId="77777777" w:rsidR="00855BA6" w:rsidRDefault="00855BA6" w:rsidP="002D50EA">
      <w:pPr>
        <w:tabs>
          <w:tab w:val="left" w:pos="4320"/>
        </w:tabs>
      </w:pPr>
    </w:p>
    <w:p w14:paraId="0B5E9552" w14:textId="5E595B43" w:rsidR="00B3254F" w:rsidRDefault="00B3254F" w:rsidP="002D50EA">
      <w:pPr>
        <w:tabs>
          <w:tab w:val="left" w:pos="4320"/>
        </w:tabs>
      </w:pPr>
      <w:r>
        <w:t>A</w:t>
      </w:r>
      <w:r w:rsidR="004E3CF2" w:rsidRPr="004E3CF2">
        <w:t xml:space="preserve"> </w:t>
      </w:r>
      <w:r w:rsidR="008571B2">
        <w:t xml:space="preserve">person </w:t>
      </w:r>
      <w:r w:rsidR="004E3CF2">
        <w:t>who receives an infringement notice</w:t>
      </w:r>
      <w:r w:rsidR="000C7799">
        <w:t xml:space="preserve"> or reminder notice</w:t>
      </w:r>
      <w:r w:rsidR="004E3CF2">
        <w:t xml:space="preserve"> may apply for an extension of time </w:t>
      </w:r>
      <w:r w:rsidR="000C7799">
        <w:t>in order to do</w:t>
      </w:r>
      <w:r w:rsidR="004E3CF2">
        <w:t xml:space="preserve"> </w:t>
      </w:r>
      <w:r w:rsidR="000C7799">
        <w:t>one or more</w:t>
      </w:r>
      <w:r w:rsidR="004E3CF2">
        <w:t xml:space="preserve"> of the </w:t>
      </w:r>
      <w:r>
        <w:t>following</w:t>
      </w:r>
      <w:r w:rsidR="000C7799">
        <w:t xml:space="preserve"> in relation</w:t>
      </w:r>
      <w:r w:rsidR="00F64DF2">
        <w:t xml:space="preserve"> to</w:t>
      </w:r>
      <w:r w:rsidR="000C7799">
        <w:t xml:space="preserve"> the infringement notice or reminder notice received</w:t>
      </w:r>
      <w:r>
        <w:t>:</w:t>
      </w:r>
    </w:p>
    <w:p w14:paraId="4693156C" w14:textId="77777777" w:rsidR="00B3254F" w:rsidRDefault="00B3254F" w:rsidP="002D50EA">
      <w:pPr>
        <w:tabs>
          <w:tab w:val="left" w:pos="4320"/>
        </w:tabs>
      </w:pPr>
    </w:p>
    <w:p w14:paraId="13A9B7A3" w14:textId="2E304948" w:rsidR="00B3254F" w:rsidRDefault="00B3254F" w:rsidP="000C7799">
      <w:pPr>
        <w:pStyle w:val="ListParagraph"/>
        <w:numPr>
          <w:ilvl w:val="0"/>
          <w:numId w:val="22"/>
        </w:numPr>
        <w:tabs>
          <w:tab w:val="left" w:pos="4320"/>
        </w:tabs>
        <w:spacing w:before="120"/>
        <w:ind w:left="714" w:hanging="357"/>
        <w:contextualSpacing w:val="0"/>
      </w:pPr>
      <w:r>
        <w:t>Pay the infringement notice penalty stated in the notice</w:t>
      </w:r>
      <w:r w:rsidR="00B035AA">
        <w:t>.</w:t>
      </w:r>
    </w:p>
    <w:p w14:paraId="70F6B52A" w14:textId="0D781AD7" w:rsidR="00B3254F" w:rsidRDefault="00B3254F" w:rsidP="000C7799">
      <w:pPr>
        <w:pStyle w:val="ListParagraph"/>
        <w:numPr>
          <w:ilvl w:val="0"/>
          <w:numId w:val="22"/>
        </w:numPr>
        <w:tabs>
          <w:tab w:val="left" w:pos="4320"/>
        </w:tabs>
        <w:spacing w:before="120"/>
        <w:ind w:left="714" w:hanging="357"/>
        <w:contextualSpacing w:val="0"/>
      </w:pPr>
      <w:r>
        <w:t>Apply to the administering authority to enter into an infringement notice management plan or add the infringement notice penalty to an existing infringement notice management plan</w:t>
      </w:r>
      <w:r w:rsidR="00B035AA">
        <w:t>.</w:t>
      </w:r>
    </w:p>
    <w:p w14:paraId="4390FB00" w14:textId="53AA5723" w:rsidR="00B3254F" w:rsidRDefault="00B3254F" w:rsidP="000C7799">
      <w:pPr>
        <w:pStyle w:val="ListParagraph"/>
        <w:numPr>
          <w:ilvl w:val="0"/>
          <w:numId w:val="22"/>
        </w:numPr>
        <w:tabs>
          <w:tab w:val="left" w:pos="4320"/>
        </w:tabs>
        <w:spacing w:before="120"/>
        <w:ind w:left="714" w:hanging="357"/>
        <w:contextualSpacing w:val="0"/>
      </w:pPr>
      <w:r>
        <w:t>Apply to the administering authority for waiver of the infringement notice penalty</w:t>
      </w:r>
      <w:r w:rsidR="00B035AA">
        <w:t>.</w:t>
      </w:r>
    </w:p>
    <w:p w14:paraId="2BFA1AD3" w14:textId="48DDB9EC" w:rsidR="00B3254F" w:rsidRDefault="00B3254F" w:rsidP="000C7799">
      <w:pPr>
        <w:pStyle w:val="ListParagraph"/>
        <w:numPr>
          <w:ilvl w:val="0"/>
          <w:numId w:val="22"/>
        </w:numPr>
        <w:tabs>
          <w:tab w:val="left" w:pos="4320"/>
        </w:tabs>
        <w:spacing w:before="120"/>
        <w:ind w:left="714" w:hanging="357"/>
        <w:contextualSpacing w:val="0"/>
      </w:pPr>
      <w:r>
        <w:t>Apply for withdrawal of the infringement notice</w:t>
      </w:r>
      <w:r w:rsidR="00B035AA">
        <w:t>.</w:t>
      </w:r>
    </w:p>
    <w:p w14:paraId="34E3D2BD" w14:textId="7D327543" w:rsidR="00B3254F" w:rsidRDefault="00B3254F" w:rsidP="000C7799">
      <w:pPr>
        <w:pStyle w:val="ListParagraph"/>
        <w:numPr>
          <w:ilvl w:val="0"/>
          <w:numId w:val="22"/>
        </w:numPr>
        <w:tabs>
          <w:tab w:val="left" w:pos="4320"/>
        </w:tabs>
        <w:spacing w:before="120"/>
        <w:ind w:left="714" w:hanging="357"/>
        <w:contextualSpacing w:val="0"/>
      </w:pPr>
      <w:r>
        <w:t>Give the administering authority an infringement notice declaration asserting that they were not the person who committed the infringement notice offence to which the infringement notice relates</w:t>
      </w:r>
      <w:r w:rsidR="00B035AA">
        <w:t>.</w:t>
      </w:r>
    </w:p>
    <w:p w14:paraId="23187E72" w14:textId="13C98613" w:rsidR="00B3254F" w:rsidRDefault="00B3254F" w:rsidP="000C7799">
      <w:pPr>
        <w:pStyle w:val="ListParagraph"/>
        <w:numPr>
          <w:ilvl w:val="0"/>
          <w:numId w:val="22"/>
        </w:numPr>
        <w:tabs>
          <w:tab w:val="left" w:pos="4320"/>
        </w:tabs>
        <w:spacing w:before="120"/>
        <w:ind w:left="714" w:hanging="357"/>
        <w:contextualSpacing w:val="0"/>
      </w:pPr>
      <w:r>
        <w:t>Give the administering authority written notice disputing liability</w:t>
      </w:r>
      <w:r w:rsidR="00B035AA">
        <w:t>.</w:t>
      </w:r>
    </w:p>
    <w:p w14:paraId="7DB79076" w14:textId="77777777" w:rsidR="00B3254F" w:rsidRDefault="00B3254F" w:rsidP="002D50EA">
      <w:pPr>
        <w:tabs>
          <w:tab w:val="left" w:pos="4320"/>
        </w:tabs>
      </w:pPr>
    </w:p>
    <w:p w14:paraId="062DEFCA" w14:textId="084DE084" w:rsidR="00B3254F" w:rsidRDefault="00B3254F" w:rsidP="002D50EA">
      <w:pPr>
        <w:tabs>
          <w:tab w:val="left" w:pos="4320"/>
        </w:tabs>
      </w:pPr>
      <w:r>
        <w:t xml:space="preserve">An application for extension of time can be made </w:t>
      </w:r>
      <w:r w:rsidR="00A924D3">
        <w:t xml:space="preserve">either within </w:t>
      </w:r>
      <w:r>
        <w:t xml:space="preserve">the </w:t>
      </w:r>
      <w:r w:rsidR="000C7799">
        <w:t>timeframe (</w:t>
      </w:r>
      <w:r w:rsidR="00A924D3">
        <w:t>28 days</w:t>
      </w:r>
      <w:r w:rsidR="000C7799">
        <w:t>)</w:t>
      </w:r>
      <w:r>
        <w:t xml:space="preserve"> in which the person must respond to the infringement notice or reminder notice (</w:t>
      </w:r>
      <w:r w:rsidRPr="00B3254F">
        <w:rPr>
          <w:b/>
          <w:i/>
        </w:rPr>
        <w:t>an in-time application</w:t>
      </w:r>
      <w:r>
        <w:t>) or outside this period (</w:t>
      </w:r>
      <w:r w:rsidRPr="00B3254F">
        <w:rPr>
          <w:b/>
          <w:i/>
        </w:rPr>
        <w:t>an out-of-time application</w:t>
      </w:r>
      <w:r>
        <w:t>). The application must be in writing and include any information required by the administering authority.</w:t>
      </w:r>
      <w:r w:rsidR="00D07F17">
        <w:t xml:space="preserve"> </w:t>
      </w:r>
    </w:p>
    <w:p w14:paraId="2B54C1AB" w14:textId="77777777" w:rsidR="00CC3942" w:rsidRDefault="00CC3942" w:rsidP="002D50EA">
      <w:pPr>
        <w:tabs>
          <w:tab w:val="left" w:pos="4320"/>
        </w:tabs>
      </w:pPr>
    </w:p>
    <w:p w14:paraId="6D969A2E" w14:textId="77777777" w:rsidR="00CC3942" w:rsidRDefault="00CC3942" w:rsidP="002D50EA">
      <w:pPr>
        <w:tabs>
          <w:tab w:val="left" w:pos="4320"/>
        </w:tabs>
      </w:pPr>
      <w:r>
        <w:t>The maximum amount of time the administering authority may allow for an application for extension of time is 6 months.</w:t>
      </w:r>
    </w:p>
    <w:p w14:paraId="45A5C77A" w14:textId="77777777" w:rsidR="00B3254F" w:rsidRDefault="00B3254F" w:rsidP="002D50EA">
      <w:pPr>
        <w:tabs>
          <w:tab w:val="left" w:pos="4320"/>
        </w:tabs>
      </w:pPr>
    </w:p>
    <w:p w14:paraId="03E27B66" w14:textId="232B730B" w:rsidR="00F502CA" w:rsidRDefault="00F502CA" w:rsidP="00F502CA">
      <w:r>
        <w:t xml:space="preserve">Following the processing of an application for an extension of time, </w:t>
      </w:r>
      <w:r w:rsidR="00F64DF2">
        <w:t xml:space="preserve">the administering authority </w:t>
      </w:r>
      <w:r>
        <w:t>will provide a letter to the applicant stating the outcome of the application, and, if approved, a revised due date to the applicant. An approved application freezes the infringement notice process at that stage until the extension of time lapses.</w:t>
      </w:r>
    </w:p>
    <w:p w14:paraId="22A4B6FF" w14:textId="77777777" w:rsidR="00F502CA" w:rsidRDefault="00F502CA" w:rsidP="00F502CA"/>
    <w:p w14:paraId="240D1E4B" w14:textId="77777777" w:rsidR="00F502CA" w:rsidRDefault="00F502CA" w:rsidP="00F502CA">
      <w:r>
        <w:t>If the application is refused, the person must do one of the above not later than 7 days after the applicant is told about the decision and 28 days after the notice to which the application relates was served.</w:t>
      </w:r>
    </w:p>
    <w:p w14:paraId="264FEBEE" w14:textId="77777777" w:rsidR="00F502CA" w:rsidRDefault="00F502CA" w:rsidP="00F502CA"/>
    <w:p w14:paraId="631AC447" w14:textId="77777777" w:rsidR="002D50EA" w:rsidRPr="008946AD" w:rsidRDefault="00CF02CF" w:rsidP="002D50EA">
      <w:pPr>
        <w:tabs>
          <w:tab w:val="left" w:pos="4320"/>
        </w:tabs>
        <w:rPr>
          <w:b/>
          <w:szCs w:val="24"/>
        </w:rPr>
      </w:pPr>
      <w:r w:rsidRPr="008946AD">
        <w:rPr>
          <w:b/>
          <w:szCs w:val="24"/>
        </w:rPr>
        <w:t>IN</w:t>
      </w:r>
      <w:r w:rsidR="008946AD" w:rsidRPr="008946AD">
        <w:rPr>
          <w:b/>
          <w:szCs w:val="24"/>
        </w:rPr>
        <w:t>-</w:t>
      </w:r>
      <w:r w:rsidRPr="008946AD">
        <w:rPr>
          <w:b/>
          <w:szCs w:val="24"/>
        </w:rPr>
        <w:t>TIME</w:t>
      </w:r>
      <w:r w:rsidR="00F502CA" w:rsidRPr="008946AD">
        <w:rPr>
          <w:b/>
          <w:szCs w:val="24"/>
        </w:rPr>
        <w:t xml:space="preserve"> APPLICATIONS</w:t>
      </w:r>
    </w:p>
    <w:p w14:paraId="14E8C830" w14:textId="77777777" w:rsidR="000C0A6E" w:rsidRDefault="000C0A6E" w:rsidP="002D50EA">
      <w:pPr>
        <w:tabs>
          <w:tab w:val="left" w:pos="4320"/>
        </w:tabs>
        <w:rPr>
          <w:b/>
          <w:sz w:val="28"/>
        </w:rPr>
      </w:pPr>
    </w:p>
    <w:p w14:paraId="41549E99" w14:textId="77777777" w:rsidR="00CC3942" w:rsidRDefault="001906BE" w:rsidP="00CC3942">
      <w:r>
        <w:t xml:space="preserve">For an application for an extension of time to be considered made in time, the </w:t>
      </w:r>
      <w:r w:rsidR="00CC3942">
        <w:t>application</w:t>
      </w:r>
      <w:r w:rsidR="00BB5A69">
        <w:t xml:space="preserve"> must be</w:t>
      </w:r>
      <w:r w:rsidR="00CC3942">
        <w:t xml:space="preserve"> </w:t>
      </w:r>
      <w:r w:rsidR="00BB5A69">
        <w:t xml:space="preserve">given </w:t>
      </w:r>
      <w:r w:rsidR="008051B2">
        <w:t xml:space="preserve">or sent </w:t>
      </w:r>
      <w:r w:rsidR="000F370C">
        <w:t xml:space="preserve">(within reasonable expectations that the application would be received by the administering authority within the </w:t>
      </w:r>
      <w:r w:rsidR="000E752C">
        <w:t>allowed time</w:t>
      </w:r>
      <w:r w:rsidR="000F370C">
        <w:t xml:space="preserve">) </w:t>
      </w:r>
      <w:r w:rsidR="008051B2">
        <w:t xml:space="preserve">to </w:t>
      </w:r>
      <w:r w:rsidR="00BB5A69">
        <w:t>the administering authority</w:t>
      </w:r>
      <w:r w:rsidR="00CC3942">
        <w:t xml:space="preserve"> </w:t>
      </w:r>
      <w:r w:rsidR="00BB5A69">
        <w:t>before the end of the allowed time</w:t>
      </w:r>
      <w:r w:rsidR="003A4795">
        <w:t>,</w:t>
      </w:r>
      <w:r w:rsidR="00BB5A69">
        <w:t xml:space="preserve"> i.e.</w:t>
      </w:r>
      <w:r w:rsidR="003A4795">
        <w:t>,</w:t>
      </w:r>
      <w:r w:rsidR="00BB5A69">
        <w:t xml:space="preserve"> within 28 days of </w:t>
      </w:r>
      <w:r w:rsidR="00CC3942">
        <w:t>service of the infringement notice or reminder notice or any extension of time previously given.</w:t>
      </w:r>
    </w:p>
    <w:p w14:paraId="66552028" w14:textId="77777777" w:rsidR="00CC3942" w:rsidRDefault="00CC3942" w:rsidP="001906BE"/>
    <w:p w14:paraId="293FE738" w14:textId="3E69A18E" w:rsidR="00386711" w:rsidRDefault="00CC3942" w:rsidP="001906BE">
      <w:r>
        <w:lastRenderedPageBreak/>
        <w:t xml:space="preserve">When </w:t>
      </w:r>
      <w:r w:rsidR="0010526A">
        <w:t xml:space="preserve">providing </w:t>
      </w:r>
      <w:r>
        <w:t>an in-time application,</w:t>
      </w:r>
      <w:r w:rsidR="0010526A">
        <w:t xml:space="preserve"> an applicant is not required to provide a reason for </w:t>
      </w:r>
      <w:r w:rsidR="00386711">
        <w:t>the requested</w:t>
      </w:r>
      <w:r w:rsidR="0010526A">
        <w:t xml:space="preserve"> extension of time. </w:t>
      </w:r>
    </w:p>
    <w:p w14:paraId="7E1956E5" w14:textId="77777777" w:rsidR="00386711" w:rsidRDefault="00386711" w:rsidP="001906BE"/>
    <w:p w14:paraId="03881186" w14:textId="71EBB1A3" w:rsidR="00B035AA" w:rsidRDefault="0010526A" w:rsidP="001906BE">
      <w:r>
        <w:t>An extension will be automatically granted if a</w:t>
      </w:r>
      <w:r w:rsidR="006F144C">
        <w:t xml:space="preserve"> complete</w:t>
      </w:r>
      <w:r>
        <w:t xml:space="preserve"> application is made within the allowed timeframe</w:t>
      </w:r>
      <w:r w:rsidR="00975A4C">
        <w:t xml:space="preserve"> and the requested period of time does not exceed </w:t>
      </w:r>
      <w:r w:rsidR="00A5758D">
        <w:t>the</w:t>
      </w:r>
      <w:r w:rsidR="0049384A">
        <w:t xml:space="preserve"> maximum</w:t>
      </w:r>
      <w:r w:rsidR="00A5758D">
        <w:t xml:space="preserve"> period of time (</w:t>
      </w:r>
      <w:r w:rsidR="00975A4C">
        <w:t>6 months</w:t>
      </w:r>
      <w:r w:rsidR="00A5758D">
        <w:t>)</w:t>
      </w:r>
      <w:r w:rsidR="00A72495">
        <w:t xml:space="preserve"> </w:t>
      </w:r>
      <w:r w:rsidR="00984E65">
        <w:t xml:space="preserve">provided for </w:t>
      </w:r>
      <w:r w:rsidR="00164E6D">
        <w:t>under section 14</w:t>
      </w:r>
      <w:r w:rsidR="00B035AA">
        <w:t>E</w:t>
      </w:r>
      <w:r w:rsidR="00164E6D">
        <w:t xml:space="preserve"> of the </w:t>
      </w:r>
      <w:r w:rsidR="00164E6D">
        <w:rPr>
          <w:i/>
        </w:rPr>
        <w:t>Road Transport (Offences) Regulation 2005</w:t>
      </w:r>
      <w:r w:rsidR="00CA2FB2">
        <w:t>, or does not cause an extension to fall outside this timeframe</w:t>
      </w:r>
      <w:r>
        <w:t xml:space="preserve">. If no </w:t>
      </w:r>
      <w:r w:rsidR="000C1508">
        <w:t>time period is stipulated</w:t>
      </w:r>
      <w:r>
        <w:t xml:space="preserve"> </w:t>
      </w:r>
      <w:r w:rsidR="00B035AA">
        <w:t>in an in-time application, the default extension period that will be granted is 60 days.</w:t>
      </w:r>
    </w:p>
    <w:p w14:paraId="32519121" w14:textId="7E3977ED" w:rsidR="00900C38" w:rsidRDefault="00900C38" w:rsidP="00CC3942"/>
    <w:p w14:paraId="64460F8C" w14:textId="77777777" w:rsidR="000C0A6E" w:rsidRPr="008946AD" w:rsidRDefault="00CF02CF" w:rsidP="002D50EA">
      <w:pPr>
        <w:tabs>
          <w:tab w:val="left" w:pos="4320"/>
        </w:tabs>
        <w:rPr>
          <w:b/>
          <w:szCs w:val="24"/>
        </w:rPr>
      </w:pPr>
      <w:r w:rsidRPr="008946AD">
        <w:rPr>
          <w:b/>
          <w:szCs w:val="24"/>
        </w:rPr>
        <w:t>OUT</w:t>
      </w:r>
      <w:r w:rsidR="008946AD" w:rsidRPr="008946AD">
        <w:rPr>
          <w:b/>
          <w:szCs w:val="24"/>
        </w:rPr>
        <w:t>-</w:t>
      </w:r>
      <w:r w:rsidRPr="008946AD">
        <w:rPr>
          <w:b/>
          <w:szCs w:val="24"/>
        </w:rPr>
        <w:t>OF</w:t>
      </w:r>
      <w:r w:rsidR="008946AD" w:rsidRPr="008946AD">
        <w:rPr>
          <w:b/>
          <w:szCs w:val="24"/>
        </w:rPr>
        <w:t>-</w:t>
      </w:r>
      <w:r w:rsidRPr="008946AD">
        <w:rPr>
          <w:b/>
          <w:szCs w:val="24"/>
        </w:rPr>
        <w:t>TIME</w:t>
      </w:r>
      <w:r w:rsidR="00CC3942" w:rsidRPr="008946AD">
        <w:rPr>
          <w:b/>
          <w:szCs w:val="24"/>
        </w:rPr>
        <w:t xml:space="preserve"> APPLICATIONS</w:t>
      </w:r>
    </w:p>
    <w:p w14:paraId="6ECF5C73" w14:textId="77777777" w:rsidR="000C0A6E" w:rsidRPr="00CC3942" w:rsidRDefault="000C0A6E" w:rsidP="002D50EA">
      <w:pPr>
        <w:tabs>
          <w:tab w:val="left" w:pos="4320"/>
        </w:tabs>
      </w:pPr>
    </w:p>
    <w:p w14:paraId="241AABE1" w14:textId="77777777" w:rsidR="00CC3942" w:rsidRDefault="00CC3942" w:rsidP="002D50EA">
      <w:pPr>
        <w:tabs>
          <w:tab w:val="left" w:pos="4320"/>
        </w:tabs>
      </w:pPr>
      <w:r>
        <w:t>An out-of-time application can be made if:</w:t>
      </w:r>
    </w:p>
    <w:p w14:paraId="2E409335" w14:textId="77777777" w:rsidR="00CC3942" w:rsidRDefault="00CC3942" w:rsidP="00CC3942">
      <w:pPr>
        <w:pStyle w:val="ListParagraph"/>
        <w:numPr>
          <w:ilvl w:val="0"/>
          <w:numId w:val="24"/>
        </w:numPr>
        <w:tabs>
          <w:tab w:val="left" w:pos="4320"/>
        </w:tabs>
        <w:spacing w:before="120"/>
        <w:ind w:left="714" w:hanging="357"/>
        <w:contextualSpacing w:val="0"/>
      </w:pPr>
      <w:r>
        <w:t>The person has been served with a reminder notice in relation to an infringement notice of the offence; and</w:t>
      </w:r>
    </w:p>
    <w:p w14:paraId="7E5C2221" w14:textId="77777777" w:rsidR="00CC3942" w:rsidRDefault="00CC3942" w:rsidP="00CC3942">
      <w:pPr>
        <w:pStyle w:val="ListParagraph"/>
        <w:numPr>
          <w:ilvl w:val="0"/>
          <w:numId w:val="24"/>
        </w:numPr>
        <w:tabs>
          <w:tab w:val="left" w:pos="4320"/>
        </w:tabs>
        <w:spacing w:before="120"/>
        <w:ind w:left="714" w:hanging="357"/>
        <w:contextualSpacing w:val="0"/>
      </w:pPr>
      <w:r>
        <w:t xml:space="preserve">The person has not done any of the actions set out in section 28 (2) of the </w:t>
      </w:r>
      <w:r>
        <w:rPr>
          <w:i/>
        </w:rPr>
        <w:t xml:space="preserve">Road Transport (General) Act 1999 </w:t>
      </w:r>
      <w:r w:rsidRPr="00CC3942">
        <w:t>[summarised above]</w:t>
      </w:r>
      <w:r>
        <w:t xml:space="preserve"> in relation to the reminder notice; and</w:t>
      </w:r>
    </w:p>
    <w:p w14:paraId="2F964FF0" w14:textId="77777777" w:rsidR="00CC3942" w:rsidRDefault="00CC3942" w:rsidP="00CC3942">
      <w:pPr>
        <w:pStyle w:val="ListParagraph"/>
        <w:numPr>
          <w:ilvl w:val="0"/>
          <w:numId w:val="24"/>
        </w:numPr>
        <w:tabs>
          <w:tab w:val="left" w:pos="4320"/>
        </w:tabs>
        <w:spacing w:before="120"/>
        <w:ind w:left="714" w:hanging="357"/>
        <w:contextualSpacing w:val="0"/>
      </w:pPr>
      <w:r>
        <w:t>The time allowed (statutory timeframe plus any extension of time) for doing one of those actions has lapsed.</w:t>
      </w:r>
    </w:p>
    <w:p w14:paraId="34857F15" w14:textId="77777777" w:rsidR="00CC3942" w:rsidRPr="00CC3942" w:rsidRDefault="00CC3942" w:rsidP="002D50EA">
      <w:pPr>
        <w:tabs>
          <w:tab w:val="left" w:pos="4320"/>
        </w:tabs>
      </w:pPr>
    </w:p>
    <w:p w14:paraId="00691AC1" w14:textId="430ECDA3" w:rsidR="00CC3942" w:rsidRDefault="00CC3942" w:rsidP="000C0A6E">
      <w:pPr>
        <w:tabs>
          <w:tab w:val="left" w:pos="4320"/>
        </w:tabs>
      </w:pPr>
      <w:r>
        <w:t xml:space="preserve">An application must be in writing, state the special circumstances relied on and include any </w:t>
      </w:r>
      <w:r w:rsidR="00B035AA">
        <w:t xml:space="preserve">other </w:t>
      </w:r>
      <w:r>
        <w:t xml:space="preserve">information required by the </w:t>
      </w:r>
      <w:r w:rsidR="00F64DF2">
        <w:t xml:space="preserve">administering </w:t>
      </w:r>
      <w:r>
        <w:t>authority. The application must be allowed if the administering authority reasonably believes special circumstances justify allowing an extension of time.</w:t>
      </w:r>
    </w:p>
    <w:p w14:paraId="5B341496" w14:textId="77777777" w:rsidR="00CC3942" w:rsidRDefault="00CC3942" w:rsidP="000C0A6E">
      <w:pPr>
        <w:tabs>
          <w:tab w:val="left" w:pos="4320"/>
        </w:tabs>
      </w:pPr>
    </w:p>
    <w:p w14:paraId="78069A5A" w14:textId="77777777" w:rsidR="0074620C" w:rsidRDefault="0074620C" w:rsidP="000C0A6E">
      <w:pPr>
        <w:tabs>
          <w:tab w:val="left" w:pos="4320"/>
        </w:tabs>
      </w:pPr>
      <w:r>
        <w:t>Special circumstances can include</w:t>
      </w:r>
      <w:r w:rsidR="008946AD">
        <w:t xml:space="preserve"> but are not limited to</w:t>
      </w:r>
      <w:r>
        <w:t>:</w:t>
      </w:r>
    </w:p>
    <w:p w14:paraId="305C7172" w14:textId="77777777" w:rsidR="0074620C" w:rsidRDefault="0074620C" w:rsidP="008946AD">
      <w:pPr>
        <w:pStyle w:val="ListParagraph"/>
        <w:numPr>
          <w:ilvl w:val="0"/>
          <w:numId w:val="16"/>
        </w:numPr>
        <w:tabs>
          <w:tab w:val="left" w:pos="4320"/>
        </w:tabs>
        <w:spacing w:before="120"/>
        <w:ind w:hanging="357"/>
        <w:contextualSpacing w:val="0"/>
      </w:pPr>
      <w:r>
        <w:t>The applicant had a prolonged absence from the ACT</w:t>
      </w:r>
      <w:r w:rsidR="00464C0C">
        <w:t xml:space="preserve"> (e.g. was unaware of the issue of the infringement notice</w:t>
      </w:r>
      <w:r w:rsidR="008946AD">
        <w:t xml:space="preserve"> or reminder notice</w:t>
      </w:r>
      <w:r w:rsidR="00464C0C">
        <w:t>)</w:t>
      </w:r>
      <w:r w:rsidR="008946AD">
        <w:t>.</w:t>
      </w:r>
    </w:p>
    <w:p w14:paraId="6578FAE7" w14:textId="77777777" w:rsidR="003F3740" w:rsidRDefault="003F3740" w:rsidP="008946AD">
      <w:pPr>
        <w:pStyle w:val="ListParagraph"/>
        <w:numPr>
          <w:ilvl w:val="0"/>
          <w:numId w:val="16"/>
        </w:numPr>
        <w:tabs>
          <w:tab w:val="left" w:pos="4320"/>
        </w:tabs>
        <w:spacing w:before="120"/>
        <w:ind w:hanging="357"/>
        <w:contextualSpacing w:val="0"/>
      </w:pPr>
      <w:r>
        <w:t>The applicant require</w:t>
      </w:r>
      <w:r w:rsidR="008946AD">
        <w:t>s</w:t>
      </w:r>
      <w:r>
        <w:t xml:space="preserve"> additional time to dispute the notice</w:t>
      </w:r>
      <w:r w:rsidR="008946AD">
        <w:t xml:space="preserve"> and the period in which the notice can be disputed has not lapsed.</w:t>
      </w:r>
    </w:p>
    <w:p w14:paraId="6D3E5D9C" w14:textId="77777777" w:rsidR="0074620C" w:rsidRDefault="00B55345" w:rsidP="008946AD">
      <w:pPr>
        <w:pStyle w:val="ListParagraph"/>
        <w:numPr>
          <w:ilvl w:val="0"/>
          <w:numId w:val="16"/>
        </w:numPr>
        <w:tabs>
          <w:tab w:val="left" w:pos="4320"/>
        </w:tabs>
        <w:spacing w:before="120"/>
        <w:ind w:hanging="357"/>
        <w:contextualSpacing w:val="0"/>
      </w:pPr>
      <w:r>
        <w:t>A s</w:t>
      </w:r>
      <w:r w:rsidR="0074620C">
        <w:t>evere illness prevent</w:t>
      </w:r>
      <w:r>
        <w:t>ed</w:t>
      </w:r>
      <w:r w:rsidR="0074620C">
        <w:t xml:space="preserve"> </w:t>
      </w:r>
      <w:r>
        <w:t xml:space="preserve">the applicant </w:t>
      </w:r>
      <w:r w:rsidR="0074620C">
        <w:t>from making an application in time</w:t>
      </w:r>
      <w:r w:rsidR="0018139B">
        <w:t>, including caring responsibilities for a person with a medical condition</w:t>
      </w:r>
      <w:r w:rsidR="008946AD">
        <w:t>.</w:t>
      </w:r>
    </w:p>
    <w:p w14:paraId="0C9A26E1" w14:textId="77777777" w:rsidR="003F3740" w:rsidRDefault="008946AD" w:rsidP="008946AD">
      <w:pPr>
        <w:pStyle w:val="ListParagraph"/>
        <w:numPr>
          <w:ilvl w:val="0"/>
          <w:numId w:val="16"/>
        </w:numPr>
        <w:tabs>
          <w:tab w:val="left" w:pos="4320"/>
        </w:tabs>
        <w:spacing w:before="120"/>
        <w:ind w:hanging="357"/>
        <w:contextualSpacing w:val="0"/>
      </w:pPr>
      <w:r>
        <w:t xml:space="preserve">The applicant was serving a period of imprisonment </w:t>
      </w:r>
      <w:r w:rsidR="00065E5D">
        <w:t xml:space="preserve">or was otherwise detained </w:t>
      </w:r>
      <w:r>
        <w:t xml:space="preserve">and </w:t>
      </w:r>
      <w:r w:rsidR="005C5FEE">
        <w:t xml:space="preserve">did not have the </w:t>
      </w:r>
      <w:r w:rsidR="00AA6358">
        <w:t>capacity to</w:t>
      </w:r>
      <w:r w:rsidR="005C5FEE">
        <w:t xml:space="preserve"> respond to the infringement notice </w:t>
      </w:r>
      <w:r>
        <w:t>or reminder notice.</w:t>
      </w:r>
    </w:p>
    <w:p w14:paraId="10D24D4C" w14:textId="77777777" w:rsidR="00621210" w:rsidRDefault="00621210" w:rsidP="008946AD">
      <w:pPr>
        <w:pStyle w:val="ListParagraph"/>
        <w:numPr>
          <w:ilvl w:val="0"/>
          <w:numId w:val="16"/>
        </w:numPr>
        <w:tabs>
          <w:tab w:val="left" w:pos="4320"/>
        </w:tabs>
        <w:spacing w:before="120"/>
        <w:ind w:hanging="357"/>
        <w:contextualSpacing w:val="0"/>
      </w:pPr>
      <w:r>
        <w:t>The infringement notice</w:t>
      </w:r>
      <w:r w:rsidR="008946AD">
        <w:t xml:space="preserve"> or reminder notice</w:t>
      </w:r>
      <w:r>
        <w:t xml:space="preserve"> was not received</w:t>
      </w:r>
      <w:r w:rsidR="008946AD">
        <w:t>.</w:t>
      </w:r>
    </w:p>
    <w:p w14:paraId="6EEC21FE" w14:textId="77777777" w:rsidR="00621210" w:rsidRDefault="008946AD" w:rsidP="008946AD">
      <w:pPr>
        <w:pStyle w:val="ListParagraph"/>
        <w:numPr>
          <w:ilvl w:val="0"/>
          <w:numId w:val="16"/>
        </w:numPr>
        <w:tabs>
          <w:tab w:val="left" w:pos="4320"/>
        </w:tabs>
        <w:spacing w:before="120"/>
        <w:ind w:hanging="357"/>
        <w:contextualSpacing w:val="0"/>
      </w:pPr>
      <w:r>
        <w:t>An a</w:t>
      </w:r>
      <w:r w:rsidR="00621210">
        <w:t>pplication was sent in time</w:t>
      </w:r>
      <w:r w:rsidR="009567D1">
        <w:t xml:space="preserve"> with a reasonable expectation that the application would be received within the allowed time,</w:t>
      </w:r>
      <w:r w:rsidR="00621210">
        <w:t xml:space="preserve"> but </w:t>
      </w:r>
      <w:r>
        <w:t>it was not</w:t>
      </w:r>
      <w:r w:rsidR="00621210">
        <w:t xml:space="preserve"> received by the administering authority within the </w:t>
      </w:r>
      <w:r w:rsidR="00E4390A">
        <w:t>allowed time</w:t>
      </w:r>
      <w:r>
        <w:t xml:space="preserve"> and this was outside the control of the applicant.</w:t>
      </w:r>
    </w:p>
    <w:p w14:paraId="73E0EEC1" w14:textId="2B3B4CA7" w:rsidR="008503ED" w:rsidRDefault="003F3740" w:rsidP="008946AD">
      <w:pPr>
        <w:pStyle w:val="ListParagraph"/>
        <w:numPr>
          <w:ilvl w:val="0"/>
          <w:numId w:val="16"/>
        </w:numPr>
        <w:tabs>
          <w:tab w:val="left" w:pos="4320"/>
        </w:tabs>
        <w:spacing w:before="120"/>
        <w:ind w:hanging="357"/>
        <w:contextualSpacing w:val="0"/>
      </w:pPr>
      <w:r>
        <w:t>Other personal circumstances</w:t>
      </w:r>
      <w:r w:rsidR="008946AD">
        <w:t xml:space="preserve"> exist</w:t>
      </w:r>
      <w:r>
        <w:t xml:space="preserve"> that prevented the applicant from applying for an extension of time in time</w:t>
      </w:r>
      <w:r w:rsidR="008946AD">
        <w:t>, for example, t</w:t>
      </w:r>
      <w:r w:rsidR="004950AA">
        <w:t xml:space="preserve">he death of a </w:t>
      </w:r>
      <w:r w:rsidR="008503ED">
        <w:t>relative.</w:t>
      </w:r>
    </w:p>
    <w:p w14:paraId="1CF8740B" w14:textId="5FC8A9D9" w:rsidR="00664661" w:rsidRDefault="00664661" w:rsidP="008946AD">
      <w:pPr>
        <w:pStyle w:val="ListParagraph"/>
        <w:numPr>
          <w:ilvl w:val="0"/>
          <w:numId w:val="16"/>
        </w:numPr>
        <w:tabs>
          <w:tab w:val="left" w:pos="4320"/>
        </w:tabs>
        <w:spacing w:before="120"/>
        <w:ind w:hanging="357"/>
        <w:contextualSpacing w:val="0"/>
      </w:pPr>
      <w:r>
        <w:t>The applicant is currently experiencing temporary financial hardship.</w:t>
      </w:r>
    </w:p>
    <w:p w14:paraId="17344818" w14:textId="77777777" w:rsidR="0068779D" w:rsidRDefault="0068779D" w:rsidP="000C0A6E">
      <w:pPr>
        <w:tabs>
          <w:tab w:val="left" w:pos="4320"/>
        </w:tabs>
      </w:pPr>
    </w:p>
    <w:p w14:paraId="4BBE7C70" w14:textId="77777777" w:rsidR="00A57BDD" w:rsidRDefault="00205C38" w:rsidP="000C0A6E">
      <w:pPr>
        <w:tabs>
          <w:tab w:val="left" w:pos="4320"/>
        </w:tabs>
      </w:pPr>
      <w:r>
        <w:lastRenderedPageBreak/>
        <w:t>Relevant d</w:t>
      </w:r>
      <w:r w:rsidR="00A57BDD">
        <w:t xml:space="preserve">ocumentation </w:t>
      </w:r>
      <w:r w:rsidR="008946AD">
        <w:t>may be required to be</w:t>
      </w:r>
      <w:r w:rsidR="00A57BDD">
        <w:t xml:space="preserve"> provided as evidence the special circumstances existed for the applicant</w:t>
      </w:r>
      <w:r w:rsidR="00CC3942">
        <w:t xml:space="preserve"> during the allowed time</w:t>
      </w:r>
      <w:r w:rsidR="00A57BDD">
        <w:t>.</w:t>
      </w:r>
    </w:p>
    <w:p w14:paraId="65B8A59C" w14:textId="77777777" w:rsidR="00A57BDD" w:rsidRDefault="00A57BDD" w:rsidP="000C0A6E">
      <w:pPr>
        <w:tabs>
          <w:tab w:val="left" w:pos="4320"/>
        </w:tabs>
      </w:pPr>
    </w:p>
    <w:p w14:paraId="77B6321A" w14:textId="77777777" w:rsidR="008946AD" w:rsidRDefault="008946AD" w:rsidP="000C0A6E">
      <w:pPr>
        <w:tabs>
          <w:tab w:val="left" w:pos="4320"/>
        </w:tabs>
      </w:pPr>
      <w:r>
        <w:t>Should the application reveal circumstances that fall within the guidelines for withdrawal or waiver, for example, administrative or technical reasons outside the control of the applicant, the administering authority should consider whether it is appropriate to make a decision on those grounds without requiring the person to make a separate formal application for waiver or withdrawal.</w:t>
      </w:r>
    </w:p>
    <w:sectPr w:rsidR="008946AD" w:rsidSect="000C1611">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6051" w14:textId="77777777" w:rsidR="00762E08" w:rsidRDefault="00762E08" w:rsidP="00F10CB2">
      <w:r>
        <w:separator/>
      </w:r>
    </w:p>
  </w:endnote>
  <w:endnote w:type="continuationSeparator" w:id="0">
    <w:p w14:paraId="03611154" w14:textId="77777777" w:rsidR="00762E08" w:rsidRDefault="00762E08"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3A82" w14:textId="77777777" w:rsidR="00E32AAE" w:rsidRDefault="00E3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DC82" w14:textId="52366009" w:rsidR="00E32AAE" w:rsidRPr="00E32AAE" w:rsidRDefault="00E32AAE" w:rsidP="00E32AAE">
    <w:pPr>
      <w:pStyle w:val="Footer"/>
      <w:jc w:val="center"/>
      <w:rPr>
        <w:rFonts w:cs="Arial"/>
        <w:sz w:val="14"/>
      </w:rPr>
    </w:pPr>
    <w:r w:rsidRPr="00E32AA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C273" w14:textId="77777777" w:rsidR="00E32AAE" w:rsidRDefault="00E3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C3C9" w14:textId="77777777" w:rsidR="00762E08" w:rsidRDefault="00762E08" w:rsidP="00F10CB2">
      <w:r>
        <w:separator/>
      </w:r>
    </w:p>
  </w:footnote>
  <w:footnote w:type="continuationSeparator" w:id="0">
    <w:p w14:paraId="0DB157C1" w14:textId="77777777" w:rsidR="00762E08" w:rsidRDefault="00762E08"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CAE5" w14:textId="77777777" w:rsidR="00E32AAE" w:rsidRDefault="00E32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11F5" w14:textId="77777777" w:rsidR="00E32AAE" w:rsidRDefault="00E32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A7DA" w14:textId="77777777" w:rsidR="00E32AAE" w:rsidRDefault="00E3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A454E9"/>
    <w:multiLevelType w:val="hybridMultilevel"/>
    <w:tmpl w:val="63D2F8FE"/>
    <w:lvl w:ilvl="0" w:tplc="0C090001">
      <w:start w:val="1"/>
      <w:numFmt w:val="bullet"/>
      <w:lvlText w:val=""/>
      <w:lvlJc w:val="left"/>
      <w:pPr>
        <w:ind w:left="3210" w:hanging="360"/>
      </w:pPr>
      <w:rPr>
        <w:rFonts w:ascii="Symbol" w:hAnsi="Symbol" w:hint="default"/>
      </w:rPr>
    </w:lvl>
    <w:lvl w:ilvl="1" w:tplc="0C090003" w:tentative="1">
      <w:start w:val="1"/>
      <w:numFmt w:val="bullet"/>
      <w:lvlText w:val="o"/>
      <w:lvlJc w:val="left"/>
      <w:pPr>
        <w:ind w:left="3930" w:hanging="360"/>
      </w:pPr>
      <w:rPr>
        <w:rFonts w:ascii="Courier New" w:hAnsi="Courier New" w:cs="Courier New" w:hint="default"/>
      </w:rPr>
    </w:lvl>
    <w:lvl w:ilvl="2" w:tplc="0C090005" w:tentative="1">
      <w:start w:val="1"/>
      <w:numFmt w:val="bullet"/>
      <w:lvlText w:val=""/>
      <w:lvlJc w:val="left"/>
      <w:pPr>
        <w:ind w:left="4650" w:hanging="360"/>
      </w:pPr>
      <w:rPr>
        <w:rFonts w:ascii="Wingdings" w:hAnsi="Wingdings" w:hint="default"/>
      </w:rPr>
    </w:lvl>
    <w:lvl w:ilvl="3" w:tplc="0C090001" w:tentative="1">
      <w:start w:val="1"/>
      <w:numFmt w:val="bullet"/>
      <w:lvlText w:val=""/>
      <w:lvlJc w:val="left"/>
      <w:pPr>
        <w:ind w:left="5370" w:hanging="360"/>
      </w:pPr>
      <w:rPr>
        <w:rFonts w:ascii="Symbol" w:hAnsi="Symbol" w:hint="default"/>
      </w:rPr>
    </w:lvl>
    <w:lvl w:ilvl="4" w:tplc="0C090003" w:tentative="1">
      <w:start w:val="1"/>
      <w:numFmt w:val="bullet"/>
      <w:lvlText w:val="o"/>
      <w:lvlJc w:val="left"/>
      <w:pPr>
        <w:ind w:left="6090" w:hanging="360"/>
      </w:pPr>
      <w:rPr>
        <w:rFonts w:ascii="Courier New" w:hAnsi="Courier New" w:cs="Courier New" w:hint="default"/>
      </w:rPr>
    </w:lvl>
    <w:lvl w:ilvl="5" w:tplc="0C090005" w:tentative="1">
      <w:start w:val="1"/>
      <w:numFmt w:val="bullet"/>
      <w:lvlText w:val=""/>
      <w:lvlJc w:val="left"/>
      <w:pPr>
        <w:ind w:left="6810" w:hanging="360"/>
      </w:pPr>
      <w:rPr>
        <w:rFonts w:ascii="Wingdings" w:hAnsi="Wingdings" w:hint="default"/>
      </w:rPr>
    </w:lvl>
    <w:lvl w:ilvl="6" w:tplc="0C090001" w:tentative="1">
      <w:start w:val="1"/>
      <w:numFmt w:val="bullet"/>
      <w:lvlText w:val=""/>
      <w:lvlJc w:val="left"/>
      <w:pPr>
        <w:ind w:left="7530" w:hanging="360"/>
      </w:pPr>
      <w:rPr>
        <w:rFonts w:ascii="Symbol" w:hAnsi="Symbol" w:hint="default"/>
      </w:rPr>
    </w:lvl>
    <w:lvl w:ilvl="7" w:tplc="0C090003" w:tentative="1">
      <w:start w:val="1"/>
      <w:numFmt w:val="bullet"/>
      <w:lvlText w:val="o"/>
      <w:lvlJc w:val="left"/>
      <w:pPr>
        <w:ind w:left="8250" w:hanging="360"/>
      </w:pPr>
      <w:rPr>
        <w:rFonts w:ascii="Courier New" w:hAnsi="Courier New" w:cs="Courier New" w:hint="default"/>
      </w:rPr>
    </w:lvl>
    <w:lvl w:ilvl="8" w:tplc="0C090005" w:tentative="1">
      <w:start w:val="1"/>
      <w:numFmt w:val="bullet"/>
      <w:lvlText w:val=""/>
      <w:lvlJc w:val="left"/>
      <w:pPr>
        <w:ind w:left="8970" w:hanging="360"/>
      </w:pPr>
      <w:rPr>
        <w:rFonts w:ascii="Wingdings" w:hAnsi="Wingdings" w:hint="default"/>
      </w:rPr>
    </w:lvl>
  </w:abstractNum>
  <w:abstractNum w:abstractNumId="5" w15:restartNumberingAfterBreak="0">
    <w:nsid w:val="1EEA38B3"/>
    <w:multiLevelType w:val="multilevel"/>
    <w:tmpl w:val="CB6474EA"/>
    <w:lvl w:ilvl="0">
      <w:start w:val="1"/>
      <w:numFmt w:val="bullet"/>
      <w:lvlText w:val=""/>
      <w:lvlJc w:val="left"/>
      <w:pPr>
        <w:ind w:left="-3240" w:hanging="360"/>
      </w:pPr>
      <w:rPr>
        <w:rFonts w:ascii="Symbol" w:hAnsi="Symbol" w:hint="default"/>
      </w:rPr>
    </w:lvl>
    <w:lvl w:ilvl="1">
      <w:start w:val="1"/>
      <w:numFmt w:val="lowerLetter"/>
      <w:lvlText w:val="%2)"/>
      <w:lvlJc w:val="left"/>
      <w:pPr>
        <w:ind w:left="-288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1440" w:hanging="360"/>
      </w:pPr>
      <w:rPr>
        <w:rFonts w:cs="Times New Roman"/>
      </w:rPr>
    </w:lvl>
    <w:lvl w:ilvl="6">
      <w:start w:val="1"/>
      <w:numFmt w:val="decimal"/>
      <w:lvlText w:val="%7."/>
      <w:lvlJc w:val="left"/>
      <w:pPr>
        <w:ind w:left="-1080" w:hanging="360"/>
      </w:pPr>
      <w:rPr>
        <w:rFonts w:cs="Times New Roman"/>
      </w:rPr>
    </w:lvl>
    <w:lvl w:ilvl="7">
      <w:start w:val="1"/>
      <w:numFmt w:val="lowerLetter"/>
      <w:lvlText w:val="%8."/>
      <w:lvlJc w:val="left"/>
      <w:pPr>
        <w:ind w:left="-720" w:hanging="360"/>
      </w:pPr>
      <w:rPr>
        <w:rFonts w:cs="Times New Roman"/>
      </w:rPr>
    </w:lvl>
    <w:lvl w:ilvl="8">
      <w:start w:val="1"/>
      <w:numFmt w:val="bullet"/>
      <w:lvlText w:val=""/>
      <w:lvlJc w:val="left"/>
      <w:pPr>
        <w:ind w:left="-360" w:hanging="360"/>
      </w:pPr>
      <w:rPr>
        <w:rFonts w:ascii="Symbol" w:hAnsi="Symbol" w:hint="default"/>
      </w:rPr>
    </w:lvl>
  </w:abstractNum>
  <w:abstractNum w:abstractNumId="6" w15:restartNumberingAfterBreak="0">
    <w:nsid w:val="29D171A5"/>
    <w:multiLevelType w:val="hybridMultilevel"/>
    <w:tmpl w:val="72AED6B0"/>
    <w:lvl w:ilvl="0" w:tplc="4EAC7FAA">
      <w:start w:val="3"/>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31B4C1F"/>
    <w:multiLevelType w:val="hybridMultilevel"/>
    <w:tmpl w:val="F8907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46E920BB"/>
    <w:multiLevelType w:val="hybridMultilevel"/>
    <w:tmpl w:val="D03AD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121FD8"/>
    <w:multiLevelType w:val="hybridMultilevel"/>
    <w:tmpl w:val="9A2630DC"/>
    <w:lvl w:ilvl="0" w:tplc="293E9BC0">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7632B"/>
    <w:multiLevelType w:val="hybridMultilevel"/>
    <w:tmpl w:val="49BC0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7249EC"/>
    <w:multiLevelType w:val="hybridMultilevel"/>
    <w:tmpl w:val="5002E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C3457"/>
    <w:multiLevelType w:val="hybridMultilevel"/>
    <w:tmpl w:val="72606AA0"/>
    <w:lvl w:ilvl="0" w:tplc="E66440AA">
      <w:start w:val="3"/>
      <w:numFmt w:val="bullet"/>
      <w:lvlText w:val=""/>
      <w:lvlJc w:val="left"/>
      <w:pPr>
        <w:ind w:left="720" w:hanging="360"/>
      </w:pPr>
      <w:rPr>
        <w:rFonts w:ascii="Symbol" w:eastAsia="Times New Roman"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1C7792"/>
    <w:multiLevelType w:val="hybridMultilevel"/>
    <w:tmpl w:val="E8269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335DAA"/>
    <w:multiLevelType w:val="hybridMultilevel"/>
    <w:tmpl w:val="3A900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2303E8"/>
    <w:multiLevelType w:val="hybridMultilevel"/>
    <w:tmpl w:val="24B2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A1C7502"/>
    <w:multiLevelType w:val="hybridMultilevel"/>
    <w:tmpl w:val="1C6471BC"/>
    <w:lvl w:ilvl="0" w:tplc="E66440AA">
      <w:start w:val="3"/>
      <w:numFmt w:val="bullet"/>
      <w:lvlText w:val=""/>
      <w:lvlJc w:val="left"/>
      <w:pPr>
        <w:ind w:left="720" w:hanging="360"/>
      </w:pPr>
      <w:rPr>
        <w:rFonts w:ascii="Symbol" w:eastAsia="Times New Roman"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9A86BDD"/>
    <w:multiLevelType w:val="hybridMultilevel"/>
    <w:tmpl w:val="8684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6475CC"/>
    <w:multiLevelType w:val="hybridMultilevel"/>
    <w:tmpl w:val="2DC4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21"/>
  </w:num>
  <w:num w:numId="6">
    <w:abstractNumId w:val="1"/>
  </w:num>
  <w:num w:numId="7">
    <w:abstractNumId w:val="9"/>
  </w:num>
  <w:num w:numId="8">
    <w:abstractNumId w:val="10"/>
  </w:num>
  <w:num w:numId="9">
    <w:abstractNumId w:val="7"/>
  </w:num>
  <w:num w:numId="10">
    <w:abstractNumId w:val="19"/>
  </w:num>
  <w:num w:numId="11">
    <w:abstractNumId w:val="12"/>
  </w:num>
  <w:num w:numId="12">
    <w:abstractNumId w:val="5"/>
  </w:num>
  <w:num w:numId="13">
    <w:abstractNumId w:val="15"/>
  </w:num>
  <w:num w:numId="14">
    <w:abstractNumId w:val="13"/>
  </w:num>
  <w:num w:numId="15">
    <w:abstractNumId w:val="6"/>
  </w:num>
  <w:num w:numId="16">
    <w:abstractNumId w:val="16"/>
  </w:num>
  <w:num w:numId="17">
    <w:abstractNumId w:val="20"/>
  </w:num>
  <w:num w:numId="18">
    <w:abstractNumId w:val="23"/>
  </w:num>
  <w:num w:numId="19">
    <w:abstractNumId w:val="4"/>
  </w:num>
  <w:num w:numId="20">
    <w:abstractNumId w:val="18"/>
  </w:num>
  <w:num w:numId="21">
    <w:abstractNumId w:val="17"/>
  </w:num>
  <w:num w:numId="22">
    <w:abstractNumId w:val="14"/>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4788"/>
    <w:rsid w:val="000159DB"/>
    <w:rsid w:val="00017CE9"/>
    <w:rsid w:val="000211E4"/>
    <w:rsid w:val="00022B16"/>
    <w:rsid w:val="0002603A"/>
    <w:rsid w:val="00026C90"/>
    <w:rsid w:val="000562EE"/>
    <w:rsid w:val="00056DC3"/>
    <w:rsid w:val="000603C7"/>
    <w:rsid w:val="00064003"/>
    <w:rsid w:val="00065E5D"/>
    <w:rsid w:val="00066B56"/>
    <w:rsid w:val="000842B8"/>
    <w:rsid w:val="00086A1F"/>
    <w:rsid w:val="000A1A69"/>
    <w:rsid w:val="000A45DC"/>
    <w:rsid w:val="000B67E9"/>
    <w:rsid w:val="000C0A6E"/>
    <w:rsid w:val="000C1508"/>
    <w:rsid w:val="000C1611"/>
    <w:rsid w:val="000C26D1"/>
    <w:rsid w:val="000C7799"/>
    <w:rsid w:val="000D570C"/>
    <w:rsid w:val="000E0546"/>
    <w:rsid w:val="000E1F11"/>
    <w:rsid w:val="000E752C"/>
    <w:rsid w:val="000F370C"/>
    <w:rsid w:val="000F4142"/>
    <w:rsid w:val="000F6E3A"/>
    <w:rsid w:val="00103DC6"/>
    <w:rsid w:val="0010526A"/>
    <w:rsid w:val="001200E8"/>
    <w:rsid w:val="0012344E"/>
    <w:rsid w:val="00134DE7"/>
    <w:rsid w:val="00164E6D"/>
    <w:rsid w:val="0018139B"/>
    <w:rsid w:val="001906BE"/>
    <w:rsid w:val="00194AC7"/>
    <w:rsid w:val="00194CF3"/>
    <w:rsid w:val="001A7408"/>
    <w:rsid w:val="001C1D1B"/>
    <w:rsid w:val="001D17E0"/>
    <w:rsid w:val="001D796A"/>
    <w:rsid w:val="001E131C"/>
    <w:rsid w:val="001E75C2"/>
    <w:rsid w:val="001F29DF"/>
    <w:rsid w:val="001F2D4B"/>
    <w:rsid w:val="00205C38"/>
    <w:rsid w:val="00223CDA"/>
    <w:rsid w:val="00231B90"/>
    <w:rsid w:val="00232478"/>
    <w:rsid w:val="002336D0"/>
    <w:rsid w:val="00260CAB"/>
    <w:rsid w:val="00261131"/>
    <w:rsid w:val="00285240"/>
    <w:rsid w:val="002D0555"/>
    <w:rsid w:val="002D50EA"/>
    <w:rsid w:val="002E2C40"/>
    <w:rsid w:val="002E4A74"/>
    <w:rsid w:val="002F541A"/>
    <w:rsid w:val="002F58F4"/>
    <w:rsid w:val="002F74D0"/>
    <w:rsid w:val="003073ED"/>
    <w:rsid w:val="00314EE7"/>
    <w:rsid w:val="0035352E"/>
    <w:rsid w:val="00371E28"/>
    <w:rsid w:val="00381BDF"/>
    <w:rsid w:val="00386711"/>
    <w:rsid w:val="003A4795"/>
    <w:rsid w:val="003C408E"/>
    <w:rsid w:val="003C7734"/>
    <w:rsid w:val="003D2143"/>
    <w:rsid w:val="003E7F08"/>
    <w:rsid w:val="003F3740"/>
    <w:rsid w:val="003F5970"/>
    <w:rsid w:val="003F6E6C"/>
    <w:rsid w:val="004150CB"/>
    <w:rsid w:val="0042112F"/>
    <w:rsid w:val="00430610"/>
    <w:rsid w:val="0043166C"/>
    <w:rsid w:val="004602A7"/>
    <w:rsid w:val="00464C0C"/>
    <w:rsid w:val="00464DF1"/>
    <w:rsid w:val="00481D1C"/>
    <w:rsid w:val="0049384A"/>
    <w:rsid w:val="0049448B"/>
    <w:rsid w:val="004950AA"/>
    <w:rsid w:val="004A7138"/>
    <w:rsid w:val="004B2E9C"/>
    <w:rsid w:val="004B6070"/>
    <w:rsid w:val="004C63BB"/>
    <w:rsid w:val="004C7A6F"/>
    <w:rsid w:val="004E3CF2"/>
    <w:rsid w:val="004E6D8C"/>
    <w:rsid w:val="004F0375"/>
    <w:rsid w:val="00510BDE"/>
    <w:rsid w:val="00526E9C"/>
    <w:rsid w:val="0053028D"/>
    <w:rsid w:val="00550DD0"/>
    <w:rsid w:val="0055568D"/>
    <w:rsid w:val="005600A2"/>
    <w:rsid w:val="0056583C"/>
    <w:rsid w:val="00571B52"/>
    <w:rsid w:val="00577E18"/>
    <w:rsid w:val="005B3931"/>
    <w:rsid w:val="005C5FEE"/>
    <w:rsid w:val="005D433A"/>
    <w:rsid w:val="005F502F"/>
    <w:rsid w:val="006047D5"/>
    <w:rsid w:val="00604EDE"/>
    <w:rsid w:val="00611397"/>
    <w:rsid w:val="00612DF8"/>
    <w:rsid w:val="00621210"/>
    <w:rsid w:val="0062429E"/>
    <w:rsid w:val="00627F0C"/>
    <w:rsid w:val="00633A6D"/>
    <w:rsid w:val="00637C17"/>
    <w:rsid w:val="006471FC"/>
    <w:rsid w:val="006604F3"/>
    <w:rsid w:val="0066333E"/>
    <w:rsid w:val="00664661"/>
    <w:rsid w:val="00667281"/>
    <w:rsid w:val="0067417A"/>
    <w:rsid w:val="0068621E"/>
    <w:rsid w:val="0068779D"/>
    <w:rsid w:val="00693B4D"/>
    <w:rsid w:val="006A562B"/>
    <w:rsid w:val="006B68C6"/>
    <w:rsid w:val="006C1D62"/>
    <w:rsid w:val="006D12DA"/>
    <w:rsid w:val="006E4974"/>
    <w:rsid w:val="006F144C"/>
    <w:rsid w:val="006F1A6F"/>
    <w:rsid w:val="00704DC3"/>
    <w:rsid w:val="007066AE"/>
    <w:rsid w:val="007102CA"/>
    <w:rsid w:val="00715C76"/>
    <w:rsid w:val="00715FA5"/>
    <w:rsid w:val="0072003E"/>
    <w:rsid w:val="00721970"/>
    <w:rsid w:val="00726B1E"/>
    <w:rsid w:val="00731023"/>
    <w:rsid w:val="00731785"/>
    <w:rsid w:val="00743DB7"/>
    <w:rsid w:val="007451D4"/>
    <w:rsid w:val="0074620C"/>
    <w:rsid w:val="007564E2"/>
    <w:rsid w:val="00762E08"/>
    <w:rsid w:val="00762F8E"/>
    <w:rsid w:val="00766E8E"/>
    <w:rsid w:val="00777A1B"/>
    <w:rsid w:val="00791524"/>
    <w:rsid w:val="007A5EA0"/>
    <w:rsid w:val="007A72D0"/>
    <w:rsid w:val="007C76A8"/>
    <w:rsid w:val="008051B2"/>
    <w:rsid w:val="00827E45"/>
    <w:rsid w:val="008503ED"/>
    <w:rsid w:val="0085234C"/>
    <w:rsid w:val="0085476F"/>
    <w:rsid w:val="00855BA6"/>
    <w:rsid w:val="008571B2"/>
    <w:rsid w:val="008602B6"/>
    <w:rsid w:val="0086060A"/>
    <w:rsid w:val="008716E3"/>
    <w:rsid w:val="008738BA"/>
    <w:rsid w:val="00890AF9"/>
    <w:rsid w:val="008946AD"/>
    <w:rsid w:val="008A74CB"/>
    <w:rsid w:val="008C548E"/>
    <w:rsid w:val="008E0904"/>
    <w:rsid w:val="008E168E"/>
    <w:rsid w:val="008F3FAA"/>
    <w:rsid w:val="00900C38"/>
    <w:rsid w:val="00913335"/>
    <w:rsid w:val="009137B7"/>
    <w:rsid w:val="00915833"/>
    <w:rsid w:val="0094413F"/>
    <w:rsid w:val="00951400"/>
    <w:rsid w:val="009567D1"/>
    <w:rsid w:val="00975A4C"/>
    <w:rsid w:val="00984E65"/>
    <w:rsid w:val="00990EF9"/>
    <w:rsid w:val="00996D6C"/>
    <w:rsid w:val="009C1618"/>
    <w:rsid w:val="009C3100"/>
    <w:rsid w:val="009D482E"/>
    <w:rsid w:val="009D6D93"/>
    <w:rsid w:val="009E1F96"/>
    <w:rsid w:val="009E6D0C"/>
    <w:rsid w:val="00A0585C"/>
    <w:rsid w:val="00A124F4"/>
    <w:rsid w:val="00A135D8"/>
    <w:rsid w:val="00A21D96"/>
    <w:rsid w:val="00A4159B"/>
    <w:rsid w:val="00A5758D"/>
    <w:rsid w:val="00A57BDD"/>
    <w:rsid w:val="00A60884"/>
    <w:rsid w:val="00A72495"/>
    <w:rsid w:val="00A81F84"/>
    <w:rsid w:val="00A8608E"/>
    <w:rsid w:val="00A912F8"/>
    <w:rsid w:val="00A924D3"/>
    <w:rsid w:val="00A952EF"/>
    <w:rsid w:val="00AA4B0B"/>
    <w:rsid w:val="00AA6358"/>
    <w:rsid w:val="00AC2BE2"/>
    <w:rsid w:val="00AC329B"/>
    <w:rsid w:val="00AC5BE1"/>
    <w:rsid w:val="00AC677C"/>
    <w:rsid w:val="00AE53B8"/>
    <w:rsid w:val="00AF6280"/>
    <w:rsid w:val="00AF662A"/>
    <w:rsid w:val="00B02CC3"/>
    <w:rsid w:val="00B02EBC"/>
    <w:rsid w:val="00B035AA"/>
    <w:rsid w:val="00B0503B"/>
    <w:rsid w:val="00B14009"/>
    <w:rsid w:val="00B302ED"/>
    <w:rsid w:val="00B30B9A"/>
    <w:rsid w:val="00B3254F"/>
    <w:rsid w:val="00B32F3E"/>
    <w:rsid w:val="00B33771"/>
    <w:rsid w:val="00B42D0E"/>
    <w:rsid w:val="00B4377A"/>
    <w:rsid w:val="00B44530"/>
    <w:rsid w:val="00B50320"/>
    <w:rsid w:val="00B55345"/>
    <w:rsid w:val="00B60BFC"/>
    <w:rsid w:val="00B91705"/>
    <w:rsid w:val="00B95075"/>
    <w:rsid w:val="00B95CD2"/>
    <w:rsid w:val="00BA52F5"/>
    <w:rsid w:val="00BA7B20"/>
    <w:rsid w:val="00BB241F"/>
    <w:rsid w:val="00BB5A69"/>
    <w:rsid w:val="00BC3988"/>
    <w:rsid w:val="00BC4402"/>
    <w:rsid w:val="00C10774"/>
    <w:rsid w:val="00C14077"/>
    <w:rsid w:val="00C35B25"/>
    <w:rsid w:val="00C41B1B"/>
    <w:rsid w:val="00C5019B"/>
    <w:rsid w:val="00C85459"/>
    <w:rsid w:val="00C9404B"/>
    <w:rsid w:val="00C940A1"/>
    <w:rsid w:val="00CA081D"/>
    <w:rsid w:val="00CA2FB2"/>
    <w:rsid w:val="00CB7B23"/>
    <w:rsid w:val="00CC3942"/>
    <w:rsid w:val="00CD4E55"/>
    <w:rsid w:val="00CE1826"/>
    <w:rsid w:val="00CE3DBA"/>
    <w:rsid w:val="00CF02CF"/>
    <w:rsid w:val="00CF2079"/>
    <w:rsid w:val="00CF280D"/>
    <w:rsid w:val="00CF41E7"/>
    <w:rsid w:val="00D07F17"/>
    <w:rsid w:val="00D1070C"/>
    <w:rsid w:val="00D1185E"/>
    <w:rsid w:val="00D262C6"/>
    <w:rsid w:val="00D4615C"/>
    <w:rsid w:val="00D47F13"/>
    <w:rsid w:val="00D54056"/>
    <w:rsid w:val="00D55D44"/>
    <w:rsid w:val="00D71C84"/>
    <w:rsid w:val="00D733F4"/>
    <w:rsid w:val="00D975AA"/>
    <w:rsid w:val="00DB45EF"/>
    <w:rsid w:val="00DE2302"/>
    <w:rsid w:val="00DE609E"/>
    <w:rsid w:val="00DF57BF"/>
    <w:rsid w:val="00E32AAE"/>
    <w:rsid w:val="00E42C2A"/>
    <w:rsid w:val="00E4390A"/>
    <w:rsid w:val="00E43DE1"/>
    <w:rsid w:val="00E512A0"/>
    <w:rsid w:val="00E556F2"/>
    <w:rsid w:val="00E63086"/>
    <w:rsid w:val="00E64F31"/>
    <w:rsid w:val="00E75102"/>
    <w:rsid w:val="00E8190D"/>
    <w:rsid w:val="00E85222"/>
    <w:rsid w:val="00E85A81"/>
    <w:rsid w:val="00EA1C86"/>
    <w:rsid w:val="00EA23E4"/>
    <w:rsid w:val="00EB000F"/>
    <w:rsid w:val="00ED06D4"/>
    <w:rsid w:val="00F009F9"/>
    <w:rsid w:val="00F10CB2"/>
    <w:rsid w:val="00F15AC3"/>
    <w:rsid w:val="00F17636"/>
    <w:rsid w:val="00F2161A"/>
    <w:rsid w:val="00F41117"/>
    <w:rsid w:val="00F466CB"/>
    <w:rsid w:val="00F502CA"/>
    <w:rsid w:val="00F62307"/>
    <w:rsid w:val="00F64DF2"/>
    <w:rsid w:val="00F8162B"/>
    <w:rsid w:val="00F84760"/>
    <w:rsid w:val="00FA336A"/>
    <w:rsid w:val="00FB331E"/>
    <w:rsid w:val="00FC43D1"/>
    <w:rsid w:val="00FD356B"/>
    <w:rsid w:val="00FD43C5"/>
    <w:rsid w:val="00FD5F89"/>
    <w:rsid w:val="00FE782F"/>
    <w:rsid w:val="00FE7FF2"/>
    <w:rsid w:val="00FF03CC"/>
    <w:rsid w:val="00FF34C5"/>
    <w:rsid w:val="00FF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A93D99"/>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character" w:customStyle="1" w:styleId="FooterChar">
    <w:name w:val="Footer Char"/>
    <w:basedOn w:val="DefaultParagraphFont"/>
    <w:link w:val="Footer"/>
    <w:uiPriority w:val="99"/>
    <w:rsid w:val="002F58F4"/>
    <w:rPr>
      <w:rFonts w:ascii="Arial" w:hAnsi="Arial"/>
      <w:sz w:val="18"/>
      <w:lang w:eastAsia="en-US"/>
    </w:rPr>
  </w:style>
  <w:style w:type="table" w:styleId="TableGrid">
    <w:name w:val="Table Grid"/>
    <w:basedOn w:val="TableNormal"/>
    <w:uiPriority w:val="59"/>
    <w:rsid w:val="00E5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F89"/>
    <w:pPr>
      <w:ind w:left="720"/>
      <w:contextualSpacing/>
    </w:pPr>
  </w:style>
  <w:style w:type="paragraph" w:styleId="CommentText">
    <w:name w:val="annotation text"/>
    <w:basedOn w:val="Normal"/>
    <w:link w:val="CommentTextChar"/>
    <w:uiPriority w:val="99"/>
    <w:unhideWhenUsed/>
    <w:rsid w:val="000E0546"/>
    <w:rPr>
      <w:sz w:val="20"/>
    </w:rPr>
  </w:style>
  <w:style w:type="character" w:customStyle="1" w:styleId="CommentTextChar">
    <w:name w:val="Comment Text Char"/>
    <w:basedOn w:val="DefaultParagraphFont"/>
    <w:link w:val="CommentText"/>
    <w:uiPriority w:val="99"/>
    <w:rsid w:val="000E0546"/>
    <w:rPr>
      <w:lang w:eastAsia="en-US"/>
    </w:rPr>
  </w:style>
  <w:style w:type="character" w:styleId="CommentReference">
    <w:name w:val="annotation reference"/>
    <w:basedOn w:val="DefaultParagraphFont"/>
    <w:uiPriority w:val="99"/>
    <w:semiHidden/>
    <w:unhideWhenUsed/>
    <w:rsid w:val="00E43DE1"/>
    <w:rPr>
      <w:sz w:val="16"/>
      <w:szCs w:val="16"/>
    </w:rPr>
  </w:style>
  <w:style w:type="paragraph" w:styleId="CommentSubject">
    <w:name w:val="annotation subject"/>
    <w:basedOn w:val="CommentText"/>
    <w:next w:val="CommentText"/>
    <w:link w:val="CommentSubjectChar"/>
    <w:uiPriority w:val="99"/>
    <w:semiHidden/>
    <w:unhideWhenUsed/>
    <w:rsid w:val="00E43DE1"/>
    <w:rPr>
      <w:b/>
      <w:bCs/>
    </w:rPr>
  </w:style>
  <w:style w:type="character" w:customStyle="1" w:styleId="CommentSubjectChar">
    <w:name w:val="Comment Subject Char"/>
    <w:basedOn w:val="CommentTextChar"/>
    <w:link w:val="CommentSubject"/>
    <w:uiPriority w:val="99"/>
    <w:semiHidden/>
    <w:rsid w:val="00E43DE1"/>
    <w:rPr>
      <w:b/>
      <w:bCs/>
      <w:lang w:eastAsia="en-US"/>
    </w:rPr>
  </w:style>
  <w:style w:type="paragraph" w:styleId="BalloonText">
    <w:name w:val="Balloon Text"/>
    <w:basedOn w:val="Normal"/>
    <w:link w:val="BalloonTextChar"/>
    <w:uiPriority w:val="99"/>
    <w:semiHidden/>
    <w:unhideWhenUsed/>
    <w:rsid w:val="00E43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18261">
      <w:bodyDiv w:val="1"/>
      <w:marLeft w:val="0"/>
      <w:marRight w:val="0"/>
      <w:marTop w:val="0"/>
      <w:marBottom w:val="0"/>
      <w:divBdr>
        <w:top w:val="none" w:sz="0" w:space="0" w:color="auto"/>
        <w:left w:val="none" w:sz="0" w:space="0" w:color="auto"/>
        <w:bottom w:val="none" w:sz="0" w:space="0" w:color="auto"/>
        <w:right w:val="none" w:sz="0" w:space="0" w:color="auto"/>
      </w:divBdr>
      <w:divsChild>
        <w:div w:id="1137069547">
          <w:marLeft w:val="0"/>
          <w:marRight w:val="0"/>
          <w:marTop w:val="0"/>
          <w:marBottom w:val="0"/>
          <w:divBdr>
            <w:top w:val="none" w:sz="0" w:space="0" w:color="auto"/>
            <w:left w:val="none" w:sz="0" w:space="0" w:color="auto"/>
            <w:bottom w:val="none" w:sz="0" w:space="0" w:color="auto"/>
            <w:right w:val="none" w:sz="0" w:space="0" w:color="auto"/>
          </w:divBdr>
        </w:div>
        <w:div w:id="1432433984">
          <w:marLeft w:val="0"/>
          <w:marRight w:val="0"/>
          <w:marTop w:val="0"/>
          <w:marBottom w:val="0"/>
          <w:divBdr>
            <w:top w:val="none" w:sz="0" w:space="0" w:color="auto"/>
            <w:left w:val="none" w:sz="0" w:space="0" w:color="auto"/>
            <w:bottom w:val="none" w:sz="0" w:space="0" w:color="auto"/>
            <w:right w:val="none" w:sz="0" w:space="0" w:color="auto"/>
          </w:divBdr>
        </w:div>
        <w:div w:id="1945990316">
          <w:marLeft w:val="0"/>
          <w:marRight w:val="0"/>
          <w:marTop w:val="0"/>
          <w:marBottom w:val="0"/>
          <w:divBdr>
            <w:top w:val="none" w:sz="0" w:space="0" w:color="auto"/>
            <w:left w:val="none" w:sz="0" w:space="0" w:color="auto"/>
            <w:bottom w:val="none" w:sz="0" w:space="0" w:color="auto"/>
            <w:right w:val="none" w:sz="0" w:space="0" w:color="auto"/>
          </w:divBdr>
        </w:div>
        <w:div w:id="659847702">
          <w:marLeft w:val="0"/>
          <w:marRight w:val="0"/>
          <w:marTop w:val="0"/>
          <w:marBottom w:val="0"/>
          <w:divBdr>
            <w:top w:val="none" w:sz="0" w:space="0" w:color="auto"/>
            <w:left w:val="none" w:sz="0" w:space="0" w:color="auto"/>
            <w:bottom w:val="none" w:sz="0" w:space="0" w:color="auto"/>
            <w:right w:val="none" w:sz="0" w:space="0" w:color="auto"/>
          </w:divBdr>
        </w:div>
      </w:divsChild>
    </w:div>
    <w:div w:id="1153570743">
      <w:bodyDiv w:val="1"/>
      <w:marLeft w:val="0"/>
      <w:marRight w:val="0"/>
      <w:marTop w:val="0"/>
      <w:marBottom w:val="0"/>
      <w:divBdr>
        <w:top w:val="none" w:sz="0" w:space="0" w:color="auto"/>
        <w:left w:val="none" w:sz="0" w:space="0" w:color="auto"/>
        <w:bottom w:val="none" w:sz="0" w:space="0" w:color="auto"/>
        <w:right w:val="none" w:sz="0" w:space="0" w:color="auto"/>
      </w:divBdr>
      <w:divsChild>
        <w:div w:id="1957248775">
          <w:marLeft w:val="0"/>
          <w:marRight w:val="0"/>
          <w:marTop w:val="0"/>
          <w:marBottom w:val="0"/>
          <w:divBdr>
            <w:top w:val="none" w:sz="0" w:space="0" w:color="auto"/>
            <w:left w:val="none" w:sz="0" w:space="0" w:color="auto"/>
            <w:bottom w:val="none" w:sz="0" w:space="0" w:color="auto"/>
            <w:right w:val="none" w:sz="0" w:space="0" w:color="auto"/>
          </w:divBdr>
        </w:div>
        <w:div w:id="2706273">
          <w:marLeft w:val="0"/>
          <w:marRight w:val="0"/>
          <w:marTop w:val="0"/>
          <w:marBottom w:val="0"/>
          <w:divBdr>
            <w:top w:val="none" w:sz="0" w:space="0" w:color="auto"/>
            <w:left w:val="none" w:sz="0" w:space="0" w:color="auto"/>
            <w:bottom w:val="none" w:sz="0" w:space="0" w:color="auto"/>
            <w:right w:val="none" w:sz="0" w:space="0" w:color="auto"/>
          </w:divBdr>
        </w:div>
        <w:div w:id="1493255402">
          <w:marLeft w:val="0"/>
          <w:marRight w:val="0"/>
          <w:marTop w:val="0"/>
          <w:marBottom w:val="0"/>
          <w:divBdr>
            <w:top w:val="none" w:sz="0" w:space="0" w:color="auto"/>
            <w:left w:val="none" w:sz="0" w:space="0" w:color="auto"/>
            <w:bottom w:val="none" w:sz="0" w:space="0" w:color="auto"/>
            <w:right w:val="none" w:sz="0" w:space="0" w:color="auto"/>
          </w:divBdr>
        </w:div>
        <w:div w:id="1851335841">
          <w:marLeft w:val="0"/>
          <w:marRight w:val="0"/>
          <w:marTop w:val="0"/>
          <w:marBottom w:val="0"/>
          <w:divBdr>
            <w:top w:val="none" w:sz="0" w:space="0" w:color="auto"/>
            <w:left w:val="none" w:sz="0" w:space="0" w:color="auto"/>
            <w:bottom w:val="none" w:sz="0" w:space="0" w:color="auto"/>
            <w:right w:val="none" w:sz="0" w:space="0" w:color="auto"/>
          </w:divBdr>
        </w:div>
        <w:div w:id="1441530587">
          <w:marLeft w:val="0"/>
          <w:marRight w:val="0"/>
          <w:marTop w:val="0"/>
          <w:marBottom w:val="0"/>
          <w:divBdr>
            <w:top w:val="none" w:sz="0" w:space="0" w:color="auto"/>
            <w:left w:val="none" w:sz="0" w:space="0" w:color="auto"/>
            <w:bottom w:val="none" w:sz="0" w:space="0" w:color="auto"/>
            <w:right w:val="none" w:sz="0" w:space="0" w:color="auto"/>
          </w:divBdr>
        </w:div>
        <w:div w:id="640499724">
          <w:marLeft w:val="0"/>
          <w:marRight w:val="0"/>
          <w:marTop w:val="0"/>
          <w:marBottom w:val="0"/>
          <w:divBdr>
            <w:top w:val="none" w:sz="0" w:space="0" w:color="auto"/>
            <w:left w:val="none" w:sz="0" w:space="0" w:color="auto"/>
            <w:bottom w:val="none" w:sz="0" w:space="0" w:color="auto"/>
            <w:right w:val="none" w:sz="0" w:space="0" w:color="auto"/>
          </w:divBdr>
        </w:div>
        <w:div w:id="879589769">
          <w:marLeft w:val="0"/>
          <w:marRight w:val="0"/>
          <w:marTop w:val="0"/>
          <w:marBottom w:val="0"/>
          <w:divBdr>
            <w:top w:val="none" w:sz="0" w:space="0" w:color="auto"/>
            <w:left w:val="none" w:sz="0" w:space="0" w:color="auto"/>
            <w:bottom w:val="none" w:sz="0" w:space="0" w:color="auto"/>
            <w:right w:val="none" w:sz="0" w:space="0" w:color="auto"/>
          </w:divBdr>
        </w:div>
        <w:div w:id="761221119">
          <w:marLeft w:val="0"/>
          <w:marRight w:val="0"/>
          <w:marTop w:val="0"/>
          <w:marBottom w:val="0"/>
          <w:divBdr>
            <w:top w:val="none" w:sz="0" w:space="0" w:color="auto"/>
            <w:left w:val="none" w:sz="0" w:space="0" w:color="auto"/>
            <w:bottom w:val="none" w:sz="0" w:space="0" w:color="auto"/>
            <w:right w:val="none" w:sz="0" w:space="0" w:color="auto"/>
          </w:divBdr>
        </w:div>
        <w:div w:id="244341702">
          <w:marLeft w:val="0"/>
          <w:marRight w:val="0"/>
          <w:marTop w:val="0"/>
          <w:marBottom w:val="0"/>
          <w:divBdr>
            <w:top w:val="none" w:sz="0" w:space="0" w:color="auto"/>
            <w:left w:val="none" w:sz="0" w:space="0" w:color="auto"/>
            <w:bottom w:val="none" w:sz="0" w:space="0" w:color="auto"/>
            <w:right w:val="none" w:sz="0" w:space="0" w:color="auto"/>
          </w:divBdr>
        </w:div>
        <w:div w:id="1708525706">
          <w:marLeft w:val="0"/>
          <w:marRight w:val="0"/>
          <w:marTop w:val="0"/>
          <w:marBottom w:val="0"/>
          <w:divBdr>
            <w:top w:val="none" w:sz="0" w:space="0" w:color="auto"/>
            <w:left w:val="none" w:sz="0" w:space="0" w:color="auto"/>
            <w:bottom w:val="none" w:sz="0" w:space="0" w:color="auto"/>
            <w:right w:val="none" w:sz="0" w:space="0" w:color="auto"/>
          </w:divBdr>
        </w:div>
        <w:div w:id="664087685">
          <w:marLeft w:val="0"/>
          <w:marRight w:val="0"/>
          <w:marTop w:val="0"/>
          <w:marBottom w:val="0"/>
          <w:divBdr>
            <w:top w:val="none" w:sz="0" w:space="0" w:color="auto"/>
            <w:left w:val="none" w:sz="0" w:space="0" w:color="auto"/>
            <w:bottom w:val="none" w:sz="0" w:space="0" w:color="auto"/>
            <w:right w:val="none" w:sz="0" w:space="0" w:color="auto"/>
          </w:divBdr>
        </w:div>
        <w:div w:id="31619947">
          <w:marLeft w:val="0"/>
          <w:marRight w:val="0"/>
          <w:marTop w:val="0"/>
          <w:marBottom w:val="0"/>
          <w:divBdr>
            <w:top w:val="none" w:sz="0" w:space="0" w:color="auto"/>
            <w:left w:val="none" w:sz="0" w:space="0" w:color="auto"/>
            <w:bottom w:val="none" w:sz="0" w:space="0" w:color="auto"/>
            <w:right w:val="none" w:sz="0" w:space="0" w:color="auto"/>
          </w:divBdr>
        </w:div>
        <w:div w:id="1969702796">
          <w:marLeft w:val="0"/>
          <w:marRight w:val="0"/>
          <w:marTop w:val="0"/>
          <w:marBottom w:val="0"/>
          <w:divBdr>
            <w:top w:val="none" w:sz="0" w:space="0" w:color="auto"/>
            <w:left w:val="none" w:sz="0" w:space="0" w:color="auto"/>
            <w:bottom w:val="none" w:sz="0" w:space="0" w:color="auto"/>
            <w:right w:val="none" w:sz="0" w:space="0" w:color="auto"/>
          </w:divBdr>
        </w:div>
        <w:div w:id="1474250229">
          <w:marLeft w:val="0"/>
          <w:marRight w:val="0"/>
          <w:marTop w:val="0"/>
          <w:marBottom w:val="0"/>
          <w:divBdr>
            <w:top w:val="none" w:sz="0" w:space="0" w:color="auto"/>
            <w:left w:val="none" w:sz="0" w:space="0" w:color="auto"/>
            <w:bottom w:val="none" w:sz="0" w:space="0" w:color="auto"/>
            <w:right w:val="none" w:sz="0" w:space="0" w:color="auto"/>
          </w:divBdr>
        </w:div>
        <w:div w:id="1762291056">
          <w:marLeft w:val="0"/>
          <w:marRight w:val="0"/>
          <w:marTop w:val="0"/>
          <w:marBottom w:val="0"/>
          <w:divBdr>
            <w:top w:val="none" w:sz="0" w:space="0" w:color="auto"/>
            <w:left w:val="none" w:sz="0" w:space="0" w:color="auto"/>
            <w:bottom w:val="none" w:sz="0" w:space="0" w:color="auto"/>
            <w:right w:val="none" w:sz="0" w:space="0" w:color="auto"/>
          </w:divBdr>
        </w:div>
        <w:div w:id="157379735">
          <w:marLeft w:val="0"/>
          <w:marRight w:val="0"/>
          <w:marTop w:val="0"/>
          <w:marBottom w:val="0"/>
          <w:divBdr>
            <w:top w:val="none" w:sz="0" w:space="0" w:color="auto"/>
            <w:left w:val="none" w:sz="0" w:space="0" w:color="auto"/>
            <w:bottom w:val="none" w:sz="0" w:space="0" w:color="auto"/>
            <w:right w:val="none" w:sz="0" w:space="0" w:color="auto"/>
          </w:divBdr>
        </w:div>
        <w:div w:id="1943298990">
          <w:marLeft w:val="0"/>
          <w:marRight w:val="0"/>
          <w:marTop w:val="0"/>
          <w:marBottom w:val="0"/>
          <w:divBdr>
            <w:top w:val="none" w:sz="0" w:space="0" w:color="auto"/>
            <w:left w:val="none" w:sz="0" w:space="0" w:color="auto"/>
            <w:bottom w:val="none" w:sz="0" w:space="0" w:color="auto"/>
            <w:right w:val="none" w:sz="0" w:space="0" w:color="auto"/>
          </w:divBdr>
        </w:div>
        <w:div w:id="1075516016">
          <w:marLeft w:val="0"/>
          <w:marRight w:val="0"/>
          <w:marTop w:val="0"/>
          <w:marBottom w:val="0"/>
          <w:divBdr>
            <w:top w:val="none" w:sz="0" w:space="0" w:color="auto"/>
            <w:left w:val="none" w:sz="0" w:space="0" w:color="auto"/>
            <w:bottom w:val="none" w:sz="0" w:space="0" w:color="auto"/>
            <w:right w:val="none" w:sz="0" w:space="0" w:color="auto"/>
          </w:divBdr>
        </w:div>
        <w:div w:id="1913390290">
          <w:marLeft w:val="0"/>
          <w:marRight w:val="0"/>
          <w:marTop w:val="0"/>
          <w:marBottom w:val="0"/>
          <w:divBdr>
            <w:top w:val="none" w:sz="0" w:space="0" w:color="auto"/>
            <w:left w:val="none" w:sz="0" w:space="0" w:color="auto"/>
            <w:bottom w:val="none" w:sz="0" w:space="0" w:color="auto"/>
            <w:right w:val="none" w:sz="0" w:space="0" w:color="auto"/>
          </w:divBdr>
        </w:div>
        <w:div w:id="2127112265">
          <w:marLeft w:val="0"/>
          <w:marRight w:val="0"/>
          <w:marTop w:val="0"/>
          <w:marBottom w:val="0"/>
          <w:divBdr>
            <w:top w:val="none" w:sz="0" w:space="0" w:color="auto"/>
            <w:left w:val="none" w:sz="0" w:space="0" w:color="auto"/>
            <w:bottom w:val="none" w:sz="0" w:space="0" w:color="auto"/>
            <w:right w:val="none" w:sz="0" w:space="0" w:color="auto"/>
          </w:divBdr>
        </w:div>
        <w:div w:id="156729289">
          <w:marLeft w:val="0"/>
          <w:marRight w:val="0"/>
          <w:marTop w:val="0"/>
          <w:marBottom w:val="0"/>
          <w:divBdr>
            <w:top w:val="none" w:sz="0" w:space="0" w:color="auto"/>
            <w:left w:val="none" w:sz="0" w:space="0" w:color="auto"/>
            <w:bottom w:val="none" w:sz="0" w:space="0" w:color="auto"/>
            <w:right w:val="none" w:sz="0" w:space="0" w:color="auto"/>
          </w:divBdr>
        </w:div>
        <w:div w:id="1882547971">
          <w:marLeft w:val="0"/>
          <w:marRight w:val="0"/>
          <w:marTop w:val="0"/>
          <w:marBottom w:val="0"/>
          <w:divBdr>
            <w:top w:val="none" w:sz="0" w:space="0" w:color="auto"/>
            <w:left w:val="none" w:sz="0" w:space="0" w:color="auto"/>
            <w:bottom w:val="none" w:sz="0" w:space="0" w:color="auto"/>
            <w:right w:val="none" w:sz="0" w:space="0" w:color="auto"/>
          </w:divBdr>
        </w:div>
        <w:div w:id="7197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9687-3573-472D-A7BF-651DEC10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7974</Characters>
  <Application>Microsoft Office Word</Application>
  <DocSecurity>0</DocSecurity>
  <Lines>170</Lines>
  <Paragraphs>58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2019-09-19T06:21:00Z</dcterms:created>
  <dcterms:modified xsi:type="dcterms:W3CDTF">2019-09-19T06:21:00Z</dcterms:modified>
</cp:coreProperties>
</file>