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6492" w14:textId="77777777" w:rsidR="00C425F8" w:rsidRPr="00C425F8" w:rsidRDefault="00C425F8" w:rsidP="00C425F8">
      <w:pPr>
        <w:widowControl/>
        <w:autoSpaceDE/>
        <w:autoSpaceDN/>
        <w:spacing w:before="120"/>
        <w:rPr>
          <w:rFonts w:eastAsia="Times New Roman"/>
          <w:sz w:val="24"/>
          <w:szCs w:val="20"/>
        </w:rPr>
      </w:pPr>
      <w:bookmarkStart w:id="0" w:name="_Toc44738651"/>
      <w:bookmarkStart w:id="1" w:name="_GoBack"/>
      <w:bookmarkEnd w:id="1"/>
      <w:r w:rsidRPr="00C425F8">
        <w:rPr>
          <w:rFonts w:eastAsia="Times New Roman"/>
          <w:sz w:val="24"/>
          <w:szCs w:val="20"/>
        </w:rPr>
        <w:t>Australian Capital Territory</w:t>
      </w:r>
    </w:p>
    <w:p w14:paraId="3C4E2F2C" w14:textId="77777777" w:rsidR="00C425F8" w:rsidRPr="00C425F8" w:rsidRDefault="00C425F8" w:rsidP="00C425F8">
      <w:pPr>
        <w:widowControl/>
        <w:tabs>
          <w:tab w:val="left" w:pos="2400"/>
          <w:tab w:val="left" w:pos="2880"/>
        </w:tabs>
        <w:autoSpaceDE/>
        <w:autoSpaceDN/>
        <w:spacing w:before="700" w:after="100"/>
        <w:rPr>
          <w:rFonts w:eastAsia="Times New Roman" w:cs="Times New Roman"/>
          <w:b/>
          <w:sz w:val="40"/>
          <w:szCs w:val="20"/>
        </w:rPr>
      </w:pPr>
      <w:r w:rsidRPr="00C425F8">
        <w:rPr>
          <w:rFonts w:eastAsia="Times New Roman" w:cs="Times New Roman"/>
          <w:b/>
          <w:sz w:val="40"/>
          <w:szCs w:val="20"/>
        </w:rPr>
        <w:t>Motor Accident Injuries (Internal Review) Guidelines 2019</w:t>
      </w:r>
    </w:p>
    <w:p w14:paraId="1E7487D3" w14:textId="77777777" w:rsidR="00C425F8" w:rsidRPr="00C425F8" w:rsidRDefault="00C425F8" w:rsidP="00C425F8">
      <w:pPr>
        <w:widowControl/>
        <w:autoSpaceDE/>
        <w:autoSpaceDN/>
        <w:spacing w:before="340"/>
        <w:rPr>
          <w:rFonts w:eastAsia="Times New Roman"/>
          <w:b/>
          <w:bCs/>
          <w:sz w:val="24"/>
          <w:szCs w:val="20"/>
        </w:rPr>
      </w:pPr>
      <w:r w:rsidRPr="00C425F8">
        <w:rPr>
          <w:rFonts w:eastAsia="Times New Roman"/>
          <w:b/>
          <w:bCs/>
          <w:sz w:val="24"/>
          <w:szCs w:val="20"/>
        </w:rPr>
        <w:t>Disallowable instrument DI</w:t>
      </w:r>
      <w:r w:rsidRPr="00C425F8">
        <w:rPr>
          <w:rFonts w:eastAsia="Times New Roman"/>
          <w:b/>
          <w:bCs/>
          <w:iCs/>
          <w:sz w:val="24"/>
          <w:szCs w:val="20"/>
        </w:rPr>
        <w:t>2019</w:t>
      </w:r>
      <w:r w:rsidRPr="00C425F8">
        <w:rPr>
          <w:rFonts w:eastAsia="Times New Roman"/>
          <w:b/>
          <w:bCs/>
          <w:sz w:val="24"/>
          <w:szCs w:val="20"/>
        </w:rPr>
        <w:t>–244</w:t>
      </w:r>
    </w:p>
    <w:p w14:paraId="778B5F26" w14:textId="77777777" w:rsidR="00C425F8" w:rsidRPr="00C425F8" w:rsidRDefault="00C425F8" w:rsidP="00C425F8">
      <w:pPr>
        <w:widowControl/>
        <w:autoSpaceDE/>
        <w:autoSpaceDN/>
        <w:spacing w:before="300"/>
        <w:jc w:val="both"/>
        <w:rPr>
          <w:rFonts w:ascii="Times New Roman" w:eastAsia="Times New Roman" w:hAnsi="Times New Roman" w:cs="Times New Roman"/>
          <w:sz w:val="24"/>
          <w:szCs w:val="20"/>
        </w:rPr>
      </w:pPr>
      <w:r w:rsidRPr="00C425F8">
        <w:rPr>
          <w:rFonts w:ascii="Times New Roman" w:eastAsia="Times New Roman" w:hAnsi="Times New Roman" w:cs="Times New Roman"/>
          <w:sz w:val="24"/>
          <w:szCs w:val="20"/>
        </w:rPr>
        <w:t xml:space="preserve">made under the  </w:t>
      </w:r>
    </w:p>
    <w:p w14:paraId="38CE292B" w14:textId="77777777" w:rsidR="00C425F8" w:rsidRPr="00C425F8" w:rsidRDefault="00C425F8" w:rsidP="00C425F8">
      <w:pPr>
        <w:widowControl/>
        <w:tabs>
          <w:tab w:val="left" w:pos="2600"/>
        </w:tabs>
        <w:autoSpaceDE/>
        <w:autoSpaceDN/>
        <w:spacing w:before="320"/>
        <w:jc w:val="both"/>
        <w:rPr>
          <w:rFonts w:eastAsia="Times New Roman"/>
          <w:b/>
          <w:sz w:val="20"/>
          <w:szCs w:val="20"/>
        </w:rPr>
      </w:pPr>
      <w:r w:rsidRPr="00C425F8">
        <w:rPr>
          <w:rFonts w:eastAsia="Times New Roman"/>
          <w:b/>
          <w:sz w:val="20"/>
          <w:szCs w:val="20"/>
        </w:rPr>
        <w:t>Motor Accident Injuries Act 2019, section 487 (MAI guidelines)</w:t>
      </w:r>
    </w:p>
    <w:p w14:paraId="580E33E8" w14:textId="77777777" w:rsidR="00C425F8" w:rsidRPr="00C425F8" w:rsidRDefault="00C425F8" w:rsidP="00C425F8">
      <w:pPr>
        <w:widowControl/>
        <w:autoSpaceDE/>
        <w:autoSpaceDN/>
        <w:spacing w:before="60"/>
        <w:jc w:val="both"/>
        <w:rPr>
          <w:rFonts w:ascii="Times New Roman" w:eastAsia="Times New Roman" w:hAnsi="Times New Roman" w:cs="Times New Roman"/>
          <w:sz w:val="24"/>
          <w:szCs w:val="20"/>
        </w:rPr>
      </w:pPr>
    </w:p>
    <w:p w14:paraId="33EA2A97" w14:textId="77777777" w:rsidR="00C425F8" w:rsidRPr="00C425F8" w:rsidRDefault="00C425F8" w:rsidP="00C425F8">
      <w:pPr>
        <w:widowControl/>
        <w:pBdr>
          <w:top w:val="single" w:sz="12" w:space="1" w:color="auto"/>
        </w:pBdr>
        <w:autoSpaceDE/>
        <w:autoSpaceDN/>
        <w:jc w:val="both"/>
        <w:rPr>
          <w:rFonts w:ascii="Times New Roman" w:eastAsia="Times New Roman" w:hAnsi="Times New Roman" w:cs="Times New Roman"/>
          <w:sz w:val="24"/>
          <w:szCs w:val="20"/>
        </w:rPr>
      </w:pPr>
    </w:p>
    <w:p w14:paraId="3970BE7E" w14:textId="77777777" w:rsidR="00C425F8" w:rsidRPr="00C425F8" w:rsidRDefault="00C425F8" w:rsidP="00C425F8">
      <w:pPr>
        <w:widowControl/>
        <w:autoSpaceDE/>
        <w:autoSpaceDN/>
        <w:spacing w:before="60" w:after="60"/>
        <w:ind w:left="720" w:hanging="720"/>
        <w:rPr>
          <w:rFonts w:eastAsia="Times New Roman"/>
          <w:b/>
          <w:bCs/>
          <w:sz w:val="24"/>
          <w:szCs w:val="20"/>
        </w:rPr>
      </w:pPr>
      <w:r w:rsidRPr="00C425F8">
        <w:rPr>
          <w:rFonts w:eastAsia="Times New Roman"/>
          <w:b/>
          <w:bCs/>
          <w:sz w:val="24"/>
          <w:szCs w:val="20"/>
        </w:rPr>
        <w:t>1</w:t>
      </w:r>
      <w:r w:rsidRPr="00C425F8">
        <w:rPr>
          <w:rFonts w:eastAsia="Times New Roman"/>
          <w:b/>
          <w:bCs/>
          <w:sz w:val="24"/>
          <w:szCs w:val="20"/>
        </w:rPr>
        <w:tab/>
        <w:t>Name of instrument</w:t>
      </w:r>
    </w:p>
    <w:p w14:paraId="3548C73C" w14:textId="77777777" w:rsidR="00C425F8" w:rsidRPr="00C425F8" w:rsidRDefault="00C425F8" w:rsidP="00C425F8">
      <w:pPr>
        <w:widowControl/>
        <w:autoSpaceDE/>
        <w:autoSpaceDN/>
        <w:spacing w:before="140"/>
        <w:ind w:left="720"/>
        <w:rPr>
          <w:rFonts w:ascii="Times New Roman" w:eastAsia="Times New Roman" w:hAnsi="Times New Roman" w:cs="Times New Roman"/>
          <w:i/>
          <w:iCs/>
          <w:sz w:val="24"/>
          <w:szCs w:val="20"/>
        </w:rPr>
      </w:pPr>
      <w:r w:rsidRPr="00C425F8">
        <w:rPr>
          <w:rFonts w:ascii="Times New Roman" w:eastAsia="Times New Roman" w:hAnsi="Times New Roman" w:cs="Times New Roman"/>
          <w:sz w:val="24"/>
          <w:szCs w:val="20"/>
        </w:rPr>
        <w:t xml:space="preserve">This instrument is the </w:t>
      </w:r>
      <w:r w:rsidRPr="00C425F8">
        <w:rPr>
          <w:rFonts w:ascii="Times New Roman" w:eastAsia="Times New Roman" w:hAnsi="Times New Roman" w:cs="Times New Roman"/>
          <w:i/>
          <w:iCs/>
          <w:sz w:val="24"/>
          <w:szCs w:val="20"/>
        </w:rPr>
        <w:t>Motor Accident Injuries (Internal Review) Guidelines 2019.</w:t>
      </w:r>
    </w:p>
    <w:p w14:paraId="44100C02" w14:textId="77777777" w:rsidR="00C425F8" w:rsidRPr="00C425F8" w:rsidRDefault="00C425F8" w:rsidP="00C425F8">
      <w:pPr>
        <w:widowControl/>
        <w:autoSpaceDE/>
        <w:autoSpaceDN/>
        <w:spacing w:before="300"/>
        <w:ind w:left="720" w:hanging="720"/>
        <w:rPr>
          <w:rFonts w:eastAsia="Times New Roman"/>
          <w:b/>
          <w:bCs/>
          <w:sz w:val="24"/>
          <w:szCs w:val="20"/>
        </w:rPr>
      </w:pPr>
      <w:r w:rsidRPr="00C425F8">
        <w:rPr>
          <w:rFonts w:eastAsia="Times New Roman"/>
          <w:b/>
          <w:bCs/>
          <w:sz w:val="24"/>
          <w:szCs w:val="20"/>
        </w:rPr>
        <w:t>2</w:t>
      </w:r>
      <w:r w:rsidRPr="00C425F8">
        <w:rPr>
          <w:rFonts w:eastAsia="Times New Roman"/>
          <w:b/>
          <w:bCs/>
          <w:sz w:val="24"/>
          <w:szCs w:val="20"/>
        </w:rPr>
        <w:tab/>
        <w:t xml:space="preserve">Commencement </w:t>
      </w:r>
    </w:p>
    <w:p w14:paraId="36A97FF2" w14:textId="77777777" w:rsidR="00C425F8" w:rsidRPr="00C425F8" w:rsidRDefault="00C425F8" w:rsidP="00C425F8">
      <w:pPr>
        <w:widowControl/>
        <w:autoSpaceDE/>
        <w:autoSpaceDN/>
        <w:spacing w:before="140"/>
        <w:ind w:left="720"/>
        <w:rPr>
          <w:rFonts w:ascii="Times New Roman" w:eastAsia="Times New Roman" w:hAnsi="Times New Roman" w:cs="Times New Roman"/>
          <w:i/>
          <w:iCs/>
          <w:sz w:val="24"/>
          <w:szCs w:val="20"/>
        </w:rPr>
      </w:pPr>
      <w:r w:rsidRPr="00C425F8">
        <w:rPr>
          <w:rFonts w:ascii="Times New Roman" w:eastAsia="Times New Roman" w:hAnsi="Times New Roman" w:cs="Times New Roman"/>
          <w:sz w:val="24"/>
          <w:szCs w:val="20"/>
        </w:rPr>
        <w:t xml:space="preserve">This instrument commences on the commencement of the </w:t>
      </w:r>
      <w:r w:rsidRPr="00C425F8">
        <w:rPr>
          <w:rFonts w:ascii="Times New Roman" w:eastAsia="Times New Roman" w:hAnsi="Times New Roman" w:cs="Times New Roman"/>
          <w:i/>
          <w:iCs/>
          <w:sz w:val="24"/>
          <w:szCs w:val="20"/>
        </w:rPr>
        <w:t xml:space="preserve">Motor Accident Injuries Act 2019, </w:t>
      </w:r>
      <w:r w:rsidRPr="00C425F8">
        <w:rPr>
          <w:rFonts w:ascii="Times New Roman" w:eastAsia="Times New Roman" w:hAnsi="Times New Roman" w:cs="Times New Roman"/>
          <w:sz w:val="24"/>
          <w:szCs w:val="20"/>
        </w:rPr>
        <w:t>section 3</w:t>
      </w:r>
      <w:r w:rsidRPr="00C425F8">
        <w:rPr>
          <w:rFonts w:ascii="Times New Roman" w:eastAsia="Times New Roman" w:hAnsi="Times New Roman" w:cs="Times New Roman"/>
          <w:i/>
          <w:iCs/>
          <w:sz w:val="24"/>
          <w:szCs w:val="20"/>
        </w:rPr>
        <w:t xml:space="preserve">. </w:t>
      </w:r>
    </w:p>
    <w:p w14:paraId="1F9E2AE0" w14:textId="77777777" w:rsidR="00C425F8" w:rsidRPr="00C425F8" w:rsidRDefault="00C425F8" w:rsidP="00C425F8">
      <w:pPr>
        <w:widowControl/>
        <w:autoSpaceDE/>
        <w:autoSpaceDN/>
        <w:spacing w:before="300"/>
        <w:ind w:left="720" w:hanging="720"/>
        <w:rPr>
          <w:rFonts w:eastAsia="Times New Roman"/>
          <w:b/>
          <w:bCs/>
          <w:sz w:val="24"/>
          <w:szCs w:val="20"/>
        </w:rPr>
      </w:pPr>
      <w:r w:rsidRPr="00C425F8">
        <w:rPr>
          <w:rFonts w:eastAsia="Times New Roman"/>
          <w:b/>
          <w:bCs/>
          <w:sz w:val="24"/>
          <w:szCs w:val="20"/>
        </w:rPr>
        <w:t>3</w:t>
      </w:r>
      <w:r w:rsidRPr="00C425F8">
        <w:rPr>
          <w:rFonts w:eastAsia="Times New Roman"/>
          <w:b/>
          <w:bCs/>
          <w:sz w:val="24"/>
          <w:szCs w:val="20"/>
        </w:rPr>
        <w:tab/>
        <w:t>Guidelines</w:t>
      </w:r>
    </w:p>
    <w:p w14:paraId="11DFA38D" w14:textId="77777777" w:rsidR="00C425F8" w:rsidRPr="00C425F8" w:rsidRDefault="00C425F8" w:rsidP="00C425F8">
      <w:pPr>
        <w:widowControl/>
        <w:autoSpaceDE/>
        <w:autoSpaceDN/>
        <w:spacing w:before="300"/>
        <w:ind w:left="720" w:hanging="720"/>
        <w:rPr>
          <w:rFonts w:eastAsia="Times New Roman"/>
          <w:sz w:val="24"/>
          <w:szCs w:val="20"/>
        </w:rPr>
      </w:pPr>
      <w:r w:rsidRPr="00C425F8">
        <w:rPr>
          <w:rFonts w:eastAsia="Times New Roman"/>
          <w:b/>
          <w:bCs/>
          <w:sz w:val="24"/>
          <w:szCs w:val="20"/>
        </w:rPr>
        <w:tab/>
      </w:r>
      <w:r w:rsidRPr="00C425F8">
        <w:rPr>
          <w:rFonts w:ascii="Times New Roman" w:eastAsia="Times New Roman" w:hAnsi="Times New Roman" w:cs="Times New Roman"/>
          <w:sz w:val="24"/>
          <w:szCs w:val="20"/>
        </w:rPr>
        <w:t>I make the Internal Review guidelines attached to this instrument.</w:t>
      </w:r>
    </w:p>
    <w:p w14:paraId="4B921956" w14:textId="77777777" w:rsidR="00C425F8" w:rsidRPr="00C425F8" w:rsidRDefault="00C425F8" w:rsidP="00C425F8">
      <w:pPr>
        <w:widowControl/>
        <w:tabs>
          <w:tab w:val="left" w:pos="4320"/>
        </w:tabs>
        <w:autoSpaceDE/>
        <w:autoSpaceDN/>
        <w:rPr>
          <w:rFonts w:ascii="Times New Roman" w:eastAsia="Times New Roman" w:hAnsi="Times New Roman" w:cs="Times New Roman"/>
          <w:sz w:val="24"/>
          <w:szCs w:val="20"/>
        </w:rPr>
      </w:pPr>
    </w:p>
    <w:p w14:paraId="3EE2CC2A" w14:textId="77777777" w:rsidR="00C425F8" w:rsidRPr="00C425F8" w:rsidRDefault="00C425F8" w:rsidP="00C425F8">
      <w:pPr>
        <w:widowControl/>
        <w:tabs>
          <w:tab w:val="left" w:pos="4320"/>
        </w:tabs>
        <w:autoSpaceDE/>
        <w:autoSpaceDN/>
        <w:rPr>
          <w:rFonts w:ascii="Times New Roman" w:eastAsia="Times New Roman" w:hAnsi="Times New Roman" w:cs="Times New Roman"/>
          <w:sz w:val="24"/>
          <w:szCs w:val="20"/>
        </w:rPr>
      </w:pPr>
    </w:p>
    <w:p w14:paraId="1DBF2B85" w14:textId="77777777" w:rsidR="00C425F8" w:rsidRPr="00C425F8" w:rsidRDefault="00C425F8" w:rsidP="00C425F8">
      <w:pPr>
        <w:widowControl/>
        <w:tabs>
          <w:tab w:val="left" w:pos="4320"/>
        </w:tabs>
        <w:autoSpaceDE/>
        <w:autoSpaceDN/>
        <w:rPr>
          <w:rFonts w:ascii="Times New Roman" w:eastAsia="Times New Roman" w:hAnsi="Times New Roman" w:cs="Times New Roman"/>
          <w:sz w:val="24"/>
          <w:szCs w:val="20"/>
        </w:rPr>
      </w:pPr>
    </w:p>
    <w:p w14:paraId="49F55300" w14:textId="0B9F869B" w:rsidR="00C425F8" w:rsidRPr="00C425F8" w:rsidRDefault="00BF55C3" w:rsidP="00C425F8">
      <w:pPr>
        <w:widowControl/>
        <w:tabs>
          <w:tab w:val="left" w:pos="4320"/>
        </w:tabs>
        <w:autoSpaceDE/>
        <w:autoSpaceDN/>
        <w:rPr>
          <w:rFonts w:ascii="Times New Roman" w:eastAsia="Times New Roman" w:hAnsi="Times New Roman" w:cs="Times New Roman"/>
          <w:sz w:val="24"/>
          <w:szCs w:val="20"/>
        </w:rPr>
      </w:pPr>
      <w:r>
        <w:rPr>
          <w:rFonts w:ascii="Times New Roman" w:eastAsia="Times New Roman" w:hAnsi="Times New Roman" w:cs="Times New Roman"/>
          <w:sz w:val="24"/>
          <w:szCs w:val="20"/>
        </w:rPr>
        <w:t>Lisa Holmes</w:t>
      </w:r>
    </w:p>
    <w:p w14:paraId="637DFDFD" w14:textId="77777777" w:rsidR="00C425F8" w:rsidRPr="00C425F8" w:rsidRDefault="00C425F8" w:rsidP="00C425F8">
      <w:pPr>
        <w:widowControl/>
        <w:tabs>
          <w:tab w:val="left" w:pos="4320"/>
        </w:tabs>
        <w:autoSpaceDE/>
        <w:autoSpaceDN/>
        <w:rPr>
          <w:rFonts w:ascii="Times New Roman" w:eastAsia="Times New Roman" w:hAnsi="Times New Roman" w:cs="Times New Roman"/>
          <w:sz w:val="24"/>
          <w:szCs w:val="20"/>
        </w:rPr>
      </w:pPr>
      <w:r w:rsidRPr="00C425F8">
        <w:rPr>
          <w:rFonts w:ascii="Times New Roman" w:eastAsia="Times New Roman" w:hAnsi="Times New Roman" w:cs="Times New Roman"/>
          <w:sz w:val="24"/>
          <w:szCs w:val="20"/>
        </w:rPr>
        <w:t>MAI Commissioner</w:t>
      </w:r>
    </w:p>
    <w:bookmarkEnd w:id="0"/>
    <w:p w14:paraId="7385CEB0" w14:textId="77777777" w:rsidR="00C425F8" w:rsidRPr="00C425F8" w:rsidRDefault="00C425F8" w:rsidP="00C425F8">
      <w:pPr>
        <w:widowControl/>
        <w:tabs>
          <w:tab w:val="left" w:pos="4320"/>
        </w:tabs>
        <w:autoSpaceDE/>
        <w:autoSpaceDN/>
        <w:rPr>
          <w:rFonts w:ascii="Times New Roman" w:eastAsia="Times New Roman" w:hAnsi="Times New Roman" w:cs="Times New Roman"/>
          <w:sz w:val="24"/>
          <w:szCs w:val="20"/>
        </w:rPr>
      </w:pPr>
      <w:r w:rsidRPr="00C425F8">
        <w:rPr>
          <w:rFonts w:ascii="Times New Roman" w:eastAsia="Times New Roman" w:hAnsi="Times New Roman" w:cs="Times New Roman"/>
          <w:sz w:val="24"/>
          <w:szCs w:val="20"/>
        </w:rPr>
        <w:t>MAI Commission</w:t>
      </w:r>
    </w:p>
    <w:p w14:paraId="6F5738D6" w14:textId="77777777" w:rsidR="00C425F8" w:rsidRPr="00C425F8" w:rsidRDefault="00C425F8" w:rsidP="00C425F8">
      <w:pPr>
        <w:widowControl/>
        <w:tabs>
          <w:tab w:val="left" w:pos="4320"/>
        </w:tabs>
        <w:autoSpaceDE/>
        <w:autoSpaceDN/>
        <w:rPr>
          <w:rFonts w:ascii="Times New Roman" w:eastAsia="Times New Roman" w:hAnsi="Times New Roman" w:cs="Times New Roman"/>
          <w:sz w:val="24"/>
          <w:szCs w:val="20"/>
        </w:rPr>
      </w:pPr>
    </w:p>
    <w:p w14:paraId="002C502C" w14:textId="77777777" w:rsidR="00C425F8" w:rsidRPr="00C425F8" w:rsidRDefault="00C425F8" w:rsidP="00C425F8">
      <w:pPr>
        <w:widowControl/>
        <w:tabs>
          <w:tab w:val="left" w:pos="4320"/>
        </w:tabs>
        <w:autoSpaceDE/>
        <w:autoSpaceDN/>
        <w:rPr>
          <w:rFonts w:ascii="Times New Roman" w:eastAsia="Times New Roman" w:hAnsi="Times New Roman" w:cs="Times New Roman"/>
          <w:sz w:val="24"/>
          <w:szCs w:val="20"/>
        </w:rPr>
      </w:pPr>
      <w:r w:rsidRPr="00C425F8">
        <w:rPr>
          <w:rFonts w:ascii="Times New Roman" w:eastAsia="Times New Roman" w:hAnsi="Times New Roman" w:cs="Times New Roman"/>
          <w:sz w:val="24"/>
          <w:szCs w:val="20"/>
        </w:rPr>
        <w:t>31 October 2019</w:t>
      </w:r>
    </w:p>
    <w:p w14:paraId="7ADD45E7" w14:textId="5553A65A" w:rsidR="00C425F8" w:rsidRDefault="00C425F8" w:rsidP="00C425F8">
      <w:pPr>
        <w:pStyle w:val="Heading1"/>
        <w:tabs>
          <w:tab w:val="left" w:pos="468"/>
        </w:tabs>
        <w:spacing w:before="241"/>
        <w:rPr>
          <w:rFonts w:asciiTheme="minorHAnsi" w:hAnsiTheme="minorHAnsi" w:cstheme="minorHAnsi"/>
        </w:rPr>
        <w:sectPr w:rsidR="00C425F8" w:rsidSect="00C425F8">
          <w:headerReference w:type="even" r:id="rId8"/>
          <w:headerReference w:type="default" r:id="rId9"/>
          <w:footerReference w:type="even" r:id="rId10"/>
          <w:footerReference w:type="default" r:id="rId11"/>
          <w:headerReference w:type="first" r:id="rId12"/>
          <w:footerReference w:type="first" r:id="rId13"/>
          <w:pgSz w:w="11910" w:h="16840" w:code="9"/>
          <w:pgMar w:top="1440" w:right="1797" w:bottom="1440" w:left="1797" w:header="720" w:footer="720" w:gutter="0"/>
          <w:cols w:space="720"/>
          <w:titlePg/>
          <w:docGrid w:linePitch="299"/>
        </w:sectPr>
      </w:pPr>
    </w:p>
    <w:p w14:paraId="3DB084BB" w14:textId="31509127" w:rsidR="00C1169E" w:rsidRPr="00A02FB1" w:rsidRDefault="00C1169E" w:rsidP="009D4CFC">
      <w:pPr>
        <w:pStyle w:val="Heading1"/>
        <w:numPr>
          <w:ilvl w:val="0"/>
          <w:numId w:val="19"/>
        </w:numPr>
        <w:tabs>
          <w:tab w:val="left" w:pos="468"/>
        </w:tabs>
        <w:spacing w:before="241"/>
        <w:ind w:left="360"/>
        <w:jc w:val="left"/>
        <w:rPr>
          <w:rFonts w:asciiTheme="minorHAnsi" w:hAnsiTheme="minorHAnsi" w:cstheme="minorHAnsi"/>
        </w:rPr>
      </w:pPr>
      <w:r w:rsidRPr="00A02FB1">
        <w:rPr>
          <w:rFonts w:asciiTheme="minorHAnsi" w:hAnsiTheme="minorHAnsi" w:cstheme="minorHAnsi"/>
        </w:rPr>
        <w:lastRenderedPageBreak/>
        <w:t>INTRODUCTION</w:t>
      </w:r>
    </w:p>
    <w:p w14:paraId="47572288" w14:textId="727FDE91" w:rsidR="00C1169E" w:rsidRPr="008336C8" w:rsidRDefault="00C1169E" w:rsidP="009D4CFC">
      <w:pPr>
        <w:pStyle w:val="BodyText"/>
        <w:spacing w:before="240"/>
        <w:rPr>
          <w:rFonts w:ascii="Calibri" w:hAnsi="Calibri"/>
        </w:rPr>
      </w:pPr>
      <w:r w:rsidRPr="008336C8">
        <w:rPr>
          <w:rFonts w:ascii="Calibri" w:hAnsi="Calibri"/>
        </w:rPr>
        <w:t xml:space="preserve">The internal review guidelines (guidelines) are part of the MAI guidelines made under </w:t>
      </w:r>
      <w:r w:rsidRPr="009D3BC7">
        <w:rPr>
          <w:rFonts w:ascii="Calibri" w:hAnsi="Calibri"/>
        </w:rPr>
        <w:t xml:space="preserve">section 487 of the Motor Accident Injuries Act 2019 (MAI Act). The purpose of the guidelines is to </w:t>
      </w:r>
      <w:r w:rsidR="008336C8" w:rsidRPr="009D3BC7">
        <w:rPr>
          <w:rFonts w:ascii="Calibri" w:hAnsi="Calibri" w:cstheme="minorHAnsi"/>
        </w:rPr>
        <w:t xml:space="preserve">make provision for matters in relation to applications and </w:t>
      </w:r>
      <w:r w:rsidRPr="009D3BC7">
        <w:rPr>
          <w:rFonts w:ascii="Calibri" w:hAnsi="Calibri"/>
        </w:rPr>
        <w:t xml:space="preserve">provide advice about applications and the conduct of internal reviews for decisions about defined benefit </w:t>
      </w:r>
      <w:r w:rsidR="008336C8" w:rsidRPr="009D3BC7">
        <w:rPr>
          <w:rFonts w:ascii="Calibri" w:hAnsi="Calibri"/>
        </w:rPr>
        <w:t>entitlements</w:t>
      </w:r>
      <w:r w:rsidRPr="009D3BC7">
        <w:rPr>
          <w:rFonts w:ascii="Calibri" w:hAnsi="Calibri"/>
        </w:rPr>
        <w:t>.</w:t>
      </w:r>
    </w:p>
    <w:p w14:paraId="5503F2A9" w14:textId="2E8A6826" w:rsidR="00BC1882" w:rsidRPr="009D3BC7" w:rsidRDefault="00BC1882" w:rsidP="009D4CFC">
      <w:pPr>
        <w:pStyle w:val="BodyText"/>
        <w:spacing w:before="240"/>
        <w:rPr>
          <w:rFonts w:ascii="Calibri" w:hAnsi="Calibri" w:cstheme="minorHAnsi"/>
        </w:rPr>
      </w:pPr>
      <w:r w:rsidRPr="009D3BC7">
        <w:rPr>
          <w:rFonts w:ascii="Calibri" w:hAnsi="Calibri"/>
        </w:rPr>
        <w:t xml:space="preserve">An </w:t>
      </w:r>
      <w:r w:rsidR="003F191B" w:rsidRPr="009D3BC7">
        <w:rPr>
          <w:rFonts w:ascii="Calibri" w:hAnsi="Calibri"/>
        </w:rPr>
        <w:t>insure</w:t>
      </w:r>
      <w:r w:rsidRPr="009D3BC7">
        <w:rPr>
          <w:rFonts w:ascii="Calibri" w:hAnsi="Calibri"/>
        </w:rPr>
        <w:t>r’s</w:t>
      </w:r>
      <w:r w:rsidR="003F191B" w:rsidRPr="009D3BC7">
        <w:rPr>
          <w:rFonts w:ascii="Calibri" w:hAnsi="Calibri"/>
        </w:rPr>
        <w:t xml:space="preserve"> dut</w:t>
      </w:r>
      <w:r w:rsidR="00930D10" w:rsidRPr="009D3BC7">
        <w:rPr>
          <w:rFonts w:ascii="Calibri" w:hAnsi="Calibri"/>
        </w:rPr>
        <w:t>y to act in good faith</w:t>
      </w:r>
      <w:r w:rsidR="003F191B" w:rsidRPr="009D3BC7">
        <w:rPr>
          <w:rFonts w:ascii="Calibri" w:hAnsi="Calibri"/>
        </w:rPr>
        <w:t xml:space="preserve"> </w:t>
      </w:r>
      <w:r w:rsidR="008336C8" w:rsidRPr="009D3BC7">
        <w:rPr>
          <w:rFonts w:ascii="Calibri" w:hAnsi="Calibri"/>
        </w:rPr>
        <w:t xml:space="preserve">(see </w:t>
      </w:r>
      <w:r w:rsidR="003F191B" w:rsidRPr="009D3BC7">
        <w:rPr>
          <w:rFonts w:ascii="Calibri" w:hAnsi="Calibri"/>
        </w:rPr>
        <w:t>section 20 of the MAI Act</w:t>
      </w:r>
      <w:r w:rsidR="008336C8" w:rsidRPr="009D3BC7">
        <w:rPr>
          <w:rFonts w:ascii="Calibri" w:hAnsi="Calibri"/>
        </w:rPr>
        <w:t>)</w:t>
      </w:r>
      <w:r w:rsidRPr="009D3BC7">
        <w:rPr>
          <w:rFonts w:ascii="Calibri" w:hAnsi="Calibri"/>
        </w:rPr>
        <w:t xml:space="preserve"> include</w:t>
      </w:r>
      <w:r w:rsidR="00930D10" w:rsidRPr="009D3BC7">
        <w:rPr>
          <w:rFonts w:ascii="Calibri" w:hAnsi="Calibri"/>
        </w:rPr>
        <w:t xml:space="preserve">s a duty to </w:t>
      </w:r>
      <w:r w:rsidR="00930D10" w:rsidRPr="009D3BC7">
        <w:rPr>
          <w:rFonts w:ascii="Calibri" w:hAnsi="Calibri" w:cstheme="minorHAnsi"/>
        </w:rPr>
        <w:t>give an</w:t>
      </w:r>
      <w:r w:rsidR="003F191B" w:rsidRPr="009D3BC7">
        <w:rPr>
          <w:rFonts w:ascii="Calibri" w:hAnsi="Calibri" w:cstheme="minorHAnsi"/>
        </w:rPr>
        <w:t xml:space="preserve"> applicant written reasons for all decisions that have a material effect on an entitlement to defined benefits and to tell an applicant about the right of review of a decision of an insurer. An insurer should therefore have</w:t>
      </w:r>
      <w:r w:rsidR="00C657F5" w:rsidRPr="009D3BC7">
        <w:rPr>
          <w:rFonts w:ascii="Calibri" w:hAnsi="Calibri" w:cstheme="minorHAnsi"/>
        </w:rPr>
        <w:t xml:space="preserve"> their own</w:t>
      </w:r>
      <w:r w:rsidR="00B0439C" w:rsidRPr="009D3BC7">
        <w:rPr>
          <w:rFonts w:ascii="Calibri" w:hAnsi="Calibri" w:cstheme="minorHAnsi"/>
        </w:rPr>
        <w:t xml:space="preserve"> </w:t>
      </w:r>
      <w:r w:rsidR="003F191B" w:rsidRPr="009D3BC7">
        <w:rPr>
          <w:rFonts w:ascii="Calibri" w:hAnsi="Calibri" w:cstheme="minorHAnsi"/>
        </w:rPr>
        <w:t>proce</w:t>
      </w:r>
      <w:r w:rsidR="00DF3697" w:rsidRPr="009D3BC7">
        <w:rPr>
          <w:rFonts w:ascii="Calibri" w:hAnsi="Calibri" w:cstheme="minorHAnsi"/>
        </w:rPr>
        <w:t>dures</w:t>
      </w:r>
      <w:r w:rsidR="003F191B" w:rsidRPr="009D3BC7">
        <w:rPr>
          <w:rFonts w:ascii="Calibri" w:hAnsi="Calibri" w:cstheme="minorHAnsi"/>
        </w:rPr>
        <w:t xml:space="preserve"> to</w:t>
      </w:r>
      <w:r w:rsidR="0018493B" w:rsidRPr="009D3BC7">
        <w:rPr>
          <w:rFonts w:ascii="Calibri" w:hAnsi="Calibri" w:cstheme="minorHAnsi"/>
        </w:rPr>
        <w:t xml:space="preserve"> identify and</w:t>
      </w:r>
      <w:r w:rsidR="003F191B" w:rsidRPr="009D3BC7">
        <w:rPr>
          <w:rFonts w:ascii="Calibri" w:hAnsi="Calibri" w:cstheme="minorHAnsi"/>
        </w:rPr>
        <w:t xml:space="preserve"> provide reason</w:t>
      </w:r>
      <w:r w:rsidR="00B0439C" w:rsidRPr="009D3BC7">
        <w:rPr>
          <w:rFonts w:ascii="Calibri" w:hAnsi="Calibri" w:cstheme="minorHAnsi"/>
        </w:rPr>
        <w:t>s</w:t>
      </w:r>
      <w:r w:rsidR="003F191B" w:rsidRPr="009D3BC7">
        <w:rPr>
          <w:rFonts w:ascii="Calibri" w:hAnsi="Calibri" w:cstheme="minorHAnsi"/>
        </w:rPr>
        <w:t xml:space="preserve"> for </w:t>
      </w:r>
      <w:r w:rsidR="00B0439C" w:rsidRPr="009D3BC7">
        <w:rPr>
          <w:rFonts w:ascii="Calibri" w:hAnsi="Calibri" w:cstheme="minorHAnsi"/>
        </w:rPr>
        <w:t xml:space="preserve">all </w:t>
      </w:r>
      <w:r w:rsidR="003F191B" w:rsidRPr="009D3BC7">
        <w:rPr>
          <w:rFonts w:ascii="Calibri" w:hAnsi="Calibri" w:cstheme="minorHAnsi"/>
        </w:rPr>
        <w:t>internally reviewable decision</w:t>
      </w:r>
      <w:r w:rsidR="00B0439C" w:rsidRPr="009D3BC7">
        <w:rPr>
          <w:rFonts w:ascii="Calibri" w:hAnsi="Calibri" w:cstheme="minorHAnsi"/>
        </w:rPr>
        <w:t>s</w:t>
      </w:r>
      <w:r w:rsidR="00301A83" w:rsidRPr="009D3BC7">
        <w:rPr>
          <w:rFonts w:ascii="Calibri" w:hAnsi="Calibri" w:cstheme="minorHAnsi"/>
        </w:rPr>
        <w:t xml:space="preserve"> not made in an applicant</w:t>
      </w:r>
      <w:r w:rsidR="00930D10" w:rsidRPr="009D3BC7">
        <w:rPr>
          <w:rFonts w:ascii="Calibri" w:hAnsi="Calibri" w:cstheme="minorHAnsi"/>
        </w:rPr>
        <w:t>’s</w:t>
      </w:r>
      <w:r w:rsidR="00301A83" w:rsidRPr="009D3BC7">
        <w:rPr>
          <w:rFonts w:ascii="Calibri" w:hAnsi="Calibri" w:cstheme="minorHAnsi"/>
        </w:rPr>
        <w:t xml:space="preserve"> favour,</w:t>
      </w:r>
      <w:r w:rsidR="003F191B" w:rsidRPr="009D3BC7">
        <w:rPr>
          <w:rFonts w:ascii="Calibri" w:hAnsi="Calibri" w:cstheme="minorHAnsi"/>
        </w:rPr>
        <w:t xml:space="preserve"> </w:t>
      </w:r>
      <w:r w:rsidR="00B0439C" w:rsidRPr="009D3BC7">
        <w:rPr>
          <w:rFonts w:ascii="Calibri" w:hAnsi="Calibri" w:cstheme="minorHAnsi"/>
        </w:rPr>
        <w:t>and to inform applicants about</w:t>
      </w:r>
      <w:r w:rsidR="00A726A3" w:rsidRPr="009D3BC7">
        <w:rPr>
          <w:rFonts w:ascii="Calibri" w:hAnsi="Calibri" w:cstheme="minorHAnsi"/>
        </w:rPr>
        <w:t xml:space="preserve"> seek</w:t>
      </w:r>
      <w:r w:rsidR="006A604C" w:rsidRPr="009D3BC7">
        <w:rPr>
          <w:rFonts w:ascii="Calibri" w:hAnsi="Calibri" w:cstheme="minorHAnsi"/>
        </w:rPr>
        <w:t>ing</w:t>
      </w:r>
      <w:r w:rsidR="00B0439C" w:rsidRPr="009D3BC7">
        <w:rPr>
          <w:rFonts w:ascii="Calibri" w:hAnsi="Calibri" w:cstheme="minorHAnsi"/>
        </w:rPr>
        <w:t xml:space="preserve"> an internal review of an internally reviewable decision. </w:t>
      </w:r>
    </w:p>
    <w:p w14:paraId="1BFB11B7" w14:textId="1664FC34" w:rsidR="00C1169E" w:rsidRPr="00A02FB1" w:rsidRDefault="00C1169E" w:rsidP="009D4CFC">
      <w:pPr>
        <w:pStyle w:val="BodyText"/>
        <w:spacing w:before="240"/>
        <w:rPr>
          <w:rFonts w:asciiTheme="minorHAnsi" w:hAnsiTheme="minorHAnsi" w:cstheme="minorHAnsi"/>
        </w:rPr>
      </w:pPr>
      <w:r w:rsidRPr="009D3BC7">
        <w:rPr>
          <w:rFonts w:ascii="Calibri" w:hAnsi="Calibri" w:cstheme="minorHAnsi"/>
        </w:rPr>
        <w:t>The</w:t>
      </w:r>
      <w:r w:rsidR="00BC1882" w:rsidRPr="009D3BC7">
        <w:rPr>
          <w:rFonts w:ascii="Calibri" w:hAnsi="Calibri" w:cstheme="minorHAnsi"/>
        </w:rPr>
        <w:t>se</w:t>
      </w:r>
      <w:r w:rsidR="00301A83" w:rsidRPr="009D3BC7">
        <w:rPr>
          <w:rFonts w:ascii="Calibri" w:hAnsi="Calibri" w:cstheme="minorHAnsi"/>
        </w:rPr>
        <w:t xml:space="preserve"> guidelines </w:t>
      </w:r>
      <w:r w:rsidRPr="009D3BC7">
        <w:rPr>
          <w:rFonts w:ascii="Calibri" w:hAnsi="Calibri" w:cstheme="minorHAnsi"/>
        </w:rPr>
        <w:t>are</w:t>
      </w:r>
      <w:r w:rsidR="004F4E17" w:rsidRPr="009D3BC7">
        <w:rPr>
          <w:rFonts w:ascii="Calibri" w:hAnsi="Calibri" w:cstheme="minorHAnsi"/>
        </w:rPr>
        <w:t xml:space="preserve"> </w:t>
      </w:r>
      <w:r w:rsidR="008336C8" w:rsidRPr="009D3BC7">
        <w:rPr>
          <w:rFonts w:ascii="Calibri" w:hAnsi="Calibri" w:cstheme="minorHAnsi"/>
        </w:rPr>
        <w:t xml:space="preserve">not </w:t>
      </w:r>
      <w:r w:rsidRPr="009D3BC7">
        <w:rPr>
          <w:rFonts w:ascii="Calibri" w:hAnsi="Calibri" w:cstheme="minorHAnsi"/>
        </w:rPr>
        <w:t xml:space="preserve">intended to </w:t>
      </w:r>
      <w:r w:rsidR="008336C8" w:rsidRPr="009D3BC7">
        <w:rPr>
          <w:rFonts w:ascii="Calibri" w:hAnsi="Calibri" w:cstheme="minorHAnsi"/>
        </w:rPr>
        <w:t xml:space="preserve">be exhaustive. Internal review is to </w:t>
      </w:r>
      <w:r w:rsidRPr="009D3BC7">
        <w:rPr>
          <w:rFonts w:ascii="Calibri" w:hAnsi="Calibri" w:cstheme="minorHAnsi"/>
        </w:rPr>
        <w:t>operate together with other procedures</w:t>
      </w:r>
      <w:r w:rsidRPr="009D3BC7">
        <w:rPr>
          <w:rFonts w:asciiTheme="minorHAnsi" w:hAnsiTheme="minorHAnsi" w:cstheme="minorHAnsi"/>
        </w:rPr>
        <w:t xml:space="preserve"> an insurer has in place to manage complaints as part of the </w:t>
      </w:r>
      <w:r w:rsidR="008336C8" w:rsidRPr="009D3BC7">
        <w:rPr>
          <w:rFonts w:asciiTheme="minorHAnsi" w:hAnsiTheme="minorHAnsi" w:cstheme="minorHAnsi"/>
        </w:rPr>
        <w:t xml:space="preserve">insurer’s </w:t>
      </w:r>
      <w:r w:rsidRPr="009D3BC7">
        <w:rPr>
          <w:rFonts w:asciiTheme="minorHAnsi" w:hAnsiTheme="minorHAnsi" w:cstheme="minorHAnsi"/>
        </w:rPr>
        <w:t>MAI licen</w:t>
      </w:r>
      <w:r w:rsidR="008336C8" w:rsidRPr="009D3BC7">
        <w:rPr>
          <w:rFonts w:asciiTheme="minorHAnsi" w:hAnsiTheme="minorHAnsi" w:cstheme="minorHAnsi"/>
        </w:rPr>
        <w:t>ce</w:t>
      </w:r>
      <w:r w:rsidRPr="009D3BC7">
        <w:rPr>
          <w:rFonts w:asciiTheme="minorHAnsi" w:hAnsiTheme="minorHAnsi" w:cstheme="minorHAnsi"/>
        </w:rPr>
        <w:t>. The adoption of simple and accessible arrangements by an insurer for the making of complaints, together with timely responses or resolution, may avoid a person needing to apply for an internal review of a</w:t>
      </w:r>
      <w:r w:rsidRPr="009D3BC7">
        <w:rPr>
          <w:rFonts w:asciiTheme="minorHAnsi" w:hAnsiTheme="minorHAnsi" w:cstheme="minorHAnsi"/>
          <w:spacing w:val="-4"/>
        </w:rPr>
        <w:t xml:space="preserve"> </w:t>
      </w:r>
      <w:r w:rsidRPr="009D3BC7">
        <w:rPr>
          <w:rFonts w:asciiTheme="minorHAnsi" w:hAnsiTheme="minorHAnsi" w:cstheme="minorHAnsi"/>
        </w:rPr>
        <w:t>decision.</w:t>
      </w:r>
    </w:p>
    <w:p w14:paraId="70FD99CF" w14:textId="77777777" w:rsidR="00C1169E" w:rsidRPr="00A02FB1" w:rsidRDefault="00C1169E" w:rsidP="009D3BC7">
      <w:pPr>
        <w:pStyle w:val="Heading1"/>
        <w:numPr>
          <w:ilvl w:val="0"/>
          <w:numId w:val="19"/>
        </w:numPr>
        <w:tabs>
          <w:tab w:val="left" w:pos="468"/>
        </w:tabs>
        <w:spacing w:before="240"/>
        <w:ind w:left="360"/>
        <w:jc w:val="left"/>
        <w:rPr>
          <w:rFonts w:asciiTheme="minorHAnsi" w:hAnsiTheme="minorHAnsi" w:cstheme="minorHAnsi"/>
        </w:rPr>
      </w:pPr>
      <w:r w:rsidRPr="00A02FB1">
        <w:rPr>
          <w:rFonts w:asciiTheme="minorHAnsi" w:hAnsiTheme="minorHAnsi" w:cstheme="minorHAnsi"/>
        </w:rPr>
        <w:t>STATUTORY</w:t>
      </w:r>
      <w:r w:rsidRPr="00A02FB1">
        <w:rPr>
          <w:rFonts w:asciiTheme="minorHAnsi" w:hAnsiTheme="minorHAnsi" w:cstheme="minorHAnsi"/>
          <w:spacing w:val="-3"/>
        </w:rPr>
        <w:t xml:space="preserve"> </w:t>
      </w:r>
      <w:r w:rsidRPr="00A02FB1">
        <w:rPr>
          <w:rFonts w:asciiTheme="minorHAnsi" w:hAnsiTheme="minorHAnsi" w:cstheme="minorHAnsi"/>
        </w:rPr>
        <w:t>FRAMEWORK</w:t>
      </w:r>
    </w:p>
    <w:p w14:paraId="1AB6757F" w14:textId="7FB47C23" w:rsidR="00C1169E" w:rsidRPr="00A02FB1" w:rsidRDefault="00C1169E" w:rsidP="009D4CFC">
      <w:pPr>
        <w:pStyle w:val="BodyText"/>
        <w:spacing w:before="240"/>
        <w:rPr>
          <w:rFonts w:asciiTheme="minorHAnsi" w:hAnsiTheme="minorHAnsi" w:cstheme="minorHAnsi"/>
        </w:rPr>
      </w:pPr>
      <w:r w:rsidRPr="00A02FB1">
        <w:rPr>
          <w:rFonts w:asciiTheme="minorHAnsi" w:hAnsiTheme="minorHAnsi" w:cstheme="minorHAnsi"/>
        </w:rPr>
        <w:t>Division 2.10.2 of the MAI Act enables a person to apply for the internal review of a decision the insurer has made about an application for defined benefits. A table detailing</w:t>
      </w:r>
      <w:r w:rsidR="003F1696" w:rsidRPr="00A02FB1">
        <w:rPr>
          <w:rFonts w:asciiTheme="minorHAnsi" w:hAnsiTheme="minorHAnsi" w:cstheme="minorHAnsi"/>
        </w:rPr>
        <w:t xml:space="preserve"> the</w:t>
      </w:r>
      <w:r w:rsidRPr="00A02FB1">
        <w:rPr>
          <w:rFonts w:asciiTheme="minorHAnsi" w:hAnsiTheme="minorHAnsi" w:cstheme="minorHAnsi"/>
        </w:rPr>
        <w:t xml:space="preserve"> decisions that are internally reviewable decisions is set out in Part 1.1, Schedule 1 of the MAI Act. </w:t>
      </w:r>
      <w:r w:rsidR="009D3BC7">
        <w:rPr>
          <w:rFonts w:asciiTheme="minorHAnsi" w:hAnsiTheme="minorHAnsi" w:cstheme="minorHAnsi"/>
        </w:rPr>
        <w:t>A r</w:t>
      </w:r>
      <w:r w:rsidRPr="00A02FB1">
        <w:rPr>
          <w:rFonts w:asciiTheme="minorHAnsi" w:hAnsiTheme="minorHAnsi" w:cstheme="minorHAnsi"/>
        </w:rPr>
        <w:t>egulation may also prescribe decisions that are internally reviewable decisions. The table covers a range of decisions an insurer must make in relation to an application for defined benefits including about accepting liability for an application, assessing entitlements to defined benefits such as treatment and care expenses and calculating the amount of any defined</w:t>
      </w:r>
      <w:r w:rsidRPr="00A02FB1">
        <w:rPr>
          <w:rFonts w:asciiTheme="minorHAnsi" w:hAnsiTheme="minorHAnsi" w:cstheme="minorHAnsi"/>
          <w:spacing w:val="-2"/>
        </w:rPr>
        <w:t xml:space="preserve"> </w:t>
      </w:r>
      <w:r w:rsidRPr="00A02FB1">
        <w:rPr>
          <w:rFonts w:asciiTheme="minorHAnsi" w:hAnsiTheme="minorHAnsi" w:cstheme="minorHAnsi"/>
        </w:rPr>
        <w:t>benefit.</w:t>
      </w:r>
    </w:p>
    <w:p w14:paraId="24A87DDB" w14:textId="77777777" w:rsidR="00C1169E" w:rsidRPr="00A02FB1" w:rsidRDefault="00C1169E" w:rsidP="009D4CFC">
      <w:pPr>
        <w:pStyle w:val="BodyText"/>
        <w:spacing w:before="240"/>
        <w:rPr>
          <w:rFonts w:asciiTheme="minorHAnsi" w:hAnsiTheme="minorHAnsi" w:cstheme="minorHAnsi"/>
        </w:rPr>
      </w:pPr>
      <w:r w:rsidRPr="00A02FB1">
        <w:rPr>
          <w:rFonts w:asciiTheme="minorHAnsi" w:hAnsiTheme="minorHAnsi" w:cstheme="minorHAnsi"/>
        </w:rPr>
        <w:t>MAI guidelines may make provision for the period to make a late application for an internal review, applications for and the conduct of the internal review, and circumstances for extending the period to make a review decision.</w:t>
      </w:r>
    </w:p>
    <w:p w14:paraId="2D9AAD6A" w14:textId="77777777" w:rsidR="00C1169E" w:rsidRPr="00A02FB1" w:rsidRDefault="00C1169E" w:rsidP="009D4CFC">
      <w:pPr>
        <w:pStyle w:val="BodyText"/>
        <w:spacing w:before="240"/>
        <w:rPr>
          <w:rFonts w:asciiTheme="minorHAnsi" w:hAnsiTheme="minorHAnsi" w:cstheme="minorHAnsi"/>
        </w:rPr>
      </w:pPr>
      <w:r w:rsidRPr="00A02FB1">
        <w:rPr>
          <w:rFonts w:asciiTheme="minorHAnsi" w:hAnsiTheme="minorHAnsi" w:cstheme="minorHAnsi"/>
        </w:rPr>
        <w:t>The legislative framework for the internal review of decisions about defined benefit includes:</w:t>
      </w:r>
    </w:p>
    <w:p w14:paraId="4A4A1844" w14:textId="77777777" w:rsidR="00C1169E" w:rsidRPr="00A02FB1" w:rsidRDefault="00C1169E" w:rsidP="009D4CFC">
      <w:pPr>
        <w:pStyle w:val="ListParagraph"/>
        <w:numPr>
          <w:ilvl w:val="1"/>
          <w:numId w:val="19"/>
        </w:numPr>
        <w:tabs>
          <w:tab w:val="left" w:pos="1691"/>
          <w:tab w:val="left" w:pos="1692"/>
        </w:tabs>
        <w:spacing w:before="120"/>
        <w:ind w:hanging="699"/>
        <w:rPr>
          <w:rFonts w:asciiTheme="minorHAnsi" w:hAnsiTheme="minorHAnsi" w:cstheme="minorHAnsi"/>
          <w:sz w:val="24"/>
          <w:szCs w:val="24"/>
        </w:rPr>
      </w:pPr>
      <w:r w:rsidRPr="00A02FB1">
        <w:rPr>
          <w:rFonts w:asciiTheme="minorHAnsi" w:hAnsiTheme="minorHAnsi" w:cstheme="minorHAnsi"/>
          <w:sz w:val="24"/>
          <w:szCs w:val="24"/>
        </w:rPr>
        <w:t>the MAI</w:t>
      </w:r>
      <w:r w:rsidRPr="00A02FB1">
        <w:rPr>
          <w:rFonts w:asciiTheme="minorHAnsi" w:hAnsiTheme="minorHAnsi" w:cstheme="minorHAnsi"/>
          <w:spacing w:val="-1"/>
          <w:sz w:val="24"/>
          <w:szCs w:val="24"/>
        </w:rPr>
        <w:t xml:space="preserve"> </w:t>
      </w:r>
      <w:r w:rsidRPr="00A02FB1">
        <w:rPr>
          <w:rFonts w:asciiTheme="minorHAnsi" w:hAnsiTheme="minorHAnsi" w:cstheme="minorHAnsi"/>
          <w:sz w:val="24"/>
          <w:szCs w:val="24"/>
        </w:rPr>
        <w:t>Act;</w:t>
      </w:r>
    </w:p>
    <w:p w14:paraId="1791B5A8" w14:textId="77777777" w:rsidR="00C1169E" w:rsidRPr="00A02FB1" w:rsidRDefault="00C1169E" w:rsidP="00110B79">
      <w:pPr>
        <w:pStyle w:val="ListParagraph"/>
        <w:numPr>
          <w:ilvl w:val="1"/>
          <w:numId w:val="19"/>
        </w:numPr>
        <w:tabs>
          <w:tab w:val="left" w:pos="1691"/>
          <w:tab w:val="left" w:pos="1692"/>
        </w:tabs>
        <w:spacing w:before="21"/>
        <w:ind w:hanging="699"/>
        <w:rPr>
          <w:rFonts w:asciiTheme="minorHAnsi" w:hAnsiTheme="minorHAnsi" w:cstheme="minorHAnsi"/>
          <w:sz w:val="24"/>
          <w:szCs w:val="24"/>
        </w:rPr>
      </w:pPr>
      <w:r w:rsidRPr="00A02FB1">
        <w:rPr>
          <w:rFonts w:asciiTheme="minorHAnsi" w:hAnsiTheme="minorHAnsi" w:cstheme="minorHAnsi"/>
          <w:sz w:val="24"/>
          <w:szCs w:val="24"/>
        </w:rPr>
        <w:t>the Motor Accident Injuries Regulation 2019 (the Regulation);</w:t>
      </w:r>
      <w:r w:rsidRPr="00A02FB1">
        <w:rPr>
          <w:rFonts w:asciiTheme="minorHAnsi" w:hAnsiTheme="minorHAnsi" w:cstheme="minorHAnsi"/>
          <w:spacing w:val="-11"/>
          <w:sz w:val="24"/>
          <w:szCs w:val="24"/>
        </w:rPr>
        <w:t xml:space="preserve"> </w:t>
      </w:r>
      <w:r w:rsidRPr="00A02FB1">
        <w:rPr>
          <w:rFonts w:asciiTheme="minorHAnsi" w:hAnsiTheme="minorHAnsi" w:cstheme="minorHAnsi"/>
          <w:sz w:val="24"/>
          <w:szCs w:val="24"/>
        </w:rPr>
        <w:t>and</w:t>
      </w:r>
    </w:p>
    <w:p w14:paraId="4BF2B669" w14:textId="52E57571" w:rsidR="00C1169E" w:rsidRPr="00A02FB1" w:rsidRDefault="00C1169E" w:rsidP="00110B79">
      <w:pPr>
        <w:pStyle w:val="ListParagraph"/>
        <w:numPr>
          <w:ilvl w:val="1"/>
          <w:numId w:val="19"/>
        </w:numPr>
        <w:tabs>
          <w:tab w:val="left" w:pos="1691"/>
          <w:tab w:val="left" w:pos="1692"/>
        </w:tabs>
        <w:spacing w:before="20"/>
        <w:ind w:hanging="699"/>
        <w:rPr>
          <w:rFonts w:asciiTheme="minorHAnsi" w:hAnsiTheme="minorHAnsi" w:cstheme="minorHAnsi"/>
          <w:sz w:val="24"/>
          <w:szCs w:val="24"/>
        </w:rPr>
      </w:pPr>
      <w:r w:rsidRPr="00A02FB1">
        <w:rPr>
          <w:rFonts w:asciiTheme="minorHAnsi" w:hAnsiTheme="minorHAnsi" w:cstheme="minorHAnsi"/>
          <w:sz w:val="24"/>
          <w:szCs w:val="24"/>
        </w:rPr>
        <w:t>these</w:t>
      </w:r>
      <w:r w:rsidRPr="00A02FB1">
        <w:rPr>
          <w:rFonts w:asciiTheme="minorHAnsi" w:hAnsiTheme="minorHAnsi" w:cstheme="minorHAnsi"/>
          <w:spacing w:val="-2"/>
          <w:sz w:val="24"/>
          <w:szCs w:val="24"/>
        </w:rPr>
        <w:t xml:space="preserve"> </w:t>
      </w:r>
      <w:r w:rsidRPr="00A02FB1">
        <w:rPr>
          <w:rFonts w:asciiTheme="minorHAnsi" w:hAnsiTheme="minorHAnsi" w:cstheme="minorHAnsi"/>
          <w:sz w:val="24"/>
          <w:szCs w:val="24"/>
        </w:rPr>
        <w:t>Guidelines.</w:t>
      </w:r>
    </w:p>
    <w:p w14:paraId="47D745FE" w14:textId="2B494D85" w:rsidR="009D3BC7" w:rsidRDefault="009D3BC7" w:rsidP="009D3BC7">
      <w:pPr>
        <w:pStyle w:val="ListParagraph"/>
        <w:tabs>
          <w:tab w:val="left" w:pos="1691"/>
          <w:tab w:val="left" w:pos="1692"/>
        </w:tabs>
        <w:spacing w:before="20"/>
        <w:ind w:left="1692" w:firstLine="0"/>
        <w:rPr>
          <w:rFonts w:asciiTheme="minorHAnsi" w:hAnsiTheme="minorHAnsi" w:cstheme="minorHAnsi"/>
          <w:sz w:val="24"/>
          <w:szCs w:val="24"/>
        </w:rPr>
      </w:pPr>
      <w:r>
        <w:rPr>
          <w:rFonts w:asciiTheme="minorHAnsi" w:hAnsiTheme="minorHAnsi" w:cstheme="minorHAnsi"/>
          <w:sz w:val="24"/>
          <w:szCs w:val="24"/>
        </w:rPr>
        <w:br w:type="page"/>
      </w:r>
    </w:p>
    <w:p w14:paraId="514DBD70" w14:textId="77777777" w:rsidR="00C1169E" w:rsidRPr="00A02FB1" w:rsidRDefault="00C1169E" w:rsidP="009D4CFC">
      <w:pPr>
        <w:pStyle w:val="Heading1"/>
        <w:numPr>
          <w:ilvl w:val="0"/>
          <w:numId w:val="19"/>
        </w:numPr>
        <w:tabs>
          <w:tab w:val="left" w:pos="610"/>
        </w:tabs>
        <w:ind w:left="360"/>
        <w:jc w:val="left"/>
        <w:rPr>
          <w:rFonts w:asciiTheme="minorHAnsi" w:hAnsiTheme="minorHAnsi" w:cstheme="minorHAnsi"/>
        </w:rPr>
      </w:pPr>
      <w:r w:rsidRPr="00A02FB1">
        <w:rPr>
          <w:rFonts w:asciiTheme="minorHAnsi" w:hAnsiTheme="minorHAnsi" w:cstheme="minorHAnsi"/>
        </w:rPr>
        <w:lastRenderedPageBreak/>
        <w:t>GUIDELINES – Late applications – (Section</w:t>
      </w:r>
      <w:r w:rsidRPr="00A02FB1">
        <w:rPr>
          <w:rFonts w:asciiTheme="minorHAnsi" w:hAnsiTheme="minorHAnsi" w:cstheme="minorHAnsi"/>
          <w:spacing w:val="-3"/>
        </w:rPr>
        <w:t xml:space="preserve"> </w:t>
      </w:r>
      <w:r w:rsidRPr="00A02FB1">
        <w:rPr>
          <w:rFonts w:asciiTheme="minorHAnsi" w:hAnsiTheme="minorHAnsi" w:cstheme="minorHAnsi"/>
        </w:rPr>
        <w:t>187)</w:t>
      </w:r>
    </w:p>
    <w:p w14:paraId="52BF2356" w14:textId="737D2756" w:rsidR="006511AB" w:rsidRPr="00A02FB1" w:rsidRDefault="008336C8" w:rsidP="009D4CFC">
      <w:pPr>
        <w:pStyle w:val="BodyText"/>
        <w:spacing w:before="240"/>
        <w:rPr>
          <w:rFonts w:asciiTheme="minorHAnsi" w:hAnsiTheme="minorHAnsi" w:cstheme="minorHAnsi"/>
        </w:rPr>
      </w:pPr>
      <w:r>
        <w:rPr>
          <w:rFonts w:asciiTheme="minorHAnsi" w:hAnsiTheme="minorHAnsi" w:cstheme="minorHAnsi"/>
          <w:b/>
          <w:bCs/>
        </w:rPr>
        <w:t xml:space="preserve">3.1  </w:t>
      </w:r>
      <w:r w:rsidR="00C1169E" w:rsidRPr="00A02FB1">
        <w:rPr>
          <w:rFonts w:asciiTheme="minorHAnsi" w:hAnsiTheme="minorHAnsi" w:cstheme="minorHAnsi"/>
        </w:rPr>
        <w:t>Subsection 187(3) of the MAI Act allows a late application for the internal review of a decision to be made after 28 days from the date of an internally reviewable decision, if the applicant satisfies an insurer that they have a full and satisfactory explanation for the delay and the guidelines provide for the late application to be made within a longer period.  The late application must then be made within the longer period.</w:t>
      </w:r>
    </w:p>
    <w:p w14:paraId="5DE5D908" w14:textId="03E140BC" w:rsidR="00C1169E" w:rsidRPr="00A02FB1" w:rsidRDefault="008336C8" w:rsidP="009D4CFC">
      <w:pPr>
        <w:pStyle w:val="BodyText"/>
        <w:spacing w:before="240"/>
        <w:rPr>
          <w:rFonts w:asciiTheme="minorHAnsi" w:hAnsiTheme="minorHAnsi" w:cstheme="minorHAnsi"/>
        </w:rPr>
      </w:pPr>
      <w:r>
        <w:rPr>
          <w:rFonts w:asciiTheme="minorHAnsi" w:hAnsiTheme="minorHAnsi" w:cstheme="minorHAnsi"/>
          <w:b/>
          <w:bCs/>
        </w:rPr>
        <w:t xml:space="preserve">3.2  </w:t>
      </w:r>
      <w:r w:rsidR="00C1169E" w:rsidRPr="00A02FB1">
        <w:rPr>
          <w:rFonts w:asciiTheme="minorHAnsi" w:hAnsiTheme="minorHAnsi" w:cstheme="minorHAnsi"/>
        </w:rPr>
        <w:t xml:space="preserve">These guidelines specify the longer period as 14 days, after an insurer </w:t>
      </w:r>
      <w:r w:rsidR="00734CFA" w:rsidRPr="00A02FB1">
        <w:rPr>
          <w:rFonts w:asciiTheme="minorHAnsi" w:hAnsiTheme="minorHAnsi" w:cstheme="minorHAnsi"/>
        </w:rPr>
        <w:t xml:space="preserve">makes a decision that given the full and satisfactory explanation and the circumstances of the delay that </w:t>
      </w:r>
      <w:r w:rsidR="00C1169E" w:rsidRPr="00A02FB1">
        <w:rPr>
          <w:rFonts w:asciiTheme="minorHAnsi" w:hAnsiTheme="minorHAnsi" w:cstheme="minorHAnsi"/>
        </w:rPr>
        <w:t xml:space="preserve">a longer period </w:t>
      </w:r>
      <w:r w:rsidR="00734CFA" w:rsidRPr="00A02FB1">
        <w:rPr>
          <w:rFonts w:asciiTheme="minorHAnsi" w:hAnsiTheme="minorHAnsi" w:cstheme="minorHAnsi"/>
        </w:rPr>
        <w:t>should apply</w:t>
      </w:r>
      <w:r w:rsidR="00C1169E" w:rsidRPr="00A02FB1">
        <w:rPr>
          <w:rFonts w:asciiTheme="minorHAnsi" w:hAnsiTheme="minorHAnsi" w:cstheme="minorHAnsi"/>
        </w:rPr>
        <w:t>.</w:t>
      </w:r>
    </w:p>
    <w:p w14:paraId="5E9BEFDE" w14:textId="1DC63CCE" w:rsidR="00C1169E" w:rsidRPr="00A02FB1" w:rsidRDefault="008336C8" w:rsidP="009D4CFC">
      <w:pPr>
        <w:pStyle w:val="BodyText"/>
        <w:spacing w:before="240"/>
        <w:rPr>
          <w:rFonts w:asciiTheme="minorHAnsi" w:hAnsiTheme="minorHAnsi" w:cstheme="minorHAnsi"/>
        </w:rPr>
      </w:pPr>
      <w:r>
        <w:rPr>
          <w:rFonts w:asciiTheme="minorHAnsi" w:hAnsiTheme="minorHAnsi" w:cstheme="minorHAnsi"/>
          <w:b/>
          <w:bCs/>
        </w:rPr>
        <w:t xml:space="preserve">3.3  </w:t>
      </w:r>
      <w:r w:rsidR="00C1169E" w:rsidRPr="00A02FB1">
        <w:rPr>
          <w:rFonts w:asciiTheme="minorHAnsi" w:hAnsiTheme="minorHAnsi" w:cstheme="minorHAnsi"/>
        </w:rPr>
        <w:t>The longer period should only apply if the full and satisfactory explanation for the delay is consistent with the main objects of the MAI Act, such as the object to promote and encourage the quick, cost effective and just resolution of disputes.</w:t>
      </w:r>
    </w:p>
    <w:p w14:paraId="10E1E449" w14:textId="6F47A239" w:rsidR="00C1169E" w:rsidRPr="00A02FB1" w:rsidRDefault="008336C8" w:rsidP="009D4CFC">
      <w:pPr>
        <w:pStyle w:val="BodyText"/>
        <w:spacing w:before="240"/>
        <w:rPr>
          <w:rFonts w:asciiTheme="minorHAnsi" w:hAnsiTheme="minorHAnsi" w:cstheme="minorHAnsi"/>
        </w:rPr>
      </w:pPr>
      <w:r>
        <w:rPr>
          <w:rFonts w:asciiTheme="minorHAnsi" w:hAnsiTheme="minorHAnsi" w:cstheme="minorHAnsi"/>
          <w:b/>
          <w:bCs/>
        </w:rPr>
        <w:t xml:space="preserve">3.4  </w:t>
      </w:r>
      <w:r w:rsidR="00C1169E" w:rsidRPr="00A02FB1">
        <w:rPr>
          <w:rFonts w:asciiTheme="minorHAnsi" w:hAnsiTheme="minorHAnsi" w:cstheme="minorHAnsi"/>
        </w:rPr>
        <w:t xml:space="preserve">For </w:t>
      </w:r>
      <w:r w:rsidR="004618DE" w:rsidRPr="00A02FB1">
        <w:rPr>
          <w:rFonts w:asciiTheme="minorHAnsi" w:hAnsiTheme="minorHAnsi" w:cstheme="minorHAnsi"/>
        </w:rPr>
        <w:t>example,</w:t>
      </w:r>
      <w:r w:rsidR="00C1169E" w:rsidRPr="00A02FB1">
        <w:rPr>
          <w:rFonts w:asciiTheme="minorHAnsi" w:hAnsiTheme="minorHAnsi" w:cstheme="minorHAnsi"/>
        </w:rPr>
        <w:t xml:space="preserve"> it would be appropriate to </w:t>
      </w:r>
      <w:r w:rsidR="00567ED9" w:rsidRPr="00A02FB1">
        <w:rPr>
          <w:rFonts w:asciiTheme="minorHAnsi" w:hAnsiTheme="minorHAnsi" w:cstheme="minorHAnsi"/>
        </w:rPr>
        <w:t xml:space="preserve">apply </w:t>
      </w:r>
      <w:r w:rsidR="00F05D7C" w:rsidRPr="00A02FB1">
        <w:rPr>
          <w:rFonts w:asciiTheme="minorHAnsi" w:hAnsiTheme="minorHAnsi" w:cstheme="minorHAnsi"/>
        </w:rPr>
        <w:t>a</w:t>
      </w:r>
      <w:r w:rsidR="00567ED9" w:rsidRPr="00A02FB1">
        <w:rPr>
          <w:rFonts w:asciiTheme="minorHAnsi" w:hAnsiTheme="minorHAnsi" w:cstheme="minorHAnsi"/>
        </w:rPr>
        <w:t xml:space="preserve"> longer period </w:t>
      </w:r>
      <w:r w:rsidR="00F05D7C" w:rsidRPr="00A02FB1">
        <w:rPr>
          <w:rFonts w:asciiTheme="minorHAnsi" w:hAnsiTheme="minorHAnsi" w:cstheme="minorHAnsi"/>
        </w:rPr>
        <w:t>to an</w:t>
      </w:r>
      <w:r w:rsidR="00C1169E" w:rsidRPr="00A02FB1">
        <w:rPr>
          <w:rFonts w:asciiTheme="minorHAnsi" w:hAnsiTheme="minorHAnsi" w:cstheme="minorHAnsi"/>
        </w:rPr>
        <w:t xml:space="preserve"> application that relates to an issue or complaint that the applicant has previously taken steps to resolve with the relevant insurer. This could include matters the applicant has raised informally with their usual contact at the insurer (such as through an email or telephone call with an applications manager) or through any other arrangements the insurer has in place to manage complaints. This will encourage applicants to first raise any issues or complaints about decisions directly with an insurer and avoid many relatively simple matters, such as errors in calculations, being progressed through internal review.</w:t>
      </w:r>
    </w:p>
    <w:p w14:paraId="7DD06BF1" w14:textId="75B5D2D3" w:rsidR="00734CFA" w:rsidRPr="00A02FB1" w:rsidRDefault="008336C8" w:rsidP="009D4CFC">
      <w:pPr>
        <w:pStyle w:val="BodyText"/>
        <w:spacing w:before="240"/>
        <w:rPr>
          <w:rFonts w:asciiTheme="minorHAnsi" w:hAnsiTheme="minorHAnsi" w:cstheme="minorHAnsi"/>
        </w:rPr>
      </w:pPr>
      <w:r>
        <w:rPr>
          <w:rFonts w:asciiTheme="minorHAnsi" w:hAnsiTheme="minorHAnsi" w:cstheme="minorHAnsi"/>
          <w:b/>
          <w:bCs/>
        </w:rPr>
        <w:t xml:space="preserve">3.5  </w:t>
      </w:r>
      <w:r w:rsidR="00734CFA" w:rsidRPr="00A02FB1">
        <w:rPr>
          <w:rFonts w:asciiTheme="minorHAnsi" w:hAnsiTheme="minorHAnsi" w:cstheme="minorHAnsi"/>
        </w:rPr>
        <w:t>To streamline the process for making a late application, the applicant should provide both the full and satisfactory explanation for their delay together with an application for the decision to be reviewed. This is intended to ensure there is no delay between the insurer making a decision on whether the longer period applies and the decision to accept the internal review application.</w:t>
      </w:r>
    </w:p>
    <w:p w14:paraId="1965EF65" w14:textId="77777777" w:rsidR="00C1169E" w:rsidRPr="00A02FB1" w:rsidRDefault="00C1169E" w:rsidP="009D3BC7">
      <w:pPr>
        <w:pStyle w:val="Heading1"/>
        <w:numPr>
          <w:ilvl w:val="0"/>
          <w:numId w:val="19"/>
        </w:numPr>
        <w:tabs>
          <w:tab w:val="left" w:pos="610"/>
        </w:tabs>
        <w:spacing w:before="240"/>
        <w:ind w:left="360"/>
        <w:jc w:val="left"/>
        <w:rPr>
          <w:rFonts w:asciiTheme="minorHAnsi" w:hAnsiTheme="minorHAnsi" w:cstheme="minorHAnsi"/>
        </w:rPr>
      </w:pPr>
      <w:r w:rsidRPr="00A02FB1">
        <w:rPr>
          <w:rFonts w:asciiTheme="minorHAnsi" w:hAnsiTheme="minorHAnsi" w:cstheme="minorHAnsi"/>
        </w:rPr>
        <w:t>GUIDELINES – Conduct of internal review – (Section</w:t>
      </w:r>
      <w:r w:rsidRPr="00A02FB1">
        <w:rPr>
          <w:rFonts w:asciiTheme="minorHAnsi" w:hAnsiTheme="minorHAnsi" w:cstheme="minorHAnsi"/>
          <w:spacing w:val="-4"/>
        </w:rPr>
        <w:t xml:space="preserve"> </w:t>
      </w:r>
      <w:r w:rsidRPr="00A02FB1">
        <w:rPr>
          <w:rFonts w:asciiTheme="minorHAnsi" w:hAnsiTheme="minorHAnsi" w:cstheme="minorHAnsi"/>
        </w:rPr>
        <w:t>188)</w:t>
      </w:r>
    </w:p>
    <w:p w14:paraId="1BFF0ACF" w14:textId="77777777" w:rsidR="00C1169E" w:rsidRPr="00A02FB1" w:rsidRDefault="00C1169E" w:rsidP="009D4CFC">
      <w:pPr>
        <w:pStyle w:val="BodyText"/>
        <w:spacing w:before="240" w:line="237" w:lineRule="auto"/>
        <w:rPr>
          <w:rFonts w:asciiTheme="minorHAnsi" w:hAnsiTheme="minorHAnsi" w:cstheme="minorHAnsi"/>
        </w:rPr>
      </w:pPr>
      <w:r w:rsidRPr="00A02FB1">
        <w:rPr>
          <w:rFonts w:asciiTheme="minorHAnsi" w:hAnsiTheme="minorHAnsi" w:cstheme="minorHAnsi"/>
        </w:rPr>
        <w:t>These guidelines make provision for applications for internal review and the conduct of an internal review by an insurer.</w:t>
      </w:r>
    </w:p>
    <w:p w14:paraId="35D94F6A" w14:textId="1B70E0EA" w:rsidR="00C1169E" w:rsidRPr="00A02FB1" w:rsidRDefault="009D3BC7" w:rsidP="009D3BC7">
      <w:pPr>
        <w:pStyle w:val="Heading1"/>
        <w:numPr>
          <w:ilvl w:val="1"/>
          <w:numId w:val="18"/>
        </w:numPr>
        <w:tabs>
          <w:tab w:val="left" w:pos="970"/>
        </w:tabs>
        <w:spacing w:before="240"/>
        <w:ind w:left="360"/>
        <w:jc w:val="left"/>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C1169E" w:rsidRPr="00A02FB1">
        <w:rPr>
          <w:rFonts w:asciiTheme="minorHAnsi" w:hAnsiTheme="minorHAnsi" w:cstheme="minorHAnsi"/>
        </w:rPr>
        <w:t>Applying for an internal review</w:t>
      </w:r>
    </w:p>
    <w:p w14:paraId="5D735CE3" w14:textId="5B179644" w:rsidR="00C1169E" w:rsidRPr="00A02FB1" w:rsidRDefault="008336C8" w:rsidP="009D4CFC">
      <w:pPr>
        <w:pStyle w:val="BodyText"/>
        <w:spacing w:before="240"/>
        <w:rPr>
          <w:rFonts w:asciiTheme="minorHAnsi" w:hAnsiTheme="minorHAnsi" w:cstheme="minorHAnsi"/>
        </w:rPr>
      </w:pPr>
      <w:r>
        <w:rPr>
          <w:rFonts w:asciiTheme="minorHAnsi" w:hAnsiTheme="minorHAnsi" w:cstheme="minorHAnsi"/>
          <w:b/>
          <w:bCs/>
        </w:rPr>
        <w:t xml:space="preserve">4.1.1  </w:t>
      </w:r>
      <w:r w:rsidR="00C1169E" w:rsidRPr="00A02FB1">
        <w:rPr>
          <w:rFonts w:asciiTheme="minorHAnsi" w:hAnsiTheme="minorHAnsi" w:cstheme="minorHAnsi"/>
        </w:rPr>
        <w:t xml:space="preserve">An application for an internal review should be made in writing to an insurer. The application may be given to an insurer through the post or by electronic </w:t>
      </w:r>
      <w:r w:rsidR="004618DE" w:rsidRPr="00A02FB1">
        <w:rPr>
          <w:rFonts w:asciiTheme="minorHAnsi" w:hAnsiTheme="minorHAnsi" w:cstheme="minorHAnsi"/>
        </w:rPr>
        <w:t>means and</w:t>
      </w:r>
      <w:r w:rsidR="00C1169E" w:rsidRPr="00A02FB1">
        <w:rPr>
          <w:rFonts w:asciiTheme="minorHAnsi" w:hAnsiTheme="minorHAnsi" w:cstheme="minorHAnsi"/>
        </w:rPr>
        <w:t xml:space="preserve"> may also be lodged using an on line application process (if provided by the insurer). The application should include:</w:t>
      </w:r>
    </w:p>
    <w:p w14:paraId="2DBF4F67" w14:textId="77777777" w:rsidR="00C1169E" w:rsidRPr="00A02FB1" w:rsidRDefault="00C1169E" w:rsidP="009D3BC7">
      <w:pPr>
        <w:pStyle w:val="ListParagraph"/>
        <w:numPr>
          <w:ilvl w:val="2"/>
          <w:numId w:val="18"/>
        </w:numPr>
        <w:tabs>
          <w:tab w:val="left" w:pos="1985"/>
        </w:tabs>
        <w:spacing w:before="120" w:line="292" w:lineRule="exact"/>
        <w:ind w:left="1701" w:hanging="708"/>
        <w:rPr>
          <w:rFonts w:asciiTheme="minorHAnsi" w:hAnsiTheme="minorHAnsi" w:cstheme="minorHAnsi"/>
          <w:sz w:val="24"/>
          <w:szCs w:val="24"/>
        </w:rPr>
      </w:pPr>
      <w:r w:rsidRPr="00A02FB1">
        <w:rPr>
          <w:rFonts w:asciiTheme="minorHAnsi" w:hAnsiTheme="minorHAnsi" w:cstheme="minorHAnsi"/>
          <w:sz w:val="24"/>
          <w:szCs w:val="24"/>
        </w:rPr>
        <w:t>name and contact details of the</w:t>
      </w:r>
      <w:r w:rsidRPr="00A02FB1">
        <w:rPr>
          <w:rFonts w:asciiTheme="minorHAnsi" w:hAnsiTheme="minorHAnsi" w:cstheme="minorHAnsi"/>
          <w:spacing w:val="-2"/>
          <w:sz w:val="24"/>
          <w:szCs w:val="24"/>
        </w:rPr>
        <w:t xml:space="preserve"> </w:t>
      </w:r>
      <w:r w:rsidRPr="00A02FB1">
        <w:rPr>
          <w:rFonts w:asciiTheme="minorHAnsi" w:hAnsiTheme="minorHAnsi" w:cstheme="minorHAnsi"/>
          <w:sz w:val="24"/>
          <w:szCs w:val="24"/>
        </w:rPr>
        <w:t>applicant;</w:t>
      </w:r>
    </w:p>
    <w:p w14:paraId="1F55DB37" w14:textId="77777777" w:rsidR="00C1169E" w:rsidRPr="00A02FB1" w:rsidRDefault="00C1169E" w:rsidP="00110B79">
      <w:pPr>
        <w:pStyle w:val="ListParagraph"/>
        <w:numPr>
          <w:ilvl w:val="2"/>
          <w:numId w:val="18"/>
        </w:numPr>
        <w:tabs>
          <w:tab w:val="left" w:pos="1985"/>
        </w:tabs>
        <w:ind w:left="1701" w:right="530" w:hanging="708"/>
        <w:rPr>
          <w:rFonts w:asciiTheme="minorHAnsi" w:hAnsiTheme="minorHAnsi" w:cstheme="minorHAnsi"/>
          <w:sz w:val="24"/>
          <w:szCs w:val="24"/>
        </w:rPr>
      </w:pPr>
      <w:r w:rsidRPr="00A02FB1">
        <w:rPr>
          <w:rFonts w:asciiTheme="minorHAnsi" w:hAnsiTheme="minorHAnsi" w:cstheme="minorHAnsi"/>
          <w:sz w:val="24"/>
          <w:szCs w:val="24"/>
        </w:rPr>
        <w:t>the decision of an insurer being requested for an internal review (noting this may include several decisions of a related</w:t>
      </w:r>
      <w:r w:rsidRPr="00A02FB1">
        <w:rPr>
          <w:rFonts w:asciiTheme="minorHAnsi" w:hAnsiTheme="minorHAnsi" w:cstheme="minorHAnsi"/>
          <w:spacing w:val="-7"/>
          <w:sz w:val="24"/>
          <w:szCs w:val="24"/>
        </w:rPr>
        <w:t xml:space="preserve"> </w:t>
      </w:r>
      <w:r w:rsidRPr="00A02FB1">
        <w:rPr>
          <w:rFonts w:asciiTheme="minorHAnsi" w:hAnsiTheme="minorHAnsi" w:cstheme="minorHAnsi"/>
          <w:sz w:val="24"/>
          <w:szCs w:val="24"/>
        </w:rPr>
        <w:t>type);</w:t>
      </w:r>
    </w:p>
    <w:p w14:paraId="3BC79AAF" w14:textId="77777777" w:rsidR="00C1169E" w:rsidRPr="00A02FB1" w:rsidRDefault="00C1169E" w:rsidP="00110B79">
      <w:pPr>
        <w:pStyle w:val="ListParagraph"/>
        <w:numPr>
          <w:ilvl w:val="2"/>
          <w:numId w:val="18"/>
        </w:numPr>
        <w:tabs>
          <w:tab w:val="left" w:pos="1985"/>
        </w:tabs>
        <w:spacing w:line="292" w:lineRule="exact"/>
        <w:ind w:left="1701" w:hanging="708"/>
        <w:rPr>
          <w:rFonts w:asciiTheme="minorHAnsi" w:hAnsiTheme="minorHAnsi" w:cstheme="minorHAnsi"/>
          <w:sz w:val="24"/>
          <w:szCs w:val="24"/>
        </w:rPr>
      </w:pPr>
      <w:r w:rsidRPr="00A02FB1">
        <w:rPr>
          <w:rFonts w:asciiTheme="minorHAnsi" w:hAnsiTheme="minorHAnsi" w:cstheme="minorHAnsi"/>
          <w:sz w:val="24"/>
          <w:szCs w:val="24"/>
        </w:rPr>
        <w:t>the date of the decision (or if not known, the approximate</w:t>
      </w:r>
      <w:r w:rsidRPr="00A02FB1">
        <w:rPr>
          <w:rFonts w:asciiTheme="minorHAnsi" w:hAnsiTheme="minorHAnsi" w:cstheme="minorHAnsi"/>
          <w:spacing w:val="-8"/>
          <w:sz w:val="24"/>
          <w:szCs w:val="24"/>
        </w:rPr>
        <w:t xml:space="preserve"> </w:t>
      </w:r>
      <w:r w:rsidRPr="00A02FB1">
        <w:rPr>
          <w:rFonts w:asciiTheme="minorHAnsi" w:hAnsiTheme="minorHAnsi" w:cstheme="minorHAnsi"/>
          <w:sz w:val="24"/>
          <w:szCs w:val="24"/>
        </w:rPr>
        <w:t>date);</w:t>
      </w:r>
    </w:p>
    <w:p w14:paraId="7385ECE9" w14:textId="77777777" w:rsidR="00C1169E" w:rsidRPr="00A02FB1" w:rsidRDefault="00C1169E" w:rsidP="00110B79">
      <w:pPr>
        <w:pStyle w:val="ListParagraph"/>
        <w:numPr>
          <w:ilvl w:val="2"/>
          <w:numId w:val="18"/>
        </w:numPr>
        <w:tabs>
          <w:tab w:val="left" w:pos="1985"/>
        </w:tabs>
        <w:spacing w:before="2" w:line="235" w:lineRule="auto"/>
        <w:ind w:left="1701" w:right="707" w:hanging="708"/>
        <w:rPr>
          <w:rFonts w:asciiTheme="minorHAnsi" w:hAnsiTheme="minorHAnsi" w:cstheme="minorHAnsi"/>
          <w:sz w:val="24"/>
          <w:szCs w:val="24"/>
        </w:rPr>
      </w:pPr>
      <w:r w:rsidRPr="00A02FB1">
        <w:rPr>
          <w:rFonts w:asciiTheme="minorHAnsi" w:hAnsiTheme="minorHAnsi" w:cstheme="minorHAnsi"/>
          <w:sz w:val="24"/>
          <w:szCs w:val="24"/>
        </w:rPr>
        <w:t>brief details of issues for review - elements of the original decision the applicant wishes to be</w:t>
      </w:r>
      <w:r w:rsidRPr="00A02FB1">
        <w:rPr>
          <w:rFonts w:asciiTheme="minorHAnsi" w:hAnsiTheme="minorHAnsi" w:cstheme="minorHAnsi"/>
          <w:spacing w:val="-2"/>
          <w:sz w:val="24"/>
          <w:szCs w:val="24"/>
        </w:rPr>
        <w:t xml:space="preserve"> </w:t>
      </w:r>
      <w:r w:rsidRPr="00A02FB1">
        <w:rPr>
          <w:rFonts w:asciiTheme="minorHAnsi" w:hAnsiTheme="minorHAnsi" w:cstheme="minorHAnsi"/>
          <w:sz w:val="24"/>
          <w:szCs w:val="24"/>
        </w:rPr>
        <w:t>reviewed;</w:t>
      </w:r>
    </w:p>
    <w:p w14:paraId="73DE8F77" w14:textId="77777777" w:rsidR="00C1169E" w:rsidRPr="00A02FB1" w:rsidRDefault="00C1169E" w:rsidP="00110B79">
      <w:pPr>
        <w:pStyle w:val="ListParagraph"/>
        <w:numPr>
          <w:ilvl w:val="2"/>
          <w:numId w:val="18"/>
        </w:numPr>
        <w:tabs>
          <w:tab w:val="left" w:pos="1985"/>
        </w:tabs>
        <w:spacing w:before="3"/>
        <w:ind w:left="1701" w:right="530" w:hanging="708"/>
        <w:rPr>
          <w:rFonts w:asciiTheme="minorHAnsi" w:hAnsiTheme="minorHAnsi" w:cstheme="minorHAnsi"/>
          <w:sz w:val="24"/>
          <w:szCs w:val="24"/>
        </w:rPr>
      </w:pPr>
      <w:r w:rsidRPr="00A02FB1">
        <w:rPr>
          <w:rFonts w:asciiTheme="minorHAnsi" w:hAnsiTheme="minorHAnsi" w:cstheme="minorHAnsi"/>
          <w:sz w:val="24"/>
          <w:szCs w:val="24"/>
        </w:rPr>
        <w:lastRenderedPageBreak/>
        <w:t>reason(s) the applicant believes the decision made should be changed, and;</w:t>
      </w:r>
    </w:p>
    <w:p w14:paraId="3C32CCEE" w14:textId="77777777" w:rsidR="00C1169E" w:rsidRPr="00A02FB1" w:rsidRDefault="00C1169E" w:rsidP="00110B79">
      <w:pPr>
        <w:pStyle w:val="ListParagraph"/>
        <w:numPr>
          <w:ilvl w:val="2"/>
          <w:numId w:val="18"/>
        </w:numPr>
        <w:tabs>
          <w:tab w:val="left" w:pos="1985"/>
        </w:tabs>
        <w:ind w:left="1701" w:right="133" w:hanging="708"/>
        <w:rPr>
          <w:rFonts w:asciiTheme="minorHAnsi" w:hAnsiTheme="minorHAnsi" w:cstheme="minorHAnsi"/>
          <w:sz w:val="24"/>
          <w:szCs w:val="24"/>
        </w:rPr>
      </w:pPr>
      <w:r w:rsidRPr="00A02FB1">
        <w:rPr>
          <w:rFonts w:asciiTheme="minorHAnsi" w:hAnsiTheme="minorHAnsi" w:cstheme="minorHAnsi"/>
          <w:sz w:val="24"/>
          <w:szCs w:val="24"/>
        </w:rPr>
        <w:t>any additional information or documents the applicant considers relevant to a review of the</w:t>
      </w:r>
      <w:r w:rsidRPr="00A02FB1">
        <w:rPr>
          <w:rFonts w:asciiTheme="minorHAnsi" w:hAnsiTheme="minorHAnsi" w:cstheme="minorHAnsi"/>
          <w:spacing w:val="1"/>
          <w:sz w:val="24"/>
          <w:szCs w:val="24"/>
        </w:rPr>
        <w:t xml:space="preserve"> </w:t>
      </w:r>
      <w:r w:rsidRPr="00A02FB1">
        <w:rPr>
          <w:rFonts w:asciiTheme="minorHAnsi" w:hAnsiTheme="minorHAnsi" w:cstheme="minorHAnsi"/>
          <w:sz w:val="24"/>
          <w:szCs w:val="24"/>
        </w:rPr>
        <w:t>decision.</w:t>
      </w:r>
    </w:p>
    <w:p w14:paraId="26029057" w14:textId="670B431B" w:rsidR="00C1169E" w:rsidRPr="00A02FB1" w:rsidRDefault="008336C8" w:rsidP="009D4CFC">
      <w:pPr>
        <w:pStyle w:val="BodyText"/>
        <w:spacing w:before="240" w:line="237" w:lineRule="auto"/>
        <w:ind w:right="179"/>
        <w:rPr>
          <w:rFonts w:asciiTheme="minorHAnsi" w:hAnsiTheme="minorHAnsi" w:cstheme="minorHAnsi"/>
        </w:rPr>
      </w:pPr>
      <w:r>
        <w:rPr>
          <w:rFonts w:asciiTheme="minorHAnsi" w:hAnsiTheme="minorHAnsi" w:cstheme="minorHAnsi"/>
          <w:b/>
          <w:bCs/>
        </w:rPr>
        <w:t xml:space="preserve">4.1.2  </w:t>
      </w:r>
      <w:r w:rsidR="00C1169E" w:rsidRPr="00A02FB1">
        <w:rPr>
          <w:rFonts w:asciiTheme="minorHAnsi" w:hAnsiTheme="minorHAnsi" w:cstheme="minorHAnsi"/>
        </w:rPr>
        <w:t>If the application is a late application, a full and satisfactory explanation for a delay is to be given to the insurer together with the application.</w:t>
      </w:r>
    </w:p>
    <w:p w14:paraId="72CD64A9" w14:textId="6D85C649" w:rsidR="00C1169E" w:rsidRPr="008336C8" w:rsidRDefault="008336C8" w:rsidP="009D4CFC">
      <w:pPr>
        <w:pStyle w:val="BodyText"/>
        <w:spacing w:before="240"/>
        <w:ind w:right="420"/>
        <w:rPr>
          <w:rFonts w:asciiTheme="minorHAnsi" w:hAnsiTheme="minorHAnsi" w:cstheme="minorHAnsi"/>
          <w:b/>
          <w:bCs/>
        </w:rPr>
      </w:pPr>
      <w:r>
        <w:rPr>
          <w:rFonts w:asciiTheme="minorHAnsi" w:hAnsiTheme="minorHAnsi" w:cstheme="minorHAnsi"/>
          <w:b/>
          <w:bCs/>
        </w:rPr>
        <w:t xml:space="preserve">4.1.3  </w:t>
      </w:r>
      <w:r w:rsidR="00C1169E" w:rsidRPr="00A02FB1">
        <w:rPr>
          <w:rFonts w:asciiTheme="minorHAnsi" w:hAnsiTheme="minorHAnsi" w:cstheme="minorHAnsi"/>
        </w:rPr>
        <w:t>An application for an internal review may be withdrawn by an applicant at any time prior to an internal review decision being made. An insurer is to confirm the withdrawal of an application in writing.</w:t>
      </w:r>
    </w:p>
    <w:p w14:paraId="06911757" w14:textId="13EAA237" w:rsidR="00C1169E" w:rsidRPr="00A02FB1" w:rsidRDefault="009D3BC7" w:rsidP="009D3BC7">
      <w:pPr>
        <w:pStyle w:val="Heading1"/>
        <w:numPr>
          <w:ilvl w:val="1"/>
          <w:numId w:val="18"/>
        </w:numPr>
        <w:tabs>
          <w:tab w:val="left" w:pos="1234"/>
        </w:tabs>
        <w:spacing w:before="240"/>
        <w:ind w:left="405" w:hanging="405"/>
        <w:jc w:val="left"/>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C1169E" w:rsidRPr="00A02FB1">
        <w:rPr>
          <w:rFonts w:asciiTheme="minorHAnsi" w:hAnsiTheme="minorHAnsi" w:cstheme="minorHAnsi"/>
        </w:rPr>
        <w:t>Actions an insurer must take on receiving an</w:t>
      </w:r>
      <w:r w:rsidR="00C1169E" w:rsidRPr="00A02FB1">
        <w:rPr>
          <w:rFonts w:asciiTheme="minorHAnsi" w:hAnsiTheme="minorHAnsi" w:cstheme="minorHAnsi"/>
          <w:spacing w:val="-8"/>
        </w:rPr>
        <w:t xml:space="preserve"> </w:t>
      </w:r>
      <w:r w:rsidR="00C1169E" w:rsidRPr="00A02FB1">
        <w:rPr>
          <w:rFonts w:asciiTheme="minorHAnsi" w:hAnsiTheme="minorHAnsi" w:cstheme="minorHAnsi"/>
        </w:rPr>
        <w:t>application</w:t>
      </w:r>
    </w:p>
    <w:p w14:paraId="31CB6CEB" w14:textId="18D6A4B5" w:rsidR="00C1169E" w:rsidRPr="00A02FB1" w:rsidRDefault="008336C8" w:rsidP="009D4CFC">
      <w:pPr>
        <w:pStyle w:val="BodyText"/>
        <w:spacing w:before="240"/>
        <w:rPr>
          <w:rFonts w:asciiTheme="minorHAnsi" w:hAnsiTheme="minorHAnsi" w:cstheme="minorHAnsi"/>
        </w:rPr>
      </w:pPr>
      <w:r>
        <w:rPr>
          <w:rFonts w:asciiTheme="minorHAnsi" w:hAnsiTheme="minorHAnsi" w:cstheme="minorHAnsi"/>
          <w:b/>
          <w:bCs/>
        </w:rPr>
        <w:t xml:space="preserve">4.2.1  </w:t>
      </w:r>
      <w:r w:rsidR="00C1169E" w:rsidRPr="00A02FB1">
        <w:rPr>
          <w:rFonts w:asciiTheme="minorHAnsi" w:hAnsiTheme="minorHAnsi" w:cstheme="minorHAnsi"/>
        </w:rPr>
        <w:t>An insurer that receives an application for internal review must give the applicant a confirmation notice for the application within 3 business days of the application being received. The notice is to be given in writing and may be given by electronic means or by post. For the purposes of these guidelines a notice will be taken to be given on the day it is posted by the insurer, and not on the day it would have been delivered to the applicant.</w:t>
      </w:r>
    </w:p>
    <w:p w14:paraId="77265D93" w14:textId="65789F19" w:rsidR="00C1169E" w:rsidRPr="00A02FB1" w:rsidRDefault="008336C8" w:rsidP="009D4CFC">
      <w:pPr>
        <w:pStyle w:val="BodyText"/>
        <w:spacing w:before="240"/>
        <w:rPr>
          <w:rFonts w:asciiTheme="minorHAnsi" w:hAnsiTheme="minorHAnsi" w:cstheme="minorHAnsi"/>
        </w:rPr>
      </w:pPr>
      <w:r>
        <w:rPr>
          <w:rFonts w:asciiTheme="minorHAnsi" w:hAnsiTheme="minorHAnsi" w:cstheme="minorHAnsi"/>
          <w:b/>
          <w:bCs/>
        </w:rPr>
        <w:t xml:space="preserve">4.2.2  </w:t>
      </w:r>
      <w:r w:rsidR="00C1169E" w:rsidRPr="00A02FB1">
        <w:rPr>
          <w:rFonts w:asciiTheme="minorHAnsi" w:hAnsiTheme="minorHAnsi" w:cstheme="minorHAnsi"/>
        </w:rPr>
        <w:t>The notice is to include the following information:</w:t>
      </w:r>
    </w:p>
    <w:p w14:paraId="15E0C358" w14:textId="77777777" w:rsidR="00C1169E" w:rsidRPr="00A02FB1" w:rsidRDefault="00C1169E" w:rsidP="00110B79">
      <w:pPr>
        <w:pStyle w:val="ListParagraph"/>
        <w:numPr>
          <w:ilvl w:val="2"/>
          <w:numId w:val="18"/>
        </w:numPr>
        <w:tabs>
          <w:tab w:val="left" w:pos="1985"/>
        </w:tabs>
        <w:spacing w:before="120" w:line="293" w:lineRule="exact"/>
        <w:ind w:left="1701" w:hanging="761"/>
        <w:rPr>
          <w:rFonts w:asciiTheme="minorHAnsi" w:hAnsiTheme="minorHAnsi" w:cstheme="minorHAnsi"/>
          <w:sz w:val="24"/>
          <w:szCs w:val="24"/>
        </w:rPr>
      </w:pPr>
      <w:r w:rsidRPr="00A02FB1">
        <w:rPr>
          <w:rFonts w:asciiTheme="minorHAnsi" w:hAnsiTheme="minorHAnsi" w:cstheme="minorHAnsi"/>
          <w:sz w:val="24"/>
          <w:szCs w:val="24"/>
        </w:rPr>
        <w:t>the decision or elements of a decision covered by the</w:t>
      </w:r>
      <w:r w:rsidRPr="00A02FB1">
        <w:rPr>
          <w:rFonts w:asciiTheme="minorHAnsi" w:hAnsiTheme="minorHAnsi" w:cstheme="minorHAnsi"/>
          <w:spacing w:val="-12"/>
          <w:sz w:val="24"/>
          <w:szCs w:val="24"/>
        </w:rPr>
        <w:t xml:space="preserve"> </w:t>
      </w:r>
      <w:r w:rsidRPr="00A02FB1">
        <w:rPr>
          <w:rFonts w:asciiTheme="minorHAnsi" w:hAnsiTheme="minorHAnsi" w:cstheme="minorHAnsi"/>
          <w:sz w:val="24"/>
          <w:szCs w:val="24"/>
        </w:rPr>
        <w:t>application;</w:t>
      </w:r>
    </w:p>
    <w:p w14:paraId="6AB2D305" w14:textId="77777777" w:rsidR="00C1169E" w:rsidRPr="00A02FB1" w:rsidRDefault="00C1169E" w:rsidP="00110B79">
      <w:pPr>
        <w:pStyle w:val="ListParagraph"/>
        <w:numPr>
          <w:ilvl w:val="2"/>
          <w:numId w:val="18"/>
        </w:numPr>
        <w:tabs>
          <w:tab w:val="left" w:pos="1985"/>
        </w:tabs>
        <w:spacing w:line="293" w:lineRule="exact"/>
        <w:ind w:left="1701" w:hanging="761"/>
        <w:rPr>
          <w:rFonts w:asciiTheme="minorHAnsi" w:hAnsiTheme="minorHAnsi" w:cstheme="minorHAnsi"/>
          <w:sz w:val="24"/>
          <w:szCs w:val="24"/>
        </w:rPr>
      </w:pPr>
      <w:r w:rsidRPr="00A02FB1">
        <w:rPr>
          <w:rFonts w:asciiTheme="minorHAnsi" w:hAnsiTheme="minorHAnsi" w:cstheme="minorHAnsi"/>
          <w:sz w:val="24"/>
          <w:szCs w:val="24"/>
        </w:rPr>
        <w:t>the date the application for internal review was</w:t>
      </w:r>
      <w:r w:rsidRPr="00A02FB1">
        <w:rPr>
          <w:rFonts w:asciiTheme="minorHAnsi" w:hAnsiTheme="minorHAnsi" w:cstheme="minorHAnsi"/>
          <w:spacing w:val="-9"/>
          <w:sz w:val="24"/>
          <w:szCs w:val="24"/>
        </w:rPr>
        <w:t xml:space="preserve"> </w:t>
      </w:r>
      <w:r w:rsidRPr="00A02FB1">
        <w:rPr>
          <w:rFonts w:asciiTheme="minorHAnsi" w:hAnsiTheme="minorHAnsi" w:cstheme="minorHAnsi"/>
          <w:sz w:val="24"/>
          <w:szCs w:val="24"/>
        </w:rPr>
        <w:t>received;</w:t>
      </w:r>
    </w:p>
    <w:p w14:paraId="69564EAA" w14:textId="77777777" w:rsidR="00C1169E" w:rsidRPr="00A02FB1" w:rsidRDefault="00C1169E" w:rsidP="00110B79">
      <w:pPr>
        <w:pStyle w:val="ListParagraph"/>
        <w:numPr>
          <w:ilvl w:val="2"/>
          <w:numId w:val="18"/>
        </w:numPr>
        <w:tabs>
          <w:tab w:val="left" w:pos="1985"/>
        </w:tabs>
        <w:spacing w:line="293" w:lineRule="exact"/>
        <w:ind w:left="1701" w:hanging="761"/>
        <w:rPr>
          <w:rFonts w:asciiTheme="minorHAnsi" w:hAnsiTheme="minorHAnsi" w:cstheme="minorHAnsi"/>
          <w:sz w:val="24"/>
          <w:szCs w:val="24"/>
        </w:rPr>
      </w:pPr>
      <w:r w:rsidRPr="00A02FB1">
        <w:rPr>
          <w:rFonts w:asciiTheme="minorHAnsi" w:hAnsiTheme="minorHAnsi" w:cstheme="minorHAnsi"/>
          <w:sz w:val="24"/>
          <w:szCs w:val="24"/>
        </w:rPr>
        <w:t>whether or not the insurer has accepted the application for internal</w:t>
      </w:r>
      <w:r w:rsidRPr="00A02FB1">
        <w:rPr>
          <w:rFonts w:asciiTheme="minorHAnsi" w:hAnsiTheme="minorHAnsi" w:cstheme="minorHAnsi"/>
          <w:spacing w:val="-30"/>
          <w:sz w:val="24"/>
          <w:szCs w:val="24"/>
        </w:rPr>
        <w:t xml:space="preserve"> </w:t>
      </w:r>
      <w:r w:rsidRPr="00A02FB1">
        <w:rPr>
          <w:rFonts w:asciiTheme="minorHAnsi" w:hAnsiTheme="minorHAnsi" w:cstheme="minorHAnsi"/>
          <w:sz w:val="24"/>
          <w:szCs w:val="24"/>
        </w:rPr>
        <w:t>review;</w:t>
      </w:r>
    </w:p>
    <w:p w14:paraId="2F14C685" w14:textId="77777777" w:rsidR="00C1169E" w:rsidRPr="00A02FB1" w:rsidRDefault="00C1169E" w:rsidP="00110B79">
      <w:pPr>
        <w:pStyle w:val="ListParagraph"/>
        <w:numPr>
          <w:ilvl w:val="2"/>
          <w:numId w:val="18"/>
        </w:numPr>
        <w:tabs>
          <w:tab w:val="left" w:pos="1985"/>
        </w:tabs>
        <w:spacing w:before="5" w:line="235" w:lineRule="auto"/>
        <w:ind w:left="1701" w:right="442" w:hanging="761"/>
        <w:rPr>
          <w:rFonts w:asciiTheme="minorHAnsi" w:hAnsiTheme="minorHAnsi" w:cstheme="minorHAnsi"/>
          <w:sz w:val="24"/>
          <w:szCs w:val="24"/>
        </w:rPr>
      </w:pPr>
      <w:r w:rsidRPr="00A02FB1">
        <w:rPr>
          <w:rFonts w:asciiTheme="minorHAnsi" w:hAnsiTheme="minorHAnsi" w:cstheme="minorHAnsi"/>
          <w:sz w:val="24"/>
          <w:szCs w:val="24"/>
        </w:rPr>
        <w:t>if, the insurer has accepted the application, the date a review decision is expected or</w:t>
      </w:r>
      <w:r w:rsidRPr="00A02FB1">
        <w:rPr>
          <w:rFonts w:asciiTheme="minorHAnsi" w:hAnsiTheme="minorHAnsi" w:cstheme="minorHAnsi"/>
          <w:spacing w:val="-3"/>
          <w:sz w:val="24"/>
          <w:szCs w:val="24"/>
        </w:rPr>
        <w:t xml:space="preserve"> </w:t>
      </w:r>
      <w:r w:rsidRPr="00A02FB1">
        <w:rPr>
          <w:rFonts w:asciiTheme="minorHAnsi" w:hAnsiTheme="minorHAnsi" w:cstheme="minorHAnsi"/>
          <w:sz w:val="24"/>
          <w:szCs w:val="24"/>
        </w:rPr>
        <w:t>required;</w:t>
      </w:r>
    </w:p>
    <w:p w14:paraId="4B10B255" w14:textId="77777777" w:rsidR="00C1169E" w:rsidRPr="00A02FB1" w:rsidRDefault="00C1169E" w:rsidP="00110B79">
      <w:pPr>
        <w:pStyle w:val="ListParagraph"/>
        <w:numPr>
          <w:ilvl w:val="2"/>
          <w:numId w:val="18"/>
        </w:numPr>
        <w:tabs>
          <w:tab w:val="left" w:pos="1985"/>
        </w:tabs>
        <w:spacing w:before="3"/>
        <w:ind w:left="1701" w:right="404" w:hanging="761"/>
        <w:rPr>
          <w:rFonts w:asciiTheme="minorHAnsi" w:hAnsiTheme="minorHAnsi" w:cstheme="minorHAnsi"/>
          <w:sz w:val="24"/>
          <w:szCs w:val="24"/>
        </w:rPr>
      </w:pPr>
      <w:r w:rsidRPr="00A02FB1">
        <w:rPr>
          <w:rFonts w:asciiTheme="minorHAnsi" w:hAnsiTheme="minorHAnsi" w:cstheme="minorHAnsi"/>
          <w:sz w:val="24"/>
          <w:szCs w:val="24"/>
        </w:rPr>
        <w:t>if the application is declined, brief reasons for this decision and details of any options available to the applicant if they do not agree with</w:t>
      </w:r>
      <w:r w:rsidRPr="00A02FB1">
        <w:rPr>
          <w:rFonts w:asciiTheme="minorHAnsi" w:hAnsiTheme="minorHAnsi" w:cstheme="minorHAnsi"/>
          <w:spacing w:val="-27"/>
          <w:sz w:val="24"/>
          <w:szCs w:val="24"/>
        </w:rPr>
        <w:t xml:space="preserve"> </w:t>
      </w:r>
      <w:r w:rsidRPr="00A02FB1">
        <w:rPr>
          <w:rFonts w:asciiTheme="minorHAnsi" w:hAnsiTheme="minorHAnsi" w:cstheme="minorHAnsi"/>
          <w:sz w:val="24"/>
          <w:szCs w:val="24"/>
        </w:rPr>
        <w:t>decision;</w:t>
      </w:r>
    </w:p>
    <w:p w14:paraId="5A9654CC" w14:textId="77777777" w:rsidR="00C1169E" w:rsidRPr="00A02FB1" w:rsidRDefault="00C1169E" w:rsidP="00110B79">
      <w:pPr>
        <w:pStyle w:val="ListParagraph"/>
        <w:numPr>
          <w:ilvl w:val="2"/>
          <w:numId w:val="18"/>
        </w:numPr>
        <w:tabs>
          <w:tab w:val="left" w:pos="1985"/>
        </w:tabs>
        <w:spacing w:line="293" w:lineRule="exact"/>
        <w:ind w:left="1701" w:hanging="761"/>
        <w:rPr>
          <w:rFonts w:asciiTheme="minorHAnsi" w:hAnsiTheme="minorHAnsi" w:cstheme="minorHAnsi"/>
          <w:sz w:val="24"/>
          <w:szCs w:val="24"/>
        </w:rPr>
      </w:pPr>
      <w:r w:rsidRPr="00A02FB1">
        <w:rPr>
          <w:rFonts w:asciiTheme="minorHAnsi" w:hAnsiTheme="minorHAnsi" w:cstheme="minorHAnsi"/>
          <w:sz w:val="24"/>
          <w:szCs w:val="24"/>
        </w:rPr>
        <w:t>details of how to contact the insurer about the internal</w:t>
      </w:r>
      <w:r w:rsidRPr="00A02FB1">
        <w:rPr>
          <w:rFonts w:asciiTheme="minorHAnsi" w:hAnsiTheme="minorHAnsi" w:cstheme="minorHAnsi"/>
          <w:spacing w:val="-12"/>
          <w:sz w:val="24"/>
          <w:szCs w:val="24"/>
        </w:rPr>
        <w:t xml:space="preserve"> </w:t>
      </w:r>
      <w:r w:rsidRPr="00A02FB1">
        <w:rPr>
          <w:rFonts w:asciiTheme="minorHAnsi" w:hAnsiTheme="minorHAnsi" w:cstheme="minorHAnsi"/>
          <w:sz w:val="24"/>
          <w:szCs w:val="24"/>
        </w:rPr>
        <w:t>review.</w:t>
      </w:r>
    </w:p>
    <w:p w14:paraId="544001DB" w14:textId="5F7C6EE0" w:rsidR="00C1169E" w:rsidRPr="00A02FB1" w:rsidRDefault="008336C8" w:rsidP="009D4CFC">
      <w:pPr>
        <w:pStyle w:val="BodyText"/>
        <w:spacing w:before="240"/>
        <w:ind w:right="126"/>
        <w:rPr>
          <w:rFonts w:asciiTheme="minorHAnsi" w:hAnsiTheme="minorHAnsi" w:cstheme="minorHAnsi"/>
        </w:rPr>
      </w:pPr>
      <w:r>
        <w:rPr>
          <w:rFonts w:asciiTheme="minorHAnsi" w:hAnsiTheme="minorHAnsi" w:cstheme="minorHAnsi"/>
          <w:b/>
          <w:bCs/>
        </w:rPr>
        <w:t xml:space="preserve">4.2.3  </w:t>
      </w:r>
      <w:r w:rsidR="00C1169E" w:rsidRPr="00A02FB1">
        <w:rPr>
          <w:rFonts w:asciiTheme="minorHAnsi" w:hAnsiTheme="minorHAnsi" w:cstheme="minorHAnsi"/>
        </w:rPr>
        <w:t>An application for an internal review may be declined if the application is for a matter, or an element of a matter, that is not an internally reviewable decision, an application is made outside application time frames, an insurer is not satisfied with the full and satisfactory explanation for the delay in making an application, or the circumstances for a late application are not in accordance with these guidelines.</w:t>
      </w:r>
    </w:p>
    <w:p w14:paraId="6F51F70E" w14:textId="7EC5A95E" w:rsidR="001B4651" w:rsidRPr="00A02FB1" w:rsidRDefault="008336C8" w:rsidP="009D4CFC">
      <w:pPr>
        <w:pStyle w:val="BodyText"/>
        <w:spacing w:before="240"/>
        <w:ind w:right="566"/>
        <w:rPr>
          <w:rFonts w:asciiTheme="minorHAnsi" w:hAnsiTheme="minorHAnsi" w:cstheme="minorHAnsi"/>
        </w:rPr>
      </w:pPr>
      <w:r>
        <w:rPr>
          <w:rFonts w:asciiTheme="minorHAnsi" w:hAnsiTheme="minorHAnsi" w:cstheme="minorHAnsi"/>
          <w:b/>
          <w:bCs/>
        </w:rPr>
        <w:t xml:space="preserve">4.2.4  </w:t>
      </w:r>
      <w:r w:rsidR="001B4651" w:rsidRPr="00A02FB1">
        <w:rPr>
          <w:rFonts w:asciiTheme="minorHAnsi" w:hAnsiTheme="minorHAnsi" w:cstheme="minorHAnsi"/>
        </w:rPr>
        <w:t>If an insurer accepts an application and subsequently determines a matter is not an internally reviewable decision, then the insurer should advise the applicant, in writing, as soon as practicable the application for internal review</w:t>
      </w:r>
      <w:r w:rsidR="009E126B" w:rsidRPr="00A02FB1">
        <w:rPr>
          <w:rFonts w:asciiTheme="minorHAnsi" w:hAnsiTheme="minorHAnsi" w:cstheme="minorHAnsi"/>
        </w:rPr>
        <w:t xml:space="preserve"> has been declined</w:t>
      </w:r>
      <w:r w:rsidR="001B4651" w:rsidRPr="00A02FB1">
        <w:rPr>
          <w:rFonts w:asciiTheme="minorHAnsi" w:hAnsiTheme="minorHAnsi" w:cstheme="minorHAnsi"/>
        </w:rPr>
        <w:t>.</w:t>
      </w:r>
    </w:p>
    <w:p w14:paraId="69383588" w14:textId="19BD8D9B" w:rsidR="009D3BC7" w:rsidRDefault="008336C8" w:rsidP="009D4CFC">
      <w:pPr>
        <w:pStyle w:val="BodyText"/>
        <w:spacing w:before="240"/>
        <w:rPr>
          <w:rFonts w:asciiTheme="minorHAnsi" w:hAnsiTheme="minorHAnsi" w:cstheme="minorHAnsi"/>
        </w:rPr>
      </w:pPr>
      <w:r>
        <w:rPr>
          <w:rFonts w:asciiTheme="minorHAnsi" w:hAnsiTheme="minorHAnsi" w:cstheme="minorHAnsi"/>
          <w:b/>
          <w:bCs/>
        </w:rPr>
        <w:t xml:space="preserve">4.2.5  </w:t>
      </w:r>
      <w:r w:rsidR="00C1169E" w:rsidRPr="00A02FB1">
        <w:rPr>
          <w:rFonts w:asciiTheme="minorHAnsi" w:hAnsiTheme="minorHAnsi" w:cstheme="minorHAnsi"/>
        </w:rPr>
        <w:t>An insurer should also contact the applicant, as soon as practicable, after receiving an application if clarification is required about any element of the original decision that is to be subject to a review, or to request any additional information or documents reasonably required for the review.</w:t>
      </w:r>
      <w:r w:rsidR="009D3BC7">
        <w:rPr>
          <w:rFonts w:asciiTheme="minorHAnsi" w:hAnsiTheme="minorHAnsi" w:cstheme="minorHAnsi"/>
        </w:rPr>
        <w:br w:type="page"/>
      </w:r>
    </w:p>
    <w:p w14:paraId="0EA54BE5" w14:textId="488F7676" w:rsidR="00C1169E" w:rsidRPr="00A02FB1" w:rsidRDefault="009D3BC7" w:rsidP="009D3BC7">
      <w:pPr>
        <w:pStyle w:val="Heading1"/>
        <w:numPr>
          <w:ilvl w:val="1"/>
          <w:numId w:val="18"/>
        </w:numPr>
        <w:tabs>
          <w:tab w:val="left" w:pos="1232"/>
        </w:tabs>
        <w:spacing w:before="240"/>
        <w:ind w:left="403" w:hanging="403"/>
        <w:jc w:val="left"/>
        <w:rPr>
          <w:rFonts w:asciiTheme="minorHAnsi" w:hAnsiTheme="minorHAnsi" w:cstheme="minorHAnsi"/>
        </w:rPr>
      </w:pPr>
      <w:r>
        <w:rPr>
          <w:rFonts w:asciiTheme="minorHAnsi" w:hAnsiTheme="minorHAnsi" w:cstheme="minorHAnsi"/>
        </w:rPr>
        <w:lastRenderedPageBreak/>
        <w:t xml:space="preserve"> </w:t>
      </w:r>
      <w:r>
        <w:rPr>
          <w:rFonts w:asciiTheme="minorHAnsi" w:hAnsiTheme="minorHAnsi" w:cstheme="minorHAnsi"/>
        </w:rPr>
        <w:tab/>
      </w:r>
      <w:r w:rsidR="00C1169E" w:rsidRPr="00A02FB1">
        <w:rPr>
          <w:rFonts w:asciiTheme="minorHAnsi" w:hAnsiTheme="minorHAnsi" w:cstheme="minorHAnsi"/>
        </w:rPr>
        <w:t>Individual conducting the</w:t>
      </w:r>
      <w:r w:rsidR="00C1169E" w:rsidRPr="00A02FB1">
        <w:rPr>
          <w:rFonts w:asciiTheme="minorHAnsi" w:hAnsiTheme="minorHAnsi" w:cstheme="minorHAnsi"/>
          <w:spacing w:val="1"/>
        </w:rPr>
        <w:t xml:space="preserve"> </w:t>
      </w:r>
      <w:r w:rsidR="00C1169E" w:rsidRPr="00A02FB1">
        <w:rPr>
          <w:rFonts w:asciiTheme="minorHAnsi" w:hAnsiTheme="minorHAnsi" w:cstheme="minorHAnsi"/>
        </w:rPr>
        <w:t>review</w:t>
      </w:r>
    </w:p>
    <w:p w14:paraId="73EB3DED" w14:textId="77777777" w:rsidR="00C1169E" w:rsidRPr="00A02FB1" w:rsidRDefault="00C1169E" w:rsidP="009D3BC7">
      <w:pPr>
        <w:pStyle w:val="BodyText"/>
        <w:spacing w:before="240"/>
        <w:rPr>
          <w:rFonts w:asciiTheme="minorHAnsi" w:hAnsiTheme="minorHAnsi" w:cstheme="minorHAnsi"/>
        </w:rPr>
      </w:pPr>
      <w:r w:rsidRPr="00A02FB1">
        <w:rPr>
          <w:rFonts w:asciiTheme="minorHAnsi" w:hAnsiTheme="minorHAnsi" w:cstheme="minorHAnsi"/>
        </w:rPr>
        <w:t>A review must be conducted by an individual appointed by the insurer who:</w:t>
      </w:r>
    </w:p>
    <w:p w14:paraId="22B3AC1A" w14:textId="77777777" w:rsidR="00C1169E" w:rsidRPr="00A02FB1" w:rsidRDefault="00C1169E" w:rsidP="009D3BC7">
      <w:pPr>
        <w:pStyle w:val="ListParagraph"/>
        <w:numPr>
          <w:ilvl w:val="2"/>
          <w:numId w:val="18"/>
        </w:numPr>
        <w:tabs>
          <w:tab w:val="left" w:pos="1843"/>
        </w:tabs>
        <w:spacing w:before="120" w:line="237" w:lineRule="auto"/>
        <w:ind w:left="1701" w:right="209" w:hanging="708"/>
        <w:rPr>
          <w:rFonts w:asciiTheme="minorHAnsi" w:hAnsiTheme="minorHAnsi" w:cstheme="minorHAnsi"/>
          <w:sz w:val="24"/>
          <w:szCs w:val="24"/>
        </w:rPr>
      </w:pPr>
      <w:r w:rsidRPr="00A02FB1">
        <w:rPr>
          <w:rFonts w:asciiTheme="minorHAnsi" w:hAnsiTheme="minorHAnsi" w:cstheme="minorHAnsi"/>
          <w:sz w:val="24"/>
          <w:szCs w:val="24"/>
        </w:rPr>
        <w:t>has the required skills, experience, knowledge, training, and capacity to conduct the internal review in accordance with the main objects of the MAI Act, and the duties and obligations of an insurer under the MAI Act;</w:t>
      </w:r>
      <w:r w:rsidRPr="00A02FB1">
        <w:rPr>
          <w:rFonts w:asciiTheme="minorHAnsi" w:hAnsiTheme="minorHAnsi" w:cstheme="minorHAnsi"/>
          <w:spacing w:val="-24"/>
          <w:sz w:val="24"/>
          <w:szCs w:val="24"/>
        </w:rPr>
        <w:t xml:space="preserve"> </w:t>
      </w:r>
      <w:r w:rsidRPr="00A02FB1">
        <w:rPr>
          <w:rFonts w:asciiTheme="minorHAnsi" w:hAnsiTheme="minorHAnsi" w:cstheme="minorHAnsi"/>
          <w:sz w:val="24"/>
          <w:szCs w:val="24"/>
        </w:rPr>
        <w:t>and</w:t>
      </w:r>
    </w:p>
    <w:p w14:paraId="61DE36C9" w14:textId="7A3D31AB" w:rsidR="00C1169E" w:rsidRPr="00A02FB1" w:rsidRDefault="00C1169E" w:rsidP="00110B79">
      <w:pPr>
        <w:pStyle w:val="ListParagraph"/>
        <w:numPr>
          <w:ilvl w:val="2"/>
          <w:numId w:val="18"/>
        </w:numPr>
        <w:tabs>
          <w:tab w:val="left" w:pos="1843"/>
        </w:tabs>
        <w:spacing w:before="3"/>
        <w:ind w:left="1701" w:right="450" w:hanging="708"/>
        <w:rPr>
          <w:rFonts w:asciiTheme="minorHAnsi" w:hAnsiTheme="minorHAnsi" w:cstheme="minorHAnsi"/>
          <w:sz w:val="24"/>
          <w:szCs w:val="24"/>
        </w:rPr>
      </w:pPr>
      <w:r w:rsidRPr="00A02FB1">
        <w:rPr>
          <w:rFonts w:asciiTheme="minorHAnsi" w:hAnsiTheme="minorHAnsi" w:cstheme="minorHAnsi"/>
          <w:sz w:val="24"/>
          <w:szCs w:val="24"/>
        </w:rPr>
        <w:t xml:space="preserve">was not involved in making or advising on the decision subject to the </w:t>
      </w:r>
      <w:r w:rsidR="004618DE" w:rsidRPr="00A02FB1">
        <w:rPr>
          <w:rFonts w:asciiTheme="minorHAnsi" w:hAnsiTheme="minorHAnsi" w:cstheme="minorHAnsi"/>
          <w:sz w:val="24"/>
          <w:szCs w:val="24"/>
        </w:rPr>
        <w:t>review or</w:t>
      </w:r>
      <w:r w:rsidRPr="00A02FB1">
        <w:rPr>
          <w:rFonts w:asciiTheme="minorHAnsi" w:hAnsiTheme="minorHAnsi" w:cstheme="minorHAnsi"/>
          <w:sz w:val="24"/>
          <w:szCs w:val="24"/>
        </w:rPr>
        <w:t xml:space="preserve"> was not the direct supervisor/manager of a person involved in making or advising on the decision subject to</w:t>
      </w:r>
      <w:r w:rsidRPr="00A02FB1">
        <w:rPr>
          <w:rFonts w:asciiTheme="minorHAnsi" w:hAnsiTheme="minorHAnsi" w:cstheme="minorHAnsi"/>
          <w:spacing w:val="-10"/>
          <w:sz w:val="24"/>
          <w:szCs w:val="24"/>
        </w:rPr>
        <w:t xml:space="preserve"> </w:t>
      </w:r>
      <w:r w:rsidRPr="00A02FB1">
        <w:rPr>
          <w:rFonts w:asciiTheme="minorHAnsi" w:hAnsiTheme="minorHAnsi" w:cstheme="minorHAnsi"/>
          <w:sz w:val="24"/>
          <w:szCs w:val="24"/>
        </w:rPr>
        <w:t>review.</w:t>
      </w:r>
    </w:p>
    <w:p w14:paraId="0F0C2CC1" w14:textId="68A73124" w:rsidR="00C1169E" w:rsidRPr="00A02FB1" w:rsidRDefault="009D3BC7" w:rsidP="009D3BC7">
      <w:pPr>
        <w:pStyle w:val="Heading1"/>
        <w:numPr>
          <w:ilvl w:val="1"/>
          <w:numId w:val="18"/>
        </w:numPr>
        <w:tabs>
          <w:tab w:val="left" w:pos="1232"/>
        </w:tabs>
        <w:spacing w:before="240"/>
        <w:ind w:left="403" w:hanging="403"/>
        <w:jc w:val="left"/>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C1169E" w:rsidRPr="00A02FB1">
        <w:rPr>
          <w:rFonts w:asciiTheme="minorHAnsi" w:hAnsiTheme="minorHAnsi" w:cstheme="minorHAnsi"/>
        </w:rPr>
        <w:t>Conducting an internal</w:t>
      </w:r>
      <w:r w:rsidR="00C1169E" w:rsidRPr="00A02FB1">
        <w:rPr>
          <w:rFonts w:asciiTheme="minorHAnsi" w:hAnsiTheme="minorHAnsi" w:cstheme="minorHAnsi"/>
          <w:spacing w:val="-3"/>
        </w:rPr>
        <w:t xml:space="preserve"> </w:t>
      </w:r>
      <w:r w:rsidR="00C1169E" w:rsidRPr="00A02FB1">
        <w:rPr>
          <w:rFonts w:asciiTheme="minorHAnsi" w:hAnsiTheme="minorHAnsi" w:cstheme="minorHAnsi"/>
        </w:rPr>
        <w:t>review</w:t>
      </w:r>
    </w:p>
    <w:p w14:paraId="488A9A28" w14:textId="1319EEB9" w:rsidR="00C1169E" w:rsidRPr="00A02FB1" w:rsidRDefault="008336C8" w:rsidP="009D3BC7">
      <w:pPr>
        <w:pStyle w:val="BodyText"/>
        <w:spacing w:before="240"/>
        <w:ind w:right="111"/>
        <w:jc w:val="both"/>
        <w:rPr>
          <w:rFonts w:asciiTheme="minorHAnsi" w:hAnsiTheme="minorHAnsi" w:cstheme="minorHAnsi"/>
        </w:rPr>
      </w:pPr>
      <w:r w:rsidRPr="008336C8">
        <w:rPr>
          <w:rFonts w:asciiTheme="minorHAnsi" w:hAnsiTheme="minorHAnsi" w:cstheme="minorHAnsi"/>
          <w:b/>
          <w:bCs/>
        </w:rPr>
        <w:t>4.4.1</w:t>
      </w:r>
      <w:r>
        <w:rPr>
          <w:rFonts w:asciiTheme="minorHAnsi" w:hAnsiTheme="minorHAnsi" w:cstheme="minorHAnsi"/>
        </w:rPr>
        <w:t xml:space="preserve">  </w:t>
      </w:r>
      <w:r w:rsidR="00C1169E" w:rsidRPr="00A02FB1">
        <w:rPr>
          <w:rFonts w:asciiTheme="minorHAnsi" w:hAnsiTheme="minorHAnsi" w:cstheme="minorHAnsi"/>
        </w:rPr>
        <w:t>An internal review is to be conducted in a manner that best supports the main objects of the MAI Act having regard to the personal circumstances and any special needs of an applicant, and the facts and circumstances that gave rise to the application for the review. This may include a document review, informal discussions with an applicant, a teleconference, a video conference or a face to face meeting, as appropriate.</w:t>
      </w:r>
    </w:p>
    <w:p w14:paraId="334A0A02" w14:textId="07D6A1CE" w:rsidR="00C1169E" w:rsidRPr="00A02FB1" w:rsidRDefault="008336C8" w:rsidP="009D3BC7">
      <w:pPr>
        <w:pStyle w:val="BodyText"/>
        <w:spacing w:before="240"/>
        <w:ind w:right="99"/>
        <w:rPr>
          <w:rFonts w:asciiTheme="minorHAnsi" w:hAnsiTheme="minorHAnsi" w:cstheme="minorHAnsi"/>
        </w:rPr>
      </w:pPr>
      <w:r>
        <w:rPr>
          <w:rFonts w:asciiTheme="minorHAnsi" w:hAnsiTheme="minorHAnsi" w:cstheme="minorHAnsi"/>
          <w:b/>
          <w:bCs/>
        </w:rPr>
        <w:t xml:space="preserve">4.4.2  </w:t>
      </w:r>
      <w:r w:rsidR="00C1169E" w:rsidRPr="00A02FB1">
        <w:rPr>
          <w:rFonts w:asciiTheme="minorHAnsi" w:hAnsiTheme="minorHAnsi" w:cstheme="minorHAnsi"/>
        </w:rPr>
        <w:t>An internal review should be conducted as informally as possible, having regard to the insurer’s own procedures, including procedures for documentary evidence and inquiries into matters relevant to the issues under review. A notice of a decision should be provided in plain English, and is to include reasons for the insurer’s decision and information, if relevant, about how the applicant may apply for an external review of the decision.</w:t>
      </w:r>
    </w:p>
    <w:p w14:paraId="4733B2CC" w14:textId="34EFEC34" w:rsidR="00C1169E" w:rsidRPr="00A02FB1" w:rsidRDefault="008336C8" w:rsidP="009D3BC7">
      <w:pPr>
        <w:pStyle w:val="Heading1"/>
        <w:tabs>
          <w:tab w:val="left" w:pos="2127"/>
        </w:tabs>
        <w:spacing w:before="240"/>
        <w:rPr>
          <w:rFonts w:asciiTheme="minorHAnsi" w:hAnsiTheme="minorHAnsi" w:cstheme="minorHAnsi"/>
        </w:rPr>
      </w:pPr>
      <w:r>
        <w:rPr>
          <w:rFonts w:asciiTheme="minorHAnsi" w:hAnsiTheme="minorHAnsi" w:cstheme="minorHAnsi"/>
        </w:rPr>
        <w:tab/>
      </w:r>
      <w:r w:rsidR="00C1169E" w:rsidRPr="00A02FB1">
        <w:rPr>
          <w:rFonts w:asciiTheme="minorHAnsi" w:hAnsiTheme="minorHAnsi" w:cstheme="minorHAnsi"/>
        </w:rPr>
        <w:t>Information to be considered for a</w:t>
      </w:r>
      <w:r w:rsidR="00C1169E" w:rsidRPr="00A02FB1">
        <w:rPr>
          <w:rFonts w:asciiTheme="minorHAnsi" w:hAnsiTheme="minorHAnsi" w:cstheme="minorHAnsi"/>
          <w:spacing w:val="-3"/>
        </w:rPr>
        <w:t xml:space="preserve"> </w:t>
      </w:r>
      <w:r w:rsidR="00C1169E" w:rsidRPr="00A02FB1">
        <w:rPr>
          <w:rFonts w:asciiTheme="minorHAnsi" w:hAnsiTheme="minorHAnsi" w:cstheme="minorHAnsi"/>
        </w:rPr>
        <w:t>review</w:t>
      </w:r>
    </w:p>
    <w:p w14:paraId="255F0A69" w14:textId="77777777" w:rsidR="00C1169E" w:rsidRPr="00A02FB1" w:rsidRDefault="00C1169E" w:rsidP="009D3BC7">
      <w:pPr>
        <w:pStyle w:val="BodyText"/>
        <w:spacing w:before="120"/>
        <w:ind w:left="465" w:right="380"/>
        <w:rPr>
          <w:rFonts w:asciiTheme="minorHAnsi" w:hAnsiTheme="minorHAnsi" w:cstheme="minorHAnsi"/>
        </w:rPr>
      </w:pPr>
      <w:r w:rsidRPr="00A02FB1">
        <w:rPr>
          <w:rFonts w:asciiTheme="minorHAnsi" w:hAnsiTheme="minorHAnsi" w:cstheme="minorHAnsi"/>
        </w:rPr>
        <w:t>Section 187 of the MAI Act requires an applicant to give the insurer the information an insurer requests and reasonably requires for the internal review.</w:t>
      </w:r>
    </w:p>
    <w:p w14:paraId="29A27C82" w14:textId="77777777" w:rsidR="00C1169E" w:rsidRPr="00A02FB1" w:rsidRDefault="00C1169E" w:rsidP="009D3BC7">
      <w:pPr>
        <w:pStyle w:val="BodyText"/>
        <w:spacing w:before="120"/>
        <w:ind w:left="465" w:right="780"/>
        <w:rPr>
          <w:rFonts w:asciiTheme="minorHAnsi" w:hAnsiTheme="minorHAnsi" w:cstheme="minorHAnsi"/>
        </w:rPr>
      </w:pPr>
      <w:r w:rsidRPr="00A02FB1">
        <w:rPr>
          <w:rFonts w:asciiTheme="minorHAnsi" w:hAnsiTheme="minorHAnsi" w:cstheme="minorHAnsi"/>
        </w:rPr>
        <w:t>An internal reviewer may also consider any information not provided before the decision being reviewed was made (see section 187).</w:t>
      </w:r>
    </w:p>
    <w:p w14:paraId="67E87042" w14:textId="650B4CAB" w:rsidR="00C1169E" w:rsidRPr="00A02FB1" w:rsidRDefault="00CB3960" w:rsidP="009D3BC7">
      <w:pPr>
        <w:pStyle w:val="Heading1"/>
        <w:tabs>
          <w:tab w:val="left" w:pos="1560"/>
        </w:tabs>
        <w:spacing w:before="240"/>
        <w:rPr>
          <w:rFonts w:asciiTheme="minorHAnsi" w:hAnsiTheme="minorHAnsi" w:cstheme="minorHAnsi"/>
        </w:rPr>
      </w:pPr>
      <w:r>
        <w:rPr>
          <w:rFonts w:asciiTheme="minorHAnsi" w:hAnsiTheme="minorHAnsi" w:cstheme="minorHAnsi"/>
        </w:rPr>
        <w:tab/>
      </w:r>
      <w:r w:rsidR="00C1169E" w:rsidRPr="00A02FB1">
        <w:rPr>
          <w:rFonts w:asciiTheme="minorHAnsi" w:hAnsiTheme="minorHAnsi" w:cstheme="minorHAnsi"/>
        </w:rPr>
        <w:t>Costs for an internal review</w:t>
      </w:r>
      <w:r w:rsidR="00C1169E" w:rsidRPr="00A02FB1">
        <w:rPr>
          <w:rFonts w:asciiTheme="minorHAnsi" w:hAnsiTheme="minorHAnsi" w:cstheme="minorHAnsi"/>
          <w:spacing w:val="1"/>
        </w:rPr>
        <w:t xml:space="preserve"> </w:t>
      </w:r>
      <w:r w:rsidR="00C1169E" w:rsidRPr="00A02FB1">
        <w:rPr>
          <w:rFonts w:asciiTheme="minorHAnsi" w:hAnsiTheme="minorHAnsi" w:cstheme="minorHAnsi"/>
        </w:rPr>
        <w:t>decision</w:t>
      </w:r>
    </w:p>
    <w:p w14:paraId="14B50531" w14:textId="77777777" w:rsidR="00C1169E" w:rsidRPr="00A02FB1" w:rsidRDefault="00C1169E" w:rsidP="009D3BC7">
      <w:pPr>
        <w:pStyle w:val="BodyText"/>
        <w:spacing w:before="120"/>
        <w:ind w:left="465" w:right="673"/>
        <w:rPr>
          <w:rFonts w:asciiTheme="minorHAnsi" w:hAnsiTheme="minorHAnsi" w:cstheme="minorHAnsi"/>
        </w:rPr>
      </w:pPr>
      <w:r w:rsidRPr="00A02FB1">
        <w:rPr>
          <w:rFonts w:asciiTheme="minorHAnsi" w:hAnsiTheme="minorHAnsi" w:cstheme="minorHAnsi"/>
        </w:rPr>
        <w:t>An insurer is not liable for the costs of the applicant in making an internal review application. This includes any legal services sought for the application.</w:t>
      </w:r>
    </w:p>
    <w:p w14:paraId="0FF55D63" w14:textId="77777777" w:rsidR="00C1169E" w:rsidRPr="00A02FB1" w:rsidRDefault="00C1169E" w:rsidP="009D3BC7">
      <w:pPr>
        <w:pStyle w:val="BodyText"/>
        <w:spacing w:before="120"/>
        <w:ind w:left="465" w:right="673"/>
        <w:rPr>
          <w:rFonts w:asciiTheme="minorHAnsi" w:hAnsiTheme="minorHAnsi" w:cstheme="minorHAnsi"/>
        </w:rPr>
      </w:pPr>
      <w:r w:rsidRPr="00A02FB1">
        <w:rPr>
          <w:rFonts w:asciiTheme="minorHAnsi" w:hAnsiTheme="minorHAnsi" w:cstheme="minorHAnsi"/>
        </w:rPr>
        <w:t xml:space="preserve">An insurer must not impose any fees or costs on an applicant for the conduct of an internal review. </w:t>
      </w:r>
    </w:p>
    <w:p w14:paraId="1AE0496F" w14:textId="5384B95B" w:rsidR="00C1169E" w:rsidRPr="00A02FB1" w:rsidRDefault="009D3BC7" w:rsidP="009D3BC7">
      <w:pPr>
        <w:pStyle w:val="Heading1"/>
        <w:numPr>
          <w:ilvl w:val="0"/>
          <w:numId w:val="19"/>
        </w:numPr>
        <w:tabs>
          <w:tab w:val="left" w:pos="610"/>
        </w:tabs>
        <w:spacing w:before="240"/>
        <w:ind w:left="360"/>
        <w:jc w:val="left"/>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C1169E" w:rsidRPr="00A02FB1">
        <w:rPr>
          <w:rFonts w:asciiTheme="minorHAnsi" w:hAnsiTheme="minorHAnsi" w:cstheme="minorHAnsi"/>
        </w:rPr>
        <w:t>GUIDELINES - Internal review decision – (Section</w:t>
      </w:r>
      <w:r w:rsidR="00C1169E" w:rsidRPr="00A02FB1">
        <w:rPr>
          <w:rFonts w:asciiTheme="minorHAnsi" w:hAnsiTheme="minorHAnsi" w:cstheme="minorHAnsi"/>
          <w:spacing w:val="-2"/>
        </w:rPr>
        <w:t xml:space="preserve"> </w:t>
      </w:r>
      <w:r w:rsidR="00C1169E" w:rsidRPr="00A02FB1">
        <w:rPr>
          <w:rFonts w:asciiTheme="minorHAnsi" w:hAnsiTheme="minorHAnsi" w:cstheme="minorHAnsi"/>
        </w:rPr>
        <w:t>191)</w:t>
      </w:r>
    </w:p>
    <w:p w14:paraId="5A1BE0C2" w14:textId="7A370842" w:rsidR="009D3BC7" w:rsidRDefault="00CB3960" w:rsidP="00CB3960">
      <w:pPr>
        <w:pStyle w:val="BodyText"/>
        <w:spacing w:before="240"/>
        <w:rPr>
          <w:rFonts w:asciiTheme="minorHAnsi" w:hAnsiTheme="minorHAnsi" w:cstheme="minorHAnsi"/>
        </w:rPr>
      </w:pPr>
      <w:r w:rsidRPr="00CB3960">
        <w:rPr>
          <w:rFonts w:asciiTheme="minorHAnsi" w:hAnsiTheme="minorHAnsi" w:cstheme="minorHAnsi"/>
          <w:b/>
          <w:bCs/>
        </w:rPr>
        <w:t>5.1</w:t>
      </w:r>
      <w:r>
        <w:rPr>
          <w:rFonts w:asciiTheme="minorHAnsi" w:hAnsiTheme="minorHAnsi" w:cstheme="minorHAnsi"/>
        </w:rPr>
        <w:t xml:space="preserve">  </w:t>
      </w:r>
      <w:r w:rsidR="00C1169E" w:rsidRPr="00A02FB1">
        <w:rPr>
          <w:rFonts w:asciiTheme="minorHAnsi" w:hAnsiTheme="minorHAnsi" w:cstheme="minorHAnsi"/>
        </w:rPr>
        <w:t>These guidelines make provision for the particular circumstances for extending the date of an internal review decision.</w:t>
      </w:r>
      <w:r>
        <w:rPr>
          <w:rFonts w:asciiTheme="minorHAnsi" w:hAnsiTheme="minorHAnsi" w:cstheme="minorHAnsi"/>
        </w:rPr>
        <w:t xml:space="preserve"> </w:t>
      </w:r>
      <w:r w:rsidR="00C1169E" w:rsidRPr="00A02FB1">
        <w:rPr>
          <w:rFonts w:asciiTheme="minorHAnsi" w:hAnsiTheme="minorHAnsi" w:cstheme="minorHAnsi"/>
        </w:rPr>
        <w:t xml:space="preserve">Under section 191 of the MAI Act an insurer must within 10 business </w:t>
      </w:r>
      <w:r w:rsidR="00015E60" w:rsidRPr="00A02FB1">
        <w:rPr>
          <w:rFonts w:asciiTheme="minorHAnsi" w:hAnsiTheme="minorHAnsi" w:cstheme="minorHAnsi"/>
        </w:rPr>
        <w:t xml:space="preserve">days </w:t>
      </w:r>
      <w:r w:rsidR="00C1169E" w:rsidRPr="00A02FB1">
        <w:rPr>
          <w:rFonts w:asciiTheme="minorHAnsi" w:hAnsiTheme="minorHAnsi" w:cstheme="minorHAnsi"/>
        </w:rPr>
        <w:t>of receiving an application for internal review, either affirm, amend or set aside the decision.</w:t>
      </w:r>
      <w:r w:rsidR="009D3BC7">
        <w:rPr>
          <w:rFonts w:asciiTheme="minorHAnsi" w:hAnsiTheme="minorHAnsi" w:cstheme="minorHAnsi"/>
        </w:rPr>
        <w:br w:type="page"/>
      </w:r>
    </w:p>
    <w:p w14:paraId="25C6FACD" w14:textId="759A88E8" w:rsidR="00C1169E" w:rsidRPr="00A02FB1" w:rsidRDefault="00CB3960" w:rsidP="009D4CFC">
      <w:pPr>
        <w:pStyle w:val="BodyText"/>
        <w:spacing w:before="240"/>
        <w:rPr>
          <w:rFonts w:asciiTheme="minorHAnsi" w:hAnsiTheme="minorHAnsi" w:cstheme="minorHAnsi"/>
        </w:rPr>
      </w:pPr>
      <w:r>
        <w:rPr>
          <w:rFonts w:asciiTheme="minorHAnsi" w:hAnsiTheme="minorHAnsi" w:cstheme="minorHAnsi"/>
          <w:b/>
          <w:bCs/>
        </w:rPr>
        <w:lastRenderedPageBreak/>
        <w:t xml:space="preserve">5.2  </w:t>
      </w:r>
      <w:r w:rsidR="00C1169E" w:rsidRPr="00A02FB1">
        <w:rPr>
          <w:rFonts w:asciiTheme="minorHAnsi" w:hAnsiTheme="minorHAnsi" w:cstheme="minorHAnsi"/>
        </w:rPr>
        <w:t>The following circumstances apply for extending the period of 10 business days for an internal review decision:</w:t>
      </w:r>
    </w:p>
    <w:p w14:paraId="5D903FBF" w14:textId="77777777" w:rsidR="00C1169E" w:rsidRPr="00A02FB1" w:rsidRDefault="00C1169E" w:rsidP="00110B79">
      <w:pPr>
        <w:pStyle w:val="ListParagraph"/>
        <w:numPr>
          <w:ilvl w:val="1"/>
          <w:numId w:val="19"/>
        </w:numPr>
        <w:tabs>
          <w:tab w:val="left" w:pos="1843"/>
        </w:tabs>
        <w:spacing w:before="120"/>
        <w:ind w:left="1701" w:right="375" w:hanging="708"/>
        <w:rPr>
          <w:rFonts w:asciiTheme="minorHAnsi" w:hAnsiTheme="minorHAnsi" w:cstheme="minorHAnsi"/>
          <w:sz w:val="24"/>
          <w:szCs w:val="24"/>
        </w:rPr>
      </w:pPr>
      <w:r w:rsidRPr="00A02FB1">
        <w:rPr>
          <w:rFonts w:asciiTheme="minorHAnsi" w:hAnsiTheme="minorHAnsi" w:cstheme="minorHAnsi"/>
          <w:sz w:val="24"/>
          <w:szCs w:val="24"/>
        </w:rPr>
        <w:t>an extension of 5 business days applies if the insurer considers any additional information or documents that were not available at the time of the decision being reviewed. This may include information given to the insurer by the applicant at the time of the application alongside any other new information the insurer considers as part of the</w:t>
      </w:r>
      <w:r w:rsidRPr="00A02FB1">
        <w:rPr>
          <w:rFonts w:asciiTheme="minorHAnsi" w:hAnsiTheme="minorHAnsi" w:cstheme="minorHAnsi"/>
          <w:spacing w:val="-10"/>
          <w:sz w:val="24"/>
          <w:szCs w:val="24"/>
        </w:rPr>
        <w:t xml:space="preserve"> </w:t>
      </w:r>
      <w:r w:rsidRPr="00A02FB1">
        <w:rPr>
          <w:rFonts w:asciiTheme="minorHAnsi" w:hAnsiTheme="minorHAnsi" w:cstheme="minorHAnsi"/>
          <w:sz w:val="24"/>
          <w:szCs w:val="24"/>
        </w:rPr>
        <w:t>review;</w:t>
      </w:r>
    </w:p>
    <w:p w14:paraId="01EA61D9" w14:textId="77777777" w:rsidR="00C1169E" w:rsidRPr="00A02FB1" w:rsidRDefault="00C1169E" w:rsidP="00110B79">
      <w:pPr>
        <w:pStyle w:val="ListParagraph"/>
        <w:numPr>
          <w:ilvl w:val="1"/>
          <w:numId w:val="19"/>
        </w:numPr>
        <w:tabs>
          <w:tab w:val="left" w:pos="1843"/>
        </w:tabs>
        <w:ind w:left="1701" w:right="491" w:hanging="708"/>
        <w:rPr>
          <w:rFonts w:asciiTheme="minorHAnsi" w:hAnsiTheme="minorHAnsi" w:cstheme="minorHAnsi"/>
          <w:sz w:val="24"/>
          <w:szCs w:val="24"/>
        </w:rPr>
      </w:pPr>
      <w:r w:rsidRPr="00A02FB1">
        <w:rPr>
          <w:rFonts w:asciiTheme="minorHAnsi" w:hAnsiTheme="minorHAnsi" w:cstheme="minorHAnsi"/>
          <w:sz w:val="24"/>
          <w:szCs w:val="24"/>
        </w:rPr>
        <w:t>an extension of 10 business days applies if the insurer has requested additional information or documents from an applicant. The time applies from when the insurer receives the requested</w:t>
      </w:r>
      <w:r w:rsidRPr="00A02FB1">
        <w:rPr>
          <w:rFonts w:asciiTheme="minorHAnsi" w:hAnsiTheme="minorHAnsi" w:cstheme="minorHAnsi"/>
          <w:spacing w:val="-9"/>
          <w:sz w:val="24"/>
          <w:szCs w:val="24"/>
        </w:rPr>
        <w:t xml:space="preserve"> </w:t>
      </w:r>
      <w:r w:rsidRPr="00A02FB1">
        <w:rPr>
          <w:rFonts w:asciiTheme="minorHAnsi" w:hAnsiTheme="minorHAnsi" w:cstheme="minorHAnsi"/>
          <w:sz w:val="24"/>
          <w:szCs w:val="24"/>
        </w:rPr>
        <w:t>information;</w:t>
      </w:r>
    </w:p>
    <w:p w14:paraId="17B8850C" w14:textId="18A761A3" w:rsidR="00C1169E" w:rsidRPr="00A02FB1" w:rsidRDefault="00C1169E" w:rsidP="00110B79">
      <w:pPr>
        <w:pStyle w:val="ListParagraph"/>
        <w:numPr>
          <w:ilvl w:val="1"/>
          <w:numId w:val="19"/>
        </w:numPr>
        <w:tabs>
          <w:tab w:val="left" w:pos="1843"/>
        </w:tabs>
        <w:ind w:left="1701" w:right="133" w:hanging="708"/>
        <w:rPr>
          <w:rFonts w:asciiTheme="minorHAnsi" w:hAnsiTheme="minorHAnsi" w:cstheme="minorHAnsi"/>
          <w:sz w:val="24"/>
          <w:szCs w:val="24"/>
        </w:rPr>
      </w:pPr>
      <w:r w:rsidRPr="00A02FB1">
        <w:rPr>
          <w:rFonts w:asciiTheme="minorHAnsi" w:hAnsiTheme="minorHAnsi" w:cstheme="minorHAnsi"/>
          <w:sz w:val="24"/>
          <w:szCs w:val="24"/>
        </w:rPr>
        <w:t xml:space="preserve">an extension of 10 business days applies if the applicant has requested additional information or a </w:t>
      </w:r>
      <w:r w:rsidR="004618DE" w:rsidRPr="00A02FB1">
        <w:rPr>
          <w:rFonts w:asciiTheme="minorHAnsi" w:hAnsiTheme="minorHAnsi" w:cstheme="minorHAnsi"/>
          <w:sz w:val="24"/>
          <w:szCs w:val="24"/>
        </w:rPr>
        <w:t>document</w:t>
      </w:r>
      <w:r w:rsidRPr="00A02FB1">
        <w:rPr>
          <w:rFonts w:asciiTheme="minorHAnsi" w:hAnsiTheme="minorHAnsi" w:cstheme="minorHAnsi"/>
          <w:sz w:val="24"/>
          <w:szCs w:val="24"/>
        </w:rPr>
        <w:t xml:space="preserve"> from a third party to support an application. The time applies from when the insurer receives the requested information. In these circumstances an applicant must tell the insurer about the request to the third party.</w:t>
      </w:r>
    </w:p>
    <w:p w14:paraId="19352B54" w14:textId="3469BB37" w:rsidR="00371635" w:rsidRPr="00A02FB1" w:rsidRDefault="00CB3960" w:rsidP="009D3BC7">
      <w:pPr>
        <w:pStyle w:val="BodyText"/>
        <w:spacing w:before="240"/>
        <w:ind w:right="313"/>
        <w:rPr>
          <w:rFonts w:asciiTheme="minorHAnsi" w:eastAsia="Calibri" w:hAnsiTheme="minorHAnsi" w:cstheme="minorHAnsi"/>
        </w:rPr>
      </w:pPr>
      <w:r>
        <w:rPr>
          <w:rFonts w:asciiTheme="minorHAnsi" w:hAnsiTheme="minorHAnsi" w:cstheme="minorHAnsi"/>
          <w:b/>
          <w:bCs/>
        </w:rPr>
        <w:t xml:space="preserve">5.3  </w:t>
      </w:r>
      <w:r w:rsidR="00C1169E" w:rsidRPr="00A02FB1">
        <w:rPr>
          <w:rFonts w:asciiTheme="minorHAnsi" w:hAnsiTheme="minorHAnsi" w:cstheme="minorHAnsi"/>
        </w:rPr>
        <w:t>The insurer should advise the applicant as soon as practicable that the extension is in effect</w:t>
      </w:r>
      <w:r w:rsidR="009D4CFC" w:rsidRPr="00A02FB1">
        <w:rPr>
          <w:rFonts w:asciiTheme="minorHAnsi" w:hAnsiTheme="minorHAnsi" w:cstheme="minorHAnsi"/>
        </w:rPr>
        <w:t>.</w:t>
      </w:r>
    </w:p>
    <w:sectPr w:rsidR="00371635" w:rsidRPr="00A02FB1" w:rsidSect="00BF55C3">
      <w:headerReference w:type="first" r:id="rId14"/>
      <w:footerReference w:type="first" r:id="rId15"/>
      <w:pgSz w:w="11910" w:h="16840"/>
      <w:pgMar w:top="1582" w:right="1440" w:bottom="1440" w:left="1440" w:header="737" w:footer="6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83EF6" w14:textId="77777777" w:rsidR="00204E75" w:rsidRDefault="00204E75" w:rsidP="00C1169E">
      <w:r>
        <w:separator/>
      </w:r>
    </w:p>
  </w:endnote>
  <w:endnote w:type="continuationSeparator" w:id="0">
    <w:p w14:paraId="6F63DC3C" w14:textId="77777777" w:rsidR="00204E75" w:rsidRDefault="00204E75" w:rsidP="00C1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11DB" w14:textId="77777777" w:rsidR="00706D8A" w:rsidRDefault="00706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9B025" w14:textId="75EFF7FF" w:rsidR="00BF55C3" w:rsidRPr="00706D8A" w:rsidRDefault="00BF55C3" w:rsidP="00706D8A">
    <w:pPr>
      <w:jc w:val="center"/>
      <w:rPr>
        <w:sz w:val="14"/>
        <w:szCs w:val="14"/>
      </w:rPr>
    </w:pPr>
    <w:r w:rsidRPr="00706D8A">
      <w:rPr>
        <w:noProof/>
        <w:sz w:val="14"/>
      </w:rPr>
      <mc:AlternateContent>
        <mc:Choice Requires="wps">
          <w:drawing>
            <wp:anchor distT="0" distB="0" distL="114300" distR="114300" simplePos="0" relativeHeight="251657728" behindDoc="1" locked="0" layoutInCell="1" allowOverlap="1" wp14:anchorId="2B5A9A14" wp14:editId="77CC789D">
              <wp:simplePos x="0" y="0"/>
              <wp:positionH relativeFrom="page">
                <wp:posOffset>3717925</wp:posOffset>
              </wp:positionH>
              <wp:positionV relativeFrom="page">
                <wp:posOffset>9922510</wp:posOffset>
              </wp:positionV>
              <wp:extent cx="221615" cy="196215"/>
              <wp:effectExtent l="3175"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3534" w14:textId="77777777" w:rsidR="00204E75" w:rsidRDefault="00204E75">
                          <w:pPr>
                            <w:pStyle w:val="BodyText"/>
                            <w:spacing w:before="12"/>
                            <w:ind w:left="4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A9A14" id="_x0000_t202" coordsize="21600,21600" o:spt="202" path="m,l,21600r21600,l21600,xe">
              <v:stroke joinstyle="miter"/>
              <v:path gradientshapeok="t" o:connecttype="rect"/>
            </v:shapetype>
            <v:shape id="Text Box 5" o:spid="_x0000_s1026" type="#_x0000_t202" style="position:absolute;left:0;text-align:left;margin-left:292.75pt;margin-top:781.3pt;width:17.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i3qgIAAKg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" filled="f" stroked="f">
              <v:textbox inset="0,0,0,0">
                <w:txbxContent>
                  <w:p w14:paraId="55623534" w14:textId="77777777" w:rsidR="00204E75" w:rsidRDefault="00204E75">
                    <w:pPr>
                      <w:pStyle w:val="BodyText"/>
                      <w:spacing w:before="12"/>
                      <w:ind w:left="4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r w:rsidR="00706D8A" w:rsidRPr="00706D8A">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E23F" w14:textId="75A27F06" w:rsidR="00706D8A" w:rsidRPr="00706D8A" w:rsidRDefault="00706D8A" w:rsidP="00706D8A">
    <w:pPr>
      <w:pStyle w:val="Footer"/>
      <w:jc w:val="center"/>
      <w:rPr>
        <w:sz w:val="14"/>
      </w:rPr>
    </w:pPr>
    <w:r w:rsidRPr="00706D8A">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5590" w14:textId="208A2E22" w:rsidR="00C425F8" w:rsidRPr="00706D8A" w:rsidRDefault="00706D8A" w:rsidP="00706D8A">
    <w:pPr>
      <w:pStyle w:val="Footer"/>
      <w:jc w:val="center"/>
      <w:rPr>
        <w:sz w:val="14"/>
      </w:rPr>
    </w:pPr>
    <w:r w:rsidRPr="00706D8A">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25CAF" w14:textId="77777777" w:rsidR="00204E75" w:rsidRDefault="00204E75" w:rsidP="00C1169E">
      <w:r>
        <w:separator/>
      </w:r>
    </w:p>
  </w:footnote>
  <w:footnote w:type="continuationSeparator" w:id="0">
    <w:p w14:paraId="776FF32B" w14:textId="77777777" w:rsidR="00204E75" w:rsidRDefault="00204E75" w:rsidP="00C11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4554" w14:textId="77777777" w:rsidR="00706D8A" w:rsidRDefault="00706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A8A3" w14:textId="77777777" w:rsidR="00706D8A" w:rsidRDefault="00706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9899B" w14:textId="77777777" w:rsidR="00706D8A" w:rsidRDefault="00706D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7B3AA" w14:textId="77777777" w:rsidR="00C425F8" w:rsidRDefault="00C425F8">
    <w:pPr>
      <w:pStyle w:val="Header"/>
    </w:pPr>
    <w:r>
      <w:rPr>
        <w:noProof/>
      </w:rPr>
      <w:drawing>
        <wp:inline distT="0" distB="0" distL="0" distR="0" wp14:anchorId="1FBD5BBC" wp14:editId="3E750C5F">
          <wp:extent cx="3045600" cy="540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600" cy="540000"/>
                  </a:xfrm>
                  <a:prstGeom prst="rect">
                    <a:avLst/>
                  </a:prstGeom>
                  <a:noFill/>
                  <a:ln>
                    <a:noFill/>
                  </a:ln>
                </pic:spPr>
              </pic:pic>
            </a:graphicData>
          </a:graphic>
        </wp:inline>
      </w:drawing>
    </w:r>
  </w:p>
  <w:p w14:paraId="2D0479B2" w14:textId="77777777" w:rsidR="00C425F8" w:rsidRPr="009D4CFC" w:rsidRDefault="00C425F8" w:rsidP="009D4CFC">
    <w:pPr>
      <w:pStyle w:val="Header"/>
      <w:spacing w:before="360"/>
      <w:rPr>
        <w:rFonts w:ascii="Calibri" w:hAnsi="Calibri"/>
        <w:sz w:val="40"/>
      </w:rPr>
    </w:pPr>
    <w:r>
      <w:rPr>
        <w:rFonts w:ascii="Calibri" w:hAnsi="Calibri"/>
        <w:sz w:val="40"/>
      </w:rPr>
      <w:t>Internal Review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134"/>
    <w:multiLevelType w:val="hybridMultilevel"/>
    <w:tmpl w:val="0D8ADC9A"/>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 w15:restartNumberingAfterBreak="0">
    <w:nsid w:val="04E31C68"/>
    <w:multiLevelType w:val="multilevel"/>
    <w:tmpl w:val="306880B2"/>
    <w:lvl w:ilvl="0">
      <w:start w:val="5"/>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668" w:hanging="567"/>
      </w:pPr>
      <w:rPr>
        <w:rFonts w:ascii="Symbol" w:eastAsia="Symbol" w:hAnsi="Symbol" w:cs="Symbol" w:hint="default"/>
        <w:w w:val="100"/>
        <w:sz w:val="24"/>
        <w:szCs w:val="24"/>
      </w:rPr>
    </w:lvl>
    <w:lvl w:ilvl="3">
      <w:numFmt w:val="bullet"/>
      <w:lvlText w:val="•"/>
      <w:lvlJc w:val="left"/>
      <w:pPr>
        <w:ind w:left="2655" w:hanging="567"/>
      </w:pPr>
      <w:rPr>
        <w:rFonts w:hint="default"/>
      </w:rPr>
    </w:lvl>
    <w:lvl w:ilvl="4">
      <w:numFmt w:val="bullet"/>
      <w:lvlText w:val="•"/>
      <w:lvlJc w:val="left"/>
      <w:pPr>
        <w:ind w:left="3651" w:hanging="567"/>
      </w:pPr>
      <w:rPr>
        <w:rFonts w:hint="default"/>
      </w:rPr>
    </w:lvl>
    <w:lvl w:ilvl="5">
      <w:numFmt w:val="bullet"/>
      <w:lvlText w:val="•"/>
      <w:lvlJc w:val="left"/>
      <w:pPr>
        <w:ind w:left="4647" w:hanging="567"/>
      </w:pPr>
      <w:rPr>
        <w:rFonts w:hint="default"/>
      </w:rPr>
    </w:lvl>
    <w:lvl w:ilvl="6">
      <w:numFmt w:val="bullet"/>
      <w:lvlText w:val="•"/>
      <w:lvlJc w:val="left"/>
      <w:pPr>
        <w:ind w:left="5643" w:hanging="567"/>
      </w:pPr>
      <w:rPr>
        <w:rFonts w:hint="default"/>
      </w:rPr>
    </w:lvl>
    <w:lvl w:ilvl="7">
      <w:numFmt w:val="bullet"/>
      <w:lvlText w:val="•"/>
      <w:lvlJc w:val="left"/>
      <w:pPr>
        <w:ind w:left="6639" w:hanging="567"/>
      </w:pPr>
      <w:rPr>
        <w:rFonts w:hint="default"/>
      </w:rPr>
    </w:lvl>
    <w:lvl w:ilvl="8">
      <w:numFmt w:val="bullet"/>
      <w:lvlText w:val="•"/>
      <w:lvlJc w:val="left"/>
      <w:pPr>
        <w:ind w:left="7634" w:hanging="567"/>
      </w:pPr>
      <w:rPr>
        <w:rFonts w:hint="default"/>
      </w:rPr>
    </w:lvl>
  </w:abstractNum>
  <w:abstractNum w:abstractNumId="2" w15:restartNumberingAfterBreak="0">
    <w:nsid w:val="0AE940E7"/>
    <w:multiLevelType w:val="hybridMultilevel"/>
    <w:tmpl w:val="333AB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835DB"/>
    <w:multiLevelType w:val="multilevel"/>
    <w:tmpl w:val="F9B8AD06"/>
    <w:lvl w:ilvl="0">
      <w:start w:val="5"/>
      <w:numFmt w:val="decimal"/>
      <w:lvlText w:val="%1"/>
      <w:lvlJc w:val="left"/>
      <w:pPr>
        <w:ind w:left="890" w:hanging="500"/>
      </w:pPr>
      <w:rPr>
        <w:rFonts w:hint="default"/>
      </w:rPr>
    </w:lvl>
    <w:lvl w:ilvl="1">
      <w:start w:val="1"/>
      <w:numFmt w:val="decimal"/>
      <w:lvlText w:val="%1.%2."/>
      <w:lvlJc w:val="left"/>
      <w:pPr>
        <w:ind w:left="890" w:hanging="500"/>
      </w:pPr>
      <w:rPr>
        <w:rFonts w:ascii="Arial" w:eastAsia="Arial" w:hAnsi="Arial" w:cs="Arial" w:hint="default"/>
        <w:b/>
        <w:bCs/>
        <w:w w:val="100"/>
        <w:sz w:val="24"/>
        <w:szCs w:val="24"/>
      </w:rPr>
    </w:lvl>
    <w:lvl w:ilvl="2">
      <w:numFmt w:val="bullet"/>
      <w:lvlText w:val=""/>
      <w:lvlJc w:val="left"/>
      <w:pPr>
        <w:ind w:left="1332" w:hanging="504"/>
      </w:pPr>
      <w:rPr>
        <w:rFonts w:ascii="Symbol" w:eastAsia="Symbol" w:hAnsi="Symbol" w:cs="Symbol" w:hint="default"/>
        <w:w w:val="100"/>
        <w:sz w:val="24"/>
        <w:szCs w:val="24"/>
      </w:rPr>
    </w:lvl>
    <w:lvl w:ilvl="3">
      <w:numFmt w:val="bullet"/>
      <w:lvlText w:val="•"/>
      <w:lvlJc w:val="left"/>
      <w:pPr>
        <w:ind w:left="3181" w:hanging="504"/>
      </w:pPr>
      <w:rPr>
        <w:rFonts w:hint="default"/>
      </w:rPr>
    </w:lvl>
    <w:lvl w:ilvl="4">
      <w:numFmt w:val="bullet"/>
      <w:lvlText w:val="•"/>
      <w:lvlJc w:val="left"/>
      <w:pPr>
        <w:ind w:left="4102" w:hanging="504"/>
      </w:pPr>
      <w:rPr>
        <w:rFonts w:hint="default"/>
      </w:rPr>
    </w:lvl>
    <w:lvl w:ilvl="5">
      <w:numFmt w:val="bullet"/>
      <w:lvlText w:val="•"/>
      <w:lvlJc w:val="left"/>
      <w:pPr>
        <w:ind w:left="5022" w:hanging="504"/>
      </w:pPr>
      <w:rPr>
        <w:rFonts w:hint="default"/>
      </w:rPr>
    </w:lvl>
    <w:lvl w:ilvl="6">
      <w:numFmt w:val="bullet"/>
      <w:lvlText w:val="•"/>
      <w:lvlJc w:val="left"/>
      <w:pPr>
        <w:ind w:left="5943" w:hanging="504"/>
      </w:pPr>
      <w:rPr>
        <w:rFonts w:hint="default"/>
      </w:rPr>
    </w:lvl>
    <w:lvl w:ilvl="7">
      <w:numFmt w:val="bullet"/>
      <w:lvlText w:val="•"/>
      <w:lvlJc w:val="left"/>
      <w:pPr>
        <w:ind w:left="6864" w:hanging="504"/>
      </w:pPr>
      <w:rPr>
        <w:rFonts w:hint="default"/>
      </w:rPr>
    </w:lvl>
    <w:lvl w:ilvl="8">
      <w:numFmt w:val="bullet"/>
      <w:lvlText w:val="•"/>
      <w:lvlJc w:val="left"/>
      <w:pPr>
        <w:ind w:left="7784" w:hanging="504"/>
      </w:pPr>
      <w:rPr>
        <w:rFonts w:hint="default"/>
      </w:rPr>
    </w:lvl>
  </w:abstractNum>
  <w:abstractNum w:abstractNumId="4" w15:restartNumberingAfterBreak="0">
    <w:nsid w:val="0D290427"/>
    <w:multiLevelType w:val="hybridMultilevel"/>
    <w:tmpl w:val="E9003BBE"/>
    <w:lvl w:ilvl="0" w:tplc="CFFA2CB2">
      <w:start w:val="7"/>
      <w:numFmt w:val="decimal"/>
      <w:lvlText w:val="%1."/>
      <w:lvlJc w:val="left"/>
      <w:pPr>
        <w:ind w:left="468" w:hanging="360"/>
      </w:pPr>
      <w:rPr>
        <w:rFonts w:ascii="Arial" w:eastAsia="Arial" w:hAnsi="Arial" w:cs="Arial" w:hint="default"/>
        <w:b/>
        <w:bCs/>
        <w:spacing w:val="-1"/>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E37054"/>
    <w:multiLevelType w:val="hybridMultilevel"/>
    <w:tmpl w:val="21946F4E"/>
    <w:lvl w:ilvl="0" w:tplc="5E565D86">
      <w:start w:val="1"/>
      <w:numFmt w:val="decimal"/>
      <w:lvlText w:val="%1."/>
      <w:lvlJc w:val="left"/>
      <w:pPr>
        <w:ind w:left="468" w:hanging="360"/>
        <w:jc w:val="right"/>
      </w:pPr>
      <w:rPr>
        <w:rFonts w:ascii="Arial" w:eastAsia="Arial" w:hAnsi="Arial" w:cs="Arial" w:hint="default"/>
        <w:b/>
        <w:bCs/>
        <w:spacing w:val="-1"/>
        <w:w w:val="100"/>
        <w:sz w:val="24"/>
        <w:szCs w:val="24"/>
      </w:rPr>
    </w:lvl>
    <w:lvl w:ilvl="1" w:tplc="5B5C338E">
      <w:numFmt w:val="bullet"/>
      <w:lvlText w:val=""/>
      <w:lvlJc w:val="left"/>
      <w:pPr>
        <w:ind w:left="1332" w:hanging="504"/>
      </w:pPr>
      <w:rPr>
        <w:rFonts w:ascii="Symbol" w:eastAsia="Symbol" w:hAnsi="Symbol" w:cs="Symbol" w:hint="default"/>
        <w:w w:val="100"/>
        <w:sz w:val="24"/>
        <w:szCs w:val="24"/>
      </w:rPr>
    </w:lvl>
    <w:lvl w:ilvl="2" w:tplc="44CCB220">
      <w:numFmt w:val="bullet"/>
      <w:lvlText w:val="•"/>
      <w:lvlJc w:val="left"/>
      <w:pPr>
        <w:ind w:left="1520" w:hanging="504"/>
      </w:pPr>
      <w:rPr>
        <w:rFonts w:hint="default"/>
      </w:rPr>
    </w:lvl>
    <w:lvl w:ilvl="3" w:tplc="0C3004B0">
      <w:numFmt w:val="bullet"/>
      <w:lvlText w:val="•"/>
      <w:lvlJc w:val="left"/>
      <w:pPr>
        <w:ind w:left="2533" w:hanging="504"/>
      </w:pPr>
      <w:rPr>
        <w:rFonts w:hint="default"/>
      </w:rPr>
    </w:lvl>
    <w:lvl w:ilvl="4" w:tplc="29589E32">
      <w:numFmt w:val="bullet"/>
      <w:lvlText w:val="•"/>
      <w:lvlJc w:val="left"/>
      <w:pPr>
        <w:ind w:left="3546" w:hanging="504"/>
      </w:pPr>
      <w:rPr>
        <w:rFonts w:hint="default"/>
      </w:rPr>
    </w:lvl>
    <w:lvl w:ilvl="5" w:tplc="91866576">
      <w:numFmt w:val="bullet"/>
      <w:lvlText w:val="•"/>
      <w:lvlJc w:val="left"/>
      <w:pPr>
        <w:ind w:left="4559" w:hanging="504"/>
      </w:pPr>
      <w:rPr>
        <w:rFonts w:hint="default"/>
      </w:rPr>
    </w:lvl>
    <w:lvl w:ilvl="6" w:tplc="E896628A">
      <w:numFmt w:val="bullet"/>
      <w:lvlText w:val="•"/>
      <w:lvlJc w:val="left"/>
      <w:pPr>
        <w:ind w:left="5573" w:hanging="504"/>
      </w:pPr>
      <w:rPr>
        <w:rFonts w:hint="default"/>
      </w:rPr>
    </w:lvl>
    <w:lvl w:ilvl="7" w:tplc="BDD41DBC">
      <w:numFmt w:val="bullet"/>
      <w:lvlText w:val="•"/>
      <w:lvlJc w:val="left"/>
      <w:pPr>
        <w:ind w:left="6586" w:hanging="504"/>
      </w:pPr>
      <w:rPr>
        <w:rFonts w:hint="default"/>
      </w:rPr>
    </w:lvl>
    <w:lvl w:ilvl="8" w:tplc="26DC3BC8">
      <w:numFmt w:val="bullet"/>
      <w:lvlText w:val="•"/>
      <w:lvlJc w:val="left"/>
      <w:pPr>
        <w:ind w:left="7599" w:hanging="504"/>
      </w:pPr>
      <w:rPr>
        <w:rFonts w:hint="default"/>
      </w:rPr>
    </w:lvl>
  </w:abstractNum>
  <w:abstractNum w:abstractNumId="6" w15:restartNumberingAfterBreak="0">
    <w:nsid w:val="1B4F6DDA"/>
    <w:multiLevelType w:val="hybridMultilevel"/>
    <w:tmpl w:val="164CB7FA"/>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7" w15:restartNumberingAfterBreak="0">
    <w:nsid w:val="1D155EA6"/>
    <w:multiLevelType w:val="hybridMultilevel"/>
    <w:tmpl w:val="AA621B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FEE1C15"/>
    <w:multiLevelType w:val="hybridMultilevel"/>
    <w:tmpl w:val="F6967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0373E9"/>
    <w:multiLevelType w:val="multilevel"/>
    <w:tmpl w:val="6F2091CC"/>
    <w:lvl w:ilvl="0">
      <w:start w:val="6"/>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start w:val="1"/>
      <w:numFmt w:val="decimal"/>
      <w:lvlText w:val="%1.%2.%3"/>
      <w:lvlJc w:val="left"/>
      <w:pPr>
        <w:ind w:left="1548" w:hanging="874"/>
        <w:jc w:val="right"/>
      </w:pPr>
      <w:rPr>
        <w:rFonts w:ascii="Arial" w:eastAsia="Arial" w:hAnsi="Arial" w:cs="Arial" w:hint="default"/>
        <w:b/>
        <w:bCs/>
        <w:spacing w:val="-6"/>
        <w:w w:val="100"/>
        <w:sz w:val="24"/>
        <w:szCs w:val="24"/>
      </w:rPr>
    </w:lvl>
    <w:lvl w:ilvl="3">
      <w:numFmt w:val="bullet"/>
      <w:lvlText w:val=""/>
      <w:lvlJc w:val="left"/>
      <w:pPr>
        <w:ind w:left="1540" w:hanging="581"/>
      </w:pPr>
      <w:rPr>
        <w:rFonts w:ascii="Symbol" w:eastAsia="Symbol" w:hAnsi="Symbol" w:cs="Symbol" w:hint="default"/>
        <w:w w:val="100"/>
        <w:sz w:val="24"/>
        <w:szCs w:val="24"/>
      </w:rPr>
    </w:lvl>
    <w:lvl w:ilvl="4">
      <w:numFmt w:val="bullet"/>
      <w:lvlText w:val="•"/>
      <w:lvlJc w:val="left"/>
      <w:pPr>
        <w:ind w:left="2798" w:hanging="581"/>
      </w:pPr>
      <w:rPr>
        <w:rFonts w:hint="default"/>
      </w:rPr>
    </w:lvl>
    <w:lvl w:ilvl="5">
      <w:numFmt w:val="bullet"/>
      <w:lvlText w:val="•"/>
      <w:lvlJc w:val="left"/>
      <w:pPr>
        <w:ind w:left="3936" w:hanging="581"/>
      </w:pPr>
      <w:rPr>
        <w:rFonts w:hint="default"/>
      </w:rPr>
    </w:lvl>
    <w:lvl w:ilvl="6">
      <w:numFmt w:val="bullet"/>
      <w:lvlText w:val="•"/>
      <w:lvlJc w:val="left"/>
      <w:pPr>
        <w:ind w:left="5074" w:hanging="581"/>
      </w:pPr>
      <w:rPr>
        <w:rFonts w:hint="default"/>
      </w:rPr>
    </w:lvl>
    <w:lvl w:ilvl="7">
      <w:numFmt w:val="bullet"/>
      <w:lvlText w:val="•"/>
      <w:lvlJc w:val="left"/>
      <w:pPr>
        <w:ind w:left="6212" w:hanging="581"/>
      </w:pPr>
      <w:rPr>
        <w:rFonts w:hint="default"/>
      </w:rPr>
    </w:lvl>
    <w:lvl w:ilvl="8">
      <w:numFmt w:val="bullet"/>
      <w:lvlText w:val="•"/>
      <w:lvlJc w:val="left"/>
      <w:pPr>
        <w:ind w:left="7350" w:hanging="581"/>
      </w:pPr>
      <w:rPr>
        <w:rFonts w:hint="default"/>
      </w:rPr>
    </w:lvl>
  </w:abstractNum>
  <w:abstractNum w:abstractNumId="10" w15:restartNumberingAfterBreak="0">
    <w:nsid w:val="2B16337B"/>
    <w:multiLevelType w:val="hybridMultilevel"/>
    <w:tmpl w:val="B3EAB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A6DB7"/>
    <w:multiLevelType w:val="multilevel"/>
    <w:tmpl w:val="A47817BA"/>
    <w:lvl w:ilvl="0">
      <w:start w:val="4"/>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numFmt w:val="bullet"/>
      <w:lvlText w:val=""/>
      <w:lvlJc w:val="left"/>
      <w:pPr>
        <w:ind w:left="1540" w:hanging="581"/>
      </w:pPr>
      <w:rPr>
        <w:rFonts w:ascii="Symbol" w:eastAsia="Symbol" w:hAnsi="Symbol" w:cs="Symbol" w:hint="default"/>
        <w:w w:val="100"/>
        <w:sz w:val="24"/>
        <w:szCs w:val="24"/>
      </w:rPr>
    </w:lvl>
    <w:lvl w:ilvl="3">
      <w:numFmt w:val="bullet"/>
      <w:lvlText w:val="•"/>
      <w:lvlJc w:val="left"/>
      <w:pPr>
        <w:ind w:left="2778" w:hanging="581"/>
      </w:pPr>
      <w:rPr>
        <w:rFonts w:hint="default"/>
      </w:rPr>
    </w:lvl>
    <w:lvl w:ilvl="4">
      <w:numFmt w:val="bullet"/>
      <w:lvlText w:val="•"/>
      <w:lvlJc w:val="left"/>
      <w:pPr>
        <w:ind w:left="3756" w:hanging="581"/>
      </w:pPr>
      <w:rPr>
        <w:rFonts w:hint="default"/>
      </w:rPr>
    </w:lvl>
    <w:lvl w:ilvl="5">
      <w:numFmt w:val="bullet"/>
      <w:lvlText w:val="•"/>
      <w:lvlJc w:val="left"/>
      <w:pPr>
        <w:ind w:left="4734" w:hanging="581"/>
      </w:pPr>
      <w:rPr>
        <w:rFonts w:hint="default"/>
      </w:rPr>
    </w:lvl>
    <w:lvl w:ilvl="6">
      <w:numFmt w:val="bullet"/>
      <w:lvlText w:val="•"/>
      <w:lvlJc w:val="left"/>
      <w:pPr>
        <w:ind w:left="5713" w:hanging="581"/>
      </w:pPr>
      <w:rPr>
        <w:rFonts w:hint="default"/>
      </w:rPr>
    </w:lvl>
    <w:lvl w:ilvl="7">
      <w:numFmt w:val="bullet"/>
      <w:lvlText w:val="•"/>
      <w:lvlJc w:val="left"/>
      <w:pPr>
        <w:ind w:left="6691" w:hanging="581"/>
      </w:pPr>
      <w:rPr>
        <w:rFonts w:hint="default"/>
      </w:rPr>
    </w:lvl>
    <w:lvl w:ilvl="8">
      <w:numFmt w:val="bullet"/>
      <w:lvlText w:val="•"/>
      <w:lvlJc w:val="left"/>
      <w:pPr>
        <w:ind w:left="7669" w:hanging="581"/>
      </w:pPr>
      <w:rPr>
        <w:rFonts w:hint="default"/>
      </w:rPr>
    </w:lvl>
  </w:abstractNum>
  <w:abstractNum w:abstractNumId="12" w15:restartNumberingAfterBreak="0">
    <w:nsid w:val="2F8777AB"/>
    <w:multiLevelType w:val="multilevel"/>
    <w:tmpl w:val="BB38F1C6"/>
    <w:lvl w:ilvl="0">
      <w:start w:val="3"/>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13" w15:restartNumberingAfterBreak="0">
    <w:nsid w:val="30CD77A4"/>
    <w:multiLevelType w:val="hybridMultilevel"/>
    <w:tmpl w:val="235AA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64313F"/>
    <w:multiLevelType w:val="multilevel"/>
    <w:tmpl w:val="170443CE"/>
    <w:lvl w:ilvl="0">
      <w:start w:val="4"/>
      <w:numFmt w:val="decimal"/>
      <w:lvlText w:val="%1"/>
      <w:lvlJc w:val="left"/>
      <w:pPr>
        <w:ind w:left="1787" w:hanging="603"/>
      </w:pPr>
      <w:rPr>
        <w:rFonts w:hint="default"/>
      </w:rPr>
    </w:lvl>
    <w:lvl w:ilvl="1">
      <w:start w:val="4"/>
      <w:numFmt w:val="decimal"/>
      <w:lvlText w:val="%1.%2"/>
      <w:lvlJc w:val="left"/>
      <w:pPr>
        <w:ind w:left="1787" w:hanging="603"/>
      </w:pPr>
      <w:rPr>
        <w:rFonts w:hint="default"/>
      </w:rPr>
    </w:lvl>
    <w:lvl w:ilvl="2">
      <w:start w:val="1"/>
      <w:numFmt w:val="decimal"/>
      <w:lvlText w:val="%1.%2.%3"/>
      <w:lvlJc w:val="left"/>
      <w:pPr>
        <w:ind w:left="1787" w:hanging="603"/>
      </w:pPr>
      <w:rPr>
        <w:rFonts w:ascii="Calibri" w:eastAsia="Arial" w:hAnsi="Calibri" w:cs="Arial" w:hint="default"/>
        <w:b/>
        <w:bCs/>
        <w:spacing w:val="-2"/>
        <w:w w:val="100"/>
        <w:sz w:val="24"/>
        <w:szCs w:val="24"/>
      </w:rPr>
    </w:lvl>
    <w:lvl w:ilvl="3">
      <w:numFmt w:val="bullet"/>
      <w:lvlText w:val="•"/>
      <w:lvlJc w:val="left"/>
      <w:pPr>
        <w:ind w:left="4133" w:hanging="603"/>
      </w:pPr>
      <w:rPr>
        <w:rFonts w:hint="default"/>
      </w:rPr>
    </w:lvl>
    <w:lvl w:ilvl="4">
      <w:numFmt w:val="bullet"/>
      <w:lvlText w:val="•"/>
      <w:lvlJc w:val="left"/>
      <w:pPr>
        <w:ind w:left="4918" w:hanging="603"/>
      </w:pPr>
      <w:rPr>
        <w:rFonts w:hint="default"/>
      </w:rPr>
    </w:lvl>
    <w:lvl w:ilvl="5">
      <w:numFmt w:val="bullet"/>
      <w:lvlText w:val="•"/>
      <w:lvlJc w:val="left"/>
      <w:pPr>
        <w:ind w:left="5703" w:hanging="603"/>
      </w:pPr>
      <w:rPr>
        <w:rFonts w:hint="default"/>
      </w:rPr>
    </w:lvl>
    <w:lvl w:ilvl="6">
      <w:numFmt w:val="bullet"/>
      <w:lvlText w:val="•"/>
      <w:lvlJc w:val="left"/>
      <w:pPr>
        <w:ind w:left="6487" w:hanging="603"/>
      </w:pPr>
      <w:rPr>
        <w:rFonts w:hint="default"/>
      </w:rPr>
    </w:lvl>
    <w:lvl w:ilvl="7">
      <w:numFmt w:val="bullet"/>
      <w:lvlText w:val="•"/>
      <w:lvlJc w:val="left"/>
      <w:pPr>
        <w:ind w:left="7272" w:hanging="603"/>
      </w:pPr>
      <w:rPr>
        <w:rFonts w:hint="default"/>
      </w:rPr>
    </w:lvl>
    <w:lvl w:ilvl="8">
      <w:numFmt w:val="bullet"/>
      <w:lvlText w:val="•"/>
      <w:lvlJc w:val="left"/>
      <w:pPr>
        <w:ind w:left="8057" w:hanging="603"/>
      </w:pPr>
      <w:rPr>
        <w:rFonts w:hint="default"/>
      </w:rPr>
    </w:lvl>
  </w:abstractNum>
  <w:abstractNum w:abstractNumId="15" w15:restartNumberingAfterBreak="0">
    <w:nsid w:val="361C7C1C"/>
    <w:multiLevelType w:val="multilevel"/>
    <w:tmpl w:val="3F642F78"/>
    <w:lvl w:ilvl="0">
      <w:start w:val="6"/>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start w:val="1"/>
      <w:numFmt w:val="bullet"/>
      <w:lvlText w:val=""/>
      <w:lvlJc w:val="left"/>
      <w:pPr>
        <w:ind w:left="1548" w:hanging="588"/>
      </w:pPr>
      <w:rPr>
        <w:rFonts w:ascii="Symbol" w:hAnsi="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16" w15:restartNumberingAfterBreak="0">
    <w:nsid w:val="3B5323C7"/>
    <w:multiLevelType w:val="multilevel"/>
    <w:tmpl w:val="753E257C"/>
    <w:lvl w:ilvl="0">
      <w:start w:val="4"/>
      <w:numFmt w:val="decimal"/>
      <w:lvlText w:val="%1"/>
      <w:lvlJc w:val="left"/>
      <w:pPr>
        <w:ind w:left="660" w:hanging="660"/>
      </w:pPr>
      <w:rPr>
        <w:rFonts w:hint="default"/>
      </w:rPr>
    </w:lvl>
    <w:lvl w:ilvl="1">
      <w:start w:val="4"/>
      <w:numFmt w:val="decimal"/>
      <w:lvlText w:val="%1.%2"/>
      <w:lvlJc w:val="left"/>
      <w:pPr>
        <w:ind w:left="1054" w:hanging="660"/>
      </w:pPr>
      <w:rPr>
        <w:rFonts w:hint="default"/>
      </w:rPr>
    </w:lvl>
    <w:lvl w:ilvl="2">
      <w:start w:val="4"/>
      <w:numFmt w:val="decimal"/>
      <w:lvlText w:val="%1.%2.%3"/>
      <w:lvlJc w:val="left"/>
      <w:pPr>
        <w:ind w:left="1508" w:hanging="720"/>
      </w:pPr>
      <w:rPr>
        <w:rFonts w:hint="default"/>
      </w:rPr>
    </w:lvl>
    <w:lvl w:ilvl="3">
      <w:start w:val="2"/>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17" w15:restartNumberingAfterBreak="0">
    <w:nsid w:val="3ED70801"/>
    <w:multiLevelType w:val="multilevel"/>
    <w:tmpl w:val="B6569A64"/>
    <w:lvl w:ilvl="0">
      <w:start w:val="10"/>
      <w:numFmt w:val="decimal"/>
      <w:lvlText w:val="%1"/>
      <w:lvlJc w:val="left"/>
      <w:pPr>
        <w:ind w:left="828" w:hanging="720"/>
      </w:pPr>
      <w:rPr>
        <w:rFonts w:hint="default"/>
      </w:rPr>
    </w:lvl>
    <w:lvl w:ilvl="1">
      <w:start w:val="1"/>
      <w:numFmt w:val="decimal"/>
      <w:lvlText w:val="%1.%2."/>
      <w:lvlJc w:val="left"/>
      <w:pPr>
        <w:ind w:left="828" w:hanging="720"/>
      </w:pPr>
      <w:rPr>
        <w:rFonts w:ascii="Arial" w:eastAsia="Arial" w:hAnsi="Arial" w:cs="Arial" w:hint="default"/>
        <w:b/>
        <w:bCs/>
        <w:spacing w:val="-1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18" w15:restartNumberingAfterBreak="0">
    <w:nsid w:val="4EE438C1"/>
    <w:multiLevelType w:val="hybridMultilevel"/>
    <w:tmpl w:val="56FEC2B8"/>
    <w:lvl w:ilvl="0" w:tplc="8F1CA4AC">
      <w:start w:val="1"/>
      <w:numFmt w:val="decimal"/>
      <w:lvlText w:val="%1."/>
      <w:lvlJc w:val="left"/>
      <w:pPr>
        <w:ind w:left="468" w:hanging="360"/>
        <w:jc w:val="right"/>
      </w:pPr>
      <w:rPr>
        <w:rFonts w:ascii="Calibri" w:eastAsia="Arial" w:hAnsi="Calibri" w:cs="Arial" w:hint="default"/>
        <w:b/>
        <w:bCs/>
        <w:spacing w:val="-1"/>
        <w:w w:val="100"/>
        <w:sz w:val="24"/>
        <w:szCs w:val="24"/>
      </w:rPr>
    </w:lvl>
    <w:lvl w:ilvl="1" w:tplc="D1A2BC50">
      <w:numFmt w:val="bullet"/>
      <w:lvlText w:val=""/>
      <w:lvlJc w:val="left"/>
      <w:pPr>
        <w:ind w:left="1692" w:hanging="504"/>
      </w:pPr>
      <w:rPr>
        <w:rFonts w:ascii="Symbol" w:eastAsia="Symbol" w:hAnsi="Symbol" w:cs="Symbol" w:hint="default"/>
        <w:w w:val="100"/>
        <w:sz w:val="24"/>
        <w:szCs w:val="24"/>
      </w:rPr>
    </w:lvl>
    <w:lvl w:ilvl="2" w:tplc="D57A2A7E">
      <w:numFmt w:val="bullet"/>
      <w:lvlText w:val="•"/>
      <w:lvlJc w:val="left"/>
      <w:pPr>
        <w:ind w:left="1700" w:hanging="504"/>
      </w:pPr>
      <w:rPr>
        <w:rFonts w:hint="default"/>
      </w:rPr>
    </w:lvl>
    <w:lvl w:ilvl="3" w:tplc="80722436">
      <w:numFmt w:val="bullet"/>
      <w:lvlText w:val="•"/>
      <w:lvlJc w:val="left"/>
      <w:pPr>
        <w:ind w:left="2690" w:hanging="504"/>
      </w:pPr>
      <w:rPr>
        <w:rFonts w:hint="default"/>
      </w:rPr>
    </w:lvl>
    <w:lvl w:ilvl="4" w:tplc="885CA27E">
      <w:numFmt w:val="bullet"/>
      <w:lvlText w:val="•"/>
      <w:lvlJc w:val="left"/>
      <w:pPr>
        <w:ind w:left="3681" w:hanging="504"/>
      </w:pPr>
      <w:rPr>
        <w:rFonts w:hint="default"/>
      </w:rPr>
    </w:lvl>
    <w:lvl w:ilvl="5" w:tplc="5C64BD6C">
      <w:numFmt w:val="bullet"/>
      <w:lvlText w:val="•"/>
      <w:lvlJc w:val="left"/>
      <w:pPr>
        <w:ind w:left="4672" w:hanging="504"/>
      </w:pPr>
      <w:rPr>
        <w:rFonts w:hint="default"/>
      </w:rPr>
    </w:lvl>
    <w:lvl w:ilvl="6" w:tplc="73A29552">
      <w:numFmt w:val="bullet"/>
      <w:lvlText w:val="•"/>
      <w:lvlJc w:val="left"/>
      <w:pPr>
        <w:ind w:left="5663" w:hanging="504"/>
      </w:pPr>
      <w:rPr>
        <w:rFonts w:hint="default"/>
      </w:rPr>
    </w:lvl>
    <w:lvl w:ilvl="7" w:tplc="E618C1AE">
      <w:numFmt w:val="bullet"/>
      <w:lvlText w:val="•"/>
      <w:lvlJc w:val="left"/>
      <w:pPr>
        <w:ind w:left="6654" w:hanging="504"/>
      </w:pPr>
      <w:rPr>
        <w:rFonts w:hint="default"/>
      </w:rPr>
    </w:lvl>
    <w:lvl w:ilvl="8" w:tplc="E13C63D8">
      <w:numFmt w:val="bullet"/>
      <w:lvlText w:val="•"/>
      <w:lvlJc w:val="left"/>
      <w:pPr>
        <w:ind w:left="7644" w:hanging="504"/>
      </w:pPr>
      <w:rPr>
        <w:rFonts w:hint="default"/>
      </w:rPr>
    </w:lvl>
  </w:abstractNum>
  <w:abstractNum w:abstractNumId="19" w15:restartNumberingAfterBreak="0">
    <w:nsid w:val="503C4CBA"/>
    <w:multiLevelType w:val="hybridMultilevel"/>
    <w:tmpl w:val="9A7AB496"/>
    <w:lvl w:ilvl="0" w:tplc="54E07A16">
      <w:start w:val="1"/>
      <w:numFmt w:val="decimal"/>
      <w:lvlText w:val="%1."/>
      <w:lvlJc w:val="left"/>
      <w:pPr>
        <w:ind w:left="468" w:hanging="360"/>
      </w:pPr>
      <w:rPr>
        <w:rFonts w:ascii="Arial" w:eastAsia="Arial" w:hAnsi="Arial" w:cs="Arial" w:hint="default"/>
        <w:b/>
        <w:bCs/>
        <w:spacing w:val="-1"/>
        <w:w w:val="100"/>
        <w:sz w:val="24"/>
        <w:szCs w:val="24"/>
      </w:rPr>
    </w:lvl>
    <w:lvl w:ilvl="1" w:tplc="4352EFA4">
      <w:numFmt w:val="bullet"/>
      <w:lvlText w:val=""/>
      <w:lvlJc w:val="left"/>
      <w:pPr>
        <w:ind w:left="1233" w:hanging="360"/>
      </w:pPr>
      <w:rPr>
        <w:rFonts w:ascii="Symbol" w:eastAsia="Symbol" w:hAnsi="Symbol" w:cs="Symbol" w:hint="default"/>
        <w:w w:val="100"/>
        <w:sz w:val="24"/>
        <w:szCs w:val="24"/>
      </w:rPr>
    </w:lvl>
    <w:lvl w:ilvl="2" w:tplc="F7A2C6EA">
      <w:numFmt w:val="bullet"/>
      <w:lvlText w:val="•"/>
      <w:lvlJc w:val="left"/>
      <w:pPr>
        <w:ind w:left="2171" w:hanging="360"/>
      </w:pPr>
      <w:rPr>
        <w:rFonts w:hint="default"/>
      </w:rPr>
    </w:lvl>
    <w:lvl w:ilvl="3" w:tplc="93CCA1E0">
      <w:numFmt w:val="bullet"/>
      <w:lvlText w:val="•"/>
      <w:lvlJc w:val="left"/>
      <w:pPr>
        <w:ind w:left="3103" w:hanging="360"/>
      </w:pPr>
      <w:rPr>
        <w:rFonts w:hint="default"/>
      </w:rPr>
    </w:lvl>
    <w:lvl w:ilvl="4" w:tplc="B54215F4">
      <w:numFmt w:val="bullet"/>
      <w:lvlText w:val="•"/>
      <w:lvlJc w:val="left"/>
      <w:pPr>
        <w:ind w:left="4035" w:hanging="360"/>
      </w:pPr>
      <w:rPr>
        <w:rFonts w:hint="default"/>
      </w:rPr>
    </w:lvl>
    <w:lvl w:ilvl="5" w:tplc="B9D25996">
      <w:numFmt w:val="bullet"/>
      <w:lvlText w:val="•"/>
      <w:lvlJc w:val="left"/>
      <w:pPr>
        <w:ind w:left="4967" w:hanging="360"/>
      </w:pPr>
      <w:rPr>
        <w:rFonts w:hint="default"/>
      </w:rPr>
    </w:lvl>
    <w:lvl w:ilvl="6" w:tplc="373EA4E2">
      <w:numFmt w:val="bullet"/>
      <w:lvlText w:val="•"/>
      <w:lvlJc w:val="left"/>
      <w:pPr>
        <w:ind w:left="5899" w:hanging="360"/>
      </w:pPr>
      <w:rPr>
        <w:rFonts w:hint="default"/>
      </w:rPr>
    </w:lvl>
    <w:lvl w:ilvl="7" w:tplc="E08AC9A8">
      <w:numFmt w:val="bullet"/>
      <w:lvlText w:val="•"/>
      <w:lvlJc w:val="left"/>
      <w:pPr>
        <w:ind w:left="6830" w:hanging="360"/>
      </w:pPr>
      <w:rPr>
        <w:rFonts w:hint="default"/>
      </w:rPr>
    </w:lvl>
    <w:lvl w:ilvl="8" w:tplc="B1B63EFE">
      <w:numFmt w:val="bullet"/>
      <w:lvlText w:val="•"/>
      <w:lvlJc w:val="left"/>
      <w:pPr>
        <w:ind w:left="7762" w:hanging="360"/>
      </w:pPr>
      <w:rPr>
        <w:rFonts w:hint="default"/>
      </w:rPr>
    </w:lvl>
  </w:abstractNum>
  <w:abstractNum w:abstractNumId="20" w15:restartNumberingAfterBreak="0">
    <w:nsid w:val="5151659D"/>
    <w:multiLevelType w:val="multilevel"/>
    <w:tmpl w:val="5746A8B4"/>
    <w:lvl w:ilvl="0">
      <w:start w:val="7"/>
      <w:numFmt w:val="decimal"/>
      <w:lvlText w:val="%1"/>
      <w:lvlJc w:val="left"/>
      <w:pPr>
        <w:ind w:left="674" w:hanging="567"/>
      </w:pPr>
      <w:rPr>
        <w:rFonts w:hint="default"/>
      </w:rPr>
    </w:lvl>
    <w:lvl w:ilvl="1">
      <w:start w:val="1"/>
      <w:numFmt w:val="decimal"/>
      <w:lvlText w:val="%1.%2."/>
      <w:lvlJc w:val="left"/>
      <w:pPr>
        <w:ind w:left="674" w:hanging="567"/>
      </w:pPr>
      <w:rPr>
        <w:rFonts w:ascii="Arial" w:eastAsia="Arial" w:hAnsi="Arial" w:cs="Arial" w:hint="default"/>
        <w:b/>
        <w:bCs/>
        <w:spacing w:val="-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1" w15:restartNumberingAfterBreak="0">
    <w:nsid w:val="51DD51D0"/>
    <w:multiLevelType w:val="hybridMultilevel"/>
    <w:tmpl w:val="A182A8FC"/>
    <w:lvl w:ilvl="0" w:tplc="35B4A572">
      <w:numFmt w:val="bullet"/>
      <w:lvlText w:val=""/>
      <w:lvlJc w:val="left"/>
      <w:pPr>
        <w:ind w:left="1526" w:hanging="567"/>
      </w:pPr>
      <w:rPr>
        <w:rFonts w:ascii="Symbol" w:eastAsia="Symbol" w:hAnsi="Symbol" w:cs="Symbol" w:hint="default"/>
        <w:w w:val="100"/>
        <w:sz w:val="24"/>
        <w:szCs w:val="24"/>
      </w:rPr>
    </w:lvl>
    <w:lvl w:ilvl="1" w:tplc="B8646308">
      <w:numFmt w:val="bullet"/>
      <w:lvlText w:val="•"/>
      <w:lvlJc w:val="left"/>
      <w:pPr>
        <w:ind w:left="2330" w:hanging="567"/>
      </w:pPr>
      <w:rPr>
        <w:rFonts w:hint="default"/>
      </w:rPr>
    </w:lvl>
    <w:lvl w:ilvl="2" w:tplc="8570A6B2">
      <w:numFmt w:val="bullet"/>
      <w:lvlText w:val="•"/>
      <w:lvlJc w:val="left"/>
      <w:pPr>
        <w:ind w:left="3141" w:hanging="567"/>
      </w:pPr>
      <w:rPr>
        <w:rFonts w:hint="default"/>
      </w:rPr>
    </w:lvl>
    <w:lvl w:ilvl="3" w:tplc="9D426264">
      <w:numFmt w:val="bullet"/>
      <w:lvlText w:val="•"/>
      <w:lvlJc w:val="left"/>
      <w:pPr>
        <w:ind w:left="3951" w:hanging="567"/>
      </w:pPr>
      <w:rPr>
        <w:rFonts w:hint="default"/>
      </w:rPr>
    </w:lvl>
    <w:lvl w:ilvl="4" w:tplc="1C567CE6">
      <w:numFmt w:val="bullet"/>
      <w:lvlText w:val="•"/>
      <w:lvlJc w:val="left"/>
      <w:pPr>
        <w:ind w:left="4762" w:hanging="567"/>
      </w:pPr>
      <w:rPr>
        <w:rFonts w:hint="default"/>
      </w:rPr>
    </w:lvl>
    <w:lvl w:ilvl="5" w:tplc="23C0F01A">
      <w:numFmt w:val="bullet"/>
      <w:lvlText w:val="•"/>
      <w:lvlJc w:val="left"/>
      <w:pPr>
        <w:ind w:left="5573" w:hanging="567"/>
      </w:pPr>
      <w:rPr>
        <w:rFonts w:hint="default"/>
      </w:rPr>
    </w:lvl>
    <w:lvl w:ilvl="6" w:tplc="BC34A53C">
      <w:numFmt w:val="bullet"/>
      <w:lvlText w:val="•"/>
      <w:lvlJc w:val="left"/>
      <w:pPr>
        <w:ind w:left="6383" w:hanging="567"/>
      </w:pPr>
      <w:rPr>
        <w:rFonts w:hint="default"/>
      </w:rPr>
    </w:lvl>
    <w:lvl w:ilvl="7" w:tplc="60669192">
      <w:numFmt w:val="bullet"/>
      <w:lvlText w:val="•"/>
      <w:lvlJc w:val="left"/>
      <w:pPr>
        <w:ind w:left="7194" w:hanging="567"/>
      </w:pPr>
      <w:rPr>
        <w:rFonts w:hint="default"/>
      </w:rPr>
    </w:lvl>
    <w:lvl w:ilvl="8" w:tplc="31561134">
      <w:numFmt w:val="bullet"/>
      <w:lvlText w:val="•"/>
      <w:lvlJc w:val="left"/>
      <w:pPr>
        <w:ind w:left="8005" w:hanging="567"/>
      </w:pPr>
      <w:rPr>
        <w:rFonts w:hint="default"/>
      </w:rPr>
    </w:lvl>
  </w:abstractNum>
  <w:abstractNum w:abstractNumId="22" w15:restartNumberingAfterBreak="0">
    <w:nsid w:val="52FB25E8"/>
    <w:multiLevelType w:val="multilevel"/>
    <w:tmpl w:val="7562D2AE"/>
    <w:lvl w:ilvl="0">
      <w:start w:val="6"/>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23" w15:restartNumberingAfterBreak="0">
    <w:nsid w:val="567B6581"/>
    <w:multiLevelType w:val="hybridMultilevel"/>
    <w:tmpl w:val="B8F6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33699D"/>
    <w:multiLevelType w:val="multilevel"/>
    <w:tmpl w:val="0DFA78E2"/>
    <w:lvl w:ilvl="0">
      <w:start w:val="3"/>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25" w15:restartNumberingAfterBreak="0">
    <w:nsid w:val="5E7B621E"/>
    <w:multiLevelType w:val="hybridMultilevel"/>
    <w:tmpl w:val="BADAE526"/>
    <w:lvl w:ilvl="0" w:tplc="02CE03E6">
      <w:start w:val="1"/>
      <w:numFmt w:val="decimal"/>
      <w:lvlText w:val="%1."/>
      <w:lvlJc w:val="left"/>
      <w:pPr>
        <w:ind w:left="468" w:hanging="360"/>
      </w:pPr>
      <w:rPr>
        <w:rFonts w:ascii="Arial" w:eastAsia="Arial" w:hAnsi="Arial" w:cs="Arial" w:hint="default"/>
        <w:b/>
        <w:bCs/>
        <w:spacing w:val="-1"/>
        <w:w w:val="10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597C4E"/>
    <w:multiLevelType w:val="multilevel"/>
    <w:tmpl w:val="F8C8D04A"/>
    <w:lvl w:ilvl="0">
      <w:start w:val="4"/>
      <w:numFmt w:val="decimal"/>
      <w:lvlText w:val="%1"/>
      <w:lvlJc w:val="left"/>
      <w:pPr>
        <w:ind w:left="969" w:hanging="360"/>
      </w:pPr>
      <w:rPr>
        <w:rFonts w:hint="default"/>
      </w:rPr>
    </w:lvl>
    <w:lvl w:ilvl="1">
      <w:start w:val="1"/>
      <w:numFmt w:val="decimal"/>
      <w:lvlText w:val="%1.%2"/>
      <w:lvlJc w:val="left"/>
      <w:pPr>
        <w:ind w:left="969" w:hanging="360"/>
        <w:jc w:val="right"/>
      </w:pPr>
      <w:rPr>
        <w:rFonts w:ascii="Calibri" w:eastAsia="Arial" w:hAnsi="Calibri"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7" w15:restartNumberingAfterBreak="0">
    <w:nsid w:val="61CA4121"/>
    <w:multiLevelType w:val="multilevel"/>
    <w:tmpl w:val="EC2AA1BA"/>
    <w:lvl w:ilvl="0">
      <w:start w:val="9"/>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numFmt w:val="bullet"/>
      <w:lvlText w:val=""/>
      <w:lvlJc w:val="left"/>
      <w:pPr>
        <w:ind w:left="1985"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8" w15:restartNumberingAfterBreak="0">
    <w:nsid w:val="64E97EB6"/>
    <w:multiLevelType w:val="multilevel"/>
    <w:tmpl w:val="D42E937E"/>
    <w:lvl w:ilvl="0">
      <w:start w:val="8"/>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numFmt w:val="bullet"/>
      <w:lvlText w:val=""/>
      <w:lvlJc w:val="left"/>
      <w:pPr>
        <w:ind w:left="1668" w:hanging="708"/>
      </w:pPr>
      <w:rPr>
        <w:rFonts w:ascii="Symbol" w:eastAsia="Symbol" w:hAnsi="Symbol" w:cs="Symbol" w:hint="default"/>
        <w:w w:val="100"/>
        <w:sz w:val="24"/>
        <w:szCs w:val="24"/>
      </w:rPr>
    </w:lvl>
    <w:lvl w:ilvl="3">
      <w:numFmt w:val="bullet"/>
      <w:lvlText w:val="•"/>
      <w:lvlJc w:val="left"/>
      <w:pPr>
        <w:ind w:left="3430" w:hanging="708"/>
      </w:pPr>
      <w:rPr>
        <w:rFonts w:hint="default"/>
      </w:rPr>
    </w:lvl>
    <w:lvl w:ilvl="4">
      <w:numFmt w:val="bullet"/>
      <w:lvlText w:val="•"/>
      <w:lvlJc w:val="left"/>
      <w:pPr>
        <w:ind w:left="4315" w:hanging="708"/>
      </w:pPr>
      <w:rPr>
        <w:rFonts w:hint="default"/>
      </w:rPr>
    </w:lvl>
    <w:lvl w:ilvl="5">
      <w:numFmt w:val="bullet"/>
      <w:lvlText w:val="•"/>
      <w:lvlJc w:val="left"/>
      <w:pPr>
        <w:ind w:left="5200" w:hanging="708"/>
      </w:pPr>
      <w:rPr>
        <w:rFonts w:hint="default"/>
      </w:rPr>
    </w:lvl>
    <w:lvl w:ilvl="6">
      <w:numFmt w:val="bullet"/>
      <w:lvlText w:val="•"/>
      <w:lvlJc w:val="left"/>
      <w:pPr>
        <w:ind w:left="6085" w:hanging="708"/>
      </w:pPr>
      <w:rPr>
        <w:rFonts w:hint="default"/>
      </w:rPr>
    </w:lvl>
    <w:lvl w:ilvl="7">
      <w:numFmt w:val="bullet"/>
      <w:lvlText w:val="•"/>
      <w:lvlJc w:val="left"/>
      <w:pPr>
        <w:ind w:left="6970" w:hanging="708"/>
      </w:pPr>
      <w:rPr>
        <w:rFonts w:hint="default"/>
      </w:rPr>
    </w:lvl>
    <w:lvl w:ilvl="8">
      <w:numFmt w:val="bullet"/>
      <w:lvlText w:val="•"/>
      <w:lvlJc w:val="left"/>
      <w:pPr>
        <w:ind w:left="7856" w:hanging="708"/>
      </w:pPr>
      <w:rPr>
        <w:rFonts w:hint="default"/>
      </w:rPr>
    </w:lvl>
  </w:abstractNum>
  <w:abstractNum w:abstractNumId="29" w15:restartNumberingAfterBreak="0">
    <w:nsid w:val="6573372F"/>
    <w:multiLevelType w:val="hybridMultilevel"/>
    <w:tmpl w:val="8B7EC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F41E4B"/>
    <w:multiLevelType w:val="multilevel"/>
    <w:tmpl w:val="D6481308"/>
    <w:lvl w:ilvl="0">
      <w:start w:val="8"/>
      <w:numFmt w:val="decimal"/>
      <w:lvlText w:val="%1"/>
      <w:lvlJc w:val="left"/>
      <w:pPr>
        <w:ind w:left="933" w:hanging="468"/>
      </w:pPr>
      <w:rPr>
        <w:rFonts w:hint="default"/>
      </w:rPr>
    </w:lvl>
    <w:lvl w:ilvl="1">
      <w:start w:val="1"/>
      <w:numFmt w:val="decimal"/>
      <w:lvlText w:val="%1.%2"/>
      <w:lvlJc w:val="left"/>
      <w:pPr>
        <w:ind w:left="933" w:hanging="468"/>
      </w:pPr>
      <w:rPr>
        <w:rFonts w:ascii="Arial" w:eastAsia="Arial" w:hAnsi="Arial" w:cs="Arial" w:hint="default"/>
        <w:b/>
        <w:bCs/>
        <w:spacing w:val="-3"/>
        <w:w w:val="100"/>
        <w:sz w:val="24"/>
        <w:szCs w:val="24"/>
      </w:rPr>
    </w:lvl>
    <w:lvl w:ilvl="2">
      <w:numFmt w:val="bullet"/>
      <w:lvlText w:val=""/>
      <w:lvlJc w:val="left"/>
      <w:pPr>
        <w:ind w:left="1384" w:hanging="569"/>
      </w:pPr>
      <w:rPr>
        <w:rFonts w:ascii="Symbol" w:eastAsia="Symbol" w:hAnsi="Symbol" w:cs="Symbol" w:hint="default"/>
        <w:w w:val="100"/>
        <w:sz w:val="24"/>
        <w:szCs w:val="24"/>
      </w:rPr>
    </w:lvl>
    <w:lvl w:ilvl="3">
      <w:numFmt w:val="bullet"/>
      <w:lvlText w:val="•"/>
      <w:lvlJc w:val="left"/>
      <w:pPr>
        <w:ind w:left="3212" w:hanging="569"/>
      </w:pPr>
      <w:rPr>
        <w:rFonts w:hint="default"/>
      </w:rPr>
    </w:lvl>
    <w:lvl w:ilvl="4">
      <w:numFmt w:val="bullet"/>
      <w:lvlText w:val="•"/>
      <w:lvlJc w:val="left"/>
      <w:pPr>
        <w:ind w:left="4128" w:hanging="569"/>
      </w:pPr>
      <w:rPr>
        <w:rFonts w:hint="default"/>
      </w:rPr>
    </w:lvl>
    <w:lvl w:ilvl="5">
      <w:numFmt w:val="bullet"/>
      <w:lvlText w:val="•"/>
      <w:lvlJc w:val="left"/>
      <w:pPr>
        <w:ind w:left="5045" w:hanging="569"/>
      </w:pPr>
      <w:rPr>
        <w:rFonts w:hint="default"/>
      </w:rPr>
    </w:lvl>
    <w:lvl w:ilvl="6">
      <w:numFmt w:val="bullet"/>
      <w:lvlText w:val="•"/>
      <w:lvlJc w:val="left"/>
      <w:pPr>
        <w:ind w:left="5961" w:hanging="569"/>
      </w:pPr>
      <w:rPr>
        <w:rFonts w:hint="default"/>
      </w:rPr>
    </w:lvl>
    <w:lvl w:ilvl="7">
      <w:numFmt w:val="bullet"/>
      <w:lvlText w:val="•"/>
      <w:lvlJc w:val="left"/>
      <w:pPr>
        <w:ind w:left="6877" w:hanging="569"/>
      </w:pPr>
      <w:rPr>
        <w:rFonts w:hint="default"/>
      </w:rPr>
    </w:lvl>
    <w:lvl w:ilvl="8">
      <w:numFmt w:val="bullet"/>
      <w:lvlText w:val="•"/>
      <w:lvlJc w:val="left"/>
      <w:pPr>
        <w:ind w:left="7793" w:hanging="569"/>
      </w:pPr>
      <w:rPr>
        <w:rFonts w:hint="default"/>
      </w:rPr>
    </w:lvl>
  </w:abstractNum>
  <w:abstractNum w:abstractNumId="31" w15:restartNumberingAfterBreak="0">
    <w:nsid w:val="66842D60"/>
    <w:multiLevelType w:val="hybridMultilevel"/>
    <w:tmpl w:val="8B7EDFAC"/>
    <w:lvl w:ilvl="0" w:tplc="0C090001">
      <w:start w:val="1"/>
      <w:numFmt w:val="bullet"/>
      <w:lvlText w:val=""/>
      <w:lvlJc w:val="left"/>
      <w:pPr>
        <w:ind w:left="1344" w:hanging="360"/>
      </w:pPr>
      <w:rPr>
        <w:rFonts w:ascii="Symbol" w:hAnsi="Symbol" w:hint="default"/>
      </w:rPr>
    </w:lvl>
    <w:lvl w:ilvl="1" w:tplc="0C090003">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32" w15:restartNumberingAfterBreak="0">
    <w:nsid w:val="6E52125F"/>
    <w:multiLevelType w:val="multilevel"/>
    <w:tmpl w:val="984C11EC"/>
    <w:lvl w:ilvl="0">
      <w:start w:val="4"/>
      <w:numFmt w:val="decimal"/>
      <w:lvlText w:val="%1"/>
      <w:lvlJc w:val="left"/>
      <w:pPr>
        <w:ind w:left="607" w:hanging="500"/>
      </w:pPr>
      <w:rPr>
        <w:rFonts w:hint="default"/>
      </w:rPr>
    </w:lvl>
    <w:lvl w:ilvl="1">
      <w:start w:val="1"/>
      <w:numFmt w:val="decimal"/>
      <w:lvlText w:val="%1.%2."/>
      <w:lvlJc w:val="left"/>
      <w:pPr>
        <w:ind w:left="607" w:hanging="500"/>
      </w:pPr>
      <w:rPr>
        <w:rFonts w:ascii="Arial" w:eastAsia="Arial" w:hAnsi="Arial" w:cs="Arial" w:hint="default"/>
        <w:b/>
        <w:bCs/>
        <w:w w:val="100"/>
        <w:sz w:val="24"/>
        <w:szCs w:val="24"/>
      </w:rPr>
    </w:lvl>
    <w:lvl w:ilvl="2">
      <w:numFmt w:val="bullet"/>
      <w:lvlText w:val=""/>
      <w:lvlJc w:val="left"/>
      <w:pPr>
        <w:ind w:left="1668" w:hanging="708"/>
      </w:pPr>
      <w:rPr>
        <w:rFonts w:ascii="Symbol" w:eastAsia="Symbol" w:hAnsi="Symbol" w:cs="Symbol" w:hint="default"/>
        <w:w w:val="100"/>
        <w:sz w:val="24"/>
        <w:szCs w:val="24"/>
      </w:rPr>
    </w:lvl>
    <w:lvl w:ilvl="3">
      <w:numFmt w:val="bullet"/>
      <w:lvlText w:val="•"/>
      <w:lvlJc w:val="left"/>
      <w:pPr>
        <w:ind w:left="3430" w:hanging="708"/>
      </w:pPr>
      <w:rPr>
        <w:rFonts w:hint="default"/>
      </w:rPr>
    </w:lvl>
    <w:lvl w:ilvl="4">
      <w:numFmt w:val="bullet"/>
      <w:lvlText w:val="•"/>
      <w:lvlJc w:val="left"/>
      <w:pPr>
        <w:ind w:left="4315" w:hanging="708"/>
      </w:pPr>
      <w:rPr>
        <w:rFonts w:hint="default"/>
      </w:rPr>
    </w:lvl>
    <w:lvl w:ilvl="5">
      <w:numFmt w:val="bullet"/>
      <w:lvlText w:val="•"/>
      <w:lvlJc w:val="left"/>
      <w:pPr>
        <w:ind w:left="5200" w:hanging="708"/>
      </w:pPr>
      <w:rPr>
        <w:rFonts w:hint="default"/>
      </w:rPr>
    </w:lvl>
    <w:lvl w:ilvl="6">
      <w:numFmt w:val="bullet"/>
      <w:lvlText w:val="•"/>
      <w:lvlJc w:val="left"/>
      <w:pPr>
        <w:ind w:left="6085" w:hanging="708"/>
      </w:pPr>
      <w:rPr>
        <w:rFonts w:hint="default"/>
      </w:rPr>
    </w:lvl>
    <w:lvl w:ilvl="7">
      <w:numFmt w:val="bullet"/>
      <w:lvlText w:val="•"/>
      <w:lvlJc w:val="left"/>
      <w:pPr>
        <w:ind w:left="6970" w:hanging="708"/>
      </w:pPr>
      <w:rPr>
        <w:rFonts w:hint="default"/>
      </w:rPr>
    </w:lvl>
    <w:lvl w:ilvl="8">
      <w:numFmt w:val="bullet"/>
      <w:lvlText w:val="•"/>
      <w:lvlJc w:val="left"/>
      <w:pPr>
        <w:ind w:left="7856" w:hanging="708"/>
      </w:pPr>
      <w:rPr>
        <w:rFonts w:hint="default"/>
      </w:rPr>
    </w:lvl>
  </w:abstractNum>
  <w:abstractNum w:abstractNumId="33" w15:restartNumberingAfterBreak="0">
    <w:nsid w:val="6EC677B0"/>
    <w:multiLevelType w:val="hybridMultilevel"/>
    <w:tmpl w:val="E8468610"/>
    <w:lvl w:ilvl="0" w:tplc="02CE03E6">
      <w:start w:val="1"/>
      <w:numFmt w:val="decimal"/>
      <w:lvlText w:val="%1."/>
      <w:lvlJc w:val="left"/>
      <w:pPr>
        <w:ind w:left="468" w:hanging="360"/>
      </w:pPr>
      <w:rPr>
        <w:rFonts w:ascii="Arial" w:eastAsia="Arial" w:hAnsi="Arial" w:cs="Arial" w:hint="default"/>
        <w:b/>
        <w:bCs/>
        <w:spacing w:val="-1"/>
        <w:w w:val="10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202D6C"/>
    <w:multiLevelType w:val="hybridMultilevel"/>
    <w:tmpl w:val="6E0C5784"/>
    <w:lvl w:ilvl="0" w:tplc="22BA7E8A">
      <w:start w:val="5"/>
      <w:numFmt w:val="decimal"/>
      <w:lvlText w:val="%1."/>
      <w:lvlJc w:val="left"/>
      <w:pPr>
        <w:ind w:left="468" w:hanging="360"/>
      </w:pPr>
      <w:rPr>
        <w:rFonts w:ascii="Arial" w:eastAsia="Arial" w:hAnsi="Arial" w:cs="Arial" w:hint="default"/>
        <w:b/>
        <w:bCs/>
        <w:spacing w:val="-1"/>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7"/>
  </w:num>
  <w:num w:numId="3">
    <w:abstractNumId w:val="30"/>
  </w:num>
  <w:num w:numId="4">
    <w:abstractNumId w:val="20"/>
  </w:num>
  <w:num w:numId="5">
    <w:abstractNumId w:val="22"/>
  </w:num>
  <w:num w:numId="6">
    <w:abstractNumId w:val="1"/>
  </w:num>
  <w:num w:numId="7">
    <w:abstractNumId w:val="32"/>
  </w:num>
  <w:num w:numId="8">
    <w:abstractNumId w:val="24"/>
  </w:num>
  <w:num w:numId="9">
    <w:abstractNumId w:val="19"/>
  </w:num>
  <w:num w:numId="10">
    <w:abstractNumId w:val="28"/>
  </w:num>
  <w:num w:numId="11">
    <w:abstractNumId w:val="21"/>
  </w:num>
  <w:num w:numId="12">
    <w:abstractNumId w:val="9"/>
  </w:num>
  <w:num w:numId="13">
    <w:abstractNumId w:val="3"/>
  </w:num>
  <w:num w:numId="14">
    <w:abstractNumId w:val="11"/>
  </w:num>
  <w:num w:numId="15">
    <w:abstractNumId w:val="12"/>
  </w:num>
  <w:num w:numId="16">
    <w:abstractNumId w:val="5"/>
  </w:num>
  <w:num w:numId="17">
    <w:abstractNumId w:val="14"/>
  </w:num>
  <w:num w:numId="18">
    <w:abstractNumId w:val="26"/>
  </w:num>
  <w:num w:numId="19">
    <w:abstractNumId w:val="18"/>
  </w:num>
  <w:num w:numId="20">
    <w:abstractNumId w:val="6"/>
  </w:num>
  <w:num w:numId="21">
    <w:abstractNumId w:val="15"/>
  </w:num>
  <w:num w:numId="22">
    <w:abstractNumId w:val="0"/>
  </w:num>
  <w:num w:numId="23">
    <w:abstractNumId w:val="29"/>
  </w:num>
  <w:num w:numId="24">
    <w:abstractNumId w:val="7"/>
  </w:num>
  <w:num w:numId="25">
    <w:abstractNumId w:val="33"/>
  </w:num>
  <w:num w:numId="26">
    <w:abstractNumId w:val="25"/>
  </w:num>
  <w:num w:numId="27">
    <w:abstractNumId w:val="10"/>
  </w:num>
  <w:num w:numId="28">
    <w:abstractNumId w:val="31"/>
  </w:num>
  <w:num w:numId="29">
    <w:abstractNumId w:val="13"/>
  </w:num>
  <w:num w:numId="30">
    <w:abstractNumId w:val="34"/>
  </w:num>
  <w:num w:numId="31">
    <w:abstractNumId w:val="23"/>
  </w:num>
  <w:num w:numId="32">
    <w:abstractNumId w:val="8"/>
  </w:num>
  <w:num w:numId="33">
    <w:abstractNumId w:val="2"/>
  </w:num>
  <w:num w:numId="34">
    <w:abstractNumId w:val="4"/>
  </w:num>
  <w:num w:numId="3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D6"/>
    <w:rsid w:val="00011679"/>
    <w:rsid w:val="000157C9"/>
    <w:rsid w:val="00015E60"/>
    <w:rsid w:val="00021988"/>
    <w:rsid w:val="00040C4F"/>
    <w:rsid w:val="00061B14"/>
    <w:rsid w:val="00070D04"/>
    <w:rsid w:val="00081578"/>
    <w:rsid w:val="0008291F"/>
    <w:rsid w:val="0009278B"/>
    <w:rsid w:val="000946AF"/>
    <w:rsid w:val="00095454"/>
    <w:rsid w:val="000B59BD"/>
    <w:rsid w:val="00110B79"/>
    <w:rsid w:val="0011660D"/>
    <w:rsid w:val="00132775"/>
    <w:rsid w:val="00134EAF"/>
    <w:rsid w:val="00136CF7"/>
    <w:rsid w:val="001748F5"/>
    <w:rsid w:val="00180A18"/>
    <w:rsid w:val="0018493B"/>
    <w:rsid w:val="00196904"/>
    <w:rsid w:val="001A28D6"/>
    <w:rsid w:val="001B0695"/>
    <w:rsid w:val="001B4651"/>
    <w:rsid w:val="001D25DB"/>
    <w:rsid w:val="00204E75"/>
    <w:rsid w:val="00206A99"/>
    <w:rsid w:val="002157B6"/>
    <w:rsid w:val="002159D9"/>
    <w:rsid w:val="00244238"/>
    <w:rsid w:val="0024704C"/>
    <w:rsid w:val="00256D10"/>
    <w:rsid w:val="002655FA"/>
    <w:rsid w:val="00273F3D"/>
    <w:rsid w:val="00283CFD"/>
    <w:rsid w:val="0028667C"/>
    <w:rsid w:val="002A1AE7"/>
    <w:rsid w:val="002D397F"/>
    <w:rsid w:val="002E3B01"/>
    <w:rsid w:val="002F585D"/>
    <w:rsid w:val="00301A83"/>
    <w:rsid w:val="003044BE"/>
    <w:rsid w:val="00350CA1"/>
    <w:rsid w:val="00371635"/>
    <w:rsid w:val="00372C56"/>
    <w:rsid w:val="0037669C"/>
    <w:rsid w:val="00376DDF"/>
    <w:rsid w:val="003F1696"/>
    <w:rsid w:val="003F191B"/>
    <w:rsid w:val="004204D4"/>
    <w:rsid w:val="004618DE"/>
    <w:rsid w:val="0046653E"/>
    <w:rsid w:val="00484871"/>
    <w:rsid w:val="004A2192"/>
    <w:rsid w:val="004A24BE"/>
    <w:rsid w:val="004B0756"/>
    <w:rsid w:val="004B25B2"/>
    <w:rsid w:val="004B5A3F"/>
    <w:rsid w:val="004E09A6"/>
    <w:rsid w:val="004E5D74"/>
    <w:rsid w:val="004F4E17"/>
    <w:rsid w:val="00517FA9"/>
    <w:rsid w:val="0053103E"/>
    <w:rsid w:val="0056080A"/>
    <w:rsid w:val="00567ED9"/>
    <w:rsid w:val="00580AAF"/>
    <w:rsid w:val="005C063A"/>
    <w:rsid w:val="005E2ECE"/>
    <w:rsid w:val="005E7FC5"/>
    <w:rsid w:val="005F03C6"/>
    <w:rsid w:val="006002FC"/>
    <w:rsid w:val="0060460F"/>
    <w:rsid w:val="00621DE9"/>
    <w:rsid w:val="0062204C"/>
    <w:rsid w:val="00626825"/>
    <w:rsid w:val="00642CB1"/>
    <w:rsid w:val="00642D96"/>
    <w:rsid w:val="006511AB"/>
    <w:rsid w:val="006608E9"/>
    <w:rsid w:val="00695BE8"/>
    <w:rsid w:val="006A4D3C"/>
    <w:rsid w:val="006A604C"/>
    <w:rsid w:val="006B2B34"/>
    <w:rsid w:val="006D77E4"/>
    <w:rsid w:val="006E7166"/>
    <w:rsid w:val="00706D8A"/>
    <w:rsid w:val="00721D23"/>
    <w:rsid w:val="00727874"/>
    <w:rsid w:val="00731852"/>
    <w:rsid w:val="00734CFA"/>
    <w:rsid w:val="007A366C"/>
    <w:rsid w:val="007A6CA2"/>
    <w:rsid w:val="007B3C91"/>
    <w:rsid w:val="007B447A"/>
    <w:rsid w:val="007B5FA3"/>
    <w:rsid w:val="007B65D7"/>
    <w:rsid w:val="007D6BB3"/>
    <w:rsid w:val="00817774"/>
    <w:rsid w:val="00825EED"/>
    <w:rsid w:val="008336C8"/>
    <w:rsid w:val="00847341"/>
    <w:rsid w:val="008555D7"/>
    <w:rsid w:val="0086170E"/>
    <w:rsid w:val="00861EE9"/>
    <w:rsid w:val="008711C4"/>
    <w:rsid w:val="008A2111"/>
    <w:rsid w:val="008D09D9"/>
    <w:rsid w:val="009123E8"/>
    <w:rsid w:val="00926721"/>
    <w:rsid w:val="00930D10"/>
    <w:rsid w:val="00936414"/>
    <w:rsid w:val="009567FB"/>
    <w:rsid w:val="00962A96"/>
    <w:rsid w:val="00993B4E"/>
    <w:rsid w:val="00997B6D"/>
    <w:rsid w:val="009B114E"/>
    <w:rsid w:val="009D11F4"/>
    <w:rsid w:val="009D3BC7"/>
    <w:rsid w:val="009D4CFC"/>
    <w:rsid w:val="009D6CEC"/>
    <w:rsid w:val="009E126B"/>
    <w:rsid w:val="009F665C"/>
    <w:rsid w:val="009F6CE4"/>
    <w:rsid w:val="00A01BF2"/>
    <w:rsid w:val="00A02FB1"/>
    <w:rsid w:val="00A07239"/>
    <w:rsid w:val="00A07985"/>
    <w:rsid w:val="00A150CD"/>
    <w:rsid w:val="00A21D60"/>
    <w:rsid w:val="00A726A3"/>
    <w:rsid w:val="00A733C5"/>
    <w:rsid w:val="00A81300"/>
    <w:rsid w:val="00A81D22"/>
    <w:rsid w:val="00A84D3A"/>
    <w:rsid w:val="00AA09C0"/>
    <w:rsid w:val="00AC562D"/>
    <w:rsid w:val="00AC6E28"/>
    <w:rsid w:val="00AC7976"/>
    <w:rsid w:val="00AE09DA"/>
    <w:rsid w:val="00AF1701"/>
    <w:rsid w:val="00B0439C"/>
    <w:rsid w:val="00B07DB1"/>
    <w:rsid w:val="00B42BF2"/>
    <w:rsid w:val="00B610C5"/>
    <w:rsid w:val="00B71453"/>
    <w:rsid w:val="00B73A26"/>
    <w:rsid w:val="00B9150E"/>
    <w:rsid w:val="00B9391D"/>
    <w:rsid w:val="00BC1882"/>
    <w:rsid w:val="00BF55C3"/>
    <w:rsid w:val="00C1169E"/>
    <w:rsid w:val="00C12870"/>
    <w:rsid w:val="00C32C6C"/>
    <w:rsid w:val="00C425F8"/>
    <w:rsid w:val="00C62B30"/>
    <w:rsid w:val="00C657F5"/>
    <w:rsid w:val="00C8373A"/>
    <w:rsid w:val="00C9587D"/>
    <w:rsid w:val="00CA21F6"/>
    <w:rsid w:val="00CB3960"/>
    <w:rsid w:val="00CB6659"/>
    <w:rsid w:val="00CC2FD8"/>
    <w:rsid w:val="00CD27F2"/>
    <w:rsid w:val="00CE059D"/>
    <w:rsid w:val="00CF5ADD"/>
    <w:rsid w:val="00D44339"/>
    <w:rsid w:val="00D444C1"/>
    <w:rsid w:val="00D62074"/>
    <w:rsid w:val="00D75626"/>
    <w:rsid w:val="00D94EC1"/>
    <w:rsid w:val="00DB346F"/>
    <w:rsid w:val="00DC7267"/>
    <w:rsid w:val="00DD314B"/>
    <w:rsid w:val="00DF3697"/>
    <w:rsid w:val="00DF63C8"/>
    <w:rsid w:val="00E32A54"/>
    <w:rsid w:val="00E35083"/>
    <w:rsid w:val="00E54559"/>
    <w:rsid w:val="00E55149"/>
    <w:rsid w:val="00E65D72"/>
    <w:rsid w:val="00E77953"/>
    <w:rsid w:val="00E93BF8"/>
    <w:rsid w:val="00EA0B3B"/>
    <w:rsid w:val="00EB75D9"/>
    <w:rsid w:val="00EC1894"/>
    <w:rsid w:val="00EE4E41"/>
    <w:rsid w:val="00EF0B28"/>
    <w:rsid w:val="00F04397"/>
    <w:rsid w:val="00F05D7C"/>
    <w:rsid w:val="00F12E21"/>
    <w:rsid w:val="00F311EA"/>
    <w:rsid w:val="00F35524"/>
    <w:rsid w:val="00F36F6B"/>
    <w:rsid w:val="00F5659F"/>
    <w:rsid w:val="00F62AB2"/>
    <w:rsid w:val="00F6696E"/>
    <w:rsid w:val="00F7027C"/>
    <w:rsid w:val="00F75ABE"/>
    <w:rsid w:val="00F8040B"/>
    <w:rsid w:val="00FA28BC"/>
    <w:rsid w:val="00FB0CC2"/>
    <w:rsid w:val="00FC329B"/>
    <w:rsid w:val="00FE2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84EB4"/>
  <w15:chartTrackingRefBased/>
  <w15:docId w15:val="{DA1FD661-4D15-44F0-A334-8792B708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A28D6"/>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A28D6"/>
    <w:pPr>
      <w:ind w:left="540" w:hanging="432"/>
      <w:outlineLvl w:val="0"/>
    </w:pPr>
    <w:rPr>
      <w:b/>
      <w:bCs/>
      <w:sz w:val="24"/>
      <w:szCs w:val="24"/>
    </w:rPr>
  </w:style>
  <w:style w:type="paragraph" w:styleId="Heading2">
    <w:name w:val="heading 2"/>
    <w:basedOn w:val="Normal"/>
    <w:next w:val="Normal"/>
    <w:link w:val="Heading2Char"/>
    <w:uiPriority w:val="9"/>
    <w:semiHidden/>
    <w:unhideWhenUsed/>
    <w:qFormat/>
    <w:rsid w:val="00C116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1169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28D6"/>
    <w:rPr>
      <w:rFonts w:ascii="Arial" w:eastAsia="Arial" w:hAnsi="Arial" w:cs="Arial"/>
      <w:b/>
      <w:bCs/>
      <w:sz w:val="24"/>
      <w:szCs w:val="24"/>
    </w:rPr>
  </w:style>
  <w:style w:type="paragraph" w:styleId="BodyText">
    <w:name w:val="Body Text"/>
    <w:basedOn w:val="Normal"/>
    <w:link w:val="BodyTextChar"/>
    <w:uiPriority w:val="1"/>
    <w:qFormat/>
    <w:rsid w:val="001A28D6"/>
    <w:rPr>
      <w:sz w:val="24"/>
      <w:szCs w:val="24"/>
    </w:rPr>
  </w:style>
  <w:style w:type="character" w:customStyle="1" w:styleId="BodyTextChar">
    <w:name w:val="Body Text Char"/>
    <w:basedOn w:val="DefaultParagraphFont"/>
    <w:link w:val="BodyText"/>
    <w:uiPriority w:val="1"/>
    <w:rsid w:val="001A28D6"/>
    <w:rPr>
      <w:rFonts w:ascii="Arial" w:eastAsia="Arial" w:hAnsi="Arial" w:cs="Arial"/>
      <w:sz w:val="24"/>
      <w:szCs w:val="24"/>
    </w:rPr>
  </w:style>
  <w:style w:type="paragraph" w:styleId="ListParagraph">
    <w:name w:val="List Paragraph"/>
    <w:basedOn w:val="Normal"/>
    <w:uiPriority w:val="1"/>
    <w:qFormat/>
    <w:rsid w:val="001A28D6"/>
    <w:pPr>
      <w:ind w:left="1526" w:hanging="566"/>
    </w:pPr>
  </w:style>
  <w:style w:type="character" w:styleId="CommentReference">
    <w:name w:val="annotation reference"/>
    <w:basedOn w:val="DefaultParagraphFont"/>
    <w:uiPriority w:val="99"/>
    <w:semiHidden/>
    <w:unhideWhenUsed/>
    <w:rsid w:val="001A28D6"/>
    <w:rPr>
      <w:sz w:val="16"/>
      <w:szCs w:val="16"/>
    </w:rPr>
  </w:style>
  <w:style w:type="paragraph" w:styleId="CommentText">
    <w:name w:val="annotation text"/>
    <w:basedOn w:val="Normal"/>
    <w:link w:val="CommentTextChar"/>
    <w:uiPriority w:val="99"/>
    <w:semiHidden/>
    <w:unhideWhenUsed/>
    <w:rsid w:val="001A28D6"/>
    <w:rPr>
      <w:sz w:val="20"/>
      <w:szCs w:val="20"/>
    </w:rPr>
  </w:style>
  <w:style w:type="character" w:customStyle="1" w:styleId="CommentTextChar">
    <w:name w:val="Comment Text Char"/>
    <w:basedOn w:val="DefaultParagraphFont"/>
    <w:link w:val="CommentText"/>
    <w:uiPriority w:val="99"/>
    <w:semiHidden/>
    <w:rsid w:val="001A28D6"/>
    <w:rPr>
      <w:rFonts w:ascii="Arial" w:eastAsia="Arial" w:hAnsi="Arial" w:cs="Arial"/>
      <w:sz w:val="20"/>
      <w:szCs w:val="20"/>
    </w:rPr>
  </w:style>
  <w:style w:type="paragraph" w:styleId="BalloonText">
    <w:name w:val="Balloon Text"/>
    <w:basedOn w:val="Normal"/>
    <w:link w:val="BalloonTextChar"/>
    <w:uiPriority w:val="99"/>
    <w:semiHidden/>
    <w:unhideWhenUsed/>
    <w:rsid w:val="001A2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8D6"/>
    <w:rPr>
      <w:rFonts w:ascii="Segoe UI" w:eastAsia="Arial" w:hAnsi="Segoe UI" w:cs="Segoe UI"/>
      <w:sz w:val="18"/>
      <w:szCs w:val="18"/>
    </w:rPr>
  </w:style>
  <w:style w:type="paragraph" w:customStyle="1" w:styleId="TableParagraph">
    <w:name w:val="Table Paragraph"/>
    <w:basedOn w:val="Normal"/>
    <w:uiPriority w:val="1"/>
    <w:qFormat/>
    <w:rsid w:val="008711C4"/>
    <w:rPr>
      <w:lang w:val="en-US"/>
    </w:rPr>
  </w:style>
  <w:style w:type="paragraph" w:styleId="TOCHeading">
    <w:name w:val="TOC Heading"/>
    <w:basedOn w:val="Heading1"/>
    <w:next w:val="Normal"/>
    <w:uiPriority w:val="39"/>
    <w:unhideWhenUsed/>
    <w:qFormat/>
    <w:rsid w:val="00C1169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C1169E"/>
    <w:pPr>
      <w:spacing w:after="100"/>
    </w:pPr>
  </w:style>
  <w:style w:type="paragraph" w:styleId="TOC2">
    <w:name w:val="toc 2"/>
    <w:basedOn w:val="Normal"/>
    <w:next w:val="Normal"/>
    <w:autoRedefine/>
    <w:uiPriority w:val="39"/>
    <w:unhideWhenUsed/>
    <w:rsid w:val="00C1169E"/>
    <w:pPr>
      <w:widowControl/>
      <w:autoSpaceDE/>
      <w:autoSpaceDN/>
      <w:spacing w:after="100" w:line="259" w:lineRule="auto"/>
      <w:ind w:left="220"/>
    </w:pPr>
    <w:rPr>
      <w:rFonts w:asciiTheme="minorHAnsi" w:eastAsiaTheme="minorEastAsia" w:hAnsiTheme="minorHAnsi" w:cstheme="minorBidi"/>
      <w:lang w:eastAsia="en-AU"/>
    </w:rPr>
  </w:style>
  <w:style w:type="paragraph" w:styleId="TOC3">
    <w:name w:val="toc 3"/>
    <w:basedOn w:val="Normal"/>
    <w:next w:val="Normal"/>
    <w:autoRedefine/>
    <w:uiPriority w:val="39"/>
    <w:unhideWhenUsed/>
    <w:rsid w:val="00C1169E"/>
    <w:pPr>
      <w:widowControl/>
      <w:autoSpaceDE/>
      <w:autoSpaceDN/>
      <w:spacing w:after="100" w:line="259" w:lineRule="auto"/>
      <w:ind w:left="440"/>
    </w:pPr>
    <w:rPr>
      <w:rFonts w:asciiTheme="minorHAnsi" w:eastAsiaTheme="minorEastAsia" w:hAnsiTheme="minorHAnsi" w:cstheme="minorBidi"/>
      <w:lang w:eastAsia="en-AU"/>
    </w:rPr>
  </w:style>
  <w:style w:type="paragraph" w:styleId="TOC4">
    <w:name w:val="toc 4"/>
    <w:basedOn w:val="Normal"/>
    <w:next w:val="Normal"/>
    <w:autoRedefine/>
    <w:uiPriority w:val="39"/>
    <w:unhideWhenUsed/>
    <w:rsid w:val="00C1169E"/>
    <w:pPr>
      <w:widowControl/>
      <w:autoSpaceDE/>
      <w:autoSpaceDN/>
      <w:spacing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C1169E"/>
    <w:pPr>
      <w:widowControl/>
      <w:autoSpaceDE/>
      <w:autoSpaceDN/>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C1169E"/>
    <w:pPr>
      <w:widowControl/>
      <w:autoSpaceDE/>
      <w:autoSpaceDN/>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C1169E"/>
    <w:pPr>
      <w:widowControl/>
      <w:autoSpaceDE/>
      <w:autoSpaceDN/>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C1169E"/>
    <w:pPr>
      <w:widowControl/>
      <w:autoSpaceDE/>
      <w:autoSpaceDN/>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C1169E"/>
    <w:pPr>
      <w:widowControl/>
      <w:autoSpaceDE/>
      <w:autoSpaceDN/>
      <w:spacing w:after="100" w:line="259" w:lineRule="auto"/>
      <w:ind w:left="1760"/>
    </w:pPr>
    <w:rPr>
      <w:rFonts w:asciiTheme="minorHAnsi" w:eastAsiaTheme="minorEastAsia" w:hAnsiTheme="minorHAnsi" w:cstheme="minorBidi"/>
      <w:lang w:eastAsia="en-AU"/>
    </w:rPr>
  </w:style>
  <w:style w:type="character" w:styleId="Hyperlink">
    <w:name w:val="Hyperlink"/>
    <w:basedOn w:val="DefaultParagraphFont"/>
    <w:uiPriority w:val="99"/>
    <w:unhideWhenUsed/>
    <w:rsid w:val="00C1169E"/>
    <w:rPr>
      <w:color w:val="0563C1" w:themeColor="hyperlink"/>
      <w:u w:val="single"/>
    </w:rPr>
  </w:style>
  <w:style w:type="character" w:styleId="UnresolvedMention">
    <w:name w:val="Unresolved Mention"/>
    <w:basedOn w:val="DefaultParagraphFont"/>
    <w:uiPriority w:val="99"/>
    <w:semiHidden/>
    <w:unhideWhenUsed/>
    <w:rsid w:val="00C1169E"/>
    <w:rPr>
      <w:color w:val="605E5C"/>
      <w:shd w:val="clear" w:color="auto" w:fill="E1DFDD"/>
    </w:rPr>
  </w:style>
  <w:style w:type="paragraph" w:styleId="Title">
    <w:name w:val="Title"/>
    <w:basedOn w:val="Normal"/>
    <w:next w:val="Normal"/>
    <w:link w:val="TitleChar"/>
    <w:uiPriority w:val="10"/>
    <w:qFormat/>
    <w:rsid w:val="00C1169E"/>
    <w:pPr>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C1169E"/>
    <w:rPr>
      <w:rFonts w:asciiTheme="majorHAnsi" w:eastAsiaTheme="majorEastAsia" w:hAnsiTheme="majorHAnsi" w:cstheme="majorBidi"/>
      <w:spacing w:val="-10"/>
      <w:kern w:val="28"/>
      <w:sz w:val="48"/>
      <w:szCs w:val="56"/>
    </w:rPr>
  </w:style>
  <w:style w:type="character" w:customStyle="1" w:styleId="Heading2Char">
    <w:name w:val="Heading 2 Char"/>
    <w:basedOn w:val="DefaultParagraphFont"/>
    <w:link w:val="Heading2"/>
    <w:uiPriority w:val="9"/>
    <w:semiHidden/>
    <w:rsid w:val="00C116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1169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1169E"/>
    <w:pPr>
      <w:tabs>
        <w:tab w:val="center" w:pos="4513"/>
        <w:tab w:val="right" w:pos="9026"/>
      </w:tabs>
    </w:pPr>
  </w:style>
  <w:style w:type="character" w:customStyle="1" w:styleId="HeaderChar">
    <w:name w:val="Header Char"/>
    <w:basedOn w:val="DefaultParagraphFont"/>
    <w:link w:val="Header"/>
    <w:uiPriority w:val="99"/>
    <w:rsid w:val="00C1169E"/>
    <w:rPr>
      <w:rFonts w:ascii="Arial" w:eastAsia="Arial" w:hAnsi="Arial" w:cs="Arial"/>
    </w:rPr>
  </w:style>
  <w:style w:type="paragraph" w:styleId="Footer">
    <w:name w:val="footer"/>
    <w:basedOn w:val="Normal"/>
    <w:link w:val="FooterChar"/>
    <w:uiPriority w:val="99"/>
    <w:unhideWhenUsed/>
    <w:rsid w:val="00C1169E"/>
    <w:pPr>
      <w:tabs>
        <w:tab w:val="center" w:pos="4513"/>
        <w:tab w:val="right" w:pos="9026"/>
      </w:tabs>
    </w:pPr>
  </w:style>
  <w:style w:type="character" w:customStyle="1" w:styleId="FooterChar">
    <w:name w:val="Footer Char"/>
    <w:basedOn w:val="DefaultParagraphFont"/>
    <w:link w:val="Footer"/>
    <w:uiPriority w:val="99"/>
    <w:rsid w:val="00C1169E"/>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CF5ADD"/>
    <w:rPr>
      <w:b/>
      <w:bCs/>
    </w:rPr>
  </w:style>
  <w:style w:type="character" w:customStyle="1" w:styleId="CommentSubjectChar">
    <w:name w:val="Comment Subject Char"/>
    <w:basedOn w:val="CommentTextChar"/>
    <w:link w:val="CommentSubject"/>
    <w:uiPriority w:val="99"/>
    <w:semiHidden/>
    <w:rsid w:val="00CF5AD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2DC94-13D2-40BB-BA25-B16F056E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1943</Words>
  <Characters>10080</Characters>
  <Application>Microsoft Office Word</Application>
  <DocSecurity>0</DocSecurity>
  <Lines>191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2019-11-04T01:31:00Z</dcterms:created>
  <dcterms:modified xsi:type="dcterms:W3CDTF">2019-11-04T01:31:00Z</dcterms:modified>
</cp:coreProperties>
</file>