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FDD7F" w14:textId="77777777" w:rsidR="00A86443" w:rsidRPr="00A86443" w:rsidRDefault="00A86443" w:rsidP="00A86443">
      <w:pPr>
        <w:widowControl/>
        <w:autoSpaceDE/>
        <w:autoSpaceDN/>
        <w:spacing w:before="120"/>
        <w:rPr>
          <w:rFonts w:eastAsia="Times New Roman"/>
          <w:sz w:val="24"/>
          <w:szCs w:val="20"/>
        </w:rPr>
      </w:pPr>
      <w:bookmarkStart w:id="0" w:name="_Toc44738651"/>
      <w:bookmarkStart w:id="1" w:name="_Toc14275897"/>
      <w:bookmarkStart w:id="2" w:name="_GoBack"/>
      <w:bookmarkEnd w:id="2"/>
      <w:r w:rsidRPr="00A86443">
        <w:rPr>
          <w:rFonts w:eastAsia="Times New Roman"/>
          <w:sz w:val="24"/>
          <w:szCs w:val="20"/>
        </w:rPr>
        <w:t>Australian Capital Territory</w:t>
      </w:r>
    </w:p>
    <w:p w14:paraId="59315DED" w14:textId="77777777" w:rsidR="00A86443" w:rsidRPr="00A86443" w:rsidRDefault="00A86443" w:rsidP="00A86443">
      <w:pPr>
        <w:widowControl/>
        <w:tabs>
          <w:tab w:val="left" w:pos="2400"/>
          <w:tab w:val="left" w:pos="2880"/>
        </w:tabs>
        <w:autoSpaceDE/>
        <w:autoSpaceDN/>
        <w:spacing w:before="700" w:after="100"/>
        <w:rPr>
          <w:rFonts w:eastAsia="Times New Roman" w:cs="Times New Roman"/>
          <w:b/>
          <w:sz w:val="40"/>
          <w:szCs w:val="20"/>
        </w:rPr>
      </w:pPr>
      <w:r w:rsidRPr="00A86443">
        <w:rPr>
          <w:rFonts w:eastAsia="Times New Roman" w:cs="Times New Roman"/>
          <w:b/>
          <w:sz w:val="40"/>
          <w:szCs w:val="20"/>
        </w:rPr>
        <w:t>Motor Accident Injuries (Persons Living Outside of Australia) Guidelines 2019</w:t>
      </w:r>
    </w:p>
    <w:p w14:paraId="55ED32A0" w14:textId="77777777" w:rsidR="00A86443" w:rsidRPr="00A86443" w:rsidRDefault="00A86443" w:rsidP="00A86443">
      <w:pPr>
        <w:widowControl/>
        <w:autoSpaceDE/>
        <w:autoSpaceDN/>
        <w:spacing w:before="340"/>
        <w:rPr>
          <w:rFonts w:eastAsia="Times New Roman"/>
          <w:b/>
          <w:bCs/>
          <w:sz w:val="24"/>
          <w:szCs w:val="20"/>
        </w:rPr>
      </w:pPr>
      <w:r w:rsidRPr="00A86443">
        <w:rPr>
          <w:rFonts w:eastAsia="Times New Roman"/>
          <w:b/>
          <w:bCs/>
          <w:sz w:val="24"/>
          <w:szCs w:val="20"/>
        </w:rPr>
        <w:t>Disallowable instrument DI</w:t>
      </w:r>
      <w:r w:rsidRPr="00A86443">
        <w:rPr>
          <w:rFonts w:eastAsia="Times New Roman"/>
          <w:b/>
          <w:bCs/>
          <w:iCs/>
          <w:sz w:val="24"/>
          <w:szCs w:val="20"/>
        </w:rPr>
        <w:t>2019</w:t>
      </w:r>
      <w:r w:rsidRPr="00A86443">
        <w:rPr>
          <w:rFonts w:eastAsia="Times New Roman"/>
          <w:b/>
          <w:bCs/>
          <w:sz w:val="24"/>
          <w:szCs w:val="20"/>
        </w:rPr>
        <w:t>–276</w:t>
      </w:r>
    </w:p>
    <w:p w14:paraId="07BC02B0" w14:textId="77777777" w:rsidR="00A86443" w:rsidRPr="00A86443" w:rsidRDefault="00A86443" w:rsidP="00A86443">
      <w:pPr>
        <w:widowControl/>
        <w:autoSpaceDE/>
        <w:autoSpaceDN/>
        <w:spacing w:before="300"/>
        <w:jc w:val="both"/>
        <w:rPr>
          <w:rFonts w:ascii="Times New Roman" w:eastAsia="Times New Roman" w:hAnsi="Times New Roman" w:cs="Times New Roman"/>
          <w:sz w:val="24"/>
          <w:szCs w:val="20"/>
        </w:rPr>
      </w:pPr>
      <w:r w:rsidRPr="00A86443">
        <w:rPr>
          <w:rFonts w:ascii="Times New Roman" w:eastAsia="Times New Roman" w:hAnsi="Times New Roman" w:cs="Times New Roman"/>
          <w:sz w:val="24"/>
          <w:szCs w:val="20"/>
        </w:rPr>
        <w:t xml:space="preserve">made under the  </w:t>
      </w:r>
    </w:p>
    <w:p w14:paraId="52BFD641" w14:textId="77777777" w:rsidR="00A86443" w:rsidRPr="00A86443" w:rsidRDefault="00A86443" w:rsidP="00A86443">
      <w:pPr>
        <w:widowControl/>
        <w:tabs>
          <w:tab w:val="left" w:pos="2600"/>
        </w:tabs>
        <w:autoSpaceDE/>
        <w:autoSpaceDN/>
        <w:spacing w:before="320"/>
        <w:jc w:val="both"/>
        <w:rPr>
          <w:rFonts w:eastAsia="Times New Roman"/>
          <w:b/>
          <w:sz w:val="20"/>
          <w:szCs w:val="20"/>
        </w:rPr>
      </w:pPr>
      <w:r w:rsidRPr="00A86443">
        <w:rPr>
          <w:rFonts w:eastAsia="Times New Roman"/>
          <w:b/>
          <w:sz w:val="20"/>
          <w:szCs w:val="20"/>
        </w:rPr>
        <w:t>Motor Accident Injuries Act 2019, section 487 (MAI guidelines)</w:t>
      </w:r>
    </w:p>
    <w:p w14:paraId="248B5DEC" w14:textId="77777777" w:rsidR="00A86443" w:rsidRPr="00A86443" w:rsidRDefault="00A86443" w:rsidP="00A86443">
      <w:pPr>
        <w:widowControl/>
        <w:autoSpaceDE/>
        <w:autoSpaceDN/>
        <w:spacing w:before="60"/>
        <w:jc w:val="both"/>
        <w:rPr>
          <w:rFonts w:ascii="Times New Roman" w:eastAsia="Times New Roman" w:hAnsi="Times New Roman" w:cs="Times New Roman"/>
          <w:sz w:val="24"/>
          <w:szCs w:val="20"/>
        </w:rPr>
      </w:pPr>
    </w:p>
    <w:p w14:paraId="119EE634" w14:textId="77777777" w:rsidR="00A86443" w:rsidRPr="00A86443" w:rsidRDefault="00A86443" w:rsidP="00A86443">
      <w:pPr>
        <w:widowControl/>
        <w:pBdr>
          <w:top w:val="single" w:sz="12" w:space="1" w:color="auto"/>
        </w:pBdr>
        <w:autoSpaceDE/>
        <w:autoSpaceDN/>
        <w:jc w:val="both"/>
        <w:rPr>
          <w:rFonts w:ascii="Times New Roman" w:eastAsia="Times New Roman" w:hAnsi="Times New Roman" w:cs="Times New Roman"/>
          <w:sz w:val="24"/>
          <w:szCs w:val="20"/>
        </w:rPr>
      </w:pPr>
    </w:p>
    <w:p w14:paraId="17F2069A" w14:textId="77777777" w:rsidR="00A86443" w:rsidRPr="00A86443" w:rsidRDefault="00A86443" w:rsidP="00A86443">
      <w:pPr>
        <w:widowControl/>
        <w:autoSpaceDE/>
        <w:autoSpaceDN/>
        <w:spacing w:before="60" w:after="60"/>
        <w:ind w:left="720" w:hanging="720"/>
        <w:rPr>
          <w:rFonts w:eastAsia="Times New Roman"/>
          <w:b/>
          <w:bCs/>
          <w:sz w:val="24"/>
          <w:szCs w:val="20"/>
        </w:rPr>
      </w:pPr>
      <w:r w:rsidRPr="00A86443">
        <w:rPr>
          <w:rFonts w:eastAsia="Times New Roman"/>
          <w:b/>
          <w:bCs/>
          <w:sz w:val="24"/>
          <w:szCs w:val="20"/>
        </w:rPr>
        <w:t>1</w:t>
      </w:r>
      <w:r w:rsidRPr="00A86443">
        <w:rPr>
          <w:rFonts w:eastAsia="Times New Roman"/>
          <w:b/>
          <w:bCs/>
          <w:sz w:val="24"/>
          <w:szCs w:val="20"/>
        </w:rPr>
        <w:tab/>
        <w:t>Name of instrument</w:t>
      </w:r>
    </w:p>
    <w:p w14:paraId="3AF3EDC7" w14:textId="77777777" w:rsidR="00A86443" w:rsidRPr="00A86443" w:rsidRDefault="00A86443" w:rsidP="00A86443">
      <w:pPr>
        <w:widowControl/>
        <w:autoSpaceDE/>
        <w:autoSpaceDN/>
        <w:spacing w:before="140"/>
        <w:ind w:left="720"/>
        <w:rPr>
          <w:rFonts w:ascii="Times New Roman" w:eastAsia="Times New Roman" w:hAnsi="Times New Roman" w:cs="Times New Roman"/>
          <w:i/>
          <w:iCs/>
          <w:sz w:val="24"/>
          <w:szCs w:val="20"/>
        </w:rPr>
      </w:pPr>
      <w:r w:rsidRPr="00A86443">
        <w:rPr>
          <w:rFonts w:ascii="Times New Roman" w:eastAsia="Times New Roman" w:hAnsi="Times New Roman" w:cs="Times New Roman"/>
          <w:sz w:val="24"/>
          <w:szCs w:val="20"/>
        </w:rPr>
        <w:t xml:space="preserve">This instrument is the </w:t>
      </w:r>
      <w:r w:rsidRPr="00A86443">
        <w:rPr>
          <w:rFonts w:ascii="Times New Roman" w:eastAsia="Times New Roman" w:hAnsi="Times New Roman" w:cs="Times New Roman"/>
          <w:i/>
          <w:iCs/>
          <w:sz w:val="24"/>
          <w:szCs w:val="20"/>
        </w:rPr>
        <w:t>Motor Accident Injuries (Persons Living Outside of Australia) Guidelines 2019.</w:t>
      </w:r>
    </w:p>
    <w:p w14:paraId="3AF5CF19" w14:textId="77777777" w:rsidR="00A86443" w:rsidRPr="00A86443" w:rsidRDefault="00A86443" w:rsidP="00A86443">
      <w:pPr>
        <w:widowControl/>
        <w:autoSpaceDE/>
        <w:autoSpaceDN/>
        <w:spacing w:before="300"/>
        <w:ind w:left="720" w:hanging="720"/>
        <w:rPr>
          <w:rFonts w:eastAsia="Times New Roman"/>
          <w:b/>
          <w:bCs/>
          <w:sz w:val="24"/>
          <w:szCs w:val="20"/>
        </w:rPr>
      </w:pPr>
      <w:r w:rsidRPr="00A86443">
        <w:rPr>
          <w:rFonts w:eastAsia="Times New Roman"/>
          <w:b/>
          <w:bCs/>
          <w:sz w:val="24"/>
          <w:szCs w:val="20"/>
        </w:rPr>
        <w:t>2</w:t>
      </w:r>
      <w:r w:rsidRPr="00A86443">
        <w:rPr>
          <w:rFonts w:eastAsia="Times New Roman"/>
          <w:b/>
          <w:bCs/>
          <w:sz w:val="24"/>
          <w:szCs w:val="20"/>
        </w:rPr>
        <w:tab/>
        <w:t xml:space="preserve">Commencement </w:t>
      </w:r>
    </w:p>
    <w:p w14:paraId="0316C9D4" w14:textId="77777777" w:rsidR="00A86443" w:rsidRPr="00A86443" w:rsidRDefault="00A86443" w:rsidP="00A86443">
      <w:pPr>
        <w:widowControl/>
        <w:autoSpaceDE/>
        <w:autoSpaceDN/>
        <w:spacing w:before="140"/>
        <w:ind w:left="720"/>
        <w:rPr>
          <w:rFonts w:ascii="Times New Roman" w:eastAsia="Times New Roman" w:hAnsi="Times New Roman" w:cs="Times New Roman"/>
          <w:i/>
          <w:iCs/>
          <w:sz w:val="24"/>
          <w:szCs w:val="20"/>
        </w:rPr>
      </w:pPr>
      <w:r w:rsidRPr="00A86443">
        <w:rPr>
          <w:rFonts w:ascii="Times New Roman" w:eastAsia="Times New Roman" w:hAnsi="Times New Roman" w:cs="Times New Roman"/>
          <w:sz w:val="24"/>
          <w:szCs w:val="20"/>
        </w:rPr>
        <w:t xml:space="preserve">This instrument commences on the commencement of the </w:t>
      </w:r>
      <w:r w:rsidRPr="00A86443">
        <w:rPr>
          <w:rFonts w:ascii="Times New Roman" w:eastAsia="Times New Roman" w:hAnsi="Times New Roman" w:cs="Times New Roman"/>
          <w:i/>
          <w:iCs/>
          <w:sz w:val="24"/>
          <w:szCs w:val="20"/>
        </w:rPr>
        <w:t xml:space="preserve">Motor Accident Injuries Act 2019, </w:t>
      </w:r>
      <w:r w:rsidRPr="00A86443">
        <w:rPr>
          <w:rFonts w:ascii="Times New Roman" w:eastAsia="Times New Roman" w:hAnsi="Times New Roman" w:cs="Times New Roman"/>
          <w:sz w:val="24"/>
          <w:szCs w:val="20"/>
        </w:rPr>
        <w:t>section 3.</w:t>
      </w:r>
      <w:r w:rsidRPr="00A86443">
        <w:rPr>
          <w:rFonts w:ascii="Times New Roman" w:eastAsia="Times New Roman" w:hAnsi="Times New Roman" w:cs="Times New Roman"/>
          <w:i/>
          <w:iCs/>
          <w:sz w:val="24"/>
          <w:szCs w:val="20"/>
        </w:rPr>
        <w:t xml:space="preserve"> </w:t>
      </w:r>
    </w:p>
    <w:p w14:paraId="1C497208" w14:textId="77777777" w:rsidR="00A86443" w:rsidRPr="00A86443" w:rsidRDefault="00A86443" w:rsidP="00A86443">
      <w:pPr>
        <w:widowControl/>
        <w:autoSpaceDE/>
        <w:autoSpaceDN/>
        <w:spacing w:before="300"/>
        <w:ind w:left="720" w:hanging="720"/>
        <w:rPr>
          <w:rFonts w:eastAsia="Times New Roman"/>
          <w:b/>
          <w:bCs/>
          <w:sz w:val="24"/>
          <w:szCs w:val="20"/>
        </w:rPr>
      </w:pPr>
      <w:r w:rsidRPr="00A86443">
        <w:rPr>
          <w:rFonts w:eastAsia="Times New Roman"/>
          <w:b/>
          <w:bCs/>
          <w:sz w:val="24"/>
          <w:szCs w:val="20"/>
        </w:rPr>
        <w:t>3</w:t>
      </w:r>
      <w:r w:rsidRPr="00A86443">
        <w:rPr>
          <w:rFonts w:eastAsia="Times New Roman"/>
          <w:b/>
          <w:bCs/>
          <w:sz w:val="24"/>
          <w:szCs w:val="20"/>
        </w:rPr>
        <w:tab/>
        <w:t>Guidelines</w:t>
      </w:r>
    </w:p>
    <w:p w14:paraId="48A8503C" w14:textId="77777777" w:rsidR="00A86443" w:rsidRPr="00A86443" w:rsidRDefault="00A86443" w:rsidP="00A86443">
      <w:pPr>
        <w:widowControl/>
        <w:autoSpaceDE/>
        <w:autoSpaceDN/>
        <w:spacing w:before="300"/>
        <w:ind w:left="720" w:hanging="720"/>
        <w:rPr>
          <w:rFonts w:eastAsia="Times New Roman"/>
          <w:sz w:val="24"/>
          <w:szCs w:val="20"/>
        </w:rPr>
      </w:pPr>
      <w:r w:rsidRPr="00A86443">
        <w:rPr>
          <w:rFonts w:eastAsia="Times New Roman"/>
          <w:b/>
          <w:bCs/>
          <w:sz w:val="24"/>
          <w:szCs w:val="20"/>
        </w:rPr>
        <w:tab/>
      </w:r>
      <w:r w:rsidRPr="00A86443">
        <w:rPr>
          <w:rFonts w:ascii="Times New Roman" w:eastAsia="Times New Roman" w:hAnsi="Times New Roman" w:cs="Times New Roman"/>
          <w:sz w:val="24"/>
          <w:szCs w:val="20"/>
        </w:rPr>
        <w:t>I make the Persons Living Outside of Australia Guidelines attached to this instrument.</w:t>
      </w:r>
    </w:p>
    <w:p w14:paraId="7C1AE888" w14:textId="77777777" w:rsidR="00A86443" w:rsidRPr="00A86443" w:rsidRDefault="00A86443" w:rsidP="00A86443">
      <w:pPr>
        <w:widowControl/>
        <w:autoSpaceDE/>
        <w:autoSpaceDN/>
        <w:spacing w:before="140"/>
        <w:ind w:left="720"/>
        <w:rPr>
          <w:rFonts w:ascii="Times New Roman" w:eastAsia="Times New Roman" w:hAnsi="Times New Roman" w:cs="Times New Roman"/>
          <w:sz w:val="24"/>
          <w:szCs w:val="20"/>
        </w:rPr>
      </w:pPr>
    </w:p>
    <w:p w14:paraId="2F57A856" w14:textId="77777777" w:rsidR="00A86443" w:rsidRPr="00A86443" w:rsidRDefault="00A86443" w:rsidP="00A86443">
      <w:pPr>
        <w:widowControl/>
        <w:tabs>
          <w:tab w:val="left" w:pos="4320"/>
        </w:tabs>
        <w:autoSpaceDE/>
        <w:autoSpaceDN/>
        <w:spacing w:before="720"/>
        <w:rPr>
          <w:rFonts w:ascii="Times New Roman" w:eastAsia="Times New Roman" w:hAnsi="Times New Roman" w:cs="Times New Roman"/>
          <w:sz w:val="24"/>
          <w:szCs w:val="20"/>
        </w:rPr>
      </w:pPr>
      <w:r w:rsidRPr="00A86443">
        <w:rPr>
          <w:rFonts w:ascii="Times New Roman" w:eastAsia="Times New Roman" w:hAnsi="Times New Roman" w:cs="Times New Roman"/>
          <w:sz w:val="24"/>
          <w:szCs w:val="20"/>
        </w:rPr>
        <w:t xml:space="preserve">Sue </w:t>
      </w:r>
      <w:proofErr w:type="spellStart"/>
      <w:r w:rsidRPr="00A86443">
        <w:rPr>
          <w:rFonts w:ascii="Times New Roman" w:eastAsia="Times New Roman" w:hAnsi="Times New Roman" w:cs="Times New Roman"/>
          <w:sz w:val="24"/>
          <w:szCs w:val="20"/>
        </w:rPr>
        <w:t>Vroombout</w:t>
      </w:r>
      <w:proofErr w:type="spellEnd"/>
    </w:p>
    <w:p w14:paraId="50E1B9B1" w14:textId="77777777" w:rsidR="00A86443" w:rsidRPr="00A86443" w:rsidRDefault="00A86443" w:rsidP="00A86443">
      <w:pPr>
        <w:widowControl/>
        <w:tabs>
          <w:tab w:val="left" w:pos="4320"/>
        </w:tabs>
        <w:autoSpaceDE/>
        <w:autoSpaceDN/>
        <w:rPr>
          <w:rFonts w:ascii="Times New Roman" w:eastAsia="Times New Roman" w:hAnsi="Times New Roman" w:cs="Times New Roman"/>
          <w:sz w:val="24"/>
          <w:szCs w:val="20"/>
        </w:rPr>
      </w:pPr>
      <w:r w:rsidRPr="00A86443">
        <w:rPr>
          <w:rFonts w:ascii="Times New Roman" w:eastAsia="Times New Roman" w:hAnsi="Times New Roman" w:cs="Times New Roman"/>
          <w:sz w:val="24"/>
          <w:szCs w:val="20"/>
        </w:rPr>
        <w:t>Acting MAI Commissioner</w:t>
      </w:r>
    </w:p>
    <w:bookmarkEnd w:id="0"/>
    <w:p w14:paraId="7E9D9BF4" w14:textId="77777777" w:rsidR="00A86443" w:rsidRPr="00A86443" w:rsidRDefault="00A86443" w:rsidP="00A86443">
      <w:pPr>
        <w:widowControl/>
        <w:tabs>
          <w:tab w:val="left" w:pos="4320"/>
        </w:tabs>
        <w:autoSpaceDE/>
        <w:autoSpaceDN/>
        <w:rPr>
          <w:rFonts w:ascii="Times New Roman" w:eastAsia="Times New Roman" w:hAnsi="Times New Roman" w:cs="Times New Roman"/>
          <w:sz w:val="24"/>
          <w:szCs w:val="20"/>
        </w:rPr>
      </w:pPr>
      <w:r w:rsidRPr="00A86443">
        <w:rPr>
          <w:rFonts w:ascii="Times New Roman" w:eastAsia="Times New Roman" w:hAnsi="Times New Roman" w:cs="Times New Roman"/>
          <w:sz w:val="24"/>
          <w:szCs w:val="20"/>
        </w:rPr>
        <w:t>MAI Commission</w:t>
      </w:r>
    </w:p>
    <w:p w14:paraId="7F74EBFA" w14:textId="77777777" w:rsidR="00A86443" w:rsidRPr="00A86443" w:rsidRDefault="00A86443" w:rsidP="00A86443">
      <w:pPr>
        <w:widowControl/>
        <w:tabs>
          <w:tab w:val="left" w:pos="4320"/>
        </w:tabs>
        <w:autoSpaceDE/>
        <w:autoSpaceDN/>
        <w:rPr>
          <w:rFonts w:ascii="Times New Roman" w:eastAsia="Times New Roman" w:hAnsi="Times New Roman" w:cs="Times New Roman"/>
          <w:sz w:val="24"/>
          <w:szCs w:val="20"/>
        </w:rPr>
      </w:pPr>
      <w:r w:rsidRPr="00A86443">
        <w:rPr>
          <w:rFonts w:ascii="Times New Roman" w:eastAsia="Times New Roman" w:hAnsi="Times New Roman" w:cs="Times New Roman"/>
          <w:sz w:val="24"/>
          <w:szCs w:val="20"/>
        </w:rPr>
        <w:t xml:space="preserve">    16 December 2019</w:t>
      </w:r>
    </w:p>
    <w:p w14:paraId="58BE4D6C" w14:textId="77777777" w:rsidR="00E959D3" w:rsidRDefault="00E959D3" w:rsidP="00895AD6">
      <w:pPr>
        <w:pStyle w:val="Title"/>
        <w:rPr>
          <w:rFonts w:asciiTheme="minorHAnsi" w:hAnsiTheme="minorHAnsi" w:cstheme="minorHAnsi"/>
          <w:sz w:val="28"/>
          <w:szCs w:val="28"/>
        </w:rPr>
        <w:sectPr w:rsidR="00E959D3" w:rsidSect="00E959D3">
          <w:headerReference w:type="even" r:id="rId8"/>
          <w:headerReference w:type="default" r:id="rId9"/>
          <w:footerReference w:type="even" r:id="rId10"/>
          <w:footerReference w:type="default" r:id="rId11"/>
          <w:headerReference w:type="first" r:id="rId12"/>
          <w:footerReference w:type="first" r:id="rId13"/>
          <w:pgSz w:w="11910" w:h="16840"/>
          <w:pgMar w:top="1440" w:right="1797" w:bottom="1440" w:left="1797" w:header="737" w:footer="782" w:gutter="0"/>
          <w:cols w:space="720"/>
          <w:titlePg/>
          <w:docGrid w:linePitch="299"/>
        </w:sectPr>
      </w:pPr>
    </w:p>
    <w:p w14:paraId="6A1357C1" w14:textId="4247D4DF" w:rsidR="008A7ECE" w:rsidRPr="008A7ECE" w:rsidRDefault="008A7ECE" w:rsidP="00895AD6">
      <w:pPr>
        <w:pStyle w:val="Title"/>
        <w:rPr>
          <w:rFonts w:asciiTheme="minorHAnsi" w:hAnsiTheme="minorHAnsi" w:cstheme="minorHAnsi"/>
          <w:sz w:val="28"/>
          <w:szCs w:val="28"/>
        </w:rPr>
      </w:pPr>
    </w:p>
    <w:p w14:paraId="268D5C3C" w14:textId="77777777" w:rsidR="008A7ECE" w:rsidRPr="008A7ECE" w:rsidRDefault="008A7ECE" w:rsidP="00895AD6">
      <w:pPr>
        <w:pStyle w:val="Title"/>
        <w:rPr>
          <w:rFonts w:asciiTheme="minorHAnsi" w:hAnsiTheme="minorHAnsi" w:cstheme="minorHAnsi"/>
          <w:sz w:val="28"/>
          <w:szCs w:val="28"/>
        </w:rPr>
      </w:pPr>
    </w:p>
    <w:p w14:paraId="68EC59FD" w14:textId="031A647A" w:rsidR="00895AD6" w:rsidRPr="008A7ECE" w:rsidRDefault="00895AD6" w:rsidP="00895AD6">
      <w:pPr>
        <w:pStyle w:val="Title"/>
        <w:rPr>
          <w:rFonts w:asciiTheme="minorHAnsi" w:hAnsiTheme="minorHAnsi" w:cstheme="minorHAnsi"/>
        </w:rPr>
      </w:pPr>
      <w:r w:rsidRPr="008A7ECE">
        <w:rPr>
          <w:rFonts w:asciiTheme="minorHAnsi" w:hAnsiTheme="minorHAnsi" w:cstheme="minorHAnsi"/>
        </w:rPr>
        <w:t>Persons Living Outside of Australia</w:t>
      </w:r>
      <w:bookmarkEnd w:id="1"/>
      <w:r w:rsidR="003F054C" w:rsidRPr="008A7ECE">
        <w:rPr>
          <w:rFonts w:asciiTheme="minorHAnsi" w:hAnsiTheme="minorHAnsi" w:cstheme="minorHAnsi"/>
        </w:rPr>
        <w:t xml:space="preserve"> Guidelines</w:t>
      </w:r>
    </w:p>
    <w:p w14:paraId="4D2F1FC6" w14:textId="77777777" w:rsidR="00895AD6" w:rsidRPr="008A7ECE" w:rsidRDefault="00895AD6" w:rsidP="00895AD6">
      <w:pPr>
        <w:rPr>
          <w:rFonts w:asciiTheme="minorHAnsi" w:hAnsiTheme="minorHAnsi" w:cstheme="minorHAnsi"/>
        </w:rPr>
      </w:pPr>
    </w:p>
    <w:p w14:paraId="23E2C865" w14:textId="77777777" w:rsidR="00895AD6" w:rsidRPr="008A7ECE" w:rsidRDefault="00895AD6" w:rsidP="00D2530A">
      <w:pPr>
        <w:pStyle w:val="Heading1"/>
        <w:numPr>
          <w:ilvl w:val="0"/>
          <w:numId w:val="5"/>
        </w:numPr>
        <w:tabs>
          <w:tab w:val="left" w:pos="610"/>
        </w:tabs>
        <w:ind w:hanging="468"/>
        <w:jc w:val="left"/>
        <w:rPr>
          <w:rFonts w:asciiTheme="minorHAnsi" w:hAnsiTheme="minorHAnsi" w:cstheme="minorHAnsi"/>
        </w:rPr>
      </w:pPr>
      <w:r w:rsidRPr="008A7ECE">
        <w:rPr>
          <w:rFonts w:asciiTheme="minorHAnsi" w:hAnsiTheme="minorHAnsi" w:cstheme="minorHAnsi"/>
        </w:rPr>
        <w:t>INTRODUCTION</w:t>
      </w:r>
    </w:p>
    <w:p w14:paraId="4E2E9FE2" w14:textId="77777777" w:rsidR="00895AD6" w:rsidRPr="008A7ECE" w:rsidRDefault="00895AD6" w:rsidP="00895AD6">
      <w:pPr>
        <w:pStyle w:val="ListParagraph"/>
        <w:ind w:left="360"/>
        <w:rPr>
          <w:rFonts w:asciiTheme="minorHAnsi" w:hAnsiTheme="minorHAnsi" w:cstheme="minorHAnsi"/>
        </w:rPr>
      </w:pPr>
    </w:p>
    <w:p w14:paraId="6DB88F18" w14:textId="145D590E" w:rsidR="00895AD6" w:rsidRPr="008A7ECE" w:rsidRDefault="00895AD6" w:rsidP="00DE6B8E">
      <w:pPr>
        <w:rPr>
          <w:rFonts w:asciiTheme="minorHAnsi" w:hAnsiTheme="minorHAnsi" w:cstheme="minorHAnsi"/>
          <w:sz w:val="24"/>
          <w:szCs w:val="24"/>
        </w:rPr>
      </w:pPr>
      <w:r w:rsidRPr="008A7ECE">
        <w:rPr>
          <w:rFonts w:asciiTheme="minorHAnsi" w:hAnsiTheme="minorHAnsi" w:cstheme="minorHAnsi"/>
          <w:sz w:val="24"/>
          <w:szCs w:val="24"/>
        </w:rPr>
        <w:t xml:space="preserve">The </w:t>
      </w:r>
      <w:r w:rsidR="00912DAD" w:rsidRPr="008A7ECE">
        <w:rPr>
          <w:rFonts w:asciiTheme="minorHAnsi" w:hAnsiTheme="minorHAnsi" w:cstheme="minorHAnsi"/>
          <w:sz w:val="24"/>
          <w:szCs w:val="24"/>
        </w:rPr>
        <w:t>P</w:t>
      </w:r>
      <w:r w:rsidRPr="008A7ECE">
        <w:rPr>
          <w:rFonts w:asciiTheme="minorHAnsi" w:hAnsiTheme="minorHAnsi" w:cstheme="minorHAnsi"/>
          <w:sz w:val="24"/>
          <w:szCs w:val="24"/>
        </w:rPr>
        <w:t xml:space="preserve">ersons </w:t>
      </w:r>
      <w:r w:rsidR="00912DAD" w:rsidRPr="008A7ECE">
        <w:rPr>
          <w:rFonts w:asciiTheme="minorHAnsi" w:hAnsiTheme="minorHAnsi" w:cstheme="minorHAnsi"/>
          <w:sz w:val="24"/>
          <w:szCs w:val="24"/>
        </w:rPr>
        <w:t>L</w:t>
      </w:r>
      <w:r w:rsidRPr="008A7ECE">
        <w:rPr>
          <w:rFonts w:asciiTheme="minorHAnsi" w:hAnsiTheme="minorHAnsi" w:cstheme="minorHAnsi"/>
          <w:sz w:val="24"/>
          <w:szCs w:val="24"/>
        </w:rPr>
        <w:t xml:space="preserve">iving </w:t>
      </w:r>
      <w:r w:rsidR="00912DAD" w:rsidRPr="008A7ECE">
        <w:rPr>
          <w:rFonts w:asciiTheme="minorHAnsi" w:hAnsiTheme="minorHAnsi" w:cstheme="minorHAnsi"/>
          <w:sz w:val="24"/>
          <w:szCs w:val="24"/>
        </w:rPr>
        <w:t>O</w:t>
      </w:r>
      <w:r w:rsidRPr="008A7ECE">
        <w:rPr>
          <w:rFonts w:asciiTheme="minorHAnsi" w:hAnsiTheme="minorHAnsi" w:cstheme="minorHAnsi"/>
          <w:sz w:val="24"/>
          <w:szCs w:val="24"/>
        </w:rPr>
        <w:t>utside of Australia</w:t>
      </w:r>
      <w:r w:rsidR="003F054C" w:rsidRPr="008A7ECE">
        <w:rPr>
          <w:rFonts w:asciiTheme="minorHAnsi" w:hAnsiTheme="minorHAnsi" w:cstheme="minorHAnsi"/>
          <w:sz w:val="24"/>
          <w:szCs w:val="24"/>
        </w:rPr>
        <w:t xml:space="preserve"> guidelines</w:t>
      </w:r>
      <w:r w:rsidRPr="008A7ECE">
        <w:rPr>
          <w:rFonts w:asciiTheme="minorHAnsi" w:hAnsiTheme="minorHAnsi" w:cstheme="minorHAnsi"/>
          <w:sz w:val="24"/>
          <w:szCs w:val="24"/>
        </w:rPr>
        <w:t xml:space="preserve"> are part of the MAI guidelines made under section 487 of the </w:t>
      </w:r>
      <w:r w:rsidRPr="008A7ECE">
        <w:rPr>
          <w:rFonts w:asciiTheme="minorHAnsi" w:hAnsiTheme="minorHAnsi" w:cstheme="minorHAnsi"/>
          <w:i/>
          <w:sz w:val="24"/>
          <w:szCs w:val="24"/>
        </w:rPr>
        <w:t>Motor Accident Injuries Act 2019</w:t>
      </w:r>
      <w:r w:rsidRPr="008A7ECE">
        <w:rPr>
          <w:rFonts w:asciiTheme="minorHAnsi" w:hAnsiTheme="minorHAnsi" w:cstheme="minorHAnsi"/>
          <w:sz w:val="24"/>
          <w:szCs w:val="24"/>
        </w:rPr>
        <w:t xml:space="preserve"> (MAI Act). The purpose of the guidelines is to provide guidance about making periodic payments for defined benefits for Australians living overseas and for making lump sum payments </w:t>
      </w:r>
      <w:r w:rsidR="00544543" w:rsidRPr="008A7ECE">
        <w:rPr>
          <w:rFonts w:asciiTheme="minorHAnsi" w:hAnsiTheme="minorHAnsi" w:cstheme="minorHAnsi"/>
          <w:sz w:val="24"/>
          <w:szCs w:val="24"/>
        </w:rPr>
        <w:t xml:space="preserve">in relation </w:t>
      </w:r>
      <w:r w:rsidRPr="008A7ECE">
        <w:rPr>
          <w:rFonts w:asciiTheme="minorHAnsi" w:hAnsiTheme="minorHAnsi" w:cstheme="minorHAnsi"/>
          <w:sz w:val="24"/>
          <w:szCs w:val="24"/>
        </w:rPr>
        <w:t>to foreign nationals that have permanently left Australia.</w:t>
      </w:r>
    </w:p>
    <w:p w14:paraId="5C567E6F" w14:textId="77777777" w:rsidR="00895AD6" w:rsidRPr="008A7ECE" w:rsidRDefault="00895AD6" w:rsidP="00895AD6">
      <w:pPr>
        <w:pStyle w:val="ListParagraph"/>
        <w:ind w:left="360"/>
        <w:rPr>
          <w:rFonts w:asciiTheme="minorHAnsi" w:hAnsiTheme="minorHAnsi" w:cstheme="minorHAnsi"/>
          <w:sz w:val="24"/>
          <w:szCs w:val="24"/>
        </w:rPr>
      </w:pPr>
    </w:p>
    <w:p w14:paraId="7D3D45C2" w14:textId="77777777" w:rsidR="00895AD6" w:rsidRPr="008A7ECE" w:rsidRDefault="00895AD6" w:rsidP="00D2530A">
      <w:pPr>
        <w:pStyle w:val="Heading1"/>
        <w:numPr>
          <w:ilvl w:val="0"/>
          <w:numId w:val="5"/>
        </w:numPr>
        <w:tabs>
          <w:tab w:val="left" w:pos="610"/>
        </w:tabs>
        <w:ind w:hanging="468"/>
        <w:jc w:val="left"/>
        <w:rPr>
          <w:rFonts w:asciiTheme="minorHAnsi" w:hAnsiTheme="minorHAnsi" w:cstheme="minorHAnsi"/>
        </w:rPr>
      </w:pPr>
      <w:r w:rsidRPr="008A7ECE">
        <w:rPr>
          <w:rFonts w:asciiTheme="minorHAnsi" w:hAnsiTheme="minorHAnsi" w:cstheme="minorHAnsi"/>
        </w:rPr>
        <w:t>STATUTORY FRAMEWORK</w:t>
      </w:r>
    </w:p>
    <w:p w14:paraId="32AA10B9" w14:textId="26B14C6E" w:rsidR="00895AD6" w:rsidRPr="008A7ECE" w:rsidRDefault="00895AD6" w:rsidP="00031473">
      <w:pPr>
        <w:spacing w:before="240"/>
        <w:rPr>
          <w:rFonts w:asciiTheme="minorHAnsi" w:hAnsiTheme="minorHAnsi" w:cstheme="minorHAnsi"/>
          <w:sz w:val="24"/>
          <w:szCs w:val="24"/>
        </w:rPr>
      </w:pPr>
      <w:r w:rsidRPr="008A7ECE">
        <w:rPr>
          <w:rFonts w:asciiTheme="minorHAnsi" w:hAnsiTheme="minorHAnsi" w:cstheme="minorHAnsi"/>
          <w:sz w:val="24"/>
          <w:szCs w:val="24"/>
        </w:rPr>
        <w:t>Part 2.9 of the MAI Act requires treatment and care benefits and income replacement benefits for an Australian living overseas to be made in the form of regular instalments. It also enables a foreign national that leaves Australia permanently to receive a lump sum payment of defined benefits</w:t>
      </w:r>
      <w:r w:rsidR="00AE1871" w:rsidRPr="008A7ECE">
        <w:rPr>
          <w:rFonts w:asciiTheme="minorHAnsi" w:hAnsiTheme="minorHAnsi" w:cstheme="minorHAnsi"/>
          <w:sz w:val="24"/>
          <w:szCs w:val="24"/>
        </w:rPr>
        <w:t xml:space="preserve"> in certain circumstances</w:t>
      </w:r>
      <w:r w:rsidRPr="008A7ECE">
        <w:rPr>
          <w:rFonts w:asciiTheme="minorHAnsi" w:hAnsiTheme="minorHAnsi" w:cstheme="minorHAnsi"/>
          <w:sz w:val="24"/>
          <w:szCs w:val="24"/>
        </w:rPr>
        <w:t>.</w:t>
      </w:r>
    </w:p>
    <w:p w14:paraId="34151B5A" w14:textId="77777777" w:rsidR="00031473" w:rsidRPr="008A7ECE" w:rsidRDefault="00031473" w:rsidP="00895AD6">
      <w:pPr>
        <w:ind w:left="360"/>
        <w:rPr>
          <w:rFonts w:asciiTheme="minorHAnsi" w:hAnsiTheme="minorHAnsi" w:cstheme="minorHAnsi"/>
          <w:sz w:val="24"/>
          <w:szCs w:val="24"/>
        </w:rPr>
      </w:pPr>
    </w:p>
    <w:p w14:paraId="41505CC1" w14:textId="31DE3146" w:rsidR="00895AD6" w:rsidRPr="008A7ECE" w:rsidRDefault="00895AD6" w:rsidP="00031473">
      <w:pPr>
        <w:rPr>
          <w:rFonts w:asciiTheme="minorHAnsi" w:hAnsiTheme="minorHAnsi" w:cstheme="minorHAnsi"/>
          <w:sz w:val="24"/>
          <w:szCs w:val="24"/>
        </w:rPr>
      </w:pPr>
      <w:r w:rsidRPr="008A7ECE">
        <w:rPr>
          <w:rFonts w:asciiTheme="minorHAnsi" w:hAnsiTheme="minorHAnsi" w:cstheme="minorHAnsi"/>
          <w:sz w:val="24"/>
          <w:szCs w:val="24"/>
        </w:rPr>
        <w:t>The legislative framework for defined benefits for person’s living outside of Australia includes:</w:t>
      </w:r>
    </w:p>
    <w:p w14:paraId="43031FE5" w14:textId="77777777" w:rsidR="00895AD6" w:rsidRPr="008A7ECE" w:rsidRDefault="00895AD6" w:rsidP="00895AD6">
      <w:pPr>
        <w:pStyle w:val="ListParagraph"/>
        <w:widowControl/>
        <w:numPr>
          <w:ilvl w:val="2"/>
          <w:numId w:val="1"/>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the MAI Act; and</w:t>
      </w:r>
    </w:p>
    <w:p w14:paraId="69EB6E7A" w14:textId="77777777" w:rsidR="00895AD6" w:rsidRPr="008A7ECE" w:rsidRDefault="00895AD6" w:rsidP="00895AD6">
      <w:pPr>
        <w:pStyle w:val="ListParagraph"/>
        <w:widowControl/>
        <w:numPr>
          <w:ilvl w:val="2"/>
          <w:numId w:val="1"/>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these Guidelines.</w:t>
      </w:r>
    </w:p>
    <w:p w14:paraId="07FA39CE" w14:textId="77777777" w:rsidR="00895AD6" w:rsidRPr="008A7ECE" w:rsidRDefault="00895AD6" w:rsidP="00895AD6">
      <w:pPr>
        <w:pStyle w:val="ListParagraph"/>
        <w:ind w:left="360"/>
        <w:rPr>
          <w:rFonts w:asciiTheme="minorHAnsi" w:hAnsiTheme="minorHAnsi" w:cstheme="minorHAnsi"/>
          <w:sz w:val="24"/>
          <w:szCs w:val="24"/>
        </w:rPr>
      </w:pPr>
    </w:p>
    <w:p w14:paraId="25885480" w14:textId="172D7973" w:rsidR="00895AD6" w:rsidRPr="008A7ECE" w:rsidRDefault="00895AD6" w:rsidP="00D2530A">
      <w:pPr>
        <w:pStyle w:val="Heading1"/>
        <w:numPr>
          <w:ilvl w:val="0"/>
          <w:numId w:val="5"/>
        </w:numPr>
        <w:tabs>
          <w:tab w:val="left" w:pos="610"/>
        </w:tabs>
        <w:ind w:hanging="468"/>
        <w:jc w:val="left"/>
        <w:rPr>
          <w:rFonts w:asciiTheme="minorHAnsi" w:hAnsiTheme="minorHAnsi" w:cstheme="minorHAnsi"/>
          <w:caps/>
        </w:rPr>
      </w:pPr>
      <w:r w:rsidRPr="008A7ECE">
        <w:rPr>
          <w:rFonts w:asciiTheme="minorHAnsi" w:hAnsiTheme="minorHAnsi" w:cstheme="minorHAnsi"/>
          <w:caps/>
        </w:rPr>
        <w:t>Guidelines – Periodic Payment of Defined Benefits Australians</w:t>
      </w:r>
      <w:r w:rsidR="00973AA3" w:rsidRPr="008A7ECE">
        <w:rPr>
          <w:rFonts w:asciiTheme="minorHAnsi" w:hAnsiTheme="minorHAnsi" w:cstheme="minorHAnsi"/>
          <w:caps/>
        </w:rPr>
        <w:t>’</w:t>
      </w:r>
      <w:r w:rsidRPr="008A7ECE">
        <w:rPr>
          <w:rFonts w:asciiTheme="minorHAnsi" w:hAnsiTheme="minorHAnsi" w:cstheme="minorHAnsi"/>
          <w:caps/>
        </w:rPr>
        <w:t xml:space="preserve"> living Overseas (section 183)</w:t>
      </w:r>
    </w:p>
    <w:p w14:paraId="7A1E82F8" w14:textId="77777777" w:rsidR="00895AD6" w:rsidRPr="008A7ECE" w:rsidRDefault="00895AD6" w:rsidP="00895AD6">
      <w:pPr>
        <w:pStyle w:val="Heading1"/>
        <w:tabs>
          <w:tab w:val="left" w:pos="610"/>
        </w:tabs>
        <w:ind w:left="468" w:firstLine="0"/>
        <w:rPr>
          <w:rFonts w:asciiTheme="minorHAnsi" w:hAnsiTheme="minorHAnsi" w:cstheme="minorHAnsi"/>
          <w:caps/>
        </w:rPr>
      </w:pPr>
    </w:p>
    <w:p w14:paraId="7F936771" w14:textId="77777777" w:rsidR="00895AD6" w:rsidRPr="008A7ECE" w:rsidRDefault="00895AD6" w:rsidP="00031473">
      <w:pPr>
        <w:rPr>
          <w:rFonts w:asciiTheme="minorHAnsi" w:hAnsiTheme="minorHAnsi" w:cstheme="minorHAnsi"/>
          <w:sz w:val="24"/>
          <w:szCs w:val="24"/>
        </w:rPr>
      </w:pPr>
      <w:r w:rsidRPr="008A7ECE">
        <w:rPr>
          <w:rFonts w:asciiTheme="minorHAnsi" w:hAnsiTheme="minorHAnsi" w:cstheme="minorHAnsi"/>
          <w:sz w:val="24"/>
          <w:szCs w:val="24"/>
        </w:rPr>
        <w:t>These guidelines make provision for the period an Australian living overseas must live outside Australia, and also for the amount and frequency of periodic payments payable to an Australian living overseas.</w:t>
      </w:r>
    </w:p>
    <w:p w14:paraId="54F443EC" w14:textId="77777777" w:rsidR="00895AD6" w:rsidRPr="008A7ECE" w:rsidRDefault="00895AD6" w:rsidP="00895AD6">
      <w:pPr>
        <w:ind w:left="360"/>
        <w:rPr>
          <w:rFonts w:asciiTheme="minorHAnsi" w:hAnsiTheme="minorHAnsi" w:cstheme="minorHAnsi"/>
          <w:sz w:val="24"/>
          <w:szCs w:val="24"/>
        </w:rPr>
      </w:pPr>
    </w:p>
    <w:p w14:paraId="39DEA7E6" w14:textId="41AC970B" w:rsidR="00895AD6" w:rsidRPr="008A7ECE" w:rsidRDefault="00895AD6" w:rsidP="0085379A">
      <w:pPr>
        <w:pStyle w:val="ListParagraph"/>
        <w:widowControl/>
        <w:numPr>
          <w:ilvl w:val="1"/>
          <w:numId w:val="2"/>
        </w:numPr>
        <w:autoSpaceDE/>
        <w:autoSpaceDN/>
        <w:spacing w:after="160" w:line="259" w:lineRule="auto"/>
        <w:ind w:hanging="720"/>
        <w:contextualSpacing/>
        <w:rPr>
          <w:rFonts w:asciiTheme="minorHAnsi" w:hAnsiTheme="minorHAnsi" w:cstheme="minorHAnsi"/>
          <w:b/>
          <w:sz w:val="24"/>
          <w:szCs w:val="24"/>
        </w:rPr>
      </w:pPr>
      <w:r w:rsidRPr="008A7ECE">
        <w:rPr>
          <w:rFonts w:asciiTheme="minorHAnsi" w:hAnsiTheme="minorHAnsi" w:cstheme="minorHAnsi"/>
          <w:b/>
          <w:sz w:val="24"/>
          <w:szCs w:val="24"/>
        </w:rPr>
        <w:t>Period Australian must live overseas</w:t>
      </w:r>
    </w:p>
    <w:p w14:paraId="2DDC035D" w14:textId="028FD88C" w:rsidR="00895AD6" w:rsidRPr="008A7ECE" w:rsidRDefault="00912DAD" w:rsidP="00031473">
      <w:pPr>
        <w:rPr>
          <w:rFonts w:asciiTheme="minorHAnsi" w:hAnsiTheme="minorHAnsi" w:cstheme="minorHAnsi"/>
          <w:sz w:val="24"/>
          <w:szCs w:val="24"/>
        </w:rPr>
      </w:pPr>
      <w:r w:rsidRPr="008A7ECE">
        <w:rPr>
          <w:rFonts w:asciiTheme="minorHAnsi" w:hAnsiTheme="minorHAnsi" w:cstheme="minorHAnsi"/>
          <w:b/>
          <w:bCs/>
          <w:sz w:val="24"/>
          <w:szCs w:val="24"/>
        </w:rPr>
        <w:t xml:space="preserve">3.1.1 </w:t>
      </w:r>
      <w:r w:rsidR="00895AD6" w:rsidRPr="008A7ECE">
        <w:rPr>
          <w:rFonts w:asciiTheme="minorHAnsi" w:hAnsiTheme="minorHAnsi" w:cstheme="minorHAnsi"/>
          <w:sz w:val="24"/>
          <w:szCs w:val="24"/>
        </w:rPr>
        <w:t>There is no minimum eligibility period for a person who is an Australian citizen or permanent resident to be living outside Australia before they can receive periodic payments.</w:t>
      </w:r>
    </w:p>
    <w:p w14:paraId="6C79D455" w14:textId="77777777" w:rsidR="00895AD6" w:rsidRPr="008A7ECE" w:rsidRDefault="00895AD6" w:rsidP="00895AD6">
      <w:pPr>
        <w:ind w:left="360"/>
        <w:rPr>
          <w:rFonts w:asciiTheme="minorHAnsi" w:hAnsiTheme="minorHAnsi" w:cstheme="minorHAnsi"/>
          <w:sz w:val="24"/>
          <w:szCs w:val="24"/>
        </w:rPr>
      </w:pPr>
    </w:p>
    <w:p w14:paraId="18D3C102" w14:textId="32CBC011" w:rsidR="00895AD6" w:rsidRPr="008A7ECE" w:rsidRDefault="00912DAD" w:rsidP="00031473">
      <w:pPr>
        <w:rPr>
          <w:rFonts w:asciiTheme="minorHAnsi" w:hAnsiTheme="minorHAnsi" w:cstheme="minorHAnsi"/>
          <w:sz w:val="24"/>
          <w:szCs w:val="24"/>
        </w:rPr>
      </w:pPr>
      <w:r w:rsidRPr="008A7ECE">
        <w:rPr>
          <w:rFonts w:asciiTheme="minorHAnsi" w:hAnsiTheme="minorHAnsi" w:cstheme="minorHAnsi"/>
          <w:b/>
          <w:bCs/>
          <w:sz w:val="24"/>
          <w:szCs w:val="24"/>
        </w:rPr>
        <w:t xml:space="preserve">3.1.2 </w:t>
      </w:r>
      <w:r w:rsidR="00895AD6" w:rsidRPr="008A7ECE">
        <w:rPr>
          <w:rFonts w:asciiTheme="minorHAnsi" w:hAnsiTheme="minorHAnsi" w:cstheme="minorHAnsi"/>
          <w:sz w:val="24"/>
          <w:szCs w:val="24"/>
        </w:rPr>
        <w:t>However, an insurer should be satisfied that an Australian seeking periodic payment, in advance, intends to live outside Australia permanently or for an extended time. An insurer should obtain information about a person’s intended place of residence, and any work, study and visa arrangements to determine whether a person intends to reside overseas permanently or for an extended time.  An extended time should be a minimum period of 26 weeks.</w:t>
      </w:r>
    </w:p>
    <w:p w14:paraId="0EA03495" w14:textId="2D7AC607" w:rsidR="00895AD6" w:rsidRDefault="00895AD6" w:rsidP="00895AD6">
      <w:pPr>
        <w:ind w:left="360"/>
        <w:rPr>
          <w:rFonts w:asciiTheme="minorHAnsi" w:hAnsiTheme="minorHAnsi" w:cstheme="minorHAnsi"/>
          <w:sz w:val="24"/>
          <w:szCs w:val="24"/>
        </w:rPr>
      </w:pPr>
    </w:p>
    <w:p w14:paraId="5A0BC672" w14:textId="77777777" w:rsidR="00983581" w:rsidRDefault="00983581" w:rsidP="00895AD6">
      <w:pPr>
        <w:ind w:left="360"/>
        <w:rPr>
          <w:rFonts w:asciiTheme="minorHAnsi" w:hAnsiTheme="minorHAnsi" w:cstheme="minorHAnsi"/>
          <w:sz w:val="24"/>
          <w:szCs w:val="24"/>
        </w:rPr>
      </w:pPr>
    </w:p>
    <w:p w14:paraId="0A97191D" w14:textId="61AB1ED6" w:rsidR="008A7ECE" w:rsidRDefault="008A7ECE" w:rsidP="00895AD6">
      <w:pPr>
        <w:ind w:left="360"/>
        <w:rPr>
          <w:rFonts w:asciiTheme="minorHAnsi" w:hAnsiTheme="minorHAnsi" w:cstheme="minorHAnsi"/>
          <w:sz w:val="24"/>
          <w:szCs w:val="24"/>
        </w:rPr>
      </w:pPr>
    </w:p>
    <w:p w14:paraId="7CCAE582" w14:textId="77777777" w:rsidR="008A7ECE" w:rsidRPr="008A7ECE" w:rsidRDefault="008A7ECE" w:rsidP="00895AD6">
      <w:pPr>
        <w:ind w:left="360"/>
        <w:rPr>
          <w:rFonts w:asciiTheme="minorHAnsi" w:hAnsiTheme="minorHAnsi" w:cstheme="minorHAnsi"/>
          <w:sz w:val="24"/>
          <w:szCs w:val="24"/>
        </w:rPr>
      </w:pPr>
    </w:p>
    <w:p w14:paraId="330DFD37" w14:textId="7598EB9A" w:rsidR="00895AD6" w:rsidRPr="008A7ECE" w:rsidRDefault="00D2530A" w:rsidP="0085379A">
      <w:pPr>
        <w:pStyle w:val="ListParagraph"/>
        <w:widowControl/>
        <w:numPr>
          <w:ilvl w:val="1"/>
          <w:numId w:val="2"/>
        </w:numPr>
        <w:autoSpaceDE/>
        <w:autoSpaceDN/>
        <w:spacing w:after="160" w:line="259" w:lineRule="auto"/>
        <w:ind w:hanging="720"/>
        <w:contextualSpacing/>
        <w:rPr>
          <w:rFonts w:asciiTheme="minorHAnsi" w:hAnsiTheme="minorHAnsi" w:cstheme="minorHAnsi"/>
          <w:b/>
          <w:sz w:val="24"/>
          <w:szCs w:val="24"/>
        </w:rPr>
      </w:pPr>
      <w:r w:rsidRPr="008A7ECE">
        <w:rPr>
          <w:rFonts w:asciiTheme="minorHAnsi" w:hAnsiTheme="minorHAnsi" w:cstheme="minorHAnsi"/>
          <w:b/>
          <w:sz w:val="24"/>
          <w:szCs w:val="24"/>
        </w:rPr>
        <w:lastRenderedPageBreak/>
        <w:t xml:space="preserve">  </w:t>
      </w:r>
      <w:r w:rsidR="00895AD6" w:rsidRPr="008A7ECE">
        <w:rPr>
          <w:rFonts w:asciiTheme="minorHAnsi" w:hAnsiTheme="minorHAnsi" w:cstheme="minorHAnsi"/>
          <w:b/>
          <w:sz w:val="24"/>
          <w:szCs w:val="24"/>
        </w:rPr>
        <w:t>Amount and frequency of payments payable to an Australian living overseas</w:t>
      </w:r>
    </w:p>
    <w:p w14:paraId="3AB7EC97" w14:textId="305F9698" w:rsidR="00895AD6" w:rsidRPr="008A7ECE" w:rsidRDefault="00912DAD" w:rsidP="00031473">
      <w:pPr>
        <w:rPr>
          <w:rFonts w:asciiTheme="minorHAnsi" w:hAnsiTheme="minorHAnsi" w:cstheme="minorHAnsi"/>
          <w:sz w:val="24"/>
          <w:szCs w:val="24"/>
        </w:rPr>
      </w:pPr>
      <w:r w:rsidRPr="008A7ECE">
        <w:rPr>
          <w:rFonts w:asciiTheme="minorHAnsi" w:hAnsiTheme="minorHAnsi" w:cstheme="minorHAnsi"/>
          <w:b/>
          <w:bCs/>
          <w:sz w:val="24"/>
          <w:szCs w:val="24"/>
        </w:rPr>
        <w:t xml:space="preserve">3.2.1 </w:t>
      </w:r>
      <w:r w:rsidR="00895AD6" w:rsidRPr="008A7ECE">
        <w:rPr>
          <w:rFonts w:asciiTheme="minorHAnsi" w:hAnsiTheme="minorHAnsi" w:cstheme="minorHAnsi"/>
          <w:sz w:val="24"/>
          <w:szCs w:val="24"/>
        </w:rPr>
        <w:t xml:space="preserve">An insurer must make monthly instalment payments for an Australian living overseas, in advance, if expected </w:t>
      </w:r>
      <w:r w:rsidR="00544543" w:rsidRPr="008A7ECE">
        <w:rPr>
          <w:rFonts w:asciiTheme="minorHAnsi" w:hAnsiTheme="minorHAnsi" w:cstheme="minorHAnsi"/>
          <w:sz w:val="24"/>
          <w:szCs w:val="24"/>
        </w:rPr>
        <w:t>reasonable and necessary</w:t>
      </w:r>
      <w:r w:rsidR="00895AD6" w:rsidRPr="008A7ECE">
        <w:rPr>
          <w:rFonts w:asciiTheme="minorHAnsi" w:hAnsiTheme="minorHAnsi" w:cstheme="minorHAnsi"/>
          <w:sz w:val="24"/>
          <w:szCs w:val="24"/>
        </w:rPr>
        <w:t xml:space="preserve"> treatment and care expenses for the month approved in the person’s recovery plan are in excess of $1,000 AUD for a given month.  </w:t>
      </w:r>
    </w:p>
    <w:p w14:paraId="3CFC2CE1" w14:textId="77777777" w:rsidR="00895AD6" w:rsidRPr="008A7ECE" w:rsidRDefault="00895AD6" w:rsidP="00895AD6">
      <w:pPr>
        <w:ind w:left="360"/>
        <w:rPr>
          <w:rFonts w:asciiTheme="minorHAnsi" w:hAnsiTheme="minorHAnsi" w:cstheme="minorHAnsi"/>
          <w:sz w:val="24"/>
          <w:szCs w:val="24"/>
        </w:rPr>
      </w:pPr>
    </w:p>
    <w:p w14:paraId="31528D47" w14:textId="6FB5D95E" w:rsidR="00895AD6" w:rsidRPr="008A7ECE" w:rsidRDefault="00912DAD" w:rsidP="00031473">
      <w:pPr>
        <w:rPr>
          <w:rFonts w:asciiTheme="minorHAnsi" w:hAnsiTheme="minorHAnsi" w:cstheme="minorHAnsi"/>
          <w:sz w:val="24"/>
          <w:szCs w:val="24"/>
        </w:rPr>
      </w:pPr>
      <w:r w:rsidRPr="008A7ECE">
        <w:rPr>
          <w:rFonts w:asciiTheme="minorHAnsi" w:hAnsiTheme="minorHAnsi" w:cstheme="minorHAnsi"/>
          <w:b/>
          <w:bCs/>
          <w:sz w:val="24"/>
          <w:szCs w:val="24"/>
        </w:rPr>
        <w:t xml:space="preserve">3.2.2 </w:t>
      </w:r>
      <w:r w:rsidR="00895AD6" w:rsidRPr="008A7ECE">
        <w:rPr>
          <w:rFonts w:asciiTheme="minorHAnsi" w:hAnsiTheme="minorHAnsi" w:cstheme="minorHAnsi"/>
          <w:sz w:val="24"/>
          <w:szCs w:val="24"/>
        </w:rPr>
        <w:t xml:space="preserve">Expected monthly treatment and care expenses </w:t>
      </w:r>
      <w:r w:rsidR="00BD428E" w:rsidRPr="008A7ECE">
        <w:rPr>
          <w:rFonts w:asciiTheme="minorHAnsi" w:hAnsiTheme="minorHAnsi" w:cstheme="minorHAnsi"/>
          <w:sz w:val="24"/>
          <w:szCs w:val="24"/>
        </w:rPr>
        <w:t>are to</w:t>
      </w:r>
      <w:r w:rsidR="00895AD6" w:rsidRPr="008A7ECE">
        <w:rPr>
          <w:rFonts w:asciiTheme="minorHAnsi" w:hAnsiTheme="minorHAnsi" w:cstheme="minorHAnsi"/>
          <w:sz w:val="24"/>
          <w:szCs w:val="24"/>
        </w:rPr>
        <w:t xml:space="preserve"> be based on the likely costs of the treatment and care in the location or region where the person resides. A person </w:t>
      </w:r>
      <w:r w:rsidR="00E512A7" w:rsidRPr="008A7ECE">
        <w:rPr>
          <w:rFonts w:asciiTheme="minorHAnsi" w:hAnsiTheme="minorHAnsi" w:cstheme="minorHAnsi"/>
          <w:sz w:val="24"/>
          <w:szCs w:val="24"/>
        </w:rPr>
        <w:t>is</w:t>
      </w:r>
      <w:r w:rsidR="00895AD6" w:rsidRPr="008A7ECE">
        <w:rPr>
          <w:rFonts w:asciiTheme="minorHAnsi" w:hAnsiTheme="minorHAnsi" w:cstheme="minorHAnsi"/>
          <w:sz w:val="24"/>
          <w:szCs w:val="24"/>
        </w:rPr>
        <w:t xml:space="preserve"> to provide accounts and receipts showing that</w:t>
      </w:r>
      <w:r w:rsidR="00544543" w:rsidRPr="008A7ECE">
        <w:rPr>
          <w:rFonts w:asciiTheme="minorHAnsi" w:hAnsiTheme="minorHAnsi" w:cstheme="minorHAnsi"/>
          <w:sz w:val="24"/>
          <w:szCs w:val="24"/>
        </w:rPr>
        <w:t xml:space="preserve"> the approved</w:t>
      </w:r>
      <w:r w:rsidR="00895AD6" w:rsidRPr="008A7ECE">
        <w:rPr>
          <w:rFonts w:asciiTheme="minorHAnsi" w:hAnsiTheme="minorHAnsi" w:cstheme="minorHAnsi"/>
          <w:sz w:val="24"/>
          <w:szCs w:val="24"/>
        </w:rPr>
        <w:t xml:space="preserve"> treatment and care expenses have actually been incurred to an insurer within 10 business days of the end of a given month.</w:t>
      </w:r>
      <w:r w:rsidR="009F08DA" w:rsidRPr="008A7ECE">
        <w:rPr>
          <w:rFonts w:asciiTheme="minorHAnsi" w:hAnsiTheme="minorHAnsi" w:cstheme="minorHAnsi"/>
          <w:sz w:val="24"/>
          <w:szCs w:val="24"/>
        </w:rPr>
        <w:t xml:space="preserve"> If expenses incurred are less than the instalment amount, then any overpayment </w:t>
      </w:r>
      <w:r w:rsidR="00BD428E" w:rsidRPr="008A7ECE">
        <w:rPr>
          <w:rFonts w:asciiTheme="minorHAnsi" w:hAnsiTheme="minorHAnsi" w:cstheme="minorHAnsi"/>
          <w:sz w:val="24"/>
          <w:szCs w:val="24"/>
        </w:rPr>
        <w:t>must be repaid to the insurer. An overpayment may be recovered through adjusting a future instalment or other amount payable by the insurer to the person.</w:t>
      </w:r>
      <w:r w:rsidR="00895AD6" w:rsidRPr="008A7ECE">
        <w:rPr>
          <w:rFonts w:asciiTheme="minorHAnsi" w:hAnsiTheme="minorHAnsi" w:cstheme="minorHAnsi"/>
          <w:sz w:val="24"/>
          <w:szCs w:val="24"/>
        </w:rPr>
        <w:t xml:space="preserve">  If evidence is not </w:t>
      </w:r>
      <w:r w:rsidR="00BE255C" w:rsidRPr="008A7ECE">
        <w:rPr>
          <w:rFonts w:asciiTheme="minorHAnsi" w:hAnsiTheme="minorHAnsi" w:cstheme="minorHAnsi"/>
          <w:sz w:val="24"/>
          <w:szCs w:val="24"/>
        </w:rPr>
        <w:t>provided</w:t>
      </w:r>
      <w:r w:rsidR="009F08DA" w:rsidRPr="008A7ECE">
        <w:rPr>
          <w:rFonts w:asciiTheme="minorHAnsi" w:hAnsiTheme="minorHAnsi" w:cstheme="minorHAnsi"/>
          <w:sz w:val="24"/>
          <w:szCs w:val="24"/>
        </w:rPr>
        <w:t>, or actual treatment and care expenses fall below $1,000 per month,</w:t>
      </w:r>
      <w:r w:rsidR="00BE255C" w:rsidRPr="008A7ECE">
        <w:rPr>
          <w:rFonts w:asciiTheme="minorHAnsi" w:hAnsiTheme="minorHAnsi" w:cstheme="minorHAnsi"/>
          <w:sz w:val="24"/>
          <w:szCs w:val="24"/>
        </w:rPr>
        <w:t xml:space="preserve"> the</w:t>
      </w:r>
      <w:r w:rsidR="00895AD6" w:rsidRPr="008A7ECE">
        <w:rPr>
          <w:rFonts w:asciiTheme="minorHAnsi" w:hAnsiTheme="minorHAnsi" w:cstheme="minorHAnsi"/>
          <w:sz w:val="24"/>
          <w:szCs w:val="24"/>
        </w:rPr>
        <w:t xml:space="preserve"> insurer should cease making monthly instalments in advance to the Australian living overseas.</w:t>
      </w:r>
      <w:r w:rsidR="009F08DA" w:rsidRPr="008A7ECE">
        <w:rPr>
          <w:rFonts w:asciiTheme="minorHAnsi" w:hAnsiTheme="minorHAnsi" w:cstheme="minorHAnsi"/>
          <w:sz w:val="24"/>
          <w:szCs w:val="24"/>
        </w:rPr>
        <w:t xml:space="preserve"> </w:t>
      </w:r>
    </w:p>
    <w:p w14:paraId="4702B8F4" w14:textId="77777777" w:rsidR="00895AD6" w:rsidRPr="008A7ECE" w:rsidRDefault="00895AD6" w:rsidP="00895AD6">
      <w:pPr>
        <w:ind w:left="360"/>
        <w:rPr>
          <w:rFonts w:asciiTheme="minorHAnsi" w:hAnsiTheme="minorHAnsi" w:cstheme="minorHAnsi"/>
          <w:sz w:val="24"/>
          <w:szCs w:val="24"/>
        </w:rPr>
      </w:pPr>
    </w:p>
    <w:p w14:paraId="4E7E5284" w14:textId="32B1D801" w:rsidR="00895AD6" w:rsidRPr="008A7ECE" w:rsidRDefault="00912DAD" w:rsidP="00F97E0D">
      <w:pPr>
        <w:rPr>
          <w:rFonts w:asciiTheme="minorHAnsi" w:hAnsiTheme="minorHAnsi" w:cstheme="minorHAnsi"/>
          <w:sz w:val="24"/>
          <w:szCs w:val="24"/>
        </w:rPr>
      </w:pPr>
      <w:r w:rsidRPr="008A7ECE">
        <w:rPr>
          <w:rFonts w:asciiTheme="minorHAnsi" w:hAnsiTheme="minorHAnsi" w:cstheme="minorHAnsi"/>
          <w:b/>
          <w:bCs/>
          <w:sz w:val="24"/>
          <w:szCs w:val="24"/>
        </w:rPr>
        <w:t xml:space="preserve">3.2.3 </w:t>
      </w:r>
      <w:r w:rsidR="00F97E0D" w:rsidRPr="008A7ECE">
        <w:rPr>
          <w:rFonts w:asciiTheme="minorHAnsi" w:hAnsiTheme="minorHAnsi" w:cstheme="minorHAnsi"/>
          <w:sz w:val="24"/>
          <w:szCs w:val="24"/>
        </w:rPr>
        <w:t>Outside of the above circumstances,</w:t>
      </w:r>
      <w:r w:rsidR="00895AD6" w:rsidRPr="008A7ECE">
        <w:rPr>
          <w:rFonts w:asciiTheme="minorHAnsi" w:hAnsiTheme="minorHAnsi" w:cstheme="minorHAnsi"/>
          <w:sz w:val="24"/>
          <w:szCs w:val="24"/>
        </w:rPr>
        <w:t xml:space="preserve"> treatment and care expenses incurred overseas and approved in a person’s recovery plan, or otherwise determined to be reasonable and necessary by an insurer, should only be reimbursed in arrears on a monthly basis, with a payment only required to be made once the total amount to be reimbursed for the month or cumulative months exceeds $1,000 AUD, or the person’s entitlement to defined benefits has ended. </w:t>
      </w:r>
    </w:p>
    <w:p w14:paraId="5F305EAE" w14:textId="77777777" w:rsidR="00895AD6" w:rsidRPr="008A7ECE" w:rsidRDefault="00895AD6" w:rsidP="00895AD6">
      <w:pPr>
        <w:ind w:left="360"/>
        <w:rPr>
          <w:rFonts w:asciiTheme="minorHAnsi" w:hAnsiTheme="minorHAnsi" w:cstheme="minorHAnsi"/>
          <w:sz w:val="24"/>
          <w:szCs w:val="24"/>
        </w:rPr>
      </w:pPr>
    </w:p>
    <w:p w14:paraId="5DAD130C" w14:textId="43ECB9CE" w:rsidR="00895AD6" w:rsidRPr="008A7ECE" w:rsidRDefault="00912DAD" w:rsidP="00F97E0D">
      <w:pPr>
        <w:rPr>
          <w:rFonts w:asciiTheme="minorHAnsi" w:hAnsiTheme="minorHAnsi" w:cstheme="minorHAnsi"/>
          <w:sz w:val="24"/>
          <w:szCs w:val="24"/>
        </w:rPr>
      </w:pPr>
      <w:r w:rsidRPr="008A7ECE">
        <w:rPr>
          <w:rFonts w:asciiTheme="minorHAnsi" w:hAnsiTheme="minorHAnsi" w:cstheme="minorHAnsi"/>
          <w:b/>
          <w:bCs/>
          <w:sz w:val="24"/>
          <w:szCs w:val="24"/>
        </w:rPr>
        <w:t xml:space="preserve">3.2.4 </w:t>
      </w:r>
      <w:r w:rsidR="00895AD6" w:rsidRPr="008A7ECE">
        <w:rPr>
          <w:rFonts w:asciiTheme="minorHAnsi" w:hAnsiTheme="minorHAnsi" w:cstheme="minorHAnsi"/>
          <w:sz w:val="24"/>
          <w:szCs w:val="24"/>
        </w:rPr>
        <w:t xml:space="preserve">An insurer </w:t>
      </w:r>
      <w:r w:rsidR="00E512A7" w:rsidRPr="008A7ECE">
        <w:rPr>
          <w:rFonts w:asciiTheme="minorHAnsi" w:hAnsiTheme="minorHAnsi" w:cstheme="minorHAnsi"/>
          <w:sz w:val="24"/>
          <w:szCs w:val="24"/>
        </w:rPr>
        <w:t>must</w:t>
      </w:r>
      <w:r w:rsidR="00895AD6" w:rsidRPr="008A7ECE">
        <w:rPr>
          <w:rFonts w:asciiTheme="minorHAnsi" w:hAnsiTheme="minorHAnsi" w:cstheme="minorHAnsi"/>
          <w:sz w:val="24"/>
          <w:szCs w:val="24"/>
        </w:rPr>
        <w:t xml:space="preserve"> be provided with a medical report from an overseas treating practitioner on at least a quarterly basis in respect of</w:t>
      </w:r>
      <w:r w:rsidR="00544543" w:rsidRPr="008A7ECE">
        <w:rPr>
          <w:rFonts w:asciiTheme="minorHAnsi" w:hAnsiTheme="minorHAnsi" w:cstheme="minorHAnsi"/>
          <w:sz w:val="24"/>
          <w:szCs w:val="24"/>
        </w:rPr>
        <w:t xml:space="preserve"> the treatment and care of</w:t>
      </w:r>
      <w:r w:rsidR="00895AD6" w:rsidRPr="008A7ECE">
        <w:rPr>
          <w:rFonts w:asciiTheme="minorHAnsi" w:hAnsiTheme="minorHAnsi" w:cstheme="minorHAnsi"/>
          <w:sz w:val="24"/>
          <w:szCs w:val="24"/>
        </w:rPr>
        <w:t xml:space="preserve"> an Australian living overseas</w:t>
      </w:r>
      <w:r w:rsidR="00BA58CC" w:rsidRPr="008A7ECE">
        <w:rPr>
          <w:rFonts w:asciiTheme="minorHAnsi" w:hAnsiTheme="minorHAnsi" w:cstheme="minorHAnsi"/>
          <w:sz w:val="24"/>
          <w:szCs w:val="24"/>
        </w:rPr>
        <w:t xml:space="preserve">. </w:t>
      </w:r>
      <w:r w:rsidR="00895AD6" w:rsidRPr="008A7ECE">
        <w:rPr>
          <w:rFonts w:asciiTheme="minorHAnsi" w:hAnsiTheme="minorHAnsi" w:cstheme="minorHAnsi"/>
          <w:sz w:val="24"/>
          <w:szCs w:val="24"/>
        </w:rPr>
        <w:t>This will enable an insurer to update the person’s recovery plan and approve any future treatment and care</w:t>
      </w:r>
      <w:r w:rsidR="00BE7D17" w:rsidRPr="008A7ECE">
        <w:rPr>
          <w:rFonts w:asciiTheme="minorHAnsi" w:hAnsiTheme="minorHAnsi" w:cstheme="minorHAnsi"/>
          <w:sz w:val="24"/>
          <w:szCs w:val="24"/>
        </w:rPr>
        <w:t xml:space="preserve"> including for the purposes of instalment payments</w:t>
      </w:r>
      <w:r w:rsidR="00895AD6" w:rsidRPr="008A7ECE">
        <w:rPr>
          <w:rFonts w:asciiTheme="minorHAnsi" w:hAnsiTheme="minorHAnsi" w:cstheme="minorHAnsi"/>
          <w:sz w:val="24"/>
          <w:szCs w:val="24"/>
        </w:rPr>
        <w:t>.</w:t>
      </w:r>
    </w:p>
    <w:p w14:paraId="53C0AB65" w14:textId="77777777" w:rsidR="00895AD6" w:rsidRPr="008A7ECE" w:rsidRDefault="00895AD6" w:rsidP="00895AD6">
      <w:pPr>
        <w:ind w:left="360"/>
        <w:rPr>
          <w:rFonts w:asciiTheme="minorHAnsi" w:hAnsiTheme="minorHAnsi" w:cstheme="minorHAnsi"/>
          <w:sz w:val="24"/>
          <w:szCs w:val="24"/>
        </w:rPr>
      </w:pPr>
    </w:p>
    <w:p w14:paraId="217C1B15" w14:textId="6CD73452" w:rsidR="00895AD6" w:rsidRPr="008A7ECE" w:rsidRDefault="00912DAD" w:rsidP="00F97E0D">
      <w:pPr>
        <w:rPr>
          <w:rFonts w:asciiTheme="minorHAnsi" w:hAnsiTheme="minorHAnsi" w:cstheme="minorHAnsi"/>
          <w:sz w:val="24"/>
          <w:szCs w:val="24"/>
        </w:rPr>
      </w:pPr>
      <w:r w:rsidRPr="008A7ECE">
        <w:rPr>
          <w:rFonts w:asciiTheme="minorHAnsi" w:hAnsiTheme="minorHAnsi" w:cstheme="minorHAnsi"/>
          <w:b/>
          <w:bCs/>
          <w:sz w:val="24"/>
          <w:szCs w:val="24"/>
        </w:rPr>
        <w:t xml:space="preserve">3.2.5 </w:t>
      </w:r>
      <w:r w:rsidR="00895AD6" w:rsidRPr="008A7ECE">
        <w:rPr>
          <w:rFonts w:asciiTheme="minorHAnsi" w:hAnsiTheme="minorHAnsi" w:cstheme="minorHAnsi"/>
          <w:sz w:val="24"/>
          <w:szCs w:val="24"/>
        </w:rPr>
        <w:t xml:space="preserve">Income replacement payments should continue to be payable to an Australian living overseas on a fortnightly in arrears basis subject to the person providing the insurer with a current fitness for work certificate and work declaration.  A fitness for work certificate may be provided by an overseas </w:t>
      </w:r>
      <w:r w:rsidR="00973AA3" w:rsidRPr="008A7ECE">
        <w:rPr>
          <w:rFonts w:asciiTheme="minorHAnsi" w:hAnsiTheme="minorHAnsi" w:cstheme="minorHAnsi"/>
          <w:sz w:val="24"/>
          <w:szCs w:val="24"/>
        </w:rPr>
        <w:t xml:space="preserve">health </w:t>
      </w:r>
      <w:r w:rsidR="00895AD6" w:rsidRPr="008A7ECE">
        <w:rPr>
          <w:rFonts w:asciiTheme="minorHAnsi" w:hAnsiTheme="minorHAnsi" w:cstheme="minorHAnsi"/>
          <w:sz w:val="24"/>
          <w:szCs w:val="24"/>
        </w:rPr>
        <w:t>practitioner, provided the certificate includes all information required in an Australian certificate</w:t>
      </w:r>
      <w:r w:rsidR="00BE255C" w:rsidRPr="008A7ECE">
        <w:rPr>
          <w:rFonts w:asciiTheme="minorHAnsi" w:hAnsiTheme="minorHAnsi" w:cstheme="minorHAnsi"/>
          <w:sz w:val="24"/>
          <w:szCs w:val="24"/>
        </w:rPr>
        <w:t>.</w:t>
      </w:r>
    </w:p>
    <w:p w14:paraId="404D0185" w14:textId="654016FE" w:rsidR="005E00FA" w:rsidRPr="008A7ECE" w:rsidRDefault="005E00FA" w:rsidP="00895AD6">
      <w:pPr>
        <w:ind w:left="360"/>
        <w:rPr>
          <w:rFonts w:asciiTheme="minorHAnsi" w:hAnsiTheme="minorHAnsi" w:cstheme="minorHAnsi"/>
          <w:sz w:val="24"/>
          <w:szCs w:val="24"/>
        </w:rPr>
      </w:pPr>
    </w:p>
    <w:p w14:paraId="66BEF9A5" w14:textId="3857296B" w:rsidR="005E00FA" w:rsidRPr="008A7ECE" w:rsidRDefault="00912DAD" w:rsidP="00F97E0D">
      <w:pPr>
        <w:rPr>
          <w:rFonts w:asciiTheme="minorHAnsi" w:hAnsiTheme="minorHAnsi" w:cstheme="minorHAnsi"/>
          <w:sz w:val="24"/>
          <w:szCs w:val="24"/>
        </w:rPr>
      </w:pPr>
      <w:r w:rsidRPr="008A7ECE">
        <w:rPr>
          <w:rFonts w:asciiTheme="minorHAnsi" w:hAnsiTheme="minorHAnsi" w:cstheme="minorHAnsi"/>
          <w:b/>
          <w:bCs/>
          <w:sz w:val="24"/>
          <w:szCs w:val="24"/>
        </w:rPr>
        <w:t xml:space="preserve">3.2.6 </w:t>
      </w:r>
      <w:r w:rsidR="005E00FA" w:rsidRPr="008A7ECE">
        <w:rPr>
          <w:rFonts w:asciiTheme="minorHAnsi" w:hAnsiTheme="minorHAnsi" w:cstheme="minorHAnsi"/>
          <w:sz w:val="24"/>
          <w:szCs w:val="24"/>
        </w:rPr>
        <w:t>An account and receipt, medical report or fitness for work certificate must include</w:t>
      </w:r>
      <w:r w:rsidR="00406094" w:rsidRPr="008A7ECE">
        <w:rPr>
          <w:rFonts w:asciiTheme="minorHAnsi" w:hAnsiTheme="minorHAnsi" w:cstheme="minorHAnsi"/>
          <w:sz w:val="24"/>
          <w:szCs w:val="24"/>
        </w:rPr>
        <w:t xml:space="preserve"> sufficient information</w:t>
      </w:r>
      <w:r w:rsidR="00344A9A" w:rsidRPr="008A7ECE">
        <w:rPr>
          <w:rFonts w:asciiTheme="minorHAnsi" w:hAnsiTheme="minorHAnsi" w:cstheme="minorHAnsi"/>
          <w:sz w:val="24"/>
          <w:szCs w:val="24"/>
        </w:rPr>
        <w:t xml:space="preserve"> </w:t>
      </w:r>
      <w:r w:rsidR="00406094" w:rsidRPr="008A7ECE">
        <w:rPr>
          <w:rFonts w:asciiTheme="minorHAnsi" w:hAnsiTheme="minorHAnsi" w:cstheme="minorHAnsi"/>
          <w:sz w:val="24"/>
          <w:szCs w:val="24"/>
        </w:rPr>
        <w:t>so the delivery of the services and the</w:t>
      </w:r>
      <w:r w:rsidR="00344A9A" w:rsidRPr="008A7ECE">
        <w:rPr>
          <w:rFonts w:asciiTheme="minorHAnsi" w:hAnsiTheme="minorHAnsi" w:cstheme="minorHAnsi"/>
          <w:sz w:val="24"/>
          <w:szCs w:val="24"/>
        </w:rPr>
        <w:t xml:space="preserve"> </w:t>
      </w:r>
      <w:r w:rsidR="00DA5183" w:rsidRPr="008A7ECE">
        <w:rPr>
          <w:rFonts w:asciiTheme="minorHAnsi" w:hAnsiTheme="minorHAnsi" w:cstheme="minorHAnsi"/>
          <w:sz w:val="24"/>
          <w:szCs w:val="24"/>
        </w:rPr>
        <w:t>health practitioner’s registration and/or qualification</w:t>
      </w:r>
      <w:r w:rsidR="00BA58CC" w:rsidRPr="008A7ECE">
        <w:rPr>
          <w:rFonts w:asciiTheme="minorHAnsi" w:hAnsiTheme="minorHAnsi" w:cstheme="minorHAnsi"/>
          <w:sz w:val="24"/>
          <w:szCs w:val="24"/>
        </w:rPr>
        <w:t>s</w:t>
      </w:r>
      <w:r w:rsidR="00DA5183" w:rsidRPr="008A7ECE">
        <w:rPr>
          <w:rFonts w:asciiTheme="minorHAnsi" w:hAnsiTheme="minorHAnsi" w:cstheme="minorHAnsi"/>
          <w:sz w:val="24"/>
          <w:szCs w:val="24"/>
        </w:rPr>
        <w:t xml:space="preserve"> </w:t>
      </w:r>
      <w:r w:rsidR="005E00FA" w:rsidRPr="008A7ECE">
        <w:rPr>
          <w:rFonts w:asciiTheme="minorHAnsi" w:hAnsiTheme="minorHAnsi" w:cstheme="minorHAnsi"/>
          <w:sz w:val="24"/>
          <w:szCs w:val="24"/>
        </w:rPr>
        <w:t xml:space="preserve">can be independently verified by an insurer.  </w:t>
      </w:r>
      <w:r w:rsidR="002256F9" w:rsidRPr="008A7ECE">
        <w:rPr>
          <w:rFonts w:asciiTheme="minorHAnsi" w:hAnsiTheme="minorHAnsi" w:cstheme="minorHAnsi"/>
          <w:sz w:val="24"/>
          <w:szCs w:val="24"/>
        </w:rPr>
        <w:t>If a</w:t>
      </w:r>
      <w:r w:rsidR="004E43A8" w:rsidRPr="008A7ECE">
        <w:rPr>
          <w:rFonts w:asciiTheme="minorHAnsi" w:hAnsiTheme="minorHAnsi" w:cstheme="minorHAnsi"/>
          <w:sz w:val="24"/>
          <w:szCs w:val="24"/>
        </w:rPr>
        <w:t xml:space="preserve"> document</w:t>
      </w:r>
      <w:r w:rsidR="002256F9" w:rsidRPr="008A7ECE">
        <w:rPr>
          <w:rFonts w:asciiTheme="minorHAnsi" w:hAnsiTheme="minorHAnsi" w:cstheme="minorHAnsi"/>
          <w:sz w:val="24"/>
          <w:szCs w:val="24"/>
        </w:rPr>
        <w:t xml:space="preserve"> is not in English, the insurer may accept an English translation</w:t>
      </w:r>
      <w:r w:rsidR="004E43A8" w:rsidRPr="008A7ECE">
        <w:rPr>
          <w:rFonts w:asciiTheme="minorHAnsi" w:hAnsiTheme="minorHAnsi" w:cstheme="minorHAnsi"/>
          <w:sz w:val="24"/>
          <w:szCs w:val="24"/>
        </w:rPr>
        <w:t xml:space="preserve"> of the document</w:t>
      </w:r>
      <w:r w:rsidR="008A4027" w:rsidRPr="008A7ECE">
        <w:rPr>
          <w:rFonts w:asciiTheme="minorHAnsi" w:hAnsiTheme="minorHAnsi" w:cstheme="minorHAnsi"/>
          <w:sz w:val="24"/>
          <w:szCs w:val="24"/>
        </w:rPr>
        <w:t>.</w:t>
      </w:r>
      <w:r w:rsidR="004E43A8" w:rsidRPr="008A7ECE">
        <w:rPr>
          <w:rFonts w:asciiTheme="minorHAnsi" w:hAnsiTheme="minorHAnsi" w:cstheme="minorHAnsi"/>
          <w:sz w:val="24"/>
          <w:szCs w:val="24"/>
        </w:rPr>
        <w:t xml:space="preserve"> The insurer may request that the translation be certified and/or a declaration be provided by the injured person that the translation is true and correct.</w:t>
      </w:r>
      <w:r w:rsidR="008A4027" w:rsidRPr="008A7ECE">
        <w:rPr>
          <w:rFonts w:asciiTheme="minorHAnsi" w:hAnsiTheme="minorHAnsi" w:cstheme="minorHAnsi"/>
          <w:sz w:val="24"/>
          <w:szCs w:val="24"/>
        </w:rPr>
        <w:t xml:space="preserve"> The </w:t>
      </w:r>
      <w:r w:rsidR="001B7BC3" w:rsidRPr="008A7ECE">
        <w:rPr>
          <w:rFonts w:asciiTheme="minorHAnsi" w:hAnsiTheme="minorHAnsi" w:cstheme="minorHAnsi"/>
          <w:sz w:val="24"/>
          <w:szCs w:val="24"/>
        </w:rPr>
        <w:t>insurer is not required to reimburse the Australian living overseas for any translation costs they incur</w:t>
      </w:r>
      <w:r w:rsidR="008A4027" w:rsidRPr="008A7ECE">
        <w:rPr>
          <w:rFonts w:asciiTheme="minorHAnsi" w:hAnsiTheme="minorHAnsi" w:cstheme="minorHAnsi"/>
          <w:sz w:val="24"/>
          <w:szCs w:val="24"/>
        </w:rPr>
        <w:t xml:space="preserve">.  </w:t>
      </w:r>
    </w:p>
    <w:p w14:paraId="3127C2DB" w14:textId="77777777" w:rsidR="00895AD6" w:rsidRPr="008A7ECE" w:rsidRDefault="00895AD6" w:rsidP="00895AD6">
      <w:pPr>
        <w:ind w:left="360"/>
        <w:rPr>
          <w:rFonts w:asciiTheme="minorHAnsi" w:hAnsiTheme="minorHAnsi" w:cstheme="minorHAnsi"/>
          <w:sz w:val="24"/>
          <w:szCs w:val="24"/>
        </w:rPr>
      </w:pPr>
    </w:p>
    <w:p w14:paraId="5D6B174F" w14:textId="5543A8B9" w:rsidR="00895AD6" w:rsidRPr="008A7ECE" w:rsidRDefault="00912DAD" w:rsidP="00DE6B8E">
      <w:pPr>
        <w:rPr>
          <w:rFonts w:asciiTheme="minorHAnsi" w:hAnsiTheme="minorHAnsi" w:cstheme="minorHAnsi"/>
          <w:sz w:val="24"/>
          <w:szCs w:val="24"/>
        </w:rPr>
      </w:pPr>
      <w:r w:rsidRPr="008A7ECE">
        <w:rPr>
          <w:rFonts w:asciiTheme="minorHAnsi" w:hAnsiTheme="minorHAnsi" w:cstheme="minorHAnsi"/>
          <w:b/>
          <w:bCs/>
          <w:sz w:val="24"/>
          <w:szCs w:val="24"/>
        </w:rPr>
        <w:t xml:space="preserve">3.2.7 </w:t>
      </w:r>
      <w:r w:rsidR="00496E99" w:rsidRPr="008A7ECE">
        <w:rPr>
          <w:rFonts w:asciiTheme="minorHAnsi" w:hAnsiTheme="minorHAnsi" w:cstheme="minorHAnsi"/>
          <w:sz w:val="24"/>
          <w:szCs w:val="24"/>
        </w:rPr>
        <w:t xml:space="preserve">To ensure it is appropriate to continue to make income replacement payments and or approve treatment and care payments an </w:t>
      </w:r>
      <w:r w:rsidR="00895AD6" w:rsidRPr="008A7ECE">
        <w:rPr>
          <w:rFonts w:asciiTheme="minorHAnsi" w:hAnsiTheme="minorHAnsi" w:cstheme="minorHAnsi"/>
          <w:sz w:val="24"/>
          <w:szCs w:val="24"/>
        </w:rPr>
        <w:t xml:space="preserve">insurer </w:t>
      </w:r>
      <w:r w:rsidR="00496E99" w:rsidRPr="008A7ECE">
        <w:rPr>
          <w:rFonts w:asciiTheme="minorHAnsi" w:hAnsiTheme="minorHAnsi" w:cstheme="minorHAnsi"/>
          <w:sz w:val="24"/>
          <w:szCs w:val="24"/>
        </w:rPr>
        <w:t>may request an</w:t>
      </w:r>
      <w:r w:rsidR="00895AD6" w:rsidRPr="008A7ECE">
        <w:rPr>
          <w:rFonts w:asciiTheme="minorHAnsi" w:hAnsiTheme="minorHAnsi" w:cstheme="minorHAnsi"/>
          <w:sz w:val="24"/>
          <w:szCs w:val="24"/>
        </w:rPr>
        <w:t xml:space="preserve"> Australian living overseas</w:t>
      </w:r>
      <w:r w:rsidR="00496E99" w:rsidRPr="008A7ECE">
        <w:rPr>
          <w:rFonts w:asciiTheme="minorHAnsi" w:hAnsiTheme="minorHAnsi" w:cstheme="minorHAnsi"/>
          <w:sz w:val="24"/>
          <w:szCs w:val="24"/>
        </w:rPr>
        <w:t xml:space="preserve"> undergo a</w:t>
      </w:r>
      <w:r w:rsidR="00E3238D" w:rsidRPr="008A7ECE">
        <w:rPr>
          <w:rFonts w:asciiTheme="minorHAnsi" w:hAnsiTheme="minorHAnsi" w:cstheme="minorHAnsi"/>
          <w:sz w:val="24"/>
          <w:szCs w:val="24"/>
        </w:rPr>
        <w:t>n independent</w:t>
      </w:r>
      <w:r w:rsidR="00496E99" w:rsidRPr="008A7ECE">
        <w:rPr>
          <w:rFonts w:asciiTheme="minorHAnsi" w:hAnsiTheme="minorHAnsi" w:cstheme="minorHAnsi"/>
          <w:sz w:val="24"/>
          <w:szCs w:val="24"/>
        </w:rPr>
        <w:t xml:space="preserve"> medical or other examination</w:t>
      </w:r>
      <w:r w:rsidR="00895AD6" w:rsidRPr="008A7ECE">
        <w:rPr>
          <w:rFonts w:asciiTheme="minorHAnsi" w:hAnsiTheme="minorHAnsi" w:cstheme="minorHAnsi"/>
          <w:sz w:val="24"/>
          <w:szCs w:val="24"/>
        </w:rPr>
        <w:t xml:space="preserve"> overseas</w:t>
      </w:r>
      <w:r w:rsidR="00496E99" w:rsidRPr="008A7ECE">
        <w:rPr>
          <w:rFonts w:asciiTheme="minorHAnsi" w:hAnsiTheme="minorHAnsi" w:cstheme="minorHAnsi"/>
          <w:sz w:val="24"/>
          <w:szCs w:val="24"/>
        </w:rPr>
        <w:t>. An in</w:t>
      </w:r>
      <w:r w:rsidR="00D4404C" w:rsidRPr="008A7ECE">
        <w:rPr>
          <w:rFonts w:asciiTheme="minorHAnsi" w:hAnsiTheme="minorHAnsi" w:cstheme="minorHAnsi"/>
          <w:sz w:val="24"/>
          <w:szCs w:val="24"/>
        </w:rPr>
        <w:t>jured person</w:t>
      </w:r>
      <w:r w:rsidR="00496E99" w:rsidRPr="008A7ECE">
        <w:rPr>
          <w:rFonts w:asciiTheme="minorHAnsi" w:hAnsiTheme="minorHAnsi" w:cstheme="minorHAnsi"/>
          <w:sz w:val="24"/>
          <w:szCs w:val="24"/>
        </w:rPr>
        <w:t xml:space="preserve"> may decide to return to Australia</w:t>
      </w:r>
      <w:r w:rsidR="00013C40" w:rsidRPr="008A7ECE">
        <w:rPr>
          <w:rFonts w:asciiTheme="minorHAnsi" w:hAnsiTheme="minorHAnsi" w:cstheme="minorHAnsi"/>
          <w:sz w:val="24"/>
          <w:szCs w:val="24"/>
        </w:rPr>
        <w:t xml:space="preserve"> for the examination and may request that the insurer pay a </w:t>
      </w:r>
      <w:r w:rsidR="00013C40" w:rsidRPr="008A7ECE">
        <w:rPr>
          <w:rFonts w:asciiTheme="minorHAnsi" w:hAnsiTheme="minorHAnsi" w:cstheme="minorHAnsi"/>
          <w:sz w:val="24"/>
          <w:szCs w:val="24"/>
        </w:rPr>
        <w:lastRenderedPageBreak/>
        <w:t>contribution towards the airfare. The insurer is not required to do so, nor pay for the return airfare to the overseas location.</w:t>
      </w:r>
      <w:r w:rsidR="00F97E0D" w:rsidRPr="008A7ECE">
        <w:rPr>
          <w:rFonts w:asciiTheme="minorHAnsi" w:hAnsiTheme="minorHAnsi" w:cstheme="minorHAnsi"/>
          <w:sz w:val="24"/>
          <w:szCs w:val="24"/>
        </w:rPr>
        <w:t xml:space="preserve"> If there is a refusal by the injured person to have an examination, the insurer may suspend the payment</w:t>
      </w:r>
      <w:r w:rsidR="00013C40" w:rsidRPr="008A7ECE">
        <w:rPr>
          <w:rFonts w:asciiTheme="minorHAnsi" w:hAnsiTheme="minorHAnsi" w:cstheme="minorHAnsi"/>
          <w:sz w:val="24"/>
          <w:szCs w:val="24"/>
        </w:rPr>
        <w:t>s</w:t>
      </w:r>
      <w:r w:rsidR="00F97E0D" w:rsidRPr="008A7ECE">
        <w:rPr>
          <w:rFonts w:asciiTheme="minorHAnsi" w:hAnsiTheme="minorHAnsi" w:cstheme="minorHAnsi"/>
          <w:sz w:val="24"/>
          <w:szCs w:val="24"/>
        </w:rPr>
        <w:t xml:space="preserve"> until such time as the person returns to Australi</w:t>
      </w:r>
      <w:r w:rsidR="00013C40" w:rsidRPr="008A7ECE">
        <w:rPr>
          <w:rFonts w:asciiTheme="minorHAnsi" w:hAnsiTheme="minorHAnsi" w:cstheme="minorHAnsi"/>
          <w:sz w:val="24"/>
          <w:szCs w:val="24"/>
        </w:rPr>
        <w:t xml:space="preserve">a for the purpose </w:t>
      </w:r>
      <w:r w:rsidR="000554FE" w:rsidRPr="008A7ECE">
        <w:rPr>
          <w:rFonts w:asciiTheme="minorHAnsi" w:hAnsiTheme="minorHAnsi" w:cstheme="minorHAnsi"/>
          <w:sz w:val="24"/>
          <w:szCs w:val="24"/>
        </w:rPr>
        <w:t>of a medical examination (temporary return) or permanently returns</w:t>
      </w:r>
      <w:r w:rsidR="00802739" w:rsidRPr="008A7ECE">
        <w:rPr>
          <w:rFonts w:asciiTheme="minorHAnsi" w:hAnsiTheme="minorHAnsi" w:cstheme="minorHAnsi"/>
          <w:sz w:val="24"/>
          <w:szCs w:val="24"/>
        </w:rPr>
        <w:t>.</w:t>
      </w:r>
      <w:r w:rsidR="00306BA4" w:rsidRPr="008A7ECE">
        <w:rPr>
          <w:rFonts w:asciiTheme="minorHAnsi" w:hAnsiTheme="minorHAnsi" w:cstheme="minorHAnsi"/>
          <w:sz w:val="24"/>
          <w:szCs w:val="24"/>
        </w:rPr>
        <w:t xml:space="preserve"> If a person permanently </w:t>
      </w:r>
      <w:r w:rsidR="00D4404C" w:rsidRPr="008A7ECE">
        <w:rPr>
          <w:rFonts w:asciiTheme="minorHAnsi" w:hAnsiTheme="minorHAnsi" w:cstheme="minorHAnsi"/>
          <w:sz w:val="24"/>
          <w:szCs w:val="24"/>
        </w:rPr>
        <w:t>returns,</w:t>
      </w:r>
      <w:r w:rsidR="00306BA4" w:rsidRPr="008A7ECE">
        <w:rPr>
          <w:rFonts w:asciiTheme="minorHAnsi" w:hAnsiTheme="minorHAnsi" w:cstheme="minorHAnsi"/>
          <w:sz w:val="24"/>
          <w:szCs w:val="24"/>
        </w:rPr>
        <w:t xml:space="preserve"> they should be no longer managed as an Australian living overseas.</w:t>
      </w:r>
      <w:r w:rsidR="00F97E0D" w:rsidRPr="008A7ECE">
        <w:rPr>
          <w:rFonts w:asciiTheme="minorHAnsi" w:hAnsiTheme="minorHAnsi" w:cstheme="minorHAnsi"/>
          <w:sz w:val="24"/>
          <w:szCs w:val="24"/>
        </w:rPr>
        <w:t xml:space="preserve">  </w:t>
      </w:r>
    </w:p>
    <w:p w14:paraId="706A240A" w14:textId="77777777" w:rsidR="00895AD6" w:rsidRPr="008A7ECE" w:rsidRDefault="00895AD6" w:rsidP="00895AD6">
      <w:pPr>
        <w:ind w:left="360"/>
        <w:rPr>
          <w:rFonts w:asciiTheme="minorHAnsi" w:hAnsiTheme="minorHAnsi" w:cstheme="minorHAnsi"/>
          <w:sz w:val="24"/>
          <w:szCs w:val="24"/>
        </w:rPr>
      </w:pPr>
    </w:p>
    <w:p w14:paraId="32F57484" w14:textId="4F776586" w:rsidR="00895AD6" w:rsidRPr="008A7ECE" w:rsidRDefault="00912DAD" w:rsidP="00D62DEE">
      <w:pPr>
        <w:rPr>
          <w:rFonts w:asciiTheme="minorHAnsi" w:hAnsiTheme="minorHAnsi" w:cstheme="minorHAnsi"/>
          <w:sz w:val="24"/>
          <w:szCs w:val="24"/>
        </w:rPr>
      </w:pPr>
      <w:r w:rsidRPr="008A7ECE">
        <w:rPr>
          <w:rFonts w:asciiTheme="minorHAnsi" w:hAnsiTheme="minorHAnsi" w:cstheme="minorHAnsi"/>
          <w:b/>
          <w:bCs/>
          <w:sz w:val="24"/>
          <w:szCs w:val="24"/>
        </w:rPr>
        <w:t xml:space="preserve">3.2.8 </w:t>
      </w:r>
      <w:r w:rsidR="00895AD6" w:rsidRPr="008A7ECE">
        <w:rPr>
          <w:rFonts w:asciiTheme="minorHAnsi" w:hAnsiTheme="minorHAnsi" w:cstheme="minorHAnsi"/>
          <w:sz w:val="24"/>
          <w:szCs w:val="24"/>
        </w:rPr>
        <w:t>Benefits paid to an Australian living overseas must be paid into an Australian bank account (authorised deposit-taking institution).</w:t>
      </w:r>
      <w:r w:rsidR="00DA5183" w:rsidRPr="008A7ECE">
        <w:rPr>
          <w:rFonts w:asciiTheme="minorHAnsi" w:hAnsiTheme="minorHAnsi" w:cstheme="minorHAnsi"/>
          <w:sz w:val="24"/>
          <w:szCs w:val="24"/>
        </w:rPr>
        <w:t xml:space="preserve">  Benefit</w:t>
      </w:r>
      <w:r w:rsidR="00BA58CC" w:rsidRPr="008A7ECE">
        <w:rPr>
          <w:rFonts w:asciiTheme="minorHAnsi" w:hAnsiTheme="minorHAnsi" w:cstheme="minorHAnsi"/>
          <w:sz w:val="24"/>
          <w:szCs w:val="24"/>
        </w:rPr>
        <w:t>s</w:t>
      </w:r>
      <w:r w:rsidR="00DA5183" w:rsidRPr="008A7ECE">
        <w:rPr>
          <w:rFonts w:asciiTheme="minorHAnsi" w:hAnsiTheme="minorHAnsi" w:cstheme="minorHAnsi"/>
          <w:sz w:val="24"/>
          <w:szCs w:val="24"/>
        </w:rPr>
        <w:t xml:space="preserve"> for</w:t>
      </w:r>
      <w:r w:rsidR="00BE255C" w:rsidRPr="008A7ECE">
        <w:rPr>
          <w:rFonts w:asciiTheme="minorHAnsi" w:hAnsiTheme="minorHAnsi" w:cstheme="minorHAnsi"/>
          <w:sz w:val="24"/>
          <w:szCs w:val="24"/>
        </w:rPr>
        <w:t xml:space="preserve"> treatment and care</w:t>
      </w:r>
      <w:r w:rsidR="00DA5183" w:rsidRPr="008A7ECE">
        <w:rPr>
          <w:rFonts w:asciiTheme="minorHAnsi" w:hAnsiTheme="minorHAnsi" w:cstheme="minorHAnsi"/>
          <w:sz w:val="24"/>
          <w:szCs w:val="24"/>
        </w:rPr>
        <w:t xml:space="preserve"> expenses incurred in foreign currency </w:t>
      </w:r>
      <w:bookmarkStart w:id="3" w:name="_Hlk23165811"/>
      <w:r w:rsidR="00DA5183" w:rsidRPr="008A7ECE">
        <w:rPr>
          <w:rFonts w:asciiTheme="minorHAnsi" w:hAnsiTheme="minorHAnsi" w:cstheme="minorHAnsi"/>
          <w:sz w:val="24"/>
          <w:szCs w:val="24"/>
        </w:rPr>
        <w:t>are to be converted into Australian dollars using the Reserve Bank of Australia</w:t>
      </w:r>
      <w:r w:rsidR="003643B3" w:rsidRPr="008A7ECE">
        <w:rPr>
          <w:rFonts w:asciiTheme="minorHAnsi" w:hAnsiTheme="minorHAnsi" w:cstheme="minorHAnsi"/>
          <w:sz w:val="24"/>
          <w:szCs w:val="24"/>
        </w:rPr>
        <w:t xml:space="preserve"> (RBA)</w:t>
      </w:r>
      <w:r w:rsidR="00BA58CC" w:rsidRPr="008A7ECE">
        <w:rPr>
          <w:rFonts w:asciiTheme="minorHAnsi" w:hAnsiTheme="minorHAnsi" w:cstheme="minorHAnsi"/>
          <w:sz w:val="24"/>
          <w:szCs w:val="24"/>
        </w:rPr>
        <w:t xml:space="preserve"> exchange</w:t>
      </w:r>
      <w:r w:rsidR="00DA5183" w:rsidRPr="008A7ECE">
        <w:rPr>
          <w:rFonts w:asciiTheme="minorHAnsi" w:hAnsiTheme="minorHAnsi" w:cstheme="minorHAnsi"/>
          <w:sz w:val="24"/>
          <w:szCs w:val="24"/>
        </w:rPr>
        <w:t xml:space="preserve"> rate</w:t>
      </w:r>
      <w:r w:rsidR="003643B3" w:rsidRPr="008A7ECE">
        <w:rPr>
          <w:rFonts w:asciiTheme="minorHAnsi" w:hAnsiTheme="minorHAnsi" w:cstheme="minorHAnsi"/>
          <w:sz w:val="24"/>
          <w:szCs w:val="24"/>
        </w:rPr>
        <w:t xml:space="preserve"> last published on the RBA </w:t>
      </w:r>
      <w:r w:rsidR="00963BE9" w:rsidRPr="008A7ECE">
        <w:rPr>
          <w:rFonts w:asciiTheme="minorHAnsi" w:hAnsiTheme="minorHAnsi" w:cstheme="minorHAnsi"/>
          <w:sz w:val="24"/>
          <w:szCs w:val="24"/>
        </w:rPr>
        <w:t>website for</w:t>
      </w:r>
      <w:r w:rsidR="003643B3" w:rsidRPr="008A7ECE">
        <w:rPr>
          <w:rFonts w:asciiTheme="minorHAnsi" w:hAnsiTheme="minorHAnsi" w:cstheme="minorHAnsi"/>
          <w:sz w:val="24"/>
          <w:szCs w:val="24"/>
        </w:rPr>
        <w:t xml:space="preserve"> a </w:t>
      </w:r>
      <w:r w:rsidR="00A52D2D" w:rsidRPr="008A7ECE">
        <w:rPr>
          <w:rFonts w:asciiTheme="minorHAnsi" w:hAnsiTheme="minorHAnsi" w:cstheme="minorHAnsi"/>
          <w:sz w:val="24"/>
          <w:szCs w:val="24"/>
        </w:rPr>
        <w:t>business day (other than a bank holiday)</w:t>
      </w:r>
      <w:r w:rsidR="003643B3" w:rsidRPr="008A7ECE">
        <w:rPr>
          <w:rFonts w:asciiTheme="minorHAnsi" w:hAnsiTheme="minorHAnsi" w:cstheme="minorHAnsi"/>
          <w:sz w:val="24"/>
          <w:szCs w:val="24"/>
        </w:rPr>
        <w:t xml:space="preserve"> immediately prior to the date the</w:t>
      </w:r>
      <w:r w:rsidR="00BA58CC" w:rsidRPr="008A7ECE">
        <w:rPr>
          <w:rFonts w:asciiTheme="minorHAnsi" w:hAnsiTheme="minorHAnsi" w:cstheme="minorHAnsi"/>
          <w:sz w:val="24"/>
          <w:szCs w:val="24"/>
        </w:rPr>
        <w:t xml:space="preserve"> account and receipt for the expense was received by the insurer</w:t>
      </w:r>
    </w:p>
    <w:bookmarkEnd w:id="3"/>
    <w:p w14:paraId="0D83C08D" w14:textId="77777777" w:rsidR="00895AD6" w:rsidRPr="008A7ECE" w:rsidRDefault="00895AD6" w:rsidP="00895AD6">
      <w:pPr>
        <w:ind w:left="360"/>
        <w:rPr>
          <w:rFonts w:asciiTheme="minorHAnsi" w:hAnsiTheme="minorHAnsi" w:cstheme="minorHAnsi"/>
          <w:sz w:val="24"/>
          <w:szCs w:val="24"/>
        </w:rPr>
      </w:pPr>
    </w:p>
    <w:p w14:paraId="127E9779" w14:textId="77777777" w:rsidR="00895AD6" w:rsidRPr="008A7ECE" w:rsidRDefault="00895AD6" w:rsidP="0085379A">
      <w:pPr>
        <w:pStyle w:val="Heading1"/>
        <w:numPr>
          <w:ilvl w:val="0"/>
          <w:numId w:val="5"/>
        </w:numPr>
        <w:tabs>
          <w:tab w:val="left" w:pos="610"/>
        </w:tabs>
        <w:ind w:hanging="468"/>
        <w:jc w:val="left"/>
        <w:rPr>
          <w:rFonts w:asciiTheme="minorHAnsi" w:hAnsiTheme="minorHAnsi" w:cstheme="minorHAnsi"/>
          <w:caps/>
        </w:rPr>
      </w:pPr>
      <w:r w:rsidRPr="008A7ECE">
        <w:rPr>
          <w:rFonts w:asciiTheme="minorHAnsi" w:hAnsiTheme="minorHAnsi" w:cstheme="minorHAnsi"/>
          <w:caps/>
        </w:rPr>
        <w:t>Guidelines – Lump sum payment of certain defined benefits- Foreign Nationals (section 184)</w:t>
      </w:r>
    </w:p>
    <w:p w14:paraId="1D85C3EB" w14:textId="77777777" w:rsidR="00895AD6" w:rsidRPr="008A7ECE" w:rsidRDefault="00895AD6" w:rsidP="00912DAD">
      <w:pPr>
        <w:pStyle w:val="ListParagraph"/>
        <w:ind w:left="432" w:hanging="432"/>
        <w:rPr>
          <w:rFonts w:asciiTheme="minorHAnsi" w:hAnsiTheme="minorHAnsi" w:cstheme="minorHAnsi"/>
          <w:b/>
          <w:caps/>
          <w:sz w:val="24"/>
          <w:szCs w:val="24"/>
        </w:rPr>
      </w:pPr>
    </w:p>
    <w:p w14:paraId="2FB9C25F" w14:textId="77777777" w:rsidR="00895AD6" w:rsidRPr="008A7ECE" w:rsidRDefault="00895AD6" w:rsidP="00D62DEE">
      <w:pPr>
        <w:rPr>
          <w:rFonts w:asciiTheme="minorHAnsi" w:hAnsiTheme="minorHAnsi" w:cstheme="minorHAnsi"/>
          <w:sz w:val="24"/>
          <w:szCs w:val="24"/>
        </w:rPr>
      </w:pPr>
      <w:r w:rsidRPr="008A7ECE">
        <w:rPr>
          <w:rFonts w:asciiTheme="minorHAnsi" w:hAnsiTheme="minorHAnsi" w:cstheme="minorHAnsi"/>
          <w:sz w:val="24"/>
          <w:szCs w:val="24"/>
        </w:rPr>
        <w:t>These guidelines make provision for the eligibility of an injured person who is a foreign national to a lump sum payment for certain defined benefits.</w:t>
      </w:r>
    </w:p>
    <w:p w14:paraId="0462929A" w14:textId="77777777" w:rsidR="00895AD6" w:rsidRPr="008A7ECE" w:rsidRDefault="00895AD6" w:rsidP="00912DAD">
      <w:pPr>
        <w:pStyle w:val="ListParagraph"/>
        <w:ind w:left="432" w:hanging="432"/>
        <w:rPr>
          <w:rFonts w:asciiTheme="minorHAnsi" w:hAnsiTheme="minorHAnsi" w:cstheme="minorHAnsi"/>
          <w:b/>
          <w:caps/>
          <w:sz w:val="24"/>
          <w:szCs w:val="24"/>
        </w:rPr>
      </w:pPr>
    </w:p>
    <w:p w14:paraId="549EDA7D" w14:textId="0C369AFC" w:rsidR="00895AD6" w:rsidRPr="008A7ECE" w:rsidRDefault="00895AD6" w:rsidP="0085379A">
      <w:pPr>
        <w:pStyle w:val="ListParagraph"/>
        <w:ind w:left="432" w:hanging="432"/>
        <w:rPr>
          <w:rFonts w:asciiTheme="minorHAnsi" w:hAnsiTheme="minorHAnsi" w:cstheme="minorHAnsi"/>
          <w:b/>
          <w:sz w:val="24"/>
          <w:szCs w:val="24"/>
        </w:rPr>
      </w:pPr>
      <w:r w:rsidRPr="008A7ECE">
        <w:rPr>
          <w:rFonts w:asciiTheme="minorHAnsi" w:hAnsiTheme="minorHAnsi" w:cstheme="minorHAnsi"/>
          <w:b/>
          <w:caps/>
          <w:sz w:val="24"/>
          <w:szCs w:val="24"/>
        </w:rPr>
        <w:t>4.1</w:t>
      </w:r>
      <w:r w:rsidRPr="008A7ECE">
        <w:rPr>
          <w:rFonts w:asciiTheme="minorHAnsi" w:hAnsiTheme="minorHAnsi" w:cstheme="minorHAnsi"/>
          <w:b/>
          <w:caps/>
          <w:sz w:val="24"/>
          <w:szCs w:val="24"/>
        </w:rPr>
        <w:tab/>
      </w:r>
      <w:r w:rsidRPr="008A7ECE">
        <w:rPr>
          <w:rFonts w:asciiTheme="minorHAnsi" w:hAnsiTheme="minorHAnsi" w:cstheme="minorHAnsi"/>
          <w:b/>
          <w:sz w:val="24"/>
          <w:szCs w:val="24"/>
        </w:rPr>
        <w:t>Eligible foreign nationals</w:t>
      </w:r>
    </w:p>
    <w:p w14:paraId="6D30BE41" w14:textId="77777777" w:rsidR="00895AD6" w:rsidRPr="008A7ECE" w:rsidRDefault="00895AD6" w:rsidP="00912DAD">
      <w:pPr>
        <w:pStyle w:val="ListParagraph"/>
        <w:ind w:left="432" w:hanging="432"/>
        <w:rPr>
          <w:rFonts w:asciiTheme="minorHAnsi" w:hAnsiTheme="minorHAnsi" w:cstheme="minorHAnsi"/>
          <w:b/>
          <w:sz w:val="24"/>
          <w:szCs w:val="24"/>
        </w:rPr>
      </w:pPr>
    </w:p>
    <w:p w14:paraId="01FFC372" w14:textId="55F752F6" w:rsidR="00895AD6" w:rsidRPr="008A7ECE" w:rsidRDefault="00912DAD" w:rsidP="00D62DEE">
      <w:pPr>
        <w:rPr>
          <w:rFonts w:asciiTheme="minorHAnsi" w:hAnsiTheme="minorHAnsi" w:cstheme="minorHAnsi"/>
          <w:b/>
          <w:bCs/>
          <w:sz w:val="24"/>
          <w:szCs w:val="24"/>
        </w:rPr>
      </w:pPr>
      <w:r w:rsidRPr="008A7ECE">
        <w:rPr>
          <w:rFonts w:asciiTheme="minorHAnsi" w:hAnsiTheme="minorHAnsi" w:cstheme="minorHAnsi"/>
          <w:b/>
          <w:bCs/>
          <w:sz w:val="24"/>
          <w:szCs w:val="24"/>
        </w:rPr>
        <w:t xml:space="preserve">4.1.1 </w:t>
      </w:r>
      <w:r w:rsidR="00895AD6" w:rsidRPr="008A7ECE">
        <w:rPr>
          <w:rFonts w:asciiTheme="minorHAnsi" w:hAnsiTheme="minorHAnsi" w:cstheme="minorHAnsi"/>
          <w:sz w:val="24"/>
          <w:szCs w:val="24"/>
        </w:rPr>
        <w:t xml:space="preserve">A foreign national will only be eligible to be paid a lump sum payment if the person intends to permanently depart Australia.  A foreign national is a person that is not an Australian citizen or permanent resident.  A foreign national must inform an insurer of their intention to depart Australia and make an application for a lump sum payment prior to their departure from Australia. </w:t>
      </w:r>
    </w:p>
    <w:p w14:paraId="4BF99B65" w14:textId="77777777" w:rsidR="00895AD6" w:rsidRPr="008A7ECE" w:rsidRDefault="00895AD6" w:rsidP="00912DAD">
      <w:pPr>
        <w:pStyle w:val="ListParagraph"/>
        <w:ind w:left="432" w:hanging="432"/>
        <w:rPr>
          <w:rFonts w:asciiTheme="minorHAnsi" w:hAnsiTheme="minorHAnsi" w:cstheme="minorHAnsi"/>
          <w:sz w:val="24"/>
          <w:szCs w:val="24"/>
        </w:rPr>
      </w:pPr>
    </w:p>
    <w:p w14:paraId="41CB4743" w14:textId="3664E1D1" w:rsidR="00895AD6" w:rsidRPr="008A7ECE" w:rsidRDefault="00912DAD" w:rsidP="00D62DEE">
      <w:pPr>
        <w:rPr>
          <w:rFonts w:asciiTheme="minorHAnsi" w:hAnsiTheme="minorHAnsi" w:cstheme="minorHAnsi"/>
          <w:sz w:val="24"/>
          <w:szCs w:val="24"/>
        </w:rPr>
      </w:pPr>
      <w:r w:rsidRPr="008A7ECE">
        <w:rPr>
          <w:rFonts w:asciiTheme="minorHAnsi" w:hAnsiTheme="minorHAnsi" w:cstheme="minorHAnsi"/>
          <w:b/>
          <w:bCs/>
          <w:sz w:val="24"/>
          <w:szCs w:val="24"/>
        </w:rPr>
        <w:t xml:space="preserve">4.1.2 </w:t>
      </w:r>
      <w:r w:rsidR="00895AD6" w:rsidRPr="008A7ECE">
        <w:rPr>
          <w:rFonts w:asciiTheme="minorHAnsi" w:hAnsiTheme="minorHAnsi" w:cstheme="minorHAnsi"/>
          <w:sz w:val="24"/>
          <w:szCs w:val="24"/>
        </w:rPr>
        <w:t>An application for a lump sum payment must be made in writing and include the following information:</w:t>
      </w:r>
    </w:p>
    <w:p w14:paraId="2E79B074" w14:textId="1DAEA61C" w:rsidR="00895AD6" w:rsidRPr="008A7ECE" w:rsidRDefault="00895AD6" w:rsidP="00895AD6">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full name, residential address</w:t>
      </w:r>
      <w:r w:rsidR="00BD428E" w:rsidRPr="008A7ECE">
        <w:rPr>
          <w:rFonts w:asciiTheme="minorHAnsi" w:hAnsiTheme="minorHAnsi" w:cstheme="minorHAnsi"/>
          <w:sz w:val="24"/>
          <w:szCs w:val="24"/>
        </w:rPr>
        <w:t>,</w:t>
      </w:r>
      <w:r w:rsidR="009F2E6A" w:rsidRPr="008A7ECE">
        <w:rPr>
          <w:rFonts w:asciiTheme="minorHAnsi" w:hAnsiTheme="minorHAnsi" w:cstheme="minorHAnsi"/>
          <w:sz w:val="24"/>
          <w:szCs w:val="24"/>
        </w:rPr>
        <w:t xml:space="preserve"> </w:t>
      </w:r>
      <w:r w:rsidR="00BD428E" w:rsidRPr="008A7ECE">
        <w:rPr>
          <w:rFonts w:asciiTheme="minorHAnsi" w:hAnsiTheme="minorHAnsi" w:cstheme="minorHAnsi"/>
          <w:sz w:val="24"/>
          <w:szCs w:val="24"/>
        </w:rPr>
        <w:t>email address</w:t>
      </w:r>
      <w:r w:rsidRPr="008A7ECE">
        <w:rPr>
          <w:rFonts w:asciiTheme="minorHAnsi" w:hAnsiTheme="minorHAnsi" w:cstheme="minorHAnsi"/>
          <w:sz w:val="24"/>
          <w:szCs w:val="24"/>
        </w:rPr>
        <w:t xml:space="preserve"> and</w:t>
      </w:r>
      <w:r w:rsidR="00BD428E" w:rsidRPr="008A7ECE">
        <w:rPr>
          <w:rFonts w:asciiTheme="minorHAnsi" w:hAnsiTheme="minorHAnsi" w:cstheme="minorHAnsi"/>
          <w:sz w:val="24"/>
          <w:szCs w:val="24"/>
        </w:rPr>
        <w:t xml:space="preserve"> other</w:t>
      </w:r>
      <w:r w:rsidRPr="008A7ECE">
        <w:rPr>
          <w:rFonts w:asciiTheme="minorHAnsi" w:hAnsiTheme="minorHAnsi" w:cstheme="minorHAnsi"/>
          <w:sz w:val="24"/>
          <w:szCs w:val="24"/>
        </w:rPr>
        <w:t xml:space="preserve"> contact details in Australia;</w:t>
      </w:r>
    </w:p>
    <w:p w14:paraId="0D732730" w14:textId="77777777" w:rsidR="00895AD6" w:rsidRPr="008A7ECE" w:rsidRDefault="00895AD6" w:rsidP="00895AD6">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individual claim identifier;</w:t>
      </w:r>
    </w:p>
    <w:p w14:paraId="15B31623" w14:textId="68623DD1" w:rsidR="00895AD6" w:rsidRPr="008A7ECE" w:rsidRDefault="00895AD6" w:rsidP="00895AD6">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residential address</w:t>
      </w:r>
      <w:r w:rsidR="00BD428E" w:rsidRPr="008A7ECE">
        <w:rPr>
          <w:rFonts w:asciiTheme="minorHAnsi" w:hAnsiTheme="minorHAnsi" w:cstheme="minorHAnsi"/>
          <w:sz w:val="24"/>
          <w:szCs w:val="24"/>
        </w:rPr>
        <w:t>, email address</w:t>
      </w:r>
      <w:r w:rsidRPr="008A7ECE">
        <w:rPr>
          <w:rFonts w:asciiTheme="minorHAnsi" w:hAnsiTheme="minorHAnsi" w:cstheme="minorHAnsi"/>
          <w:sz w:val="24"/>
          <w:szCs w:val="24"/>
        </w:rPr>
        <w:t xml:space="preserve"> and</w:t>
      </w:r>
      <w:r w:rsidR="00BD428E" w:rsidRPr="008A7ECE">
        <w:rPr>
          <w:rFonts w:asciiTheme="minorHAnsi" w:hAnsiTheme="minorHAnsi" w:cstheme="minorHAnsi"/>
          <w:sz w:val="24"/>
          <w:szCs w:val="24"/>
        </w:rPr>
        <w:t xml:space="preserve"> other</w:t>
      </w:r>
      <w:r w:rsidRPr="008A7ECE">
        <w:rPr>
          <w:rFonts w:asciiTheme="minorHAnsi" w:hAnsiTheme="minorHAnsi" w:cstheme="minorHAnsi"/>
          <w:sz w:val="24"/>
          <w:szCs w:val="24"/>
        </w:rPr>
        <w:t xml:space="preserve"> contact details in the country they intend to reside;</w:t>
      </w:r>
    </w:p>
    <w:p w14:paraId="1264EAF3" w14:textId="77777777" w:rsidR="00895AD6" w:rsidRPr="008A7ECE" w:rsidRDefault="00895AD6" w:rsidP="00895AD6">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details of arrangements for ongoing treatment and care and income support in the country they intend to reside including about:</w:t>
      </w:r>
    </w:p>
    <w:p w14:paraId="44962287" w14:textId="3EC63583" w:rsidR="00895AD6" w:rsidRPr="008A7ECE" w:rsidRDefault="00895AD6" w:rsidP="00895AD6">
      <w:pPr>
        <w:pStyle w:val="ListParagraph"/>
        <w:widowControl/>
        <w:numPr>
          <w:ilvl w:val="1"/>
          <w:numId w:val="3"/>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eligibility for</w:t>
      </w:r>
      <w:r w:rsidR="000B0BD9" w:rsidRPr="008A7ECE">
        <w:rPr>
          <w:rFonts w:asciiTheme="minorHAnsi" w:hAnsiTheme="minorHAnsi" w:cstheme="minorHAnsi"/>
          <w:sz w:val="24"/>
          <w:szCs w:val="24"/>
        </w:rPr>
        <w:t>,</w:t>
      </w:r>
      <w:r w:rsidRPr="008A7ECE">
        <w:rPr>
          <w:rFonts w:asciiTheme="minorHAnsi" w:hAnsiTheme="minorHAnsi" w:cstheme="minorHAnsi"/>
          <w:sz w:val="24"/>
          <w:szCs w:val="24"/>
        </w:rPr>
        <w:t xml:space="preserve"> and availability of, any ongoing treatment and care through the </w:t>
      </w:r>
      <w:r w:rsidR="00973AA3" w:rsidRPr="008A7ECE">
        <w:rPr>
          <w:rFonts w:asciiTheme="minorHAnsi" w:hAnsiTheme="minorHAnsi" w:cstheme="minorHAnsi"/>
          <w:sz w:val="24"/>
          <w:szCs w:val="24"/>
        </w:rPr>
        <w:t xml:space="preserve">country’s </w:t>
      </w:r>
      <w:r w:rsidRPr="008A7ECE">
        <w:rPr>
          <w:rFonts w:asciiTheme="minorHAnsi" w:hAnsiTheme="minorHAnsi" w:cstheme="minorHAnsi"/>
          <w:sz w:val="24"/>
          <w:szCs w:val="24"/>
        </w:rPr>
        <w:t>health system, and</w:t>
      </w:r>
    </w:p>
    <w:p w14:paraId="6B51465C" w14:textId="6D8270AE" w:rsidR="00895AD6" w:rsidRPr="008A7ECE" w:rsidRDefault="00895AD6" w:rsidP="00D76FC8">
      <w:pPr>
        <w:pStyle w:val="ListParagraph"/>
        <w:widowControl/>
        <w:numPr>
          <w:ilvl w:val="1"/>
          <w:numId w:val="3"/>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benefits available while the person is unable to work</w:t>
      </w:r>
      <w:r w:rsidR="00973AA3" w:rsidRPr="008A7ECE">
        <w:rPr>
          <w:rFonts w:asciiTheme="minorHAnsi" w:hAnsiTheme="minorHAnsi" w:cstheme="minorHAnsi"/>
          <w:sz w:val="24"/>
          <w:szCs w:val="24"/>
        </w:rPr>
        <w:t xml:space="preserve"> (</w:t>
      </w:r>
      <w:proofErr w:type="spellStart"/>
      <w:r w:rsidR="00973AA3" w:rsidRPr="008A7ECE">
        <w:rPr>
          <w:rFonts w:asciiTheme="minorHAnsi" w:hAnsiTheme="minorHAnsi" w:cstheme="minorHAnsi"/>
          <w:sz w:val="24"/>
          <w:szCs w:val="24"/>
        </w:rPr>
        <w:t>eg.</w:t>
      </w:r>
      <w:proofErr w:type="spellEnd"/>
      <w:r w:rsidR="00973AA3" w:rsidRPr="008A7ECE">
        <w:rPr>
          <w:rFonts w:asciiTheme="minorHAnsi" w:hAnsiTheme="minorHAnsi" w:cstheme="minorHAnsi"/>
          <w:sz w:val="24"/>
          <w:szCs w:val="24"/>
        </w:rPr>
        <w:t xml:space="preserve"> social security)</w:t>
      </w:r>
      <w:r w:rsidR="00A86FF6" w:rsidRPr="008A7ECE">
        <w:rPr>
          <w:rFonts w:asciiTheme="minorHAnsi" w:hAnsiTheme="minorHAnsi" w:cstheme="minorHAnsi"/>
          <w:sz w:val="24"/>
          <w:szCs w:val="24"/>
        </w:rPr>
        <w:t>;</w:t>
      </w:r>
    </w:p>
    <w:p w14:paraId="280539E0" w14:textId="77777777" w:rsidR="00895AD6" w:rsidRPr="008A7ECE" w:rsidRDefault="00895AD6" w:rsidP="00895AD6">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a certified copy of the person’s current Australian visa or other document permitting their stay in Australia;</w:t>
      </w:r>
    </w:p>
    <w:p w14:paraId="6B8A02FD" w14:textId="77777777" w:rsidR="00895AD6" w:rsidRPr="008A7ECE" w:rsidRDefault="00895AD6" w:rsidP="00895AD6">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a certified copy of a valid current passport for the person;</w:t>
      </w:r>
    </w:p>
    <w:p w14:paraId="28A1A217" w14:textId="77777777" w:rsidR="00895AD6" w:rsidRPr="008A7ECE" w:rsidRDefault="00895AD6" w:rsidP="00895AD6">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departure details including ticketing information;</w:t>
      </w:r>
    </w:p>
    <w:p w14:paraId="5BD421B3" w14:textId="214E2533" w:rsidR="00895AD6" w:rsidRPr="008A7ECE" w:rsidRDefault="00895AD6" w:rsidP="00895AD6">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a declaration that the person intends to permanently depart Australia and acknowledging that making false and misleading statements is an offence</w:t>
      </w:r>
      <w:r w:rsidR="00D4404C" w:rsidRPr="008A7ECE">
        <w:rPr>
          <w:rFonts w:asciiTheme="minorHAnsi" w:hAnsiTheme="minorHAnsi" w:cstheme="minorHAnsi"/>
          <w:sz w:val="24"/>
          <w:szCs w:val="24"/>
        </w:rPr>
        <w:t xml:space="preserve">; </w:t>
      </w:r>
    </w:p>
    <w:p w14:paraId="490059BD" w14:textId="697979F1" w:rsidR="00D4404C" w:rsidRPr="008A7ECE" w:rsidRDefault="00D4404C" w:rsidP="00895AD6">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lastRenderedPageBreak/>
        <w:t>banking details or cheque direction</w:t>
      </w:r>
      <w:r w:rsidR="00A86FF6" w:rsidRPr="008A7ECE">
        <w:rPr>
          <w:rFonts w:asciiTheme="minorHAnsi" w:hAnsiTheme="minorHAnsi" w:cstheme="minorHAnsi"/>
          <w:sz w:val="24"/>
          <w:szCs w:val="24"/>
        </w:rPr>
        <w:t xml:space="preserve"> for payment in Australian dollars; and</w:t>
      </w:r>
    </w:p>
    <w:p w14:paraId="18788652" w14:textId="0ED3B067" w:rsidR="00A86FF6" w:rsidRDefault="00A86FF6" w:rsidP="00895AD6">
      <w:pPr>
        <w:pStyle w:val="ListParagraph"/>
        <w:widowControl/>
        <w:numPr>
          <w:ilvl w:val="0"/>
          <w:numId w:val="3"/>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 xml:space="preserve">have an acknowledgement that they will need to sign an agreement for a lump sum. </w:t>
      </w:r>
    </w:p>
    <w:p w14:paraId="6A2322C7" w14:textId="77777777" w:rsidR="008A7ECE" w:rsidRPr="008A7ECE" w:rsidRDefault="008A7ECE" w:rsidP="008A7ECE">
      <w:pPr>
        <w:pStyle w:val="ListParagraph"/>
        <w:widowControl/>
        <w:autoSpaceDE/>
        <w:autoSpaceDN/>
        <w:spacing w:after="160" w:line="259" w:lineRule="auto"/>
        <w:ind w:left="1152" w:firstLine="0"/>
        <w:contextualSpacing/>
        <w:rPr>
          <w:rFonts w:asciiTheme="minorHAnsi" w:hAnsiTheme="minorHAnsi" w:cstheme="minorHAnsi"/>
          <w:sz w:val="24"/>
          <w:szCs w:val="24"/>
        </w:rPr>
      </w:pPr>
    </w:p>
    <w:p w14:paraId="3066A2B1" w14:textId="28625B02" w:rsidR="00895AD6" w:rsidRPr="008A7ECE" w:rsidRDefault="00895AD6" w:rsidP="0085379A">
      <w:pPr>
        <w:pStyle w:val="ListParagraph"/>
        <w:ind w:left="432" w:hanging="432"/>
        <w:rPr>
          <w:rFonts w:asciiTheme="minorHAnsi" w:hAnsiTheme="minorHAnsi" w:cstheme="minorHAnsi"/>
          <w:b/>
          <w:sz w:val="24"/>
          <w:szCs w:val="24"/>
        </w:rPr>
      </w:pPr>
      <w:r w:rsidRPr="008A7ECE">
        <w:rPr>
          <w:rFonts w:asciiTheme="minorHAnsi" w:hAnsiTheme="minorHAnsi" w:cstheme="minorHAnsi"/>
          <w:b/>
          <w:caps/>
          <w:sz w:val="24"/>
          <w:szCs w:val="24"/>
        </w:rPr>
        <w:t>4.2</w:t>
      </w:r>
      <w:r w:rsidRPr="008A7ECE">
        <w:rPr>
          <w:rFonts w:asciiTheme="minorHAnsi" w:hAnsiTheme="minorHAnsi" w:cstheme="minorHAnsi"/>
          <w:b/>
          <w:caps/>
          <w:sz w:val="24"/>
          <w:szCs w:val="24"/>
        </w:rPr>
        <w:tab/>
      </w:r>
      <w:r w:rsidRPr="008A7ECE">
        <w:rPr>
          <w:rFonts w:asciiTheme="minorHAnsi" w:hAnsiTheme="minorHAnsi" w:cstheme="minorHAnsi"/>
          <w:b/>
          <w:sz w:val="24"/>
          <w:szCs w:val="24"/>
        </w:rPr>
        <w:t xml:space="preserve">Amount to be included in calculating a lump sum </w:t>
      </w:r>
    </w:p>
    <w:p w14:paraId="6C7C3E7C" w14:textId="77777777" w:rsidR="00895AD6" w:rsidRPr="008A7ECE" w:rsidRDefault="00895AD6" w:rsidP="00912DAD">
      <w:pPr>
        <w:pStyle w:val="ListParagraph"/>
        <w:ind w:left="432" w:hanging="432"/>
        <w:rPr>
          <w:rFonts w:asciiTheme="minorHAnsi" w:hAnsiTheme="minorHAnsi" w:cstheme="minorHAnsi"/>
          <w:b/>
          <w:sz w:val="24"/>
          <w:szCs w:val="24"/>
        </w:rPr>
      </w:pPr>
    </w:p>
    <w:p w14:paraId="7DAD09DB" w14:textId="0CFE6018" w:rsidR="00D76FC8" w:rsidRPr="008A7ECE" w:rsidRDefault="00912DAD" w:rsidP="00D62DEE">
      <w:pPr>
        <w:rPr>
          <w:rFonts w:asciiTheme="minorHAnsi" w:hAnsiTheme="minorHAnsi" w:cstheme="minorHAnsi"/>
          <w:sz w:val="24"/>
          <w:szCs w:val="24"/>
        </w:rPr>
      </w:pPr>
      <w:r w:rsidRPr="008A7ECE">
        <w:rPr>
          <w:rFonts w:asciiTheme="minorHAnsi" w:hAnsiTheme="minorHAnsi" w:cstheme="minorHAnsi"/>
          <w:b/>
          <w:bCs/>
          <w:sz w:val="24"/>
          <w:szCs w:val="24"/>
        </w:rPr>
        <w:t xml:space="preserve">4.2.1 </w:t>
      </w:r>
      <w:r w:rsidR="0085379A">
        <w:rPr>
          <w:rFonts w:asciiTheme="minorHAnsi" w:hAnsiTheme="minorHAnsi" w:cstheme="minorHAnsi"/>
          <w:b/>
          <w:bCs/>
          <w:sz w:val="24"/>
          <w:szCs w:val="24"/>
        </w:rPr>
        <w:t xml:space="preserve"> </w:t>
      </w:r>
      <w:r w:rsidR="00895AD6" w:rsidRPr="008A7ECE">
        <w:rPr>
          <w:rFonts w:asciiTheme="minorHAnsi" w:hAnsiTheme="minorHAnsi" w:cstheme="minorHAnsi"/>
          <w:sz w:val="24"/>
          <w:szCs w:val="24"/>
        </w:rPr>
        <w:t xml:space="preserve">A foreign national that makes a lump sum application at least 28 </w:t>
      </w:r>
      <w:r w:rsidR="00E512A7" w:rsidRPr="008A7ECE">
        <w:rPr>
          <w:rFonts w:asciiTheme="minorHAnsi" w:hAnsiTheme="minorHAnsi" w:cstheme="minorHAnsi"/>
          <w:sz w:val="24"/>
          <w:szCs w:val="24"/>
        </w:rPr>
        <w:t xml:space="preserve">calendar </w:t>
      </w:r>
      <w:r w:rsidR="00895AD6" w:rsidRPr="008A7ECE">
        <w:rPr>
          <w:rFonts w:asciiTheme="minorHAnsi" w:hAnsiTheme="minorHAnsi" w:cstheme="minorHAnsi"/>
          <w:sz w:val="24"/>
          <w:szCs w:val="24"/>
        </w:rPr>
        <w:t>days prior to their intended departure date from Australia must be given the opportunity to undergo a medical assessment</w:t>
      </w:r>
      <w:r w:rsidR="00414081" w:rsidRPr="008A7ECE">
        <w:rPr>
          <w:rFonts w:asciiTheme="minorHAnsi" w:hAnsiTheme="minorHAnsi" w:cstheme="minorHAnsi"/>
          <w:sz w:val="24"/>
          <w:szCs w:val="24"/>
        </w:rPr>
        <w:t xml:space="preserve"> </w:t>
      </w:r>
      <w:r w:rsidR="00A640B7" w:rsidRPr="008A7ECE">
        <w:rPr>
          <w:rFonts w:asciiTheme="minorHAnsi" w:hAnsiTheme="minorHAnsi" w:cstheme="minorHAnsi"/>
          <w:sz w:val="24"/>
          <w:szCs w:val="24"/>
        </w:rPr>
        <w:t>with a health practitioner</w:t>
      </w:r>
      <w:r w:rsidR="00895AD6" w:rsidRPr="008A7ECE">
        <w:rPr>
          <w:rFonts w:asciiTheme="minorHAnsi" w:hAnsiTheme="minorHAnsi" w:cstheme="minorHAnsi"/>
          <w:sz w:val="24"/>
          <w:szCs w:val="24"/>
        </w:rPr>
        <w:t xml:space="preserve"> </w:t>
      </w:r>
      <w:r w:rsidR="003E37C9" w:rsidRPr="008A7ECE">
        <w:rPr>
          <w:rFonts w:asciiTheme="minorHAnsi" w:hAnsiTheme="minorHAnsi" w:cstheme="minorHAnsi"/>
          <w:sz w:val="24"/>
          <w:szCs w:val="24"/>
        </w:rPr>
        <w:t xml:space="preserve">selected by the insurer </w:t>
      </w:r>
      <w:r w:rsidR="00895AD6" w:rsidRPr="008A7ECE">
        <w:rPr>
          <w:rFonts w:asciiTheme="minorHAnsi" w:hAnsiTheme="minorHAnsi" w:cstheme="minorHAnsi"/>
          <w:sz w:val="24"/>
          <w:szCs w:val="24"/>
        </w:rPr>
        <w:t xml:space="preserve">to assess their future </w:t>
      </w:r>
      <w:r w:rsidR="00544543" w:rsidRPr="008A7ECE">
        <w:rPr>
          <w:rFonts w:asciiTheme="minorHAnsi" w:hAnsiTheme="minorHAnsi" w:cstheme="minorHAnsi"/>
          <w:sz w:val="24"/>
          <w:szCs w:val="24"/>
        </w:rPr>
        <w:t xml:space="preserve">reasonable and necessary </w:t>
      </w:r>
      <w:r w:rsidR="00895AD6" w:rsidRPr="008A7ECE">
        <w:rPr>
          <w:rFonts w:asciiTheme="minorHAnsi" w:hAnsiTheme="minorHAnsi" w:cstheme="minorHAnsi"/>
          <w:sz w:val="24"/>
          <w:szCs w:val="24"/>
        </w:rPr>
        <w:t xml:space="preserve">treatment and care needs and their likely capacity to do any paid work during any remaining period that defined benefits are payable.  </w:t>
      </w:r>
    </w:p>
    <w:p w14:paraId="6961DF16" w14:textId="77777777" w:rsidR="00D76FC8" w:rsidRPr="008A7ECE" w:rsidRDefault="00D76FC8" w:rsidP="00895AD6">
      <w:pPr>
        <w:pStyle w:val="ListParagraph"/>
        <w:ind w:left="432" w:firstLine="0"/>
        <w:rPr>
          <w:rFonts w:asciiTheme="minorHAnsi" w:hAnsiTheme="minorHAnsi" w:cstheme="minorHAnsi"/>
          <w:sz w:val="24"/>
          <w:szCs w:val="24"/>
        </w:rPr>
      </w:pPr>
    </w:p>
    <w:p w14:paraId="7576013F" w14:textId="4B04AA19" w:rsidR="00895AD6" w:rsidRPr="008A7ECE" w:rsidRDefault="00912DAD" w:rsidP="00D62DEE">
      <w:pPr>
        <w:rPr>
          <w:rFonts w:asciiTheme="minorHAnsi" w:hAnsiTheme="minorHAnsi" w:cstheme="minorHAnsi"/>
          <w:sz w:val="24"/>
          <w:szCs w:val="24"/>
        </w:rPr>
      </w:pPr>
      <w:r w:rsidRPr="008A7ECE">
        <w:rPr>
          <w:rFonts w:asciiTheme="minorHAnsi" w:hAnsiTheme="minorHAnsi" w:cstheme="minorHAnsi"/>
          <w:b/>
          <w:bCs/>
          <w:sz w:val="24"/>
          <w:szCs w:val="24"/>
        </w:rPr>
        <w:t xml:space="preserve">4.2.2 </w:t>
      </w:r>
      <w:r w:rsidR="0085379A">
        <w:rPr>
          <w:rFonts w:asciiTheme="minorHAnsi" w:hAnsiTheme="minorHAnsi" w:cstheme="minorHAnsi"/>
          <w:b/>
          <w:bCs/>
          <w:sz w:val="24"/>
          <w:szCs w:val="24"/>
        </w:rPr>
        <w:t xml:space="preserve"> </w:t>
      </w:r>
      <w:r w:rsidR="00895AD6" w:rsidRPr="008A7ECE">
        <w:rPr>
          <w:rFonts w:asciiTheme="minorHAnsi" w:hAnsiTheme="minorHAnsi" w:cstheme="minorHAnsi"/>
          <w:sz w:val="24"/>
          <w:szCs w:val="24"/>
        </w:rPr>
        <w:t xml:space="preserve">The insurer </w:t>
      </w:r>
      <w:r w:rsidR="00D76FC8" w:rsidRPr="008A7ECE">
        <w:rPr>
          <w:rFonts w:asciiTheme="minorHAnsi" w:hAnsiTheme="minorHAnsi" w:cstheme="minorHAnsi"/>
          <w:sz w:val="24"/>
          <w:szCs w:val="24"/>
        </w:rPr>
        <w:t>is</w:t>
      </w:r>
      <w:r w:rsidR="00895AD6" w:rsidRPr="008A7ECE">
        <w:rPr>
          <w:rFonts w:asciiTheme="minorHAnsi" w:hAnsiTheme="minorHAnsi" w:cstheme="minorHAnsi"/>
          <w:sz w:val="24"/>
          <w:szCs w:val="24"/>
        </w:rPr>
        <w:t xml:space="preserve"> responsible for arranging and meeting the costs of this assessment. The insurer must give the foreign national at least </w:t>
      </w:r>
      <w:r w:rsidRPr="008A7ECE">
        <w:rPr>
          <w:rFonts w:asciiTheme="minorHAnsi" w:hAnsiTheme="minorHAnsi" w:cstheme="minorHAnsi"/>
          <w:sz w:val="24"/>
          <w:szCs w:val="24"/>
        </w:rPr>
        <w:t>seven (</w:t>
      </w:r>
      <w:r w:rsidR="00895AD6" w:rsidRPr="008A7ECE">
        <w:rPr>
          <w:rFonts w:asciiTheme="minorHAnsi" w:hAnsiTheme="minorHAnsi" w:cstheme="minorHAnsi"/>
          <w:sz w:val="24"/>
          <w:szCs w:val="24"/>
        </w:rPr>
        <w:t>7</w:t>
      </w:r>
      <w:r w:rsidRPr="008A7ECE">
        <w:rPr>
          <w:rFonts w:asciiTheme="minorHAnsi" w:hAnsiTheme="minorHAnsi" w:cstheme="minorHAnsi"/>
          <w:sz w:val="24"/>
          <w:szCs w:val="24"/>
        </w:rPr>
        <w:t>)</w:t>
      </w:r>
      <w:r w:rsidR="00895AD6" w:rsidRPr="008A7ECE">
        <w:rPr>
          <w:rFonts w:asciiTheme="minorHAnsi" w:hAnsiTheme="minorHAnsi" w:cstheme="minorHAnsi"/>
          <w:sz w:val="24"/>
          <w:szCs w:val="24"/>
        </w:rPr>
        <w:t xml:space="preserve"> days’ notice of any assessment appointment and the assessment appointment must occur prior to their departure from Australia.</w:t>
      </w:r>
    </w:p>
    <w:p w14:paraId="4B1AC4CC" w14:textId="77777777" w:rsidR="00895AD6" w:rsidRPr="008A7ECE" w:rsidRDefault="00895AD6" w:rsidP="00912DAD">
      <w:pPr>
        <w:pStyle w:val="ListParagraph"/>
        <w:ind w:left="432" w:hanging="432"/>
        <w:rPr>
          <w:rFonts w:asciiTheme="minorHAnsi" w:hAnsiTheme="minorHAnsi" w:cstheme="minorHAnsi"/>
          <w:sz w:val="24"/>
          <w:szCs w:val="24"/>
        </w:rPr>
      </w:pPr>
    </w:p>
    <w:p w14:paraId="5CFCAA23" w14:textId="3A1ECF54" w:rsidR="00895AD6" w:rsidRPr="008A7ECE" w:rsidRDefault="00912DAD" w:rsidP="00DE6B8E">
      <w:pPr>
        <w:rPr>
          <w:rFonts w:asciiTheme="minorHAnsi" w:hAnsiTheme="minorHAnsi" w:cstheme="minorHAnsi"/>
          <w:sz w:val="24"/>
          <w:szCs w:val="24"/>
        </w:rPr>
      </w:pPr>
      <w:r w:rsidRPr="008A7ECE">
        <w:rPr>
          <w:rFonts w:asciiTheme="minorHAnsi" w:hAnsiTheme="minorHAnsi" w:cstheme="minorHAnsi"/>
          <w:b/>
          <w:bCs/>
          <w:sz w:val="24"/>
          <w:szCs w:val="24"/>
        </w:rPr>
        <w:t xml:space="preserve">4.2.3 </w:t>
      </w:r>
      <w:r w:rsidR="0085379A">
        <w:rPr>
          <w:rFonts w:asciiTheme="minorHAnsi" w:hAnsiTheme="minorHAnsi" w:cstheme="minorHAnsi"/>
          <w:b/>
          <w:bCs/>
          <w:sz w:val="24"/>
          <w:szCs w:val="24"/>
        </w:rPr>
        <w:t xml:space="preserve"> </w:t>
      </w:r>
      <w:r w:rsidR="00895AD6" w:rsidRPr="008A7ECE">
        <w:rPr>
          <w:rFonts w:asciiTheme="minorHAnsi" w:hAnsiTheme="minorHAnsi" w:cstheme="minorHAnsi"/>
          <w:sz w:val="24"/>
          <w:szCs w:val="24"/>
        </w:rPr>
        <w:t xml:space="preserve">If a foreign national </w:t>
      </w:r>
      <w:r w:rsidR="00431046" w:rsidRPr="008A7ECE">
        <w:rPr>
          <w:rFonts w:asciiTheme="minorHAnsi" w:hAnsiTheme="minorHAnsi" w:cstheme="minorHAnsi"/>
          <w:sz w:val="24"/>
          <w:szCs w:val="24"/>
        </w:rPr>
        <w:t>does not elect</w:t>
      </w:r>
      <w:r w:rsidR="00E5225C" w:rsidRPr="008A7ECE">
        <w:rPr>
          <w:rFonts w:asciiTheme="minorHAnsi" w:hAnsiTheme="minorHAnsi" w:cstheme="minorHAnsi"/>
          <w:sz w:val="24"/>
          <w:szCs w:val="24"/>
        </w:rPr>
        <w:t xml:space="preserve"> to </w:t>
      </w:r>
      <w:r w:rsidR="00895AD6" w:rsidRPr="008A7ECE">
        <w:rPr>
          <w:rFonts w:asciiTheme="minorHAnsi" w:hAnsiTheme="minorHAnsi" w:cstheme="minorHAnsi"/>
          <w:sz w:val="24"/>
          <w:szCs w:val="24"/>
        </w:rPr>
        <w:t>undergo a medical assessment or only makes their lump sum application within 28</w:t>
      </w:r>
      <w:r w:rsidR="00414081" w:rsidRPr="008A7ECE">
        <w:rPr>
          <w:rFonts w:asciiTheme="minorHAnsi" w:hAnsiTheme="minorHAnsi" w:cstheme="minorHAnsi"/>
          <w:sz w:val="24"/>
          <w:szCs w:val="24"/>
        </w:rPr>
        <w:t xml:space="preserve"> calendar</w:t>
      </w:r>
      <w:r w:rsidR="00895AD6" w:rsidRPr="008A7ECE">
        <w:rPr>
          <w:rFonts w:asciiTheme="minorHAnsi" w:hAnsiTheme="minorHAnsi" w:cstheme="minorHAnsi"/>
          <w:sz w:val="24"/>
          <w:szCs w:val="24"/>
        </w:rPr>
        <w:t xml:space="preserve"> days of their intended departure date, then an insurer </w:t>
      </w:r>
      <w:r w:rsidR="007402F7" w:rsidRPr="008A7ECE">
        <w:rPr>
          <w:rFonts w:asciiTheme="minorHAnsi" w:hAnsiTheme="minorHAnsi" w:cstheme="minorHAnsi"/>
          <w:sz w:val="24"/>
          <w:szCs w:val="24"/>
        </w:rPr>
        <w:t>may</w:t>
      </w:r>
      <w:r w:rsidR="00895AD6" w:rsidRPr="008A7ECE">
        <w:rPr>
          <w:rFonts w:asciiTheme="minorHAnsi" w:hAnsiTheme="minorHAnsi" w:cstheme="minorHAnsi"/>
          <w:sz w:val="24"/>
          <w:szCs w:val="24"/>
        </w:rPr>
        <w:t xml:space="preserve"> base the lump sum calculation on information the insurer has in their possession at the time the application is made. This could include:</w:t>
      </w:r>
    </w:p>
    <w:p w14:paraId="6417ED5C" w14:textId="77777777" w:rsidR="00895AD6" w:rsidRPr="008A7ECE" w:rsidRDefault="00895AD6" w:rsidP="00912DAD">
      <w:pPr>
        <w:pStyle w:val="ListParagraph"/>
        <w:ind w:left="432" w:hanging="432"/>
        <w:rPr>
          <w:rFonts w:asciiTheme="minorHAnsi" w:hAnsiTheme="minorHAnsi" w:cstheme="minorHAnsi"/>
          <w:sz w:val="24"/>
          <w:szCs w:val="24"/>
        </w:rPr>
      </w:pPr>
    </w:p>
    <w:p w14:paraId="04F9CACD" w14:textId="77777777" w:rsidR="00895AD6" w:rsidRPr="008A7ECE" w:rsidRDefault="00895AD6" w:rsidP="00895AD6">
      <w:pPr>
        <w:pStyle w:val="ListParagraph"/>
        <w:widowControl/>
        <w:numPr>
          <w:ilvl w:val="0"/>
          <w:numId w:val="4"/>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a medical report;</w:t>
      </w:r>
    </w:p>
    <w:p w14:paraId="7DE5CEEB" w14:textId="77777777" w:rsidR="00895AD6" w:rsidRPr="008A7ECE" w:rsidRDefault="00895AD6" w:rsidP="00895AD6">
      <w:pPr>
        <w:pStyle w:val="ListParagraph"/>
        <w:widowControl/>
        <w:numPr>
          <w:ilvl w:val="0"/>
          <w:numId w:val="4"/>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a recovery plan;</w:t>
      </w:r>
    </w:p>
    <w:p w14:paraId="74401344" w14:textId="77777777" w:rsidR="00895AD6" w:rsidRPr="008A7ECE" w:rsidRDefault="00895AD6" w:rsidP="00895AD6">
      <w:pPr>
        <w:pStyle w:val="ListParagraph"/>
        <w:widowControl/>
        <w:numPr>
          <w:ilvl w:val="0"/>
          <w:numId w:val="4"/>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treatment and care pre-approved by an insurer; and</w:t>
      </w:r>
    </w:p>
    <w:p w14:paraId="59300852" w14:textId="0C8D3D69" w:rsidR="00895AD6" w:rsidRPr="008A7ECE" w:rsidRDefault="00895AD6" w:rsidP="00895AD6">
      <w:pPr>
        <w:pStyle w:val="ListParagraph"/>
        <w:widowControl/>
        <w:numPr>
          <w:ilvl w:val="0"/>
          <w:numId w:val="4"/>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a current fitness for work certificate.</w:t>
      </w:r>
    </w:p>
    <w:p w14:paraId="2179976C" w14:textId="5C942365" w:rsidR="008810D6" w:rsidRPr="008A7ECE" w:rsidRDefault="00912DAD" w:rsidP="008810D6">
      <w:pPr>
        <w:widowControl/>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b/>
          <w:bCs/>
          <w:sz w:val="24"/>
          <w:szCs w:val="24"/>
        </w:rPr>
        <w:t xml:space="preserve">4.2.4 </w:t>
      </w:r>
      <w:r w:rsidR="0085379A">
        <w:rPr>
          <w:rFonts w:asciiTheme="minorHAnsi" w:hAnsiTheme="minorHAnsi" w:cstheme="minorHAnsi"/>
          <w:b/>
          <w:bCs/>
          <w:sz w:val="24"/>
          <w:szCs w:val="24"/>
        </w:rPr>
        <w:t xml:space="preserve"> </w:t>
      </w:r>
      <w:r w:rsidR="007402F7" w:rsidRPr="008A7ECE">
        <w:rPr>
          <w:rFonts w:asciiTheme="minorHAnsi" w:hAnsiTheme="minorHAnsi" w:cstheme="minorHAnsi"/>
          <w:sz w:val="24"/>
          <w:szCs w:val="24"/>
        </w:rPr>
        <w:t>A</w:t>
      </w:r>
      <w:r w:rsidR="008810D6" w:rsidRPr="008A7ECE">
        <w:rPr>
          <w:rFonts w:asciiTheme="minorHAnsi" w:hAnsiTheme="minorHAnsi" w:cstheme="minorHAnsi"/>
          <w:sz w:val="24"/>
          <w:szCs w:val="24"/>
        </w:rPr>
        <w:t xml:space="preserve">n insurer may, at their discretion, arrange for a medical assessment of the foreign national to be conducted </w:t>
      </w:r>
      <w:r w:rsidR="00544C9B" w:rsidRPr="008A7ECE">
        <w:rPr>
          <w:rFonts w:asciiTheme="minorHAnsi" w:hAnsiTheme="minorHAnsi" w:cstheme="minorHAnsi"/>
          <w:sz w:val="24"/>
          <w:szCs w:val="24"/>
        </w:rPr>
        <w:t>in</w:t>
      </w:r>
      <w:r w:rsidR="008810D6" w:rsidRPr="008A7ECE">
        <w:rPr>
          <w:rFonts w:asciiTheme="minorHAnsi" w:hAnsiTheme="minorHAnsi" w:cstheme="minorHAnsi"/>
          <w:sz w:val="24"/>
          <w:szCs w:val="24"/>
        </w:rPr>
        <w:t xml:space="preserve"> the</w:t>
      </w:r>
      <w:r w:rsidR="009F2E6A" w:rsidRPr="008A7ECE">
        <w:rPr>
          <w:rFonts w:asciiTheme="minorHAnsi" w:hAnsiTheme="minorHAnsi" w:cstheme="minorHAnsi"/>
          <w:sz w:val="24"/>
          <w:szCs w:val="24"/>
        </w:rPr>
        <w:t xml:space="preserve"> </w:t>
      </w:r>
      <w:r w:rsidR="00544C9B" w:rsidRPr="008A7ECE">
        <w:rPr>
          <w:rFonts w:asciiTheme="minorHAnsi" w:hAnsiTheme="minorHAnsi" w:cstheme="minorHAnsi"/>
          <w:sz w:val="24"/>
          <w:szCs w:val="24"/>
        </w:rPr>
        <w:t>country</w:t>
      </w:r>
      <w:r w:rsidR="009F2E6A" w:rsidRPr="008A7ECE">
        <w:rPr>
          <w:rFonts w:asciiTheme="minorHAnsi" w:hAnsiTheme="minorHAnsi" w:cstheme="minorHAnsi"/>
          <w:sz w:val="24"/>
          <w:szCs w:val="24"/>
        </w:rPr>
        <w:t xml:space="preserve"> they</w:t>
      </w:r>
      <w:r w:rsidR="00544C9B" w:rsidRPr="008A7ECE">
        <w:rPr>
          <w:rFonts w:asciiTheme="minorHAnsi" w:hAnsiTheme="minorHAnsi" w:cstheme="minorHAnsi"/>
          <w:sz w:val="24"/>
          <w:szCs w:val="24"/>
        </w:rPr>
        <w:t xml:space="preserve"> intend to</w:t>
      </w:r>
      <w:r w:rsidR="009F2E6A" w:rsidRPr="008A7ECE">
        <w:rPr>
          <w:rFonts w:asciiTheme="minorHAnsi" w:hAnsiTheme="minorHAnsi" w:cstheme="minorHAnsi"/>
          <w:sz w:val="24"/>
          <w:szCs w:val="24"/>
        </w:rPr>
        <w:t xml:space="preserve"> reside in</w:t>
      </w:r>
      <w:r w:rsidR="008810D6" w:rsidRPr="008A7ECE">
        <w:rPr>
          <w:rFonts w:asciiTheme="minorHAnsi" w:hAnsiTheme="minorHAnsi" w:cstheme="minorHAnsi"/>
          <w:sz w:val="24"/>
          <w:szCs w:val="24"/>
        </w:rPr>
        <w:t xml:space="preserve"> after their departure from Australia. </w:t>
      </w:r>
    </w:p>
    <w:p w14:paraId="0BA8F5AA" w14:textId="77777777" w:rsidR="008810D6" w:rsidRPr="008A7ECE" w:rsidRDefault="008810D6" w:rsidP="00B63EF8">
      <w:pPr>
        <w:widowControl/>
        <w:autoSpaceDE/>
        <w:autoSpaceDN/>
        <w:spacing w:after="160" w:line="259" w:lineRule="auto"/>
        <w:contextualSpacing/>
        <w:rPr>
          <w:rFonts w:asciiTheme="minorHAnsi" w:hAnsiTheme="minorHAnsi" w:cstheme="minorHAnsi"/>
          <w:sz w:val="24"/>
          <w:szCs w:val="24"/>
        </w:rPr>
      </w:pPr>
    </w:p>
    <w:p w14:paraId="7FB444FE" w14:textId="1F6ABAFC" w:rsidR="00D13A8F" w:rsidRPr="008A7ECE" w:rsidRDefault="00912DAD" w:rsidP="00B63EF8">
      <w:pPr>
        <w:widowControl/>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b/>
          <w:bCs/>
          <w:sz w:val="24"/>
          <w:szCs w:val="24"/>
        </w:rPr>
        <w:t xml:space="preserve">4.2.5 </w:t>
      </w:r>
      <w:r w:rsidR="0085379A">
        <w:rPr>
          <w:rFonts w:asciiTheme="minorHAnsi" w:hAnsiTheme="minorHAnsi" w:cstheme="minorHAnsi"/>
          <w:b/>
          <w:bCs/>
          <w:sz w:val="24"/>
          <w:szCs w:val="24"/>
        </w:rPr>
        <w:t xml:space="preserve"> </w:t>
      </w:r>
      <w:r w:rsidR="009A43A9" w:rsidRPr="008A7ECE">
        <w:rPr>
          <w:rFonts w:asciiTheme="minorHAnsi" w:hAnsiTheme="minorHAnsi" w:cstheme="minorHAnsi"/>
          <w:sz w:val="24"/>
          <w:szCs w:val="24"/>
        </w:rPr>
        <w:t>A lump sum amount should be calculated as the present value of future treatment and care and income replacement payments</w:t>
      </w:r>
      <w:r w:rsidR="00E00664" w:rsidRPr="008A7ECE">
        <w:rPr>
          <w:rFonts w:asciiTheme="minorHAnsi" w:hAnsiTheme="minorHAnsi" w:cstheme="minorHAnsi"/>
          <w:sz w:val="24"/>
          <w:szCs w:val="24"/>
        </w:rPr>
        <w:t xml:space="preserve"> for</w:t>
      </w:r>
      <w:r w:rsidR="00B63EF8" w:rsidRPr="008A7ECE">
        <w:rPr>
          <w:rFonts w:asciiTheme="minorHAnsi" w:hAnsiTheme="minorHAnsi" w:cstheme="minorHAnsi"/>
          <w:sz w:val="24"/>
          <w:szCs w:val="24"/>
        </w:rPr>
        <w:t xml:space="preserve"> </w:t>
      </w:r>
      <w:r w:rsidR="00D93E1A" w:rsidRPr="008A7ECE">
        <w:rPr>
          <w:rFonts w:asciiTheme="minorHAnsi" w:hAnsiTheme="minorHAnsi" w:cstheme="minorHAnsi"/>
          <w:sz w:val="24"/>
          <w:szCs w:val="24"/>
        </w:rPr>
        <w:t xml:space="preserve">a maximum period of </w:t>
      </w:r>
      <w:r w:rsidR="00B63EF8" w:rsidRPr="008A7ECE">
        <w:rPr>
          <w:rFonts w:asciiTheme="minorHAnsi" w:hAnsiTheme="minorHAnsi" w:cstheme="minorHAnsi"/>
          <w:sz w:val="24"/>
          <w:szCs w:val="24"/>
        </w:rPr>
        <w:t xml:space="preserve">defined benefits, which is </w:t>
      </w:r>
      <w:r w:rsidR="00D93E1A" w:rsidRPr="008A7ECE">
        <w:rPr>
          <w:rFonts w:asciiTheme="minorHAnsi" w:hAnsiTheme="minorHAnsi" w:cstheme="minorHAnsi"/>
          <w:sz w:val="24"/>
          <w:szCs w:val="24"/>
        </w:rPr>
        <w:t xml:space="preserve">up to 5 years from the date of the motor accident. </w:t>
      </w:r>
      <w:r w:rsidR="009A43A9" w:rsidRPr="008A7ECE">
        <w:rPr>
          <w:rFonts w:asciiTheme="minorHAnsi" w:hAnsiTheme="minorHAnsi" w:cstheme="minorHAnsi"/>
          <w:sz w:val="24"/>
          <w:szCs w:val="24"/>
        </w:rPr>
        <w:t xml:space="preserve"> For the purposes </w:t>
      </w:r>
      <w:r w:rsidR="00F33667" w:rsidRPr="008A7ECE">
        <w:rPr>
          <w:rFonts w:asciiTheme="minorHAnsi" w:hAnsiTheme="minorHAnsi" w:cstheme="minorHAnsi"/>
          <w:sz w:val="24"/>
          <w:szCs w:val="24"/>
        </w:rPr>
        <w:t>of the calculation</w:t>
      </w:r>
      <w:r w:rsidR="00D13A8F" w:rsidRPr="008A7ECE">
        <w:rPr>
          <w:rFonts w:asciiTheme="minorHAnsi" w:hAnsiTheme="minorHAnsi" w:cstheme="minorHAnsi"/>
          <w:sz w:val="24"/>
          <w:szCs w:val="24"/>
        </w:rPr>
        <w:t>:</w:t>
      </w:r>
    </w:p>
    <w:p w14:paraId="5098262E" w14:textId="00EBE3B0" w:rsidR="00D13A8F" w:rsidRPr="008A7ECE" w:rsidRDefault="00F33667" w:rsidP="00D13A8F">
      <w:pPr>
        <w:pStyle w:val="ListParagraph"/>
        <w:widowControl/>
        <w:numPr>
          <w:ilvl w:val="0"/>
          <w:numId w:val="18"/>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treatment and care payments</w:t>
      </w:r>
      <w:r w:rsidR="009A43A9" w:rsidRPr="008A7ECE">
        <w:rPr>
          <w:rFonts w:asciiTheme="minorHAnsi" w:hAnsiTheme="minorHAnsi" w:cstheme="minorHAnsi"/>
          <w:sz w:val="24"/>
          <w:szCs w:val="24"/>
        </w:rPr>
        <w:t xml:space="preserve"> should be at current price</w:t>
      </w:r>
      <w:r w:rsidR="008959B7" w:rsidRPr="008A7ECE">
        <w:rPr>
          <w:rFonts w:asciiTheme="minorHAnsi" w:hAnsiTheme="minorHAnsi" w:cstheme="minorHAnsi"/>
          <w:sz w:val="24"/>
          <w:szCs w:val="24"/>
        </w:rPr>
        <w:t xml:space="preserve"> levels</w:t>
      </w:r>
      <w:r w:rsidR="009A43A9" w:rsidRPr="008A7ECE">
        <w:rPr>
          <w:rFonts w:asciiTheme="minorHAnsi" w:hAnsiTheme="minorHAnsi" w:cstheme="minorHAnsi"/>
          <w:sz w:val="24"/>
          <w:szCs w:val="24"/>
        </w:rPr>
        <w:t xml:space="preserve"> </w:t>
      </w:r>
    </w:p>
    <w:p w14:paraId="7F7783A9" w14:textId="77777777" w:rsidR="00D13A8F" w:rsidRPr="008A7ECE" w:rsidRDefault="00D13A8F" w:rsidP="00D13A8F">
      <w:pPr>
        <w:pStyle w:val="ListParagraph"/>
        <w:widowControl/>
        <w:numPr>
          <w:ilvl w:val="0"/>
          <w:numId w:val="18"/>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 xml:space="preserve">income replacement shall not include an </w:t>
      </w:r>
      <w:r w:rsidR="00F33667" w:rsidRPr="008A7ECE">
        <w:rPr>
          <w:rFonts w:asciiTheme="minorHAnsi" w:hAnsiTheme="minorHAnsi" w:cstheme="minorHAnsi"/>
          <w:sz w:val="24"/>
          <w:szCs w:val="24"/>
        </w:rPr>
        <w:t xml:space="preserve">allowance for any future </w:t>
      </w:r>
      <w:r w:rsidR="009A43A9" w:rsidRPr="008A7ECE">
        <w:rPr>
          <w:rFonts w:asciiTheme="minorHAnsi" w:hAnsiTheme="minorHAnsi" w:cstheme="minorHAnsi"/>
          <w:sz w:val="24"/>
          <w:szCs w:val="24"/>
        </w:rPr>
        <w:t xml:space="preserve">wage </w:t>
      </w:r>
      <w:r w:rsidR="00F33667" w:rsidRPr="008A7ECE">
        <w:rPr>
          <w:rFonts w:asciiTheme="minorHAnsi" w:hAnsiTheme="minorHAnsi" w:cstheme="minorHAnsi"/>
          <w:sz w:val="24"/>
          <w:szCs w:val="24"/>
        </w:rPr>
        <w:t>increases.</w:t>
      </w:r>
    </w:p>
    <w:p w14:paraId="0EB32BFD" w14:textId="1FD14365" w:rsidR="00983581" w:rsidRDefault="00D13A8F" w:rsidP="00D13A8F">
      <w:pPr>
        <w:widowControl/>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b/>
          <w:bCs/>
          <w:sz w:val="24"/>
          <w:szCs w:val="24"/>
        </w:rPr>
        <w:t xml:space="preserve">4.2.6 </w:t>
      </w:r>
      <w:r w:rsidR="0085379A">
        <w:rPr>
          <w:rFonts w:asciiTheme="minorHAnsi" w:hAnsiTheme="minorHAnsi" w:cstheme="minorHAnsi"/>
          <w:b/>
          <w:bCs/>
          <w:sz w:val="24"/>
          <w:szCs w:val="24"/>
        </w:rPr>
        <w:t xml:space="preserve"> </w:t>
      </w:r>
      <w:r w:rsidR="00F33667" w:rsidRPr="008A7ECE">
        <w:rPr>
          <w:rFonts w:asciiTheme="minorHAnsi" w:hAnsiTheme="minorHAnsi" w:cstheme="minorHAnsi"/>
          <w:sz w:val="24"/>
          <w:szCs w:val="24"/>
        </w:rPr>
        <w:t>A</w:t>
      </w:r>
      <w:r w:rsidR="002C6874" w:rsidRPr="008A7ECE">
        <w:rPr>
          <w:rFonts w:asciiTheme="minorHAnsi" w:hAnsiTheme="minorHAnsi" w:cstheme="minorHAnsi"/>
          <w:sz w:val="24"/>
          <w:szCs w:val="24"/>
        </w:rPr>
        <w:t xml:space="preserve"> real</w:t>
      </w:r>
      <w:r w:rsidR="00DE4A11" w:rsidRPr="008A7ECE">
        <w:rPr>
          <w:rFonts w:asciiTheme="minorHAnsi" w:hAnsiTheme="minorHAnsi" w:cstheme="minorHAnsi"/>
          <w:sz w:val="24"/>
          <w:szCs w:val="24"/>
        </w:rPr>
        <w:t xml:space="preserve"> </w:t>
      </w:r>
      <w:r w:rsidR="009A43A9" w:rsidRPr="008A7ECE">
        <w:rPr>
          <w:rFonts w:asciiTheme="minorHAnsi" w:hAnsiTheme="minorHAnsi" w:cstheme="minorHAnsi"/>
          <w:sz w:val="24"/>
          <w:szCs w:val="24"/>
        </w:rPr>
        <w:t>discount rate</w:t>
      </w:r>
      <w:r w:rsidRPr="008A7ECE">
        <w:rPr>
          <w:rFonts w:asciiTheme="minorHAnsi" w:hAnsiTheme="minorHAnsi" w:cstheme="minorHAnsi"/>
          <w:sz w:val="24"/>
          <w:szCs w:val="24"/>
        </w:rPr>
        <w:t xml:space="preserve"> is to be used in the calculation. The applicable discount rate </w:t>
      </w:r>
      <w:r w:rsidR="00983581">
        <w:rPr>
          <w:rFonts w:asciiTheme="minorHAnsi" w:hAnsiTheme="minorHAnsi" w:cstheme="minorHAnsi"/>
          <w:sz w:val="24"/>
          <w:szCs w:val="24"/>
        </w:rPr>
        <w:t>is 5</w:t>
      </w:r>
      <w:r w:rsidR="00651F4A">
        <w:rPr>
          <w:rFonts w:asciiTheme="minorHAnsi" w:hAnsiTheme="minorHAnsi" w:cstheme="minorHAnsi"/>
          <w:sz w:val="24"/>
          <w:szCs w:val="24"/>
        </w:rPr>
        <w:t> </w:t>
      </w:r>
      <w:r w:rsidR="00983581">
        <w:rPr>
          <w:rFonts w:asciiTheme="minorHAnsi" w:hAnsiTheme="minorHAnsi" w:cstheme="minorHAnsi"/>
          <w:sz w:val="24"/>
          <w:szCs w:val="24"/>
        </w:rPr>
        <w:t>per</w:t>
      </w:r>
      <w:r w:rsidR="00651F4A">
        <w:rPr>
          <w:rFonts w:asciiTheme="minorHAnsi" w:hAnsiTheme="minorHAnsi" w:cstheme="minorHAnsi"/>
          <w:sz w:val="24"/>
          <w:szCs w:val="24"/>
        </w:rPr>
        <w:t xml:space="preserve"> </w:t>
      </w:r>
      <w:r w:rsidR="00983581">
        <w:rPr>
          <w:rFonts w:asciiTheme="minorHAnsi" w:hAnsiTheme="minorHAnsi" w:cstheme="minorHAnsi"/>
          <w:sz w:val="24"/>
          <w:szCs w:val="24"/>
        </w:rPr>
        <w:t xml:space="preserve">cent. The MAI Commission may declare a different discount rate by notifiable instrument. If a different discount rate is declared, this rate must be used in the calculation. </w:t>
      </w:r>
    </w:p>
    <w:p w14:paraId="4240B2AA" w14:textId="12EF88DB" w:rsidR="00802B30" w:rsidRPr="008A7ECE" w:rsidRDefault="00802B30" w:rsidP="00D13A8F">
      <w:pPr>
        <w:widowControl/>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 xml:space="preserve">The </w:t>
      </w:r>
      <w:r w:rsidR="00D70E96" w:rsidRPr="008A7ECE">
        <w:rPr>
          <w:rFonts w:asciiTheme="minorHAnsi" w:hAnsiTheme="minorHAnsi" w:cstheme="minorHAnsi"/>
          <w:sz w:val="24"/>
          <w:szCs w:val="24"/>
        </w:rPr>
        <w:t>following timing assumptions should apply to the calculation</w:t>
      </w:r>
      <w:r w:rsidRPr="008A7ECE">
        <w:rPr>
          <w:rFonts w:asciiTheme="minorHAnsi" w:hAnsiTheme="minorHAnsi" w:cstheme="minorHAnsi"/>
          <w:sz w:val="24"/>
          <w:szCs w:val="24"/>
        </w:rPr>
        <w:t>:</w:t>
      </w:r>
    </w:p>
    <w:p w14:paraId="4768FA29" w14:textId="34CE8C4E" w:rsidR="00802B30" w:rsidRPr="008A7ECE" w:rsidRDefault="00802B30" w:rsidP="00802B30">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 xml:space="preserve">ongoing treatment and care </w:t>
      </w:r>
      <w:r w:rsidR="00D70E96" w:rsidRPr="008A7ECE">
        <w:rPr>
          <w:rFonts w:asciiTheme="minorHAnsi" w:hAnsiTheme="minorHAnsi" w:cstheme="minorHAnsi"/>
          <w:sz w:val="24"/>
          <w:szCs w:val="24"/>
        </w:rPr>
        <w:t>expense</w:t>
      </w:r>
      <w:r w:rsidRPr="008A7ECE">
        <w:rPr>
          <w:rFonts w:asciiTheme="minorHAnsi" w:hAnsiTheme="minorHAnsi" w:cstheme="minorHAnsi"/>
          <w:sz w:val="24"/>
          <w:szCs w:val="24"/>
        </w:rPr>
        <w:t xml:space="preserve">s paid in equal monthly instalments </w:t>
      </w:r>
      <w:r w:rsidR="00D70E96" w:rsidRPr="008A7ECE">
        <w:rPr>
          <w:rFonts w:asciiTheme="minorHAnsi" w:hAnsiTheme="minorHAnsi" w:cstheme="minorHAnsi"/>
          <w:sz w:val="24"/>
          <w:szCs w:val="24"/>
        </w:rPr>
        <w:t xml:space="preserve">based </w:t>
      </w:r>
      <w:r w:rsidR="003D1B0B" w:rsidRPr="008A7ECE">
        <w:rPr>
          <w:rFonts w:asciiTheme="minorHAnsi" w:hAnsiTheme="minorHAnsi" w:cstheme="minorHAnsi"/>
          <w:sz w:val="24"/>
          <w:szCs w:val="24"/>
        </w:rPr>
        <w:t>on the likely</w:t>
      </w:r>
      <w:r w:rsidR="00D70E96" w:rsidRPr="008A7ECE">
        <w:rPr>
          <w:rFonts w:asciiTheme="minorHAnsi" w:hAnsiTheme="minorHAnsi" w:cstheme="minorHAnsi"/>
          <w:sz w:val="24"/>
          <w:szCs w:val="24"/>
        </w:rPr>
        <w:t xml:space="preserve"> period these would have been payable</w:t>
      </w:r>
      <w:r w:rsidRPr="008A7ECE">
        <w:rPr>
          <w:rFonts w:asciiTheme="minorHAnsi" w:hAnsiTheme="minorHAnsi" w:cstheme="minorHAnsi"/>
          <w:sz w:val="24"/>
          <w:szCs w:val="24"/>
        </w:rPr>
        <w:t xml:space="preserve">, </w:t>
      </w:r>
      <w:r w:rsidR="00ED6172" w:rsidRPr="008A7ECE">
        <w:rPr>
          <w:rFonts w:asciiTheme="minorHAnsi" w:hAnsiTheme="minorHAnsi" w:cstheme="minorHAnsi"/>
          <w:sz w:val="24"/>
          <w:szCs w:val="24"/>
        </w:rPr>
        <w:t>and/or</w:t>
      </w:r>
    </w:p>
    <w:p w14:paraId="07709F2E" w14:textId="6CA2A47B" w:rsidR="00802B30" w:rsidRPr="008A7ECE" w:rsidRDefault="00802B30" w:rsidP="00802B30">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lastRenderedPageBreak/>
        <w:t xml:space="preserve">one-off </w:t>
      </w:r>
      <w:r w:rsidR="00D70E96" w:rsidRPr="008A7ECE">
        <w:rPr>
          <w:rFonts w:asciiTheme="minorHAnsi" w:hAnsiTheme="minorHAnsi" w:cstheme="minorHAnsi"/>
          <w:sz w:val="24"/>
          <w:szCs w:val="24"/>
        </w:rPr>
        <w:t>treatment</w:t>
      </w:r>
      <w:r w:rsidRPr="008A7ECE">
        <w:rPr>
          <w:rFonts w:asciiTheme="minorHAnsi" w:hAnsiTheme="minorHAnsi" w:cstheme="minorHAnsi"/>
          <w:sz w:val="24"/>
          <w:szCs w:val="24"/>
        </w:rPr>
        <w:t xml:space="preserve"> and </w:t>
      </w:r>
      <w:r w:rsidR="00D70E96" w:rsidRPr="008A7ECE">
        <w:rPr>
          <w:rFonts w:asciiTheme="minorHAnsi" w:hAnsiTheme="minorHAnsi" w:cstheme="minorHAnsi"/>
          <w:sz w:val="24"/>
          <w:szCs w:val="24"/>
        </w:rPr>
        <w:t>care expense</w:t>
      </w:r>
      <w:r w:rsidR="009A4D9A" w:rsidRPr="008A7ECE">
        <w:rPr>
          <w:rFonts w:asciiTheme="minorHAnsi" w:hAnsiTheme="minorHAnsi" w:cstheme="minorHAnsi"/>
          <w:sz w:val="24"/>
          <w:szCs w:val="24"/>
        </w:rPr>
        <w:t>s</w:t>
      </w:r>
      <w:r w:rsidRPr="008A7ECE">
        <w:rPr>
          <w:rFonts w:asciiTheme="minorHAnsi" w:hAnsiTheme="minorHAnsi" w:cstheme="minorHAnsi"/>
          <w:sz w:val="24"/>
          <w:szCs w:val="24"/>
        </w:rPr>
        <w:t xml:space="preserve"> </w:t>
      </w:r>
      <w:r w:rsidR="008810D6" w:rsidRPr="008A7ECE">
        <w:rPr>
          <w:rFonts w:asciiTheme="minorHAnsi" w:hAnsiTheme="minorHAnsi" w:cstheme="minorHAnsi"/>
          <w:sz w:val="24"/>
          <w:szCs w:val="24"/>
        </w:rPr>
        <w:t>are paid</w:t>
      </w:r>
      <w:r w:rsidR="00B85597" w:rsidRPr="008A7ECE">
        <w:rPr>
          <w:rFonts w:asciiTheme="minorHAnsi" w:hAnsiTheme="minorHAnsi" w:cstheme="minorHAnsi"/>
          <w:sz w:val="24"/>
          <w:szCs w:val="24"/>
        </w:rPr>
        <w:t xml:space="preserve"> </w:t>
      </w:r>
      <w:r w:rsidR="00BA2807" w:rsidRPr="008A7ECE">
        <w:rPr>
          <w:rFonts w:asciiTheme="minorHAnsi" w:hAnsiTheme="minorHAnsi" w:cstheme="minorHAnsi"/>
          <w:sz w:val="24"/>
          <w:szCs w:val="24"/>
        </w:rPr>
        <w:t>in</w:t>
      </w:r>
      <w:r w:rsidR="00B85597" w:rsidRPr="008A7ECE">
        <w:rPr>
          <w:rFonts w:asciiTheme="minorHAnsi" w:hAnsiTheme="minorHAnsi" w:cstheme="minorHAnsi"/>
          <w:sz w:val="24"/>
          <w:szCs w:val="24"/>
        </w:rPr>
        <w:t xml:space="preserve"> the year th</w:t>
      </w:r>
      <w:r w:rsidR="009C170D" w:rsidRPr="008A7ECE">
        <w:rPr>
          <w:rFonts w:asciiTheme="minorHAnsi" w:hAnsiTheme="minorHAnsi" w:cstheme="minorHAnsi"/>
          <w:sz w:val="24"/>
          <w:szCs w:val="24"/>
        </w:rPr>
        <w:t>e expense is</w:t>
      </w:r>
      <w:r w:rsidR="00B85597" w:rsidRPr="008A7ECE">
        <w:rPr>
          <w:rFonts w:asciiTheme="minorHAnsi" w:hAnsiTheme="minorHAnsi" w:cstheme="minorHAnsi"/>
          <w:sz w:val="24"/>
          <w:szCs w:val="24"/>
        </w:rPr>
        <w:t xml:space="preserve"> likely to be incurred</w:t>
      </w:r>
      <w:r w:rsidRPr="008A7ECE">
        <w:rPr>
          <w:rFonts w:asciiTheme="minorHAnsi" w:hAnsiTheme="minorHAnsi" w:cstheme="minorHAnsi"/>
          <w:sz w:val="24"/>
          <w:szCs w:val="24"/>
        </w:rPr>
        <w:t>, and</w:t>
      </w:r>
      <w:r w:rsidR="00ED6172" w:rsidRPr="008A7ECE">
        <w:rPr>
          <w:rFonts w:asciiTheme="minorHAnsi" w:hAnsiTheme="minorHAnsi" w:cstheme="minorHAnsi"/>
          <w:sz w:val="24"/>
          <w:szCs w:val="24"/>
        </w:rPr>
        <w:t>/or</w:t>
      </w:r>
    </w:p>
    <w:p w14:paraId="75A639AE" w14:textId="02C53C26" w:rsidR="009A43A9" w:rsidRPr="008A7ECE" w:rsidRDefault="00802B30" w:rsidP="00802B30">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sz w:val="24"/>
          <w:szCs w:val="24"/>
        </w:rPr>
        <w:t>income replacement payment</w:t>
      </w:r>
      <w:r w:rsidR="00D70E96" w:rsidRPr="008A7ECE">
        <w:rPr>
          <w:rFonts w:asciiTheme="minorHAnsi" w:hAnsiTheme="minorHAnsi" w:cstheme="minorHAnsi"/>
          <w:sz w:val="24"/>
          <w:szCs w:val="24"/>
        </w:rPr>
        <w:t>s</w:t>
      </w:r>
      <w:r w:rsidR="008810D6" w:rsidRPr="008A7ECE">
        <w:rPr>
          <w:rFonts w:asciiTheme="minorHAnsi" w:hAnsiTheme="minorHAnsi" w:cstheme="minorHAnsi"/>
          <w:sz w:val="24"/>
          <w:szCs w:val="24"/>
        </w:rPr>
        <w:t xml:space="preserve"> </w:t>
      </w:r>
      <w:r w:rsidR="00D70E96" w:rsidRPr="008A7ECE">
        <w:rPr>
          <w:rFonts w:asciiTheme="minorHAnsi" w:hAnsiTheme="minorHAnsi" w:cstheme="minorHAnsi"/>
          <w:sz w:val="24"/>
          <w:szCs w:val="24"/>
        </w:rPr>
        <w:t>paid</w:t>
      </w:r>
      <w:r w:rsidRPr="008A7ECE">
        <w:rPr>
          <w:rFonts w:asciiTheme="minorHAnsi" w:hAnsiTheme="minorHAnsi" w:cstheme="minorHAnsi"/>
          <w:sz w:val="24"/>
          <w:szCs w:val="24"/>
        </w:rPr>
        <w:t xml:space="preserve"> fortnightly, with</w:t>
      </w:r>
      <w:r w:rsidR="003D1B0B" w:rsidRPr="008A7ECE">
        <w:rPr>
          <w:rFonts w:asciiTheme="minorHAnsi" w:hAnsiTheme="minorHAnsi" w:cstheme="minorHAnsi"/>
          <w:sz w:val="24"/>
          <w:szCs w:val="24"/>
        </w:rPr>
        <w:t xml:space="preserve"> a maximum of</w:t>
      </w:r>
      <w:r w:rsidRPr="008A7ECE">
        <w:rPr>
          <w:rFonts w:asciiTheme="minorHAnsi" w:hAnsiTheme="minorHAnsi" w:cstheme="minorHAnsi"/>
          <w:sz w:val="24"/>
          <w:szCs w:val="24"/>
        </w:rPr>
        <w:t xml:space="preserve"> 26 payment</w:t>
      </w:r>
      <w:r w:rsidR="00D70E96" w:rsidRPr="008A7ECE">
        <w:rPr>
          <w:rFonts w:asciiTheme="minorHAnsi" w:hAnsiTheme="minorHAnsi" w:cstheme="minorHAnsi"/>
          <w:sz w:val="24"/>
          <w:szCs w:val="24"/>
        </w:rPr>
        <w:t>s</w:t>
      </w:r>
      <w:r w:rsidRPr="008A7ECE">
        <w:rPr>
          <w:rFonts w:asciiTheme="minorHAnsi" w:hAnsiTheme="minorHAnsi" w:cstheme="minorHAnsi"/>
          <w:sz w:val="24"/>
          <w:szCs w:val="24"/>
        </w:rPr>
        <w:t xml:space="preserve"> being made in a calendar year.</w:t>
      </w:r>
    </w:p>
    <w:p w14:paraId="1D3264BF" w14:textId="77D65987" w:rsidR="003D1B0B" w:rsidRPr="008A7ECE" w:rsidRDefault="00D13A8F" w:rsidP="00B63EF8">
      <w:pPr>
        <w:widowControl/>
        <w:autoSpaceDE/>
        <w:autoSpaceDN/>
        <w:spacing w:after="160" w:line="259" w:lineRule="auto"/>
        <w:contextualSpacing/>
        <w:rPr>
          <w:rFonts w:asciiTheme="minorHAnsi" w:hAnsiTheme="minorHAnsi" w:cstheme="minorHAnsi"/>
          <w:sz w:val="24"/>
          <w:szCs w:val="24"/>
        </w:rPr>
      </w:pPr>
      <w:r w:rsidRPr="008A7ECE">
        <w:rPr>
          <w:rFonts w:asciiTheme="minorHAnsi" w:hAnsiTheme="minorHAnsi" w:cstheme="minorHAnsi"/>
          <w:b/>
          <w:bCs/>
          <w:sz w:val="24"/>
          <w:szCs w:val="24"/>
        </w:rPr>
        <w:t xml:space="preserve">4.2.7 </w:t>
      </w:r>
      <w:r w:rsidR="0085379A">
        <w:rPr>
          <w:rFonts w:asciiTheme="minorHAnsi" w:hAnsiTheme="minorHAnsi" w:cstheme="minorHAnsi"/>
          <w:b/>
          <w:bCs/>
          <w:sz w:val="24"/>
          <w:szCs w:val="24"/>
        </w:rPr>
        <w:t xml:space="preserve"> </w:t>
      </w:r>
      <w:r w:rsidR="005E53EB" w:rsidRPr="008A7ECE">
        <w:rPr>
          <w:rFonts w:asciiTheme="minorHAnsi" w:hAnsiTheme="minorHAnsi" w:cstheme="minorHAnsi"/>
          <w:sz w:val="24"/>
          <w:szCs w:val="24"/>
        </w:rPr>
        <w:t>The formula for</w:t>
      </w:r>
      <w:r w:rsidR="003C3868" w:rsidRPr="008A7ECE">
        <w:rPr>
          <w:rFonts w:asciiTheme="minorHAnsi" w:hAnsiTheme="minorHAnsi" w:cstheme="minorHAnsi"/>
          <w:sz w:val="24"/>
          <w:szCs w:val="24"/>
        </w:rPr>
        <w:t xml:space="preserve"> calculating</w:t>
      </w:r>
      <w:r w:rsidR="005E53EB" w:rsidRPr="008A7ECE">
        <w:rPr>
          <w:rFonts w:asciiTheme="minorHAnsi" w:hAnsiTheme="minorHAnsi" w:cstheme="minorHAnsi"/>
          <w:sz w:val="24"/>
          <w:szCs w:val="24"/>
        </w:rPr>
        <w:t xml:space="preserve"> the lump sum</w:t>
      </w:r>
      <w:r w:rsidR="0049365B" w:rsidRPr="008A7ECE">
        <w:rPr>
          <w:rFonts w:asciiTheme="minorHAnsi" w:hAnsiTheme="minorHAnsi" w:cstheme="minorHAnsi"/>
          <w:sz w:val="24"/>
          <w:szCs w:val="24"/>
        </w:rPr>
        <w:t xml:space="preserve"> </w:t>
      </w:r>
      <w:r w:rsidR="00B85597" w:rsidRPr="008A7ECE">
        <w:rPr>
          <w:rFonts w:asciiTheme="minorHAnsi" w:hAnsiTheme="minorHAnsi" w:cstheme="minorHAnsi"/>
          <w:sz w:val="24"/>
          <w:szCs w:val="24"/>
        </w:rPr>
        <w:t xml:space="preserve">can be expressed </w:t>
      </w:r>
      <w:r w:rsidR="0049365B" w:rsidRPr="008A7ECE">
        <w:rPr>
          <w:rFonts w:asciiTheme="minorHAnsi" w:hAnsiTheme="minorHAnsi" w:cstheme="minorHAnsi"/>
          <w:sz w:val="24"/>
          <w:szCs w:val="24"/>
        </w:rPr>
        <w:t xml:space="preserve">as </w:t>
      </w:r>
      <w:r w:rsidR="005E53EB" w:rsidRPr="008A7ECE">
        <w:rPr>
          <w:rFonts w:asciiTheme="minorHAnsi" w:hAnsiTheme="minorHAnsi" w:cstheme="minorHAnsi"/>
          <w:sz w:val="24"/>
          <w:szCs w:val="24"/>
        </w:rPr>
        <w:t>follows:</w:t>
      </w:r>
    </w:p>
    <w:p w14:paraId="1F534BDA" w14:textId="77777777" w:rsidR="005E53EB" w:rsidRPr="008A7ECE" w:rsidRDefault="005E53EB" w:rsidP="005E53EB">
      <w:pPr>
        <w:widowControl/>
        <w:autoSpaceDE/>
        <w:autoSpaceDN/>
        <w:spacing w:after="160" w:line="259" w:lineRule="auto"/>
        <w:ind w:left="432"/>
        <w:contextualSpacing/>
        <w:rPr>
          <w:rFonts w:asciiTheme="minorHAnsi" w:hAnsiTheme="minorHAnsi" w:cstheme="minorHAnsi"/>
          <w:sz w:val="24"/>
          <w:szCs w:val="24"/>
        </w:rPr>
      </w:pPr>
    </w:p>
    <w:p w14:paraId="5991AA8F" w14:textId="7E608619" w:rsidR="005E53EB" w:rsidRPr="008A7ECE" w:rsidRDefault="005E53EB" w:rsidP="005E53EB">
      <w:pPr>
        <w:widowControl/>
        <w:autoSpaceDE/>
        <w:autoSpaceDN/>
        <w:spacing w:after="160" w:line="259" w:lineRule="auto"/>
        <w:ind w:left="432"/>
        <w:contextualSpacing/>
        <w:rPr>
          <w:rFonts w:asciiTheme="minorHAnsi" w:hAnsiTheme="minorHAnsi" w:cstheme="minorHAnsi"/>
          <w:sz w:val="24"/>
          <w:szCs w:val="24"/>
        </w:rPr>
      </w:pPr>
      <m:oMathPara>
        <m:oMath>
          <m:r>
            <w:rPr>
              <w:rFonts w:ascii="Cambria Math" w:hAnsi="Cambria Math" w:cstheme="minorHAnsi"/>
              <w:sz w:val="24"/>
              <w:szCs w:val="24"/>
            </w:rPr>
            <m:t xml:space="preserve">PV= </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(mon)</m:t>
              </m:r>
            </m:sub>
          </m:sSub>
          <m:f>
            <m:fPr>
              <m:ctrlPr>
                <w:rPr>
                  <w:rFonts w:ascii="Cambria Math" w:hAnsi="Cambria Math" w:cstheme="minorHAnsi"/>
                  <w:i/>
                  <w:sz w:val="24"/>
                  <w:szCs w:val="24"/>
                </w:rPr>
              </m:ctrlPr>
            </m:fPr>
            <m:num>
              <m:r>
                <w:rPr>
                  <w:rFonts w:ascii="Cambria Math" w:hAnsi="Cambria Math" w:cstheme="minorHAnsi"/>
                  <w:sz w:val="24"/>
                  <w:szCs w:val="24"/>
                </w:rPr>
                <m:t>1-</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1+</m:t>
                      </m:r>
                      <m:f>
                        <m:fPr>
                          <m:ctrlPr>
                            <w:rPr>
                              <w:rFonts w:ascii="Cambria Math" w:hAnsi="Cambria Math" w:cstheme="minorHAnsi"/>
                              <w:i/>
                              <w:sz w:val="24"/>
                              <w:szCs w:val="24"/>
                            </w:rPr>
                          </m:ctrlPr>
                        </m:fPr>
                        <m:num>
                          <m:r>
                            <w:rPr>
                              <w:rFonts w:ascii="Cambria Math" w:hAnsi="Cambria Math" w:cstheme="minorHAnsi"/>
                              <w:sz w:val="24"/>
                              <w:szCs w:val="24"/>
                            </w:rPr>
                            <m:t>D</m:t>
                          </m:r>
                        </m:num>
                        <m:den>
                          <m:r>
                            <w:rPr>
                              <w:rFonts w:ascii="Cambria Math" w:hAnsi="Cambria Math" w:cstheme="minorHAnsi"/>
                              <w:sz w:val="24"/>
                              <w:szCs w:val="24"/>
                            </w:rPr>
                            <m:t>12</m:t>
                          </m:r>
                        </m:den>
                      </m:f>
                    </m:e>
                  </m:d>
                </m:e>
                <m:sup>
                  <m:r>
                    <w:rPr>
                      <w:rFonts w:ascii="Cambria Math" w:hAnsi="Cambria Math" w:cstheme="minorHAnsi"/>
                      <w:sz w:val="24"/>
                      <w:szCs w:val="24"/>
                    </w:rPr>
                    <m:t>-n</m:t>
                  </m:r>
                </m:sup>
              </m:sSup>
            </m:num>
            <m:den>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D</m:t>
                      </m:r>
                    </m:num>
                    <m:den>
                      <m:r>
                        <w:rPr>
                          <w:rFonts w:ascii="Cambria Math" w:hAnsi="Cambria Math" w:cstheme="minorHAnsi"/>
                          <w:sz w:val="24"/>
                          <w:szCs w:val="24"/>
                        </w:rPr>
                        <m:t>12</m:t>
                      </m:r>
                    </m:den>
                  </m:f>
                </m:e>
              </m:d>
            </m:den>
          </m:f>
          <m:r>
            <w:rPr>
              <w:rFonts w:ascii="Cambria Math" w:hAnsi="Cambria Math" w:cstheme="minorHAnsi"/>
              <w:sz w:val="24"/>
              <w:szCs w:val="24"/>
            </w:rPr>
            <m:t xml:space="preserve"> + </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(ftnt)</m:t>
              </m:r>
            </m:sub>
          </m:sSub>
          <m:f>
            <m:fPr>
              <m:ctrlPr>
                <w:rPr>
                  <w:rFonts w:ascii="Cambria Math" w:hAnsi="Cambria Math" w:cstheme="minorHAnsi"/>
                  <w:i/>
                  <w:sz w:val="24"/>
                  <w:szCs w:val="24"/>
                </w:rPr>
              </m:ctrlPr>
            </m:fPr>
            <m:num>
              <m:r>
                <w:rPr>
                  <w:rFonts w:ascii="Cambria Math" w:hAnsi="Cambria Math" w:cstheme="minorHAnsi"/>
                  <w:sz w:val="24"/>
                  <w:szCs w:val="24"/>
                </w:rPr>
                <m:t>1-</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1+</m:t>
                      </m:r>
                      <m:f>
                        <m:fPr>
                          <m:ctrlPr>
                            <w:rPr>
                              <w:rFonts w:ascii="Cambria Math" w:hAnsi="Cambria Math" w:cstheme="minorHAnsi"/>
                              <w:i/>
                              <w:sz w:val="24"/>
                              <w:szCs w:val="24"/>
                            </w:rPr>
                          </m:ctrlPr>
                        </m:fPr>
                        <m:num>
                          <m:r>
                            <w:rPr>
                              <w:rFonts w:ascii="Cambria Math" w:hAnsi="Cambria Math" w:cstheme="minorHAnsi"/>
                              <w:sz w:val="24"/>
                              <w:szCs w:val="24"/>
                            </w:rPr>
                            <m:t>D</m:t>
                          </m:r>
                        </m:num>
                        <m:den>
                          <m:r>
                            <w:rPr>
                              <w:rFonts w:ascii="Cambria Math" w:hAnsi="Cambria Math" w:cstheme="minorHAnsi"/>
                              <w:sz w:val="24"/>
                              <w:szCs w:val="24"/>
                            </w:rPr>
                            <m:t>26</m:t>
                          </m:r>
                        </m:den>
                      </m:f>
                    </m:e>
                  </m:d>
                </m:e>
                <m:sup>
                  <m:r>
                    <w:rPr>
                      <w:rFonts w:ascii="Cambria Math" w:hAnsi="Cambria Math" w:cstheme="minorHAnsi"/>
                      <w:sz w:val="24"/>
                      <w:szCs w:val="24"/>
                    </w:rPr>
                    <m:t>-n</m:t>
                  </m:r>
                </m:sup>
              </m:sSup>
            </m:num>
            <m:den>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D</m:t>
                      </m:r>
                    </m:num>
                    <m:den>
                      <m:r>
                        <w:rPr>
                          <w:rFonts w:ascii="Cambria Math" w:hAnsi="Cambria Math" w:cstheme="minorHAnsi"/>
                          <w:sz w:val="24"/>
                          <w:szCs w:val="24"/>
                        </w:rPr>
                        <m:t>26</m:t>
                      </m:r>
                    </m:den>
                  </m:f>
                </m:e>
              </m:d>
            </m:den>
          </m:f>
          <m:r>
            <w:rPr>
              <w:rFonts w:ascii="Cambria Math" w:hAnsi="Cambria Math" w:cstheme="minorHAnsi"/>
              <w:sz w:val="24"/>
              <w:szCs w:val="24"/>
            </w:rPr>
            <m:t xml:space="preserve"> + </m:t>
          </m:r>
          <m:f>
            <m:fPr>
              <m:ctrlPr>
                <w:rPr>
                  <w:rFonts w:ascii="Cambria Math" w:hAnsi="Cambria Math" w:cstheme="minorHAnsi"/>
                  <w:i/>
                  <w:sz w:val="24"/>
                  <w:szCs w:val="24"/>
                </w:rPr>
              </m:ctrlPr>
            </m:fPr>
            <m:num>
              <m:r>
                <w:rPr>
                  <w:rFonts w:ascii="Cambria Math" w:hAnsi="Cambria Math" w:cstheme="minorHAnsi"/>
                  <w:sz w:val="24"/>
                  <w:szCs w:val="24"/>
                </w:rPr>
                <m:t>OP</m:t>
              </m:r>
            </m:num>
            <m:den>
              <m:sSup>
                <m:sSupPr>
                  <m:ctrlPr>
                    <w:rPr>
                      <w:rFonts w:ascii="Cambria Math" w:hAnsi="Cambria Math" w:cstheme="minorHAnsi"/>
                      <w:i/>
                      <w:sz w:val="24"/>
                      <w:szCs w:val="24"/>
                    </w:rPr>
                  </m:ctrlPr>
                </m:sSupPr>
                <m:e>
                  <m:r>
                    <w:rPr>
                      <w:rFonts w:ascii="Cambria Math" w:hAnsi="Cambria Math" w:cstheme="minorHAnsi"/>
                      <w:sz w:val="24"/>
                      <w:szCs w:val="24"/>
                    </w:rPr>
                    <m:t>(1+D)</m:t>
                  </m:r>
                </m:e>
                <m:sup>
                  <m:r>
                    <w:rPr>
                      <w:rFonts w:ascii="Cambria Math" w:hAnsi="Cambria Math" w:cstheme="minorHAnsi"/>
                      <w:sz w:val="24"/>
                      <w:szCs w:val="24"/>
                    </w:rPr>
                    <m:t>n</m:t>
                  </m:r>
                </m:sup>
              </m:sSup>
            </m:den>
          </m:f>
          <m:r>
            <w:rPr>
              <w:rFonts w:ascii="Cambria Math" w:hAnsi="Cambria Math" w:cstheme="minorHAnsi"/>
              <w:sz w:val="24"/>
              <w:szCs w:val="24"/>
            </w:rPr>
            <m:t xml:space="preserve"> </m:t>
          </m:r>
        </m:oMath>
      </m:oMathPara>
    </w:p>
    <w:p w14:paraId="12B78552" w14:textId="77777777" w:rsidR="005E53EB" w:rsidRPr="008A7ECE" w:rsidRDefault="005E53EB" w:rsidP="00A2645B">
      <w:pPr>
        <w:widowControl/>
        <w:autoSpaceDE/>
        <w:autoSpaceDN/>
        <w:spacing w:after="160" w:line="259" w:lineRule="auto"/>
        <w:contextualSpacing/>
        <w:rPr>
          <w:rFonts w:asciiTheme="minorHAnsi" w:hAnsiTheme="minorHAnsi" w:cstheme="minorHAnsi"/>
        </w:rPr>
      </w:pPr>
      <w:r w:rsidRPr="008A7ECE">
        <w:rPr>
          <w:rFonts w:asciiTheme="minorHAnsi" w:hAnsiTheme="minorHAnsi" w:cstheme="minorHAnsi"/>
        </w:rPr>
        <w:t>Where:</w:t>
      </w:r>
    </w:p>
    <w:p w14:paraId="25825982" w14:textId="77777777" w:rsidR="005E53EB" w:rsidRPr="008A7ECE" w:rsidRDefault="005E53EB" w:rsidP="00D13A8F">
      <w:pPr>
        <w:widowControl/>
        <w:numPr>
          <w:ilvl w:val="0"/>
          <w:numId w:val="17"/>
        </w:numPr>
        <w:autoSpaceDE/>
        <w:autoSpaceDN/>
        <w:spacing w:after="160" w:line="259" w:lineRule="auto"/>
        <w:ind w:left="1800"/>
        <w:contextualSpacing/>
        <w:rPr>
          <w:rFonts w:asciiTheme="minorHAnsi" w:hAnsiTheme="minorHAnsi" w:cstheme="minorHAnsi"/>
        </w:rPr>
      </w:pPr>
      <w:r w:rsidRPr="008A7ECE">
        <w:rPr>
          <w:rFonts w:asciiTheme="minorHAnsi" w:hAnsiTheme="minorHAnsi" w:cstheme="minorHAnsi"/>
        </w:rPr>
        <w:t>PV = Present Value</w:t>
      </w:r>
    </w:p>
    <w:p w14:paraId="7FA0E157" w14:textId="6EBAD827" w:rsidR="005E53EB" w:rsidRPr="008A7ECE" w:rsidRDefault="005E53EB" w:rsidP="00D13A8F">
      <w:pPr>
        <w:widowControl/>
        <w:numPr>
          <w:ilvl w:val="0"/>
          <w:numId w:val="17"/>
        </w:numPr>
        <w:autoSpaceDE/>
        <w:autoSpaceDN/>
        <w:spacing w:after="160" w:line="259" w:lineRule="auto"/>
        <w:ind w:left="1800"/>
        <w:contextualSpacing/>
        <w:rPr>
          <w:rFonts w:asciiTheme="minorHAnsi" w:hAnsiTheme="minorHAnsi" w:cstheme="minorHAnsi"/>
        </w:rPr>
      </w:pPr>
      <w:r w:rsidRPr="008A7ECE">
        <w:rPr>
          <w:rFonts w:asciiTheme="minorHAnsi" w:hAnsiTheme="minorHAnsi" w:cstheme="minorHAnsi"/>
        </w:rPr>
        <w:t>n =</w:t>
      </w:r>
      <w:r w:rsidR="003C3868" w:rsidRPr="008A7ECE">
        <w:rPr>
          <w:rFonts w:asciiTheme="minorHAnsi" w:hAnsiTheme="minorHAnsi" w:cstheme="minorHAnsi"/>
        </w:rPr>
        <w:t xml:space="preserve"> </w:t>
      </w:r>
      <w:r w:rsidR="006D4BAA" w:rsidRPr="008A7ECE">
        <w:rPr>
          <w:rFonts w:asciiTheme="minorHAnsi" w:hAnsiTheme="minorHAnsi" w:cstheme="minorHAnsi"/>
        </w:rPr>
        <w:t>N</w:t>
      </w:r>
      <w:r w:rsidRPr="008A7ECE">
        <w:rPr>
          <w:rFonts w:asciiTheme="minorHAnsi" w:hAnsiTheme="minorHAnsi" w:cstheme="minorHAnsi"/>
        </w:rPr>
        <w:t>umber o</w:t>
      </w:r>
      <w:r w:rsidR="009C170D" w:rsidRPr="008A7ECE">
        <w:rPr>
          <w:rFonts w:asciiTheme="minorHAnsi" w:hAnsiTheme="minorHAnsi" w:cstheme="minorHAnsi"/>
        </w:rPr>
        <w:t>f payment</w:t>
      </w:r>
      <w:r w:rsidRPr="008A7ECE">
        <w:rPr>
          <w:rFonts w:asciiTheme="minorHAnsi" w:hAnsiTheme="minorHAnsi" w:cstheme="minorHAnsi"/>
        </w:rPr>
        <w:t xml:space="preserve"> periods</w:t>
      </w:r>
      <w:r w:rsidR="003C3868" w:rsidRPr="008A7ECE">
        <w:rPr>
          <w:rFonts w:asciiTheme="minorHAnsi" w:hAnsiTheme="minorHAnsi" w:cstheme="minorHAnsi"/>
        </w:rPr>
        <w:t xml:space="preserve"> </w:t>
      </w:r>
    </w:p>
    <w:p w14:paraId="110333E7" w14:textId="11551CF3" w:rsidR="006D4BAA" w:rsidRPr="008A7ECE" w:rsidRDefault="006D4BAA" w:rsidP="00D13A8F">
      <w:pPr>
        <w:widowControl/>
        <w:numPr>
          <w:ilvl w:val="0"/>
          <w:numId w:val="17"/>
        </w:numPr>
        <w:autoSpaceDE/>
        <w:autoSpaceDN/>
        <w:spacing w:after="160" w:line="259" w:lineRule="auto"/>
        <w:ind w:left="1800"/>
        <w:contextualSpacing/>
        <w:rPr>
          <w:rFonts w:asciiTheme="minorHAnsi" w:hAnsiTheme="minorHAnsi" w:cstheme="minorHAnsi"/>
        </w:rPr>
      </w:pPr>
      <w:r w:rsidRPr="008A7ECE">
        <w:rPr>
          <w:rFonts w:asciiTheme="minorHAnsi" w:hAnsiTheme="minorHAnsi" w:cstheme="minorHAnsi"/>
        </w:rPr>
        <w:t>D = The prescribed discount rate expressed as a decimal number</w:t>
      </w:r>
    </w:p>
    <w:p w14:paraId="3AADAD38" w14:textId="072BB0CC" w:rsidR="005E53EB" w:rsidRPr="008A7ECE" w:rsidRDefault="005E53EB" w:rsidP="00D13A8F">
      <w:pPr>
        <w:widowControl/>
        <w:numPr>
          <w:ilvl w:val="0"/>
          <w:numId w:val="17"/>
        </w:numPr>
        <w:autoSpaceDE/>
        <w:autoSpaceDN/>
        <w:spacing w:after="160" w:line="259" w:lineRule="auto"/>
        <w:ind w:left="1800"/>
        <w:contextualSpacing/>
        <w:rPr>
          <w:rFonts w:asciiTheme="minorHAnsi" w:hAnsiTheme="minorHAnsi" w:cstheme="minorHAnsi"/>
        </w:rPr>
      </w:pPr>
      <w:r w:rsidRPr="008A7ECE">
        <w:rPr>
          <w:rFonts w:asciiTheme="minorHAnsi" w:hAnsiTheme="minorHAnsi" w:cstheme="minorHAnsi"/>
        </w:rPr>
        <w:t xml:space="preserve">P(mon) = </w:t>
      </w:r>
      <w:r w:rsidR="006D4BAA" w:rsidRPr="008A7ECE">
        <w:rPr>
          <w:rFonts w:asciiTheme="minorHAnsi" w:hAnsiTheme="minorHAnsi" w:cstheme="minorHAnsi"/>
        </w:rPr>
        <w:t>O</w:t>
      </w:r>
      <w:r w:rsidRPr="008A7ECE">
        <w:rPr>
          <w:rFonts w:asciiTheme="minorHAnsi" w:hAnsiTheme="minorHAnsi" w:cstheme="minorHAnsi"/>
        </w:rPr>
        <w:t>ngoing treatment and care monthly payment</w:t>
      </w:r>
    </w:p>
    <w:p w14:paraId="399CFDD0" w14:textId="43D5E6A2" w:rsidR="00B85597" w:rsidRPr="008A7ECE" w:rsidRDefault="005E53EB" w:rsidP="00D13A8F">
      <w:pPr>
        <w:widowControl/>
        <w:numPr>
          <w:ilvl w:val="0"/>
          <w:numId w:val="17"/>
        </w:numPr>
        <w:autoSpaceDE/>
        <w:autoSpaceDN/>
        <w:spacing w:after="160" w:line="259" w:lineRule="auto"/>
        <w:ind w:left="1800"/>
        <w:contextualSpacing/>
        <w:rPr>
          <w:rFonts w:asciiTheme="minorHAnsi" w:hAnsiTheme="minorHAnsi" w:cstheme="minorHAnsi"/>
        </w:rPr>
      </w:pPr>
      <w:r w:rsidRPr="008A7ECE">
        <w:rPr>
          <w:rFonts w:asciiTheme="minorHAnsi" w:hAnsiTheme="minorHAnsi" w:cstheme="minorHAnsi"/>
        </w:rPr>
        <w:t>P(</w:t>
      </w:r>
      <w:proofErr w:type="spellStart"/>
      <w:r w:rsidRPr="008A7ECE">
        <w:rPr>
          <w:rFonts w:asciiTheme="minorHAnsi" w:hAnsiTheme="minorHAnsi" w:cstheme="minorHAnsi"/>
        </w:rPr>
        <w:t>ftnt</w:t>
      </w:r>
      <w:proofErr w:type="spellEnd"/>
      <w:r w:rsidRPr="008A7ECE">
        <w:rPr>
          <w:rFonts w:asciiTheme="minorHAnsi" w:hAnsiTheme="minorHAnsi" w:cstheme="minorHAnsi"/>
        </w:rPr>
        <w:t>) = Income replacement fortnightly paymen</w:t>
      </w:r>
      <w:r w:rsidR="00B85597" w:rsidRPr="008A7ECE">
        <w:rPr>
          <w:rFonts w:asciiTheme="minorHAnsi" w:hAnsiTheme="minorHAnsi" w:cstheme="minorHAnsi"/>
        </w:rPr>
        <w:t>t</w:t>
      </w:r>
    </w:p>
    <w:p w14:paraId="7FFDB774" w14:textId="35794A6C" w:rsidR="006D4BAA" w:rsidRPr="008A7ECE" w:rsidRDefault="006D4BAA" w:rsidP="00D13A8F">
      <w:pPr>
        <w:widowControl/>
        <w:numPr>
          <w:ilvl w:val="0"/>
          <w:numId w:val="17"/>
        </w:numPr>
        <w:autoSpaceDE/>
        <w:autoSpaceDN/>
        <w:spacing w:after="160" w:line="259" w:lineRule="auto"/>
        <w:ind w:left="1800"/>
        <w:contextualSpacing/>
        <w:rPr>
          <w:rFonts w:asciiTheme="minorHAnsi" w:hAnsiTheme="minorHAnsi" w:cstheme="minorHAnsi"/>
        </w:rPr>
      </w:pPr>
      <w:r w:rsidRPr="008A7ECE">
        <w:rPr>
          <w:rFonts w:asciiTheme="minorHAnsi" w:hAnsiTheme="minorHAnsi" w:cstheme="minorHAnsi"/>
        </w:rPr>
        <w:t>OP = One-off treatment and care payment</w:t>
      </w:r>
    </w:p>
    <w:p w14:paraId="0928DECA" w14:textId="77777777" w:rsidR="006036FA" w:rsidRPr="008A7ECE" w:rsidRDefault="006036FA" w:rsidP="006036FA">
      <w:pPr>
        <w:widowControl/>
        <w:autoSpaceDE/>
        <w:autoSpaceDN/>
        <w:spacing w:after="160" w:line="259" w:lineRule="auto"/>
        <w:ind w:left="1800"/>
        <w:contextualSpacing/>
        <w:rPr>
          <w:rFonts w:asciiTheme="minorHAnsi" w:hAnsiTheme="minorHAnsi" w:cstheme="minorHAnsi"/>
        </w:rPr>
      </w:pPr>
    </w:p>
    <w:p w14:paraId="232270A5" w14:textId="116D41ED" w:rsidR="00895AD6" w:rsidRPr="008A7ECE" w:rsidRDefault="00D13A8F" w:rsidP="00B63EF8">
      <w:pPr>
        <w:rPr>
          <w:rFonts w:asciiTheme="minorHAnsi" w:hAnsiTheme="minorHAnsi" w:cstheme="minorHAnsi"/>
          <w:sz w:val="24"/>
          <w:szCs w:val="24"/>
        </w:rPr>
      </w:pPr>
      <w:r w:rsidRPr="008A7ECE">
        <w:rPr>
          <w:rFonts w:asciiTheme="minorHAnsi" w:hAnsiTheme="minorHAnsi" w:cstheme="minorHAnsi"/>
          <w:b/>
          <w:bCs/>
          <w:sz w:val="24"/>
          <w:szCs w:val="24"/>
        </w:rPr>
        <w:t xml:space="preserve">4.2.8 </w:t>
      </w:r>
      <w:r w:rsidR="0085379A">
        <w:rPr>
          <w:rFonts w:asciiTheme="minorHAnsi" w:hAnsiTheme="minorHAnsi" w:cstheme="minorHAnsi"/>
          <w:b/>
          <w:bCs/>
          <w:sz w:val="24"/>
          <w:szCs w:val="24"/>
        </w:rPr>
        <w:t xml:space="preserve"> </w:t>
      </w:r>
      <w:r w:rsidR="00F33667" w:rsidRPr="008A7ECE">
        <w:rPr>
          <w:rFonts w:asciiTheme="minorHAnsi" w:hAnsiTheme="minorHAnsi" w:cstheme="minorHAnsi"/>
          <w:sz w:val="24"/>
          <w:szCs w:val="24"/>
        </w:rPr>
        <w:t>A</w:t>
      </w:r>
      <w:r w:rsidR="00895AD6" w:rsidRPr="008A7ECE">
        <w:rPr>
          <w:rFonts w:asciiTheme="minorHAnsi" w:hAnsiTheme="minorHAnsi" w:cstheme="minorHAnsi"/>
          <w:sz w:val="24"/>
          <w:szCs w:val="24"/>
        </w:rPr>
        <w:t>n insurer should work out a person’s future treatment and care expenses based on the reasonable cost of treatment and care in the location the foreign national intends to reside in, or if the treatment is not available in that location, in a nearby location or country.  An insurer should only include</w:t>
      </w:r>
      <w:r w:rsidR="007402F7" w:rsidRPr="008A7ECE">
        <w:rPr>
          <w:rFonts w:asciiTheme="minorHAnsi" w:hAnsiTheme="minorHAnsi" w:cstheme="minorHAnsi"/>
          <w:sz w:val="24"/>
          <w:szCs w:val="24"/>
        </w:rPr>
        <w:t xml:space="preserve"> reasonable and necessary</w:t>
      </w:r>
      <w:r w:rsidR="006F1DBA" w:rsidRPr="008A7ECE">
        <w:rPr>
          <w:rFonts w:asciiTheme="minorHAnsi" w:hAnsiTheme="minorHAnsi" w:cstheme="minorHAnsi"/>
          <w:sz w:val="24"/>
          <w:szCs w:val="24"/>
        </w:rPr>
        <w:t xml:space="preserve"> </w:t>
      </w:r>
      <w:r w:rsidR="002E31DA" w:rsidRPr="008A7ECE">
        <w:rPr>
          <w:rFonts w:asciiTheme="minorHAnsi" w:hAnsiTheme="minorHAnsi" w:cstheme="minorHAnsi"/>
          <w:sz w:val="24"/>
          <w:szCs w:val="24"/>
        </w:rPr>
        <w:t>treatment</w:t>
      </w:r>
      <w:r w:rsidR="00895AD6" w:rsidRPr="008A7ECE">
        <w:rPr>
          <w:rFonts w:asciiTheme="minorHAnsi" w:hAnsiTheme="minorHAnsi" w:cstheme="minorHAnsi"/>
          <w:sz w:val="24"/>
          <w:szCs w:val="24"/>
        </w:rPr>
        <w:t xml:space="preserve"> and care expenses</w:t>
      </w:r>
      <w:r w:rsidR="007402F7" w:rsidRPr="008A7ECE">
        <w:rPr>
          <w:rFonts w:asciiTheme="minorHAnsi" w:hAnsiTheme="minorHAnsi" w:cstheme="minorHAnsi"/>
          <w:sz w:val="24"/>
          <w:szCs w:val="24"/>
        </w:rPr>
        <w:t xml:space="preserve"> in the calculation. </w:t>
      </w:r>
      <w:r w:rsidR="00895AD6" w:rsidRPr="008A7ECE">
        <w:rPr>
          <w:rFonts w:asciiTheme="minorHAnsi" w:hAnsiTheme="minorHAnsi" w:cstheme="minorHAnsi"/>
          <w:sz w:val="24"/>
          <w:szCs w:val="24"/>
        </w:rPr>
        <w:t>An insurer should not include any amounts for treatment otherwise covered by the public health system in the new location, or</w:t>
      </w:r>
      <w:r w:rsidR="00A66C59" w:rsidRPr="008A7ECE">
        <w:rPr>
          <w:rFonts w:asciiTheme="minorHAnsi" w:hAnsiTheme="minorHAnsi" w:cstheme="minorHAnsi"/>
          <w:sz w:val="24"/>
          <w:szCs w:val="24"/>
        </w:rPr>
        <w:t xml:space="preserve"> for</w:t>
      </w:r>
      <w:r w:rsidR="00895AD6" w:rsidRPr="008A7ECE">
        <w:rPr>
          <w:rFonts w:asciiTheme="minorHAnsi" w:hAnsiTheme="minorHAnsi" w:cstheme="minorHAnsi"/>
          <w:sz w:val="24"/>
          <w:szCs w:val="24"/>
        </w:rPr>
        <w:t xml:space="preserve"> expenses of a non-medical nature including domestic services</w:t>
      </w:r>
      <w:r w:rsidR="009F2E6A" w:rsidRPr="008A7ECE">
        <w:rPr>
          <w:rFonts w:asciiTheme="minorHAnsi" w:hAnsiTheme="minorHAnsi" w:cstheme="minorHAnsi"/>
          <w:sz w:val="24"/>
          <w:szCs w:val="24"/>
        </w:rPr>
        <w:t>,</w:t>
      </w:r>
      <w:r w:rsidR="00414081" w:rsidRPr="008A7ECE">
        <w:rPr>
          <w:rFonts w:asciiTheme="minorHAnsi" w:hAnsiTheme="minorHAnsi" w:cstheme="minorHAnsi"/>
          <w:sz w:val="24"/>
          <w:szCs w:val="24"/>
        </w:rPr>
        <w:t xml:space="preserve"> </w:t>
      </w:r>
      <w:r w:rsidR="009F2E6A" w:rsidRPr="008A7ECE">
        <w:rPr>
          <w:rFonts w:asciiTheme="minorHAnsi" w:hAnsiTheme="minorHAnsi" w:cstheme="minorHAnsi"/>
          <w:sz w:val="24"/>
          <w:szCs w:val="24"/>
        </w:rPr>
        <w:t>travel expenses</w:t>
      </w:r>
      <w:r w:rsidR="00895AD6" w:rsidRPr="008A7ECE">
        <w:rPr>
          <w:rFonts w:asciiTheme="minorHAnsi" w:hAnsiTheme="minorHAnsi" w:cstheme="minorHAnsi"/>
          <w:sz w:val="24"/>
          <w:szCs w:val="24"/>
        </w:rPr>
        <w:t xml:space="preserve"> or home modifications. </w:t>
      </w:r>
    </w:p>
    <w:p w14:paraId="7B4832D8" w14:textId="77777777" w:rsidR="00895AD6" w:rsidRPr="008A7ECE" w:rsidRDefault="00895AD6" w:rsidP="00D13A8F">
      <w:pPr>
        <w:pStyle w:val="ListParagraph"/>
        <w:ind w:left="432" w:hanging="432"/>
        <w:rPr>
          <w:rFonts w:asciiTheme="minorHAnsi" w:hAnsiTheme="minorHAnsi" w:cstheme="minorHAnsi"/>
          <w:sz w:val="24"/>
          <w:szCs w:val="24"/>
        </w:rPr>
      </w:pPr>
    </w:p>
    <w:p w14:paraId="1BD37E8F" w14:textId="07102522" w:rsidR="00895AD6" w:rsidRPr="008A7ECE" w:rsidRDefault="00D13A8F" w:rsidP="00B63EF8">
      <w:pPr>
        <w:rPr>
          <w:rFonts w:asciiTheme="minorHAnsi" w:hAnsiTheme="minorHAnsi" w:cstheme="minorHAnsi"/>
          <w:sz w:val="24"/>
          <w:szCs w:val="24"/>
        </w:rPr>
      </w:pPr>
      <w:r w:rsidRPr="008A7ECE">
        <w:rPr>
          <w:rFonts w:asciiTheme="minorHAnsi" w:hAnsiTheme="minorHAnsi" w:cstheme="minorHAnsi"/>
          <w:b/>
          <w:bCs/>
          <w:sz w:val="24"/>
          <w:szCs w:val="24"/>
        </w:rPr>
        <w:t xml:space="preserve">4.2.9 </w:t>
      </w:r>
      <w:r w:rsidR="0085379A">
        <w:rPr>
          <w:rFonts w:asciiTheme="minorHAnsi" w:hAnsiTheme="minorHAnsi" w:cstheme="minorHAnsi"/>
          <w:b/>
          <w:bCs/>
          <w:sz w:val="24"/>
          <w:szCs w:val="24"/>
        </w:rPr>
        <w:t xml:space="preserve"> </w:t>
      </w:r>
      <w:r w:rsidR="007402F7" w:rsidRPr="008A7ECE">
        <w:rPr>
          <w:rFonts w:asciiTheme="minorHAnsi" w:hAnsiTheme="minorHAnsi" w:cstheme="minorHAnsi"/>
          <w:sz w:val="24"/>
          <w:szCs w:val="24"/>
        </w:rPr>
        <w:t xml:space="preserve">Future income replacement payments </w:t>
      </w:r>
      <w:r w:rsidR="009F2E6A" w:rsidRPr="008A7ECE">
        <w:rPr>
          <w:rFonts w:asciiTheme="minorHAnsi" w:hAnsiTheme="minorHAnsi" w:cstheme="minorHAnsi"/>
          <w:sz w:val="24"/>
          <w:szCs w:val="24"/>
        </w:rPr>
        <w:t>are to</w:t>
      </w:r>
      <w:r w:rsidR="007402F7" w:rsidRPr="008A7ECE">
        <w:rPr>
          <w:rFonts w:asciiTheme="minorHAnsi" w:hAnsiTheme="minorHAnsi" w:cstheme="minorHAnsi"/>
          <w:sz w:val="24"/>
          <w:szCs w:val="24"/>
        </w:rPr>
        <w:t xml:space="preserve"> be based on the income replacement benefit entitlements the person</w:t>
      </w:r>
      <w:r w:rsidR="00557FBA" w:rsidRPr="008A7ECE">
        <w:rPr>
          <w:rFonts w:asciiTheme="minorHAnsi" w:hAnsiTheme="minorHAnsi" w:cstheme="minorHAnsi"/>
          <w:sz w:val="24"/>
          <w:szCs w:val="24"/>
        </w:rPr>
        <w:t xml:space="preserve"> was </w:t>
      </w:r>
      <w:r w:rsidR="008A2259" w:rsidRPr="008A7ECE">
        <w:rPr>
          <w:rFonts w:asciiTheme="minorHAnsi" w:hAnsiTheme="minorHAnsi" w:cstheme="minorHAnsi"/>
          <w:sz w:val="24"/>
          <w:szCs w:val="24"/>
        </w:rPr>
        <w:t>being paid</w:t>
      </w:r>
      <w:r w:rsidR="00557FBA" w:rsidRPr="008A7ECE">
        <w:rPr>
          <w:rFonts w:asciiTheme="minorHAnsi" w:hAnsiTheme="minorHAnsi" w:cstheme="minorHAnsi"/>
          <w:sz w:val="24"/>
          <w:szCs w:val="24"/>
        </w:rPr>
        <w:t xml:space="preserve"> prior to their departure</w:t>
      </w:r>
      <w:r w:rsidR="008A2259" w:rsidRPr="008A7ECE">
        <w:rPr>
          <w:rFonts w:asciiTheme="minorHAnsi" w:hAnsiTheme="minorHAnsi" w:cstheme="minorHAnsi"/>
          <w:sz w:val="24"/>
          <w:szCs w:val="24"/>
        </w:rPr>
        <w:t xml:space="preserve"> </w:t>
      </w:r>
      <w:r w:rsidR="00557FBA" w:rsidRPr="008A7ECE">
        <w:rPr>
          <w:rFonts w:asciiTheme="minorHAnsi" w:hAnsiTheme="minorHAnsi" w:cstheme="minorHAnsi"/>
          <w:sz w:val="24"/>
          <w:szCs w:val="24"/>
        </w:rPr>
        <w:t>from</w:t>
      </w:r>
      <w:r w:rsidR="007402F7" w:rsidRPr="008A7ECE">
        <w:rPr>
          <w:rFonts w:asciiTheme="minorHAnsi" w:hAnsiTheme="minorHAnsi" w:cstheme="minorHAnsi"/>
          <w:sz w:val="24"/>
          <w:szCs w:val="24"/>
        </w:rPr>
        <w:t xml:space="preserve"> Australia</w:t>
      </w:r>
      <w:r w:rsidR="008A2259" w:rsidRPr="008A7ECE">
        <w:rPr>
          <w:rFonts w:asciiTheme="minorHAnsi" w:hAnsiTheme="minorHAnsi" w:cstheme="minorHAnsi"/>
          <w:sz w:val="24"/>
          <w:szCs w:val="24"/>
        </w:rPr>
        <w:t>, using the formulas in section 96 and 97 of the MAI Act</w:t>
      </w:r>
      <w:r w:rsidR="007402F7" w:rsidRPr="008A7ECE">
        <w:rPr>
          <w:rFonts w:asciiTheme="minorHAnsi" w:hAnsiTheme="minorHAnsi" w:cstheme="minorHAnsi"/>
          <w:sz w:val="24"/>
          <w:szCs w:val="24"/>
        </w:rPr>
        <w:t>. The</w:t>
      </w:r>
      <w:r w:rsidR="00A66C59" w:rsidRPr="008A7ECE">
        <w:rPr>
          <w:rFonts w:asciiTheme="minorHAnsi" w:hAnsiTheme="minorHAnsi" w:cstheme="minorHAnsi"/>
          <w:sz w:val="24"/>
          <w:szCs w:val="24"/>
        </w:rPr>
        <w:t xml:space="preserve"> present value of the payments should also</w:t>
      </w:r>
      <w:r w:rsidR="00895AD6" w:rsidRPr="008A7ECE">
        <w:rPr>
          <w:rFonts w:asciiTheme="minorHAnsi" w:hAnsiTheme="minorHAnsi" w:cstheme="minorHAnsi"/>
          <w:sz w:val="24"/>
          <w:szCs w:val="24"/>
        </w:rPr>
        <w:t xml:space="preserve"> only cover any period that the person is likely to </w:t>
      </w:r>
      <w:r w:rsidR="009F2E6A" w:rsidRPr="008A7ECE">
        <w:rPr>
          <w:rFonts w:asciiTheme="minorHAnsi" w:hAnsiTheme="minorHAnsi" w:cstheme="minorHAnsi"/>
          <w:sz w:val="24"/>
          <w:szCs w:val="24"/>
        </w:rPr>
        <w:t>have no capacity</w:t>
      </w:r>
      <w:r w:rsidR="00E512A7" w:rsidRPr="008A7ECE">
        <w:rPr>
          <w:rFonts w:asciiTheme="minorHAnsi" w:hAnsiTheme="minorHAnsi" w:cstheme="minorHAnsi"/>
          <w:sz w:val="24"/>
          <w:szCs w:val="24"/>
        </w:rPr>
        <w:t xml:space="preserve"> </w:t>
      </w:r>
      <w:r w:rsidR="009F2E6A" w:rsidRPr="008A7ECE">
        <w:rPr>
          <w:rFonts w:asciiTheme="minorHAnsi" w:hAnsiTheme="minorHAnsi" w:cstheme="minorHAnsi"/>
          <w:sz w:val="24"/>
          <w:szCs w:val="24"/>
        </w:rPr>
        <w:t>to</w:t>
      </w:r>
      <w:r w:rsidR="00895AD6" w:rsidRPr="008A7ECE">
        <w:rPr>
          <w:rFonts w:asciiTheme="minorHAnsi" w:hAnsiTheme="minorHAnsi" w:cstheme="minorHAnsi"/>
          <w:sz w:val="24"/>
          <w:szCs w:val="24"/>
        </w:rPr>
        <w:t xml:space="preserve"> do any paid work in the</w:t>
      </w:r>
      <w:r w:rsidR="00544C9B" w:rsidRPr="008A7ECE">
        <w:rPr>
          <w:rFonts w:asciiTheme="minorHAnsi" w:hAnsiTheme="minorHAnsi" w:cstheme="minorHAnsi"/>
          <w:sz w:val="24"/>
          <w:szCs w:val="24"/>
        </w:rPr>
        <w:t xml:space="preserve"> country </w:t>
      </w:r>
      <w:r w:rsidR="009F2E6A" w:rsidRPr="008A7ECE">
        <w:rPr>
          <w:rFonts w:asciiTheme="minorHAnsi" w:hAnsiTheme="minorHAnsi" w:cstheme="minorHAnsi"/>
          <w:sz w:val="24"/>
          <w:szCs w:val="24"/>
        </w:rPr>
        <w:t>they</w:t>
      </w:r>
      <w:r w:rsidR="00544C9B" w:rsidRPr="008A7ECE">
        <w:rPr>
          <w:rFonts w:asciiTheme="minorHAnsi" w:hAnsiTheme="minorHAnsi" w:cstheme="minorHAnsi"/>
          <w:sz w:val="24"/>
          <w:szCs w:val="24"/>
        </w:rPr>
        <w:t xml:space="preserve"> intend</w:t>
      </w:r>
      <w:r w:rsidR="00D4404C" w:rsidRPr="008A7ECE">
        <w:rPr>
          <w:rFonts w:asciiTheme="minorHAnsi" w:hAnsiTheme="minorHAnsi" w:cstheme="minorHAnsi"/>
          <w:sz w:val="24"/>
          <w:szCs w:val="24"/>
        </w:rPr>
        <w:t xml:space="preserve"> to</w:t>
      </w:r>
      <w:r w:rsidR="009F2E6A" w:rsidRPr="008A7ECE">
        <w:rPr>
          <w:rFonts w:asciiTheme="minorHAnsi" w:hAnsiTheme="minorHAnsi" w:cstheme="minorHAnsi"/>
          <w:sz w:val="24"/>
          <w:szCs w:val="24"/>
        </w:rPr>
        <w:t xml:space="preserve"> reside in</w:t>
      </w:r>
      <w:r w:rsidR="00895AD6" w:rsidRPr="008A7ECE">
        <w:rPr>
          <w:rFonts w:asciiTheme="minorHAnsi" w:hAnsiTheme="minorHAnsi" w:cstheme="minorHAnsi"/>
          <w:sz w:val="24"/>
          <w:szCs w:val="24"/>
        </w:rPr>
        <w:t xml:space="preserve"> and should be reduced by any unemployment or sickness benefits</w:t>
      </w:r>
      <w:r w:rsidR="008A2259" w:rsidRPr="008A7ECE">
        <w:rPr>
          <w:rFonts w:asciiTheme="minorHAnsi" w:hAnsiTheme="minorHAnsi" w:cstheme="minorHAnsi"/>
          <w:sz w:val="24"/>
          <w:szCs w:val="24"/>
        </w:rPr>
        <w:t xml:space="preserve"> (this should be considered post-injury earning capacity for the purposes of the calculation)</w:t>
      </w:r>
      <w:r w:rsidR="00895AD6" w:rsidRPr="008A7ECE">
        <w:rPr>
          <w:rFonts w:asciiTheme="minorHAnsi" w:hAnsiTheme="minorHAnsi" w:cstheme="minorHAnsi"/>
          <w:sz w:val="24"/>
          <w:szCs w:val="24"/>
        </w:rPr>
        <w:t xml:space="preserve"> the person may otherwise be entitled to in their new location.</w:t>
      </w:r>
    </w:p>
    <w:p w14:paraId="56CBEFCE" w14:textId="68BBA7C6" w:rsidR="00B52406" w:rsidRPr="008A7ECE" w:rsidRDefault="00B52406" w:rsidP="00895AD6">
      <w:pPr>
        <w:pStyle w:val="ListParagraph"/>
        <w:ind w:left="432" w:firstLine="0"/>
        <w:rPr>
          <w:rFonts w:asciiTheme="minorHAnsi" w:hAnsiTheme="minorHAnsi" w:cstheme="minorHAnsi"/>
          <w:sz w:val="24"/>
          <w:szCs w:val="24"/>
        </w:rPr>
      </w:pPr>
    </w:p>
    <w:p w14:paraId="032F1230" w14:textId="2786D9E5" w:rsidR="00B52406" w:rsidRPr="008A7ECE" w:rsidRDefault="00D13A8F" w:rsidP="00B63EF8">
      <w:pPr>
        <w:rPr>
          <w:rFonts w:asciiTheme="minorHAnsi" w:hAnsiTheme="minorHAnsi" w:cstheme="minorHAnsi"/>
          <w:sz w:val="24"/>
          <w:szCs w:val="24"/>
        </w:rPr>
      </w:pPr>
      <w:r w:rsidRPr="008A7ECE">
        <w:rPr>
          <w:rFonts w:asciiTheme="minorHAnsi" w:hAnsiTheme="minorHAnsi" w:cstheme="minorHAnsi"/>
          <w:b/>
          <w:bCs/>
          <w:sz w:val="24"/>
          <w:szCs w:val="24"/>
        </w:rPr>
        <w:t xml:space="preserve">4.2.10 </w:t>
      </w:r>
      <w:r w:rsidR="0085379A">
        <w:rPr>
          <w:rFonts w:asciiTheme="minorHAnsi" w:hAnsiTheme="minorHAnsi" w:cstheme="minorHAnsi"/>
          <w:b/>
          <w:bCs/>
          <w:sz w:val="24"/>
          <w:szCs w:val="24"/>
        </w:rPr>
        <w:t xml:space="preserve"> </w:t>
      </w:r>
      <w:r w:rsidR="00B52406" w:rsidRPr="008A7ECE">
        <w:rPr>
          <w:rFonts w:asciiTheme="minorHAnsi" w:hAnsiTheme="minorHAnsi" w:cstheme="minorHAnsi"/>
          <w:sz w:val="24"/>
          <w:szCs w:val="24"/>
        </w:rPr>
        <w:t xml:space="preserve">Any expenses or amounts in foreign currency are to be converted into Australian dollars using the Reserve Bank of Australia (RBA) exchange rate last published on the RBA website for a </w:t>
      </w:r>
      <w:r w:rsidR="00A52D2D" w:rsidRPr="008A7ECE">
        <w:rPr>
          <w:rFonts w:asciiTheme="minorHAnsi" w:hAnsiTheme="minorHAnsi" w:cstheme="minorHAnsi"/>
          <w:sz w:val="24"/>
          <w:szCs w:val="24"/>
        </w:rPr>
        <w:t>business day (other than a bank holiday)</w:t>
      </w:r>
      <w:r w:rsidR="00B52406" w:rsidRPr="008A7ECE">
        <w:rPr>
          <w:rFonts w:asciiTheme="minorHAnsi" w:hAnsiTheme="minorHAnsi" w:cstheme="minorHAnsi"/>
          <w:sz w:val="24"/>
          <w:szCs w:val="24"/>
        </w:rPr>
        <w:t xml:space="preserve"> immediately prior to the date the lump sum application was received by the insurer.</w:t>
      </w:r>
    </w:p>
    <w:p w14:paraId="1BAAF19E" w14:textId="0D8FC08E" w:rsidR="00895AD6" w:rsidRPr="008A7ECE" w:rsidRDefault="00B52406" w:rsidP="00B63EF8">
      <w:pPr>
        <w:pStyle w:val="ListParagraph"/>
        <w:ind w:left="432" w:firstLine="0"/>
        <w:rPr>
          <w:rFonts w:asciiTheme="minorHAnsi" w:hAnsiTheme="minorHAnsi" w:cstheme="minorHAnsi"/>
          <w:sz w:val="24"/>
          <w:szCs w:val="24"/>
        </w:rPr>
      </w:pPr>
      <w:r w:rsidRPr="008A7ECE">
        <w:rPr>
          <w:rFonts w:asciiTheme="minorHAnsi" w:hAnsiTheme="minorHAnsi" w:cstheme="minorHAnsi"/>
          <w:sz w:val="24"/>
          <w:szCs w:val="24"/>
        </w:rPr>
        <w:t xml:space="preserve"> </w:t>
      </w:r>
    </w:p>
    <w:p w14:paraId="1C9AFB97" w14:textId="7B61F3E4" w:rsidR="00895AD6" w:rsidRPr="008A7ECE" w:rsidRDefault="00D13A8F" w:rsidP="00895AD6">
      <w:pPr>
        <w:rPr>
          <w:rFonts w:asciiTheme="minorHAnsi" w:hAnsiTheme="minorHAnsi" w:cstheme="minorHAnsi"/>
          <w:sz w:val="24"/>
          <w:szCs w:val="24"/>
        </w:rPr>
      </w:pPr>
      <w:r w:rsidRPr="008A7ECE">
        <w:rPr>
          <w:rFonts w:asciiTheme="minorHAnsi" w:hAnsiTheme="minorHAnsi" w:cstheme="minorHAnsi"/>
          <w:b/>
          <w:bCs/>
          <w:sz w:val="24"/>
          <w:szCs w:val="24"/>
        </w:rPr>
        <w:t xml:space="preserve">4.2.11 </w:t>
      </w:r>
      <w:r w:rsidR="0085379A">
        <w:rPr>
          <w:rFonts w:asciiTheme="minorHAnsi" w:hAnsiTheme="minorHAnsi" w:cstheme="minorHAnsi"/>
          <w:b/>
          <w:bCs/>
          <w:sz w:val="24"/>
          <w:szCs w:val="24"/>
        </w:rPr>
        <w:t xml:space="preserve"> </w:t>
      </w:r>
      <w:r w:rsidR="00895AD6" w:rsidRPr="008A7ECE">
        <w:rPr>
          <w:rFonts w:asciiTheme="minorHAnsi" w:hAnsiTheme="minorHAnsi" w:cstheme="minorHAnsi"/>
          <w:sz w:val="24"/>
          <w:szCs w:val="24"/>
        </w:rPr>
        <w:t>If the lump sum amount</w:t>
      </w:r>
      <w:r w:rsidR="008959B7" w:rsidRPr="008A7ECE">
        <w:rPr>
          <w:rFonts w:asciiTheme="minorHAnsi" w:hAnsiTheme="minorHAnsi" w:cstheme="minorHAnsi"/>
          <w:sz w:val="24"/>
          <w:szCs w:val="24"/>
        </w:rPr>
        <w:t xml:space="preserve"> calculated</w:t>
      </w:r>
      <w:r w:rsidR="00895AD6" w:rsidRPr="008A7ECE">
        <w:rPr>
          <w:rFonts w:asciiTheme="minorHAnsi" w:hAnsiTheme="minorHAnsi" w:cstheme="minorHAnsi"/>
          <w:sz w:val="24"/>
          <w:szCs w:val="24"/>
        </w:rPr>
        <w:t xml:space="preserve"> is less than $10,000</w:t>
      </w:r>
      <w:r w:rsidR="00BE7D17" w:rsidRPr="008A7ECE">
        <w:rPr>
          <w:rFonts w:asciiTheme="minorHAnsi" w:hAnsiTheme="minorHAnsi" w:cstheme="minorHAnsi"/>
          <w:sz w:val="24"/>
          <w:szCs w:val="24"/>
        </w:rPr>
        <w:t xml:space="preserve"> </w:t>
      </w:r>
      <w:r w:rsidR="009F2E6A" w:rsidRPr="008A7ECE">
        <w:rPr>
          <w:rFonts w:asciiTheme="minorHAnsi" w:hAnsiTheme="minorHAnsi" w:cstheme="minorHAnsi"/>
          <w:sz w:val="24"/>
          <w:szCs w:val="24"/>
        </w:rPr>
        <w:t>A</w:t>
      </w:r>
      <w:r w:rsidR="00BE7D17" w:rsidRPr="008A7ECE">
        <w:rPr>
          <w:rFonts w:asciiTheme="minorHAnsi" w:hAnsiTheme="minorHAnsi" w:cstheme="minorHAnsi"/>
          <w:sz w:val="24"/>
          <w:szCs w:val="24"/>
        </w:rPr>
        <w:t>ustralian dollars</w:t>
      </w:r>
      <w:r w:rsidR="00895AD6" w:rsidRPr="008A7ECE">
        <w:rPr>
          <w:rFonts w:asciiTheme="minorHAnsi" w:hAnsiTheme="minorHAnsi" w:cstheme="minorHAnsi"/>
          <w:sz w:val="24"/>
          <w:szCs w:val="24"/>
        </w:rPr>
        <w:t xml:space="preserve"> then the person is not eligible for a lump sum payment.</w:t>
      </w:r>
      <w:r w:rsidR="00C136C9" w:rsidRPr="008A7ECE">
        <w:rPr>
          <w:rFonts w:asciiTheme="minorHAnsi" w:hAnsiTheme="minorHAnsi" w:cstheme="minorHAnsi"/>
          <w:sz w:val="24"/>
          <w:szCs w:val="24"/>
        </w:rPr>
        <w:t xml:space="preserve">  </w:t>
      </w:r>
    </w:p>
    <w:p w14:paraId="00B2844F" w14:textId="77777777" w:rsidR="00895AD6" w:rsidRPr="008A7ECE" w:rsidRDefault="00895AD6" w:rsidP="00895AD6">
      <w:pPr>
        <w:widowControl/>
        <w:autoSpaceDE/>
        <w:autoSpaceDN/>
        <w:spacing w:after="160" w:line="259" w:lineRule="auto"/>
        <w:rPr>
          <w:rFonts w:asciiTheme="minorHAnsi" w:hAnsiTheme="minorHAnsi" w:cstheme="minorHAnsi"/>
          <w:sz w:val="24"/>
          <w:szCs w:val="24"/>
        </w:rPr>
      </w:pPr>
    </w:p>
    <w:sectPr w:rsidR="00895AD6" w:rsidRPr="008A7ECE" w:rsidSect="0085379A">
      <w:headerReference w:type="first" r:id="rId14"/>
      <w:footerReference w:type="first" r:id="rId15"/>
      <w:pgSz w:w="11910" w:h="16840"/>
      <w:pgMar w:top="1440" w:right="1440" w:bottom="1440" w:left="1418" w:header="737" w:footer="7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6C24" w14:textId="77777777" w:rsidR="0029435D" w:rsidRDefault="003C6296">
      <w:r>
        <w:separator/>
      </w:r>
    </w:p>
  </w:endnote>
  <w:endnote w:type="continuationSeparator" w:id="0">
    <w:p w14:paraId="704FDCA6" w14:textId="77777777" w:rsidR="0029435D" w:rsidRDefault="003C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443A" w14:textId="77777777" w:rsidR="004C6960" w:rsidRDefault="004C6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929218"/>
      <w:docPartObj>
        <w:docPartGallery w:val="Page Numbers (Bottom of Page)"/>
        <w:docPartUnique/>
      </w:docPartObj>
    </w:sdtPr>
    <w:sdtEndPr>
      <w:rPr>
        <w:noProof/>
      </w:rPr>
    </w:sdtEndPr>
    <w:sdtContent>
      <w:p w14:paraId="5E55CB65" w14:textId="78E3A298" w:rsidR="00A86443" w:rsidRDefault="00A864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C9D9D7" w14:textId="4A84CCF0" w:rsidR="00AC7976" w:rsidRPr="004C6960" w:rsidRDefault="004C6960" w:rsidP="004C6960">
    <w:pPr>
      <w:pStyle w:val="Footer"/>
      <w:spacing w:before="120"/>
      <w:jc w:val="center"/>
      <w:rPr>
        <w:sz w:val="14"/>
        <w:szCs w:val="14"/>
      </w:rPr>
    </w:pPr>
    <w:r w:rsidRPr="004C6960">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5ED" w14:textId="07650BDD" w:rsidR="004C6960" w:rsidRPr="004C6960" w:rsidRDefault="004C6960" w:rsidP="004C6960">
    <w:pPr>
      <w:pStyle w:val="Footer"/>
      <w:jc w:val="center"/>
      <w:rPr>
        <w:sz w:val="14"/>
      </w:rPr>
    </w:pPr>
    <w:r w:rsidRPr="004C6960">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9949" w14:textId="0629928E" w:rsidR="00E959D3" w:rsidRPr="004C6960" w:rsidRDefault="004C6960" w:rsidP="004C6960">
    <w:pPr>
      <w:pStyle w:val="Footer"/>
      <w:jc w:val="center"/>
      <w:rPr>
        <w:sz w:val="14"/>
      </w:rPr>
    </w:pPr>
    <w:r w:rsidRPr="004C6960">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91C3C" w14:textId="77777777" w:rsidR="0029435D" w:rsidRDefault="003C6296">
      <w:r>
        <w:separator/>
      </w:r>
    </w:p>
  </w:footnote>
  <w:footnote w:type="continuationSeparator" w:id="0">
    <w:p w14:paraId="6807B943" w14:textId="77777777" w:rsidR="0029435D" w:rsidRDefault="003C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9EE8" w14:textId="77777777" w:rsidR="004C6960" w:rsidRDefault="004C6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C4A8" w14:textId="77777777" w:rsidR="004C6960" w:rsidRDefault="004C6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E603" w14:textId="77777777" w:rsidR="004C6960" w:rsidRDefault="004C69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1C6B" w14:textId="77777777" w:rsidR="00E959D3" w:rsidRDefault="00E959D3">
    <w:pPr>
      <w:pStyle w:val="Header"/>
    </w:pPr>
    <w:r>
      <w:rPr>
        <w:noProof/>
      </w:rPr>
      <w:drawing>
        <wp:inline distT="0" distB="0" distL="0" distR="0" wp14:anchorId="16E522DE" wp14:editId="6F776AFF">
          <wp:extent cx="3045600" cy="54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238"/>
    <w:multiLevelType w:val="hybridMultilevel"/>
    <w:tmpl w:val="C1323914"/>
    <w:lvl w:ilvl="0" w:tplc="0C090001">
      <w:start w:val="1"/>
      <w:numFmt w:val="bullet"/>
      <w:lvlText w:val=""/>
      <w:lvlJc w:val="left"/>
      <w:pPr>
        <w:ind w:left="969" w:hanging="360"/>
      </w:pPr>
      <w:rPr>
        <w:rFonts w:ascii="Symbol" w:hAnsi="Symbol" w:hint="default"/>
      </w:rPr>
    </w:lvl>
    <w:lvl w:ilvl="1" w:tplc="0C090003">
      <w:start w:val="1"/>
      <w:numFmt w:val="bullet"/>
      <w:lvlText w:val="o"/>
      <w:lvlJc w:val="left"/>
      <w:pPr>
        <w:ind w:left="1689" w:hanging="360"/>
      </w:pPr>
      <w:rPr>
        <w:rFonts w:ascii="Courier New" w:hAnsi="Courier New" w:cs="Courier New" w:hint="default"/>
      </w:rPr>
    </w:lvl>
    <w:lvl w:ilvl="2" w:tplc="0C090005">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1" w15:restartNumberingAfterBreak="0">
    <w:nsid w:val="123E07F3"/>
    <w:multiLevelType w:val="hybridMultilevel"/>
    <w:tmpl w:val="354C2352"/>
    <w:lvl w:ilvl="0" w:tplc="0C090001">
      <w:start w:val="1"/>
      <w:numFmt w:val="bullet"/>
      <w:lvlText w:val=""/>
      <w:lvlJc w:val="left"/>
      <w:pPr>
        <w:ind w:left="969" w:hanging="360"/>
      </w:pPr>
      <w:rPr>
        <w:rFonts w:ascii="Symbol" w:hAnsi="Symbol" w:hint="default"/>
      </w:rPr>
    </w:lvl>
    <w:lvl w:ilvl="1" w:tplc="0C090003">
      <w:start w:val="1"/>
      <w:numFmt w:val="bullet"/>
      <w:lvlText w:val="o"/>
      <w:lvlJc w:val="left"/>
      <w:pPr>
        <w:ind w:left="1689" w:hanging="360"/>
      </w:pPr>
      <w:rPr>
        <w:rFonts w:ascii="Courier New" w:hAnsi="Courier New" w:cs="Courier New" w:hint="default"/>
      </w:rPr>
    </w:lvl>
    <w:lvl w:ilvl="2" w:tplc="0C090005">
      <w:start w:val="1"/>
      <w:numFmt w:val="bullet"/>
      <w:lvlText w:val=""/>
      <w:lvlJc w:val="left"/>
      <w:pPr>
        <w:ind w:left="2409" w:hanging="360"/>
      </w:pPr>
      <w:rPr>
        <w:rFonts w:ascii="Wingdings" w:hAnsi="Wingdings" w:hint="default"/>
      </w:rPr>
    </w:lvl>
    <w:lvl w:ilvl="3" w:tplc="0C09000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2" w15:restartNumberingAfterBreak="0">
    <w:nsid w:val="127C5014"/>
    <w:multiLevelType w:val="hybridMultilevel"/>
    <w:tmpl w:val="9EF23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E6FB6"/>
    <w:multiLevelType w:val="hybridMultilevel"/>
    <w:tmpl w:val="080CF31E"/>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4" w15:restartNumberingAfterBreak="0">
    <w:nsid w:val="184C4C73"/>
    <w:multiLevelType w:val="multilevel"/>
    <w:tmpl w:val="95462566"/>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6964A9"/>
    <w:multiLevelType w:val="hybridMultilevel"/>
    <w:tmpl w:val="0622BAF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228D416A"/>
    <w:multiLevelType w:val="multilevel"/>
    <w:tmpl w:val="7FF8C9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A12A3C"/>
    <w:multiLevelType w:val="hybridMultilevel"/>
    <w:tmpl w:val="F04C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3C5502"/>
    <w:multiLevelType w:val="hybridMultilevel"/>
    <w:tmpl w:val="D514178E"/>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9" w15:restartNumberingAfterBreak="0">
    <w:nsid w:val="38D630A2"/>
    <w:multiLevelType w:val="hybridMultilevel"/>
    <w:tmpl w:val="234A2362"/>
    <w:lvl w:ilvl="0" w:tplc="CC30DB54">
      <w:start w:val="1"/>
      <w:numFmt w:val="decimal"/>
      <w:lvlText w:val="%1."/>
      <w:lvlJc w:val="left"/>
      <w:pPr>
        <w:ind w:left="468" w:hanging="360"/>
        <w:jc w:val="right"/>
      </w:pPr>
      <w:rPr>
        <w:rFonts w:ascii="Arial" w:eastAsia="Arial" w:hAnsi="Arial" w:cs="Arial" w:hint="default"/>
        <w:b/>
        <w:bCs/>
        <w:spacing w:val="-1"/>
        <w:w w:val="100"/>
        <w:sz w:val="24"/>
        <w:szCs w:val="24"/>
      </w:rPr>
    </w:lvl>
    <w:lvl w:ilvl="1" w:tplc="D1A2BC50">
      <w:numFmt w:val="bullet"/>
      <w:lvlText w:val=""/>
      <w:lvlJc w:val="left"/>
      <w:pPr>
        <w:ind w:left="1692" w:hanging="504"/>
      </w:pPr>
      <w:rPr>
        <w:rFonts w:ascii="Symbol" w:eastAsia="Symbol" w:hAnsi="Symbol" w:cs="Symbol" w:hint="default"/>
        <w:w w:val="100"/>
        <w:sz w:val="24"/>
        <w:szCs w:val="24"/>
      </w:rPr>
    </w:lvl>
    <w:lvl w:ilvl="2" w:tplc="D57A2A7E">
      <w:numFmt w:val="bullet"/>
      <w:lvlText w:val="•"/>
      <w:lvlJc w:val="left"/>
      <w:pPr>
        <w:ind w:left="1700" w:hanging="504"/>
      </w:pPr>
      <w:rPr>
        <w:rFonts w:hint="default"/>
      </w:rPr>
    </w:lvl>
    <w:lvl w:ilvl="3" w:tplc="80722436">
      <w:numFmt w:val="bullet"/>
      <w:lvlText w:val="•"/>
      <w:lvlJc w:val="left"/>
      <w:pPr>
        <w:ind w:left="2690" w:hanging="504"/>
      </w:pPr>
      <w:rPr>
        <w:rFonts w:hint="default"/>
      </w:rPr>
    </w:lvl>
    <w:lvl w:ilvl="4" w:tplc="885CA27E">
      <w:numFmt w:val="bullet"/>
      <w:lvlText w:val="•"/>
      <w:lvlJc w:val="left"/>
      <w:pPr>
        <w:ind w:left="3681" w:hanging="504"/>
      </w:pPr>
      <w:rPr>
        <w:rFonts w:hint="default"/>
      </w:rPr>
    </w:lvl>
    <w:lvl w:ilvl="5" w:tplc="5C64BD6C">
      <w:numFmt w:val="bullet"/>
      <w:lvlText w:val="•"/>
      <w:lvlJc w:val="left"/>
      <w:pPr>
        <w:ind w:left="4672" w:hanging="504"/>
      </w:pPr>
      <w:rPr>
        <w:rFonts w:hint="default"/>
      </w:rPr>
    </w:lvl>
    <w:lvl w:ilvl="6" w:tplc="73A29552">
      <w:numFmt w:val="bullet"/>
      <w:lvlText w:val="•"/>
      <w:lvlJc w:val="left"/>
      <w:pPr>
        <w:ind w:left="5663" w:hanging="504"/>
      </w:pPr>
      <w:rPr>
        <w:rFonts w:hint="default"/>
      </w:rPr>
    </w:lvl>
    <w:lvl w:ilvl="7" w:tplc="E618C1AE">
      <w:numFmt w:val="bullet"/>
      <w:lvlText w:val="•"/>
      <w:lvlJc w:val="left"/>
      <w:pPr>
        <w:ind w:left="6654" w:hanging="504"/>
      </w:pPr>
      <w:rPr>
        <w:rFonts w:hint="default"/>
      </w:rPr>
    </w:lvl>
    <w:lvl w:ilvl="8" w:tplc="E13C63D8">
      <w:numFmt w:val="bullet"/>
      <w:lvlText w:val="•"/>
      <w:lvlJc w:val="left"/>
      <w:pPr>
        <w:ind w:left="7644" w:hanging="504"/>
      </w:pPr>
      <w:rPr>
        <w:rFonts w:hint="default"/>
      </w:rPr>
    </w:lvl>
  </w:abstractNum>
  <w:abstractNum w:abstractNumId="10" w15:restartNumberingAfterBreak="0">
    <w:nsid w:val="3D733745"/>
    <w:multiLevelType w:val="hybridMultilevel"/>
    <w:tmpl w:val="211A4F8E"/>
    <w:lvl w:ilvl="0" w:tplc="0C090001">
      <w:start w:val="1"/>
      <w:numFmt w:val="bullet"/>
      <w:lvlText w:val=""/>
      <w:lvlJc w:val="left"/>
      <w:pPr>
        <w:ind w:left="1916" w:hanging="360"/>
      </w:pPr>
      <w:rPr>
        <w:rFonts w:ascii="Symbol" w:hAnsi="Symbol" w:hint="default"/>
      </w:rPr>
    </w:lvl>
    <w:lvl w:ilvl="1" w:tplc="0C090003" w:tentative="1">
      <w:start w:val="1"/>
      <w:numFmt w:val="bullet"/>
      <w:lvlText w:val="o"/>
      <w:lvlJc w:val="left"/>
      <w:pPr>
        <w:ind w:left="2636" w:hanging="360"/>
      </w:pPr>
      <w:rPr>
        <w:rFonts w:ascii="Courier New" w:hAnsi="Courier New" w:cs="Courier New" w:hint="default"/>
      </w:rPr>
    </w:lvl>
    <w:lvl w:ilvl="2" w:tplc="0C090005" w:tentative="1">
      <w:start w:val="1"/>
      <w:numFmt w:val="bullet"/>
      <w:lvlText w:val=""/>
      <w:lvlJc w:val="left"/>
      <w:pPr>
        <w:ind w:left="3356" w:hanging="360"/>
      </w:pPr>
      <w:rPr>
        <w:rFonts w:ascii="Wingdings" w:hAnsi="Wingdings" w:hint="default"/>
      </w:rPr>
    </w:lvl>
    <w:lvl w:ilvl="3" w:tplc="0C090001" w:tentative="1">
      <w:start w:val="1"/>
      <w:numFmt w:val="bullet"/>
      <w:lvlText w:val=""/>
      <w:lvlJc w:val="left"/>
      <w:pPr>
        <w:ind w:left="4076" w:hanging="360"/>
      </w:pPr>
      <w:rPr>
        <w:rFonts w:ascii="Symbol" w:hAnsi="Symbol" w:hint="default"/>
      </w:rPr>
    </w:lvl>
    <w:lvl w:ilvl="4" w:tplc="0C090003" w:tentative="1">
      <w:start w:val="1"/>
      <w:numFmt w:val="bullet"/>
      <w:lvlText w:val="o"/>
      <w:lvlJc w:val="left"/>
      <w:pPr>
        <w:ind w:left="4796" w:hanging="360"/>
      </w:pPr>
      <w:rPr>
        <w:rFonts w:ascii="Courier New" w:hAnsi="Courier New" w:cs="Courier New" w:hint="default"/>
      </w:rPr>
    </w:lvl>
    <w:lvl w:ilvl="5" w:tplc="0C090005" w:tentative="1">
      <w:start w:val="1"/>
      <w:numFmt w:val="bullet"/>
      <w:lvlText w:val=""/>
      <w:lvlJc w:val="left"/>
      <w:pPr>
        <w:ind w:left="5516" w:hanging="360"/>
      </w:pPr>
      <w:rPr>
        <w:rFonts w:ascii="Wingdings" w:hAnsi="Wingdings" w:hint="default"/>
      </w:rPr>
    </w:lvl>
    <w:lvl w:ilvl="6" w:tplc="0C090001" w:tentative="1">
      <w:start w:val="1"/>
      <w:numFmt w:val="bullet"/>
      <w:lvlText w:val=""/>
      <w:lvlJc w:val="left"/>
      <w:pPr>
        <w:ind w:left="6236" w:hanging="360"/>
      </w:pPr>
      <w:rPr>
        <w:rFonts w:ascii="Symbol" w:hAnsi="Symbol" w:hint="default"/>
      </w:rPr>
    </w:lvl>
    <w:lvl w:ilvl="7" w:tplc="0C090003" w:tentative="1">
      <w:start w:val="1"/>
      <w:numFmt w:val="bullet"/>
      <w:lvlText w:val="o"/>
      <w:lvlJc w:val="left"/>
      <w:pPr>
        <w:ind w:left="6956" w:hanging="360"/>
      </w:pPr>
      <w:rPr>
        <w:rFonts w:ascii="Courier New" w:hAnsi="Courier New" w:cs="Courier New" w:hint="default"/>
      </w:rPr>
    </w:lvl>
    <w:lvl w:ilvl="8" w:tplc="0C090005" w:tentative="1">
      <w:start w:val="1"/>
      <w:numFmt w:val="bullet"/>
      <w:lvlText w:val=""/>
      <w:lvlJc w:val="left"/>
      <w:pPr>
        <w:ind w:left="7676" w:hanging="360"/>
      </w:pPr>
      <w:rPr>
        <w:rFonts w:ascii="Wingdings" w:hAnsi="Wingdings" w:hint="default"/>
      </w:rPr>
    </w:lvl>
  </w:abstractNum>
  <w:abstractNum w:abstractNumId="11" w15:restartNumberingAfterBreak="0">
    <w:nsid w:val="41C72947"/>
    <w:multiLevelType w:val="hybridMultilevel"/>
    <w:tmpl w:val="76AC1F8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2" w15:restartNumberingAfterBreak="0">
    <w:nsid w:val="450878C0"/>
    <w:multiLevelType w:val="hybridMultilevel"/>
    <w:tmpl w:val="8DF2EE34"/>
    <w:lvl w:ilvl="0" w:tplc="0C090001">
      <w:start w:val="1"/>
      <w:numFmt w:val="bullet"/>
      <w:lvlText w:val=""/>
      <w:lvlJc w:val="left"/>
      <w:pPr>
        <w:ind w:left="1152" w:hanging="360"/>
      </w:pPr>
      <w:rPr>
        <w:rFonts w:ascii="Symbol" w:hAnsi="Symbol" w:hint="default"/>
      </w:rPr>
    </w:lvl>
    <w:lvl w:ilvl="1" w:tplc="0C090003">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3" w15:restartNumberingAfterBreak="0">
    <w:nsid w:val="55FB3C77"/>
    <w:multiLevelType w:val="hybridMultilevel"/>
    <w:tmpl w:val="B39293C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4" w15:restartNumberingAfterBreak="0">
    <w:nsid w:val="756B68BB"/>
    <w:multiLevelType w:val="hybridMultilevel"/>
    <w:tmpl w:val="3BDC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154C89"/>
    <w:multiLevelType w:val="hybridMultilevel"/>
    <w:tmpl w:val="BA2829CE"/>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6" w15:restartNumberingAfterBreak="0">
    <w:nsid w:val="78CF751A"/>
    <w:multiLevelType w:val="hybridMultilevel"/>
    <w:tmpl w:val="234A2362"/>
    <w:lvl w:ilvl="0" w:tplc="CC30DB54">
      <w:start w:val="1"/>
      <w:numFmt w:val="decimal"/>
      <w:lvlText w:val="%1."/>
      <w:lvlJc w:val="left"/>
      <w:pPr>
        <w:ind w:left="468" w:hanging="360"/>
        <w:jc w:val="right"/>
      </w:pPr>
      <w:rPr>
        <w:rFonts w:ascii="Arial" w:eastAsia="Arial" w:hAnsi="Arial" w:cs="Arial" w:hint="default"/>
        <w:b/>
        <w:bCs/>
        <w:spacing w:val="-1"/>
        <w:w w:val="100"/>
        <w:sz w:val="24"/>
        <w:szCs w:val="24"/>
      </w:rPr>
    </w:lvl>
    <w:lvl w:ilvl="1" w:tplc="D1A2BC50">
      <w:numFmt w:val="bullet"/>
      <w:lvlText w:val=""/>
      <w:lvlJc w:val="left"/>
      <w:pPr>
        <w:ind w:left="1692" w:hanging="504"/>
      </w:pPr>
      <w:rPr>
        <w:rFonts w:ascii="Symbol" w:eastAsia="Symbol" w:hAnsi="Symbol" w:cs="Symbol" w:hint="default"/>
        <w:w w:val="100"/>
        <w:sz w:val="24"/>
        <w:szCs w:val="24"/>
      </w:rPr>
    </w:lvl>
    <w:lvl w:ilvl="2" w:tplc="D57A2A7E">
      <w:numFmt w:val="bullet"/>
      <w:lvlText w:val="•"/>
      <w:lvlJc w:val="left"/>
      <w:pPr>
        <w:ind w:left="1700" w:hanging="504"/>
      </w:pPr>
      <w:rPr>
        <w:rFonts w:hint="default"/>
      </w:rPr>
    </w:lvl>
    <w:lvl w:ilvl="3" w:tplc="80722436">
      <w:numFmt w:val="bullet"/>
      <w:lvlText w:val="•"/>
      <w:lvlJc w:val="left"/>
      <w:pPr>
        <w:ind w:left="2690" w:hanging="504"/>
      </w:pPr>
      <w:rPr>
        <w:rFonts w:hint="default"/>
      </w:rPr>
    </w:lvl>
    <w:lvl w:ilvl="4" w:tplc="885CA27E">
      <w:numFmt w:val="bullet"/>
      <w:lvlText w:val="•"/>
      <w:lvlJc w:val="left"/>
      <w:pPr>
        <w:ind w:left="3681" w:hanging="504"/>
      </w:pPr>
      <w:rPr>
        <w:rFonts w:hint="default"/>
      </w:rPr>
    </w:lvl>
    <w:lvl w:ilvl="5" w:tplc="5C64BD6C">
      <w:numFmt w:val="bullet"/>
      <w:lvlText w:val="•"/>
      <w:lvlJc w:val="left"/>
      <w:pPr>
        <w:ind w:left="4672" w:hanging="504"/>
      </w:pPr>
      <w:rPr>
        <w:rFonts w:hint="default"/>
      </w:rPr>
    </w:lvl>
    <w:lvl w:ilvl="6" w:tplc="73A29552">
      <w:numFmt w:val="bullet"/>
      <w:lvlText w:val="•"/>
      <w:lvlJc w:val="left"/>
      <w:pPr>
        <w:ind w:left="5663" w:hanging="504"/>
      </w:pPr>
      <w:rPr>
        <w:rFonts w:hint="default"/>
      </w:rPr>
    </w:lvl>
    <w:lvl w:ilvl="7" w:tplc="E618C1AE">
      <w:numFmt w:val="bullet"/>
      <w:lvlText w:val="•"/>
      <w:lvlJc w:val="left"/>
      <w:pPr>
        <w:ind w:left="6654" w:hanging="504"/>
      </w:pPr>
      <w:rPr>
        <w:rFonts w:hint="default"/>
      </w:rPr>
    </w:lvl>
    <w:lvl w:ilvl="8" w:tplc="E13C63D8">
      <w:numFmt w:val="bullet"/>
      <w:lvlText w:val="•"/>
      <w:lvlJc w:val="left"/>
      <w:pPr>
        <w:ind w:left="7644" w:hanging="504"/>
      </w:pPr>
      <w:rPr>
        <w:rFonts w:hint="default"/>
      </w:rPr>
    </w:lvl>
  </w:abstractNum>
  <w:abstractNum w:abstractNumId="17" w15:restartNumberingAfterBreak="0">
    <w:nsid w:val="7FE705BD"/>
    <w:multiLevelType w:val="hybridMultilevel"/>
    <w:tmpl w:val="A4BE75C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4"/>
  </w:num>
  <w:num w:numId="2">
    <w:abstractNumId w:val="6"/>
  </w:num>
  <w:num w:numId="3">
    <w:abstractNumId w:val="12"/>
  </w:num>
  <w:num w:numId="4">
    <w:abstractNumId w:val="8"/>
  </w:num>
  <w:num w:numId="5">
    <w:abstractNumId w:val="16"/>
  </w:num>
  <w:num w:numId="6">
    <w:abstractNumId w:val="5"/>
  </w:num>
  <w:num w:numId="7">
    <w:abstractNumId w:val="10"/>
  </w:num>
  <w:num w:numId="8">
    <w:abstractNumId w:val="13"/>
  </w:num>
  <w:num w:numId="9">
    <w:abstractNumId w:val="3"/>
  </w:num>
  <w:num w:numId="10">
    <w:abstractNumId w:val="1"/>
  </w:num>
  <w:num w:numId="11">
    <w:abstractNumId w:val="0"/>
  </w:num>
  <w:num w:numId="12">
    <w:abstractNumId w:val="14"/>
  </w:num>
  <w:num w:numId="13">
    <w:abstractNumId w:val="2"/>
  </w:num>
  <w:num w:numId="14">
    <w:abstractNumId w:val="9"/>
  </w:num>
  <w:num w:numId="15">
    <w:abstractNumId w:val="17"/>
  </w:num>
  <w:num w:numId="16">
    <w:abstractNumId w:val="1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D6"/>
    <w:rsid w:val="00013C40"/>
    <w:rsid w:val="00021F88"/>
    <w:rsid w:val="00031473"/>
    <w:rsid w:val="000554FE"/>
    <w:rsid w:val="00056F76"/>
    <w:rsid w:val="00072A6C"/>
    <w:rsid w:val="000936A5"/>
    <w:rsid w:val="000B0BD9"/>
    <w:rsid w:val="000F04B9"/>
    <w:rsid w:val="001B7BC3"/>
    <w:rsid w:val="002256F9"/>
    <w:rsid w:val="002309FC"/>
    <w:rsid w:val="00244C37"/>
    <w:rsid w:val="00251348"/>
    <w:rsid w:val="00280842"/>
    <w:rsid w:val="0029435D"/>
    <w:rsid w:val="002C6874"/>
    <w:rsid w:val="002D0150"/>
    <w:rsid w:val="002E31DA"/>
    <w:rsid w:val="00302EB6"/>
    <w:rsid w:val="00306BA4"/>
    <w:rsid w:val="00344A9A"/>
    <w:rsid w:val="003643B3"/>
    <w:rsid w:val="003A7B24"/>
    <w:rsid w:val="003C3868"/>
    <w:rsid w:val="003C6296"/>
    <w:rsid w:val="003D1B0B"/>
    <w:rsid w:val="003E37C9"/>
    <w:rsid w:val="003F054C"/>
    <w:rsid w:val="00406094"/>
    <w:rsid w:val="00414081"/>
    <w:rsid w:val="00431046"/>
    <w:rsid w:val="0049365B"/>
    <w:rsid w:val="00496E99"/>
    <w:rsid w:val="004C3F63"/>
    <w:rsid w:val="004C6960"/>
    <w:rsid w:val="004E43A8"/>
    <w:rsid w:val="004F7503"/>
    <w:rsid w:val="00544543"/>
    <w:rsid w:val="00544C9B"/>
    <w:rsid w:val="0055034E"/>
    <w:rsid w:val="00557FBA"/>
    <w:rsid w:val="005E00FA"/>
    <w:rsid w:val="005E53EB"/>
    <w:rsid w:val="005F6D52"/>
    <w:rsid w:val="006036FA"/>
    <w:rsid w:val="00627074"/>
    <w:rsid w:val="00651F4A"/>
    <w:rsid w:val="006A45E3"/>
    <w:rsid w:val="006D1B52"/>
    <w:rsid w:val="006D4BAA"/>
    <w:rsid w:val="006F1DBA"/>
    <w:rsid w:val="006F3AA0"/>
    <w:rsid w:val="007402F7"/>
    <w:rsid w:val="007B6B43"/>
    <w:rsid w:val="00802739"/>
    <w:rsid w:val="00802B30"/>
    <w:rsid w:val="00803344"/>
    <w:rsid w:val="00806A87"/>
    <w:rsid w:val="0085379A"/>
    <w:rsid w:val="00872B00"/>
    <w:rsid w:val="008810D6"/>
    <w:rsid w:val="00884AFF"/>
    <w:rsid w:val="008959B7"/>
    <w:rsid w:val="00895AD6"/>
    <w:rsid w:val="008A2259"/>
    <w:rsid w:val="008A4027"/>
    <w:rsid w:val="008A7ECE"/>
    <w:rsid w:val="00912DAD"/>
    <w:rsid w:val="00963BE9"/>
    <w:rsid w:val="00973AA3"/>
    <w:rsid w:val="0097554B"/>
    <w:rsid w:val="00980FFF"/>
    <w:rsid w:val="00983581"/>
    <w:rsid w:val="009A20BA"/>
    <w:rsid w:val="009A43A9"/>
    <w:rsid w:val="009A4D9A"/>
    <w:rsid w:val="009B11D3"/>
    <w:rsid w:val="009C170D"/>
    <w:rsid w:val="009C1BCC"/>
    <w:rsid w:val="009C63DC"/>
    <w:rsid w:val="009E2197"/>
    <w:rsid w:val="009F08DA"/>
    <w:rsid w:val="009F2E6A"/>
    <w:rsid w:val="00A2645B"/>
    <w:rsid w:val="00A41CF8"/>
    <w:rsid w:val="00A467CD"/>
    <w:rsid w:val="00A51402"/>
    <w:rsid w:val="00A52D2D"/>
    <w:rsid w:val="00A640B7"/>
    <w:rsid w:val="00A66C59"/>
    <w:rsid w:val="00A82C21"/>
    <w:rsid w:val="00A86443"/>
    <w:rsid w:val="00A86FF6"/>
    <w:rsid w:val="00AD675C"/>
    <w:rsid w:val="00AE1871"/>
    <w:rsid w:val="00B07DB1"/>
    <w:rsid w:val="00B52406"/>
    <w:rsid w:val="00B629C4"/>
    <w:rsid w:val="00B63EF8"/>
    <w:rsid w:val="00B73A26"/>
    <w:rsid w:val="00B85597"/>
    <w:rsid w:val="00BA2807"/>
    <w:rsid w:val="00BA58CC"/>
    <w:rsid w:val="00BD428E"/>
    <w:rsid w:val="00BE255C"/>
    <w:rsid w:val="00BE7D17"/>
    <w:rsid w:val="00C136C9"/>
    <w:rsid w:val="00C1744E"/>
    <w:rsid w:val="00CA07EE"/>
    <w:rsid w:val="00D013EB"/>
    <w:rsid w:val="00D13A8F"/>
    <w:rsid w:val="00D2530A"/>
    <w:rsid w:val="00D4404C"/>
    <w:rsid w:val="00D62DEE"/>
    <w:rsid w:val="00D70E96"/>
    <w:rsid w:val="00D76FC8"/>
    <w:rsid w:val="00D93E1A"/>
    <w:rsid w:val="00DA4C5F"/>
    <w:rsid w:val="00DA5183"/>
    <w:rsid w:val="00DE4A11"/>
    <w:rsid w:val="00DE6B8E"/>
    <w:rsid w:val="00DF63C8"/>
    <w:rsid w:val="00E00664"/>
    <w:rsid w:val="00E03828"/>
    <w:rsid w:val="00E2076B"/>
    <w:rsid w:val="00E30DFB"/>
    <w:rsid w:val="00E3238D"/>
    <w:rsid w:val="00E512A7"/>
    <w:rsid w:val="00E5225C"/>
    <w:rsid w:val="00E959D3"/>
    <w:rsid w:val="00ED6172"/>
    <w:rsid w:val="00F10D5D"/>
    <w:rsid w:val="00F33667"/>
    <w:rsid w:val="00F96441"/>
    <w:rsid w:val="00F97E0D"/>
    <w:rsid w:val="00FE0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50066D"/>
  <w15:chartTrackingRefBased/>
  <w15:docId w15:val="{4B2F031B-D7AA-48D3-A10C-455A8A1A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95AD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895AD6"/>
    <w:pPr>
      <w:ind w:left="540" w:hanging="4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5AD6"/>
    <w:rPr>
      <w:rFonts w:ascii="Arial" w:eastAsia="Arial" w:hAnsi="Arial" w:cs="Arial"/>
      <w:b/>
      <w:bCs/>
      <w:sz w:val="24"/>
      <w:szCs w:val="24"/>
    </w:rPr>
  </w:style>
  <w:style w:type="paragraph" w:styleId="BodyText">
    <w:name w:val="Body Text"/>
    <w:basedOn w:val="Normal"/>
    <w:link w:val="BodyTextChar"/>
    <w:uiPriority w:val="1"/>
    <w:qFormat/>
    <w:rsid w:val="00895AD6"/>
    <w:rPr>
      <w:sz w:val="24"/>
      <w:szCs w:val="24"/>
    </w:rPr>
  </w:style>
  <w:style w:type="character" w:customStyle="1" w:styleId="BodyTextChar">
    <w:name w:val="Body Text Char"/>
    <w:basedOn w:val="DefaultParagraphFont"/>
    <w:link w:val="BodyText"/>
    <w:uiPriority w:val="1"/>
    <w:rsid w:val="00895AD6"/>
    <w:rPr>
      <w:rFonts w:ascii="Arial" w:eastAsia="Arial" w:hAnsi="Arial" w:cs="Arial"/>
      <w:sz w:val="24"/>
      <w:szCs w:val="24"/>
    </w:rPr>
  </w:style>
  <w:style w:type="paragraph" w:styleId="ListParagraph">
    <w:name w:val="List Paragraph"/>
    <w:basedOn w:val="Normal"/>
    <w:uiPriority w:val="34"/>
    <w:qFormat/>
    <w:rsid w:val="00895AD6"/>
    <w:pPr>
      <w:ind w:left="1526" w:hanging="566"/>
    </w:pPr>
  </w:style>
  <w:style w:type="paragraph" w:styleId="Title">
    <w:name w:val="Title"/>
    <w:basedOn w:val="Normal"/>
    <w:next w:val="Normal"/>
    <w:link w:val="TitleChar"/>
    <w:uiPriority w:val="10"/>
    <w:qFormat/>
    <w:rsid w:val="00895AD6"/>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895AD6"/>
    <w:rPr>
      <w:rFonts w:asciiTheme="majorHAnsi" w:eastAsiaTheme="majorEastAsia" w:hAnsiTheme="majorHAnsi" w:cstheme="majorBidi"/>
      <w:spacing w:val="-10"/>
      <w:kern w:val="28"/>
      <w:sz w:val="48"/>
      <w:szCs w:val="56"/>
    </w:rPr>
  </w:style>
  <w:style w:type="paragraph" w:styleId="BalloonText">
    <w:name w:val="Balloon Text"/>
    <w:basedOn w:val="Normal"/>
    <w:link w:val="BalloonTextChar"/>
    <w:uiPriority w:val="99"/>
    <w:semiHidden/>
    <w:unhideWhenUsed/>
    <w:rsid w:val="004F7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03"/>
    <w:rPr>
      <w:rFonts w:ascii="Segoe UI" w:eastAsia="Arial" w:hAnsi="Segoe UI" w:cs="Segoe UI"/>
      <w:sz w:val="18"/>
      <w:szCs w:val="18"/>
    </w:rPr>
  </w:style>
  <w:style w:type="character" w:styleId="CommentReference">
    <w:name w:val="annotation reference"/>
    <w:basedOn w:val="DefaultParagraphFont"/>
    <w:uiPriority w:val="99"/>
    <w:semiHidden/>
    <w:unhideWhenUsed/>
    <w:rsid w:val="004F7503"/>
    <w:rPr>
      <w:sz w:val="16"/>
      <w:szCs w:val="16"/>
    </w:rPr>
  </w:style>
  <w:style w:type="paragraph" w:styleId="CommentText">
    <w:name w:val="annotation text"/>
    <w:basedOn w:val="Normal"/>
    <w:link w:val="CommentTextChar"/>
    <w:uiPriority w:val="99"/>
    <w:semiHidden/>
    <w:unhideWhenUsed/>
    <w:rsid w:val="004F7503"/>
    <w:rPr>
      <w:sz w:val="20"/>
      <w:szCs w:val="20"/>
    </w:rPr>
  </w:style>
  <w:style w:type="character" w:customStyle="1" w:styleId="CommentTextChar">
    <w:name w:val="Comment Text Char"/>
    <w:basedOn w:val="DefaultParagraphFont"/>
    <w:link w:val="CommentText"/>
    <w:uiPriority w:val="99"/>
    <w:semiHidden/>
    <w:rsid w:val="004F750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F7503"/>
    <w:rPr>
      <w:b/>
      <w:bCs/>
    </w:rPr>
  </w:style>
  <w:style w:type="character" w:customStyle="1" w:styleId="CommentSubjectChar">
    <w:name w:val="Comment Subject Char"/>
    <w:basedOn w:val="CommentTextChar"/>
    <w:link w:val="CommentSubject"/>
    <w:uiPriority w:val="99"/>
    <w:semiHidden/>
    <w:rsid w:val="004F7503"/>
    <w:rPr>
      <w:rFonts w:ascii="Arial" w:eastAsia="Arial" w:hAnsi="Arial" w:cs="Arial"/>
      <w:b/>
      <w:bCs/>
      <w:sz w:val="20"/>
      <w:szCs w:val="20"/>
    </w:rPr>
  </w:style>
  <w:style w:type="character" w:styleId="PlaceholderText">
    <w:name w:val="Placeholder Text"/>
    <w:basedOn w:val="DefaultParagraphFont"/>
    <w:uiPriority w:val="99"/>
    <w:semiHidden/>
    <w:rsid w:val="003D1B0B"/>
    <w:rPr>
      <w:color w:val="808080"/>
    </w:rPr>
  </w:style>
  <w:style w:type="paragraph" w:styleId="Header">
    <w:name w:val="header"/>
    <w:basedOn w:val="Normal"/>
    <w:link w:val="HeaderChar"/>
    <w:uiPriority w:val="99"/>
    <w:unhideWhenUsed/>
    <w:rsid w:val="00912DAD"/>
    <w:pPr>
      <w:tabs>
        <w:tab w:val="center" w:pos="4513"/>
        <w:tab w:val="right" w:pos="9026"/>
      </w:tabs>
    </w:pPr>
  </w:style>
  <w:style w:type="character" w:customStyle="1" w:styleId="HeaderChar">
    <w:name w:val="Header Char"/>
    <w:basedOn w:val="DefaultParagraphFont"/>
    <w:link w:val="Header"/>
    <w:uiPriority w:val="99"/>
    <w:rsid w:val="00912DAD"/>
    <w:rPr>
      <w:rFonts w:ascii="Arial" w:eastAsia="Arial" w:hAnsi="Arial" w:cs="Arial"/>
    </w:rPr>
  </w:style>
  <w:style w:type="paragraph" w:styleId="Footer">
    <w:name w:val="footer"/>
    <w:basedOn w:val="Normal"/>
    <w:link w:val="FooterChar"/>
    <w:uiPriority w:val="99"/>
    <w:unhideWhenUsed/>
    <w:rsid w:val="00912DAD"/>
    <w:pPr>
      <w:tabs>
        <w:tab w:val="center" w:pos="4513"/>
        <w:tab w:val="right" w:pos="9026"/>
      </w:tabs>
    </w:pPr>
  </w:style>
  <w:style w:type="character" w:customStyle="1" w:styleId="FooterChar">
    <w:name w:val="Footer Char"/>
    <w:basedOn w:val="DefaultParagraphFont"/>
    <w:link w:val="Footer"/>
    <w:uiPriority w:val="99"/>
    <w:rsid w:val="00912DAD"/>
    <w:rPr>
      <w:rFonts w:ascii="Arial" w:eastAsia="Arial" w:hAnsi="Arial" w:cs="Arial"/>
    </w:rPr>
  </w:style>
  <w:style w:type="paragraph" w:styleId="FootnoteText">
    <w:name w:val="footnote text"/>
    <w:basedOn w:val="Normal"/>
    <w:link w:val="FootnoteTextChar"/>
    <w:uiPriority w:val="99"/>
    <w:semiHidden/>
    <w:unhideWhenUsed/>
    <w:rsid w:val="008A7ECE"/>
    <w:rPr>
      <w:sz w:val="20"/>
      <w:szCs w:val="20"/>
    </w:rPr>
  </w:style>
  <w:style w:type="character" w:customStyle="1" w:styleId="FootnoteTextChar">
    <w:name w:val="Footnote Text Char"/>
    <w:basedOn w:val="DefaultParagraphFont"/>
    <w:link w:val="FootnoteText"/>
    <w:uiPriority w:val="99"/>
    <w:semiHidden/>
    <w:rsid w:val="008A7ECE"/>
    <w:rPr>
      <w:rFonts w:ascii="Arial" w:eastAsia="Arial" w:hAnsi="Arial" w:cs="Arial"/>
      <w:sz w:val="20"/>
      <w:szCs w:val="20"/>
    </w:rPr>
  </w:style>
  <w:style w:type="character" w:styleId="FootnoteReference">
    <w:name w:val="footnote reference"/>
    <w:basedOn w:val="DefaultParagraphFont"/>
    <w:uiPriority w:val="99"/>
    <w:semiHidden/>
    <w:unhideWhenUsed/>
    <w:rsid w:val="008A7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2E81-7DEF-4835-BF7E-19D99478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2106</Words>
  <Characters>11146</Characters>
  <Application>Microsoft Office Word</Application>
  <DocSecurity>0</DocSecurity>
  <Lines>240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2019-12-05T01:00:00Z</cp:lastPrinted>
  <dcterms:created xsi:type="dcterms:W3CDTF">2019-12-19T00:13:00Z</dcterms:created>
  <dcterms:modified xsi:type="dcterms:W3CDTF">2019-12-19T00:13:00Z</dcterms:modified>
</cp:coreProperties>
</file>