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12EF" w14:textId="77777777" w:rsidR="00C71258" w:rsidRDefault="00C71258" w:rsidP="00854E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14:paraId="18EB1D97" w14:textId="77777777" w:rsidR="00C71258" w:rsidRDefault="006D72EE" w:rsidP="00854E82">
      <w:pPr>
        <w:autoSpaceDE w:val="0"/>
        <w:autoSpaceDN w:val="0"/>
        <w:adjustRightInd w:val="0"/>
        <w:spacing w:before="700"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Water Resources (Water A</w:t>
      </w:r>
      <w:r w:rsidR="00C71258">
        <w:rPr>
          <w:rFonts w:ascii="Arial" w:hAnsi="Arial" w:cs="Arial"/>
          <w:b/>
          <w:bCs/>
          <w:sz w:val="40"/>
          <w:szCs w:val="40"/>
        </w:rPr>
        <w:t>vailable from</w:t>
      </w:r>
      <w:r w:rsidR="00854E82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</w:t>
      </w:r>
      <w:r w:rsidR="001D4795">
        <w:rPr>
          <w:rFonts w:ascii="Arial" w:hAnsi="Arial" w:cs="Arial"/>
          <w:b/>
          <w:bCs/>
          <w:sz w:val="40"/>
          <w:szCs w:val="40"/>
        </w:rPr>
        <w:t>reas) Determination 201</w:t>
      </w:r>
      <w:r w:rsidR="0049358D">
        <w:rPr>
          <w:rFonts w:ascii="Arial" w:hAnsi="Arial" w:cs="Arial"/>
          <w:b/>
          <w:bCs/>
          <w:sz w:val="40"/>
          <w:szCs w:val="40"/>
        </w:rPr>
        <w:t>9</w:t>
      </w:r>
    </w:p>
    <w:p w14:paraId="0EDAD744" w14:textId="68309346" w:rsidR="00C71258" w:rsidRPr="00854E82" w:rsidRDefault="00854E82" w:rsidP="00854E82">
      <w:pPr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4E82">
        <w:rPr>
          <w:rFonts w:ascii="Arial" w:hAnsi="Arial" w:cs="Arial"/>
          <w:b/>
          <w:bCs/>
          <w:sz w:val="24"/>
          <w:szCs w:val="24"/>
        </w:rPr>
        <w:t>Disallowable i</w:t>
      </w:r>
      <w:r w:rsidR="00C71258" w:rsidRPr="00854E82">
        <w:rPr>
          <w:rFonts w:ascii="Arial" w:hAnsi="Arial" w:cs="Arial"/>
          <w:b/>
          <w:bCs/>
          <w:sz w:val="24"/>
          <w:szCs w:val="24"/>
        </w:rPr>
        <w:t>nstrument DI201</w:t>
      </w:r>
      <w:r w:rsidR="0049358D">
        <w:rPr>
          <w:rFonts w:ascii="Arial" w:hAnsi="Arial" w:cs="Arial"/>
          <w:b/>
          <w:bCs/>
          <w:sz w:val="24"/>
          <w:szCs w:val="24"/>
        </w:rPr>
        <w:t>9</w:t>
      </w:r>
      <w:r w:rsidR="00C71258" w:rsidRPr="00854E82">
        <w:rPr>
          <w:rFonts w:ascii="Arial" w:hAnsi="Arial" w:cs="Arial"/>
          <w:b/>
          <w:bCs/>
          <w:sz w:val="24"/>
          <w:szCs w:val="24"/>
        </w:rPr>
        <w:t>—</w:t>
      </w:r>
      <w:r w:rsidR="00AD4145">
        <w:rPr>
          <w:rFonts w:ascii="Arial" w:hAnsi="Arial" w:cs="Arial"/>
          <w:b/>
          <w:bCs/>
          <w:sz w:val="24"/>
          <w:szCs w:val="24"/>
        </w:rPr>
        <w:t>39</w:t>
      </w:r>
    </w:p>
    <w:p w14:paraId="7C810206" w14:textId="77777777" w:rsidR="00C71258" w:rsidRDefault="00C71258" w:rsidP="000839DC">
      <w:pPr>
        <w:autoSpaceDE w:val="0"/>
        <w:autoSpaceDN w:val="0"/>
        <w:adjustRightInd w:val="0"/>
        <w:spacing w:before="3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under the</w:t>
      </w:r>
      <w:r w:rsidR="00663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79477" w14:textId="77777777" w:rsidR="00C71258" w:rsidRPr="000839DC" w:rsidRDefault="00C71258" w:rsidP="000839DC">
      <w:pPr>
        <w:autoSpaceDE w:val="0"/>
        <w:autoSpaceDN w:val="0"/>
        <w:adjustRightInd w:val="0"/>
        <w:spacing w:before="3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39DC">
        <w:rPr>
          <w:rFonts w:ascii="Arial" w:hAnsi="Arial" w:cs="Arial"/>
          <w:b/>
          <w:bCs/>
          <w:iCs/>
          <w:sz w:val="20"/>
          <w:szCs w:val="20"/>
        </w:rPr>
        <w:t xml:space="preserve">Water Resources Act 2007, </w:t>
      </w:r>
      <w:r w:rsidR="000839DC">
        <w:rPr>
          <w:rFonts w:ascii="Arial" w:hAnsi="Arial" w:cs="Arial"/>
          <w:b/>
          <w:bCs/>
          <w:sz w:val="20"/>
          <w:szCs w:val="20"/>
        </w:rPr>
        <w:t>s</w:t>
      </w:r>
      <w:r w:rsidRPr="000839DC">
        <w:rPr>
          <w:rFonts w:ascii="Arial" w:hAnsi="Arial" w:cs="Arial"/>
          <w:b/>
          <w:bCs/>
          <w:sz w:val="20"/>
          <w:szCs w:val="20"/>
        </w:rPr>
        <w:t xml:space="preserve"> 17 </w:t>
      </w:r>
      <w:r w:rsidR="000839DC">
        <w:rPr>
          <w:rFonts w:ascii="Arial" w:hAnsi="Arial" w:cs="Arial"/>
          <w:b/>
          <w:bCs/>
          <w:sz w:val="20"/>
          <w:szCs w:val="20"/>
        </w:rPr>
        <w:t>(</w:t>
      </w:r>
      <w:r w:rsidRPr="000839DC">
        <w:rPr>
          <w:rFonts w:ascii="Arial" w:hAnsi="Arial" w:cs="Arial"/>
          <w:b/>
          <w:bCs/>
          <w:sz w:val="20"/>
          <w:szCs w:val="20"/>
        </w:rPr>
        <w:t>Amounts of water available from areas</w:t>
      </w:r>
      <w:r w:rsidR="000839DC">
        <w:rPr>
          <w:rFonts w:ascii="Arial" w:hAnsi="Arial" w:cs="Arial"/>
          <w:b/>
          <w:bCs/>
          <w:sz w:val="20"/>
          <w:szCs w:val="20"/>
        </w:rPr>
        <w:t>)</w:t>
      </w:r>
    </w:p>
    <w:p w14:paraId="7B4795D5" w14:textId="77777777" w:rsidR="00C71258" w:rsidRPr="00704157" w:rsidRDefault="00C71258" w:rsidP="000839DC">
      <w:pPr>
        <w:pBdr>
          <w:bottom w:val="single" w:sz="4" w:space="1" w:color="auto"/>
        </w:pBd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4C0F48" w14:textId="77777777" w:rsidR="000839DC" w:rsidRPr="00704157" w:rsidRDefault="000839DC" w:rsidP="00C7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F2FD38" w14:textId="77777777" w:rsidR="00C71258" w:rsidRPr="000839DC" w:rsidRDefault="00C71258" w:rsidP="000839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0839DC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28E932CC" w14:textId="77777777" w:rsidR="00C71258" w:rsidRDefault="00C71258" w:rsidP="001D4795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6D72EE">
        <w:rPr>
          <w:rFonts w:ascii="Times New Roman" w:hAnsi="Times New Roman" w:cs="Times New Roman"/>
          <w:i/>
          <w:iCs/>
          <w:sz w:val="24"/>
          <w:szCs w:val="24"/>
        </w:rPr>
        <w:t>Water Resources (Water Available from A</w:t>
      </w:r>
      <w:r>
        <w:rPr>
          <w:rFonts w:ascii="Times New Roman" w:hAnsi="Times New Roman" w:cs="Times New Roman"/>
          <w:i/>
          <w:iCs/>
          <w:sz w:val="24"/>
          <w:szCs w:val="24"/>
        </w:rPr>
        <w:t>reas)</w:t>
      </w:r>
      <w:r w:rsidR="001D4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Determination 20</w:t>
      </w:r>
      <w:r w:rsidR="00663AD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49358D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4E93DA" w14:textId="77777777" w:rsidR="00C71258" w:rsidRPr="001D4795" w:rsidRDefault="001D4795" w:rsidP="001D4795">
      <w:pPr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4795">
        <w:rPr>
          <w:rFonts w:ascii="Arial" w:hAnsi="Arial" w:cs="Arial"/>
          <w:b/>
          <w:bCs/>
          <w:sz w:val="24"/>
          <w:szCs w:val="24"/>
        </w:rPr>
        <w:t>2</w:t>
      </w:r>
      <w:r w:rsidRPr="001D4795">
        <w:rPr>
          <w:rFonts w:ascii="Arial" w:hAnsi="Arial" w:cs="Arial"/>
          <w:b/>
          <w:bCs/>
          <w:sz w:val="24"/>
          <w:szCs w:val="24"/>
        </w:rPr>
        <w:tab/>
      </w:r>
      <w:r w:rsidR="00C71258" w:rsidRPr="001D4795">
        <w:rPr>
          <w:rFonts w:ascii="Arial" w:hAnsi="Arial" w:cs="Arial"/>
          <w:b/>
          <w:bCs/>
          <w:sz w:val="24"/>
          <w:szCs w:val="24"/>
        </w:rPr>
        <w:t>Commencement</w:t>
      </w:r>
    </w:p>
    <w:p w14:paraId="028AE093" w14:textId="77777777" w:rsidR="00C71258" w:rsidRDefault="00C71258" w:rsidP="001D4795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commences </w:t>
      </w:r>
      <w:r w:rsidRPr="001D4795">
        <w:rPr>
          <w:rFonts w:ascii="Times New Roman" w:hAnsi="Times New Roman" w:cs="Times New Roman"/>
          <w:sz w:val="24"/>
          <w:szCs w:val="24"/>
        </w:rPr>
        <w:t xml:space="preserve">on </w:t>
      </w:r>
      <w:r w:rsidR="001D4795" w:rsidRPr="001D4795">
        <w:rPr>
          <w:rFonts w:ascii="Times New Roman" w:hAnsi="Times New Roman" w:cs="Times New Roman"/>
          <w:sz w:val="24"/>
          <w:szCs w:val="24"/>
        </w:rPr>
        <w:t>the day after its notification day</w:t>
      </w:r>
      <w:r w:rsidRPr="001D4795">
        <w:rPr>
          <w:rFonts w:ascii="Times New Roman" w:hAnsi="Times New Roman" w:cs="Times New Roman"/>
          <w:sz w:val="24"/>
          <w:szCs w:val="24"/>
        </w:rPr>
        <w:t>.</w:t>
      </w:r>
    </w:p>
    <w:p w14:paraId="24D61ABB" w14:textId="77777777" w:rsidR="00C71258" w:rsidRPr="001D4795" w:rsidRDefault="001D4795" w:rsidP="001D4795">
      <w:pPr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4795">
        <w:rPr>
          <w:rFonts w:ascii="Arial" w:hAnsi="Arial" w:cs="Arial"/>
          <w:b/>
          <w:bCs/>
          <w:sz w:val="24"/>
          <w:szCs w:val="24"/>
        </w:rPr>
        <w:t>3</w:t>
      </w:r>
      <w:r w:rsidRPr="001D4795">
        <w:rPr>
          <w:rFonts w:ascii="Arial" w:hAnsi="Arial" w:cs="Arial"/>
          <w:b/>
          <w:bCs/>
          <w:sz w:val="24"/>
          <w:szCs w:val="24"/>
        </w:rPr>
        <w:tab/>
      </w:r>
      <w:r w:rsidR="00C71258" w:rsidRPr="001D4795">
        <w:rPr>
          <w:rFonts w:ascii="Arial" w:hAnsi="Arial" w:cs="Arial"/>
          <w:b/>
          <w:bCs/>
          <w:sz w:val="24"/>
          <w:szCs w:val="24"/>
        </w:rPr>
        <w:t xml:space="preserve">Determination of </w:t>
      </w:r>
      <w:r w:rsidR="00704157">
        <w:rPr>
          <w:rFonts w:ascii="Arial" w:hAnsi="Arial" w:cs="Arial"/>
          <w:b/>
          <w:bCs/>
          <w:sz w:val="24"/>
          <w:szCs w:val="24"/>
        </w:rPr>
        <w:t xml:space="preserve">amounts of </w:t>
      </w:r>
      <w:r w:rsidR="00C71258" w:rsidRPr="001D4795">
        <w:rPr>
          <w:rFonts w:ascii="Arial" w:hAnsi="Arial" w:cs="Arial"/>
          <w:b/>
          <w:bCs/>
          <w:sz w:val="24"/>
          <w:szCs w:val="24"/>
        </w:rPr>
        <w:t>water available from areas</w:t>
      </w:r>
    </w:p>
    <w:p w14:paraId="44CC3BAC" w14:textId="77777777" w:rsidR="00C71258" w:rsidRDefault="0066630D" w:rsidP="001D4795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determine the total amount of s</w:t>
      </w:r>
      <w:r w:rsidR="00C71258">
        <w:rPr>
          <w:rFonts w:ascii="Times New Roman" w:hAnsi="Times New Roman" w:cs="Times New Roman"/>
          <w:sz w:val="24"/>
          <w:szCs w:val="24"/>
        </w:rPr>
        <w:t xml:space="preserve">urface water and ground water available for taking from </w:t>
      </w:r>
      <w:r w:rsidR="00AF44AC">
        <w:rPr>
          <w:rFonts w:ascii="Times New Roman" w:hAnsi="Times New Roman" w:cs="Times New Roman"/>
          <w:sz w:val="24"/>
          <w:szCs w:val="24"/>
        </w:rPr>
        <w:t xml:space="preserve">the ACT water </w:t>
      </w:r>
      <w:r w:rsidR="0049358D">
        <w:rPr>
          <w:rFonts w:ascii="Times New Roman" w:hAnsi="Times New Roman" w:cs="Times New Roman"/>
          <w:sz w:val="24"/>
          <w:szCs w:val="24"/>
        </w:rPr>
        <w:t>management</w:t>
      </w:r>
      <w:r w:rsidR="00AF4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 w:rsidR="00AF44AC">
        <w:rPr>
          <w:rFonts w:ascii="Times New Roman" w:hAnsi="Times New Roman" w:cs="Times New Roman"/>
          <w:sz w:val="24"/>
          <w:szCs w:val="24"/>
        </w:rPr>
        <w:t>s</w:t>
      </w:r>
      <w:r w:rsidR="006D72EE">
        <w:rPr>
          <w:rFonts w:ascii="Times New Roman" w:hAnsi="Times New Roman" w:cs="Times New Roman"/>
          <w:sz w:val="24"/>
          <w:szCs w:val="24"/>
        </w:rPr>
        <w:t xml:space="preserve"> </w:t>
      </w:r>
      <w:r w:rsidR="00704157">
        <w:rPr>
          <w:rFonts w:ascii="Times New Roman" w:hAnsi="Times New Roman" w:cs="Times New Roman"/>
          <w:sz w:val="24"/>
          <w:szCs w:val="24"/>
        </w:rPr>
        <w:t>in schedule</w:t>
      </w:r>
      <w:r w:rsidR="00C71258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A1A07C1" w14:textId="77777777" w:rsidR="001D4795" w:rsidRPr="00EB4F88" w:rsidRDefault="00704157" w:rsidP="00EB4F88">
      <w:pPr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D4795" w:rsidRPr="00EB4F88">
        <w:rPr>
          <w:rFonts w:ascii="Arial" w:hAnsi="Arial" w:cs="Arial"/>
          <w:b/>
          <w:sz w:val="24"/>
          <w:szCs w:val="24"/>
        </w:rPr>
        <w:tab/>
        <w:t>Revocation</w:t>
      </w:r>
    </w:p>
    <w:p w14:paraId="03A861E4" w14:textId="77777777" w:rsidR="001D4795" w:rsidRDefault="00704157" w:rsidP="00704157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revokes t</w:t>
      </w:r>
      <w:r w:rsidR="001D4795">
        <w:rPr>
          <w:rFonts w:ascii="Times New Roman" w:hAnsi="Times New Roman" w:cs="Times New Roman"/>
          <w:sz w:val="24"/>
          <w:szCs w:val="24"/>
        </w:rPr>
        <w:t xml:space="preserve">he </w:t>
      </w:r>
      <w:r w:rsidR="001D4795" w:rsidRPr="00704157">
        <w:rPr>
          <w:rFonts w:ascii="Times New Roman" w:hAnsi="Times New Roman" w:cs="Times New Roman"/>
          <w:i/>
          <w:sz w:val="24"/>
          <w:szCs w:val="24"/>
        </w:rPr>
        <w:t>Water Resources (Wa</w:t>
      </w:r>
      <w:r w:rsidR="00EB4F88" w:rsidRPr="00704157">
        <w:rPr>
          <w:rFonts w:ascii="Times New Roman" w:hAnsi="Times New Roman" w:cs="Times New Roman"/>
          <w:i/>
          <w:sz w:val="24"/>
          <w:szCs w:val="24"/>
        </w:rPr>
        <w:t>t</w:t>
      </w:r>
      <w:r w:rsidR="001D4795" w:rsidRPr="00704157">
        <w:rPr>
          <w:rFonts w:ascii="Times New Roman" w:hAnsi="Times New Roman" w:cs="Times New Roman"/>
          <w:i/>
          <w:sz w:val="24"/>
          <w:szCs w:val="24"/>
        </w:rPr>
        <w:t>er avail</w:t>
      </w:r>
      <w:r w:rsidR="00EB4F88" w:rsidRPr="00704157">
        <w:rPr>
          <w:rFonts w:ascii="Times New Roman" w:hAnsi="Times New Roman" w:cs="Times New Roman"/>
          <w:i/>
          <w:sz w:val="24"/>
          <w:szCs w:val="24"/>
        </w:rPr>
        <w:t>able from areas)</w:t>
      </w:r>
      <w:r>
        <w:rPr>
          <w:rFonts w:ascii="Times New Roman" w:hAnsi="Times New Roman" w:cs="Times New Roman"/>
          <w:i/>
          <w:sz w:val="24"/>
          <w:szCs w:val="24"/>
        </w:rPr>
        <w:t xml:space="preserve"> Determination 2007 (No </w:t>
      </w:r>
      <w:r w:rsidRPr="00704157"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EE">
        <w:rPr>
          <w:rFonts w:ascii="Times New Roman" w:hAnsi="Times New Roman" w:cs="Times New Roman"/>
          <w:sz w:val="24"/>
          <w:szCs w:val="24"/>
        </w:rPr>
        <w:t>(DI2007-191)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01515" w14:textId="6CAA93E0" w:rsidR="003564D9" w:rsidRPr="003C478A" w:rsidRDefault="004722A0" w:rsidP="001D4795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 w:rsidRPr="003C478A">
        <w:rPr>
          <w:rFonts w:ascii="Times New Roman" w:hAnsi="Times New Roman" w:cs="Times New Roman"/>
          <w:sz w:val="24"/>
          <w:szCs w:val="24"/>
        </w:rPr>
        <w:t xml:space="preserve">Shane Rattenbury </w:t>
      </w:r>
      <w:r w:rsidR="003564D9" w:rsidRPr="003C478A">
        <w:rPr>
          <w:rFonts w:ascii="Times New Roman" w:hAnsi="Times New Roman" w:cs="Times New Roman"/>
          <w:sz w:val="24"/>
          <w:szCs w:val="24"/>
        </w:rPr>
        <w:t>MLA</w:t>
      </w:r>
    </w:p>
    <w:p w14:paraId="7CF5BBBD" w14:textId="4D094DEB" w:rsidR="003564D9" w:rsidRDefault="004722A0" w:rsidP="003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8A">
        <w:rPr>
          <w:rFonts w:ascii="Times New Roman" w:hAnsi="Times New Roman" w:cs="Times New Roman"/>
          <w:sz w:val="24"/>
          <w:szCs w:val="24"/>
        </w:rPr>
        <w:t>A/g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4D9">
        <w:rPr>
          <w:rFonts w:ascii="Times New Roman" w:hAnsi="Times New Roman" w:cs="Times New Roman"/>
          <w:sz w:val="24"/>
          <w:szCs w:val="24"/>
        </w:rPr>
        <w:t>Minister for the Environment</w:t>
      </w:r>
      <w:r w:rsidR="00D60361">
        <w:rPr>
          <w:rFonts w:ascii="Times New Roman" w:hAnsi="Times New Roman" w:cs="Times New Roman"/>
          <w:sz w:val="24"/>
          <w:szCs w:val="24"/>
        </w:rPr>
        <w:t xml:space="preserve"> and Heritage</w:t>
      </w:r>
    </w:p>
    <w:p w14:paraId="7A303E43" w14:textId="2959F814" w:rsidR="003564D9" w:rsidRDefault="00AD4145" w:rsidP="003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B3367">
        <w:rPr>
          <w:rFonts w:ascii="Times New Roman" w:hAnsi="Times New Roman" w:cs="Times New Roman"/>
          <w:sz w:val="24"/>
          <w:szCs w:val="24"/>
        </w:rPr>
        <w:t>April 2019</w:t>
      </w:r>
    </w:p>
    <w:p w14:paraId="27D1933E" w14:textId="77777777" w:rsidR="003564D9" w:rsidRDefault="003564D9" w:rsidP="003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A7197" w14:textId="77777777" w:rsidR="00854E82" w:rsidRDefault="00854E82" w:rsidP="00356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4E82" w:rsidSect="00854E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61B46CF2" w14:textId="77777777" w:rsidR="00E258E7" w:rsidRPr="00E213B0" w:rsidRDefault="0025496D" w:rsidP="0025496D">
      <w:pPr>
        <w:spacing w:after="0" w:line="240" w:lineRule="auto"/>
        <w:ind w:left="2160" w:hanging="2160"/>
        <w:rPr>
          <w:rFonts w:ascii="Arial" w:eastAsia="Times New Roman" w:hAnsi="Arial" w:cs="Arial"/>
          <w:b/>
          <w:sz w:val="32"/>
          <w:szCs w:val="32"/>
          <w:lang w:eastAsia="en-AU"/>
        </w:rPr>
      </w:pPr>
      <w:r w:rsidRPr="00E213B0">
        <w:rPr>
          <w:rFonts w:ascii="Arial" w:eastAsia="Times New Roman" w:hAnsi="Arial" w:cs="Arial"/>
          <w:b/>
          <w:sz w:val="32"/>
          <w:szCs w:val="32"/>
          <w:lang w:eastAsia="en-AU"/>
        </w:rPr>
        <w:lastRenderedPageBreak/>
        <w:t>Schedule 1</w:t>
      </w:r>
      <w:r w:rsidRPr="00E213B0">
        <w:rPr>
          <w:rFonts w:ascii="Arial" w:eastAsia="Times New Roman" w:hAnsi="Arial" w:cs="Arial"/>
          <w:b/>
          <w:sz w:val="32"/>
          <w:szCs w:val="32"/>
          <w:lang w:eastAsia="en-AU"/>
        </w:rPr>
        <w:tab/>
      </w:r>
      <w:r w:rsidR="00971232" w:rsidRPr="00E213B0">
        <w:rPr>
          <w:rFonts w:ascii="Arial" w:eastAsia="Times New Roman" w:hAnsi="Arial" w:cs="Arial"/>
          <w:b/>
          <w:sz w:val="32"/>
          <w:szCs w:val="32"/>
          <w:lang w:eastAsia="en-AU"/>
        </w:rPr>
        <w:t>W</w:t>
      </w:r>
      <w:r w:rsidR="00564C73" w:rsidRPr="00E213B0">
        <w:rPr>
          <w:rFonts w:ascii="Arial" w:eastAsia="Times New Roman" w:hAnsi="Arial" w:cs="Arial"/>
          <w:b/>
          <w:sz w:val="32"/>
          <w:szCs w:val="32"/>
          <w:lang w:eastAsia="en-AU"/>
        </w:rPr>
        <w:t>ater available for</w:t>
      </w:r>
      <w:r w:rsidR="00322A9D" w:rsidRPr="00E213B0">
        <w:rPr>
          <w:rFonts w:ascii="Arial" w:eastAsia="Times New Roman" w:hAnsi="Arial" w:cs="Arial"/>
          <w:b/>
          <w:sz w:val="32"/>
          <w:szCs w:val="32"/>
          <w:lang w:eastAsia="en-AU"/>
        </w:rPr>
        <w:t xml:space="preserve"> taking</w:t>
      </w:r>
      <w:r w:rsidR="00971232" w:rsidRPr="00E213B0">
        <w:rPr>
          <w:rFonts w:ascii="Arial" w:eastAsia="Times New Roman" w:hAnsi="Arial" w:cs="Arial"/>
          <w:b/>
          <w:sz w:val="32"/>
          <w:szCs w:val="32"/>
          <w:lang w:eastAsia="en-AU"/>
        </w:rPr>
        <w:t xml:space="preserve"> from whole of ACT water management area (ACT Water Resource Plan Area)</w:t>
      </w:r>
    </w:p>
    <w:p w14:paraId="61C45781" w14:textId="77777777" w:rsidR="0025496D" w:rsidRPr="006D72EE" w:rsidRDefault="0025496D" w:rsidP="006D72EE">
      <w:pPr>
        <w:spacing w:before="60"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6D72EE">
        <w:rPr>
          <w:rFonts w:ascii="Times New Roman" w:eastAsia="Times New Roman" w:hAnsi="Times New Roman" w:cs="Times New Roman"/>
          <w:sz w:val="18"/>
          <w:szCs w:val="18"/>
          <w:lang w:eastAsia="en-AU"/>
        </w:rPr>
        <w:t>(see cl 3)</w:t>
      </w:r>
    </w:p>
    <w:p w14:paraId="445DD6AA" w14:textId="77777777" w:rsidR="00564C73" w:rsidRDefault="00564C73" w:rsidP="00E258E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AU"/>
        </w:rPr>
      </w:pPr>
    </w:p>
    <w:p w14:paraId="5F0119B0" w14:textId="00E5CCB7" w:rsidR="000F579F" w:rsidRPr="000F579F" w:rsidRDefault="000F579F" w:rsidP="00E258E7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AU"/>
        </w:rPr>
      </w:pPr>
      <w:r w:rsidRPr="000F579F">
        <w:rPr>
          <w:rFonts w:eastAsia="Times New Roman" w:cs="Times New Roman"/>
          <w:b/>
          <w:sz w:val="24"/>
          <w:szCs w:val="24"/>
          <w:u w:val="single"/>
          <w:lang w:eastAsia="en-AU"/>
        </w:rPr>
        <w:t>Total amount of surface water available for taking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 from ACT Water Resource Plan</w:t>
      </w:r>
      <w:r w:rsidR="00C528CD"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 (Surface Water)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 </w:t>
      </w:r>
      <w:r w:rsidR="00DB161A"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water management 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>area</w:t>
      </w:r>
    </w:p>
    <w:p w14:paraId="48435E49" w14:textId="77777777" w:rsidR="000F579F" w:rsidRDefault="000F579F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5B84FF31" w14:textId="093F4F20" w:rsidR="00F467D0" w:rsidRDefault="00F467D0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Maximum </w:t>
      </w:r>
      <w:r w:rsidR="00322A9D">
        <w:rPr>
          <w:rFonts w:eastAsia="Times New Roman" w:cs="Times New Roman"/>
          <w:sz w:val="24"/>
          <w:szCs w:val="24"/>
          <w:lang w:eastAsia="en-AU"/>
        </w:rPr>
        <w:t>surface water available for taking</w:t>
      </w:r>
      <w:r w:rsidR="008B5606">
        <w:rPr>
          <w:rFonts w:eastAsia="Times New Roman" w:cs="Times New Roman"/>
          <w:sz w:val="24"/>
          <w:szCs w:val="24"/>
          <w:lang w:eastAsia="en-AU"/>
        </w:rPr>
        <w:t xml:space="preserve"> (G</w:t>
      </w:r>
      <w:r>
        <w:rPr>
          <w:rFonts w:eastAsia="Times New Roman" w:cs="Times New Roman"/>
          <w:sz w:val="24"/>
          <w:szCs w:val="24"/>
          <w:lang w:eastAsia="en-AU"/>
        </w:rPr>
        <w:t>L</w:t>
      </w:r>
      <w:r w:rsidR="008B5606">
        <w:rPr>
          <w:rFonts w:eastAsia="Times New Roman" w:cs="Times New Roman"/>
          <w:sz w:val="24"/>
          <w:szCs w:val="24"/>
          <w:lang w:eastAsia="en-AU"/>
        </w:rPr>
        <w:t xml:space="preserve"> per annum</w:t>
      </w:r>
      <w:r>
        <w:rPr>
          <w:rFonts w:eastAsia="Times New Roman" w:cs="Times New Roman"/>
          <w:sz w:val="24"/>
          <w:szCs w:val="24"/>
          <w:lang w:eastAsia="en-AU"/>
        </w:rPr>
        <w:t xml:space="preserve">) from </w:t>
      </w:r>
      <w:r w:rsidR="000F579F">
        <w:rPr>
          <w:rFonts w:eastAsia="Times New Roman" w:cs="Times New Roman"/>
          <w:sz w:val="24"/>
          <w:szCs w:val="24"/>
          <w:lang w:eastAsia="en-AU"/>
        </w:rPr>
        <w:t xml:space="preserve">ACT Water Resource Plan </w:t>
      </w:r>
      <w:r w:rsidR="00DB161A">
        <w:rPr>
          <w:rFonts w:eastAsia="Times New Roman" w:cs="Times New Roman"/>
          <w:sz w:val="24"/>
          <w:szCs w:val="24"/>
          <w:lang w:eastAsia="en-AU"/>
        </w:rPr>
        <w:t xml:space="preserve">(Surface water) water management </w:t>
      </w:r>
      <w:r w:rsidR="000F579F">
        <w:rPr>
          <w:rFonts w:eastAsia="Times New Roman" w:cs="Times New Roman"/>
          <w:sz w:val="24"/>
          <w:szCs w:val="24"/>
          <w:lang w:eastAsia="en-AU"/>
        </w:rPr>
        <w:t xml:space="preserve">area - </w:t>
      </w:r>
      <w:r w:rsidRPr="00F467D0">
        <w:rPr>
          <w:rFonts w:eastAsia="Times New Roman" w:cs="Times New Roman"/>
          <w:sz w:val="24"/>
          <w:szCs w:val="24"/>
          <w:lang w:eastAsia="en-AU"/>
        </w:rPr>
        <w:t>The ACT’s overall total surface water available for tak</w:t>
      </w:r>
      <w:r w:rsidR="00322A9D">
        <w:rPr>
          <w:rFonts w:eastAsia="Times New Roman" w:cs="Times New Roman"/>
          <w:sz w:val="24"/>
          <w:szCs w:val="24"/>
          <w:lang w:eastAsia="en-AU"/>
        </w:rPr>
        <w:t>ing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 is limited </w:t>
      </w:r>
      <w:r w:rsidR="00C528CD">
        <w:rPr>
          <w:rFonts w:eastAsia="Times New Roman" w:cs="Times New Roman"/>
          <w:sz w:val="24"/>
          <w:szCs w:val="24"/>
          <w:lang w:eastAsia="en-AU"/>
        </w:rPr>
        <w:t xml:space="preserve">and shall be managed such as to not exceed 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the ACT’s surface water Sustainable Diversion Limit, </w:t>
      </w:r>
      <w:r w:rsidR="000F579F">
        <w:rPr>
          <w:rFonts w:eastAsia="Times New Roman" w:cs="Times New Roman"/>
          <w:sz w:val="24"/>
          <w:szCs w:val="24"/>
          <w:lang w:eastAsia="en-AU"/>
        </w:rPr>
        <w:t xml:space="preserve">as detailed in the ACT Water Resource Plan, </w:t>
      </w:r>
      <w:r w:rsidRPr="00F467D0">
        <w:rPr>
          <w:rFonts w:eastAsia="Times New Roman" w:cs="Times New Roman"/>
          <w:sz w:val="24"/>
          <w:szCs w:val="24"/>
          <w:lang w:eastAsia="en-AU"/>
        </w:rPr>
        <w:t>unde</w:t>
      </w:r>
      <w:r w:rsidR="00C528CD">
        <w:rPr>
          <w:rFonts w:eastAsia="Times New Roman" w:cs="Times New Roman"/>
          <w:sz w:val="24"/>
          <w:szCs w:val="24"/>
          <w:lang w:eastAsia="en-AU"/>
        </w:rPr>
        <w:t>r the Murray-Darling Basin Plan</w:t>
      </w:r>
      <w:r w:rsidR="00F0438A">
        <w:rPr>
          <w:rFonts w:eastAsia="Times New Roman" w:cs="Times New Roman"/>
          <w:sz w:val="24"/>
          <w:szCs w:val="24"/>
          <w:lang w:eastAsia="en-AU"/>
        </w:rPr>
        <w:t>:</w:t>
      </w:r>
    </w:p>
    <w:p w14:paraId="183EF17D" w14:textId="77777777" w:rsidR="00F467D0" w:rsidRDefault="00F467D0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41C31776" w14:textId="708E8DA3" w:rsidR="00F467D0" w:rsidRDefault="00F467D0" w:rsidP="00F0438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AU"/>
        </w:rPr>
      </w:pPr>
      <w:r w:rsidRPr="00F467D0">
        <w:rPr>
          <w:rFonts w:eastAsia="Times New Roman" w:cs="Times New Roman"/>
          <w:sz w:val="24"/>
          <w:szCs w:val="24"/>
          <w:lang w:eastAsia="en-AU"/>
        </w:rPr>
        <w:t>42</w:t>
      </w:r>
      <w:r w:rsidR="008B5606">
        <w:rPr>
          <w:rFonts w:eastAsia="Times New Roman" w:cs="Times New Roman"/>
          <w:sz w:val="24"/>
          <w:szCs w:val="24"/>
          <w:lang w:eastAsia="en-AU"/>
        </w:rPr>
        <w:t>.7 G</w:t>
      </w:r>
      <w:r w:rsidRPr="00F467D0">
        <w:rPr>
          <w:rFonts w:eastAsia="Times New Roman" w:cs="Times New Roman"/>
          <w:sz w:val="24"/>
          <w:szCs w:val="24"/>
          <w:lang w:eastAsia="en-AU"/>
        </w:rPr>
        <w:t>L</w:t>
      </w:r>
      <w:r w:rsidR="008B5606">
        <w:rPr>
          <w:rFonts w:eastAsia="Times New Roman" w:cs="Times New Roman"/>
          <w:sz w:val="24"/>
          <w:szCs w:val="24"/>
          <w:lang w:eastAsia="en-AU"/>
        </w:rPr>
        <w:t xml:space="preserve"> per annum (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net </w:t>
      </w:r>
      <w:r>
        <w:rPr>
          <w:rFonts w:eastAsia="Times New Roman" w:cs="Times New Roman"/>
          <w:sz w:val="24"/>
          <w:szCs w:val="24"/>
          <w:lang w:eastAsia="en-AU"/>
        </w:rPr>
        <w:t xml:space="preserve">take </w:t>
      </w:r>
      <w:r w:rsidRPr="00F467D0">
        <w:rPr>
          <w:rFonts w:eastAsia="Times New Roman" w:cs="Times New Roman"/>
          <w:sz w:val="24"/>
          <w:szCs w:val="24"/>
          <w:lang w:eastAsia="en-AU"/>
        </w:rPr>
        <w:t>f</w:t>
      </w:r>
      <w:r w:rsidR="00971232">
        <w:rPr>
          <w:rFonts w:eastAsia="Times New Roman" w:cs="Times New Roman"/>
          <w:sz w:val="24"/>
          <w:szCs w:val="24"/>
          <w:lang w:eastAsia="en-AU"/>
        </w:rPr>
        <w:t>rom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 water courses</w:t>
      </w:r>
      <w:r w:rsidR="008B5606">
        <w:rPr>
          <w:rFonts w:eastAsia="Times New Roman" w:cs="Times New Roman"/>
          <w:sz w:val="24"/>
          <w:szCs w:val="24"/>
          <w:lang w:eastAsia="en-AU"/>
        </w:rPr>
        <w:t>)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, </w:t>
      </w:r>
      <w:r>
        <w:rPr>
          <w:rFonts w:eastAsia="Times New Roman" w:cs="Times New Roman"/>
          <w:sz w:val="24"/>
          <w:szCs w:val="24"/>
          <w:lang w:eastAsia="en-AU"/>
        </w:rPr>
        <w:t>plus</w:t>
      </w:r>
    </w:p>
    <w:p w14:paraId="7467D58B" w14:textId="24181133" w:rsidR="00F467D0" w:rsidRDefault="00F467D0" w:rsidP="00F0438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AU"/>
        </w:rPr>
      </w:pPr>
      <w:r w:rsidRPr="00F467D0">
        <w:rPr>
          <w:rFonts w:eastAsia="Times New Roman" w:cs="Times New Roman"/>
          <w:sz w:val="24"/>
          <w:szCs w:val="24"/>
          <w:lang w:eastAsia="en-AU"/>
        </w:rPr>
        <w:t>11</w:t>
      </w:r>
      <w:r w:rsidR="008B5606">
        <w:rPr>
          <w:rFonts w:eastAsia="Times New Roman" w:cs="Times New Roman"/>
          <w:sz w:val="24"/>
          <w:szCs w:val="24"/>
          <w:lang w:eastAsia="en-AU"/>
        </w:rPr>
        <w:t xml:space="preserve"> GL per annum (</w:t>
      </w:r>
      <w:r w:rsidR="00322A9D">
        <w:rPr>
          <w:rFonts w:eastAsia="Times New Roman" w:cs="Times New Roman"/>
          <w:sz w:val="24"/>
          <w:szCs w:val="24"/>
          <w:lang w:eastAsia="en-AU"/>
        </w:rPr>
        <w:t xml:space="preserve">take </w:t>
      </w:r>
      <w:r w:rsidR="008B5606">
        <w:rPr>
          <w:rFonts w:eastAsia="Times New Roman" w:cs="Times New Roman"/>
          <w:sz w:val="24"/>
          <w:szCs w:val="24"/>
          <w:lang w:eastAsia="en-AU"/>
        </w:rPr>
        <w:t>by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 Commercial Plantations</w:t>
      </w:r>
      <w:r w:rsidR="008B5606">
        <w:rPr>
          <w:rFonts w:eastAsia="Times New Roman" w:cs="Times New Roman"/>
          <w:sz w:val="24"/>
          <w:szCs w:val="24"/>
          <w:lang w:eastAsia="en-AU"/>
        </w:rPr>
        <w:t>)</w:t>
      </w:r>
      <w:r w:rsidRPr="00F467D0">
        <w:rPr>
          <w:rFonts w:eastAsia="Times New Roman" w:cs="Times New Roman"/>
          <w:sz w:val="24"/>
          <w:szCs w:val="24"/>
          <w:lang w:eastAsia="en-AU"/>
        </w:rPr>
        <w:t xml:space="preserve">, </w:t>
      </w:r>
      <w:r>
        <w:rPr>
          <w:rFonts w:eastAsia="Times New Roman" w:cs="Times New Roman"/>
          <w:sz w:val="24"/>
          <w:szCs w:val="24"/>
          <w:lang w:eastAsia="en-AU"/>
        </w:rPr>
        <w:t>plus</w:t>
      </w:r>
    </w:p>
    <w:p w14:paraId="4E7820DE" w14:textId="2D06227E" w:rsidR="00F467D0" w:rsidRDefault="00C528CD" w:rsidP="00F0438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AU"/>
        </w:rPr>
      </w:pPr>
      <w:r w:rsidRPr="008B5606">
        <w:rPr>
          <w:rFonts w:eastAsia="Times New Roman" w:cs="Times New Roman"/>
          <w:sz w:val="24"/>
          <w:szCs w:val="24"/>
          <w:lang w:eastAsia="en-AU"/>
        </w:rPr>
        <w:t>4</w:t>
      </w:r>
      <w:r w:rsidR="008B5606" w:rsidRPr="008B5606">
        <w:rPr>
          <w:rFonts w:eastAsia="Times New Roman" w:cs="Times New Roman"/>
          <w:sz w:val="24"/>
          <w:szCs w:val="24"/>
          <w:lang w:eastAsia="en-AU"/>
        </w:rPr>
        <w:t>.</w:t>
      </w:r>
      <w:r w:rsidRPr="008B5606">
        <w:rPr>
          <w:rFonts w:eastAsia="Times New Roman" w:cs="Times New Roman"/>
          <w:sz w:val="24"/>
          <w:szCs w:val="24"/>
          <w:lang w:eastAsia="en-AU"/>
        </w:rPr>
        <w:t>2</w:t>
      </w:r>
      <w:r w:rsidR="008B5606" w:rsidRPr="008B5606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8B5606">
        <w:rPr>
          <w:rFonts w:eastAsia="Times New Roman" w:cs="Times New Roman"/>
          <w:sz w:val="24"/>
          <w:szCs w:val="24"/>
          <w:lang w:eastAsia="en-AU"/>
        </w:rPr>
        <w:t>GL per annum</w:t>
      </w:r>
      <w:r w:rsidR="00F467D0" w:rsidRPr="00F467D0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8B5606">
        <w:rPr>
          <w:rFonts w:eastAsia="Times New Roman" w:cs="Times New Roman"/>
          <w:sz w:val="24"/>
          <w:szCs w:val="24"/>
          <w:lang w:eastAsia="en-AU"/>
        </w:rPr>
        <w:t>(</w:t>
      </w:r>
      <w:r w:rsidR="00322A9D">
        <w:rPr>
          <w:rFonts w:eastAsia="Times New Roman" w:cs="Times New Roman"/>
          <w:sz w:val="24"/>
          <w:szCs w:val="24"/>
          <w:lang w:eastAsia="en-AU"/>
        </w:rPr>
        <w:t xml:space="preserve">take </w:t>
      </w:r>
      <w:r w:rsidR="008B5606">
        <w:rPr>
          <w:rFonts w:eastAsia="Times New Roman" w:cs="Times New Roman"/>
          <w:sz w:val="24"/>
          <w:szCs w:val="24"/>
          <w:lang w:eastAsia="en-AU"/>
        </w:rPr>
        <w:t>by</w:t>
      </w:r>
      <w:r w:rsidR="00F467D0" w:rsidRPr="00F467D0">
        <w:rPr>
          <w:rFonts w:eastAsia="Times New Roman" w:cs="Times New Roman"/>
          <w:sz w:val="24"/>
          <w:szCs w:val="24"/>
          <w:lang w:eastAsia="en-AU"/>
        </w:rPr>
        <w:t xml:space="preserve"> Runoff Dams</w:t>
      </w:r>
      <w:r w:rsidR="008B5606">
        <w:rPr>
          <w:rFonts w:eastAsia="Times New Roman" w:cs="Times New Roman"/>
          <w:sz w:val="24"/>
          <w:szCs w:val="24"/>
          <w:lang w:eastAsia="en-AU"/>
        </w:rPr>
        <w:t>)</w:t>
      </w:r>
      <w:r w:rsidR="00F467D0">
        <w:rPr>
          <w:rFonts w:eastAsia="Times New Roman" w:cs="Times New Roman"/>
          <w:sz w:val="24"/>
          <w:szCs w:val="24"/>
          <w:lang w:eastAsia="en-AU"/>
        </w:rPr>
        <w:t>, plus</w:t>
      </w:r>
    </w:p>
    <w:p w14:paraId="00F4BFB0" w14:textId="77777777" w:rsidR="00F467D0" w:rsidRDefault="00F467D0" w:rsidP="00F0438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Net interstate trade volume (trade into ACT minus trade out of ACT).</w:t>
      </w:r>
    </w:p>
    <w:p w14:paraId="486A719E" w14:textId="77777777" w:rsidR="00F467D0" w:rsidRDefault="00F467D0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391E54CD" w14:textId="7A20EFCE" w:rsidR="00304D7C" w:rsidRDefault="00304D7C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Times New Roman"/>
          <w:sz w:val="20"/>
          <w:szCs w:val="20"/>
          <w:lang w:eastAsia="en-AU"/>
        </w:rPr>
        <w:t xml:space="preserve">Note 1. The net take from water courses is calculated based on the gross take from water courses less return flows </w:t>
      </w:r>
      <w:r w:rsidR="00204326">
        <w:rPr>
          <w:rFonts w:eastAsia="Times New Roman" w:cs="Times New Roman"/>
          <w:sz w:val="20"/>
          <w:szCs w:val="20"/>
          <w:lang w:eastAsia="en-AU"/>
        </w:rPr>
        <w:t>which include discharges to waterways from</w:t>
      </w:r>
      <w:r>
        <w:rPr>
          <w:rFonts w:eastAsia="Times New Roman" w:cs="Times New Roman"/>
          <w:sz w:val="20"/>
          <w:szCs w:val="20"/>
          <w:lang w:eastAsia="en-AU"/>
        </w:rPr>
        <w:t xml:space="preserve"> sewage treatment plants (the Lower Molonglo Water Quality Control Centre and the Quea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nbeyan Sewage Treatment Plant). Under the ACT Water Resource Plan it is proposed that </w:t>
      </w:r>
      <w:r w:rsidRPr="008B5606">
        <w:rPr>
          <w:rFonts w:eastAsia="Times New Roman" w:cs="Times New Roman"/>
          <w:sz w:val="20"/>
          <w:szCs w:val="20"/>
          <w:lang w:eastAsia="en-AU"/>
        </w:rPr>
        <w:t>increased flows (stormwater runoff) as a result of increased urban</w:t>
      </w:r>
      <w:r w:rsidR="00204326" w:rsidRPr="008B5606">
        <w:rPr>
          <w:rFonts w:eastAsia="Times New Roman" w:cs="Times New Roman"/>
          <w:sz w:val="20"/>
          <w:szCs w:val="20"/>
          <w:lang w:eastAsia="en-AU"/>
        </w:rPr>
        <w:t>isation (increased</w:t>
      </w:r>
      <w:r w:rsidRPr="008B5606">
        <w:rPr>
          <w:rFonts w:eastAsia="Times New Roman" w:cs="Times New Roman"/>
          <w:sz w:val="20"/>
          <w:szCs w:val="20"/>
          <w:lang w:eastAsia="en-AU"/>
        </w:rPr>
        <w:t xml:space="preserve"> impervious areas</w:t>
      </w:r>
      <w:r w:rsidR="00204326" w:rsidRPr="008B5606">
        <w:rPr>
          <w:rFonts w:eastAsia="Times New Roman" w:cs="Times New Roman"/>
          <w:sz w:val="20"/>
          <w:szCs w:val="20"/>
          <w:lang w:eastAsia="en-AU"/>
        </w:rPr>
        <w:t>)</w:t>
      </w:r>
      <w:r w:rsidRPr="008B5606">
        <w:rPr>
          <w:rFonts w:eastAsia="Times New Roman" w:cs="Times New Roman"/>
          <w:sz w:val="20"/>
          <w:szCs w:val="20"/>
          <w:lang w:eastAsia="en-AU"/>
        </w:rPr>
        <w:t xml:space="preserve"> since July 2009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 are also included as a return flow for calculating net take</w:t>
      </w:r>
      <w:r w:rsidRPr="008B5606">
        <w:rPr>
          <w:rFonts w:eastAsia="Times New Roman" w:cs="Times New Roman"/>
          <w:sz w:val="20"/>
          <w:szCs w:val="20"/>
          <w:lang w:eastAsia="en-AU"/>
        </w:rPr>
        <w:t>.</w:t>
      </w:r>
    </w:p>
    <w:p w14:paraId="5BA7FF3B" w14:textId="77777777" w:rsidR="00304D7C" w:rsidRDefault="00304D7C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14:paraId="0A14EE5A" w14:textId="6E94FA00" w:rsidR="00C528CD" w:rsidRDefault="00C528CD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E213B0">
        <w:rPr>
          <w:rFonts w:eastAsia="Times New Roman" w:cs="Times New Roman"/>
          <w:sz w:val="20"/>
          <w:szCs w:val="20"/>
          <w:lang w:eastAsia="en-AU"/>
        </w:rPr>
        <w:t>Note</w:t>
      </w:r>
      <w:r w:rsidR="00304D7C">
        <w:rPr>
          <w:rFonts w:eastAsia="Times New Roman" w:cs="Times New Roman"/>
          <w:sz w:val="20"/>
          <w:szCs w:val="20"/>
          <w:lang w:eastAsia="en-AU"/>
        </w:rPr>
        <w:t xml:space="preserve"> 2</w:t>
      </w:r>
      <w:r w:rsidRPr="00E213B0">
        <w:rPr>
          <w:rFonts w:eastAsia="Times New Roman" w:cs="Times New Roman"/>
          <w:sz w:val="20"/>
          <w:szCs w:val="20"/>
          <w:lang w:eastAsia="en-AU"/>
        </w:rPr>
        <w:t>. In addition to these total amounts of surface water available for taking from t</w:t>
      </w:r>
      <w:r w:rsidR="00B96671">
        <w:rPr>
          <w:rFonts w:eastAsia="Times New Roman" w:cs="Times New Roman"/>
          <w:sz w:val="20"/>
          <w:szCs w:val="20"/>
          <w:lang w:eastAsia="en-AU"/>
        </w:rPr>
        <w:t>he ACT water resource plan area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, the maximum amount of water available for taking from individual </w:t>
      </w:r>
      <w:r>
        <w:rPr>
          <w:rFonts w:eastAsia="Times New Roman" w:cs="Times New Roman"/>
          <w:sz w:val="20"/>
          <w:szCs w:val="20"/>
          <w:lang w:eastAsia="en-AU"/>
        </w:rPr>
        <w:t xml:space="preserve">sub 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water management areas is </w:t>
      </w:r>
      <w:r>
        <w:rPr>
          <w:rFonts w:eastAsia="Times New Roman" w:cs="Times New Roman"/>
          <w:sz w:val="20"/>
          <w:szCs w:val="20"/>
          <w:lang w:eastAsia="en-AU"/>
        </w:rPr>
        <w:t>limited and shall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 be managed such as</w:t>
      </w:r>
      <w:r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to </w:t>
      </w:r>
      <w:r>
        <w:rPr>
          <w:rFonts w:eastAsia="Times New Roman" w:cs="Times New Roman"/>
          <w:sz w:val="20"/>
          <w:szCs w:val="20"/>
          <w:lang w:eastAsia="en-AU"/>
        </w:rPr>
        <w:t xml:space="preserve">not exceed the volumes 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listed in Table 1.  </w:t>
      </w:r>
    </w:p>
    <w:p w14:paraId="781F7460" w14:textId="77777777" w:rsidR="008B5606" w:rsidRDefault="008B5606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</w:p>
    <w:p w14:paraId="69C07C23" w14:textId="12345CE6" w:rsidR="008B5606" w:rsidRPr="00E213B0" w:rsidRDefault="008B5606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>
        <w:rPr>
          <w:rFonts w:eastAsia="Times New Roman" w:cs="Times New Roman"/>
          <w:sz w:val="20"/>
          <w:szCs w:val="20"/>
          <w:lang w:eastAsia="en-AU"/>
        </w:rPr>
        <w:t xml:space="preserve">Note 3. The ACT is also required to provide a </w:t>
      </w:r>
      <w:r w:rsidRPr="008B5606">
        <w:rPr>
          <w:rFonts w:eastAsia="Times New Roman" w:cs="Times New Roman"/>
          <w:sz w:val="20"/>
          <w:szCs w:val="20"/>
          <w:lang w:eastAsia="en-AU"/>
        </w:rPr>
        <w:t>shared reduction amount (4.9 GL per annum</w:t>
      </w:r>
      <w:r>
        <w:rPr>
          <w:rFonts w:eastAsia="Times New Roman" w:cs="Times New Roman"/>
          <w:sz w:val="20"/>
          <w:szCs w:val="20"/>
          <w:lang w:eastAsia="en-AU"/>
        </w:rPr>
        <w:t>), which was</w:t>
      </w:r>
      <w:r w:rsidRPr="008B5606">
        <w:rPr>
          <w:rFonts w:eastAsia="Times New Roman" w:cs="Times New Roman"/>
          <w:sz w:val="20"/>
          <w:szCs w:val="20"/>
          <w:lang w:eastAsia="en-AU"/>
        </w:rPr>
        <w:t xml:space="preserve"> provided through water trade to the Commonwealth Government</w:t>
      </w:r>
      <w:r>
        <w:rPr>
          <w:rFonts w:eastAsia="Times New Roman" w:cs="Times New Roman"/>
          <w:sz w:val="20"/>
          <w:szCs w:val="20"/>
          <w:lang w:eastAsia="en-AU"/>
        </w:rPr>
        <w:t xml:space="preserve"> in 2013/14.</w:t>
      </w:r>
    </w:p>
    <w:p w14:paraId="5A99F4D3" w14:textId="77777777" w:rsidR="00C528CD" w:rsidRDefault="00C528CD" w:rsidP="00393D74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AU"/>
        </w:rPr>
      </w:pPr>
    </w:p>
    <w:p w14:paraId="5F521CCA" w14:textId="77777777" w:rsidR="00C528CD" w:rsidRDefault="00C528CD" w:rsidP="00393D74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AU"/>
        </w:rPr>
      </w:pPr>
    </w:p>
    <w:p w14:paraId="2CC61AE8" w14:textId="0AEB2B40" w:rsidR="00393D74" w:rsidRPr="000F579F" w:rsidRDefault="00393D74" w:rsidP="00393D74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AU"/>
        </w:rPr>
      </w:pPr>
      <w:r w:rsidRPr="000F579F"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Total amount of 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>ground</w:t>
      </w:r>
      <w:r w:rsidRPr="000F579F">
        <w:rPr>
          <w:rFonts w:eastAsia="Times New Roman" w:cs="Times New Roman"/>
          <w:b/>
          <w:sz w:val="24"/>
          <w:szCs w:val="24"/>
          <w:u w:val="single"/>
          <w:lang w:eastAsia="en-AU"/>
        </w:rPr>
        <w:t>water available for taking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 from ACT Water Resource Plan </w:t>
      </w:r>
      <w:r w:rsidR="00C528CD"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(Groundwater) </w:t>
      </w:r>
      <w:r w:rsidR="00DB161A">
        <w:rPr>
          <w:rFonts w:eastAsia="Times New Roman" w:cs="Times New Roman"/>
          <w:b/>
          <w:sz w:val="24"/>
          <w:szCs w:val="24"/>
          <w:u w:val="single"/>
          <w:lang w:eastAsia="en-AU"/>
        </w:rPr>
        <w:t xml:space="preserve">water management </w:t>
      </w:r>
      <w:r>
        <w:rPr>
          <w:rFonts w:eastAsia="Times New Roman" w:cs="Times New Roman"/>
          <w:b/>
          <w:sz w:val="24"/>
          <w:szCs w:val="24"/>
          <w:u w:val="single"/>
          <w:lang w:eastAsia="en-AU"/>
        </w:rPr>
        <w:t>area</w:t>
      </w:r>
    </w:p>
    <w:p w14:paraId="470312E4" w14:textId="77777777" w:rsidR="00393D74" w:rsidRDefault="00393D74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5BF8A226" w14:textId="419B62BA" w:rsidR="000F579F" w:rsidRDefault="000F579F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0F579F">
        <w:rPr>
          <w:rFonts w:eastAsia="Times New Roman" w:cs="Times New Roman"/>
          <w:sz w:val="24"/>
          <w:szCs w:val="24"/>
          <w:lang w:eastAsia="en-AU"/>
        </w:rPr>
        <w:t xml:space="preserve">Maximum </w:t>
      </w:r>
      <w:r w:rsidR="00322A9D">
        <w:rPr>
          <w:rFonts w:eastAsia="Times New Roman" w:cs="Times New Roman"/>
          <w:sz w:val="24"/>
          <w:szCs w:val="24"/>
          <w:lang w:eastAsia="en-AU"/>
        </w:rPr>
        <w:t>groundwater available for taking (</w:t>
      </w:r>
      <w:r w:rsidR="008B5606">
        <w:rPr>
          <w:rFonts w:eastAsia="Times New Roman" w:cs="Times New Roman"/>
          <w:sz w:val="24"/>
          <w:szCs w:val="24"/>
          <w:lang w:eastAsia="en-AU"/>
        </w:rPr>
        <w:t>GL per annum</w:t>
      </w:r>
      <w:r w:rsidR="00322A9D">
        <w:rPr>
          <w:rFonts w:eastAsia="Times New Roman" w:cs="Times New Roman"/>
          <w:sz w:val="24"/>
          <w:szCs w:val="24"/>
          <w:lang w:eastAsia="en-AU"/>
        </w:rPr>
        <w:t xml:space="preserve">) from ACT Water Resource Plan </w:t>
      </w:r>
      <w:r w:rsidR="00DB161A">
        <w:rPr>
          <w:rFonts w:eastAsia="Times New Roman" w:cs="Times New Roman"/>
          <w:sz w:val="24"/>
          <w:szCs w:val="24"/>
          <w:lang w:eastAsia="en-AU"/>
        </w:rPr>
        <w:t xml:space="preserve">(Groundwater) water management </w:t>
      </w:r>
      <w:r w:rsidR="00322A9D">
        <w:rPr>
          <w:rFonts w:eastAsia="Times New Roman" w:cs="Times New Roman"/>
          <w:sz w:val="24"/>
          <w:szCs w:val="24"/>
          <w:lang w:eastAsia="en-AU"/>
        </w:rPr>
        <w:t xml:space="preserve">area </w:t>
      </w:r>
      <w:r w:rsidR="00393D74">
        <w:rPr>
          <w:rFonts w:eastAsia="Times New Roman" w:cs="Times New Roman"/>
          <w:sz w:val="24"/>
          <w:szCs w:val="24"/>
          <w:lang w:eastAsia="en-AU"/>
        </w:rPr>
        <w:t xml:space="preserve">- </w:t>
      </w:r>
      <w:r w:rsidRPr="000F579F">
        <w:rPr>
          <w:rFonts w:eastAsia="Times New Roman" w:cs="Times New Roman"/>
          <w:sz w:val="24"/>
          <w:szCs w:val="24"/>
          <w:lang w:eastAsia="en-AU"/>
        </w:rPr>
        <w:t>The ACT’s overall total groundwater available for tak</w:t>
      </w:r>
      <w:r w:rsidR="00322A9D">
        <w:rPr>
          <w:rFonts w:eastAsia="Times New Roman" w:cs="Times New Roman"/>
          <w:sz w:val="24"/>
          <w:szCs w:val="24"/>
          <w:lang w:eastAsia="en-AU"/>
        </w:rPr>
        <w:t>ing</w:t>
      </w:r>
      <w:r w:rsidRPr="000F579F">
        <w:rPr>
          <w:rFonts w:eastAsia="Times New Roman" w:cs="Times New Roman"/>
          <w:sz w:val="24"/>
          <w:szCs w:val="24"/>
          <w:lang w:eastAsia="en-AU"/>
        </w:rPr>
        <w:t xml:space="preserve"> is limited </w:t>
      </w:r>
      <w:r w:rsidR="00DB161A">
        <w:rPr>
          <w:rFonts w:eastAsia="Times New Roman" w:cs="Times New Roman"/>
          <w:sz w:val="24"/>
          <w:szCs w:val="24"/>
          <w:lang w:eastAsia="en-AU"/>
        </w:rPr>
        <w:t xml:space="preserve">and shall be managed such as to not exceed </w:t>
      </w:r>
      <w:r w:rsidR="00DB161A" w:rsidRPr="00F467D0">
        <w:rPr>
          <w:rFonts w:eastAsia="Times New Roman" w:cs="Times New Roman"/>
          <w:sz w:val="24"/>
          <w:szCs w:val="24"/>
          <w:lang w:eastAsia="en-AU"/>
        </w:rPr>
        <w:t xml:space="preserve">the </w:t>
      </w:r>
      <w:r w:rsidRPr="000F579F">
        <w:rPr>
          <w:rFonts w:eastAsia="Times New Roman" w:cs="Times New Roman"/>
          <w:sz w:val="24"/>
          <w:szCs w:val="24"/>
          <w:lang w:eastAsia="en-AU"/>
        </w:rPr>
        <w:t xml:space="preserve">ACT’s groundwater Sustainable Diversion Limit, </w:t>
      </w:r>
      <w:r w:rsidR="00564C73">
        <w:rPr>
          <w:rFonts w:eastAsia="Times New Roman" w:cs="Times New Roman"/>
          <w:sz w:val="24"/>
          <w:szCs w:val="24"/>
          <w:lang w:eastAsia="en-AU"/>
        </w:rPr>
        <w:t xml:space="preserve">as detailed in the ACT Water Resource Plan, </w:t>
      </w:r>
      <w:r w:rsidRPr="000F579F">
        <w:rPr>
          <w:rFonts w:eastAsia="Times New Roman" w:cs="Times New Roman"/>
          <w:sz w:val="24"/>
          <w:szCs w:val="24"/>
          <w:lang w:eastAsia="en-AU"/>
        </w:rPr>
        <w:t>under the Murray-Darling Basin Plan, of 3</w:t>
      </w:r>
      <w:r w:rsidR="008B5606">
        <w:rPr>
          <w:rFonts w:eastAsia="Times New Roman" w:cs="Times New Roman"/>
          <w:sz w:val="24"/>
          <w:szCs w:val="24"/>
          <w:lang w:eastAsia="en-AU"/>
        </w:rPr>
        <w:t>.</w:t>
      </w:r>
      <w:r w:rsidRPr="000F579F">
        <w:rPr>
          <w:rFonts w:eastAsia="Times New Roman" w:cs="Times New Roman"/>
          <w:sz w:val="24"/>
          <w:szCs w:val="24"/>
          <w:lang w:eastAsia="en-AU"/>
        </w:rPr>
        <w:t>16</w:t>
      </w:r>
      <w:r w:rsidR="008B5606">
        <w:rPr>
          <w:rFonts w:eastAsia="Times New Roman" w:cs="Times New Roman"/>
          <w:sz w:val="24"/>
          <w:szCs w:val="24"/>
          <w:lang w:eastAsia="en-AU"/>
        </w:rPr>
        <w:t xml:space="preserve"> GL per </w:t>
      </w:r>
      <w:r w:rsidR="00DB161A">
        <w:rPr>
          <w:rFonts w:eastAsia="Times New Roman" w:cs="Times New Roman"/>
          <w:sz w:val="24"/>
          <w:szCs w:val="24"/>
          <w:lang w:eastAsia="en-AU"/>
        </w:rPr>
        <w:t>an</w:t>
      </w:r>
      <w:r w:rsidR="008B5606">
        <w:rPr>
          <w:rFonts w:eastAsia="Times New Roman" w:cs="Times New Roman"/>
          <w:sz w:val="24"/>
          <w:szCs w:val="24"/>
          <w:lang w:eastAsia="en-AU"/>
        </w:rPr>
        <w:t>num</w:t>
      </w:r>
      <w:r w:rsidRPr="000F579F">
        <w:rPr>
          <w:rFonts w:eastAsia="Times New Roman" w:cs="Times New Roman"/>
          <w:sz w:val="24"/>
          <w:szCs w:val="24"/>
          <w:lang w:eastAsia="en-AU"/>
        </w:rPr>
        <w:t>.</w:t>
      </w:r>
    </w:p>
    <w:p w14:paraId="6C71662A" w14:textId="77777777" w:rsidR="000F579F" w:rsidRDefault="000F579F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023A5F4F" w14:textId="77777777" w:rsidR="00564C73" w:rsidRDefault="00564C73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14671DD0" w14:textId="01275FA0" w:rsidR="00564C73" w:rsidRPr="00E213B0" w:rsidRDefault="00322A9D" w:rsidP="00E258E7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E213B0">
        <w:rPr>
          <w:rFonts w:eastAsia="Times New Roman" w:cs="Times New Roman"/>
          <w:sz w:val="20"/>
          <w:szCs w:val="20"/>
          <w:lang w:eastAsia="en-AU"/>
        </w:rPr>
        <w:t>Note</w:t>
      </w:r>
      <w:r w:rsidR="00204326">
        <w:rPr>
          <w:rFonts w:eastAsia="Times New Roman" w:cs="Times New Roman"/>
          <w:sz w:val="20"/>
          <w:szCs w:val="20"/>
          <w:lang w:eastAsia="en-AU"/>
        </w:rPr>
        <w:t xml:space="preserve"> </w:t>
      </w:r>
      <w:r w:rsidR="008B5606">
        <w:rPr>
          <w:rFonts w:eastAsia="Times New Roman" w:cs="Times New Roman"/>
          <w:sz w:val="20"/>
          <w:szCs w:val="20"/>
          <w:lang w:eastAsia="en-AU"/>
        </w:rPr>
        <w:t>4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. </w:t>
      </w:r>
      <w:r w:rsidR="00AF44AC" w:rsidRPr="00E213B0">
        <w:rPr>
          <w:rFonts w:eastAsia="Times New Roman" w:cs="Times New Roman"/>
          <w:sz w:val="20"/>
          <w:szCs w:val="20"/>
          <w:lang w:eastAsia="en-AU"/>
        </w:rPr>
        <w:t>In addition to these t</w:t>
      </w:r>
      <w:r w:rsidR="00564C73" w:rsidRPr="00E213B0">
        <w:rPr>
          <w:rFonts w:eastAsia="Times New Roman" w:cs="Times New Roman"/>
          <w:sz w:val="20"/>
          <w:szCs w:val="20"/>
          <w:lang w:eastAsia="en-AU"/>
        </w:rPr>
        <w:t xml:space="preserve">otal amounts of </w:t>
      </w:r>
      <w:r w:rsidR="00AF44AC" w:rsidRPr="00E213B0">
        <w:rPr>
          <w:rFonts w:eastAsia="Times New Roman" w:cs="Times New Roman"/>
          <w:sz w:val="20"/>
          <w:szCs w:val="20"/>
          <w:lang w:eastAsia="en-AU"/>
        </w:rPr>
        <w:t>groundwater availa</w:t>
      </w:r>
      <w:r w:rsidR="00564C73" w:rsidRPr="00E213B0">
        <w:rPr>
          <w:rFonts w:eastAsia="Times New Roman" w:cs="Times New Roman"/>
          <w:sz w:val="20"/>
          <w:szCs w:val="20"/>
          <w:lang w:eastAsia="en-AU"/>
        </w:rPr>
        <w:t>ble for taking from t</w:t>
      </w:r>
      <w:r w:rsidR="00B96671">
        <w:rPr>
          <w:rFonts w:eastAsia="Times New Roman" w:cs="Times New Roman"/>
          <w:sz w:val="20"/>
          <w:szCs w:val="20"/>
          <w:lang w:eastAsia="en-AU"/>
        </w:rPr>
        <w:t>he ACT water resource plan area</w:t>
      </w:r>
      <w:r w:rsidR="00564C73" w:rsidRPr="00E213B0">
        <w:rPr>
          <w:rFonts w:eastAsia="Times New Roman" w:cs="Times New Roman"/>
          <w:sz w:val="20"/>
          <w:szCs w:val="20"/>
          <w:lang w:eastAsia="en-AU"/>
        </w:rPr>
        <w:t xml:space="preserve">, the maximum amount of water available for taking from individual </w:t>
      </w:r>
      <w:r w:rsidR="00C528CD">
        <w:rPr>
          <w:rFonts w:eastAsia="Times New Roman" w:cs="Times New Roman"/>
          <w:sz w:val="20"/>
          <w:szCs w:val="20"/>
          <w:lang w:eastAsia="en-AU"/>
        </w:rPr>
        <w:t xml:space="preserve">sub </w:t>
      </w:r>
      <w:r w:rsidR="00564C73" w:rsidRPr="00E213B0">
        <w:rPr>
          <w:rFonts w:eastAsia="Times New Roman" w:cs="Times New Roman"/>
          <w:sz w:val="20"/>
          <w:szCs w:val="20"/>
          <w:lang w:eastAsia="en-AU"/>
        </w:rPr>
        <w:t xml:space="preserve">water management areas 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is </w:t>
      </w:r>
      <w:r w:rsidR="00C528CD">
        <w:rPr>
          <w:rFonts w:eastAsia="Times New Roman" w:cs="Times New Roman"/>
          <w:sz w:val="20"/>
          <w:szCs w:val="20"/>
          <w:lang w:eastAsia="en-AU"/>
        </w:rPr>
        <w:t xml:space="preserve">limited and shall 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be managed such as to </w:t>
      </w:r>
      <w:r w:rsidR="00C528CD">
        <w:rPr>
          <w:rFonts w:eastAsia="Times New Roman" w:cs="Times New Roman"/>
          <w:sz w:val="20"/>
          <w:szCs w:val="20"/>
          <w:lang w:eastAsia="en-AU"/>
        </w:rPr>
        <w:t xml:space="preserve">not exceed the volumes </w:t>
      </w:r>
      <w:r w:rsidRPr="00E213B0">
        <w:rPr>
          <w:rFonts w:eastAsia="Times New Roman" w:cs="Times New Roman"/>
          <w:sz w:val="20"/>
          <w:szCs w:val="20"/>
          <w:lang w:eastAsia="en-AU"/>
        </w:rPr>
        <w:t xml:space="preserve">listed in Table 1.  </w:t>
      </w:r>
    </w:p>
    <w:p w14:paraId="52EF6C50" w14:textId="77777777" w:rsidR="00322A9D" w:rsidRDefault="00322A9D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30CEEBCA" w14:textId="77777777" w:rsidR="00564C73" w:rsidRDefault="00564C73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75C7E22A" w14:textId="77777777" w:rsidR="00C528CD" w:rsidRDefault="00C528CD" w:rsidP="00E258E7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780EBC42" w14:textId="77777777" w:rsidR="00FA6B34" w:rsidRPr="00883D2F" w:rsidRDefault="00FA6B34" w:rsidP="00C528CD">
      <w:pPr>
        <w:keepNext/>
        <w:keepLines/>
        <w:spacing w:after="0" w:line="240" w:lineRule="auto"/>
        <w:rPr>
          <w:rFonts w:eastAsia="Times New Roman" w:cs="Times New Roman"/>
          <w:b/>
          <w:sz w:val="24"/>
          <w:szCs w:val="24"/>
          <w:lang w:eastAsia="en-AU"/>
        </w:rPr>
      </w:pPr>
      <w:r w:rsidRPr="00883D2F">
        <w:rPr>
          <w:rFonts w:eastAsia="Times New Roman" w:cs="Times New Roman"/>
          <w:b/>
          <w:sz w:val="24"/>
          <w:szCs w:val="24"/>
          <w:lang w:eastAsia="en-AU"/>
        </w:rPr>
        <w:t xml:space="preserve">Table 1: Water available for taking from each </w:t>
      </w:r>
      <w:r>
        <w:rPr>
          <w:rFonts w:eastAsia="Times New Roman" w:cs="Times New Roman"/>
          <w:b/>
          <w:sz w:val="24"/>
          <w:szCs w:val="24"/>
          <w:lang w:eastAsia="en-AU"/>
        </w:rPr>
        <w:t xml:space="preserve">sub </w:t>
      </w:r>
      <w:r w:rsidRPr="00883D2F">
        <w:rPr>
          <w:rFonts w:eastAsia="Times New Roman" w:cs="Times New Roman"/>
          <w:b/>
          <w:sz w:val="24"/>
          <w:szCs w:val="24"/>
          <w:lang w:eastAsia="en-AU"/>
        </w:rPr>
        <w:t>water management area</w:t>
      </w:r>
    </w:p>
    <w:tbl>
      <w:tblPr>
        <w:tblW w:w="89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95"/>
        <w:gridCol w:w="1559"/>
        <w:gridCol w:w="1701"/>
        <w:gridCol w:w="1560"/>
        <w:gridCol w:w="1701"/>
      </w:tblGrid>
      <w:tr w:rsidR="003A664D" w14:paraId="3E0C95D7" w14:textId="77777777" w:rsidTr="003A664D">
        <w:trPr>
          <w:cantSplit/>
          <w:trHeight w:val="1470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29D603E" w14:textId="2C661FF4" w:rsidR="003A664D" w:rsidRDefault="003A664D" w:rsidP="003A664D">
            <w:pPr>
              <w:spacing w:before="40" w:after="4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 Water Management 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7E3" w14:textId="77777777" w:rsidR="003A664D" w:rsidRDefault="003A664D" w:rsidP="003A664D">
            <w:pPr>
              <w:spacing w:before="40" w:after="4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ACT controlled surface water plus ground water (ML/yr)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4A9E69B" w14:textId="67B0390F" w:rsidR="003A664D" w:rsidRDefault="003A664D" w:rsidP="003A664D">
            <w:pPr>
              <w:spacing w:before="40" w:after="4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 environmental allocation (ML/yr)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B72" w14:textId="77777777" w:rsidR="003A664D" w:rsidRDefault="003A664D" w:rsidP="003A664D">
            <w:pPr>
              <w:spacing w:before="40" w:after="4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Maximum surface water available for taking (ML/yr)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64AA" w14:textId="77777777" w:rsidR="003A664D" w:rsidRDefault="003A664D" w:rsidP="003A664D">
            <w:pPr>
              <w:spacing w:before="40" w:after="4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Maximum ground water available for taking (ML/yr)</w:t>
            </w:r>
          </w:p>
        </w:tc>
      </w:tr>
      <w:tr w:rsidR="003A664D" w14:paraId="0F82D195" w14:textId="77777777" w:rsidTr="003A664D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D28E8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Central Molonglo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710EA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0C989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4F2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988D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</w:t>
            </w:r>
          </w:p>
        </w:tc>
      </w:tr>
      <w:tr w:rsidR="003A664D" w14:paraId="6255F5D0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F0D2F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Cotter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9858F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5B5B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DD2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84F4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2,050</w:t>
            </w:r>
          </w:p>
        </w:tc>
      </w:tr>
      <w:tr w:rsidR="003A664D" w14:paraId="2D9098B6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40E0C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Ginninderra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BA1E5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ECF9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C85E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9A94B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</w:tr>
      <w:tr w:rsidR="003A664D" w14:paraId="2C25C166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F3844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Googong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E3A61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2857C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D59D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AD3A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A664D" w14:paraId="15E94B8F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92DD6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Gudgenby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0450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51907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E235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DBBA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1,170</w:t>
            </w:r>
          </w:p>
        </w:tc>
      </w:tr>
      <w:tr w:rsidR="003A664D" w14:paraId="32F1C4C5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47063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Jerrabomberra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84BB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DD62B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011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BD40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A664D" w14:paraId="78B7DA28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68433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Molonglo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A48B4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2419BB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D14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79EE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</w:tr>
      <w:tr w:rsidR="003A664D" w14:paraId="7DA9CB4B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39335B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Murrumbidgee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40997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0D667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DA4E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C8E3F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</w:tr>
      <w:tr w:rsidR="003A664D" w14:paraId="72C0BE6F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8F63A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Queanbeyan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B0430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C5551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E0E4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D43D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A664D" w14:paraId="312BA7DB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6AA06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59235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6AF8D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AC2F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F707F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855</w:t>
            </w:r>
          </w:p>
        </w:tc>
      </w:tr>
      <w:tr w:rsidR="003A664D" w14:paraId="5588E6F6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34FBA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Paddys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6843D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BE0C5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996C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C6C0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909</w:t>
            </w:r>
          </w:p>
        </w:tc>
      </w:tr>
      <w:tr w:rsidR="003A664D" w14:paraId="09D91170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161D5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Tuggeranong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2E28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906B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B8BB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2A963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</w:tr>
      <w:tr w:rsidR="003A664D" w14:paraId="4594134E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E9A53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Upper Molonglo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35B88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B7A7F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5159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89CCC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3A664D" w14:paraId="10F74567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55EF7" w14:textId="77777777" w:rsidR="003A664D" w:rsidRDefault="003A664D" w:rsidP="00E830F4">
            <w:pPr>
              <w:spacing w:after="1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Upper Murrumbidgee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91C72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51EC7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7835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260C4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</w:t>
            </w:r>
          </w:p>
        </w:tc>
      </w:tr>
      <w:tr w:rsidR="003A664D" w14:paraId="3C48F2E8" w14:textId="77777777" w:rsidTr="00E830F4">
        <w:trPr>
          <w:trHeight w:val="567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E402E" w14:textId="77777777" w:rsidR="003A664D" w:rsidRDefault="003A664D" w:rsidP="00E830F4">
            <w:pPr>
              <w:spacing w:after="12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Overall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14A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393,960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32E4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198,680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74824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188,032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7BE6" w14:textId="77777777" w:rsidR="003A664D" w:rsidRDefault="003A664D" w:rsidP="00E830F4">
            <w:pPr>
              <w:spacing w:after="12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7,248</w:t>
            </w:r>
          </w:p>
        </w:tc>
      </w:tr>
    </w:tbl>
    <w:p w14:paraId="23F5B784" w14:textId="77777777" w:rsidR="005C3841" w:rsidRDefault="005C3841" w:rsidP="00132A34">
      <w:pPr>
        <w:autoSpaceDE w:val="0"/>
        <w:autoSpaceDN w:val="0"/>
        <w:adjustRightInd w:val="0"/>
        <w:spacing w:after="0" w:line="240" w:lineRule="auto"/>
        <w:ind w:right="-477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p w14:paraId="4D6B26A9" w14:textId="6447B9A0" w:rsidR="00C528CD" w:rsidRPr="00204326" w:rsidRDefault="00C528CD" w:rsidP="00C528CD">
      <w:pPr>
        <w:spacing w:after="0" w:line="240" w:lineRule="auto"/>
        <w:rPr>
          <w:rFonts w:eastAsia="Times New Roman" w:cs="Times New Roman"/>
          <w:sz w:val="20"/>
          <w:szCs w:val="20"/>
          <w:lang w:eastAsia="en-AU"/>
        </w:rPr>
      </w:pPr>
      <w:r w:rsidRPr="00204326"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  <w:t>Note</w:t>
      </w:r>
      <w:r w:rsidR="00204326" w:rsidRPr="00204326"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  <w:t xml:space="preserve"> 4</w:t>
      </w:r>
      <w:r w:rsidRPr="00204326"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  <w:t xml:space="preserve">: </w:t>
      </w:r>
      <w:r w:rsidRPr="00204326">
        <w:rPr>
          <w:rFonts w:eastAsia="Times New Roman" w:cs="Times New Roman"/>
          <w:sz w:val="20"/>
          <w:szCs w:val="20"/>
          <w:lang w:eastAsia="en-AU"/>
        </w:rPr>
        <w:t>T</w:t>
      </w:r>
      <w:r w:rsidR="00204326" w:rsidRPr="00204326">
        <w:rPr>
          <w:rFonts w:eastAsia="Times New Roman" w:cs="Times New Roman"/>
          <w:sz w:val="20"/>
          <w:szCs w:val="20"/>
          <w:lang w:eastAsia="en-AU"/>
        </w:rPr>
        <w:t xml:space="preserve">otal ACT controlled water and environmental allocations were derived from the </w:t>
      </w:r>
      <w:r w:rsidRPr="00204326">
        <w:rPr>
          <w:rFonts w:eastAsia="Times New Roman" w:cs="Times New Roman"/>
          <w:sz w:val="20"/>
          <w:szCs w:val="20"/>
          <w:lang w:eastAsia="en-AU"/>
        </w:rPr>
        <w:t xml:space="preserve">ACT Source Model </w:t>
      </w:r>
      <w:r w:rsidR="00204326" w:rsidRPr="00204326">
        <w:rPr>
          <w:rFonts w:eastAsia="Times New Roman" w:cs="Times New Roman"/>
          <w:sz w:val="20"/>
          <w:szCs w:val="20"/>
          <w:lang w:eastAsia="en-AU"/>
        </w:rPr>
        <w:t>(Alluvium 2018) and based on the current Environmental Flow Guidelines.</w:t>
      </w:r>
      <w:r w:rsidR="00DB161A">
        <w:rPr>
          <w:rFonts w:eastAsia="Times New Roman" w:cs="Times New Roman"/>
          <w:sz w:val="20"/>
          <w:szCs w:val="20"/>
          <w:lang w:eastAsia="en-AU"/>
        </w:rPr>
        <w:t xml:space="preserve"> 1 GL equals 1000 ML</w:t>
      </w:r>
    </w:p>
    <w:p w14:paraId="494E5B77" w14:textId="5E17AD95" w:rsidR="00C528CD" w:rsidRPr="0025496D" w:rsidRDefault="00C528CD" w:rsidP="00132A34">
      <w:pPr>
        <w:autoSpaceDE w:val="0"/>
        <w:autoSpaceDN w:val="0"/>
        <w:adjustRightInd w:val="0"/>
        <w:spacing w:after="0" w:line="240" w:lineRule="auto"/>
        <w:ind w:right="-477"/>
        <w:rPr>
          <w:rFonts w:ascii="Calibri" w:eastAsia="Times New Roman" w:hAnsi="Calibri" w:cs="Times New Roman"/>
          <w:color w:val="000000"/>
          <w:sz w:val="24"/>
          <w:szCs w:val="24"/>
          <w:lang w:eastAsia="en-AU"/>
        </w:rPr>
      </w:pPr>
    </w:p>
    <w:sectPr w:rsidR="00C528CD" w:rsidRPr="0025496D" w:rsidSect="0025496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B31E4" w14:textId="77777777" w:rsidR="002D063C" w:rsidRDefault="002D063C" w:rsidP="002D063C">
      <w:pPr>
        <w:spacing w:after="0" w:line="240" w:lineRule="auto"/>
      </w:pPr>
      <w:r>
        <w:separator/>
      </w:r>
    </w:p>
  </w:endnote>
  <w:endnote w:type="continuationSeparator" w:id="0">
    <w:p w14:paraId="75A6510B" w14:textId="77777777" w:rsidR="002D063C" w:rsidRDefault="002D063C" w:rsidP="002D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CA40" w14:textId="77777777" w:rsidR="002D063C" w:rsidRDefault="002D0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ABFE" w14:textId="11BE5C39" w:rsidR="002D063C" w:rsidRPr="002D063C" w:rsidRDefault="002D063C" w:rsidP="002D063C">
    <w:pPr>
      <w:pStyle w:val="Footer"/>
      <w:jc w:val="center"/>
      <w:rPr>
        <w:rFonts w:ascii="Arial" w:hAnsi="Arial" w:cs="Arial"/>
        <w:sz w:val="14"/>
      </w:rPr>
    </w:pPr>
    <w:r w:rsidRPr="002D06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BE04" w14:textId="77777777" w:rsidR="002D063C" w:rsidRDefault="002D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186F" w14:textId="77777777" w:rsidR="002D063C" w:rsidRDefault="002D063C" w:rsidP="002D063C">
      <w:pPr>
        <w:spacing w:after="0" w:line="240" w:lineRule="auto"/>
      </w:pPr>
      <w:r>
        <w:separator/>
      </w:r>
    </w:p>
  </w:footnote>
  <w:footnote w:type="continuationSeparator" w:id="0">
    <w:p w14:paraId="55C9C017" w14:textId="77777777" w:rsidR="002D063C" w:rsidRDefault="002D063C" w:rsidP="002D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9D8D" w14:textId="77777777" w:rsidR="002D063C" w:rsidRDefault="002D0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44E3" w14:textId="77777777" w:rsidR="002D063C" w:rsidRDefault="002D0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9FE4" w14:textId="77777777" w:rsidR="002D063C" w:rsidRDefault="002D0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54A"/>
    <w:multiLevelType w:val="hybridMultilevel"/>
    <w:tmpl w:val="FCD417D6"/>
    <w:lvl w:ilvl="0" w:tplc="F022D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E7003"/>
    <w:multiLevelType w:val="hybridMultilevel"/>
    <w:tmpl w:val="8940E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58"/>
    <w:rsid w:val="00036EB2"/>
    <w:rsid w:val="000839DC"/>
    <w:rsid w:val="00083DBF"/>
    <w:rsid w:val="0008440D"/>
    <w:rsid w:val="000A5850"/>
    <w:rsid w:val="000F579F"/>
    <w:rsid w:val="00132A34"/>
    <w:rsid w:val="001B6E37"/>
    <w:rsid w:val="001D4795"/>
    <w:rsid w:val="00204326"/>
    <w:rsid w:val="002174E0"/>
    <w:rsid w:val="0025496D"/>
    <w:rsid w:val="00254D64"/>
    <w:rsid w:val="002825E0"/>
    <w:rsid w:val="002D063C"/>
    <w:rsid w:val="002F5BD4"/>
    <w:rsid w:val="00304D7C"/>
    <w:rsid w:val="0031342E"/>
    <w:rsid w:val="00322A9D"/>
    <w:rsid w:val="003564D9"/>
    <w:rsid w:val="00362B26"/>
    <w:rsid w:val="00393D74"/>
    <w:rsid w:val="003A664D"/>
    <w:rsid w:val="003B190D"/>
    <w:rsid w:val="003C478A"/>
    <w:rsid w:val="003D18F3"/>
    <w:rsid w:val="003D26E2"/>
    <w:rsid w:val="004722A0"/>
    <w:rsid w:val="0049358D"/>
    <w:rsid w:val="004E5D28"/>
    <w:rsid w:val="005306B7"/>
    <w:rsid w:val="005525B6"/>
    <w:rsid w:val="00564C73"/>
    <w:rsid w:val="00571738"/>
    <w:rsid w:val="005A1DA1"/>
    <w:rsid w:val="005C3841"/>
    <w:rsid w:val="005E54B8"/>
    <w:rsid w:val="005F57C5"/>
    <w:rsid w:val="00631A8D"/>
    <w:rsid w:val="00663AD5"/>
    <w:rsid w:val="00664D54"/>
    <w:rsid w:val="0066630D"/>
    <w:rsid w:val="00672D82"/>
    <w:rsid w:val="006D72EE"/>
    <w:rsid w:val="00704157"/>
    <w:rsid w:val="00736613"/>
    <w:rsid w:val="00741C0B"/>
    <w:rsid w:val="00837D54"/>
    <w:rsid w:val="00854E82"/>
    <w:rsid w:val="00865022"/>
    <w:rsid w:val="008B5606"/>
    <w:rsid w:val="008E4B09"/>
    <w:rsid w:val="008F213D"/>
    <w:rsid w:val="00912023"/>
    <w:rsid w:val="00943AE9"/>
    <w:rsid w:val="00971232"/>
    <w:rsid w:val="00976999"/>
    <w:rsid w:val="0098001D"/>
    <w:rsid w:val="009F1499"/>
    <w:rsid w:val="00A93DF2"/>
    <w:rsid w:val="00AD4145"/>
    <w:rsid w:val="00AF44AC"/>
    <w:rsid w:val="00B077E7"/>
    <w:rsid w:val="00B747A6"/>
    <w:rsid w:val="00B96671"/>
    <w:rsid w:val="00C41396"/>
    <w:rsid w:val="00C528CD"/>
    <w:rsid w:val="00C54FF8"/>
    <w:rsid w:val="00C71258"/>
    <w:rsid w:val="00C95492"/>
    <w:rsid w:val="00D57BB3"/>
    <w:rsid w:val="00D60361"/>
    <w:rsid w:val="00DB161A"/>
    <w:rsid w:val="00DB3367"/>
    <w:rsid w:val="00DC65BD"/>
    <w:rsid w:val="00DF156B"/>
    <w:rsid w:val="00E006D8"/>
    <w:rsid w:val="00E213B0"/>
    <w:rsid w:val="00E258E7"/>
    <w:rsid w:val="00EB4F88"/>
    <w:rsid w:val="00EE7212"/>
    <w:rsid w:val="00F038BC"/>
    <w:rsid w:val="00F0438A"/>
    <w:rsid w:val="00F32B19"/>
    <w:rsid w:val="00F467D0"/>
    <w:rsid w:val="00F51358"/>
    <w:rsid w:val="00FA6B34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DA8D9"/>
  <w15:chartTrackingRefBased/>
  <w15:docId w15:val="{588AD0CF-9E03-43CD-BA24-C613AE3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6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3C"/>
  </w:style>
  <w:style w:type="paragraph" w:styleId="Footer">
    <w:name w:val="footer"/>
    <w:basedOn w:val="Normal"/>
    <w:link w:val="FooterChar"/>
    <w:uiPriority w:val="99"/>
    <w:unhideWhenUsed/>
    <w:rsid w:val="002D0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3720</Characters>
  <Application>Microsoft Office Word</Application>
  <DocSecurity>0</DocSecurity>
  <Lines>174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Knee, Ross</dc:creator>
  <cp:keywords/>
  <dc:description/>
  <cp:lastModifiedBy>PCODCS</cp:lastModifiedBy>
  <cp:revision>4</cp:revision>
  <dcterms:created xsi:type="dcterms:W3CDTF">2019-04-09T02:18:00Z</dcterms:created>
  <dcterms:modified xsi:type="dcterms:W3CDTF">2019-04-09T02:18:00Z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A16192268</vt:lpwstr>
  </property>
  <property fmtid="{D5CDD505-2E9C-101B-9397-08002B2CF9AE}" pid="4" name="Objective-Title">
    <vt:lpwstr>Attachment B4 - Water Resources (Water Available from Areas)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2018-05-22T05:42:25Z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2019-04-05T02:41:22Z</vt:filetime>
  </property>
  <property fmtid="{D5CDD505-2E9C-101B-9397-08002B2CF9AE}" pid="10" name="Objective-ModificationStamp">
    <vt:filetime>2019-04-05T02:41:22Z</vt:filetime>
  </property>
  <property fmtid="{D5CDD505-2E9C-101B-9397-08002B2CF9AE}" pid="11" name="Objective-Owner">
    <vt:lpwstr>Stewart Chapman</vt:lpwstr>
  </property>
  <property fmtid="{D5CDD505-2E9C-101B-9397-08002B2CF9AE}" pid="12" name="Objective-Path">
    <vt:lpwstr>Whole of ACT Government:EPSDD - Environment Planning and Sustainable Development Directorate:DIVISION - Environment:BRANCH - Catchment Management and Water Policy:06. Legislation, Regulation and Guidelines:ACT:Water Resources Act:Revised water resources A</vt:lpwstr>
  </property>
  <property fmtid="{D5CDD505-2E9C-101B-9397-08002B2CF9AE}" pid="13" name="Objective-Parent">
    <vt:lpwstr>Water Resources (Water Available from Areas)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40.0</vt:lpwstr>
  </property>
  <property fmtid="{D5CDD505-2E9C-101B-9397-08002B2CF9AE}" pid="16" name="Objective-VersionNumber">
    <vt:r8>41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