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90" w:rsidRPr="00AA6390" w:rsidRDefault="00AA6390" w:rsidP="00AA6390">
      <w:pPr>
        <w:spacing w:before="120"/>
        <w:rPr>
          <w:rFonts w:ascii="Arial" w:hAnsi="Arial" w:cs="Arial"/>
          <w:szCs w:val="20"/>
        </w:rPr>
      </w:pPr>
      <w:bookmarkStart w:id="0" w:name="_GoBack"/>
      <w:bookmarkEnd w:id="0"/>
      <w:r w:rsidRPr="00AA6390">
        <w:rPr>
          <w:rFonts w:ascii="Arial" w:hAnsi="Arial" w:cs="Arial"/>
          <w:szCs w:val="20"/>
        </w:rPr>
        <w:t>Australian Capital Territory</w:t>
      </w:r>
    </w:p>
    <w:p w:rsidR="00AA6390" w:rsidRPr="00AA6390" w:rsidRDefault="00AA6390" w:rsidP="00AA6390">
      <w:pPr>
        <w:tabs>
          <w:tab w:val="left" w:pos="2400"/>
          <w:tab w:val="left" w:pos="2880"/>
        </w:tabs>
        <w:spacing w:before="700" w:after="100"/>
        <w:outlineLvl w:val="0"/>
        <w:rPr>
          <w:rFonts w:ascii="Arial" w:hAnsi="Arial"/>
          <w:b/>
          <w:sz w:val="40"/>
          <w:szCs w:val="20"/>
        </w:rPr>
      </w:pPr>
      <w:r w:rsidRPr="00AA6390">
        <w:rPr>
          <w:rFonts w:ascii="Arial" w:hAnsi="Arial"/>
          <w:b/>
          <w:sz w:val="40"/>
          <w:szCs w:val="20"/>
        </w:rPr>
        <w:t>Electricity Feed-in (Renewable Energy Premium) Requirements of Audit Determination 2019</w:t>
      </w:r>
    </w:p>
    <w:p w:rsidR="00AA6390" w:rsidRPr="00AA6390" w:rsidRDefault="00AA6390" w:rsidP="00AA6390">
      <w:pPr>
        <w:spacing w:before="240" w:after="60"/>
        <w:outlineLvl w:val="1"/>
        <w:rPr>
          <w:rFonts w:ascii="Arial" w:hAnsi="Arial" w:cs="Arial"/>
          <w:b/>
          <w:bCs/>
          <w:szCs w:val="20"/>
        </w:rPr>
      </w:pPr>
      <w:r w:rsidRPr="00AA6390">
        <w:rPr>
          <w:rFonts w:ascii="Arial" w:hAnsi="Arial" w:cs="Arial"/>
          <w:b/>
          <w:bCs/>
          <w:szCs w:val="20"/>
        </w:rPr>
        <w:t>Disallowable instrument DI2019–9</w:t>
      </w:r>
    </w:p>
    <w:p w:rsidR="00AA6390" w:rsidRPr="00AA6390" w:rsidRDefault="00AA6390" w:rsidP="00AA6390">
      <w:pPr>
        <w:spacing w:before="240" w:after="120"/>
        <w:jc w:val="both"/>
        <w:rPr>
          <w:szCs w:val="20"/>
        </w:rPr>
      </w:pPr>
      <w:r w:rsidRPr="00AA6390">
        <w:rPr>
          <w:szCs w:val="20"/>
        </w:rPr>
        <w:t xml:space="preserve">made under the  </w:t>
      </w:r>
    </w:p>
    <w:p w:rsidR="00AA6390" w:rsidRPr="00AA6390" w:rsidRDefault="00AA6390" w:rsidP="00AA6390">
      <w:pPr>
        <w:rPr>
          <w:rFonts w:ascii="Arial" w:hAnsi="Arial" w:cs="Arial"/>
          <w:b/>
          <w:sz w:val="20"/>
          <w:szCs w:val="20"/>
        </w:rPr>
      </w:pPr>
      <w:r w:rsidRPr="00AA6390">
        <w:rPr>
          <w:rFonts w:ascii="Arial" w:hAnsi="Arial" w:cs="Arial"/>
          <w:b/>
          <w:sz w:val="20"/>
          <w:szCs w:val="20"/>
        </w:rPr>
        <w:t>Electricity Feed-in (Renewable Energy Premium) Act 2008, s11C (Audit of information given to Minister)</w:t>
      </w:r>
    </w:p>
    <w:p w:rsidR="00AA6390" w:rsidRPr="00AA6390" w:rsidRDefault="00AA6390" w:rsidP="00AA6390">
      <w:pPr>
        <w:rPr>
          <w:szCs w:val="20"/>
        </w:rPr>
      </w:pPr>
    </w:p>
    <w:p w:rsidR="00AA6390" w:rsidRPr="00AA6390" w:rsidRDefault="00AA6390" w:rsidP="00AA6390">
      <w:pPr>
        <w:pBdr>
          <w:top w:val="single" w:sz="12" w:space="1" w:color="auto"/>
        </w:pBdr>
        <w:jc w:val="both"/>
        <w:rPr>
          <w:szCs w:val="20"/>
        </w:rPr>
      </w:pPr>
    </w:p>
    <w:p w:rsidR="00AA6390" w:rsidRPr="00AA6390" w:rsidRDefault="00AA6390" w:rsidP="00AA6390">
      <w:pPr>
        <w:spacing w:before="240" w:after="60"/>
        <w:outlineLvl w:val="2"/>
        <w:rPr>
          <w:rFonts w:ascii="Arial" w:hAnsi="Arial" w:cs="Arial"/>
          <w:b/>
          <w:bCs/>
          <w:szCs w:val="20"/>
        </w:rPr>
      </w:pPr>
      <w:r w:rsidRPr="00AA6390">
        <w:rPr>
          <w:rFonts w:ascii="Arial" w:hAnsi="Arial" w:cs="Arial"/>
          <w:b/>
          <w:bCs/>
          <w:szCs w:val="20"/>
        </w:rPr>
        <w:t>1</w:t>
      </w:r>
      <w:r w:rsidRPr="00AA6390">
        <w:rPr>
          <w:rFonts w:ascii="Arial" w:hAnsi="Arial" w:cs="Arial"/>
          <w:b/>
          <w:bCs/>
          <w:szCs w:val="20"/>
        </w:rPr>
        <w:tab/>
        <w:t>Name of instrument</w:t>
      </w:r>
    </w:p>
    <w:p w:rsidR="00AA6390" w:rsidRPr="00AA6390" w:rsidRDefault="00AA6390" w:rsidP="00AA6390">
      <w:pPr>
        <w:spacing w:before="80" w:after="60"/>
        <w:ind w:left="720"/>
        <w:rPr>
          <w:szCs w:val="20"/>
        </w:rPr>
      </w:pPr>
      <w:r w:rsidRPr="00AA6390">
        <w:rPr>
          <w:szCs w:val="20"/>
        </w:rPr>
        <w:t xml:space="preserve">This instrument is the </w:t>
      </w:r>
      <w:r w:rsidRPr="00AA6390">
        <w:rPr>
          <w:i/>
          <w:szCs w:val="20"/>
        </w:rPr>
        <w:t>Electricity Feed-in (Renewable Energy Premium) Requirements of Audit Determination 2019.</w:t>
      </w:r>
    </w:p>
    <w:p w:rsidR="00AA6390" w:rsidRPr="00AA6390" w:rsidRDefault="00AA6390" w:rsidP="00AA6390">
      <w:pPr>
        <w:spacing w:before="240" w:after="60"/>
        <w:outlineLvl w:val="2"/>
        <w:rPr>
          <w:rFonts w:ascii="Arial" w:hAnsi="Arial" w:cs="Arial"/>
          <w:b/>
          <w:bCs/>
          <w:szCs w:val="20"/>
        </w:rPr>
      </w:pPr>
      <w:r w:rsidRPr="00AA6390">
        <w:rPr>
          <w:rFonts w:ascii="Arial" w:hAnsi="Arial" w:cs="Arial"/>
          <w:b/>
          <w:bCs/>
          <w:szCs w:val="20"/>
        </w:rPr>
        <w:t>2</w:t>
      </w:r>
      <w:r w:rsidRPr="00AA6390">
        <w:rPr>
          <w:rFonts w:ascii="Arial" w:hAnsi="Arial" w:cs="Arial"/>
          <w:b/>
          <w:bCs/>
          <w:szCs w:val="20"/>
        </w:rPr>
        <w:tab/>
        <w:t>Commencement</w:t>
      </w:r>
    </w:p>
    <w:p w:rsidR="00AA6390" w:rsidRPr="00AA6390" w:rsidRDefault="00AA6390" w:rsidP="00AA6390">
      <w:pPr>
        <w:spacing w:before="80" w:after="60"/>
        <w:ind w:left="720"/>
        <w:rPr>
          <w:szCs w:val="20"/>
        </w:rPr>
      </w:pPr>
      <w:r w:rsidRPr="00AA6390">
        <w:rPr>
          <w:szCs w:val="20"/>
        </w:rPr>
        <w:t>This instrument commences on the day after its notification day.</w:t>
      </w:r>
    </w:p>
    <w:p w:rsidR="00AA6390" w:rsidRPr="00AA6390" w:rsidRDefault="00AA6390" w:rsidP="00AA6390">
      <w:pPr>
        <w:spacing w:before="240" w:after="60"/>
        <w:outlineLvl w:val="2"/>
        <w:rPr>
          <w:rFonts w:ascii="Arial" w:hAnsi="Arial" w:cs="Arial"/>
          <w:b/>
          <w:bCs/>
          <w:szCs w:val="20"/>
        </w:rPr>
      </w:pPr>
      <w:r w:rsidRPr="00AA6390">
        <w:rPr>
          <w:rFonts w:ascii="Arial" w:hAnsi="Arial" w:cs="Arial"/>
          <w:b/>
          <w:bCs/>
          <w:szCs w:val="20"/>
        </w:rPr>
        <w:t>3</w:t>
      </w:r>
      <w:r w:rsidRPr="00AA6390">
        <w:rPr>
          <w:rFonts w:ascii="Arial" w:hAnsi="Arial" w:cs="Arial"/>
          <w:b/>
          <w:bCs/>
          <w:szCs w:val="20"/>
        </w:rPr>
        <w:tab/>
        <w:t>Audit of information</w:t>
      </w:r>
    </w:p>
    <w:p w:rsidR="00AA6390" w:rsidRPr="00AA6390" w:rsidRDefault="00AA6390" w:rsidP="00AA6390">
      <w:pPr>
        <w:spacing w:before="80" w:after="60"/>
        <w:ind w:left="720"/>
        <w:rPr>
          <w:szCs w:val="20"/>
        </w:rPr>
      </w:pPr>
      <w:r w:rsidRPr="00AA6390">
        <w:rPr>
          <w:szCs w:val="20"/>
        </w:rPr>
        <w:t xml:space="preserve">I determine that an audit of information provided by the electricity distributor under section 11B of the </w:t>
      </w:r>
      <w:r w:rsidRPr="00AA6390">
        <w:rPr>
          <w:i/>
          <w:szCs w:val="20"/>
        </w:rPr>
        <w:t>Electricity Feed-in (Renewable Energy Premium) Act 2008</w:t>
      </w:r>
      <w:r w:rsidRPr="00AA6390">
        <w:rPr>
          <w:szCs w:val="20"/>
        </w:rPr>
        <w:t xml:space="preserve"> will be undertaken in accordance with the requirements outlined at Schedule 1.</w:t>
      </w:r>
    </w:p>
    <w:p w:rsidR="00AA6390" w:rsidRPr="00AA6390" w:rsidRDefault="00AA6390" w:rsidP="00AA6390">
      <w:pPr>
        <w:rPr>
          <w:szCs w:val="20"/>
        </w:rPr>
      </w:pPr>
    </w:p>
    <w:p w:rsidR="00AA6390" w:rsidRPr="00AA6390" w:rsidRDefault="00AA6390" w:rsidP="00AA6390">
      <w:pPr>
        <w:rPr>
          <w:szCs w:val="20"/>
        </w:rPr>
      </w:pPr>
    </w:p>
    <w:p w:rsidR="00AA6390" w:rsidRPr="00AA6390" w:rsidRDefault="00AA6390" w:rsidP="00AA6390">
      <w:pPr>
        <w:rPr>
          <w:szCs w:val="20"/>
        </w:rPr>
      </w:pPr>
    </w:p>
    <w:p w:rsidR="00AA6390" w:rsidRPr="00AA6390" w:rsidRDefault="00AA6390" w:rsidP="00AA6390">
      <w:pPr>
        <w:rPr>
          <w:szCs w:val="20"/>
        </w:rPr>
      </w:pPr>
    </w:p>
    <w:p w:rsidR="00AA6390" w:rsidRPr="00AA6390" w:rsidRDefault="00AA6390" w:rsidP="00AA6390">
      <w:pPr>
        <w:tabs>
          <w:tab w:val="left" w:pos="4320"/>
        </w:tabs>
        <w:spacing w:before="480"/>
        <w:rPr>
          <w:szCs w:val="20"/>
        </w:rPr>
      </w:pPr>
      <w:r w:rsidRPr="00AA6390">
        <w:rPr>
          <w:szCs w:val="20"/>
        </w:rPr>
        <w:t>Shane Rattenbury MLA</w:t>
      </w:r>
      <w:r w:rsidRPr="00AA6390">
        <w:rPr>
          <w:szCs w:val="20"/>
        </w:rPr>
        <w:br/>
        <w:t>Minister for Climate Change and Sustainability</w:t>
      </w:r>
    </w:p>
    <w:p w:rsidR="00AA6390" w:rsidRPr="00AA6390" w:rsidRDefault="00AA6390" w:rsidP="00AA6390">
      <w:pPr>
        <w:tabs>
          <w:tab w:val="left" w:pos="4320"/>
        </w:tabs>
        <w:rPr>
          <w:szCs w:val="20"/>
        </w:rPr>
      </w:pPr>
    </w:p>
    <w:p w:rsidR="00AA6390" w:rsidRPr="00AA6390" w:rsidRDefault="00AA6390" w:rsidP="00AA6390">
      <w:pPr>
        <w:tabs>
          <w:tab w:val="left" w:pos="4320"/>
        </w:tabs>
        <w:rPr>
          <w:szCs w:val="20"/>
        </w:rPr>
      </w:pPr>
      <w:r w:rsidRPr="00AA6390">
        <w:rPr>
          <w:szCs w:val="20"/>
        </w:rPr>
        <w:t>31 January 2019</w:t>
      </w:r>
    </w:p>
    <w:p w:rsidR="00D967B8" w:rsidRDefault="00D967B8" w:rsidP="00F04123">
      <w:pPr>
        <w:rPr>
          <w:rFonts w:ascii="Calibri" w:hAnsi="Calibri" w:cs="Arial"/>
          <w:b/>
          <w:bCs/>
          <w:sz w:val="28"/>
        </w:rPr>
        <w:sectPr w:rsidR="00D967B8" w:rsidSect="00540473">
          <w:headerReference w:type="even" r:id="rId11"/>
          <w:headerReference w:type="default" r:id="rId12"/>
          <w:footerReference w:type="even" r:id="rId13"/>
          <w:footerReference w:type="default" r:id="rId14"/>
          <w:headerReference w:type="first" r:id="rId15"/>
          <w:footerReference w:type="first" r:id="rId16"/>
          <w:pgSz w:w="11906" w:h="16838" w:code="9"/>
          <w:pgMar w:top="1135" w:right="1440" w:bottom="1276" w:left="1440" w:header="284" w:footer="709" w:gutter="0"/>
          <w:cols w:space="708"/>
          <w:docGrid w:linePitch="360"/>
        </w:sectPr>
      </w:pPr>
    </w:p>
    <w:p w:rsidR="00CA0616" w:rsidRPr="007937DB" w:rsidRDefault="005C4206" w:rsidP="00F04123">
      <w:pPr>
        <w:rPr>
          <w:rFonts w:ascii="Calibri" w:hAnsi="Calibri" w:cs="Arial"/>
          <w:b/>
          <w:bCs/>
          <w:sz w:val="28"/>
        </w:rPr>
      </w:pPr>
      <w:r w:rsidRPr="005C4206">
        <w:rPr>
          <w:noProof/>
          <w:lang w:eastAsia="en-AU"/>
        </w:rPr>
        <w:lastRenderedPageBreak/>
        <w:drawing>
          <wp:inline distT="0" distB="0" distL="0" distR="0">
            <wp:extent cx="2034540" cy="746760"/>
            <wp:effectExtent l="19050" t="0" r="3810" b="0"/>
            <wp:docPr id="2"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17" cstate="print"/>
                    <a:srcRect/>
                    <a:stretch>
                      <a:fillRect/>
                    </a:stretch>
                  </pic:blipFill>
                  <pic:spPr bwMode="auto">
                    <a:xfrm>
                      <a:off x="0" y="0"/>
                      <a:ext cx="2034540" cy="746760"/>
                    </a:xfrm>
                    <a:prstGeom prst="rect">
                      <a:avLst/>
                    </a:prstGeom>
                    <a:noFill/>
                    <a:ln w="9525">
                      <a:noFill/>
                      <a:miter lim="800000"/>
                      <a:headEnd/>
                      <a:tailEnd/>
                    </a:ln>
                  </pic:spPr>
                </pic:pic>
              </a:graphicData>
            </a:graphic>
          </wp:inline>
        </w:drawing>
      </w:r>
    </w:p>
    <w:p w:rsidR="007937DB" w:rsidRDefault="007937DB" w:rsidP="00AF6681">
      <w:pPr>
        <w:pBdr>
          <w:bottom w:val="single" w:sz="12" w:space="1" w:color="auto"/>
        </w:pBdr>
        <w:jc w:val="center"/>
        <w:rPr>
          <w:rFonts w:ascii="Calibri" w:hAnsi="Calibri" w:cs="Arial"/>
          <w:b/>
          <w:bCs/>
          <w:sz w:val="28"/>
        </w:rPr>
      </w:pPr>
    </w:p>
    <w:p w:rsidR="00FB0EE3" w:rsidRDefault="00FB0EE3" w:rsidP="00AF6681">
      <w:pPr>
        <w:pBdr>
          <w:bottom w:val="single" w:sz="12" w:space="1" w:color="auto"/>
        </w:pBdr>
        <w:jc w:val="center"/>
        <w:rPr>
          <w:rFonts w:ascii="Calibri" w:hAnsi="Calibri" w:cs="Arial"/>
          <w:b/>
          <w:bCs/>
          <w:sz w:val="28"/>
        </w:rPr>
      </w:pPr>
    </w:p>
    <w:p w:rsidR="00156CF9" w:rsidRPr="00FB0EE3" w:rsidRDefault="004B74DD" w:rsidP="00AF6681">
      <w:pPr>
        <w:pBdr>
          <w:bottom w:val="single" w:sz="12" w:space="1" w:color="auto"/>
        </w:pBdr>
        <w:jc w:val="center"/>
        <w:rPr>
          <w:rFonts w:ascii="Calibri" w:hAnsi="Calibri" w:cs="Arial"/>
          <w:b/>
          <w:bCs/>
          <w:sz w:val="18"/>
        </w:rPr>
      </w:pPr>
      <w:r>
        <w:rPr>
          <w:rFonts w:ascii="Calibri" w:hAnsi="Calibri" w:cs="Arial"/>
          <w:b/>
          <w:bCs/>
          <w:sz w:val="28"/>
        </w:rPr>
        <w:t>Small and Medium-scale Feed-in Tariff Scheme Data Audit</w:t>
      </w:r>
      <w:r w:rsidR="00103119">
        <w:rPr>
          <w:rFonts w:ascii="Calibri" w:hAnsi="Calibri" w:cs="Arial"/>
          <w:b/>
          <w:bCs/>
          <w:sz w:val="28"/>
        </w:rPr>
        <w:t xml:space="preserve"> </w:t>
      </w:r>
      <w:r w:rsidR="00156CF9">
        <w:rPr>
          <w:rFonts w:ascii="Calibri" w:hAnsi="Calibri" w:cs="Arial"/>
          <w:b/>
          <w:bCs/>
          <w:sz w:val="28"/>
        </w:rPr>
        <w:br/>
      </w:r>
    </w:p>
    <w:p w:rsidR="00CA0616" w:rsidRPr="007937DB" w:rsidRDefault="00CA0616" w:rsidP="00AF6681">
      <w:pPr>
        <w:pBdr>
          <w:bottom w:val="single" w:sz="12" w:space="1" w:color="auto"/>
        </w:pBdr>
        <w:jc w:val="center"/>
        <w:rPr>
          <w:rFonts w:ascii="Calibri" w:hAnsi="Calibri" w:cs="Arial"/>
          <w:b/>
          <w:bCs/>
          <w:sz w:val="28"/>
        </w:rPr>
      </w:pPr>
      <w:r w:rsidRPr="007937DB">
        <w:rPr>
          <w:rFonts w:ascii="Calibri" w:hAnsi="Calibri" w:cs="Arial"/>
          <w:b/>
          <w:bCs/>
          <w:sz w:val="28"/>
        </w:rPr>
        <w:t>Terms of Reference</w:t>
      </w:r>
    </w:p>
    <w:p w:rsidR="00CA0616" w:rsidRPr="007937DB" w:rsidRDefault="00CA0616" w:rsidP="00AF6681">
      <w:pPr>
        <w:pBdr>
          <w:bottom w:val="single" w:sz="12" w:space="1" w:color="auto"/>
        </w:pBdr>
        <w:jc w:val="both"/>
        <w:rPr>
          <w:rFonts w:ascii="Calibri" w:hAnsi="Calibri" w:cs="Arial"/>
          <w:b/>
          <w:bCs/>
          <w:sz w:val="28"/>
        </w:rPr>
      </w:pPr>
    </w:p>
    <w:p w:rsidR="00CA0616" w:rsidRDefault="00CA0616" w:rsidP="00AF6681">
      <w:pPr>
        <w:jc w:val="both"/>
        <w:rPr>
          <w:rFonts w:ascii="Calibri" w:hAnsi="Calibri" w:cs="Arial"/>
          <w:b/>
          <w:bCs/>
          <w:sz w:val="28"/>
        </w:rPr>
      </w:pPr>
    </w:p>
    <w:p w:rsidR="00426912" w:rsidRPr="007937DB" w:rsidRDefault="00426912" w:rsidP="007937DB">
      <w:pPr>
        <w:pStyle w:val="Heading1"/>
        <w:keepNext w:val="0"/>
        <w:tabs>
          <w:tab w:val="clear" w:pos="432"/>
        </w:tabs>
        <w:ind w:left="567" w:hanging="567"/>
        <w:jc w:val="both"/>
        <w:rPr>
          <w:rFonts w:ascii="Calibri" w:hAnsi="Calibri"/>
          <w:sz w:val="28"/>
          <w:szCs w:val="28"/>
        </w:rPr>
      </w:pPr>
      <w:bookmarkStart w:id="1" w:name="_Toc337218508"/>
      <w:r w:rsidRPr="007937DB">
        <w:rPr>
          <w:rFonts w:ascii="Calibri" w:hAnsi="Calibri"/>
          <w:sz w:val="28"/>
          <w:szCs w:val="28"/>
        </w:rPr>
        <w:t>Background</w:t>
      </w:r>
      <w:bookmarkEnd w:id="1"/>
    </w:p>
    <w:p w:rsidR="00E96565" w:rsidRPr="00E96565" w:rsidRDefault="00E96565" w:rsidP="00E96565">
      <w:pPr>
        <w:pStyle w:val="Heading2"/>
        <w:keepNext w:val="0"/>
        <w:spacing w:before="120" w:after="0"/>
        <w:ind w:left="578" w:hanging="578"/>
        <w:jc w:val="both"/>
        <w:rPr>
          <w:rFonts w:ascii="Calibri" w:hAnsi="Calibri"/>
          <w:b w:val="0"/>
          <w:i w:val="0"/>
          <w:sz w:val="24"/>
          <w:szCs w:val="24"/>
          <w:lang w:val="en-US"/>
        </w:rPr>
      </w:pPr>
      <w:r w:rsidRPr="00E96565">
        <w:rPr>
          <w:rFonts w:ascii="Calibri" w:hAnsi="Calibri"/>
          <w:b w:val="0"/>
          <w:i w:val="0"/>
          <w:sz w:val="24"/>
          <w:szCs w:val="24"/>
          <w:lang w:val="en-US"/>
        </w:rPr>
        <w:t xml:space="preserve">The </w:t>
      </w:r>
      <w:r w:rsidRPr="00E96565">
        <w:rPr>
          <w:rFonts w:ascii="Calibri" w:hAnsi="Calibri"/>
          <w:b w:val="0"/>
          <w:sz w:val="24"/>
          <w:szCs w:val="24"/>
          <w:lang w:val="en-US"/>
        </w:rPr>
        <w:t>Electricity Feed-in (Renewable Energy Premium) Act 2008</w:t>
      </w:r>
      <w:r w:rsidRPr="00E96565">
        <w:rPr>
          <w:rFonts w:ascii="Calibri" w:hAnsi="Calibri"/>
          <w:b w:val="0"/>
          <w:i w:val="0"/>
          <w:sz w:val="24"/>
          <w:szCs w:val="24"/>
          <w:lang w:val="en-US"/>
        </w:rPr>
        <w:t xml:space="preserve"> (the Act) establishes the ACT’s Small and Medium</w:t>
      </w:r>
      <w:r w:rsidR="004C4EF9">
        <w:rPr>
          <w:rFonts w:ascii="Calibri" w:hAnsi="Calibri"/>
          <w:b w:val="0"/>
          <w:i w:val="0"/>
          <w:sz w:val="24"/>
          <w:szCs w:val="24"/>
          <w:lang w:val="en-US"/>
        </w:rPr>
        <w:t>-scale</w:t>
      </w:r>
      <w:r w:rsidRPr="00E96565">
        <w:rPr>
          <w:rFonts w:ascii="Calibri" w:hAnsi="Calibri"/>
          <w:b w:val="0"/>
          <w:i w:val="0"/>
          <w:sz w:val="24"/>
          <w:szCs w:val="24"/>
          <w:lang w:val="en-US"/>
        </w:rPr>
        <w:t xml:space="preserve"> Feed-in Tariff (FiT) scheme, which allows for payments to be made to ACT households and businesses that are generating renewable electricity</w:t>
      </w:r>
      <w:r w:rsidR="000D028C">
        <w:rPr>
          <w:rFonts w:ascii="Calibri" w:hAnsi="Calibri"/>
          <w:b w:val="0"/>
          <w:i w:val="0"/>
          <w:sz w:val="24"/>
          <w:szCs w:val="24"/>
          <w:lang w:val="en-US"/>
        </w:rPr>
        <w:t xml:space="preserve"> to encourage uptake</w:t>
      </w:r>
      <w:r w:rsidRPr="00E96565">
        <w:rPr>
          <w:rFonts w:ascii="Calibri" w:hAnsi="Calibri"/>
          <w:b w:val="0"/>
          <w:i w:val="0"/>
          <w:sz w:val="24"/>
          <w:szCs w:val="24"/>
          <w:lang w:val="en-US"/>
        </w:rPr>
        <w:t>.</w:t>
      </w:r>
    </w:p>
    <w:p w:rsidR="001929DC" w:rsidRPr="00C50E84" w:rsidRDefault="00E96565" w:rsidP="0052490E">
      <w:pPr>
        <w:pStyle w:val="Heading2"/>
        <w:keepNext w:val="0"/>
        <w:spacing w:before="120" w:after="0"/>
        <w:ind w:left="578" w:hanging="578"/>
        <w:jc w:val="both"/>
        <w:rPr>
          <w:rFonts w:ascii="Calibri" w:hAnsi="Calibri"/>
          <w:b w:val="0"/>
          <w:i w:val="0"/>
          <w:sz w:val="24"/>
          <w:szCs w:val="24"/>
          <w:lang w:val="en-US"/>
        </w:rPr>
      </w:pPr>
      <w:r w:rsidRPr="00C50E84">
        <w:rPr>
          <w:rFonts w:ascii="Calibri" w:hAnsi="Calibri"/>
          <w:b w:val="0"/>
          <w:i w:val="0"/>
          <w:sz w:val="24"/>
          <w:szCs w:val="24"/>
          <w:lang w:val="en-US"/>
        </w:rPr>
        <w:t>The scheme was open for applications between March 2009 and July 2011. It was open to any form of small and medium sized renewable energy generator, which were defined as those with a capacity below 200 kilowatts.</w:t>
      </w:r>
      <w:r w:rsidR="00C50E84" w:rsidRPr="00C50E84">
        <w:rPr>
          <w:rFonts w:ascii="Calibri" w:hAnsi="Calibri"/>
          <w:b w:val="0"/>
          <w:i w:val="0"/>
          <w:sz w:val="24"/>
          <w:szCs w:val="24"/>
          <w:lang w:val="en-US"/>
        </w:rPr>
        <w:t xml:space="preserve"> </w:t>
      </w:r>
      <w:r w:rsidR="001929DC" w:rsidRPr="00C50E84">
        <w:rPr>
          <w:rFonts w:ascii="Calibri" w:hAnsi="Calibri"/>
          <w:b w:val="0"/>
          <w:i w:val="0"/>
          <w:sz w:val="24"/>
          <w:szCs w:val="24"/>
          <w:lang w:val="en-US"/>
        </w:rPr>
        <w:t>In 2016-17, there were 10,394 generators under the scheme, with a total installed capacity of approximately 32.53 megawatts. The majority of these generators are small-scale rooftop generators.</w:t>
      </w:r>
    </w:p>
    <w:p w:rsidR="001929DC" w:rsidRPr="001929DC" w:rsidRDefault="001929DC" w:rsidP="001929DC">
      <w:pPr>
        <w:pStyle w:val="Heading2"/>
        <w:keepNext w:val="0"/>
        <w:spacing w:before="120" w:after="0"/>
        <w:ind w:left="578" w:hanging="578"/>
        <w:jc w:val="both"/>
        <w:rPr>
          <w:rFonts w:ascii="Calibri" w:hAnsi="Calibri"/>
          <w:b w:val="0"/>
          <w:i w:val="0"/>
          <w:sz w:val="24"/>
          <w:szCs w:val="24"/>
          <w:lang w:val="en-US"/>
        </w:rPr>
      </w:pPr>
      <w:r w:rsidRPr="001929DC">
        <w:rPr>
          <w:rFonts w:ascii="Calibri" w:hAnsi="Calibri"/>
          <w:b w:val="0"/>
          <w:i w:val="0"/>
          <w:sz w:val="24"/>
          <w:szCs w:val="24"/>
          <w:lang w:val="en-US"/>
        </w:rPr>
        <w:t>Under section 11A of the Act there are reporting requirements related to the scheme, which enable the ACT Government to monitor its success. The information which must be reported is set out in the Electricity Feed-in (Renewable Energy Premium) Reporting Determination 2015 (No 1) (the Determination).</w:t>
      </w:r>
    </w:p>
    <w:p w:rsidR="001929DC" w:rsidRPr="004C4EF9" w:rsidRDefault="001929DC" w:rsidP="008A6BF1">
      <w:pPr>
        <w:pStyle w:val="Heading2"/>
        <w:keepNext w:val="0"/>
        <w:spacing w:before="120" w:after="0"/>
        <w:ind w:left="578" w:hanging="578"/>
        <w:jc w:val="both"/>
        <w:rPr>
          <w:rFonts w:ascii="Calibri" w:hAnsi="Calibri"/>
          <w:b w:val="0"/>
          <w:i w:val="0"/>
          <w:sz w:val="24"/>
          <w:szCs w:val="24"/>
          <w:lang w:val="en-US"/>
        </w:rPr>
      </w:pPr>
      <w:r w:rsidRPr="004C4EF9">
        <w:rPr>
          <w:rFonts w:ascii="Calibri" w:hAnsi="Calibri"/>
          <w:b w:val="0"/>
          <w:i w:val="0"/>
          <w:sz w:val="24"/>
          <w:szCs w:val="24"/>
          <w:lang w:val="en-US"/>
        </w:rPr>
        <w:t>Under section 11B of the Act, Evoenergy must provide the government with data for these reporting requirements.</w:t>
      </w:r>
      <w:r w:rsidR="00C50E84" w:rsidRPr="004C4EF9">
        <w:rPr>
          <w:rFonts w:ascii="Calibri" w:hAnsi="Calibri"/>
          <w:b w:val="0"/>
          <w:i w:val="0"/>
          <w:sz w:val="24"/>
          <w:szCs w:val="24"/>
          <w:lang w:val="en-US"/>
        </w:rPr>
        <w:t xml:space="preserve"> Under section 11C, </w:t>
      </w:r>
      <w:r w:rsidRPr="004C4EF9">
        <w:rPr>
          <w:rFonts w:ascii="Calibri" w:hAnsi="Calibri"/>
          <w:b w:val="0"/>
          <w:i w:val="0"/>
          <w:sz w:val="24"/>
          <w:szCs w:val="24"/>
          <w:lang w:val="en-US"/>
        </w:rPr>
        <w:t>the Minister may require Evoenergy to commission an audit of th</w:t>
      </w:r>
      <w:r w:rsidR="004C4EF9">
        <w:rPr>
          <w:rFonts w:ascii="Calibri" w:hAnsi="Calibri"/>
          <w:b w:val="0"/>
          <w:i w:val="0"/>
          <w:sz w:val="24"/>
          <w:szCs w:val="24"/>
          <w:lang w:val="en-US"/>
        </w:rPr>
        <w:t>is</w:t>
      </w:r>
      <w:r w:rsidRPr="004C4EF9">
        <w:rPr>
          <w:rFonts w:ascii="Calibri" w:hAnsi="Calibri"/>
          <w:b w:val="0"/>
          <w:i w:val="0"/>
          <w:sz w:val="24"/>
          <w:szCs w:val="24"/>
          <w:lang w:val="en-US"/>
        </w:rPr>
        <w:t xml:space="preserve"> information.</w:t>
      </w:r>
    </w:p>
    <w:p w:rsidR="00AB5D64" w:rsidRPr="001929DC" w:rsidRDefault="00E826E7" w:rsidP="001929DC">
      <w:pPr>
        <w:pStyle w:val="Heading1"/>
        <w:keepNext w:val="0"/>
        <w:tabs>
          <w:tab w:val="clear" w:pos="432"/>
        </w:tabs>
        <w:ind w:left="567" w:hanging="567"/>
        <w:jc w:val="both"/>
        <w:rPr>
          <w:rFonts w:ascii="Calibri" w:hAnsi="Calibri"/>
          <w:sz w:val="28"/>
          <w:szCs w:val="28"/>
        </w:rPr>
      </w:pPr>
      <w:r>
        <w:rPr>
          <w:rFonts w:ascii="Calibri" w:hAnsi="Calibri"/>
          <w:sz w:val="28"/>
          <w:szCs w:val="28"/>
        </w:rPr>
        <w:t>Objectives</w:t>
      </w:r>
    </w:p>
    <w:p w:rsidR="001929DC" w:rsidRPr="004C4EF9" w:rsidRDefault="00C50E84" w:rsidP="00C50E84">
      <w:pPr>
        <w:pStyle w:val="Heading2"/>
        <w:keepNext w:val="0"/>
        <w:spacing w:before="120" w:after="0"/>
        <w:ind w:left="578" w:hanging="578"/>
        <w:jc w:val="both"/>
        <w:rPr>
          <w:rFonts w:ascii="Calibri" w:hAnsi="Calibri"/>
          <w:b w:val="0"/>
          <w:i w:val="0"/>
          <w:sz w:val="24"/>
          <w:szCs w:val="24"/>
          <w:lang w:val="en-US"/>
        </w:rPr>
      </w:pPr>
      <w:r w:rsidRPr="004C4EF9">
        <w:rPr>
          <w:rFonts w:ascii="Calibri" w:hAnsi="Calibri"/>
          <w:b w:val="0"/>
          <w:i w:val="0"/>
          <w:sz w:val="24"/>
          <w:szCs w:val="24"/>
          <w:lang w:val="en-US"/>
        </w:rPr>
        <w:t xml:space="preserve">This audit is being undertaken to </w:t>
      </w:r>
      <w:r w:rsidR="004C4EF9">
        <w:rPr>
          <w:rFonts w:ascii="Calibri" w:hAnsi="Calibri"/>
          <w:b w:val="0"/>
          <w:i w:val="0"/>
          <w:sz w:val="24"/>
          <w:szCs w:val="24"/>
          <w:lang w:val="en-US"/>
        </w:rPr>
        <w:t>ensure the ongoing efficiency of reporting on the Small and Medium-scale FiT scheme</w:t>
      </w:r>
      <w:r w:rsidR="001929DC" w:rsidRPr="004C4EF9">
        <w:rPr>
          <w:rFonts w:ascii="Calibri" w:hAnsi="Calibri"/>
          <w:b w:val="0"/>
          <w:i w:val="0"/>
          <w:sz w:val="24"/>
          <w:szCs w:val="24"/>
          <w:lang w:val="en-US"/>
        </w:rPr>
        <w:t>.</w:t>
      </w:r>
    </w:p>
    <w:p w:rsidR="00E826E7" w:rsidRDefault="00E826E7" w:rsidP="00E826E7">
      <w:pPr>
        <w:pStyle w:val="Heading2"/>
        <w:keepNext w:val="0"/>
        <w:spacing w:before="120" w:after="0"/>
        <w:ind w:left="578" w:hanging="578"/>
        <w:jc w:val="both"/>
        <w:rPr>
          <w:rFonts w:ascii="Calibri" w:hAnsi="Calibri"/>
          <w:b w:val="0"/>
          <w:i w:val="0"/>
          <w:sz w:val="24"/>
          <w:szCs w:val="24"/>
          <w:lang w:val="en-US"/>
        </w:rPr>
      </w:pPr>
      <w:r>
        <w:rPr>
          <w:rFonts w:ascii="Calibri" w:hAnsi="Calibri"/>
          <w:b w:val="0"/>
          <w:i w:val="0"/>
          <w:sz w:val="24"/>
          <w:szCs w:val="24"/>
          <w:lang w:val="en-US"/>
        </w:rPr>
        <w:t xml:space="preserve">The </w:t>
      </w:r>
      <w:r w:rsidR="005307FC">
        <w:rPr>
          <w:rFonts w:ascii="Calibri" w:hAnsi="Calibri"/>
          <w:b w:val="0"/>
          <w:i w:val="0"/>
          <w:sz w:val="24"/>
          <w:szCs w:val="24"/>
          <w:lang w:val="en-US"/>
        </w:rPr>
        <w:t>objectives of this audit are to:</w:t>
      </w:r>
    </w:p>
    <w:p w:rsidR="00E826E7" w:rsidRPr="00E826E7" w:rsidRDefault="00E826E7" w:rsidP="00E826E7">
      <w:pPr>
        <w:pStyle w:val="Heading2"/>
        <w:keepNext w:val="0"/>
        <w:numPr>
          <w:ilvl w:val="0"/>
          <w:numId w:val="18"/>
        </w:numPr>
        <w:spacing w:before="120" w:after="0"/>
        <w:jc w:val="both"/>
        <w:rPr>
          <w:rFonts w:ascii="Calibri" w:hAnsi="Calibri"/>
          <w:b w:val="0"/>
          <w:i w:val="0"/>
          <w:sz w:val="24"/>
          <w:szCs w:val="24"/>
          <w:lang w:val="en-US"/>
        </w:rPr>
      </w:pPr>
      <w:r>
        <w:rPr>
          <w:rFonts w:ascii="Calibri" w:hAnsi="Calibri"/>
          <w:b w:val="0"/>
          <w:i w:val="0"/>
          <w:sz w:val="24"/>
          <w:szCs w:val="24"/>
          <w:lang w:val="en-US"/>
        </w:rPr>
        <w:t xml:space="preserve">Ensure that </w:t>
      </w:r>
      <w:r w:rsidR="00832712">
        <w:rPr>
          <w:rFonts w:ascii="Calibri" w:hAnsi="Calibri"/>
          <w:b w:val="0"/>
          <w:i w:val="0"/>
          <w:sz w:val="24"/>
          <w:szCs w:val="24"/>
          <w:lang w:val="en-US"/>
        </w:rPr>
        <w:t xml:space="preserve">Evoenergy has </w:t>
      </w:r>
      <w:r>
        <w:rPr>
          <w:rFonts w:ascii="Calibri" w:hAnsi="Calibri"/>
          <w:b w:val="0"/>
          <w:i w:val="0"/>
          <w:sz w:val="24"/>
          <w:szCs w:val="24"/>
          <w:lang w:val="en-US"/>
        </w:rPr>
        <w:t xml:space="preserve">appropriate data collection and collation processes in place for data being provided to </w:t>
      </w:r>
      <w:r w:rsidR="00832712">
        <w:rPr>
          <w:rFonts w:ascii="Calibri" w:hAnsi="Calibri"/>
          <w:b w:val="0"/>
          <w:i w:val="0"/>
          <w:sz w:val="24"/>
          <w:szCs w:val="24"/>
          <w:lang w:val="en-US"/>
        </w:rPr>
        <w:t>the Environment, Planning and Sustainable Development Directorate (</w:t>
      </w:r>
      <w:r>
        <w:rPr>
          <w:rFonts w:ascii="Calibri" w:hAnsi="Calibri"/>
          <w:b w:val="0"/>
          <w:i w:val="0"/>
          <w:sz w:val="24"/>
          <w:szCs w:val="24"/>
          <w:lang w:val="en-US"/>
        </w:rPr>
        <w:t>EPSDD</w:t>
      </w:r>
      <w:r w:rsidR="00832712">
        <w:rPr>
          <w:rFonts w:ascii="Calibri" w:hAnsi="Calibri"/>
          <w:b w:val="0"/>
          <w:i w:val="0"/>
          <w:sz w:val="24"/>
          <w:szCs w:val="24"/>
          <w:lang w:val="en-US"/>
        </w:rPr>
        <w:t>)</w:t>
      </w:r>
      <w:r>
        <w:rPr>
          <w:rFonts w:ascii="Calibri" w:hAnsi="Calibri"/>
          <w:b w:val="0"/>
          <w:i w:val="0"/>
          <w:sz w:val="24"/>
          <w:szCs w:val="24"/>
          <w:lang w:val="en-US"/>
        </w:rPr>
        <w:t xml:space="preserve"> in relation to the FiT scheme</w:t>
      </w:r>
      <w:r w:rsidR="008734F9">
        <w:rPr>
          <w:rFonts w:ascii="Calibri" w:hAnsi="Calibri"/>
          <w:b w:val="0"/>
          <w:i w:val="0"/>
          <w:sz w:val="24"/>
          <w:szCs w:val="24"/>
          <w:lang w:val="en-US"/>
        </w:rPr>
        <w:t>; and</w:t>
      </w:r>
    </w:p>
    <w:p w:rsidR="00E826E7" w:rsidRDefault="00E826E7" w:rsidP="00E826E7">
      <w:pPr>
        <w:pStyle w:val="Heading2"/>
        <w:keepNext w:val="0"/>
        <w:numPr>
          <w:ilvl w:val="0"/>
          <w:numId w:val="18"/>
        </w:numPr>
        <w:spacing w:before="120" w:after="0"/>
        <w:jc w:val="both"/>
        <w:rPr>
          <w:rFonts w:ascii="Calibri" w:hAnsi="Calibri"/>
          <w:b w:val="0"/>
          <w:i w:val="0"/>
          <w:sz w:val="24"/>
          <w:szCs w:val="24"/>
          <w:lang w:val="en-US"/>
        </w:rPr>
      </w:pPr>
      <w:r>
        <w:rPr>
          <w:rFonts w:ascii="Calibri" w:hAnsi="Calibri"/>
          <w:b w:val="0"/>
          <w:i w:val="0"/>
          <w:sz w:val="24"/>
          <w:szCs w:val="24"/>
          <w:lang w:val="en-US"/>
        </w:rPr>
        <w:t>Ensure that the data being provided by Evoenergy to EPSDD is accurate, reliable and timely.</w:t>
      </w:r>
    </w:p>
    <w:p w:rsidR="008D13FA" w:rsidRDefault="008D13FA">
      <w:pPr>
        <w:rPr>
          <w:lang w:val="en-US"/>
        </w:rPr>
      </w:pPr>
      <w:r>
        <w:rPr>
          <w:lang w:val="en-US"/>
        </w:rPr>
        <w:br w:type="page"/>
      </w:r>
    </w:p>
    <w:p w:rsidR="00D14367" w:rsidRPr="007937DB" w:rsidRDefault="00FB0EE3" w:rsidP="007937DB">
      <w:pPr>
        <w:pStyle w:val="Heading1"/>
        <w:keepNext w:val="0"/>
        <w:tabs>
          <w:tab w:val="clear" w:pos="432"/>
        </w:tabs>
        <w:ind w:left="567" w:hanging="567"/>
        <w:jc w:val="both"/>
        <w:rPr>
          <w:rFonts w:ascii="Calibri" w:hAnsi="Calibri"/>
          <w:sz w:val="28"/>
          <w:szCs w:val="28"/>
        </w:rPr>
      </w:pPr>
      <w:r>
        <w:rPr>
          <w:rFonts w:ascii="Calibri" w:hAnsi="Calibri"/>
          <w:sz w:val="28"/>
          <w:szCs w:val="28"/>
        </w:rPr>
        <w:lastRenderedPageBreak/>
        <w:t>Scope</w:t>
      </w:r>
    </w:p>
    <w:p w:rsidR="000D028C" w:rsidRDefault="000D028C" w:rsidP="000D028C">
      <w:pPr>
        <w:pStyle w:val="Heading2"/>
        <w:keepNext w:val="0"/>
        <w:spacing w:before="120" w:after="0"/>
        <w:ind w:left="578" w:hanging="578"/>
        <w:jc w:val="both"/>
        <w:rPr>
          <w:rFonts w:ascii="Calibri" w:hAnsi="Calibri"/>
          <w:b w:val="0"/>
          <w:i w:val="0"/>
          <w:sz w:val="24"/>
          <w:szCs w:val="24"/>
          <w:lang w:val="en-US"/>
        </w:rPr>
      </w:pPr>
      <w:r w:rsidRPr="00C627CE">
        <w:rPr>
          <w:rFonts w:ascii="Calibri" w:hAnsi="Calibri"/>
          <w:b w:val="0"/>
          <w:i w:val="0"/>
          <w:sz w:val="24"/>
          <w:szCs w:val="24"/>
          <w:lang w:val="en-US"/>
        </w:rPr>
        <w:t xml:space="preserve">The scope of </w:t>
      </w:r>
      <w:r>
        <w:rPr>
          <w:rFonts w:ascii="Calibri" w:hAnsi="Calibri"/>
          <w:b w:val="0"/>
          <w:i w:val="0"/>
          <w:sz w:val="24"/>
          <w:szCs w:val="24"/>
          <w:lang w:val="en-US"/>
        </w:rPr>
        <w:t>this</w:t>
      </w:r>
      <w:r w:rsidRPr="00C627CE">
        <w:rPr>
          <w:rFonts w:ascii="Calibri" w:hAnsi="Calibri"/>
          <w:b w:val="0"/>
          <w:i w:val="0"/>
          <w:sz w:val="24"/>
          <w:szCs w:val="24"/>
          <w:lang w:val="en-US"/>
        </w:rPr>
        <w:t xml:space="preserve"> audit </w:t>
      </w:r>
      <w:r w:rsidR="007D04F4">
        <w:rPr>
          <w:rFonts w:ascii="Calibri" w:hAnsi="Calibri"/>
          <w:b w:val="0"/>
          <w:i w:val="0"/>
          <w:sz w:val="24"/>
          <w:szCs w:val="24"/>
          <w:lang w:val="en-US"/>
        </w:rPr>
        <w:t>will include:</w:t>
      </w:r>
    </w:p>
    <w:p w:rsidR="005307FC" w:rsidRDefault="005307FC" w:rsidP="000D028C">
      <w:pPr>
        <w:pStyle w:val="Heading2"/>
        <w:keepNext w:val="0"/>
        <w:numPr>
          <w:ilvl w:val="0"/>
          <w:numId w:val="18"/>
        </w:numPr>
        <w:spacing w:before="120" w:after="0"/>
        <w:jc w:val="both"/>
        <w:rPr>
          <w:rFonts w:ascii="Calibri" w:hAnsi="Calibri"/>
          <w:b w:val="0"/>
          <w:i w:val="0"/>
          <w:sz w:val="24"/>
          <w:szCs w:val="24"/>
          <w:lang w:val="en-US"/>
        </w:rPr>
      </w:pPr>
      <w:r w:rsidRPr="009B17ED">
        <w:rPr>
          <w:rFonts w:ascii="Calibri" w:hAnsi="Calibri"/>
          <w:b w:val="0"/>
          <w:i w:val="0"/>
          <w:sz w:val="24"/>
          <w:szCs w:val="24"/>
          <w:lang w:val="en-US"/>
        </w:rPr>
        <w:t xml:space="preserve">The methods by which Evoenergy gathers </w:t>
      </w:r>
      <w:r w:rsidR="0033168B">
        <w:rPr>
          <w:rFonts w:ascii="Calibri" w:hAnsi="Calibri"/>
          <w:b w:val="0"/>
          <w:i w:val="0"/>
          <w:sz w:val="24"/>
          <w:szCs w:val="24"/>
          <w:lang w:val="en-US"/>
        </w:rPr>
        <w:t xml:space="preserve">and stores </w:t>
      </w:r>
      <w:r w:rsidRPr="009B17ED">
        <w:rPr>
          <w:rFonts w:ascii="Calibri" w:hAnsi="Calibri"/>
          <w:b w:val="0"/>
          <w:i w:val="0"/>
          <w:sz w:val="24"/>
          <w:szCs w:val="24"/>
          <w:lang w:val="en-US"/>
        </w:rPr>
        <w:t>data</w:t>
      </w:r>
      <w:r>
        <w:rPr>
          <w:rFonts w:ascii="Calibri" w:hAnsi="Calibri"/>
          <w:b w:val="0"/>
          <w:i w:val="0"/>
          <w:sz w:val="24"/>
          <w:szCs w:val="24"/>
          <w:lang w:val="en-US"/>
        </w:rPr>
        <w:t xml:space="preserve"> on the FiT scheme to provide to EPSDD and whether these methods are consistent and reliable</w:t>
      </w:r>
      <w:r w:rsidR="008734F9">
        <w:rPr>
          <w:rFonts w:ascii="Calibri" w:hAnsi="Calibri"/>
          <w:b w:val="0"/>
          <w:i w:val="0"/>
          <w:sz w:val="24"/>
          <w:szCs w:val="24"/>
          <w:lang w:val="en-US"/>
        </w:rPr>
        <w:t>;</w:t>
      </w:r>
      <w:r>
        <w:rPr>
          <w:rFonts w:ascii="Calibri" w:hAnsi="Calibri"/>
          <w:b w:val="0"/>
          <w:i w:val="0"/>
          <w:sz w:val="24"/>
          <w:szCs w:val="24"/>
          <w:lang w:val="en-US"/>
        </w:rPr>
        <w:t xml:space="preserve"> and</w:t>
      </w:r>
    </w:p>
    <w:p w:rsidR="000D028C" w:rsidRPr="005307FC" w:rsidRDefault="000D028C" w:rsidP="005307FC">
      <w:pPr>
        <w:pStyle w:val="Heading2"/>
        <w:keepNext w:val="0"/>
        <w:numPr>
          <w:ilvl w:val="0"/>
          <w:numId w:val="18"/>
        </w:numPr>
        <w:spacing w:before="120" w:after="0"/>
        <w:jc w:val="both"/>
        <w:rPr>
          <w:rFonts w:ascii="Calibri" w:hAnsi="Calibri"/>
          <w:b w:val="0"/>
          <w:i w:val="0"/>
          <w:sz w:val="24"/>
          <w:szCs w:val="24"/>
          <w:lang w:val="en-US"/>
        </w:rPr>
      </w:pPr>
      <w:r w:rsidRPr="009B17ED">
        <w:rPr>
          <w:rFonts w:ascii="Calibri" w:hAnsi="Calibri"/>
          <w:b w:val="0"/>
          <w:i w:val="0"/>
          <w:sz w:val="24"/>
          <w:szCs w:val="24"/>
          <w:lang w:val="en-US"/>
        </w:rPr>
        <w:t>The accuracy of the data provided by Evoenergy to EPS</w:t>
      </w:r>
      <w:r w:rsidR="00294250">
        <w:rPr>
          <w:rFonts w:ascii="Calibri" w:hAnsi="Calibri"/>
          <w:b w:val="0"/>
          <w:i w:val="0"/>
          <w:sz w:val="24"/>
          <w:szCs w:val="24"/>
          <w:lang w:val="en-US"/>
        </w:rPr>
        <w:t xml:space="preserve">DD for the 2014/15, 2015/16, </w:t>
      </w:r>
      <w:r w:rsidRPr="009B17ED">
        <w:rPr>
          <w:rFonts w:ascii="Calibri" w:hAnsi="Calibri"/>
          <w:b w:val="0"/>
          <w:i w:val="0"/>
          <w:sz w:val="24"/>
          <w:szCs w:val="24"/>
          <w:lang w:val="en-US"/>
        </w:rPr>
        <w:t>2016/17</w:t>
      </w:r>
      <w:r w:rsidR="00294250">
        <w:rPr>
          <w:rFonts w:ascii="Calibri" w:hAnsi="Calibri"/>
          <w:b w:val="0"/>
          <w:i w:val="0"/>
          <w:sz w:val="24"/>
          <w:szCs w:val="24"/>
          <w:lang w:val="en-US"/>
        </w:rPr>
        <w:t xml:space="preserve"> and 2017/18</w:t>
      </w:r>
      <w:r w:rsidRPr="009B17ED">
        <w:rPr>
          <w:rFonts w:ascii="Calibri" w:hAnsi="Calibri"/>
          <w:b w:val="0"/>
          <w:i w:val="0"/>
          <w:sz w:val="24"/>
          <w:szCs w:val="24"/>
          <w:lang w:val="en-US"/>
        </w:rPr>
        <w:t xml:space="preserve"> Annual Feed-in Tariff Report</w:t>
      </w:r>
      <w:r w:rsidR="005307FC">
        <w:rPr>
          <w:rFonts w:ascii="Calibri" w:hAnsi="Calibri"/>
          <w:b w:val="0"/>
          <w:i w:val="0"/>
          <w:sz w:val="24"/>
          <w:szCs w:val="24"/>
          <w:lang w:val="en-US"/>
        </w:rPr>
        <w:t>s.</w:t>
      </w:r>
    </w:p>
    <w:p w:rsidR="002471E5" w:rsidRPr="007937DB" w:rsidRDefault="00C627CE" w:rsidP="007937DB">
      <w:pPr>
        <w:pStyle w:val="Heading2"/>
        <w:keepNext w:val="0"/>
        <w:spacing w:before="120" w:after="0"/>
        <w:ind w:left="578" w:hanging="578"/>
        <w:jc w:val="both"/>
        <w:rPr>
          <w:rFonts w:ascii="Calibri" w:hAnsi="Calibri"/>
          <w:b w:val="0"/>
          <w:i w:val="0"/>
          <w:sz w:val="24"/>
          <w:szCs w:val="24"/>
          <w:lang w:val="en-US"/>
        </w:rPr>
      </w:pPr>
      <w:r>
        <w:rPr>
          <w:rFonts w:ascii="Calibri" w:hAnsi="Calibri"/>
          <w:b w:val="0"/>
          <w:i w:val="0"/>
          <w:sz w:val="24"/>
          <w:szCs w:val="24"/>
          <w:lang w:val="en-US"/>
        </w:rPr>
        <w:t>Under the Determination</w:t>
      </w:r>
      <w:r w:rsidR="00CD292F">
        <w:rPr>
          <w:rFonts w:ascii="Calibri" w:hAnsi="Calibri"/>
          <w:b w:val="0"/>
          <w:i w:val="0"/>
          <w:sz w:val="24"/>
          <w:szCs w:val="24"/>
          <w:lang w:val="en-US"/>
        </w:rPr>
        <w:t>,</w:t>
      </w:r>
      <w:r>
        <w:rPr>
          <w:rFonts w:ascii="Calibri" w:hAnsi="Calibri"/>
          <w:b w:val="0"/>
          <w:i w:val="0"/>
          <w:sz w:val="24"/>
          <w:szCs w:val="24"/>
          <w:lang w:val="en-US"/>
        </w:rPr>
        <w:t xml:space="preserve"> Evoenergy is required to provide </w:t>
      </w:r>
      <w:r w:rsidR="00CD292F">
        <w:rPr>
          <w:rFonts w:ascii="Calibri" w:hAnsi="Calibri"/>
          <w:b w:val="0"/>
          <w:i w:val="0"/>
          <w:sz w:val="24"/>
          <w:szCs w:val="24"/>
          <w:lang w:val="en-US"/>
        </w:rPr>
        <w:t xml:space="preserve">the following information for every compliant </w:t>
      </w:r>
      <w:r w:rsidR="00CD292F" w:rsidRPr="00C50E84">
        <w:rPr>
          <w:rFonts w:ascii="Calibri" w:hAnsi="Calibri"/>
          <w:b w:val="0"/>
          <w:i w:val="0"/>
          <w:sz w:val="24"/>
          <w:szCs w:val="24"/>
          <w:lang w:val="en-US"/>
        </w:rPr>
        <w:t xml:space="preserve">renewable energy generator connected to </w:t>
      </w:r>
      <w:r w:rsidR="00CD292F">
        <w:rPr>
          <w:rFonts w:ascii="Calibri" w:hAnsi="Calibri"/>
          <w:b w:val="0"/>
          <w:i w:val="0"/>
          <w:sz w:val="24"/>
          <w:szCs w:val="24"/>
          <w:lang w:val="en-US"/>
        </w:rPr>
        <w:t>its</w:t>
      </w:r>
      <w:r w:rsidR="00CD292F" w:rsidRPr="00C50E84">
        <w:rPr>
          <w:rFonts w:ascii="Calibri" w:hAnsi="Calibri"/>
          <w:b w:val="0"/>
          <w:i w:val="0"/>
          <w:sz w:val="24"/>
          <w:szCs w:val="24"/>
          <w:lang w:val="en-US"/>
        </w:rPr>
        <w:t xml:space="preserve"> network for all or part of the financial year</w:t>
      </w:r>
      <w:r>
        <w:rPr>
          <w:rFonts w:ascii="Calibri" w:hAnsi="Calibri"/>
          <w:b w:val="0"/>
          <w:i w:val="0"/>
          <w:sz w:val="24"/>
          <w:szCs w:val="24"/>
          <w:lang w:val="en-US"/>
        </w:rPr>
        <w:t>:</w:t>
      </w:r>
    </w:p>
    <w:p w:rsidR="00C627CE" w:rsidRPr="00C627CE" w:rsidRDefault="00C627CE" w:rsidP="00C627CE">
      <w:pPr>
        <w:pStyle w:val="Heading2"/>
        <w:keepNext w:val="0"/>
        <w:numPr>
          <w:ilvl w:val="0"/>
          <w:numId w:val="18"/>
        </w:numPr>
        <w:spacing w:before="120" w:after="0"/>
        <w:jc w:val="both"/>
        <w:rPr>
          <w:rFonts w:ascii="Calibri" w:hAnsi="Calibri"/>
          <w:b w:val="0"/>
          <w:i w:val="0"/>
          <w:sz w:val="24"/>
          <w:szCs w:val="24"/>
          <w:lang w:val="en-US"/>
        </w:rPr>
      </w:pPr>
      <w:bookmarkStart w:id="2" w:name="_Toc337218511"/>
      <w:r w:rsidRPr="00C627CE">
        <w:rPr>
          <w:rFonts w:ascii="Calibri" w:hAnsi="Calibri"/>
          <w:b w:val="0"/>
          <w:i w:val="0"/>
          <w:sz w:val="24"/>
          <w:szCs w:val="24"/>
          <w:lang w:val="en-US"/>
        </w:rPr>
        <w:t>Electricity output during each quarter of the financial year</w:t>
      </w:r>
      <w:r w:rsidR="00FF6310">
        <w:rPr>
          <w:rFonts w:ascii="Calibri" w:hAnsi="Calibri"/>
          <w:b w:val="0"/>
          <w:i w:val="0"/>
          <w:sz w:val="24"/>
          <w:szCs w:val="24"/>
          <w:lang w:val="en-US"/>
        </w:rPr>
        <w:t>;</w:t>
      </w:r>
    </w:p>
    <w:p w:rsidR="00C627CE" w:rsidRPr="00C627CE" w:rsidRDefault="00C627CE" w:rsidP="00C627CE">
      <w:pPr>
        <w:pStyle w:val="Heading2"/>
        <w:keepNext w:val="0"/>
        <w:numPr>
          <w:ilvl w:val="0"/>
          <w:numId w:val="18"/>
        </w:numPr>
        <w:spacing w:before="120" w:after="0"/>
        <w:jc w:val="both"/>
        <w:rPr>
          <w:rFonts w:ascii="Calibri" w:hAnsi="Calibri"/>
          <w:b w:val="0"/>
          <w:i w:val="0"/>
          <w:sz w:val="24"/>
          <w:szCs w:val="24"/>
          <w:lang w:val="en-US"/>
        </w:rPr>
      </w:pPr>
      <w:r w:rsidRPr="00C627CE">
        <w:rPr>
          <w:rFonts w:ascii="Calibri" w:hAnsi="Calibri"/>
          <w:b w:val="0"/>
          <w:i w:val="0"/>
          <w:sz w:val="24"/>
          <w:szCs w:val="24"/>
          <w:lang w:val="en-US"/>
        </w:rPr>
        <w:t>Applicable premium rate</w:t>
      </w:r>
      <w:r w:rsidR="00FF6310">
        <w:rPr>
          <w:rFonts w:ascii="Calibri" w:hAnsi="Calibri"/>
          <w:b w:val="0"/>
          <w:i w:val="0"/>
          <w:sz w:val="24"/>
          <w:szCs w:val="24"/>
          <w:lang w:val="en-US"/>
        </w:rPr>
        <w:t>;</w:t>
      </w:r>
    </w:p>
    <w:p w:rsidR="00C627CE" w:rsidRPr="00C627CE" w:rsidRDefault="00C627CE" w:rsidP="00C627CE">
      <w:pPr>
        <w:pStyle w:val="Heading2"/>
        <w:keepNext w:val="0"/>
        <w:numPr>
          <w:ilvl w:val="0"/>
          <w:numId w:val="18"/>
        </w:numPr>
        <w:spacing w:before="120" w:after="0"/>
        <w:jc w:val="both"/>
        <w:rPr>
          <w:rFonts w:ascii="Calibri" w:hAnsi="Calibri"/>
          <w:b w:val="0"/>
          <w:i w:val="0"/>
          <w:sz w:val="24"/>
          <w:szCs w:val="24"/>
          <w:lang w:val="en-US"/>
        </w:rPr>
      </w:pPr>
      <w:r w:rsidRPr="00C627CE">
        <w:rPr>
          <w:rFonts w:ascii="Calibri" w:hAnsi="Calibri"/>
          <w:b w:val="0"/>
          <w:i w:val="0"/>
          <w:sz w:val="24"/>
          <w:szCs w:val="24"/>
          <w:lang w:val="en-US"/>
        </w:rPr>
        <w:t>Installed capacity at the date of connection</w:t>
      </w:r>
      <w:r w:rsidR="00FF6310">
        <w:rPr>
          <w:rFonts w:ascii="Calibri" w:hAnsi="Calibri"/>
          <w:b w:val="0"/>
          <w:i w:val="0"/>
          <w:sz w:val="24"/>
          <w:szCs w:val="24"/>
          <w:lang w:val="en-US"/>
        </w:rPr>
        <w:t>;</w:t>
      </w:r>
    </w:p>
    <w:p w:rsidR="00C627CE" w:rsidRPr="00C627CE" w:rsidRDefault="00C627CE" w:rsidP="00C627CE">
      <w:pPr>
        <w:pStyle w:val="Heading2"/>
        <w:keepNext w:val="0"/>
        <w:numPr>
          <w:ilvl w:val="0"/>
          <w:numId w:val="18"/>
        </w:numPr>
        <w:spacing w:before="120" w:after="0"/>
        <w:jc w:val="both"/>
        <w:rPr>
          <w:rFonts w:ascii="Calibri" w:hAnsi="Calibri"/>
          <w:b w:val="0"/>
          <w:i w:val="0"/>
          <w:sz w:val="24"/>
          <w:szCs w:val="24"/>
          <w:lang w:val="en-US"/>
        </w:rPr>
      </w:pPr>
      <w:r w:rsidRPr="00C627CE">
        <w:rPr>
          <w:rFonts w:ascii="Calibri" w:hAnsi="Calibri"/>
          <w:b w:val="0"/>
          <w:i w:val="0"/>
          <w:sz w:val="24"/>
          <w:szCs w:val="24"/>
          <w:lang w:val="en-US"/>
        </w:rPr>
        <w:t>Suburb in which the relevant generator is located</w:t>
      </w:r>
      <w:r w:rsidR="00FF6310">
        <w:rPr>
          <w:rFonts w:ascii="Calibri" w:hAnsi="Calibri"/>
          <w:b w:val="0"/>
          <w:i w:val="0"/>
          <w:sz w:val="24"/>
          <w:szCs w:val="24"/>
          <w:lang w:val="en-US"/>
        </w:rPr>
        <w:t>;</w:t>
      </w:r>
      <w:r w:rsidRPr="00C627CE">
        <w:rPr>
          <w:rFonts w:ascii="Calibri" w:hAnsi="Calibri"/>
          <w:b w:val="0"/>
          <w:i w:val="0"/>
          <w:sz w:val="24"/>
          <w:szCs w:val="24"/>
          <w:lang w:val="en-US"/>
        </w:rPr>
        <w:t xml:space="preserve"> and</w:t>
      </w:r>
    </w:p>
    <w:p w:rsidR="00C627CE" w:rsidRPr="00C627CE" w:rsidRDefault="00C627CE" w:rsidP="00C627CE">
      <w:pPr>
        <w:pStyle w:val="Heading2"/>
        <w:keepNext w:val="0"/>
        <w:numPr>
          <w:ilvl w:val="0"/>
          <w:numId w:val="18"/>
        </w:numPr>
        <w:spacing w:before="120" w:after="0"/>
        <w:jc w:val="both"/>
        <w:rPr>
          <w:rFonts w:ascii="Calibri" w:hAnsi="Calibri"/>
          <w:b w:val="0"/>
          <w:i w:val="0"/>
          <w:sz w:val="24"/>
          <w:szCs w:val="24"/>
          <w:lang w:val="en-US"/>
        </w:rPr>
      </w:pPr>
      <w:r w:rsidRPr="00C627CE">
        <w:rPr>
          <w:rFonts w:ascii="Calibri" w:hAnsi="Calibri"/>
          <w:b w:val="0"/>
          <w:i w:val="0"/>
          <w:sz w:val="24"/>
          <w:szCs w:val="24"/>
          <w:lang w:val="en-US"/>
        </w:rPr>
        <w:t>Whether the relevant generator was still connected to Evoenergy’s network at the end of the previous financial year.</w:t>
      </w:r>
    </w:p>
    <w:p w:rsidR="00C50E84" w:rsidRPr="00C50E84" w:rsidRDefault="00CD292F" w:rsidP="00747932">
      <w:pPr>
        <w:pStyle w:val="Heading2"/>
        <w:keepNext w:val="0"/>
        <w:spacing w:before="120" w:after="0"/>
        <w:ind w:left="578" w:hanging="578"/>
        <w:jc w:val="both"/>
        <w:rPr>
          <w:b w:val="0"/>
          <w:i w:val="0"/>
          <w:lang w:val="en-US"/>
        </w:rPr>
      </w:pPr>
      <w:r>
        <w:rPr>
          <w:rFonts w:ascii="Calibri" w:hAnsi="Calibri"/>
          <w:b w:val="0"/>
          <w:i w:val="0"/>
          <w:sz w:val="24"/>
          <w:szCs w:val="24"/>
          <w:lang w:val="en-US"/>
        </w:rPr>
        <w:t>U</w:t>
      </w:r>
      <w:r w:rsidR="00C627CE" w:rsidRPr="00C50E84">
        <w:rPr>
          <w:rFonts w:ascii="Calibri" w:hAnsi="Calibri"/>
          <w:b w:val="0"/>
          <w:i w:val="0"/>
          <w:sz w:val="24"/>
          <w:szCs w:val="24"/>
          <w:lang w:val="en-US"/>
        </w:rPr>
        <w:t xml:space="preserve">nder the Determination, Evoenergy must </w:t>
      </w:r>
      <w:r>
        <w:rPr>
          <w:rFonts w:ascii="Calibri" w:hAnsi="Calibri"/>
          <w:b w:val="0"/>
          <w:i w:val="0"/>
          <w:sz w:val="24"/>
          <w:szCs w:val="24"/>
          <w:lang w:val="en-US"/>
        </w:rPr>
        <w:t xml:space="preserve">also </w:t>
      </w:r>
      <w:r w:rsidR="00C627CE" w:rsidRPr="00C50E84">
        <w:rPr>
          <w:rFonts w:ascii="Calibri" w:hAnsi="Calibri"/>
          <w:b w:val="0"/>
          <w:i w:val="0"/>
          <w:sz w:val="24"/>
          <w:szCs w:val="24"/>
          <w:lang w:val="en-US"/>
        </w:rPr>
        <w:t>provide the Minister with information identifying the total amount it has reimbursed to each National Energy Retail Law (NERL) retailer during the financial year, for the payments made by the NERL retailer to compliant renewable energy generators for electricity generated.</w:t>
      </w:r>
    </w:p>
    <w:p w:rsidR="00B3423C" w:rsidRPr="001929DC" w:rsidRDefault="00B3423C" w:rsidP="00B3423C">
      <w:pPr>
        <w:pStyle w:val="Heading1"/>
        <w:keepNext w:val="0"/>
        <w:tabs>
          <w:tab w:val="clear" w:pos="432"/>
        </w:tabs>
        <w:ind w:left="567" w:hanging="567"/>
        <w:jc w:val="both"/>
        <w:rPr>
          <w:rFonts w:ascii="Calibri" w:hAnsi="Calibri"/>
          <w:sz w:val="28"/>
        </w:rPr>
      </w:pPr>
      <w:r w:rsidRPr="007937DB">
        <w:rPr>
          <w:rFonts w:ascii="Calibri" w:hAnsi="Calibri"/>
          <w:sz w:val="28"/>
        </w:rPr>
        <w:t xml:space="preserve">Responsibilities of </w:t>
      </w:r>
      <w:r>
        <w:rPr>
          <w:rFonts w:ascii="Calibri" w:hAnsi="Calibri"/>
          <w:sz w:val="28"/>
        </w:rPr>
        <w:t>EPSDD</w:t>
      </w:r>
    </w:p>
    <w:p w:rsidR="00B3423C" w:rsidRDefault="00B3423C" w:rsidP="00B3423C">
      <w:pPr>
        <w:pStyle w:val="Heading2"/>
        <w:keepNext w:val="0"/>
        <w:spacing w:before="120" w:after="0"/>
        <w:ind w:left="578" w:hanging="578"/>
        <w:jc w:val="both"/>
        <w:rPr>
          <w:rFonts w:ascii="Calibri" w:hAnsi="Calibri"/>
          <w:b w:val="0"/>
          <w:i w:val="0"/>
          <w:sz w:val="24"/>
          <w:szCs w:val="24"/>
          <w:lang w:val="en-US"/>
        </w:rPr>
      </w:pPr>
      <w:r>
        <w:rPr>
          <w:rFonts w:ascii="Calibri" w:hAnsi="Calibri"/>
          <w:b w:val="0"/>
          <w:i w:val="0"/>
          <w:sz w:val="24"/>
          <w:szCs w:val="24"/>
          <w:lang w:val="en-US"/>
        </w:rPr>
        <w:t xml:space="preserve">EPSDD’s </w:t>
      </w:r>
      <w:r w:rsidR="007D04F4">
        <w:rPr>
          <w:rFonts w:ascii="Calibri" w:hAnsi="Calibri"/>
          <w:b w:val="0"/>
          <w:i w:val="0"/>
          <w:sz w:val="24"/>
          <w:szCs w:val="24"/>
          <w:lang w:val="en-US"/>
        </w:rPr>
        <w:t>responsibilities are as follows:</w:t>
      </w:r>
    </w:p>
    <w:p w:rsidR="00B3423C" w:rsidRPr="001929D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Selecting and appointing an auditor</w:t>
      </w:r>
      <w:r w:rsidR="00FF6310">
        <w:rPr>
          <w:rFonts w:ascii="Calibri" w:hAnsi="Calibri"/>
          <w:b w:val="0"/>
          <w:i w:val="0"/>
          <w:sz w:val="24"/>
          <w:szCs w:val="24"/>
          <w:lang w:val="en-US"/>
        </w:rPr>
        <w:t xml:space="preserve"> (the Auditor)</w:t>
      </w:r>
      <w:r w:rsidR="007D04F4">
        <w:rPr>
          <w:rFonts w:ascii="Calibri" w:hAnsi="Calibri"/>
          <w:b w:val="0"/>
          <w:i w:val="0"/>
          <w:sz w:val="24"/>
          <w:szCs w:val="24"/>
          <w:lang w:val="en-US"/>
        </w:rPr>
        <w:t>, in consultation with Evoenergy</w:t>
      </w:r>
      <w:r w:rsidR="00FF6310">
        <w:rPr>
          <w:rFonts w:ascii="Calibri" w:hAnsi="Calibri"/>
          <w:b w:val="0"/>
          <w:i w:val="0"/>
          <w:sz w:val="24"/>
          <w:szCs w:val="24"/>
          <w:lang w:val="en-US"/>
        </w:rPr>
        <w:t>;</w:t>
      </w:r>
    </w:p>
    <w:p w:rsidR="00B3423C" w:rsidRPr="001929D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Preparing the terms of reference</w:t>
      </w:r>
      <w:r w:rsidR="007D04F4">
        <w:rPr>
          <w:rFonts w:ascii="Calibri" w:hAnsi="Calibri"/>
          <w:b w:val="0"/>
          <w:i w:val="0"/>
          <w:sz w:val="24"/>
          <w:szCs w:val="24"/>
          <w:lang w:val="en-US"/>
        </w:rPr>
        <w:t>, in consultation with Evoenergy</w:t>
      </w:r>
      <w:r w:rsidR="00FF6310">
        <w:rPr>
          <w:rFonts w:ascii="Calibri" w:hAnsi="Calibri"/>
          <w:b w:val="0"/>
          <w:i w:val="0"/>
          <w:sz w:val="24"/>
          <w:szCs w:val="24"/>
          <w:lang w:val="en-US"/>
        </w:rPr>
        <w:t>;</w:t>
      </w:r>
    </w:p>
    <w:p w:rsidR="00B3423C" w:rsidRPr="001929D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Providing guidance and information to the auditor as required</w:t>
      </w:r>
      <w:r w:rsidR="00FF6310">
        <w:rPr>
          <w:rFonts w:ascii="Calibri" w:hAnsi="Calibri"/>
          <w:b w:val="0"/>
          <w:i w:val="0"/>
          <w:sz w:val="24"/>
          <w:szCs w:val="24"/>
          <w:lang w:val="en-US"/>
        </w:rPr>
        <w:t>;</w:t>
      </w:r>
      <w:r w:rsidR="007D04F4">
        <w:rPr>
          <w:rFonts w:ascii="Calibri" w:hAnsi="Calibri"/>
          <w:b w:val="0"/>
          <w:i w:val="0"/>
          <w:sz w:val="24"/>
          <w:szCs w:val="24"/>
          <w:lang w:val="en-US"/>
        </w:rPr>
        <w:t xml:space="preserve"> and</w:t>
      </w:r>
    </w:p>
    <w:p w:rsidR="00B3423C" w:rsidRPr="00B3423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Overseeing the audit process</w:t>
      </w:r>
      <w:r w:rsidR="007D04F4">
        <w:rPr>
          <w:rFonts w:ascii="Calibri" w:hAnsi="Calibri"/>
          <w:b w:val="0"/>
          <w:i w:val="0"/>
          <w:sz w:val="24"/>
          <w:szCs w:val="24"/>
          <w:lang w:val="en-US"/>
        </w:rPr>
        <w:t>.</w:t>
      </w:r>
    </w:p>
    <w:p w:rsidR="00B3423C" w:rsidRPr="00FB0EE3" w:rsidRDefault="00B3423C" w:rsidP="00B3423C">
      <w:pPr>
        <w:pStyle w:val="Heading1"/>
        <w:tabs>
          <w:tab w:val="clear" w:pos="432"/>
        </w:tabs>
        <w:ind w:left="567" w:hanging="567"/>
        <w:jc w:val="both"/>
        <w:rPr>
          <w:rFonts w:ascii="Calibri" w:hAnsi="Calibri"/>
          <w:sz w:val="28"/>
          <w:szCs w:val="28"/>
        </w:rPr>
      </w:pPr>
      <w:r w:rsidRPr="00FB0EE3">
        <w:rPr>
          <w:rFonts w:ascii="Calibri" w:hAnsi="Calibri"/>
          <w:sz w:val="28"/>
          <w:szCs w:val="28"/>
        </w:rPr>
        <w:t xml:space="preserve">Responsibilities of </w:t>
      </w:r>
      <w:r>
        <w:rPr>
          <w:rFonts w:ascii="Calibri" w:hAnsi="Calibri"/>
          <w:sz w:val="28"/>
          <w:szCs w:val="28"/>
        </w:rPr>
        <w:t>Evoenergy</w:t>
      </w:r>
    </w:p>
    <w:p w:rsidR="00B3423C" w:rsidRDefault="00B3423C" w:rsidP="00B3423C">
      <w:pPr>
        <w:pStyle w:val="Heading2"/>
        <w:keepNext w:val="0"/>
        <w:spacing w:before="120" w:after="0"/>
        <w:ind w:left="578" w:hanging="578"/>
        <w:jc w:val="both"/>
        <w:rPr>
          <w:rFonts w:ascii="Calibri" w:hAnsi="Calibri"/>
          <w:b w:val="0"/>
          <w:i w:val="0"/>
          <w:sz w:val="24"/>
          <w:szCs w:val="24"/>
          <w:lang w:val="en-US"/>
        </w:rPr>
      </w:pPr>
      <w:bookmarkStart w:id="3" w:name="_Toc337218513"/>
      <w:r>
        <w:rPr>
          <w:rFonts w:ascii="Calibri" w:hAnsi="Calibri"/>
          <w:b w:val="0"/>
          <w:i w:val="0"/>
          <w:sz w:val="24"/>
          <w:szCs w:val="24"/>
          <w:lang w:val="en-US"/>
        </w:rPr>
        <w:t xml:space="preserve">Evoenergy’s </w:t>
      </w:r>
      <w:r w:rsidR="007D04F4">
        <w:rPr>
          <w:rFonts w:ascii="Calibri" w:hAnsi="Calibri"/>
          <w:b w:val="0"/>
          <w:i w:val="0"/>
          <w:sz w:val="24"/>
          <w:szCs w:val="24"/>
          <w:lang w:val="en-US"/>
        </w:rPr>
        <w:t>responsibilities are as follows:</w:t>
      </w:r>
    </w:p>
    <w:p w:rsidR="00B3423C" w:rsidRPr="001929D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 xml:space="preserve">Providing input on the </w:t>
      </w:r>
      <w:r w:rsidR="00FF6310">
        <w:rPr>
          <w:rFonts w:ascii="Calibri" w:hAnsi="Calibri"/>
          <w:b w:val="0"/>
          <w:i w:val="0"/>
          <w:sz w:val="24"/>
          <w:szCs w:val="24"/>
          <w:lang w:val="en-US"/>
        </w:rPr>
        <w:t>T</w:t>
      </w:r>
      <w:r w:rsidRPr="001929DC">
        <w:rPr>
          <w:rFonts w:ascii="Calibri" w:hAnsi="Calibri"/>
          <w:b w:val="0"/>
          <w:i w:val="0"/>
          <w:sz w:val="24"/>
          <w:szCs w:val="24"/>
          <w:lang w:val="en-US"/>
        </w:rPr>
        <w:t xml:space="preserve">erms of </w:t>
      </w:r>
      <w:r w:rsidR="00FF6310">
        <w:rPr>
          <w:rFonts w:ascii="Calibri" w:hAnsi="Calibri"/>
          <w:b w:val="0"/>
          <w:i w:val="0"/>
          <w:sz w:val="24"/>
          <w:szCs w:val="24"/>
          <w:lang w:val="en-US"/>
        </w:rPr>
        <w:t>R</w:t>
      </w:r>
      <w:r w:rsidRPr="001929DC">
        <w:rPr>
          <w:rFonts w:ascii="Calibri" w:hAnsi="Calibri"/>
          <w:b w:val="0"/>
          <w:i w:val="0"/>
          <w:sz w:val="24"/>
          <w:szCs w:val="24"/>
          <w:lang w:val="en-US"/>
        </w:rPr>
        <w:t>eference</w:t>
      </w:r>
      <w:r w:rsidR="00FF6310">
        <w:rPr>
          <w:rFonts w:ascii="Calibri" w:hAnsi="Calibri"/>
          <w:b w:val="0"/>
          <w:i w:val="0"/>
          <w:sz w:val="24"/>
          <w:szCs w:val="24"/>
          <w:lang w:val="en-US"/>
        </w:rPr>
        <w:t>;</w:t>
      </w:r>
    </w:p>
    <w:p w:rsidR="00B3423C" w:rsidRPr="001929D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 xml:space="preserve">Complying with the </w:t>
      </w:r>
      <w:r w:rsidR="00FF6310">
        <w:rPr>
          <w:rFonts w:ascii="Calibri" w:hAnsi="Calibri"/>
          <w:b w:val="0"/>
          <w:i w:val="0"/>
          <w:sz w:val="24"/>
          <w:szCs w:val="24"/>
          <w:lang w:val="en-US"/>
        </w:rPr>
        <w:t>T</w:t>
      </w:r>
      <w:r w:rsidRPr="001929DC">
        <w:rPr>
          <w:rFonts w:ascii="Calibri" w:hAnsi="Calibri"/>
          <w:b w:val="0"/>
          <w:i w:val="0"/>
          <w:sz w:val="24"/>
          <w:szCs w:val="24"/>
          <w:lang w:val="en-US"/>
        </w:rPr>
        <w:t xml:space="preserve">erms of </w:t>
      </w:r>
      <w:r w:rsidR="00FF6310">
        <w:rPr>
          <w:rFonts w:ascii="Calibri" w:hAnsi="Calibri"/>
          <w:b w:val="0"/>
          <w:i w:val="0"/>
          <w:sz w:val="24"/>
          <w:szCs w:val="24"/>
          <w:lang w:val="en-US"/>
        </w:rPr>
        <w:t>R</w:t>
      </w:r>
      <w:r w:rsidRPr="001929DC">
        <w:rPr>
          <w:rFonts w:ascii="Calibri" w:hAnsi="Calibri"/>
          <w:b w:val="0"/>
          <w:i w:val="0"/>
          <w:sz w:val="24"/>
          <w:szCs w:val="24"/>
          <w:lang w:val="en-US"/>
        </w:rPr>
        <w:t>eference</w:t>
      </w:r>
      <w:r w:rsidR="00FF6310">
        <w:rPr>
          <w:rFonts w:ascii="Calibri" w:hAnsi="Calibri"/>
          <w:b w:val="0"/>
          <w:i w:val="0"/>
          <w:sz w:val="24"/>
          <w:szCs w:val="24"/>
          <w:lang w:val="en-US"/>
        </w:rPr>
        <w:t>;</w:t>
      </w:r>
    </w:p>
    <w:p w:rsidR="00B3423C" w:rsidRPr="001929D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 xml:space="preserve">Enabling the </w:t>
      </w:r>
      <w:r w:rsidR="00FF6310">
        <w:rPr>
          <w:rFonts w:ascii="Calibri" w:hAnsi="Calibri"/>
          <w:b w:val="0"/>
          <w:i w:val="0"/>
          <w:sz w:val="24"/>
          <w:szCs w:val="24"/>
          <w:lang w:val="en-US"/>
        </w:rPr>
        <w:t>A</w:t>
      </w:r>
      <w:r w:rsidRPr="001929DC">
        <w:rPr>
          <w:rFonts w:ascii="Calibri" w:hAnsi="Calibri"/>
          <w:b w:val="0"/>
          <w:i w:val="0"/>
          <w:sz w:val="24"/>
          <w:szCs w:val="24"/>
          <w:lang w:val="en-US"/>
        </w:rPr>
        <w:t>uditor to conduct the audit program, including providing unrestricted access (where appropriate) to information and r</w:t>
      </w:r>
      <w:r w:rsidR="007D04F4">
        <w:rPr>
          <w:rFonts w:ascii="Calibri" w:hAnsi="Calibri"/>
          <w:b w:val="0"/>
          <w:i w:val="0"/>
          <w:sz w:val="24"/>
          <w:szCs w:val="24"/>
          <w:lang w:val="en-US"/>
        </w:rPr>
        <w:t>esources relevant to the scheme</w:t>
      </w:r>
      <w:r w:rsidR="0033168B">
        <w:rPr>
          <w:rFonts w:ascii="Calibri" w:hAnsi="Calibri"/>
          <w:b w:val="0"/>
          <w:i w:val="0"/>
          <w:sz w:val="24"/>
          <w:szCs w:val="24"/>
          <w:lang w:val="en-US"/>
        </w:rPr>
        <w:t xml:space="preserve"> in a timely manner</w:t>
      </w:r>
      <w:r w:rsidR="00FF6310">
        <w:rPr>
          <w:rFonts w:ascii="Calibri" w:hAnsi="Calibri"/>
          <w:b w:val="0"/>
          <w:i w:val="0"/>
          <w:sz w:val="24"/>
          <w:szCs w:val="24"/>
          <w:lang w:val="en-US"/>
        </w:rPr>
        <w:t>;</w:t>
      </w:r>
      <w:r w:rsidR="007D04F4">
        <w:rPr>
          <w:rFonts w:ascii="Calibri" w:hAnsi="Calibri"/>
          <w:b w:val="0"/>
          <w:i w:val="0"/>
          <w:sz w:val="24"/>
          <w:szCs w:val="24"/>
          <w:lang w:val="en-US"/>
        </w:rPr>
        <w:t xml:space="preserve"> and</w:t>
      </w:r>
    </w:p>
    <w:p w:rsidR="00B3423C" w:rsidRPr="00B3423C" w:rsidRDefault="00B3423C" w:rsidP="00B3423C">
      <w:pPr>
        <w:pStyle w:val="Heading2"/>
        <w:keepNext w:val="0"/>
        <w:numPr>
          <w:ilvl w:val="0"/>
          <w:numId w:val="18"/>
        </w:numPr>
        <w:spacing w:before="120" w:after="0"/>
        <w:jc w:val="both"/>
        <w:rPr>
          <w:rFonts w:ascii="Calibri" w:hAnsi="Calibri"/>
          <w:b w:val="0"/>
          <w:i w:val="0"/>
          <w:sz w:val="24"/>
          <w:szCs w:val="24"/>
          <w:lang w:val="en-US"/>
        </w:rPr>
      </w:pPr>
      <w:r w:rsidRPr="001929DC">
        <w:rPr>
          <w:rFonts w:ascii="Calibri" w:hAnsi="Calibri"/>
          <w:b w:val="0"/>
          <w:i w:val="0"/>
          <w:sz w:val="24"/>
          <w:szCs w:val="24"/>
          <w:lang w:val="en-US"/>
        </w:rPr>
        <w:t>Covering the costs of the audit program</w:t>
      </w:r>
      <w:bookmarkEnd w:id="3"/>
      <w:r w:rsidR="007D04F4">
        <w:rPr>
          <w:rFonts w:ascii="Calibri" w:hAnsi="Calibri"/>
          <w:b w:val="0"/>
          <w:i w:val="0"/>
          <w:sz w:val="24"/>
          <w:szCs w:val="24"/>
          <w:lang w:val="en-US"/>
        </w:rPr>
        <w:t>.</w:t>
      </w:r>
    </w:p>
    <w:bookmarkEnd w:id="2"/>
    <w:p w:rsidR="005307FC" w:rsidRDefault="005307FC">
      <w:pPr>
        <w:rPr>
          <w:rFonts w:ascii="Calibri" w:hAnsi="Calibri" w:cs="Arial"/>
          <w:b/>
          <w:bCs/>
          <w:kern w:val="32"/>
          <w:sz w:val="28"/>
          <w:szCs w:val="28"/>
        </w:rPr>
      </w:pPr>
      <w:r>
        <w:rPr>
          <w:rFonts w:ascii="Calibri" w:hAnsi="Calibri"/>
          <w:sz w:val="28"/>
          <w:szCs w:val="28"/>
        </w:rPr>
        <w:br w:type="page"/>
      </w:r>
    </w:p>
    <w:p w:rsidR="00B055F7" w:rsidRPr="007937DB" w:rsidRDefault="00FB0EE3" w:rsidP="007937DB">
      <w:pPr>
        <w:pStyle w:val="Heading1"/>
        <w:tabs>
          <w:tab w:val="clear" w:pos="432"/>
        </w:tabs>
        <w:ind w:left="567" w:hanging="567"/>
        <w:jc w:val="both"/>
        <w:rPr>
          <w:rFonts w:ascii="Calibri" w:hAnsi="Calibri"/>
          <w:sz w:val="28"/>
          <w:szCs w:val="28"/>
        </w:rPr>
      </w:pPr>
      <w:r>
        <w:rPr>
          <w:rFonts w:ascii="Calibri" w:hAnsi="Calibri"/>
          <w:sz w:val="28"/>
          <w:szCs w:val="28"/>
        </w:rPr>
        <w:lastRenderedPageBreak/>
        <w:t xml:space="preserve">Responsibilities of </w:t>
      </w:r>
      <w:r w:rsidR="00852727">
        <w:rPr>
          <w:rFonts w:ascii="Calibri" w:hAnsi="Calibri"/>
          <w:sz w:val="28"/>
          <w:szCs w:val="28"/>
        </w:rPr>
        <w:t xml:space="preserve">the </w:t>
      </w:r>
      <w:r>
        <w:rPr>
          <w:rFonts w:ascii="Calibri" w:hAnsi="Calibri"/>
          <w:sz w:val="28"/>
          <w:szCs w:val="28"/>
        </w:rPr>
        <w:t>Auditor</w:t>
      </w:r>
    </w:p>
    <w:p w:rsidR="006A55EE" w:rsidRDefault="006A55EE" w:rsidP="001929DC">
      <w:pPr>
        <w:pStyle w:val="Heading2"/>
        <w:keepNext w:val="0"/>
        <w:spacing w:before="120" w:after="0"/>
        <w:ind w:left="578" w:hanging="578"/>
        <w:jc w:val="both"/>
        <w:rPr>
          <w:rFonts w:ascii="Calibri" w:hAnsi="Calibri"/>
          <w:b w:val="0"/>
          <w:i w:val="0"/>
          <w:sz w:val="24"/>
          <w:szCs w:val="24"/>
          <w:lang w:val="en-US"/>
        </w:rPr>
      </w:pPr>
      <w:r>
        <w:rPr>
          <w:rFonts w:ascii="Calibri" w:hAnsi="Calibri"/>
          <w:b w:val="0"/>
          <w:i w:val="0"/>
          <w:sz w:val="24"/>
          <w:szCs w:val="24"/>
          <w:lang w:val="en-US"/>
        </w:rPr>
        <w:t xml:space="preserve">The </w:t>
      </w:r>
      <w:r w:rsidR="00852727">
        <w:rPr>
          <w:rFonts w:ascii="Calibri" w:hAnsi="Calibri"/>
          <w:b w:val="0"/>
          <w:i w:val="0"/>
          <w:sz w:val="24"/>
          <w:szCs w:val="24"/>
          <w:lang w:val="en-US"/>
        </w:rPr>
        <w:t>A</w:t>
      </w:r>
      <w:r w:rsidR="0035424C">
        <w:rPr>
          <w:rFonts w:ascii="Calibri" w:hAnsi="Calibri"/>
          <w:b w:val="0"/>
          <w:i w:val="0"/>
          <w:sz w:val="24"/>
          <w:szCs w:val="24"/>
          <w:lang w:val="en-US"/>
        </w:rPr>
        <w:t xml:space="preserve">uditor’s </w:t>
      </w:r>
      <w:r w:rsidR="007D04F4">
        <w:rPr>
          <w:rFonts w:ascii="Calibri" w:hAnsi="Calibri"/>
          <w:b w:val="0"/>
          <w:i w:val="0"/>
          <w:sz w:val="24"/>
          <w:szCs w:val="24"/>
          <w:lang w:val="en-US"/>
        </w:rPr>
        <w:t>responsibilities are as follows:</w:t>
      </w:r>
    </w:p>
    <w:p w:rsidR="001929DC" w:rsidRPr="006A55EE" w:rsidRDefault="001929DC" w:rsidP="006A55EE">
      <w:pPr>
        <w:pStyle w:val="Heading2"/>
        <w:keepNext w:val="0"/>
        <w:numPr>
          <w:ilvl w:val="0"/>
          <w:numId w:val="18"/>
        </w:numPr>
        <w:spacing w:before="120" w:after="0"/>
        <w:jc w:val="both"/>
        <w:rPr>
          <w:rFonts w:ascii="Calibri" w:hAnsi="Calibri"/>
          <w:b w:val="0"/>
          <w:i w:val="0"/>
          <w:sz w:val="24"/>
          <w:szCs w:val="24"/>
          <w:lang w:val="en-US"/>
        </w:rPr>
      </w:pPr>
      <w:r w:rsidRPr="006A55EE">
        <w:rPr>
          <w:rFonts w:ascii="Calibri" w:hAnsi="Calibri"/>
          <w:b w:val="0"/>
          <w:i w:val="0"/>
          <w:sz w:val="24"/>
          <w:szCs w:val="24"/>
          <w:lang w:val="en-US"/>
        </w:rPr>
        <w:t xml:space="preserve">Conducting an audit in accordance with the </w:t>
      </w:r>
      <w:r w:rsidR="00852727">
        <w:rPr>
          <w:rFonts w:ascii="Calibri" w:hAnsi="Calibri"/>
          <w:b w:val="0"/>
          <w:i w:val="0"/>
          <w:sz w:val="24"/>
          <w:szCs w:val="24"/>
          <w:lang w:val="en-US"/>
        </w:rPr>
        <w:t>T</w:t>
      </w:r>
      <w:r w:rsidRPr="006A55EE">
        <w:rPr>
          <w:rFonts w:ascii="Calibri" w:hAnsi="Calibri"/>
          <w:b w:val="0"/>
          <w:i w:val="0"/>
          <w:sz w:val="24"/>
          <w:szCs w:val="24"/>
          <w:lang w:val="en-US"/>
        </w:rPr>
        <w:t xml:space="preserve">erms of </w:t>
      </w:r>
      <w:r w:rsidR="00852727">
        <w:rPr>
          <w:rFonts w:ascii="Calibri" w:hAnsi="Calibri"/>
          <w:b w:val="0"/>
          <w:i w:val="0"/>
          <w:sz w:val="24"/>
          <w:szCs w:val="24"/>
          <w:lang w:val="en-US"/>
        </w:rPr>
        <w:t>R</w:t>
      </w:r>
      <w:r w:rsidRPr="006A55EE">
        <w:rPr>
          <w:rFonts w:ascii="Calibri" w:hAnsi="Calibri"/>
          <w:b w:val="0"/>
          <w:i w:val="0"/>
          <w:sz w:val="24"/>
          <w:szCs w:val="24"/>
          <w:lang w:val="en-US"/>
        </w:rPr>
        <w:t>eference</w:t>
      </w:r>
      <w:r w:rsidR="00852727">
        <w:rPr>
          <w:rFonts w:ascii="Calibri" w:hAnsi="Calibri"/>
          <w:b w:val="0"/>
          <w:i w:val="0"/>
          <w:sz w:val="24"/>
          <w:szCs w:val="24"/>
          <w:lang w:val="en-US"/>
        </w:rPr>
        <w:t>;</w:t>
      </w:r>
    </w:p>
    <w:p w:rsidR="001929DC" w:rsidRPr="006A55EE" w:rsidRDefault="001929DC" w:rsidP="006A55EE">
      <w:pPr>
        <w:pStyle w:val="Heading2"/>
        <w:keepNext w:val="0"/>
        <w:numPr>
          <w:ilvl w:val="0"/>
          <w:numId w:val="18"/>
        </w:numPr>
        <w:spacing w:before="120" w:after="0"/>
        <w:jc w:val="both"/>
        <w:rPr>
          <w:rFonts w:ascii="Calibri" w:hAnsi="Calibri"/>
          <w:b w:val="0"/>
          <w:i w:val="0"/>
          <w:sz w:val="24"/>
          <w:szCs w:val="24"/>
          <w:lang w:val="en-US"/>
        </w:rPr>
      </w:pPr>
      <w:r w:rsidRPr="006A55EE">
        <w:rPr>
          <w:rFonts w:ascii="Calibri" w:hAnsi="Calibri"/>
          <w:b w:val="0"/>
          <w:i w:val="0"/>
          <w:sz w:val="24"/>
          <w:szCs w:val="24"/>
          <w:lang w:val="en-US"/>
        </w:rPr>
        <w:t>Providing a report to EPSDD on the findings of the audit</w:t>
      </w:r>
      <w:r w:rsidR="00852727">
        <w:rPr>
          <w:rFonts w:ascii="Calibri" w:hAnsi="Calibri"/>
          <w:b w:val="0"/>
          <w:i w:val="0"/>
          <w:sz w:val="24"/>
          <w:szCs w:val="24"/>
          <w:lang w:val="en-US"/>
        </w:rPr>
        <w:t>;</w:t>
      </w:r>
      <w:r w:rsidR="007D04F4">
        <w:rPr>
          <w:rFonts w:ascii="Calibri" w:hAnsi="Calibri"/>
          <w:b w:val="0"/>
          <w:i w:val="0"/>
          <w:sz w:val="24"/>
          <w:szCs w:val="24"/>
          <w:lang w:val="en-US"/>
        </w:rPr>
        <w:t xml:space="preserve"> and</w:t>
      </w:r>
    </w:p>
    <w:p w:rsidR="001929DC" w:rsidRPr="006A55EE" w:rsidRDefault="001929DC" w:rsidP="006A55EE">
      <w:pPr>
        <w:pStyle w:val="Heading2"/>
        <w:keepNext w:val="0"/>
        <w:numPr>
          <w:ilvl w:val="0"/>
          <w:numId w:val="18"/>
        </w:numPr>
        <w:spacing w:before="120" w:after="0"/>
        <w:jc w:val="both"/>
        <w:rPr>
          <w:rFonts w:ascii="Calibri" w:hAnsi="Calibri"/>
          <w:b w:val="0"/>
          <w:i w:val="0"/>
          <w:sz w:val="24"/>
          <w:szCs w:val="24"/>
          <w:lang w:val="en-US"/>
        </w:rPr>
      </w:pPr>
      <w:r w:rsidRPr="006A55EE">
        <w:rPr>
          <w:rFonts w:ascii="Calibri" w:hAnsi="Calibri"/>
          <w:b w:val="0"/>
          <w:i w:val="0"/>
          <w:sz w:val="24"/>
          <w:szCs w:val="24"/>
          <w:lang w:val="en-US"/>
        </w:rPr>
        <w:t>Ensuring</w:t>
      </w:r>
      <w:r w:rsidR="007D04F4">
        <w:rPr>
          <w:rFonts w:ascii="Calibri" w:hAnsi="Calibri"/>
          <w:b w:val="0"/>
          <w:i w:val="0"/>
          <w:sz w:val="24"/>
          <w:szCs w:val="24"/>
          <w:lang w:val="en-US"/>
        </w:rPr>
        <w:t>, to the best of their ability,</w:t>
      </w:r>
      <w:r w:rsidRPr="006A55EE">
        <w:rPr>
          <w:rFonts w:ascii="Calibri" w:hAnsi="Calibri"/>
          <w:b w:val="0"/>
          <w:i w:val="0"/>
          <w:sz w:val="24"/>
          <w:szCs w:val="24"/>
          <w:lang w:val="en-US"/>
        </w:rPr>
        <w:t xml:space="preserve"> the accuracy and reliability of information contained in the report</w:t>
      </w:r>
      <w:r w:rsidR="007D04F4">
        <w:rPr>
          <w:rFonts w:ascii="Calibri" w:hAnsi="Calibri"/>
          <w:b w:val="0"/>
          <w:i w:val="0"/>
          <w:sz w:val="24"/>
          <w:szCs w:val="24"/>
          <w:lang w:val="en-US"/>
        </w:rPr>
        <w:t>.</w:t>
      </w:r>
    </w:p>
    <w:p w:rsidR="00B055F7" w:rsidRPr="001C2A44" w:rsidRDefault="00B055F7" w:rsidP="00FB0EE3">
      <w:pPr>
        <w:pStyle w:val="Heading1"/>
        <w:tabs>
          <w:tab w:val="clear" w:pos="432"/>
        </w:tabs>
        <w:ind w:left="567" w:hanging="567"/>
        <w:jc w:val="both"/>
        <w:rPr>
          <w:rFonts w:ascii="Calibri" w:hAnsi="Calibri"/>
          <w:sz w:val="28"/>
          <w:szCs w:val="28"/>
        </w:rPr>
      </w:pPr>
      <w:bookmarkStart w:id="4" w:name="_Toc337218515"/>
      <w:r w:rsidRPr="001C2A44">
        <w:rPr>
          <w:rFonts w:ascii="Calibri" w:hAnsi="Calibri"/>
          <w:sz w:val="28"/>
          <w:szCs w:val="28"/>
        </w:rPr>
        <w:t>Meeting Frequency</w:t>
      </w:r>
      <w:bookmarkEnd w:id="4"/>
    </w:p>
    <w:p w:rsidR="003A7B57" w:rsidRPr="00874282" w:rsidRDefault="00874282" w:rsidP="00874282">
      <w:pPr>
        <w:pStyle w:val="Heading2"/>
        <w:rPr>
          <w:rFonts w:ascii="Calibri" w:hAnsi="Calibri"/>
          <w:b w:val="0"/>
          <w:i w:val="0"/>
          <w:sz w:val="24"/>
          <w:szCs w:val="24"/>
          <w:lang w:val="en-US"/>
        </w:rPr>
      </w:pPr>
      <w:r>
        <w:rPr>
          <w:rFonts w:ascii="Calibri" w:hAnsi="Calibri"/>
          <w:b w:val="0"/>
          <w:i w:val="0"/>
          <w:sz w:val="24"/>
          <w:szCs w:val="24"/>
          <w:lang w:val="en-US"/>
        </w:rPr>
        <w:t xml:space="preserve">Face-to-face meetings between EPSDD, Evoenergy and the </w:t>
      </w:r>
      <w:r w:rsidR="00852727">
        <w:rPr>
          <w:rFonts w:ascii="Calibri" w:hAnsi="Calibri"/>
          <w:b w:val="0"/>
          <w:i w:val="0"/>
          <w:sz w:val="24"/>
          <w:szCs w:val="24"/>
          <w:lang w:val="en-US"/>
        </w:rPr>
        <w:t>A</w:t>
      </w:r>
      <w:r>
        <w:rPr>
          <w:rFonts w:ascii="Calibri" w:hAnsi="Calibri"/>
          <w:b w:val="0"/>
          <w:i w:val="0"/>
          <w:sz w:val="24"/>
          <w:szCs w:val="24"/>
          <w:lang w:val="en-US"/>
        </w:rPr>
        <w:t>uditor should be held at the beginning, mid-point and end of the audit process. Weekly teleconference should also be held between the parties during the audit process.</w:t>
      </w:r>
    </w:p>
    <w:p w:rsidR="00B055F7" w:rsidRPr="007937DB" w:rsidRDefault="00E93816" w:rsidP="007937DB">
      <w:pPr>
        <w:pStyle w:val="Heading1"/>
        <w:keepNext w:val="0"/>
        <w:tabs>
          <w:tab w:val="clear" w:pos="432"/>
        </w:tabs>
        <w:ind w:left="567" w:hanging="567"/>
        <w:jc w:val="both"/>
        <w:rPr>
          <w:rFonts w:ascii="Calibri" w:hAnsi="Calibri"/>
          <w:sz w:val="28"/>
          <w:szCs w:val="28"/>
        </w:rPr>
      </w:pPr>
      <w:bookmarkStart w:id="5" w:name="_Toc337218516"/>
      <w:r>
        <w:rPr>
          <w:rFonts w:ascii="Calibri" w:hAnsi="Calibri"/>
          <w:sz w:val="28"/>
          <w:szCs w:val="28"/>
        </w:rPr>
        <w:t>Resourcing</w:t>
      </w:r>
      <w:bookmarkEnd w:id="5"/>
    </w:p>
    <w:p w:rsidR="00874282" w:rsidRDefault="00874282" w:rsidP="00874282">
      <w:pPr>
        <w:pStyle w:val="Heading2"/>
        <w:keepNext w:val="0"/>
        <w:spacing w:before="120" w:after="0"/>
        <w:ind w:left="578" w:hanging="578"/>
        <w:jc w:val="both"/>
        <w:rPr>
          <w:rFonts w:ascii="Calibri" w:hAnsi="Calibri"/>
          <w:b w:val="0"/>
          <w:i w:val="0"/>
          <w:sz w:val="24"/>
          <w:szCs w:val="24"/>
          <w:lang w:val="en-US"/>
        </w:rPr>
      </w:pPr>
      <w:r w:rsidRPr="001929DC">
        <w:rPr>
          <w:rFonts w:ascii="Calibri" w:hAnsi="Calibri"/>
          <w:b w:val="0"/>
          <w:i w:val="0"/>
          <w:sz w:val="24"/>
          <w:szCs w:val="24"/>
          <w:lang w:val="en-US"/>
        </w:rPr>
        <w:t>Under section 11C of the Act, the audit must be paid for by Evoenergy.</w:t>
      </w:r>
    </w:p>
    <w:p w:rsidR="00874282" w:rsidRDefault="00874282" w:rsidP="00874282">
      <w:pPr>
        <w:pStyle w:val="Heading2"/>
        <w:rPr>
          <w:rFonts w:ascii="Calibri" w:hAnsi="Calibri"/>
          <w:b w:val="0"/>
          <w:i w:val="0"/>
          <w:sz w:val="24"/>
          <w:szCs w:val="24"/>
          <w:lang w:val="en-US"/>
        </w:rPr>
      </w:pPr>
      <w:r>
        <w:rPr>
          <w:rFonts w:ascii="Calibri" w:hAnsi="Calibri"/>
          <w:b w:val="0"/>
          <w:i w:val="0"/>
          <w:sz w:val="24"/>
          <w:szCs w:val="24"/>
          <w:lang w:val="en-US"/>
        </w:rPr>
        <w:t xml:space="preserve">Evoenergy must provide a staff contact point for communications between Evoenergy, EPSDD and the </w:t>
      </w:r>
      <w:r w:rsidR="00852727">
        <w:rPr>
          <w:rFonts w:ascii="Calibri" w:hAnsi="Calibri"/>
          <w:b w:val="0"/>
          <w:i w:val="0"/>
          <w:sz w:val="24"/>
          <w:szCs w:val="24"/>
          <w:lang w:val="en-US"/>
        </w:rPr>
        <w:t>A</w:t>
      </w:r>
      <w:r>
        <w:rPr>
          <w:rFonts w:ascii="Calibri" w:hAnsi="Calibri"/>
          <w:b w:val="0"/>
          <w:i w:val="0"/>
          <w:sz w:val="24"/>
          <w:szCs w:val="24"/>
          <w:lang w:val="en-US"/>
        </w:rPr>
        <w:t>uditor.</w:t>
      </w:r>
    </w:p>
    <w:p w:rsidR="00874282" w:rsidRPr="00C627CE" w:rsidRDefault="00874282" w:rsidP="00C627CE">
      <w:pPr>
        <w:pStyle w:val="Heading2"/>
        <w:rPr>
          <w:rFonts w:ascii="Calibri" w:hAnsi="Calibri"/>
          <w:b w:val="0"/>
          <w:i w:val="0"/>
          <w:sz w:val="24"/>
          <w:szCs w:val="24"/>
          <w:lang w:val="en-US"/>
        </w:rPr>
      </w:pPr>
      <w:r>
        <w:rPr>
          <w:rFonts w:ascii="Calibri" w:hAnsi="Calibri"/>
          <w:b w:val="0"/>
          <w:i w:val="0"/>
          <w:sz w:val="24"/>
          <w:szCs w:val="24"/>
          <w:lang w:val="en-US"/>
        </w:rPr>
        <w:t xml:space="preserve">EPSDD must provide a staff contact point for communications between Evoenergy, EPSDD and the </w:t>
      </w:r>
      <w:r w:rsidR="00852727">
        <w:rPr>
          <w:rFonts w:ascii="Calibri" w:hAnsi="Calibri"/>
          <w:b w:val="0"/>
          <w:i w:val="0"/>
          <w:sz w:val="24"/>
          <w:szCs w:val="24"/>
          <w:lang w:val="en-US"/>
        </w:rPr>
        <w:t>A</w:t>
      </w:r>
      <w:r>
        <w:rPr>
          <w:rFonts w:ascii="Calibri" w:hAnsi="Calibri"/>
          <w:b w:val="0"/>
          <w:i w:val="0"/>
          <w:sz w:val="24"/>
          <w:szCs w:val="24"/>
          <w:lang w:val="en-US"/>
        </w:rPr>
        <w:t>uditor.</w:t>
      </w:r>
    </w:p>
    <w:p w:rsidR="00C50E84" w:rsidRPr="007937DB" w:rsidRDefault="00C50E84" w:rsidP="00C50E84">
      <w:pPr>
        <w:pStyle w:val="Heading1"/>
        <w:keepNext w:val="0"/>
        <w:tabs>
          <w:tab w:val="clear" w:pos="432"/>
        </w:tabs>
        <w:ind w:left="567" w:hanging="567"/>
        <w:jc w:val="both"/>
        <w:rPr>
          <w:rFonts w:ascii="Calibri" w:hAnsi="Calibri"/>
          <w:sz w:val="28"/>
          <w:szCs w:val="28"/>
        </w:rPr>
      </w:pPr>
      <w:bookmarkStart w:id="6" w:name="_Toc337218514"/>
      <w:r w:rsidRPr="007937DB">
        <w:rPr>
          <w:rFonts w:ascii="Calibri" w:hAnsi="Calibri"/>
          <w:sz w:val="28"/>
          <w:szCs w:val="28"/>
        </w:rPr>
        <w:t>Reporting Requirement</w:t>
      </w:r>
      <w:r>
        <w:rPr>
          <w:rFonts w:ascii="Calibri" w:hAnsi="Calibri"/>
          <w:sz w:val="28"/>
          <w:szCs w:val="28"/>
        </w:rPr>
        <w:t>s</w:t>
      </w:r>
      <w:bookmarkEnd w:id="6"/>
    </w:p>
    <w:p w:rsidR="006E7A06" w:rsidRDefault="006E7A06" w:rsidP="006E7A06">
      <w:pPr>
        <w:pStyle w:val="Heading2"/>
        <w:tabs>
          <w:tab w:val="right" w:pos="8931"/>
        </w:tabs>
        <w:jc w:val="both"/>
        <w:rPr>
          <w:rFonts w:ascii="Calibri" w:hAnsi="Calibri"/>
          <w:b w:val="0"/>
          <w:i w:val="0"/>
          <w:sz w:val="24"/>
          <w:szCs w:val="24"/>
          <w:lang w:val="en-US"/>
        </w:rPr>
      </w:pPr>
      <w:r>
        <w:rPr>
          <w:rFonts w:ascii="Calibri" w:hAnsi="Calibri"/>
          <w:b w:val="0"/>
          <w:i w:val="0"/>
          <w:sz w:val="24"/>
          <w:szCs w:val="24"/>
          <w:lang w:val="en-US"/>
        </w:rPr>
        <w:t xml:space="preserve">The audit should be completed and </w:t>
      </w:r>
      <w:r w:rsidR="000B5F6C">
        <w:rPr>
          <w:rFonts w:ascii="Calibri" w:hAnsi="Calibri"/>
          <w:b w:val="0"/>
          <w:i w:val="0"/>
          <w:sz w:val="24"/>
          <w:szCs w:val="24"/>
          <w:lang w:val="en-US"/>
        </w:rPr>
        <w:t xml:space="preserve">the final audit report should be provided by the Auditor to EPSDD and Evoenergy </w:t>
      </w:r>
      <w:r>
        <w:rPr>
          <w:rFonts w:ascii="Calibri" w:hAnsi="Calibri"/>
          <w:b w:val="0"/>
          <w:i w:val="0"/>
          <w:sz w:val="24"/>
          <w:szCs w:val="24"/>
          <w:lang w:val="en-US"/>
        </w:rPr>
        <w:t>prior to the end of quarter four 2018</w:t>
      </w:r>
      <w:r w:rsidR="000B5F6C">
        <w:rPr>
          <w:rFonts w:ascii="Calibri" w:hAnsi="Calibri"/>
          <w:b w:val="0"/>
          <w:i w:val="0"/>
          <w:sz w:val="24"/>
          <w:szCs w:val="24"/>
          <w:lang w:val="en-US"/>
        </w:rPr>
        <w:t>.</w:t>
      </w:r>
    </w:p>
    <w:p w:rsidR="00E539F0" w:rsidRPr="006E7A06" w:rsidRDefault="000B5F6C" w:rsidP="006E7A06">
      <w:pPr>
        <w:pStyle w:val="Heading2"/>
        <w:tabs>
          <w:tab w:val="right" w:pos="8931"/>
        </w:tabs>
        <w:jc w:val="both"/>
        <w:rPr>
          <w:rFonts w:ascii="Calibri" w:hAnsi="Calibri"/>
          <w:b w:val="0"/>
          <w:i w:val="0"/>
          <w:sz w:val="24"/>
          <w:szCs w:val="24"/>
          <w:lang w:val="en-US"/>
        </w:rPr>
      </w:pPr>
      <w:r w:rsidRPr="006E7A06">
        <w:rPr>
          <w:rFonts w:ascii="Calibri" w:hAnsi="Calibri"/>
          <w:b w:val="0"/>
          <w:i w:val="0"/>
          <w:sz w:val="24"/>
          <w:szCs w:val="24"/>
          <w:lang w:val="en-US"/>
        </w:rPr>
        <w:t>Both the draft and the final audit report should be provided in Microsoft Word format, via email.</w:t>
      </w:r>
    </w:p>
    <w:sectPr w:rsidR="00E539F0" w:rsidRPr="006E7A06" w:rsidSect="00D967B8">
      <w:headerReference w:type="default" r:id="rId18"/>
      <w:footerReference w:type="default" r:id="rId19"/>
      <w:pgSz w:w="11906" w:h="16838" w:code="9"/>
      <w:pgMar w:top="1135" w:right="1440" w:bottom="1135" w:left="1440" w:header="284" w:footer="5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3D" w:rsidRDefault="002E4C3D">
      <w:r>
        <w:separator/>
      </w:r>
    </w:p>
  </w:endnote>
  <w:endnote w:type="continuationSeparator" w:id="0">
    <w:p w:rsidR="002E4C3D" w:rsidRDefault="002E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06" w:rsidRDefault="00055DF1" w:rsidP="0075103F">
    <w:pPr>
      <w:pStyle w:val="Footer"/>
      <w:framePr w:wrap="around" w:vAnchor="text" w:hAnchor="margin" w:xAlign="center" w:y="1"/>
      <w:rPr>
        <w:rStyle w:val="PageNumber"/>
      </w:rPr>
    </w:pPr>
    <w:r>
      <w:rPr>
        <w:rStyle w:val="PageNumber"/>
      </w:rPr>
      <w:fldChar w:fldCharType="begin"/>
    </w:r>
    <w:r w:rsidR="005C4206">
      <w:rPr>
        <w:rStyle w:val="PageNumber"/>
      </w:rPr>
      <w:instrText xml:space="preserve">PAGE  </w:instrText>
    </w:r>
    <w:r>
      <w:rPr>
        <w:rStyle w:val="PageNumber"/>
      </w:rPr>
      <w:fldChar w:fldCharType="separate"/>
    </w:r>
    <w:r w:rsidR="00540473">
      <w:rPr>
        <w:rStyle w:val="PageNumber"/>
        <w:noProof/>
      </w:rPr>
      <w:t>2</w:t>
    </w:r>
    <w:r>
      <w:rPr>
        <w:rStyle w:val="PageNumber"/>
      </w:rPr>
      <w:fldChar w:fldCharType="end"/>
    </w:r>
  </w:p>
  <w:p w:rsidR="005C4206" w:rsidRDefault="005C4206" w:rsidP="002213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5" w:rsidRPr="007A03E5" w:rsidRDefault="007A03E5" w:rsidP="007A03E5">
    <w:pPr>
      <w:pStyle w:val="Footer"/>
      <w:jc w:val="center"/>
      <w:rPr>
        <w:rFonts w:ascii="Arial" w:hAnsi="Arial" w:cs="Arial"/>
        <w:sz w:val="14"/>
      </w:rPr>
    </w:pPr>
    <w:r w:rsidRPr="007A03E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06" w:rsidRDefault="005C4206" w:rsidP="008E2A0D">
    <w:pPr>
      <w:pStyle w:val="Footer"/>
      <w:tabs>
        <w:tab w:val="clear" w:pos="4153"/>
        <w:tab w:val="clear" w:pos="8306"/>
        <w:tab w:val="left" w:pos="5245"/>
        <w:tab w:val="right" w:pos="9072"/>
      </w:tabs>
      <w:rPr>
        <w:rFonts w:ascii="Calibri" w:hAnsi="Calibri"/>
      </w:rPr>
    </w:pPr>
  </w:p>
  <w:p w:rsidR="005C4206" w:rsidRPr="007937DB" w:rsidRDefault="00B9750A" w:rsidP="008E2A0D">
    <w:pPr>
      <w:pStyle w:val="Footer"/>
      <w:tabs>
        <w:tab w:val="clear" w:pos="4153"/>
        <w:tab w:val="clear" w:pos="8306"/>
        <w:tab w:val="left" w:pos="5245"/>
        <w:tab w:val="right" w:pos="9072"/>
      </w:tabs>
      <w:rPr>
        <w:rFonts w:ascii="Calibri" w:hAnsi="Calibri"/>
      </w:rPr>
    </w:pPr>
    <w:r w:rsidRPr="00B9750A">
      <w:rPr>
        <w:rFonts w:ascii="Calibri" w:hAnsi="Calibri"/>
        <w:sz w:val="18"/>
      </w:rPr>
      <w:t xml:space="preserve">Small and Medium-scale Feed-in Tariff Scheme Data Audit </w:t>
    </w:r>
    <w:r w:rsidR="00D807C5" w:rsidRPr="00B9750A">
      <w:rPr>
        <w:rFonts w:ascii="Calibri" w:hAnsi="Calibri"/>
        <w:sz w:val="18"/>
      </w:rPr>
      <w:t>Terms of Reference</w:t>
    </w:r>
    <w:r>
      <w:rPr>
        <w:rFonts w:ascii="Calibri" w:hAnsi="Calibri"/>
        <w:sz w:val="18"/>
      </w:rPr>
      <w:t xml:space="preserve">                              </w:t>
    </w:r>
    <w:r w:rsidR="00540473">
      <w:rPr>
        <w:rFonts w:ascii="Calibri" w:hAnsi="Calibri"/>
        <w:sz w:val="18"/>
      </w:rPr>
      <w:t>September</w:t>
    </w:r>
    <w:r w:rsidR="0033168B" w:rsidRPr="00B9750A">
      <w:rPr>
        <w:rFonts w:ascii="Calibri" w:hAnsi="Calibri"/>
        <w:sz w:val="18"/>
      </w:rPr>
      <w:t xml:space="preserve"> </w:t>
    </w:r>
    <w:r w:rsidR="00D807C5" w:rsidRPr="00B9750A">
      <w:rPr>
        <w:rFonts w:ascii="Calibri" w:hAnsi="Calibri"/>
        <w:sz w:val="18"/>
      </w:rPr>
      <w:t>201</w:t>
    </w:r>
    <w:r>
      <w:rPr>
        <w:rFonts w:ascii="Calibri" w:hAnsi="Calibri"/>
        <w:sz w:val="18"/>
      </w:rPr>
      <w:t>8</w:t>
    </w:r>
    <w:r w:rsidR="005C4206">
      <w:rPr>
        <w:rFonts w:ascii="Calibri" w:hAnsi="Calibri"/>
      </w:rPr>
      <w:tab/>
    </w:r>
    <w:r w:rsidR="00055DF1" w:rsidRPr="007937DB">
      <w:rPr>
        <w:rFonts w:ascii="Calibri" w:hAnsi="Calibri"/>
      </w:rPr>
      <w:fldChar w:fldCharType="begin"/>
    </w:r>
    <w:r w:rsidR="005C4206" w:rsidRPr="007937DB">
      <w:rPr>
        <w:rFonts w:ascii="Calibri" w:hAnsi="Calibri"/>
      </w:rPr>
      <w:instrText xml:space="preserve"> PAGE   \* MERGEFORMAT </w:instrText>
    </w:r>
    <w:r w:rsidR="00055DF1" w:rsidRPr="007937DB">
      <w:rPr>
        <w:rFonts w:ascii="Calibri" w:hAnsi="Calibri"/>
      </w:rPr>
      <w:fldChar w:fldCharType="separate"/>
    </w:r>
    <w:r w:rsidR="00540473">
      <w:rPr>
        <w:rFonts w:ascii="Calibri" w:hAnsi="Calibri"/>
        <w:noProof/>
      </w:rPr>
      <w:t>1</w:t>
    </w:r>
    <w:r w:rsidR="00055DF1" w:rsidRPr="007937DB">
      <w:rPr>
        <w:rFonts w:ascii="Calibri" w:hAnsi="Calibri"/>
      </w:rPr>
      <w:fldChar w:fldCharType="end"/>
    </w:r>
  </w:p>
  <w:p w:rsidR="005C4206" w:rsidRDefault="005C42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B8" w:rsidRDefault="00D967B8" w:rsidP="007937DB">
    <w:pPr>
      <w:pStyle w:val="Footer"/>
      <w:tabs>
        <w:tab w:val="clear" w:pos="4153"/>
        <w:tab w:val="clear" w:pos="8306"/>
        <w:tab w:val="left" w:pos="5245"/>
        <w:tab w:val="right" w:pos="9072"/>
      </w:tabs>
      <w:rPr>
        <w:rFonts w:ascii="Calibri" w:hAnsi="Calibri"/>
      </w:rPr>
    </w:pPr>
    <w:r w:rsidRPr="00B9750A">
      <w:rPr>
        <w:rFonts w:ascii="Calibri" w:hAnsi="Calibri"/>
        <w:sz w:val="18"/>
      </w:rPr>
      <w:t>Small and Medium-scale Feed-in Tariff Scheme Data Audit Terms of Reference</w:t>
    </w:r>
    <w:r>
      <w:rPr>
        <w:rFonts w:ascii="Calibri" w:hAnsi="Calibri"/>
        <w:sz w:val="18"/>
      </w:rPr>
      <w:t xml:space="preserve">                              September</w:t>
    </w:r>
    <w:r w:rsidRPr="00B9750A">
      <w:rPr>
        <w:rFonts w:ascii="Calibri" w:hAnsi="Calibri"/>
        <w:sz w:val="18"/>
      </w:rPr>
      <w:t xml:space="preserve"> 201</w:t>
    </w:r>
    <w:r>
      <w:rPr>
        <w:rFonts w:ascii="Calibri" w:hAnsi="Calibri"/>
        <w:sz w:val="18"/>
      </w:rPr>
      <w:t>8</w:t>
    </w:r>
    <w:r>
      <w:rPr>
        <w:rFonts w:ascii="Calibri" w:hAnsi="Calibri"/>
      </w:rPr>
      <w:tab/>
    </w:r>
    <w:r w:rsidRPr="007937DB">
      <w:rPr>
        <w:rFonts w:ascii="Calibri" w:hAnsi="Calibri"/>
      </w:rPr>
      <w:fldChar w:fldCharType="begin"/>
    </w:r>
    <w:r w:rsidRPr="007937DB">
      <w:rPr>
        <w:rFonts w:ascii="Calibri" w:hAnsi="Calibri"/>
      </w:rPr>
      <w:instrText xml:space="preserve"> PAGE   \* MERGEFORMAT </w:instrText>
    </w:r>
    <w:r w:rsidRPr="007937DB">
      <w:rPr>
        <w:rFonts w:ascii="Calibri" w:hAnsi="Calibri"/>
      </w:rPr>
      <w:fldChar w:fldCharType="separate"/>
    </w:r>
    <w:r w:rsidR="007A03E5">
      <w:rPr>
        <w:rFonts w:ascii="Calibri" w:hAnsi="Calibri"/>
        <w:noProof/>
      </w:rPr>
      <w:t>3</w:t>
    </w:r>
    <w:r w:rsidRPr="007937DB">
      <w:rPr>
        <w:rFonts w:ascii="Calibri" w:hAnsi="Calibri"/>
      </w:rPr>
      <w:fldChar w:fldCharType="end"/>
    </w:r>
  </w:p>
  <w:p w:rsidR="00D967B8" w:rsidRPr="007A03E5" w:rsidRDefault="007A03E5" w:rsidP="007A03E5">
    <w:pPr>
      <w:pStyle w:val="Footer"/>
      <w:tabs>
        <w:tab w:val="clear" w:pos="4153"/>
        <w:tab w:val="clear" w:pos="8306"/>
        <w:tab w:val="left" w:pos="5245"/>
        <w:tab w:val="right" w:pos="9072"/>
      </w:tabs>
      <w:jc w:val="center"/>
      <w:rPr>
        <w:rFonts w:ascii="Arial" w:hAnsi="Arial" w:cs="Arial"/>
        <w:sz w:val="14"/>
      </w:rPr>
    </w:pPr>
    <w:r w:rsidRPr="007A03E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3D" w:rsidRDefault="002E4C3D">
      <w:r>
        <w:separator/>
      </w:r>
    </w:p>
  </w:footnote>
  <w:footnote w:type="continuationSeparator" w:id="0">
    <w:p w:rsidR="002E4C3D" w:rsidRDefault="002E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5" w:rsidRDefault="007A0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5" w:rsidRDefault="007A0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58312"/>
      <w:docPartObj>
        <w:docPartGallery w:val="Watermarks"/>
        <w:docPartUnique/>
      </w:docPartObj>
    </w:sdtPr>
    <w:sdtEndPr/>
    <w:sdtContent>
      <w:p w:rsidR="004C70E1" w:rsidRDefault="009B07DF" w:rsidP="00540473">
        <w:pPr>
          <w:pStyle w:val="Header"/>
          <w:jc w:val="right"/>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540473" w:rsidRDefault="00540473" w:rsidP="00540473">
    <w:pPr>
      <w:pStyle w:val="Header"/>
      <w:jc w:val="right"/>
    </w:pPr>
  </w:p>
  <w:p w:rsidR="00540473" w:rsidRDefault="00540473" w:rsidP="00540473">
    <w:pPr>
      <w:pStyle w:val="Header"/>
      <w:jc w:val="right"/>
    </w:pPr>
    <w:r>
      <w:t>SCHEDULE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B8" w:rsidRDefault="00D967B8" w:rsidP="00540473">
    <w:pPr>
      <w:pStyle w:val="Header"/>
      <w:jc w:val="right"/>
    </w:pPr>
  </w:p>
  <w:p w:rsidR="00D967B8" w:rsidRPr="00540473" w:rsidRDefault="00D967B8" w:rsidP="00540473">
    <w:pPr>
      <w:pStyle w:val="Header"/>
      <w:jc w:val="right"/>
      <w:rPr>
        <w:rFonts w:asciiTheme="minorHAnsi" w:hAnsiTheme="minorHAnsi"/>
      </w:rPr>
    </w:pPr>
    <w:r w:rsidRPr="00540473">
      <w:rPr>
        <w:rFonts w:asciiTheme="minorHAnsi" w:hAnsiTheme="minorHAnsi"/>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CC"/>
    <w:multiLevelType w:val="hybridMultilevel"/>
    <w:tmpl w:val="5CA0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05D38"/>
    <w:multiLevelType w:val="hybridMultilevel"/>
    <w:tmpl w:val="03507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6481B"/>
    <w:multiLevelType w:val="hybridMultilevel"/>
    <w:tmpl w:val="5AB4440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80452"/>
    <w:multiLevelType w:val="multilevel"/>
    <w:tmpl w:val="B5EA593E"/>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495"/>
        </w:tabs>
        <w:ind w:left="1495" w:hanging="360"/>
      </w:pPr>
      <w:rPr>
        <w:rFonts w:ascii="Symbol" w:hAnsi="Symbol" w:hint="default"/>
      </w:rPr>
    </w:lvl>
    <w:lvl w:ilvl="3">
      <w:start w:val="1"/>
      <w:numFmt w:val="decimal"/>
      <w:lvlText w:val="%1.%2.%3.%4."/>
      <w:lvlJc w:val="left"/>
      <w:pPr>
        <w:tabs>
          <w:tab w:val="num" w:pos="2923"/>
        </w:tabs>
        <w:ind w:left="2707"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6041F6"/>
    <w:multiLevelType w:val="hybridMultilevel"/>
    <w:tmpl w:val="82C2C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1357F7D"/>
    <w:multiLevelType w:val="hybridMultilevel"/>
    <w:tmpl w:val="7B3C3212"/>
    <w:lvl w:ilvl="0" w:tplc="0C090017">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64AA1F3D"/>
    <w:multiLevelType w:val="multilevel"/>
    <w:tmpl w:val="5162A79A"/>
    <w:lvl w:ilvl="0">
      <w:start w:val="1"/>
      <w:numFmt w:val="decimal"/>
      <w:pStyle w:val="Heading1"/>
      <w:lvlText w:val="%1"/>
      <w:lvlJc w:val="left"/>
      <w:pPr>
        <w:tabs>
          <w:tab w:val="num" w:pos="432"/>
        </w:tabs>
        <w:ind w:left="432" w:hanging="432"/>
      </w:pPr>
      <w:rPr>
        <w:rFonts w:ascii="Calibri" w:hAnsi="Calibri" w:hint="default"/>
        <w:sz w:val="28"/>
        <w:szCs w:val="28"/>
      </w:rPr>
    </w:lvl>
    <w:lvl w:ilvl="1">
      <w:start w:val="1"/>
      <w:numFmt w:val="decimal"/>
      <w:pStyle w:val="Heading2"/>
      <w:lvlText w:val="%1.%2"/>
      <w:lvlJc w:val="left"/>
      <w:pPr>
        <w:tabs>
          <w:tab w:val="num" w:pos="576"/>
        </w:tabs>
        <w:ind w:left="576" w:hanging="576"/>
      </w:pPr>
      <w:rPr>
        <w:rFonts w:ascii="Calibri" w:hAnsi="Calibri" w:hint="default"/>
        <w:b w:val="0"/>
        <w:i w:val="0"/>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5772609"/>
    <w:multiLevelType w:val="hybridMultilevel"/>
    <w:tmpl w:val="9B7E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106285"/>
    <w:multiLevelType w:val="hybridMultilevel"/>
    <w:tmpl w:val="8E32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6"/>
  </w:num>
  <w:num w:numId="12">
    <w:abstractNumId w:val="6"/>
  </w:num>
  <w:num w:numId="13">
    <w:abstractNumId w:val="6"/>
  </w:num>
  <w:num w:numId="14">
    <w:abstractNumId w:val="6"/>
  </w:num>
  <w:num w:numId="15">
    <w:abstractNumId w:val="6"/>
  </w:num>
  <w:num w:numId="16">
    <w:abstractNumId w:val="8"/>
  </w:num>
  <w:num w:numId="17">
    <w:abstractNumId w:val="6"/>
  </w:num>
  <w:num w:numId="18">
    <w:abstractNumId w:val="4"/>
  </w:num>
  <w:num w:numId="19">
    <w:abstractNumId w:val="1"/>
  </w:num>
  <w:num w:numId="20">
    <w:abstractNumId w:val="6"/>
  </w:num>
  <w:num w:numId="21">
    <w:abstractNumId w:val="6"/>
  </w:num>
  <w:num w:numId="22">
    <w:abstractNumId w:val="6"/>
  </w:num>
  <w:num w:numId="23">
    <w:abstractNumId w:val="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7"/>
  </w:num>
  <w:num w:numId="32">
    <w:abstractNumId w:val="6"/>
  </w:num>
  <w:num w:numId="33">
    <w:abstractNumId w:val="6"/>
  </w:num>
  <w:num w:numId="34">
    <w:abstractNumId w:val="6"/>
  </w:num>
  <w:num w:numId="35">
    <w:abstractNumId w:val="6"/>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F7"/>
    <w:rsid w:val="000016D6"/>
    <w:rsid w:val="00001C7B"/>
    <w:rsid w:val="00003781"/>
    <w:rsid w:val="00015D8C"/>
    <w:rsid w:val="00031086"/>
    <w:rsid w:val="00033F66"/>
    <w:rsid w:val="00043EF0"/>
    <w:rsid w:val="00044EDA"/>
    <w:rsid w:val="0004516D"/>
    <w:rsid w:val="00045E8F"/>
    <w:rsid w:val="00047193"/>
    <w:rsid w:val="00055DF1"/>
    <w:rsid w:val="00060ACF"/>
    <w:rsid w:val="00062675"/>
    <w:rsid w:val="00063AC7"/>
    <w:rsid w:val="00091961"/>
    <w:rsid w:val="00091A71"/>
    <w:rsid w:val="00091CD0"/>
    <w:rsid w:val="00093904"/>
    <w:rsid w:val="0009535C"/>
    <w:rsid w:val="000A0AB3"/>
    <w:rsid w:val="000A7BE9"/>
    <w:rsid w:val="000B3E2B"/>
    <w:rsid w:val="000B5F6C"/>
    <w:rsid w:val="000D028C"/>
    <w:rsid w:val="000D029F"/>
    <w:rsid w:val="00103119"/>
    <w:rsid w:val="00124CD7"/>
    <w:rsid w:val="00134CF3"/>
    <w:rsid w:val="00136E46"/>
    <w:rsid w:val="001376D1"/>
    <w:rsid w:val="0014387F"/>
    <w:rsid w:val="001469BD"/>
    <w:rsid w:val="00150753"/>
    <w:rsid w:val="00153BF3"/>
    <w:rsid w:val="00156CF9"/>
    <w:rsid w:val="00164886"/>
    <w:rsid w:val="00170383"/>
    <w:rsid w:val="001822F5"/>
    <w:rsid w:val="00187544"/>
    <w:rsid w:val="001929DC"/>
    <w:rsid w:val="001A1BEC"/>
    <w:rsid w:val="001C1D90"/>
    <w:rsid w:val="001C2A44"/>
    <w:rsid w:val="001D5FBC"/>
    <w:rsid w:val="001E2AF7"/>
    <w:rsid w:val="001E43E3"/>
    <w:rsid w:val="001E52B6"/>
    <w:rsid w:val="001F395A"/>
    <w:rsid w:val="001F542C"/>
    <w:rsid w:val="002153BF"/>
    <w:rsid w:val="00220555"/>
    <w:rsid w:val="002213B4"/>
    <w:rsid w:val="00222552"/>
    <w:rsid w:val="00224FC1"/>
    <w:rsid w:val="00234F34"/>
    <w:rsid w:val="00235F2F"/>
    <w:rsid w:val="002471E5"/>
    <w:rsid w:val="00256642"/>
    <w:rsid w:val="00257BC7"/>
    <w:rsid w:val="00287CC1"/>
    <w:rsid w:val="00294250"/>
    <w:rsid w:val="002973F0"/>
    <w:rsid w:val="002A0A14"/>
    <w:rsid w:val="002A7C88"/>
    <w:rsid w:val="002C0327"/>
    <w:rsid w:val="002D11B8"/>
    <w:rsid w:val="002D3CD0"/>
    <w:rsid w:val="002D5A9F"/>
    <w:rsid w:val="002E0CA4"/>
    <w:rsid w:val="002E3B3D"/>
    <w:rsid w:val="002E4C3D"/>
    <w:rsid w:val="002F00AA"/>
    <w:rsid w:val="00307448"/>
    <w:rsid w:val="00327B0D"/>
    <w:rsid w:val="0033168B"/>
    <w:rsid w:val="003435EC"/>
    <w:rsid w:val="0035033D"/>
    <w:rsid w:val="0035424C"/>
    <w:rsid w:val="003550A6"/>
    <w:rsid w:val="00361F97"/>
    <w:rsid w:val="00363DBA"/>
    <w:rsid w:val="0037046D"/>
    <w:rsid w:val="00394E20"/>
    <w:rsid w:val="003A1C25"/>
    <w:rsid w:val="003A3940"/>
    <w:rsid w:val="003A7B57"/>
    <w:rsid w:val="003B3F33"/>
    <w:rsid w:val="003B5A2A"/>
    <w:rsid w:val="003B7CF8"/>
    <w:rsid w:val="003C3566"/>
    <w:rsid w:val="003E374D"/>
    <w:rsid w:val="004137A0"/>
    <w:rsid w:val="00424AE6"/>
    <w:rsid w:val="004252A9"/>
    <w:rsid w:val="00426912"/>
    <w:rsid w:val="00435927"/>
    <w:rsid w:val="004409E3"/>
    <w:rsid w:val="00444E00"/>
    <w:rsid w:val="00460F80"/>
    <w:rsid w:val="00467585"/>
    <w:rsid w:val="00471975"/>
    <w:rsid w:val="00483614"/>
    <w:rsid w:val="0049008C"/>
    <w:rsid w:val="004968F5"/>
    <w:rsid w:val="004973DC"/>
    <w:rsid w:val="004A5A5F"/>
    <w:rsid w:val="004B22CE"/>
    <w:rsid w:val="004B74DD"/>
    <w:rsid w:val="004C18CA"/>
    <w:rsid w:val="004C2F5E"/>
    <w:rsid w:val="004C4EF9"/>
    <w:rsid w:val="004C70E1"/>
    <w:rsid w:val="004D0EDB"/>
    <w:rsid w:val="004D3052"/>
    <w:rsid w:val="004D51E8"/>
    <w:rsid w:val="004E3EB6"/>
    <w:rsid w:val="004F6AE6"/>
    <w:rsid w:val="00503227"/>
    <w:rsid w:val="00503FF8"/>
    <w:rsid w:val="00517E00"/>
    <w:rsid w:val="00525528"/>
    <w:rsid w:val="005307FC"/>
    <w:rsid w:val="0053317C"/>
    <w:rsid w:val="00540473"/>
    <w:rsid w:val="00543082"/>
    <w:rsid w:val="00545AE5"/>
    <w:rsid w:val="0055362F"/>
    <w:rsid w:val="0056436B"/>
    <w:rsid w:val="00584199"/>
    <w:rsid w:val="005966D3"/>
    <w:rsid w:val="005C4206"/>
    <w:rsid w:val="005C618B"/>
    <w:rsid w:val="005D0DA8"/>
    <w:rsid w:val="005D7495"/>
    <w:rsid w:val="005E0876"/>
    <w:rsid w:val="005E3372"/>
    <w:rsid w:val="005E3FD9"/>
    <w:rsid w:val="006028B4"/>
    <w:rsid w:val="00605937"/>
    <w:rsid w:val="00614DB8"/>
    <w:rsid w:val="006201D5"/>
    <w:rsid w:val="00626AF3"/>
    <w:rsid w:val="00646709"/>
    <w:rsid w:val="00656A55"/>
    <w:rsid w:val="0066039D"/>
    <w:rsid w:val="006943A4"/>
    <w:rsid w:val="00696C61"/>
    <w:rsid w:val="006A1784"/>
    <w:rsid w:val="006A55EE"/>
    <w:rsid w:val="006B0082"/>
    <w:rsid w:val="006C1A23"/>
    <w:rsid w:val="006C6329"/>
    <w:rsid w:val="006D0D35"/>
    <w:rsid w:val="006D2C3D"/>
    <w:rsid w:val="006E41A6"/>
    <w:rsid w:val="006E7A06"/>
    <w:rsid w:val="006F4BF4"/>
    <w:rsid w:val="00704E75"/>
    <w:rsid w:val="00737E7D"/>
    <w:rsid w:val="00747EC0"/>
    <w:rsid w:val="0075103F"/>
    <w:rsid w:val="0075321C"/>
    <w:rsid w:val="007543A5"/>
    <w:rsid w:val="007735B7"/>
    <w:rsid w:val="00777059"/>
    <w:rsid w:val="007854F1"/>
    <w:rsid w:val="007876CC"/>
    <w:rsid w:val="00792C02"/>
    <w:rsid w:val="007937DB"/>
    <w:rsid w:val="00794B8A"/>
    <w:rsid w:val="007A03E5"/>
    <w:rsid w:val="007A4540"/>
    <w:rsid w:val="007A4DEA"/>
    <w:rsid w:val="007A57FA"/>
    <w:rsid w:val="007C124B"/>
    <w:rsid w:val="007C1F4F"/>
    <w:rsid w:val="007C471B"/>
    <w:rsid w:val="007C500F"/>
    <w:rsid w:val="007D04F4"/>
    <w:rsid w:val="007E60A9"/>
    <w:rsid w:val="00811246"/>
    <w:rsid w:val="00813634"/>
    <w:rsid w:val="00824C92"/>
    <w:rsid w:val="00825518"/>
    <w:rsid w:val="008263D0"/>
    <w:rsid w:val="00827E72"/>
    <w:rsid w:val="00832712"/>
    <w:rsid w:val="008367EB"/>
    <w:rsid w:val="00842A5F"/>
    <w:rsid w:val="00842EC4"/>
    <w:rsid w:val="00850BCC"/>
    <w:rsid w:val="00852727"/>
    <w:rsid w:val="00854BC6"/>
    <w:rsid w:val="00855547"/>
    <w:rsid w:val="00870FFE"/>
    <w:rsid w:val="008734F9"/>
    <w:rsid w:val="00874282"/>
    <w:rsid w:val="00877047"/>
    <w:rsid w:val="00896490"/>
    <w:rsid w:val="008A2609"/>
    <w:rsid w:val="008A43F4"/>
    <w:rsid w:val="008C295A"/>
    <w:rsid w:val="008C66A4"/>
    <w:rsid w:val="008D13FA"/>
    <w:rsid w:val="008D1A73"/>
    <w:rsid w:val="008D587A"/>
    <w:rsid w:val="008E2A0D"/>
    <w:rsid w:val="008E527C"/>
    <w:rsid w:val="008E6619"/>
    <w:rsid w:val="008F2AEA"/>
    <w:rsid w:val="008F78C8"/>
    <w:rsid w:val="009005E2"/>
    <w:rsid w:val="00903F20"/>
    <w:rsid w:val="00905963"/>
    <w:rsid w:val="00914879"/>
    <w:rsid w:val="00923579"/>
    <w:rsid w:val="0092770F"/>
    <w:rsid w:val="0093346A"/>
    <w:rsid w:val="0094308E"/>
    <w:rsid w:val="0094314A"/>
    <w:rsid w:val="009544C5"/>
    <w:rsid w:val="0095674B"/>
    <w:rsid w:val="00966E08"/>
    <w:rsid w:val="009721B4"/>
    <w:rsid w:val="009749F4"/>
    <w:rsid w:val="00987DBE"/>
    <w:rsid w:val="00993FAB"/>
    <w:rsid w:val="009A48F0"/>
    <w:rsid w:val="009B07DF"/>
    <w:rsid w:val="009B17ED"/>
    <w:rsid w:val="009B54BC"/>
    <w:rsid w:val="009D7F11"/>
    <w:rsid w:val="009E03D5"/>
    <w:rsid w:val="009F2469"/>
    <w:rsid w:val="00A00F6E"/>
    <w:rsid w:val="00A01C23"/>
    <w:rsid w:val="00A04E00"/>
    <w:rsid w:val="00A118D5"/>
    <w:rsid w:val="00A15EA1"/>
    <w:rsid w:val="00A1661B"/>
    <w:rsid w:val="00A17BF3"/>
    <w:rsid w:val="00A235A4"/>
    <w:rsid w:val="00A361B3"/>
    <w:rsid w:val="00A4672C"/>
    <w:rsid w:val="00A51724"/>
    <w:rsid w:val="00A559B7"/>
    <w:rsid w:val="00A62023"/>
    <w:rsid w:val="00A6668F"/>
    <w:rsid w:val="00A773CE"/>
    <w:rsid w:val="00A819E7"/>
    <w:rsid w:val="00A902BE"/>
    <w:rsid w:val="00A938B9"/>
    <w:rsid w:val="00A9452F"/>
    <w:rsid w:val="00AA6390"/>
    <w:rsid w:val="00AB5D64"/>
    <w:rsid w:val="00AE49D1"/>
    <w:rsid w:val="00AF0217"/>
    <w:rsid w:val="00AF5C0B"/>
    <w:rsid w:val="00AF6681"/>
    <w:rsid w:val="00B055F7"/>
    <w:rsid w:val="00B3423C"/>
    <w:rsid w:val="00B37CF6"/>
    <w:rsid w:val="00B40B02"/>
    <w:rsid w:val="00B5085B"/>
    <w:rsid w:val="00B57E01"/>
    <w:rsid w:val="00B6047F"/>
    <w:rsid w:val="00B63492"/>
    <w:rsid w:val="00B63F43"/>
    <w:rsid w:val="00B67917"/>
    <w:rsid w:val="00B81544"/>
    <w:rsid w:val="00B85AB5"/>
    <w:rsid w:val="00B94543"/>
    <w:rsid w:val="00B954C1"/>
    <w:rsid w:val="00B9750A"/>
    <w:rsid w:val="00BA1ACB"/>
    <w:rsid w:val="00BB56AB"/>
    <w:rsid w:val="00BD3ADB"/>
    <w:rsid w:val="00BD463A"/>
    <w:rsid w:val="00BD630B"/>
    <w:rsid w:val="00BE615C"/>
    <w:rsid w:val="00BF6FED"/>
    <w:rsid w:val="00C02722"/>
    <w:rsid w:val="00C02FF9"/>
    <w:rsid w:val="00C07676"/>
    <w:rsid w:val="00C10F87"/>
    <w:rsid w:val="00C12B52"/>
    <w:rsid w:val="00C21A82"/>
    <w:rsid w:val="00C308AA"/>
    <w:rsid w:val="00C32194"/>
    <w:rsid w:val="00C41E0B"/>
    <w:rsid w:val="00C42A59"/>
    <w:rsid w:val="00C43D7A"/>
    <w:rsid w:val="00C5049F"/>
    <w:rsid w:val="00C50E84"/>
    <w:rsid w:val="00C62430"/>
    <w:rsid w:val="00C627CE"/>
    <w:rsid w:val="00C72E1E"/>
    <w:rsid w:val="00C875CC"/>
    <w:rsid w:val="00CA0616"/>
    <w:rsid w:val="00CA61C7"/>
    <w:rsid w:val="00CA712A"/>
    <w:rsid w:val="00CC359E"/>
    <w:rsid w:val="00CD292F"/>
    <w:rsid w:val="00CD2C6A"/>
    <w:rsid w:val="00CD3526"/>
    <w:rsid w:val="00CD5121"/>
    <w:rsid w:val="00CD5FC7"/>
    <w:rsid w:val="00CD6E1A"/>
    <w:rsid w:val="00CE5726"/>
    <w:rsid w:val="00CE6B65"/>
    <w:rsid w:val="00CE710F"/>
    <w:rsid w:val="00CE7742"/>
    <w:rsid w:val="00D02A33"/>
    <w:rsid w:val="00D14367"/>
    <w:rsid w:val="00D1673C"/>
    <w:rsid w:val="00D178B8"/>
    <w:rsid w:val="00D43FE3"/>
    <w:rsid w:val="00D46AAA"/>
    <w:rsid w:val="00D72BFC"/>
    <w:rsid w:val="00D74DE0"/>
    <w:rsid w:val="00D807C5"/>
    <w:rsid w:val="00D961C0"/>
    <w:rsid w:val="00D967B8"/>
    <w:rsid w:val="00DB6F30"/>
    <w:rsid w:val="00DB7887"/>
    <w:rsid w:val="00DC251B"/>
    <w:rsid w:val="00DD6DEB"/>
    <w:rsid w:val="00DE1786"/>
    <w:rsid w:val="00DF20AC"/>
    <w:rsid w:val="00E0516B"/>
    <w:rsid w:val="00E06BC5"/>
    <w:rsid w:val="00E119A2"/>
    <w:rsid w:val="00E141C6"/>
    <w:rsid w:val="00E17B63"/>
    <w:rsid w:val="00E23A46"/>
    <w:rsid w:val="00E3620E"/>
    <w:rsid w:val="00E51F3F"/>
    <w:rsid w:val="00E539F0"/>
    <w:rsid w:val="00E54BAC"/>
    <w:rsid w:val="00E54D41"/>
    <w:rsid w:val="00E63740"/>
    <w:rsid w:val="00E72B10"/>
    <w:rsid w:val="00E7729F"/>
    <w:rsid w:val="00E826E7"/>
    <w:rsid w:val="00E92660"/>
    <w:rsid w:val="00E93816"/>
    <w:rsid w:val="00E96565"/>
    <w:rsid w:val="00EA1175"/>
    <w:rsid w:val="00EB00FA"/>
    <w:rsid w:val="00EB275F"/>
    <w:rsid w:val="00EC52DF"/>
    <w:rsid w:val="00EE0A03"/>
    <w:rsid w:val="00EE3D35"/>
    <w:rsid w:val="00EE63A8"/>
    <w:rsid w:val="00EE75D4"/>
    <w:rsid w:val="00EF142E"/>
    <w:rsid w:val="00F04123"/>
    <w:rsid w:val="00F05FEA"/>
    <w:rsid w:val="00F7295C"/>
    <w:rsid w:val="00F830D8"/>
    <w:rsid w:val="00F9007D"/>
    <w:rsid w:val="00F91D12"/>
    <w:rsid w:val="00F92CEE"/>
    <w:rsid w:val="00FA2F37"/>
    <w:rsid w:val="00FA3027"/>
    <w:rsid w:val="00FB0EE3"/>
    <w:rsid w:val="00FB36DD"/>
    <w:rsid w:val="00FB5668"/>
    <w:rsid w:val="00FB61EB"/>
    <w:rsid w:val="00FB7ACB"/>
    <w:rsid w:val="00FC1FE8"/>
    <w:rsid w:val="00FC611B"/>
    <w:rsid w:val="00FE4AA0"/>
    <w:rsid w:val="00FE6DD4"/>
    <w:rsid w:val="00FF6310"/>
    <w:rsid w:val="00FF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8030B51-0B55-4207-B8A9-D7450E8C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F7"/>
    <w:rPr>
      <w:sz w:val="24"/>
      <w:szCs w:val="24"/>
      <w:lang w:eastAsia="en-US"/>
    </w:rPr>
  </w:style>
  <w:style w:type="paragraph" w:styleId="Heading1">
    <w:name w:val="heading 1"/>
    <w:basedOn w:val="Normal"/>
    <w:next w:val="Normal"/>
    <w:qFormat/>
    <w:rsid w:val="00426912"/>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26912"/>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26912"/>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26912"/>
    <w:pPr>
      <w:keepNext/>
      <w:numPr>
        <w:ilvl w:val="3"/>
        <w:numId w:val="2"/>
      </w:numPr>
      <w:spacing w:before="240" w:after="60"/>
      <w:outlineLvl w:val="3"/>
    </w:pPr>
    <w:rPr>
      <w:b/>
      <w:bCs/>
      <w:sz w:val="28"/>
      <w:szCs w:val="28"/>
    </w:rPr>
  </w:style>
  <w:style w:type="paragraph" w:styleId="Heading5">
    <w:name w:val="heading 5"/>
    <w:basedOn w:val="Normal"/>
    <w:next w:val="Normal"/>
    <w:qFormat/>
    <w:rsid w:val="00426912"/>
    <w:pPr>
      <w:numPr>
        <w:ilvl w:val="4"/>
        <w:numId w:val="2"/>
      </w:numPr>
      <w:spacing w:before="240" w:after="60"/>
      <w:outlineLvl w:val="4"/>
    </w:pPr>
    <w:rPr>
      <w:b/>
      <w:bCs/>
      <w:i/>
      <w:iCs/>
      <w:sz w:val="26"/>
      <w:szCs w:val="26"/>
    </w:rPr>
  </w:style>
  <w:style w:type="paragraph" w:styleId="Heading6">
    <w:name w:val="heading 6"/>
    <w:basedOn w:val="Normal"/>
    <w:next w:val="Normal"/>
    <w:qFormat/>
    <w:rsid w:val="0075321C"/>
    <w:pPr>
      <w:numPr>
        <w:ilvl w:val="5"/>
        <w:numId w:val="2"/>
      </w:numPr>
      <w:spacing w:before="240" w:after="60"/>
      <w:outlineLvl w:val="5"/>
    </w:pPr>
    <w:rPr>
      <w:b/>
      <w:bCs/>
      <w:sz w:val="22"/>
      <w:szCs w:val="22"/>
    </w:rPr>
  </w:style>
  <w:style w:type="paragraph" w:styleId="Heading7">
    <w:name w:val="heading 7"/>
    <w:basedOn w:val="Normal"/>
    <w:next w:val="Normal"/>
    <w:qFormat/>
    <w:rsid w:val="0075321C"/>
    <w:pPr>
      <w:numPr>
        <w:ilvl w:val="6"/>
        <w:numId w:val="2"/>
      </w:numPr>
      <w:spacing w:before="240" w:after="60"/>
      <w:outlineLvl w:val="6"/>
    </w:pPr>
  </w:style>
  <w:style w:type="paragraph" w:styleId="Heading8">
    <w:name w:val="heading 8"/>
    <w:basedOn w:val="Normal"/>
    <w:next w:val="Normal"/>
    <w:qFormat/>
    <w:rsid w:val="0075321C"/>
    <w:pPr>
      <w:numPr>
        <w:ilvl w:val="7"/>
        <w:numId w:val="2"/>
      </w:numPr>
      <w:spacing w:before="240" w:after="60"/>
      <w:outlineLvl w:val="7"/>
    </w:pPr>
    <w:rPr>
      <w:i/>
      <w:iCs/>
    </w:rPr>
  </w:style>
  <w:style w:type="paragraph" w:styleId="Heading9">
    <w:name w:val="heading 9"/>
    <w:basedOn w:val="Normal"/>
    <w:next w:val="Normal"/>
    <w:qFormat/>
    <w:rsid w:val="0075321C"/>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55F7"/>
    <w:pPr>
      <w:tabs>
        <w:tab w:val="center" w:pos="4153"/>
        <w:tab w:val="right" w:pos="8306"/>
      </w:tabs>
    </w:pPr>
  </w:style>
  <w:style w:type="paragraph" w:styleId="Header">
    <w:name w:val="header"/>
    <w:basedOn w:val="Normal"/>
    <w:rsid w:val="002213B4"/>
    <w:pPr>
      <w:tabs>
        <w:tab w:val="center" w:pos="4153"/>
        <w:tab w:val="right" w:pos="8306"/>
      </w:tabs>
    </w:pPr>
  </w:style>
  <w:style w:type="character" w:styleId="PageNumber">
    <w:name w:val="page number"/>
    <w:basedOn w:val="DefaultParagraphFont"/>
    <w:rsid w:val="002213B4"/>
  </w:style>
  <w:style w:type="paragraph" w:styleId="BalloonText">
    <w:name w:val="Balloon Text"/>
    <w:basedOn w:val="Normal"/>
    <w:semiHidden/>
    <w:rsid w:val="00696C61"/>
    <w:rPr>
      <w:rFonts w:ascii="Tahoma" w:hAnsi="Tahoma" w:cs="Tahoma"/>
      <w:sz w:val="16"/>
      <w:szCs w:val="16"/>
    </w:rPr>
  </w:style>
  <w:style w:type="paragraph" w:customStyle="1" w:styleId="Default">
    <w:name w:val="Default"/>
    <w:rsid w:val="00FE4AA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D463A"/>
    <w:rPr>
      <w:sz w:val="16"/>
      <w:szCs w:val="16"/>
    </w:rPr>
  </w:style>
  <w:style w:type="paragraph" w:styleId="CommentText">
    <w:name w:val="annotation text"/>
    <w:basedOn w:val="Normal"/>
    <w:semiHidden/>
    <w:rsid w:val="00BD463A"/>
    <w:rPr>
      <w:sz w:val="20"/>
      <w:szCs w:val="20"/>
    </w:rPr>
  </w:style>
  <w:style w:type="paragraph" w:styleId="CommentSubject">
    <w:name w:val="annotation subject"/>
    <w:basedOn w:val="CommentText"/>
    <w:next w:val="CommentText"/>
    <w:semiHidden/>
    <w:rsid w:val="00BD463A"/>
    <w:rPr>
      <w:b/>
      <w:bCs/>
    </w:rPr>
  </w:style>
  <w:style w:type="table" w:styleId="TableGrid">
    <w:name w:val="Table Grid"/>
    <w:basedOn w:val="TableNormal"/>
    <w:rsid w:val="00CA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7DB"/>
    <w:rPr>
      <w:color w:val="0000FF"/>
      <w:u w:val="single"/>
    </w:rPr>
  </w:style>
  <w:style w:type="paragraph" w:styleId="TOC1">
    <w:name w:val="toc 1"/>
    <w:basedOn w:val="Normal"/>
    <w:next w:val="Normal"/>
    <w:autoRedefine/>
    <w:uiPriority w:val="39"/>
    <w:rsid w:val="007937DB"/>
    <w:pPr>
      <w:spacing w:after="100"/>
    </w:pPr>
  </w:style>
  <w:style w:type="paragraph" w:styleId="ListParagraph">
    <w:name w:val="List Paragraph"/>
    <w:basedOn w:val="Normal"/>
    <w:uiPriority w:val="34"/>
    <w:qFormat/>
    <w:rsid w:val="001929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74ef615-c380-49df-943f-e30bc94fabae">Key documents</Category>
    <Meeting_x0020_date xmlns="174ef615-c380-49df-943f-e30bc94fabae" xsi:nil="true"/>
    <Committee_x0020_name xmlns="174ef615-c380-49df-943f-e30bc94fabae">ICT Digital Transformation Committee</Committ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CA199C95BA646919D2F7C2672FFDE" ma:contentTypeVersion="6" ma:contentTypeDescription="Create a new document." ma:contentTypeScope="" ma:versionID="42945ccbed83fb7d88306d515a8684f5">
  <xsd:schema xmlns:xsd="http://www.w3.org/2001/XMLSchema" xmlns:xs="http://www.w3.org/2001/XMLSchema" xmlns:p="http://schemas.microsoft.com/office/2006/metadata/properties" xmlns:ns2="174ef615-c380-49df-943f-e30bc94fabae" targetNamespace="http://schemas.microsoft.com/office/2006/metadata/properties" ma:root="true" ma:fieldsID="6637722d103937d8eaa883ba364d529a" ns2:_="">
    <xsd:import namespace="174ef615-c380-49df-943f-e30bc94fabae"/>
    <xsd:element name="properties">
      <xsd:complexType>
        <xsd:sequence>
          <xsd:element name="documentManagement">
            <xsd:complexType>
              <xsd:all>
                <xsd:element ref="ns2:Committee_x0020_name" minOccurs="0"/>
                <xsd:element ref="ns2:Category"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ef615-c380-49df-943f-e30bc94fabae" elementFormDefault="qualified">
    <xsd:import namespace="http://schemas.microsoft.com/office/2006/documentManagement/types"/>
    <xsd:import namespace="http://schemas.microsoft.com/office/infopath/2007/PartnerControls"/>
    <xsd:element name="Committee_x0020_name" ma:index="8" nillable="true" ma:displayName="Committee name" ma:format="Dropdown" ma:internalName="Committee_x0020_name">
      <xsd:simpleType>
        <xsd:restriction base="dms:Choice">
          <xsd:enumeration value="Audit and Risk Committee"/>
          <xsd:enumeration value="Directorate Consultative Committee"/>
          <xsd:enumeration value="ICT Digital Transformation Committee"/>
          <xsd:enumeration value="WHS Steering Committee"/>
        </xsd:restriction>
      </xsd:simpleType>
    </xsd:element>
    <xsd:element name="Category" ma:index="9" nillable="true" ma:displayName="Category" ma:format="Dropdown" ma:internalName="Category">
      <xsd:simpleType>
        <xsd:restriction base="dms:Choice">
          <xsd:enumeration value="General information"/>
          <xsd:enumeration value="Key documents"/>
          <xsd:enumeration value="Meetings"/>
          <xsd:enumeration value="Projects"/>
        </xsd:restriction>
      </xsd:simpleType>
    </xsd:element>
    <xsd:element name="Meeting_x0020_date" ma:index="10"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AD3E-F69B-4A0B-941E-D8B4B69B12A3}">
  <ds:schemaRefs>
    <ds:schemaRef ds:uri="http://schemas.microsoft.com/office/2006/metadata/properties"/>
    <ds:schemaRef ds:uri="http://schemas.microsoft.com/office/infopath/2007/PartnerControls"/>
    <ds:schemaRef ds:uri="174ef615-c380-49df-943f-e30bc94fabae"/>
  </ds:schemaRefs>
</ds:datastoreItem>
</file>

<file path=customXml/itemProps2.xml><?xml version="1.0" encoding="utf-8"?>
<ds:datastoreItem xmlns:ds="http://schemas.openxmlformats.org/officeDocument/2006/customXml" ds:itemID="{2FC3777A-02BB-488B-9E76-8EC3A6A4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ef615-c380-49df-943f-e30bc94fa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20569-C3CE-4B5C-8D6D-6AF4180947C6}">
  <ds:schemaRefs>
    <ds:schemaRef ds:uri="http://schemas.microsoft.com/sharepoint/v3/contenttype/forms"/>
  </ds:schemaRefs>
</ds:datastoreItem>
</file>

<file path=customXml/itemProps4.xml><?xml version="1.0" encoding="utf-8"?>
<ds:datastoreItem xmlns:ds="http://schemas.openxmlformats.org/officeDocument/2006/customXml" ds:itemID="{1339F2D9-53DE-49A9-B84D-7CAB9D5E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4809</Characters>
  <Application>Microsoft Office Word</Application>
  <DocSecurity>0</DocSecurity>
  <Lines>120</Lines>
  <Paragraphs>62</Paragraphs>
  <ScaleCrop>false</ScaleCrop>
  <HeadingPairs>
    <vt:vector size="2" baseType="variant">
      <vt:variant>
        <vt:lpstr>Title</vt:lpstr>
      </vt:variant>
      <vt:variant>
        <vt:i4>1</vt:i4>
      </vt:variant>
    </vt:vector>
  </HeadingPairs>
  <TitlesOfParts>
    <vt:vector size="1" baseType="lpstr">
      <vt:lpstr>EPSDD ICTDT Commitee Terms of Reference</vt:lpstr>
    </vt:vector>
  </TitlesOfParts>
  <Company>ACT Government</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EPSDD ICTDT Commitee Terms of Reference</dc:title>
  <dc:creator>ACT Government</dc:creator>
  <cp:lastModifiedBy>PCODCS</cp:lastModifiedBy>
  <cp:revision>5</cp:revision>
  <cp:lastPrinted>2013-04-04T23:16:00Z</cp:lastPrinted>
  <dcterms:created xsi:type="dcterms:W3CDTF">2019-02-06T03:41:00Z</dcterms:created>
  <dcterms:modified xsi:type="dcterms:W3CDTF">2019-02-06T03:41:00Z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A16696438</vt:lpwstr>
  </property>
  <property fmtid="{D5CDD505-2E9C-101B-9397-08002B2CF9AE}" pid="3" name="Objective-Title">
    <vt:lpwstr>Att A - Terms of Reference - FiT Data Audit</vt:lpwstr>
  </property>
  <property fmtid="{D5CDD505-2E9C-101B-9397-08002B2CF9AE}" pid="4" name="Objective-Comment">
    <vt:lpwstr/>
  </property>
  <property fmtid="{D5CDD505-2E9C-101B-9397-08002B2CF9AE}" pid="5" name="Objective-CreationStamp">
    <vt:filetime>2018-09-05T02:42:28Z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ModificationStamp">
    <vt:filetime>2018-09-19T01:10:07Z</vt:filetime>
  </property>
  <property fmtid="{D5CDD505-2E9C-101B-9397-08002B2CF9AE}" pid="9" name="Objective-Owner">
    <vt:lpwstr>Emma Ereaut</vt:lpwstr>
  </property>
  <property fmtid="{D5CDD505-2E9C-101B-9397-08002B2CF9AE}" pid="10" name="Objective-Path">
    <vt:lpwstr>Whole of ACT Government:EPSDD - Environment Planning and Sustainable Development Directorate:07. Ministerial, Cabinet and Government Relations:06. Ministerials:2018 - Ministerial and Chief Ministerial Briefs / Correspondence:Climate Change and Sustainabil</vt:lpwstr>
  </property>
  <property fmtid="{D5CDD505-2E9C-101B-9397-08002B2CF9AE}" pid="11" name="Objective-Parent">
    <vt:lpwstr>18/22559 - Ministerial Information Brief - FiT Audit Request</vt:lpwstr>
  </property>
  <property fmtid="{D5CDD505-2E9C-101B-9397-08002B2CF9AE}" pid="12" name="Objective-State">
    <vt:lpwstr>Published</vt:lpwstr>
  </property>
  <property fmtid="{D5CDD505-2E9C-101B-9397-08002B2CF9AE}" pid="13" name="Objective-Version">
    <vt:lpwstr>11.0</vt:lpwstr>
  </property>
  <property fmtid="{D5CDD505-2E9C-101B-9397-08002B2CF9AE}" pid="14" name="Objective-VersionNumber">
    <vt:r8>11</vt:r8>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none]</vt:lpwstr>
  </property>
  <property fmtid="{D5CDD505-2E9C-101B-9397-08002B2CF9AE}" pid="18" name="Objective-Caveats">
    <vt:lpwstr/>
  </property>
  <property fmtid="{D5CDD505-2E9C-101B-9397-08002B2CF9AE}" pid="19" name="Objective-Owner Agency [system]">
    <vt:lpwstr>CRA</vt:lpwstr>
  </property>
  <property fmtid="{D5CDD505-2E9C-101B-9397-08002B2CF9AE}" pid="20" name="Objective-Document Type [system]">
    <vt:lpwstr>0-Document</vt:lpwstr>
  </property>
  <property fmtid="{D5CDD505-2E9C-101B-9397-08002B2CF9AE}" pid="21" name="Objective-Language [system]">
    <vt:lpwstr>English (en)</vt:lpwstr>
  </property>
  <property fmtid="{D5CDD505-2E9C-101B-9397-08002B2CF9AE}" pid="22" name="Objective-Jurisdiction [system]">
    <vt:lpwstr>ACT</vt:lpwstr>
  </property>
  <property fmtid="{D5CDD505-2E9C-101B-9397-08002B2CF9AE}" pid="23" name="Objective-Customers [system]">
    <vt:lpwstr/>
  </property>
  <property fmtid="{D5CDD505-2E9C-101B-9397-08002B2CF9AE}" pid="24" name="Objective-Add Place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bjFooterFirstPageDocProperty">
    <vt:lpwstr>_x000d__x000d__x000d__x000d__x000d__x000d__x000d__x000d__x000d__x000d__x000d__x000d__x000d__x000d__x000d__x000d__x000d__x000d__x000d__x000d__x000d__x000d__x000d__x000d__x000d__x000d__x000d__x000d__x000d__x000d__x000d__x000d__x000d__x000d__x000d__x000d__x000d_
UNCLASSIFIED </vt:lpwstr>
  </property>
  <property fmtid="{D5CDD505-2E9C-101B-9397-08002B2CF9AE}" pid="32" name="bjFooterBothDocProperty">
    <vt:lpwstr>_x000d__x000d__x000d__x000d__x000d__x000d__x000d__x000d__x000d__x000d__x000d__x000d__x000d__x000d__x000d__x000d__x000d__x000d__x000d__x000d__x000d__x000d__x000d__x000d__x000d__x000d__x000d__x000d__x000d__x000d__x000d__x000d__x000d__x000d__x000d__x000d__x000d_
UNCLASSIFIED </vt:lpwstr>
  </property>
  <property fmtid="{D5CDD505-2E9C-101B-9397-08002B2CF9AE}" pid="33" name="Generator">
    <vt:lpwstr>Powered by Intelledox</vt:lpwstr>
  </property>
  <property fmtid="{D5CDD505-2E9C-101B-9397-08002B2CF9AE}" pid="34" name="bjHeaderBothDocProperty">
    <vt:lpwstr>UNCLASSIFIED_x000d__x000d__x000d__x000d__x000d__x000d__x000d__x000d__x000d__x000d__x000d__x000d__x000d__x000d__x000d__x000d__x000d__x000d__x000d__x000d__x000d__x000d__x000d__x000d__x000d__x000d__x000d__x000d__x000d__x000d__x000d__x000d__x000d__x000d__x000d__x000d__x000d_
 </vt:lpwstr>
  </property>
  <property fmtid="{D5CDD505-2E9C-101B-9397-08002B2CF9AE}" pid="35" name="ContentTypeId">
    <vt:lpwstr>0x010100E23CA199C95BA646919D2F7C2672FFDE</vt:lpwstr>
  </property>
  <property fmtid="{D5CDD505-2E9C-101B-9397-08002B2CF9AE}" pid="36" name="bjHeaderEvenPageDocProperty">
    <vt:lpwstr>UNCLASSIFIED_x000d__x000d__x000d__x000d__x000d__x000d__x000d__x000d__x000d__x000d__x000d__x000d__x000d__x000d__x000d__x000d__x000d__x000d__x000d__x000d__x000d__x000d__x000d__x000d__x000d__x000d__x000d__x000d__x000d__x000d__x000d__x000d__x000d__x000d__x000d__x000d__x000d_
 </vt:lpwstr>
  </property>
  <property fmtid="{D5CDD505-2E9C-101B-9397-08002B2CF9AE}" pid="37" name="bjDocumentLabelFieldCodeHeaderFooter">
    <vt:lpwstr>UNCLASSIFIED</vt:lpwstr>
  </property>
  <property fmtid="{D5CDD505-2E9C-101B-9397-08002B2CF9AE}" pid="38" name="docIndexRef">
    <vt:lpwstr>00e1cbb8-c140-45ef-a8af-cfd3b9cb8184</vt:lpwstr>
  </property>
  <property fmtid="{D5CDD505-2E9C-101B-9397-08002B2CF9AE}" pid="39" name="bjSaver">
    <vt:lpwstr>5L+7VE/Dx9H8EWk1u4jkA9aku9te29Yn</vt:lpwstr>
  </property>
  <property fmtid="{D5CDD505-2E9C-101B-9397-08002B2CF9AE}" pid="40" name="bjHeaderFirstPageDocProperty">
    <vt:lpwstr>UNCLASSIFIED_x000d__x000d__x000d__x000d__x000d__x000d__x000d__x000d__x000d__x000d__x000d__x000d__x000d__x000d__x000d__x000d__x000d__x000d__x000d__x000d__x000d__x000d__x000d__x000d__x000d__x000d__x000d__x000d__x000d__x000d__x000d__x000d__x000d__x000d__x000d__x000d__x000d_
 </vt:lpwstr>
  </property>
  <property fmtid="{D5CDD505-2E9C-101B-9397-08002B2CF9AE}" pid="41" name="bjDocumentLabelXML-0">
    <vt:lpwstr>nternal/label"&gt;&lt;element uid="7c13fe2d-c7c1-4f6c-bb3a-8f72249e7201" value="" /&gt;&lt;/sisl&gt;</vt:lpwstr>
  </property>
  <property fmtid="{D5CDD505-2E9C-101B-9397-08002B2CF9AE}" pid="42" name="bjDocumentLabelFieldCode">
    <vt:lpwstr>UNCLASSIFIED</vt:lpwstr>
  </property>
  <property fmtid="{D5CDD505-2E9C-101B-9397-08002B2CF9AE}" pid="4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44" name="bjDocumentSecurityLabel">
    <vt:lpwstr>UNCLASSIFIED</vt:lpwstr>
  </property>
  <property fmtid="{D5CDD505-2E9C-101B-9397-08002B2CF9AE}" pid="45" name="bjFooterEvenPageDocProperty">
    <vt:lpwstr>_x000d__x000d__x000d__x000d__x000d__x000d__x000d__x000d__x000d__x000d__x000d__x000d__x000d__x000d__x000d__x000d__x000d__x000d__x000d__x000d__x000d__x000d__x000d__x000d__x000d__x000d__x000d__x000d__x000d__x000d__x000d__x000d__x000d__x000d__x000d__x000d__x000d_
UNCLASSIFIED </vt:lpwstr>
  </property>
  <property fmtid="{D5CDD505-2E9C-101B-9397-08002B2CF9AE}" pid="46" name="Objective-DatePublished">
    <vt:filetime>2018-09-19T01:10:07Z</vt:filetime>
  </property>
</Properties>
</file>