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E92C3" w14:textId="77777777" w:rsidR="00F10CB2" w:rsidRDefault="00F10CB2">
      <w:pPr>
        <w:spacing w:before="120"/>
        <w:rPr>
          <w:rFonts w:ascii="Arial" w:hAnsi="Arial" w:cs="Arial"/>
        </w:rPr>
      </w:pPr>
      <w:bookmarkStart w:id="0" w:name="_Toc44738651"/>
      <w:bookmarkStart w:id="1" w:name="_GoBack"/>
      <w:bookmarkEnd w:id="1"/>
      <w:r>
        <w:rPr>
          <w:rFonts w:ascii="Arial" w:hAnsi="Arial" w:cs="Arial"/>
        </w:rPr>
        <w:t>Australian Capital Territory</w:t>
      </w:r>
    </w:p>
    <w:p w14:paraId="1F410EAB" w14:textId="5811ECB6" w:rsidR="00F10CB2" w:rsidRDefault="0016380D">
      <w:pPr>
        <w:pStyle w:val="Billname"/>
        <w:spacing w:before="700"/>
      </w:pPr>
      <w:r>
        <w:t>Civil Law</w:t>
      </w:r>
      <w:r w:rsidR="00F10CB2">
        <w:t xml:space="preserve"> (</w:t>
      </w:r>
      <w:r>
        <w:t>Wrongs</w:t>
      </w:r>
      <w:r w:rsidR="00F10CB2">
        <w:t xml:space="preserve">) </w:t>
      </w:r>
      <w:r w:rsidR="00E666FC">
        <w:t>Western Australian Bar Association</w:t>
      </w:r>
      <w:r>
        <w:t xml:space="preserve"> Professional Standards Scheme 2020 </w:t>
      </w:r>
      <w:r w:rsidR="00F10CB2">
        <w:t>(</w:t>
      </w:r>
      <w:r w:rsidR="00F10CB2" w:rsidRPr="00603442">
        <w:t>No</w:t>
      </w:r>
      <w:r w:rsidRPr="00603442">
        <w:t> 1</w:t>
      </w:r>
      <w:r w:rsidR="00F10CB2" w:rsidRPr="00603442">
        <w:t>)</w:t>
      </w:r>
      <w:r>
        <w:t xml:space="preserve"> </w:t>
      </w:r>
    </w:p>
    <w:p w14:paraId="1DDC8912" w14:textId="020B06E0" w:rsidR="00F10CB2" w:rsidRDefault="00F10CB2" w:rsidP="00D47F13">
      <w:pPr>
        <w:spacing w:before="340"/>
        <w:rPr>
          <w:rFonts w:ascii="Arial" w:hAnsi="Arial" w:cs="Arial"/>
          <w:b/>
          <w:bCs/>
        </w:rPr>
      </w:pPr>
      <w:r>
        <w:rPr>
          <w:rFonts w:ascii="Arial" w:hAnsi="Arial" w:cs="Arial"/>
          <w:b/>
          <w:bCs/>
        </w:rPr>
        <w:t>Disallowable instrument DI</w:t>
      </w:r>
      <w:r w:rsidR="0016380D">
        <w:rPr>
          <w:rFonts w:ascii="Arial" w:hAnsi="Arial" w:cs="Arial"/>
          <w:b/>
          <w:bCs/>
          <w:iCs/>
        </w:rPr>
        <w:t>202</w:t>
      </w:r>
      <w:r w:rsidR="0016380D" w:rsidRPr="00E54F19">
        <w:rPr>
          <w:rFonts w:ascii="Arial" w:hAnsi="Arial" w:cs="Arial"/>
          <w:b/>
          <w:bCs/>
          <w:iCs/>
        </w:rPr>
        <w:t>0</w:t>
      </w:r>
      <w:r w:rsidRPr="00E54F19">
        <w:rPr>
          <w:rFonts w:ascii="Arial" w:hAnsi="Arial" w:cs="Arial"/>
          <w:b/>
          <w:bCs/>
        </w:rPr>
        <w:t>–</w:t>
      </w:r>
      <w:r w:rsidR="005669E8">
        <w:rPr>
          <w:rFonts w:ascii="Arial" w:hAnsi="Arial" w:cs="Arial"/>
          <w:b/>
          <w:bCs/>
        </w:rPr>
        <w:t>121</w:t>
      </w:r>
    </w:p>
    <w:p w14:paraId="30832DF0" w14:textId="77777777" w:rsidR="00F10CB2" w:rsidRDefault="00F10CB2" w:rsidP="00CD4E55">
      <w:pPr>
        <w:pStyle w:val="madeunder"/>
        <w:spacing w:before="300" w:after="0"/>
      </w:pPr>
      <w:r>
        <w:t xml:space="preserve">made under the  </w:t>
      </w:r>
    </w:p>
    <w:p w14:paraId="33862515" w14:textId="201BE217" w:rsidR="00F10CB2" w:rsidRDefault="0016380D" w:rsidP="00CD4E55">
      <w:pPr>
        <w:pStyle w:val="CoverActName"/>
        <w:spacing w:before="320" w:after="0"/>
        <w:rPr>
          <w:rFonts w:cs="Arial"/>
          <w:sz w:val="20"/>
        </w:rPr>
      </w:pPr>
      <w:r>
        <w:rPr>
          <w:rFonts w:cs="Arial"/>
          <w:sz w:val="20"/>
        </w:rPr>
        <w:t>Civil Law (Wrongs) Act 2002</w:t>
      </w:r>
      <w:r w:rsidR="00F10CB2">
        <w:rPr>
          <w:rFonts w:cs="Arial"/>
          <w:sz w:val="20"/>
        </w:rPr>
        <w:t xml:space="preserve">, </w:t>
      </w:r>
      <w:r>
        <w:rPr>
          <w:rFonts w:cs="Arial"/>
          <w:sz w:val="20"/>
        </w:rPr>
        <w:t>sch 4, s 4.10 (Schemes are subject to disallowance)</w:t>
      </w:r>
    </w:p>
    <w:p w14:paraId="3C4968C0" w14:textId="77777777" w:rsidR="00F10CB2" w:rsidRDefault="00F10CB2" w:rsidP="00CD4E55">
      <w:pPr>
        <w:pStyle w:val="N-line3"/>
        <w:pBdr>
          <w:bottom w:val="none" w:sz="0" w:space="0" w:color="auto"/>
        </w:pBdr>
        <w:spacing w:before="60"/>
      </w:pPr>
    </w:p>
    <w:p w14:paraId="67446A96" w14:textId="77777777" w:rsidR="00F10CB2" w:rsidRDefault="00F10CB2">
      <w:pPr>
        <w:pStyle w:val="N-line3"/>
        <w:pBdr>
          <w:top w:val="single" w:sz="12" w:space="1" w:color="auto"/>
          <w:bottom w:val="none" w:sz="0" w:space="0" w:color="auto"/>
        </w:pBdr>
      </w:pPr>
    </w:p>
    <w:p w14:paraId="46B9D85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2ADE90F" w14:textId="42B2F7D4" w:rsidR="00F10CB2" w:rsidRPr="009330F7" w:rsidRDefault="00F10CB2" w:rsidP="00D47F13">
      <w:pPr>
        <w:spacing w:before="140"/>
        <w:ind w:left="720"/>
      </w:pPr>
      <w:r>
        <w:t xml:space="preserve">This instrument is the </w:t>
      </w:r>
      <w:r w:rsidR="0016380D" w:rsidRPr="0016380D">
        <w:rPr>
          <w:i/>
          <w:iCs/>
        </w:rPr>
        <w:t xml:space="preserve">Civil Law (Wrongs) </w:t>
      </w:r>
      <w:r w:rsidR="00E666FC">
        <w:rPr>
          <w:i/>
          <w:iCs/>
        </w:rPr>
        <w:t>Western Australian Bar Association</w:t>
      </w:r>
      <w:r w:rsidR="0016380D" w:rsidRPr="0016380D">
        <w:rPr>
          <w:i/>
          <w:iCs/>
        </w:rPr>
        <w:t xml:space="preserve"> Professional Standards Scheme </w:t>
      </w:r>
      <w:r w:rsidR="0016380D" w:rsidRPr="00EB6985">
        <w:rPr>
          <w:i/>
          <w:iCs/>
        </w:rPr>
        <w:t>2020 (</w:t>
      </w:r>
      <w:r w:rsidR="0016380D" w:rsidRPr="00603442">
        <w:rPr>
          <w:i/>
          <w:iCs/>
        </w:rPr>
        <w:t>No 1)</w:t>
      </w:r>
      <w:r w:rsidR="009330F7">
        <w:t>.</w:t>
      </w:r>
    </w:p>
    <w:p w14:paraId="44D2C1A9"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645C48BC" w14:textId="6A941ADE" w:rsidR="00F10CB2" w:rsidRDefault="00F10CB2" w:rsidP="00D47F13">
      <w:pPr>
        <w:spacing w:before="140"/>
        <w:ind w:left="720"/>
      </w:pPr>
      <w:r>
        <w:t xml:space="preserve">This instrument commences on </w:t>
      </w:r>
      <w:r w:rsidR="00EB6985">
        <w:t>1 July 2020</w:t>
      </w:r>
      <w:r>
        <w:t xml:space="preserve">. </w:t>
      </w:r>
    </w:p>
    <w:p w14:paraId="435F340E" w14:textId="2ACC022C"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6380D">
        <w:rPr>
          <w:rFonts w:ascii="Arial" w:hAnsi="Arial" w:cs="Arial"/>
          <w:b/>
          <w:bCs/>
        </w:rPr>
        <w:t>Notice</w:t>
      </w:r>
    </w:p>
    <w:p w14:paraId="17F5CD1E" w14:textId="66DA6791" w:rsidR="003232B9" w:rsidRDefault="003232B9" w:rsidP="003232B9">
      <w:pPr>
        <w:spacing w:before="140"/>
        <w:ind w:left="1440" w:hanging="720"/>
      </w:pPr>
      <w:r w:rsidRPr="00435AE5">
        <w:t xml:space="preserve">(1) </w:t>
      </w:r>
      <w:r w:rsidRPr="00435AE5">
        <w:tab/>
        <w:t xml:space="preserve">I give notice of the </w:t>
      </w:r>
      <w:r w:rsidRPr="00603442">
        <w:t xml:space="preserve">Professional Standards Council of </w:t>
      </w:r>
      <w:r w:rsidR="00603442" w:rsidRPr="00603442">
        <w:t>Western Australia’s</w:t>
      </w:r>
      <w:r w:rsidRPr="00603442">
        <w:t xml:space="preserve"> approval of the attached</w:t>
      </w:r>
      <w:r>
        <w:t xml:space="preserve"> ‘</w:t>
      </w:r>
      <w:r w:rsidR="00E666FC">
        <w:t>Western Australian Bar Association Professional Standards Scheme</w:t>
      </w:r>
      <w:r w:rsidR="009330F7">
        <w:t>.</w:t>
      </w:r>
      <w:r>
        <w:t>’</w:t>
      </w:r>
      <w:r w:rsidRPr="00435AE5">
        <w:t xml:space="preserve"> </w:t>
      </w:r>
    </w:p>
    <w:p w14:paraId="5AB94D60" w14:textId="03C0EFFC" w:rsidR="003232B9" w:rsidRPr="00435AE5" w:rsidRDefault="003232B9" w:rsidP="003232B9">
      <w:pPr>
        <w:spacing w:before="140"/>
        <w:ind w:left="1440" w:hanging="720"/>
      </w:pPr>
      <w:r w:rsidRPr="00435AE5">
        <w:t>(2)</w:t>
      </w:r>
      <w:r w:rsidRPr="00435AE5">
        <w:tab/>
        <w:t xml:space="preserve">The scheme is in force </w:t>
      </w:r>
      <w:r w:rsidR="00AC30ED">
        <w:t>until 30 June 2025</w:t>
      </w:r>
      <w:r w:rsidRPr="00435AE5">
        <w:t xml:space="preserve">. </w:t>
      </w:r>
    </w:p>
    <w:p w14:paraId="1E934689" w14:textId="77777777" w:rsidR="003232B9" w:rsidRDefault="003232B9" w:rsidP="0016380D">
      <w:pPr>
        <w:spacing w:before="140"/>
        <w:ind w:left="720"/>
      </w:pPr>
    </w:p>
    <w:p w14:paraId="365CDC2C" w14:textId="77777777" w:rsidR="00F10CB2" w:rsidRDefault="00F10CB2" w:rsidP="00D47F13">
      <w:pPr>
        <w:spacing w:before="140"/>
        <w:ind w:left="720"/>
      </w:pPr>
    </w:p>
    <w:p w14:paraId="6D3145DD" w14:textId="5F05930C" w:rsidR="00D47F13" w:rsidRDefault="00462A0C" w:rsidP="00232478">
      <w:pPr>
        <w:tabs>
          <w:tab w:val="left" w:pos="4320"/>
        </w:tabs>
        <w:spacing w:before="720"/>
      </w:pPr>
      <w:r>
        <w:t>Gordon Ramsay MLA</w:t>
      </w:r>
    </w:p>
    <w:p w14:paraId="16522034" w14:textId="39F60B1A" w:rsidR="00F10CB2" w:rsidRDefault="00462A0C" w:rsidP="00D47F13">
      <w:pPr>
        <w:tabs>
          <w:tab w:val="left" w:pos="4320"/>
        </w:tabs>
      </w:pPr>
      <w:r>
        <w:t>Attorney-General</w:t>
      </w:r>
    </w:p>
    <w:bookmarkEnd w:id="0"/>
    <w:p w14:paraId="67AA3A8A" w14:textId="46EE82A9" w:rsidR="00C6387B" w:rsidRDefault="005669E8">
      <w:r>
        <w:t>21 May 2020</w:t>
      </w:r>
      <w:r w:rsidR="00C6387B">
        <w:br w:type="page"/>
      </w:r>
    </w:p>
    <w:p w14:paraId="7B8558A0" w14:textId="65478C7F" w:rsidR="00C6387B" w:rsidRPr="00195F8C" w:rsidRDefault="00C6387B" w:rsidP="00C6387B">
      <w:pPr>
        <w:pStyle w:val="MCTMainHeading"/>
        <w:jc w:val="center"/>
        <w:rPr>
          <w:rFonts w:eastAsia="Arial"/>
          <w:i/>
          <w:sz w:val="24"/>
          <w:szCs w:val="24"/>
        </w:rPr>
      </w:pPr>
      <w:r w:rsidRPr="00195F8C">
        <w:rPr>
          <w:rFonts w:eastAsia="Arial"/>
          <w:i/>
          <w:sz w:val="24"/>
          <w:szCs w:val="24"/>
          <w:lang w:val="en-US"/>
        </w:rPr>
        <w:lastRenderedPageBreak/>
        <w:t>Professional Standards Act 199</w:t>
      </w:r>
      <w:r w:rsidR="00507559">
        <w:rPr>
          <w:rFonts w:eastAsia="Arial"/>
          <w:i/>
          <w:sz w:val="24"/>
          <w:szCs w:val="24"/>
          <w:lang w:val="en-US"/>
        </w:rPr>
        <w:t>7</w:t>
      </w:r>
      <w:r w:rsidRPr="00FF2E6E">
        <w:rPr>
          <w:rFonts w:eastAsia="Arial"/>
          <w:iCs/>
          <w:sz w:val="24"/>
          <w:szCs w:val="24"/>
          <w:lang w:val="en-US"/>
        </w:rPr>
        <w:t xml:space="preserve"> (</w:t>
      </w:r>
      <w:r w:rsidR="00507559">
        <w:rPr>
          <w:rFonts w:eastAsia="Arial"/>
          <w:iCs/>
          <w:sz w:val="24"/>
          <w:szCs w:val="24"/>
          <w:lang w:val="en-US"/>
        </w:rPr>
        <w:t>WA</w:t>
      </w:r>
      <w:r w:rsidRPr="00FF2E6E">
        <w:rPr>
          <w:rFonts w:eastAsia="Arial"/>
          <w:iCs/>
          <w:sz w:val="24"/>
          <w:szCs w:val="24"/>
          <w:lang w:val="en-US"/>
        </w:rPr>
        <w:t>)</w:t>
      </w:r>
    </w:p>
    <w:p w14:paraId="45A5D9C0" w14:textId="7ED5390C" w:rsidR="00C6387B" w:rsidRPr="00603442" w:rsidRDefault="00507559" w:rsidP="00C6387B">
      <w:pPr>
        <w:pStyle w:val="MCTMainHeading"/>
        <w:jc w:val="center"/>
        <w:rPr>
          <w:rFonts w:eastAsia="Arial"/>
          <w:caps/>
          <w:lang w:val="en-US"/>
        </w:rPr>
      </w:pPr>
      <w:r w:rsidRPr="00603442">
        <w:rPr>
          <w:rFonts w:eastAsia="Arial"/>
          <w:caps/>
          <w:lang w:val="en-US"/>
        </w:rPr>
        <w:t>The Western Australian Bar Association Professional Standards Scheme</w:t>
      </w:r>
    </w:p>
    <w:p w14:paraId="069F7CAF" w14:textId="77777777" w:rsidR="00C6387B" w:rsidRPr="006F0061" w:rsidRDefault="00C6387B" w:rsidP="00C6387B">
      <w:pPr>
        <w:pStyle w:val="MCTMainHeading"/>
        <w:jc w:val="center"/>
        <w:rPr>
          <w:rFonts w:eastAsia="Arial"/>
          <w:b w:val="0"/>
          <w:sz w:val="21"/>
          <w:szCs w:val="24"/>
        </w:rPr>
      </w:pPr>
    </w:p>
    <w:p w14:paraId="2F7F0890" w14:textId="77777777" w:rsidR="00C6387B" w:rsidRPr="00195F8C" w:rsidRDefault="00C6387B" w:rsidP="00C6387B">
      <w:pPr>
        <w:pStyle w:val="MCTMainHeading"/>
        <w:rPr>
          <w:rFonts w:eastAsia="Arial"/>
          <w:sz w:val="24"/>
          <w:szCs w:val="24"/>
          <w:lang w:val="en-US"/>
        </w:rPr>
      </w:pPr>
      <w:r w:rsidRPr="00195F8C">
        <w:rPr>
          <w:rFonts w:eastAsia="Arial"/>
          <w:sz w:val="24"/>
          <w:szCs w:val="24"/>
          <w:lang w:val="en-US"/>
        </w:rPr>
        <w:t>PREAMBLE</w:t>
      </w:r>
    </w:p>
    <w:p w14:paraId="37783EA0" w14:textId="77777777" w:rsidR="00C6387B" w:rsidRPr="00C0337A" w:rsidRDefault="00C6387B" w:rsidP="00C6387B">
      <w:pPr>
        <w:pStyle w:val="MCTBackground1"/>
        <w:keepNext/>
        <w:numPr>
          <w:ilvl w:val="0"/>
          <w:numId w:val="0"/>
        </w:numPr>
        <w:rPr>
          <w:rFonts w:eastAsia="Arial"/>
          <w:b/>
        </w:rPr>
      </w:pPr>
      <w:r w:rsidRPr="00C0337A">
        <w:rPr>
          <w:rFonts w:eastAsia="Arial"/>
          <w:b/>
        </w:rPr>
        <w:t>Occupational Association</w:t>
      </w:r>
    </w:p>
    <w:p w14:paraId="1231B814" w14:textId="77777777" w:rsidR="00507559" w:rsidRPr="00603442" w:rsidRDefault="00507559" w:rsidP="00507559">
      <w:pPr>
        <w:pStyle w:val="CM9"/>
        <w:numPr>
          <w:ilvl w:val="0"/>
          <w:numId w:val="14"/>
        </w:numPr>
        <w:ind w:left="567" w:hanging="568"/>
        <w:jc w:val="both"/>
        <w:rPr>
          <w:sz w:val="21"/>
          <w:szCs w:val="21"/>
        </w:rPr>
      </w:pPr>
      <w:r w:rsidRPr="00603442">
        <w:rPr>
          <w:sz w:val="21"/>
          <w:szCs w:val="21"/>
        </w:rPr>
        <w:t>The Western Australian Bar Association (</w:t>
      </w:r>
      <w:r w:rsidRPr="00603442">
        <w:rPr>
          <w:b/>
          <w:bCs/>
          <w:sz w:val="21"/>
          <w:szCs w:val="21"/>
        </w:rPr>
        <w:t>Association</w:t>
      </w:r>
      <w:r w:rsidRPr="00603442">
        <w:rPr>
          <w:sz w:val="21"/>
          <w:szCs w:val="21"/>
        </w:rPr>
        <w:t xml:space="preserve">) is an occupational association, constituted as an incorporated body under the </w:t>
      </w:r>
      <w:r w:rsidRPr="00603442">
        <w:rPr>
          <w:i/>
          <w:iCs/>
          <w:sz w:val="21"/>
          <w:szCs w:val="21"/>
        </w:rPr>
        <w:t xml:space="preserve">Associations Incorporation Act </w:t>
      </w:r>
      <w:r w:rsidRPr="00603442">
        <w:rPr>
          <w:sz w:val="21"/>
          <w:szCs w:val="21"/>
        </w:rPr>
        <w:t xml:space="preserve">2015 (WA). </w:t>
      </w:r>
    </w:p>
    <w:p w14:paraId="186FA08C" w14:textId="77777777" w:rsidR="00507559" w:rsidRPr="00603442" w:rsidRDefault="00507559" w:rsidP="00507559">
      <w:pPr>
        <w:pStyle w:val="Default"/>
        <w:ind w:left="567" w:hanging="568"/>
        <w:jc w:val="both"/>
        <w:rPr>
          <w:color w:val="auto"/>
          <w:sz w:val="21"/>
          <w:szCs w:val="21"/>
        </w:rPr>
      </w:pPr>
    </w:p>
    <w:p w14:paraId="0D6EE711" w14:textId="77777777" w:rsidR="00507559" w:rsidRPr="00603442" w:rsidRDefault="00507559" w:rsidP="00507559">
      <w:pPr>
        <w:pStyle w:val="CM9"/>
        <w:numPr>
          <w:ilvl w:val="0"/>
          <w:numId w:val="14"/>
        </w:numPr>
        <w:ind w:left="567" w:hanging="568"/>
        <w:jc w:val="both"/>
        <w:rPr>
          <w:sz w:val="21"/>
          <w:szCs w:val="21"/>
        </w:rPr>
      </w:pPr>
      <w:r w:rsidRPr="00603442">
        <w:rPr>
          <w:sz w:val="21"/>
          <w:szCs w:val="21"/>
        </w:rPr>
        <w:t xml:space="preserve">The Association has made an application to the Professional Standards Council, appointed under the </w:t>
      </w:r>
      <w:r w:rsidRPr="00603442">
        <w:rPr>
          <w:i/>
          <w:iCs/>
          <w:sz w:val="21"/>
          <w:szCs w:val="21"/>
        </w:rPr>
        <w:t xml:space="preserve">Professional Standards Act 1997 </w:t>
      </w:r>
      <w:r w:rsidRPr="00603442">
        <w:rPr>
          <w:sz w:val="21"/>
          <w:szCs w:val="21"/>
        </w:rPr>
        <w:t>(WA) (</w:t>
      </w:r>
      <w:r w:rsidRPr="00603442">
        <w:rPr>
          <w:b/>
          <w:bCs/>
          <w:sz w:val="21"/>
          <w:szCs w:val="21"/>
        </w:rPr>
        <w:t>the Act</w:t>
      </w:r>
      <w:r w:rsidRPr="00603442">
        <w:rPr>
          <w:sz w:val="21"/>
          <w:szCs w:val="21"/>
        </w:rPr>
        <w:t>), for a scheme under the Act.</w:t>
      </w:r>
    </w:p>
    <w:p w14:paraId="72A3203C" w14:textId="77777777" w:rsidR="00507559" w:rsidRPr="00603442" w:rsidRDefault="00507559" w:rsidP="00507559">
      <w:pPr>
        <w:pStyle w:val="CM9"/>
        <w:ind w:left="567" w:hanging="568"/>
        <w:jc w:val="both"/>
        <w:rPr>
          <w:sz w:val="21"/>
          <w:szCs w:val="21"/>
        </w:rPr>
      </w:pPr>
    </w:p>
    <w:p w14:paraId="77188C50" w14:textId="77777777" w:rsidR="00507559" w:rsidRPr="00603442" w:rsidRDefault="00507559" w:rsidP="00507559">
      <w:pPr>
        <w:pStyle w:val="CM9"/>
        <w:numPr>
          <w:ilvl w:val="0"/>
          <w:numId w:val="14"/>
        </w:numPr>
        <w:ind w:left="567" w:hanging="568"/>
        <w:jc w:val="both"/>
        <w:rPr>
          <w:sz w:val="21"/>
          <w:szCs w:val="21"/>
        </w:rPr>
      </w:pPr>
      <w:r w:rsidRPr="00603442">
        <w:rPr>
          <w:sz w:val="21"/>
          <w:szCs w:val="21"/>
        </w:rPr>
        <w:t>The scheme is prepared by the Association for the purposes of limiting occupational liability to the extent to which such liability may be limited under the Act.</w:t>
      </w:r>
    </w:p>
    <w:p w14:paraId="03CBD646" w14:textId="77777777" w:rsidR="00507559" w:rsidRPr="00603442" w:rsidRDefault="00507559" w:rsidP="00507559">
      <w:pPr>
        <w:pStyle w:val="Default"/>
        <w:ind w:left="567" w:hanging="568"/>
        <w:jc w:val="both"/>
        <w:rPr>
          <w:sz w:val="21"/>
          <w:szCs w:val="21"/>
        </w:rPr>
      </w:pPr>
    </w:p>
    <w:p w14:paraId="3DE7DCA0" w14:textId="77777777" w:rsidR="00507559" w:rsidRPr="00603442" w:rsidRDefault="00507559" w:rsidP="00507559">
      <w:pPr>
        <w:pStyle w:val="CM9"/>
        <w:numPr>
          <w:ilvl w:val="0"/>
          <w:numId w:val="14"/>
        </w:numPr>
        <w:ind w:left="567" w:hanging="568"/>
        <w:jc w:val="both"/>
        <w:rPr>
          <w:sz w:val="21"/>
          <w:szCs w:val="21"/>
        </w:rPr>
      </w:pPr>
      <w:r w:rsidRPr="00603442">
        <w:rPr>
          <w:sz w:val="21"/>
          <w:szCs w:val="21"/>
        </w:rPr>
        <w:t>The scheme propounded by the Association is to apply to members of the Association who are based in and practise as independent barristers in Western Australia.</w:t>
      </w:r>
    </w:p>
    <w:p w14:paraId="0307AB83" w14:textId="77777777" w:rsidR="00507559" w:rsidRPr="00603442" w:rsidRDefault="00507559" w:rsidP="00507559">
      <w:pPr>
        <w:pStyle w:val="Default"/>
        <w:ind w:left="567" w:hanging="568"/>
        <w:jc w:val="both"/>
        <w:rPr>
          <w:sz w:val="21"/>
          <w:szCs w:val="21"/>
        </w:rPr>
      </w:pPr>
    </w:p>
    <w:p w14:paraId="584B7BB5" w14:textId="77777777" w:rsidR="00507559" w:rsidRPr="00603442" w:rsidRDefault="00507559" w:rsidP="00507559">
      <w:pPr>
        <w:pStyle w:val="CM9"/>
        <w:numPr>
          <w:ilvl w:val="0"/>
          <w:numId w:val="14"/>
        </w:numPr>
        <w:ind w:left="567" w:hanging="568"/>
        <w:jc w:val="both"/>
        <w:rPr>
          <w:sz w:val="21"/>
          <w:szCs w:val="21"/>
        </w:rPr>
      </w:pPr>
      <w:r w:rsidRPr="00603442">
        <w:rPr>
          <w:sz w:val="21"/>
          <w:szCs w:val="21"/>
        </w:rPr>
        <w:t>The Association has furnished the Councils with a detailed list of the risk management strategies intended to be implemented in respect of its members and the means by which those strategies are intended to be implemented.</w:t>
      </w:r>
    </w:p>
    <w:p w14:paraId="62D5B4A8" w14:textId="77777777" w:rsidR="00507559" w:rsidRPr="00603442" w:rsidRDefault="00507559" w:rsidP="00507559">
      <w:pPr>
        <w:pStyle w:val="Default"/>
        <w:ind w:left="567" w:hanging="568"/>
        <w:jc w:val="both"/>
        <w:rPr>
          <w:sz w:val="21"/>
          <w:szCs w:val="21"/>
        </w:rPr>
      </w:pPr>
    </w:p>
    <w:p w14:paraId="3B808313" w14:textId="77777777" w:rsidR="00507559" w:rsidRPr="00603442" w:rsidRDefault="00507559" w:rsidP="00507559">
      <w:pPr>
        <w:pStyle w:val="CM9"/>
        <w:numPr>
          <w:ilvl w:val="0"/>
          <w:numId w:val="14"/>
        </w:numPr>
        <w:ind w:left="567" w:hanging="568"/>
        <w:jc w:val="both"/>
        <w:rPr>
          <w:sz w:val="21"/>
          <w:szCs w:val="21"/>
        </w:rPr>
      </w:pPr>
      <w:r w:rsidRPr="00603442">
        <w:rPr>
          <w:sz w:val="21"/>
          <w:szCs w:val="21"/>
        </w:rPr>
        <w:t>This scheme is intended to commence on the following day:</w:t>
      </w:r>
    </w:p>
    <w:p w14:paraId="4C3134E9" w14:textId="77777777" w:rsidR="00507559" w:rsidRPr="00603442" w:rsidRDefault="00507559" w:rsidP="00507559">
      <w:pPr>
        <w:pStyle w:val="Default"/>
        <w:ind w:left="567" w:hanging="568"/>
        <w:jc w:val="both"/>
        <w:rPr>
          <w:sz w:val="21"/>
          <w:szCs w:val="21"/>
        </w:rPr>
      </w:pPr>
    </w:p>
    <w:p w14:paraId="16C7B3A7" w14:textId="77777777" w:rsidR="00507559" w:rsidRPr="00603442" w:rsidRDefault="00507559" w:rsidP="00507559">
      <w:pPr>
        <w:pStyle w:val="CM9"/>
        <w:numPr>
          <w:ilvl w:val="0"/>
          <w:numId w:val="15"/>
        </w:numPr>
        <w:ind w:left="1134" w:hanging="568"/>
        <w:jc w:val="both"/>
        <w:rPr>
          <w:sz w:val="21"/>
          <w:szCs w:val="21"/>
        </w:rPr>
      </w:pPr>
      <w:r w:rsidRPr="00603442">
        <w:rPr>
          <w:sz w:val="21"/>
          <w:szCs w:val="21"/>
        </w:rPr>
        <w:t>In New South Wales, the Northern Territory, Queensland, Tasmania, Victoria and Western Australia on 1 July 2020; and</w:t>
      </w:r>
    </w:p>
    <w:p w14:paraId="0643BB74" w14:textId="77777777" w:rsidR="00507559" w:rsidRPr="00603442" w:rsidRDefault="00507559" w:rsidP="00507559">
      <w:pPr>
        <w:pStyle w:val="Default"/>
        <w:ind w:left="1134" w:hanging="568"/>
        <w:jc w:val="both"/>
        <w:rPr>
          <w:sz w:val="21"/>
          <w:szCs w:val="21"/>
        </w:rPr>
      </w:pPr>
    </w:p>
    <w:p w14:paraId="6F7B03F0" w14:textId="77777777" w:rsidR="00507559" w:rsidRPr="00603442" w:rsidRDefault="00507559" w:rsidP="00507559">
      <w:pPr>
        <w:pStyle w:val="CM9"/>
        <w:numPr>
          <w:ilvl w:val="0"/>
          <w:numId w:val="15"/>
        </w:numPr>
        <w:ind w:left="1134" w:hanging="568"/>
        <w:jc w:val="both"/>
        <w:rPr>
          <w:sz w:val="21"/>
          <w:szCs w:val="21"/>
        </w:rPr>
      </w:pPr>
      <w:r w:rsidRPr="00603442">
        <w:rPr>
          <w:sz w:val="21"/>
          <w:szCs w:val="21"/>
        </w:rPr>
        <w:t>In the Australian Capital Territory and in South Australia:</w:t>
      </w:r>
    </w:p>
    <w:p w14:paraId="5D53143C" w14:textId="77777777" w:rsidR="00507559" w:rsidRPr="00603442" w:rsidRDefault="00507559" w:rsidP="00507559">
      <w:pPr>
        <w:pStyle w:val="Default"/>
        <w:ind w:left="1134" w:hanging="568"/>
        <w:jc w:val="both"/>
        <w:rPr>
          <w:sz w:val="21"/>
          <w:szCs w:val="21"/>
        </w:rPr>
      </w:pPr>
    </w:p>
    <w:p w14:paraId="573C19FD" w14:textId="77777777" w:rsidR="00507559" w:rsidRPr="00603442" w:rsidRDefault="00507559" w:rsidP="00507559">
      <w:pPr>
        <w:pStyle w:val="Default"/>
        <w:numPr>
          <w:ilvl w:val="0"/>
          <w:numId w:val="16"/>
        </w:numPr>
        <w:ind w:left="1701" w:hanging="568"/>
        <w:jc w:val="both"/>
        <w:rPr>
          <w:sz w:val="21"/>
          <w:szCs w:val="21"/>
        </w:rPr>
      </w:pPr>
      <w:r w:rsidRPr="00603442">
        <w:rPr>
          <w:sz w:val="21"/>
          <w:szCs w:val="21"/>
        </w:rPr>
        <w:t>On the date provided for in the Minister’s notice in relation to the amendments, if a date is provided; or</w:t>
      </w:r>
    </w:p>
    <w:p w14:paraId="37BDD0BC" w14:textId="77777777" w:rsidR="00507559" w:rsidRPr="00603442" w:rsidRDefault="00507559" w:rsidP="00507559">
      <w:pPr>
        <w:pStyle w:val="Default"/>
        <w:ind w:left="1701" w:hanging="568"/>
        <w:jc w:val="both"/>
        <w:rPr>
          <w:sz w:val="21"/>
          <w:szCs w:val="21"/>
        </w:rPr>
      </w:pPr>
    </w:p>
    <w:p w14:paraId="07FD7D43" w14:textId="77777777" w:rsidR="00507559" w:rsidRPr="00603442" w:rsidRDefault="00507559" w:rsidP="00507559">
      <w:pPr>
        <w:pStyle w:val="Default"/>
        <w:numPr>
          <w:ilvl w:val="0"/>
          <w:numId w:val="16"/>
        </w:numPr>
        <w:ind w:left="1701" w:hanging="568"/>
        <w:jc w:val="both"/>
        <w:rPr>
          <w:sz w:val="21"/>
          <w:szCs w:val="21"/>
        </w:rPr>
      </w:pPr>
      <w:r w:rsidRPr="00603442">
        <w:rPr>
          <w:sz w:val="21"/>
          <w:szCs w:val="21"/>
        </w:rPr>
        <w:t>On the first day two months after the day on which notice was given, in any other case.</w:t>
      </w:r>
    </w:p>
    <w:p w14:paraId="22BB3953" w14:textId="77777777" w:rsidR="00507559" w:rsidRPr="00603442" w:rsidRDefault="00507559" w:rsidP="00507559">
      <w:pPr>
        <w:pStyle w:val="Default"/>
        <w:ind w:left="567" w:hanging="568"/>
        <w:jc w:val="both"/>
        <w:rPr>
          <w:sz w:val="21"/>
          <w:szCs w:val="21"/>
        </w:rPr>
      </w:pPr>
    </w:p>
    <w:p w14:paraId="0392F1A8" w14:textId="77777777" w:rsidR="00507559" w:rsidRPr="00603442" w:rsidRDefault="00507559" w:rsidP="00507559">
      <w:pPr>
        <w:pStyle w:val="CM9"/>
        <w:numPr>
          <w:ilvl w:val="0"/>
          <w:numId w:val="14"/>
        </w:numPr>
        <w:ind w:left="567" w:hanging="568"/>
        <w:jc w:val="both"/>
        <w:rPr>
          <w:sz w:val="21"/>
          <w:szCs w:val="21"/>
        </w:rPr>
      </w:pPr>
      <w:r w:rsidRPr="00603442">
        <w:rPr>
          <w:sz w:val="21"/>
          <w:szCs w:val="21"/>
        </w:rPr>
        <w:t>The scheme is also intended to apply in New South Wales, Victoria, Queensland, South Australia, the Australian Capital Territory, the Northern Territory and Tasmania.</w:t>
      </w:r>
    </w:p>
    <w:p w14:paraId="374D7EF7" w14:textId="77777777" w:rsidR="00507559" w:rsidRPr="00603442" w:rsidRDefault="00507559" w:rsidP="00507559">
      <w:pPr>
        <w:pStyle w:val="CM9"/>
        <w:ind w:left="-1"/>
        <w:jc w:val="both"/>
        <w:rPr>
          <w:sz w:val="21"/>
          <w:szCs w:val="21"/>
        </w:rPr>
      </w:pPr>
    </w:p>
    <w:p w14:paraId="330CA7C4" w14:textId="77777777" w:rsidR="00507559" w:rsidRPr="00603442" w:rsidRDefault="00507559" w:rsidP="00507559">
      <w:pPr>
        <w:pStyle w:val="CM9"/>
        <w:jc w:val="both"/>
        <w:rPr>
          <w:b/>
          <w:bCs/>
          <w:sz w:val="21"/>
          <w:szCs w:val="21"/>
        </w:rPr>
      </w:pPr>
      <w:r w:rsidRPr="00603442">
        <w:rPr>
          <w:b/>
          <w:bCs/>
          <w:sz w:val="21"/>
          <w:szCs w:val="21"/>
        </w:rPr>
        <w:t xml:space="preserve">THE WESTERN AUSTRALIAN BAR ASSOCIATION SCHEME </w:t>
      </w:r>
    </w:p>
    <w:p w14:paraId="078CE279" w14:textId="77777777" w:rsidR="00507559" w:rsidRPr="00603442" w:rsidRDefault="00507559" w:rsidP="00507559">
      <w:pPr>
        <w:pStyle w:val="CM9"/>
        <w:jc w:val="both"/>
        <w:rPr>
          <w:sz w:val="21"/>
          <w:szCs w:val="21"/>
        </w:rPr>
      </w:pPr>
    </w:p>
    <w:p w14:paraId="42D8EE62" w14:textId="77777777" w:rsidR="00507559" w:rsidRPr="00603442" w:rsidRDefault="00507559" w:rsidP="00507559">
      <w:pPr>
        <w:pStyle w:val="CM9"/>
        <w:numPr>
          <w:ilvl w:val="0"/>
          <w:numId w:val="17"/>
        </w:numPr>
        <w:ind w:left="567" w:hanging="567"/>
        <w:jc w:val="both"/>
        <w:rPr>
          <w:sz w:val="21"/>
          <w:szCs w:val="21"/>
        </w:rPr>
      </w:pPr>
      <w:r w:rsidRPr="00603442">
        <w:rPr>
          <w:sz w:val="21"/>
          <w:szCs w:val="21"/>
        </w:rPr>
        <w:t xml:space="preserve">Occupational association </w:t>
      </w:r>
    </w:p>
    <w:p w14:paraId="173E08CF" w14:textId="77777777" w:rsidR="00507559" w:rsidRPr="00603442" w:rsidRDefault="00507559" w:rsidP="00507559">
      <w:pPr>
        <w:pStyle w:val="CM9"/>
        <w:jc w:val="both"/>
        <w:rPr>
          <w:sz w:val="21"/>
          <w:szCs w:val="21"/>
        </w:rPr>
      </w:pPr>
    </w:p>
    <w:p w14:paraId="41E4B38F" w14:textId="77777777" w:rsidR="00507559" w:rsidRPr="00603442" w:rsidRDefault="00507559" w:rsidP="00507559">
      <w:pPr>
        <w:pStyle w:val="CM9"/>
        <w:ind w:left="567" w:hanging="567"/>
        <w:jc w:val="both"/>
        <w:rPr>
          <w:sz w:val="21"/>
          <w:szCs w:val="21"/>
        </w:rPr>
      </w:pPr>
      <w:r w:rsidRPr="00603442">
        <w:rPr>
          <w:sz w:val="21"/>
          <w:szCs w:val="21"/>
        </w:rPr>
        <w:t>1.1</w:t>
      </w:r>
      <w:r w:rsidRPr="00603442">
        <w:rPr>
          <w:sz w:val="21"/>
          <w:szCs w:val="21"/>
        </w:rPr>
        <w:tab/>
        <w:t>The Association is a voluntary occupational association of legal practitioners practising exclusively as independent barristers in Western Australia.</w:t>
      </w:r>
    </w:p>
    <w:p w14:paraId="7DC93DED" w14:textId="77777777" w:rsidR="00507559" w:rsidRPr="00603442" w:rsidRDefault="00507559" w:rsidP="00507559">
      <w:pPr>
        <w:pStyle w:val="CM9"/>
        <w:ind w:left="567" w:hanging="567"/>
        <w:jc w:val="both"/>
        <w:rPr>
          <w:sz w:val="21"/>
          <w:szCs w:val="21"/>
        </w:rPr>
      </w:pPr>
    </w:p>
    <w:p w14:paraId="2C59AA28" w14:textId="77777777" w:rsidR="00507559" w:rsidRPr="00603442" w:rsidRDefault="00507559" w:rsidP="00507559">
      <w:pPr>
        <w:pStyle w:val="CM9"/>
        <w:ind w:left="567" w:hanging="567"/>
        <w:jc w:val="both"/>
        <w:rPr>
          <w:sz w:val="21"/>
          <w:szCs w:val="21"/>
        </w:rPr>
      </w:pPr>
      <w:r w:rsidRPr="00603442">
        <w:rPr>
          <w:sz w:val="21"/>
          <w:szCs w:val="21"/>
        </w:rPr>
        <w:t>1.2</w:t>
      </w:r>
      <w:r w:rsidRPr="00603442">
        <w:rPr>
          <w:sz w:val="21"/>
          <w:szCs w:val="21"/>
        </w:rPr>
        <w:tab/>
        <w:t>The Association Scheme (</w:t>
      </w:r>
      <w:r w:rsidRPr="00603442">
        <w:rPr>
          <w:b/>
          <w:bCs/>
          <w:sz w:val="21"/>
          <w:szCs w:val="21"/>
        </w:rPr>
        <w:t>the Scheme</w:t>
      </w:r>
      <w:r w:rsidRPr="00603442">
        <w:rPr>
          <w:sz w:val="21"/>
          <w:szCs w:val="21"/>
        </w:rPr>
        <w:t>) is a scheme under the Act, prepared by the Western Australian Bar Association (</w:t>
      </w:r>
      <w:r w:rsidRPr="00603442">
        <w:rPr>
          <w:b/>
          <w:bCs/>
          <w:sz w:val="21"/>
          <w:szCs w:val="21"/>
        </w:rPr>
        <w:t>Association</w:t>
      </w:r>
      <w:r w:rsidRPr="00603442">
        <w:rPr>
          <w:sz w:val="21"/>
          <w:szCs w:val="21"/>
        </w:rPr>
        <w:t xml:space="preserve">) whose business address is Level </w:t>
      </w:r>
      <w:r w:rsidRPr="00603442">
        <w:rPr>
          <w:sz w:val="21"/>
          <w:szCs w:val="21"/>
        </w:rPr>
        <w:lastRenderedPageBreak/>
        <w:t>25, Allendale Square, 77 St Georges Terrace, Perth, Western Australia.</w:t>
      </w:r>
    </w:p>
    <w:p w14:paraId="06E17A28" w14:textId="77777777" w:rsidR="00507559" w:rsidRPr="00603442" w:rsidRDefault="00507559" w:rsidP="00507559">
      <w:pPr>
        <w:pStyle w:val="Default"/>
        <w:jc w:val="both"/>
        <w:rPr>
          <w:sz w:val="21"/>
          <w:szCs w:val="21"/>
        </w:rPr>
      </w:pPr>
    </w:p>
    <w:p w14:paraId="1317F7CC" w14:textId="77777777" w:rsidR="00507559" w:rsidRPr="00603442" w:rsidRDefault="00507559" w:rsidP="00507559">
      <w:pPr>
        <w:pStyle w:val="CM9"/>
        <w:ind w:left="567" w:hanging="567"/>
        <w:jc w:val="both"/>
        <w:rPr>
          <w:sz w:val="21"/>
          <w:szCs w:val="21"/>
        </w:rPr>
      </w:pPr>
      <w:r w:rsidRPr="00603442">
        <w:rPr>
          <w:sz w:val="21"/>
          <w:szCs w:val="21"/>
        </w:rPr>
        <w:t>1.3</w:t>
      </w:r>
      <w:r w:rsidRPr="00603442">
        <w:rPr>
          <w:sz w:val="21"/>
          <w:szCs w:val="21"/>
        </w:rPr>
        <w:tab/>
        <w:t>the Scheme applies in Western Australia and also in New South Wales, Victoria, Queensland, South Australia, the Australian Capital Territory, the Northern Territory and Tasmania.</w:t>
      </w:r>
    </w:p>
    <w:p w14:paraId="198A077B" w14:textId="77777777" w:rsidR="00507559" w:rsidRPr="00603442" w:rsidRDefault="00507559" w:rsidP="00507559">
      <w:pPr>
        <w:pStyle w:val="CM9"/>
        <w:ind w:left="567" w:hanging="567"/>
        <w:jc w:val="both"/>
        <w:rPr>
          <w:sz w:val="21"/>
          <w:szCs w:val="21"/>
        </w:rPr>
      </w:pPr>
    </w:p>
    <w:p w14:paraId="5F4DC044" w14:textId="77777777" w:rsidR="00507559" w:rsidRPr="00603442" w:rsidRDefault="00507559" w:rsidP="00507559">
      <w:pPr>
        <w:pStyle w:val="CM9"/>
        <w:ind w:left="567" w:hanging="567"/>
        <w:jc w:val="both"/>
        <w:rPr>
          <w:sz w:val="21"/>
          <w:szCs w:val="21"/>
        </w:rPr>
      </w:pPr>
      <w:r w:rsidRPr="00603442">
        <w:rPr>
          <w:sz w:val="21"/>
          <w:szCs w:val="21"/>
        </w:rPr>
        <w:t>1.4</w:t>
      </w:r>
      <w:r w:rsidRPr="00603442">
        <w:rPr>
          <w:sz w:val="21"/>
          <w:szCs w:val="21"/>
        </w:rPr>
        <w:tab/>
        <w:t xml:space="preserve">Relevant definitions for the purposes of this Scheme are as follows: </w:t>
      </w:r>
    </w:p>
    <w:p w14:paraId="44D5CE97" w14:textId="77777777" w:rsidR="00507559" w:rsidRPr="00603442" w:rsidRDefault="00507559" w:rsidP="00507559">
      <w:pPr>
        <w:pStyle w:val="CM9"/>
        <w:ind w:left="567" w:hanging="567"/>
        <w:jc w:val="both"/>
        <w:rPr>
          <w:sz w:val="21"/>
          <w:szCs w:val="21"/>
        </w:rPr>
      </w:pPr>
    </w:p>
    <w:p w14:paraId="5963412F" w14:textId="77777777" w:rsidR="00507559" w:rsidRPr="00603442" w:rsidRDefault="00507559" w:rsidP="00507559">
      <w:pPr>
        <w:pStyle w:val="CM9"/>
        <w:ind w:left="567" w:hanging="567"/>
        <w:jc w:val="both"/>
        <w:rPr>
          <w:spacing w:val="-3"/>
          <w:sz w:val="21"/>
          <w:szCs w:val="21"/>
        </w:rPr>
      </w:pPr>
      <w:r w:rsidRPr="00603442">
        <w:rPr>
          <w:sz w:val="21"/>
          <w:szCs w:val="21"/>
        </w:rPr>
        <w:tab/>
        <w:t>“Interstate Member” means a</w:t>
      </w:r>
      <w:r w:rsidRPr="00603442">
        <w:rPr>
          <w:spacing w:val="-3"/>
          <w:sz w:val="21"/>
          <w:szCs w:val="21"/>
        </w:rPr>
        <w:t xml:space="preserve"> practising barrister whose primary occupation is at the Bar who does not normally reside in Western Australia and who is a member of the Bar of another state or Territory in Australia who has been elected as an Interstate Member of the Association </w:t>
      </w:r>
      <w:r w:rsidRPr="00603442">
        <w:rPr>
          <w:sz w:val="21"/>
          <w:szCs w:val="21"/>
          <w:lang w:eastAsia="en-US"/>
        </w:rPr>
        <w:t>as provided under clause 9(d) of the Association’s Constitution</w:t>
      </w:r>
      <w:r w:rsidRPr="00603442">
        <w:rPr>
          <w:spacing w:val="-3"/>
          <w:sz w:val="21"/>
          <w:szCs w:val="21"/>
        </w:rPr>
        <w:t>.</w:t>
      </w:r>
    </w:p>
    <w:p w14:paraId="4FC8891B" w14:textId="77777777" w:rsidR="00507559" w:rsidRPr="00603442" w:rsidRDefault="00507559" w:rsidP="00507559">
      <w:pPr>
        <w:pStyle w:val="CM9"/>
        <w:ind w:left="567" w:hanging="567"/>
        <w:jc w:val="both"/>
        <w:rPr>
          <w:spacing w:val="-3"/>
          <w:sz w:val="21"/>
          <w:szCs w:val="21"/>
        </w:rPr>
      </w:pPr>
    </w:p>
    <w:p w14:paraId="5B40B343" w14:textId="77777777" w:rsidR="00507559" w:rsidRPr="00603442" w:rsidRDefault="00507559" w:rsidP="00507559">
      <w:pPr>
        <w:pStyle w:val="CM9"/>
        <w:ind w:left="567" w:hanging="567"/>
        <w:jc w:val="both"/>
        <w:rPr>
          <w:spacing w:val="-3"/>
          <w:sz w:val="21"/>
          <w:szCs w:val="21"/>
        </w:rPr>
      </w:pPr>
      <w:r w:rsidRPr="00603442">
        <w:rPr>
          <w:spacing w:val="-3"/>
          <w:sz w:val="21"/>
          <w:szCs w:val="21"/>
        </w:rPr>
        <w:tab/>
        <w:t xml:space="preserve">“Honorary Member” means any person who, in the opinion of a General Meeting of the Association, is worthy of being elected as an Honorary Member of the Association who has been elected as an Honorary Member of the Association </w:t>
      </w:r>
      <w:r w:rsidRPr="00603442">
        <w:rPr>
          <w:sz w:val="21"/>
          <w:szCs w:val="21"/>
          <w:lang w:eastAsia="en-US"/>
        </w:rPr>
        <w:t>as provided under clause 9(a) of the Association’s Constitution</w:t>
      </w:r>
      <w:r w:rsidRPr="00603442">
        <w:rPr>
          <w:spacing w:val="-3"/>
          <w:sz w:val="21"/>
          <w:szCs w:val="21"/>
        </w:rPr>
        <w:t>.</w:t>
      </w:r>
    </w:p>
    <w:p w14:paraId="5C2A051A" w14:textId="77777777" w:rsidR="00507559" w:rsidRPr="00603442" w:rsidRDefault="00507559" w:rsidP="00507559">
      <w:pPr>
        <w:pStyle w:val="CM9"/>
        <w:ind w:left="567" w:hanging="567"/>
        <w:jc w:val="both"/>
        <w:rPr>
          <w:spacing w:val="-3"/>
          <w:sz w:val="21"/>
          <w:szCs w:val="21"/>
        </w:rPr>
      </w:pPr>
    </w:p>
    <w:p w14:paraId="5312A8A3" w14:textId="77777777" w:rsidR="00507559" w:rsidRPr="00603442" w:rsidRDefault="00507559" w:rsidP="00507559">
      <w:pPr>
        <w:pStyle w:val="CM9"/>
        <w:ind w:left="567" w:hanging="567"/>
        <w:jc w:val="both"/>
        <w:rPr>
          <w:spacing w:val="-3"/>
          <w:sz w:val="21"/>
          <w:szCs w:val="21"/>
        </w:rPr>
      </w:pPr>
      <w:r w:rsidRPr="00603442">
        <w:rPr>
          <w:spacing w:val="-3"/>
          <w:sz w:val="21"/>
          <w:szCs w:val="21"/>
        </w:rPr>
        <w:tab/>
        <w:t xml:space="preserve">“Judicial Member” means any person who is a judge of the High Court of Australia, Supreme Court of Western Australia, the Federal Court of Australia, the Family Court of Western Australia, the Family Court of Australia, the District Court of Western Australia or the Federal Circuit Court or any person who is a judicial officer of equivalent status in any other Court or Tribunal who has been elected as a Judicial Member of the Association </w:t>
      </w:r>
      <w:r w:rsidRPr="00603442">
        <w:rPr>
          <w:sz w:val="21"/>
          <w:szCs w:val="21"/>
          <w:lang w:eastAsia="en-US"/>
        </w:rPr>
        <w:t>as provided under clause 9(b) of the Association’s Constitution</w:t>
      </w:r>
      <w:r w:rsidRPr="00603442">
        <w:rPr>
          <w:spacing w:val="-3"/>
          <w:sz w:val="21"/>
          <w:szCs w:val="21"/>
        </w:rPr>
        <w:t>;</w:t>
      </w:r>
    </w:p>
    <w:p w14:paraId="0DDC482A" w14:textId="77777777" w:rsidR="00507559" w:rsidRPr="00603442" w:rsidRDefault="00507559" w:rsidP="00507559">
      <w:pPr>
        <w:pStyle w:val="CM9"/>
        <w:ind w:left="567" w:hanging="567"/>
        <w:jc w:val="both"/>
        <w:rPr>
          <w:spacing w:val="-3"/>
          <w:sz w:val="21"/>
          <w:szCs w:val="21"/>
        </w:rPr>
      </w:pPr>
    </w:p>
    <w:p w14:paraId="56C929A8" w14:textId="77777777" w:rsidR="00507559" w:rsidRPr="00603442" w:rsidRDefault="00507559" w:rsidP="00507559">
      <w:pPr>
        <w:pStyle w:val="CM9"/>
        <w:ind w:left="567" w:hanging="567"/>
        <w:jc w:val="both"/>
        <w:rPr>
          <w:spacing w:val="-3"/>
          <w:sz w:val="21"/>
          <w:szCs w:val="21"/>
        </w:rPr>
      </w:pPr>
      <w:r w:rsidRPr="00603442">
        <w:rPr>
          <w:spacing w:val="-3"/>
          <w:sz w:val="21"/>
          <w:szCs w:val="21"/>
        </w:rPr>
        <w:tab/>
        <w:t xml:space="preserve">“Magistrate Member” means any person who is the Chief Magistrate of the Magistrates Court of Western Australia; and, upon the recommendation of Bar Council, a former member who is a Magistrate of the Magistrates Court of Western Australia or the Family Court who has been elected as a Magistrate Member of the Association </w:t>
      </w:r>
      <w:r w:rsidRPr="00603442">
        <w:rPr>
          <w:sz w:val="21"/>
          <w:szCs w:val="21"/>
          <w:lang w:eastAsia="en-US"/>
        </w:rPr>
        <w:t>as provided under clause 9(c) of the Association’s Constitution</w:t>
      </w:r>
      <w:r w:rsidRPr="00603442">
        <w:rPr>
          <w:spacing w:val="-3"/>
          <w:sz w:val="21"/>
          <w:szCs w:val="21"/>
        </w:rPr>
        <w:t>.</w:t>
      </w:r>
    </w:p>
    <w:p w14:paraId="7E4FE6EC" w14:textId="77777777" w:rsidR="00507559" w:rsidRPr="00603442" w:rsidRDefault="00507559" w:rsidP="00507559">
      <w:pPr>
        <w:pStyle w:val="CM9"/>
        <w:ind w:left="567" w:hanging="567"/>
        <w:jc w:val="both"/>
        <w:rPr>
          <w:spacing w:val="-3"/>
          <w:sz w:val="21"/>
          <w:szCs w:val="21"/>
        </w:rPr>
      </w:pPr>
    </w:p>
    <w:p w14:paraId="5A5AE438" w14:textId="77777777" w:rsidR="00507559" w:rsidRPr="00603442" w:rsidRDefault="00507559" w:rsidP="00507559">
      <w:pPr>
        <w:pStyle w:val="CM9"/>
        <w:ind w:left="567" w:hanging="567"/>
        <w:jc w:val="both"/>
        <w:rPr>
          <w:sz w:val="21"/>
          <w:szCs w:val="21"/>
        </w:rPr>
      </w:pPr>
      <w:r w:rsidRPr="00603442">
        <w:rPr>
          <w:spacing w:val="-3"/>
          <w:sz w:val="21"/>
          <w:szCs w:val="21"/>
        </w:rPr>
        <w:tab/>
        <w:t>“Member” means any of the following persons who are eligible for membership of the Association under clause 4 of the Association’s Constitution and who have been elected as Members of the Association under clause 5 of the Association’s Constitution:</w:t>
      </w:r>
    </w:p>
    <w:p w14:paraId="6BF2152D" w14:textId="77777777" w:rsidR="00507559" w:rsidRPr="00603442" w:rsidRDefault="00507559" w:rsidP="00507559">
      <w:pPr>
        <w:widowControl w:val="0"/>
        <w:tabs>
          <w:tab w:val="left" w:pos="-720"/>
          <w:tab w:val="left" w:pos="0"/>
          <w:tab w:val="left" w:pos="720"/>
        </w:tabs>
        <w:suppressAutoHyphens/>
        <w:ind w:left="851" w:hanging="851"/>
        <w:jc w:val="both"/>
        <w:rPr>
          <w:rFonts w:ascii="Arial" w:hAnsi="Arial" w:cs="Arial"/>
          <w:spacing w:val="-3"/>
          <w:sz w:val="21"/>
          <w:szCs w:val="21"/>
        </w:rPr>
      </w:pPr>
    </w:p>
    <w:p w14:paraId="41236193" w14:textId="77777777" w:rsidR="00507559" w:rsidRPr="00603442" w:rsidRDefault="00507559" w:rsidP="00507559">
      <w:pPr>
        <w:pStyle w:val="ListParagraph"/>
        <w:numPr>
          <w:ilvl w:val="0"/>
          <w:numId w:val="18"/>
        </w:numPr>
        <w:ind w:left="1134" w:hanging="567"/>
        <w:jc w:val="both"/>
        <w:rPr>
          <w:rFonts w:ascii="Arial" w:hAnsi="Arial" w:cs="Arial"/>
          <w:sz w:val="21"/>
          <w:szCs w:val="21"/>
        </w:rPr>
      </w:pPr>
      <w:r w:rsidRPr="00603442">
        <w:rPr>
          <w:rFonts w:ascii="Arial" w:hAnsi="Arial" w:cs="Arial"/>
          <w:sz w:val="21"/>
          <w:szCs w:val="21"/>
        </w:rPr>
        <w:t xml:space="preserve">a barrister who does not carry on any other occupation inconsistent with the maintenance of proper standards of professional conduct and integrity; </w:t>
      </w:r>
    </w:p>
    <w:p w14:paraId="0563128E" w14:textId="77777777" w:rsidR="00507559" w:rsidRPr="00603442" w:rsidRDefault="00507559" w:rsidP="00507559">
      <w:pPr>
        <w:pStyle w:val="ListParagraph"/>
        <w:ind w:left="1134" w:hanging="567"/>
        <w:jc w:val="both"/>
        <w:rPr>
          <w:rFonts w:ascii="Arial" w:hAnsi="Arial" w:cs="Arial"/>
          <w:sz w:val="21"/>
          <w:szCs w:val="21"/>
        </w:rPr>
      </w:pPr>
    </w:p>
    <w:p w14:paraId="44CB965F" w14:textId="77777777" w:rsidR="00507559" w:rsidRPr="00603442" w:rsidRDefault="00507559" w:rsidP="00507559">
      <w:pPr>
        <w:pStyle w:val="ListParagraph"/>
        <w:numPr>
          <w:ilvl w:val="0"/>
          <w:numId w:val="18"/>
        </w:numPr>
        <w:ind w:left="1134" w:hanging="567"/>
        <w:jc w:val="both"/>
        <w:rPr>
          <w:rFonts w:ascii="Arial" w:hAnsi="Arial" w:cs="Arial"/>
          <w:sz w:val="21"/>
          <w:szCs w:val="21"/>
        </w:rPr>
      </w:pPr>
      <w:r w:rsidRPr="00603442">
        <w:rPr>
          <w:rFonts w:ascii="Arial" w:hAnsi="Arial" w:cs="Arial"/>
          <w:sz w:val="21"/>
          <w:szCs w:val="21"/>
        </w:rPr>
        <w:t>a barrister who is not primarily occupied at the Bar due to the fact that she or he is responsible for the care of a child</w:t>
      </w:r>
    </w:p>
    <w:p w14:paraId="51548A9C" w14:textId="77777777" w:rsidR="00507559" w:rsidRPr="00603442" w:rsidRDefault="00507559" w:rsidP="00507559">
      <w:pPr>
        <w:pStyle w:val="ListParagraph"/>
        <w:ind w:left="1134" w:hanging="567"/>
        <w:jc w:val="both"/>
        <w:rPr>
          <w:rFonts w:ascii="Arial" w:hAnsi="Arial" w:cs="Arial"/>
          <w:sz w:val="21"/>
          <w:szCs w:val="21"/>
        </w:rPr>
      </w:pPr>
    </w:p>
    <w:p w14:paraId="3356632E" w14:textId="77777777" w:rsidR="00507559" w:rsidRPr="00603442" w:rsidRDefault="00507559" w:rsidP="00507559">
      <w:pPr>
        <w:pStyle w:val="ListParagraph"/>
        <w:numPr>
          <w:ilvl w:val="0"/>
          <w:numId w:val="18"/>
        </w:numPr>
        <w:ind w:left="1134" w:hanging="567"/>
        <w:jc w:val="both"/>
        <w:rPr>
          <w:rFonts w:ascii="Arial" w:hAnsi="Arial" w:cs="Arial"/>
          <w:sz w:val="21"/>
          <w:szCs w:val="21"/>
        </w:rPr>
      </w:pPr>
      <w:r w:rsidRPr="00603442">
        <w:rPr>
          <w:rFonts w:ascii="Arial" w:hAnsi="Arial" w:cs="Arial"/>
          <w:sz w:val="21"/>
          <w:szCs w:val="21"/>
        </w:rPr>
        <w:t xml:space="preserve">a Queen's Counsel or Senior Counsel for the State who is a law officer of the Crown in right of the State or of the State, including the offices of Attorney General, Solicitor General, Director of Public Prosecutions, or any law officer of the Crown in right of the Commonwealth or of the Commonwealth, including the Attorney General, Solicitor General, Director of Public Prosecutions or any Special Prosecutor appointed by the Commonwealth; </w:t>
      </w:r>
    </w:p>
    <w:p w14:paraId="1427B3C1" w14:textId="77777777" w:rsidR="00507559" w:rsidRPr="00603442" w:rsidRDefault="00507559" w:rsidP="00507559">
      <w:pPr>
        <w:pStyle w:val="ListParagraph"/>
        <w:ind w:left="1134" w:hanging="567"/>
        <w:jc w:val="both"/>
        <w:rPr>
          <w:rFonts w:ascii="Arial" w:hAnsi="Arial" w:cs="Arial"/>
          <w:sz w:val="21"/>
          <w:szCs w:val="21"/>
        </w:rPr>
      </w:pPr>
    </w:p>
    <w:p w14:paraId="5227B6FF" w14:textId="77777777" w:rsidR="00507559" w:rsidRPr="00603442" w:rsidRDefault="00507559" w:rsidP="00507559">
      <w:pPr>
        <w:pStyle w:val="ListParagraph"/>
        <w:numPr>
          <w:ilvl w:val="0"/>
          <w:numId w:val="18"/>
        </w:numPr>
        <w:ind w:left="1134" w:hanging="567"/>
        <w:jc w:val="both"/>
        <w:rPr>
          <w:rFonts w:ascii="Arial" w:hAnsi="Arial" w:cs="Arial"/>
          <w:sz w:val="21"/>
          <w:szCs w:val="21"/>
        </w:rPr>
      </w:pPr>
      <w:r w:rsidRPr="00603442">
        <w:rPr>
          <w:rFonts w:ascii="Arial" w:hAnsi="Arial" w:cs="Arial"/>
          <w:sz w:val="21"/>
          <w:szCs w:val="21"/>
        </w:rPr>
        <w:t xml:space="preserve">a university lecturer who is a practising barrister; and </w:t>
      </w:r>
    </w:p>
    <w:p w14:paraId="58A44434" w14:textId="77777777" w:rsidR="00507559" w:rsidRPr="00603442" w:rsidRDefault="00507559" w:rsidP="00507559">
      <w:pPr>
        <w:pStyle w:val="ListParagraph"/>
        <w:ind w:left="1134" w:hanging="567"/>
        <w:jc w:val="both"/>
        <w:rPr>
          <w:rFonts w:ascii="Arial" w:hAnsi="Arial" w:cs="Arial"/>
          <w:sz w:val="21"/>
          <w:szCs w:val="21"/>
        </w:rPr>
      </w:pPr>
    </w:p>
    <w:p w14:paraId="30D96A7D" w14:textId="77777777" w:rsidR="00507559" w:rsidRPr="00603442" w:rsidRDefault="00507559" w:rsidP="00507559">
      <w:pPr>
        <w:pStyle w:val="ListParagraph"/>
        <w:numPr>
          <w:ilvl w:val="0"/>
          <w:numId w:val="18"/>
        </w:numPr>
        <w:ind w:left="1134" w:hanging="567"/>
        <w:jc w:val="both"/>
        <w:rPr>
          <w:rFonts w:ascii="Arial" w:hAnsi="Arial" w:cs="Arial"/>
          <w:sz w:val="21"/>
          <w:szCs w:val="21"/>
        </w:rPr>
      </w:pPr>
      <w:r w:rsidRPr="00603442">
        <w:rPr>
          <w:rFonts w:ascii="Arial" w:hAnsi="Arial" w:cs="Arial"/>
          <w:sz w:val="21"/>
          <w:szCs w:val="21"/>
        </w:rPr>
        <w:t>a member of the State or Federal Parliament who practises or practised as a barrister or a barrister who is a Minister of the Crown.</w:t>
      </w:r>
    </w:p>
    <w:p w14:paraId="1FD710F5" w14:textId="77777777" w:rsidR="00507559" w:rsidRPr="00603442" w:rsidRDefault="00507559" w:rsidP="00507559">
      <w:pPr>
        <w:widowControl w:val="0"/>
        <w:tabs>
          <w:tab w:val="left" w:pos="-720"/>
          <w:tab w:val="left" w:pos="0"/>
          <w:tab w:val="left" w:pos="720"/>
        </w:tabs>
        <w:suppressAutoHyphens/>
        <w:ind w:left="851" w:hanging="851"/>
        <w:jc w:val="both"/>
        <w:rPr>
          <w:rFonts w:ascii="Arial" w:hAnsi="Arial" w:cs="Arial"/>
          <w:spacing w:val="-3"/>
          <w:sz w:val="21"/>
          <w:szCs w:val="21"/>
        </w:rPr>
      </w:pPr>
    </w:p>
    <w:p w14:paraId="18B24ECA" w14:textId="77777777" w:rsidR="00507559" w:rsidRPr="00603442" w:rsidRDefault="00507559" w:rsidP="00507559">
      <w:pPr>
        <w:widowControl w:val="0"/>
        <w:tabs>
          <w:tab w:val="left" w:pos="-720"/>
          <w:tab w:val="left" w:pos="0"/>
        </w:tabs>
        <w:suppressAutoHyphens/>
        <w:ind w:left="567" w:hanging="567"/>
        <w:jc w:val="both"/>
        <w:rPr>
          <w:rFonts w:ascii="Arial" w:hAnsi="Arial" w:cs="Arial"/>
          <w:spacing w:val="-3"/>
          <w:sz w:val="21"/>
          <w:szCs w:val="21"/>
        </w:rPr>
      </w:pPr>
      <w:r w:rsidRPr="00603442">
        <w:rPr>
          <w:rFonts w:ascii="Arial" w:hAnsi="Arial" w:cs="Arial"/>
          <w:spacing w:val="-3"/>
          <w:sz w:val="21"/>
          <w:szCs w:val="21"/>
        </w:rPr>
        <w:tab/>
        <w:t>“Ex officio Member” means the Attorney General of Western Australia and the Solicitor-General for Western Australia if elected as ex officio members of the Association by Bar Council under clause 10 of the Association’s Constitution.</w:t>
      </w:r>
    </w:p>
    <w:p w14:paraId="14405ED2" w14:textId="6B1C11D3" w:rsidR="00507559" w:rsidRPr="00603442" w:rsidRDefault="00507559" w:rsidP="00507559">
      <w:pPr>
        <w:spacing w:after="160" w:line="256" w:lineRule="auto"/>
        <w:rPr>
          <w:rFonts w:ascii="Arial" w:eastAsiaTheme="minorEastAsia" w:hAnsi="Arial" w:cs="Arial"/>
          <w:sz w:val="21"/>
          <w:szCs w:val="21"/>
          <w:lang w:eastAsia="en-AU"/>
        </w:rPr>
      </w:pPr>
    </w:p>
    <w:p w14:paraId="04825EF5" w14:textId="77777777" w:rsidR="00507559" w:rsidRPr="00603442" w:rsidRDefault="00507559" w:rsidP="00507559">
      <w:pPr>
        <w:pStyle w:val="CM9"/>
        <w:numPr>
          <w:ilvl w:val="0"/>
          <w:numId w:val="17"/>
        </w:numPr>
        <w:ind w:left="567" w:hanging="567"/>
        <w:jc w:val="both"/>
        <w:rPr>
          <w:sz w:val="21"/>
          <w:szCs w:val="21"/>
        </w:rPr>
      </w:pPr>
      <w:r w:rsidRPr="00603442">
        <w:rPr>
          <w:sz w:val="21"/>
          <w:szCs w:val="21"/>
        </w:rPr>
        <w:lastRenderedPageBreak/>
        <w:t xml:space="preserve">Persons to Whom the Scheme Applies </w:t>
      </w:r>
    </w:p>
    <w:p w14:paraId="1881871E" w14:textId="77777777" w:rsidR="00507559" w:rsidRPr="00603442" w:rsidRDefault="00507559" w:rsidP="00507559">
      <w:pPr>
        <w:pStyle w:val="CM9"/>
        <w:jc w:val="both"/>
        <w:rPr>
          <w:sz w:val="21"/>
          <w:szCs w:val="21"/>
        </w:rPr>
      </w:pPr>
    </w:p>
    <w:p w14:paraId="3C294086" w14:textId="77777777" w:rsidR="00507559" w:rsidRPr="00603442" w:rsidRDefault="00507559" w:rsidP="00507559">
      <w:pPr>
        <w:pStyle w:val="CM9"/>
        <w:ind w:left="567" w:hanging="567"/>
        <w:jc w:val="both"/>
        <w:rPr>
          <w:sz w:val="21"/>
          <w:szCs w:val="21"/>
        </w:rPr>
      </w:pPr>
      <w:r w:rsidRPr="00603442">
        <w:rPr>
          <w:sz w:val="21"/>
          <w:szCs w:val="21"/>
        </w:rPr>
        <w:t>2.1</w:t>
      </w:r>
      <w:r w:rsidRPr="00603442">
        <w:rPr>
          <w:sz w:val="21"/>
          <w:szCs w:val="21"/>
        </w:rPr>
        <w:tab/>
      </w:r>
      <w:r w:rsidRPr="00603442">
        <w:rPr>
          <w:rFonts w:eastAsia="Times New Roman"/>
          <w:sz w:val="21"/>
          <w:szCs w:val="21"/>
          <w:lang w:eastAsia="en-US"/>
        </w:rPr>
        <w:t xml:space="preserve">The Scheme applies to all Members of the Association, being those members </w:t>
      </w:r>
      <w:r w:rsidRPr="00603442">
        <w:rPr>
          <w:sz w:val="21"/>
          <w:szCs w:val="21"/>
        </w:rPr>
        <w:t>who are based in and practise as independent barristers in Western Australia as provided under clause 4 of the Association’s Constitution</w:t>
      </w:r>
      <w:r w:rsidRPr="00603442">
        <w:rPr>
          <w:rFonts w:eastAsia="Times New Roman"/>
          <w:sz w:val="21"/>
          <w:szCs w:val="21"/>
          <w:lang w:eastAsia="en-US"/>
        </w:rPr>
        <w:t xml:space="preserve">. </w:t>
      </w:r>
    </w:p>
    <w:p w14:paraId="159D181E" w14:textId="77777777" w:rsidR="00507559" w:rsidRPr="00603442" w:rsidRDefault="00507559" w:rsidP="00507559">
      <w:pPr>
        <w:ind w:left="567"/>
        <w:jc w:val="both"/>
        <w:rPr>
          <w:rFonts w:ascii="Arial" w:hAnsi="Arial" w:cs="Arial"/>
          <w:sz w:val="21"/>
          <w:szCs w:val="21"/>
        </w:rPr>
      </w:pPr>
    </w:p>
    <w:p w14:paraId="46B2FCA8" w14:textId="77777777" w:rsidR="00507559" w:rsidRPr="00603442" w:rsidRDefault="00507559" w:rsidP="00507559">
      <w:pPr>
        <w:ind w:left="567"/>
        <w:jc w:val="both"/>
        <w:rPr>
          <w:rFonts w:ascii="Arial" w:hAnsi="Arial" w:cs="Arial"/>
          <w:sz w:val="21"/>
          <w:szCs w:val="21"/>
        </w:rPr>
      </w:pPr>
      <w:r w:rsidRPr="00603442">
        <w:rPr>
          <w:rFonts w:ascii="Arial" w:hAnsi="Arial" w:cs="Arial"/>
          <w:sz w:val="21"/>
          <w:szCs w:val="21"/>
        </w:rPr>
        <w:t>This Scheme does not apply to-</w:t>
      </w:r>
    </w:p>
    <w:p w14:paraId="5B9396FD" w14:textId="77777777" w:rsidR="00507559" w:rsidRPr="00603442" w:rsidRDefault="00507559" w:rsidP="00507559">
      <w:pPr>
        <w:ind w:left="567"/>
        <w:jc w:val="both"/>
        <w:rPr>
          <w:rFonts w:ascii="Arial" w:hAnsi="Arial" w:cs="Arial"/>
          <w:sz w:val="21"/>
          <w:szCs w:val="21"/>
        </w:rPr>
      </w:pPr>
    </w:p>
    <w:p w14:paraId="48145F92" w14:textId="77777777" w:rsidR="00507559" w:rsidRPr="00603442" w:rsidRDefault="00507559" w:rsidP="00507559">
      <w:pPr>
        <w:numPr>
          <w:ilvl w:val="0"/>
          <w:numId w:val="19"/>
        </w:numPr>
        <w:ind w:left="1134" w:hanging="283"/>
        <w:jc w:val="both"/>
        <w:rPr>
          <w:rFonts w:ascii="Arial" w:hAnsi="Arial" w:cs="Arial"/>
          <w:sz w:val="21"/>
          <w:szCs w:val="21"/>
        </w:rPr>
      </w:pPr>
      <w:r w:rsidRPr="00603442">
        <w:rPr>
          <w:rFonts w:ascii="Arial" w:hAnsi="Arial" w:cs="Arial"/>
          <w:sz w:val="21"/>
          <w:szCs w:val="21"/>
        </w:rPr>
        <w:t xml:space="preserve">Members to whom an exemption is granted by the Association’s Bar Council under cl. 2.2; </w:t>
      </w:r>
    </w:p>
    <w:p w14:paraId="50A340F3" w14:textId="77777777" w:rsidR="00507559" w:rsidRPr="00603442" w:rsidRDefault="00507559" w:rsidP="00507559">
      <w:pPr>
        <w:ind w:left="720"/>
        <w:jc w:val="both"/>
        <w:rPr>
          <w:rFonts w:ascii="Arial" w:hAnsi="Arial" w:cs="Arial"/>
          <w:sz w:val="21"/>
          <w:szCs w:val="21"/>
        </w:rPr>
      </w:pPr>
    </w:p>
    <w:p w14:paraId="21FF8D1C" w14:textId="77777777" w:rsidR="00507559" w:rsidRPr="00603442" w:rsidRDefault="00507559" w:rsidP="00507559">
      <w:pPr>
        <w:numPr>
          <w:ilvl w:val="0"/>
          <w:numId w:val="19"/>
        </w:numPr>
        <w:ind w:left="1134" w:hanging="283"/>
        <w:jc w:val="both"/>
        <w:rPr>
          <w:rFonts w:ascii="Arial" w:hAnsi="Arial" w:cs="Arial"/>
          <w:sz w:val="21"/>
          <w:szCs w:val="21"/>
        </w:rPr>
      </w:pPr>
      <w:r w:rsidRPr="00603442">
        <w:rPr>
          <w:rFonts w:ascii="Arial" w:hAnsi="Arial" w:cs="Arial"/>
          <w:sz w:val="21"/>
          <w:szCs w:val="21"/>
        </w:rPr>
        <w:t>Interstate Members; and</w:t>
      </w:r>
    </w:p>
    <w:p w14:paraId="63D5350D" w14:textId="77777777" w:rsidR="00507559" w:rsidRPr="00603442" w:rsidRDefault="00507559" w:rsidP="00507559">
      <w:pPr>
        <w:ind w:left="720"/>
        <w:jc w:val="both"/>
        <w:rPr>
          <w:rFonts w:ascii="Arial" w:hAnsi="Arial" w:cs="Arial"/>
          <w:sz w:val="21"/>
          <w:szCs w:val="21"/>
        </w:rPr>
      </w:pPr>
    </w:p>
    <w:p w14:paraId="05611150" w14:textId="77777777" w:rsidR="00507559" w:rsidRPr="00603442" w:rsidRDefault="00507559" w:rsidP="00507559">
      <w:pPr>
        <w:numPr>
          <w:ilvl w:val="0"/>
          <w:numId w:val="19"/>
        </w:numPr>
        <w:ind w:left="1134" w:hanging="283"/>
        <w:jc w:val="both"/>
        <w:rPr>
          <w:rFonts w:ascii="Arial" w:hAnsi="Arial" w:cs="Arial"/>
          <w:sz w:val="21"/>
          <w:szCs w:val="21"/>
        </w:rPr>
      </w:pPr>
      <w:r w:rsidRPr="00603442">
        <w:rPr>
          <w:rFonts w:ascii="Arial" w:hAnsi="Arial" w:cs="Arial"/>
          <w:sz w:val="21"/>
          <w:szCs w:val="21"/>
        </w:rPr>
        <w:t>Honorary, Judicial, Magistrate or Ex Officio Members.</w:t>
      </w:r>
    </w:p>
    <w:p w14:paraId="77E1D884" w14:textId="77777777" w:rsidR="00507559" w:rsidRPr="00603442" w:rsidRDefault="00507559" w:rsidP="00507559">
      <w:pPr>
        <w:pStyle w:val="ListParagraph"/>
        <w:jc w:val="both"/>
        <w:rPr>
          <w:rFonts w:ascii="Arial" w:hAnsi="Arial" w:cs="Arial"/>
          <w:sz w:val="21"/>
          <w:szCs w:val="21"/>
          <w:lang w:eastAsia="en-US"/>
        </w:rPr>
      </w:pPr>
    </w:p>
    <w:p w14:paraId="2E3C3179" w14:textId="77777777" w:rsidR="00507559" w:rsidRPr="00603442" w:rsidRDefault="00507559" w:rsidP="00507559">
      <w:pPr>
        <w:pStyle w:val="CM9"/>
        <w:ind w:left="567" w:hanging="567"/>
        <w:jc w:val="both"/>
        <w:rPr>
          <w:sz w:val="21"/>
          <w:szCs w:val="21"/>
        </w:rPr>
      </w:pPr>
      <w:r w:rsidRPr="00603442">
        <w:rPr>
          <w:sz w:val="21"/>
          <w:szCs w:val="21"/>
        </w:rPr>
        <w:t>2.2</w:t>
      </w:r>
      <w:r w:rsidRPr="00603442">
        <w:rPr>
          <w:sz w:val="21"/>
          <w:szCs w:val="21"/>
        </w:rPr>
        <w:tab/>
        <w:t>The Association may, upon application by a Member, exempt a Member from participation in the Scheme with effect from a date specified by the Association on or after the date on which the exemption is granted.</w:t>
      </w:r>
    </w:p>
    <w:p w14:paraId="5642A9A0" w14:textId="77777777" w:rsidR="00507559" w:rsidRPr="00603442" w:rsidRDefault="00507559" w:rsidP="00507559">
      <w:pPr>
        <w:pStyle w:val="CM9"/>
        <w:jc w:val="both"/>
        <w:rPr>
          <w:sz w:val="21"/>
          <w:szCs w:val="21"/>
        </w:rPr>
      </w:pPr>
    </w:p>
    <w:p w14:paraId="56724194" w14:textId="77777777" w:rsidR="00507559" w:rsidRPr="00603442" w:rsidRDefault="00507559" w:rsidP="00507559">
      <w:pPr>
        <w:pStyle w:val="CM9"/>
        <w:ind w:left="567" w:hanging="567"/>
        <w:jc w:val="both"/>
        <w:rPr>
          <w:sz w:val="21"/>
          <w:szCs w:val="21"/>
        </w:rPr>
      </w:pPr>
      <w:r w:rsidRPr="00603442">
        <w:rPr>
          <w:sz w:val="21"/>
          <w:szCs w:val="21"/>
        </w:rPr>
        <w:t>2.3</w:t>
      </w:r>
      <w:r w:rsidRPr="00603442">
        <w:rPr>
          <w:sz w:val="21"/>
          <w:szCs w:val="21"/>
        </w:rPr>
        <w:tab/>
        <w:t xml:space="preserve">The Association may, upon application by a Member, revoke an exemption of that person from participation in the Scheme with effect from a date specified by it. </w:t>
      </w:r>
    </w:p>
    <w:p w14:paraId="784ABE87" w14:textId="77777777" w:rsidR="00507559" w:rsidRPr="00603442" w:rsidRDefault="00507559" w:rsidP="00507559">
      <w:pPr>
        <w:pStyle w:val="CM9"/>
        <w:ind w:left="567" w:hanging="567"/>
        <w:jc w:val="both"/>
        <w:rPr>
          <w:sz w:val="21"/>
          <w:szCs w:val="21"/>
        </w:rPr>
      </w:pPr>
    </w:p>
    <w:p w14:paraId="667C333B" w14:textId="77777777" w:rsidR="00507559" w:rsidRPr="00603442" w:rsidRDefault="00507559" w:rsidP="00507559">
      <w:pPr>
        <w:pStyle w:val="CM9"/>
        <w:ind w:left="567" w:hanging="567"/>
        <w:jc w:val="both"/>
        <w:rPr>
          <w:sz w:val="21"/>
          <w:szCs w:val="21"/>
        </w:rPr>
      </w:pPr>
      <w:r w:rsidRPr="00603442">
        <w:rPr>
          <w:sz w:val="21"/>
          <w:szCs w:val="21"/>
        </w:rPr>
        <w:t>2.4</w:t>
      </w:r>
      <w:r w:rsidRPr="00603442">
        <w:rPr>
          <w:sz w:val="21"/>
          <w:szCs w:val="21"/>
        </w:rPr>
        <w:tab/>
        <w:t xml:space="preserve">This Scheme also applies to all persons to whom the Scheme applied under clause 2.1 at the time of any act or omission, giving rise to occupational liability. </w:t>
      </w:r>
    </w:p>
    <w:p w14:paraId="45C657BE" w14:textId="77777777" w:rsidR="00507559" w:rsidRPr="00603442" w:rsidRDefault="00507559" w:rsidP="00507559">
      <w:pPr>
        <w:spacing w:line="256" w:lineRule="auto"/>
        <w:jc w:val="both"/>
        <w:rPr>
          <w:rFonts w:ascii="Arial" w:hAnsi="Arial" w:cs="Arial"/>
          <w:sz w:val="21"/>
          <w:szCs w:val="21"/>
        </w:rPr>
      </w:pPr>
    </w:p>
    <w:p w14:paraId="6520F0C8" w14:textId="77777777" w:rsidR="00507559" w:rsidRPr="00603442" w:rsidRDefault="00507559" w:rsidP="00507559">
      <w:pPr>
        <w:pStyle w:val="CM9"/>
        <w:numPr>
          <w:ilvl w:val="0"/>
          <w:numId w:val="17"/>
        </w:numPr>
        <w:ind w:left="567" w:hanging="567"/>
        <w:jc w:val="both"/>
        <w:rPr>
          <w:sz w:val="21"/>
          <w:szCs w:val="21"/>
        </w:rPr>
      </w:pPr>
      <w:r w:rsidRPr="00603442">
        <w:rPr>
          <w:sz w:val="21"/>
          <w:szCs w:val="21"/>
        </w:rPr>
        <w:t xml:space="preserve">Limitation of liability </w:t>
      </w:r>
    </w:p>
    <w:p w14:paraId="3BC223EA" w14:textId="77777777" w:rsidR="00507559" w:rsidRPr="00603442" w:rsidRDefault="00507559" w:rsidP="00507559">
      <w:pPr>
        <w:pStyle w:val="CM9"/>
        <w:jc w:val="both"/>
        <w:rPr>
          <w:sz w:val="21"/>
          <w:szCs w:val="21"/>
        </w:rPr>
      </w:pPr>
    </w:p>
    <w:p w14:paraId="21E89A22" w14:textId="77777777" w:rsidR="00507559" w:rsidRPr="00603442" w:rsidRDefault="00507559" w:rsidP="00507559">
      <w:pPr>
        <w:pStyle w:val="CM9"/>
        <w:ind w:left="567" w:hanging="567"/>
        <w:jc w:val="both"/>
        <w:rPr>
          <w:sz w:val="21"/>
          <w:szCs w:val="21"/>
        </w:rPr>
      </w:pPr>
      <w:r w:rsidRPr="00603442">
        <w:rPr>
          <w:sz w:val="21"/>
          <w:szCs w:val="21"/>
        </w:rPr>
        <w:t>3.1</w:t>
      </w:r>
      <w:r w:rsidRPr="00603442">
        <w:rPr>
          <w:sz w:val="21"/>
          <w:szCs w:val="21"/>
        </w:rPr>
        <w:tab/>
        <w:t>This Scheme only affects the liability for damages arising from a single cause of action to the extent to which the liability results in damages exceeding $500,000.</w:t>
      </w:r>
    </w:p>
    <w:p w14:paraId="736DC0D2" w14:textId="77777777" w:rsidR="00507559" w:rsidRPr="00603442" w:rsidRDefault="00507559" w:rsidP="00507559">
      <w:pPr>
        <w:pStyle w:val="CM9"/>
        <w:ind w:left="1440" w:hanging="731"/>
        <w:jc w:val="both"/>
        <w:rPr>
          <w:sz w:val="21"/>
          <w:szCs w:val="21"/>
        </w:rPr>
      </w:pPr>
    </w:p>
    <w:p w14:paraId="548B3A83" w14:textId="77777777" w:rsidR="00507559" w:rsidRPr="00603442" w:rsidRDefault="00507559" w:rsidP="00507559">
      <w:pPr>
        <w:pStyle w:val="CM9"/>
        <w:ind w:left="567" w:hanging="567"/>
        <w:jc w:val="both"/>
        <w:rPr>
          <w:sz w:val="21"/>
          <w:szCs w:val="21"/>
        </w:rPr>
      </w:pPr>
      <w:r w:rsidRPr="00603442">
        <w:rPr>
          <w:sz w:val="21"/>
          <w:szCs w:val="21"/>
        </w:rPr>
        <w:t>3.2</w:t>
      </w:r>
      <w:r w:rsidRPr="00603442">
        <w:rPr>
          <w:sz w:val="21"/>
          <w:szCs w:val="21"/>
        </w:rPr>
        <w:tab/>
        <w:t xml:space="preserve">If a person, who was at the time of the act or omission giving rise to occupational liability, a person to whom the scheme applied, against whom a proceeding relating to occupational liability is brought, is able to satisfy the court that such person has the benefit of an insurance policy: </w:t>
      </w:r>
    </w:p>
    <w:p w14:paraId="7C50A81A" w14:textId="77777777" w:rsidR="00507559" w:rsidRPr="00603442" w:rsidRDefault="00507559" w:rsidP="00507559">
      <w:pPr>
        <w:pStyle w:val="CM9"/>
        <w:ind w:left="567" w:hanging="567"/>
        <w:jc w:val="both"/>
        <w:rPr>
          <w:sz w:val="21"/>
          <w:szCs w:val="21"/>
        </w:rPr>
      </w:pPr>
    </w:p>
    <w:p w14:paraId="3D4DD898" w14:textId="77777777" w:rsidR="00507559" w:rsidRPr="00603442" w:rsidRDefault="00507559" w:rsidP="00507559">
      <w:pPr>
        <w:pStyle w:val="CM9"/>
        <w:numPr>
          <w:ilvl w:val="0"/>
          <w:numId w:val="20"/>
        </w:numPr>
        <w:ind w:left="1134" w:hanging="567"/>
        <w:jc w:val="both"/>
        <w:rPr>
          <w:sz w:val="21"/>
          <w:szCs w:val="21"/>
        </w:rPr>
      </w:pPr>
      <w:r w:rsidRPr="00603442">
        <w:rPr>
          <w:sz w:val="21"/>
          <w:szCs w:val="21"/>
        </w:rPr>
        <w:t>of a kind which complies with the standards determined by the Association,</w:t>
      </w:r>
    </w:p>
    <w:p w14:paraId="6E7B0F77" w14:textId="77777777" w:rsidR="00507559" w:rsidRPr="00603442" w:rsidRDefault="00507559" w:rsidP="00507559">
      <w:pPr>
        <w:pStyle w:val="Default"/>
        <w:ind w:left="1134" w:hanging="567"/>
        <w:jc w:val="both"/>
        <w:rPr>
          <w:sz w:val="21"/>
          <w:szCs w:val="21"/>
        </w:rPr>
      </w:pPr>
    </w:p>
    <w:p w14:paraId="020D36AE" w14:textId="77777777" w:rsidR="00507559" w:rsidRPr="00603442" w:rsidRDefault="00507559" w:rsidP="00507559">
      <w:pPr>
        <w:pStyle w:val="CM9"/>
        <w:numPr>
          <w:ilvl w:val="0"/>
          <w:numId w:val="20"/>
        </w:numPr>
        <w:ind w:left="1134" w:hanging="567"/>
        <w:jc w:val="both"/>
        <w:rPr>
          <w:sz w:val="21"/>
          <w:szCs w:val="21"/>
        </w:rPr>
      </w:pPr>
      <w:r w:rsidRPr="00603442">
        <w:rPr>
          <w:sz w:val="21"/>
          <w:szCs w:val="21"/>
        </w:rPr>
        <w:t xml:space="preserve">insuring such person against that occupational liability, and </w:t>
      </w:r>
    </w:p>
    <w:p w14:paraId="4FF75ACC" w14:textId="77777777" w:rsidR="00507559" w:rsidRPr="00603442" w:rsidRDefault="00507559" w:rsidP="00507559">
      <w:pPr>
        <w:pStyle w:val="ListParagraph"/>
        <w:ind w:left="1134" w:hanging="567"/>
        <w:jc w:val="both"/>
        <w:rPr>
          <w:rFonts w:ascii="Arial" w:hAnsi="Arial" w:cs="Arial"/>
          <w:sz w:val="21"/>
          <w:szCs w:val="21"/>
        </w:rPr>
      </w:pPr>
    </w:p>
    <w:p w14:paraId="5F6316AE" w14:textId="77777777" w:rsidR="00507559" w:rsidRPr="00603442" w:rsidRDefault="00507559" w:rsidP="00507559">
      <w:pPr>
        <w:pStyle w:val="CM9"/>
        <w:numPr>
          <w:ilvl w:val="0"/>
          <w:numId w:val="20"/>
        </w:numPr>
        <w:ind w:left="1134" w:hanging="567"/>
        <w:jc w:val="both"/>
        <w:rPr>
          <w:sz w:val="21"/>
          <w:szCs w:val="21"/>
        </w:rPr>
      </w:pPr>
      <w:r w:rsidRPr="00603442">
        <w:rPr>
          <w:sz w:val="21"/>
          <w:szCs w:val="21"/>
        </w:rPr>
        <w:t xml:space="preserve">under which the amount payable in respect of that occupational liability is not less than the monetary ceiling specified in this scheme, </w:t>
      </w:r>
    </w:p>
    <w:p w14:paraId="776A087E" w14:textId="77777777" w:rsidR="00507559" w:rsidRPr="00603442" w:rsidRDefault="00507559" w:rsidP="00507559">
      <w:pPr>
        <w:pStyle w:val="CM9"/>
        <w:jc w:val="both"/>
        <w:rPr>
          <w:sz w:val="21"/>
          <w:szCs w:val="21"/>
        </w:rPr>
      </w:pPr>
    </w:p>
    <w:p w14:paraId="39D4D092" w14:textId="77777777" w:rsidR="00507559" w:rsidRPr="00603442" w:rsidRDefault="00507559" w:rsidP="00507559">
      <w:pPr>
        <w:pStyle w:val="CM9"/>
        <w:ind w:left="567"/>
        <w:jc w:val="both"/>
        <w:rPr>
          <w:sz w:val="21"/>
          <w:szCs w:val="21"/>
        </w:rPr>
      </w:pPr>
      <w:r w:rsidRPr="00603442">
        <w:rPr>
          <w:sz w:val="21"/>
          <w:szCs w:val="21"/>
        </w:rPr>
        <w:t>that person is not liable in damages in relation to that cause of action above the monetary ceiling specified in this scheme.</w:t>
      </w:r>
    </w:p>
    <w:p w14:paraId="34524230" w14:textId="77777777" w:rsidR="00507559" w:rsidRPr="00603442" w:rsidRDefault="00507559" w:rsidP="00507559">
      <w:pPr>
        <w:pStyle w:val="CM9"/>
        <w:jc w:val="both"/>
        <w:rPr>
          <w:sz w:val="21"/>
          <w:szCs w:val="21"/>
        </w:rPr>
      </w:pPr>
    </w:p>
    <w:p w14:paraId="52C1FA69" w14:textId="77777777" w:rsidR="00507559" w:rsidRPr="00603442" w:rsidRDefault="00507559" w:rsidP="00507559">
      <w:pPr>
        <w:pStyle w:val="CM9"/>
        <w:ind w:left="567" w:hanging="567"/>
        <w:jc w:val="both"/>
        <w:rPr>
          <w:sz w:val="21"/>
          <w:szCs w:val="21"/>
        </w:rPr>
      </w:pPr>
      <w:r w:rsidRPr="00603442">
        <w:rPr>
          <w:sz w:val="21"/>
          <w:szCs w:val="21"/>
        </w:rPr>
        <w:t>3.3</w:t>
      </w:r>
      <w:r w:rsidRPr="00603442">
        <w:rPr>
          <w:sz w:val="21"/>
          <w:szCs w:val="21"/>
        </w:rPr>
        <w:tab/>
        <w:t>The monetary ceiling is $ 2 million.</w:t>
      </w:r>
    </w:p>
    <w:p w14:paraId="76B07937" w14:textId="77777777" w:rsidR="00507559" w:rsidRPr="00603442" w:rsidRDefault="00507559" w:rsidP="00507559">
      <w:pPr>
        <w:pStyle w:val="CM9"/>
        <w:ind w:left="567" w:hanging="567"/>
        <w:jc w:val="both"/>
        <w:rPr>
          <w:sz w:val="21"/>
          <w:szCs w:val="21"/>
        </w:rPr>
      </w:pPr>
    </w:p>
    <w:p w14:paraId="6B272279" w14:textId="77777777" w:rsidR="00507559" w:rsidRPr="00603442" w:rsidRDefault="00507559" w:rsidP="00507559">
      <w:pPr>
        <w:pStyle w:val="CM9"/>
        <w:ind w:left="567" w:hanging="567"/>
        <w:jc w:val="both"/>
        <w:rPr>
          <w:sz w:val="21"/>
          <w:szCs w:val="21"/>
        </w:rPr>
      </w:pPr>
      <w:r w:rsidRPr="00603442">
        <w:rPr>
          <w:sz w:val="21"/>
          <w:szCs w:val="21"/>
        </w:rPr>
        <w:t>3.4</w:t>
      </w:r>
      <w:r w:rsidRPr="00603442">
        <w:rPr>
          <w:sz w:val="21"/>
          <w:szCs w:val="21"/>
        </w:rPr>
        <w:tab/>
        <w:t xml:space="preserve">This Scheme limits the occupational liability in respect of a cause of action founded on an act or omission occurring during the period when the Scheme was in force of any person to whom the Scheme applied at the time the act or omission occurred. </w:t>
      </w:r>
    </w:p>
    <w:p w14:paraId="57626096" w14:textId="77777777" w:rsidR="00507559" w:rsidRPr="00603442" w:rsidRDefault="00507559" w:rsidP="00507559">
      <w:pPr>
        <w:pStyle w:val="CM9"/>
        <w:ind w:left="567" w:hanging="567"/>
        <w:jc w:val="both"/>
        <w:rPr>
          <w:sz w:val="21"/>
          <w:szCs w:val="21"/>
        </w:rPr>
      </w:pPr>
    </w:p>
    <w:p w14:paraId="7420323B" w14:textId="77777777" w:rsidR="00507559" w:rsidRPr="00603442" w:rsidRDefault="00507559" w:rsidP="00507559">
      <w:pPr>
        <w:pStyle w:val="CM9"/>
        <w:ind w:left="567" w:hanging="567"/>
        <w:jc w:val="both"/>
        <w:rPr>
          <w:sz w:val="21"/>
          <w:szCs w:val="21"/>
        </w:rPr>
      </w:pPr>
      <w:r w:rsidRPr="00603442">
        <w:rPr>
          <w:sz w:val="21"/>
          <w:szCs w:val="21"/>
        </w:rPr>
        <w:t>3.5</w:t>
      </w:r>
      <w:r w:rsidRPr="00603442">
        <w:rPr>
          <w:sz w:val="21"/>
          <w:szCs w:val="21"/>
        </w:rPr>
        <w:tab/>
        <w:t xml:space="preserve">Notwithstanding anything to the contrary contained in this Scheme, if in particular circumstances giving rise to occupational liability, the liability of any person who is subject to this Scheme should be capped by both this Scheme and also by any other scheme under the Professional Standards legislation (whether of this jurisdiction or under the law of any other Australian State or Territory) and if the amount of such caps should differ, then the cap on the liability of such a person arising from such </w:t>
      </w:r>
      <w:r w:rsidRPr="00603442">
        <w:rPr>
          <w:sz w:val="21"/>
          <w:szCs w:val="21"/>
        </w:rPr>
        <w:lastRenderedPageBreak/>
        <w:t>circumstances which is higher shall be the applicable cap.</w:t>
      </w:r>
    </w:p>
    <w:p w14:paraId="1233F62D" w14:textId="77777777" w:rsidR="00507559" w:rsidRPr="00603442" w:rsidRDefault="00507559" w:rsidP="00507559">
      <w:pPr>
        <w:pStyle w:val="Default"/>
        <w:jc w:val="both"/>
        <w:rPr>
          <w:sz w:val="21"/>
          <w:szCs w:val="21"/>
        </w:rPr>
      </w:pPr>
    </w:p>
    <w:p w14:paraId="6E77CFD2" w14:textId="77777777" w:rsidR="00507559" w:rsidRPr="00603442" w:rsidRDefault="00507559" w:rsidP="00507559">
      <w:pPr>
        <w:pStyle w:val="Default"/>
        <w:numPr>
          <w:ilvl w:val="0"/>
          <w:numId w:val="17"/>
        </w:numPr>
        <w:ind w:left="567" w:hanging="567"/>
        <w:jc w:val="both"/>
        <w:rPr>
          <w:sz w:val="21"/>
          <w:szCs w:val="21"/>
        </w:rPr>
      </w:pPr>
      <w:r w:rsidRPr="00603442">
        <w:rPr>
          <w:sz w:val="21"/>
          <w:szCs w:val="21"/>
        </w:rPr>
        <w:t>Commencement</w:t>
      </w:r>
    </w:p>
    <w:p w14:paraId="056CA354" w14:textId="77777777" w:rsidR="00507559" w:rsidRPr="00603442" w:rsidRDefault="00507559" w:rsidP="00507559">
      <w:pPr>
        <w:pStyle w:val="Default"/>
        <w:jc w:val="both"/>
        <w:rPr>
          <w:sz w:val="21"/>
          <w:szCs w:val="21"/>
        </w:rPr>
      </w:pPr>
    </w:p>
    <w:p w14:paraId="33C280B1" w14:textId="77777777" w:rsidR="00507559" w:rsidRPr="00603442" w:rsidRDefault="00507559" w:rsidP="00507559">
      <w:pPr>
        <w:pStyle w:val="CM9"/>
        <w:ind w:left="-1"/>
        <w:jc w:val="both"/>
        <w:rPr>
          <w:sz w:val="21"/>
          <w:szCs w:val="21"/>
        </w:rPr>
      </w:pPr>
      <w:r w:rsidRPr="00603442">
        <w:rPr>
          <w:sz w:val="21"/>
          <w:szCs w:val="21"/>
        </w:rPr>
        <w:t>This Scheme is intended to commence on the following day:</w:t>
      </w:r>
    </w:p>
    <w:p w14:paraId="47CFE276" w14:textId="77777777" w:rsidR="00507559" w:rsidRPr="00603442" w:rsidRDefault="00507559" w:rsidP="00507559">
      <w:pPr>
        <w:pStyle w:val="Default"/>
        <w:jc w:val="both"/>
        <w:rPr>
          <w:sz w:val="21"/>
          <w:szCs w:val="21"/>
        </w:rPr>
      </w:pPr>
    </w:p>
    <w:p w14:paraId="0D2FB2BF" w14:textId="77777777" w:rsidR="00507559" w:rsidRPr="00603442" w:rsidRDefault="00507559" w:rsidP="00507559">
      <w:pPr>
        <w:pStyle w:val="CM9"/>
        <w:numPr>
          <w:ilvl w:val="0"/>
          <w:numId w:val="21"/>
        </w:numPr>
        <w:ind w:left="1134" w:hanging="567"/>
        <w:jc w:val="both"/>
        <w:rPr>
          <w:sz w:val="21"/>
          <w:szCs w:val="21"/>
        </w:rPr>
      </w:pPr>
      <w:r w:rsidRPr="00603442">
        <w:rPr>
          <w:sz w:val="21"/>
          <w:szCs w:val="21"/>
        </w:rPr>
        <w:t>In Western Australia, New South Wales, the Northern Territory, Queensland, Tasmania and Victoria on 1 July 2020; and</w:t>
      </w:r>
    </w:p>
    <w:p w14:paraId="79E8EFBF" w14:textId="77777777" w:rsidR="00507559" w:rsidRPr="00603442" w:rsidRDefault="00507559" w:rsidP="00507559">
      <w:pPr>
        <w:pStyle w:val="Default"/>
        <w:ind w:left="1134" w:hanging="567"/>
        <w:jc w:val="both"/>
        <w:rPr>
          <w:sz w:val="21"/>
          <w:szCs w:val="21"/>
        </w:rPr>
      </w:pPr>
    </w:p>
    <w:p w14:paraId="78427296" w14:textId="77777777" w:rsidR="00507559" w:rsidRPr="00603442" w:rsidRDefault="00507559" w:rsidP="00507559">
      <w:pPr>
        <w:pStyle w:val="CM9"/>
        <w:numPr>
          <w:ilvl w:val="0"/>
          <w:numId w:val="21"/>
        </w:numPr>
        <w:ind w:left="1134" w:hanging="567"/>
        <w:jc w:val="both"/>
        <w:rPr>
          <w:sz w:val="21"/>
          <w:szCs w:val="21"/>
        </w:rPr>
      </w:pPr>
      <w:r w:rsidRPr="00603442">
        <w:rPr>
          <w:sz w:val="21"/>
          <w:szCs w:val="21"/>
        </w:rPr>
        <w:t>In the Australian Capital Territory and in South Australia:</w:t>
      </w:r>
    </w:p>
    <w:p w14:paraId="2832DC9B" w14:textId="77777777" w:rsidR="00507559" w:rsidRPr="00603442" w:rsidRDefault="00507559" w:rsidP="00507559">
      <w:pPr>
        <w:pStyle w:val="Default"/>
        <w:jc w:val="both"/>
        <w:rPr>
          <w:sz w:val="21"/>
          <w:szCs w:val="21"/>
        </w:rPr>
      </w:pPr>
    </w:p>
    <w:p w14:paraId="4245E061" w14:textId="77777777" w:rsidR="00507559" w:rsidRPr="00603442" w:rsidRDefault="00507559" w:rsidP="00507559">
      <w:pPr>
        <w:pStyle w:val="Default"/>
        <w:numPr>
          <w:ilvl w:val="0"/>
          <w:numId w:val="22"/>
        </w:numPr>
        <w:ind w:left="1701" w:hanging="567"/>
        <w:jc w:val="both"/>
        <w:rPr>
          <w:sz w:val="21"/>
          <w:szCs w:val="21"/>
        </w:rPr>
      </w:pPr>
      <w:r w:rsidRPr="00603442">
        <w:rPr>
          <w:sz w:val="21"/>
          <w:szCs w:val="21"/>
        </w:rPr>
        <w:t>On the date provided for in the Minister’s notice in relation to the amendments, if a date is provided; or</w:t>
      </w:r>
    </w:p>
    <w:p w14:paraId="0DBDBA50" w14:textId="77777777" w:rsidR="00507559" w:rsidRPr="00603442" w:rsidRDefault="00507559" w:rsidP="00507559">
      <w:pPr>
        <w:pStyle w:val="Default"/>
        <w:ind w:left="1701" w:hanging="567"/>
        <w:jc w:val="both"/>
        <w:rPr>
          <w:sz w:val="21"/>
          <w:szCs w:val="21"/>
        </w:rPr>
      </w:pPr>
    </w:p>
    <w:p w14:paraId="42A15712" w14:textId="77777777" w:rsidR="00507559" w:rsidRPr="00603442" w:rsidRDefault="00507559" w:rsidP="00507559">
      <w:pPr>
        <w:pStyle w:val="Default"/>
        <w:numPr>
          <w:ilvl w:val="0"/>
          <w:numId w:val="22"/>
        </w:numPr>
        <w:ind w:left="1701" w:hanging="567"/>
        <w:jc w:val="both"/>
        <w:rPr>
          <w:sz w:val="21"/>
          <w:szCs w:val="21"/>
        </w:rPr>
      </w:pPr>
      <w:r w:rsidRPr="00603442">
        <w:rPr>
          <w:sz w:val="21"/>
          <w:szCs w:val="21"/>
        </w:rPr>
        <w:t>On the first day two months after the day on which notice was given, in any other case</w:t>
      </w:r>
    </w:p>
    <w:p w14:paraId="4296165F" w14:textId="77777777" w:rsidR="00507559" w:rsidRPr="00603442" w:rsidRDefault="00507559" w:rsidP="00507559">
      <w:pPr>
        <w:pStyle w:val="Default"/>
        <w:jc w:val="both"/>
        <w:rPr>
          <w:sz w:val="21"/>
          <w:szCs w:val="21"/>
        </w:rPr>
      </w:pPr>
    </w:p>
    <w:p w14:paraId="12E50345" w14:textId="77777777" w:rsidR="00507559" w:rsidRPr="00603442" w:rsidRDefault="00507559" w:rsidP="00507559">
      <w:pPr>
        <w:pStyle w:val="CM9"/>
        <w:numPr>
          <w:ilvl w:val="0"/>
          <w:numId w:val="17"/>
        </w:numPr>
        <w:ind w:left="567" w:hanging="567"/>
        <w:jc w:val="both"/>
        <w:rPr>
          <w:sz w:val="21"/>
          <w:szCs w:val="21"/>
        </w:rPr>
      </w:pPr>
      <w:r w:rsidRPr="00603442">
        <w:rPr>
          <w:sz w:val="21"/>
          <w:szCs w:val="21"/>
        </w:rPr>
        <w:t xml:space="preserve">Duration </w:t>
      </w:r>
    </w:p>
    <w:p w14:paraId="76BB2FDA" w14:textId="77777777" w:rsidR="00507559" w:rsidRPr="00603442" w:rsidRDefault="00507559" w:rsidP="00507559">
      <w:pPr>
        <w:pStyle w:val="CM9"/>
        <w:ind w:left="567"/>
        <w:jc w:val="both"/>
        <w:rPr>
          <w:sz w:val="21"/>
          <w:szCs w:val="21"/>
        </w:rPr>
      </w:pPr>
    </w:p>
    <w:p w14:paraId="0627AA78" w14:textId="77777777" w:rsidR="00507559" w:rsidRPr="00603442" w:rsidRDefault="00507559" w:rsidP="00507559">
      <w:pPr>
        <w:pStyle w:val="CM9"/>
        <w:ind w:left="567" w:hanging="567"/>
        <w:jc w:val="both"/>
        <w:rPr>
          <w:sz w:val="21"/>
          <w:szCs w:val="21"/>
        </w:rPr>
      </w:pPr>
      <w:r w:rsidRPr="00603442">
        <w:rPr>
          <w:sz w:val="21"/>
          <w:szCs w:val="21"/>
        </w:rPr>
        <w:t xml:space="preserve">5.1 </w:t>
      </w:r>
      <w:r w:rsidRPr="00603442">
        <w:rPr>
          <w:sz w:val="21"/>
          <w:szCs w:val="21"/>
        </w:rPr>
        <w:tab/>
        <w:t>This Scheme will be in force in Western Australia for 5 years from the date of commencement in that jurisdiction.</w:t>
      </w:r>
    </w:p>
    <w:p w14:paraId="3AC38334" w14:textId="77777777" w:rsidR="00507559" w:rsidRPr="00603442" w:rsidRDefault="00507559" w:rsidP="00507559">
      <w:pPr>
        <w:pStyle w:val="Default"/>
        <w:jc w:val="both"/>
        <w:rPr>
          <w:sz w:val="21"/>
          <w:szCs w:val="21"/>
        </w:rPr>
      </w:pPr>
    </w:p>
    <w:p w14:paraId="798D31E9" w14:textId="77777777" w:rsidR="00507559" w:rsidRPr="00603442" w:rsidRDefault="00507559" w:rsidP="00507559">
      <w:pPr>
        <w:pStyle w:val="Default"/>
        <w:ind w:left="567" w:hanging="567"/>
        <w:jc w:val="both"/>
        <w:rPr>
          <w:sz w:val="21"/>
          <w:szCs w:val="21"/>
        </w:rPr>
      </w:pPr>
      <w:r w:rsidRPr="00603442">
        <w:rPr>
          <w:sz w:val="21"/>
          <w:szCs w:val="21"/>
        </w:rPr>
        <w:t>5.2</w:t>
      </w:r>
      <w:r w:rsidRPr="00603442">
        <w:rPr>
          <w:sz w:val="21"/>
          <w:szCs w:val="21"/>
        </w:rPr>
        <w:tab/>
        <w:t>For any other jurisdiction, the Scheme will be in force for:</w:t>
      </w:r>
    </w:p>
    <w:p w14:paraId="38C0B78C" w14:textId="77777777" w:rsidR="00507559" w:rsidRPr="00603442" w:rsidRDefault="00507559" w:rsidP="00507559">
      <w:pPr>
        <w:pStyle w:val="Default"/>
        <w:ind w:left="567" w:hanging="567"/>
        <w:jc w:val="both"/>
        <w:rPr>
          <w:sz w:val="21"/>
          <w:szCs w:val="21"/>
        </w:rPr>
      </w:pPr>
    </w:p>
    <w:p w14:paraId="544E5218" w14:textId="77777777" w:rsidR="00507559" w:rsidRPr="00603442" w:rsidRDefault="00507559" w:rsidP="00507559">
      <w:pPr>
        <w:pStyle w:val="Default"/>
        <w:numPr>
          <w:ilvl w:val="0"/>
          <w:numId w:val="23"/>
        </w:numPr>
        <w:ind w:left="1134" w:hanging="570"/>
        <w:jc w:val="both"/>
        <w:rPr>
          <w:sz w:val="21"/>
          <w:szCs w:val="21"/>
        </w:rPr>
      </w:pPr>
      <w:r w:rsidRPr="00603442">
        <w:rPr>
          <w:sz w:val="21"/>
          <w:szCs w:val="21"/>
        </w:rPr>
        <w:t>5 years from the date of commencement in that jurisdiction; or</w:t>
      </w:r>
    </w:p>
    <w:p w14:paraId="5BB0538F" w14:textId="77777777" w:rsidR="00507559" w:rsidRPr="00603442" w:rsidRDefault="00507559" w:rsidP="00507559">
      <w:pPr>
        <w:pStyle w:val="Default"/>
        <w:ind w:left="1134" w:hanging="570"/>
        <w:jc w:val="both"/>
        <w:rPr>
          <w:sz w:val="21"/>
          <w:szCs w:val="21"/>
        </w:rPr>
      </w:pPr>
    </w:p>
    <w:p w14:paraId="168283EC" w14:textId="77777777" w:rsidR="00507559" w:rsidRPr="00603442" w:rsidRDefault="00507559" w:rsidP="00507559">
      <w:pPr>
        <w:pStyle w:val="Default"/>
        <w:numPr>
          <w:ilvl w:val="0"/>
          <w:numId w:val="23"/>
        </w:numPr>
        <w:ind w:left="1134" w:hanging="570"/>
        <w:jc w:val="both"/>
        <w:rPr>
          <w:sz w:val="21"/>
          <w:szCs w:val="21"/>
        </w:rPr>
      </w:pPr>
      <w:r w:rsidRPr="00603442">
        <w:rPr>
          <w:sz w:val="21"/>
          <w:szCs w:val="21"/>
        </w:rPr>
        <w:t>5 years from the date of commencement in Western Australia;</w:t>
      </w:r>
    </w:p>
    <w:p w14:paraId="280BA896" w14:textId="77777777" w:rsidR="00507559" w:rsidRPr="00603442" w:rsidRDefault="00507559" w:rsidP="00507559">
      <w:pPr>
        <w:pStyle w:val="Default"/>
        <w:ind w:left="1276" w:hanging="712"/>
        <w:jc w:val="both"/>
        <w:rPr>
          <w:sz w:val="21"/>
          <w:szCs w:val="21"/>
        </w:rPr>
      </w:pPr>
    </w:p>
    <w:p w14:paraId="624F50A4" w14:textId="77777777" w:rsidR="00507559" w:rsidRPr="00603442" w:rsidRDefault="00507559" w:rsidP="00507559">
      <w:pPr>
        <w:pStyle w:val="Default"/>
        <w:ind w:left="567" w:hanging="567"/>
        <w:jc w:val="both"/>
        <w:rPr>
          <w:sz w:val="21"/>
          <w:szCs w:val="21"/>
        </w:rPr>
      </w:pPr>
      <w:r w:rsidRPr="00603442">
        <w:rPr>
          <w:sz w:val="21"/>
          <w:szCs w:val="21"/>
        </w:rPr>
        <w:tab/>
        <w:t>whichever period ends first.</w:t>
      </w:r>
    </w:p>
    <w:p w14:paraId="17D58EBA" w14:textId="77777777" w:rsidR="00507559" w:rsidRPr="00603442" w:rsidRDefault="00507559" w:rsidP="00507559">
      <w:pPr>
        <w:pStyle w:val="Default"/>
        <w:ind w:left="567" w:hanging="567"/>
        <w:jc w:val="both"/>
        <w:rPr>
          <w:sz w:val="21"/>
          <w:szCs w:val="21"/>
        </w:rPr>
      </w:pPr>
    </w:p>
    <w:p w14:paraId="76D145AA" w14:textId="77777777" w:rsidR="00507559" w:rsidRPr="00603442" w:rsidRDefault="00507559" w:rsidP="00507559">
      <w:pPr>
        <w:pStyle w:val="Default"/>
        <w:ind w:left="567" w:hanging="567"/>
        <w:jc w:val="both"/>
        <w:rPr>
          <w:sz w:val="21"/>
          <w:szCs w:val="21"/>
        </w:rPr>
      </w:pPr>
      <w:r w:rsidRPr="00603442">
        <w:rPr>
          <w:sz w:val="21"/>
          <w:szCs w:val="21"/>
        </w:rPr>
        <w:t>5.3</w:t>
      </w:r>
      <w:r w:rsidRPr="00603442">
        <w:rPr>
          <w:sz w:val="21"/>
          <w:szCs w:val="21"/>
        </w:rPr>
        <w:tab/>
        <w:t>Clauses 5.1 and 5.2 are subject to the provisions of each jurisdiction applicable to the revocation, extension or cessation of schemes.</w:t>
      </w:r>
    </w:p>
    <w:p w14:paraId="556A91A1" w14:textId="77777777" w:rsidR="00507559" w:rsidRPr="00603442" w:rsidRDefault="00507559" w:rsidP="00507559">
      <w:pPr>
        <w:jc w:val="both"/>
        <w:rPr>
          <w:rFonts w:ascii="Arial" w:hAnsi="Arial" w:cs="Arial"/>
          <w:sz w:val="21"/>
          <w:szCs w:val="21"/>
        </w:rPr>
      </w:pPr>
    </w:p>
    <w:p w14:paraId="58F28665" w14:textId="2EEF02C7" w:rsidR="00F10CB2" w:rsidRPr="00603442" w:rsidRDefault="00507559" w:rsidP="00603442">
      <w:pPr>
        <w:pStyle w:val="MCTBackground1"/>
        <w:keepNext/>
        <w:numPr>
          <w:ilvl w:val="0"/>
          <w:numId w:val="0"/>
        </w:numPr>
        <w:rPr>
          <w:rFonts w:cs="Arial"/>
          <w:szCs w:val="21"/>
        </w:rPr>
      </w:pPr>
      <w:r w:rsidRPr="00603442" w:rsidDel="00507559">
        <w:rPr>
          <w:rFonts w:eastAsia="Arial" w:cs="Arial"/>
          <w:szCs w:val="21"/>
          <w:lang w:val="en-US"/>
        </w:rPr>
        <w:t xml:space="preserve"> </w:t>
      </w:r>
    </w:p>
    <w:sectPr w:rsidR="00F10CB2" w:rsidRPr="00603442"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FEF0F" w14:textId="77777777" w:rsidR="00733D0A" w:rsidRDefault="00733D0A" w:rsidP="00F10CB2">
      <w:r>
        <w:separator/>
      </w:r>
    </w:p>
  </w:endnote>
  <w:endnote w:type="continuationSeparator" w:id="0">
    <w:p w14:paraId="65C858F8" w14:textId="77777777" w:rsidR="00733D0A" w:rsidRDefault="00733D0A"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5608"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2031" w14:textId="572746BD" w:rsidR="00704DC3" w:rsidRPr="000D59BC" w:rsidRDefault="000D59BC" w:rsidP="000D59BC">
    <w:pPr>
      <w:pStyle w:val="Footer"/>
      <w:jc w:val="center"/>
      <w:rPr>
        <w:rFonts w:cs="Arial"/>
        <w:sz w:val="14"/>
      </w:rPr>
    </w:pPr>
    <w:r w:rsidRPr="000D59B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F35A2"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50E80" w14:textId="77777777" w:rsidR="00733D0A" w:rsidRDefault="00733D0A" w:rsidP="00F10CB2">
      <w:r>
        <w:separator/>
      </w:r>
    </w:p>
  </w:footnote>
  <w:footnote w:type="continuationSeparator" w:id="0">
    <w:p w14:paraId="7A44AA83" w14:textId="77777777" w:rsidR="00733D0A" w:rsidRDefault="00733D0A"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4B53"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C04D"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9290"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2566D9"/>
    <w:multiLevelType w:val="hybridMultilevel"/>
    <w:tmpl w:val="CA62D100"/>
    <w:lvl w:ilvl="0" w:tplc="47088FB8">
      <w:start w:val="1"/>
      <w:numFmt w:val="lowerLetter"/>
      <w:lvlText w:val="(%1)"/>
      <w:lvlJc w:val="left"/>
      <w:pPr>
        <w:ind w:left="719"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17053"/>
    <w:multiLevelType w:val="hybridMultilevel"/>
    <w:tmpl w:val="CD5E2FAC"/>
    <w:lvl w:ilvl="0" w:tplc="C95AFE22">
      <w:start w:val="1"/>
      <w:numFmt w:val="lowerRoman"/>
      <w:lvlText w:val="(%1)"/>
      <w:lvlJc w:val="left"/>
      <w:pPr>
        <w:ind w:left="144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7A6000A"/>
    <w:multiLevelType w:val="hybridMultilevel"/>
    <w:tmpl w:val="D6D429A2"/>
    <w:lvl w:ilvl="0" w:tplc="77B61700">
      <w:start w:val="1"/>
      <w:numFmt w:val="lowerLetter"/>
      <w:lvlText w:val="(%1)"/>
      <w:lvlJc w:val="left"/>
      <w:pPr>
        <w:ind w:left="1431" w:hanging="58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7" w15:restartNumberingAfterBreak="0">
    <w:nsid w:val="294876E5"/>
    <w:multiLevelType w:val="multilevel"/>
    <w:tmpl w:val="FEAE268C"/>
    <w:lvl w:ilvl="0">
      <w:start w:val="1"/>
      <w:numFmt w:val="upperLetter"/>
      <w:pStyle w:val="MCTBackground1"/>
      <w:lvlText w:val="%1"/>
      <w:lvlJc w:val="left"/>
      <w:pPr>
        <w:tabs>
          <w:tab w:val="num" w:pos="851"/>
        </w:tabs>
        <w:ind w:left="851" w:hanging="851"/>
      </w:pPr>
      <w:rPr>
        <w:rFonts w:hint="default"/>
      </w:rPr>
    </w:lvl>
    <w:lvl w:ilvl="1">
      <w:start w:val="1"/>
      <w:numFmt w:val="lowerRoman"/>
      <w:pStyle w:val="MCTBackground2"/>
      <w:lvlText w:val="(%2)"/>
      <w:lvlJc w:val="left"/>
      <w:pPr>
        <w:tabs>
          <w:tab w:val="num" w:pos="1701"/>
        </w:tabs>
        <w:ind w:left="1701" w:hanging="85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043318A"/>
    <w:multiLevelType w:val="hybridMultilevel"/>
    <w:tmpl w:val="8D5A5FD6"/>
    <w:lvl w:ilvl="0" w:tplc="EA6243B2">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7D06597"/>
    <w:multiLevelType w:val="hybridMultilevel"/>
    <w:tmpl w:val="A5D8F0FC"/>
    <w:lvl w:ilvl="0" w:tplc="7FB6E37E">
      <w:start w:val="1"/>
      <w:numFmt w:val="lowerLetter"/>
      <w:lvlText w:val="(%1)"/>
      <w:lvlJc w:val="left"/>
      <w:pPr>
        <w:ind w:left="719" w:hanging="360"/>
      </w:pPr>
    </w:lvl>
    <w:lvl w:ilvl="1" w:tplc="0C090019">
      <w:start w:val="1"/>
      <w:numFmt w:val="lowerLetter"/>
      <w:lvlText w:val="%2."/>
      <w:lvlJc w:val="left"/>
      <w:pPr>
        <w:ind w:left="1439" w:hanging="360"/>
      </w:pPr>
    </w:lvl>
    <w:lvl w:ilvl="2" w:tplc="0C09001B">
      <w:start w:val="1"/>
      <w:numFmt w:val="lowerRoman"/>
      <w:lvlText w:val="%3."/>
      <w:lvlJc w:val="right"/>
      <w:pPr>
        <w:ind w:left="2159" w:hanging="180"/>
      </w:pPr>
    </w:lvl>
    <w:lvl w:ilvl="3" w:tplc="0C09000F">
      <w:start w:val="1"/>
      <w:numFmt w:val="decimal"/>
      <w:lvlText w:val="%4."/>
      <w:lvlJc w:val="left"/>
      <w:pPr>
        <w:ind w:left="2879" w:hanging="360"/>
      </w:pPr>
    </w:lvl>
    <w:lvl w:ilvl="4" w:tplc="0C090019">
      <w:start w:val="1"/>
      <w:numFmt w:val="lowerLetter"/>
      <w:lvlText w:val="%5."/>
      <w:lvlJc w:val="left"/>
      <w:pPr>
        <w:ind w:left="3599" w:hanging="360"/>
      </w:pPr>
    </w:lvl>
    <w:lvl w:ilvl="5" w:tplc="0C09001B">
      <w:start w:val="1"/>
      <w:numFmt w:val="lowerRoman"/>
      <w:lvlText w:val="%6."/>
      <w:lvlJc w:val="right"/>
      <w:pPr>
        <w:ind w:left="4319" w:hanging="180"/>
      </w:pPr>
    </w:lvl>
    <w:lvl w:ilvl="6" w:tplc="0C09000F">
      <w:start w:val="1"/>
      <w:numFmt w:val="decimal"/>
      <w:lvlText w:val="%7."/>
      <w:lvlJc w:val="left"/>
      <w:pPr>
        <w:ind w:left="5039" w:hanging="360"/>
      </w:pPr>
    </w:lvl>
    <w:lvl w:ilvl="7" w:tplc="0C090019">
      <w:start w:val="1"/>
      <w:numFmt w:val="lowerLetter"/>
      <w:lvlText w:val="%8."/>
      <w:lvlJc w:val="left"/>
      <w:pPr>
        <w:ind w:left="5759" w:hanging="360"/>
      </w:pPr>
    </w:lvl>
    <w:lvl w:ilvl="8" w:tplc="0C09001B">
      <w:start w:val="1"/>
      <w:numFmt w:val="lowerRoman"/>
      <w:lvlText w:val="%9."/>
      <w:lvlJc w:val="right"/>
      <w:pPr>
        <w:ind w:left="6479" w:hanging="180"/>
      </w:pPr>
    </w:lvl>
  </w:abstractNum>
  <w:abstractNum w:abstractNumId="14" w15:restartNumberingAfterBreak="0">
    <w:nsid w:val="433C08B0"/>
    <w:multiLevelType w:val="hybridMultilevel"/>
    <w:tmpl w:val="00E2179A"/>
    <w:lvl w:ilvl="0" w:tplc="4782C9DE">
      <w:start w:val="1"/>
      <w:numFmt w:val="upperLetter"/>
      <w:lvlText w:val="%1."/>
      <w:lvlJc w:val="left"/>
      <w:pPr>
        <w:ind w:left="359" w:hanging="360"/>
      </w:pPr>
    </w:lvl>
    <w:lvl w:ilvl="1" w:tplc="0C090019">
      <w:start w:val="1"/>
      <w:numFmt w:val="lowerLetter"/>
      <w:lvlText w:val="%2."/>
      <w:lvlJc w:val="left"/>
      <w:pPr>
        <w:ind w:left="1079" w:hanging="360"/>
      </w:pPr>
    </w:lvl>
    <w:lvl w:ilvl="2" w:tplc="0C09001B">
      <w:start w:val="1"/>
      <w:numFmt w:val="lowerRoman"/>
      <w:lvlText w:val="%3."/>
      <w:lvlJc w:val="right"/>
      <w:pPr>
        <w:ind w:left="1799" w:hanging="180"/>
      </w:pPr>
    </w:lvl>
    <w:lvl w:ilvl="3" w:tplc="0C09000F">
      <w:start w:val="1"/>
      <w:numFmt w:val="decimal"/>
      <w:lvlText w:val="%4."/>
      <w:lvlJc w:val="left"/>
      <w:pPr>
        <w:ind w:left="2519" w:hanging="360"/>
      </w:pPr>
    </w:lvl>
    <w:lvl w:ilvl="4" w:tplc="0C090019">
      <w:start w:val="1"/>
      <w:numFmt w:val="lowerLetter"/>
      <w:lvlText w:val="%5."/>
      <w:lvlJc w:val="left"/>
      <w:pPr>
        <w:ind w:left="3239" w:hanging="360"/>
      </w:pPr>
    </w:lvl>
    <w:lvl w:ilvl="5" w:tplc="0C09001B">
      <w:start w:val="1"/>
      <w:numFmt w:val="lowerRoman"/>
      <w:lvlText w:val="%6."/>
      <w:lvlJc w:val="right"/>
      <w:pPr>
        <w:ind w:left="3959" w:hanging="180"/>
      </w:pPr>
    </w:lvl>
    <w:lvl w:ilvl="6" w:tplc="0C09000F">
      <w:start w:val="1"/>
      <w:numFmt w:val="decimal"/>
      <w:lvlText w:val="%7."/>
      <w:lvlJc w:val="left"/>
      <w:pPr>
        <w:ind w:left="4679" w:hanging="360"/>
      </w:pPr>
    </w:lvl>
    <w:lvl w:ilvl="7" w:tplc="0C090019">
      <w:start w:val="1"/>
      <w:numFmt w:val="lowerLetter"/>
      <w:lvlText w:val="%8."/>
      <w:lvlJc w:val="left"/>
      <w:pPr>
        <w:ind w:left="5399" w:hanging="360"/>
      </w:pPr>
    </w:lvl>
    <w:lvl w:ilvl="8" w:tplc="0C09001B">
      <w:start w:val="1"/>
      <w:numFmt w:val="lowerRoman"/>
      <w:lvlText w:val="%9."/>
      <w:lvlJc w:val="right"/>
      <w:pPr>
        <w:ind w:left="6119" w:hanging="180"/>
      </w:pPr>
    </w:lvl>
  </w:abstractNum>
  <w:abstractNum w:abstractNumId="15" w15:restartNumberingAfterBreak="0">
    <w:nsid w:val="4D5B646B"/>
    <w:multiLevelType w:val="hybridMultilevel"/>
    <w:tmpl w:val="AB0A1ED4"/>
    <w:lvl w:ilvl="0" w:tplc="FA44CC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6F4711"/>
    <w:multiLevelType w:val="hybridMultilevel"/>
    <w:tmpl w:val="82EE8D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22F62B8"/>
    <w:multiLevelType w:val="hybridMultilevel"/>
    <w:tmpl w:val="246C9B7A"/>
    <w:lvl w:ilvl="0" w:tplc="9A1830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8E03DA"/>
    <w:multiLevelType w:val="multilevel"/>
    <w:tmpl w:val="3F8E73E4"/>
    <w:lvl w:ilvl="0">
      <w:start w:val="1"/>
      <w:numFmt w:val="decimal"/>
      <w:pStyle w:val="MCTLegal1"/>
      <w:lvlText w:val="%1."/>
      <w:lvlJc w:val="left"/>
      <w:pPr>
        <w:tabs>
          <w:tab w:val="num" w:pos="851"/>
        </w:tabs>
        <w:ind w:left="851" w:hanging="851"/>
      </w:pPr>
      <w:rPr>
        <w:rFonts w:hint="default"/>
      </w:rPr>
    </w:lvl>
    <w:lvl w:ilvl="1">
      <w:start w:val="1"/>
      <w:numFmt w:val="decimal"/>
      <w:pStyle w:val="MCTLegal2"/>
      <w:lvlText w:val="%1.%2"/>
      <w:lvlJc w:val="left"/>
      <w:pPr>
        <w:tabs>
          <w:tab w:val="num" w:pos="851"/>
        </w:tabs>
        <w:ind w:left="851" w:hanging="851"/>
      </w:pPr>
      <w:rPr>
        <w:rFonts w:hint="default"/>
        <w:b w:val="0"/>
      </w:rPr>
    </w:lvl>
    <w:lvl w:ilvl="2">
      <w:start w:val="1"/>
      <w:numFmt w:val="lowerLetter"/>
      <w:pStyle w:val="MCTLegal3"/>
      <w:lvlText w:val="(%3)"/>
      <w:lvlJc w:val="left"/>
      <w:pPr>
        <w:tabs>
          <w:tab w:val="num" w:pos="1701"/>
        </w:tabs>
        <w:ind w:left="1701" w:hanging="85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Roman"/>
      <w:pStyle w:val="MCTLegal4"/>
      <w:lvlText w:val="(%4)"/>
      <w:lvlJc w:val="left"/>
      <w:pPr>
        <w:tabs>
          <w:tab w:val="num" w:pos="2552"/>
        </w:tabs>
        <w:ind w:left="2552" w:hanging="851"/>
      </w:pPr>
      <w:rPr>
        <w:rFonts w:hint="default"/>
        <w:b w:val="0"/>
      </w:rPr>
    </w:lvl>
    <w:lvl w:ilvl="4">
      <w:start w:val="1"/>
      <w:numFmt w:val="upperLetter"/>
      <w:pStyle w:val="MCTLegal5"/>
      <w:lvlText w:val="(%5)"/>
      <w:lvlJc w:val="left"/>
      <w:pPr>
        <w:tabs>
          <w:tab w:val="num" w:pos="3402"/>
        </w:tabs>
        <w:ind w:left="3402" w:hanging="850"/>
      </w:pPr>
      <w:rPr>
        <w:rFonts w:hint="default"/>
      </w:rPr>
    </w:lvl>
    <w:lvl w:ilvl="5">
      <w:start w:val="1"/>
      <w:numFmt w:val="upperRoman"/>
      <w:pStyle w:val="MCTLegal6"/>
      <w:lvlText w:val="(%6)"/>
      <w:lvlJc w:val="left"/>
      <w:pPr>
        <w:tabs>
          <w:tab w:val="num" w:pos="4253"/>
        </w:tabs>
        <w:ind w:left="4253" w:hanging="851"/>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72B01E31"/>
    <w:multiLevelType w:val="hybridMultilevel"/>
    <w:tmpl w:val="CD0240BA"/>
    <w:lvl w:ilvl="0" w:tplc="6B88BC22">
      <w:start w:val="1"/>
      <w:numFmt w:val="lowerLetter"/>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2F979E2"/>
    <w:multiLevelType w:val="hybridMultilevel"/>
    <w:tmpl w:val="F50A291A"/>
    <w:lvl w:ilvl="0" w:tplc="93AE1E12">
      <w:start w:val="1"/>
      <w:numFmt w:val="lowerLetter"/>
      <w:lvlText w:val="(%1)"/>
      <w:lvlJc w:val="left"/>
      <w:pPr>
        <w:ind w:left="2309" w:hanging="730"/>
      </w:pPr>
    </w:lvl>
    <w:lvl w:ilvl="1" w:tplc="0C090019">
      <w:start w:val="1"/>
      <w:numFmt w:val="lowerLetter"/>
      <w:lvlText w:val="%2."/>
      <w:lvlJc w:val="left"/>
      <w:pPr>
        <w:ind w:left="2659" w:hanging="360"/>
      </w:pPr>
    </w:lvl>
    <w:lvl w:ilvl="2" w:tplc="0C09001B">
      <w:start w:val="1"/>
      <w:numFmt w:val="lowerRoman"/>
      <w:lvlText w:val="%3."/>
      <w:lvlJc w:val="right"/>
      <w:pPr>
        <w:ind w:left="3379" w:hanging="180"/>
      </w:pPr>
    </w:lvl>
    <w:lvl w:ilvl="3" w:tplc="0C09000F">
      <w:start w:val="1"/>
      <w:numFmt w:val="decimal"/>
      <w:lvlText w:val="%4."/>
      <w:lvlJc w:val="left"/>
      <w:pPr>
        <w:ind w:left="4099" w:hanging="360"/>
      </w:pPr>
    </w:lvl>
    <w:lvl w:ilvl="4" w:tplc="0C090019">
      <w:start w:val="1"/>
      <w:numFmt w:val="lowerLetter"/>
      <w:lvlText w:val="%5."/>
      <w:lvlJc w:val="left"/>
      <w:pPr>
        <w:ind w:left="4819" w:hanging="360"/>
      </w:pPr>
    </w:lvl>
    <w:lvl w:ilvl="5" w:tplc="0C09001B">
      <w:start w:val="1"/>
      <w:numFmt w:val="lowerRoman"/>
      <w:lvlText w:val="%6."/>
      <w:lvlJc w:val="right"/>
      <w:pPr>
        <w:ind w:left="5539" w:hanging="180"/>
      </w:pPr>
    </w:lvl>
    <w:lvl w:ilvl="6" w:tplc="0C09000F">
      <w:start w:val="1"/>
      <w:numFmt w:val="decimal"/>
      <w:lvlText w:val="%7."/>
      <w:lvlJc w:val="left"/>
      <w:pPr>
        <w:ind w:left="6259" w:hanging="360"/>
      </w:pPr>
    </w:lvl>
    <w:lvl w:ilvl="7" w:tplc="0C090019">
      <w:start w:val="1"/>
      <w:numFmt w:val="lowerLetter"/>
      <w:lvlText w:val="%8."/>
      <w:lvlJc w:val="left"/>
      <w:pPr>
        <w:ind w:left="6979" w:hanging="360"/>
      </w:pPr>
    </w:lvl>
    <w:lvl w:ilvl="8" w:tplc="0C09001B">
      <w:start w:val="1"/>
      <w:numFmt w:val="lowerRoman"/>
      <w:lvlText w:val="%9."/>
      <w:lvlJc w:val="right"/>
      <w:pPr>
        <w:ind w:left="7699" w:hanging="180"/>
      </w:pPr>
    </w:lvl>
  </w:abstractNum>
  <w:abstractNum w:abstractNumId="22" w15:restartNumberingAfterBreak="0">
    <w:nsid w:val="7A1B263E"/>
    <w:multiLevelType w:val="hybridMultilevel"/>
    <w:tmpl w:val="A8BE23BA"/>
    <w:lvl w:ilvl="0" w:tplc="EC22819C">
      <w:start w:val="1"/>
      <w:numFmt w:val="lowerLetter"/>
      <w:lvlText w:val="(%1)"/>
      <w:lvlJc w:val="left"/>
      <w:pPr>
        <w:ind w:left="924" w:hanging="360"/>
      </w:pPr>
    </w:lvl>
    <w:lvl w:ilvl="1" w:tplc="0C090019">
      <w:start w:val="1"/>
      <w:numFmt w:val="lowerLetter"/>
      <w:lvlText w:val="%2."/>
      <w:lvlJc w:val="left"/>
      <w:pPr>
        <w:ind w:left="1644" w:hanging="360"/>
      </w:pPr>
    </w:lvl>
    <w:lvl w:ilvl="2" w:tplc="0C09001B">
      <w:start w:val="1"/>
      <w:numFmt w:val="lowerRoman"/>
      <w:lvlText w:val="%3."/>
      <w:lvlJc w:val="right"/>
      <w:pPr>
        <w:ind w:left="2364" w:hanging="180"/>
      </w:pPr>
    </w:lvl>
    <w:lvl w:ilvl="3" w:tplc="0C09000F">
      <w:start w:val="1"/>
      <w:numFmt w:val="decimal"/>
      <w:lvlText w:val="%4."/>
      <w:lvlJc w:val="left"/>
      <w:pPr>
        <w:ind w:left="3084" w:hanging="360"/>
      </w:pPr>
    </w:lvl>
    <w:lvl w:ilvl="4" w:tplc="0C090019">
      <w:start w:val="1"/>
      <w:numFmt w:val="lowerLetter"/>
      <w:lvlText w:val="%5."/>
      <w:lvlJc w:val="left"/>
      <w:pPr>
        <w:ind w:left="3804" w:hanging="360"/>
      </w:pPr>
    </w:lvl>
    <w:lvl w:ilvl="5" w:tplc="0C09001B">
      <w:start w:val="1"/>
      <w:numFmt w:val="lowerRoman"/>
      <w:lvlText w:val="%6."/>
      <w:lvlJc w:val="right"/>
      <w:pPr>
        <w:ind w:left="4524" w:hanging="180"/>
      </w:pPr>
    </w:lvl>
    <w:lvl w:ilvl="6" w:tplc="0C09000F">
      <w:start w:val="1"/>
      <w:numFmt w:val="decimal"/>
      <w:lvlText w:val="%7."/>
      <w:lvlJc w:val="left"/>
      <w:pPr>
        <w:ind w:left="5244" w:hanging="360"/>
      </w:pPr>
    </w:lvl>
    <w:lvl w:ilvl="7" w:tplc="0C090019">
      <w:start w:val="1"/>
      <w:numFmt w:val="lowerLetter"/>
      <w:lvlText w:val="%8."/>
      <w:lvlJc w:val="left"/>
      <w:pPr>
        <w:ind w:left="5964" w:hanging="360"/>
      </w:pPr>
    </w:lvl>
    <w:lvl w:ilvl="8" w:tplc="0C09001B">
      <w:start w:val="1"/>
      <w:numFmt w:val="lowerRoman"/>
      <w:lvlText w:val="%9."/>
      <w:lvlJc w:val="right"/>
      <w:pPr>
        <w:ind w:left="6684" w:hanging="180"/>
      </w:pPr>
    </w:lvl>
  </w:abstractNum>
  <w:num w:numId="1">
    <w:abstractNumId w:val="2"/>
  </w:num>
  <w:num w:numId="2">
    <w:abstractNumId w:val="0"/>
  </w:num>
  <w:num w:numId="3">
    <w:abstractNumId w:val="4"/>
  </w:num>
  <w:num w:numId="4">
    <w:abstractNumId w:val="12"/>
  </w:num>
  <w:num w:numId="5">
    <w:abstractNumId w:val="19"/>
  </w:num>
  <w:num w:numId="6">
    <w:abstractNumId w:val="1"/>
  </w:num>
  <w:num w:numId="7">
    <w:abstractNumId w:val="10"/>
  </w:num>
  <w:num w:numId="8">
    <w:abstractNumId w:val="11"/>
  </w:num>
  <w:num w:numId="9">
    <w:abstractNumId w:val="9"/>
  </w:num>
  <w:num w:numId="10">
    <w:abstractNumId w:val="7"/>
  </w:num>
  <w:num w:numId="11">
    <w:abstractNumId w:val="18"/>
  </w:num>
  <w:num w:numId="12">
    <w:abstractNumId w:val="17"/>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94981"/>
    <w:rsid w:val="000A1A69"/>
    <w:rsid w:val="000D59BC"/>
    <w:rsid w:val="0016380D"/>
    <w:rsid w:val="00194AC7"/>
    <w:rsid w:val="0020723E"/>
    <w:rsid w:val="00232478"/>
    <w:rsid w:val="003232B9"/>
    <w:rsid w:val="003E62AE"/>
    <w:rsid w:val="00431C97"/>
    <w:rsid w:val="00462A0C"/>
    <w:rsid w:val="00507559"/>
    <w:rsid w:val="00550FB7"/>
    <w:rsid w:val="005669E8"/>
    <w:rsid w:val="005832D8"/>
    <w:rsid w:val="00603442"/>
    <w:rsid w:val="00627F0C"/>
    <w:rsid w:val="00665CB1"/>
    <w:rsid w:val="00667281"/>
    <w:rsid w:val="00704DC3"/>
    <w:rsid w:val="0072003E"/>
    <w:rsid w:val="00733D0A"/>
    <w:rsid w:val="007F2FDD"/>
    <w:rsid w:val="009330F7"/>
    <w:rsid w:val="00A0585C"/>
    <w:rsid w:val="00A4436C"/>
    <w:rsid w:val="00A971CC"/>
    <w:rsid w:val="00AC30ED"/>
    <w:rsid w:val="00B30B9A"/>
    <w:rsid w:val="00BA52F5"/>
    <w:rsid w:val="00BB241F"/>
    <w:rsid w:val="00C07CA7"/>
    <w:rsid w:val="00C41B1B"/>
    <w:rsid w:val="00C6387B"/>
    <w:rsid w:val="00CD2B75"/>
    <w:rsid w:val="00CD4E55"/>
    <w:rsid w:val="00D0025F"/>
    <w:rsid w:val="00D47F13"/>
    <w:rsid w:val="00D66BB1"/>
    <w:rsid w:val="00DB3CA9"/>
    <w:rsid w:val="00E366E3"/>
    <w:rsid w:val="00E54F19"/>
    <w:rsid w:val="00E556F2"/>
    <w:rsid w:val="00E666FC"/>
    <w:rsid w:val="00EA104E"/>
    <w:rsid w:val="00EB6985"/>
    <w:rsid w:val="00F10CB2"/>
    <w:rsid w:val="00F15AC3"/>
    <w:rsid w:val="00F16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628C3"/>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EB6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985"/>
    <w:rPr>
      <w:rFonts w:ascii="Segoe UI" w:hAnsi="Segoe UI" w:cs="Segoe UI"/>
      <w:sz w:val="18"/>
      <w:szCs w:val="18"/>
      <w:lang w:eastAsia="en-US"/>
    </w:rPr>
  </w:style>
  <w:style w:type="paragraph" w:customStyle="1" w:styleId="MCTBackground1">
    <w:name w:val="MCT Background 1"/>
    <w:basedOn w:val="Normal"/>
    <w:uiPriority w:val="1"/>
    <w:qFormat/>
    <w:rsid w:val="00C6387B"/>
    <w:pPr>
      <w:numPr>
        <w:numId w:val="10"/>
      </w:numPr>
      <w:spacing w:after="240"/>
    </w:pPr>
    <w:rPr>
      <w:rFonts w:ascii="Arial" w:hAnsi="Arial"/>
      <w:sz w:val="21"/>
      <w:szCs w:val="24"/>
      <w:lang w:eastAsia="en-AU"/>
    </w:rPr>
  </w:style>
  <w:style w:type="paragraph" w:customStyle="1" w:styleId="MCTBackground2">
    <w:name w:val="MCT Background 2"/>
    <w:basedOn w:val="Normal"/>
    <w:uiPriority w:val="1"/>
    <w:qFormat/>
    <w:rsid w:val="00C6387B"/>
    <w:pPr>
      <w:numPr>
        <w:ilvl w:val="1"/>
        <w:numId w:val="10"/>
      </w:numPr>
      <w:spacing w:after="240"/>
    </w:pPr>
    <w:rPr>
      <w:rFonts w:ascii="Arial" w:hAnsi="Arial"/>
      <w:sz w:val="21"/>
      <w:szCs w:val="24"/>
      <w:lang w:eastAsia="en-AU"/>
    </w:rPr>
  </w:style>
  <w:style w:type="paragraph" w:customStyle="1" w:styleId="MCTLegal1">
    <w:name w:val="MCT Legal 1"/>
    <w:basedOn w:val="Normal"/>
    <w:next w:val="Normal"/>
    <w:qFormat/>
    <w:rsid w:val="00C6387B"/>
    <w:pPr>
      <w:keepNext/>
      <w:numPr>
        <w:numId w:val="11"/>
      </w:numPr>
      <w:spacing w:after="240"/>
    </w:pPr>
    <w:rPr>
      <w:rFonts w:ascii="Arial" w:hAnsi="Arial"/>
      <w:b/>
      <w:sz w:val="28"/>
      <w:szCs w:val="24"/>
      <w:lang w:eastAsia="en-AU"/>
    </w:rPr>
  </w:style>
  <w:style w:type="paragraph" w:customStyle="1" w:styleId="MCTLegal2">
    <w:name w:val="MCT Legal 2"/>
    <w:basedOn w:val="Normal"/>
    <w:next w:val="MCTLegal3"/>
    <w:qFormat/>
    <w:rsid w:val="00C6387B"/>
    <w:pPr>
      <w:keepNext/>
      <w:numPr>
        <w:ilvl w:val="1"/>
        <w:numId w:val="11"/>
      </w:numPr>
      <w:spacing w:after="240"/>
    </w:pPr>
    <w:rPr>
      <w:rFonts w:ascii="Arial" w:hAnsi="Arial"/>
      <w:sz w:val="21"/>
      <w:szCs w:val="24"/>
      <w:lang w:eastAsia="en-AU"/>
    </w:rPr>
  </w:style>
  <w:style w:type="paragraph" w:customStyle="1" w:styleId="MCTLegal3">
    <w:name w:val="MCT Legal 3"/>
    <w:basedOn w:val="Normal"/>
    <w:qFormat/>
    <w:rsid w:val="00C6387B"/>
    <w:pPr>
      <w:numPr>
        <w:ilvl w:val="2"/>
        <w:numId w:val="11"/>
      </w:numPr>
      <w:spacing w:after="240"/>
    </w:pPr>
    <w:rPr>
      <w:rFonts w:ascii="Arial" w:hAnsi="Arial"/>
      <w:sz w:val="21"/>
      <w:szCs w:val="24"/>
      <w:lang w:eastAsia="en-AU"/>
    </w:rPr>
  </w:style>
  <w:style w:type="paragraph" w:customStyle="1" w:styleId="MCTLegal4">
    <w:name w:val="MCT Legal 4"/>
    <w:basedOn w:val="Normal"/>
    <w:rsid w:val="00C6387B"/>
    <w:pPr>
      <w:numPr>
        <w:ilvl w:val="3"/>
        <w:numId w:val="11"/>
      </w:numPr>
      <w:spacing w:after="240"/>
    </w:pPr>
    <w:rPr>
      <w:rFonts w:ascii="Arial" w:hAnsi="Arial"/>
      <w:sz w:val="21"/>
      <w:szCs w:val="24"/>
      <w:lang w:eastAsia="en-AU"/>
    </w:rPr>
  </w:style>
  <w:style w:type="paragraph" w:customStyle="1" w:styleId="MCTLegal5">
    <w:name w:val="MCT Legal 5"/>
    <w:basedOn w:val="Normal"/>
    <w:rsid w:val="00C6387B"/>
    <w:pPr>
      <w:numPr>
        <w:ilvl w:val="4"/>
        <w:numId w:val="11"/>
      </w:numPr>
      <w:spacing w:after="240"/>
    </w:pPr>
    <w:rPr>
      <w:rFonts w:ascii="Arial" w:hAnsi="Arial"/>
      <w:sz w:val="21"/>
      <w:szCs w:val="24"/>
      <w:lang w:eastAsia="en-AU"/>
    </w:rPr>
  </w:style>
  <w:style w:type="paragraph" w:customStyle="1" w:styleId="MCTLegal6">
    <w:name w:val="MCT Legal 6"/>
    <w:basedOn w:val="Normal"/>
    <w:rsid w:val="00C6387B"/>
    <w:pPr>
      <w:numPr>
        <w:ilvl w:val="5"/>
        <w:numId w:val="11"/>
      </w:numPr>
      <w:spacing w:after="240"/>
    </w:pPr>
    <w:rPr>
      <w:rFonts w:ascii="Arial" w:hAnsi="Arial"/>
      <w:sz w:val="21"/>
      <w:szCs w:val="24"/>
      <w:lang w:eastAsia="en-AU"/>
    </w:rPr>
  </w:style>
  <w:style w:type="paragraph" w:customStyle="1" w:styleId="MCTMainHeading">
    <w:name w:val="MCT Main Heading"/>
    <w:basedOn w:val="Normal"/>
    <w:next w:val="Normal"/>
    <w:rsid w:val="00C6387B"/>
    <w:pPr>
      <w:keepNext/>
      <w:spacing w:after="240"/>
      <w:outlineLvl w:val="0"/>
    </w:pPr>
    <w:rPr>
      <w:rFonts w:ascii="Arial" w:hAnsi="Arial"/>
      <w:b/>
      <w:sz w:val="28"/>
      <w:szCs w:val="28"/>
      <w:lang w:eastAsia="en-AU"/>
    </w:rPr>
  </w:style>
  <w:style w:type="character" w:customStyle="1" w:styleId="FootnoteTextChar">
    <w:name w:val="Footnote Text Char"/>
    <w:link w:val="FootnoteText"/>
    <w:uiPriority w:val="99"/>
    <w:semiHidden/>
    <w:rsid w:val="00C6387B"/>
    <w:rPr>
      <w:sz w:val="24"/>
      <w:szCs w:val="24"/>
      <w:lang w:eastAsia="en-US"/>
    </w:rPr>
  </w:style>
  <w:style w:type="paragraph" w:styleId="ListParagraph">
    <w:name w:val="List Paragraph"/>
    <w:basedOn w:val="Normal"/>
    <w:uiPriority w:val="34"/>
    <w:qFormat/>
    <w:rsid w:val="00507559"/>
    <w:pPr>
      <w:ind w:left="720"/>
    </w:pPr>
    <w:rPr>
      <w:szCs w:val="24"/>
      <w:lang w:eastAsia="en-GB"/>
    </w:rPr>
  </w:style>
  <w:style w:type="paragraph" w:customStyle="1" w:styleId="Default">
    <w:name w:val="Default"/>
    <w:rsid w:val="00507559"/>
    <w:pPr>
      <w:widowControl w:val="0"/>
      <w:autoSpaceDE w:val="0"/>
      <w:autoSpaceDN w:val="0"/>
      <w:adjustRightInd w:val="0"/>
    </w:pPr>
    <w:rPr>
      <w:rFonts w:ascii="Arial" w:eastAsiaTheme="minorEastAsia" w:hAnsi="Arial" w:cs="Arial"/>
      <w:color w:val="000000"/>
      <w:sz w:val="24"/>
      <w:szCs w:val="24"/>
    </w:rPr>
  </w:style>
  <w:style w:type="paragraph" w:customStyle="1" w:styleId="CM9">
    <w:name w:val="CM9"/>
    <w:basedOn w:val="Default"/>
    <w:next w:val="Default"/>
    <w:uiPriority w:val="99"/>
    <w:rsid w:val="0050755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1590</Words>
  <Characters>8190</Characters>
  <Application>Microsoft Office Word</Application>
  <DocSecurity>0</DocSecurity>
  <Lines>223</Lines>
  <Paragraphs>79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2004-04-05T00:37:00Z</cp:lastPrinted>
  <dcterms:created xsi:type="dcterms:W3CDTF">2020-05-22T03:01:00Z</dcterms:created>
  <dcterms:modified xsi:type="dcterms:W3CDTF">2020-05-22T03:01:00Z</dcterms:modified>
</cp:coreProperties>
</file>