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7AB0B" w14:textId="77777777" w:rsidR="00656876" w:rsidRPr="00656876" w:rsidRDefault="00656876" w:rsidP="00656876">
      <w:pPr>
        <w:widowControl/>
        <w:autoSpaceDE/>
        <w:autoSpaceDN/>
        <w:spacing w:before="120"/>
        <w:rPr>
          <w:rFonts w:eastAsia="Times New Roman"/>
          <w:sz w:val="24"/>
          <w:szCs w:val="20"/>
          <w:lang w:val="en-AU"/>
        </w:rPr>
      </w:pPr>
      <w:bookmarkStart w:id="0" w:name="_Toc44738651"/>
      <w:bookmarkStart w:id="1" w:name="_GoBack"/>
      <w:bookmarkEnd w:id="1"/>
      <w:r w:rsidRPr="00656876">
        <w:rPr>
          <w:rFonts w:eastAsia="Times New Roman"/>
          <w:sz w:val="24"/>
          <w:szCs w:val="20"/>
          <w:lang w:val="en-AU"/>
        </w:rPr>
        <w:t>Australian Capital Territory</w:t>
      </w:r>
    </w:p>
    <w:p w14:paraId="6779ADAB" w14:textId="77777777" w:rsidR="00656876" w:rsidRPr="00656876" w:rsidRDefault="00656876" w:rsidP="00656876">
      <w:pPr>
        <w:widowControl/>
        <w:tabs>
          <w:tab w:val="left" w:pos="2400"/>
          <w:tab w:val="left" w:pos="2880"/>
        </w:tabs>
        <w:autoSpaceDE/>
        <w:autoSpaceDN/>
        <w:spacing w:before="700" w:after="100"/>
        <w:rPr>
          <w:rFonts w:eastAsia="Times New Roman" w:cs="Times New Roman"/>
          <w:b/>
          <w:sz w:val="40"/>
          <w:szCs w:val="20"/>
          <w:lang w:val="en-AU"/>
        </w:rPr>
      </w:pPr>
      <w:r w:rsidRPr="00656876">
        <w:rPr>
          <w:rFonts w:eastAsia="Times New Roman" w:cs="Times New Roman"/>
          <w:b/>
          <w:sz w:val="40"/>
          <w:szCs w:val="20"/>
          <w:lang w:val="en-AU"/>
        </w:rPr>
        <w:t>Motor Accident Injuries (Insurer Communication) Guidelines 2020</w:t>
      </w:r>
    </w:p>
    <w:p w14:paraId="42086FCF" w14:textId="77777777" w:rsidR="00656876" w:rsidRPr="00656876" w:rsidRDefault="00656876" w:rsidP="00656876">
      <w:pPr>
        <w:widowControl/>
        <w:autoSpaceDE/>
        <w:autoSpaceDN/>
        <w:spacing w:before="340"/>
        <w:rPr>
          <w:rFonts w:eastAsia="Times New Roman"/>
          <w:b/>
          <w:bCs/>
          <w:sz w:val="24"/>
          <w:szCs w:val="20"/>
          <w:lang w:val="en-AU"/>
        </w:rPr>
      </w:pPr>
      <w:r w:rsidRPr="00656876">
        <w:rPr>
          <w:rFonts w:eastAsia="Times New Roman"/>
          <w:b/>
          <w:bCs/>
          <w:sz w:val="24"/>
          <w:szCs w:val="20"/>
          <w:lang w:val="en-AU"/>
        </w:rPr>
        <w:t>Disallowable instrument DI</w:t>
      </w:r>
      <w:r w:rsidRPr="00656876">
        <w:rPr>
          <w:rFonts w:eastAsia="Times New Roman"/>
          <w:b/>
          <w:bCs/>
          <w:iCs/>
          <w:sz w:val="24"/>
          <w:szCs w:val="20"/>
          <w:lang w:val="en-AU"/>
        </w:rPr>
        <w:t>2020</w:t>
      </w:r>
      <w:r w:rsidRPr="00656876">
        <w:rPr>
          <w:rFonts w:eastAsia="Times New Roman"/>
          <w:b/>
          <w:bCs/>
          <w:sz w:val="24"/>
          <w:szCs w:val="20"/>
          <w:lang w:val="en-AU"/>
        </w:rPr>
        <w:t>–15</w:t>
      </w:r>
    </w:p>
    <w:p w14:paraId="58B6273F" w14:textId="77777777" w:rsidR="00656876" w:rsidRPr="00656876" w:rsidRDefault="00656876" w:rsidP="00656876">
      <w:pPr>
        <w:widowControl/>
        <w:autoSpaceDE/>
        <w:autoSpaceDN/>
        <w:spacing w:before="300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656876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made under the  </w:t>
      </w:r>
    </w:p>
    <w:p w14:paraId="5F0C8DED" w14:textId="77777777" w:rsidR="00656876" w:rsidRPr="00656876" w:rsidRDefault="00656876" w:rsidP="00656876">
      <w:pPr>
        <w:widowControl/>
        <w:tabs>
          <w:tab w:val="left" w:pos="2600"/>
        </w:tabs>
        <w:autoSpaceDE/>
        <w:autoSpaceDN/>
        <w:spacing w:before="320"/>
        <w:jc w:val="both"/>
        <w:rPr>
          <w:rFonts w:eastAsia="Times New Roman"/>
          <w:b/>
          <w:sz w:val="20"/>
          <w:szCs w:val="20"/>
          <w:lang w:val="en-AU"/>
        </w:rPr>
      </w:pPr>
      <w:r w:rsidRPr="00656876">
        <w:rPr>
          <w:rFonts w:eastAsia="Times New Roman"/>
          <w:b/>
          <w:sz w:val="20"/>
          <w:szCs w:val="20"/>
          <w:lang w:val="en-AU"/>
        </w:rPr>
        <w:t>Motor Accident Injuries Act 2019, section 487 (MAI guidelines)</w:t>
      </w:r>
    </w:p>
    <w:p w14:paraId="7FADA877" w14:textId="77777777" w:rsidR="00656876" w:rsidRPr="00656876" w:rsidRDefault="00656876" w:rsidP="00656876">
      <w:pPr>
        <w:widowControl/>
        <w:autoSpaceDE/>
        <w:autoSpaceDN/>
        <w:spacing w:before="60"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14:paraId="4424E899" w14:textId="77777777" w:rsidR="00656876" w:rsidRPr="00656876" w:rsidRDefault="00656876" w:rsidP="00656876">
      <w:pPr>
        <w:widowControl/>
        <w:pBdr>
          <w:top w:val="single" w:sz="12" w:space="1" w:color="auto"/>
        </w:pBdr>
        <w:autoSpaceDE/>
        <w:autoSpaceDN/>
        <w:jc w:val="both"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14:paraId="56FC09BA" w14:textId="77777777" w:rsidR="00656876" w:rsidRPr="00656876" w:rsidRDefault="00656876" w:rsidP="00656876">
      <w:pPr>
        <w:widowControl/>
        <w:autoSpaceDE/>
        <w:autoSpaceDN/>
        <w:spacing w:before="60" w:after="60"/>
        <w:ind w:left="720" w:hanging="720"/>
        <w:rPr>
          <w:rFonts w:eastAsia="Times New Roman"/>
          <w:b/>
          <w:bCs/>
          <w:sz w:val="24"/>
          <w:szCs w:val="20"/>
          <w:lang w:val="en-AU"/>
        </w:rPr>
      </w:pPr>
      <w:r w:rsidRPr="00656876">
        <w:rPr>
          <w:rFonts w:eastAsia="Times New Roman"/>
          <w:b/>
          <w:bCs/>
          <w:sz w:val="24"/>
          <w:szCs w:val="20"/>
          <w:lang w:val="en-AU"/>
        </w:rPr>
        <w:t>1</w:t>
      </w:r>
      <w:r w:rsidRPr="00656876">
        <w:rPr>
          <w:rFonts w:eastAsia="Times New Roman"/>
          <w:b/>
          <w:bCs/>
          <w:sz w:val="24"/>
          <w:szCs w:val="20"/>
          <w:lang w:val="en-AU"/>
        </w:rPr>
        <w:tab/>
        <w:t>Name of instrument</w:t>
      </w:r>
    </w:p>
    <w:p w14:paraId="1E0DFDBD" w14:textId="77777777" w:rsidR="00656876" w:rsidRPr="00656876" w:rsidRDefault="00656876" w:rsidP="00656876">
      <w:pPr>
        <w:widowControl/>
        <w:autoSpaceDE/>
        <w:autoSpaceDN/>
        <w:spacing w:before="140"/>
        <w:ind w:left="720"/>
        <w:rPr>
          <w:rFonts w:ascii="Times New Roman" w:eastAsia="Times New Roman" w:hAnsi="Times New Roman" w:cs="Times New Roman"/>
          <w:i/>
          <w:iCs/>
          <w:sz w:val="24"/>
          <w:szCs w:val="20"/>
          <w:lang w:val="en-AU"/>
        </w:rPr>
      </w:pPr>
      <w:r w:rsidRPr="00656876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This instrument is the </w:t>
      </w:r>
      <w:r w:rsidRPr="00656876">
        <w:rPr>
          <w:rFonts w:ascii="Times New Roman" w:eastAsia="Times New Roman" w:hAnsi="Times New Roman" w:cs="Times New Roman"/>
          <w:i/>
          <w:iCs/>
          <w:sz w:val="24"/>
          <w:szCs w:val="20"/>
          <w:lang w:val="en-AU"/>
        </w:rPr>
        <w:t>Motor Accident Injuries (Insurer Communication) Guidelines 2020.</w:t>
      </w:r>
    </w:p>
    <w:p w14:paraId="19CBF4FC" w14:textId="77777777" w:rsidR="00656876" w:rsidRPr="00656876" w:rsidRDefault="00656876" w:rsidP="00656876">
      <w:pPr>
        <w:widowControl/>
        <w:autoSpaceDE/>
        <w:autoSpaceDN/>
        <w:spacing w:before="300"/>
        <w:ind w:left="720" w:hanging="720"/>
        <w:rPr>
          <w:rFonts w:eastAsia="Times New Roman"/>
          <w:b/>
          <w:bCs/>
          <w:sz w:val="24"/>
          <w:szCs w:val="20"/>
          <w:lang w:val="en-AU"/>
        </w:rPr>
      </w:pPr>
      <w:r w:rsidRPr="00656876">
        <w:rPr>
          <w:rFonts w:eastAsia="Times New Roman"/>
          <w:b/>
          <w:bCs/>
          <w:sz w:val="24"/>
          <w:szCs w:val="20"/>
          <w:lang w:val="en-AU"/>
        </w:rPr>
        <w:t>2</w:t>
      </w:r>
      <w:r w:rsidRPr="00656876">
        <w:rPr>
          <w:rFonts w:eastAsia="Times New Roman"/>
          <w:b/>
          <w:bCs/>
          <w:sz w:val="24"/>
          <w:szCs w:val="20"/>
          <w:lang w:val="en-AU"/>
        </w:rPr>
        <w:tab/>
        <w:t xml:space="preserve">Commencement </w:t>
      </w:r>
    </w:p>
    <w:p w14:paraId="4082194D" w14:textId="77777777" w:rsidR="00656876" w:rsidRPr="00656876" w:rsidRDefault="00656876" w:rsidP="00656876">
      <w:pPr>
        <w:widowControl/>
        <w:autoSpaceDE/>
        <w:autoSpaceDN/>
        <w:spacing w:before="140"/>
        <w:ind w:left="720"/>
        <w:rPr>
          <w:rFonts w:ascii="Times New Roman" w:eastAsia="Times New Roman" w:hAnsi="Times New Roman" w:cs="Times New Roman"/>
          <w:i/>
          <w:iCs/>
          <w:sz w:val="24"/>
          <w:szCs w:val="20"/>
          <w:lang w:val="en-AU"/>
        </w:rPr>
      </w:pPr>
      <w:r w:rsidRPr="00656876">
        <w:rPr>
          <w:rFonts w:ascii="Times New Roman" w:eastAsia="Times New Roman" w:hAnsi="Times New Roman" w:cs="Times New Roman"/>
          <w:sz w:val="24"/>
          <w:szCs w:val="20"/>
          <w:lang w:val="en-AU"/>
        </w:rPr>
        <w:t>This instrument commences on the day after notification</w:t>
      </w:r>
      <w:r w:rsidRPr="00656876">
        <w:rPr>
          <w:rFonts w:ascii="Times New Roman" w:eastAsia="Times New Roman" w:hAnsi="Times New Roman" w:cs="Times New Roman"/>
          <w:i/>
          <w:iCs/>
          <w:sz w:val="24"/>
          <w:szCs w:val="20"/>
          <w:lang w:val="en-AU"/>
        </w:rPr>
        <w:t xml:space="preserve">. </w:t>
      </w:r>
    </w:p>
    <w:p w14:paraId="5A1169D3" w14:textId="77777777" w:rsidR="00656876" w:rsidRPr="00656876" w:rsidRDefault="00656876" w:rsidP="00656876">
      <w:pPr>
        <w:widowControl/>
        <w:autoSpaceDE/>
        <w:autoSpaceDN/>
        <w:spacing w:before="300"/>
        <w:ind w:left="720" w:hanging="720"/>
        <w:rPr>
          <w:rFonts w:eastAsia="Times New Roman"/>
          <w:b/>
          <w:bCs/>
          <w:sz w:val="24"/>
          <w:szCs w:val="20"/>
          <w:lang w:val="en-AU"/>
        </w:rPr>
      </w:pPr>
      <w:r w:rsidRPr="00656876">
        <w:rPr>
          <w:rFonts w:eastAsia="Times New Roman"/>
          <w:b/>
          <w:bCs/>
          <w:sz w:val="24"/>
          <w:szCs w:val="20"/>
          <w:lang w:val="en-AU"/>
        </w:rPr>
        <w:t>3</w:t>
      </w:r>
      <w:r w:rsidRPr="00656876">
        <w:rPr>
          <w:rFonts w:eastAsia="Times New Roman"/>
          <w:b/>
          <w:bCs/>
          <w:sz w:val="24"/>
          <w:szCs w:val="20"/>
          <w:lang w:val="en-AU"/>
        </w:rPr>
        <w:tab/>
        <w:t>Guidelines</w:t>
      </w:r>
    </w:p>
    <w:p w14:paraId="6915AF19" w14:textId="77777777" w:rsidR="00656876" w:rsidRPr="00656876" w:rsidRDefault="00656876" w:rsidP="00656876">
      <w:pPr>
        <w:widowControl/>
        <w:autoSpaceDE/>
        <w:autoSpaceDN/>
        <w:spacing w:before="300"/>
        <w:ind w:left="720" w:hanging="720"/>
        <w:rPr>
          <w:rFonts w:eastAsia="Times New Roman"/>
          <w:sz w:val="24"/>
          <w:szCs w:val="20"/>
          <w:lang w:val="en-AU"/>
        </w:rPr>
      </w:pPr>
      <w:r w:rsidRPr="00656876">
        <w:rPr>
          <w:rFonts w:eastAsia="Times New Roman"/>
          <w:b/>
          <w:bCs/>
          <w:sz w:val="24"/>
          <w:szCs w:val="20"/>
          <w:lang w:val="en-AU"/>
        </w:rPr>
        <w:tab/>
      </w:r>
      <w:r w:rsidRPr="00656876">
        <w:rPr>
          <w:rFonts w:ascii="Times New Roman" w:eastAsia="Times New Roman" w:hAnsi="Times New Roman" w:cs="Times New Roman"/>
          <w:sz w:val="24"/>
          <w:szCs w:val="20"/>
          <w:lang w:val="en-AU"/>
        </w:rPr>
        <w:t>I make the Insurer Communication Guidelines attached to this instrument.</w:t>
      </w:r>
    </w:p>
    <w:p w14:paraId="7FEB3E0D" w14:textId="77777777" w:rsidR="00656876" w:rsidRPr="00656876" w:rsidRDefault="00656876" w:rsidP="00656876">
      <w:pPr>
        <w:widowControl/>
        <w:tabs>
          <w:tab w:val="left" w:pos="4320"/>
        </w:tabs>
        <w:autoSpaceDE/>
        <w:autoSpaceDN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14:paraId="7EB86F1B" w14:textId="77777777" w:rsidR="00656876" w:rsidRPr="00656876" w:rsidRDefault="00656876" w:rsidP="00656876">
      <w:pPr>
        <w:widowControl/>
        <w:tabs>
          <w:tab w:val="left" w:pos="4320"/>
        </w:tabs>
        <w:autoSpaceDE/>
        <w:autoSpaceDN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14:paraId="048B5EB7" w14:textId="77777777" w:rsidR="00656876" w:rsidRPr="00656876" w:rsidRDefault="00656876" w:rsidP="00656876">
      <w:pPr>
        <w:widowControl/>
        <w:tabs>
          <w:tab w:val="left" w:pos="4320"/>
        </w:tabs>
        <w:autoSpaceDE/>
        <w:autoSpaceDN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14:paraId="71BD485A" w14:textId="77777777" w:rsidR="00656876" w:rsidRPr="00656876" w:rsidRDefault="00656876" w:rsidP="00656876">
      <w:pPr>
        <w:widowControl/>
        <w:tabs>
          <w:tab w:val="left" w:pos="4320"/>
        </w:tabs>
        <w:autoSpaceDE/>
        <w:autoSpaceDN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656876">
        <w:rPr>
          <w:rFonts w:ascii="Times New Roman" w:eastAsia="Times New Roman" w:hAnsi="Times New Roman" w:cs="Times New Roman"/>
          <w:sz w:val="24"/>
          <w:szCs w:val="20"/>
          <w:lang w:val="en-AU"/>
        </w:rPr>
        <w:t>Lisa Holmes</w:t>
      </w:r>
    </w:p>
    <w:p w14:paraId="058D958B" w14:textId="77777777" w:rsidR="00656876" w:rsidRPr="00656876" w:rsidRDefault="00656876" w:rsidP="00656876">
      <w:pPr>
        <w:widowControl/>
        <w:tabs>
          <w:tab w:val="left" w:pos="4320"/>
        </w:tabs>
        <w:autoSpaceDE/>
        <w:autoSpaceDN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656876">
        <w:rPr>
          <w:rFonts w:ascii="Times New Roman" w:eastAsia="Times New Roman" w:hAnsi="Times New Roman" w:cs="Times New Roman"/>
          <w:sz w:val="24"/>
          <w:szCs w:val="20"/>
          <w:lang w:val="en-AU"/>
        </w:rPr>
        <w:t>MAI Commissioner</w:t>
      </w:r>
    </w:p>
    <w:bookmarkEnd w:id="0"/>
    <w:p w14:paraId="23AE97E4" w14:textId="77777777" w:rsidR="00656876" w:rsidRPr="00656876" w:rsidRDefault="00656876" w:rsidP="00656876">
      <w:pPr>
        <w:widowControl/>
        <w:tabs>
          <w:tab w:val="left" w:pos="4320"/>
        </w:tabs>
        <w:autoSpaceDE/>
        <w:autoSpaceDN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656876">
        <w:rPr>
          <w:rFonts w:ascii="Times New Roman" w:eastAsia="Times New Roman" w:hAnsi="Times New Roman" w:cs="Times New Roman"/>
          <w:sz w:val="24"/>
          <w:szCs w:val="20"/>
          <w:lang w:val="en-AU"/>
        </w:rPr>
        <w:t>MAI Commission</w:t>
      </w:r>
    </w:p>
    <w:p w14:paraId="7C05C79D" w14:textId="77777777" w:rsidR="00656876" w:rsidRPr="00656876" w:rsidRDefault="00656876" w:rsidP="00656876">
      <w:pPr>
        <w:widowControl/>
        <w:tabs>
          <w:tab w:val="left" w:pos="4320"/>
        </w:tabs>
        <w:autoSpaceDE/>
        <w:autoSpaceDN/>
        <w:rPr>
          <w:rFonts w:ascii="Times New Roman" w:eastAsia="Times New Roman" w:hAnsi="Times New Roman" w:cs="Times New Roman"/>
          <w:sz w:val="24"/>
          <w:szCs w:val="20"/>
          <w:lang w:val="en-AU"/>
        </w:rPr>
      </w:pPr>
    </w:p>
    <w:p w14:paraId="04C7BE4F" w14:textId="77777777" w:rsidR="00656876" w:rsidRPr="00656876" w:rsidRDefault="00656876" w:rsidP="00656876">
      <w:pPr>
        <w:widowControl/>
        <w:tabs>
          <w:tab w:val="left" w:pos="4320"/>
        </w:tabs>
        <w:autoSpaceDE/>
        <w:autoSpaceDN/>
        <w:rPr>
          <w:rFonts w:ascii="Times New Roman" w:eastAsia="Times New Roman" w:hAnsi="Times New Roman" w:cs="Times New Roman"/>
          <w:sz w:val="24"/>
          <w:szCs w:val="20"/>
          <w:lang w:val="en-AU"/>
        </w:rPr>
      </w:pPr>
      <w:r w:rsidRPr="00656876">
        <w:rPr>
          <w:rFonts w:ascii="Times New Roman" w:eastAsia="Times New Roman" w:hAnsi="Times New Roman" w:cs="Times New Roman"/>
          <w:sz w:val="24"/>
          <w:szCs w:val="20"/>
          <w:lang w:val="en-AU"/>
        </w:rPr>
        <w:t xml:space="preserve">12 February 2020 </w:t>
      </w:r>
    </w:p>
    <w:p w14:paraId="7B0ACA16" w14:textId="67F7AE7E" w:rsidR="00656876" w:rsidRDefault="00656876" w:rsidP="00706FA3">
      <w:pPr>
        <w:tabs>
          <w:tab w:val="left" w:pos="567"/>
        </w:tabs>
        <w:spacing w:before="241"/>
        <w:ind w:left="468" w:hanging="468"/>
        <w:sectPr w:rsidR="00656876" w:rsidSect="006568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797" w:bottom="1440" w:left="1797" w:header="720" w:footer="720" w:gutter="0"/>
          <w:cols w:space="708"/>
          <w:titlePg/>
          <w:docGrid w:linePitch="360"/>
        </w:sectPr>
      </w:pPr>
    </w:p>
    <w:p w14:paraId="5284640A" w14:textId="77777777" w:rsidR="00A6610A" w:rsidRPr="00706FA3" w:rsidRDefault="00A6610A" w:rsidP="00706FA3">
      <w:pPr>
        <w:pStyle w:val="Heading1"/>
        <w:numPr>
          <w:ilvl w:val="0"/>
          <w:numId w:val="1"/>
        </w:numPr>
        <w:tabs>
          <w:tab w:val="left" w:pos="567"/>
        </w:tabs>
        <w:spacing w:before="241"/>
        <w:ind w:hanging="468"/>
        <w:jc w:val="left"/>
        <w:rPr>
          <w:rFonts w:asciiTheme="minorHAnsi" w:hAnsiTheme="minorHAnsi" w:cstheme="minorHAnsi"/>
        </w:rPr>
      </w:pPr>
      <w:r w:rsidRPr="00706FA3">
        <w:rPr>
          <w:rFonts w:asciiTheme="minorHAnsi" w:hAnsiTheme="minorHAnsi" w:cstheme="minorHAnsi"/>
        </w:rPr>
        <w:lastRenderedPageBreak/>
        <w:t>INTRODUCTION</w:t>
      </w:r>
    </w:p>
    <w:p w14:paraId="3BFEC12E" w14:textId="77E9E60C" w:rsidR="00886E0A" w:rsidRPr="00706FA3" w:rsidRDefault="00886E0A" w:rsidP="009B3B19">
      <w:pPr>
        <w:pStyle w:val="Heading1"/>
        <w:spacing w:before="241"/>
        <w:ind w:left="0" w:firstLine="0"/>
        <w:rPr>
          <w:rFonts w:asciiTheme="minorHAnsi" w:hAnsiTheme="minorHAnsi" w:cstheme="minorHAnsi"/>
          <w:b w:val="0"/>
          <w:bCs w:val="0"/>
        </w:rPr>
      </w:pPr>
      <w:r w:rsidRPr="00706FA3">
        <w:rPr>
          <w:rFonts w:asciiTheme="minorHAnsi" w:hAnsiTheme="minorHAnsi" w:cstheme="minorHAnsi"/>
          <w:b w:val="0"/>
          <w:bCs w:val="0"/>
        </w:rPr>
        <w:t>The in</w:t>
      </w:r>
      <w:r w:rsidR="001E391B" w:rsidRPr="00706FA3">
        <w:rPr>
          <w:rFonts w:asciiTheme="minorHAnsi" w:hAnsiTheme="minorHAnsi" w:cstheme="minorHAnsi"/>
          <w:b w:val="0"/>
          <w:bCs w:val="0"/>
        </w:rPr>
        <w:t>surer communication</w:t>
      </w:r>
      <w:r w:rsidRPr="00706FA3">
        <w:rPr>
          <w:rFonts w:asciiTheme="minorHAnsi" w:hAnsiTheme="minorHAnsi" w:cstheme="minorHAnsi"/>
          <w:b w:val="0"/>
          <w:bCs w:val="0"/>
        </w:rPr>
        <w:t xml:space="preserve"> guidelines (guidelines) are part of the MAI g</w:t>
      </w:r>
      <w:r w:rsidR="001F38A5" w:rsidRPr="00706FA3">
        <w:rPr>
          <w:rFonts w:asciiTheme="minorHAnsi" w:hAnsiTheme="minorHAnsi" w:cstheme="minorHAnsi"/>
          <w:b w:val="0"/>
          <w:bCs w:val="0"/>
        </w:rPr>
        <w:t>uidelines made under section 487</w:t>
      </w:r>
      <w:r w:rsidRPr="00706FA3">
        <w:rPr>
          <w:rFonts w:asciiTheme="minorHAnsi" w:hAnsiTheme="minorHAnsi" w:cstheme="minorHAnsi"/>
          <w:b w:val="0"/>
          <w:bCs w:val="0"/>
        </w:rPr>
        <w:t xml:space="preserve"> of the </w:t>
      </w:r>
      <w:r w:rsidRPr="00706FA3">
        <w:rPr>
          <w:rFonts w:asciiTheme="minorHAnsi" w:hAnsiTheme="minorHAnsi" w:cstheme="minorHAnsi"/>
          <w:b w:val="0"/>
          <w:bCs w:val="0"/>
          <w:i/>
        </w:rPr>
        <w:t xml:space="preserve">Motor Accident Injuries Act 2019 </w:t>
      </w:r>
      <w:r w:rsidRPr="00706FA3">
        <w:rPr>
          <w:rFonts w:asciiTheme="minorHAnsi" w:hAnsiTheme="minorHAnsi" w:cstheme="minorHAnsi"/>
          <w:b w:val="0"/>
          <w:bCs w:val="0"/>
        </w:rPr>
        <w:t>(MAI Act).</w:t>
      </w:r>
      <w:r w:rsidR="001E391B" w:rsidRPr="00706FA3">
        <w:rPr>
          <w:rFonts w:asciiTheme="minorHAnsi" w:hAnsiTheme="minorHAnsi" w:cstheme="minorHAnsi"/>
          <w:b w:val="0"/>
          <w:bCs w:val="0"/>
        </w:rPr>
        <w:t xml:space="preserve"> The purpose of the guidelines is to </w:t>
      </w:r>
      <w:r w:rsidR="00C04AF2" w:rsidRPr="00706FA3">
        <w:rPr>
          <w:rFonts w:asciiTheme="minorHAnsi" w:hAnsiTheme="minorHAnsi" w:cstheme="minorHAnsi"/>
          <w:b w:val="0"/>
          <w:bCs w:val="0"/>
        </w:rPr>
        <w:t xml:space="preserve">provide guidance to insurers on </w:t>
      </w:r>
      <w:r w:rsidR="00F863E2" w:rsidRPr="00706FA3">
        <w:rPr>
          <w:rFonts w:asciiTheme="minorHAnsi" w:hAnsiTheme="minorHAnsi" w:cstheme="minorHAnsi"/>
          <w:b w:val="0"/>
          <w:bCs w:val="0"/>
        </w:rPr>
        <w:t xml:space="preserve">communicating with </w:t>
      </w:r>
      <w:r w:rsidR="0063201F" w:rsidRPr="00706FA3">
        <w:rPr>
          <w:rFonts w:asciiTheme="minorHAnsi" w:hAnsiTheme="minorHAnsi" w:cstheme="minorHAnsi"/>
          <w:b w:val="0"/>
          <w:bCs w:val="0"/>
        </w:rPr>
        <w:t xml:space="preserve">persons injured in the motor accident, </w:t>
      </w:r>
      <w:r w:rsidR="00F863E2" w:rsidRPr="00706FA3">
        <w:rPr>
          <w:rFonts w:asciiTheme="minorHAnsi" w:hAnsiTheme="minorHAnsi" w:cstheme="minorHAnsi"/>
          <w:b w:val="0"/>
          <w:bCs w:val="0"/>
        </w:rPr>
        <w:t>applicants for defined benefits and claimants for motor accident claims</w:t>
      </w:r>
      <w:r w:rsidR="00F014A7" w:rsidRPr="00706FA3">
        <w:rPr>
          <w:rFonts w:asciiTheme="minorHAnsi" w:hAnsiTheme="minorHAnsi" w:cstheme="minorHAnsi"/>
          <w:b w:val="0"/>
          <w:bCs w:val="0"/>
        </w:rPr>
        <w:t>.</w:t>
      </w:r>
    </w:p>
    <w:p w14:paraId="3745CA9E" w14:textId="77777777" w:rsidR="00236936" w:rsidRPr="00706FA3" w:rsidRDefault="00236936" w:rsidP="009B3B19">
      <w:pPr>
        <w:pStyle w:val="BodyText"/>
        <w:ind w:right="151"/>
        <w:rPr>
          <w:rFonts w:asciiTheme="minorHAnsi" w:hAnsiTheme="minorHAnsi" w:cstheme="minorHAnsi"/>
        </w:rPr>
      </w:pPr>
    </w:p>
    <w:p w14:paraId="0B7ADF20" w14:textId="3D3CD506" w:rsidR="00236936" w:rsidRPr="00706FA3" w:rsidRDefault="00236936" w:rsidP="009B3B19">
      <w:pPr>
        <w:pStyle w:val="BodyText"/>
        <w:ind w:right="151"/>
        <w:rPr>
          <w:rFonts w:asciiTheme="minorHAnsi" w:hAnsiTheme="minorHAnsi" w:cstheme="minorHAnsi"/>
        </w:rPr>
      </w:pPr>
      <w:r w:rsidRPr="00706FA3">
        <w:rPr>
          <w:rFonts w:asciiTheme="minorHAnsi" w:hAnsiTheme="minorHAnsi" w:cstheme="minorHAnsi"/>
        </w:rPr>
        <w:t xml:space="preserve">Specifically, this </w:t>
      </w:r>
      <w:r w:rsidR="0090695B" w:rsidRPr="00706FA3">
        <w:rPr>
          <w:rFonts w:asciiTheme="minorHAnsi" w:hAnsiTheme="minorHAnsi" w:cstheme="minorHAnsi"/>
        </w:rPr>
        <w:t>guideline</w:t>
      </w:r>
      <w:r w:rsidRPr="00706FA3">
        <w:rPr>
          <w:rFonts w:asciiTheme="minorHAnsi" w:hAnsiTheme="minorHAnsi" w:cstheme="minorHAnsi"/>
        </w:rPr>
        <w:t xml:space="preserve"> is designed to provide </w:t>
      </w:r>
      <w:r w:rsidR="00931339" w:rsidRPr="00706FA3">
        <w:rPr>
          <w:rFonts w:asciiTheme="minorHAnsi" w:hAnsiTheme="minorHAnsi" w:cstheme="minorHAnsi"/>
        </w:rPr>
        <w:t>for</w:t>
      </w:r>
      <w:r w:rsidRPr="00706FA3">
        <w:rPr>
          <w:rFonts w:asciiTheme="minorHAnsi" w:hAnsiTheme="minorHAnsi" w:cstheme="minorHAnsi"/>
        </w:rPr>
        <w:t xml:space="preserve"> the circumstances</w:t>
      </w:r>
      <w:r w:rsidR="00B57FD7" w:rsidRPr="00706FA3">
        <w:rPr>
          <w:rFonts w:asciiTheme="minorHAnsi" w:hAnsiTheme="minorHAnsi" w:cstheme="minorHAnsi"/>
        </w:rPr>
        <w:t xml:space="preserve"> in which, and matters</w:t>
      </w:r>
      <w:r w:rsidRPr="00706FA3">
        <w:rPr>
          <w:rFonts w:asciiTheme="minorHAnsi" w:hAnsiTheme="minorHAnsi" w:cstheme="minorHAnsi"/>
        </w:rPr>
        <w:t xml:space="preserve"> </w:t>
      </w:r>
      <w:r w:rsidR="00B57FD7" w:rsidRPr="00706FA3">
        <w:rPr>
          <w:rFonts w:asciiTheme="minorHAnsi" w:hAnsiTheme="minorHAnsi" w:cstheme="minorHAnsi"/>
        </w:rPr>
        <w:t>that</w:t>
      </w:r>
      <w:r w:rsidR="007619F5" w:rsidRPr="00706FA3">
        <w:rPr>
          <w:rFonts w:asciiTheme="minorHAnsi" w:hAnsiTheme="minorHAnsi" w:cstheme="minorHAnsi"/>
        </w:rPr>
        <w:t>,</w:t>
      </w:r>
      <w:r w:rsidRPr="00706FA3">
        <w:rPr>
          <w:rFonts w:asciiTheme="minorHAnsi" w:hAnsiTheme="minorHAnsi" w:cstheme="minorHAnsi"/>
        </w:rPr>
        <w:t xml:space="preserve"> insurers may communicate</w:t>
      </w:r>
      <w:r w:rsidR="006511CD" w:rsidRPr="00706FA3">
        <w:rPr>
          <w:rFonts w:asciiTheme="minorHAnsi" w:hAnsiTheme="minorHAnsi" w:cstheme="minorHAnsi"/>
        </w:rPr>
        <w:t xml:space="preserve"> directly with an applicant for defined benefits</w:t>
      </w:r>
      <w:r w:rsidR="00D04965" w:rsidRPr="00706FA3">
        <w:rPr>
          <w:rFonts w:asciiTheme="minorHAnsi" w:hAnsiTheme="minorHAnsi" w:cstheme="minorHAnsi"/>
        </w:rPr>
        <w:t>,</w:t>
      </w:r>
      <w:r w:rsidR="006511CD" w:rsidRPr="00706FA3">
        <w:rPr>
          <w:rFonts w:asciiTheme="minorHAnsi" w:hAnsiTheme="minorHAnsi" w:cstheme="minorHAnsi"/>
        </w:rPr>
        <w:t xml:space="preserve"> a claimant under a motor accident claim</w:t>
      </w:r>
      <w:r w:rsidR="00D04965" w:rsidRPr="00706FA3">
        <w:rPr>
          <w:rFonts w:asciiTheme="minorHAnsi" w:hAnsiTheme="minorHAnsi" w:cstheme="minorHAnsi"/>
        </w:rPr>
        <w:t xml:space="preserve"> and people otherwise injured in a motor accident</w:t>
      </w:r>
      <w:r w:rsidRPr="00706FA3">
        <w:rPr>
          <w:rFonts w:asciiTheme="minorHAnsi" w:hAnsiTheme="minorHAnsi" w:cstheme="minorHAnsi"/>
        </w:rPr>
        <w:t>.</w:t>
      </w:r>
      <w:r w:rsidR="00A06651" w:rsidRPr="00706FA3">
        <w:rPr>
          <w:rFonts w:asciiTheme="minorHAnsi" w:hAnsiTheme="minorHAnsi" w:cstheme="minorHAnsi"/>
        </w:rPr>
        <w:t xml:space="preserve"> </w:t>
      </w:r>
    </w:p>
    <w:p w14:paraId="03CE8C4C" w14:textId="77777777" w:rsidR="003C76C5" w:rsidRPr="00706FA3" w:rsidRDefault="003C76C5" w:rsidP="00236936">
      <w:pPr>
        <w:pStyle w:val="BodyText"/>
        <w:ind w:left="468" w:right="151"/>
        <w:rPr>
          <w:rFonts w:asciiTheme="minorHAnsi" w:hAnsiTheme="minorHAnsi" w:cstheme="minorHAnsi"/>
        </w:rPr>
      </w:pPr>
    </w:p>
    <w:p w14:paraId="25E8DF88" w14:textId="77777777" w:rsidR="003C76C5" w:rsidRPr="00706FA3" w:rsidRDefault="003C76C5" w:rsidP="00526972">
      <w:pPr>
        <w:pStyle w:val="Heading1"/>
        <w:numPr>
          <w:ilvl w:val="0"/>
          <w:numId w:val="1"/>
        </w:numPr>
        <w:tabs>
          <w:tab w:val="left" w:pos="468"/>
        </w:tabs>
        <w:spacing w:before="1"/>
        <w:ind w:hanging="468"/>
        <w:jc w:val="left"/>
        <w:rPr>
          <w:rFonts w:asciiTheme="minorHAnsi" w:hAnsiTheme="minorHAnsi" w:cstheme="minorHAnsi"/>
        </w:rPr>
      </w:pPr>
      <w:r w:rsidRPr="00706FA3">
        <w:rPr>
          <w:rFonts w:asciiTheme="minorHAnsi" w:hAnsiTheme="minorHAnsi" w:cstheme="minorHAnsi"/>
        </w:rPr>
        <w:t>STATUTORY</w:t>
      </w:r>
      <w:r w:rsidRPr="00706FA3">
        <w:rPr>
          <w:rFonts w:asciiTheme="minorHAnsi" w:hAnsiTheme="minorHAnsi" w:cstheme="minorHAnsi"/>
          <w:spacing w:val="-3"/>
        </w:rPr>
        <w:t xml:space="preserve"> </w:t>
      </w:r>
      <w:r w:rsidRPr="00706FA3">
        <w:rPr>
          <w:rFonts w:asciiTheme="minorHAnsi" w:hAnsiTheme="minorHAnsi" w:cstheme="minorHAnsi"/>
        </w:rPr>
        <w:t>FRAMEWORK</w:t>
      </w:r>
    </w:p>
    <w:p w14:paraId="71D4266A" w14:textId="77777777" w:rsidR="003C76C5" w:rsidRPr="00706FA3" w:rsidRDefault="003C76C5" w:rsidP="003C76C5">
      <w:pPr>
        <w:pStyle w:val="BodyText"/>
        <w:spacing w:before="10"/>
        <w:rPr>
          <w:rFonts w:asciiTheme="minorHAnsi" w:hAnsiTheme="minorHAnsi" w:cstheme="minorHAnsi"/>
          <w:b/>
          <w:sz w:val="22"/>
        </w:rPr>
      </w:pPr>
    </w:p>
    <w:p w14:paraId="03F6DF4D" w14:textId="650E8BB8" w:rsidR="006511CD" w:rsidRPr="00706FA3" w:rsidRDefault="006511CD" w:rsidP="00AD7E30">
      <w:pPr>
        <w:pStyle w:val="BodyText"/>
        <w:spacing w:before="1"/>
        <w:ind w:right="420"/>
        <w:rPr>
          <w:rFonts w:asciiTheme="minorHAnsi" w:hAnsiTheme="minorHAnsi" w:cstheme="minorHAnsi"/>
        </w:rPr>
      </w:pPr>
      <w:r w:rsidRPr="00706FA3">
        <w:rPr>
          <w:rFonts w:asciiTheme="minorHAnsi" w:hAnsiTheme="minorHAnsi" w:cstheme="minorHAnsi"/>
        </w:rPr>
        <w:t>Section 432 of the MAI Act makes provision for insurers to</w:t>
      </w:r>
      <w:r w:rsidR="007632DE" w:rsidRPr="00706FA3">
        <w:rPr>
          <w:rFonts w:asciiTheme="minorHAnsi" w:hAnsiTheme="minorHAnsi" w:cstheme="minorHAnsi"/>
        </w:rPr>
        <w:t xml:space="preserve"> contact and</w:t>
      </w:r>
      <w:r w:rsidRPr="00706FA3">
        <w:rPr>
          <w:rFonts w:asciiTheme="minorHAnsi" w:hAnsiTheme="minorHAnsi" w:cstheme="minorHAnsi"/>
        </w:rPr>
        <w:t xml:space="preserve"> communicate directly with applicants and claimants</w:t>
      </w:r>
      <w:r w:rsidR="00D06F18" w:rsidRPr="00706FA3">
        <w:rPr>
          <w:rFonts w:asciiTheme="minorHAnsi" w:hAnsiTheme="minorHAnsi" w:cstheme="minorHAnsi"/>
        </w:rPr>
        <w:t xml:space="preserve"> and people otherwise injured in a motor accident</w:t>
      </w:r>
      <w:r w:rsidRPr="00706FA3">
        <w:rPr>
          <w:rFonts w:asciiTheme="minorHAnsi" w:hAnsiTheme="minorHAnsi" w:cstheme="minorHAnsi"/>
        </w:rPr>
        <w:t xml:space="preserve"> (</w:t>
      </w:r>
      <w:r w:rsidR="00D04965" w:rsidRPr="00706FA3">
        <w:rPr>
          <w:rFonts w:asciiTheme="minorHAnsi" w:hAnsiTheme="minorHAnsi" w:cstheme="minorHAnsi"/>
        </w:rPr>
        <w:t xml:space="preserve">whether or not the </w:t>
      </w:r>
      <w:r w:rsidRPr="00706FA3">
        <w:rPr>
          <w:rFonts w:asciiTheme="minorHAnsi" w:hAnsiTheme="minorHAnsi" w:cstheme="minorHAnsi"/>
        </w:rPr>
        <w:t xml:space="preserve">person has legal representation).  </w:t>
      </w:r>
    </w:p>
    <w:p w14:paraId="30E13549" w14:textId="77777777" w:rsidR="006511CD" w:rsidRPr="00706FA3" w:rsidRDefault="006511CD" w:rsidP="006511CD">
      <w:pPr>
        <w:pStyle w:val="BodyText"/>
        <w:spacing w:before="7"/>
        <w:rPr>
          <w:rFonts w:asciiTheme="minorHAnsi" w:hAnsiTheme="minorHAnsi" w:cstheme="minorHAnsi"/>
          <w:sz w:val="20"/>
        </w:rPr>
      </w:pPr>
    </w:p>
    <w:p w14:paraId="4AC600B8" w14:textId="77777777" w:rsidR="006511CD" w:rsidRPr="00706FA3" w:rsidRDefault="006511CD" w:rsidP="00AD7E30">
      <w:pPr>
        <w:pStyle w:val="BodyText"/>
        <w:rPr>
          <w:rFonts w:asciiTheme="minorHAnsi" w:hAnsiTheme="minorHAnsi" w:cstheme="minorHAnsi"/>
        </w:rPr>
      </w:pPr>
      <w:r w:rsidRPr="00706FA3">
        <w:rPr>
          <w:rFonts w:asciiTheme="minorHAnsi" w:hAnsiTheme="minorHAnsi" w:cstheme="minorHAnsi"/>
        </w:rPr>
        <w:t>The legislative framework for insurer communication includes:</w:t>
      </w:r>
    </w:p>
    <w:p w14:paraId="29166C76" w14:textId="77777777" w:rsidR="006511CD" w:rsidRPr="00706FA3" w:rsidRDefault="006511CD" w:rsidP="006511CD">
      <w:pPr>
        <w:pStyle w:val="BodyText"/>
        <w:spacing w:before="11"/>
        <w:rPr>
          <w:rFonts w:asciiTheme="minorHAnsi" w:hAnsiTheme="minorHAnsi" w:cstheme="minorHAnsi"/>
          <w:sz w:val="20"/>
        </w:rPr>
      </w:pPr>
    </w:p>
    <w:p w14:paraId="5C4BA7A2" w14:textId="77777777" w:rsidR="006511CD" w:rsidRPr="00706FA3" w:rsidRDefault="006511CD" w:rsidP="006511CD">
      <w:pPr>
        <w:pStyle w:val="ListParagraph"/>
        <w:numPr>
          <w:ilvl w:val="1"/>
          <w:numId w:val="10"/>
        </w:numPr>
        <w:tabs>
          <w:tab w:val="left" w:pos="1332"/>
        </w:tabs>
        <w:ind w:left="1747"/>
        <w:rPr>
          <w:rFonts w:asciiTheme="minorHAnsi" w:hAnsiTheme="minorHAnsi" w:cstheme="minorHAnsi"/>
          <w:sz w:val="24"/>
        </w:rPr>
      </w:pPr>
      <w:r w:rsidRPr="00706FA3">
        <w:rPr>
          <w:rFonts w:asciiTheme="minorHAnsi" w:hAnsiTheme="minorHAnsi" w:cstheme="minorHAnsi"/>
          <w:sz w:val="24"/>
        </w:rPr>
        <w:t>the MAI</w:t>
      </w:r>
      <w:r w:rsidRPr="00706FA3">
        <w:rPr>
          <w:rFonts w:asciiTheme="minorHAnsi" w:hAnsiTheme="minorHAnsi" w:cstheme="minorHAnsi"/>
          <w:spacing w:val="-1"/>
          <w:sz w:val="24"/>
        </w:rPr>
        <w:t xml:space="preserve"> </w:t>
      </w:r>
      <w:r w:rsidRPr="00706FA3">
        <w:rPr>
          <w:rFonts w:asciiTheme="minorHAnsi" w:hAnsiTheme="minorHAnsi" w:cstheme="minorHAnsi"/>
          <w:sz w:val="24"/>
        </w:rPr>
        <w:t>Act;</w:t>
      </w:r>
    </w:p>
    <w:p w14:paraId="5D6AD79A" w14:textId="0C481B37" w:rsidR="006511CD" w:rsidRPr="00706FA3" w:rsidRDefault="00B91593" w:rsidP="006511CD">
      <w:pPr>
        <w:pStyle w:val="ListParagraph"/>
        <w:numPr>
          <w:ilvl w:val="1"/>
          <w:numId w:val="10"/>
        </w:numPr>
        <w:tabs>
          <w:tab w:val="left" w:pos="1332"/>
        </w:tabs>
        <w:spacing w:before="20"/>
        <w:ind w:left="1747"/>
        <w:rPr>
          <w:rFonts w:asciiTheme="minorHAnsi" w:hAnsiTheme="minorHAnsi" w:cstheme="minorHAnsi"/>
          <w:sz w:val="24"/>
        </w:rPr>
      </w:pPr>
      <w:r w:rsidRPr="00706FA3">
        <w:rPr>
          <w:rFonts w:asciiTheme="minorHAnsi" w:hAnsiTheme="minorHAnsi" w:cstheme="minorHAnsi"/>
          <w:sz w:val="24"/>
        </w:rPr>
        <w:t>r</w:t>
      </w:r>
      <w:r w:rsidR="006511CD" w:rsidRPr="00706FA3">
        <w:rPr>
          <w:rFonts w:asciiTheme="minorHAnsi" w:hAnsiTheme="minorHAnsi" w:cstheme="minorHAnsi"/>
          <w:sz w:val="24"/>
        </w:rPr>
        <w:t>egulation</w:t>
      </w:r>
      <w:r w:rsidR="008D3B8B" w:rsidRPr="00706FA3">
        <w:rPr>
          <w:rFonts w:asciiTheme="minorHAnsi" w:hAnsiTheme="minorHAnsi" w:cstheme="minorHAnsi"/>
          <w:sz w:val="24"/>
        </w:rPr>
        <w:t>s</w:t>
      </w:r>
      <w:r w:rsidRPr="00706FA3">
        <w:rPr>
          <w:rFonts w:asciiTheme="minorHAnsi" w:hAnsiTheme="minorHAnsi" w:cstheme="minorHAnsi"/>
          <w:sz w:val="24"/>
        </w:rPr>
        <w:t xml:space="preserve"> made under the MAI Act</w:t>
      </w:r>
      <w:r w:rsidR="006511CD" w:rsidRPr="00706FA3">
        <w:rPr>
          <w:rFonts w:asciiTheme="minorHAnsi" w:hAnsiTheme="minorHAnsi" w:cstheme="minorHAnsi"/>
          <w:sz w:val="24"/>
        </w:rPr>
        <w:t>;</w:t>
      </w:r>
      <w:r w:rsidR="006511CD" w:rsidRPr="00706FA3">
        <w:rPr>
          <w:rFonts w:asciiTheme="minorHAnsi" w:hAnsiTheme="minorHAnsi" w:cstheme="minorHAnsi"/>
          <w:spacing w:val="-9"/>
          <w:sz w:val="24"/>
        </w:rPr>
        <w:t xml:space="preserve"> </w:t>
      </w:r>
      <w:r w:rsidR="006511CD" w:rsidRPr="00706FA3">
        <w:rPr>
          <w:rFonts w:asciiTheme="minorHAnsi" w:hAnsiTheme="minorHAnsi" w:cstheme="minorHAnsi"/>
          <w:sz w:val="24"/>
        </w:rPr>
        <w:t>and</w:t>
      </w:r>
    </w:p>
    <w:p w14:paraId="66DE2268" w14:textId="77777777" w:rsidR="006511CD" w:rsidRPr="00706FA3" w:rsidRDefault="006511CD" w:rsidP="006511CD">
      <w:pPr>
        <w:pStyle w:val="ListParagraph"/>
        <w:numPr>
          <w:ilvl w:val="1"/>
          <w:numId w:val="10"/>
        </w:numPr>
        <w:tabs>
          <w:tab w:val="left" w:pos="1332"/>
        </w:tabs>
        <w:spacing w:before="21"/>
        <w:ind w:left="1747"/>
        <w:rPr>
          <w:rFonts w:asciiTheme="minorHAnsi" w:hAnsiTheme="minorHAnsi" w:cstheme="minorHAnsi"/>
          <w:sz w:val="24"/>
        </w:rPr>
      </w:pPr>
      <w:r w:rsidRPr="00706FA3">
        <w:rPr>
          <w:rFonts w:asciiTheme="minorHAnsi" w:hAnsiTheme="minorHAnsi" w:cstheme="minorHAnsi"/>
          <w:sz w:val="24"/>
        </w:rPr>
        <w:t>MAI</w:t>
      </w:r>
      <w:r w:rsidRPr="00706FA3">
        <w:rPr>
          <w:rFonts w:asciiTheme="minorHAnsi" w:hAnsiTheme="minorHAnsi" w:cstheme="minorHAnsi"/>
          <w:spacing w:val="-2"/>
          <w:sz w:val="24"/>
        </w:rPr>
        <w:t xml:space="preserve"> </w:t>
      </w:r>
      <w:r w:rsidRPr="00706FA3">
        <w:rPr>
          <w:rFonts w:asciiTheme="minorHAnsi" w:hAnsiTheme="minorHAnsi" w:cstheme="minorHAnsi"/>
          <w:sz w:val="24"/>
        </w:rPr>
        <w:t>Guidelines.</w:t>
      </w:r>
    </w:p>
    <w:p w14:paraId="62F2E13E" w14:textId="77777777" w:rsidR="00501FB9" w:rsidRPr="00706FA3" w:rsidRDefault="00501FB9" w:rsidP="00501FB9">
      <w:pPr>
        <w:pStyle w:val="ListParagraph"/>
        <w:tabs>
          <w:tab w:val="left" w:pos="1331"/>
          <w:tab w:val="left" w:pos="1332"/>
        </w:tabs>
        <w:spacing w:before="21"/>
        <w:ind w:left="1747" w:firstLine="0"/>
        <w:jc w:val="right"/>
        <w:rPr>
          <w:rFonts w:asciiTheme="minorHAnsi" w:hAnsiTheme="minorHAnsi" w:cstheme="minorHAnsi"/>
          <w:sz w:val="24"/>
        </w:rPr>
      </w:pPr>
    </w:p>
    <w:p w14:paraId="1AB7E26A" w14:textId="089CE275" w:rsidR="00501FB9" w:rsidRPr="00706FA3" w:rsidRDefault="00501FB9" w:rsidP="00526972">
      <w:pPr>
        <w:pStyle w:val="Heading1"/>
        <w:numPr>
          <w:ilvl w:val="0"/>
          <w:numId w:val="1"/>
        </w:numPr>
        <w:tabs>
          <w:tab w:val="left" w:pos="610"/>
        </w:tabs>
        <w:ind w:left="609" w:hanging="609"/>
        <w:jc w:val="left"/>
        <w:rPr>
          <w:rFonts w:asciiTheme="minorHAnsi" w:hAnsiTheme="minorHAnsi" w:cstheme="minorHAnsi"/>
        </w:rPr>
      </w:pPr>
      <w:r w:rsidRPr="00706FA3">
        <w:rPr>
          <w:rFonts w:asciiTheme="minorHAnsi" w:hAnsiTheme="minorHAnsi" w:cstheme="minorHAnsi"/>
        </w:rPr>
        <w:t xml:space="preserve">GUIDELINES – COMMUNICATING WITH PEOPLE IN RELATION TO MOTOR </w:t>
      </w:r>
      <w:r w:rsidR="008D5831">
        <w:rPr>
          <w:rFonts w:asciiTheme="minorHAnsi" w:hAnsiTheme="minorHAnsi" w:cstheme="minorHAnsi"/>
        </w:rPr>
        <w:br/>
      </w:r>
      <w:r w:rsidRPr="00706FA3">
        <w:rPr>
          <w:rFonts w:asciiTheme="minorHAnsi" w:hAnsiTheme="minorHAnsi" w:cstheme="minorHAnsi"/>
        </w:rPr>
        <w:t xml:space="preserve">ACCIDENT </w:t>
      </w:r>
      <w:r w:rsidR="00850FDB" w:rsidRPr="00706FA3">
        <w:rPr>
          <w:rFonts w:asciiTheme="minorHAnsi" w:hAnsiTheme="minorHAnsi" w:cstheme="minorHAnsi"/>
        </w:rPr>
        <w:t>– s</w:t>
      </w:r>
      <w:r w:rsidR="00036347" w:rsidRPr="00706FA3">
        <w:rPr>
          <w:rFonts w:asciiTheme="minorHAnsi" w:hAnsiTheme="minorHAnsi" w:cstheme="minorHAnsi"/>
        </w:rPr>
        <w:t xml:space="preserve"> </w:t>
      </w:r>
      <w:r w:rsidR="00850FDB" w:rsidRPr="00706FA3">
        <w:rPr>
          <w:rFonts w:asciiTheme="minorHAnsi" w:hAnsiTheme="minorHAnsi" w:cstheme="minorHAnsi"/>
        </w:rPr>
        <w:t>432</w:t>
      </w:r>
    </w:p>
    <w:p w14:paraId="1B75BCA6" w14:textId="77777777" w:rsidR="00501FB9" w:rsidRPr="00706FA3" w:rsidRDefault="00501FB9" w:rsidP="00501FB9">
      <w:pPr>
        <w:pStyle w:val="BodyText"/>
        <w:spacing w:before="11"/>
        <w:rPr>
          <w:rFonts w:asciiTheme="minorHAnsi" w:hAnsiTheme="minorHAnsi" w:cstheme="minorHAnsi"/>
          <w:sz w:val="20"/>
        </w:rPr>
      </w:pPr>
    </w:p>
    <w:p w14:paraId="0ED2F25E" w14:textId="7A12F964" w:rsidR="002C3C71" w:rsidRPr="00706FA3" w:rsidRDefault="007A7974" w:rsidP="0063201F">
      <w:pPr>
        <w:pStyle w:val="BodyText"/>
        <w:ind w:left="142" w:right="151" w:hanging="142"/>
        <w:rPr>
          <w:rFonts w:asciiTheme="minorHAnsi" w:hAnsiTheme="minorHAnsi" w:cstheme="minorHAnsi"/>
          <w:b/>
        </w:rPr>
      </w:pPr>
      <w:r w:rsidRPr="00706FA3">
        <w:rPr>
          <w:rFonts w:asciiTheme="minorHAnsi" w:hAnsiTheme="minorHAnsi" w:cstheme="minorHAnsi"/>
          <w:b/>
        </w:rPr>
        <w:t>3.1</w:t>
      </w:r>
      <w:r w:rsidRPr="00706FA3">
        <w:rPr>
          <w:rFonts w:asciiTheme="minorHAnsi" w:hAnsiTheme="minorHAnsi" w:cstheme="minorHAnsi"/>
        </w:rPr>
        <w:t xml:space="preserve"> </w:t>
      </w:r>
      <w:r w:rsidR="0063201F" w:rsidRPr="00706FA3">
        <w:rPr>
          <w:rFonts w:asciiTheme="minorHAnsi" w:hAnsiTheme="minorHAnsi" w:cstheme="minorHAnsi"/>
        </w:rPr>
        <w:tab/>
      </w:r>
      <w:r w:rsidR="00D04965" w:rsidRPr="00706FA3">
        <w:rPr>
          <w:rFonts w:asciiTheme="minorHAnsi" w:hAnsiTheme="minorHAnsi" w:cstheme="minorHAnsi"/>
          <w:b/>
          <w:bCs/>
        </w:rPr>
        <w:t>C</w:t>
      </w:r>
      <w:r w:rsidR="002C3C71" w:rsidRPr="00706FA3">
        <w:rPr>
          <w:rFonts w:asciiTheme="minorHAnsi" w:hAnsiTheme="minorHAnsi" w:cstheme="minorHAnsi"/>
          <w:b/>
        </w:rPr>
        <w:t xml:space="preserve">ommunicating directly with </w:t>
      </w:r>
      <w:r w:rsidR="007361E6" w:rsidRPr="00706FA3">
        <w:rPr>
          <w:rFonts w:asciiTheme="minorHAnsi" w:hAnsiTheme="minorHAnsi" w:cstheme="minorHAnsi"/>
          <w:b/>
        </w:rPr>
        <w:t>an</w:t>
      </w:r>
      <w:r w:rsidR="00F014A7" w:rsidRPr="00706FA3">
        <w:rPr>
          <w:rFonts w:asciiTheme="minorHAnsi" w:hAnsiTheme="minorHAnsi" w:cstheme="minorHAnsi"/>
          <w:b/>
        </w:rPr>
        <w:t xml:space="preserve"> applicant</w:t>
      </w:r>
      <w:r w:rsidR="007361E6" w:rsidRPr="00706FA3">
        <w:rPr>
          <w:rFonts w:asciiTheme="minorHAnsi" w:hAnsiTheme="minorHAnsi" w:cstheme="minorHAnsi"/>
          <w:b/>
        </w:rPr>
        <w:t xml:space="preserve"> or claimant</w:t>
      </w:r>
      <w:r w:rsidR="00F014A7" w:rsidRPr="00706FA3">
        <w:rPr>
          <w:rFonts w:asciiTheme="minorHAnsi" w:hAnsiTheme="minorHAnsi" w:cstheme="minorHAnsi"/>
          <w:b/>
        </w:rPr>
        <w:t xml:space="preserve"> </w:t>
      </w:r>
    </w:p>
    <w:p w14:paraId="4DA8AD41" w14:textId="15626D9F" w:rsidR="002C3C71" w:rsidRPr="00706FA3" w:rsidRDefault="002C3C71" w:rsidP="004F0766">
      <w:pPr>
        <w:pStyle w:val="BodyText"/>
        <w:ind w:left="720" w:right="151"/>
        <w:rPr>
          <w:rFonts w:asciiTheme="minorHAnsi" w:hAnsiTheme="minorHAnsi" w:cstheme="minorHAnsi"/>
        </w:rPr>
      </w:pPr>
    </w:p>
    <w:p w14:paraId="41DFB0C1" w14:textId="1DFAB742" w:rsidR="007632DE" w:rsidRPr="00706FA3" w:rsidRDefault="009B7D93" w:rsidP="0063201F">
      <w:pPr>
        <w:pStyle w:val="BodyText"/>
        <w:ind w:right="151"/>
        <w:rPr>
          <w:rFonts w:asciiTheme="minorHAnsi" w:hAnsiTheme="minorHAnsi" w:cstheme="minorHAnsi"/>
        </w:rPr>
      </w:pPr>
      <w:r w:rsidRPr="00706FA3">
        <w:rPr>
          <w:rFonts w:asciiTheme="minorHAnsi" w:hAnsiTheme="minorHAnsi" w:cstheme="minorHAnsi"/>
          <w:b/>
          <w:bCs/>
        </w:rPr>
        <w:t>3.1.1</w:t>
      </w:r>
      <w:r w:rsidRPr="00706FA3">
        <w:rPr>
          <w:rFonts w:asciiTheme="minorHAnsi" w:hAnsiTheme="minorHAnsi" w:cstheme="minorHAnsi"/>
        </w:rPr>
        <w:t xml:space="preserve"> </w:t>
      </w:r>
      <w:r w:rsidR="005004E5">
        <w:rPr>
          <w:rFonts w:asciiTheme="minorHAnsi" w:hAnsiTheme="minorHAnsi" w:cstheme="minorHAnsi"/>
        </w:rPr>
        <w:t xml:space="preserve"> </w:t>
      </w:r>
      <w:r w:rsidR="0063201F" w:rsidRPr="00706FA3">
        <w:rPr>
          <w:rFonts w:asciiTheme="minorHAnsi" w:hAnsiTheme="minorHAnsi" w:cstheme="minorHAnsi"/>
        </w:rPr>
        <w:t>Communication is required to be undertaken in the circumstances specified in these guidelines.</w:t>
      </w:r>
      <w:r w:rsidR="007632DE" w:rsidRPr="00706FA3">
        <w:rPr>
          <w:rFonts w:asciiTheme="minorHAnsi" w:hAnsiTheme="minorHAnsi" w:cstheme="minorHAnsi"/>
        </w:rPr>
        <w:t xml:space="preserve"> It is noted that under section 52 of the MAI Act a relevant insurer has obligations to provide information and support to applicants for defined benefits</w:t>
      </w:r>
      <w:r w:rsidR="00D04965" w:rsidRPr="00706FA3">
        <w:rPr>
          <w:rFonts w:asciiTheme="minorHAnsi" w:hAnsiTheme="minorHAnsi" w:cstheme="minorHAnsi"/>
        </w:rPr>
        <w:t>. The</w:t>
      </w:r>
      <w:r w:rsidR="007632DE" w:rsidRPr="00706FA3">
        <w:rPr>
          <w:rFonts w:asciiTheme="minorHAnsi" w:hAnsiTheme="minorHAnsi" w:cstheme="minorHAnsi"/>
        </w:rPr>
        <w:t xml:space="preserve"> information and support obligations are addressed in </w:t>
      </w:r>
      <w:r w:rsidR="007A05C2" w:rsidRPr="00706FA3">
        <w:rPr>
          <w:rFonts w:asciiTheme="minorHAnsi" w:hAnsiTheme="minorHAnsi" w:cstheme="minorHAnsi"/>
        </w:rPr>
        <w:t xml:space="preserve">other </w:t>
      </w:r>
      <w:r w:rsidR="007632DE" w:rsidRPr="00706FA3">
        <w:rPr>
          <w:rFonts w:asciiTheme="minorHAnsi" w:hAnsiTheme="minorHAnsi" w:cstheme="minorHAnsi"/>
        </w:rPr>
        <w:t>relevant guidelines</w:t>
      </w:r>
      <w:r w:rsidR="007A05C2" w:rsidRPr="00706FA3">
        <w:rPr>
          <w:rFonts w:asciiTheme="minorHAnsi" w:hAnsiTheme="minorHAnsi" w:cstheme="minorHAnsi"/>
        </w:rPr>
        <w:t xml:space="preserve">, in particular the Defined Benefit Application, </w:t>
      </w:r>
      <w:r w:rsidR="00861953" w:rsidRPr="00706FA3">
        <w:rPr>
          <w:rFonts w:asciiTheme="minorHAnsi" w:hAnsiTheme="minorHAnsi" w:cstheme="minorHAnsi"/>
        </w:rPr>
        <w:t xml:space="preserve">Treatment and Care, </w:t>
      </w:r>
      <w:r w:rsidR="007A05C2" w:rsidRPr="00706FA3">
        <w:rPr>
          <w:rFonts w:asciiTheme="minorHAnsi" w:hAnsiTheme="minorHAnsi" w:cstheme="minorHAnsi"/>
        </w:rPr>
        <w:t>Income Replacement Benefit, Quality of Life Benefit and the Internal Review Guidelines</w:t>
      </w:r>
      <w:r w:rsidR="007632DE" w:rsidRPr="00706FA3">
        <w:rPr>
          <w:rFonts w:asciiTheme="minorHAnsi" w:hAnsiTheme="minorHAnsi" w:cstheme="minorHAnsi"/>
        </w:rPr>
        <w:t>.</w:t>
      </w:r>
    </w:p>
    <w:p w14:paraId="5C498AFF" w14:textId="77777777" w:rsidR="007632DE" w:rsidRPr="00706FA3" w:rsidRDefault="007632DE" w:rsidP="0063201F">
      <w:pPr>
        <w:pStyle w:val="BodyText"/>
        <w:ind w:right="151"/>
        <w:rPr>
          <w:rFonts w:asciiTheme="minorHAnsi" w:hAnsiTheme="minorHAnsi" w:cstheme="minorHAnsi"/>
        </w:rPr>
      </w:pPr>
    </w:p>
    <w:p w14:paraId="4C3A4F7C" w14:textId="0A5D2A25" w:rsidR="007632DE" w:rsidRPr="00706FA3" w:rsidRDefault="009B7D93" w:rsidP="0063201F">
      <w:pPr>
        <w:pStyle w:val="BodyText"/>
        <w:ind w:right="151"/>
        <w:rPr>
          <w:rFonts w:asciiTheme="minorHAnsi" w:hAnsiTheme="minorHAnsi" w:cstheme="minorHAnsi"/>
        </w:rPr>
      </w:pPr>
      <w:r w:rsidRPr="00706FA3">
        <w:rPr>
          <w:rFonts w:asciiTheme="minorHAnsi" w:hAnsiTheme="minorHAnsi" w:cstheme="minorHAnsi"/>
          <w:b/>
          <w:bCs/>
        </w:rPr>
        <w:t xml:space="preserve">3.1.2 </w:t>
      </w:r>
      <w:r w:rsidR="007A05C2" w:rsidRPr="00706FA3">
        <w:rPr>
          <w:rFonts w:asciiTheme="minorHAnsi" w:hAnsiTheme="minorHAnsi" w:cstheme="minorHAnsi"/>
          <w:b/>
          <w:bCs/>
        </w:rPr>
        <w:t xml:space="preserve"> </w:t>
      </w:r>
      <w:r w:rsidR="00861953" w:rsidRPr="00706FA3">
        <w:rPr>
          <w:rFonts w:asciiTheme="minorHAnsi" w:hAnsiTheme="minorHAnsi" w:cstheme="minorHAnsi"/>
        </w:rPr>
        <w:t>A</w:t>
      </w:r>
      <w:r w:rsidR="007A05C2" w:rsidRPr="00706FA3">
        <w:rPr>
          <w:rFonts w:asciiTheme="minorHAnsi" w:hAnsiTheme="minorHAnsi" w:cstheme="minorHAnsi"/>
        </w:rPr>
        <w:t xml:space="preserve">n </w:t>
      </w:r>
      <w:r w:rsidR="007632DE" w:rsidRPr="00706FA3">
        <w:rPr>
          <w:rFonts w:asciiTheme="minorHAnsi" w:hAnsiTheme="minorHAnsi" w:cstheme="minorHAnsi"/>
        </w:rPr>
        <w:t xml:space="preserve">insurer may contact and communicate directly with an applicant </w:t>
      </w:r>
      <w:r w:rsidR="007361E6" w:rsidRPr="00706FA3">
        <w:rPr>
          <w:rFonts w:asciiTheme="minorHAnsi" w:hAnsiTheme="minorHAnsi" w:cstheme="minorHAnsi"/>
        </w:rPr>
        <w:t>or claimant</w:t>
      </w:r>
      <w:r w:rsidR="00D04965" w:rsidRPr="00706FA3">
        <w:rPr>
          <w:rFonts w:asciiTheme="minorHAnsi" w:hAnsiTheme="minorHAnsi" w:cstheme="minorHAnsi"/>
        </w:rPr>
        <w:t xml:space="preserve"> </w:t>
      </w:r>
      <w:r w:rsidR="007632DE" w:rsidRPr="00706FA3">
        <w:rPr>
          <w:rFonts w:asciiTheme="minorHAnsi" w:hAnsiTheme="minorHAnsi" w:cstheme="minorHAnsi"/>
        </w:rPr>
        <w:t xml:space="preserve">in </w:t>
      </w:r>
      <w:r w:rsidR="00D04965" w:rsidRPr="00706FA3">
        <w:rPr>
          <w:rFonts w:asciiTheme="minorHAnsi" w:hAnsiTheme="minorHAnsi" w:cstheme="minorHAnsi"/>
        </w:rPr>
        <w:t xml:space="preserve">any of </w:t>
      </w:r>
      <w:r w:rsidR="007632DE" w:rsidRPr="00706FA3">
        <w:rPr>
          <w:rFonts w:asciiTheme="minorHAnsi" w:hAnsiTheme="minorHAnsi" w:cstheme="minorHAnsi"/>
        </w:rPr>
        <w:t>the following circumstances:</w:t>
      </w:r>
    </w:p>
    <w:p w14:paraId="0F8BB1DC" w14:textId="7D32EF7A" w:rsidR="007632DE" w:rsidRPr="00706FA3" w:rsidRDefault="007632DE" w:rsidP="0063201F">
      <w:pPr>
        <w:pStyle w:val="BodyText"/>
        <w:ind w:right="151"/>
        <w:rPr>
          <w:rFonts w:asciiTheme="minorHAnsi" w:hAnsiTheme="minorHAnsi" w:cstheme="minorHAnsi"/>
        </w:rPr>
      </w:pPr>
    </w:p>
    <w:p w14:paraId="53881842" w14:textId="2A00D1FD" w:rsidR="007632DE" w:rsidRPr="00706FA3" w:rsidRDefault="00D04965" w:rsidP="0063201F">
      <w:pPr>
        <w:pStyle w:val="BodyText"/>
        <w:numPr>
          <w:ilvl w:val="0"/>
          <w:numId w:val="11"/>
        </w:numPr>
        <w:ind w:right="151"/>
        <w:rPr>
          <w:rFonts w:asciiTheme="minorHAnsi" w:hAnsiTheme="minorHAnsi" w:cstheme="minorHAnsi"/>
        </w:rPr>
      </w:pPr>
      <w:r w:rsidRPr="00706FA3">
        <w:rPr>
          <w:rFonts w:asciiTheme="minorHAnsi" w:hAnsiTheme="minorHAnsi" w:cstheme="minorHAnsi"/>
        </w:rPr>
        <w:t>i</w:t>
      </w:r>
      <w:r w:rsidR="007632DE" w:rsidRPr="00706FA3">
        <w:rPr>
          <w:rFonts w:asciiTheme="minorHAnsi" w:hAnsiTheme="minorHAnsi" w:cstheme="minorHAnsi"/>
        </w:rPr>
        <w:t>n response</w:t>
      </w:r>
      <w:r w:rsidR="00B82C48" w:rsidRPr="00706FA3">
        <w:rPr>
          <w:rFonts w:asciiTheme="minorHAnsi" w:hAnsiTheme="minorHAnsi" w:cstheme="minorHAnsi"/>
        </w:rPr>
        <w:t xml:space="preserve"> to</w:t>
      </w:r>
      <w:r w:rsidR="007632DE" w:rsidRPr="00706FA3">
        <w:rPr>
          <w:rFonts w:asciiTheme="minorHAnsi" w:hAnsiTheme="minorHAnsi" w:cstheme="minorHAnsi"/>
        </w:rPr>
        <w:t xml:space="preserve"> any </w:t>
      </w:r>
      <w:r w:rsidRPr="00706FA3">
        <w:rPr>
          <w:rFonts w:asciiTheme="minorHAnsi" w:hAnsiTheme="minorHAnsi" w:cstheme="minorHAnsi"/>
        </w:rPr>
        <w:t>issue</w:t>
      </w:r>
      <w:r w:rsidR="007632DE" w:rsidRPr="00706FA3">
        <w:rPr>
          <w:rFonts w:asciiTheme="minorHAnsi" w:hAnsiTheme="minorHAnsi" w:cstheme="minorHAnsi"/>
        </w:rPr>
        <w:t xml:space="preserve"> </w:t>
      </w:r>
      <w:r w:rsidR="008D3B8B" w:rsidRPr="00706FA3">
        <w:rPr>
          <w:rFonts w:asciiTheme="minorHAnsi" w:hAnsiTheme="minorHAnsi" w:cstheme="minorHAnsi"/>
        </w:rPr>
        <w:t xml:space="preserve">an </w:t>
      </w:r>
      <w:r w:rsidR="007632DE" w:rsidRPr="00706FA3">
        <w:rPr>
          <w:rFonts w:asciiTheme="minorHAnsi" w:hAnsiTheme="minorHAnsi" w:cstheme="minorHAnsi"/>
        </w:rPr>
        <w:t>applicant or prospective applicant</w:t>
      </w:r>
      <w:r w:rsidR="00404880" w:rsidRPr="00706FA3">
        <w:rPr>
          <w:rFonts w:asciiTheme="minorHAnsi" w:hAnsiTheme="minorHAnsi" w:cstheme="minorHAnsi"/>
        </w:rPr>
        <w:t>,</w:t>
      </w:r>
      <w:r w:rsidR="007632DE" w:rsidRPr="00706FA3">
        <w:rPr>
          <w:rFonts w:asciiTheme="minorHAnsi" w:hAnsiTheme="minorHAnsi" w:cstheme="minorHAnsi"/>
        </w:rPr>
        <w:t xml:space="preserve"> </w:t>
      </w:r>
      <w:r w:rsidR="007361E6" w:rsidRPr="00706FA3">
        <w:rPr>
          <w:rFonts w:asciiTheme="minorHAnsi" w:hAnsiTheme="minorHAnsi" w:cstheme="minorHAnsi"/>
        </w:rPr>
        <w:t xml:space="preserve">or claimant, </w:t>
      </w:r>
      <w:r w:rsidR="007632DE" w:rsidRPr="00706FA3">
        <w:rPr>
          <w:rFonts w:asciiTheme="minorHAnsi" w:hAnsiTheme="minorHAnsi" w:cstheme="minorHAnsi"/>
        </w:rPr>
        <w:t>has contacted an insurer directly about</w:t>
      </w:r>
      <w:r w:rsidR="008D3B8B" w:rsidRPr="00706FA3">
        <w:rPr>
          <w:rFonts w:asciiTheme="minorHAnsi" w:hAnsiTheme="minorHAnsi" w:cstheme="minorHAnsi"/>
        </w:rPr>
        <w:t>; or</w:t>
      </w:r>
    </w:p>
    <w:p w14:paraId="77691F2F" w14:textId="13550C64" w:rsidR="007632DE" w:rsidRPr="00706FA3" w:rsidRDefault="00D04965" w:rsidP="0063201F">
      <w:pPr>
        <w:pStyle w:val="BodyText"/>
        <w:numPr>
          <w:ilvl w:val="0"/>
          <w:numId w:val="11"/>
        </w:numPr>
        <w:ind w:right="151"/>
        <w:rPr>
          <w:rFonts w:asciiTheme="minorHAnsi" w:hAnsiTheme="minorHAnsi" w:cstheme="minorHAnsi"/>
        </w:rPr>
      </w:pPr>
      <w:r w:rsidRPr="00706FA3">
        <w:rPr>
          <w:rFonts w:asciiTheme="minorHAnsi" w:hAnsiTheme="minorHAnsi" w:cstheme="minorHAnsi"/>
        </w:rPr>
        <w:t>i</w:t>
      </w:r>
      <w:r w:rsidR="007632DE" w:rsidRPr="00706FA3">
        <w:rPr>
          <w:rFonts w:asciiTheme="minorHAnsi" w:hAnsiTheme="minorHAnsi" w:cstheme="minorHAnsi"/>
        </w:rPr>
        <w:t>n any of the circumstances set out in section 52 of the MAI Act and corresponding guidelines</w:t>
      </w:r>
      <w:r w:rsidR="007F11C0" w:rsidRPr="00706FA3">
        <w:rPr>
          <w:rFonts w:asciiTheme="minorHAnsi" w:hAnsiTheme="minorHAnsi" w:cstheme="minorHAnsi"/>
        </w:rPr>
        <w:t>; or</w:t>
      </w:r>
    </w:p>
    <w:p w14:paraId="07BE6FA8" w14:textId="744964AF" w:rsidR="00B63902" w:rsidRPr="00706FA3" w:rsidRDefault="00EE5AE5" w:rsidP="0063201F">
      <w:pPr>
        <w:pStyle w:val="BodyText"/>
        <w:numPr>
          <w:ilvl w:val="0"/>
          <w:numId w:val="11"/>
        </w:numPr>
        <w:ind w:right="1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7A05C2" w:rsidRPr="00706FA3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r</w:t>
      </w:r>
      <w:r w:rsidR="007A05C2" w:rsidRPr="00706FA3">
        <w:rPr>
          <w:rFonts w:asciiTheme="minorHAnsi" w:hAnsiTheme="minorHAnsi" w:cstheme="minorHAnsi"/>
        </w:rPr>
        <w:t xml:space="preserve"> any</w:t>
      </w:r>
      <w:r w:rsidR="00B63902" w:rsidRPr="00706FA3">
        <w:rPr>
          <w:rFonts w:asciiTheme="minorHAnsi" w:hAnsiTheme="minorHAnsi" w:cstheme="minorHAnsi"/>
        </w:rPr>
        <w:t xml:space="preserve"> request for information in relation to an application including the </w:t>
      </w:r>
      <w:r w:rsidR="00B63902" w:rsidRPr="00706FA3">
        <w:rPr>
          <w:rFonts w:asciiTheme="minorHAnsi" w:hAnsiTheme="minorHAnsi" w:cstheme="minorHAnsi"/>
        </w:rPr>
        <w:lastRenderedPageBreak/>
        <w:t>arrangement of assessments or examinations and any questions</w:t>
      </w:r>
      <w:r w:rsidR="00D04965" w:rsidRPr="00706FA3">
        <w:rPr>
          <w:rFonts w:asciiTheme="minorHAnsi" w:hAnsiTheme="minorHAnsi" w:cstheme="minorHAnsi"/>
        </w:rPr>
        <w:t xml:space="preserve"> or issues</w:t>
      </w:r>
      <w:r w:rsidR="00B63902" w:rsidRPr="00706FA3">
        <w:rPr>
          <w:rFonts w:asciiTheme="minorHAnsi" w:hAnsiTheme="minorHAnsi" w:cstheme="minorHAnsi"/>
        </w:rPr>
        <w:t xml:space="preserve"> arising from these matters; or</w:t>
      </w:r>
    </w:p>
    <w:p w14:paraId="7D7617D3" w14:textId="63201F5E" w:rsidR="00404880" w:rsidRPr="00706FA3" w:rsidRDefault="00D04965" w:rsidP="0063201F">
      <w:pPr>
        <w:pStyle w:val="BodyText"/>
        <w:numPr>
          <w:ilvl w:val="0"/>
          <w:numId w:val="11"/>
        </w:numPr>
        <w:ind w:right="151"/>
        <w:rPr>
          <w:rFonts w:asciiTheme="minorHAnsi" w:hAnsiTheme="minorHAnsi" w:cstheme="minorHAnsi"/>
        </w:rPr>
      </w:pPr>
      <w:r w:rsidRPr="00706FA3">
        <w:rPr>
          <w:rFonts w:asciiTheme="minorHAnsi" w:hAnsiTheme="minorHAnsi" w:cstheme="minorHAnsi"/>
        </w:rPr>
        <w:t>i</w:t>
      </w:r>
      <w:r w:rsidR="007361E6" w:rsidRPr="00706FA3">
        <w:rPr>
          <w:rFonts w:asciiTheme="minorHAnsi" w:hAnsiTheme="minorHAnsi" w:cstheme="minorHAnsi"/>
        </w:rPr>
        <w:t xml:space="preserve">f </w:t>
      </w:r>
      <w:r w:rsidR="00404880" w:rsidRPr="00706FA3">
        <w:rPr>
          <w:rFonts w:asciiTheme="minorHAnsi" w:hAnsiTheme="minorHAnsi" w:cstheme="minorHAnsi"/>
        </w:rPr>
        <w:t>an insurer must give a</w:t>
      </w:r>
      <w:r w:rsidR="003E344C" w:rsidRPr="00706FA3">
        <w:rPr>
          <w:rFonts w:asciiTheme="minorHAnsi" w:hAnsiTheme="minorHAnsi" w:cstheme="minorHAnsi"/>
        </w:rPr>
        <w:t xml:space="preserve"> written</w:t>
      </w:r>
      <w:r w:rsidR="00404880" w:rsidRPr="00706FA3">
        <w:rPr>
          <w:rFonts w:asciiTheme="minorHAnsi" w:hAnsiTheme="minorHAnsi" w:cstheme="minorHAnsi"/>
        </w:rPr>
        <w:t xml:space="preserve"> notice</w:t>
      </w:r>
      <w:r w:rsidR="003E344C" w:rsidRPr="00706FA3">
        <w:rPr>
          <w:rFonts w:asciiTheme="minorHAnsi" w:hAnsiTheme="minorHAnsi" w:cstheme="minorHAnsi"/>
        </w:rPr>
        <w:t xml:space="preserve">, </w:t>
      </w:r>
      <w:r w:rsidRPr="00706FA3">
        <w:rPr>
          <w:rFonts w:asciiTheme="minorHAnsi" w:hAnsiTheme="minorHAnsi" w:cstheme="minorHAnsi"/>
        </w:rPr>
        <w:t xml:space="preserve">make an </w:t>
      </w:r>
      <w:r w:rsidR="003E344C" w:rsidRPr="00706FA3">
        <w:rPr>
          <w:rFonts w:asciiTheme="minorHAnsi" w:hAnsiTheme="minorHAnsi" w:cstheme="minorHAnsi"/>
        </w:rPr>
        <w:t>offer</w:t>
      </w:r>
      <w:r w:rsidR="00404880" w:rsidRPr="00706FA3">
        <w:rPr>
          <w:rFonts w:asciiTheme="minorHAnsi" w:hAnsiTheme="minorHAnsi" w:cstheme="minorHAnsi"/>
        </w:rPr>
        <w:t xml:space="preserve"> or </w:t>
      </w:r>
      <w:r w:rsidRPr="00706FA3">
        <w:rPr>
          <w:rFonts w:asciiTheme="minorHAnsi" w:hAnsiTheme="minorHAnsi" w:cstheme="minorHAnsi"/>
        </w:rPr>
        <w:t xml:space="preserve">provide </w:t>
      </w:r>
      <w:r w:rsidR="00404880" w:rsidRPr="00706FA3">
        <w:rPr>
          <w:rFonts w:asciiTheme="minorHAnsi" w:hAnsiTheme="minorHAnsi" w:cstheme="minorHAnsi"/>
        </w:rPr>
        <w:t>reason</w:t>
      </w:r>
      <w:r w:rsidR="007361E6" w:rsidRPr="00706FA3">
        <w:rPr>
          <w:rFonts w:asciiTheme="minorHAnsi" w:hAnsiTheme="minorHAnsi" w:cstheme="minorHAnsi"/>
        </w:rPr>
        <w:t>s</w:t>
      </w:r>
      <w:r w:rsidR="00404880" w:rsidRPr="00706FA3">
        <w:rPr>
          <w:rFonts w:asciiTheme="minorHAnsi" w:hAnsiTheme="minorHAnsi" w:cstheme="minorHAnsi"/>
        </w:rPr>
        <w:t xml:space="preserve"> for a decision to an applicant under the MAI Act, the </w:t>
      </w:r>
      <w:r w:rsidR="00EE5AE5">
        <w:rPr>
          <w:rFonts w:asciiTheme="minorHAnsi" w:hAnsiTheme="minorHAnsi" w:cstheme="minorHAnsi"/>
        </w:rPr>
        <w:t>r</w:t>
      </w:r>
      <w:r w:rsidR="00404880" w:rsidRPr="00706FA3">
        <w:rPr>
          <w:rFonts w:asciiTheme="minorHAnsi" w:hAnsiTheme="minorHAnsi" w:cstheme="minorHAnsi"/>
        </w:rPr>
        <w:t>egulations or the MAI Guidelines.</w:t>
      </w:r>
    </w:p>
    <w:p w14:paraId="4FB55362" w14:textId="77777777" w:rsidR="00AD7E30" w:rsidRPr="00706FA3" w:rsidRDefault="00AD7E30" w:rsidP="00403EA3">
      <w:pPr>
        <w:pStyle w:val="BodyText"/>
        <w:ind w:right="151"/>
        <w:rPr>
          <w:rFonts w:asciiTheme="minorHAnsi" w:hAnsiTheme="minorHAnsi" w:cstheme="minorHAnsi"/>
        </w:rPr>
      </w:pPr>
    </w:p>
    <w:p w14:paraId="0ECE4B40" w14:textId="1879FF8B" w:rsidR="00403EA3" w:rsidRPr="00706FA3" w:rsidRDefault="00AD7E30" w:rsidP="00403EA3">
      <w:pPr>
        <w:pStyle w:val="BodyText"/>
        <w:ind w:right="151"/>
        <w:rPr>
          <w:rFonts w:asciiTheme="minorHAnsi" w:hAnsiTheme="minorHAnsi" w:cstheme="minorHAnsi"/>
          <w:sz w:val="20"/>
          <w:szCs w:val="20"/>
        </w:rPr>
      </w:pPr>
      <w:r w:rsidRPr="00706FA3">
        <w:rPr>
          <w:rFonts w:asciiTheme="minorHAnsi" w:hAnsiTheme="minorHAnsi" w:cstheme="minorHAnsi"/>
          <w:sz w:val="20"/>
          <w:szCs w:val="20"/>
        </w:rPr>
        <w:t>Note: Application includes any request that can be made to an insurer under the MAI Act</w:t>
      </w:r>
      <w:r w:rsidR="009B7D93" w:rsidRPr="00706FA3">
        <w:rPr>
          <w:rFonts w:asciiTheme="minorHAnsi" w:hAnsiTheme="minorHAnsi" w:cstheme="minorHAnsi"/>
          <w:sz w:val="20"/>
          <w:szCs w:val="20"/>
        </w:rPr>
        <w:t xml:space="preserve">. A form need not </w:t>
      </w:r>
      <w:r w:rsidRPr="00706FA3">
        <w:rPr>
          <w:rFonts w:asciiTheme="minorHAnsi" w:hAnsiTheme="minorHAnsi" w:cstheme="minorHAnsi"/>
          <w:sz w:val="20"/>
          <w:szCs w:val="20"/>
        </w:rPr>
        <w:t xml:space="preserve">exist for making that request. </w:t>
      </w:r>
    </w:p>
    <w:p w14:paraId="261BE133" w14:textId="77777777" w:rsidR="00AD7E30" w:rsidRPr="00706FA3" w:rsidRDefault="00AD7E30" w:rsidP="00403EA3">
      <w:pPr>
        <w:pStyle w:val="BodyText"/>
        <w:ind w:right="151"/>
        <w:rPr>
          <w:rFonts w:asciiTheme="minorHAnsi" w:hAnsiTheme="minorHAnsi" w:cstheme="minorHAnsi"/>
        </w:rPr>
      </w:pPr>
    </w:p>
    <w:p w14:paraId="05B99883" w14:textId="4559CD3B" w:rsidR="0063201F" w:rsidRPr="00706FA3" w:rsidRDefault="009B7D93" w:rsidP="0063201F">
      <w:pPr>
        <w:pStyle w:val="BodyText"/>
        <w:ind w:right="151"/>
        <w:rPr>
          <w:rFonts w:asciiTheme="minorHAnsi" w:hAnsiTheme="minorHAnsi" w:cstheme="minorHAnsi"/>
        </w:rPr>
      </w:pPr>
      <w:r w:rsidRPr="00706FA3">
        <w:rPr>
          <w:rFonts w:asciiTheme="minorHAnsi" w:hAnsiTheme="minorHAnsi" w:cstheme="minorHAnsi"/>
          <w:b/>
          <w:bCs/>
        </w:rPr>
        <w:t xml:space="preserve">3.1.3 </w:t>
      </w:r>
      <w:r w:rsidR="00324C52" w:rsidRPr="00706FA3">
        <w:rPr>
          <w:rFonts w:asciiTheme="minorHAnsi" w:hAnsiTheme="minorHAnsi" w:cstheme="minorHAnsi"/>
          <w:b/>
          <w:bCs/>
        </w:rPr>
        <w:t xml:space="preserve"> </w:t>
      </w:r>
      <w:r w:rsidR="007A05C2" w:rsidRPr="00706FA3">
        <w:rPr>
          <w:rFonts w:asciiTheme="minorHAnsi" w:hAnsiTheme="minorHAnsi" w:cstheme="minorHAnsi"/>
        </w:rPr>
        <w:t>Where</w:t>
      </w:r>
      <w:r w:rsidR="00D04965" w:rsidRPr="00706FA3">
        <w:rPr>
          <w:rFonts w:asciiTheme="minorHAnsi" w:hAnsiTheme="minorHAnsi" w:cstheme="minorHAnsi"/>
        </w:rPr>
        <w:t xml:space="preserve"> an </w:t>
      </w:r>
      <w:r w:rsidR="00931339" w:rsidRPr="00706FA3">
        <w:rPr>
          <w:rFonts w:asciiTheme="minorHAnsi" w:hAnsiTheme="minorHAnsi" w:cstheme="minorHAnsi"/>
        </w:rPr>
        <w:t>applicant or prospective applicant, or claimant</w:t>
      </w:r>
      <w:r w:rsidR="00D04965" w:rsidRPr="00706FA3">
        <w:rPr>
          <w:rFonts w:asciiTheme="minorHAnsi" w:hAnsiTheme="minorHAnsi" w:cstheme="minorHAnsi"/>
        </w:rPr>
        <w:t xml:space="preserve"> makes contact with an insurer about a matter through a legal representative (for example, submits the application for </w:t>
      </w:r>
      <w:r w:rsidR="007A05C2" w:rsidRPr="00706FA3">
        <w:rPr>
          <w:rFonts w:asciiTheme="minorHAnsi" w:hAnsiTheme="minorHAnsi" w:cstheme="minorHAnsi"/>
        </w:rPr>
        <w:t>defined benefits</w:t>
      </w:r>
      <w:r w:rsidR="00D04965" w:rsidRPr="00706FA3">
        <w:rPr>
          <w:rFonts w:asciiTheme="minorHAnsi" w:hAnsiTheme="minorHAnsi" w:cstheme="minorHAnsi"/>
        </w:rPr>
        <w:t xml:space="preserve"> under a lawyer’s letter), the insurer is to respond</w:t>
      </w:r>
      <w:r w:rsidR="00313395" w:rsidRPr="00706FA3">
        <w:rPr>
          <w:rFonts w:asciiTheme="minorHAnsi" w:hAnsiTheme="minorHAnsi" w:cstheme="minorHAnsi"/>
        </w:rPr>
        <w:t xml:space="preserve"> at the same time</w:t>
      </w:r>
      <w:r w:rsidR="00D04965" w:rsidRPr="00706FA3">
        <w:rPr>
          <w:rFonts w:asciiTheme="minorHAnsi" w:hAnsiTheme="minorHAnsi" w:cstheme="minorHAnsi"/>
        </w:rPr>
        <w:t xml:space="preserve"> to both the injured person and the legal representative. This is to ensure the injured person </w:t>
      </w:r>
      <w:r w:rsidR="007A05C2" w:rsidRPr="00706FA3">
        <w:rPr>
          <w:rFonts w:asciiTheme="minorHAnsi" w:hAnsiTheme="minorHAnsi" w:cstheme="minorHAnsi"/>
        </w:rPr>
        <w:t xml:space="preserve">receives information </w:t>
      </w:r>
      <w:r w:rsidR="00313395" w:rsidRPr="00706FA3">
        <w:rPr>
          <w:rFonts w:asciiTheme="minorHAnsi" w:hAnsiTheme="minorHAnsi" w:cstheme="minorHAnsi"/>
        </w:rPr>
        <w:t>fro</w:t>
      </w:r>
      <w:r w:rsidR="007A05C2" w:rsidRPr="00706FA3">
        <w:rPr>
          <w:rFonts w:asciiTheme="minorHAnsi" w:hAnsiTheme="minorHAnsi" w:cstheme="minorHAnsi"/>
        </w:rPr>
        <w:t xml:space="preserve">m </w:t>
      </w:r>
      <w:r w:rsidR="00D04965" w:rsidRPr="00706FA3">
        <w:rPr>
          <w:rFonts w:asciiTheme="minorHAnsi" w:hAnsiTheme="minorHAnsi" w:cstheme="minorHAnsi"/>
        </w:rPr>
        <w:t xml:space="preserve">the insurer and </w:t>
      </w:r>
      <w:r w:rsidR="007A05C2" w:rsidRPr="00706FA3">
        <w:rPr>
          <w:rFonts w:asciiTheme="minorHAnsi" w:hAnsiTheme="minorHAnsi" w:cstheme="minorHAnsi"/>
        </w:rPr>
        <w:t xml:space="preserve">is </w:t>
      </w:r>
      <w:r w:rsidR="00861953" w:rsidRPr="00706FA3">
        <w:rPr>
          <w:rFonts w:asciiTheme="minorHAnsi" w:hAnsiTheme="minorHAnsi" w:cstheme="minorHAnsi"/>
        </w:rPr>
        <w:t xml:space="preserve">therefore </w:t>
      </w:r>
      <w:r w:rsidR="00D04965" w:rsidRPr="00706FA3">
        <w:rPr>
          <w:rFonts w:asciiTheme="minorHAnsi" w:hAnsiTheme="minorHAnsi" w:cstheme="minorHAnsi"/>
        </w:rPr>
        <w:t xml:space="preserve">not reliant on the </w:t>
      </w:r>
      <w:r w:rsidR="00861953" w:rsidRPr="00706FA3">
        <w:rPr>
          <w:rFonts w:asciiTheme="minorHAnsi" w:hAnsiTheme="minorHAnsi" w:cstheme="minorHAnsi"/>
        </w:rPr>
        <w:t xml:space="preserve">timely conveyance </w:t>
      </w:r>
      <w:r w:rsidR="00D04965" w:rsidRPr="00706FA3">
        <w:rPr>
          <w:rFonts w:asciiTheme="minorHAnsi" w:hAnsiTheme="minorHAnsi" w:cstheme="minorHAnsi"/>
        </w:rPr>
        <w:t xml:space="preserve">of information from the legal representative. </w:t>
      </w:r>
    </w:p>
    <w:p w14:paraId="07920C76" w14:textId="77777777" w:rsidR="00237BDB" w:rsidRPr="00706FA3" w:rsidRDefault="00237BDB" w:rsidP="00761809">
      <w:pPr>
        <w:pStyle w:val="BodyText"/>
        <w:ind w:left="720" w:right="151"/>
        <w:rPr>
          <w:rFonts w:asciiTheme="minorHAnsi" w:hAnsiTheme="minorHAnsi" w:cstheme="minorHAnsi"/>
        </w:rPr>
      </w:pPr>
    </w:p>
    <w:p w14:paraId="08F4BB33" w14:textId="1CF631E5" w:rsidR="002C3C71" w:rsidRPr="00706FA3" w:rsidRDefault="007A7974" w:rsidP="009B3B19">
      <w:pPr>
        <w:pStyle w:val="BodyText"/>
        <w:ind w:left="454" w:right="151"/>
        <w:rPr>
          <w:rFonts w:asciiTheme="minorHAnsi" w:hAnsiTheme="minorHAnsi" w:cstheme="minorHAnsi"/>
          <w:b/>
        </w:rPr>
      </w:pPr>
      <w:r w:rsidRPr="00706FA3">
        <w:rPr>
          <w:rFonts w:asciiTheme="minorHAnsi" w:hAnsiTheme="minorHAnsi" w:cstheme="minorHAnsi"/>
          <w:b/>
        </w:rPr>
        <w:t>3.2</w:t>
      </w:r>
      <w:r w:rsidRPr="00706FA3">
        <w:rPr>
          <w:rFonts w:asciiTheme="minorHAnsi" w:hAnsiTheme="minorHAnsi" w:cstheme="minorHAnsi"/>
        </w:rPr>
        <w:t xml:space="preserve"> </w:t>
      </w:r>
      <w:r w:rsidR="00D04965" w:rsidRPr="00706FA3">
        <w:rPr>
          <w:rFonts w:asciiTheme="minorHAnsi" w:hAnsiTheme="minorHAnsi" w:cstheme="minorHAnsi"/>
          <w:b/>
          <w:bCs/>
        </w:rPr>
        <w:t>C</w:t>
      </w:r>
      <w:r w:rsidR="002C3C71" w:rsidRPr="00706FA3">
        <w:rPr>
          <w:rFonts w:asciiTheme="minorHAnsi" w:hAnsiTheme="minorHAnsi" w:cstheme="minorHAnsi"/>
          <w:b/>
        </w:rPr>
        <w:t>ommunicating with a legal representative</w:t>
      </w:r>
    </w:p>
    <w:p w14:paraId="2FBE4D13" w14:textId="77777777" w:rsidR="008337A5" w:rsidRPr="00706FA3" w:rsidRDefault="008337A5" w:rsidP="00761809">
      <w:pPr>
        <w:pStyle w:val="BodyText"/>
        <w:ind w:left="720" w:right="151"/>
        <w:rPr>
          <w:rFonts w:asciiTheme="minorHAnsi" w:hAnsiTheme="minorHAnsi" w:cstheme="minorHAnsi"/>
          <w:b/>
        </w:rPr>
      </w:pPr>
    </w:p>
    <w:p w14:paraId="045BF9AE" w14:textId="36552556" w:rsidR="00EA74E2" w:rsidRPr="00706FA3" w:rsidRDefault="009B7D93" w:rsidP="00D95E60">
      <w:pPr>
        <w:pStyle w:val="BodyText"/>
        <w:ind w:right="151"/>
        <w:rPr>
          <w:rFonts w:asciiTheme="minorHAnsi" w:hAnsiTheme="minorHAnsi" w:cstheme="minorHAnsi"/>
        </w:rPr>
      </w:pPr>
      <w:r w:rsidRPr="00706FA3">
        <w:rPr>
          <w:rFonts w:asciiTheme="minorHAnsi" w:hAnsiTheme="minorHAnsi" w:cstheme="minorHAnsi"/>
          <w:b/>
          <w:bCs/>
        </w:rPr>
        <w:t>3.2.1</w:t>
      </w:r>
      <w:r w:rsidR="005004E5">
        <w:rPr>
          <w:rFonts w:asciiTheme="minorHAnsi" w:hAnsiTheme="minorHAnsi" w:cstheme="minorHAnsi"/>
          <w:b/>
          <w:bCs/>
        </w:rPr>
        <w:t xml:space="preserve"> </w:t>
      </w:r>
      <w:r w:rsidRPr="00706FA3">
        <w:rPr>
          <w:rFonts w:asciiTheme="minorHAnsi" w:hAnsiTheme="minorHAnsi" w:cstheme="minorHAnsi"/>
          <w:b/>
          <w:bCs/>
        </w:rPr>
        <w:t xml:space="preserve"> </w:t>
      </w:r>
      <w:r w:rsidR="007A05C2" w:rsidRPr="00706FA3">
        <w:rPr>
          <w:rFonts w:asciiTheme="minorHAnsi" w:hAnsiTheme="minorHAnsi" w:cstheme="minorHAnsi"/>
        </w:rPr>
        <w:t>Where</w:t>
      </w:r>
      <w:r w:rsidR="00F014A7" w:rsidRPr="00706FA3">
        <w:rPr>
          <w:rFonts w:asciiTheme="minorHAnsi" w:hAnsiTheme="minorHAnsi" w:cstheme="minorHAnsi"/>
        </w:rPr>
        <w:t xml:space="preserve"> the applicant or</w:t>
      </w:r>
      <w:r w:rsidR="00033143" w:rsidRPr="00706FA3">
        <w:rPr>
          <w:rFonts w:asciiTheme="minorHAnsi" w:hAnsiTheme="minorHAnsi" w:cstheme="minorHAnsi"/>
        </w:rPr>
        <w:t xml:space="preserve"> </w:t>
      </w:r>
      <w:r w:rsidR="00516301" w:rsidRPr="00706FA3">
        <w:rPr>
          <w:rFonts w:asciiTheme="minorHAnsi" w:hAnsiTheme="minorHAnsi" w:cstheme="minorHAnsi"/>
        </w:rPr>
        <w:t>claimant is legally represented</w:t>
      </w:r>
      <w:r w:rsidR="003B0DF5" w:rsidRPr="00706FA3">
        <w:rPr>
          <w:rFonts w:asciiTheme="minorHAnsi" w:hAnsiTheme="minorHAnsi" w:cstheme="minorHAnsi"/>
        </w:rPr>
        <w:t xml:space="preserve"> in relation to a matter</w:t>
      </w:r>
      <w:r w:rsidR="00516301" w:rsidRPr="00706FA3">
        <w:rPr>
          <w:rFonts w:asciiTheme="minorHAnsi" w:hAnsiTheme="minorHAnsi" w:cstheme="minorHAnsi"/>
        </w:rPr>
        <w:t>,</w:t>
      </w:r>
      <w:r w:rsidR="006376B3" w:rsidRPr="00706FA3">
        <w:rPr>
          <w:rFonts w:asciiTheme="minorHAnsi" w:hAnsiTheme="minorHAnsi" w:cstheme="minorHAnsi"/>
        </w:rPr>
        <w:t xml:space="preserve"> and the insurer </w:t>
      </w:r>
      <w:r w:rsidR="00B63902" w:rsidRPr="00706FA3">
        <w:rPr>
          <w:rFonts w:asciiTheme="minorHAnsi" w:hAnsiTheme="minorHAnsi" w:cstheme="minorHAnsi"/>
        </w:rPr>
        <w:t xml:space="preserve">has been </w:t>
      </w:r>
      <w:r w:rsidR="006376B3" w:rsidRPr="00706FA3">
        <w:rPr>
          <w:rFonts w:asciiTheme="minorHAnsi" w:hAnsiTheme="minorHAnsi" w:cstheme="minorHAnsi"/>
        </w:rPr>
        <w:t>given an authority</w:t>
      </w:r>
      <w:r w:rsidR="00F95B20" w:rsidRPr="00706FA3">
        <w:rPr>
          <w:rFonts w:asciiTheme="minorHAnsi" w:hAnsiTheme="minorHAnsi" w:cstheme="minorHAnsi"/>
        </w:rPr>
        <w:t xml:space="preserve"> to act</w:t>
      </w:r>
      <w:r w:rsidR="006376B3" w:rsidRPr="00706FA3">
        <w:rPr>
          <w:rFonts w:asciiTheme="minorHAnsi" w:hAnsiTheme="minorHAnsi" w:cstheme="minorHAnsi"/>
        </w:rPr>
        <w:t xml:space="preserve"> </w:t>
      </w:r>
      <w:r w:rsidR="00F95B20" w:rsidRPr="00706FA3">
        <w:rPr>
          <w:rFonts w:asciiTheme="minorHAnsi" w:hAnsiTheme="minorHAnsi" w:cstheme="minorHAnsi"/>
        </w:rPr>
        <w:t>from the</w:t>
      </w:r>
      <w:r w:rsidR="006376B3" w:rsidRPr="00706FA3">
        <w:rPr>
          <w:rFonts w:asciiTheme="minorHAnsi" w:hAnsiTheme="minorHAnsi" w:cstheme="minorHAnsi"/>
        </w:rPr>
        <w:t xml:space="preserve"> applicant/claimant, </w:t>
      </w:r>
      <w:r w:rsidR="003B0DF5" w:rsidRPr="00706FA3">
        <w:rPr>
          <w:rFonts w:asciiTheme="minorHAnsi" w:hAnsiTheme="minorHAnsi" w:cstheme="minorHAnsi"/>
        </w:rPr>
        <w:t>the insurer</w:t>
      </w:r>
      <w:r w:rsidR="00D95E60" w:rsidRPr="00706FA3">
        <w:rPr>
          <w:rFonts w:asciiTheme="minorHAnsi" w:hAnsiTheme="minorHAnsi" w:cstheme="minorHAnsi"/>
          <w:i/>
          <w:iCs/>
        </w:rPr>
        <w:t xml:space="preserve"> </w:t>
      </w:r>
      <w:r w:rsidR="00D95E60" w:rsidRPr="00706FA3">
        <w:rPr>
          <w:rFonts w:asciiTheme="minorHAnsi" w:hAnsiTheme="minorHAnsi" w:cstheme="minorHAnsi"/>
        </w:rPr>
        <w:t>must</w:t>
      </w:r>
      <w:r w:rsidR="007F6C0C" w:rsidRPr="00706FA3">
        <w:rPr>
          <w:rFonts w:asciiTheme="minorHAnsi" w:hAnsiTheme="minorHAnsi" w:cstheme="minorHAnsi"/>
        </w:rPr>
        <w:t xml:space="preserve"> also</w:t>
      </w:r>
      <w:r w:rsidR="00D95E60" w:rsidRPr="00706FA3">
        <w:rPr>
          <w:rFonts w:asciiTheme="minorHAnsi" w:hAnsiTheme="minorHAnsi" w:cstheme="minorHAnsi"/>
        </w:rPr>
        <w:t xml:space="preserve"> give a copy of any written notice, </w:t>
      </w:r>
      <w:r w:rsidR="003A0371" w:rsidRPr="00706FA3">
        <w:rPr>
          <w:rFonts w:asciiTheme="minorHAnsi" w:hAnsiTheme="minorHAnsi" w:cstheme="minorHAnsi"/>
        </w:rPr>
        <w:t>o</w:t>
      </w:r>
      <w:r w:rsidR="00D95E60" w:rsidRPr="00706FA3">
        <w:rPr>
          <w:rFonts w:asciiTheme="minorHAnsi" w:hAnsiTheme="minorHAnsi" w:cstheme="minorHAnsi"/>
        </w:rPr>
        <w:t>ffer</w:t>
      </w:r>
      <w:r w:rsidR="003A0371" w:rsidRPr="00706FA3">
        <w:rPr>
          <w:rFonts w:asciiTheme="minorHAnsi" w:hAnsiTheme="minorHAnsi" w:cstheme="minorHAnsi"/>
        </w:rPr>
        <w:t>, or reason for a decision</w:t>
      </w:r>
      <w:r w:rsidR="00D95E60" w:rsidRPr="00706FA3">
        <w:rPr>
          <w:rFonts w:asciiTheme="minorHAnsi" w:hAnsiTheme="minorHAnsi" w:cstheme="minorHAnsi"/>
        </w:rPr>
        <w:t xml:space="preserve"> to </w:t>
      </w:r>
      <w:r w:rsidR="003B0DF5" w:rsidRPr="00706FA3">
        <w:rPr>
          <w:rFonts w:asciiTheme="minorHAnsi" w:hAnsiTheme="minorHAnsi" w:cstheme="minorHAnsi"/>
        </w:rPr>
        <w:t>the</w:t>
      </w:r>
      <w:r w:rsidR="00D95E60" w:rsidRPr="00706FA3">
        <w:rPr>
          <w:rFonts w:asciiTheme="minorHAnsi" w:hAnsiTheme="minorHAnsi" w:cstheme="minorHAnsi"/>
        </w:rPr>
        <w:t xml:space="preserve"> legal representative</w:t>
      </w:r>
      <w:r w:rsidR="00313395" w:rsidRPr="00706FA3">
        <w:rPr>
          <w:rFonts w:asciiTheme="minorHAnsi" w:hAnsiTheme="minorHAnsi" w:cstheme="minorHAnsi"/>
        </w:rPr>
        <w:t xml:space="preserve"> at the same time</w:t>
      </w:r>
      <w:r w:rsidR="00D95E60" w:rsidRPr="00706FA3">
        <w:rPr>
          <w:rFonts w:asciiTheme="minorHAnsi" w:hAnsiTheme="minorHAnsi" w:cstheme="minorHAnsi"/>
        </w:rPr>
        <w:t>.</w:t>
      </w:r>
    </w:p>
    <w:p w14:paraId="55EB86BE" w14:textId="77777777" w:rsidR="00EA74E2" w:rsidRPr="00706FA3" w:rsidRDefault="00EA74E2" w:rsidP="00EA74E2">
      <w:pPr>
        <w:pStyle w:val="BodyText"/>
        <w:ind w:left="720" w:right="151"/>
        <w:rPr>
          <w:rFonts w:asciiTheme="minorHAnsi" w:hAnsiTheme="minorHAnsi" w:cstheme="minorHAnsi"/>
        </w:rPr>
      </w:pPr>
    </w:p>
    <w:p w14:paraId="69B7DBA5" w14:textId="505DCC3F" w:rsidR="003B0DF5" w:rsidRPr="00706FA3" w:rsidRDefault="009B7D93" w:rsidP="009B3B19">
      <w:pPr>
        <w:pStyle w:val="BodyText"/>
        <w:rPr>
          <w:rFonts w:asciiTheme="minorHAnsi" w:hAnsiTheme="minorHAnsi" w:cstheme="minorHAnsi"/>
        </w:rPr>
      </w:pPr>
      <w:r w:rsidRPr="00706FA3">
        <w:rPr>
          <w:rFonts w:asciiTheme="minorHAnsi" w:hAnsiTheme="minorHAnsi" w:cstheme="minorHAnsi"/>
          <w:b/>
          <w:bCs/>
        </w:rPr>
        <w:t xml:space="preserve">3.2.2  </w:t>
      </w:r>
      <w:r w:rsidR="00036347" w:rsidRPr="00706FA3">
        <w:rPr>
          <w:rFonts w:asciiTheme="minorHAnsi" w:hAnsiTheme="minorHAnsi" w:cstheme="minorHAnsi"/>
        </w:rPr>
        <w:t xml:space="preserve">Where </w:t>
      </w:r>
      <w:r w:rsidR="00665496" w:rsidRPr="00706FA3">
        <w:rPr>
          <w:rFonts w:asciiTheme="minorHAnsi" w:hAnsiTheme="minorHAnsi" w:cstheme="minorHAnsi"/>
        </w:rPr>
        <w:t>the</w:t>
      </w:r>
      <w:r w:rsidR="00036347" w:rsidRPr="00706FA3">
        <w:rPr>
          <w:rFonts w:asciiTheme="minorHAnsi" w:hAnsiTheme="minorHAnsi" w:cstheme="minorHAnsi"/>
        </w:rPr>
        <w:t xml:space="preserve"> </w:t>
      </w:r>
      <w:r w:rsidR="00023C69" w:rsidRPr="00706FA3">
        <w:rPr>
          <w:rFonts w:asciiTheme="minorHAnsi" w:hAnsiTheme="minorHAnsi" w:cstheme="minorHAnsi"/>
        </w:rPr>
        <w:t xml:space="preserve">applicant/claimant’s </w:t>
      </w:r>
      <w:r w:rsidR="00036347" w:rsidRPr="00706FA3">
        <w:rPr>
          <w:rFonts w:asciiTheme="minorHAnsi" w:hAnsiTheme="minorHAnsi" w:cstheme="minorHAnsi"/>
        </w:rPr>
        <w:t xml:space="preserve">legal representative seeks to limit the contact of the insurer with the applicant or claimant, the insurer is to </w:t>
      </w:r>
      <w:bookmarkStart w:id="2" w:name="_Hlk22552495"/>
      <w:r w:rsidR="00036347" w:rsidRPr="00706FA3">
        <w:rPr>
          <w:rFonts w:asciiTheme="minorHAnsi" w:hAnsiTheme="minorHAnsi" w:cstheme="minorHAnsi"/>
        </w:rPr>
        <w:t>inform the legal representative that the insurer is authorised to communicate</w:t>
      </w:r>
      <w:r w:rsidR="003B0DF5" w:rsidRPr="00706FA3">
        <w:rPr>
          <w:rFonts w:asciiTheme="minorHAnsi" w:hAnsiTheme="minorHAnsi" w:cstheme="minorHAnsi"/>
        </w:rPr>
        <w:t xml:space="preserve"> directly</w:t>
      </w:r>
      <w:r w:rsidR="00036347" w:rsidRPr="00706FA3">
        <w:rPr>
          <w:rFonts w:asciiTheme="minorHAnsi" w:hAnsiTheme="minorHAnsi" w:cstheme="minorHAnsi"/>
        </w:rPr>
        <w:t xml:space="preserve"> with the applicant or claimant</w:t>
      </w:r>
      <w:bookmarkEnd w:id="2"/>
      <w:r w:rsidR="00F95B20" w:rsidRPr="00706FA3">
        <w:rPr>
          <w:rFonts w:asciiTheme="minorHAnsi" w:hAnsiTheme="minorHAnsi" w:cstheme="minorHAnsi"/>
        </w:rPr>
        <w:t>.</w:t>
      </w:r>
      <w:r w:rsidR="00036347" w:rsidRPr="00706FA3">
        <w:rPr>
          <w:rFonts w:asciiTheme="minorHAnsi" w:hAnsiTheme="minorHAnsi" w:cstheme="minorHAnsi"/>
        </w:rPr>
        <w:t xml:space="preserve"> </w:t>
      </w:r>
    </w:p>
    <w:p w14:paraId="347B4178" w14:textId="77777777" w:rsidR="003B0DF5" w:rsidRPr="00706FA3" w:rsidRDefault="003B0DF5" w:rsidP="009B3B19">
      <w:pPr>
        <w:pStyle w:val="BodyText"/>
        <w:rPr>
          <w:rFonts w:asciiTheme="minorHAnsi" w:hAnsiTheme="minorHAnsi" w:cstheme="minorHAnsi"/>
        </w:rPr>
      </w:pPr>
    </w:p>
    <w:p w14:paraId="479D1432" w14:textId="37A0AD16" w:rsidR="00036347" w:rsidRPr="00706FA3" w:rsidRDefault="009B7D93" w:rsidP="009B3B19">
      <w:pPr>
        <w:pStyle w:val="BodyText"/>
        <w:rPr>
          <w:rFonts w:asciiTheme="minorHAnsi" w:hAnsiTheme="minorHAnsi" w:cstheme="minorHAnsi"/>
        </w:rPr>
      </w:pPr>
      <w:r w:rsidRPr="00706FA3">
        <w:rPr>
          <w:rFonts w:asciiTheme="minorHAnsi" w:hAnsiTheme="minorHAnsi" w:cstheme="minorHAnsi"/>
          <w:b/>
          <w:bCs/>
        </w:rPr>
        <w:t xml:space="preserve">3.2.3  </w:t>
      </w:r>
      <w:r w:rsidR="00036347" w:rsidRPr="00706FA3">
        <w:rPr>
          <w:rFonts w:asciiTheme="minorHAnsi" w:hAnsiTheme="minorHAnsi" w:cstheme="minorHAnsi"/>
        </w:rPr>
        <w:t xml:space="preserve">Where there are matters </w:t>
      </w:r>
      <w:r w:rsidR="00B059FE" w:rsidRPr="00706FA3">
        <w:rPr>
          <w:rFonts w:asciiTheme="minorHAnsi" w:hAnsiTheme="minorHAnsi" w:cstheme="minorHAnsi"/>
        </w:rPr>
        <w:t>in negotiation</w:t>
      </w:r>
      <w:r w:rsidR="001306EC" w:rsidRPr="00706FA3">
        <w:rPr>
          <w:rFonts w:asciiTheme="minorHAnsi" w:hAnsiTheme="minorHAnsi" w:cstheme="minorHAnsi"/>
        </w:rPr>
        <w:t>,</w:t>
      </w:r>
      <w:r w:rsidR="00B059FE" w:rsidRPr="00706FA3">
        <w:rPr>
          <w:rFonts w:asciiTheme="minorHAnsi" w:hAnsiTheme="minorHAnsi" w:cstheme="minorHAnsi"/>
        </w:rPr>
        <w:t xml:space="preserve"> before </w:t>
      </w:r>
      <w:r w:rsidR="00A24514" w:rsidRPr="00706FA3">
        <w:rPr>
          <w:rFonts w:asciiTheme="minorHAnsi" w:hAnsiTheme="minorHAnsi" w:cstheme="minorHAnsi"/>
        </w:rPr>
        <w:t xml:space="preserve">the </w:t>
      </w:r>
      <w:r w:rsidR="00B059FE" w:rsidRPr="00706FA3">
        <w:rPr>
          <w:rFonts w:asciiTheme="minorHAnsi" w:hAnsiTheme="minorHAnsi" w:cstheme="minorHAnsi"/>
        </w:rPr>
        <w:t>ACAT or a court</w:t>
      </w:r>
      <w:r w:rsidR="00036347" w:rsidRPr="00706FA3">
        <w:rPr>
          <w:rFonts w:asciiTheme="minorHAnsi" w:hAnsiTheme="minorHAnsi" w:cstheme="minorHAnsi"/>
        </w:rPr>
        <w:t>,</w:t>
      </w:r>
      <w:r w:rsidR="006376B3" w:rsidRPr="00706FA3">
        <w:rPr>
          <w:rFonts w:asciiTheme="minorHAnsi" w:hAnsiTheme="minorHAnsi" w:cstheme="minorHAnsi"/>
        </w:rPr>
        <w:t xml:space="preserve"> the insurer is not restricted in communicating with the </w:t>
      </w:r>
      <w:r w:rsidR="00931339" w:rsidRPr="00706FA3">
        <w:rPr>
          <w:rFonts w:asciiTheme="minorHAnsi" w:hAnsiTheme="minorHAnsi" w:cstheme="minorHAnsi"/>
        </w:rPr>
        <w:t>applicant or claimant</w:t>
      </w:r>
      <w:r w:rsidR="00A438C0" w:rsidRPr="00706FA3">
        <w:rPr>
          <w:rFonts w:asciiTheme="minorHAnsi" w:hAnsiTheme="minorHAnsi" w:cstheme="minorHAnsi"/>
        </w:rPr>
        <w:t>. An insurer can continue to manage an applicant’s</w:t>
      </w:r>
      <w:r w:rsidR="00861953" w:rsidRPr="00706FA3">
        <w:rPr>
          <w:rFonts w:asciiTheme="minorHAnsi" w:hAnsiTheme="minorHAnsi" w:cstheme="minorHAnsi"/>
        </w:rPr>
        <w:t>/claimant’s</w:t>
      </w:r>
      <w:r w:rsidR="00A438C0" w:rsidRPr="00706FA3">
        <w:rPr>
          <w:rFonts w:asciiTheme="minorHAnsi" w:hAnsiTheme="minorHAnsi" w:cstheme="minorHAnsi"/>
        </w:rPr>
        <w:t xml:space="preserve"> benefits </w:t>
      </w:r>
      <w:r w:rsidR="00861953" w:rsidRPr="00706FA3">
        <w:rPr>
          <w:rFonts w:asciiTheme="minorHAnsi" w:hAnsiTheme="minorHAnsi" w:cstheme="minorHAnsi"/>
        </w:rPr>
        <w:t xml:space="preserve">(particularly to </w:t>
      </w:r>
      <w:r w:rsidR="00A438C0" w:rsidRPr="00706FA3">
        <w:rPr>
          <w:rFonts w:asciiTheme="minorHAnsi" w:hAnsiTheme="minorHAnsi" w:cstheme="minorHAnsi"/>
        </w:rPr>
        <w:t xml:space="preserve">support </w:t>
      </w:r>
      <w:r w:rsidR="00861953" w:rsidRPr="00706FA3">
        <w:rPr>
          <w:rFonts w:asciiTheme="minorHAnsi" w:hAnsiTheme="minorHAnsi" w:cstheme="minorHAnsi"/>
        </w:rPr>
        <w:t>their</w:t>
      </w:r>
      <w:r w:rsidR="00A438C0" w:rsidRPr="00706FA3">
        <w:rPr>
          <w:rFonts w:asciiTheme="minorHAnsi" w:hAnsiTheme="minorHAnsi" w:cstheme="minorHAnsi"/>
        </w:rPr>
        <w:t xml:space="preserve"> recovery</w:t>
      </w:r>
      <w:r w:rsidR="00861953" w:rsidRPr="00706FA3">
        <w:rPr>
          <w:rFonts w:asciiTheme="minorHAnsi" w:hAnsiTheme="minorHAnsi" w:cstheme="minorHAnsi"/>
        </w:rPr>
        <w:t>)</w:t>
      </w:r>
      <w:r w:rsidR="00A438C0" w:rsidRPr="00706FA3">
        <w:rPr>
          <w:rFonts w:asciiTheme="minorHAnsi" w:hAnsiTheme="minorHAnsi" w:cstheme="minorHAnsi"/>
        </w:rPr>
        <w:t xml:space="preserve"> while </w:t>
      </w:r>
      <w:r w:rsidR="00861953" w:rsidRPr="00706FA3">
        <w:rPr>
          <w:rFonts w:asciiTheme="minorHAnsi" w:hAnsiTheme="minorHAnsi" w:cstheme="minorHAnsi"/>
        </w:rPr>
        <w:t xml:space="preserve">the ACAT or court is considering the matter, </w:t>
      </w:r>
      <w:r w:rsidR="00A438C0" w:rsidRPr="00706FA3">
        <w:rPr>
          <w:rFonts w:asciiTheme="minorHAnsi" w:hAnsiTheme="minorHAnsi" w:cstheme="minorHAnsi"/>
        </w:rPr>
        <w:t xml:space="preserve">even if the </w:t>
      </w:r>
      <w:r w:rsidR="00861953" w:rsidRPr="00706FA3">
        <w:rPr>
          <w:rFonts w:asciiTheme="minorHAnsi" w:hAnsiTheme="minorHAnsi" w:cstheme="minorHAnsi"/>
        </w:rPr>
        <w:t>matter</w:t>
      </w:r>
      <w:r w:rsidR="00A438C0" w:rsidRPr="00706FA3">
        <w:rPr>
          <w:rFonts w:asciiTheme="minorHAnsi" w:hAnsiTheme="minorHAnsi" w:cstheme="minorHAnsi"/>
        </w:rPr>
        <w:t xml:space="preserve"> is concerned with particular benefits, etc.</w:t>
      </w:r>
      <w:r w:rsidR="00313395" w:rsidRPr="00706FA3">
        <w:rPr>
          <w:rFonts w:asciiTheme="minorHAnsi" w:hAnsiTheme="minorHAnsi" w:cstheme="minorHAnsi"/>
        </w:rPr>
        <w:t xml:space="preserve"> </w:t>
      </w:r>
    </w:p>
    <w:p w14:paraId="689ACEF6" w14:textId="16029A79" w:rsidR="00665496" w:rsidRPr="00706FA3" w:rsidRDefault="00665496" w:rsidP="00761809">
      <w:pPr>
        <w:pStyle w:val="BodyText"/>
        <w:ind w:left="720" w:right="151"/>
        <w:rPr>
          <w:rFonts w:asciiTheme="minorHAnsi" w:hAnsiTheme="minorHAnsi" w:cstheme="minorHAnsi"/>
        </w:rPr>
      </w:pPr>
    </w:p>
    <w:p w14:paraId="224FC323" w14:textId="34D409BD" w:rsidR="00665496" w:rsidRPr="00706FA3" w:rsidRDefault="009B7D93" w:rsidP="009B3B19">
      <w:pPr>
        <w:pStyle w:val="BodyText"/>
        <w:rPr>
          <w:rFonts w:asciiTheme="minorHAnsi" w:hAnsiTheme="minorHAnsi" w:cstheme="minorHAnsi"/>
        </w:rPr>
      </w:pPr>
      <w:r w:rsidRPr="00706FA3">
        <w:rPr>
          <w:rFonts w:asciiTheme="minorHAnsi" w:hAnsiTheme="minorHAnsi" w:cstheme="minorHAnsi"/>
          <w:b/>
          <w:bCs/>
        </w:rPr>
        <w:t xml:space="preserve">3.2.4  </w:t>
      </w:r>
      <w:r w:rsidR="00313395" w:rsidRPr="00706FA3">
        <w:rPr>
          <w:rFonts w:asciiTheme="minorHAnsi" w:hAnsiTheme="minorHAnsi" w:cstheme="minorHAnsi"/>
        </w:rPr>
        <w:t>These guidelines do not authorise a law practice</w:t>
      </w:r>
      <w:r w:rsidR="00324C52" w:rsidRPr="00706FA3">
        <w:rPr>
          <w:rFonts w:asciiTheme="minorHAnsi" w:hAnsiTheme="minorHAnsi" w:cstheme="minorHAnsi"/>
        </w:rPr>
        <w:t xml:space="preserve"> or a</w:t>
      </w:r>
      <w:r w:rsidR="00313395" w:rsidRPr="00706FA3">
        <w:rPr>
          <w:rFonts w:asciiTheme="minorHAnsi" w:hAnsiTheme="minorHAnsi" w:cstheme="minorHAnsi"/>
        </w:rPr>
        <w:t xml:space="preserve"> solicitor</w:t>
      </w:r>
      <w:r w:rsidR="00324C52" w:rsidRPr="00706FA3">
        <w:rPr>
          <w:rFonts w:asciiTheme="minorHAnsi" w:hAnsiTheme="minorHAnsi" w:cstheme="minorHAnsi"/>
        </w:rPr>
        <w:t xml:space="preserve"> for a law practice</w:t>
      </w:r>
      <w:r w:rsidR="00313395" w:rsidRPr="00706FA3">
        <w:rPr>
          <w:rFonts w:asciiTheme="minorHAnsi" w:hAnsiTheme="minorHAnsi" w:cstheme="minorHAnsi"/>
        </w:rPr>
        <w:t xml:space="preserve"> represent</w:t>
      </w:r>
      <w:r w:rsidR="00324C52" w:rsidRPr="00706FA3">
        <w:rPr>
          <w:rFonts w:asciiTheme="minorHAnsi" w:hAnsiTheme="minorHAnsi" w:cstheme="minorHAnsi"/>
        </w:rPr>
        <w:t>ing</w:t>
      </w:r>
      <w:r w:rsidR="00313395" w:rsidRPr="00706FA3">
        <w:rPr>
          <w:rFonts w:asciiTheme="minorHAnsi" w:hAnsiTheme="minorHAnsi" w:cstheme="minorHAnsi"/>
        </w:rPr>
        <w:t xml:space="preserve"> an MAI insurer to communicate with another solicitor’s client</w:t>
      </w:r>
      <w:r w:rsidR="00324C52" w:rsidRPr="00706FA3">
        <w:rPr>
          <w:rFonts w:asciiTheme="minorHAnsi" w:hAnsiTheme="minorHAnsi" w:cstheme="minorHAnsi"/>
        </w:rPr>
        <w:t xml:space="preserve">. </w:t>
      </w:r>
    </w:p>
    <w:p w14:paraId="43C65DDC" w14:textId="2C0B99A3" w:rsidR="008957FC" w:rsidRPr="00706FA3" w:rsidRDefault="008957FC" w:rsidP="008957FC">
      <w:pPr>
        <w:pStyle w:val="BodyText"/>
        <w:ind w:right="151"/>
        <w:rPr>
          <w:rFonts w:asciiTheme="minorHAnsi" w:hAnsiTheme="minorHAnsi" w:cstheme="minorHAnsi"/>
        </w:rPr>
      </w:pPr>
    </w:p>
    <w:p w14:paraId="5411DE73" w14:textId="64556ABB" w:rsidR="008957FC" w:rsidRPr="00706FA3" w:rsidRDefault="008957FC" w:rsidP="008957FC">
      <w:pPr>
        <w:pStyle w:val="BodyText"/>
        <w:ind w:right="151"/>
        <w:rPr>
          <w:rFonts w:asciiTheme="minorHAnsi" w:hAnsiTheme="minorHAnsi" w:cstheme="minorHAnsi"/>
          <w:iCs/>
          <w:sz w:val="20"/>
          <w:szCs w:val="20"/>
        </w:rPr>
      </w:pPr>
      <w:r w:rsidRPr="00706FA3">
        <w:rPr>
          <w:rFonts w:asciiTheme="minorHAnsi" w:hAnsiTheme="minorHAnsi" w:cstheme="minorHAnsi"/>
          <w:sz w:val="20"/>
          <w:szCs w:val="20"/>
        </w:rPr>
        <w:t xml:space="preserve">Note: </w:t>
      </w:r>
      <w:r w:rsidRPr="00706FA3">
        <w:rPr>
          <w:rFonts w:asciiTheme="minorHAnsi" w:hAnsiTheme="minorHAnsi" w:cstheme="minorHAnsi"/>
          <w:i/>
          <w:iCs/>
          <w:sz w:val="20"/>
          <w:szCs w:val="20"/>
        </w:rPr>
        <w:t>Law practice</w:t>
      </w:r>
      <w:r w:rsidRPr="00706FA3">
        <w:rPr>
          <w:rFonts w:asciiTheme="minorHAnsi" w:hAnsiTheme="minorHAnsi" w:cstheme="minorHAnsi"/>
          <w:sz w:val="20"/>
          <w:szCs w:val="20"/>
        </w:rPr>
        <w:t xml:space="preserve"> is defined in the </w:t>
      </w:r>
      <w:r w:rsidRPr="00706FA3">
        <w:rPr>
          <w:rFonts w:asciiTheme="minorHAnsi" w:hAnsiTheme="minorHAnsi" w:cstheme="minorHAnsi"/>
          <w:i/>
          <w:iCs/>
          <w:sz w:val="20"/>
          <w:szCs w:val="20"/>
        </w:rPr>
        <w:t>Legal Profession Act 2006</w:t>
      </w:r>
      <w:r w:rsidRPr="00706FA3">
        <w:rPr>
          <w:rFonts w:asciiTheme="minorHAnsi" w:hAnsiTheme="minorHAnsi" w:cstheme="minorHAnsi"/>
          <w:sz w:val="20"/>
          <w:szCs w:val="20"/>
        </w:rPr>
        <w:t xml:space="preserve">. </w:t>
      </w:r>
      <w:r w:rsidR="00324C52" w:rsidRPr="00706FA3">
        <w:rPr>
          <w:rFonts w:asciiTheme="minorHAnsi" w:hAnsiTheme="minorHAnsi" w:cstheme="minorHAnsi"/>
          <w:sz w:val="20"/>
          <w:szCs w:val="20"/>
        </w:rPr>
        <w:t xml:space="preserve">Rule 33 of the </w:t>
      </w:r>
      <w:r w:rsidR="00324C52" w:rsidRPr="00706FA3">
        <w:rPr>
          <w:rFonts w:asciiTheme="minorHAnsi" w:hAnsiTheme="minorHAnsi" w:cstheme="minorHAnsi"/>
          <w:i/>
          <w:sz w:val="20"/>
          <w:szCs w:val="20"/>
        </w:rPr>
        <w:t xml:space="preserve">Legal Profession (Solicitors) Conduct Rules </w:t>
      </w:r>
      <w:r w:rsidR="00324C52" w:rsidRPr="00706FA3">
        <w:rPr>
          <w:rFonts w:asciiTheme="minorHAnsi" w:hAnsiTheme="minorHAnsi" w:cstheme="minorHAnsi"/>
          <w:iCs/>
          <w:sz w:val="20"/>
          <w:szCs w:val="20"/>
        </w:rPr>
        <w:t>provides for communication with another solicitor’s client.</w:t>
      </w:r>
      <w:r w:rsidR="00324C52" w:rsidRPr="00706FA3">
        <w:rPr>
          <w:rFonts w:asciiTheme="minorHAnsi" w:hAnsiTheme="minorHAnsi" w:cstheme="minorHAnsi"/>
          <w:iCs/>
        </w:rPr>
        <w:t xml:space="preserve"> </w:t>
      </w:r>
    </w:p>
    <w:sectPr w:rsidR="008957FC" w:rsidRPr="00706FA3" w:rsidSect="00706FA3"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9C2A4" w14:textId="77777777" w:rsidR="00706FA3" w:rsidRDefault="00706FA3" w:rsidP="00706FA3">
      <w:r>
        <w:separator/>
      </w:r>
    </w:p>
  </w:endnote>
  <w:endnote w:type="continuationSeparator" w:id="0">
    <w:p w14:paraId="200B3853" w14:textId="77777777" w:rsidR="00706FA3" w:rsidRDefault="00706FA3" w:rsidP="0070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725BC" w14:textId="77777777" w:rsidR="00182F5A" w:rsidRDefault="00182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2E098" w14:textId="20DED042" w:rsidR="00182F5A" w:rsidRPr="00182F5A" w:rsidRDefault="00182F5A" w:rsidP="00182F5A">
    <w:pPr>
      <w:pStyle w:val="Footer"/>
      <w:jc w:val="center"/>
      <w:rPr>
        <w:sz w:val="14"/>
      </w:rPr>
    </w:pPr>
    <w:r w:rsidRPr="00182F5A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881A5" w14:textId="52625189" w:rsidR="00182F5A" w:rsidRPr="00182F5A" w:rsidRDefault="00182F5A" w:rsidP="00182F5A">
    <w:pPr>
      <w:pStyle w:val="Footer"/>
      <w:jc w:val="center"/>
      <w:rPr>
        <w:sz w:val="14"/>
      </w:rPr>
    </w:pPr>
    <w:r w:rsidRPr="00182F5A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9D817" w14:textId="77777777" w:rsidR="00706FA3" w:rsidRDefault="00706FA3" w:rsidP="00706FA3">
      <w:r>
        <w:separator/>
      </w:r>
    </w:p>
  </w:footnote>
  <w:footnote w:type="continuationSeparator" w:id="0">
    <w:p w14:paraId="335A27B4" w14:textId="77777777" w:rsidR="00706FA3" w:rsidRDefault="00706FA3" w:rsidP="0070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AA48D" w14:textId="77777777" w:rsidR="00182F5A" w:rsidRDefault="00182F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D16D3" w14:textId="77777777" w:rsidR="00182F5A" w:rsidRDefault="00182F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861A" w14:textId="77777777" w:rsidR="00182F5A" w:rsidRDefault="00182F5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584B3" w14:textId="77777777" w:rsidR="00656876" w:rsidRDefault="00656876">
    <w:pPr>
      <w:pStyle w:val="Header"/>
    </w:pPr>
    <w:r>
      <w:rPr>
        <w:noProof/>
      </w:rPr>
      <w:drawing>
        <wp:inline distT="0" distB="0" distL="0" distR="0" wp14:anchorId="3B0A86F7" wp14:editId="1DE88A4C">
          <wp:extent cx="3045600" cy="54000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10AA9C" w14:textId="77777777" w:rsidR="00656876" w:rsidRDefault="00656876" w:rsidP="00706FA3">
    <w:pPr>
      <w:pStyle w:val="Header"/>
      <w:spacing w:before="240"/>
    </w:pPr>
  </w:p>
  <w:p w14:paraId="486DE582" w14:textId="77777777" w:rsidR="00656876" w:rsidRPr="00706FA3" w:rsidRDefault="00656876" w:rsidP="00706FA3">
    <w:pPr>
      <w:pStyle w:val="Header"/>
      <w:rPr>
        <w:rFonts w:asciiTheme="minorHAnsi" w:hAnsiTheme="minorHAnsi" w:cstheme="minorHAnsi"/>
        <w:sz w:val="40"/>
        <w:szCs w:val="40"/>
      </w:rPr>
    </w:pPr>
    <w:r>
      <w:rPr>
        <w:rFonts w:asciiTheme="minorHAnsi" w:hAnsiTheme="minorHAnsi" w:cstheme="minorHAnsi"/>
        <w:sz w:val="40"/>
        <w:szCs w:val="40"/>
      </w:rPr>
      <w:t>Insurer Communication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50DC"/>
    <w:multiLevelType w:val="hybridMultilevel"/>
    <w:tmpl w:val="17DA83A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E37054"/>
    <w:multiLevelType w:val="hybridMultilevel"/>
    <w:tmpl w:val="21946F4E"/>
    <w:lvl w:ilvl="0" w:tplc="5E565D86">
      <w:start w:val="1"/>
      <w:numFmt w:val="decimal"/>
      <w:lvlText w:val="%1."/>
      <w:lvlJc w:val="left"/>
      <w:pPr>
        <w:ind w:left="468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5B5C338E">
      <w:numFmt w:val="bullet"/>
      <w:lvlText w:val=""/>
      <w:lvlJc w:val="left"/>
      <w:pPr>
        <w:ind w:left="1332" w:hanging="50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4CCB220">
      <w:numFmt w:val="bullet"/>
      <w:lvlText w:val="•"/>
      <w:lvlJc w:val="left"/>
      <w:pPr>
        <w:ind w:left="1520" w:hanging="504"/>
      </w:pPr>
      <w:rPr>
        <w:rFonts w:hint="default"/>
      </w:rPr>
    </w:lvl>
    <w:lvl w:ilvl="3" w:tplc="0C3004B0">
      <w:numFmt w:val="bullet"/>
      <w:lvlText w:val="•"/>
      <w:lvlJc w:val="left"/>
      <w:pPr>
        <w:ind w:left="2533" w:hanging="504"/>
      </w:pPr>
      <w:rPr>
        <w:rFonts w:hint="default"/>
      </w:rPr>
    </w:lvl>
    <w:lvl w:ilvl="4" w:tplc="29589E32">
      <w:numFmt w:val="bullet"/>
      <w:lvlText w:val="•"/>
      <w:lvlJc w:val="left"/>
      <w:pPr>
        <w:ind w:left="3546" w:hanging="504"/>
      </w:pPr>
      <w:rPr>
        <w:rFonts w:hint="default"/>
      </w:rPr>
    </w:lvl>
    <w:lvl w:ilvl="5" w:tplc="91866576">
      <w:numFmt w:val="bullet"/>
      <w:lvlText w:val="•"/>
      <w:lvlJc w:val="left"/>
      <w:pPr>
        <w:ind w:left="4559" w:hanging="504"/>
      </w:pPr>
      <w:rPr>
        <w:rFonts w:hint="default"/>
      </w:rPr>
    </w:lvl>
    <w:lvl w:ilvl="6" w:tplc="E896628A">
      <w:numFmt w:val="bullet"/>
      <w:lvlText w:val="•"/>
      <w:lvlJc w:val="left"/>
      <w:pPr>
        <w:ind w:left="5573" w:hanging="504"/>
      </w:pPr>
      <w:rPr>
        <w:rFonts w:hint="default"/>
      </w:rPr>
    </w:lvl>
    <w:lvl w:ilvl="7" w:tplc="BDD41DBC">
      <w:numFmt w:val="bullet"/>
      <w:lvlText w:val="•"/>
      <w:lvlJc w:val="left"/>
      <w:pPr>
        <w:ind w:left="6586" w:hanging="504"/>
      </w:pPr>
      <w:rPr>
        <w:rFonts w:hint="default"/>
      </w:rPr>
    </w:lvl>
    <w:lvl w:ilvl="8" w:tplc="26DC3BC8">
      <w:numFmt w:val="bullet"/>
      <w:lvlText w:val="•"/>
      <w:lvlJc w:val="left"/>
      <w:pPr>
        <w:ind w:left="7599" w:hanging="504"/>
      </w:pPr>
      <w:rPr>
        <w:rFonts w:hint="default"/>
      </w:rPr>
    </w:lvl>
  </w:abstractNum>
  <w:abstractNum w:abstractNumId="2" w15:restartNumberingAfterBreak="0">
    <w:nsid w:val="1BBD6227"/>
    <w:multiLevelType w:val="hybridMultilevel"/>
    <w:tmpl w:val="26088568"/>
    <w:lvl w:ilvl="0" w:tplc="B59CC8E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73466"/>
    <w:multiLevelType w:val="multilevel"/>
    <w:tmpl w:val="B6882C8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2C631F7"/>
    <w:multiLevelType w:val="hybridMultilevel"/>
    <w:tmpl w:val="F7D4337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F34BC3"/>
    <w:multiLevelType w:val="hybridMultilevel"/>
    <w:tmpl w:val="55CABC32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9B15D7"/>
    <w:multiLevelType w:val="hybridMultilevel"/>
    <w:tmpl w:val="04489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D1E80"/>
    <w:multiLevelType w:val="multilevel"/>
    <w:tmpl w:val="820435E4"/>
    <w:lvl w:ilvl="0">
      <w:start w:val="3"/>
      <w:numFmt w:val="decimal"/>
      <w:lvlText w:val="%1"/>
      <w:lvlJc w:val="left"/>
      <w:pPr>
        <w:ind w:left="1108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0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>
      <w:numFmt w:val="bullet"/>
      <w:lvlText w:val=""/>
      <w:lvlJc w:val="left"/>
      <w:pPr>
        <w:ind w:left="1526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330" w:hanging="567"/>
      </w:pPr>
      <w:rPr>
        <w:rFonts w:hint="default"/>
      </w:rPr>
    </w:lvl>
    <w:lvl w:ilvl="4">
      <w:numFmt w:val="bullet"/>
      <w:lvlText w:val="•"/>
      <w:lvlJc w:val="left"/>
      <w:pPr>
        <w:ind w:left="4235" w:hanging="567"/>
      </w:pPr>
      <w:rPr>
        <w:rFonts w:hint="default"/>
      </w:rPr>
    </w:lvl>
    <w:lvl w:ilvl="5">
      <w:numFmt w:val="bullet"/>
      <w:lvlText w:val="•"/>
      <w:lvlJc w:val="left"/>
      <w:pPr>
        <w:ind w:left="5140" w:hanging="567"/>
      </w:pPr>
      <w:rPr>
        <w:rFonts w:hint="default"/>
      </w:rPr>
    </w:lvl>
    <w:lvl w:ilvl="6">
      <w:numFmt w:val="bullet"/>
      <w:lvlText w:val="•"/>
      <w:lvlJc w:val="left"/>
      <w:pPr>
        <w:ind w:left="6045" w:hanging="567"/>
      </w:pPr>
      <w:rPr>
        <w:rFonts w:hint="default"/>
      </w:rPr>
    </w:lvl>
    <w:lvl w:ilvl="7">
      <w:numFmt w:val="bullet"/>
      <w:lvlText w:val="•"/>
      <w:lvlJc w:val="left"/>
      <w:pPr>
        <w:ind w:left="6950" w:hanging="567"/>
      </w:pPr>
      <w:rPr>
        <w:rFonts w:hint="default"/>
      </w:rPr>
    </w:lvl>
    <w:lvl w:ilvl="8">
      <w:numFmt w:val="bullet"/>
      <w:lvlText w:val="•"/>
      <w:lvlJc w:val="left"/>
      <w:pPr>
        <w:ind w:left="7856" w:hanging="567"/>
      </w:pPr>
      <w:rPr>
        <w:rFonts w:hint="default"/>
      </w:rPr>
    </w:lvl>
  </w:abstractNum>
  <w:abstractNum w:abstractNumId="8" w15:restartNumberingAfterBreak="0">
    <w:nsid w:val="6DEB1E87"/>
    <w:multiLevelType w:val="hybridMultilevel"/>
    <w:tmpl w:val="BE68420C"/>
    <w:lvl w:ilvl="0" w:tplc="16D44820">
      <w:start w:val="1"/>
      <w:numFmt w:val="decimal"/>
      <w:lvlText w:val="%1."/>
      <w:lvlJc w:val="left"/>
      <w:pPr>
        <w:ind w:left="468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6B0896E0">
      <w:numFmt w:val="bullet"/>
      <w:lvlText w:val=""/>
      <w:lvlJc w:val="left"/>
      <w:pPr>
        <w:ind w:left="1639" w:hanging="50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4E44E96">
      <w:numFmt w:val="bullet"/>
      <w:lvlText w:val="•"/>
      <w:lvlJc w:val="left"/>
      <w:pPr>
        <w:ind w:left="2620" w:hanging="504"/>
      </w:pPr>
      <w:rPr>
        <w:rFonts w:hint="default"/>
      </w:rPr>
    </w:lvl>
    <w:lvl w:ilvl="3" w:tplc="414A41D6">
      <w:numFmt w:val="bullet"/>
      <w:lvlText w:val="•"/>
      <w:lvlJc w:val="left"/>
      <w:pPr>
        <w:ind w:left="3501" w:hanging="504"/>
      </w:pPr>
      <w:rPr>
        <w:rFonts w:hint="default"/>
      </w:rPr>
    </w:lvl>
    <w:lvl w:ilvl="4" w:tplc="1D2209A4">
      <w:numFmt w:val="bullet"/>
      <w:lvlText w:val="•"/>
      <w:lvlJc w:val="left"/>
      <w:pPr>
        <w:ind w:left="4382" w:hanging="504"/>
      </w:pPr>
      <w:rPr>
        <w:rFonts w:hint="default"/>
      </w:rPr>
    </w:lvl>
    <w:lvl w:ilvl="5" w:tplc="569ADA96">
      <w:numFmt w:val="bullet"/>
      <w:lvlText w:val="•"/>
      <w:lvlJc w:val="left"/>
      <w:pPr>
        <w:ind w:left="5262" w:hanging="504"/>
      </w:pPr>
      <w:rPr>
        <w:rFonts w:hint="default"/>
      </w:rPr>
    </w:lvl>
    <w:lvl w:ilvl="6" w:tplc="41F6F97E">
      <w:numFmt w:val="bullet"/>
      <w:lvlText w:val="•"/>
      <w:lvlJc w:val="left"/>
      <w:pPr>
        <w:ind w:left="6143" w:hanging="504"/>
      </w:pPr>
      <w:rPr>
        <w:rFonts w:hint="default"/>
      </w:rPr>
    </w:lvl>
    <w:lvl w:ilvl="7" w:tplc="FF9A58BC">
      <w:numFmt w:val="bullet"/>
      <w:lvlText w:val="•"/>
      <w:lvlJc w:val="left"/>
      <w:pPr>
        <w:ind w:left="7024" w:hanging="504"/>
      </w:pPr>
      <w:rPr>
        <w:rFonts w:hint="default"/>
      </w:rPr>
    </w:lvl>
    <w:lvl w:ilvl="8" w:tplc="999ECAB2">
      <w:numFmt w:val="bullet"/>
      <w:lvlText w:val="•"/>
      <w:lvlJc w:val="left"/>
      <w:pPr>
        <w:ind w:left="7904" w:hanging="504"/>
      </w:pPr>
      <w:rPr>
        <w:rFonts w:hint="default"/>
      </w:rPr>
    </w:lvl>
  </w:abstractNum>
  <w:abstractNum w:abstractNumId="9" w15:restartNumberingAfterBreak="0">
    <w:nsid w:val="7A532148"/>
    <w:multiLevelType w:val="hybridMultilevel"/>
    <w:tmpl w:val="E342DF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25"/>
    <w:rsid w:val="0000073D"/>
    <w:rsid w:val="00023C69"/>
    <w:rsid w:val="00027137"/>
    <w:rsid w:val="00033143"/>
    <w:rsid w:val="00034F86"/>
    <w:rsid w:val="00036347"/>
    <w:rsid w:val="00043BAE"/>
    <w:rsid w:val="00044C02"/>
    <w:rsid w:val="000463EC"/>
    <w:rsid w:val="00072653"/>
    <w:rsid w:val="00091F82"/>
    <w:rsid w:val="000D19FB"/>
    <w:rsid w:val="000E62EE"/>
    <w:rsid w:val="00100CC0"/>
    <w:rsid w:val="00121ED1"/>
    <w:rsid w:val="001306EC"/>
    <w:rsid w:val="00133344"/>
    <w:rsid w:val="00136EAD"/>
    <w:rsid w:val="00175981"/>
    <w:rsid w:val="00177FEA"/>
    <w:rsid w:val="00182F5A"/>
    <w:rsid w:val="001914AE"/>
    <w:rsid w:val="001A2CE2"/>
    <w:rsid w:val="001B5DA1"/>
    <w:rsid w:val="001D29A4"/>
    <w:rsid w:val="001E391B"/>
    <w:rsid w:val="001F38A5"/>
    <w:rsid w:val="00215CA1"/>
    <w:rsid w:val="00236936"/>
    <w:rsid w:val="0023744E"/>
    <w:rsid w:val="00237BDB"/>
    <w:rsid w:val="00251596"/>
    <w:rsid w:val="00272DEF"/>
    <w:rsid w:val="002A4CEE"/>
    <w:rsid w:val="002B1953"/>
    <w:rsid w:val="002C3C71"/>
    <w:rsid w:val="002D7B40"/>
    <w:rsid w:val="002F14D8"/>
    <w:rsid w:val="002F32AB"/>
    <w:rsid w:val="002F429F"/>
    <w:rsid w:val="00301E53"/>
    <w:rsid w:val="00305B5A"/>
    <w:rsid w:val="003101C0"/>
    <w:rsid w:val="00313395"/>
    <w:rsid w:val="00315241"/>
    <w:rsid w:val="003154DF"/>
    <w:rsid w:val="00316DFB"/>
    <w:rsid w:val="00322309"/>
    <w:rsid w:val="00324C52"/>
    <w:rsid w:val="00337E4A"/>
    <w:rsid w:val="003645F9"/>
    <w:rsid w:val="00366528"/>
    <w:rsid w:val="00382BCE"/>
    <w:rsid w:val="0039518D"/>
    <w:rsid w:val="003A0371"/>
    <w:rsid w:val="003A1AF9"/>
    <w:rsid w:val="003A1D64"/>
    <w:rsid w:val="003A4E53"/>
    <w:rsid w:val="003B0DF5"/>
    <w:rsid w:val="003C76C5"/>
    <w:rsid w:val="003E344C"/>
    <w:rsid w:val="00403EA3"/>
    <w:rsid w:val="00404880"/>
    <w:rsid w:val="00420273"/>
    <w:rsid w:val="00425DC3"/>
    <w:rsid w:val="00427E03"/>
    <w:rsid w:val="00431677"/>
    <w:rsid w:val="004670B7"/>
    <w:rsid w:val="004732BE"/>
    <w:rsid w:val="004751D5"/>
    <w:rsid w:val="00477D61"/>
    <w:rsid w:val="00484707"/>
    <w:rsid w:val="0048676C"/>
    <w:rsid w:val="00490290"/>
    <w:rsid w:val="004A7647"/>
    <w:rsid w:val="004C5928"/>
    <w:rsid w:val="004D11A6"/>
    <w:rsid w:val="004D5DBE"/>
    <w:rsid w:val="004F0766"/>
    <w:rsid w:val="005004E5"/>
    <w:rsid w:val="00500CB1"/>
    <w:rsid w:val="00501563"/>
    <w:rsid w:val="00501FB9"/>
    <w:rsid w:val="00505B56"/>
    <w:rsid w:val="00512734"/>
    <w:rsid w:val="00516301"/>
    <w:rsid w:val="00520E09"/>
    <w:rsid w:val="00526972"/>
    <w:rsid w:val="00530C0C"/>
    <w:rsid w:val="00532278"/>
    <w:rsid w:val="005453BB"/>
    <w:rsid w:val="0055549B"/>
    <w:rsid w:val="00565635"/>
    <w:rsid w:val="0057463A"/>
    <w:rsid w:val="00580D04"/>
    <w:rsid w:val="005A48AF"/>
    <w:rsid w:val="005C5419"/>
    <w:rsid w:val="005D7877"/>
    <w:rsid w:val="005F2AEE"/>
    <w:rsid w:val="005F3400"/>
    <w:rsid w:val="00602D0E"/>
    <w:rsid w:val="006212BD"/>
    <w:rsid w:val="006241D6"/>
    <w:rsid w:val="00627F0C"/>
    <w:rsid w:val="0063201F"/>
    <w:rsid w:val="006376B3"/>
    <w:rsid w:val="00641F33"/>
    <w:rsid w:val="006511CD"/>
    <w:rsid w:val="00653E7A"/>
    <w:rsid w:val="00656876"/>
    <w:rsid w:val="00665496"/>
    <w:rsid w:val="0068615D"/>
    <w:rsid w:val="00696B91"/>
    <w:rsid w:val="006A61AA"/>
    <w:rsid w:val="006B17EA"/>
    <w:rsid w:val="006C2D73"/>
    <w:rsid w:val="006E3BA0"/>
    <w:rsid w:val="007036EB"/>
    <w:rsid w:val="00706FA3"/>
    <w:rsid w:val="007361E6"/>
    <w:rsid w:val="00736535"/>
    <w:rsid w:val="00761809"/>
    <w:rsid w:val="007619F5"/>
    <w:rsid w:val="007628FD"/>
    <w:rsid w:val="007632DE"/>
    <w:rsid w:val="007709A7"/>
    <w:rsid w:val="00772E52"/>
    <w:rsid w:val="0078566A"/>
    <w:rsid w:val="00791F11"/>
    <w:rsid w:val="00792B64"/>
    <w:rsid w:val="007A05C2"/>
    <w:rsid w:val="007A31AA"/>
    <w:rsid w:val="007A7974"/>
    <w:rsid w:val="007F11C0"/>
    <w:rsid w:val="007F6C0C"/>
    <w:rsid w:val="008027D2"/>
    <w:rsid w:val="008337A5"/>
    <w:rsid w:val="00836055"/>
    <w:rsid w:val="00850FDB"/>
    <w:rsid w:val="00861953"/>
    <w:rsid w:val="008817F4"/>
    <w:rsid w:val="00886E0A"/>
    <w:rsid w:val="008957FC"/>
    <w:rsid w:val="008C03E3"/>
    <w:rsid w:val="008C6459"/>
    <w:rsid w:val="008D3B8B"/>
    <w:rsid w:val="008D5831"/>
    <w:rsid w:val="008D7D19"/>
    <w:rsid w:val="008F32AE"/>
    <w:rsid w:val="00900398"/>
    <w:rsid w:val="0090695B"/>
    <w:rsid w:val="00910E20"/>
    <w:rsid w:val="00914D84"/>
    <w:rsid w:val="00925932"/>
    <w:rsid w:val="00931339"/>
    <w:rsid w:val="00940A84"/>
    <w:rsid w:val="00941CBD"/>
    <w:rsid w:val="00944AFD"/>
    <w:rsid w:val="009509F0"/>
    <w:rsid w:val="00966D38"/>
    <w:rsid w:val="00967699"/>
    <w:rsid w:val="009713BC"/>
    <w:rsid w:val="00971F59"/>
    <w:rsid w:val="00976925"/>
    <w:rsid w:val="00990BFB"/>
    <w:rsid w:val="00997A37"/>
    <w:rsid w:val="009A0669"/>
    <w:rsid w:val="009A7989"/>
    <w:rsid w:val="009B0757"/>
    <w:rsid w:val="009B3B19"/>
    <w:rsid w:val="009B7D93"/>
    <w:rsid w:val="009D2376"/>
    <w:rsid w:val="009D7FA5"/>
    <w:rsid w:val="009E1E11"/>
    <w:rsid w:val="009F6E03"/>
    <w:rsid w:val="00A06651"/>
    <w:rsid w:val="00A06D55"/>
    <w:rsid w:val="00A24514"/>
    <w:rsid w:val="00A375DB"/>
    <w:rsid w:val="00A400AB"/>
    <w:rsid w:val="00A438C0"/>
    <w:rsid w:val="00A62CE1"/>
    <w:rsid w:val="00A6610A"/>
    <w:rsid w:val="00A865FD"/>
    <w:rsid w:val="00A86937"/>
    <w:rsid w:val="00A92985"/>
    <w:rsid w:val="00AA0818"/>
    <w:rsid w:val="00AB35A9"/>
    <w:rsid w:val="00AB69D5"/>
    <w:rsid w:val="00AB7E2B"/>
    <w:rsid w:val="00AC2F3C"/>
    <w:rsid w:val="00AD7E30"/>
    <w:rsid w:val="00AE0D85"/>
    <w:rsid w:val="00AE1D0F"/>
    <w:rsid w:val="00AE75F0"/>
    <w:rsid w:val="00B059FE"/>
    <w:rsid w:val="00B05E7B"/>
    <w:rsid w:val="00B13161"/>
    <w:rsid w:val="00B146A1"/>
    <w:rsid w:val="00B4389F"/>
    <w:rsid w:val="00B45C47"/>
    <w:rsid w:val="00B57FD7"/>
    <w:rsid w:val="00B63902"/>
    <w:rsid w:val="00B804A1"/>
    <w:rsid w:val="00B82C48"/>
    <w:rsid w:val="00B90A59"/>
    <w:rsid w:val="00B91593"/>
    <w:rsid w:val="00B9238A"/>
    <w:rsid w:val="00BB6539"/>
    <w:rsid w:val="00C04AF2"/>
    <w:rsid w:val="00C11840"/>
    <w:rsid w:val="00C74883"/>
    <w:rsid w:val="00C912DC"/>
    <w:rsid w:val="00C94128"/>
    <w:rsid w:val="00CB2F88"/>
    <w:rsid w:val="00CB3A38"/>
    <w:rsid w:val="00CB5C81"/>
    <w:rsid w:val="00CC6414"/>
    <w:rsid w:val="00CD1E59"/>
    <w:rsid w:val="00CE4480"/>
    <w:rsid w:val="00CE799E"/>
    <w:rsid w:val="00D04965"/>
    <w:rsid w:val="00D0517D"/>
    <w:rsid w:val="00D06F18"/>
    <w:rsid w:val="00D10AD8"/>
    <w:rsid w:val="00D27347"/>
    <w:rsid w:val="00D30A1C"/>
    <w:rsid w:val="00D55EE5"/>
    <w:rsid w:val="00D60B33"/>
    <w:rsid w:val="00D95E60"/>
    <w:rsid w:val="00DA635E"/>
    <w:rsid w:val="00DB668F"/>
    <w:rsid w:val="00DE0413"/>
    <w:rsid w:val="00E009ED"/>
    <w:rsid w:val="00E04E59"/>
    <w:rsid w:val="00E306B0"/>
    <w:rsid w:val="00E57D5D"/>
    <w:rsid w:val="00E60FCB"/>
    <w:rsid w:val="00EA2583"/>
    <w:rsid w:val="00EA74E2"/>
    <w:rsid w:val="00EC3071"/>
    <w:rsid w:val="00EE5AE5"/>
    <w:rsid w:val="00EF6325"/>
    <w:rsid w:val="00F014A7"/>
    <w:rsid w:val="00F04598"/>
    <w:rsid w:val="00F33491"/>
    <w:rsid w:val="00F61007"/>
    <w:rsid w:val="00F66208"/>
    <w:rsid w:val="00F751FD"/>
    <w:rsid w:val="00F76F93"/>
    <w:rsid w:val="00F863E2"/>
    <w:rsid w:val="00F9025A"/>
    <w:rsid w:val="00F95B20"/>
    <w:rsid w:val="00FA08F0"/>
    <w:rsid w:val="00FA0DF1"/>
    <w:rsid w:val="00FA29D3"/>
    <w:rsid w:val="00FC0371"/>
    <w:rsid w:val="00FC52B2"/>
    <w:rsid w:val="00FE129C"/>
    <w:rsid w:val="00FE201F"/>
    <w:rsid w:val="00FE7316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EE3E55C"/>
  <w15:chartTrackingRefBased/>
  <w15:docId w15:val="{5A49BA36-9289-45BA-A86D-EBFE7D1A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A661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06FA3"/>
    <w:pPr>
      <w:ind w:left="845" w:hanging="45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06FA3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C541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C5419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3C76C5"/>
    <w:pPr>
      <w:ind w:left="1526" w:hanging="56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47"/>
    <w:rPr>
      <w:rFonts w:ascii="Segoe UI" w:eastAsia="Arial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6F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FA3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6F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FA3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9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C8DCB-4E69-4B74-8E9A-D13370F6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4104</Characters>
  <Application>Microsoft Office Word</Application>
  <DocSecurity>0</DocSecurity>
  <Lines>103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2020-01-21T00:18:00Z</cp:lastPrinted>
  <dcterms:created xsi:type="dcterms:W3CDTF">2020-02-12T05:26:00Z</dcterms:created>
  <dcterms:modified xsi:type="dcterms:W3CDTF">2020-02-12T05:26:00Z</dcterms:modified>
</cp:coreProperties>
</file>