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3FDDF" w14:textId="77777777" w:rsidR="00390260" w:rsidRPr="00827433" w:rsidRDefault="00DD30CE" w:rsidP="000B4E69">
      <w:pPr>
        <w:spacing w:before="240"/>
        <w:rPr>
          <w:color w:val="000000"/>
          <w:sz w:val="24"/>
          <w:szCs w:val="24"/>
        </w:rPr>
      </w:pPr>
      <w:bookmarkStart w:id="0" w:name="_Toc44738651"/>
      <w:bookmarkStart w:id="1" w:name="_Toc328140101"/>
      <w:bookmarkStart w:id="2" w:name="_Toc332272762"/>
      <w:bookmarkStart w:id="3" w:name="_GoBack"/>
      <w:bookmarkEnd w:id="3"/>
      <w:r w:rsidRPr="00827433">
        <w:rPr>
          <w:color w:val="000000"/>
          <w:sz w:val="24"/>
          <w:szCs w:val="24"/>
        </w:rPr>
        <w:t>Australian Capital Territory</w:t>
      </w:r>
    </w:p>
    <w:p w14:paraId="723F344B" w14:textId="51EFF5D4" w:rsidR="00390260" w:rsidRPr="00970AD2" w:rsidRDefault="00390260" w:rsidP="000B4E69">
      <w:pPr>
        <w:pStyle w:val="Billname"/>
        <w:spacing w:before="240" w:after="120"/>
        <w:rPr>
          <w:rFonts w:cs="Arial"/>
          <w:color w:val="000000"/>
        </w:rPr>
      </w:pPr>
      <w:bookmarkStart w:id="4" w:name="_Hlk1740305"/>
      <w:bookmarkStart w:id="5" w:name="_Hlk30072290"/>
      <w:r w:rsidRPr="00970AD2">
        <w:rPr>
          <w:rFonts w:cs="Arial"/>
          <w:color w:val="000000"/>
        </w:rPr>
        <w:t>Energy Efficiency (Cost of Living) Improvement (Eligible Activities) Determination</w:t>
      </w:r>
      <w:bookmarkEnd w:id="4"/>
      <w:r w:rsidRPr="00970AD2">
        <w:rPr>
          <w:rFonts w:cs="Arial"/>
          <w:color w:val="000000"/>
        </w:rPr>
        <w:t xml:space="preserve"> </w:t>
      </w:r>
      <w:r w:rsidR="006C5FB1">
        <w:rPr>
          <w:rFonts w:cs="Arial"/>
          <w:color w:val="000000"/>
        </w:rPr>
        <w:t>20</w:t>
      </w:r>
      <w:r w:rsidR="00E21494">
        <w:rPr>
          <w:rFonts w:cs="Arial"/>
          <w:color w:val="000000"/>
        </w:rPr>
        <w:t>20</w:t>
      </w:r>
      <w:bookmarkEnd w:id="5"/>
      <w:r w:rsidR="00AB5C02">
        <w:rPr>
          <w:rFonts w:cs="Arial"/>
          <w:color w:val="000000"/>
        </w:rPr>
        <w:t xml:space="preserve"> (No 2)</w:t>
      </w:r>
    </w:p>
    <w:p w14:paraId="7DC60ABE" w14:textId="0210AE78" w:rsidR="00390260" w:rsidRPr="002C5217" w:rsidRDefault="00657952" w:rsidP="002C5217">
      <w:pPr>
        <w:spacing w:before="340" w:after="0" w:line="240" w:lineRule="auto"/>
        <w:rPr>
          <w:rFonts w:eastAsia="Times New Roman"/>
          <w:b/>
          <w:bCs/>
          <w:sz w:val="24"/>
          <w:lang w:eastAsia="en-US"/>
        </w:rPr>
      </w:pPr>
      <w:r w:rsidRPr="002C5217">
        <w:rPr>
          <w:rFonts w:eastAsia="Times New Roman"/>
          <w:b/>
          <w:bCs/>
          <w:sz w:val="24"/>
          <w:lang w:eastAsia="en-US"/>
        </w:rPr>
        <w:t xml:space="preserve">Disallowable </w:t>
      </w:r>
      <w:r w:rsidR="00B36ACB" w:rsidRPr="002C5217">
        <w:rPr>
          <w:rFonts w:eastAsia="Times New Roman"/>
          <w:b/>
          <w:bCs/>
          <w:sz w:val="24"/>
          <w:lang w:eastAsia="en-US"/>
        </w:rPr>
        <w:t xml:space="preserve">Instrument </w:t>
      </w:r>
      <w:r w:rsidRPr="001F2398">
        <w:rPr>
          <w:rFonts w:eastAsia="Times New Roman"/>
          <w:b/>
          <w:bCs/>
          <w:sz w:val="24"/>
          <w:lang w:eastAsia="en-US"/>
        </w:rPr>
        <w:t>D</w:t>
      </w:r>
      <w:r w:rsidR="00390260" w:rsidRPr="001F2398">
        <w:rPr>
          <w:rFonts w:eastAsia="Times New Roman"/>
          <w:b/>
          <w:bCs/>
          <w:sz w:val="24"/>
          <w:lang w:eastAsia="en-US"/>
        </w:rPr>
        <w:t>I20</w:t>
      </w:r>
      <w:r w:rsidR="00E21494" w:rsidRPr="001F2398">
        <w:rPr>
          <w:rFonts w:eastAsia="Times New Roman"/>
          <w:b/>
          <w:bCs/>
          <w:sz w:val="24"/>
          <w:lang w:eastAsia="en-US"/>
        </w:rPr>
        <w:t>20</w:t>
      </w:r>
      <w:r w:rsidR="00390260" w:rsidRPr="001F2398">
        <w:rPr>
          <w:rFonts w:eastAsia="Times New Roman"/>
          <w:b/>
          <w:bCs/>
          <w:sz w:val="24"/>
          <w:lang w:eastAsia="en-US"/>
        </w:rPr>
        <w:t>–</w:t>
      </w:r>
      <w:r w:rsidR="00AF69B3">
        <w:rPr>
          <w:rFonts w:eastAsia="Times New Roman"/>
          <w:b/>
          <w:bCs/>
          <w:sz w:val="24"/>
          <w:lang w:eastAsia="en-US"/>
        </w:rPr>
        <w:t>218</w:t>
      </w:r>
    </w:p>
    <w:p w14:paraId="319711A3" w14:textId="77777777" w:rsidR="00F12250" w:rsidRPr="002C5217" w:rsidRDefault="00390260" w:rsidP="002C5217">
      <w:pPr>
        <w:spacing w:before="340" w:after="0" w:line="240" w:lineRule="auto"/>
        <w:rPr>
          <w:rFonts w:ascii="Times New Roman" w:eastAsia="Times New Roman" w:hAnsi="Times New Roman" w:cs="Times New Roman"/>
          <w:sz w:val="24"/>
          <w:lang w:eastAsia="en-US"/>
        </w:rPr>
      </w:pPr>
      <w:r w:rsidRPr="002C5217">
        <w:rPr>
          <w:rFonts w:ascii="Times New Roman" w:eastAsia="Times New Roman" w:hAnsi="Times New Roman" w:cs="Times New Roman"/>
          <w:sz w:val="24"/>
          <w:lang w:eastAsia="en-US"/>
        </w:rPr>
        <w:t xml:space="preserve">made under the </w:t>
      </w:r>
    </w:p>
    <w:p w14:paraId="0B8C6260" w14:textId="77777777" w:rsidR="00152E0F" w:rsidRDefault="00C337B1" w:rsidP="00827433">
      <w:pPr>
        <w:spacing w:before="320" w:after="0" w:line="240" w:lineRule="auto"/>
        <w:rPr>
          <w:rFonts w:eastAsia="Times New Roman"/>
          <w:b/>
          <w:bCs/>
          <w:lang w:eastAsia="en-US"/>
        </w:rPr>
      </w:pPr>
      <w:r w:rsidRPr="00827433">
        <w:rPr>
          <w:rFonts w:eastAsia="Times New Roman"/>
          <w:b/>
          <w:bCs/>
          <w:lang w:eastAsia="en-US"/>
        </w:rPr>
        <w:t>Energy Efficiency (Cost of Living) Improvement Act 2012</w:t>
      </w:r>
      <w:r w:rsidR="00DD30CE" w:rsidRPr="00827433">
        <w:rPr>
          <w:rFonts w:eastAsia="Times New Roman"/>
          <w:b/>
          <w:bCs/>
          <w:lang w:eastAsia="en-US"/>
        </w:rPr>
        <w:t>, s10 (Eligible activities)</w:t>
      </w:r>
    </w:p>
    <w:p w14:paraId="23A6AD48" w14:textId="77777777" w:rsidR="00827433" w:rsidRPr="00827433" w:rsidRDefault="00827433" w:rsidP="00827433">
      <w:pPr>
        <w:spacing w:before="60" w:after="0" w:line="240" w:lineRule="auto"/>
        <w:rPr>
          <w:rFonts w:eastAsia="Times New Roman"/>
          <w:b/>
          <w:bCs/>
          <w:lang w:eastAsia="en-US"/>
        </w:rPr>
      </w:pPr>
    </w:p>
    <w:p w14:paraId="4C5263AB" w14:textId="77777777" w:rsidR="00390260" w:rsidRPr="002C5217" w:rsidRDefault="00390260" w:rsidP="006C7B7F">
      <w:pPr>
        <w:pStyle w:val="N-line3"/>
        <w:pBdr>
          <w:top w:val="single" w:sz="12" w:space="1" w:color="auto"/>
          <w:bottom w:val="none" w:sz="0" w:space="0" w:color="auto"/>
        </w:pBdr>
        <w:jc w:val="left"/>
        <w:rPr>
          <w:color w:val="000000"/>
          <w:szCs w:val="24"/>
        </w:rPr>
      </w:pPr>
    </w:p>
    <w:p w14:paraId="0FC68006" w14:textId="77777777" w:rsidR="00390260" w:rsidRPr="002C5217" w:rsidRDefault="00390260" w:rsidP="006C7B7F">
      <w:pPr>
        <w:spacing w:before="60" w:after="60"/>
        <w:ind w:left="720" w:hanging="720"/>
        <w:rPr>
          <w:b/>
          <w:bCs/>
          <w:color w:val="000000"/>
          <w:sz w:val="24"/>
          <w:szCs w:val="24"/>
        </w:rPr>
      </w:pPr>
      <w:r w:rsidRPr="002C5217">
        <w:rPr>
          <w:b/>
          <w:bCs/>
          <w:color w:val="000000"/>
          <w:sz w:val="24"/>
          <w:szCs w:val="24"/>
        </w:rPr>
        <w:t>1</w:t>
      </w:r>
      <w:r w:rsidRPr="002C5217">
        <w:rPr>
          <w:b/>
          <w:bCs/>
          <w:color w:val="000000"/>
          <w:sz w:val="24"/>
          <w:szCs w:val="24"/>
        </w:rPr>
        <w:tab/>
        <w:t>Name of instrument</w:t>
      </w:r>
    </w:p>
    <w:p w14:paraId="4D2A250B" w14:textId="0B8CA912" w:rsidR="00390260" w:rsidRPr="002C5217" w:rsidRDefault="00DD30CE" w:rsidP="006C7B7F">
      <w:pPr>
        <w:ind w:left="720"/>
        <w:rPr>
          <w:rFonts w:ascii="Times New Roman" w:hAnsi="Times New Roman" w:cs="Times New Roman"/>
          <w:i/>
          <w:color w:val="000000"/>
          <w:sz w:val="24"/>
          <w:szCs w:val="24"/>
        </w:rPr>
      </w:pPr>
      <w:r w:rsidRPr="002C5217">
        <w:rPr>
          <w:rFonts w:ascii="Times New Roman" w:hAnsi="Times New Roman" w:cs="Times New Roman"/>
          <w:color w:val="000000"/>
          <w:sz w:val="24"/>
          <w:szCs w:val="24"/>
        </w:rPr>
        <w:t xml:space="preserve">This instrument is the </w:t>
      </w:r>
      <w:r w:rsidRPr="002C5217">
        <w:rPr>
          <w:rFonts w:ascii="Times New Roman" w:hAnsi="Times New Roman" w:cs="Times New Roman"/>
          <w:i/>
          <w:color w:val="000000"/>
          <w:sz w:val="24"/>
          <w:szCs w:val="24"/>
        </w:rPr>
        <w:t>Energy Efficiency (Cost of Living) Improvement (Eligible Activities) Determination 20</w:t>
      </w:r>
      <w:r w:rsidR="00C80FDF" w:rsidRPr="002C5217">
        <w:rPr>
          <w:rFonts w:ascii="Times New Roman" w:hAnsi="Times New Roman" w:cs="Times New Roman"/>
          <w:i/>
          <w:color w:val="000000"/>
          <w:sz w:val="24"/>
          <w:szCs w:val="24"/>
        </w:rPr>
        <w:t>20</w:t>
      </w:r>
      <w:r w:rsidR="00AB5C02">
        <w:rPr>
          <w:rFonts w:ascii="Times New Roman" w:hAnsi="Times New Roman" w:cs="Times New Roman"/>
          <w:i/>
          <w:color w:val="000000"/>
          <w:sz w:val="24"/>
          <w:szCs w:val="24"/>
        </w:rPr>
        <w:t xml:space="preserve"> (No 2)</w:t>
      </w:r>
      <w:r w:rsidRPr="002C5217">
        <w:rPr>
          <w:rFonts w:ascii="Times New Roman" w:hAnsi="Times New Roman" w:cs="Times New Roman"/>
          <w:i/>
          <w:color w:val="000000"/>
          <w:sz w:val="24"/>
          <w:szCs w:val="24"/>
        </w:rPr>
        <w:t>.</w:t>
      </w:r>
    </w:p>
    <w:p w14:paraId="64DC000B" w14:textId="77777777" w:rsidR="00390260" w:rsidRPr="002C5217" w:rsidRDefault="00390260" w:rsidP="006C7B7F">
      <w:pPr>
        <w:spacing w:before="240" w:after="60"/>
        <w:ind w:left="720" w:hanging="720"/>
        <w:rPr>
          <w:b/>
          <w:bCs/>
          <w:color w:val="000000"/>
          <w:sz w:val="24"/>
          <w:szCs w:val="24"/>
        </w:rPr>
      </w:pPr>
      <w:r w:rsidRPr="002C5217">
        <w:rPr>
          <w:b/>
          <w:bCs/>
          <w:color w:val="000000"/>
          <w:sz w:val="24"/>
          <w:szCs w:val="24"/>
        </w:rPr>
        <w:t>2</w:t>
      </w:r>
      <w:r w:rsidRPr="002C5217">
        <w:rPr>
          <w:b/>
          <w:bCs/>
          <w:color w:val="000000"/>
          <w:sz w:val="24"/>
          <w:szCs w:val="24"/>
        </w:rPr>
        <w:tab/>
        <w:t xml:space="preserve">Commencement </w:t>
      </w:r>
    </w:p>
    <w:p w14:paraId="66FA9929" w14:textId="260CBA3D" w:rsidR="00390260" w:rsidRPr="002C5217" w:rsidRDefault="00DD30CE" w:rsidP="006C7B7F">
      <w:pPr>
        <w:spacing w:before="80" w:after="60"/>
        <w:ind w:left="720"/>
        <w:rPr>
          <w:rFonts w:ascii="Times New Roman" w:hAnsi="Times New Roman" w:cs="Times New Roman"/>
          <w:color w:val="000000"/>
          <w:sz w:val="24"/>
          <w:szCs w:val="24"/>
        </w:rPr>
      </w:pPr>
      <w:r w:rsidRPr="002C5217">
        <w:rPr>
          <w:rFonts w:ascii="Times New Roman" w:hAnsi="Times New Roman" w:cs="Times New Roman"/>
          <w:color w:val="000000"/>
          <w:sz w:val="24"/>
          <w:szCs w:val="24"/>
        </w:rPr>
        <w:t>This instrument commence</w:t>
      </w:r>
      <w:r w:rsidR="0006776B" w:rsidRPr="002C5217">
        <w:rPr>
          <w:rFonts w:ascii="Times New Roman" w:hAnsi="Times New Roman" w:cs="Times New Roman"/>
          <w:color w:val="000000"/>
          <w:sz w:val="24"/>
          <w:szCs w:val="24"/>
        </w:rPr>
        <w:t>s</w:t>
      </w:r>
      <w:r w:rsidRPr="002C5217">
        <w:rPr>
          <w:rFonts w:ascii="Times New Roman" w:hAnsi="Times New Roman" w:cs="Times New Roman"/>
          <w:color w:val="000000"/>
          <w:sz w:val="24"/>
          <w:szCs w:val="24"/>
        </w:rPr>
        <w:t xml:space="preserve"> </w:t>
      </w:r>
      <w:r w:rsidR="00965316" w:rsidRPr="002C5217">
        <w:rPr>
          <w:rFonts w:ascii="Times New Roman" w:hAnsi="Times New Roman" w:cs="Times New Roman"/>
          <w:color w:val="000000"/>
          <w:sz w:val="24"/>
          <w:szCs w:val="24"/>
        </w:rPr>
        <w:t xml:space="preserve">on </w:t>
      </w:r>
      <w:r w:rsidR="00CF5A99" w:rsidRPr="006F05ED">
        <w:rPr>
          <w:rFonts w:ascii="Times New Roman" w:hAnsi="Times New Roman" w:cs="Times New Roman"/>
          <w:color w:val="000000"/>
          <w:sz w:val="24"/>
          <w:szCs w:val="24"/>
        </w:rPr>
        <w:t>1 January 2021</w:t>
      </w:r>
      <w:r w:rsidRPr="006F05ED">
        <w:rPr>
          <w:rFonts w:ascii="Times New Roman" w:hAnsi="Times New Roman" w:cs="Times New Roman"/>
          <w:color w:val="000000"/>
          <w:sz w:val="24"/>
          <w:szCs w:val="24"/>
        </w:rPr>
        <w:t>.</w:t>
      </w:r>
    </w:p>
    <w:p w14:paraId="36D29AB4" w14:textId="77777777" w:rsidR="00390260" w:rsidRPr="002C5217" w:rsidRDefault="00390260" w:rsidP="002C5217">
      <w:pPr>
        <w:spacing w:before="240" w:after="60"/>
        <w:ind w:left="720" w:hanging="720"/>
        <w:rPr>
          <w:b/>
          <w:bCs/>
          <w:color w:val="000000"/>
          <w:sz w:val="24"/>
          <w:szCs w:val="24"/>
        </w:rPr>
      </w:pPr>
      <w:r w:rsidRPr="002C5217">
        <w:rPr>
          <w:b/>
          <w:bCs/>
          <w:color w:val="000000"/>
          <w:sz w:val="24"/>
          <w:szCs w:val="24"/>
        </w:rPr>
        <w:t>3</w:t>
      </w:r>
      <w:r w:rsidRPr="002C5217">
        <w:rPr>
          <w:b/>
          <w:bCs/>
          <w:color w:val="000000"/>
          <w:sz w:val="24"/>
          <w:szCs w:val="24"/>
        </w:rPr>
        <w:tab/>
        <w:t xml:space="preserve">Determination of </w:t>
      </w:r>
      <w:r w:rsidR="00A85A25" w:rsidRPr="002C5217">
        <w:rPr>
          <w:b/>
          <w:bCs/>
          <w:color w:val="000000"/>
          <w:sz w:val="24"/>
          <w:szCs w:val="24"/>
        </w:rPr>
        <w:t xml:space="preserve">eligible activities </w:t>
      </w:r>
    </w:p>
    <w:p w14:paraId="4885B8F1" w14:textId="3ABFC176" w:rsidR="00A85A25" w:rsidRPr="002C5217" w:rsidRDefault="00C337B1" w:rsidP="002C5217">
      <w:pPr>
        <w:autoSpaceDE w:val="0"/>
        <w:autoSpaceDN w:val="0"/>
        <w:adjustRightInd w:val="0"/>
        <w:spacing w:before="80" w:after="60"/>
        <w:ind w:left="720"/>
        <w:rPr>
          <w:rFonts w:ascii="Times New Roman" w:hAnsi="Times New Roman" w:cs="Times New Roman"/>
          <w:color w:val="000000"/>
          <w:sz w:val="24"/>
          <w:szCs w:val="24"/>
          <w:lang w:eastAsia="en-AU"/>
        </w:rPr>
      </w:pPr>
      <w:r w:rsidRPr="002C5217">
        <w:rPr>
          <w:rFonts w:ascii="Times New Roman" w:hAnsi="Times New Roman" w:cs="Times New Roman"/>
          <w:color w:val="000000"/>
          <w:sz w:val="24"/>
          <w:szCs w:val="24"/>
          <w:lang w:eastAsia="en-AU"/>
        </w:rPr>
        <w:t xml:space="preserve">I determine that the activities described in </w:t>
      </w:r>
      <w:r w:rsidR="009E5332">
        <w:rPr>
          <w:rFonts w:ascii="Times New Roman" w:hAnsi="Times New Roman" w:cs="Times New Roman"/>
          <w:color w:val="000000"/>
          <w:sz w:val="24"/>
          <w:szCs w:val="24"/>
          <w:lang w:eastAsia="en-AU"/>
        </w:rPr>
        <w:t>S</w:t>
      </w:r>
      <w:r w:rsidR="00E905C5" w:rsidRPr="002C5217">
        <w:rPr>
          <w:rFonts w:ascii="Times New Roman" w:hAnsi="Times New Roman" w:cs="Times New Roman"/>
          <w:color w:val="000000"/>
          <w:sz w:val="24"/>
          <w:szCs w:val="24"/>
          <w:lang w:eastAsia="en-AU"/>
        </w:rPr>
        <w:t>chedule</w:t>
      </w:r>
      <w:r w:rsidR="00CA646A" w:rsidRPr="002C5217">
        <w:rPr>
          <w:rFonts w:ascii="Times New Roman" w:hAnsi="Times New Roman" w:cs="Times New Roman"/>
          <w:color w:val="000000"/>
          <w:sz w:val="24"/>
          <w:szCs w:val="24"/>
          <w:lang w:eastAsia="en-AU"/>
        </w:rPr>
        <w:t xml:space="preserve"> </w:t>
      </w:r>
      <w:r w:rsidR="009E5332">
        <w:rPr>
          <w:rFonts w:ascii="Times New Roman" w:hAnsi="Times New Roman" w:cs="Times New Roman"/>
          <w:color w:val="000000"/>
          <w:sz w:val="24"/>
          <w:szCs w:val="24"/>
          <w:lang w:eastAsia="en-AU"/>
        </w:rPr>
        <w:t xml:space="preserve">1 </w:t>
      </w:r>
      <w:r w:rsidRPr="002C5217">
        <w:rPr>
          <w:rFonts w:ascii="Times New Roman" w:hAnsi="Times New Roman" w:cs="Times New Roman"/>
          <w:color w:val="000000"/>
          <w:sz w:val="24"/>
          <w:szCs w:val="24"/>
          <w:lang w:eastAsia="en-AU"/>
        </w:rPr>
        <w:t>are eligible activities</w:t>
      </w:r>
      <w:r w:rsidR="00A606E6" w:rsidRPr="002C5217">
        <w:rPr>
          <w:rFonts w:ascii="Times New Roman" w:hAnsi="Times New Roman" w:cs="Times New Roman"/>
          <w:color w:val="000000"/>
          <w:sz w:val="24"/>
          <w:szCs w:val="24"/>
          <w:lang w:eastAsia="en-AU"/>
        </w:rPr>
        <w:t>.</w:t>
      </w:r>
    </w:p>
    <w:p w14:paraId="4D14CF50" w14:textId="77777777" w:rsidR="002C5217" w:rsidRPr="00566D80" w:rsidRDefault="002C5217" w:rsidP="002C5217">
      <w:pPr>
        <w:spacing w:before="240" w:after="60"/>
        <w:ind w:left="720" w:hanging="720"/>
        <w:rPr>
          <w:b/>
          <w:bCs/>
          <w:sz w:val="24"/>
          <w:szCs w:val="24"/>
        </w:rPr>
      </w:pPr>
      <w:r w:rsidRPr="00566D80">
        <w:rPr>
          <w:b/>
          <w:bCs/>
          <w:sz w:val="24"/>
          <w:szCs w:val="24"/>
        </w:rPr>
        <w:t>4</w:t>
      </w:r>
      <w:r w:rsidRPr="00566D80">
        <w:rPr>
          <w:b/>
          <w:bCs/>
          <w:sz w:val="24"/>
          <w:szCs w:val="24"/>
        </w:rPr>
        <w:tab/>
        <w:t>Disapplication of Legislation Act, s47 (5) and 47 (6)</w:t>
      </w:r>
    </w:p>
    <w:p w14:paraId="32622121" w14:textId="77777777" w:rsidR="002C5217" w:rsidRPr="00566D80" w:rsidRDefault="002C5217" w:rsidP="002C5217">
      <w:pPr>
        <w:autoSpaceDE w:val="0"/>
        <w:autoSpaceDN w:val="0"/>
        <w:adjustRightInd w:val="0"/>
        <w:spacing w:before="80" w:after="60"/>
        <w:ind w:left="720"/>
        <w:rPr>
          <w:rFonts w:ascii="Times New Roman" w:hAnsi="Times New Roman" w:cs="Times New Roman"/>
          <w:color w:val="000000"/>
          <w:sz w:val="24"/>
          <w:szCs w:val="24"/>
          <w:lang w:eastAsia="en-AU"/>
        </w:rPr>
      </w:pPr>
      <w:bookmarkStart w:id="6" w:name="_Hlk31189748"/>
      <w:r w:rsidRPr="00566D80">
        <w:rPr>
          <w:rFonts w:ascii="Times New Roman" w:hAnsi="Times New Roman" w:cs="Times New Roman"/>
          <w:color w:val="000000"/>
          <w:sz w:val="24"/>
          <w:szCs w:val="24"/>
          <w:lang w:eastAsia="en-AU"/>
        </w:rPr>
        <w:t xml:space="preserve">The </w:t>
      </w:r>
      <w:r w:rsidRPr="009715A8">
        <w:rPr>
          <w:rFonts w:ascii="Times New Roman" w:hAnsi="Times New Roman" w:cs="Times New Roman"/>
          <w:i/>
          <w:iCs/>
          <w:color w:val="000000"/>
          <w:sz w:val="24"/>
          <w:szCs w:val="24"/>
          <w:lang w:eastAsia="en-AU"/>
        </w:rPr>
        <w:t>Legislation Act 2001</w:t>
      </w:r>
      <w:r w:rsidRPr="00566D80">
        <w:rPr>
          <w:rFonts w:ascii="Times New Roman" w:hAnsi="Times New Roman" w:cs="Times New Roman"/>
          <w:color w:val="000000"/>
          <w:sz w:val="24"/>
          <w:szCs w:val="24"/>
          <w:lang w:eastAsia="en-AU"/>
        </w:rPr>
        <w:t xml:space="preserve">, sections 47 (5) and 47 (6) </w:t>
      </w:r>
      <w:bookmarkEnd w:id="6"/>
      <w:r w:rsidRPr="00566D80">
        <w:rPr>
          <w:rFonts w:ascii="Times New Roman" w:hAnsi="Times New Roman" w:cs="Times New Roman"/>
          <w:color w:val="000000"/>
          <w:sz w:val="24"/>
          <w:szCs w:val="24"/>
          <w:lang w:eastAsia="en-AU"/>
        </w:rPr>
        <w:t>do not apply in relation to an instrument applied, adopted or incorporated under this instrument.</w:t>
      </w:r>
    </w:p>
    <w:p w14:paraId="799DCC7F" w14:textId="77777777" w:rsidR="002C5217" w:rsidRPr="00566D80" w:rsidRDefault="002C5217" w:rsidP="002C5217">
      <w:pPr>
        <w:spacing w:before="240" w:after="60"/>
        <w:ind w:left="720" w:hanging="720"/>
        <w:rPr>
          <w:b/>
          <w:bCs/>
          <w:sz w:val="24"/>
          <w:szCs w:val="24"/>
        </w:rPr>
      </w:pPr>
      <w:bookmarkStart w:id="7" w:name="_Hlk32498910"/>
      <w:r w:rsidRPr="00566D80">
        <w:rPr>
          <w:b/>
          <w:bCs/>
          <w:sz w:val="24"/>
          <w:szCs w:val="24"/>
        </w:rPr>
        <w:t>5</w:t>
      </w:r>
      <w:r w:rsidRPr="00566D80">
        <w:rPr>
          <w:b/>
          <w:bCs/>
          <w:sz w:val="24"/>
          <w:szCs w:val="24"/>
        </w:rPr>
        <w:tab/>
        <w:t>Referenced documents</w:t>
      </w:r>
    </w:p>
    <w:p w14:paraId="35BB185A" w14:textId="7E252365" w:rsidR="00C56A01" w:rsidRPr="0064760C" w:rsidRDefault="00AC150C" w:rsidP="002C5217">
      <w:pPr>
        <w:autoSpaceDE w:val="0"/>
        <w:autoSpaceDN w:val="0"/>
        <w:adjustRightInd w:val="0"/>
        <w:spacing w:before="80" w:after="60"/>
        <w:ind w:left="720"/>
        <w:rPr>
          <w:rFonts w:ascii="Times New Roman" w:hAnsi="Times New Roman" w:cs="Times New Roman"/>
          <w:color w:val="000000"/>
          <w:sz w:val="24"/>
          <w:szCs w:val="24"/>
          <w:lang w:eastAsia="en-AU"/>
        </w:rPr>
      </w:pPr>
      <w:bookmarkStart w:id="8" w:name="_Hlk34131741"/>
      <w:r w:rsidRPr="00566D80">
        <w:rPr>
          <w:rFonts w:ascii="Times New Roman" w:hAnsi="Times New Roman" w:cs="Times New Roman"/>
          <w:color w:val="000000"/>
          <w:sz w:val="24"/>
          <w:szCs w:val="24"/>
          <w:lang w:eastAsia="en-AU"/>
        </w:rPr>
        <w:t xml:space="preserve">1) </w:t>
      </w:r>
      <w:r w:rsidR="003D3925" w:rsidRPr="00C56A01">
        <w:rPr>
          <w:rFonts w:ascii="Times New Roman" w:hAnsi="Times New Roman" w:cs="Times New Roman"/>
          <w:sz w:val="24"/>
          <w:szCs w:val="24"/>
        </w:rPr>
        <w:t xml:space="preserve">Australian Standards are available for </w:t>
      </w:r>
      <w:r w:rsidR="003D3925" w:rsidRPr="00C56A01">
        <w:rPr>
          <w:rFonts w:ascii="Times New Roman" w:hAnsi="Times New Roman" w:cs="Times New Roman"/>
          <w:color w:val="000000"/>
          <w:sz w:val="24"/>
          <w:szCs w:val="24"/>
          <w:lang w:eastAsia="en-AU"/>
        </w:rPr>
        <w:t xml:space="preserve">purchase at </w:t>
      </w:r>
      <w:hyperlink r:id="rId8" w:history="1">
        <w:r w:rsidR="003D3925" w:rsidRPr="009715A8">
          <w:rPr>
            <w:rStyle w:val="Hyperlink"/>
            <w:rFonts w:ascii="Times New Roman" w:hAnsi="Times New Roman"/>
            <w:i/>
            <w:iCs/>
            <w:color w:val="auto"/>
            <w:sz w:val="24"/>
            <w:szCs w:val="24"/>
            <w:lang w:eastAsia="en-AU"/>
          </w:rPr>
          <w:t>www.standards.org.au</w:t>
        </w:r>
      </w:hyperlink>
      <w:r w:rsidR="005E0D09" w:rsidRPr="0064760C">
        <w:rPr>
          <w:rStyle w:val="Hyperlink"/>
          <w:rFonts w:ascii="Times New Roman" w:hAnsi="Times New Roman"/>
          <w:color w:val="auto"/>
          <w:sz w:val="24"/>
          <w:szCs w:val="24"/>
          <w:u w:val="none"/>
          <w:lang w:eastAsia="en-AU"/>
        </w:rPr>
        <w:t xml:space="preserve"> and are available for inspection </w:t>
      </w:r>
      <w:r w:rsidR="004D5929" w:rsidRPr="0064760C">
        <w:rPr>
          <w:rStyle w:val="Hyperlink"/>
          <w:rFonts w:ascii="Times New Roman" w:hAnsi="Times New Roman"/>
          <w:color w:val="auto"/>
          <w:sz w:val="24"/>
          <w:szCs w:val="24"/>
          <w:u w:val="none"/>
          <w:lang w:eastAsia="en-AU"/>
        </w:rPr>
        <w:t xml:space="preserve">by members of the public between 9am and 4.30pm on business days </w:t>
      </w:r>
      <w:r w:rsidR="005E0D09" w:rsidRPr="0064760C">
        <w:rPr>
          <w:rStyle w:val="Hyperlink"/>
          <w:rFonts w:ascii="Times New Roman" w:hAnsi="Times New Roman"/>
          <w:color w:val="auto"/>
          <w:sz w:val="24"/>
          <w:szCs w:val="24"/>
          <w:u w:val="none"/>
          <w:lang w:eastAsia="en-AU"/>
        </w:rPr>
        <w:t>at the Access Canberra shopfront</w:t>
      </w:r>
      <w:r w:rsidR="00C862AD">
        <w:rPr>
          <w:rStyle w:val="Hyperlink"/>
          <w:rFonts w:ascii="Times New Roman" w:hAnsi="Times New Roman"/>
          <w:color w:val="auto"/>
          <w:sz w:val="24"/>
          <w:szCs w:val="24"/>
          <w:u w:val="none"/>
          <w:lang w:eastAsia="en-AU"/>
        </w:rPr>
        <w:t xml:space="preserve"> in</w:t>
      </w:r>
      <w:r w:rsidR="004D5929" w:rsidRPr="0064760C">
        <w:rPr>
          <w:rStyle w:val="Hyperlink"/>
          <w:rFonts w:ascii="Times New Roman" w:hAnsi="Times New Roman"/>
          <w:color w:val="auto"/>
          <w:sz w:val="24"/>
          <w:szCs w:val="24"/>
          <w:u w:val="none"/>
          <w:lang w:eastAsia="en-AU"/>
        </w:rPr>
        <w:t xml:space="preserve"> Dickson. </w:t>
      </w:r>
    </w:p>
    <w:bookmarkEnd w:id="8"/>
    <w:p w14:paraId="65A2040B" w14:textId="7A5EDBB4" w:rsidR="002C5217" w:rsidRPr="002C5217" w:rsidRDefault="002C5217" w:rsidP="002C5217">
      <w:pPr>
        <w:autoSpaceDE w:val="0"/>
        <w:autoSpaceDN w:val="0"/>
        <w:adjustRightInd w:val="0"/>
        <w:spacing w:before="80" w:after="60"/>
        <w:ind w:left="720"/>
        <w:rPr>
          <w:rFonts w:ascii="Times New Roman" w:hAnsi="Times New Roman" w:cs="Times New Roman"/>
          <w:color w:val="000000"/>
          <w:sz w:val="24"/>
          <w:szCs w:val="24"/>
          <w:lang w:eastAsia="en-AU"/>
        </w:rPr>
      </w:pPr>
      <w:r w:rsidRPr="00566D80">
        <w:rPr>
          <w:rFonts w:ascii="Times New Roman" w:hAnsi="Times New Roman" w:cs="Times New Roman"/>
          <w:color w:val="000000"/>
          <w:sz w:val="24"/>
          <w:szCs w:val="24"/>
          <w:lang w:eastAsia="en-AU"/>
        </w:rPr>
        <w:t xml:space="preserve">2) A copy of the National Construction Code, which incorporates the Building Code of Australia and the Plumbing Code of Australia, is </w:t>
      </w:r>
      <w:r w:rsidR="00F6740E">
        <w:rPr>
          <w:rFonts w:ascii="Times New Roman" w:hAnsi="Times New Roman" w:cs="Times New Roman"/>
          <w:color w:val="000000"/>
          <w:sz w:val="24"/>
          <w:szCs w:val="24"/>
          <w:lang w:eastAsia="en-AU"/>
        </w:rPr>
        <w:t xml:space="preserve">freely </w:t>
      </w:r>
      <w:r w:rsidRPr="00566D80">
        <w:rPr>
          <w:rFonts w:ascii="Times New Roman" w:hAnsi="Times New Roman" w:cs="Times New Roman"/>
          <w:color w:val="000000"/>
          <w:sz w:val="24"/>
          <w:szCs w:val="24"/>
          <w:lang w:eastAsia="en-AU"/>
        </w:rPr>
        <w:t xml:space="preserve">available for inspection at </w:t>
      </w:r>
      <w:hyperlink r:id="rId9" w:history="1">
        <w:r w:rsidR="006F05ED" w:rsidRPr="00842DB3">
          <w:rPr>
            <w:rStyle w:val="Hyperlink"/>
            <w:rFonts w:ascii="Times New Roman" w:hAnsi="Times New Roman"/>
            <w:sz w:val="24"/>
            <w:szCs w:val="24"/>
            <w:lang w:eastAsia="en-AU"/>
          </w:rPr>
          <w:t>www.abcb.gov.au</w:t>
        </w:r>
      </w:hyperlink>
      <w:r w:rsidR="006F05ED">
        <w:rPr>
          <w:rFonts w:ascii="Times New Roman" w:hAnsi="Times New Roman" w:cs="Times New Roman"/>
          <w:color w:val="000000"/>
          <w:sz w:val="24"/>
          <w:szCs w:val="24"/>
          <w:lang w:eastAsia="en-AU"/>
        </w:rPr>
        <w:t xml:space="preserve"> </w:t>
      </w:r>
      <w:r w:rsidR="004D5929">
        <w:rPr>
          <w:rFonts w:ascii="Times New Roman" w:hAnsi="Times New Roman" w:cs="Times New Roman"/>
          <w:color w:val="000000"/>
          <w:sz w:val="24"/>
          <w:szCs w:val="24"/>
          <w:lang w:eastAsia="en-AU"/>
        </w:rPr>
        <w:t xml:space="preserve">or </w:t>
      </w:r>
      <w:r w:rsidR="004D5929" w:rsidRPr="0064760C">
        <w:rPr>
          <w:rStyle w:val="Hyperlink"/>
          <w:rFonts w:ascii="Times New Roman" w:hAnsi="Times New Roman"/>
          <w:color w:val="auto"/>
          <w:sz w:val="24"/>
          <w:szCs w:val="24"/>
          <w:u w:val="none"/>
          <w:lang w:eastAsia="en-AU"/>
        </w:rPr>
        <w:t>for inspection by members of the public between 9am and 4.30pm on business days at the Access Canberra shopfront</w:t>
      </w:r>
      <w:r w:rsidR="00C862AD">
        <w:rPr>
          <w:rStyle w:val="Hyperlink"/>
          <w:rFonts w:ascii="Times New Roman" w:hAnsi="Times New Roman"/>
          <w:color w:val="auto"/>
          <w:sz w:val="24"/>
          <w:szCs w:val="24"/>
          <w:u w:val="none"/>
          <w:lang w:eastAsia="en-AU"/>
        </w:rPr>
        <w:t xml:space="preserve"> in</w:t>
      </w:r>
      <w:r w:rsidR="004D5929" w:rsidRPr="0064760C">
        <w:rPr>
          <w:rStyle w:val="Hyperlink"/>
          <w:rFonts w:ascii="Times New Roman" w:hAnsi="Times New Roman"/>
          <w:color w:val="auto"/>
          <w:sz w:val="24"/>
          <w:szCs w:val="24"/>
          <w:u w:val="none"/>
          <w:lang w:eastAsia="en-AU"/>
        </w:rPr>
        <w:t xml:space="preserve"> Dickson.</w:t>
      </w:r>
    </w:p>
    <w:bookmarkEnd w:id="7"/>
    <w:p w14:paraId="1382018D" w14:textId="77777777" w:rsidR="00831F19" w:rsidRPr="002C5217" w:rsidRDefault="002C5217" w:rsidP="002C5217">
      <w:pPr>
        <w:spacing w:before="240" w:after="60"/>
        <w:ind w:left="720" w:hanging="720"/>
        <w:rPr>
          <w:b/>
          <w:bCs/>
          <w:sz w:val="24"/>
          <w:szCs w:val="24"/>
        </w:rPr>
      </w:pPr>
      <w:r w:rsidRPr="002C5217">
        <w:rPr>
          <w:b/>
          <w:bCs/>
          <w:sz w:val="24"/>
          <w:szCs w:val="24"/>
        </w:rPr>
        <w:t>6</w:t>
      </w:r>
      <w:r w:rsidRPr="002C5217">
        <w:rPr>
          <w:b/>
          <w:bCs/>
          <w:sz w:val="24"/>
          <w:szCs w:val="24"/>
        </w:rPr>
        <w:tab/>
      </w:r>
      <w:r w:rsidR="00A606E6" w:rsidRPr="002C5217">
        <w:rPr>
          <w:b/>
          <w:bCs/>
          <w:sz w:val="24"/>
          <w:szCs w:val="24"/>
        </w:rPr>
        <w:t>Dictionary</w:t>
      </w:r>
    </w:p>
    <w:p w14:paraId="2A24CF53" w14:textId="3D456D41" w:rsidR="002827E8" w:rsidRPr="002C5217" w:rsidRDefault="00A606E6" w:rsidP="002827E8">
      <w:pPr>
        <w:pStyle w:val="ListParagraph"/>
        <w:autoSpaceDE w:val="0"/>
        <w:autoSpaceDN w:val="0"/>
        <w:adjustRightInd w:val="0"/>
        <w:spacing w:before="80" w:after="60"/>
        <w:rPr>
          <w:rFonts w:ascii="Times New Roman" w:hAnsi="Times New Roman"/>
          <w:color w:val="000000"/>
          <w:sz w:val="24"/>
          <w:szCs w:val="24"/>
          <w:lang w:eastAsia="en-AU"/>
        </w:rPr>
      </w:pPr>
      <w:r w:rsidRPr="002C5217">
        <w:rPr>
          <w:rFonts w:ascii="Times New Roman" w:hAnsi="Times New Roman"/>
          <w:color w:val="000000"/>
          <w:sz w:val="24"/>
          <w:szCs w:val="24"/>
          <w:lang w:eastAsia="en-AU"/>
        </w:rPr>
        <w:t>I determine that</w:t>
      </w:r>
      <w:r w:rsidR="00C337B1" w:rsidRPr="002C5217">
        <w:rPr>
          <w:rFonts w:ascii="Times New Roman" w:hAnsi="Times New Roman"/>
          <w:color w:val="000000"/>
          <w:sz w:val="24"/>
          <w:szCs w:val="24"/>
          <w:lang w:eastAsia="en-AU"/>
        </w:rPr>
        <w:t xml:space="preserve"> </w:t>
      </w:r>
      <w:r w:rsidR="00E905C5" w:rsidRPr="002C5217">
        <w:rPr>
          <w:rFonts w:ascii="Times New Roman" w:hAnsi="Times New Roman"/>
          <w:color w:val="000000"/>
          <w:sz w:val="24"/>
          <w:szCs w:val="24"/>
          <w:lang w:eastAsia="en-AU"/>
        </w:rPr>
        <w:t xml:space="preserve">section </w:t>
      </w:r>
      <w:r w:rsidR="00C337B1" w:rsidRPr="002C5217">
        <w:rPr>
          <w:rFonts w:ascii="Times New Roman" w:hAnsi="Times New Roman"/>
          <w:color w:val="000000"/>
          <w:sz w:val="24"/>
          <w:szCs w:val="24"/>
          <w:lang w:eastAsia="en-AU"/>
        </w:rPr>
        <w:t xml:space="preserve">6 </w:t>
      </w:r>
      <w:r w:rsidR="000B4E69">
        <w:rPr>
          <w:rFonts w:ascii="Times New Roman" w:hAnsi="Times New Roman"/>
          <w:color w:val="000000"/>
          <w:sz w:val="24"/>
          <w:szCs w:val="24"/>
          <w:lang w:eastAsia="en-AU"/>
        </w:rPr>
        <w:t xml:space="preserve">of </w:t>
      </w:r>
      <w:r w:rsidR="009E5332">
        <w:rPr>
          <w:rFonts w:ascii="Times New Roman" w:hAnsi="Times New Roman"/>
          <w:color w:val="000000"/>
          <w:sz w:val="24"/>
          <w:szCs w:val="24"/>
          <w:lang w:eastAsia="en-AU"/>
        </w:rPr>
        <w:t>S</w:t>
      </w:r>
      <w:r w:rsidR="000B4E69">
        <w:rPr>
          <w:rFonts w:ascii="Times New Roman" w:hAnsi="Times New Roman"/>
          <w:color w:val="000000"/>
          <w:sz w:val="24"/>
          <w:szCs w:val="24"/>
          <w:lang w:eastAsia="en-AU"/>
        </w:rPr>
        <w:t>chedule</w:t>
      </w:r>
      <w:r w:rsidR="009E5332">
        <w:rPr>
          <w:rFonts w:ascii="Times New Roman" w:hAnsi="Times New Roman"/>
          <w:color w:val="000000"/>
          <w:sz w:val="24"/>
          <w:szCs w:val="24"/>
          <w:lang w:eastAsia="en-AU"/>
        </w:rPr>
        <w:t xml:space="preserve"> 1</w:t>
      </w:r>
      <w:r w:rsidR="000B4E69">
        <w:rPr>
          <w:rFonts w:ascii="Times New Roman" w:hAnsi="Times New Roman"/>
          <w:color w:val="000000"/>
          <w:sz w:val="24"/>
          <w:szCs w:val="24"/>
          <w:lang w:eastAsia="en-AU"/>
        </w:rPr>
        <w:t xml:space="preserve"> </w:t>
      </w:r>
      <w:r w:rsidR="00C337B1" w:rsidRPr="002C5217">
        <w:rPr>
          <w:rFonts w:ascii="Times New Roman" w:hAnsi="Times New Roman"/>
          <w:color w:val="000000"/>
          <w:sz w:val="24"/>
          <w:szCs w:val="24"/>
          <w:lang w:eastAsia="en-AU"/>
        </w:rPr>
        <w:t>is the dictionary for</w:t>
      </w:r>
      <w:r w:rsidR="00CA646A" w:rsidRPr="002C5217">
        <w:rPr>
          <w:rFonts w:ascii="Times New Roman" w:hAnsi="Times New Roman"/>
          <w:color w:val="000000"/>
          <w:sz w:val="24"/>
          <w:szCs w:val="24"/>
          <w:lang w:eastAsia="en-AU"/>
        </w:rPr>
        <w:t xml:space="preserve"> the schedule</w:t>
      </w:r>
      <w:r w:rsidR="00C337B1" w:rsidRPr="002C5217">
        <w:rPr>
          <w:rFonts w:ascii="Times New Roman" w:hAnsi="Times New Roman"/>
          <w:color w:val="000000"/>
          <w:sz w:val="24"/>
          <w:szCs w:val="24"/>
          <w:lang w:eastAsia="en-AU"/>
        </w:rPr>
        <w:t xml:space="preserve">. </w:t>
      </w:r>
    </w:p>
    <w:p w14:paraId="1B2583E3" w14:textId="65FF1A88" w:rsidR="000B4E69" w:rsidRDefault="004D5929" w:rsidP="00AB5C02">
      <w:pPr>
        <w:spacing w:before="240" w:after="60"/>
        <w:ind w:left="720" w:hanging="720"/>
        <w:rPr>
          <w:b/>
          <w:bCs/>
          <w:sz w:val="24"/>
          <w:szCs w:val="24"/>
        </w:rPr>
      </w:pPr>
      <w:r>
        <w:rPr>
          <w:b/>
          <w:bCs/>
          <w:sz w:val="24"/>
          <w:szCs w:val="24"/>
        </w:rPr>
        <w:t>7</w:t>
      </w:r>
      <w:r w:rsidR="00AB5C02">
        <w:rPr>
          <w:b/>
          <w:bCs/>
          <w:sz w:val="24"/>
          <w:szCs w:val="24"/>
        </w:rPr>
        <w:tab/>
      </w:r>
      <w:r w:rsidR="00AB5C02" w:rsidRPr="0064760C">
        <w:rPr>
          <w:b/>
          <w:bCs/>
          <w:sz w:val="24"/>
          <w:szCs w:val="24"/>
        </w:rPr>
        <w:t>Revocation</w:t>
      </w:r>
    </w:p>
    <w:p w14:paraId="1B855052" w14:textId="602CB8E2" w:rsidR="00AB5C02" w:rsidRDefault="00AB5C02" w:rsidP="0064760C">
      <w:pPr>
        <w:pStyle w:val="ListParagraph"/>
        <w:autoSpaceDE w:val="0"/>
        <w:autoSpaceDN w:val="0"/>
        <w:adjustRightInd w:val="0"/>
        <w:spacing w:before="80" w:after="60"/>
        <w:rPr>
          <w:rFonts w:ascii="Times New Roman" w:hAnsi="Times New Roman"/>
          <w:sz w:val="24"/>
          <w:szCs w:val="24"/>
        </w:rPr>
      </w:pPr>
      <w:r>
        <w:rPr>
          <w:rFonts w:ascii="Times New Roman" w:hAnsi="Times New Roman"/>
          <w:sz w:val="24"/>
          <w:szCs w:val="24"/>
        </w:rPr>
        <w:t xml:space="preserve">This instrument revokes the </w:t>
      </w:r>
      <w:r w:rsidRPr="0064760C">
        <w:rPr>
          <w:rFonts w:ascii="Times New Roman" w:hAnsi="Times New Roman"/>
          <w:i/>
          <w:iCs/>
          <w:sz w:val="24"/>
          <w:szCs w:val="24"/>
        </w:rPr>
        <w:t>Energy Efficiency (Cost of Living) Improvement (Eligible Activities) Determination 2020</w:t>
      </w:r>
      <w:r>
        <w:rPr>
          <w:rFonts w:ascii="Times New Roman" w:hAnsi="Times New Roman"/>
          <w:sz w:val="24"/>
          <w:szCs w:val="24"/>
        </w:rPr>
        <w:t xml:space="preserve"> DI2020-32.</w:t>
      </w:r>
    </w:p>
    <w:p w14:paraId="0526C353" w14:textId="77777777" w:rsidR="00AB5C02" w:rsidRDefault="00AB5C02" w:rsidP="000B4E69">
      <w:pPr>
        <w:tabs>
          <w:tab w:val="left" w:pos="4320"/>
        </w:tabs>
        <w:spacing w:before="0" w:after="0"/>
        <w:rPr>
          <w:rFonts w:ascii="Times New Roman" w:hAnsi="Times New Roman" w:cs="Times New Roman"/>
          <w:sz w:val="24"/>
          <w:szCs w:val="24"/>
        </w:rPr>
      </w:pPr>
    </w:p>
    <w:p w14:paraId="68CC5047" w14:textId="77777777" w:rsidR="002827E8" w:rsidRDefault="002827E8" w:rsidP="000B4E69">
      <w:pPr>
        <w:tabs>
          <w:tab w:val="left" w:pos="4320"/>
        </w:tabs>
        <w:spacing w:before="0" w:after="0"/>
        <w:rPr>
          <w:rFonts w:ascii="Times New Roman" w:hAnsi="Times New Roman" w:cs="Times New Roman"/>
          <w:sz w:val="24"/>
          <w:szCs w:val="24"/>
        </w:rPr>
      </w:pPr>
    </w:p>
    <w:p w14:paraId="2E49AE00" w14:textId="77777777" w:rsidR="002C5217" w:rsidRPr="002C5217" w:rsidRDefault="002C5217" w:rsidP="000B4E69">
      <w:pPr>
        <w:tabs>
          <w:tab w:val="left" w:pos="4320"/>
        </w:tabs>
        <w:spacing w:before="0" w:after="0"/>
        <w:rPr>
          <w:rFonts w:ascii="Times New Roman" w:hAnsi="Times New Roman" w:cs="Times New Roman"/>
          <w:sz w:val="24"/>
          <w:szCs w:val="24"/>
        </w:rPr>
      </w:pPr>
      <w:r w:rsidRPr="002C5217">
        <w:rPr>
          <w:rFonts w:ascii="Times New Roman" w:hAnsi="Times New Roman" w:cs="Times New Roman"/>
          <w:sz w:val="24"/>
          <w:szCs w:val="24"/>
        </w:rPr>
        <w:lastRenderedPageBreak/>
        <w:t>Shane Rattenbury MLA</w:t>
      </w:r>
    </w:p>
    <w:p w14:paraId="5BA51469" w14:textId="77777777" w:rsidR="000B4E69" w:rsidRDefault="002C5217" w:rsidP="000B4E69">
      <w:pPr>
        <w:tabs>
          <w:tab w:val="left" w:pos="4320"/>
        </w:tabs>
        <w:spacing w:before="0" w:after="0"/>
        <w:rPr>
          <w:rFonts w:ascii="Times New Roman" w:hAnsi="Times New Roman" w:cs="Times New Roman"/>
          <w:sz w:val="24"/>
          <w:szCs w:val="24"/>
        </w:rPr>
      </w:pPr>
      <w:r w:rsidRPr="002C5217">
        <w:rPr>
          <w:rFonts w:ascii="Times New Roman" w:hAnsi="Times New Roman" w:cs="Times New Roman"/>
          <w:sz w:val="24"/>
          <w:szCs w:val="24"/>
        </w:rPr>
        <w:t>Minister for Climate Change and Sustainability</w:t>
      </w:r>
    </w:p>
    <w:bookmarkEnd w:id="0"/>
    <w:bookmarkEnd w:id="1"/>
    <w:bookmarkEnd w:id="2"/>
    <w:p w14:paraId="40879399" w14:textId="4E2A1739" w:rsidR="002827E8" w:rsidRDefault="00AF69B3" w:rsidP="003206A3">
      <w:pPr>
        <w:tabs>
          <w:tab w:val="left" w:pos="4320"/>
        </w:tabs>
        <w:spacing w:before="0" w:after="0"/>
        <w:rPr>
          <w:color w:val="000000"/>
        </w:rPr>
      </w:pPr>
      <w:r>
        <w:rPr>
          <w:rFonts w:ascii="Times New Roman" w:hAnsi="Times New Roman" w:cs="Times New Roman"/>
          <w:sz w:val="24"/>
          <w:szCs w:val="24"/>
        </w:rPr>
        <w:t xml:space="preserve">24 </w:t>
      </w:r>
      <w:r w:rsidR="00B66C45" w:rsidRPr="00B66C45">
        <w:rPr>
          <w:rFonts w:ascii="Times New Roman" w:hAnsi="Times New Roman" w:cs="Times New Roman"/>
          <w:sz w:val="24"/>
          <w:szCs w:val="24"/>
        </w:rPr>
        <w:t>July</w:t>
      </w:r>
      <w:r w:rsidR="003206A3" w:rsidRPr="00B66C45">
        <w:rPr>
          <w:rFonts w:ascii="Times New Roman" w:hAnsi="Times New Roman" w:cs="Times New Roman"/>
          <w:sz w:val="24"/>
          <w:szCs w:val="24"/>
        </w:rPr>
        <w:t xml:space="preserve"> 202</w:t>
      </w:r>
      <w:r w:rsidR="002827E8" w:rsidRPr="00B66C45">
        <w:rPr>
          <w:rFonts w:ascii="Times New Roman" w:hAnsi="Times New Roman" w:cs="Times New Roman"/>
          <w:sz w:val="24"/>
          <w:szCs w:val="24"/>
        </w:rPr>
        <w:t>0</w:t>
      </w:r>
    </w:p>
    <w:p w14:paraId="3979969C" w14:textId="467D22AE" w:rsidR="009E5332" w:rsidRPr="0064760C" w:rsidRDefault="006F05ED" w:rsidP="003206A3">
      <w:pPr>
        <w:tabs>
          <w:tab w:val="left" w:pos="4320"/>
        </w:tabs>
        <w:spacing w:before="0" w:after="0"/>
        <w:rPr>
          <w:b/>
          <w:bCs/>
          <w:sz w:val="36"/>
          <w:szCs w:val="36"/>
        </w:rPr>
      </w:pPr>
      <w:r>
        <w:br w:type="page"/>
      </w:r>
      <w:r w:rsidR="009E5332" w:rsidRPr="0064760C">
        <w:rPr>
          <w:b/>
          <w:bCs/>
          <w:sz w:val="36"/>
          <w:szCs w:val="36"/>
        </w:rPr>
        <w:lastRenderedPageBreak/>
        <w:t>Schedule 1</w:t>
      </w:r>
    </w:p>
    <w:p w14:paraId="724FF303" w14:textId="3883F5CD" w:rsidR="00F2156E" w:rsidRPr="00E8521C" w:rsidRDefault="00F2156E" w:rsidP="003206A3">
      <w:pPr>
        <w:tabs>
          <w:tab w:val="left" w:pos="4320"/>
        </w:tabs>
        <w:spacing w:before="0" w:after="0"/>
        <w:rPr>
          <w:b/>
          <w:bCs/>
          <w:sz w:val="34"/>
          <w:szCs w:val="34"/>
        </w:rPr>
      </w:pPr>
      <w:r w:rsidRPr="00E8521C">
        <w:rPr>
          <w:b/>
          <w:bCs/>
          <w:sz w:val="34"/>
          <w:szCs w:val="34"/>
        </w:rPr>
        <w:t>Contents</w:t>
      </w:r>
    </w:p>
    <w:bookmarkStart w:id="9" w:name="_Toc21867009"/>
    <w:bookmarkStart w:id="10" w:name="_Toc21867010"/>
    <w:bookmarkStart w:id="11" w:name="_Toc21867011"/>
    <w:bookmarkStart w:id="12" w:name="_Toc466535723"/>
    <w:bookmarkEnd w:id="9"/>
    <w:bookmarkEnd w:id="10"/>
    <w:bookmarkEnd w:id="11"/>
    <w:p w14:paraId="002A9F2C" w14:textId="18504976" w:rsidR="00C32837" w:rsidRPr="005E1D29" w:rsidRDefault="00E1157A">
      <w:pPr>
        <w:pStyle w:val="TOC1"/>
        <w:rPr>
          <w:rFonts w:ascii="Calibri" w:eastAsia="Times New Roman" w:hAnsi="Calibri" w:cs="Times New Roman"/>
          <w:b w:val="0"/>
          <w:bCs w:val="0"/>
          <w:caps w:val="0"/>
          <w:noProof/>
          <w:sz w:val="22"/>
          <w:szCs w:val="22"/>
          <w:lang w:eastAsia="en-AU"/>
        </w:rPr>
      </w:pPr>
      <w:r>
        <w:fldChar w:fldCharType="begin"/>
      </w:r>
      <w:r>
        <w:instrText xml:space="preserve"> TOC \t "Section Heading 1,1,Section heading 2,2" </w:instrText>
      </w:r>
      <w:r>
        <w:fldChar w:fldCharType="separate"/>
      </w:r>
      <w:r w:rsidR="00C32837">
        <w:rPr>
          <w:noProof/>
        </w:rPr>
        <w:t>1.</w:t>
      </w:r>
      <w:r w:rsidR="00C32837" w:rsidRPr="005E1D29">
        <w:rPr>
          <w:rFonts w:ascii="Calibri" w:eastAsia="Times New Roman" w:hAnsi="Calibri" w:cs="Times New Roman"/>
          <w:b w:val="0"/>
          <w:bCs w:val="0"/>
          <w:caps w:val="0"/>
          <w:noProof/>
          <w:sz w:val="22"/>
          <w:szCs w:val="22"/>
          <w:lang w:eastAsia="en-AU"/>
        </w:rPr>
        <w:tab/>
      </w:r>
      <w:r w:rsidR="00C32837">
        <w:rPr>
          <w:noProof/>
        </w:rPr>
        <w:t>Residential building envelope activities</w:t>
      </w:r>
      <w:r w:rsidR="00C32837">
        <w:rPr>
          <w:noProof/>
        </w:rPr>
        <w:tab/>
      </w:r>
      <w:r w:rsidR="00C32837">
        <w:rPr>
          <w:noProof/>
        </w:rPr>
        <w:fldChar w:fldCharType="begin"/>
      </w:r>
      <w:r w:rsidR="00C32837">
        <w:rPr>
          <w:noProof/>
        </w:rPr>
        <w:instrText xml:space="preserve"> PAGEREF _Toc27560540 \h </w:instrText>
      </w:r>
      <w:r w:rsidR="00C32837">
        <w:rPr>
          <w:noProof/>
        </w:rPr>
      </w:r>
      <w:r w:rsidR="00C32837">
        <w:rPr>
          <w:noProof/>
        </w:rPr>
        <w:fldChar w:fldCharType="separate"/>
      </w:r>
      <w:r w:rsidR="0064760C">
        <w:rPr>
          <w:noProof/>
        </w:rPr>
        <w:t>6</w:t>
      </w:r>
      <w:r w:rsidR="00C32837">
        <w:rPr>
          <w:noProof/>
        </w:rPr>
        <w:fldChar w:fldCharType="end"/>
      </w:r>
    </w:p>
    <w:p w14:paraId="7E290FCE" w14:textId="4FFC1A55" w:rsidR="00C32837" w:rsidRPr="005E1D29" w:rsidRDefault="00C32837">
      <w:pPr>
        <w:pStyle w:val="TOC2"/>
        <w:rPr>
          <w:rFonts w:ascii="Calibri" w:eastAsia="Times New Roman" w:hAnsi="Calibri" w:cs="Times New Roman"/>
          <w:bCs w:val="0"/>
          <w:noProof/>
          <w:sz w:val="22"/>
          <w:szCs w:val="22"/>
          <w:lang w:eastAsia="en-AU"/>
        </w:rPr>
      </w:pPr>
      <w:r>
        <w:rPr>
          <w:noProof/>
        </w:rPr>
        <w:t>1.1.</w:t>
      </w:r>
      <w:r w:rsidRPr="005E1D29">
        <w:rPr>
          <w:rFonts w:ascii="Calibri" w:eastAsia="Times New Roman" w:hAnsi="Calibri" w:cs="Times New Roman"/>
          <w:bCs w:val="0"/>
          <w:noProof/>
          <w:sz w:val="22"/>
          <w:szCs w:val="22"/>
          <w:lang w:eastAsia="en-AU"/>
        </w:rPr>
        <w:tab/>
      </w:r>
      <w:r>
        <w:rPr>
          <w:noProof/>
        </w:rPr>
        <w:t>Building sealing activities</w:t>
      </w:r>
      <w:r>
        <w:rPr>
          <w:noProof/>
        </w:rPr>
        <w:tab/>
      </w:r>
      <w:r>
        <w:rPr>
          <w:noProof/>
        </w:rPr>
        <w:fldChar w:fldCharType="begin"/>
      </w:r>
      <w:r>
        <w:rPr>
          <w:noProof/>
        </w:rPr>
        <w:instrText xml:space="preserve"> PAGEREF _Toc27560541 \h </w:instrText>
      </w:r>
      <w:r>
        <w:rPr>
          <w:noProof/>
        </w:rPr>
      </w:r>
      <w:r>
        <w:rPr>
          <w:noProof/>
        </w:rPr>
        <w:fldChar w:fldCharType="separate"/>
      </w:r>
      <w:r w:rsidR="0064760C">
        <w:rPr>
          <w:noProof/>
        </w:rPr>
        <w:t>6</w:t>
      </w:r>
      <w:r>
        <w:rPr>
          <w:noProof/>
        </w:rPr>
        <w:fldChar w:fldCharType="end"/>
      </w:r>
    </w:p>
    <w:p w14:paraId="08505437" w14:textId="13025F33" w:rsidR="00C32837" w:rsidRPr="005E1D29" w:rsidRDefault="00C32837">
      <w:pPr>
        <w:pStyle w:val="TOC2"/>
        <w:rPr>
          <w:rFonts w:ascii="Calibri" w:eastAsia="Times New Roman" w:hAnsi="Calibri" w:cs="Times New Roman"/>
          <w:bCs w:val="0"/>
          <w:noProof/>
          <w:sz w:val="22"/>
          <w:szCs w:val="22"/>
          <w:lang w:eastAsia="en-AU"/>
        </w:rPr>
      </w:pPr>
      <w:r>
        <w:rPr>
          <w:noProof/>
        </w:rPr>
        <w:t>1.2.</w:t>
      </w:r>
      <w:r w:rsidRPr="005E1D29">
        <w:rPr>
          <w:rFonts w:ascii="Calibri" w:eastAsia="Times New Roman" w:hAnsi="Calibri" w:cs="Times New Roman"/>
          <w:bCs w:val="0"/>
          <w:noProof/>
          <w:sz w:val="22"/>
          <w:szCs w:val="22"/>
          <w:lang w:eastAsia="en-AU"/>
        </w:rPr>
        <w:tab/>
      </w:r>
      <w:r>
        <w:rPr>
          <w:noProof/>
        </w:rPr>
        <w:t>Exhaust fan sealing activities</w:t>
      </w:r>
      <w:r>
        <w:rPr>
          <w:noProof/>
        </w:rPr>
        <w:tab/>
      </w:r>
      <w:r>
        <w:rPr>
          <w:noProof/>
        </w:rPr>
        <w:fldChar w:fldCharType="begin"/>
      </w:r>
      <w:r>
        <w:rPr>
          <w:noProof/>
        </w:rPr>
        <w:instrText xml:space="preserve"> PAGEREF _Toc27560542 \h </w:instrText>
      </w:r>
      <w:r>
        <w:rPr>
          <w:noProof/>
        </w:rPr>
      </w:r>
      <w:r>
        <w:rPr>
          <w:noProof/>
        </w:rPr>
        <w:fldChar w:fldCharType="separate"/>
      </w:r>
      <w:r w:rsidR="0064760C">
        <w:rPr>
          <w:noProof/>
        </w:rPr>
        <w:t>9</w:t>
      </w:r>
      <w:r>
        <w:rPr>
          <w:noProof/>
        </w:rPr>
        <w:fldChar w:fldCharType="end"/>
      </w:r>
    </w:p>
    <w:p w14:paraId="0CBB85F2" w14:textId="04106C15" w:rsidR="00C32837" w:rsidRPr="005E1D29" w:rsidRDefault="00C32837">
      <w:pPr>
        <w:pStyle w:val="TOC2"/>
        <w:rPr>
          <w:rFonts w:ascii="Calibri" w:eastAsia="Times New Roman" w:hAnsi="Calibri" w:cs="Times New Roman"/>
          <w:bCs w:val="0"/>
          <w:noProof/>
          <w:sz w:val="22"/>
          <w:szCs w:val="22"/>
          <w:lang w:eastAsia="en-AU"/>
        </w:rPr>
      </w:pPr>
      <w:r>
        <w:rPr>
          <w:noProof/>
        </w:rPr>
        <w:t>1.3.</w:t>
      </w:r>
      <w:r w:rsidRPr="005E1D29">
        <w:rPr>
          <w:rFonts w:ascii="Calibri" w:eastAsia="Times New Roman" w:hAnsi="Calibri" w:cs="Times New Roman"/>
          <w:bCs w:val="0"/>
          <w:noProof/>
          <w:sz w:val="22"/>
          <w:szCs w:val="22"/>
          <w:lang w:eastAsia="en-AU"/>
        </w:rPr>
        <w:tab/>
      </w:r>
      <w:r>
        <w:rPr>
          <w:noProof/>
        </w:rPr>
        <w:t>Ventilation opening sealing activities</w:t>
      </w:r>
      <w:r>
        <w:rPr>
          <w:noProof/>
        </w:rPr>
        <w:tab/>
      </w:r>
      <w:r>
        <w:rPr>
          <w:noProof/>
        </w:rPr>
        <w:fldChar w:fldCharType="begin"/>
      </w:r>
      <w:r>
        <w:rPr>
          <w:noProof/>
        </w:rPr>
        <w:instrText xml:space="preserve"> PAGEREF _Toc27560543 \h </w:instrText>
      </w:r>
      <w:r>
        <w:rPr>
          <w:noProof/>
        </w:rPr>
      </w:r>
      <w:r>
        <w:rPr>
          <w:noProof/>
        </w:rPr>
        <w:fldChar w:fldCharType="separate"/>
      </w:r>
      <w:r w:rsidR="0064760C">
        <w:rPr>
          <w:noProof/>
        </w:rPr>
        <w:t>11</w:t>
      </w:r>
      <w:r>
        <w:rPr>
          <w:noProof/>
        </w:rPr>
        <w:fldChar w:fldCharType="end"/>
      </w:r>
    </w:p>
    <w:p w14:paraId="110E3EBA" w14:textId="2FAF12B7" w:rsidR="00C32837" w:rsidRPr="005E1D29" w:rsidRDefault="00C32837">
      <w:pPr>
        <w:pStyle w:val="TOC2"/>
        <w:rPr>
          <w:rFonts w:ascii="Calibri" w:eastAsia="Times New Roman" w:hAnsi="Calibri" w:cs="Times New Roman"/>
          <w:bCs w:val="0"/>
          <w:noProof/>
          <w:sz w:val="22"/>
          <w:szCs w:val="22"/>
          <w:lang w:eastAsia="en-AU"/>
        </w:rPr>
      </w:pPr>
      <w:r>
        <w:rPr>
          <w:noProof/>
        </w:rPr>
        <w:t>1.4.</w:t>
      </w:r>
      <w:r w:rsidRPr="005E1D29">
        <w:rPr>
          <w:rFonts w:ascii="Calibri" w:eastAsia="Times New Roman" w:hAnsi="Calibri" w:cs="Times New Roman"/>
          <w:bCs w:val="0"/>
          <w:noProof/>
          <w:sz w:val="22"/>
          <w:szCs w:val="22"/>
          <w:lang w:eastAsia="en-AU"/>
        </w:rPr>
        <w:tab/>
      </w:r>
      <w:r>
        <w:rPr>
          <w:noProof/>
        </w:rPr>
        <w:t>Install a thermally efficient window</w:t>
      </w:r>
      <w:r>
        <w:rPr>
          <w:noProof/>
        </w:rPr>
        <w:tab/>
      </w:r>
      <w:r>
        <w:rPr>
          <w:noProof/>
        </w:rPr>
        <w:fldChar w:fldCharType="begin"/>
      </w:r>
      <w:r>
        <w:rPr>
          <w:noProof/>
        </w:rPr>
        <w:instrText xml:space="preserve"> PAGEREF _Toc27560544 \h </w:instrText>
      </w:r>
      <w:r>
        <w:rPr>
          <w:noProof/>
        </w:rPr>
      </w:r>
      <w:r>
        <w:rPr>
          <w:noProof/>
        </w:rPr>
        <w:fldChar w:fldCharType="separate"/>
      </w:r>
      <w:r w:rsidR="0064760C">
        <w:rPr>
          <w:noProof/>
        </w:rPr>
        <w:t>13</w:t>
      </w:r>
      <w:r>
        <w:rPr>
          <w:noProof/>
        </w:rPr>
        <w:fldChar w:fldCharType="end"/>
      </w:r>
    </w:p>
    <w:p w14:paraId="6A8926AE" w14:textId="0D573F95" w:rsidR="00C32837" w:rsidRPr="005E1D29" w:rsidRDefault="00C32837">
      <w:pPr>
        <w:pStyle w:val="TOC2"/>
        <w:rPr>
          <w:rFonts w:ascii="Calibri" w:eastAsia="Times New Roman" w:hAnsi="Calibri" w:cs="Times New Roman"/>
          <w:bCs w:val="0"/>
          <w:noProof/>
          <w:sz w:val="22"/>
          <w:szCs w:val="22"/>
          <w:lang w:eastAsia="en-AU"/>
        </w:rPr>
      </w:pPr>
      <w:r>
        <w:rPr>
          <w:noProof/>
        </w:rPr>
        <w:t>1.5.</w:t>
      </w:r>
      <w:r w:rsidRPr="005E1D29">
        <w:rPr>
          <w:rFonts w:ascii="Calibri" w:eastAsia="Times New Roman" w:hAnsi="Calibri" w:cs="Times New Roman"/>
          <w:bCs w:val="0"/>
          <w:noProof/>
          <w:sz w:val="22"/>
          <w:szCs w:val="22"/>
          <w:lang w:eastAsia="en-AU"/>
        </w:rPr>
        <w:tab/>
      </w:r>
      <w:r>
        <w:rPr>
          <w:noProof/>
        </w:rPr>
        <w:t>Retrofit thermally efficient glazing</w:t>
      </w:r>
      <w:r>
        <w:rPr>
          <w:noProof/>
        </w:rPr>
        <w:tab/>
      </w:r>
      <w:r>
        <w:rPr>
          <w:noProof/>
        </w:rPr>
        <w:fldChar w:fldCharType="begin"/>
      </w:r>
      <w:r>
        <w:rPr>
          <w:noProof/>
        </w:rPr>
        <w:instrText xml:space="preserve"> PAGEREF _Toc27560545 \h </w:instrText>
      </w:r>
      <w:r>
        <w:rPr>
          <w:noProof/>
        </w:rPr>
      </w:r>
      <w:r>
        <w:rPr>
          <w:noProof/>
        </w:rPr>
        <w:fldChar w:fldCharType="separate"/>
      </w:r>
      <w:r w:rsidR="0064760C">
        <w:rPr>
          <w:noProof/>
        </w:rPr>
        <w:t>15</w:t>
      </w:r>
      <w:r>
        <w:rPr>
          <w:noProof/>
        </w:rPr>
        <w:fldChar w:fldCharType="end"/>
      </w:r>
    </w:p>
    <w:p w14:paraId="2A9DDB7F" w14:textId="0F861B7D" w:rsidR="00C32837" w:rsidRPr="005E1D29" w:rsidRDefault="00C32837">
      <w:pPr>
        <w:pStyle w:val="TOC2"/>
        <w:rPr>
          <w:rFonts w:ascii="Calibri" w:eastAsia="Times New Roman" w:hAnsi="Calibri" w:cs="Times New Roman"/>
          <w:bCs w:val="0"/>
          <w:noProof/>
          <w:sz w:val="22"/>
          <w:szCs w:val="22"/>
          <w:lang w:eastAsia="en-AU"/>
        </w:rPr>
      </w:pPr>
      <w:r>
        <w:rPr>
          <w:noProof/>
        </w:rPr>
        <w:t>1.6.</w:t>
      </w:r>
      <w:r w:rsidRPr="005E1D29">
        <w:rPr>
          <w:rFonts w:ascii="Calibri" w:eastAsia="Times New Roman" w:hAnsi="Calibri" w:cs="Times New Roman"/>
          <w:bCs w:val="0"/>
          <w:noProof/>
          <w:sz w:val="22"/>
          <w:szCs w:val="22"/>
          <w:lang w:eastAsia="en-AU"/>
        </w:rPr>
        <w:tab/>
      </w:r>
      <w:r>
        <w:rPr>
          <w:noProof/>
        </w:rPr>
        <w:t>Install thermally efficient window coverings</w:t>
      </w:r>
      <w:r>
        <w:rPr>
          <w:noProof/>
        </w:rPr>
        <w:tab/>
      </w:r>
      <w:r>
        <w:rPr>
          <w:noProof/>
        </w:rPr>
        <w:fldChar w:fldCharType="begin"/>
      </w:r>
      <w:r>
        <w:rPr>
          <w:noProof/>
        </w:rPr>
        <w:instrText xml:space="preserve"> PAGEREF _Toc27560546 \h </w:instrText>
      </w:r>
      <w:r>
        <w:rPr>
          <w:noProof/>
        </w:rPr>
      </w:r>
      <w:r>
        <w:rPr>
          <w:noProof/>
        </w:rPr>
        <w:fldChar w:fldCharType="separate"/>
      </w:r>
      <w:r w:rsidR="0064760C">
        <w:rPr>
          <w:noProof/>
        </w:rPr>
        <w:t>17</w:t>
      </w:r>
      <w:r>
        <w:rPr>
          <w:noProof/>
        </w:rPr>
        <w:fldChar w:fldCharType="end"/>
      </w:r>
    </w:p>
    <w:p w14:paraId="04FA5B66" w14:textId="7AC2B59F" w:rsidR="00C32837" w:rsidRPr="005E1D29" w:rsidRDefault="00C32837">
      <w:pPr>
        <w:pStyle w:val="TOC2"/>
        <w:rPr>
          <w:rFonts w:ascii="Calibri" w:eastAsia="Times New Roman" w:hAnsi="Calibri" w:cs="Times New Roman"/>
          <w:bCs w:val="0"/>
          <w:noProof/>
          <w:sz w:val="22"/>
          <w:szCs w:val="22"/>
          <w:lang w:eastAsia="en-AU"/>
        </w:rPr>
      </w:pPr>
      <w:r>
        <w:rPr>
          <w:noProof/>
        </w:rPr>
        <w:t>1.7.</w:t>
      </w:r>
      <w:r w:rsidRPr="005E1D29">
        <w:rPr>
          <w:rFonts w:ascii="Calibri" w:eastAsia="Times New Roman" w:hAnsi="Calibri" w:cs="Times New Roman"/>
          <w:bCs w:val="0"/>
          <w:noProof/>
          <w:sz w:val="22"/>
          <w:szCs w:val="22"/>
          <w:lang w:eastAsia="en-AU"/>
        </w:rPr>
        <w:tab/>
      </w:r>
      <w:r>
        <w:rPr>
          <w:noProof/>
        </w:rPr>
        <w:t>Install window pelmets</w:t>
      </w:r>
      <w:r>
        <w:rPr>
          <w:noProof/>
        </w:rPr>
        <w:tab/>
      </w:r>
      <w:r>
        <w:rPr>
          <w:noProof/>
        </w:rPr>
        <w:fldChar w:fldCharType="begin"/>
      </w:r>
      <w:r>
        <w:rPr>
          <w:noProof/>
        </w:rPr>
        <w:instrText xml:space="preserve"> PAGEREF _Toc27560547 \h </w:instrText>
      </w:r>
      <w:r>
        <w:rPr>
          <w:noProof/>
        </w:rPr>
      </w:r>
      <w:r>
        <w:rPr>
          <w:noProof/>
        </w:rPr>
        <w:fldChar w:fldCharType="separate"/>
      </w:r>
      <w:r w:rsidR="0064760C">
        <w:rPr>
          <w:noProof/>
        </w:rPr>
        <w:t>19</w:t>
      </w:r>
      <w:r>
        <w:rPr>
          <w:noProof/>
        </w:rPr>
        <w:fldChar w:fldCharType="end"/>
      </w:r>
    </w:p>
    <w:p w14:paraId="13911DBE" w14:textId="198E5A46" w:rsidR="00C32837" w:rsidRPr="005E1D29" w:rsidRDefault="00C32837">
      <w:pPr>
        <w:pStyle w:val="TOC2"/>
        <w:rPr>
          <w:rFonts w:ascii="Calibri" w:eastAsia="Times New Roman" w:hAnsi="Calibri" w:cs="Times New Roman"/>
          <w:bCs w:val="0"/>
          <w:noProof/>
          <w:sz w:val="22"/>
          <w:szCs w:val="22"/>
          <w:lang w:eastAsia="en-AU"/>
        </w:rPr>
      </w:pPr>
      <w:r>
        <w:rPr>
          <w:noProof/>
        </w:rPr>
        <w:t>1.8.</w:t>
      </w:r>
      <w:r w:rsidRPr="005E1D29">
        <w:rPr>
          <w:rFonts w:ascii="Calibri" w:eastAsia="Times New Roman" w:hAnsi="Calibri" w:cs="Times New Roman"/>
          <w:bCs w:val="0"/>
          <w:noProof/>
          <w:sz w:val="22"/>
          <w:szCs w:val="22"/>
          <w:lang w:eastAsia="en-AU"/>
        </w:rPr>
        <w:tab/>
      </w:r>
      <w:r>
        <w:rPr>
          <w:noProof/>
        </w:rPr>
        <w:t>Install ceiling insulation</w:t>
      </w:r>
      <w:r>
        <w:rPr>
          <w:noProof/>
        </w:rPr>
        <w:tab/>
      </w:r>
      <w:r>
        <w:rPr>
          <w:noProof/>
        </w:rPr>
        <w:fldChar w:fldCharType="begin"/>
      </w:r>
      <w:r>
        <w:rPr>
          <w:noProof/>
        </w:rPr>
        <w:instrText xml:space="preserve"> PAGEREF _Toc27560548 \h </w:instrText>
      </w:r>
      <w:r>
        <w:rPr>
          <w:noProof/>
        </w:rPr>
      </w:r>
      <w:r>
        <w:rPr>
          <w:noProof/>
        </w:rPr>
        <w:fldChar w:fldCharType="separate"/>
      </w:r>
      <w:r w:rsidR="0064760C">
        <w:rPr>
          <w:noProof/>
        </w:rPr>
        <w:t>20</w:t>
      </w:r>
      <w:r>
        <w:rPr>
          <w:noProof/>
        </w:rPr>
        <w:fldChar w:fldCharType="end"/>
      </w:r>
    </w:p>
    <w:p w14:paraId="412EB2A7" w14:textId="35FDACE8" w:rsidR="00C32837" w:rsidRPr="005E1D29" w:rsidRDefault="00C32837">
      <w:pPr>
        <w:pStyle w:val="TOC2"/>
        <w:rPr>
          <w:rFonts w:ascii="Calibri" w:eastAsia="Times New Roman" w:hAnsi="Calibri" w:cs="Times New Roman"/>
          <w:bCs w:val="0"/>
          <w:noProof/>
          <w:sz w:val="22"/>
          <w:szCs w:val="22"/>
          <w:lang w:eastAsia="en-AU"/>
        </w:rPr>
      </w:pPr>
      <w:r>
        <w:rPr>
          <w:noProof/>
        </w:rPr>
        <w:t>1.9.</w:t>
      </w:r>
      <w:r w:rsidRPr="005E1D29">
        <w:rPr>
          <w:rFonts w:ascii="Calibri" w:eastAsia="Times New Roman" w:hAnsi="Calibri" w:cs="Times New Roman"/>
          <w:bCs w:val="0"/>
          <w:noProof/>
          <w:sz w:val="22"/>
          <w:szCs w:val="22"/>
          <w:lang w:eastAsia="en-AU"/>
        </w:rPr>
        <w:tab/>
      </w:r>
      <w:r>
        <w:rPr>
          <w:noProof/>
        </w:rPr>
        <w:t>Install underfloor insulation</w:t>
      </w:r>
      <w:r>
        <w:rPr>
          <w:noProof/>
        </w:rPr>
        <w:tab/>
      </w:r>
      <w:r>
        <w:rPr>
          <w:noProof/>
        </w:rPr>
        <w:fldChar w:fldCharType="begin"/>
      </w:r>
      <w:r>
        <w:rPr>
          <w:noProof/>
        </w:rPr>
        <w:instrText xml:space="preserve"> PAGEREF _Toc27560549 \h </w:instrText>
      </w:r>
      <w:r>
        <w:rPr>
          <w:noProof/>
        </w:rPr>
      </w:r>
      <w:r>
        <w:rPr>
          <w:noProof/>
        </w:rPr>
        <w:fldChar w:fldCharType="separate"/>
      </w:r>
      <w:r w:rsidR="0064760C">
        <w:rPr>
          <w:noProof/>
        </w:rPr>
        <w:t>22</w:t>
      </w:r>
      <w:r>
        <w:rPr>
          <w:noProof/>
        </w:rPr>
        <w:fldChar w:fldCharType="end"/>
      </w:r>
    </w:p>
    <w:p w14:paraId="37888616" w14:textId="0C44D116" w:rsidR="00C32837" w:rsidRPr="005E1D29" w:rsidRDefault="00C32837">
      <w:pPr>
        <w:pStyle w:val="TOC1"/>
        <w:rPr>
          <w:rFonts w:ascii="Calibri" w:eastAsia="Times New Roman" w:hAnsi="Calibri" w:cs="Times New Roman"/>
          <w:b w:val="0"/>
          <w:bCs w:val="0"/>
          <w:caps w:val="0"/>
          <w:noProof/>
          <w:sz w:val="22"/>
          <w:szCs w:val="22"/>
          <w:lang w:eastAsia="en-AU"/>
        </w:rPr>
      </w:pPr>
      <w:r>
        <w:rPr>
          <w:noProof/>
        </w:rPr>
        <w:t>2.</w:t>
      </w:r>
      <w:r w:rsidRPr="005E1D29">
        <w:rPr>
          <w:rFonts w:ascii="Calibri" w:eastAsia="Times New Roman" w:hAnsi="Calibri" w:cs="Times New Roman"/>
          <w:b w:val="0"/>
          <w:bCs w:val="0"/>
          <w:caps w:val="0"/>
          <w:noProof/>
          <w:sz w:val="22"/>
          <w:szCs w:val="22"/>
          <w:lang w:eastAsia="en-AU"/>
        </w:rPr>
        <w:tab/>
      </w:r>
      <w:r>
        <w:rPr>
          <w:noProof/>
        </w:rPr>
        <w:t>Space heating and cooling activities</w:t>
      </w:r>
      <w:r>
        <w:rPr>
          <w:noProof/>
        </w:rPr>
        <w:tab/>
      </w:r>
      <w:r>
        <w:rPr>
          <w:noProof/>
        </w:rPr>
        <w:fldChar w:fldCharType="begin"/>
      </w:r>
      <w:r>
        <w:rPr>
          <w:noProof/>
        </w:rPr>
        <w:instrText xml:space="preserve"> PAGEREF _Toc27560550 \h </w:instrText>
      </w:r>
      <w:r>
        <w:rPr>
          <w:noProof/>
        </w:rPr>
      </w:r>
      <w:r>
        <w:rPr>
          <w:noProof/>
        </w:rPr>
        <w:fldChar w:fldCharType="separate"/>
      </w:r>
      <w:r w:rsidR="0064760C">
        <w:rPr>
          <w:noProof/>
        </w:rPr>
        <w:t>24</w:t>
      </w:r>
      <w:r>
        <w:rPr>
          <w:noProof/>
        </w:rPr>
        <w:fldChar w:fldCharType="end"/>
      </w:r>
    </w:p>
    <w:p w14:paraId="0B8CD688" w14:textId="2DB6396F" w:rsidR="00C32837" w:rsidRPr="005E1D29" w:rsidRDefault="00C32837">
      <w:pPr>
        <w:pStyle w:val="TOC2"/>
        <w:rPr>
          <w:rFonts w:ascii="Calibri" w:eastAsia="Times New Roman" w:hAnsi="Calibri" w:cs="Times New Roman"/>
          <w:bCs w:val="0"/>
          <w:noProof/>
          <w:sz w:val="22"/>
          <w:szCs w:val="22"/>
          <w:lang w:eastAsia="en-AU"/>
        </w:rPr>
      </w:pPr>
      <w:r>
        <w:rPr>
          <w:noProof/>
        </w:rPr>
        <w:t>2.1.</w:t>
      </w:r>
      <w:r w:rsidRPr="005E1D29">
        <w:rPr>
          <w:rFonts w:ascii="Calibri" w:eastAsia="Times New Roman" w:hAnsi="Calibri" w:cs="Times New Roman"/>
          <w:bCs w:val="0"/>
          <w:noProof/>
          <w:sz w:val="22"/>
          <w:szCs w:val="22"/>
          <w:lang w:eastAsia="en-AU"/>
        </w:rPr>
        <w:tab/>
      </w:r>
      <w:r>
        <w:rPr>
          <w:noProof/>
        </w:rPr>
        <w:t>Install a high efficiency central air conditioning heat pump</w:t>
      </w:r>
      <w:r>
        <w:rPr>
          <w:noProof/>
        </w:rPr>
        <w:tab/>
      </w:r>
      <w:r>
        <w:rPr>
          <w:noProof/>
        </w:rPr>
        <w:fldChar w:fldCharType="begin"/>
      </w:r>
      <w:r>
        <w:rPr>
          <w:noProof/>
        </w:rPr>
        <w:instrText xml:space="preserve"> PAGEREF _Toc27560551 \h </w:instrText>
      </w:r>
      <w:r>
        <w:rPr>
          <w:noProof/>
        </w:rPr>
      </w:r>
      <w:r>
        <w:rPr>
          <w:noProof/>
        </w:rPr>
        <w:fldChar w:fldCharType="separate"/>
      </w:r>
      <w:r w:rsidR="0064760C">
        <w:rPr>
          <w:noProof/>
        </w:rPr>
        <w:t>24</w:t>
      </w:r>
      <w:r>
        <w:rPr>
          <w:noProof/>
        </w:rPr>
        <w:fldChar w:fldCharType="end"/>
      </w:r>
    </w:p>
    <w:p w14:paraId="350EDF65" w14:textId="44FD7099" w:rsidR="00C32837" w:rsidRPr="005E1D29" w:rsidRDefault="00C32837">
      <w:pPr>
        <w:pStyle w:val="TOC2"/>
        <w:rPr>
          <w:rFonts w:ascii="Calibri" w:eastAsia="Times New Roman" w:hAnsi="Calibri" w:cs="Times New Roman"/>
          <w:bCs w:val="0"/>
          <w:noProof/>
          <w:sz w:val="22"/>
          <w:szCs w:val="22"/>
          <w:lang w:eastAsia="en-AU"/>
        </w:rPr>
      </w:pPr>
      <w:r>
        <w:rPr>
          <w:noProof/>
        </w:rPr>
        <w:t>2.2.</w:t>
      </w:r>
      <w:r w:rsidRPr="005E1D29">
        <w:rPr>
          <w:rFonts w:ascii="Calibri" w:eastAsia="Times New Roman" w:hAnsi="Calibri" w:cs="Times New Roman"/>
          <w:bCs w:val="0"/>
          <w:noProof/>
          <w:sz w:val="22"/>
          <w:szCs w:val="22"/>
          <w:lang w:eastAsia="en-AU"/>
        </w:rPr>
        <w:tab/>
      </w:r>
      <w:r>
        <w:rPr>
          <w:noProof/>
        </w:rPr>
        <w:t>Replace a ducted gas heater with high efficiency ducted gas heater (</w:t>
      </w:r>
      <w:r w:rsidRPr="00BD6A01">
        <w:rPr>
          <w:i/>
          <w:noProof/>
        </w:rPr>
        <w:t>Revoked</w:t>
      </w:r>
      <w:r>
        <w:rPr>
          <w:noProof/>
        </w:rPr>
        <w:t>)</w:t>
      </w:r>
      <w:r>
        <w:rPr>
          <w:noProof/>
        </w:rPr>
        <w:tab/>
      </w:r>
      <w:r>
        <w:rPr>
          <w:noProof/>
        </w:rPr>
        <w:fldChar w:fldCharType="begin"/>
      </w:r>
      <w:r>
        <w:rPr>
          <w:noProof/>
        </w:rPr>
        <w:instrText xml:space="preserve"> PAGEREF _Toc27560552 \h </w:instrText>
      </w:r>
      <w:r>
        <w:rPr>
          <w:noProof/>
        </w:rPr>
      </w:r>
      <w:r>
        <w:rPr>
          <w:noProof/>
        </w:rPr>
        <w:fldChar w:fldCharType="separate"/>
      </w:r>
      <w:r w:rsidR="0064760C">
        <w:rPr>
          <w:noProof/>
        </w:rPr>
        <w:t>32</w:t>
      </w:r>
      <w:r>
        <w:rPr>
          <w:noProof/>
        </w:rPr>
        <w:fldChar w:fldCharType="end"/>
      </w:r>
    </w:p>
    <w:p w14:paraId="169D042E" w14:textId="1DF154CC" w:rsidR="00C32837" w:rsidRPr="005E1D29" w:rsidRDefault="00C32837">
      <w:pPr>
        <w:pStyle w:val="TOC2"/>
        <w:rPr>
          <w:rFonts w:ascii="Calibri" w:eastAsia="Times New Roman" w:hAnsi="Calibri" w:cs="Times New Roman"/>
          <w:bCs w:val="0"/>
          <w:noProof/>
          <w:sz w:val="22"/>
          <w:szCs w:val="22"/>
          <w:lang w:eastAsia="en-AU"/>
        </w:rPr>
      </w:pPr>
      <w:r>
        <w:rPr>
          <w:noProof/>
        </w:rPr>
        <w:t>2.3.</w:t>
      </w:r>
      <w:r w:rsidRPr="005E1D29">
        <w:rPr>
          <w:rFonts w:ascii="Calibri" w:eastAsia="Times New Roman" w:hAnsi="Calibri" w:cs="Times New Roman"/>
          <w:bCs w:val="0"/>
          <w:noProof/>
          <w:sz w:val="22"/>
          <w:szCs w:val="22"/>
          <w:lang w:eastAsia="en-AU"/>
        </w:rPr>
        <w:tab/>
      </w:r>
      <w:r>
        <w:rPr>
          <w:noProof/>
        </w:rPr>
        <w:t>Install a high efficiency room air conditioning heat pump</w:t>
      </w:r>
      <w:r>
        <w:rPr>
          <w:noProof/>
        </w:rPr>
        <w:tab/>
      </w:r>
      <w:r>
        <w:rPr>
          <w:noProof/>
        </w:rPr>
        <w:fldChar w:fldCharType="begin"/>
      </w:r>
      <w:r>
        <w:rPr>
          <w:noProof/>
        </w:rPr>
        <w:instrText xml:space="preserve"> PAGEREF _Toc27560553 \h </w:instrText>
      </w:r>
      <w:r>
        <w:rPr>
          <w:noProof/>
        </w:rPr>
      </w:r>
      <w:r>
        <w:rPr>
          <w:noProof/>
        </w:rPr>
        <w:fldChar w:fldCharType="separate"/>
      </w:r>
      <w:r w:rsidR="0064760C">
        <w:rPr>
          <w:noProof/>
        </w:rPr>
        <w:t>33</w:t>
      </w:r>
      <w:r>
        <w:rPr>
          <w:noProof/>
        </w:rPr>
        <w:fldChar w:fldCharType="end"/>
      </w:r>
    </w:p>
    <w:p w14:paraId="20B60E10" w14:textId="400E2BDD" w:rsidR="00C32837" w:rsidRPr="005E1D29" w:rsidRDefault="00C32837">
      <w:pPr>
        <w:pStyle w:val="TOC2"/>
        <w:rPr>
          <w:rFonts w:ascii="Calibri" w:eastAsia="Times New Roman" w:hAnsi="Calibri" w:cs="Times New Roman"/>
          <w:bCs w:val="0"/>
          <w:noProof/>
          <w:sz w:val="22"/>
          <w:szCs w:val="22"/>
          <w:lang w:eastAsia="en-AU"/>
        </w:rPr>
      </w:pPr>
      <w:r>
        <w:rPr>
          <w:noProof/>
        </w:rPr>
        <w:t>2.4.</w:t>
      </w:r>
      <w:r w:rsidRPr="005E1D29">
        <w:rPr>
          <w:rFonts w:ascii="Calibri" w:eastAsia="Times New Roman" w:hAnsi="Calibri" w:cs="Times New Roman"/>
          <w:bCs w:val="0"/>
          <w:noProof/>
          <w:sz w:val="22"/>
          <w:szCs w:val="22"/>
          <w:lang w:eastAsia="en-AU"/>
        </w:rPr>
        <w:tab/>
      </w:r>
      <w:r>
        <w:rPr>
          <w:noProof/>
        </w:rPr>
        <w:t>Install insulated space conditioning ductwork</w:t>
      </w:r>
      <w:r>
        <w:rPr>
          <w:noProof/>
        </w:rPr>
        <w:tab/>
      </w:r>
      <w:r>
        <w:rPr>
          <w:noProof/>
        </w:rPr>
        <w:fldChar w:fldCharType="begin"/>
      </w:r>
      <w:r>
        <w:rPr>
          <w:noProof/>
        </w:rPr>
        <w:instrText xml:space="preserve"> PAGEREF _Toc27560554 \h </w:instrText>
      </w:r>
      <w:r>
        <w:rPr>
          <w:noProof/>
        </w:rPr>
      </w:r>
      <w:r>
        <w:rPr>
          <w:noProof/>
        </w:rPr>
        <w:fldChar w:fldCharType="separate"/>
      </w:r>
      <w:r w:rsidR="0064760C">
        <w:rPr>
          <w:noProof/>
        </w:rPr>
        <w:t>38</w:t>
      </w:r>
      <w:r>
        <w:rPr>
          <w:noProof/>
        </w:rPr>
        <w:fldChar w:fldCharType="end"/>
      </w:r>
    </w:p>
    <w:p w14:paraId="03463BE1" w14:textId="210F33D8" w:rsidR="00C32837" w:rsidRPr="005E1D29" w:rsidRDefault="00C32837">
      <w:pPr>
        <w:pStyle w:val="TOC2"/>
        <w:rPr>
          <w:rFonts w:ascii="Calibri" w:eastAsia="Times New Roman" w:hAnsi="Calibri" w:cs="Times New Roman"/>
          <w:bCs w:val="0"/>
          <w:noProof/>
          <w:sz w:val="22"/>
          <w:szCs w:val="22"/>
          <w:lang w:eastAsia="en-AU"/>
        </w:rPr>
      </w:pPr>
      <w:r>
        <w:rPr>
          <w:noProof/>
        </w:rPr>
        <w:t>2.5.</w:t>
      </w:r>
      <w:r w:rsidRPr="005E1D29">
        <w:rPr>
          <w:rFonts w:ascii="Calibri" w:eastAsia="Times New Roman" w:hAnsi="Calibri" w:cs="Times New Roman"/>
          <w:bCs w:val="0"/>
          <w:noProof/>
          <w:sz w:val="22"/>
          <w:szCs w:val="22"/>
          <w:lang w:eastAsia="en-AU"/>
        </w:rPr>
        <w:tab/>
      </w:r>
      <w:r>
        <w:rPr>
          <w:noProof/>
        </w:rPr>
        <w:t>Replace separate central heating and cooling systems with a high efficiency central air conditioning heat pump system</w:t>
      </w:r>
      <w:r>
        <w:rPr>
          <w:noProof/>
        </w:rPr>
        <w:tab/>
      </w:r>
      <w:r>
        <w:rPr>
          <w:noProof/>
        </w:rPr>
        <w:fldChar w:fldCharType="begin"/>
      </w:r>
      <w:r>
        <w:rPr>
          <w:noProof/>
        </w:rPr>
        <w:instrText xml:space="preserve"> PAGEREF _Toc27560555 \h </w:instrText>
      </w:r>
      <w:r>
        <w:rPr>
          <w:noProof/>
        </w:rPr>
      </w:r>
      <w:r>
        <w:rPr>
          <w:noProof/>
        </w:rPr>
        <w:fldChar w:fldCharType="separate"/>
      </w:r>
      <w:r w:rsidR="0064760C">
        <w:rPr>
          <w:noProof/>
        </w:rPr>
        <w:t>41</w:t>
      </w:r>
      <w:r>
        <w:rPr>
          <w:noProof/>
        </w:rPr>
        <w:fldChar w:fldCharType="end"/>
      </w:r>
    </w:p>
    <w:p w14:paraId="3873E5D4" w14:textId="6AAE53E7" w:rsidR="00C32837" w:rsidRPr="005E1D29" w:rsidRDefault="00C32837">
      <w:pPr>
        <w:pStyle w:val="TOC2"/>
        <w:rPr>
          <w:rFonts w:ascii="Calibri" w:eastAsia="Times New Roman" w:hAnsi="Calibri" w:cs="Times New Roman"/>
          <w:bCs w:val="0"/>
          <w:noProof/>
          <w:sz w:val="22"/>
          <w:szCs w:val="22"/>
          <w:lang w:eastAsia="en-AU"/>
        </w:rPr>
      </w:pPr>
      <w:r>
        <w:rPr>
          <w:noProof/>
        </w:rPr>
        <w:t>2.6.</w:t>
      </w:r>
      <w:r w:rsidRPr="005E1D29">
        <w:rPr>
          <w:rFonts w:ascii="Calibri" w:eastAsia="Times New Roman" w:hAnsi="Calibri" w:cs="Times New Roman"/>
          <w:bCs w:val="0"/>
          <w:noProof/>
          <w:sz w:val="22"/>
          <w:szCs w:val="22"/>
          <w:lang w:eastAsia="en-AU"/>
        </w:rPr>
        <w:tab/>
      </w:r>
      <w:r>
        <w:rPr>
          <w:noProof/>
        </w:rPr>
        <w:t>Replace separate room heating and cooling systems with a high efficiency room heat pump</w:t>
      </w:r>
      <w:r>
        <w:rPr>
          <w:noProof/>
        </w:rPr>
        <w:tab/>
      </w:r>
      <w:r>
        <w:rPr>
          <w:noProof/>
        </w:rPr>
        <w:fldChar w:fldCharType="begin"/>
      </w:r>
      <w:r>
        <w:rPr>
          <w:noProof/>
        </w:rPr>
        <w:instrText xml:space="preserve"> PAGEREF _Toc27560556 \h </w:instrText>
      </w:r>
      <w:r>
        <w:rPr>
          <w:noProof/>
        </w:rPr>
      </w:r>
      <w:r>
        <w:rPr>
          <w:noProof/>
        </w:rPr>
        <w:fldChar w:fldCharType="separate"/>
      </w:r>
      <w:r w:rsidR="0064760C">
        <w:rPr>
          <w:noProof/>
        </w:rPr>
        <w:t>47</w:t>
      </w:r>
      <w:r>
        <w:rPr>
          <w:noProof/>
        </w:rPr>
        <w:fldChar w:fldCharType="end"/>
      </w:r>
    </w:p>
    <w:p w14:paraId="5144CD9C" w14:textId="706B02C2" w:rsidR="00C32837" w:rsidRPr="005E1D29" w:rsidRDefault="00C32837">
      <w:pPr>
        <w:pStyle w:val="TOC1"/>
        <w:rPr>
          <w:rFonts w:ascii="Calibri" w:eastAsia="Times New Roman" w:hAnsi="Calibri" w:cs="Times New Roman"/>
          <w:b w:val="0"/>
          <w:bCs w:val="0"/>
          <w:caps w:val="0"/>
          <w:noProof/>
          <w:sz w:val="22"/>
          <w:szCs w:val="22"/>
          <w:lang w:eastAsia="en-AU"/>
        </w:rPr>
      </w:pPr>
      <w:r>
        <w:rPr>
          <w:noProof/>
        </w:rPr>
        <w:t>3.</w:t>
      </w:r>
      <w:r w:rsidRPr="005E1D29">
        <w:rPr>
          <w:rFonts w:ascii="Calibri" w:eastAsia="Times New Roman" w:hAnsi="Calibri" w:cs="Times New Roman"/>
          <w:b w:val="0"/>
          <w:bCs w:val="0"/>
          <w:caps w:val="0"/>
          <w:noProof/>
          <w:sz w:val="22"/>
          <w:szCs w:val="22"/>
          <w:lang w:eastAsia="en-AU"/>
        </w:rPr>
        <w:tab/>
      </w:r>
      <w:r>
        <w:rPr>
          <w:noProof/>
        </w:rPr>
        <w:t>Hot water service activities</w:t>
      </w:r>
      <w:r>
        <w:rPr>
          <w:noProof/>
        </w:rPr>
        <w:tab/>
      </w:r>
      <w:r>
        <w:rPr>
          <w:noProof/>
        </w:rPr>
        <w:fldChar w:fldCharType="begin"/>
      </w:r>
      <w:r>
        <w:rPr>
          <w:noProof/>
        </w:rPr>
        <w:instrText xml:space="preserve"> PAGEREF _Toc27560557 \h </w:instrText>
      </w:r>
      <w:r>
        <w:rPr>
          <w:noProof/>
        </w:rPr>
      </w:r>
      <w:r>
        <w:rPr>
          <w:noProof/>
        </w:rPr>
        <w:fldChar w:fldCharType="separate"/>
      </w:r>
      <w:r w:rsidR="0064760C">
        <w:rPr>
          <w:noProof/>
        </w:rPr>
        <w:t>52</w:t>
      </w:r>
      <w:r>
        <w:rPr>
          <w:noProof/>
        </w:rPr>
        <w:fldChar w:fldCharType="end"/>
      </w:r>
    </w:p>
    <w:p w14:paraId="5790B11D" w14:textId="78D3D563" w:rsidR="00C32837" w:rsidRPr="005E1D29" w:rsidRDefault="00C32837">
      <w:pPr>
        <w:pStyle w:val="TOC2"/>
        <w:rPr>
          <w:rFonts w:ascii="Calibri" w:eastAsia="Times New Roman" w:hAnsi="Calibri" w:cs="Times New Roman"/>
          <w:bCs w:val="0"/>
          <w:noProof/>
          <w:sz w:val="22"/>
          <w:szCs w:val="22"/>
          <w:lang w:eastAsia="en-AU"/>
        </w:rPr>
      </w:pPr>
      <w:r>
        <w:rPr>
          <w:noProof/>
        </w:rPr>
        <w:t>3.1.</w:t>
      </w:r>
      <w:r w:rsidRPr="005E1D29">
        <w:rPr>
          <w:rFonts w:ascii="Calibri" w:eastAsia="Times New Roman" w:hAnsi="Calibri" w:cs="Times New Roman"/>
          <w:bCs w:val="0"/>
          <w:noProof/>
          <w:sz w:val="22"/>
          <w:szCs w:val="22"/>
          <w:lang w:eastAsia="en-AU"/>
        </w:rPr>
        <w:tab/>
      </w:r>
      <w:r>
        <w:rPr>
          <w:noProof/>
        </w:rPr>
        <w:t>Decommission an electric resistance water heater and install a specified high efficiency water heater</w:t>
      </w:r>
      <w:r>
        <w:rPr>
          <w:noProof/>
        </w:rPr>
        <w:tab/>
      </w:r>
      <w:r>
        <w:rPr>
          <w:noProof/>
        </w:rPr>
        <w:fldChar w:fldCharType="begin"/>
      </w:r>
      <w:r>
        <w:rPr>
          <w:noProof/>
        </w:rPr>
        <w:instrText xml:space="preserve"> PAGEREF _Toc27560558 \h </w:instrText>
      </w:r>
      <w:r>
        <w:rPr>
          <w:noProof/>
        </w:rPr>
      </w:r>
      <w:r>
        <w:rPr>
          <w:noProof/>
        </w:rPr>
        <w:fldChar w:fldCharType="separate"/>
      </w:r>
      <w:r w:rsidR="0064760C">
        <w:rPr>
          <w:noProof/>
        </w:rPr>
        <w:t>52</w:t>
      </w:r>
      <w:r>
        <w:rPr>
          <w:noProof/>
        </w:rPr>
        <w:fldChar w:fldCharType="end"/>
      </w:r>
    </w:p>
    <w:p w14:paraId="64E77E66" w14:textId="445914DA" w:rsidR="00C32837" w:rsidRPr="005E1D29" w:rsidRDefault="00C32837">
      <w:pPr>
        <w:pStyle w:val="TOC2"/>
        <w:rPr>
          <w:rFonts w:ascii="Calibri" w:eastAsia="Times New Roman" w:hAnsi="Calibri" w:cs="Times New Roman"/>
          <w:bCs w:val="0"/>
          <w:noProof/>
          <w:sz w:val="22"/>
          <w:szCs w:val="22"/>
          <w:lang w:eastAsia="en-AU"/>
        </w:rPr>
      </w:pPr>
      <w:r>
        <w:rPr>
          <w:noProof/>
        </w:rPr>
        <w:t>3.2.</w:t>
      </w:r>
      <w:r w:rsidRPr="005E1D29">
        <w:rPr>
          <w:rFonts w:ascii="Calibri" w:eastAsia="Times New Roman" w:hAnsi="Calibri" w:cs="Times New Roman"/>
          <w:bCs w:val="0"/>
          <w:noProof/>
          <w:sz w:val="22"/>
          <w:szCs w:val="22"/>
          <w:lang w:eastAsia="en-AU"/>
        </w:rPr>
        <w:tab/>
      </w:r>
      <w:r>
        <w:rPr>
          <w:noProof/>
        </w:rPr>
        <w:t>Decommission a gas or liquefied petroleum gas water heater and install a specified high efficiency water heater</w:t>
      </w:r>
      <w:r>
        <w:rPr>
          <w:noProof/>
        </w:rPr>
        <w:tab/>
      </w:r>
      <w:r>
        <w:rPr>
          <w:noProof/>
        </w:rPr>
        <w:fldChar w:fldCharType="begin"/>
      </w:r>
      <w:r>
        <w:rPr>
          <w:noProof/>
        </w:rPr>
        <w:instrText xml:space="preserve"> PAGEREF _Toc27560559 \h </w:instrText>
      </w:r>
      <w:r>
        <w:rPr>
          <w:noProof/>
        </w:rPr>
      </w:r>
      <w:r>
        <w:rPr>
          <w:noProof/>
        </w:rPr>
        <w:fldChar w:fldCharType="separate"/>
      </w:r>
      <w:r w:rsidR="0064760C">
        <w:rPr>
          <w:noProof/>
        </w:rPr>
        <w:t>55</w:t>
      </w:r>
      <w:r>
        <w:rPr>
          <w:noProof/>
        </w:rPr>
        <w:fldChar w:fldCharType="end"/>
      </w:r>
    </w:p>
    <w:p w14:paraId="1FE8F93B" w14:textId="16E4A61E" w:rsidR="00C32837" w:rsidRPr="005E1D29" w:rsidRDefault="00C32837">
      <w:pPr>
        <w:pStyle w:val="TOC2"/>
        <w:rPr>
          <w:rFonts w:ascii="Calibri" w:eastAsia="Times New Roman" w:hAnsi="Calibri" w:cs="Times New Roman"/>
          <w:bCs w:val="0"/>
          <w:noProof/>
          <w:sz w:val="22"/>
          <w:szCs w:val="22"/>
          <w:lang w:eastAsia="en-AU"/>
        </w:rPr>
      </w:pPr>
      <w:r>
        <w:rPr>
          <w:noProof/>
        </w:rPr>
        <w:t>3.3.</w:t>
      </w:r>
      <w:r w:rsidRPr="005E1D29">
        <w:rPr>
          <w:rFonts w:ascii="Calibri" w:eastAsia="Times New Roman" w:hAnsi="Calibri" w:cs="Times New Roman"/>
          <w:bCs w:val="0"/>
          <w:noProof/>
          <w:sz w:val="22"/>
          <w:szCs w:val="22"/>
          <w:lang w:eastAsia="en-AU"/>
        </w:rPr>
        <w:tab/>
      </w:r>
      <w:r>
        <w:rPr>
          <w:noProof/>
        </w:rPr>
        <w:t>Replace an existing shower fixture outlet with a low flow shower fixture outlet</w:t>
      </w:r>
      <w:r>
        <w:rPr>
          <w:noProof/>
        </w:rPr>
        <w:tab/>
      </w:r>
      <w:r>
        <w:rPr>
          <w:noProof/>
        </w:rPr>
        <w:fldChar w:fldCharType="begin"/>
      </w:r>
      <w:r>
        <w:rPr>
          <w:noProof/>
        </w:rPr>
        <w:instrText xml:space="preserve"> PAGEREF _Toc27560560 \h </w:instrText>
      </w:r>
      <w:r>
        <w:rPr>
          <w:noProof/>
        </w:rPr>
      </w:r>
      <w:r>
        <w:rPr>
          <w:noProof/>
        </w:rPr>
        <w:fldChar w:fldCharType="separate"/>
      </w:r>
      <w:r w:rsidR="0064760C">
        <w:rPr>
          <w:noProof/>
        </w:rPr>
        <w:t>58</w:t>
      </w:r>
      <w:r>
        <w:rPr>
          <w:noProof/>
        </w:rPr>
        <w:fldChar w:fldCharType="end"/>
      </w:r>
    </w:p>
    <w:p w14:paraId="47AE0EAC" w14:textId="1ED80030" w:rsidR="00C32837" w:rsidRPr="005E1D29" w:rsidRDefault="00C32837">
      <w:pPr>
        <w:pStyle w:val="TOC1"/>
        <w:rPr>
          <w:rFonts w:ascii="Calibri" w:eastAsia="Times New Roman" w:hAnsi="Calibri" w:cs="Times New Roman"/>
          <w:b w:val="0"/>
          <w:bCs w:val="0"/>
          <w:caps w:val="0"/>
          <w:noProof/>
          <w:sz w:val="22"/>
          <w:szCs w:val="22"/>
          <w:lang w:eastAsia="en-AU"/>
        </w:rPr>
      </w:pPr>
      <w:r>
        <w:rPr>
          <w:noProof/>
        </w:rPr>
        <w:t>4.</w:t>
      </w:r>
      <w:r w:rsidRPr="005E1D29">
        <w:rPr>
          <w:rFonts w:ascii="Calibri" w:eastAsia="Times New Roman" w:hAnsi="Calibri" w:cs="Times New Roman"/>
          <w:b w:val="0"/>
          <w:bCs w:val="0"/>
          <w:caps w:val="0"/>
          <w:noProof/>
          <w:sz w:val="22"/>
          <w:szCs w:val="22"/>
          <w:lang w:eastAsia="en-AU"/>
        </w:rPr>
        <w:tab/>
      </w:r>
      <w:r>
        <w:rPr>
          <w:noProof/>
        </w:rPr>
        <w:t>Lighting activities</w:t>
      </w:r>
      <w:r>
        <w:rPr>
          <w:noProof/>
        </w:rPr>
        <w:tab/>
      </w:r>
      <w:r>
        <w:rPr>
          <w:noProof/>
        </w:rPr>
        <w:fldChar w:fldCharType="begin"/>
      </w:r>
      <w:r>
        <w:rPr>
          <w:noProof/>
        </w:rPr>
        <w:instrText xml:space="preserve"> PAGEREF _Toc27560561 \h </w:instrText>
      </w:r>
      <w:r>
        <w:rPr>
          <w:noProof/>
        </w:rPr>
      </w:r>
      <w:r>
        <w:rPr>
          <w:noProof/>
        </w:rPr>
        <w:fldChar w:fldCharType="separate"/>
      </w:r>
      <w:r w:rsidR="0064760C">
        <w:rPr>
          <w:noProof/>
        </w:rPr>
        <w:t>60</w:t>
      </w:r>
      <w:r>
        <w:rPr>
          <w:noProof/>
        </w:rPr>
        <w:fldChar w:fldCharType="end"/>
      </w:r>
    </w:p>
    <w:p w14:paraId="7B75A5D6" w14:textId="189F8B3B" w:rsidR="00C32837" w:rsidRPr="005E1D29" w:rsidRDefault="00C32837">
      <w:pPr>
        <w:pStyle w:val="TOC2"/>
        <w:rPr>
          <w:rFonts w:ascii="Calibri" w:eastAsia="Times New Roman" w:hAnsi="Calibri" w:cs="Times New Roman"/>
          <w:bCs w:val="0"/>
          <w:noProof/>
          <w:sz w:val="22"/>
          <w:szCs w:val="22"/>
          <w:lang w:eastAsia="en-AU"/>
        </w:rPr>
      </w:pPr>
      <w:r>
        <w:rPr>
          <w:noProof/>
        </w:rPr>
        <w:t>4.1.</w:t>
      </w:r>
      <w:r w:rsidRPr="005E1D29">
        <w:rPr>
          <w:rFonts w:ascii="Calibri" w:eastAsia="Times New Roman" w:hAnsi="Calibri" w:cs="Times New Roman"/>
          <w:bCs w:val="0"/>
          <w:noProof/>
          <w:sz w:val="22"/>
          <w:szCs w:val="22"/>
          <w:lang w:eastAsia="en-AU"/>
        </w:rPr>
        <w:tab/>
      </w:r>
      <w:r>
        <w:rPr>
          <w:noProof/>
        </w:rPr>
        <w:t>Residential lighting activities</w:t>
      </w:r>
      <w:r>
        <w:rPr>
          <w:noProof/>
        </w:rPr>
        <w:tab/>
      </w:r>
      <w:r>
        <w:rPr>
          <w:noProof/>
        </w:rPr>
        <w:fldChar w:fldCharType="begin"/>
      </w:r>
      <w:r>
        <w:rPr>
          <w:noProof/>
        </w:rPr>
        <w:instrText xml:space="preserve"> PAGEREF _Toc27560562 \h </w:instrText>
      </w:r>
      <w:r>
        <w:rPr>
          <w:noProof/>
        </w:rPr>
      </w:r>
      <w:r>
        <w:rPr>
          <w:noProof/>
        </w:rPr>
        <w:fldChar w:fldCharType="separate"/>
      </w:r>
      <w:r w:rsidR="0064760C">
        <w:rPr>
          <w:noProof/>
        </w:rPr>
        <w:t>60</w:t>
      </w:r>
      <w:r>
        <w:rPr>
          <w:noProof/>
        </w:rPr>
        <w:fldChar w:fldCharType="end"/>
      </w:r>
    </w:p>
    <w:p w14:paraId="6B67FC46" w14:textId="77C6C84C" w:rsidR="00C32837" w:rsidRPr="005E1D29" w:rsidRDefault="00C32837">
      <w:pPr>
        <w:pStyle w:val="TOC2"/>
        <w:rPr>
          <w:rFonts w:ascii="Calibri" w:eastAsia="Times New Roman" w:hAnsi="Calibri" w:cs="Times New Roman"/>
          <w:bCs w:val="0"/>
          <w:noProof/>
          <w:sz w:val="22"/>
          <w:szCs w:val="22"/>
          <w:lang w:eastAsia="en-AU"/>
        </w:rPr>
      </w:pPr>
      <w:r>
        <w:rPr>
          <w:noProof/>
        </w:rPr>
        <w:t>4.2.</w:t>
      </w:r>
      <w:r w:rsidRPr="005E1D29">
        <w:rPr>
          <w:rFonts w:ascii="Calibri" w:eastAsia="Times New Roman" w:hAnsi="Calibri" w:cs="Times New Roman"/>
          <w:bCs w:val="0"/>
          <w:noProof/>
          <w:sz w:val="22"/>
          <w:szCs w:val="22"/>
          <w:lang w:eastAsia="en-AU"/>
        </w:rPr>
        <w:tab/>
      </w:r>
      <w:r>
        <w:rPr>
          <w:noProof/>
        </w:rPr>
        <w:t>Commercial lighting upgrade activities</w:t>
      </w:r>
      <w:r>
        <w:rPr>
          <w:noProof/>
        </w:rPr>
        <w:tab/>
      </w:r>
      <w:r>
        <w:rPr>
          <w:noProof/>
        </w:rPr>
        <w:fldChar w:fldCharType="begin"/>
      </w:r>
      <w:r>
        <w:rPr>
          <w:noProof/>
        </w:rPr>
        <w:instrText xml:space="preserve"> PAGEREF _Toc27560563 \h </w:instrText>
      </w:r>
      <w:r>
        <w:rPr>
          <w:noProof/>
        </w:rPr>
      </w:r>
      <w:r>
        <w:rPr>
          <w:noProof/>
        </w:rPr>
        <w:fldChar w:fldCharType="separate"/>
      </w:r>
      <w:r w:rsidR="0064760C">
        <w:rPr>
          <w:noProof/>
        </w:rPr>
        <w:t>66</w:t>
      </w:r>
      <w:r>
        <w:rPr>
          <w:noProof/>
        </w:rPr>
        <w:fldChar w:fldCharType="end"/>
      </w:r>
    </w:p>
    <w:p w14:paraId="0F45FB40" w14:textId="153E8A48" w:rsidR="00C32837" w:rsidRPr="005E1D29" w:rsidRDefault="00C32837">
      <w:pPr>
        <w:pStyle w:val="TOC1"/>
        <w:rPr>
          <w:rFonts w:ascii="Calibri" w:eastAsia="Times New Roman" w:hAnsi="Calibri" w:cs="Times New Roman"/>
          <w:b w:val="0"/>
          <w:bCs w:val="0"/>
          <w:caps w:val="0"/>
          <w:noProof/>
          <w:sz w:val="22"/>
          <w:szCs w:val="22"/>
          <w:lang w:eastAsia="en-AU"/>
        </w:rPr>
      </w:pPr>
      <w:r>
        <w:rPr>
          <w:noProof/>
        </w:rPr>
        <w:t>5.</w:t>
      </w:r>
      <w:r w:rsidRPr="005E1D29">
        <w:rPr>
          <w:rFonts w:ascii="Calibri" w:eastAsia="Times New Roman" w:hAnsi="Calibri" w:cs="Times New Roman"/>
          <w:b w:val="0"/>
          <w:bCs w:val="0"/>
          <w:caps w:val="0"/>
          <w:noProof/>
          <w:sz w:val="22"/>
          <w:szCs w:val="22"/>
          <w:lang w:eastAsia="en-AU"/>
        </w:rPr>
        <w:tab/>
      </w:r>
      <w:r>
        <w:rPr>
          <w:noProof/>
        </w:rPr>
        <w:t>Appliance activities</w:t>
      </w:r>
      <w:r>
        <w:rPr>
          <w:noProof/>
        </w:rPr>
        <w:tab/>
      </w:r>
      <w:r>
        <w:rPr>
          <w:noProof/>
        </w:rPr>
        <w:fldChar w:fldCharType="begin"/>
      </w:r>
      <w:r>
        <w:rPr>
          <w:noProof/>
        </w:rPr>
        <w:instrText xml:space="preserve"> PAGEREF _Toc27560564 \h </w:instrText>
      </w:r>
      <w:r>
        <w:rPr>
          <w:noProof/>
        </w:rPr>
      </w:r>
      <w:r>
        <w:rPr>
          <w:noProof/>
        </w:rPr>
        <w:fldChar w:fldCharType="separate"/>
      </w:r>
      <w:r w:rsidR="0064760C">
        <w:rPr>
          <w:noProof/>
        </w:rPr>
        <w:t>69</w:t>
      </w:r>
      <w:r>
        <w:rPr>
          <w:noProof/>
        </w:rPr>
        <w:fldChar w:fldCharType="end"/>
      </w:r>
    </w:p>
    <w:p w14:paraId="0AC4766F" w14:textId="3DE78AA8" w:rsidR="00C32837" w:rsidRPr="005E1D29" w:rsidRDefault="00C32837">
      <w:pPr>
        <w:pStyle w:val="TOC2"/>
        <w:rPr>
          <w:rFonts w:ascii="Calibri" w:eastAsia="Times New Roman" w:hAnsi="Calibri" w:cs="Times New Roman"/>
          <w:bCs w:val="0"/>
          <w:noProof/>
          <w:sz w:val="22"/>
          <w:szCs w:val="22"/>
          <w:lang w:eastAsia="en-AU"/>
        </w:rPr>
      </w:pPr>
      <w:r>
        <w:rPr>
          <w:noProof/>
        </w:rPr>
        <w:t>5.1.</w:t>
      </w:r>
      <w:r w:rsidRPr="005E1D29">
        <w:rPr>
          <w:rFonts w:ascii="Calibri" w:eastAsia="Times New Roman" w:hAnsi="Calibri" w:cs="Times New Roman"/>
          <w:bCs w:val="0"/>
          <w:noProof/>
          <w:sz w:val="22"/>
          <w:szCs w:val="22"/>
          <w:lang w:eastAsia="en-AU"/>
        </w:rPr>
        <w:tab/>
      </w:r>
      <w:r>
        <w:rPr>
          <w:noProof/>
        </w:rPr>
        <w:t>Decommissioning and disposal of refrigerator or freezer</w:t>
      </w:r>
      <w:r>
        <w:rPr>
          <w:noProof/>
        </w:rPr>
        <w:tab/>
      </w:r>
      <w:r>
        <w:rPr>
          <w:noProof/>
        </w:rPr>
        <w:fldChar w:fldCharType="begin"/>
      </w:r>
      <w:r>
        <w:rPr>
          <w:noProof/>
        </w:rPr>
        <w:instrText xml:space="preserve"> PAGEREF _Toc27560565 \h </w:instrText>
      </w:r>
      <w:r>
        <w:rPr>
          <w:noProof/>
        </w:rPr>
      </w:r>
      <w:r>
        <w:rPr>
          <w:noProof/>
        </w:rPr>
        <w:fldChar w:fldCharType="separate"/>
      </w:r>
      <w:r w:rsidR="0064760C">
        <w:rPr>
          <w:noProof/>
        </w:rPr>
        <w:t>69</w:t>
      </w:r>
      <w:r>
        <w:rPr>
          <w:noProof/>
        </w:rPr>
        <w:fldChar w:fldCharType="end"/>
      </w:r>
    </w:p>
    <w:p w14:paraId="2E002BEF" w14:textId="1C03420B" w:rsidR="00C32837" w:rsidRPr="005E1D29" w:rsidRDefault="00C32837">
      <w:pPr>
        <w:pStyle w:val="TOC2"/>
        <w:rPr>
          <w:rFonts w:ascii="Calibri" w:eastAsia="Times New Roman" w:hAnsi="Calibri" w:cs="Times New Roman"/>
          <w:bCs w:val="0"/>
          <w:noProof/>
          <w:sz w:val="22"/>
          <w:szCs w:val="22"/>
          <w:lang w:eastAsia="en-AU"/>
        </w:rPr>
      </w:pPr>
      <w:r>
        <w:rPr>
          <w:noProof/>
        </w:rPr>
        <w:t>5.2.</w:t>
      </w:r>
      <w:r w:rsidRPr="005E1D29">
        <w:rPr>
          <w:rFonts w:ascii="Calibri" w:eastAsia="Times New Roman" w:hAnsi="Calibri" w:cs="Times New Roman"/>
          <w:bCs w:val="0"/>
          <w:noProof/>
          <w:sz w:val="22"/>
          <w:szCs w:val="22"/>
          <w:lang w:eastAsia="en-AU"/>
        </w:rPr>
        <w:tab/>
      </w:r>
      <w:r>
        <w:rPr>
          <w:noProof/>
        </w:rPr>
        <w:t>Purchase of high efficiency refrigerator or freezer</w:t>
      </w:r>
      <w:r>
        <w:rPr>
          <w:noProof/>
        </w:rPr>
        <w:tab/>
      </w:r>
      <w:r>
        <w:rPr>
          <w:noProof/>
        </w:rPr>
        <w:fldChar w:fldCharType="begin"/>
      </w:r>
      <w:r>
        <w:rPr>
          <w:noProof/>
        </w:rPr>
        <w:instrText xml:space="preserve"> PAGEREF _Toc27560566 \h </w:instrText>
      </w:r>
      <w:r>
        <w:rPr>
          <w:noProof/>
        </w:rPr>
      </w:r>
      <w:r>
        <w:rPr>
          <w:noProof/>
        </w:rPr>
        <w:fldChar w:fldCharType="separate"/>
      </w:r>
      <w:r w:rsidR="0064760C">
        <w:rPr>
          <w:noProof/>
        </w:rPr>
        <w:t>71</w:t>
      </w:r>
      <w:r>
        <w:rPr>
          <w:noProof/>
        </w:rPr>
        <w:fldChar w:fldCharType="end"/>
      </w:r>
    </w:p>
    <w:p w14:paraId="57A23EB9" w14:textId="36FC01CD" w:rsidR="00C32837" w:rsidRPr="005E1D29" w:rsidRDefault="00C32837">
      <w:pPr>
        <w:pStyle w:val="TOC2"/>
        <w:rPr>
          <w:rFonts w:ascii="Calibri" w:eastAsia="Times New Roman" w:hAnsi="Calibri" w:cs="Times New Roman"/>
          <w:bCs w:val="0"/>
          <w:noProof/>
          <w:sz w:val="22"/>
          <w:szCs w:val="22"/>
          <w:lang w:eastAsia="en-AU"/>
        </w:rPr>
      </w:pPr>
      <w:r>
        <w:rPr>
          <w:noProof/>
        </w:rPr>
        <w:t>5.3.</w:t>
      </w:r>
      <w:r w:rsidRPr="005E1D29">
        <w:rPr>
          <w:rFonts w:ascii="Calibri" w:eastAsia="Times New Roman" w:hAnsi="Calibri" w:cs="Times New Roman"/>
          <w:bCs w:val="0"/>
          <w:noProof/>
          <w:sz w:val="22"/>
          <w:szCs w:val="22"/>
          <w:lang w:eastAsia="en-AU"/>
        </w:rPr>
        <w:tab/>
      </w:r>
      <w:r>
        <w:rPr>
          <w:noProof/>
        </w:rPr>
        <w:t>Purchase of high efficiency electric clothes dryer</w:t>
      </w:r>
      <w:r>
        <w:rPr>
          <w:noProof/>
        </w:rPr>
        <w:tab/>
      </w:r>
      <w:r>
        <w:rPr>
          <w:noProof/>
        </w:rPr>
        <w:fldChar w:fldCharType="begin"/>
      </w:r>
      <w:r>
        <w:rPr>
          <w:noProof/>
        </w:rPr>
        <w:instrText xml:space="preserve"> PAGEREF _Toc27560567 \h </w:instrText>
      </w:r>
      <w:r>
        <w:rPr>
          <w:noProof/>
        </w:rPr>
      </w:r>
      <w:r>
        <w:rPr>
          <w:noProof/>
        </w:rPr>
        <w:fldChar w:fldCharType="separate"/>
      </w:r>
      <w:r w:rsidR="0064760C">
        <w:rPr>
          <w:noProof/>
        </w:rPr>
        <w:t>74</w:t>
      </w:r>
      <w:r>
        <w:rPr>
          <w:noProof/>
        </w:rPr>
        <w:fldChar w:fldCharType="end"/>
      </w:r>
    </w:p>
    <w:p w14:paraId="064D2351" w14:textId="65898BE5" w:rsidR="00C32837" w:rsidRPr="005E1D29" w:rsidRDefault="00C32837">
      <w:pPr>
        <w:pStyle w:val="TOC2"/>
        <w:rPr>
          <w:rFonts w:ascii="Calibri" w:eastAsia="Times New Roman" w:hAnsi="Calibri" w:cs="Times New Roman"/>
          <w:bCs w:val="0"/>
          <w:noProof/>
          <w:sz w:val="22"/>
          <w:szCs w:val="22"/>
          <w:lang w:eastAsia="en-AU"/>
        </w:rPr>
      </w:pPr>
      <w:r>
        <w:rPr>
          <w:noProof/>
        </w:rPr>
        <w:t>5.4.</w:t>
      </w:r>
      <w:r w:rsidRPr="005E1D29">
        <w:rPr>
          <w:rFonts w:ascii="Calibri" w:eastAsia="Times New Roman" w:hAnsi="Calibri" w:cs="Times New Roman"/>
          <w:bCs w:val="0"/>
          <w:noProof/>
          <w:sz w:val="22"/>
          <w:szCs w:val="22"/>
          <w:lang w:eastAsia="en-AU"/>
        </w:rPr>
        <w:tab/>
      </w:r>
      <w:r>
        <w:rPr>
          <w:noProof/>
        </w:rPr>
        <w:t>Purchase of a high efficiency television</w:t>
      </w:r>
      <w:r>
        <w:rPr>
          <w:noProof/>
        </w:rPr>
        <w:tab/>
      </w:r>
      <w:r>
        <w:rPr>
          <w:noProof/>
        </w:rPr>
        <w:fldChar w:fldCharType="begin"/>
      </w:r>
      <w:r>
        <w:rPr>
          <w:noProof/>
        </w:rPr>
        <w:instrText xml:space="preserve"> PAGEREF _Toc27560568 \h </w:instrText>
      </w:r>
      <w:r>
        <w:rPr>
          <w:noProof/>
        </w:rPr>
      </w:r>
      <w:r>
        <w:rPr>
          <w:noProof/>
        </w:rPr>
        <w:fldChar w:fldCharType="separate"/>
      </w:r>
      <w:r w:rsidR="0064760C">
        <w:rPr>
          <w:noProof/>
        </w:rPr>
        <w:t>76</w:t>
      </w:r>
      <w:r>
        <w:rPr>
          <w:noProof/>
        </w:rPr>
        <w:fldChar w:fldCharType="end"/>
      </w:r>
    </w:p>
    <w:p w14:paraId="58508150" w14:textId="753B460F" w:rsidR="00C32837" w:rsidRPr="005E1D29" w:rsidRDefault="00C32837">
      <w:pPr>
        <w:pStyle w:val="TOC2"/>
        <w:rPr>
          <w:rFonts w:ascii="Calibri" w:eastAsia="Times New Roman" w:hAnsi="Calibri" w:cs="Times New Roman"/>
          <w:bCs w:val="0"/>
          <w:noProof/>
          <w:sz w:val="22"/>
          <w:szCs w:val="22"/>
          <w:lang w:eastAsia="en-AU"/>
        </w:rPr>
      </w:pPr>
      <w:r>
        <w:rPr>
          <w:noProof/>
        </w:rPr>
        <w:t>5.5.</w:t>
      </w:r>
      <w:r w:rsidRPr="005E1D29">
        <w:rPr>
          <w:rFonts w:ascii="Calibri" w:eastAsia="Times New Roman" w:hAnsi="Calibri" w:cs="Times New Roman"/>
          <w:bCs w:val="0"/>
          <w:noProof/>
          <w:sz w:val="22"/>
          <w:szCs w:val="22"/>
          <w:lang w:eastAsia="en-AU"/>
        </w:rPr>
        <w:tab/>
      </w:r>
      <w:r>
        <w:rPr>
          <w:noProof/>
        </w:rPr>
        <w:t>Install a standby power controller (</w:t>
      </w:r>
      <w:r w:rsidRPr="00BD6A01">
        <w:rPr>
          <w:i/>
          <w:noProof/>
        </w:rPr>
        <w:t>Revoked</w:t>
      </w:r>
      <w:r>
        <w:rPr>
          <w:noProof/>
        </w:rPr>
        <w:t>)</w:t>
      </w:r>
      <w:r>
        <w:rPr>
          <w:noProof/>
        </w:rPr>
        <w:tab/>
      </w:r>
      <w:r>
        <w:rPr>
          <w:noProof/>
        </w:rPr>
        <w:fldChar w:fldCharType="begin"/>
      </w:r>
      <w:r>
        <w:rPr>
          <w:noProof/>
        </w:rPr>
        <w:instrText xml:space="preserve"> PAGEREF _Toc27560569 \h </w:instrText>
      </w:r>
      <w:r>
        <w:rPr>
          <w:noProof/>
        </w:rPr>
      </w:r>
      <w:r>
        <w:rPr>
          <w:noProof/>
        </w:rPr>
        <w:fldChar w:fldCharType="separate"/>
      </w:r>
      <w:r w:rsidR="0064760C">
        <w:rPr>
          <w:noProof/>
        </w:rPr>
        <w:t>78</w:t>
      </w:r>
      <w:r>
        <w:rPr>
          <w:noProof/>
        </w:rPr>
        <w:fldChar w:fldCharType="end"/>
      </w:r>
    </w:p>
    <w:p w14:paraId="237DBE52" w14:textId="38B80EA5" w:rsidR="00C32837" w:rsidRPr="005E1D29" w:rsidRDefault="00C32837">
      <w:pPr>
        <w:pStyle w:val="TOC2"/>
        <w:rPr>
          <w:rFonts w:ascii="Calibri" w:eastAsia="Times New Roman" w:hAnsi="Calibri" w:cs="Times New Roman"/>
          <w:bCs w:val="0"/>
          <w:noProof/>
          <w:sz w:val="22"/>
          <w:szCs w:val="22"/>
          <w:lang w:eastAsia="en-AU"/>
        </w:rPr>
      </w:pPr>
      <w:r>
        <w:rPr>
          <w:noProof/>
        </w:rPr>
        <w:t>5.6.</w:t>
      </w:r>
      <w:r w:rsidRPr="005E1D29">
        <w:rPr>
          <w:rFonts w:ascii="Calibri" w:eastAsia="Times New Roman" w:hAnsi="Calibri" w:cs="Times New Roman"/>
          <w:bCs w:val="0"/>
          <w:noProof/>
          <w:sz w:val="22"/>
          <w:szCs w:val="22"/>
          <w:lang w:eastAsia="en-AU"/>
        </w:rPr>
        <w:tab/>
      </w:r>
      <w:r>
        <w:rPr>
          <w:noProof/>
        </w:rPr>
        <w:t>Install a high efficiency swimming pool pump</w:t>
      </w:r>
      <w:r>
        <w:rPr>
          <w:noProof/>
        </w:rPr>
        <w:tab/>
      </w:r>
      <w:r>
        <w:rPr>
          <w:noProof/>
        </w:rPr>
        <w:fldChar w:fldCharType="begin"/>
      </w:r>
      <w:r>
        <w:rPr>
          <w:noProof/>
        </w:rPr>
        <w:instrText xml:space="preserve"> PAGEREF _Toc27560570 \h </w:instrText>
      </w:r>
      <w:r>
        <w:rPr>
          <w:noProof/>
        </w:rPr>
      </w:r>
      <w:r>
        <w:rPr>
          <w:noProof/>
        </w:rPr>
        <w:fldChar w:fldCharType="separate"/>
      </w:r>
      <w:r w:rsidR="0064760C">
        <w:rPr>
          <w:noProof/>
        </w:rPr>
        <w:t>79</w:t>
      </w:r>
      <w:r>
        <w:rPr>
          <w:noProof/>
        </w:rPr>
        <w:fldChar w:fldCharType="end"/>
      </w:r>
    </w:p>
    <w:p w14:paraId="29FB049D" w14:textId="655193CC" w:rsidR="00C32837" w:rsidRPr="005E1D29" w:rsidRDefault="00C32837">
      <w:pPr>
        <w:pStyle w:val="TOC2"/>
        <w:rPr>
          <w:rFonts w:ascii="Calibri" w:eastAsia="Times New Roman" w:hAnsi="Calibri" w:cs="Times New Roman"/>
          <w:bCs w:val="0"/>
          <w:noProof/>
          <w:sz w:val="22"/>
          <w:szCs w:val="22"/>
          <w:lang w:eastAsia="en-AU"/>
        </w:rPr>
      </w:pPr>
      <w:r>
        <w:rPr>
          <w:noProof/>
        </w:rPr>
        <w:t>5.7.</w:t>
      </w:r>
      <w:r w:rsidRPr="005E1D29">
        <w:rPr>
          <w:rFonts w:ascii="Calibri" w:eastAsia="Times New Roman" w:hAnsi="Calibri" w:cs="Times New Roman"/>
          <w:bCs w:val="0"/>
          <w:noProof/>
          <w:sz w:val="22"/>
          <w:szCs w:val="22"/>
          <w:lang w:eastAsia="en-AU"/>
        </w:rPr>
        <w:tab/>
      </w:r>
      <w:r>
        <w:rPr>
          <w:noProof/>
        </w:rPr>
        <w:t>High efficiency refrigerated display cabinet activities</w:t>
      </w:r>
      <w:r>
        <w:rPr>
          <w:noProof/>
        </w:rPr>
        <w:tab/>
      </w:r>
      <w:r>
        <w:rPr>
          <w:noProof/>
        </w:rPr>
        <w:fldChar w:fldCharType="begin"/>
      </w:r>
      <w:r>
        <w:rPr>
          <w:noProof/>
        </w:rPr>
        <w:instrText xml:space="preserve"> PAGEREF _Toc27560571 \h </w:instrText>
      </w:r>
      <w:r>
        <w:rPr>
          <w:noProof/>
        </w:rPr>
      </w:r>
      <w:r>
        <w:rPr>
          <w:noProof/>
        </w:rPr>
        <w:fldChar w:fldCharType="separate"/>
      </w:r>
      <w:r w:rsidR="0064760C">
        <w:rPr>
          <w:noProof/>
        </w:rPr>
        <w:t>81</w:t>
      </w:r>
      <w:r>
        <w:rPr>
          <w:noProof/>
        </w:rPr>
        <w:fldChar w:fldCharType="end"/>
      </w:r>
    </w:p>
    <w:p w14:paraId="1DECD70D" w14:textId="610A7353" w:rsidR="00C32837" w:rsidRPr="005E1D29" w:rsidRDefault="00C32837">
      <w:pPr>
        <w:pStyle w:val="TOC1"/>
        <w:rPr>
          <w:rFonts w:ascii="Calibri" w:eastAsia="Times New Roman" w:hAnsi="Calibri" w:cs="Times New Roman"/>
          <w:b w:val="0"/>
          <w:bCs w:val="0"/>
          <w:caps w:val="0"/>
          <w:noProof/>
          <w:sz w:val="22"/>
          <w:szCs w:val="22"/>
          <w:lang w:eastAsia="en-AU"/>
        </w:rPr>
      </w:pPr>
      <w:r>
        <w:rPr>
          <w:noProof/>
        </w:rPr>
        <w:lastRenderedPageBreak/>
        <w:t>6.</w:t>
      </w:r>
      <w:r w:rsidRPr="005E1D29">
        <w:rPr>
          <w:rFonts w:ascii="Calibri" w:eastAsia="Times New Roman" w:hAnsi="Calibri" w:cs="Times New Roman"/>
          <w:b w:val="0"/>
          <w:bCs w:val="0"/>
          <w:caps w:val="0"/>
          <w:noProof/>
          <w:sz w:val="22"/>
          <w:szCs w:val="22"/>
          <w:lang w:eastAsia="en-AU"/>
        </w:rPr>
        <w:tab/>
      </w:r>
      <w:r>
        <w:rPr>
          <w:noProof/>
        </w:rPr>
        <w:t>Dictionary</w:t>
      </w:r>
      <w:r>
        <w:rPr>
          <w:noProof/>
        </w:rPr>
        <w:tab/>
      </w:r>
      <w:r>
        <w:rPr>
          <w:noProof/>
        </w:rPr>
        <w:fldChar w:fldCharType="begin"/>
      </w:r>
      <w:r>
        <w:rPr>
          <w:noProof/>
        </w:rPr>
        <w:instrText xml:space="preserve"> PAGEREF _Toc27560572 \h </w:instrText>
      </w:r>
      <w:r>
        <w:rPr>
          <w:noProof/>
        </w:rPr>
      </w:r>
      <w:r>
        <w:rPr>
          <w:noProof/>
        </w:rPr>
        <w:fldChar w:fldCharType="separate"/>
      </w:r>
      <w:r w:rsidR="0064760C">
        <w:rPr>
          <w:noProof/>
        </w:rPr>
        <w:t>84</w:t>
      </w:r>
      <w:r>
        <w:rPr>
          <w:noProof/>
        </w:rPr>
        <w:fldChar w:fldCharType="end"/>
      </w:r>
    </w:p>
    <w:p w14:paraId="2202C34C" w14:textId="77777777" w:rsidR="009E6E7F" w:rsidRDefault="00E1157A" w:rsidP="009E6E7F">
      <w:pPr>
        <w:spacing w:before="0" w:after="0" w:line="240" w:lineRule="auto"/>
        <w:rPr>
          <w:b/>
          <w:bCs/>
          <w:sz w:val="34"/>
          <w:szCs w:val="34"/>
        </w:rPr>
      </w:pPr>
      <w:r>
        <w:fldChar w:fldCharType="end"/>
      </w:r>
      <w:r w:rsidR="00D5263C">
        <w:br w:type="page"/>
      </w:r>
      <w:bookmarkStart w:id="13" w:name="_Toc331776635"/>
      <w:bookmarkStart w:id="14" w:name="_Toc332019264"/>
      <w:bookmarkStart w:id="15" w:name="_Toc331776637"/>
      <w:bookmarkStart w:id="16" w:name="_Toc332019266"/>
      <w:bookmarkStart w:id="17" w:name="_Toc331776638"/>
      <w:bookmarkStart w:id="18" w:name="_Toc332019267"/>
      <w:bookmarkStart w:id="19" w:name="_Toc331776639"/>
      <w:bookmarkStart w:id="20" w:name="_Toc332019268"/>
      <w:bookmarkStart w:id="21" w:name="_Toc331776640"/>
      <w:bookmarkStart w:id="22" w:name="_Toc332019269"/>
      <w:bookmarkStart w:id="23" w:name="_Toc331776641"/>
      <w:bookmarkStart w:id="24" w:name="_Toc332019270"/>
      <w:bookmarkStart w:id="25" w:name="_Toc331776642"/>
      <w:bookmarkStart w:id="26" w:name="_Toc332019271"/>
      <w:bookmarkStart w:id="27" w:name="_Toc331776643"/>
      <w:bookmarkStart w:id="28" w:name="_Toc332019272"/>
      <w:bookmarkStart w:id="29" w:name="_Toc331776644"/>
      <w:bookmarkStart w:id="30" w:name="_Toc332019273"/>
      <w:bookmarkStart w:id="31" w:name="_Toc331776645"/>
      <w:bookmarkStart w:id="32" w:name="_Toc332019274"/>
      <w:bookmarkStart w:id="33" w:name="_Toc331776646"/>
      <w:bookmarkStart w:id="34" w:name="_Toc332019275"/>
      <w:bookmarkStart w:id="35" w:name="_Toc331776647"/>
      <w:bookmarkStart w:id="36" w:name="_Toc332019276"/>
      <w:bookmarkStart w:id="37" w:name="_Toc331776648"/>
      <w:bookmarkStart w:id="38" w:name="_Toc332019277"/>
      <w:bookmarkStart w:id="39" w:name="_Toc331776649"/>
      <w:bookmarkStart w:id="40" w:name="_Toc332019278"/>
      <w:bookmarkStart w:id="41" w:name="_Toc331776650"/>
      <w:bookmarkStart w:id="42" w:name="_Toc332019279"/>
      <w:bookmarkStart w:id="43" w:name="_Toc331776651"/>
      <w:bookmarkStart w:id="44" w:name="_Toc332019280"/>
      <w:bookmarkStart w:id="45" w:name="_Toc331776652"/>
      <w:bookmarkStart w:id="46" w:name="_Toc332019281"/>
      <w:bookmarkStart w:id="47" w:name="_Toc331776653"/>
      <w:bookmarkStart w:id="48" w:name="_Toc332019282"/>
      <w:bookmarkStart w:id="49" w:name="_Toc331776654"/>
      <w:bookmarkStart w:id="50" w:name="_Toc332019283"/>
      <w:bookmarkStart w:id="51" w:name="_Toc331776663"/>
      <w:bookmarkStart w:id="52" w:name="_Toc332019292"/>
      <w:bookmarkStart w:id="53" w:name="_Toc331776664"/>
      <w:bookmarkStart w:id="54" w:name="_Toc332019293"/>
      <w:bookmarkStart w:id="55" w:name="_Toc331776665"/>
      <w:bookmarkStart w:id="56" w:name="_Toc332019294"/>
      <w:bookmarkStart w:id="57" w:name="_Toc331776666"/>
      <w:bookmarkStart w:id="58" w:name="_Toc332019295"/>
      <w:bookmarkStart w:id="59" w:name="_Toc331776667"/>
      <w:bookmarkStart w:id="60" w:name="_Toc332019296"/>
      <w:bookmarkStart w:id="61" w:name="_Toc331776668"/>
      <w:bookmarkStart w:id="62" w:name="_Toc332019297"/>
      <w:bookmarkStart w:id="63" w:name="_Toc331776669"/>
      <w:bookmarkStart w:id="64" w:name="_Toc332019298"/>
      <w:bookmarkStart w:id="65" w:name="_Toc331776670"/>
      <w:bookmarkStart w:id="66" w:name="_Toc332019299"/>
      <w:bookmarkStart w:id="67" w:name="_Toc331776671"/>
      <w:bookmarkStart w:id="68" w:name="_Toc332019300"/>
      <w:bookmarkStart w:id="69" w:name="_Toc331776672"/>
      <w:bookmarkStart w:id="70" w:name="_Toc332019301"/>
      <w:bookmarkStart w:id="71" w:name="_Toc331776673"/>
      <w:bookmarkStart w:id="72" w:name="_Toc332019302"/>
      <w:bookmarkStart w:id="73" w:name="_Toc331776674"/>
      <w:bookmarkStart w:id="74" w:name="_Toc332019303"/>
      <w:bookmarkStart w:id="75" w:name="_Toc331776675"/>
      <w:bookmarkStart w:id="76" w:name="_Toc332019304"/>
      <w:bookmarkStart w:id="77" w:name="_Toc331776676"/>
      <w:bookmarkStart w:id="78" w:name="_Toc332019305"/>
      <w:bookmarkStart w:id="79" w:name="_Toc331776677"/>
      <w:bookmarkStart w:id="80" w:name="_Toc332019306"/>
      <w:bookmarkStart w:id="81" w:name="_Toc331776678"/>
      <w:bookmarkStart w:id="82" w:name="_Toc332019307"/>
      <w:bookmarkStart w:id="83" w:name="_Toc331776679"/>
      <w:bookmarkStart w:id="84" w:name="_Toc332019308"/>
      <w:bookmarkStart w:id="85" w:name="_Toc331776680"/>
      <w:bookmarkStart w:id="86" w:name="_Toc332019309"/>
      <w:bookmarkStart w:id="87" w:name="_Toc331776681"/>
      <w:bookmarkStart w:id="88" w:name="_Toc332019310"/>
      <w:bookmarkStart w:id="89" w:name="_Toc331776682"/>
      <w:bookmarkStart w:id="90" w:name="_Toc332019311"/>
      <w:bookmarkStart w:id="91" w:name="_Toc331776683"/>
      <w:bookmarkStart w:id="92" w:name="_Toc332019312"/>
      <w:bookmarkStart w:id="93" w:name="_Toc20485289"/>
      <w:bookmarkStart w:id="94" w:name="_Toc333417629"/>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009E6E7F">
        <w:rPr>
          <w:b/>
          <w:bCs/>
          <w:sz w:val="34"/>
          <w:szCs w:val="34"/>
        </w:rPr>
        <w:lastRenderedPageBreak/>
        <w:t>List of tables</w:t>
      </w:r>
    </w:p>
    <w:p w14:paraId="63FAF080" w14:textId="6C504F8B" w:rsidR="00990DEE" w:rsidRPr="004741C1" w:rsidRDefault="00C32837">
      <w:pPr>
        <w:pStyle w:val="TableofFigures"/>
        <w:rPr>
          <w:rFonts w:ascii="Calibri" w:eastAsia="Times New Roman" w:hAnsi="Calibri" w:cs="Times New Roman"/>
          <w:noProof/>
          <w:sz w:val="22"/>
          <w:szCs w:val="22"/>
          <w:lang w:eastAsia="en-AU"/>
        </w:rPr>
      </w:pPr>
      <w:r>
        <w:fldChar w:fldCharType="begin"/>
      </w:r>
      <w:r>
        <w:instrText xml:space="preserve"> TOC \f T \t "Caption,Caption to label tables" \c </w:instrText>
      </w:r>
      <w:r>
        <w:fldChar w:fldCharType="separate"/>
      </w:r>
      <w:r w:rsidR="00990DEE">
        <w:rPr>
          <w:noProof/>
        </w:rPr>
        <w:t>Table 1</w:t>
      </w:r>
      <w:r w:rsidR="00990DEE" w:rsidRPr="004741C1">
        <w:rPr>
          <w:rFonts w:ascii="Calibri" w:eastAsia="Times New Roman" w:hAnsi="Calibri" w:cs="Times New Roman"/>
          <w:noProof/>
          <w:sz w:val="22"/>
          <w:szCs w:val="22"/>
          <w:lang w:eastAsia="en-AU"/>
        </w:rPr>
        <w:tab/>
      </w:r>
      <w:r w:rsidR="00990DEE">
        <w:rPr>
          <w:noProof/>
        </w:rPr>
        <w:t>Activity ID 1.1 energy savings values for building sealing activities</w:t>
      </w:r>
      <w:r w:rsidR="00990DEE">
        <w:rPr>
          <w:noProof/>
        </w:rPr>
        <w:tab/>
      </w:r>
      <w:r w:rsidR="00990DEE">
        <w:rPr>
          <w:noProof/>
        </w:rPr>
        <w:fldChar w:fldCharType="begin"/>
      </w:r>
      <w:r w:rsidR="00990DEE">
        <w:rPr>
          <w:noProof/>
        </w:rPr>
        <w:instrText xml:space="preserve"> PAGEREF _Toc37945685 \h </w:instrText>
      </w:r>
      <w:r w:rsidR="00990DEE">
        <w:rPr>
          <w:noProof/>
        </w:rPr>
      </w:r>
      <w:r w:rsidR="00990DEE">
        <w:rPr>
          <w:noProof/>
        </w:rPr>
        <w:fldChar w:fldCharType="separate"/>
      </w:r>
      <w:r w:rsidR="0064760C">
        <w:rPr>
          <w:noProof/>
        </w:rPr>
        <w:t>8</w:t>
      </w:r>
      <w:r w:rsidR="00990DEE">
        <w:rPr>
          <w:noProof/>
        </w:rPr>
        <w:fldChar w:fldCharType="end"/>
      </w:r>
    </w:p>
    <w:p w14:paraId="2CE93844" w14:textId="3EEC5692" w:rsidR="00990DEE" w:rsidRPr="004741C1" w:rsidRDefault="00990DEE">
      <w:pPr>
        <w:pStyle w:val="TableofFigures"/>
        <w:rPr>
          <w:rFonts w:ascii="Calibri" w:eastAsia="Times New Roman" w:hAnsi="Calibri" w:cs="Times New Roman"/>
          <w:noProof/>
          <w:sz w:val="22"/>
          <w:szCs w:val="22"/>
          <w:lang w:eastAsia="en-AU"/>
        </w:rPr>
      </w:pPr>
      <w:r>
        <w:rPr>
          <w:noProof/>
        </w:rPr>
        <w:t xml:space="preserve">Table 2 </w:t>
      </w:r>
      <w:r w:rsidRPr="004741C1">
        <w:rPr>
          <w:rFonts w:ascii="Calibri" w:eastAsia="Times New Roman" w:hAnsi="Calibri" w:cs="Times New Roman"/>
          <w:noProof/>
          <w:sz w:val="22"/>
          <w:szCs w:val="22"/>
          <w:lang w:eastAsia="en-AU"/>
        </w:rPr>
        <w:tab/>
      </w:r>
      <w:r>
        <w:rPr>
          <w:noProof/>
        </w:rPr>
        <w:t>Activity ID 1.2 energy savings values for exhaust fan sealing activities</w:t>
      </w:r>
      <w:r>
        <w:rPr>
          <w:noProof/>
        </w:rPr>
        <w:tab/>
      </w:r>
      <w:r>
        <w:rPr>
          <w:noProof/>
        </w:rPr>
        <w:fldChar w:fldCharType="begin"/>
      </w:r>
      <w:r>
        <w:rPr>
          <w:noProof/>
        </w:rPr>
        <w:instrText xml:space="preserve"> PAGEREF _Toc37945686 \h </w:instrText>
      </w:r>
      <w:r>
        <w:rPr>
          <w:noProof/>
        </w:rPr>
      </w:r>
      <w:r>
        <w:rPr>
          <w:noProof/>
        </w:rPr>
        <w:fldChar w:fldCharType="separate"/>
      </w:r>
      <w:r w:rsidR="0064760C">
        <w:rPr>
          <w:noProof/>
        </w:rPr>
        <w:t>10</w:t>
      </w:r>
      <w:r>
        <w:rPr>
          <w:noProof/>
        </w:rPr>
        <w:fldChar w:fldCharType="end"/>
      </w:r>
    </w:p>
    <w:p w14:paraId="0A205369" w14:textId="2DBD2729" w:rsidR="00990DEE" w:rsidRPr="004741C1" w:rsidRDefault="00990DEE">
      <w:pPr>
        <w:pStyle w:val="TableofFigures"/>
        <w:rPr>
          <w:rFonts w:ascii="Calibri" w:eastAsia="Times New Roman" w:hAnsi="Calibri" w:cs="Times New Roman"/>
          <w:noProof/>
          <w:sz w:val="22"/>
          <w:szCs w:val="22"/>
          <w:lang w:eastAsia="en-AU"/>
        </w:rPr>
      </w:pPr>
      <w:r>
        <w:rPr>
          <w:noProof/>
        </w:rPr>
        <w:t xml:space="preserve">Table 3 </w:t>
      </w:r>
      <w:r w:rsidRPr="004741C1">
        <w:rPr>
          <w:rFonts w:ascii="Calibri" w:eastAsia="Times New Roman" w:hAnsi="Calibri" w:cs="Times New Roman"/>
          <w:noProof/>
          <w:sz w:val="22"/>
          <w:szCs w:val="22"/>
          <w:lang w:eastAsia="en-AU"/>
        </w:rPr>
        <w:tab/>
      </w:r>
      <w:r>
        <w:rPr>
          <w:noProof/>
        </w:rPr>
        <w:t>Activity ID 1.3 energy savings values for ventilation opening sealing activities</w:t>
      </w:r>
      <w:r>
        <w:rPr>
          <w:noProof/>
        </w:rPr>
        <w:tab/>
      </w:r>
      <w:r>
        <w:rPr>
          <w:noProof/>
        </w:rPr>
        <w:fldChar w:fldCharType="begin"/>
      </w:r>
      <w:r>
        <w:rPr>
          <w:noProof/>
        </w:rPr>
        <w:instrText xml:space="preserve"> PAGEREF _Toc37945687 \h </w:instrText>
      </w:r>
      <w:r>
        <w:rPr>
          <w:noProof/>
        </w:rPr>
      </w:r>
      <w:r>
        <w:rPr>
          <w:noProof/>
        </w:rPr>
        <w:fldChar w:fldCharType="separate"/>
      </w:r>
      <w:r w:rsidR="0064760C">
        <w:rPr>
          <w:noProof/>
        </w:rPr>
        <w:t>12</w:t>
      </w:r>
      <w:r>
        <w:rPr>
          <w:noProof/>
        </w:rPr>
        <w:fldChar w:fldCharType="end"/>
      </w:r>
    </w:p>
    <w:p w14:paraId="152C9A4B" w14:textId="665D7927" w:rsidR="00990DEE" w:rsidRPr="004741C1" w:rsidRDefault="00990DEE">
      <w:pPr>
        <w:pStyle w:val="TableofFigures"/>
        <w:rPr>
          <w:rFonts w:ascii="Calibri" w:eastAsia="Times New Roman" w:hAnsi="Calibri" w:cs="Times New Roman"/>
          <w:noProof/>
          <w:sz w:val="22"/>
          <w:szCs w:val="22"/>
          <w:lang w:eastAsia="en-AU"/>
        </w:rPr>
      </w:pPr>
      <w:r>
        <w:rPr>
          <w:noProof/>
        </w:rPr>
        <w:t xml:space="preserve">Table 4 </w:t>
      </w:r>
      <w:r w:rsidRPr="004741C1">
        <w:rPr>
          <w:rFonts w:ascii="Calibri" w:eastAsia="Times New Roman" w:hAnsi="Calibri" w:cs="Times New Roman"/>
          <w:noProof/>
          <w:sz w:val="22"/>
          <w:szCs w:val="22"/>
          <w:lang w:eastAsia="en-AU"/>
        </w:rPr>
        <w:tab/>
      </w:r>
      <w:r>
        <w:rPr>
          <w:noProof/>
        </w:rPr>
        <w:t>Activity ID 1.8 energy savings  values for installing ceiling insulation</w:t>
      </w:r>
      <w:r>
        <w:rPr>
          <w:noProof/>
        </w:rPr>
        <w:tab/>
      </w:r>
      <w:r>
        <w:rPr>
          <w:noProof/>
        </w:rPr>
        <w:fldChar w:fldCharType="begin"/>
      </w:r>
      <w:r>
        <w:rPr>
          <w:noProof/>
        </w:rPr>
        <w:instrText xml:space="preserve"> PAGEREF _Toc37945688 \h </w:instrText>
      </w:r>
      <w:r>
        <w:rPr>
          <w:noProof/>
        </w:rPr>
      </w:r>
      <w:r>
        <w:rPr>
          <w:noProof/>
        </w:rPr>
        <w:fldChar w:fldCharType="separate"/>
      </w:r>
      <w:r w:rsidR="0064760C">
        <w:rPr>
          <w:noProof/>
        </w:rPr>
        <w:t>21</w:t>
      </w:r>
      <w:r>
        <w:rPr>
          <w:noProof/>
        </w:rPr>
        <w:fldChar w:fldCharType="end"/>
      </w:r>
    </w:p>
    <w:p w14:paraId="6B27FD18" w14:textId="65B9A750" w:rsidR="00990DEE" w:rsidRPr="004741C1" w:rsidRDefault="00990DEE">
      <w:pPr>
        <w:pStyle w:val="TableofFigures"/>
        <w:rPr>
          <w:rFonts w:ascii="Calibri" w:eastAsia="Times New Roman" w:hAnsi="Calibri" w:cs="Times New Roman"/>
          <w:noProof/>
          <w:sz w:val="22"/>
          <w:szCs w:val="22"/>
          <w:lang w:eastAsia="en-AU"/>
        </w:rPr>
      </w:pPr>
      <w:r>
        <w:rPr>
          <w:noProof/>
        </w:rPr>
        <w:t xml:space="preserve">Table 5 </w:t>
      </w:r>
      <w:r w:rsidRPr="004741C1">
        <w:rPr>
          <w:rFonts w:ascii="Calibri" w:eastAsia="Times New Roman" w:hAnsi="Calibri" w:cs="Times New Roman"/>
          <w:noProof/>
          <w:sz w:val="22"/>
          <w:szCs w:val="22"/>
          <w:lang w:eastAsia="en-AU"/>
        </w:rPr>
        <w:tab/>
      </w:r>
      <w:r>
        <w:rPr>
          <w:noProof/>
        </w:rPr>
        <w:t xml:space="preserve">Activity ID 1.9 </w:t>
      </w:r>
      <w:r w:rsidRPr="007D2DA9">
        <w:rPr>
          <w:noProof/>
          <w:color w:val="000000"/>
        </w:rPr>
        <w:t>energy savings</w:t>
      </w:r>
      <w:r>
        <w:rPr>
          <w:noProof/>
        </w:rPr>
        <w:t xml:space="preserve"> values for underfloor insulation</w:t>
      </w:r>
      <w:r>
        <w:rPr>
          <w:noProof/>
        </w:rPr>
        <w:tab/>
      </w:r>
      <w:r>
        <w:rPr>
          <w:noProof/>
        </w:rPr>
        <w:fldChar w:fldCharType="begin"/>
      </w:r>
      <w:r>
        <w:rPr>
          <w:noProof/>
        </w:rPr>
        <w:instrText xml:space="preserve"> PAGEREF _Toc37945689 \h </w:instrText>
      </w:r>
      <w:r>
        <w:rPr>
          <w:noProof/>
        </w:rPr>
      </w:r>
      <w:r>
        <w:rPr>
          <w:noProof/>
        </w:rPr>
        <w:fldChar w:fldCharType="separate"/>
      </w:r>
      <w:r w:rsidR="0064760C">
        <w:rPr>
          <w:noProof/>
        </w:rPr>
        <w:t>23</w:t>
      </w:r>
      <w:r>
        <w:rPr>
          <w:noProof/>
        </w:rPr>
        <w:fldChar w:fldCharType="end"/>
      </w:r>
    </w:p>
    <w:p w14:paraId="7825775A" w14:textId="2B952641" w:rsidR="00990DEE" w:rsidRPr="004741C1" w:rsidRDefault="00990DEE">
      <w:pPr>
        <w:pStyle w:val="TableofFigures"/>
        <w:rPr>
          <w:rFonts w:ascii="Calibri" w:eastAsia="Times New Roman" w:hAnsi="Calibri" w:cs="Times New Roman"/>
          <w:noProof/>
          <w:sz w:val="22"/>
          <w:szCs w:val="22"/>
          <w:lang w:eastAsia="en-AU"/>
        </w:rPr>
      </w:pPr>
      <w:r>
        <w:rPr>
          <w:noProof/>
        </w:rPr>
        <w:t xml:space="preserve">Table 6 </w:t>
      </w:r>
      <w:r w:rsidRPr="004741C1">
        <w:rPr>
          <w:rFonts w:ascii="Calibri" w:eastAsia="Times New Roman" w:hAnsi="Calibri" w:cs="Times New Roman"/>
          <w:noProof/>
          <w:sz w:val="22"/>
          <w:szCs w:val="22"/>
          <w:lang w:eastAsia="en-AU"/>
        </w:rPr>
        <w:tab/>
      </w:r>
      <w:r>
        <w:rPr>
          <w:noProof/>
        </w:rPr>
        <w:t>Activity ID 2.1 categories of premises</w:t>
      </w:r>
      <w:r>
        <w:rPr>
          <w:noProof/>
        </w:rPr>
        <w:tab/>
      </w:r>
      <w:r>
        <w:rPr>
          <w:noProof/>
        </w:rPr>
        <w:fldChar w:fldCharType="begin"/>
      </w:r>
      <w:r>
        <w:rPr>
          <w:noProof/>
        </w:rPr>
        <w:instrText xml:space="preserve"> PAGEREF _Toc37945690 \h </w:instrText>
      </w:r>
      <w:r>
        <w:rPr>
          <w:noProof/>
        </w:rPr>
      </w:r>
      <w:r>
        <w:rPr>
          <w:noProof/>
        </w:rPr>
        <w:fldChar w:fldCharType="separate"/>
      </w:r>
      <w:r w:rsidR="0064760C">
        <w:rPr>
          <w:noProof/>
        </w:rPr>
        <w:t>27</w:t>
      </w:r>
      <w:r>
        <w:rPr>
          <w:noProof/>
        </w:rPr>
        <w:fldChar w:fldCharType="end"/>
      </w:r>
    </w:p>
    <w:p w14:paraId="5060BECA" w14:textId="7A50970B" w:rsidR="00990DEE" w:rsidRPr="004741C1" w:rsidRDefault="00990DEE">
      <w:pPr>
        <w:pStyle w:val="TableofFigures"/>
        <w:rPr>
          <w:rFonts w:ascii="Calibri" w:eastAsia="Times New Roman" w:hAnsi="Calibri" w:cs="Times New Roman"/>
          <w:noProof/>
          <w:sz w:val="22"/>
          <w:szCs w:val="22"/>
          <w:lang w:eastAsia="en-AU"/>
        </w:rPr>
      </w:pPr>
      <w:r>
        <w:rPr>
          <w:noProof/>
        </w:rPr>
        <w:t xml:space="preserve">Table 7 </w:t>
      </w:r>
      <w:r w:rsidRPr="004741C1">
        <w:rPr>
          <w:rFonts w:ascii="Calibri" w:eastAsia="Times New Roman" w:hAnsi="Calibri" w:cs="Times New Roman"/>
          <w:noProof/>
          <w:sz w:val="22"/>
          <w:szCs w:val="22"/>
          <w:lang w:eastAsia="en-AU"/>
        </w:rPr>
        <w:tab/>
      </w:r>
      <w:r>
        <w:rPr>
          <w:noProof/>
        </w:rPr>
        <w:t>Activity ID 2.1(a) residential premises</w:t>
      </w:r>
      <w:r>
        <w:rPr>
          <w:noProof/>
        </w:rPr>
        <w:tab/>
      </w:r>
      <w:r>
        <w:rPr>
          <w:noProof/>
        </w:rPr>
        <w:fldChar w:fldCharType="begin"/>
      </w:r>
      <w:r>
        <w:rPr>
          <w:noProof/>
        </w:rPr>
        <w:instrText xml:space="preserve"> PAGEREF _Toc37945691 \h </w:instrText>
      </w:r>
      <w:r>
        <w:rPr>
          <w:noProof/>
        </w:rPr>
      </w:r>
      <w:r>
        <w:rPr>
          <w:noProof/>
        </w:rPr>
        <w:fldChar w:fldCharType="separate"/>
      </w:r>
      <w:r w:rsidR="0064760C">
        <w:rPr>
          <w:noProof/>
        </w:rPr>
        <w:t>28</w:t>
      </w:r>
      <w:r>
        <w:rPr>
          <w:noProof/>
        </w:rPr>
        <w:fldChar w:fldCharType="end"/>
      </w:r>
    </w:p>
    <w:p w14:paraId="2A843868" w14:textId="4E92AA46" w:rsidR="00990DEE" w:rsidRPr="004741C1" w:rsidRDefault="00990DEE">
      <w:pPr>
        <w:pStyle w:val="TableofFigures"/>
        <w:rPr>
          <w:rFonts w:ascii="Calibri" w:eastAsia="Times New Roman" w:hAnsi="Calibri" w:cs="Times New Roman"/>
          <w:noProof/>
          <w:sz w:val="22"/>
          <w:szCs w:val="22"/>
          <w:lang w:eastAsia="en-AU"/>
        </w:rPr>
      </w:pPr>
      <w:r>
        <w:rPr>
          <w:noProof/>
        </w:rPr>
        <w:t xml:space="preserve">Table 8 </w:t>
      </w:r>
      <w:r w:rsidRPr="004741C1">
        <w:rPr>
          <w:rFonts w:ascii="Calibri" w:eastAsia="Times New Roman" w:hAnsi="Calibri" w:cs="Times New Roman"/>
          <w:noProof/>
          <w:sz w:val="22"/>
          <w:szCs w:val="22"/>
          <w:lang w:eastAsia="en-AU"/>
        </w:rPr>
        <w:tab/>
      </w:r>
      <w:r>
        <w:rPr>
          <w:noProof/>
        </w:rPr>
        <w:t>Activity ID 2.1(b)i business premises – category 1</w:t>
      </w:r>
      <w:r>
        <w:rPr>
          <w:noProof/>
        </w:rPr>
        <w:tab/>
      </w:r>
      <w:r>
        <w:rPr>
          <w:noProof/>
        </w:rPr>
        <w:fldChar w:fldCharType="begin"/>
      </w:r>
      <w:r>
        <w:rPr>
          <w:noProof/>
        </w:rPr>
        <w:instrText xml:space="preserve"> PAGEREF _Toc37945692 \h </w:instrText>
      </w:r>
      <w:r>
        <w:rPr>
          <w:noProof/>
        </w:rPr>
      </w:r>
      <w:r>
        <w:rPr>
          <w:noProof/>
        </w:rPr>
        <w:fldChar w:fldCharType="separate"/>
      </w:r>
      <w:r w:rsidR="0064760C">
        <w:rPr>
          <w:noProof/>
        </w:rPr>
        <w:t>29</w:t>
      </w:r>
      <w:r>
        <w:rPr>
          <w:noProof/>
        </w:rPr>
        <w:fldChar w:fldCharType="end"/>
      </w:r>
    </w:p>
    <w:p w14:paraId="2D74AC46" w14:textId="3B75430D" w:rsidR="00990DEE" w:rsidRPr="004741C1" w:rsidRDefault="00990DEE">
      <w:pPr>
        <w:pStyle w:val="TableofFigures"/>
        <w:rPr>
          <w:rFonts w:ascii="Calibri" w:eastAsia="Times New Roman" w:hAnsi="Calibri" w:cs="Times New Roman"/>
          <w:noProof/>
          <w:sz w:val="22"/>
          <w:szCs w:val="22"/>
          <w:lang w:eastAsia="en-AU"/>
        </w:rPr>
      </w:pPr>
      <w:r>
        <w:rPr>
          <w:noProof/>
        </w:rPr>
        <w:t xml:space="preserve">Table 9 </w:t>
      </w:r>
      <w:r w:rsidRPr="004741C1">
        <w:rPr>
          <w:rFonts w:ascii="Calibri" w:eastAsia="Times New Roman" w:hAnsi="Calibri" w:cs="Times New Roman"/>
          <w:noProof/>
          <w:sz w:val="22"/>
          <w:szCs w:val="22"/>
          <w:lang w:eastAsia="en-AU"/>
        </w:rPr>
        <w:tab/>
      </w:r>
      <w:r>
        <w:rPr>
          <w:noProof/>
        </w:rPr>
        <w:t>Activity ID 2.1(b)ii business premises – category 2</w:t>
      </w:r>
      <w:r>
        <w:rPr>
          <w:noProof/>
        </w:rPr>
        <w:tab/>
      </w:r>
      <w:r>
        <w:rPr>
          <w:noProof/>
        </w:rPr>
        <w:fldChar w:fldCharType="begin"/>
      </w:r>
      <w:r>
        <w:rPr>
          <w:noProof/>
        </w:rPr>
        <w:instrText xml:space="preserve"> PAGEREF _Toc37945693 \h </w:instrText>
      </w:r>
      <w:r>
        <w:rPr>
          <w:noProof/>
        </w:rPr>
      </w:r>
      <w:r>
        <w:rPr>
          <w:noProof/>
        </w:rPr>
        <w:fldChar w:fldCharType="separate"/>
      </w:r>
      <w:r w:rsidR="0064760C">
        <w:rPr>
          <w:noProof/>
        </w:rPr>
        <w:t>29</w:t>
      </w:r>
      <w:r>
        <w:rPr>
          <w:noProof/>
        </w:rPr>
        <w:fldChar w:fldCharType="end"/>
      </w:r>
    </w:p>
    <w:p w14:paraId="7001BFA3" w14:textId="60DD16C6" w:rsidR="00990DEE" w:rsidRPr="004741C1" w:rsidRDefault="00990DEE">
      <w:pPr>
        <w:pStyle w:val="TableofFigures"/>
        <w:rPr>
          <w:rFonts w:ascii="Calibri" w:eastAsia="Times New Roman" w:hAnsi="Calibri" w:cs="Times New Roman"/>
          <w:noProof/>
          <w:sz w:val="22"/>
          <w:szCs w:val="22"/>
          <w:lang w:eastAsia="en-AU"/>
        </w:rPr>
      </w:pPr>
      <w:r>
        <w:rPr>
          <w:noProof/>
        </w:rPr>
        <w:t xml:space="preserve">Table 10 </w:t>
      </w:r>
      <w:r w:rsidRPr="004741C1">
        <w:rPr>
          <w:rFonts w:ascii="Calibri" w:eastAsia="Times New Roman" w:hAnsi="Calibri" w:cs="Times New Roman"/>
          <w:noProof/>
          <w:sz w:val="22"/>
          <w:szCs w:val="22"/>
          <w:lang w:eastAsia="en-AU"/>
        </w:rPr>
        <w:tab/>
      </w:r>
      <w:r>
        <w:rPr>
          <w:noProof/>
        </w:rPr>
        <w:t>Activity ID 2.1(b)iii business premises – category 3</w:t>
      </w:r>
      <w:r>
        <w:rPr>
          <w:noProof/>
        </w:rPr>
        <w:tab/>
      </w:r>
      <w:r>
        <w:rPr>
          <w:noProof/>
        </w:rPr>
        <w:fldChar w:fldCharType="begin"/>
      </w:r>
      <w:r>
        <w:rPr>
          <w:noProof/>
        </w:rPr>
        <w:instrText xml:space="preserve"> PAGEREF _Toc37945694 \h </w:instrText>
      </w:r>
      <w:r>
        <w:rPr>
          <w:noProof/>
        </w:rPr>
      </w:r>
      <w:r>
        <w:rPr>
          <w:noProof/>
        </w:rPr>
        <w:fldChar w:fldCharType="separate"/>
      </w:r>
      <w:r w:rsidR="0064760C">
        <w:rPr>
          <w:noProof/>
        </w:rPr>
        <w:t>30</w:t>
      </w:r>
      <w:r>
        <w:rPr>
          <w:noProof/>
        </w:rPr>
        <w:fldChar w:fldCharType="end"/>
      </w:r>
    </w:p>
    <w:p w14:paraId="0E21B1A0" w14:textId="7EF77724" w:rsidR="00990DEE" w:rsidRPr="004741C1" w:rsidRDefault="00990DEE">
      <w:pPr>
        <w:pStyle w:val="TableofFigures"/>
        <w:rPr>
          <w:rFonts w:ascii="Calibri" w:eastAsia="Times New Roman" w:hAnsi="Calibri" w:cs="Times New Roman"/>
          <w:noProof/>
          <w:sz w:val="22"/>
          <w:szCs w:val="22"/>
          <w:lang w:eastAsia="en-AU"/>
        </w:rPr>
      </w:pPr>
      <w:r>
        <w:rPr>
          <w:noProof/>
        </w:rPr>
        <w:t xml:space="preserve">Table 11 </w:t>
      </w:r>
      <w:r w:rsidRPr="004741C1">
        <w:rPr>
          <w:rFonts w:ascii="Calibri" w:eastAsia="Times New Roman" w:hAnsi="Calibri" w:cs="Times New Roman"/>
          <w:noProof/>
          <w:sz w:val="22"/>
          <w:szCs w:val="22"/>
          <w:lang w:eastAsia="en-AU"/>
        </w:rPr>
        <w:tab/>
      </w:r>
      <w:r>
        <w:rPr>
          <w:noProof/>
        </w:rPr>
        <w:t>Activity ID 2.3 categories of premises</w:t>
      </w:r>
      <w:r>
        <w:rPr>
          <w:noProof/>
        </w:rPr>
        <w:tab/>
      </w:r>
      <w:r>
        <w:rPr>
          <w:noProof/>
        </w:rPr>
        <w:fldChar w:fldCharType="begin"/>
      </w:r>
      <w:r>
        <w:rPr>
          <w:noProof/>
        </w:rPr>
        <w:instrText xml:space="preserve"> PAGEREF _Toc37945695 \h </w:instrText>
      </w:r>
      <w:r>
        <w:rPr>
          <w:noProof/>
        </w:rPr>
      </w:r>
      <w:r>
        <w:rPr>
          <w:noProof/>
        </w:rPr>
        <w:fldChar w:fldCharType="separate"/>
      </w:r>
      <w:r w:rsidR="0064760C">
        <w:rPr>
          <w:noProof/>
        </w:rPr>
        <w:t>35</w:t>
      </w:r>
      <w:r>
        <w:rPr>
          <w:noProof/>
        </w:rPr>
        <w:fldChar w:fldCharType="end"/>
      </w:r>
    </w:p>
    <w:p w14:paraId="3DA7FFB2" w14:textId="59392CE6" w:rsidR="00990DEE" w:rsidRPr="004741C1" w:rsidRDefault="00990DEE">
      <w:pPr>
        <w:pStyle w:val="TableofFigures"/>
        <w:rPr>
          <w:rFonts w:ascii="Calibri" w:eastAsia="Times New Roman" w:hAnsi="Calibri" w:cs="Times New Roman"/>
          <w:noProof/>
          <w:sz w:val="22"/>
          <w:szCs w:val="22"/>
          <w:lang w:eastAsia="en-AU"/>
        </w:rPr>
      </w:pPr>
      <w:r>
        <w:rPr>
          <w:noProof/>
        </w:rPr>
        <w:t xml:space="preserve">Table 12 </w:t>
      </w:r>
      <w:r w:rsidRPr="004741C1">
        <w:rPr>
          <w:rFonts w:ascii="Calibri" w:eastAsia="Times New Roman" w:hAnsi="Calibri" w:cs="Times New Roman"/>
          <w:noProof/>
          <w:sz w:val="22"/>
          <w:szCs w:val="22"/>
          <w:lang w:eastAsia="en-AU"/>
        </w:rPr>
        <w:tab/>
      </w:r>
      <w:r>
        <w:rPr>
          <w:noProof/>
        </w:rPr>
        <w:t>Activity ID 2.3(a) residential premises</w:t>
      </w:r>
      <w:r>
        <w:rPr>
          <w:noProof/>
        </w:rPr>
        <w:tab/>
      </w:r>
      <w:r>
        <w:rPr>
          <w:noProof/>
        </w:rPr>
        <w:fldChar w:fldCharType="begin"/>
      </w:r>
      <w:r>
        <w:rPr>
          <w:noProof/>
        </w:rPr>
        <w:instrText xml:space="preserve"> PAGEREF _Toc37945696 \h </w:instrText>
      </w:r>
      <w:r>
        <w:rPr>
          <w:noProof/>
        </w:rPr>
      </w:r>
      <w:r>
        <w:rPr>
          <w:noProof/>
        </w:rPr>
        <w:fldChar w:fldCharType="separate"/>
      </w:r>
      <w:r w:rsidR="0064760C">
        <w:rPr>
          <w:noProof/>
        </w:rPr>
        <w:t>36</w:t>
      </w:r>
      <w:r>
        <w:rPr>
          <w:noProof/>
        </w:rPr>
        <w:fldChar w:fldCharType="end"/>
      </w:r>
    </w:p>
    <w:p w14:paraId="71092ED2" w14:textId="1CC83E4B" w:rsidR="00990DEE" w:rsidRPr="004741C1" w:rsidRDefault="00990DEE">
      <w:pPr>
        <w:pStyle w:val="TableofFigures"/>
        <w:rPr>
          <w:rFonts w:ascii="Calibri" w:eastAsia="Times New Roman" w:hAnsi="Calibri" w:cs="Times New Roman"/>
          <w:noProof/>
          <w:sz w:val="22"/>
          <w:szCs w:val="22"/>
          <w:lang w:eastAsia="en-AU"/>
        </w:rPr>
      </w:pPr>
      <w:r>
        <w:rPr>
          <w:noProof/>
        </w:rPr>
        <w:t xml:space="preserve">Table 13 </w:t>
      </w:r>
      <w:r w:rsidRPr="004741C1">
        <w:rPr>
          <w:rFonts w:ascii="Calibri" w:eastAsia="Times New Roman" w:hAnsi="Calibri" w:cs="Times New Roman"/>
          <w:noProof/>
          <w:sz w:val="22"/>
          <w:szCs w:val="22"/>
          <w:lang w:eastAsia="en-AU"/>
        </w:rPr>
        <w:tab/>
      </w:r>
      <w:r>
        <w:rPr>
          <w:noProof/>
        </w:rPr>
        <w:t>Activity ID 2.3(b)i business premises – category 1</w:t>
      </w:r>
      <w:r>
        <w:rPr>
          <w:noProof/>
        </w:rPr>
        <w:tab/>
      </w:r>
      <w:r>
        <w:rPr>
          <w:noProof/>
        </w:rPr>
        <w:fldChar w:fldCharType="begin"/>
      </w:r>
      <w:r>
        <w:rPr>
          <w:noProof/>
        </w:rPr>
        <w:instrText xml:space="preserve"> PAGEREF _Toc37945697 \h </w:instrText>
      </w:r>
      <w:r>
        <w:rPr>
          <w:noProof/>
        </w:rPr>
      </w:r>
      <w:r>
        <w:rPr>
          <w:noProof/>
        </w:rPr>
        <w:fldChar w:fldCharType="separate"/>
      </w:r>
      <w:r w:rsidR="0064760C">
        <w:rPr>
          <w:noProof/>
        </w:rPr>
        <w:t>36</w:t>
      </w:r>
      <w:r>
        <w:rPr>
          <w:noProof/>
        </w:rPr>
        <w:fldChar w:fldCharType="end"/>
      </w:r>
    </w:p>
    <w:p w14:paraId="0856225B" w14:textId="30D2BBE2" w:rsidR="00990DEE" w:rsidRPr="004741C1" w:rsidRDefault="00990DEE">
      <w:pPr>
        <w:pStyle w:val="TableofFigures"/>
        <w:rPr>
          <w:rFonts w:ascii="Calibri" w:eastAsia="Times New Roman" w:hAnsi="Calibri" w:cs="Times New Roman"/>
          <w:noProof/>
          <w:sz w:val="22"/>
          <w:szCs w:val="22"/>
          <w:lang w:eastAsia="en-AU"/>
        </w:rPr>
      </w:pPr>
      <w:r>
        <w:rPr>
          <w:noProof/>
        </w:rPr>
        <w:t xml:space="preserve">Table 14 </w:t>
      </w:r>
      <w:r w:rsidRPr="004741C1">
        <w:rPr>
          <w:rFonts w:ascii="Calibri" w:eastAsia="Times New Roman" w:hAnsi="Calibri" w:cs="Times New Roman"/>
          <w:noProof/>
          <w:sz w:val="22"/>
          <w:szCs w:val="22"/>
          <w:lang w:eastAsia="en-AU"/>
        </w:rPr>
        <w:tab/>
      </w:r>
      <w:r>
        <w:rPr>
          <w:noProof/>
        </w:rPr>
        <w:t>Activity ID 2.3(b)ii business premises – category 2</w:t>
      </w:r>
      <w:r>
        <w:rPr>
          <w:noProof/>
        </w:rPr>
        <w:tab/>
      </w:r>
      <w:r>
        <w:rPr>
          <w:noProof/>
        </w:rPr>
        <w:fldChar w:fldCharType="begin"/>
      </w:r>
      <w:r>
        <w:rPr>
          <w:noProof/>
        </w:rPr>
        <w:instrText xml:space="preserve"> PAGEREF _Toc37945698 \h </w:instrText>
      </w:r>
      <w:r>
        <w:rPr>
          <w:noProof/>
        </w:rPr>
      </w:r>
      <w:r>
        <w:rPr>
          <w:noProof/>
        </w:rPr>
        <w:fldChar w:fldCharType="separate"/>
      </w:r>
      <w:r w:rsidR="0064760C">
        <w:rPr>
          <w:noProof/>
        </w:rPr>
        <w:t>37</w:t>
      </w:r>
      <w:r>
        <w:rPr>
          <w:noProof/>
        </w:rPr>
        <w:fldChar w:fldCharType="end"/>
      </w:r>
    </w:p>
    <w:p w14:paraId="6B70BE78" w14:textId="5689F7BC" w:rsidR="00990DEE" w:rsidRPr="004741C1" w:rsidRDefault="00990DEE">
      <w:pPr>
        <w:pStyle w:val="TableofFigures"/>
        <w:rPr>
          <w:rFonts w:ascii="Calibri" w:eastAsia="Times New Roman" w:hAnsi="Calibri" w:cs="Times New Roman"/>
          <w:noProof/>
          <w:sz w:val="22"/>
          <w:szCs w:val="22"/>
          <w:lang w:eastAsia="en-AU"/>
        </w:rPr>
      </w:pPr>
      <w:r>
        <w:rPr>
          <w:noProof/>
        </w:rPr>
        <w:t xml:space="preserve">Table 15 </w:t>
      </w:r>
      <w:r w:rsidRPr="004741C1">
        <w:rPr>
          <w:rFonts w:ascii="Calibri" w:eastAsia="Times New Roman" w:hAnsi="Calibri" w:cs="Times New Roman"/>
          <w:noProof/>
          <w:sz w:val="22"/>
          <w:szCs w:val="22"/>
          <w:lang w:eastAsia="en-AU"/>
        </w:rPr>
        <w:tab/>
      </w:r>
      <w:r>
        <w:rPr>
          <w:noProof/>
        </w:rPr>
        <w:t>Activity ID 2.3(b)iii business premises – category 3</w:t>
      </w:r>
      <w:r>
        <w:rPr>
          <w:noProof/>
        </w:rPr>
        <w:tab/>
      </w:r>
      <w:r>
        <w:rPr>
          <w:noProof/>
        </w:rPr>
        <w:fldChar w:fldCharType="begin"/>
      </w:r>
      <w:r>
        <w:rPr>
          <w:noProof/>
        </w:rPr>
        <w:instrText xml:space="preserve"> PAGEREF _Toc37945699 \h </w:instrText>
      </w:r>
      <w:r>
        <w:rPr>
          <w:noProof/>
        </w:rPr>
      </w:r>
      <w:r>
        <w:rPr>
          <w:noProof/>
        </w:rPr>
        <w:fldChar w:fldCharType="separate"/>
      </w:r>
      <w:r w:rsidR="0064760C">
        <w:rPr>
          <w:noProof/>
        </w:rPr>
        <w:t>37</w:t>
      </w:r>
      <w:r>
        <w:rPr>
          <w:noProof/>
        </w:rPr>
        <w:fldChar w:fldCharType="end"/>
      </w:r>
    </w:p>
    <w:p w14:paraId="5F47F163" w14:textId="26998CBE" w:rsidR="00990DEE" w:rsidRPr="004741C1" w:rsidRDefault="00990DEE">
      <w:pPr>
        <w:pStyle w:val="TableofFigures"/>
        <w:rPr>
          <w:rFonts w:ascii="Calibri" w:eastAsia="Times New Roman" w:hAnsi="Calibri" w:cs="Times New Roman"/>
          <w:noProof/>
          <w:sz w:val="22"/>
          <w:szCs w:val="22"/>
          <w:lang w:eastAsia="en-AU"/>
        </w:rPr>
      </w:pPr>
      <w:r>
        <w:rPr>
          <w:noProof/>
        </w:rPr>
        <w:t xml:space="preserve">Table 16 </w:t>
      </w:r>
      <w:r w:rsidRPr="004741C1">
        <w:rPr>
          <w:rFonts w:ascii="Calibri" w:eastAsia="Times New Roman" w:hAnsi="Calibri" w:cs="Times New Roman"/>
          <w:noProof/>
          <w:sz w:val="22"/>
          <w:szCs w:val="22"/>
          <w:lang w:eastAsia="en-AU"/>
        </w:rPr>
        <w:tab/>
      </w:r>
      <w:r>
        <w:rPr>
          <w:noProof/>
        </w:rPr>
        <w:t>Activity ID 2.4 energy savings values for insulated space conditioning ductwork</w:t>
      </w:r>
      <w:r>
        <w:rPr>
          <w:noProof/>
        </w:rPr>
        <w:tab/>
      </w:r>
      <w:r>
        <w:rPr>
          <w:noProof/>
        </w:rPr>
        <w:fldChar w:fldCharType="begin"/>
      </w:r>
      <w:r>
        <w:rPr>
          <w:noProof/>
        </w:rPr>
        <w:instrText xml:space="preserve"> PAGEREF _Toc37945700 \h </w:instrText>
      </w:r>
      <w:r>
        <w:rPr>
          <w:noProof/>
        </w:rPr>
      </w:r>
      <w:r>
        <w:rPr>
          <w:noProof/>
        </w:rPr>
        <w:fldChar w:fldCharType="separate"/>
      </w:r>
      <w:r w:rsidR="0064760C">
        <w:rPr>
          <w:noProof/>
        </w:rPr>
        <w:t>40</w:t>
      </w:r>
      <w:r>
        <w:rPr>
          <w:noProof/>
        </w:rPr>
        <w:fldChar w:fldCharType="end"/>
      </w:r>
    </w:p>
    <w:p w14:paraId="66043D1A" w14:textId="371FEA4C" w:rsidR="00990DEE" w:rsidRPr="004741C1" w:rsidRDefault="00990DEE">
      <w:pPr>
        <w:pStyle w:val="TableofFigures"/>
        <w:rPr>
          <w:rFonts w:ascii="Calibri" w:eastAsia="Times New Roman" w:hAnsi="Calibri" w:cs="Times New Roman"/>
          <w:noProof/>
          <w:sz w:val="22"/>
          <w:szCs w:val="22"/>
          <w:lang w:eastAsia="en-AU"/>
        </w:rPr>
      </w:pPr>
      <w:r>
        <w:rPr>
          <w:noProof/>
        </w:rPr>
        <w:t xml:space="preserve">Table 17 </w:t>
      </w:r>
      <w:r w:rsidRPr="004741C1">
        <w:rPr>
          <w:rFonts w:ascii="Calibri" w:eastAsia="Times New Roman" w:hAnsi="Calibri" w:cs="Times New Roman"/>
          <w:noProof/>
          <w:sz w:val="22"/>
          <w:szCs w:val="22"/>
          <w:lang w:eastAsia="en-AU"/>
        </w:rPr>
        <w:tab/>
      </w:r>
      <w:r>
        <w:rPr>
          <w:noProof/>
        </w:rPr>
        <w:t>Activity ID 2.5 categories of premises</w:t>
      </w:r>
      <w:r>
        <w:rPr>
          <w:noProof/>
        </w:rPr>
        <w:tab/>
      </w:r>
      <w:r>
        <w:rPr>
          <w:noProof/>
        </w:rPr>
        <w:fldChar w:fldCharType="begin"/>
      </w:r>
      <w:r>
        <w:rPr>
          <w:noProof/>
        </w:rPr>
        <w:instrText xml:space="preserve"> PAGEREF _Toc37945701 \h </w:instrText>
      </w:r>
      <w:r>
        <w:rPr>
          <w:noProof/>
        </w:rPr>
      </w:r>
      <w:r>
        <w:rPr>
          <w:noProof/>
        </w:rPr>
        <w:fldChar w:fldCharType="separate"/>
      </w:r>
      <w:r w:rsidR="0064760C">
        <w:rPr>
          <w:noProof/>
        </w:rPr>
        <w:t>44</w:t>
      </w:r>
      <w:r>
        <w:rPr>
          <w:noProof/>
        </w:rPr>
        <w:fldChar w:fldCharType="end"/>
      </w:r>
    </w:p>
    <w:p w14:paraId="4BA8FBFD" w14:textId="7ACDA4CE" w:rsidR="00990DEE" w:rsidRPr="004741C1" w:rsidRDefault="00990DEE">
      <w:pPr>
        <w:pStyle w:val="TableofFigures"/>
        <w:rPr>
          <w:rFonts w:ascii="Calibri" w:eastAsia="Times New Roman" w:hAnsi="Calibri" w:cs="Times New Roman"/>
          <w:noProof/>
          <w:sz w:val="22"/>
          <w:szCs w:val="22"/>
          <w:lang w:eastAsia="en-AU"/>
        </w:rPr>
      </w:pPr>
      <w:r w:rsidRPr="007D2DA9">
        <w:rPr>
          <w:rFonts w:cs="Times New Roman"/>
          <w:noProof/>
          <w:lang w:eastAsia="en-AU"/>
        </w:rPr>
        <w:t>Table 18</w:t>
      </w:r>
      <w:r>
        <w:rPr>
          <w:noProof/>
        </w:rPr>
        <w:t xml:space="preserve"> </w:t>
      </w:r>
      <w:r w:rsidRPr="004741C1">
        <w:rPr>
          <w:rFonts w:ascii="Calibri" w:eastAsia="Times New Roman" w:hAnsi="Calibri" w:cs="Times New Roman"/>
          <w:noProof/>
          <w:sz w:val="22"/>
          <w:szCs w:val="22"/>
          <w:lang w:eastAsia="en-AU"/>
        </w:rPr>
        <w:tab/>
      </w:r>
      <w:r>
        <w:rPr>
          <w:noProof/>
        </w:rPr>
        <w:t>Activity ID 2.5(b)i business premises – category 1</w:t>
      </w:r>
      <w:r>
        <w:rPr>
          <w:noProof/>
        </w:rPr>
        <w:tab/>
      </w:r>
      <w:r>
        <w:rPr>
          <w:noProof/>
        </w:rPr>
        <w:fldChar w:fldCharType="begin"/>
      </w:r>
      <w:r>
        <w:rPr>
          <w:noProof/>
        </w:rPr>
        <w:instrText xml:space="preserve"> PAGEREF _Toc37945702 \h </w:instrText>
      </w:r>
      <w:r>
        <w:rPr>
          <w:noProof/>
        </w:rPr>
      </w:r>
      <w:r>
        <w:rPr>
          <w:noProof/>
        </w:rPr>
        <w:fldChar w:fldCharType="separate"/>
      </w:r>
      <w:r w:rsidR="0064760C">
        <w:rPr>
          <w:noProof/>
        </w:rPr>
        <w:t>45</w:t>
      </w:r>
      <w:r>
        <w:rPr>
          <w:noProof/>
        </w:rPr>
        <w:fldChar w:fldCharType="end"/>
      </w:r>
    </w:p>
    <w:p w14:paraId="2CD8082E" w14:textId="1879832C" w:rsidR="00990DEE" w:rsidRPr="004741C1" w:rsidRDefault="00990DEE">
      <w:pPr>
        <w:pStyle w:val="TableofFigures"/>
        <w:rPr>
          <w:rFonts w:ascii="Calibri" w:eastAsia="Times New Roman" w:hAnsi="Calibri" w:cs="Times New Roman"/>
          <w:noProof/>
          <w:sz w:val="22"/>
          <w:szCs w:val="22"/>
          <w:lang w:eastAsia="en-AU"/>
        </w:rPr>
      </w:pPr>
      <w:r>
        <w:rPr>
          <w:noProof/>
        </w:rPr>
        <w:t xml:space="preserve">Table 19 </w:t>
      </w:r>
      <w:r w:rsidRPr="004741C1">
        <w:rPr>
          <w:rFonts w:ascii="Calibri" w:eastAsia="Times New Roman" w:hAnsi="Calibri" w:cs="Times New Roman"/>
          <w:noProof/>
          <w:sz w:val="22"/>
          <w:szCs w:val="22"/>
          <w:lang w:eastAsia="en-AU"/>
        </w:rPr>
        <w:tab/>
      </w:r>
      <w:r>
        <w:rPr>
          <w:noProof/>
        </w:rPr>
        <w:t>Activity ID 2.5(b)ii business premises – category 2</w:t>
      </w:r>
      <w:r>
        <w:rPr>
          <w:noProof/>
        </w:rPr>
        <w:tab/>
      </w:r>
      <w:r>
        <w:rPr>
          <w:noProof/>
        </w:rPr>
        <w:fldChar w:fldCharType="begin"/>
      </w:r>
      <w:r>
        <w:rPr>
          <w:noProof/>
        </w:rPr>
        <w:instrText xml:space="preserve"> PAGEREF _Toc37945703 \h </w:instrText>
      </w:r>
      <w:r>
        <w:rPr>
          <w:noProof/>
        </w:rPr>
      </w:r>
      <w:r>
        <w:rPr>
          <w:noProof/>
        </w:rPr>
        <w:fldChar w:fldCharType="separate"/>
      </w:r>
      <w:r w:rsidR="0064760C">
        <w:rPr>
          <w:noProof/>
        </w:rPr>
        <w:t>45</w:t>
      </w:r>
      <w:r>
        <w:rPr>
          <w:noProof/>
        </w:rPr>
        <w:fldChar w:fldCharType="end"/>
      </w:r>
    </w:p>
    <w:p w14:paraId="76BE9C6E" w14:textId="7B8F15F0" w:rsidR="00990DEE" w:rsidRPr="004741C1" w:rsidRDefault="00990DEE">
      <w:pPr>
        <w:pStyle w:val="TableofFigures"/>
        <w:rPr>
          <w:rFonts w:ascii="Calibri" w:eastAsia="Times New Roman" w:hAnsi="Calibri" w:cs="Times New Roman"/>
          <w:noProof/>
          <w:sz w:val="22"/>
          <w:szCs w:val="22"/>
          <w:lang w:eastAsia="en-AU"/>
        </w:rPr>
      </w:pPr>
      <w:r>
        <w:rPr>
          <w:noProof/>
        </w:rPr>
        <w:t xml:space="preserve">Table 20 </w:t>
      </w:r>
      <w:r w:rsidRPr="004741C1">
        <w:rPr>
          <w:rFonts w:ascii="Calibri" w:eastAsia="Times New Roman" w:hAnsi="Calibri" w:cs="Times New Roman"/>
          <w:noProof/>
          <w:sz w:val="22"/>
          <w:szCs w:val="22"/>
          <w:lang w:eastAsia="en-AU"/>
        </w:rPr>
        <w:tab/>
      </w:r>
      <w:r>
        <w:rPr>
          <w:noProof/>
        </w:rPr>
        <w:t>Activity ID 2.5(b)iii business premises – category 3</w:t>
      </w:r>
      <w:r>
        <w:rPr>
          <w:noProof/>
        </w:rPr>
        <w:tab/>
      </w:r>
      <w:r>
        <w:rPr>
          <w:noProof/>
        </w:rPr>
        <w:fldChar w:fldCharType="begin"/>
      </w:r>
      <w:r>
        <w:rPr>
          <w:noProof/>
        </w:rPr>
        <w:instrText xml:space="preserve"> PAGEREF _Toc37945704 \h </w:instrText>
      </w:r>
      <w:r>
        <w:rPr>
          <w:noProof/>
        </w:rPr>
      </w:r>
      <w:r>
        <w:rPr>
          <w:noProof/>
        </w:rPr>
        <w:fldChar w:fldCharType="separate"/>
      </w:r>
      <w:r w:rsidR="0064760C">
        <w:rPr>
          <w:noProof/>
        </w:rPr>
        <w:t>46</w:t>
      </w:r>
      <w:r>
        <w:rPr>
          <w:noProof/>
        </w:rPr>
        <w:fldChar w:fldCharType="end"/>
      </w:r>
    </w:p>
    <w:p w14:paraId="0984325B" w14:textId="0F09814B" w:rsidR="00990DEE" w:rsidRPr="004741C1" w:rsidRDefault="00990DEE">
      <w:pPr>
        <w:pStyle w:val="TableofFigures"/>
        <w:rPr>
          <w:rFonts w:ascii="Calibri" w:eastAsia="Times New Roman" w:hAnsi="Calibri" w:cs="Times New Roman"/>
          <w:noProof/>
          <w:sz w:val="22"/>
          <w:szCs w:val="22"/>
          <w:lang w:eastAsia="en-AU"/>
        </w:rPr>
      </w:pPr>
      <w:r>
        <w:rPr>
          <w:noProof/>
        </w:rPr>
        <w:t xml:space="preserve">Table 21 </w:t>
      </w:r>
      <w:r w:rsidRPr="004741C1">
        <w:rPr>
          <w:rFonts w:ascii="Calibri" w:eastAsia="Times New Roman" w:hAnsi="Calibri" w:cs="Times New Roman"/>
          <w:noProof/>
          <w:sz w:val="22"/>
          <w:szCs w:val="22"/>
          <w:lang w:eastAsia="en-AU"/>
        </w:rPr>
        <w:tab/>
      </w:r>
      <w:r>
        <w:rPr>
          <w:noProof/>
        </w:rPr>
        <w:t>Activity ID 2.6 categories of premises</w:t>
      </w:r>
      <w:r>
        <w:rPr>
          <w:noProof/>
        </w:rPr>
        <w:tab/>
      </w:r>
      <w:r>
        <w:rPr>
          <w:noProof/>
        </w:rPr>
        <w:fldChar w:fldCharType="begin"/>
      </w:r>
      <w:r>
        <w:rPr>
          <w:noProof/>
        </w:rPr>
        <w:instrText xml:space="preserve"> PAGEREF _Toc37945705 \h </w:instrText>
      </w:r>
      <w:r>
        <w:rPr>
          <w:noProof/>
        </w:rPr>
      </w:r>
      <w:r>
        <w:rPr>
          <w:noProof/>
        </w:rPr>
        <w:fldChar w:fldCharType="separate"/>
      </w:r>
      <w:r w:rsidR="0064760C">
        <w:rPr>
          <w:noProof/>
        </w:rPr>
        <w:t>49</w:t>
      </w:r>
      <w:r>
        <w:rPr>
          <w:noProof/>
        </w:rPr>
        <w:fldChar w:fldCharType="end"/>
      </w:r>
    </w:p>
    <w:p w14:paraId="2F8C936B" w14:textId="10313AC6" w:rsidR="00990DEE" w:rsidRPr="004741C1" w:rsidRDefault="00990DEE">
      <w:pPr>
        <w:pStyle w:val="TableofFigures"/>
        <w:rPr>
          <w:rFonts w:ascii="Calibri" w:eastAsia="Times New Roman" w:hAnsi="Calibri" w:cs="Times New Roman"/>
          <w:noProof/>
          <w:sz w:val="22"/>
          <w:szCs w:val="22"/>
          <w:lang w:eastAsia="en-AU"/>
        </w:rPr>
      </w:pPr>
      <w:r w:rsidRPr="007D2DA9">
        <w:rPr>
          <w:rFonts w:cs="Times New Roman"/>
          <w:noProof/>
          <w:lang w:eastAsia="en-AU"/>
        </w:rPr>
        <w:t>Table 22</w:t>
      </w:r>
      <w:r>
        <w:rPr>
          <w:noProof/>
        </w:rPr>
        <w:t xml:space="preserve"> </w:t>
      </w:r>
      <w:r w:rsidRPr="004741C1">
        <w:rPr>
          <w:rFonts w:ascii="Calibri" w:eastAsia="Times New Roman" w:hAnsi="Calibri" w:cs="Times New Roman"/>
          <w:noProof/>
          <w:sz w:val="22"/>
          <w:szCs w:val="22"/>
          <w:lang w:eastAsia="en-AU"/>
        </w:rPr>
        <w:tab/>
      </w:r>
      <w:r>
        <w:rPr>
          <w:noProof/>
        </w:rPr>
        <w:t>Activity ID 2.6(b)i business premises – category 1</w:t>
      </w:r>
      <w:r>
        <w:rPr>
          <w:noProof/>
        </w:rPr>
        <w:tab/>
      </w:r>
      <w:r>
        <w:rPr>
          <w:noProof/>
        </w:rPr>
        <w:fldChar w:fldCharType="begin"/>
      </w:r>
      <w:r>
        <w:rPr>
          <w:noProof/>
        </w:rPr>
        <w:instrText xml:space="preserve"> PAGEREF _Toc37945706 \h </w:instrText>
      </w:r>
      <w:r>
        <w:rPr>
          <w:noProof/>
        </w:rPr>
      </w:r>
      <w:r>
        <w:rPr>
          <w:noProof/>
        </w:rPr>
        <w:fldChar w:fldCharType="separate"/>
      </w:r>
      <w:r w:rsidR="0064760C">
        <w:rPr>
          <w:noProof/>
        </w:rPr>
        <w:t>50</w:t>
      </w:r>
      <w:r>
        <w:rPr>
          <w:noProof/>
        </w:rPr>
        <w:fldChar w:fldCharType="end"/>
      </w:r>
    </w:p>
    <w:p w14:paraId="3F0038DA" w14:textId="18193432" w:rsidR="00990DEE" w:rsidRPr="004741C1" w:rsidRDefault="00990DEE">
      <w:pPr>
        <w:pStyle w:val="TableofFigures"/>
        <w:rPr>
          <w:rFonts w:ascii="Calibri" w:eastAsia="Times New Roman" w:hAnsi="Calibri" w:cs="Times New Roman"/>
          <w:noProof/>
          <w:sz w:val="22"/>
          <w:szCs w:val="22"/>
          <w:lang w:eastAsia="en-AU"/>
        </w:rPr>
      </w:pPr>
      <w:r>
        <w:rPr>
          <w:noProof/>
        </w:rPr>
        <w:t xml:space="preserve">Table 23 </w:t>
      </w:r>
      <w:r w:rsidRPr="004741C1">
        <w:rPr>
          <w:rFonts w:ascii="Calibri" w:eastAsia="Times New Roman" w:hAnsi="Calibri" w:cs="Times New Roman"/>
          <w:noProof/>
          <w:sz w:val="22"/>
          <w:szCs w:val="22"/>
          <w:lang w:eastAsia="en-AU"/>
        </w:rPr>
        <w:tab/>
      </w:r>
      <w:r>
        <w:rPr>
          <w:noProof/>
        </w:rPr>
        <w:t>Activity ID 2.6(b)ii business premises – category 2</w:t>
      </w:r>
      <w:r>
        <w:rPr>
          <w:noProof/>
        </w:rPr>
        <w:tab/>
      </w:r>
      <w:r>
        <w:rPr>
          <w:noProof/>
        </w:rPr>
        <w:fldChar w:fldCharType="begin"/>
      </w:r>
      <w:r>
        <w:rPr>
          <w:noProof/>
        </w:rPr>
        <w:instrText xml:space="preserve"> PAGEREF _Toc37945707 \h </w:instrText>
      </w:r>
      <w:r>
        <w:rPr>
          <w:noProof/>
        </w:rPr>
      </w:r>
      <w:r>
        <w:rPr>
          <w:noProof/>
        </w:rPr>
        <w:fldChar w:fldCharType="separate"/>
      </w:r>
      <w:r w:rsidR="0064760C">
        <w:rPr>
          <w:noProof/>
        </w:rPr>
        <w:t>51</w:t>
      </w:r>
      <w:r>
        <w:rPr>
          <w:noProof/>
        </w:rPr>
        <w:fldChar w:fldCharType="end"/>
      </w:r>
    </w:p>
    <w:p w14:paraId="0691D9E4" w14:textId="48615309" w:rsidR="00990DEE" w:rsidRPr="004741C1" w:rsidRDefault="00990DEE">
      <w:pPr>
        <w:pStyle w:val="TableofFigures"/>
        <w:rPr>
          <w:rFonts w:ascii="Calibri" w:eastAsia="Times New Roman" w:hAnsi="Calibri" w:cs="Times New Roman"/>
          <w:noProof/>
          <w:sz w:val="22"/>
          <w:szCs w:val="22"/>
          <w:lang w:eastAsia="en-AU"/>
        </w:rPr>
      </w:pPr>
      <w:r>
        <w:rPr>
          <w:noProof/>
        </w:rPr>
        <w:t xml:space="preserve">Table 24 </w:t>
      </w:r>
      <w:r w:rsidRPr="004741C1">
        <w:rPr>
          <w:rFonts w:ascii="Calibri" w:eastAsia="Times New Roman" w:hAnsi="Calibri" w:cs="Times New Roman"/>
          <w:noProof/>
          <w:sz w:val="22"/>
          <w:szCs w:val="22"/>
          <w:lang w:eastAsia="en-AU"/>
        </w:rPr>
        <w:tab/>
      </w:r>
      <w:r>
        <w:rPr>
          <w:noProof/>
        </w:rPr>
        <w:t>Activity ID 2.6(b)iii business premises – category 3</w:t>
      </w:r>
      <w:r>
        <w:rPr>
          <w:noProof/>
        </w:rPr>
        <w:tab/>
      </w:r>
      <w:r>
        <w:rPr>
          <w:noProof/>
        </w:rPr>
        <w:fldChar w:fldCharType="begin"/>
      </w:r>
      <w:r>
        <w:rPr>
          <w:noProof/>
        </w:rPr>
        <w:instrText xml:space="preserve"> PAGEREF _Toc37945708 \h </w:instrText>
      </w:r>
      <w:r>
        <w:rPr>
          <w:noProof/>
        </w:rPr>
      </w:r>
      <w:r>
        <w:rPr>
          <w:noProof/>
        </w:rPr>
        <w:fldChar w:fldCharType="separate"/>
      </w:r>
      <w:r w:rsidR="0064760C">
        <w:rPr>
          <w:noProof/>
        </w:rPr>
        <w:t>51</w:t>
      </w:r>
      <w:r>
        <w:rPr>
          <w:noProof/>
        </w:rPr>
        <w:fldChar w:fldCharType="end"/>
      </w:r>
    </w:p>
    <w:p w14:paraId="2460B960" w14:textId="2911D81A" w:rsidR="00990DEE" w:rsidRPr="004741C1" w:rsidRDefault="00990DEE">
      <w:pPr>
        <w:pStyle w:val="TableofFigures"/>
        <w:rPr>
          <w:rFonts w:ascii="Calibri" w:eastAsia="Times New Roman" w:hAnsi="Calibri" w:cs="Times New Roman"/>
          <w:noProof/>
          <w:sz w:val="22"/>
          <w:szCs w:val="22"/>
          <w:lang w:eastAsia="en-AU"/>
        </w:rPr>
      </w:pPr>
      <w:r>
        <w:rPr>
          <w:noProof/>
        </w:rPr>
        <w:t xml:space="preserve">Table 25 </w:t>
      </w:r>
      <w:r w:rsidRPr="004741C1">
        <w:rPr>
          <w:rFonts w:ascii="Calibri" w:eastAsia="Times New Roman" w:hAnsi="Calibri" w:cs="Times New Roman"/>
          <w:noProof/>
          <w:sz w:val="22"/>
          <w:szCs w:val="22"/>
          <w:lang w:eastAsia="en-AU"/>
        </w:rPr>
        <w:tab/>
      </w:r>
      <w:r>
        <w:rPr>
          <w:noProof/>
        </w:rPr>
        <w:t>Activity ID 3.1 energy savings values for a specified high efficiency water heater replacing an electric resistance water heater</w:t>
      </w:r>
      <w:r>
        <w:rPr>
          <w:noProof/>
        </w:rPr>
        <w:tab/>
      </w:r>
      <w:r>
        <w:rPr>
          <w:noProof/>
        </w:rPr>
        <w:fldChar w:fldCharType="begin"/>
      </w:r>
      <w:r>
        <w:rPr>
          <w:noProof/>
        </w:rPr>
        <w:instrText xml:space="preserve"> PAGEREF _Toc37945709 \h </w:instrText>
      </w:r>
      <w:r>
        <w:rPr>
          <w:noProof/>
        </w:rPr>
      </w:r>
      <w:r>
        <w:rPr>
          <w:noProof/>
        </w:rPr>
        <w:fldChar w:fldCharType="separate"/>
      </w:r>
      <w:r w:rsidR="0064760C">
        <w:rPr>
          <w:noProof/>
        </w:rPr>
        <w:t>54</w:t>
      </w:r>
      <w:r>
        <w:rPr>
          <w:noProof/>
        </w:rPr>
        <w:fldChar w:fldCharType="end"/>
      </w:r>
    </w:p>
    <w:p w14:paraId="2DB45E89" w14:textId="7BDFECC8" w:rsidR="00990DEE" w:rsidRPr="004741C1" w:rsidRDefault="00990DEE">
      <w:pPr>
        <w:pStyle w:val="TableofFigures"/>
        <w:rPr>
          <w:rFonts w:ascii="Calibri" w:eastAsia="Times New Roman" w:hAnsi="Calibri" w:cs="Times New Roman"/>
          <w:noProof/>
          <w:sz w:val="22"/>
          <w:szCs w:val="22"/>
          <w:lang w:eastAsia="en-AU"/>
        </w:rPr>
      </w:pPr>
      <w:r>
        <w:rPr>
          <w:noProof/>
        </w:rPr>
        <w:t xml:space="preserve">Table 26 </w:t>
      </w:r>
      <w:r w:rsidRPr="004741C1">
        <w:rPr>
          <w:rFonts w:ascii="Calibri" w:eastAsia="Times New Roman" w:hAnsi="Calibri" w:cs="Times New Roman"/>
          <w:noProof/>
          <w:sz w:val="22"/>
          <w:szCs w:val="22"/>
          <w:lang w:eastAsia="en-AU"/>
        </w:rPr>
        <w:tab/>
      </w:r>
      <w:r>
        <w:rPr>
          <w:noProof/>
        </w:rPr>
        <w:t>Activity ID 3.2 energy savings values for a specified high efficiency water heater replacing a gas water heater</w:t>
      </w:r>
      <w:r>
        <w:rPr>
          <w:noProof/>
        </w:rPr>
        <w:tab/>
      </w:r>
      <w:r>
        <w:rPr>
          <w:noProof/>
        </w:rPr>
        <w:fldChar w:fldCharType="begin"/>
      </w:r>
      <w:r>
        <w:rPr>
          <w:noProof/>
        </w:rPr>
        <w:instrText xml:space="preserve"> PAGEREF _Toc37945710 \h </w:instrText>
      </w:r>
      <w:r>
        <w:rPr>
          <w:noProof/>
        </w:rPr>
      </w:r>
      <w:r>
        <w:rPr>
          <w:noProof/>
        </w:rPr>
        <w:fldChar w:fldCharType="separate"/>
      </w:r>
      <w:r w:rsidR="0064760C">
        <w:rPr>
          <w:noProof/>
        </w:rPr>
        <w:t>57</w:t>
      </w:r>
      <w:r>
        <w:rPr>
          <w:noProof/>
        </w:rPr>
        <w:fldChar w:fldCharType="end"/>
      </w:r>
    </w:p>
    <w:p w14:paraId="7B9B6C42" w14:textId="7FE30D7B" w:rsidR="00990DEE" w:rsidRPr="004741C1" w:rsidRDefault="00990DEE">
      <w:pPr>
        <w:pStyle w:val="TableofFigures"/>
        <w:rPr>
          <w:rFonts w:ascii="Calibri" w:eastAsia="Times New Roman" w:hAnsi="Calibri" w:cs="Times New Roman"/>
          <w:noProof/>
          <w:sz w:val="22"/>
          <w:szCs w:val="22"/>
          <w:lang w:eastAsia="en-AU"/>
        </w:rPr>
      </w:pPr>
      <w:r>
        <w:rPr>
          <w:noProof/>
        </w:rPr>
        <w:t xml:space="preserve">Table 27 </w:t>
      </w:r>
      <w:r w:rsidRPr="004741C1">
        <w:rPr>
          <w:rFonts w:ascii="Calibri" w:eastAsia="Times New Roman" w:hAnsi="Calibri" w:cs="Times New Roman"/>
          <w:noProof/>
          <w:sz w:val="22"/>
          <w:szCs w:val="22"/>
          <w:lang w:eastAsia="en-AU"/>
        </w:rPr>
        <w:tab/>
      </w:r>
      <w:r>
        <w:rPr>
          <w:noProof/>
        </w:rPr>
        <w:t>Activity ID 3.3 energy savings values for low flow shower fixtures</w:t>
      </w:r>
      <w:r>
        <w:rPr>
          <w:noProof/>
        </w:rPr>
        <w:tab/>
      </w:r>
      <w:r>
        <w:rPr>
          <w:noProof/>
        </w:rPr>
        <w:fldChar w:fldCharType="begin"/>
      </w:r>
      <w:r>
        <w:rPr>
          <w:noProof/>
        </w:rPr>
        <w:instrText xml:space="preserve"> PAGEREF _Toc37945711 \h </w:instrText>
      </w:r>
      <w:r>
        <w:rPr>
          <w:noProof/>
        </w:rPr>
      </w:r>
      <w:r>
        <w:rPr>
          <w:noProof/>
        </w:rPr>
        <w:fldChar w:fldCharType="separate"/>
      </w:r>
      <w:r w:rsidR="0064760C">
        <w:rPr>
          <w:noProof/>
        </w:rPr>
        <w:t>59</w:t>
      </w:r>
      <w:r>
        <w:rPr>
          <w:noProof/>
        </w:rPr>
        <w:fldChar w:fldCharType="end"/>
      </w:r>
    </w:p>
    <w:p w14:paraId="14950C8D" w14:textId="5A78FBE8" w:rsidR="00990DEE" w:rsidRPr="004741C1" w:rsidRDefault="00990DEE">
      <w:pPr>
        <w:pStyle w:val="TableofFigures"/>
        <w:rPr>
          <w:rFonts w:ascii="Calibri" w:eastAsia="Times New Roman" w:hAnsi="Calibri" w:cs="Times New Roman"/>
          <w:noProof/>
          <w:sz w:val="22"/>
          <w:szCs w:val="22"/>
          <w:lang w:eastAsia="en-AU"/>
        </w:rPr>
      </w:pPr>
      <w:r>
        <w:rPr>
          <w:noProof/>
        </w:rPr>
        <w:t xml:space="preserve">Table 28 </w:t>
      </w:r>
      <w:r w:rsidRPr="004741C1">
        <w:rPr>
          <w:rFonts w:ascii="Calibri" w:eastAsia="Times New Roman" w:hAnsi="Calibri" w:cs="Times New Roman"/>
          <w:noProof/>
          <w:sz w:val="22"/>
          <w:szCs w:val="22"/>
          <w:lang w:eastAsia="en-AU"/>
        </w:rPr>
        <w:tab/>
      </w:r>
      <w:r>
        <w:rPr>
          <w:noProof/>
        </w:rPr>
        <w:t>Activity ID 4.1(a) energy savings values for installation of low energy LED lighting services in place of mains voltage incandescent general lighting services</w:t>
      </w:r>
      <w:r>
        <w:rPr>
          <w:noProof/>
        </w:rPr>
        <w:tab/>
      </w:r>
      <w:r>
        <w:rPr>
          <w:noProof/>
        </w:rPr>
        <w:fldChar w:fldCharType="begin"/>
      </w:r>
      <w:r>
        <w:rPr>
          <w:noProof/>
        </w:rPr>
        <w:instrText xml:space="preserve"> PAGEREF _Toc37945712 \h </w:instrText>
      </w:r>
      <w:r>
        <w:rPr>
          <w:noProof/>
        </w:rPr>
      </w:r>
      <w:r>
        <w:rPr>
          <w:noProof/>
        </w:rPr>
        <w:fldChar w:fldCharType="separate"/>
      </w:r>
      <w:r w:rsidR="0064760C">
        <w:rPr>
          <w:noProof/>
        </w:rPr>
        <w:t>64</w:t>
      </w:r>
      <w:r>
        <w:rPr>
          <w:noProof/>
        </w:rPr>
        <w:fldChar w:fldCharType="end"/>
      </w:r>
    </w:p>
    <w:p w14:paraId="350F3858" w14:textId="2D688110" w:rsidR="00990DEE" w:rsidRPr="004741C1" w:rsidRDefault="00990DEE">
      <w:pPr>
        <w:pStyle w:val="TableofFigures"/>
        <w:rPr>
          <w:rFonts w:ascii="Calibri" w:eastAsia="Times New Roman" w:hAnsi="Calibri" w:cs="Times New Roman"/>
          <w:noProof/>
          <w:sz w:val="22"/>
          <w:szCs w:val="22"/>
          <w:lang w:eastAsia="en-AU"/>
        </w:rPr>
      </w:pPr>
      <w:r>
        <w:rPr>
          <w:noProof/>
        </w:rPr>
        <w:t xml:space="preserve">Table 29 </w:t>
      </w:r>
      <w:r w:rsidRPr="004741C1">
        <w:rPr>
          <w:rFonts w:ascii="Calibri" w:eastAsia="Times New Roman" w:hAnsi="Calibri" w:cs="Times New Roman"/>
          <w:noProof/>
          <w:sz w:val="22"/>
          <w:szCs w:val="22"/>
          <w:lang w:eastAsia="en-AU"/>
        </w:rPr>
        <w:tab/>
      </w:r>
      <w:r>
        <w:rPr>
          <w:noProof/>
        </w:rPr>
        <w:t>Activity ID 4.1(b) energy savings values for installation of a low energy LED reflector lamp in place of a mains voltage incandescent reflector lamp</w:t>
      </w:r>
      <w:r>
        <w:rPr>
          <w:noProof/>
        </w:rPr>
        <w:tab/>
      </w:r>
      <w:r>
        <w:rPr>
          <w:noProof/>
        </w:rPr>
        <w:fldChar w:fldCharType="begin"/>
      </w:r>
      <w:r>
        <w:rPr>
          <w:noProof/>
        </w:rPr>
        <w:instrText xml:space="preserve"> PAGEREF _Toc37945713 \h </w:instrText>
      </w:r>
      <w:r>
        <w:rPr>
          <w:noProof/>
        </w:rPr>
      </w:r>
      <w:r>
        <w:rPr>
          <w:noProof/>
        </w:rPr>
        <w:fldChar w:fldCharType="separate"/>
      </w:r>
      <w:r w:rsidR="0064760C">
        <w:rPr>
          <w:noProof/>
        </w:rPr>
        <w:t>64</w:t>
      </w:r>
      <w:r>
        <w:rPr>
          <w:noProof/>
        </w:rPr>
        <w:fldChar w:fldCharType="end"/>
      </w:r>
    </w:p>
    <w:p w14:paraId="23F14783" w14:textId="3E3D5C65" w:rsidR="00990DEE" w:rsidRPr="004741C1" w:rsidRDefault="00990DEE">
      <w:pPr>
        <w:pStyle w:val="TableofFigures"/>
        <w:rPr>
          <w:rFonts w:ascii="Calibri" w:eastAsia="Times New Roman" w:hAnsi="Calibri" w:cs="Times New Roman"/>
          <w:noProof/>
          <w:sz w:val="22"/>
          <w:szCs w:val="22"/>
          <w:lang w:eastAsia="en-AU"/>
        </w:rPr>
      </w:pPr>
      <w:r>
        <w:rPr>
          <w:noProof/>
        </w:rPr>
        <w:t xml:space="preserve">Table 30 </w:t>
      </w:r>
      <w:r w:rsidRPr="004741C1">
        <w:rPr>
          <w:rFonts w:ascii="Calibri" w:eastAsia="Times New Roman" w:hAnsi="Calibri" w:cs="Times New Roman"/>
          <w:noProof/>
          <w:sz w:val="22"/>
          <w:szCs w:val="22"/>
          <w:lang w:eastAsia="en-AU"/>
        </w:rPr>
        <w:tab/>
      </w:r>
      <w:r>
        <w:rPr>
          <w:noProof/>
        </w:rPr>
        <w:t>Activity ID 4.1(c) energy savings values for installation of low energy LED 12 volt lamp to replace 12 volt halogen</w:t>
      </w:r>
      <w:r>
        <w:rPr>
          <w:noProof/>
        </w:rPr>
        <w:tab/>
      </w:r>
      <w:r>
        <w:rPr>
          <w:noProof/>
        </w:rPr>
        <w:fldChar w:fldCharType="begin"/>
      </w:r>
      <w:r>
        <w:rPr>
          <w:noProof/>
        </w:rPr>
        <w:instrText xml:space="preserve"> PAGEREF _Toc37945714 \h </w:instrText>
      </w:r>
      <w:r>
        <w:rPr>
          <w:noProof/>
        </w:rPr>
      </w:r>
      <w:r>
        <w:rPr>
          <w:noProof/>
        </w:rPr>
        <w:fldChar w:fldCharType="separate"/>
      </w:r>
      <w:r w:rsidR="0064760C">
        <w:rPr>
          <w:noProof/>
        </w:rPr>
        <w:t>64</w:t>
      </w:r>
      <w:r>
        <w:rPr>
          <w:noProof/>
        </w:rPr>
        <w:fldChar w:fldCharType="end"/>
      </w:r>
    </w:p>
    <w:p w14:paraId="7A512143" w14:textId="6A9EFD25" w:rsidR="00990DEE" w:rsidRPr="004741C1" w:rsidRDefault="00990DEE">
      <w:pPr>
        <w:pStyle w:val="TableofFigures"/>
        <w:rPr>
          <w:rFonts w:ascii="Calibri" w:eastAsia="Times New Roman" w:hAnsi="Calibri" w:cs="Times New Roman"/>
          <w:noProof/>
          <w:sz w:val="22"/>
          <w:szCs w:val="22"/>
          <w:lang w:eastAsia="en-AU"/>
        </w:rPr>
      </w:pPr>
      <w:r>
        <w:rPr>
          <w:noProof/>
        </w:rPr>
        <w:t xml:space="preserve">Table 31 </w:t>
      </w:r>
      <w:r w:rsidRPr="004741C1">
        <w:rPr>
          <w:rFonts w:ascii="Calibri" w:eastAsia="Times New Roman" w:hAnsi="Calibri" w:cs="Times New Roman"/>
          <w:noProof/>
          <w:sz w:val="22"/>
          <w:szCs w:val="22"/>
          <w:lang w:eastAsia="en-AU"/>
        </w:rPr>
        <w:tab/>
      </w:r>
      <w:r>
        <w:rPr>
          <w:noProof/>
        </w:rPr>
        <w:t>Activity ID 4.1(d) energy savings values for installation of mains voltage low energy downlight in place of existing 12 volt halogen downlight</w:t>
      </w:r>
      <w:r>
        <w:rPr>
          <w:noProof/>
        </w:rPr>
        <w:tab/>
      </w:r>
      <w:r>
        <w:rPr>
          <w:noProof/>
        </w:rPr>
        <w:fldChar w:fldCharType="begin"/>
      </w:r>
      <w:r>
        <w:rPr>
          <w:noProof/>
        </w:rPr>
        <w:instrText xml:space="preserve"> PAGEREF _Toc37945715 \h </w:instrText>
      </w:r>
      <w:r>
        <w:rPr>
          <w:noProof/>
        </w:rPr>
      </w:r>
      <w:r>
        <w:rPr>
          <w:noProof/>
        </w:rPr>
        <w:fldChar w:fldCharType="separate"/>
      </w:r>
      <w:r w:rsidR="0064760C">
        <w:rPr>
          <w:noProof/>
        </w:rPr>
        <w:t>65</w:t>
      </w:r>
      <w:r>
        <w:rPr>
          <w:noProof/>
        </w:rPr>
        <w:fldChar w:fldCharType="end"/>
      </w:r>
    </w:p>
    <w:p w14:paraId="1575FBC8" w14:textId="0A728304" w:rsidR="00990DEE" w:rsidRPr="004741C1" w:rsidRDefault="00990DEE">
      <w:pPr>
        <w:pStyle w:val="TableofFigures"/>
        <w:rPr>
          <w:rFonts w:ascii="Calibri" w:eastAsia="Times New Roman" w:hAnsi="Calibri" w:cs="Times New Roman"/>
          <w:noProof/>
          <w:sz w:val="22"/>
          <w:szCs w:val="22"/>
          <w:lang w:eastAsia="en-AU"/>
        </w:rPr>
      </w:pPr>
      <w:r>
        <w:rPr>
          <w:noProof/>
        </w:rPr>
        <w:t xml:space="preserve">Table 32 </w:t>
      </w:r>
      <w:r w:rsidRPr="004741C1">
        <w:rPr>
          <w:rFonts w:ascii="Calibri" w:eastAsia="Times New Roman" w:hAnsi="Calibri" w:cs="Times New Roman"/>
          <w:noProof/>
          <w:sz w:val="22"/>
          <w:szCs w:val="22"/>
          <w:lang w:eastAsia="en-AU"/>
        </w:rPr>
        <w:tab/>
      </w:r>
      <w:r>
        <w:rPr>
          <w:noProof/>
        </w:rPr>
        <w:t>Activity ID 4.1(e) energy savings values for installation of low energy LED lamp with a GU10 base in place of existing mains voltage halogen lamp of at least 35 watts with a GU10 base</w:t>
      </w:r>
      <w:r>
        <w:rPr>
          <w:noProof/>
        </w:rPr>
        <w:tab/>
      </w:r>
      <w:r>
        <w:rPr>
          <w:noProof/>
        </w:rPr>
        <w:fldChar w:fldCharType="begin"/>
      </w:r>
      <w:r>
        <w:rPr>
          <w:noProof/>
        </w:rPr>
        <w:instrText xml:space="preserve"> PAGEREF _Toc37945716 \h </w:instrText>
      </w:r>
      <w:r>
        <w:rPr>
          <w:noProof/>
        </w:rPr>
      </w:r>
      <w:r>
        <w:rPr>
          <w:noProof/>
        </w:rPr>
        <w:fldChar w:fldCharType="separate"/>
      </w:r>
      <w:r w:rsidR="0064760C">
        <w:rPr>
          <w:noProof/>
        </w:rPr>
        <w:t>65</w:t>
      </w:r>
      <w:r>
        <w:rPr>
          <w:noProof/>
        </w:rPr>
        <w:fldChar w:fldCharType="end"/>
      </w:r>
    </w:p>
    <w:p w14:paraId="6A48E59F" w14:textId="64826C68" w:rsidR="00990DEE" w:rsidRPr="004741C1" w:rsidRDefault="00990DEE">
      <w:pPr>
        <w:pStyle w:val="TableofFigures"/>
        <w:rPr>
          <w:rFonts w:ascii="Calibri" w:eastAsia="Times New Roman" w:hAnsi="Calibri" w:cs="Times New Roman"/>
          <w:noProof/>
          <w:sz w:val="22"/>
          <w:szCs w:val="22"/>
          <w:lang w:eastAsia="en-AU"/>
        </w:rPr>
      </w:pPr>
      <w:r>
        <w:rPr>
          <w:noProof/>
        </w:rPr>
        <w:t xml:space="preserve">Table 33 </w:t>
      </w:r>
      <w:r w:rsidRPr="004741C1">
        <w:rPr>
          <w:rFonts w:ascii="Calibri" w:eastAsia="Times New Roman" w:hAnsi="Calibri" w:cs="Times New Roman"/>
          <w:noProof/>
          <w:sz w:val="22"/>
          <w:szCs w:val="22"/>
          <w:lang w:eastAsia="en-AU"/>
        </w:rPr>
        <w:tab/>
      </w:r>
      <w:r>
        <w:rPr>
          <w:noProof/>
        </w:rPr>
        <w:t>Activity ID 5.1 energy savings values for type of refrigerator or freezer destroyed</w:t>
      </w:r>
      <w:r>
        <w:rPr>
          <w:noProof/>
        </w:rPr>
        <w:tab/>
      </w:r>
      <w:r>
        <w:rPr>
          <w:noProof/>
        </w:rPr>
        <w:fldChar w:fldCharType="begin"/>
      </w:r>
      <w:r>
        <w:rPr>
          <w:noProof/>
        </w:rPr>
        <w:instrText xml:space="preserve"> PAGEREF _Toc37945717 \h </w:instrText>
      </w:r>
      <w:r>
        <w:rPr>
          <w:noProof/>
        </w:rPr>
      </w:r>
      <w:r>
        <w:rPr>
          <w:noProof/>
        </w:rPr>
        <w:fldChar w:fldCharType="separate"/>
      </w:r>
      <w:r w:rsidR="0064760C">
        <w:rPr>
          <w:noProof/>
        </w:rPr>
        <w:t>70</w:t>
      </w:r>
      <w:r>
        <w:rPr>
          <w:noProof/>
        </w:rPr>
        <w:fldChar w:fldCharType="end"/>
      </w:r>
    </w:p>
    <w:p w14:paraId="099DE6EC" w14:textId="7765E9CA" w:rsidR="00990DEE" w:rsidRPr="004741C1" w:rsidRDefault="00990DEE">
      <w:pPr>
        <w:pStyle w:val="TableofFigures"/>
        <w:rPr>
          <w:rFonts w:ascii="Calibri" w:eastAsia="Times New Roman" w:hAnsi="Calibri" w:cs="Times New Roman"/>
          <w:noProof/>
          <w:sz w:val="22"/>
          <w:szCs w:val="22"/>
          <w:lang w:eastAsia="en-AU"/>
        </w:rPr>
      </w:pPr>
      <w:r>
        <w:rPr>
          <w:noProof/>
        </w:rPr>
        <w:t xml:space="preserve">Table 34 </w:t>
      </w:r>
      <w:r w:rsidRPr="004741C1">
        <w:rPr>
          <w:rFonts w:ascii="Calibri" w:eastAsia="Times New Roman" w:hAnsi="Calibri" w:cs="Times New Roman"/>
          <w:noProof/>
          <w:sz w:val="22"/>
          <w:szCs w:val="22"/>
          <w:lang w:eastAsia="en-AU"/>
        </w:rPr>
        <w:tab/>
      </w:r>
      <w:r>
        <w:rPr>
          <w:noProof/>
        </w:rPr>
        <w:t>Activity ID 5.2 factors used to calculate energy savings factors for refrigerators and freezers</w:t>
      </w:r>
      <w:r>
        <w:rPr>
          <w:noProof/>
        </w:rPr>
        <w:tab/>
      </w:r>
      <w:r>
        <w:rPr>
          <w:noProof/>
        </w:rPr>
        <w:fldChar w:fldCharType="begin"/>
      </w:r>
      <w:r>
        <w:rPr>
          <w:noProof/>
        </w:rPr>
        <w:instrText xml:space="preserve"> PAGEREF _Toc37945718 \h </w:instrText>
      </w:r>
      <w:r>
        <w:rPr>
          <w:noProof/>
        </w:rPr>
      </w:r>
      <w:r>
        <w:rPr>
          <w:noProof/>
        </w:rPr>
        <w:fldChar w:fldCharType="separate"/>
      </w:r>
      <w:r w:rsidR="0064760C">
        <w:rPr>
          <w:noProof/>
        </w:rPr>
        <w:t>72</w:t>
      </w:r>
      <w:r>
        <w:rPr>
          <w:noProof/>
        </w:rPr>
        <w:fldChar w:fldCharType="end"/>
      </w:r>
    </w:p>
    <w:p w14:paraId="09B09D44" w14:textId="3853578D" w:rsidR="00990DEE" w:rsidRPr="004741C1" w:rsidRDefault="00990DEE">
      <w:pPr>
        <w:pStyle w:val="TableofFigures"/>
        <w:rPr>
          <w:rFonts w:ascii="Calibri" w:eastAsia="Times New Roman" w:hAnsi="Calibri" w:cs="Times New Roman"/>
          <w:noProof/>
          <w:sz w:val="22"/>
          <w:szCs w:val="22"/>
          <w:lang w:eastAsia="en-AU"/>
        </w:rPr>
      </w:pPr>
      <w:r>
        <w:rPr>
          <w:noProof/>
        </w:rPr>
        <w:t xml:space="preserve">Table 35 </w:t>
      </w:r>
      <w:r w:rsidRPr="004741C1">
        <w:rPr>
          <w:rFonts w:ascii="Calibri" w:eastAsia="Times New Roman" w:hAnsi="Calibri" w:cs="Times New Roman"/>
          <w:noProof/>
          <w:sz w:val="22"/>
          <w:szCs w:val="22"/>
          <w:lang w:eastAsia="en-AU"/>
        </w:rPr>
        <w:tab/>
      </w:r>
      <w:r>
        <w:rPr>
          <w:noProof/>
        </w:rPr>
        <w:t>Activity ID 5.7 energy savings values by type of refrigerated display cabinets</w:t>
      </w:r>
      <w:r>
        <w:rPr>
          <w:noProof/>
        </w:rPr>
        <w:tab/>
      </w:r>
      <w:r>
        <w:rPr>
          <w:noProof/>
        </w:rPr>
        <w:fldChar w:fldCharType="begin"/>
      </w:r>
      <w:r>
        <w:rPr>
          <w:noProof/>
        </w:rPr>
        <w:instrText xml:space="preserve"> PAGEREF _Toc37945719 \h </w:instrText>
      </w:r>
      <w:r>
        <w:rPr>
          <w:noProof/>
        </w:rPr>
      </w:r>
      <w:r>
        <w:rPr>
          <w:noProof/>
        </w:rPr>
        <w:fldChar w:fldCharType="separate"/>
      </w:r>
      <w:r w:rsidR="0064760C">
        <w:rPr>
          <w:noProof/>
        </w:rPr>
        <w:t>82</w:t>
      </w:r>
      <w:r>
        <w:rPr>
          <w:noProof/>
        </w:rPr>
        <w:fldChar w:fldCharType="end"/>
      </w:r>
    </w:p>
    <w:p w14:paraId="335913E1" w14:textId="77777777" w:rsidR="009E6E7F" w:rsidRPr="00E8521C" w:rsidRDefault="00C32837" w:rsidP="00270B86">
      <w:pPr>
        <w:pStyle w:val="TableTOC"/>
      </w:pPr>
      <w:r>
        <w:fldChar w:fldCharType="end"/>
      </w:r>
    </w:p>
    <w:p w14:paraId="7B5C60BF" w14:textId="77777777" w:rsidR="00E07DD0" w:rsidRPr="00970AD2" w:rsidRDefault="00FE05F8" w:rsidP="000349ED">
      <w:pPr>
        <w:pStyle w:val="SectionHeading1"/>
      </w:pPr>
      <w:r>
        <w:br w:type="page"/>
      </w:r>
      <w:bookmarkStart w:id="95" w:name="_Toc27560540"/>
      <w:r w:rsidR="00390260" w:rsidRPr="006B4724">
        <w:lastRenderedPageBreak/>
        <w:t>Residential</w:t>
      </w:r>
      <w:r w:rsidR="00390260" w:rsidRPr="00970AD2">
        <w:t xml:space="preserve"> </w:t>
      </w:r>
      <w:r w:rsidR="007F4E3E" w:rsidRPr="00970AD2">
        <w:t>building envelope activities</w:t>
      </w:r>
      <w:bookmarkEnd w:id="12"/>
      <w:bookmarkEnd w:id="93"/>
      <w:bookmarkEnd w:id="95"/>
    </w:p>
    <w:p w14:paraId="21F88091" w14:textId="77777777" w:rsidR="0029090D" w:rsidRPr="0029090D" w:rsidRDefault="005E4969" w:rsidP="000349ED">
      <w:pPr>
        <w:pStyle w:val="Sectionheading2"/>
      </w:pPr>
      <w:bookmarkStart w:id="96" w:name="_Toc20485290"/>
      <w:bookmarkStart w:id="97" w:name="_Toc27560541"/>
      <w:bookmarkEnd w:id="94"/>
      <w:r w:rsidRPr="0029090D">
        <w:t xml:space="preserve">Building </w:t>
      </w:r>
      <w:r w:rsidR="00EE79B9">
        <w:t>s</w:t>
      </w:r>
      <w:r w:rsidRPr="00FD6892">
        <w:t>ealing</w:t>
      </w:r>
      <w:r w:rsidRPr="0029090D">
        <w:t xml:space="preserve"> </w:t>
      </w:r>
      <w:r w:rsidR="00EE79B9">
        <w:t>a</w:t>
      </w:r>
      <w:r w:rsidRPr="0029090D">
        <w:t>ctivities</w:t>
      </w:r>
      <w:bookmarkEnd w:id="96"/>
      <w:bookmarkEnd w:id="97"/>
    </w:p>
    <w:p w14:paraId="5568F3D8" w14:textId="77777777" w:rsidR="006D460C" w:rsidRPr="00970AD2" w:rsidRDefault="006D460C" w:rsidP="000349ED">
      <w:pPr>
        <w:pStyle w:val="Sectionheading3"/>
      </w:pPr>
      <w:bookmarkStart w:id="98" w:name="_Toc20485291"/>
      <w:r w:rsidRPr="00970AD2">
        <w:t xml:space="preserve">Activity </w:t>
      </w:r>
      <w:r w:rsidRPr="00F875E3">
        <w:t>definition</w:t>
      </w:r>
      <w:bookmarkEnd w:id="98"/>
    </w:p>
    <w:p w14:paraId="365F9603" w14:textId="77777777" w:rsidR="006D460C" w:rsidRPr="00970AD2" w:rsidRDefault="006D460C" w:rsidP="00AC027F">
      <w:pPr>
        <w:pStyle w:val="BodytextEEIS"/>
      </w:pPr>
      <w:r w:rsidRPr="00970AD2">
        <w:t xml:space="preserve">In accordance with the prescribed minimum activity performance specifications, </w:t>
      </w:r>
      <w:r w:rsidRPr="0029090D">
        <w:t>restrict</w:t>
      </w:r>
      <w:r w:rsidRPr="00970AD2">
        <w:t xml:space="preserve"> pre-existing air infiltration into, or air leakage out of, a premises by installation of fixed sealing to one or more of</w:t>
      </w:r>
      <w:r w:rsidRPr="00970AD2">
        <w:rPr>
          <w:b/>
          <w:bCs/>
        </w:rPr>
        <w:t>—</w:t>
      </w:r>
    </w:p>
    <w:p w14:paraId="0C0AC430" w14:textId="77777777" w:rsidR="006D460C" w:rsidRPr="00970AD2" w:rsidRDefault="002B5C27" w:rsidP="006B4724">
      <w:pPr>
        <w:pStyle w:val="Subdetailsfirstindent"/>
      </w:pPr>
      <w:r w:rsidRPr="00970AD2">
        <w:rPr>
          <w:b/>
        </w:rPr>
        <w:t xml:space="preserve">Activity </w:t>
      </w:r>
      <w:r w:rsidR="008A6EEB" w:rsidRPr="00970AD2">
        <w:rPr>
          <w:b/>
        </w:rPr>
        <w:t xml:space="preserve">ID </w:t>
      </w:r>
      <w:r w:rsidRPr="00970AD2">
        <w:rPr>
          <w:b/>
        </w:rPr>
        <w:t>1.1(a)</w:t>
      </w:r>
      <w:r w:rsidRPr="00970AD2">
        <w:t xml:space="preserve"> – </w:t>
      </w:r>
      <w:r w:rsidR="006D460C" w:rsidRPr="00970AD2">
        <w:t xml:space="preserve">the </w:t>
      </w:r>
      <w:r w:rsidR="006D460C" w:rsidRPr="006B4724">
        <w:t>gaps</w:t>
      </w:r>
      <w:r w:rsidR="006D460C" w:rsidRPr="00970AD2">
        <w:t xml:space="preserve"> between an external door leaf and the door frame and floor when the door is </w:t>
      </w:r>
      <w:r w:rsidR="006D460C" w:rsidRPr="00AC027F">
        <w:t>closed</w:t>
      </w:r>
      <w:r w:rsidR="006D460C" w:rsidRPr="00970AD2">
        <w:t>;</w:t>
      </w:r>
    </w:p>
    <w:p w14:paraId="141529C6" w14:textId="77777777" w:rsidR="006D460C" w:rsidRPr="00970AD2" w:rsidRDefault="002B5C27" w:rsidP="009155C1">
      <w:pPr>
        <w:pStyle w:val="Subdetailsfirstindent"/>
      </w:pPr>
      <w:r w:rsidRPr="00970AD2">
        <w:rPr>
          <w:b/>
        </w:rPr>
        <w:t>Activity</w:t>
      </w:r>
      <w:r w:rsidR="008A6EEB" w:rsidRPr="00970AD2">
        <w:rPr>
          <w:b/>
        </w:rPr>
        <w:t xml:space="preserve"> ID</w:t>
      </w:r>
      <w:r w:rsidRPr="00970AD2">
        <w:rPr>
          <w:b/>
        </w:rPr>
        <w:t xml:space="preserve"> 1.1(b)</w:t>
      </w:r>
      <w:r w:rsidRPr="00970AD2">
        <w:t xml:space="preserve"> – </w:t>
      </w:r>
      <w:r w:rsidR="006D460C" w:rsidRPr="00970AD2">
        <w:t>the gaps between an openable window sash and the window frame when the window is closed;</w:t>
      </w:r>
    </w:p>
    <w:p w14:paraId="0AF05D96" w14:textId="77777777" w:rsidR="006D460C" w:rsidRPr="00970AD2" w:rsidRDefault="002B5C27" w:rsidP="00FD6892">
      <w:pPr>
        <w:pStyle w:val="Subdetailsfirstindent"/>
      </w:pPr>
      <w:r w:rsidRPr="00970AD2">
        <w:rPr>
          <w:b/>
        </w:rPr>
        <w:t xml:space="preserve">Activity </w:t>
      </w:r>
      <w:r w:rsidR="008A6EEB" w:rsidRPr="00970AD2">
        <w:rPr>
          <w:b/>
        </w:rPr>
        <w:t xml:space="preserve">ID </w:t>
      </w:r>
      <w:r w:rsidRPr="00970AD2">
        <w:rPr>
          <w:b/>
        </w:rPr>
        <w:t>1.1(c)</w:t>
      </w:r>
      <w:r w:rsidRPr="00970AD2">
        <w:t xml:space="preserve"> – </w:t>
      </w:r>
      <w:r w:rsidR="006D460C" w:rsidRPr="00970AD2">
        <w:t xml:space="preserve">the outlet of a ducted evaporative cooling system located in a heated area of the dwelling on a </w:t>
      </w:r>
      <w:r w:rsidR="006D460C" w:rsidRPr="00FD6892">
        <w:t>temporary</w:t>
      </w:r>
      <w:r w:rsidR="006D460C" w:rsidRPr="00970AD2">
        <w:t xml:space="preserve"> or seasonal basis in the form of a product designed to cover the ceiling outlet.</w:t>
      </w:r>
    </w:p>
    <w:p w14:paraId="4242F000" w14:textId="77777777" w:rsidR="006D460C" w:rsidRPr="00970AD2" w:rsidRDefault="006D460C" w:rsidP="000349ED">
      <w:pPr>
        <w:pStyle w:val="Sectionheading3"/>
      </w:pPr>
      <w:r w:rsidRPr="00970AD2">
        <w:t xml:space="preserve">Minimum activity </w:t>
      </w:r>
      <w:r w:rsidRPr="00F875E3">
        <w:t>performance</w:t>
      </w:r>
      <w:r w:rsidRPr="00970AD2">
        <w:t xml:space="preserve"> specifications</w:t>
      </w:r>
    </w:p>
    <w:p w14:paraId="1CFE05CC" w14:textId="77777777" w:rsidR="006D460C" w:rsidRPr="00970AD2" w:rsidRDefault="006D460C" w:rsidP="00AC027F">
      <w:pPr>
        <w:pStyle w:val="BodytextEEIS"/>
        <w:rPr>
          <w:i/>
        </w:rPr>
      </w:pPr>
      <w:r w:rsidRPr="00970AD2">
        <w:t>To be an eligible activity, a building sealing activity must</w:t>
      </w:r>
      <w:r w:rsidRPr="00970AD2">
        <w:rPr>
          <w:b/>
          <w:bCs/>
        </w:rPr>
        <w:t>—</w:t>
      </w:r>
    </w:p>
    <w:p w14:paraId="583115C2" w14:textId="00E14CD8" w:rsidR="006D460C" w:rsidRPr="00FD6892" w:rsidRDefault="006D460C" w:rsidP="00D633D3">
      <w:pPr>
        <w:pStyle w:val="Subdetailsfirstindent"/>
        <w:numPr>
          <w:ilvl w:val="0"/>
          <w:numId w:val="7"/>
        </w:numPr>
      </w:pPr>
      <w:r w:rsidRPr="00FD6892">
        <w:t xml:space="preserve">be undertaken at eligible residential premises; </w:t>
      </w:r>
    </w:p>
    <w:p w14:paraId="6E1CAB96" w14:textId="77777777" w:rsidR="006D460C" w:rsidRPr="00FD6892" w:rsidRDefault="006D460C" w:rsidP="00FD6892">
      <w:pPr>
        <w:pStyle w:val="Subdetailsfirstindent"/>
      </w:pPr>
      <w:r w:rsidRPr="00FD6892">
        <w:t xml:space="preserve">be undertaken using a product or products meeting the installed product requirements in section </w:t>
      </w:r>
      <w:r w:rsidR="00BA41EE">
        <w:t>1.1.</w:t>
      </w:r>
      <w:r w:rsidRPr="00FD6892">
        <w:t xml:space="preserve">3; </w:t>
      </w:r>
    </w:p>
    <w:p w14:paraId="5CEF79D9" w14:textId="77777777" w:rsidR="006D460C" w:rsidRPr="00FD6892" w:rsidRDefault="006D460C" w:rsidP="00FD6892">
      <w:pPr>
        <w:pStyle w:val="Subdetailsfirstindent"/>
      </w:pPr>
      <w:r w:rsidRPr="00FD6892">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14:paraId="6A226A72" w14:textId="77777777" w:rsidR="006D460C" w:rsidRPr="00FD6892" w:rsidRDefault="006D460C" w:rsidP="00FD6892">
      <w:pPr>
        <w:pStyle w:val="Subdetailsfirstindent"/>
      </w:pPr>
      <w:r w:rsidRPr="00FD6892">
        <w:t>be recorded in accordance with any relevant code of practice for the activity.</w:t>
      </w:r>
    </w:p>
    <w:p w14:paraId="455A97D7" w14:textId="77777777" w:rsidR="006D460C" w:rsidRPr="00970AD2" w:rsidRDefault="006D460C" w:rsidP="000D726D">
      <w:pPr>
        <w:pStyle w:val="Notesandexamples"/>
      </w:pPr>
      <w:r w:rsidRPr="00970AD2">
        <w:t>Note</w:t>
      </w:r>
      <w:r w:rsidRPr="00970AD2">
        <w:tab/>
      </w:r>
      <w:r w:rsidR="0062650F" w:rsidRPr="00970AD2">
        <w:t>All activities are subject to independent inspection or audit to confirm compliance with prescribed activity requirements.</w:t>
      </w:r>
    </w:p>
    <w:p w14:paraId="3F7FF9AF" w14:textId="77777777" w:rsidR="006D460C" w:rsidRPr="00FD6892" w:rsidRDefault="006D460C" w:rsidP="00333768">
      <w:pPr>
        <w:pStyle w:val="Sectionheading3"/>
      </w:pPr>
      <w:r w:rsidRPr="00FD6892">
        <w:t>Installed product requirements</w:t>
      </w:r>
    </w:p>
    <w:p w14:paraId="2B9A7B9A" w14:textId="77777777" w:rsidR="006D460C" w:rsidRPr="006B4724" w:rsidRDefault="006D460C" w:rsidP="00333768">
      <w:pPr>
        <w:pStyle w:val="Sectionheading4"/>
      </w:pPr>
      <w:r w:rsidRPr="006B4724">
        <w:t xml:space="preserve">Door </w:t>
      </w:r>
      <w:r w:rsidR="00BA41EE">
        <w:t>s</w:t>
      </w:r>
      <w:r w:rsidRPr="006B4724">
        <w:t>ealing</w:t>
      </w:r>
    </w:p>
    <w:p w14:paraId="6084924B" w14:textId="77777777" w:rsidR="006D460C" w:rsidRPr="00BE69DF" w:rsidRDefault="00B1446A" w:rsidP="00FD6892">
      <w:pPr>
        <w:pStyle w:val="BodytextEEIS"/>
      </w:pPr>
      <w:r>
        <w:t>For Activity 1.1(a), a</w:t>
      </w:r>
      <w:r w:rsidR="006D460C" w:rsidRPr="00BE69DF">
        <w:t xml:space="preserve"> door sealing product or weather stripping product, or a kit comprising several such products, that— </w:t>
      </w:r>
    </w:p>
    <w:p w14:paraId="58ED2ECC" w14:textId="77777777" w:rsidR="006D460C" w:rsidRPr="00970AD2" w:rsidRDefault="006D460C" w:rsidP="00D633D3">
      <w:pPr>
        <w:pStyle w:val="Subdetailsfirstindent"/>
        <w:numPr>
          <w:ilvl w:val="0"/>
          <w:numId w:val="8"/>
        </w:numPr>
      </w:pPr>
      <w:r w:rsidRPr="00970AD2">
        <w:t>is designed to restrict the airflow into or out of the premises through gaps between an external door and the door frame and floor;</w:t>
      </w:r>
    </w:p>
    <w:p w14:paraId="1E292300" w14:textId="77777777" w:rsidR="006D460C" w:rsidRPr="00970AD2" w:rsidRDefault="006D460C" w:rsidP="000D726D">
      <w:pPr>
        <w:pStyle w:val="Subdetailsfirstindent"/>
      </w:pPr>
      <w:r w:rsidRPr="00970AD2">
        <w:t>is installed on an external door or the door frame so as to restrict airflow around the entire perimeter of the external door;</w:t>
      </w:r>
    </w:p>
    <w:p w14:paraId="2B307724" w14:textId="77777777" w:rsidR="006D460C" w:rsidRPr="00970AD2" w:rsidRDefault="006D460C" w:rsidP="000D726D">
      <w:pPr>
        <w:pStyle w:val="Subdetailsfirstindent"/>
      </w:pPr>
      <w:r w:rsidRPr="00970AD2">
        <w:t xml:space="preserve">the installation of which does not impair the normal operation of the door; </w:t>
      </w:r>
    </w:p>
    <w:p w14:paraId="7D576622" w14:textId="77777777" w:rsidR="006D460C" w:rsidRPr="00970AD2" w:rsidRDefault="006D460C" w:rsidP="000D726D">
      <w:pPr>
        <w:pStyle w:val="Subdetailsfirstindent"/>
      </w:pPr>
      <w:r w:rsidRPr="00970AD2">
        <w:t>is installed in accordance with the manufacturer’s instructions;</w:t>
      </w:r>
    </w:p>
    <w:p w14:paraId="1CF62030" w14:textId="77777777" w:rsidR="006D460C" w:rsidRPr="00970AD2" w:rsidRDefault="006D460C" w:rsidP="000D726D">
      <w:pPr>
        <w:pStyle w:val="Subdetailsfirstindent"/>
      </w:pPr>
      <w:r w:rsidRPr="00970AD2">
        <w:t xml:space="preserve">has a minimum warranty </w:t>
      </w:r>
      <w:r w:rsidR="00BA41EE">
        <w:t>of five</w:t>
      </w:r>
      <w:r w:rsidRPr="00970AD2">
        <w:t xml:space="preserve"> years; and </w:t>
      </w:r>
    </w:p>
    <w:p w14:paraId="293D9267" w14:textId="77777777" w:rsidR="006D460C" w:rsidRPr="00970AD2" w:rsidRDefault="006D460C" w:rsidP="000D726D">
      <w:pPr>
        <w:pStyle w:val="Subdetailsfirstindent"/>
      </w:pPr>
      <w:r w:rsidRPr="00970AD2">
        <w:t>is listed in the register of products for the activity</w:t>
      </w:r>
      <w:r w:rsidR="00BA41EE">
        <w:t>.</w:t>
      </w:r>
      <w:r w:rsidRPr="00970AD2" w:rsidDel="009D6458">
        <w:t xml:space="preserve"> </w:t>
      </w:r>
    </w:p>
    <w:p w14:paraId="3A263F67" w14:textId="77777777" w:rsidR="006D460C" w:rsidRPr="00BE69DF" w:rsidRDefault="006D460C" w:rsidP="00333768">
      <w:pPr>
        <w:pStyle w:val="Sectionheading4"/>
      </w:pPr>
      <w:r w:rsidRPr="00333768">
        <w:lastRenderedPageBreak/>
        <w:t>Window</w:t>
      </w:r>
      <w:r w:rsidRPr="00BE69DF">
        <w:t xml:space="preserve"> </w:t>
      </w:r>
      <w:r w:rsidR="00BA41EE">
        <w:t>s</w:t>
      </w:r>
      <w:r w:rsidRPr="00BE69DF">
        <w:t>ealing</w:t>
      </w:r>
    </w:p>
    <w:p w14:paraId="685B1EEB" w14:textId="77777777" w:rsidR="006D460C" w:rsidRPr="00BE69DF" w:rsidRDefault="00B1446A" w:rsidP="001B4BD0">
      <w:pPr>
        <w:pStyle w:val="BodytextEEIS"/>
      </w:pPr>
      <w:r>
        <w:t>For Activity 1.1(b), a</w:t>
      </w:r>
      <w:r w:rsidR="006D460C" w:rsidRPr="00BE69DF">
        <w:t xml:space="preserve"> window sealing product or weather stripping product, or a kit comprising several such products, that— </w:t>
      </w:r>
    </w:p>
    <w:p w14:paraId="0ABE08AC" w14:textId="77777777" w:rsidR="006D460C" w:rsidRPr="00970AD2" w:rsidRDefault="006D460C" w:rsidP="00D633D3">
      <w:pPr>
        <w:pStyle w:val="Subdetailsfirstindent"/>
        <w:numPr>
          <w:ilvl w:val="0"/>
          <w:numId w:val="11"/>
        </w:numPr>
      </w:pPr>
      <w:r w:rsidRPr="00970AD2">
        <w:t>is designed to restrict the airflow into or out of premises through an openable window and the window frame when the window is closed;</w:t>
      </w:r>
    </w:p>
    <w:p w14:paraId="375F6628" w14:textId="77777777" w:rsidR="006D460C" w:rsidRPr="00970AD2" w:rsidRDefault="006D460C" w:rsidP="001B4BD0">
      <w:pPr>
        <w:pStyle w:val="Subdetailsfirstindent"/>
      </w:pPr>
      <w:r w:rsidRPr="00970AD2">
        <w:t>is installed on an external window or the window frame so as to restrict airflow through the window;</w:t>
      </w:r>
    </w:p>
    <w:p w14:paraId="61DEE4CC" w14:textId="77777777" w:rsidR="006D460C" w:rsidRPr="00970AD2" w:rsidRDefault="006D460C" w:rsidP="001B4BD0">
      <w:pPr>
        <w:pStyle w:val="Subdetailsfirstindent"/>
      </w:pPr>
      <w:r w:rsidRPr="00970AD2">
        <w:t xml:space="preserve">the installation of which does not impair the normal operation of the window; </w:t>
      </w:r>
    </w:p>
    <w:p w14:paraId="3EFC3EE6" w14:textId="77777777" w:rsidR="006D460C" w:rsidRPr="00970AD2" w:rsidRDefault="006D460C" w:rsidP="001B4BD0">
      <w:pPr>
        <w:pStyle w:val="Subdetailsfirstindent"/>
      </w:pPr>
      <w:r w:rsidRPr="00970AD2">
        <w:t xml:space="preserve">is installed in accordance with the manufacturer’s instructions; </w:t>
      </w:r>
      <w:r w:rsidRPr="00970AD2">
        <w:tab/>
      </w:r>
    </w:p>
    <w:p w14:paraId="6E05E0C2" w14:textId="77777777" w:rsidR="006D460C" w:rsidRPr="00970AD2" w:rsidRDefault="006D460C" w:rsidP="001B4BD0">
      <w:pPr>
        <w:pStyle w:val="Subdetailsfirstindent"/>
      </w:pPr>
      <w:r w:rsidRPr="00970AD2">
        <w:t xml:space="preserve">has a minimum warranty of </w:t>
      </w:r>
      <w:r w:rsidR="00BA41EE">
        <w:t>five</w:t>
      </w:r>
      <w:r w:rsidRPr="00970AD2">
        <w:t xml:space="preserve"> years; and </w:t>
      </w:r>
    </w:p>
    <w:p w14:paraId="728C5F32" w14:textId="77777777" w:rsidR="006D460C" w:rsidRPr="00970AD2" w:rsidRDefault="006D460C" w:rsidP="001B4BD0">
      <w:pPr>
        <w:pStyle w:val="Subdetailsfirstindent"/>
      </w:pPr>
      <w:r w:rsidRPr="00970AD2">
        <w:t>is listed in the register of products for the activity</w:t>
      </w:r>
      <w:r w:rsidR="00BA41EE">
        <w:t>.</w:t>
      </w:r>
    </w:p>
    <w:p w14:paraId="0E2CF096" w14:textId="77777777" w:rsidR="004D25AE" w:rsidRPr="00BE69DF" w:rsidRDefault="006D460C" w:rsidP="00BA41EE">
      <w:pPr>
        <w:pStyle w:val="Sectionheading4"/>
      </w:pPr>
      <w:r w:rsidRPr="00BE69DF">
        <w:t xml:space="preserve">Ducted </w:t>
      </w:r>
      <w:r w:rsidR="00BA41EE">
        <w:t>e</w:t>
      </w:r>
      <w:r w:rsidRPr="00BE69DF">
        <w:t xml:space="preserve">vaporative </w:t>
      </w:r>
      <w:r w:rsidR="00BA41EE">
        <w:t>c</w:t>
      </w:r>
      <w:r w:rsidRPr="00BE69DF">
        <w:t xml:space="preserve">ooling </w:t>
      </w:r>
      <w:r w:rsidR="00BA41EE">
        <w:t>o</w:t>
      </w:r>
      <w:r w:rsidRPr="00BE69DF">
        <w:t xml:space="preserve">utlet </w:t>
      </w:r>
      <w:r w:rsidR="00BA41EE">
        <w:t>s</w:t>
      </w:r>
      <w:r w:rsidRPr="00BE69DF">
        <w:t>ealing</w:t>
      </w:r>
    </w:p>
    <w:p w14:paraId="6D1661DD" w14:textId="77777777" w:rsidR="00F330C3" w:rsidRPr="00214542" w:rsidRDefault="00B1446A" w:rsidP="001B4BD0">
      <w:pPr>
        <w:pStyle w:val="BodytextEEIS"/>
      </w:pPr>
      <w:r>
        <w:t>For Activity 1.1(c), a</w:t>
      </w:r>
      <w:r w:rsidR="006D460C" w:rsidRPr="00214542">
        <w:t xml:space="preserve"> product that—</w:t>
      </w:r>
    </w:p>
    <w:p w14:paraId="0EB53E0B" w14:textId="77777777" w:rsidR="00F330C3" w:rsidRPr="00970AD2" w:rsidRDefault="00F330C3" w:rsidP="00D633D3">
      <w:pPr>
        <w:pStyle w:val="Subdetailsfirstindent"/>
        <w:numPr>
          <w:ilvl w:val="0"/>
          <w:numId w:val="12"/>
        </w:numPr>
      </w:pPr>
      <w:r w:rsidRPr="00970AD2">
        <w:t>i</w:t>
      </w:r>
      <w:r w:rsidR="006D460C" w:rsidRPr="00970AD2">
        <w:t>s designed to be fitted to cover the ceiling outlet of a ducted evaporative cooling system on a temporary or seasonal basis, so as to restrict airflow from inside the residential premises into the evaporative cooling ductwork;</w:t>
      </w:r>
    </w:p>
    <w:p w14:paraId="5A19EF0E" w14:textId="77777777" w:rsidR="00F330C3" w:rsidRPr="00970AD2" w:rsidRDefault="006D460C" w:rsidP="001B4BD0">
      <w:pPr>
        <w:pStyle w:val="Subdetailsfirstindent"/>
      </w:pPr>
      <w:r w:rsidRPr="00970AD2">
        <w:t xml:space="preserve">has a minimum warranty of </w:t>
      </w:r>
      <w:r w:rsidR="00BA41EE">
        <w:t>five</w:t>
      </w:r>
      <w:r w:rsidRPr="00970AD2">
        <w:t xml:space="preserve"> years</w:t>
      </w:r>
      <w:r w:rsidR="00BA41EE">
        <w:t>,</w:t>
      </w:r>
      <w:r w:rsidRPr="00970AD2">
        <w:t xml:space="preserve"> and</w:t>
      </w:r>
      <w:r w:rsidR="00F330C3" w:rsidRPr="00970AD2">
        <w:t xml:space="preserve"> </w:t>
      </w:r>
      <w:r w:rsidRPr="00970AD2">
        <w:t xml:space="preserve">includes instructions on the installation and removal of the product and the time of year that the product should be installed and removed; </w:t>
      </w:r>
    </w:p>
    <w:p w14:paraId="2FF4DBBB" w14:textId="77777777" w:rsidR="00F330C3" w:rsidRPr="00970AD2" w:rsidRDefault="006D460C" w:rsidP="001B4BD0">
      <w:pPr>
        <w:pStyle w:val="Subdetailsfirstindent"/>
      </w:pPr>
      <w:r w:rsidRPr="00970AD2">
        <w:t>is installed in accordance with the manufacturer’s instructions; and</w:t>
      </w:r>
      <w:r w:rsidR="00F330C3" w:rsidRPr="00970AD2">
        <w:t xml:space="preserve"> </w:t>
      </w:r>
    </w:p>
    <w:p w14:paraId="5F9E6122" w14:textId="77777777" w:rsidR="006D460C" w:rsidRPr="00970AD2" w:rsidRDefault="006D460C" w:rsidP="001B4BD0">
      <w:pPr>
        <w:pStyle w:val="Subdetailsfirstindent"/>
      </w:pPr>
      <w:r w:rsidRPr="00970AD2">
        <w:t>is listed in the register of products for the activity</w:t>
      </w:r>
      <w:r w:rsidR="00F330C3" w:rsidRPr="00970AD2">
        <w:t>.</w:t>
      </w:r>
    </w:p>
    <w:p w14:paraId="5A014B23" w14:textId="77777777" w:rsidR="006D460C" w:rsidRPr="00970AD2" w:rsidRDefault="006D460C" w:rsidP="00333768">
      <w:pPr>
        <w:pStyle w:val="Sectionheading3"/>
      </w:pPr>
      <w:r w:rsidRPr="00970AD2">
        <w:t xml:space="preserve">Time the activity is </w:t>
      </w:r>
      <w:r w:rsidRPr="00AD1176">
        <w:t>taken</w:t>
      </w:r>
      <w:r w:rsidRPr="00970AD2">
        <w:t xml:space="preserve"> to be completed</w:t>
      </w:r>
    </w:p>
    <w:p w14:paraId="7EAC6C3B" w14:textId="77777777" w:rsidR="006D460C" w:rsidRPr="00AD1176" w:rsidRDefault="006D460C" w:rsidP="001B4BD0">
      <w:pPr>
        <w:pStyle w:val="BodytextEEIS"/>
      </w:pPr>
      <w:r w:rsidRPr="00970AD2">
        <w:t xml:space="preserve">The activity is taken to be completed on the day all applicable prescribed activity requirements are completed. </w:t>
      </w:r>
    </w:p>
    <w:p w14:paraId="37C11091" w14:textId="7AD1A733" w:rsidR="006D460C" w:rsidRPr="00970AD2" w:rsidRDefault="006D460C" w:rsidP="00333768">
      <w:pPr>
        <w:pStyle w:val="Sectionheading3"/>
      </w:pPr>
      <w:r w:rsidRPr="00970AD2">
        <w:t xml:space="preserve">Calculation of </w:t>
      </w:r>
      <w:r w:rsidR="009E6200">
        <w:t>energy savings</w:t>
      </w:r>
      <w:r w:rsidRPr="00970AD2">
        <w:t xml:space="preserve"> factor</w:t>
      </w:r>
    </w:p>
    <w:p w14:paraId="04A54B58" w14:textId="5D776485" w:rsidR="006D460C" w:rsidRPr="00970AD2" w:rsidRDefault="006D460C" w:rsidP="00B31F04">
      <w:pPr>
        <w:pStyle w:val="BodytextEEIS"/>
      </w:pPr>
      <w:r w:rsidRPr="00970AD2">
        <w:t xml:space="preserve">The total </w:t>
      </w:r>
      <w:r w:rsidR="009E6200">
        <w:t xml:space="preserve">energy savings </w:t>
      </w:r>
      <w:r w:rsidRPr="00970AD2">
        <w:t xml:space="preserve">factor in </w:t>
      </w:r>
      <w:r w:rsidR="00880CB1">
        <w:t>Megawatt-hours</w:t>
      </w:r>
      <w:r w:rsidR="009E6200">
        <w:t xml:space="preserve"> (MWh) </w:t>
      </w:r>
      <w:r w:rsidRPr="00970AD2">
        <w:t xml:space="preserve">saved for the activity is the sum of all </w:t>
      </w:r>
      <w:r w:rsidR="009E6200">
        <w:t>energy savings</w:t>
      </w:r>
      <w:r w:rsidRPr="00970AD2">
        <w:t xml:space="preserve"> factors for each item in the activity definition undertaken in the same premises, determined by using the equations prescribed in this section.</w:t>
      </w:r>
    </w:p>
    <w:p w14:paraId="54481914" w14:textId="4858182F" w:rsidR="006D460C" w:rsidRPr="00970AD2" w:rsidRDefault="006D460C" w:rsidP="00D633D3">
      <w:pPr>
        <w:pStyle w:val="Subdetailsfirstindent"/>
        <w:numPr>
          <w:ilvl w:val="0"/>
          <w:numId w:val="189"/>
        </w:numPr>
      </w:pPr>
      <w:r w:rsidRPr="00970AD2">
        <w:t>For activity items in</w:t>
      </w:r>
      <w:r w:rsidR="00BA41EE">
        <w:t xml:space="preserve"> Activity</w:t>
      </w:r>
      <w:r w:rsidRPr="00970AD2">
        <w:t xml:space="preserve"> 1</w:t>
      </w:r>
      <w:r w:rsidR="00BA41EE">
        <w:t>.1</w:t>
      </w:r>
      <w:r w:rsidRPr="00970AD2">
        <w:t xml:space="preserve">(a) the </w:t>
      </w:r>
      <w:r w:rsidR="009E6200">
        <w:t>energy savings</w:t>
      </w:r>
      <w:r w:rsidRPr="00970AD2">
        <w:t xml:space="preserve"> factor is calculated as</w:t>
      </w:r>
      <w:r w:rsidRPr="006741CB">
        <w:rPr>
          <w:bCs/>
        </w:rPr>
        <w:t>—</w:t>
      </w:r>
      <w:r w:rsidRPr="00970AD2">
        <w:t xml:space="preserve">  </w:t>
      </w:r>
    </w:p>
    <w:p w14:paraId="6CF6F140" w14:textId="599F8C25" w:rsidR="00BB6085" w:rsidRPr="00970AD2" w:rsidRDefault="009E6200" w:rsidP="00BB6085">
      <w:pPr>
        <w:pStyle w:val="Formula"/>
      </w:pPr>
      <w:r>
        <w:t>Energy Savings Factor</w:t>
      </w:r>
      <w:r w:rsidR="00BB6085">
        <w:t xml:space="preserve"> (</w:t>
      </w:r>
      <w:r>
        <w:t>MWh</w:t>
      </w:r>
      <w:r w:rsidR="00BB6085">
        <w:t xml:space="preserve">) = </w:t>
      </w:r>
      <w:r>
        <w:t>ESF</w:t>
      </w:r>
      <w:r w:rsidR="00BB6085">
        <w:t xml:space="preserve"> x N</w:t>
      </w:r>
    </w:p>
    <w:p w14:paraId="58920E0C" w14:textId="77777777" w:rsidR="006D460C" w:rsidRPr="00970AD2" w:rsidRDefault="006D460C" w:rsidP="000977A2">
      <w:pPr>
        <w:pStyle w:val="BodytextEEIS"/>
        <w:rPr>
          <w:bCs/>
        </w:rPr>
      </w:pPr>
      <w:r w:rsidRPr="00970AD2">
        <w:t>Where</w:t>
      </w:r>
      <w:r w:rsidRPr="00970AD2">
        <w:rPr>
          <w:bCs/>
        </w:rPr>
        <w:t>—</w:t>
      </w:r>
    </w:p>
    <w:p w14:paraId="7631CE7A" w14:textId="4828DB8B" w:rsidR="006D460C" w:rsidRPr="000977A2" w:rsidRDefault="009E6200" w:rsidP="000977A2">
      <w:pPr>
        <w:pStyle w:val="Subdetailssecondindent"/>
      </w:pPr>
      <w:r>
        <w:rPr>
          <w:i/>
          <w:iCs/>
        </w:rPr>
        <w:t>ESF</w:t>
      </w:r>
      <w:r w:rsidR="006D460C" w:rsidRPr="000977A2">
        <w:t xml:space="preserve"> is the relevant activity </w:t>
      </w:r>
      <w:r>
        <w:t xml:space="preserve">energy savings </w:t>
      </w:r>
      <w:r w:rsidR="006D460C" w:rsidRPr="000977A2">
        <w:t xml:space="preserve">value prescribed for the activity item in Table 1; and </w:t>
      </w:r>
    </w:p>
    <w:p w14:paraId="6FCB22A4" w14:textId="77777777" w:rsidR="006D460C" w:rsidRPr="000977A2" w:rsidRDefault="006D460C" w:rsidP="000977A2">
      <w:pPr>
        <w:pStyle w:val="Subdetailssecondindent"/>
      </w:pPr>
      <w:r w:rsidRPr="004F6B1D">
        <w:rPr>
          <w:i/>
          <w:iCs/>
        </w:rPr>
        <w:t>N</w:t>
      </w:r>
      <w:r w:rsidRPr="000977A2">
        <w:t xml:space="preserve"> is the number of doors in the premises to which sealing has been installed.</w:t>
      </w:r>
    </w:p>
    <w:p w14:paraId="5EFCE563" w14:textId="627B46B3" w:rsidR="006D460C" w:rsidRPr="00970AD2" w:rsidRDefault="006D460C" w:rsidP="002D0C2D">
      <w:pPr>
        <w:pStyle w:val="Subdetailsfirstindent"/>
      </w:pPr>
      <w:r w:rsidRPr="00970AD2">
        <w:t xml:space="preserve">For activity items in </w:t>
      </w:r>
      <w:r w:rsidR="004F6B1D">
        <w:t>Activity</w:t>
      </w:r>
      <w:r w:rsidR="004F6B1D" w:rsidRPr="00970AD2">
        <w:t xml:space="preserve"> </w:t>
      </w:r>
      <w:r w:rsidRPr="00970AD2">
        <w:t>1</w:t>
      </w:r>
      <w:r w:rsidR="004F6B1D">
        <w:t>.1</w:t>
      </w:r>
      <w:r w:rsidRPr="00970AD2">
        <w:t xml:space="preserve">(b) the </w:t>
      </w:r>
      <w:r w:rsidR="009E6200">
        <w:t>energy savings</w:t>
      </w:r>
      <w:r w:rsidRPr="00970AD2">
        <w:t xml:space="preserve"> factor is calculated as</w:t>
      </w:r>
      <w:r w:rsidRPr="00970AD2">
        <w:rPr>
          <w:bCs/>
        </w:rPr>
        <w:t>—</w:t>
      </w:r>
      <w:r w:rsidRPr="00970AD2">
        <w:t xml:space="preserve"> </w:t>
      </w:r>
    </w:p>
    <w:p w14:paraId="26F8F1E4" w14:textId="6AE470CC" w:rsidR="00BB6085" w:rsidRPr="00970AD2" w:rsidRDefault="009E6200" w:rsidP="00BB6085">
      <w:pPr>
        <w:pStyle w:val="Formula"/>
      </w:pPr>
      <w:r>
        <w:t>Energy Savings Factor</w:t>
      </w:r>
      <w:r w:rsidR="00BB6085">
        <w:t xml:space="preserve"> (</w:t>
      </w:r>
      <w:r>
        <w:t>MWh</w:t>
      </w:r>
      <w:r w:rsidR="00BB6085">
        <w:t xml:space="preserve">) = </w:t>
      </w:r>
      <w:r>
        <w:t>ESF</w:t>
      </w:r>
      <w:r w:rsidR="00BB6085">
        <w:t xml:space="preserve"> x m</w:t>
      </w:r>
      <w:r w:rsidR="00BB6085" w:rsidRPr="00BB6085">
        <w:rPr>
          <w:vertAlign w:val="superscript"/>
        </w:rPr>
        <w:t>2</w:t>
      </w:r>
    </w:p>
    <w:p w14:paraId="37647306" w14:textId="77777777" w:rsidR="006D460C" w:rsidRPr="00970AD2" w:rsidRDefault="006D460C" w:rsidP="000977A2">
      <w:pPr>
        <w:pStyle w:val="BodytextEEIS"/>
        <w:rPr>
          <w:bCs/>
        </w:rPr>
      </w:pPr>
      <w:r w:rsidRPr="00970AD2">
        <w:t>Where</w:t>
      </w:r>
      <w:r w:rsidRPr="00970AD2">
        <w:rPr>
          <w:bCs/>
        </w:rPr>
        <w:t>—</w:t>
      </w:r>
    </w:p>
    <w:p w14:paraId="239D73B0" w14:textId="10ED7F21" w:rsidR="006D460C" w:rsidRPr="00970AD2" w:rsidRDefault="00095E20" w:rsidP="00D633D3">
      <w:pPr>
        <w:pStyle w:val="Subdetailssecondindent"/>
        <w:numPr>
          <w:ilvl w:val="0"/>
          <w:numId w:val="13"/>
        </w:numPr>
      </w:pPr>
      <w:r>
        <w:rPr>
          <w:i/>
        </w:rPr>
        <w:lastRenderedPageBreak/>
        <w:t>ESF</w:t>
      </w:r>
      <w:r w:rsidR="006D460C" w:rsidRPr="00970AD2">
        <w:t xml:space="preserve"> is the relevant activity </w:t>
      </w:r>
      <w:r>
        <w:t>energy savings</w:t>
      </w:r>
      <w:r w:rsidR="006D460C" w:rsidRPr="00970AD2">
        <w:t xml:space="preserve"> value prescribed for the activity in </w:t>
      </w:r>
      <w:r w:rsidR="00707468">
        <w:t>t</w:t>
      </w:r>
      <w:r w:rsidR="006D460C" w:rsidRPr="00970AD2">
        <w:t>able 1; and</w:t>
      </w:r>
    </w:p>
    <w:p w14:paraId="6A6BFDDA" w14:textId="77777777" w:rsidR="006D460C" w:rsidRPr="00970AD2" w:rsidRDefault="006D460C" w:rsidP="000977A2">
      <w:pPr>
        <w:pStyle w:val="Subdetailssecondindent"/>
      </w:pPr>
      <w:r w:rsidRPr="00970AD2">
        <w:rPr>
          <w:i/>
        </w:rPr>
        <w:t>m</w:t>
      </w:r>
      <w:r w:rsidRPr="00970AD2">
        <w:rPr>
          <w:i/>
          <w:vertAlign w:val="superscript"/>
        </w:rPr>
        <w:t>2</w:t>
      </w:r>
      <w:r w:rsidRPr="00970AD2">
        <w:t xml:space="preserve"> is the area of glazing in square meters, rounded to the nearest square centimetre, of all the window sashes, in the premises to which sealing has been installed and ea</w:t>
      </w:r>
      <w:r w:rsidR="00F330C3" w:rsidRPr="00970AD2">
        <w:t>ch window is counted once only.</w:t>
      </w:r>
    </w:p>
    <w:p w14:paraId="4BF68902" w14:textId="0232D37C" w:rsidR="006D460C" w:rsidRDefault="006D460C" w:rsidP="004F6B1D">
      <w:pPr>
        <w:pStyle w:val="Subdetailsfirstindent"/>
      </w:pPr>
      <w:r w:rsidRPr="00970AD2">
        <w:t xml:space="preserve">For activity items in </w:t>
      </w:r>
      <w:r w:rsidR="004F6B1D">
        <w:t>Activity</w:t>
      </w:r>
      <w:r w:rsidR="004F6B1D" w:rsidRPr="00970AD2">
        <w:t xml:space="preserve"> </w:t>
      </w:r>
      <w:r w:rsidRPr="00970AD2">
        <w:t>1</w:t>
      </w:r>
      <w:r w:rsidR="004F6B1D">
        <w:t>.1</w:t>
      </w:r>
      <w:r w:rsidRPr="00970AD2">
        <w:t xml:space="preserve">(c) the </w:t>
      </w:r>
      <w:r w:rsidR="00095E20">
        <w:t>energy savings</w:t>
      </w:r>
      <w:r w:rsidRPr="00970AD2">
        <w:t xml:space="preserve"> factor is calculated as</w:t>
      </w:r>
      <w:r w:rsidRPr="00970AD2">
        <w:rPr>
          <w:bCs/>
        </w:rPr>
        <w:t>—</w:t>
      </w:r>
      <w:r w:rsidRPr="00970AD2">
        <w:t xml:space="preserve"> </w:t>
      </w:r>
    </w:p>
    <w:p w14:paraId="4BF2F262" w14:textId="44372106" w:rsidR="00BB6085" w:rsidRPr="00970AD2" w:rsidRDefault="00095E20" w:rsidP="00BB6085">
      <w:pPr>
        <w:pStyle w:val="Formula"/>
      </w:pPr>
      <w:r>
        <w:t>Energy Savings Factor</w:t>
      </w:r>
      <w:r w:rsidR="00BB6085">
        <w:t xml:space="preserve"> (</w:t>
      </w:r>
      <w:r>
        <w:t>MWh</w:t>
      </w:r>
      <w:r w:rsidR="00BB6085">
        <w:t xml:space="preserve">) = </w:t>
      </w:r>
      <w:r>
        <w:t>ESF</w:t>
      </w:r>
      <w:r w:rsidR="00BB6085">
        <w:t xml:space="preserve"> x N</w:t>
      </w:r>
    </w:p>
    <w:p w14:paraId="42497F94" w14:textId="77777777" w:rsidR="006D460C" w:rsidRPr="00970AD2" w:rsidRDefault="006D460C" w:rsidP="000977A2">
      <w:pPr>
        <w:pStyle w:val="BodytextEEIS"/>
        <w:rPr>
          <w:bCs/>
        </w:rPr>
      </w:pPr>
      <w:r w:rsidRPr="00970AD2">
        <w:t>Where</w:t>
      </w:r>
      <w:r w:rsidRPr="00970AD2">
        <w:rPr>
          <w:bCs/>
        </w:rPr>
        <w:t>—</w:t>
      </w:r>
    </w:p>
    <w:p w14:paraId="18B032C6" w14:textId="5BDEB2BA" w:rsidR="006D460C" w:rsidRPr="00970AD2" w:rsidRDefault="00095E20" w:rsidP="00D633D3">
      <w:pPr>
        <w:pStyle w:val="Subdetailssecondindent"/>
        <w:numPr>
          <w:ilvl w:val="0"/>
          <w:numId w:val="14"/>
        </w:numPr>
      </w:pPr>
      <w:r>
        <w:rPr>
          <w:i/>
        </w:rPr>
        <w:t>ESF</w:t>
      </w:r>
      <w:r w:rsidR="006D460C" w:rsidRPr="00970AD2">
        <w:t xml:space="preserve"> is the relevant activity </w:t>
      </w:r>
      <w:r>
        <w:t>energy savings</w:t>
      </w:r>
      <w:r w:rsidR="006D460C" w:rsidRPr="00970AD2">
        <w:t xml:space="preserve"> value prescribed for the activity in </w:t>
      </w:r>
      <w:r w:rsidR="00707468">
        <w:t>t</w:t>
      </w:r>
      <w:r w:rsidR="006D460C" w:rsidRPr="00970AD2">
        <w:t>able 1; and</w:t>
      </w:r>
    </w:p>
    <w:p w14:paraId="3A989FE2" w14:textId="77777777" w:rsidR="006D460C" w:rsidRPr="00970AD2" w:rsidRDefault="006D460C" w:rsidP="000977A2">
      <w:pPr>
        <w:pStyle w:val="Subdetailssecondindent"/>
        <w:rPr>
          <w:i/>
        </w:rPr>
      </w:pPr>
      <w:r w:rsidRPr="00970AD2">
        <w:rPr>
          <w:i/>
        </w:rPr>
        <w:t xml:space="preserve">N </w:t>
      </w:r>
      <w:r w:rsidRPr="00B31F04">
        <w:rPr>
          <w:iCs/>
        </w:rPr>
        <w:t>is the number of activity items undertaken in the premises.</w:t>
      </w:r>
    </w:p>
    <w:p w14:paraId="0C3A85A9" w14:textId="097B783E" w:rsidR="006D460C" w:rsidRPr="000977A2" w:rsidRDefault="006D460C" w:rsidP="000977A2">
      <w:pPr>
        <w:pStyle w:val="Caption"/>
      </w:pPr>
      <w:bookmarkStart w:id="99" w:name="_Toc21868106"/>
      <w:bookmarkStart w:id="100" w:name="_Toc21868238"/>
      <w:bookmarkStart w:id="101" w:name="_Toc37945685"/>
      <w:r w:rsidRPr="000977A2">
        <w:t xml:space="preserve">Table </w:t>
      </w:r>
      <w:r w:rsidR="004A0156">
        <w:rPr>
          <w:noProof/>
        </w:rPr>
        <w:fldChar w:fldCharType="begin"/>
      </w:r>
      <w:r w:rsidR="004A0156">
        <w:rPr>
          <w:noProof/>
        </w:rPr>
        <w:instrText xml:space="preserve"> SEQ Table \* ARABIC </w:instrText>
      </w:r>
      <w:r w:rsidR="004A0156">
        <w:rPr>
          <w:noProof/>
        </w:rPr>
        <w:fldChar w:fldCharType="separate"/>
      </w:r>
      <w:r w:rsidR="00880CB1">
        <w:rPr>
          <w:noProof/>
        </w:rPr>
        <w:t>1</w:t>
      </w:r>
      <w:r w:rsidR="004A0156">
        <w:rPr>
          <w:noProof/>
        </w:rPr>
        <w:fldChar w:fldCharType="end"/>
      </w:r>
      <w:r w:rsidR="00684DA6">
        <w:tab/>
      </w:r>
      <w:r w:rsidR="00A14CCE">
        <w:t xml:space="preserve">Activity </w:t>
      </w:r>
      <w:r w:rsidR="00917F8B">
        <w:t xml:space="preserve">ID </w:t>
      </w:r>
      <w:r w:rsidR="00A14CCE">
        <w:t>1.1</w:t>
      </w:r>
      <w:r w:rsidRPr="000977A2">
        <w:t xml:space="preserve"> </w:t>
      </w:r>
      <w:r w:rsidR="00095E20">
        <w:t>energy savings</w:t>
      </w:r>
      <w:r w:rsidRPr="000977A2">
        <w:t xml:space="preserve"> values for building sealing activities</w:t>
      </w:r>
      <w:bookmarkEnd w:id="99"/>
      <w:bookmarkEnd w:id="100"/>
      <w:bookmarkEnd w:id="101"/>
      <w:r w:rsidR="00684DA6">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035"/>
        <w:gridCol w:w="3761"/>
      </w:tblGrid>
      <w:tr w:rsidR="00A516A3" w:rsidRPr="000977A2" w14:paraId="4601F238" w14:textId="77777777" w:rsidTr="000977A2">
        <w:trPr>
          <w:cantSplit/>
          <w:trHeight w:val="329"/>
          <w:tblHeader/>
        </w:trPr>
        <w:tc>
          <w:tcPr>
            <w:tcW w:w="1418" w:type="dxa"/>
          </w:tcPr>
          <w:p w14:paraId="3C264EBB" w14:textId="77777777" w:rsidR="00A516A3" w:rsidRPr="000977A2" w:rsidRDefault="00A516A3" w:rsidP="00333768">
            <w:pPr>
              <w:pStyle w:val="Tableheader"/>
            </w:pPr>
            <w:r w:rsidRPr="000977A2">
              <w:t>Activity ID</w:t>
            </w:r>
          </w:p>
        </w:tc>
        <w:tc>
          <w:tcPr>
            <w:tcW w:w="4035" w:type="dxa"/>
            <w:noWrap/>
            <w:hideMark/>
          </w:tcPr>
          <w:p w14:paraId="24A72777" w14:textId="77777777" w:rsidR="00A516A3" w:rsidRPr="000977A2" w:rsidRDefault="00A516A3" w:rsidP="00333768">
            <w:pPr>
              <w:pStyle w:val="Tableheader"/>
            </w:pPr>
            <w:r w:rsidRPr="000977A2">
              <w:t>Description</w:t>
            </w:r>
          </w:p>
        </w:tc>
        <w:tc>
          <w:tcPr>
            <w:tcW w:w="3761" w:type="dxa"/>
            <w:noWrap/>
            <w:hideMark/>
          </w:tcPr>
          <w:p w14:paraId="3BA1B74E" w14:textId="53BAB870" w:rsidR="00A516A3" w:rsidRPr="000977A2" w:rsidRDefault="009E6200" w:rsidP="00333768">
            <w:pPr>
              <w:pStyle w:val="Tableheader"/>
            </w:pPr>
            <w:r>
              <w:t>Energy Savings Factor</w:t>
            </w:r>
            <w:r w:rsidR="00A516A3" w:rsidRPr="000977A2">
              <w:t xml:space="preserve"> (</w:t>
            </w:r>
            <w:r>
              <w:t>MWh</w:t>
            </w:r>
            <w:r w:rsidR="00A516A3" w:rsidRPr="000977A2">
              <w:t>)</w:t>
            </w:r>
          </w:p>
        </w:tc>
      </w:tr>
      <w:tr w:rsidR="00A516A3" w:rsidRPr="000977A2" w14:paraId="7F3ACB14" w14:textId="77777777" w:rsidTr="000977A2">
        <w:trPr>
          <w:cantSplit/>
          <w:trHeight w:val="329"/>
        </w:trPr>
        <w:tc>
          <w:tcPr>
            <w:tcW w:w="1418" w:type="dxa"/>
          </w:tcPr>
          <w:p w14:paraId="53B621BD" w14:textId="77777777" w:rsidR="00A516A3" w:rsidRPr="000977A2" w:rsidRDefault="00A516A3" w:rsidP="00333768">
            <w:pPr>
              <w:pStyle w:val="Tabletext"/>
            </w:pPr>
            <w:r w:rsidRPr="000977A2">
              <w:t>1.1(a)</w:t>
            </w:r>
          </w:p>
        </w:tc>
        <w:tc>
          <w:tcPr>
            <w:tcW w:w="4035" w:type="dxa"/>
            <w:noWrap/>
          </w:tcPr>
          <w:p w14:paraId="0D392FDF" w14:textId="77777777" w:rsidR="00A516A3" w:rsidRPr="000977A2" w:rsidRDefault="00A516A3" w:rsidP="00333768">
            <w:pPr>
              <w:pStyle w:val="Tabletext"/>
            </w:pPr>
            <w:r w:rsidRPr="000977A2">
              <w:t>For each door sealed with a product, or a kit comprising several such products, that has a minimum five</w:t>
            </w:r>
            <w:r w:rsidR="00BA41EE">
              <w:t>-</w:t>
            </w:r>
            <w:r w:rsidRPr="000977A2">
              <w:t>year warranty</w:t>
            </w:r>
          </w:p>
        </w:tc>
        <w:tc>
          <w:tcPr>
            <w:tcW w:w="3761" w:type="dxa"/>
            <w:noWrap/>
          </w:tcPr>
          <w:p w14:paraId="65EE3A2D" w14:textId="3D4284A4" w:rsidR="00A516A3" w:rsidRPr="000977A2" w:rsidRDefault="00B222B7" w:rsidP="00333768">
            <w:pPr>
              <w:pStyle w:val="Tabletext"/>
            </w:pPr>
            <w:r>
              <w:t>2.116</w:t>
            </w:r>
          </w:p>
        </w:tc>
      </w:tr>
      <w:tr w:rsidR="00A516A3" w:rsidRPr="000977A2" w14:paraId="43CA4CC4" w14:textId="77777777" w:rsidTr="000977A2">
        <w:trPr>
          <w:cantSplit/>
          <w:trHeight w:val="329"/>
        </w:trPr>
        <w:tc>
          <w:tcPr>
            <w:tcW w:w="1418" w:type="dxa"/>
          </w:tcPr>
          <w:p w14:paraId="0D8DAC57" w14:textId="77777777" w:rsidR="00A516A3" w:rsidRPr="000977A2" w:rsidRDefault="00A516A3" w:rsidP="00333768">
            <w:pPr>
              <w:pStyle w:val="Tabletext"/>
            </w:pPr>
            <w:r w:rsidRPr="000977A2">
              <w:t>1.1(b)</w:t>
            </w:r>
          </w:p>
        </w:tc>
        <w:tc>
          <w:tcPr>
            <w:tcW w:w="4035" w:type="dxa"/>
            <w:noWrap/>
          </w:tcPr>
          <w:p w14:paraId="0F1932A4" w14:textId="77777777" w:rsidR="00A516A3" w:rsidRPr="000977A2" w:rsidRDefault="00A516A3" w:rsidP="00333768">
            <w:pPr>
              <w:pStyle w:val="Tabletext"/>
            </w:pPr>
            <w:r w:rsidRPr="000977A2">
              <w:t>For each m</w:t>
            </w:r>
            <w:r w:rsidRPr="001E01B2">
              <w:rPr>
                <w:vertAlign w:val="superscript"/>
              </w:rPr>
              <w:t>2</w:t>
            </w:r>
            <w:r w:rsidRPr="000977A2">
              <w:t xml:space="preserve"> of openable window, the frame of which is sealed against the opening part using a product, or a kit comprising several such products, that has a minimum five</w:t>
            </w:r>
            <w:r w:rsidR="00BA41EE">
              <w:t>-</w:t>
            </w:r>
            <w:r w:rsidRPr="000977A2">
              <w:t>year warranty</w:t>
            </w:r>
          </w:p>
        </w:tc>
        <w:tc>
          <w:tcPr>
            <w:tcW w:w="3761" w:type="dxa"/>
            <w:noWrap/>
          </w:tcPr>
          <w:p w14:paraId="54B8776C" w14:textId="3BE76D42" w:rsidR="00A516A3" w:rsidRPr="000977A2" w:rsidRDefault="00A516A3" w:rsidP="00333768">
            <w:pPr>
              <w:pStyle w:val="Tabletext"/>
            </w:pPr>
            <w:r w:rsidRPr="000977A2">
              <w:t>0.</w:t>
            </w:r>
            <w:r w:rsidR="00F70013">
              <w:t>53</w:t>
            </w:r>
            <w:r w:rsidR="00B222B7">
              <w:t>1</w:t>
            </w:r>
          </w:p>
        </w:tc>
      </w:tr>
      <w:tr w:rsidR="00A516A3" w:rsidRPr="000977A2" w14:paraId="2E9B1E04" w14:textId="77777777" w:rsidTr="000977A2">
        <w:trPr>
          <w:cantSplit/>
          <w:trHeight w:val="329"/>
        </w:trPr>
        <w:tc>
          <w:tcPr>
            <w:tcW w:w="1418" w:type="dxa"/>
          </w:tcPr>
          <w:p w14:paraId="42EFCF93" w14:textId="77777777" w:rsidR="00A516A3" w:rsidRPr="000977A2" w:rsidRDefault="00A516A3" w:rsidP="00333768">
            <w:pPr>
              <w:pStyle w:val="Tabletext"/>
            </w:pPr>
            <w:r w:rsidRPr="000977A2">
              <w:t>1.1(c)</w:t>
            </w:r>
          </w:p>
        </w:tc>
        <w:tc>
          <w:tcPr>
            <w:tcW w:w="4035" w:type="dxa"/>
            <w:noWrap/>
          </w:tcPr>
          <w:p w14:paraId="04FB021D" w14:textId="77777777" w:rsidR="00A516A3" w:rsidRPr="000977A2" w:rsidRDefault="00A516A3" w:rsidP="00333768">
            <w:pPr>
              <w:pStyle w:val="Tabletext"/>
            </w:pPr>
            <w:r w:rsidRPr="000977A2">
              <w:t>For each ducted evaporative cooler cover that has a minimum five</w:t>
            </w:r>
            <w:r w:rsidR="00BA41EE">
              <w:t>-</w:t>
            </w:r>
            <w:r w:rsidRPr="000977A2">
              <w:t>year warranty</w:t>
            </w:r>
          </w:p>
        </w:tc>
        <w:tc>
          <w:tcPr>
            <w:tcW w:w="3761" w:type="dxa"/>
            <w:noWrap/>
          </w:tcPr>
          <w:p w14:paraId="2C8CBF7E" w14:textId="1E183ABB" w:rsidR="00A516A3" w:rsidRPr="000977A2" w:rsidRDefault="00F70013" w:rsidP="00333768">
            <w:pPr>
              <w:pStyle w:val="Tabletext"/>
            </w:pPr>
            <w:r>
              <w:t>1.23</w:t>
            </w:r>
            <w:r w:rsidR="00B222B7">
              <w:t>3</w:t>
            </w:r>
          </w:p>
        </w:tc>
      </w:tr>
    </w:tbl>
    <w:p w14:paraId="0FDB3FBF" w14:textId="77777777" w:rsidR="003A4CC5" w:rsidRPr="00F875E3" w:rsidRDefault="00F875E3" w:rsidP="00333768">
      <w:pPr>
        <w:pStyle w:val="Sectionheading2"/>
      </w:pPr>
      <w:bookmarkStart w:id="102" w:name="_Toc466535725"/>
      <w:bookmarkStart w:id="103" w:name="_Toc333417631"/>
      <w:r>
        <w:br w:type="page"/>
      </w:r>
      <w:bookmarkStart w:id="104" w:name="_Toc27560542"/>
      <w:r w:rsidR="0036776A" w:rsidRPr="000349ED">
        <w:lastRenderedPageBreak/>
        <w:t>Exhaust</w:t>
      </w:r>
      <w:r w:rsidR="0036776A" w:rsidRPr="00F875E3">
        <w:t xml:space="preserve"> </w:t>
      </w:r>
      <w:r w:rsidR="00CB764A" w:rsidRPr="00F875E3">
        <w:t xml:space="preserve">fan </w:t>
      </w:r>
      <w:r w:rsidR="008166F8" w:rsidRPr="00333768">
        <w:t>sealing</w:t>
      </w:r>
      <w:r w:rsidR="008166F8" w:rsidRPr="00F875E3">
        <w:t xml:space="preserve"> </w:t>
      </w:r>
      <w:r w:rsidR="00CB764A" w:rsidRPr="00F875E3">
        <w:t>activities</w:t>
      </w:r>
      <w:bookmarkEnd w:id="102"/>
      <w:bookmarkEnd w:id="103"/>
      <w:bookmarkEnd w:id="104"/>
      <w:r w:rsidR="00525B32">
        <w:tab/>
      </w:r>
    </w:p>
    <w:p w14:paraId="69293004" w14:textId="77777777" w:rsidR="006D460C" w:rsidRPr="00970AD2" w:rsidRDefault="006D460C" w:rsidP="00333768">
      <w:pPr>
        <w:pStyle w:val="Sectionheading3"/>
      </w:pPr>
      <w:r w:rsidRPr="00F875E3">
        <w:t>Activity</w:t>
      </w:r>
      <w:r w:rsidRPr="00970AD2">
        <w:t xml:space="preserve"> </w:t>
      </w:r>
      <w:r w:rsidRPr="006B4724">
        <w:t>definition</w:t>
      </w:r>
    </w:p>
    <w:p w14:paraId="6C23FB0B" w14:textId="77777777" w:rsidR="006D460C" w:rsidRPr="00970AD2" w:rsidRDefault="006D460C" w:rsidP="00F875E3">
      <w:pPr>
        <w:pStyle w:val="BodytextEEIS"/>
      </w:pPr>
      <w:r w:rsidRPr="00970AD2">
        <w:t>In accordance with the prescribed minimum activity performance specifications, restrict the air infiltration into, or air leakage out of, a premises by carrying out one or more of</w:t>
      </w:r>
      <w:r w:rsidRPr="00970AD2">
        <w:rPr>
          <w:bCs/>
        </w:rPr>
        <w:t>—</w:t>
      </w:r>
    </w:p>
    <w:p w14:paraId="3B62BCEC" w14:textId="77777777" w:rsidR="006D460C" w:rsidRPr="00970AD2" w:rsidRDefault="002B5C27" w:rsidP="00D633D3">
      <w:pPr>
        <w:pStyle w:val="Subdetailsfirstindent"/>
        <w:numPr>
          <w:ilvl w:val="0"/>
          <w:numId w:val="15"/>
        </w:numPr>
      </w:pPr>
      <w:r w:rsidRPr="00741998">
        <w:rPr>
          <w:b/>
        </w:rPr>
        <w:t xml:space="preserve">Activity </w:t>
      </w:r>
      <w:r w:rsidR="00A516A3" w:rsidRPr="00741998">
        <w:rPr>
          <w:b/>
        </w:rPr>
        <w:t xml:space="preserve">ID </w:t>
      </w:r>
      <w:r w:rsidRPr="00741998">
        <w:rPr>
          <w:b/>
        </w:rPr>
        <w:t>1.2(a)</w:t>
      </w:r>
      <w:r w:rsidRPr="00970AD2">
        <w:t xml:space="preserve"> – </w:t>
      </w:r>
      <w:r w:rsidR="006D460C" w:rsidRPr="00970AD2">
        <w:t>removing and decommissioning an exhaust fan that is not fitted with a self-closing sealing device and is installed in a ceiling or wall and replacing the removed exhaust fan with an exhaust fan fitted with a self-closing damper, flap, filter or other sealing product that allows airflow through the exhaust of the fan when the fan is operating, but restricts airflow when the fan is not operating;</w:t>
      </w:r>
    </w:p>
    <w:p w14:paraId="55F6812D" w14:textId="77777777" w:rsidR="006D460C" w:rsidRPr="00970AD2" w:rsidRDefault="002B5C27" w:rsidP="00741998">
      <w:pPr>
        <w:pStyle w:val="Subdetailsfirstindent"/>
      </w:pPr>
      <w:r w:rsidRPr="00970AD2">
        <w:rPr>
          <w:b/>
        </w:rPr>
        <w:t>Activity</w:t>
      </w:r>
      <w:r w:rsidR="00A516A3" w:rsidRPr="00970AD2">
        <w:rPr>
          <w:b/>
        </w:rPr>
        <w:t xml:space="preserve"> ID</w:t>
      </w:r>
      <w:r w:rsidRPr="00970AD2">
        <w:rPr>
          <w:b/>
        </w:rPr>
        <w:t xml:space="preserve"> 1.2(b)</w:t>
      </w:r>
      <w:r w:rsidRPr="00970AD2">
        <w:t xml:space="preserve"> – </w:t>
      </w:r>
      <w:r w:rsidR="006D460C" w:rsidRPr="00970AD2">
        <w:t xml:space="preserve">fitting a product, being a self-closing damper, flap, filter or other sealing product that is designed to be fitted to an existing ceiling or wall exhaust fan so as to allow airflow through the exhaust of the fan when the fan is operating, but restrict airflow when the fan is not operating. </w:t>
      </w:r>
    </w:p>
    <w:p w14:paraId="6CC67436" w14:textId="77777777" w:rsidR="006D460C" w:rsidRPr="00970AD2" w:rsidRDefault="006D460C" w:rsidP="00333768">
      <w:pPr>
        <w:pStyle w:val="Sectionheading3"/>
      </w:pPr>
      <w:r w:rsidRPr="00970AD2">
        <w:t>Minimum activity performance specifications</w:t>
      </w:r>
    </w:p>
    <w:p w14:paraId="146525CB" w14:textId="77777777" w:rsidR="006D460C" w:rsidRPr="00970AD2" w:rsidRDefault="006D460C" w:rsidP="00333768">
      <w:pPr>
        <w:pStyle w:val="BodytextEEIS"/>
        <w:rPr>
          <w:i/>
        </w:rPr>
      </w:pPr>
      <w:r w:rsidRPr="00970AD2">
        <w:t>To be an eligible activity the exhaust fan sealing activity must</w:t>
      </w:r>
      <w:r w:rsidRPr="00970AD2">
        <w:rPr>
          <w:bCs/>
        </w:rPr>
        <w:t>—</w:t>
      </w:r>
    </w:p>
    <w:p w14:paraId="07679F10" w14:textId="77777777" w:rsidR="006D460C" w:rsidRPr="00970AD2" w:rsidRDefault="006D460C" w:rsidP="00D633D3">
      <w:pPr>
        <w:pStyle w:val="Subdetailsfirstindent"/>
        <w:numPr>
          <w:ilvl w:val="0"/>
          <w:numId w:val="17"/>
        </w:numPr>
      </w:pPr>
      <w:r w:rsidRPr="00970AD2">
        <w:t xml:space="preserve">be undertaken at an eligible residential premises; </w:t>
      </w:r>
    </w:p>
    <w:p w14:paraId="2D4DD2C6" w14:textId="77777777" w:rsidR="006D460C" w:rsidRPr="00970AD2" w:rsidRDefault="006D460C" w:rsidP="00333768">
      <w:pPr>
        <w:pStyle w:val="Subdetailsfirstindent"/>
      </w:pPr>
      <w:r w:rsidRPr="00970AD2">
        <w:t xml:space="preserve">be undertaken using a product or products meeting the installed product requirements in section </w:t>
      </w:r>
      <w:r w:rsidR="004F6B1D">
        <w:t>1.2.3</w:t>
      </w:r>
      <w:r w:rsidRPr="00970AD2">
        <w:t xml:space="preserve">; </w:t>
      </w:r>
    </w:p>
    <w:p w14:paraId="1D9BC4FB" w14:textId="77777777" w:rsidR="006D460C" w:rsidRPr="00970AD2" w:rsidRDefault="006D460C" w:rsidP="00333768">
      <w:pPr>
        <w:pStyle w:val="Subdetailsfirstindent"/>
      </w:pPr>
      <w:r w:rsidRPr="00970AD2">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14:paraId="7BE09CDC" w14:textId="77777777" w:rsidR="006D460C" w:rsidRPr="00970AD2" w:rsidRDefault="006D460C" w:rsidP="00333768">
      <w:pPr>
        <w:pStyle w:val="Subdetailsfirstindent"/>
      </w:pPr>
      <w:r w:rsidRPr="00970AD2">
        <w:t>be recorded in accordance with any relevant code of practice for the activity.</w:t>
      </w:r>
    </w:p>
    <w:p w14:paraId="72EE8F4B" w14:textId="77777777" w:rsidR="006D460C" w:rsidRPr="00970AD2" w:rsidRDefault="006D460C" w:rsidP="00333768">
      <w:pPr>
        <w:pStyle w:val="Notesandexamples"/>
      </w:pPr>
      <w:r w:rsidRPr="00970AD2">
        <w:t>Note</w:t>
      </w:r>
      <w:r w:rsidRPr="00970AD2">
        <w:tab/>
        <w:t>All activities are subject to independent inspection or audit to confirm compliance with prescribed activity requirements.</w:t>
      </w:r>
    </w:p>
    <w:p w14:paraId="44FC1553" w14:textId="77777777" w:rsidR="006D460C" w:rsidRPr="00970AD2" w:rsidRDefault="006D460C" w:rsidP="00333768">
      <w:pPr>
        <w:pStyle w:val="Sectionheading3"/>
      </w:pPr>
      <w:r w:rsidRPr="00970AD2">
        <w:t>Installed product requirements</w:t>
      </w:r>
    </w:p>
    <w:p w14:paraId="15CAEC58" w14:textId="77777777" w:rsidR="004838CE" w:rsidRDefault="004838CE" w:rsidP="004838CE">
      <w:pPr>
        <w:pStyle w:val="Sectionheading4"/>
      </w:pPr>
      <w:r>
        <w:t>Ceiling or wall exhaust fan</w:t>
      </w:r>
    </w:p>
    <w:p w14:paraId="24D9A19F" w14:textId="77777777" w:rsidR="006D460C" w:rsidRPr="00970AD2" w:rsidRDefault="006D460C" w:rsidP="00333768">
      <w:pPr>
        <w:pStyle w:val="BodytextEEIS"/>
      </w:pPr>
      <w:r w:rsidRPr="00970AD2">
        <w:t xml:space="preserve">For </w:t>
      </w:r>
      <w:r w:rsidR="001E1649">
        <w:t>A</w:t>
      </w:r>
      <w:r w:rsidRPr="00970AD2">
        <w:t>ctivity</w:t>
      </w:r>
      <w:r w:rsidR="001E1649">
        <w:t xml:space="preserve"> </w:t>
      </w:r>
      <w:r w:rsidRPr="00970AD2">
        <w:t>1</w:t>
      </w:r>
      <w:r w:rsidR="001E1649">
        <w:t>.2</w:t>
      </w:r>
      <w:r w:rsidRPr="00970AD2">
        <w:t>(a), an installed product must be a ceiling or wall exhaust fan that—</w:t>
      </w:r>
    </w:p>
    <w:p w14:paraId="4C1A0656" w14:textId="77777777" w:rsidR="006D460C" w:rsidRPr="00970AD2" w:rsidRDefault="006D460C" w:rsidP="00D633D3">
      <w:pPr>
        <w:pStyle w:val="Subdetailsfirstindent"/>
        <w:numPr>
          <w:ilvl w:val="0"/>
          <w:numId w:val="16"/>
        </w:numPr>
      </w:pPr>
      <w:r w:rsidRPr="00970AD2">
        <w:t>expels air either outside or into the roof space of the premises;</w:t>
      </w:r>
    </w:p>
    <w:p w14:paraId="1D71E637" w14:textId="77777777" w:rsidR="006D460C" w:rsidRPr="00970AD2" w:rsidRDefault="006D460C" w:rsidP="00333768">
      <w:pPr>
        <w:pStyle w:val="Subdetailsfirstindent"/>
      </w:pPr>
      <w:r w:rsidRPr="00970AD2">
        <w:t>is fitted with a self-closing damper, flap, filter or other sealing product that allows airflow through the exhaust of the fan when the fan is operating, but restricts airflo</w:t>
      </w:r>
      <w:r w:rsidR="00700D1D">
        <w:t>w when the fan is not operating;</w:t>
      </w:r>
      <w:r w:rsidR="001E1649">
        <w:t xml:space="preserve"> and</w:t>
      </w:r>
    </w:p>
    <w:p w14:paraId="35997EB5" w14:textId="77777777" w:rsidR="006D460C" w:rsidRPr="00970AD2" w:rsidRDefault="006D460C" w:rsidP="00333768">
      <w:pPr>
        <w:pStyle w:val="Subdetailsfirstindent"/>
      </w:pPr>
      <w:r w:rsidRPr="00970AD2">
        <w:t xml:space="preserve">has a minimum warranty of </w:t>
      </w:r>
      <w:r w:rsidR="001E1649">
        <w:t>five</w:t>
      </w:r>
      <w:r w:rsidRPr="00970AD2">
        <w:t xml:space="preserve"> years</w:t>
      </w:r>
      <w:r w:rsidR="00700D1D">
        <w:t>.</w:t>
      </w:r>
    </w:p>
    <w:p w14:paraId="5C9EBE78" w14:textId="77777777" w:rsidR="00052FCA" w:rsidRDefault="00052FCA" w:rsidP="00052FCA">
      <w:pPr>
        <w:pStyle w:val="Sectionheading4"/>
      </w:pPr>
      <w:r>
        <w:t>Self-closing damper, flap, filter or other sealing product</w:t>
      </w:r>
    </w:p>
    <w:p w14:paraId="50FDDDD4" w14:textId="77777777" w:rsidR="006D460C" w:rsidRPr="00970AD2" w:rsidRDefault="006D460C" w:rsidP="00333768">
      <w:pPr>
        <w:pStyle w:val="BodytextEEIS"/>
      </w:pPr>
      <w:r w:rsidRPr="00970AD2">
        <w:t xml:space="preserve">For </w:t>
      </w:r>
      <w:r w:rsidR="001E1649">
        <w:t>A</w:t>
      </w:r>
      <w:r w:rsidRPr="00970AD2">
        <w:t>ctivity</w:t>
      </w:r>
      <w:r w:rsidR="001E1649">
        <w:t xml:space="preserve"> </w:t>
      </w:r>
      <w:r w:rsidRPr="00970AD2">
        <w:t>1</w:t>
      </w:r>
      <w:r w:rsidR="001E1649">
        <w:t>.2</w:t>
      </w:r>
      <w:r w:rsidRPr="00970AD2">
        <w:t>(b), an installed product must be a self-closing damper, flap, filter or other sealing product that—</w:t>
      </w:r>
    </w:p>
    <w:p w14:paraId="3633FEDC" w14:textId="77777777" w:rsidR="006D460C" w:rsidRPr="00970AD2" w:rsidRDefault="006D460C" w:rsidP="00D633D3">
      <w:pPr>
        <w:pStyle w:val="Subdetailsfirstindent"/>
        <w:numPr>
          <w:ilvl w:val="0"/>
          <w:numId w:val="18"/>
        </w:numPr>
      </w:pPr>
      <w:r w:rsidRPr="00970AD2">
        <w:t>is designed to be fitted to an existing ceiling or wall exhaust fan so as to allow airflow through the exhaust of the fan when the fan is operating, but restrict airflow when the fan is not operating;</w:t>
      </w:r>
      <w:r w:rsidR="001E1649">
        <w:t xml:space="preserve"> and</w:t>
      </w:r>
    </w:p>
    <w:p w14:paraId="03C50688" w14:textId="77777777" w:rsidR="006D460C" w:rsidRPr="00D03237" w:rsidRDefault="006D460C" w:rsidP="00D03237">
      <w:pPr>
        <w:pStyle w:val="Subdetailsfirstindent"/>
      </w:pPr>
      <w:r w:rsidRPr="00970AD2">
        <w:lastRenderedPageBreak/>
        <w:t xml:space="preserve">has a minimum warranty of </w:t>
      </w:r>
      <w:r w:rsidR="001E1649">
        <w:t>five</w:t>
      </w:r>
      <w:r w:rsidRPr="00970AD2">
        <w:t xml:space="preserve"> years</w:t>
      </w:r>
      <w:r w:rsidR="00700D1D">
        <w:t>.</w:t>
      </w:r>
    </w:p>
    <w:p w14:paraId="38984342" w14:textId="77777777" w:rsidR="00052FCA" w:rsidRDefault="00052FCA" w:rsidP="00052FCA">
      <w:pPr>
        <w:pStyle w:val="Sectionheading4"/>
      </w:pPr>
      <w:r>
        <w:t>Self-closing sealing device or existing exhaust fan</w:t>
      </w:r>
    </w:p>
    <w:p w14:paraId="44590920" w14:textId="77777777" w:rsidR="006D460C" w:rsidRPr="00970AD2" w:rsidRDefault="006D460C" w:rsidP="00333768">
      <w:pPr>
        <w:pStyle w:val="BodytextEEIS"/>
      </w:pPr>
      <w:r w:rsidRPr="00970AD2">
        <w:t>If the product is a self-closing sealing device to be fitted to an existing exhaust fan, it must—</w:t>
      </w:r>
    </w:p>
    <w:p w14:paraId="26BFFBC6" w14:textId="77777777" w:rsidR="006D460C" w:rsidRPr="00970AD2" w:rsidRDefault="006D460C" w:rsidP="00D633D3">
      <w:pPr>
        <w:pStyle w:val="Subdetailsfirstindent"/>
        <w:numPr>
          <w:ilvl w:val="0"/>
          <w:numId w:val="19"/>
        </w:numPr>
      </w:pPr>
      <w:r w:rsidRPr="00970AD2">
        <w:t xml:space="preserve">not interfere with the normal operation of the exhaust fan; and </w:t>
      </w:r>
    </w:p>
    <w:p w14:paraId="2E2AAB08" w14:textId="77777777" w:rsidR="006D460C" w:rsidRPr="00970AD2" w:rsidRDefault="006D460C" w:rsidP="00333768">
      <w:pPr>
        <w:pStyle w:val="Subdetailsfirstindent"/>
      </w:pPr>
      <w:r w:rsidRPr="00970AD2">
        <w:t>be compatible with the existing exhaust fan in accordance with the exhaust fan and sealing device manufacturer’s specifications</w:t>
      </w:r>
      <w:r w:rsidR="001E1649">
        <w:t>.</w:t>
      </w:r>
    </w:p>
    <w:p w14:paraId="35F00C0D" w14:textId="77777777" w:rsidR="00052FCA" w:rsidRDefault="00052FCA" w:rsidP="00052FCA">
      <w:pPr>
        <w:pStyle w:val="Sectionheading4"/>
      </w:pPr>
      <w:r>
        <w:t>All installed products</w:t>
      </w:r>
    </w:p>
    <w:p w14:paraId="550B26C3" w14:textId="77777777" w:rsidR="00D03237" w:rsidRPr="00970AD2" w:rsidRDefault="00D03237" w:rsidP="00D03237">
      <w:pPr>
        <w:pStyle w:val="BodytextEEIS"/>
      </w:pPr>
      <w:r w:rsidRPr="00970AD2">
        <w:t>For all activity items</w:t>
      </w:r>
      <w:r w:rsidRPr="00970AD2">
        <w:rPr>
          <w:b/>
          <w:bCs/>
        </w:rPr>
        <w:t>,</w:t>
      </w:r>
      <w:r w:rsidRPr="00970AD2">
        <w:t xml:space="preserve"> an installed product must be a product that</w:t>
      </w:r>
      <w:r w:rsidRPr="00970AD2">
        <w:rPr>
          <w:bCs/>
        </w:rPr>
        <w:t>—</w:t>
      </w:r>
    </w:p>
    <w:p w14:paraId="27DAF117" w14:textId="77777777" w:rsidR="00D03237" w:rsidRPr="00970AD2" w:rsidRDefault="00D03237" w:rsidP="00D633D3">
      <w:pPr>
        <w:pStyle w:val="Subdetailsfirstindent"/>
        <w:numPr>
          <w:ilvl w:val="0"/>
          <w:numId w:val="24"/>
        </w:numPr>
      </w:pPr>
      <w:r w:rsidRPr="00970AD2">
        <w:t>complies with any product safety or other product performance requirements in a relevant code of practice or any other relevant legislation applying to the activity</w:t>
      </w:r>
      <w:r w:rsidRPr="00D03237">
        <w:t xml:space="preserve"> </w:t>
      </w:r>
      <w:r w:rsidRPr="00970AD2">
        <w:t>or product</w:t>
      </w:r>
      <w:r>
        <w:t>,</w:t>
      </w:r>
      <w:r w:rsidRPr="00970AD2">
        <w:t xml:space="preserve"> such as prescribed articles of electrical equipment; and</w:t>
      </w:r>
    </w:p>
    <w:p w14:paraId="155FC890" w14:textId="77777777" w:rsidR="006D460C" w:rsidRPr="00970AD2" w:rsidRDefault="00D03237" w:rsidP="00D03237">
      <w:pPr>
        <w:pStyle w:val="Subdetailsfirstindent"/>
      </w:pPr>
      <w:r w:rsidRPr="00970AD2">
        <w:t>is listed on the register of products for the activity.</w:t>
      </w:r>
    </w:p>
    <w:p w14:paraId="169E018D" w14:textId="77777777" w:rsidR="006D460C" w:rsidRPr="00970AD2" w:rsidRDefault="006D460C" w:rsidP="000B6991">
      <w:pPr>
        <w:pStyle w:val="Sectionheading3"/>
        <w:rPr>
          <w:u w:val="single"/>
        </w:rPr>
      </w:pPr>
      <w:r w:rsidRPr="00970AD2">
        <w:t>Time the activity is taken to be completed</w:t>
      </w:r>
    </w:p>
    <w:p w14:paraId="46AE2B68" w14:textId="77777777" w:rsidR="006D460C" w:rsidRPr="00970AD2" w:rsidRDefault="006D460C" w:rsidP="000B6991">
      <w:pPr>
        <w:pStyle w:val="BodytextEEIS"/>
      </w:pPr>
      <w:r w:rsidRPr="00970AD2">
        <w:t xml:space="preserve">The activity is taken to be completed on the day all applicable prescribed activity requirements are completed. </w:t>
      </w:r>
    </w:p>
    <w:p w14:paraId="22C3FC91" w14:textId="2291D05B" w:rsidR="006D460C" w:rsidRPr="00970AD2" w:rsidRDefault="006D460C" w:rsidP="000B6991">
      <w:pPr>
        <w:pStyle w:val="Sectionheading3"/>
      </w:pPr>
      <w:r w:rsidRPr="00970AD2">
        <w:t xml:space="preserve">Calculation of </w:t>
      </w:r>
      <w:r w:rsidR="00C9308B">
        <w:t>energy savings</w:t>
      </w:r>
      <w:r w:rsidRPr="00970AD2">
        <w:t xml:space="preserve"> factor</w:t>
      </w:r>
    </w:p>
    <w:p w14:paraId="53BCFA9A" w14:textId="0471A10A" w:rsidR="006D460C" w:rsidRPr="00970AD2" w:rsidRDefault="006D460C" w:rsidP="00D03237">
      <w:pPr>
        <w:pStyle w:val="BodytextEEIS"/>
      </w:pPr>
      <w:r w:rsidRPr="00970AD2">
        <w:t xml:space="preserve">The total </w:t>
      </w:r>
      <w:r w:rsidR="00C9308B">
        <w:t>energy savings</w:t>
      </w:r>
      <w:r w:rsidRPr="00970AD2">
        <w:t xml:space="preserve"> factor in </w:t>
      </w:r>
      <w:r w:rsidR="00880CB1">
        <w:t>Megawatt-hours</w:t>
      </w:r>
      <w:r w:rsidR="00C4476A">
        <w:t xml:space="preserve"> (MWh) </w:t>
      </w:r>
      <w:r w:rsidRPr="00970AD2">
        <w:t xml:space="preserve">saved for the activity is the sum of all </w:t>
      </w:r>
      <w:r w:rsidR="00C4476A">
        <w:t>energy savings</w:t>
      </w:r>
      <w:r w:rsidRPr="00970AD2">
        <w:t xml:space="preserve"> factors for each item in the activity definition undertaken in the same premises determined by using the equations prescribed in this section.</w:t>
      </w:r>
    </w:p>
    <w:p w14:paraId="13E6BB11" w14:textId="163BBFB2" w:rsidR="004D25AE" w:rsidRPr="00BB6085" w:rsidRDefault="006D460C" w:rsidP="00D633D3">
      <w:pPr>
        <w:pStyle w:val="Subdetailsfirstindent"/>
        <w:numPr>
          <w:ilvl w:val="0"/>
          <w:numId w:val="190"/>
        </w:numPr>
      </w:pPr>
      <w:r w:rsidRPr="00970AD2">
        <w:t xml:space="preserve">For activity items in </w:t>
      </w:r>
      <w:r w:rsidR="001E1649">
        <w:t>Activity</w:t>
      </w:r>
      <w:r w:rsidR="001E1649" w:rsidRPr="00970AD2">
        <w:t xml:space="preserve"> </w:t>
      </w:r>
      <w:r w:rsidRPr="00970AD2">
        <w:t>1</w:t>
      </w:r>
      <w:r w:rsidR="001E1649">
        <w:t>.2</w:t>
      </w:r>
      <w:r w:rsidRPr="00970AD2">
        <w:t>(a) and 1</w:t>
      </w:r>
      <w:r w:rsidR="001E1649">
        <w:t>.2</w:t>
      </w:r>
      <w:r w:rsidRPr="00970AD2">
        <w:t xml:space="preserve">(b) the </w:t>
      </w:r>
      <w:r w:rsidR="00C4476A">
        <w:t xml:space="preserve">energy savings </w:t>
      </w:r>
      <w:r w:rsidRPr="00970AD2">
        <w:t>factor is calculated as</w:t>
      </w:r>
      <w:r w:rsidRPr="006741CB">
        <w:rPr>
          <w:bCs/>
        </w:rPr>
        <w:t>—</w:t>
      </w:r>
    </w:p>
    <w:p w14:paraId="15A33BD8" w14:textId="6A10EB77" w:rsidR="00BB6085" w:rsidRPr="00970AD2" w:rsidRDefault="00C4476A" w:rsidP="00BB6085">
      <w:pPr>
        <w:pStyle w:val="Formula"/>
      </w:pPr>
      <w:r>
        <w:t>Energy Savings</w:t>
      </w:r>
      <w:r w:rsidR="00BB6085">
        <w:t xml:space="preserve"> factor (</w:t>
      </w:r>
      <w:r>
        <w:t>MWh</w:t>
      </w:r>
      <w:r w:rsidR="00BB6085">
        <w:t xml:space="preserve">) = </w:t>
      </w:r>
      <w:r>
        <w:t>ESF</w:t>
      </w:r>
      <w:r w:rsidR="00BB6085">
        <w:t xml:space="preserve"> x N</w:t>
      </w:r>
    </w:p>
    <w:p w14:paraId="323B7794" w14:textId="77777777" w:rsidR="006D460C" w:rsidRPr="00970AD2" w:rsidRDefault="006D460C" w:rsidP="000B6991">
      <w:pPr>
        <w:pStyle w:val="BodytextEEIS"/>
        <w:rPr>
          <w:bCs/>
        </w:rPr>
      </w:pPr>
      <w:r w:rsidRPr="00970AD2">
        <w:t>Where</w:t>
      </w:r>
      <w:r w:rsidRPr="00970AD2">
        <w:rPr>
          <w:bCs/>
        </w:rPr>
        <w:t>—</w:t>
      </w:r>
    </w:p>
    <w:p w14:paraId="2E6745C1" w14:textId="1EEAC3B6" w:rsidR="006D460C" w:rsidRPr="00970AD2" w:rsidRDefault="00C4476A" w:rsidP="00D633D3">
      <w:pPr>
        <w:pStyle w:val="Subdetailssecondindent"/>
        <w:numPr>
          <w:ilvl w:val="0"/>
          <w:numId w:val="20"/>
        </w:numPr>
      </w:pPr>
      <w:r>
        <w:rPr>
          <w:i/>
        </w:rPr>
        <w:t>ESF</w:t>
      </w:r>
      <w:r w:rsidR="006D460C" w:rsidRPr="00970AD2">
        <w:t xml:space="preserve"> is the relevant activity </w:t>
      </w:r>
      <w:r>
        <w:t xml:space="preserve">energy savings </w:t>
      </w:r>
      <w:r w:rsidR="006D460C" w:rsidRPr="00970AD2">
        <w:t xml:space="preserve">value prescribed for the activity item in </w:t>
      </w:r>
      <w:r w:rsidR="00707468">
        <w:t>t</w:t>
      </w:r>
      <w:r w:rsidR="006D460C" w:rsidRPr="00970AD2">
        <w:t xml:space="preserve">able 2; and </w:t>
      </w:r>
    </w:p>
    <w:p w14:paraId="4AEBC08C" w14:textId="77777777" w:rsidR="006D460C" w:rsidRPr="00970AD2" w:rsidRDefault="006D460C" w:rsidP="000B6991">
      <w:pPr>
        <w:pStyle w:val="Subdetailssecondindent"/>
      </w:pPr>
      <w:r w:rsidRPr="00970AD2">
        <w:rPr>
          <w:i/>
        </w:rPr>
        <w:t>N</w:t>
      </w:r>
      <w:r w:rsidRPr="00970AD2">
        <w:t xml:space="preserve"> is the number of activity items undertaken.</w:t>
      </w:r>
    </w:p>
    <w:p w14:paraId="5146A6FB" w14:textId="2F62DBFC" w:rsidR="006D460C" w:rsidRPr="00970AD2" w:rsidRDefault="006D460C" w:rsidP="000B6991">
      <w:pPr>
        <w:pStyle w:val="Caption"/>
      </w:pPr>
      <w:bookmarkStart w:id="105" w:name="_Toc21868107"/>
      <w:bookmarkStart w:id="106" w:name="_Toc21868239"/>
      <w:bookmarkStart w:id="107" w:name="_Toc37945686"/>
      <w:r w:rsidRPr="00970AD2">
        <w:t>Table</w:t>
      </w:r>
      <w:r w:rsidR="000B6991">
        <w:t xml:space="preserve"> </w:t>
      </w:r>
      <w:r w:rsidR="004A0156">
        <w:rPr>
          <w:noProof/>
        </w:rPr>
        <w:fldChar w:fldCharType="begin"/>
      </w:r>
      <w:r w:rsidR="004A0156">
        <w:rPr>
          <w:noProof/>
        </w:rPr>
        <w:instrText xml:space="preserve"> SEQ Table \* ARABIC </w:instrText>
      </w:r>
      <w:r w:rsidR="004A0156">
        <w:rPr>
          <w:noProof/>
        </w:rPr>
        <w:fldChar w:fldCharType="separate"/>
      </w:r>
      <w:r w:rsidR="00880CB1">
        <w:rPr>
          <w:noProof/>
        </w:rPr>
        <w:t>2</w:t>
      </w:r>
      <w:r w:rsidR="004A0156">
        <w:rPr>
          <w:noProof/>
        </w:rPr>
        <w:fldChar w:fldCharType="end"/>
      </w:r>
      <w:r w:rsidRPr="00970AD2">
        <w:t xml:space="preserve"> </w:t>
      </w:r>
      <w:r w:rsidR="009E6E7F">
        <w:tab/>
      </w:r>
      <w:r w:rsidR="00946EBE">
        <w:t xml:space="preserve">Activity </w:t>
      </w:r>
      <w:r w:rsidR="00917F8B">
        <w:t xml:space="preserve">ID </w:t>
      </w:r>
      <w:r w:rsidR="00946EBE">
        <w:t>1.2</w:t>
      </w:r>
      <w:r w:rsidRPr="00970AD2">
        <w:t xml:space="preserve"> </w:t>
      </w:r>
      <w:r w:rsidR="00C4476A">
        <w:t>energy savings</w:t>
      </w:r>
      <w:r w:rsidRPr="00970AD2">
        <w:t xml:space="preserve"> values for exhaust fan sealing activities</w:t>
      </w:r>
      <w:bookmarkEnd w:id="105"/>
      <w:bookmarkEnd w:id="106"/>
      <w:bookmarkEnd w:id="107"/>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972"/>
        <w:gridCol w:w="3886"/>
      </w:tblGrid>
      <w:tr w:rsidR="00A516A3" w:rsidRPr="00BE69DF" w14:paraId="69F4FFDE" w14:textId="77777777" w:rsidTr="000B6991">
        <w:trPr>
          <w:cantSplit/>
          <w:trHeight w:val="329"/>
          <w:tblHeader/>
        </w:trPr>
        <w:tc>
          <w:tcPr>
            <w:tcW w:w="1384" w:type="dxa"/>
          </w:tcPr>
          <w:p w14:paraId="1E80C925" w14:textId="77777777" w:rsidR="00A516A3" w:rsidRPr="00970AD2" w:rsidRDefault="00A516A3" w:rsidP="000B6991">
            <w:pPr>
              <w:pStyle w:val="Tableheader"/>
            </w:pPr>
            <w:r w:rsidRPr="00970AD2">
              <w:t>Activity ID</w:t>
            </w:r>
          </w:p>
        </w:tc>
        <w:tc>
          <w:tcPr>
            <w:tcW w:w="3972" w:type="dxa"/>
            <w:noWrap/>
            <w:hideMark/>
          </w:tcPr>
          <w:p w14:paraId="4DB161BD" w14:textId="77777777" w:rsidR="00A516A3" w:rsidRPr="00970AD2" w:rsidRDefault="00A516A3" w:rsidP="000B6991">
            <w:pPr>
              <w:pStyle w:val="Tableheader"/>
            </w:pPr>
            <w:r w:rsidRPr="00970AD2">
              <w:t>Description</w:t>
            </w:r>
          </w:p>
        </w:tc>
        <w:tc>
          <w:tcPr>
            <w:tcW w:w="3886" w:type="dxa"/>
            <w:noWrap/>
            <w:hideMark/>
          </w:tcPr>
          <w:p w14:paraId="28FF6C93" w14:textId="7759B58D" w:rsidR="00A516A3" w:rsidRPr="00970AD2" w:rsidRDefault="0053142F" w:rsidP="000B6991">
            <w:pPr>
              <w:pStyle w:val="Tableheader"/>
            </w:pPr>
            <w:r>
              <w:t>Energy Savings Factor</w:t>
            </w:r>
            <w:r w:rsidRPr="000977A2">
              <w:t xml:space="preserve"> (</w:t>
            </w:r>
            <w:r>
              <w:t>MWh</w:t>
            </w:r>
            <w:r w:rsidRPr="000977A2">
              <w:t>)</w:t>
            </w:r>
          </w:p>
        </w:tc>
      </w:tr>
      <w:tr w:rsidR="00A516A3" w:rsidRPr="00BE69DF" w14:paraId="30AE378A" w14:textId="77777777" w:rsidTr="000B6991">
        <w:trPr>
          <w:cantSplit/>
          <w:trHeight w:val="329"/>
        </w:trPr>
        <w:tc>
          <w:tcPr>
            <w:tcW w:w="1384" w:type="dxa"/>
          </w:tcPr>
          <w:p w14:paraId="7708D7E3" w14:textId="77777777" w:rsidR="00A516A3" w:rsidRPr="00BE69DF" w:rsidRDefault="00A516A3" w:rsidP="000B6991">
            <w:pPr>
              <w:pStyle w:val="Tabletext"/>
            </w:pPr>
            <w:r w:rsidRPr="00BE69DF">
              <w:t>1.2(a)</w:t>
            </w:r>
          </w:p>
        </w:tc>
        <w:tc>
          <w:tcPr>
            <w:tcW w:w="3972" w:type="dxa"/>
            <w:noWrap/>
          </w:tcPr>
          <w:p w14:paraId="294F236A" w14:textId="77777777" w:rsidR="00A516A3" w:rsidRPr="00970AD2" w:rsidRDefault="00A516A3" w:rsidP="000B6991">
            <w:pPr>
              <w:pStyle w:val="Tabletext"/>
              <w:rPr>
                <w:color w:val="000000"/>
                <w:sz w:val="22"/>
                <w:szCs w:val="22"/>
              </w:rPr>
            </w:pPr>
            <w:r w:rsidRPr="00BE69DF">
              <w:t>Self-closing exhaust fan</w:t>
            </w:r>
          </w:p>
        </w:tc>
        <w:tc>
          <w:tcPr>
            <w:tcW w:w="3886" w:type="dxa"/>
            <w:noWrap/>
          </w:tcPr>
          <w:p w14:paraId="5C0E6E66" w14:textId="03569751" w:rsidR="00A516A3" w:rsidRPr="00970AD2" w:rsidRDefault="00B222B7" w:rsidP="000B6991">
            <w:pPr>
              <w:pStyle w:val="Tabletext"/>
              <w:rPr>
                <w:rFonts w:eastAsia="Times New Roman"/>
                <w:color w:val="000000"/>
                <w:sz w:val="22"/>
                <w:szCs w:val="22"/>
                <w:lang w:eastAsia="en-AU"/>
              </w:rPr>
            </w:pPr>
            <w:r>
              <w:t>1.399</w:t>
            </w:r>
          </w:p>
        </w:tc>
      </w:tr>
      <w:tr w:rsidR="00A516A3" w:rsidRPr="00D936CF" w14:paraId="0892DA94" w14:textId="77777777" w:rsidTr="000B6991">
        <w:trPr>
          <w:cantSplit/>
          <w:trHeight w:val="329"/>
        </w:trPr>
        <w:tc>
          <w:tcPr>
            <w:tcW w:w="1384" w:type="dxa"/>
          </w:tcPr>
          <w:p w14:paraId="269585F9" w14:textId="77777777" w:rsidR="00A516A3" w:rsidRPr="00BE69DF" w:rsidRDefault="00A516A3" w:rsidP="000B6991">
            <w:pPr>
              <w:pStyle w:val="Tabletext"/>
            </w:pPr>
            <w:r w:rsidRPr="00BE69DF">
              <w:t>1.2(b)</w:t>
            </w:r>
          </w:p>
        </w:tc>
        <w:tc>
          <w:tcPr>
            <w:tcW w:w="3972" w:type="dxa"/>
            <w:noWrap/>
          </w:tcPr>
          <w:p w14:paraId="514156F5" w14:textId="77777777" w:rsidR="00A516A3" w:rsidRPr="00970AD2" w:rsidRDefault="00A516A3" w:rsidP="000B6991">
            <w:pPr>
              <w:pStyle w:val="Tabletext"/>
              <w:rPr>
                <w:color w:val="000000"/>
                <w:sz w:val="22"/>
                <w:szCs w:val="22"/>
              </w:rPr>
            </w:pPr>
            <w:r w:rsidRPr="00BE69DF">
              <w:t>Fitting a self-closing damper to an exhaust fan</w:t>
            </w:r>
          </w:p>
        </w:tc>
        <w:tc>
          <w:tcPr>
            <w:tcW w:w="3886" w:type="dxa"/>
            <w:noWrap/>
          </w:tcPr>
          <w:p w14:paraId="52B1C301" w14:textId="56CFEF57" w:rsidR="00A516A3" w:rsidRPr="00970AD2" w:rsidRDefault="00B222B7" w:rsidP="000B6991">
            <w:pPr>
              <w:pStyle w:val="Tabletext"/>
              <w:rPr>
                <w:rFonts w:eastAsia="Times New Roman"/>
                <w:color w:val="000000"/>
                <w:sz w:val="22"/>
                <w:szCs w:val="22"/>
                <w:lang w:eastAsia="en-AU"/>
              </w:rPr>
            </w:pPr>
            <w:r>
              <w:t>2.678</w:t>
            </w:r>
          </w:p>
        </w:tc>
      </w:tr>
    </w:tbl>
    <w:p w14:paraId="04D811BF" w14:textId="77777777" w:rsidR="003A4CC5" w:rsidRPr="00970AD2" w:rsidRDefault="00A011A7" w:rsidP="00333768">
      <w:pPr>
        <w:pStyle w:val="Sectionheading2"/>
      </w:pPr>
      <w:bookmarkStart w:id="108" w:name="_Toc21867015"/>
      <w:bookmarkStart w:id="109" w:name="_Toc21867016"/>
      <w:bookmarkStart w:id="110" w:name="_Toc21867017"/>
      <w:bookmarkStart w:id="111" w:name="_Toc333417632"/>
      <w:bookmarkStart w:id="112" w:name="_Toc466535726"/>
      <w:bookmarkEnd w:id="108"/>
      <w:bookmarkEnd w:id="109"/>
      <w:bookmarkEnd w:id="110"/>
      <w:r w:rsidRPr="00970AD2">
        <w:rPr>
          <w:color w:val="000000"/>
        </w:rPr>
        <w:br w:type="page"/>
      </w:r>
      <w:bookmarkStart w:id="113" w:name="_Toc27560543"/>
      <w:r w:rsidR="0036776A" w:rsidRPr="00970AD2">
        <w:lastRenderedPageBreak/>
        <w:t>V</w:t>
      </w:r>
      <w:r w:rsidR="00CB764A" w:rsidRPr="00970AD2">
        <w:t xml:space="preserve">entilation opening </w:t>
      </w:r>
      <w:r w:rsidR="004F1712" w:rsidRPr="00970AD2">
        <w:t xml:space="preserve">sealing </w:t>
      </w:r>
      <w:r w:rsidR="00CB764A" w:rsidRPr="00970AD2">
        <w:t>activities</w:t>
      </w:r>
      <w:bookmarkEnd w:id="111"/>
      <w:bookmarkEnd w:id="112"/>
      <w:bookmarkEnd w:id="113"/>
    </w:p>
    <w:p w14:paraId="702D85C7" w14:textId="77777777" w:rsidR="00E07DD0" w:rsidRPr="00970AD2" w:rsidRDefault="00B8614C" w:rsidP="00333768">
      <w:pPr>
        <w:pStyle w:val="Sectionheading3"/>
      </w:pPr>
      <w:r w:rsidRPr="00970AD2">
        <w:t>A</w:t>
      </w:r>
      <w:r w:rsidR="001A78F3" w:rsidRPr="00970AD2">
        <w:t xml:space="preserve">ctivity </w:t>
      </w:r>
      <w:r w:rsidR="006264D1" w:rsidRPr="00970AD2">
        <w:t>d</w:t>
      </w:r>
      <w:r w:rsidR="001A78F3" w:rsidRPr="00970AD2">
        <w:t>efinition</w:t>
      </w:r>
    </w:p>
    <w:p w14:paraId="1D7228BE" w14:textId="77777777" w:rsidR="00E07DD0" w:rsidRPr="00970AD2" w:rsidRDefault="00235DF3" w:rsidP="000B6991">
      <w:pPr>
        <w:pStyle w:val="BodytextEEIS"/>
      </w:pPr>
      <w:r w:rsidRPr="00970AD2">
        <w:t xml:space="preserve">In accordance with the prescribed </w:t>
      </w:r>
      <w:r w:rsidR="00A85A25" w:rsidRPr="00970AD2">
        <w:t>minimum activity performance specifications</w:t>
      </w:r>
      <w:r w:rsidRPr="00970AD2">
        <w:t>, r</w:t>
      </w:r>
      <w:r w:rsidR="001A78F3" w:rsidRPr="00970AD2">
        <w:t>estrict the air infiltration into, or air leakage out of, a premises by carrying out one or more of</w:t>
      </w:r>
      <w:r w:rsidR="001A78F3" w:rsidRPr="00970AD2">
        <w:rPr>
          <w:bCs/>
        </w:rPr>
        <w:t>—</w:t>
      </w:r>
    </w:p>
    <w:p w14:paraId="3F91C7D5" w14:textId="77777777" w:rsidR="00B75D20" w:rsidRPr="00970AD2" w:rsidRDefault="002B5C27" w:rsidP="00D633D3">
      <w:pPr>
        <w:pStyle w:val="Subdetailsfirstindent"/>
        <w:numPr>
          <w:ilvl w:val="0"/>
          <w:numId w:val="21"/>
        </w:numPr>
      </w:pPr>
      <w:r w:rsidRPr="000B6991">
        <w:rPr>
          <w:b/>
        </w:rPr>
        <w:t xml:space="preserve">Activity </w:t>
      </w:r>
      <w:r w:rsidR="00A516A3" w:rsidRPr="000B6991">
        <w:rPr>
          <w:b/>
        </w:rPr>
        <w:t xml:space="preserve">ID </w:t>
      </w:r>
      <w:r w:rsidRPr="000B6991">
        <w:rPr>
          <w:b/>
        </w:rPr>
        <w:t>1.3(a)</w:t>
      </w:r>
      <w:r w:rsidRPr="00970AD2">
        <w:t xml:space="preserve"> – </w:t>
      </w:r>
      <w:r w:rsidR="00B8614C" w:rsidRPr="00970AD2">
        <w:t>i</w:t>
      </w:r>
      <w:r w:rsidR="001A78F3" w:rsidRPr="00970AD2">
        <w:t>nstalling a sealing product or products to permanently seal ventilation openings</w:t>
      </w:r>
      <w:r w:rsidR="00DD2420" w:rsidRPr="00970AD2">
        <w:t xml:space="preserve"> in an external wall, other than external wall openings to underfloor enclosures;</w:t>
      </w:r>
      <w:r w:rsidR="00235DF3" w:rsidRPr="00970AD2">
        <w:t xml:space="preserve"> </w:t>
      </w:r>
    </w:p>
    <w:p w14:paraId="56AC02CE" w14:textId="77777777" w:rsidR="00B75D20" w:rsidRDefault="002B5C27" w:rsidP="000B6991">
      <w:pPr>
        <w:pStyle w:val="Subdetailsfirstindent"/>
      </w:pPr>
      <w:r w:rsidRPr="00970AD2">
        <w:rPr>
          <w:b/>
        </w:rPr>
        <w:t>Activity</w:t>
      </w:r>
      <w:r w:rsidR="00A516A3" w:rsidRPr="00970AD2">
        <w:rPr>
          <w:b/>
        </w:rPr>
        <w:t xml:space="preserve"> ID</w:t>
      </w:r>
      <w:r w:rsidRPr="00970AD2">
        <w:rPr>
          <w:b/>
        </w:rPr>
        <w:t xml:space="preserve"> 1.3(b)</w:t>
      </w:r>
      <w:r w:rsidRPr="00970AD2">
        <w:t xml:space="preserve"> – </w:t>
      </w:r>
      <w:r w:rsidR="00B8614C" w:rsidRPr="00970AD2">
        <w:t>i</w:t>
      </w:r>
      <w:r w:rsidR="001A78F3" w:rsidRPr="00970AD2">
        <w:t xml:space="preserve">nstalling a damper or </w:t>
      </w:r>
      <w:r w:rsidR="00DD2420" w:rsidRPr="00970AD2">
        <w:t xml:space="preserve">flap </w:t>
      </w:r>
      <w:r w:rsidR="001A78F3" w:rsidRPr="00970AD2">
        <w:t>in a chimney or flue of an open solid fuel burning appliance that can be closed to seal the chimney or flue</w:t>
      </w:r>
      <w:r w:rsidR="00235DF3" w:rsidRPr="00970AD2">
        <w:t>.</w:t>
      </w:r>
    </w:p>
    <w:p w14:paraId="1FF47D2B" w14:textId="77777777" w:rsidR="00A85A25" w:rsidRPr="00970AD2" w:rsidRDefault="00A85A25" w:rsidP="00333768">
      <w:pPr>
        <w:pStyle w:val="Sectionheading3"/>
      </w:pPr>
      <w:r w:rsidRPr="00970AD2">
        <w:t>Minimum activity performance specifications</w:t>
      </w:r>
    </w:p>
    <w:p w14:paraId="0172966B" w14:textId="77777777" w:rsidR="00577459" w:rsidRPr="00970AD2" w:rsidRDefault="001A78F3" w:rsidP="000B6991">
      <w:pPr>
        <w:pStyle w:val="BodytextEEIS"/>
        <w:rPr>
          <w:i/>
        </w:rPr>
      </w:pPr>
      <w:r w:rsidRPr="00970AD2">
        <w:t xml:space="preserve">To be an eligible activity the </w:t>
      </w:r>
      <w:r w:rsidR="00643703" w:rsidRPr="00970AD2">
        <w:t xml:space="preserve">ventilation opening sealing </w:t>
      </w:r>
      <w:r w:rsidRPr="00970AD2">
        <w:t>activity must</w:t>
      </w:r>
      <w:r w:rsidRPr="00970AD2">
        <w:rPr>
          <w:bCs/>
        </w:rPr>
        <w:t>—</w:t>
      </w:r>
    </w:p>
    <w:p w14:paraId="24013867" w14:textId="77777777" w:rsidR="00B75D20" w:rsidRPr="00970AD2" w:rsidRDefault="001A78F3" w:rsidP="00D633D3">
      <w:pPr>
        <w:pStyle w:val="Subdetailsfirstindent"/>
        <w:numPr>
          <w:ilvl w:val="0"/>
          <w:numId w:val="22"/>
        </w:numPr>
      </w:pPr>
      <w:r w:rsidRPr="00970AD2">
        <w:t xml:space="preserve">be undertaken at an eligible residential premises; </w:t>
      </w:r>
    </w:p>
    <w:p w14:paraId="5DDD7D5E" w14:textId="77777777" w:rsidR="00B75D20" w:rsidRPr="00970AD2" w:rsidRDefault="001A78F3" w:rsidP="000B6991">
      <w:pPr>
        <w:pStyle w:val="Subdetailsfirstindent"/>
      </w:pPr>
      <w:r w:rsidRPr="00970AD2">
        <w:t xml:space="preserve">be undertaken using a product or products meeting the installed product requirements in section </w:t>
      </w:r>
      <w:r w:rsidR="000E2D35">
        <w:t>1.3.</w:t>
      </w:r>
      <w:r w:rsidRPr="00970AD2">
        <w:t xml:space="preserve">3; </w:t>
      </w:r>
    </w:p>
    <w:p w14:paraId="151F5C1A" w14:textId="77777777" w:rsidR="00B75D20" w:rsidRPr="00970AD2" w:rsidRDefault="001A78F3" w:rsidP="000B6991">
      <w:pPr>
        <w:pStyle w:val="Subdetailsfirstindent"/>
      </w:pPr>
      <w:r w:rsidRPr="00970AD2">
        <w:t>be completed such that when undertaken</w:t>
      </w:r>
      <w:r w:rsidRPr="00970AD2">
        <w:rPr>
          <w:bCs/>
        </w:rPr>
        <w:t>—</w:t>
      </w:r>
    </w:p>
    <w:p w14:paraId="6F1CFE40" w14:textId="77777777" w:rsidR="00B75D20" w:rsidRPr="00970AD2" w:rsidRDefault="001A78F3" w:rsidP="00D633D3">
      <w:pPr>
        <w:pStyle w:val="Subdetailssecondindent"/>
        <w:numPr>
          <w:ilvl w:val="0"/>
          <w:numId w:val="23"/>
        </w:numPr>
      </w:pPr>
      <w:r w:rsidRPr="00970AD2">
        <w:t xml:space="preserve">separately; </w:t>
      </w:r>
    </w:p>
    <w:p w14:paraId="4652CEEB" w14:textId="77777777" w:rsidR="00B75D20" w:rsidRPr="00970AD2" w:rsidRDefault="001A78F3" w:rsidP="000B6991">
      <w:pPr>
        <w:pStyle w:val="Subdetailssecondindent"/>
      </w:pPr>
      <w:r w:rsidRPr="00970AD2">
        <w:t xml:space="preserve">in combination with another eligible activity or activities; </w:t>
      </w:r>
      <w:r w:rsidR="000E2D35">
        <w:t>or</w:t>
      </w:r>
    </w:p>
    <w:p w14:paraId="71D8D5F9" w14:textId="77777777" w:rsidR="00B75D20" w:rsidRPr="00970AD2" w:rsidRDefault="001A78F3" w:rsidP="000B6991">
      <w:pPr>
        <w:pStyle w:val="Subdetailssecondindent"/>
      </w:pPr>
      <w:r w:rsidRPr="00970AD2">
        <w:t xml:space="preserve">in </w:t>
      </w:r>
      <w:r w:rsidR="009D2D19" w:rsidRPr="00970AD2">
        <w:t>association</w:t>
      </w:r>
      <w:r w:rsidRPr="00970AD2">
        <w:t xml:space="preserve"> with other work in the premises; </w:t>
      </w:r>
    </w:p>
    <w:p w14:paraId="2695B209" w14:textId="77777777" w:rsidR="00B75D20" w:rsidRPr="00970AD2" w:rsidRDefault="00F9391B" w:rsidP="00D03237">
      <w:pPr>
        <w:pStyle w:val="Subdetailssecondindent"/>
        <w:numPr>
          <w:ilvl w:val="0"/>
          <w:numId w:val="0"/>
        </w:numPr>
        <w:ind w:left="993"/>
      </w:pPr>
      <w:r w:rsidRPr="00970AD2">
        <w:t xml:space="preserve">the installation </w:t>
      </w:r>
      <w:r w:rsidR="001A78F3" w:rsidRPr="00970AD2">
        <w:t xml:space="preserve">maintains natural air changes and ventilation at a rate that complies with the building code and other relevant legislation in force at the time of installation; </w:t>
      </w:r>
    </w:p>
    <w:p w14:paraId="57DBD16B" w14:textId="77777777" w:rsidR="00B75D20" w:rsidRPr="00970AD2" w:rsidRDefault="00DD2420" w:rsidP="000B6991">
      <w:pPr>
        <w:pStyle w:val="Subdetailsfirstindent"/>
      </w:pPr>
      <w:r w:rsidRPr="00970AD2">
        <w:t xml:space="preserve">for </w:t>
      </w:r>
      <w:r w:rsidR="000E2D35">
        <w:rPr>
          <w:iCs/>
        </w:rPr>
        <w:t>A</w:t>
      </w:r>
      <w:r w:rsidR="00224144" w:rsidRPr="00970AD2">
        <w:rPr>
          <w:iCs/>
        </w:rPr>
        <w:t>ctivity</w:t>
      </w:r>
      <w:r w:rsidR="000E2D35">
        <w:rPr>
          <w:iCs/>
        </w:rPr>
        <w:t xml:space="preserve"> </w:t>
      </w:r>
      <w:r w:rsidR="00224144" w:rsidRPr="00970AD2">
        <w:rPr>
          <w:iCs/>
        </w:rPr>
        <w:t>1.3</w:t>
      </w:r>
      <w:r w:rsidR="00BE69DF" w:rsidRPr="00970AD2">
        <w:rPr>
          <w:iCs/>
        </w:rPr>
        <w:t>(b),</w:t>
      </w:r>
      <w:r w:rsidRPr="00970AD2">
        <w:t xml:space="preserve"> allow the safe and effective operation of the solid fuel burning appliance; </w:t>
      </w:r>
    </w:p>
    <w:p w14:paraId="26FDE105" w14:textId="77777777" w:rsidR="00B75D20" w:rsidRPr="00970AD2" w:rsidRDefault="00DD2420" w:rsidP="000B6991">
      <w:pPr>
        <w:pStyle w:val="Subdetailsfirstindent"/>
      </w:pPr>
      <w:r w:rsidRPr="00970AD2">
        <w:t xml:space="preserve">be completed and </w:t>
      </w:r>
      <w:r w:rsidR="008606E4" w:rsidRPr="00970AD2">
        <w:t>certified in accordance with the relevant code or codes of practice and other relevant legislation applying to the activity, including any licensing, registration, statutory approval, activity certification, health, safety, environmental or waste disposal requirements</w:t>
      </w:r>
      <w:r w:rsidRPr="00970AD2">
        <w:t xml:space="preserve">; and </w:t>
      </w:r>
    </w:p>
    <w:p w14:paraId="74AE4CE9" w14:textId="77777777" w:rsidR="00B75D20" w:rsidRPr="00970AD2" w:rsidRDefault="00DD2420" w:rsidP="000B6991">
      <w:pPr>
        <w:pStyle w:val="Subdetailsfirstindent"/>
      </w:pPr>
      <w:r w:rsidRPr="00970AD2">
        <w:t>be recorded in accordance with any relevant code of practice for the activity.</w:t>
      </w:r>
    </w:p>
    <w:p w14:paraId="5DC98D84" w14:textId="77777777" w:rsidR="00B8614C" w:rsidRPr="00970AD2" w:rsidRDefault="008F48EC" w:rsidP="000B6991">
      <w:pPr>
        <w:pStyle w:val="Notesandexamples"/>
      </w:pPr>
      <w:r w:rsidRPr="00970AD2">
        <w:t>Note</w:t>
      </w:r>
      <w:r w:rsidR="00B8614C" w:rsidRPr="00970AD2">
        <w:t xml:space="preserve"> 1</w:t>
      </w:r>
      <w:r w:rsidRPr="00970AD2">
        <w:tab/>
      </w:r>
      <w:r w:rsidR="00B8614C" w:rsidRPr="00970AD2">
        <w:t>Sealing of ventilation openings and installation of sealing to a chimney or flue of a solid fuel burning appliance are subject to obtaining any required building approvals.</w:t>
      </w:r>
    </w:p>
    <w:p w14:paraId="1846D8FF" w14:textId="77777777" w:rsidR="008F48EC" w:rsidRPr="00970AD2" w:rsidRDefault="00B8614C" w:rsidP="000B6991">
      <w:pPr>
        <w:pStyle w:val="Notesandexamples"/>
      </w:pPr>
      <w:r w:rsidRPr="00970AD2">
        <w:t>Note 2</w:t>
      </w:r>
      <w:r w:rsidRPr="00970AD2">
        <w:tab/>
      </w:r>
      <w:r w:rsidR="008F48EC" w:rsidRPr="00970AD2">
        <w:t>All activities are subject to independent inspection or audit to confirm compliance with prescribed activity requirements.</w:t>
      </w:r>
    </w:p>
    <w:p w14:paraId="70FF7285" w14:textId="77777777" w:rsidR="00E07DD0" w:rsidRPr="00970AD2" w:rsidRDefault="006264D1" w:rsidP="000B6991">
      <w:pPr>
        <w:pStyle w:val="Sectionheading3"/>
        <w:rPr>
          <w:u w:val="single"/>
        </w:rPr>
      </w:pPr>
      <w:r w:rsidRPr="00970AD2">
        <w:t>Installed product requirements</w:t>
      </w:r>
    </w:p>
    <w:p w14:paraId="12D947E3" w14:textId="77777777" w:rsidR="00E07DD0" w:rsidRPr="00970AD2" w:rsidRDefault="009948A4" w:rsidP="00BE2474">
      <w:pPr>
        <w:pStyle w:val="BodytextEEIS"/>
      </w:pPr>
      <w:r w:rsidRPr="00970AD2">
        <w:t xml:space="preserve">For </w:t>
      </w:r>
      <w:r w:rsidR="000E2D35">
        <w:t>A</w:t>
      </w:r>
      <w:r w:rsidR="003B760C" w:rsidRPr="00970AD2">
        <w:t>ctivity 1.3(a)</w:t>
      </w:r>
      <w:r w:rsidR="00B8614C" w:rsidRPr="00970AD2">
        <w:t xml:space="preserve">, an installed product must be a product </w:t>
      </w:r>
      <w:r w:rsidR="001A78F3" w:rsidRPr="00970AD2">
        <w:t xml:space="preserve">suitable for </w:t>
      </w:r>
      <w:r w:rsidR="00DD2420" w:rsidRPr="00970AD2">
        <w:t>sealing, or restricting air infiltration and</w:t>
      </w:r>
      <w:r w:rsidR="008F48EC" w:rsidRPr="00970AD2">
        <w:t xml:space="preserve"> leakage from</w:t>
      </w:r>
      <w:r w:rsidR="00DD2420" w:rsidRPr="00970AD2">
        <w:t xml:space="preserve"> </w:t>
      </w:r>
      <w:r w:rsidR="001A78F3" w:rsidRPr="00970AD2">
        <w:t>a ventilation opening in an external wall.</w:t>
      </w:r>
    </w:p>
    <w:p w14:paraId="34A794C6" w14:textId="77777777" w:rsidR="00E07DD0" w:rsidRPr="00970AD2" w:rsidRDefault="009948A4" w:rsidP="00BE2474">
      <w:pPr>
        <w:pStyle w:val="BodytextEEIS"/>
      </w:pPr>
      <w:r w:rsidRPr="00970AD2">
        <w:t xml:space="preserve">For </w:t>
      </w:r>
      <w:r w:rsidR="000E2D35">
        <w:t>A</w:t>
      </w:r>
      <w:r w:rsidR="003B760C" w:rsidRPr="00970AD2">
        <w:t>ctivity 1.3(b)</w:t>
      </w:r>
      <w:r w:rsidR="00B8614C" w:rsidRPr="00970AD2">
        <w:t>, an installed product must be a product that is a</w:t>
      </w:r>
      <w:r w:rsidR="001A78F3" w:rsidRPr="00970AD2">
        <w:t xml:space="preserve"> </w:t>
      </w:r>
      <w:r w:rsidR="00457D17" w:rsidRPr="00970AD2">
        <w:t xml:space="preserve">damper or flap </w:t>
      </w:r>
      <w:r w:rsidR="00DD2420" w:rsidRPr="00970AD2">
        <w:t xml:space="preserve">suitable for installation in the solid fuel burning appliance in which it is installed </w:t>
      </w:r>
      <w:r w:rsidR="001A78F3" w:rsidRPr="00970AD2">
        <w:t>that can be closed to seal a chimney or flue chimney and can be opened to allow the safe and effective operation</w:t>
      </w:r>
      <w:r w:rsidR="00DD2420" w:rsidRPr="00970AD2">
        <w:t xml:space="preserve"> of the </w:t>
      </w:r>
      <w:r w:rsidR="001A78F3" w:rsidRPr="00970AD2">
        <w:t>appliance</w:t>
      </w:r>
      <w:r w:rsidR="00DD2420" w:rsidRPr="00970AD2">
        <w:t>.</w:t>
      </w:r>
    </w:p>
    <w:p w14:paraId="1C034A72" w14:textId="77777777" w:rsidR="00BB34F2" w:rsidRPr="00970AD2" w:rsidRDefault="00B8614C" w:rsidP="00BE2474">
      <w:pPr>
        <w:pStyle w:val="BodytextEEIS"/>
      </w:pPr>
      <w:r w:rsidRPr="00970AD2">
        <w:t>For all activity items</w:t>
      </w:r>
      <w:r w:rsidR="00BB34F2" w:rsidRPr="00970AD2">
        <w:rPr>
          <w:b/>
          <w:bCs/>
        </w:rPr>
        <w:t>,</w:t>
      </w:r>
      <w:r w:rsidR="008F48EC" w:rsidRPr="00970AD2">
        <w:t xml:space="preserve"> </w:t>
      </w:r>
      <w:r w:rsidRPr="00970AD2">
        <w:t>an installed product must be a product that</w:t>
      </w:r>
      <w:r w:rsidR="00BB34F2" w:rsidRPr="00970AD2">
        <w:rPr>
          <w:bCs/>
        </w:rPr>
        <w:t>—</w:t>
      </w:r>
    </w:p>
    <w:p w14:paraId="454BBB13" w14:textId="77777777" w:rsidR="00B75D20" w:rsidRPr="00970AD2" w:rsidRDefault="00B8614C" w:rsidP="00D633D3">
      <w:pPr>
        <w:pStyle w:val="Subdetailsfirstindent"/>
        <w:numPr>
          <w:ilvl w:val="0"/>
          <w:numId w:val="227"/>
        </w:numPr>
      </w:pPr>
      <w:r w:rsidRPr="00970AD2">
        <w:t xml:space="preserve">complies with </w:t>
      </w:r>
      <w:r w:rsidR="008F48EC" w:rsidRPr="00970AD2">
        <w:t xml:space="preserve">any product safety or other product </w:t>
      </w:r>
      <w:r w:rsidRPr="00970AD2">
        <w:t xml:space="preserve">performance </w:t>
      </w:r>
      <w:r w:rsidR="008F48EC" w:rsidRPr="00970AD2">
        <w:t xml:space="preserve">requirements in a relevant code of practice or any other relevant legislation </w:t>
      </w:r>
      <w:r w:rsidR="002A71DE" w:rsidRPr="00970AD2">
        <w:t>applying to</w:t>
      </w:r>
      <w:r w:rsidR="008F48EC" w:rsidRPr="00970AD2">
        <w:t xml:space="preserve"> the activity</w:t>
      </w:r>
      <w:r w:rsidR="00BB34F2" w:rsidRPr="00970AD2">
        <w:t>; and</w:t>
      </w:r>
    </w:p>
    <w:p w14:paraId="0554A292" w14:textId="77777777" w:rsidR="00E82AC2" w:rsidRPr="00970AD2" w:rsidRDefault="00BB34F2" w:rsidP="00BE2474">
      <w:pPr>
        <w:pStyle w:val="Subdetailsfirstindent"/>
      </w:pPr>
      <w:r w:rsidRPr="00970AD2">
        <w:lastRenderedPageBreak/>
        <w:t>is listed on the register of products for the activity</w:t>
      </w:r>
      <w:r w:rsidR="008F48EC" w:rsidRPr="00970AD2">
        <w:t>.</w:t>
      </w:r>
    </w:p>
    <w:p w14:paraId="1AED6646" w14:textId="77777777" w:rsidR="00E07DD0" w:rsidRPr="00970AD2" w:rsidRDefault="001A78F3" w:rsidP="00BE2474">
      <w:pPr>
        <w:pStyle w:val="Sectionheading3"/>
        <w:rPr>
          <w:u w:val="single"/>
        </w:rPr>
      </w:pPr>
      <w:r w:rsidRPr="00970AD2">
        <w:t>Time the activity is taken to be completed</w:t>
      </w:r>
    </w:p>
    <w:p w14:paraId="20795DDA" w14:textId="77777777" w:rsidR="004F1712" w:rsidRPr="00970AD2" w:rsidRDefault="004F1712" w:rsidP="00BE2474">
      <w:pPr>
        <w:pStyle w:val="BodytextEEIS"/>
      </w:pPr>
      <w:r w:rsidRPr="00970AD2">
        <w:t xml:space="preserve">The activity is taken to be completed on the day all applicable prescribed activity requirements are completed. </w:t>
      </w:r>
    </w:p>
    <w:p w14:paraId="6B12468A" w14:textId="021DCC1A" w:rsidR="00E07DD0" w:rsidRPr="00970AD2" w:rsidRDefault="001A78F3" w:rsidP="00BE2474">
      <w:pPr>
        <w:pStyle w:val="Sectionheading3"/>
        <w:rPr>
          <w:u w:val="single"/>
        </w:rPr>
      </w:pPr>
      <w:r w:rsidRPr="00970AD2">
        <w:t>Calculation of</w:t>
      </w:r>
      <w:r w:rsidR="00577459" w:rsidRPr="00970AD2">
        <w:t xml:space="preserve"> </w:t>
      </w:r>
      <w:r w:rsidR="0053142F">
        <w:t>energy savings</w:t>
      </w:r>
      <w:r w:rsidR="00577459" w:rsidRPr="00970AD2">
        <w:t xml:space="preserve"> factor</w:t>
      </w:r>
    </w:p>
    <w:p w14:paraId="37290DE0" w14:textId="5C41CFD1" w:rsidR="00831F19" w:rsidRPr="00970AD2" w:rsidRDefault="009948A4" w:rsidP="00D03237">
      <w:pPr>
        <w:pStyle w:val="BodytextEEIS"/>
      </w:pPr>
      <w:r w:rsidRPr="00970AD2">
        <w:t xml:space="preserve">The total </w:t>
      </w:r>
      <w:r w:rsidR="0053142F">
        <w:t>energy savings</w:t>
      </w:r>
      <w:r w:rsidRPr="00970AD2">
        <w:t xml:space="preserve"> factor in </w:t>
      </w:r>
      <w:r w:rsidR="00880CB1">
        <w:t>Megawatt-hours</w:t>
      </w:r>
      <w:r w:rsidR="0053142F">
        <w:t xml:space="preserve"> (MWh) </w:t>
      </w:r>
      <w:r w:rsidRPr="00970AD2">
        <w:t xml:space="preserve">saved for the activity is the sum of all </w:t>
      </w:r>
      <w:r w:rsidR="0053142F">
        <w:t>energy savings</w:t>
      </w:r>
      <w:r w:rsidRPr="00970AD2">
        <w:t xml:space="preserve"> factors for each item in the activity definition undertaken in the same premises, determined by using the equations prescribed in this section.</w:t>
      </w:r>
    </w:p>
    <w:p w14:paraId="3D061A06" w14:textId="63CE59F8" w:rsidR="00BB6085" w:rsidRDefault="009948A4" w:rsidP="00D633D3">
      <w:pPr>
        <w:pStyle w:val="Subdetailsfirstindent"/>
        <w:numPr>
          <w:ilvl w:val="0"/>
          <w:numId w:val="191"/>
        </w:numPr>
      </w:pPr>
      <w:r w:rsidRPr="00970AD2">
        <w:t xml:space="preserve">For </w:t>
      </w:r>
      <w:r w:rsidR="000E2D35" w:rsidRPr="006741CB">
        <w:rPr>
          <w:iCs/>
        </w:rPr>
        <w:t>A</w:t>
      </w:r>
      <w:r w:rsidR="003B760C" w:rsidRPr="006741CB">
        <w:rPr>
          <w:iCs/>
        </w:rPr>
        <w:t>ctivity</w:t>
      </w:r>
      <w:r w:rsidR="000E2D35" w:rsidRPr="001B766F">
        <w:rPr>
          <w:iCs/>
        </w:rPr>
        <w:t xml:space="preserve"> </w:t>
      </w:r>
      <w:r w:rsidR="003B760C" w:rsidRPr="001B766F">
        <w:rPr>
          <w:iCs/>
        </w:rPr>
        <w:t>1.3</w:t>
      </w:r>
      <w:r w:rsidR="008A6EEB" w:rsidRPr="001B766F">
        <w:rPr>
          <w:iCs/>
        </w:rPr>
        <w:t>(a) and 1.3</w:t>
      </w:r>
      <w:r w:rsidR="003B760C" w:rsidRPr="001B766F">
        <w:rPr>
          <w:iCs/>
        </w:rPr>
        <w:t>(b)</w:t>
      </w:r>
      <w:r w:rsidRPr="00970AD2">
        <w:t xml:space="preserve"> the </w:t>
      </w:r>
      <w:r w:rsidR="0053142F">
        <w:t>energy savings</w:t>
      </w:r>
      <w:r w:rsidRPr="00970AD2">
        <w:t xml:space="preserve"> factor is calculated as</w:t>
      </w:r>
      <w:r w:rsidRPr="006741CB">
        <w:rPr>
          <w:bCs/>
        </w:rPr>
        <w:t>—</w:t>
      </w:r>
      <w:r w:rsidRPr="00970AD2">
        <w:t xml:space="preserve">  </w:t>
      </w:r>
    </w:p>
    <w:p w14:paraId="2E21353E" w14:textId="41E9CFB4" w:rsidR="00BB6085" w:rsidRDefault="0053142F" w:rsidP="00BB6085">
      <w:pPr>
        <w:pStyle w:val="Formula"/>
      </w:pPr>
      <w:r>
        <w:t>Energy Savings</w:t>
      </w:r>
      <w:r w:rsidR="00BB6085">
        <w:t xml:space="preserve"> factor (</w:t>
      </w:r>
      <w:r>
        <w:t>MWh</w:t>
      </w:r>
      <w:r w:rsidR="00BB6085">
        <w:t xml:space="preserve">) = </w:t>
      </w:r>
      <w:r>
        <w:t>ESF</w:t>
      </w:r>
      <w:r w:rsidR="00BB6085">
        <w:t xml:space="preserve"> x N</w:t>
      </w:r>
    </w:p>
    <w:p w14:paraId="4B0455ED" w14:textId="77777777" w:rsidR="00DD2420" w:rsidRPr="00970AD2" w:rsidRDefault="00DD2420" w:rsidP="00BE2474">
      <w:pPr>
        <w:pStyle w:val="BodytextEEIS"/>
        <w:rPr>
          <w:bCs/>
        </w:rPr>
      </w:pPr>
      <w:r w:rsidRPr="00970AD2">
        <w:t>Where</w:t>
      </w:r>
      <w:r w:rsidRPr="00970AD2">
        <w:rPr>
          <w:bCs/>
        </w:rPr>
        <w:t>—</w:t>
      </w:r>
    </w:p>
    <w:p w14:paraId="00614D1A" w14:textId="3FB49C1C" w:rsidR="00831F19" w:rsidRPr="00970AD2" w:rsidRDefault="0053142F" w:rsidP="00D633D3">
      <w:pPr>
        <w:pStyle w:val="Subdetailssecondindent"/>
        <w:numPr>
          <w:ilvl w:val="0"/>
          <w:numId w:val="25"/>
        </w:numPr>
      </w:pPr>
      <w:r>
        <w:rPr>
          <w:i/>
          <w:iCs/>
        </w:rPr>
        <w:t>ESF</w:t>
      </w:r>
      <w:r w:rsidR="00DD2420" w:rsidRPr="00970AD2">
        <w:t xml:space="preserve"> is the relev</w:t>
      </w:r>
      <w:r w:rsidR="00145992" w:rsidRPr="00970AD2">
        <w:t>a</w:t>
      </w:r>
      <w:r w:rsidR="00DD2420" w:rsidRPr="00970AD2">
        <w:t xml:space="preserve">nt activity </w:t>
      </w:r>
      <w:r>
        <w:t>energy savings</w:t>
      </w:r>
      <w:r w:rsidR="00DD2420" w:rsidRPr="00970AD2">
        <w:t xml:space="preserve"> </w:t>
      </w:r>
      <w:r w:rsidR="004F1712" w:rsidRPr="00970AD2">
        <w:t xml:space="preserve">values </w:t>
      </w:r>
      <w:r w:rsidR="00DD2420" w:rsidRPr="00970AD2">
        <w:t xml:space="preserve">prescribed for the activity </w:t>
      </w:r>
      <w:r w:rsidR="004F1712" w:rsidRPr="00970AD2">
        <w:t xml:space="preserve">item </w:t>
      </w:r>
      <w:r w:rsidR="00DD2420" w:rsidRPr="00970AD2">
        <w:t xml:space="preserve">in </w:t>
      </w:r>
      <w:r w:rsidR="00707468">
        <w:t>t</w:t>
      </w:r>
      <w:r w:rsidR="00E1796B" w:rsidRPr="00970AD2">
        <w:t>able</w:t>
      </w:r>
      <w:r w:rsidR="00DD2420" w:rsidRPr="00970AD2">
        <w:t xml:space="preserve"> </w:t>
      </w:r>
      <w:r w:rsidR="004F1712" w:rsidRPr="00970AD2">
        <w:t>3</w:t>
      </w:r>
      <w:r w:rsidR="00DD2420" w:rsidRPr="00970AD2">
        <w:t xml:space="preserve">; </w:t>
      </w:r>
    </w:p>
    <w:p w14:paraId="2FD7966B" w14:textId="77777777" w:rsidR="00831F19" w:rsidRPr="00970AD2" w:rsidRDefault="000E2D35" w:rsidP="00BE2474">
      <w:pPr>
        <w:pStyle w:val="Subdetailssecondindent"/>
      </w:pPr>
      <w:r>
        <w:t>f</w:t>
      </w:r>
      <w:r w:rsidR="00FB2035" w:rsidRPr="00970AD2">
        <w:t>or</w:t>
      </w:r>
      <w:r>
        <w:t xml:space="preserve"> A</w:t>
      </w:r>
      <w:r w:rsidR="003B760C" w:rsidRPr="00970AD2">
        <w:t>ctivity</w:t>
      </w:r>
      <w:r>
        <w:t xml:space="preserve"> </w:t>
      </w:r>
      <w:r w:rsidR="00DD2420" w:rsidRPr="00970AD2">
        <w:t>1</w:t>
      </w:r>
      <w:r w:rsidR="003B760C" w:rsidRPr="00970AD2">
        <w:t>.3</w:t>
      </w:r>
      <w:r w:rsidR="00DD2420" w:rsidRPr="00970AD2">
        <w:t xml:space="preserve">(a), </w:t>
      </w:r>
      <w:r w:rsidR="00DD2420" w:rsidRPr="00D03237">
        <w:rPr>
          <w:i/>
          <w:iCs/>
        </w:rPr>
        <w:t>N</w:t>
      </w:r>
      <w:r w:rsidR="00DD2420" w:rsidRPr="00970AD2">
        <w:t xml:space="preserve"> is the number of vents sealed; and</w:t>
      </w:r>
    </w:p>
    <w:p w14:paraId="7CB254A5" w14:textId="77777777" w:rsidR="00831F19" w:rsidRPr="00970AD2" w:rsidRDefault="00FB2035" w:rsidP="00BE2474">
      <w:pPr>
        <w:pStyle w:val="Subdetailssecondindent"/>
      </w:pPr>
      <w:r w:rsidRPr="00970AD2">
        <w:t xml:space="preserve">for </w:t>
      </w:r>
      <w:r w:rsidR="000E2D35">
        <w:t>A</w:t>
      </w:r>
      <w:r w:rsidR="003B760C" w:rsidRPr="00970AD2">
        <w:t>ctivity</w:t>
      </w:r>
      <w:r w:rsidR="009948A4" w:rsidRPr="00970AD2">
        <w:t xml:space="preserve"> </w:t>
      </w:r>
      <w:r w:rsidR="00DD2420" w:rsidRPr="00970AD2">
        <w:t>1</w:t>
      </w:r>
      <w:r w:rsidR="003B760C" w:rsidRPr="00970AD2">
        <w:t>.3</w:t>
      </w:r>
      <w:r w:rsidR="00DD2420" w:rsidRPr="00970AD2">
        <w:t xml:space="preserve">(b), </w:t>
      </w:r>
      <w:r w:rsidR="001A78F3" w:rsidRPr="00B97004">
        <w:rPr>
          <w:i/>
          <w:iCs/>
        </w:rPr>
        <w:t>N</w:t>
      </w:r>
      <w:r w:rsidR="00DD2420" w:rsidRPr="00970AD2">
        <w:t xml:space="preserve"> is the number of chimneys or flues in which a sealing product has been installed.</w:t>
      </w:r>
    </w:p>
    <w:p w14:paraId="60663AFF" w14:textId="0ED5A1C3" w:rsidR="00E07DD0" w:rsidRPr="00970AD2" w:rsidRDefault="004F1712" w:rsidP="00BE2474">
      <w:pPr>
        <w:pStyle w:val="Caption"/>
      </w:pPr>
      <w:bookmarkStart w:id="114" w:name="_Toc21868108"/>
      <w:bookmarkStart w:id="115" w:name="_Toc21868240"/>
      <w:bookmarkStart w:id="116" w:name="_Toc37945687"/>
      <w:r w:rsidRPr="00970AD2">
        <w:t>Table</w:t>
      </w:r>
      <w:r w:rsidR="00BE2474">
        <w:t xml:space="preserve"> </w:t>
      </w:r>
      <w:r w:rsidR="004A0156">
        <w:rPr>
          <w:noProof/>
        </w:rPr>
        <w:fldChar w:fldCharType="begin"/>
      </w:r>
      <w:r w:rsidR="004A0156">
        <w:rPr>
          <w:noProof/>
        </w:rPr>
        <w:instrText xml:space="preserve"> SEQ Table \* ARABIC </w:instrText>
      </w:r>
      <w:r w:rsidR="004A0156">
        <w:rPr>
          <w:noProof/>
        </w:rPr>
        <w:fldChar w:fldCharType="separate"/>
      </w:r>
      <w:r w:rsidR="00880CB1">
        <w:rPr>
          <w:noProof/>
        </w:rPr>
        <w:t>3</w:t>
      </w:r>
      <w:r w:rsidR="004A0156">
        <w:rPr>
          <w:noProof/>
        </w:rPr>
        <w:fldChar w:fldCharType="end"/>
      </w:r>
      <w:r w:rsidRPr="00970AD2">
        <w:t xml:space="preserve"> </w:t>
      </w:r>
      <w:r w:rsidR="009E6E7F">
        <w:tab/>
      </w:r>
      <w:r w:rsidR="00946EBE">
        <w:t xml:space="preserve">Activity </w:t>
      </w:r>
      <w:r w:rsidR="00917F8B">
        <w:t xml:space="preserve">ID </w:t>
      </w:r>
      <w:r w:rsidR="00946EBE">
        <w:t>1.3</w:t>
      </w:r>
      <w:r w:rsidRPr="00970AD2">
        <w:t xml:space="preserve"> </w:t>
      </w:r>
      <w:r w:rsidR="0053142F">
        <w:t>energy savings</w:t>
      </w:r>
      <w:r w:rsidR="0053142F" w:rsidRPr="00970AD2">
        <w:t xml:space="preserve"> </w:t>
      </w:r>
      <w:r w:rsidRPr="00970AD2">
        <w:t>values for ventilation opening sealing act</w:t>
      </w:r>
      <w:r w:rsidR="002A71DE" w:rsidRPr="00970AD2">
        <w:t>i</w:t>
      </w:r>
      <w:r w:rsidRPr="00970AD2">
        <w:t>vities</w:t>
      </w:r>
      <w:bookmarkEnd w:id="114"/>
      <w:bookmarkEnd w:id="115"/>
      <w:bookmarkEnd w:id="116"/>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394"/>
        <w:gridCol w:w="3464"/>
      </w:tblGrid>
      <w:tr w:rsidR="00A516A3" w:rsidRPr="00D936CF" w14:paraId="32D6E89D" w14:textId="77777777" w:rsidTr="00BE2474">
        <w:trPr>
          <w:cantSplit/>
          <w:trHeight w:val="329"/>
          <w:tblHeader/>
        </w:trPr>
        <w:tc>
          <w:tcPr>
            <w:tcW w:w="1276" w:type="dxa"/>
          </w:tcPr>
          <w:p w14:paraId="4CF2289F" w14:textId="77777777" w:rsidR="00A516A3" w:rsidRPr="00970AD2" w:rsidRDefault="00A516A3" w:rsidP="00BE2474">
            <w:pPr>
              <w:pStyle w:val="Tableheader"/>
            </w:pPr>
            <w:r w:rsidRPr="00970AD2">
              <w:t>Activity ID</w:t>
            </w:r>
          </w:p>
        </w:tc>
        <w:tc>
          <w:tcPr>
            <w:tcW w:w="4394" w:type="dxa"/>
            <w:noWrap/>
            <w:hideMark/>
          </w:tcPr>
          <w:p w14:paraId="010D2964" w14:textId="77777777" w:rsidR="00A516A3" w:rsidRPr="00970AD2" w:rsidRDefault="00A516A3" w:rsidP="00BE2474">
            <w:pPr>
              <w:pStyle w:val="Tableheader"/>
            </w:pPr>
            <w:r w:rsidRPr="00970AD2">
              <w:t>Description</w:t>
            </w:r>
          </w:p>
        </w:tc>
        <w:tc>
          <w:tcPr>
            <w:tcW w:w="3464" w:type="dxa"/>
            <w:noWrap/>
            <w:hideMark/>
          </w:tcPr>
          <w:p w14:paraId="70F99BB2" w14:textId="4D1E9CE4" w:rsidR="00A516A3" w:rsidRPr="00970AD2" w:rsidRDefault="00C356F3" w:rsidP="00BE2474">
            <w:pPr>
              <w:pStyle w:val="Tableheader"/>
            </w:pPr>
            <w:r>
              <w:t>Energy Savings</w:t>
            </w:r>
            <w:r w:rsidR="00A516A3" w:rsidRPr="00970AD2">
              <w:t xml:space="preserve"> Value (</w:t>
            </w:r>
            <w:r w:rsidR="00CB093D">
              <w:t>MWh</w:t>
            </w:r>
            <w:r w:rsidR="00A516A3" w:rsidRPr="00970AD2">
              <w:t>)</w:t>
            </w:r>
          </w:p>
        </w:tc>
      </w:tr>
      <w:tr w:rsidR="00A516A3" w:rsidRPr="00D936CF" w14:paraId="30640A14" w14:textId="77777777" w:rsidTr="00BE2474">
        <w:trPr>
          <w:cantSplit/>
          <w:trHeight w:val="329"/>
        </w:trPr>
        <w:tc>
          <w:tcPr>
            <w:tcW w:w="1276" w:type="dxa"/>
          </w:tcPr>
          <w:p w14:paraId="79A69218" w14:textId="77777777" w:rsidR="00A516A3" w:rsidRPr="00970AD2" w:rsidRDefault="00A516A3" w:rsidP="00BE2474">
            <w:pPr>
              <w:pStyle w:val="Tabletext"/>
            </w:pPr>
            <w:r w:rsidRPr="00970AD2">
              <w:t>1.3(a)</w:t>
            </w:r>
          </w:p>
        </w:tc>
        <w:tc>
          <w:tcPr>
            <w:tcW w:w="4394" w:type="dxa"/>
            <w:noWrap/>
            <w:vAlign w:val="center"/>
            <w:hideMark/>
          </w:tcPr>
          <w:p w14:paraId="063F925E" w14:textId="77777777" w:rsidR="00A516A3" w:rsidRPr="00970AD2" w:rsidRDefault="00A516A3" w:rsidP="00BE2474">
            <w:pPr>
              <w:pStyle w:val="Tabletext"/>
            </w:pPr>
            <w:r w:rsidRPr="00970AD2">
              <w:t xml:space="preserve">Sealing ventilation openings in an external wall </w:t>
            </w:r>
          </w:p>
        </w:tc>
        <w:tc>
          <w:tcPr>
            <w:tcW w:w="3464" w:type="dxa"/>
            <w:noWrap/>
            <w:vAlign w:val="center"/>
            <w:hideMark/>
          </w:tcPr>
          <w:p w14:paraId="4FDEC623" w14:textId="32A78D4A" w:rsidR="00A516A3" w:rsidRPr="00970AD2" w:rsidRDefault="00901283" w:rsidP="00BE2474">
            <w:pPr>
              <w:pStyle w:val="Tabletext"/>
              <w:rPr>
                <w:rFonts w:eastAsia="Times New Roman"/>
                <w:lang w:eastAsia="en-AU"/>
              </w:rPr>
            </w:pPr>
            <w:r>
              <w:rPr>
                <w:rFonts w:eastAsia="Times New Roman"/>
                <w:lang w:eastAsia="en-AU"/>
              </w:rPr>
              <w:t>0.5</w:t>
            </w:r>
            <w:r w:rsidR="00B222B7">
              <w:rPr>
                <w:rFonts w:eastAsia="Times New Roman"/>
                <w:lang w:eastAsia="en-AU"/>
              </w:rPr>
              <w:t>36</w:t>
            </w:r>
          </w:p>
        </w:tc>
      </w:tr>
      <w:tr w:rsidR="00A516A3" w:rsidRPr="00D936CF" w14:paraId="00E854F9" w14:textId="77777777" w:rsidTr="00BE2474">
        <w:trPr>
          <w:cantSplit/>
          <w:trHeight w:val="329"/>
        </w:trPr>
        <w:tc>
          <w:tcPr>
            <w:tcW w:w="1276" w:type="dxa"/>
          </w:tcPr>
          <w:p w14:paraId="08E3612F" w14:textId="77777777" w:rsidR="00A516A3" w:rsidRPr="00970AD2" w:rsidRDefault="00A516A3" w:rsidP="00BE2474">
            <w:pPr>
              <w:pStyle w:val="Tabletext"/>
            </w:pPr>
            <w:r w:rsidRPr="00970AD2">
              <w:t>1.3(b)</w:t>
            </w:r>
          </w:p>
        </w:tc>
        <w:tc>
          <w:tcPr>
            <w:tcW w:w="4394" w:type="dxa"/>
            <w:noWrap/>
            <w:vAlign w:val="center"/>
            <w:hideMark/>
          </w:tcPr>
          <w:p w14:paraId="1613F93B" w14:textId="77777777" w:rsidR="00A516A3" w:rsidRPr="00970AD2" w:rsidRDefault="00A516A3" w:rsidP="00BE2474">
            <w:pPr>
              <w:pStyle w:val="Tabletext"/>
            </w:pPr>
            <w:r w:rsidRPr="00970AD2">
              <w:t>Install damper or flap to chimney or flue of an open solid fuel burning appliance</w:t>
            </w:r>
          </w:p>
        </w:tc>
        <w:tc>
          <w:tcPr>
            <w:tcW w:w="3464" w:type="dxa"/>
            <w:noWrap/>
            <w:vAlign w:val="center"/>
            <w:hideMark/>
          </w:tcPr>
          <w:p w14:paraId="174D05E8" w14:textId="60E4218E" w:rsidR="00A516A3" w:rsidRPr="00970AD2" w:rsidRDefault="00901283" w:rsidP="00BE2474">
            <w:pPr>
              <w:pStyle w:val="Tabletext"/>
              <w:rPr>
                <w:rFonts w:eastAsia="Times New Roman"/>
                <w:lang w:eastAsia="en-AU"/>
              </w:rPr>
            </w:pPr>
            <w:r>
              <w:rPr>
                <w:rFonts w:eastAsia="Times New Roman"/>
                <w:lang w:eastAsia="en-AU"/>
              </w:rPr>
              <w:t>11.90</w:t>
            </w:r>
            <w:r w:rsidR="00B222B7">
              <w:rPr>
                <w:rFonts w:eastAsia="Times New Roman"/>
                <w:lang w:eastAsia="en-AU"/>
              </w:rPr>
              <w:t>4</w:t>
            </w:r>
          </w:p>
        </w:tc>
      </w:tr>
    </w:tbl>
    <w:p w14:paraId="6C109711" w14:textId="77777777" w:rsidR="003A4CC5" w:rsidRPr="00970AD2" w:rsidRDefault="005C5E1A" w:rsidP="00BE2474">
      <w:pPr>
        <w:pStyle w:val="Sectionheading2"/>
      </w:pPr>
      <w:bookmarkStart w:id="117" w:name="_Toc21867019"/>
      <w:bookmarkStart w:id="118" w:name="_Toc333417633"/>
      <w:bookmarkStart w:id="119" w:name="_Toc466535727"/>
      <w:bookmarkEnd w:id="117"/>
      <w:r>
        <w:br w:type="page"/>
      </w:r>
      <w:bookmarkStart w:id="120" w:name="_Toc27560544"/>
      <w:r w:rsidR="00446E7A" w:rsidRPr="00970AD2">
        <w:lastRenderedPageBreak/>
        <w:t xml:space="preserve">Install a thermally </w:t>
      </w:r>
      <w:r w:rsidR="00825475" w:rsidRPr="00970AD2">
        <w:t>efficient window</w:t>
      </w:r>
      <w:bookmarkEnd w:id="118"/>
      <w:bookmarkEnd w:id="119"/>
      <w:bookmarkEnd w:id="120"/>
      <w:r w:rsidR="00825475" w:rsidRPr="00970AD2">
        <w:t xml:space="preserve"> </w:t>
      </w:r>
    </w:p>
    <w:p w14:paraId="5380535F" w14:textId="77777777" w:rsidR="00825475" w:rsidRPr="00970AD2" w:rsidRDefault="00B3081D" w:rsidP="00BE2474">
      <w:pPr>
        <w:pStyle w:val="Sectionheading3"/>
      </w:pPr>
      <w:r w:rsidRPr="00970AD2">
        <w:t>A</w:t>
      </w:r>
      <w:r w:rsidR="001A78F3" w:rsidRPr="00970AD2">
        <w:t>ctivity definition</w:t>
      </w:r>
    </w:p>
    <w:p w14:paraId="7D0B53FA" w14:textId="77777777" w:rsidR="009D2D19" w:rsidRPr="00970AD2" w:rsidRDefault="003B760C" w:rsidP="00B97004">
      <w:pPr>
        <w:pStyle w:val="BodytextEEIS"/>
      </w:pPr>
      <w:r w:rsidRPr="00173AAE">
        <w:rPr>
          <w:b/>
        </w:rPr>
        <w:t xml:space="preserve">Activity </w:t>
      </w:r>
      <w:r w:rsidR="00A516A3" w:rsidRPr="00173AAE">
        <w:rPr>
          <w:b/>
        </w:rPr>
        <w:t xml:space="preserve">ID </w:t>
      </w:r>
      <w:r w:rsidRPr="00173AAE">
        <w:rPr>
          <w:b/>
        </w:rPr>
        <w:t xml:space="preserve">1.4 </w:t>
      </w:r>
      <w:r w:rsidRPr="00970AD2">
        <w:t>–</w:t>
      </w:r>
      <w:r w:rsidRPr="00173AAE">
        <w:rPr>
          <w:b/>
        </w:rPr>
        <w:t xml:space="preserve"> </w:t>
      </w:r>
      <w:r w:rsidR="00235DF3" w:rsidRPr="00970AD2">
        <w:t xml:space="preserve">In accordance with the prescribed </w:t>
      </w:r>
      <w:r w:rsidR="00A85A25" w:rsidRPr="00970AD2">
        <w:t>minimum activity performance specifications</w:t>
      </w:r>
      <w:r w:rsidR="00235DF3" w:rsidRPr="00970AD2">
        <w:t>, i</w:t>
      </w:r>
      <w:r w:rsidR="001A78F3" w:rsidRPr="00970AD2">
        <w:t xml:space="preserve">nstalling high thermal performance glazing or glazed products in a window opening or openings </w:t>
      </w:r>
      <w:r w:rsidR="005659EA" w:rsidRPr="00970AD2">
        <w:t xml:space="preserve">in an external wall </w:t>
      </w:r>
      <w:r w:rsidR="00526326" w:rsidRPr="00970AD2">
        <w:t xml:space="preserve">of a conditioned zone </w:t>
      </w:r>
      <w:r w:rsidR="00D24FC6" w:rsidRPr="00970AD2">
        <w:t xml:space="preserve">to replace existing single glazed window/s </w:t>
      </w:r>
      <w:r w:rsidR="00787868" w:rsidRPr="00970AD2">
        <w:t xml:space="preserve">that </w:t>
      </w:r>
      <w:r w:rsidR="001A78F3" w:rsidRPr="00970AD2">
        <w:t xml:space="preserve">does not meet the minimum thermal performance requirements in section </w:t>
      </w:r>
      <w:r w:rsidR="000E2D35">
        <w:t>1.4.</w:t>
      </w:r>
      <w:r w:rsidR="001A78F3" w:rsidRPr="00970AD2">
        <w:t>3, so that the glazing fills the entire window opening or openings.</w:t>
      </w:r>
    </w:p>
    <w:p w14:paraId="36A19050" w14:textId="77777777" w:rsidR="00A85A25" w:rsidRPr="00970AD2" w:rsidRDefault="00A85A25" w:rsidP="00BE2474">
      <w:pPr>
        <w:pStyle w:val="Sectionheading3"/>
      </w:pPr>
      <w:r w:rsidRPr="00970AD2">
        <w:t>Minimum activity performance specifications</w:t>
      </w:r>
    </w:p>
    <w:p w14:paraId="6F2A1584" w14:textId="77777777" w:rsidR="001D71C2" w:rsidRPr="00970AD2" w:rsidRDefault="001D71C2" w:rsidP="00173AAE">
      <w:pPr>
        <w:pStyle w:val="BodytextEEIS"/>
        <w:rPr>
          <w:i/>
        </w:rPr>
      </w:pPr>
      <w:r w:rsidRPr="00970AD2">
        <w:t>To be an eligible activity the activity must</w:t>
      </w:r>
      <w:r w:rsidRPr="00970AD2">
        <w:rPr>
          <w:bCs/>
        </w:rPr>
        <w:t>—</w:t>
      </w:r>
    </w:p>
    <w:p w14:paraId="3C885B98" w14:textId="77777777" w:rsidR="00B75D20" w:rsidRPr="00970AD2" w:rsidRDefault="001D71C2" w:rsidP="00D633D3">
      <w:pPr>
        <w:pStyle w:val="Subdetailsfirstindent"/>
        <w:numPr>
          <w:ilvl w:val="0"/>
          <w:numId w:val="26"/>
        </w:numPr>
      </w:pPr>
      <w:r w:rsidRPr="00970AD2">
        <w:t xml:space="preserve">be undertaken at an eligible residential premises; </w:t>
      </w:r>
    </w:p>
    <w:p w14:paraId="562EACC3" w14:textId="77777777" w:rsidR="00B75D20" w:rsidRPr="00970AD2" w:rsidRDefault="001D71C2" w:rsidP="00173AAE">
      <w:pPr>
        <w:pStyle w:val="Subdetailsfirstindent"/>
      </w:pPr>
      <w:r w:rsidRPr="00970AD2">
        <w:t xml:space="preserve">be undertaken using a product or products meeting the installed product requirements in section </w:t>
      </w:r>
      <w:r w:rsidR="00FC619C">
        <w:t>1.4.</w:t>
      </w:r>
      <w:r w:rsidRPr="00970AD2">
        <w:t xml:space="preserve">3; </w:t>
      </w:r>
    </w:p>
    <w:p w14:paraId="57A686CF" w14:textId="77777777" w:rsidR="00B75D20" w:rsidRPr="00970AD2" w:rsidRDefault="001D71C2" w:rsidP="00173AAE">
      <w:pPr>
        <w:pStyle w:val="Subdetailsfirstindent"/>
      </w:pPr>
      <w:r w:rsidRPr="00970AD2">
        <w:t xml:space="preserve">be completed and </w:t>
      </w:r>
      <w:r w:rsidR="008606E4" w:rsidRPr="00970AD2">
        <w:t>certified in accordance with the relevant code or codes of practice and other relevant legislation applying to the activity, including any licensing, registration, statutory approval, activity certification, health, safety, environmental or waste disposal requirements</w:t>
      </w:r>
      <w:r w:rsidRPr="00970AD2">
        <w:t xml:space="preserve">; and </w:t>
      </w:r>
    </w:p>
    <w:p w14:paraId="2A8EA877" w14:textId="77777777" w:rsidR="00B75D20" w:rsidRPr="00970AD2" w:rsidRDefault="001D71C2" w:rsidP="00173AAE">
      <w:pPr>
        <w:pStyle w:val="Subdetailsfirstindent"/>
      </w:pPr>
      <w:r w:rsidRPr="00970AD2">
        <w:t>be recorded in accordance with any relevant code of practice for the activity.</w:t>
      </w:r>
    </w:p>
    <w:p w14:paraId="3DE19AF9" w14:textId="77777777" w:rsidR="008F48EC" w:rsidRPr="00970AD2" w:rsidRDefault="008F48EC" w:rsidP="005C5E1A">
      <w:pPr>
        <w:pStyle w:val="Notesandexamples"/>
      </w:pPr>
      <w:r w:rsidRPr="00970AD2">
        <w:t>Note</w:t>
      </w:r>
      <w:r w:rsidRPr="00970AD2">
        <w:tab/>
        <w:t>All activities are subject to independent inspection or audit to confirm compliance with prescribed activity requirements.</w:t>
      </w:r>
    </w:p>
    <w:p w14:paraId="13030FB6" w14:textId="77777777" w:rsidR="00577459" w:rsidRPr="00970AD2" w:rsidRDefault="00577459" w:rsidP="00173AAE">
      <w:pPr>
        <w:pStyle w:val="Sectionheading3"/>
      </w:pPr>
      <w:r w:rsidRPr="00970AD2">
        <w:t>Installed product requirements</w:t>
      </w:r>
    </w:p>
    <w:p w14:paraId="777E7701" w14:textId="77777777" w:rsidR="00E07DD0" w:rsidRPr="00970AD2" w:rsidRDefault="008F48EC" w:rsidP="00173AAE">
      <w:pPr>
        <w:pStyle w:val="BodytextEEIS"/>
      </w:pPr>
      <w:r w:rsidRPr="00970AD2">
        <w:t>A</w:t>
      </w:r>
      <w:r w:rsidR="00787868" w:rsidRPr="00970AD2">
        <w:t xml:space="preserve">n installed product must be a </w:t>
      </w:r>
      <w:r w:rsidR="00BB34F2" w:rsidRPr="00970AD2">
        <w:t xml:space="preserve">glazing product </w:t>
      </w:r>
      <w:r w:rsidRPr="00970AD2">
        <w:t>that</w:t>
      </w:r>
      <w:r w:rsidRPr="00970AD2">
        <w:rPr>
          <w:bCs/>
        </w:rPr>
        <w:t>—</w:t>
      </w:r>
    </w:p>
    <w:p w14:paraId="49A862EA" w14:textId="77777777" w:rsidR="00B75D20" w:rsidRPr="00970AD2" w:rsidRDefault="008F48EC" w:rsidP="00D633D3">
      <w:pPr>
        <w:pStyle w:val="Subdetailsfirstindent"/>
        <w:numPr>
          <w:ilvl w:val="0"/>
          <w:numId w:val="27"/>
        </w:numPr>
      </w:pPr>
      <w:r w:rsidRPr="00970AD2">
        <w:t xml:space="preserve">complies with the </w:t>
      </w:r>
      <w:r w:rsidR="009D2D19" w:rsidRPr="00970AD2">
        <w:t xml:space="preserve">relevant </w:t>
      </w:r>
      <w:r w:rsidRPr="00970AD2">
        <w:t>performance requirements of AS 2047</w:t>
      </w:r>
      <w:r w:rsidR="00BB34F2" w:rsidRPr="00970AD2">
        <w:t xml:space="preserve"> </w:t>
      </w:r>
      <w:r w:rsidRPr="00970AD2">
        <w:t xml:space="preserve">and AS 1288; </w:t>
      </w:r>
    </w:p>
    <w:p w14:paraId="5BE78718" w14:textId="77777777" w:rsidR="00D24FC6" w:rsidRPr="00970AD2" w:rsidRDefault="002F2117" w:rsidP="00173AAE">
      <w:pPr>
        <w:pStyle w:val="Subdetailsfirstindent"/>
      </w:pPr>
      <w:r w:rsidRPr="00970AD2">
        <w:t>is</w:t>
      </w:r>
      <w:r w:rsidR="00D24FC6" w:rsidRPr="00970AD2">
        <w:t xml:space="preserve"> a window product currently rated under the WERS scheme</w:t>
      </w:r>
      <w:r w:rsidR="009544E1" w:rsidRPr="00970AD2">
        <w:t xml:space="preserve">; </w:t>
      </w:r>
    </w:p>
    <w:p w14:paraId="5C36869F" w14:textId="77777777" w:rsidR="00B75D20" w:rsidRPr="00970AD2" w:rsidRDefault="00D24FC6" w:rsidP="00173AAE">
      <w:pPr>
        <w:pStyle w:val="Subdetailsfirstindent"/>
      </w:pPr>
      <w:r w:rsidRPr="00970AD2">
        <w:t>ha</w:t>
      </w:r>
      <w:r w:rsidR="002F2117" w:rsidRPr="00970AD2">
        <w:t>s</w:t>
      </w:r>
      <w:r w:rsidRPr="00970AD2">
        <w:t xml:space="preserve"> a maximum total Uw value of 4.0, as rated by WERS </w:t>
      </w:r>
      <w:r w:rsidR="008F48EC" w:rsidRPr="00970AD2">
        <w:t xml:space="preserve">when calculated exclusive of window coverings; </w:t>
      </w:r>
    </w:p>
    <w:p w14:paraId="32D778F9" w14:textId="77777777" w:rsidR="00D24FC6" w:rsidRPr="00970AD2" w:rsidRDefault="00D471E6" w:rsidP="00173AAE">
      <w:pPr>
        <w:pStyle w:val="Subdetailsfirstindent"/>
      </w:pPr>
      <w:r w:rsidRPr="00970AD2">
        <w:t>ha</w:t>
      </w:r>
      <w:r w:rsidR="002F2117" w:rsidRPr="00970AD2">
        <w:t>s</w:t>
      </w:r>
      <w:r w:rsidRPr="00970AD2">
        <w:t xml:space="preserve"> a minimum solar heat gain co-efficient of 0.4, as rated by WERS</w:t>
      </w:r>
      <w:r w:rsidR="009544E1" w:rsidRPr="00970AD2">
        <w:t xml:space="preserve">; </w:t>
      </w:r>
    </w:p>
    <w:p w14:paraId="0F48C1ED" w14:textId="77777777" w:rsidR="00D471E6" w:rsidRPr="00970AD2" w:rsidRDefault="002F2117" w:rsidP="00173AAE">
      <w:pPr>
        <w:pStyle w:val="Subdetailsfirstindent"/>
      </w:pPr>
      <w:r w:rsidRPr="00970AD2">
        <w:t>is</w:t>
      </w:r>
      <w:r w:rsidR="00D471E6" w:rsidRPr="00970AD2">
        <w:t xml:space="preserve"> fit for the purpose for which it is intended to be used</w:t>
      </w:r>
      <w:r w:rsidR="009544E1" w:rsidRPr="00970AD2">
        <w:t xml:space="preserve">; </w:t>
      </w:r>
    </w:p>
    <w:p w14:paraId="75444FED" w14:textId="77777777" w:rsidR="00CC1664" w:rsidRPr="00970AD2" w:rsidRDefault="00CC1664" w:rsidP="00173AAE">
      <w:pPr>
        <w:pStyle w:val="Subdetailsfirstindent"/>
      </w:pPr>
      <w:r w:rsidRPr="00970AD2">
        <w:t>must be listed in the register of products; and</w:t>
      </w:r>
    </w:p>
    <w:p w14:paraId="58BB2517" w14:textId="77777777" w:rsidR="00E82AC2" w:rsidRPr="00970AD2" w:rsidRDefault="008F48EC" w:rsidP="00173AAE">
      <w:pPr>
        <w:pStyle w:val="Subdetailsfirstindent"/>
      </w:pPr>
      <w:r w:rsidRPr="00970AD2">
        <w:t xml:space="preserve">complies with any product safety or other product </w:t>
      </w:r>
      <w:r w:rsidR="002A71DE" w:rsidRPr="00970AD2">
        <w:t xml:space="preserve">performance </w:t>
      </w:r>
      <w:r w:rsidRPr="00970AD2">
        <w:t>requirements in a relevant code of practice or other relevant legislation</w:t>
      </w:r>
      <w:r w:rsidR="002A71DE" w:rsidRPr="00970AD2">
        <w:t xml:space="preserve"> applying to the activity</w:t>
      </w:r>
      <w:r w:rsidRPr="00970AD2">
        <w:t>.</w:t>
      </w:r>
    </w:p>
    <w:p w14:paraId="1E8AD613" w14:textId="77777777" w:rsidR="00825475" w:rsidRPr="00970AD2" w:rsidRDefault="001A78F3" w:rsidP="00173AAE">
      <w:pPr>
        <w:pStyle w:val="Sectionheading3"/>
        <w:rPr>
          <w:u w:val="single"/>
        </w:rPr>
      </w:pPr>
      <w:r w:rsidRPr="00970AD2">
        <w:t>Time the activity is taken to be completed</w:t>
      </w:r>
    </w:p>
    <w:p w14:paraId="4F434DE6" w14:textId="77777777" w:rsidR="002A71DE" w:rsidRPr="00970AD2" w:rsidRDefault="002A71DE" w:rsidP="00173AAE">
      <w:pPr>
        <w:pStyle w:val="BodytextEEIS"/>
      </w:pPr>
      <w:r w:rsidRPr="00970AD2">
        <w:t xml:space="preserve">The activity is taken to be completed on the day all applicable prescribed activity requirements are completed. </w:t>
      </w:r>
    </w:p>
    <w:p w14:paraId="641056D4" w14:textId="2A75A402" w:rsidR="00825475" w:rsidRPr="00970AD2" w:rsidRDefault="001A78F3" w:rsidP="00173AAE">
      <w:pPr>
        <w:pStyle w:val="Sectionheading3"/>
        <w:rPr>
          <w:u w:val="single"/>
        </w:rPr>
      </w:pPr>
      <w:r w:rsidRPr="00970AD2">
        <w:t>Calculation of</w:t>
      </w:r>
      <w:r w:rsidR="003074DE">
        <w:t xml:space="preserve"> energy savings</w:t>
      </w:r>
      <w:r w:rsidR="00577459" w:rsidRPr="00970AD2">
        <w:t xml:space="preserve"> factor</w:t>
      </w:r>
    </w:p>
    <w:p w14:paraId="61E000E5" w14:textId="7E2197A5" w:rsidR="00BB34F2" w:rsidRPr="00970AD2" w:rsidRDefault="002A71DE" w:rsidP="00B97004">
      <w:pPr>
        <w:pStyle w:val="BodytextEEIS"/>
      </w:pPr>
      <w:r w:rsidRPr="00970AD2">
        <w:t xml:space="preserve">The total </w:t>
      </w:r>
      <w:r w:rsidR="003074DE">
        <w:t>energy savings</w:t>
      </w:r>
      <w:r w:rsidR="003074DE" w:rsidRPr="00970AD2">
        <w:t xml:space="preserve"> </w:t>
      </w:r>
      <w:r w:rsidRPr="00970AD2">
        <w:t xml:space="preserve">factor in </w:t>
      </w:r>
      <w:r w:rsidR="00880CB1">
        <w:t>Megawatt-hours</w:t>
      </w:r>
      <w:r w:rsidR="003074DE">
        <w:t xml:space="preserve"> (MWh)</w:t>
      </w:r>
      <w:r w:rsidRPr="00970AD2">
        <w:t xml:space="preserve"> saved for the activity is the sum of</w:t>
      </w:r>
      <w:r w:rsidR="003074DE">
        <w:t xml:space="preserve"> all energy savings</w:t>
      </w:r>
      <w:r w:rsidRPr="00970AD2">
        <w:t xml:space="preserve"> factors for each installed window undertaken in the same premises determined by using the equations prescribed in this section</w:t>
      </w:r>
      <w:r w:rsidR="00457D17" w:rsidRPr="00970AD2">
        <w:t>.</w:t>
      </w:r>
    </w:p>
    <w:p w14:paraId="698F3106" w14:textId="69C39A9C" w:rsidR="00E07DD0" w:rsidRPr="00970AD2" w:rsidRDefault="00457D17" w:rsidP="00D633D3">
      <w:pPr>
        <w:pStyle w:val="Subdetailsfirstindent"/>
        <w:numPr>
          <w:ilvl w:val="0"/>
          <w:numId w:val="192"/>
        </w:numPr>
      </w:pPr>
      <w:r w:rsidRPr="00970AD2">
        <w:lastRenderedPageBreak/>
        <w:t xml:space="preserve">The </w:t>
      </w:r>
      <w:r w:rsidR="00C356F3">
        <w:t>energy savings</w:t>
      </w:r>
      <w:r w:rsidRPr="00970AD2">
        <w:t xml:space="preserve"> factor is calculated as</w:t>
      </w:r>
      <w:r w:rsidR="002A71DE" w:rsidRPr="006741CB">
        <w:rPr>
          <w:bCs/>
        </w:rPr>
        <w:t>—</w:t>
      </w:r>
      <w:r w:rsidRPr="00970AD2">
        <w:t xml:space="preserve"> </w:t>
      </w:r>
    </w:p>
    <w:p w14:paraId="3558993C" w14:textId="5243486E" w:rsidR="000E0E0C" w:rsidRPr="00970AD2" w:rsidRDefault="003074DE" w:rsidP="00BB6085">
      <w:pPr>
        <w:pStyle w:val="Formula"/>
      </w:pPr>
      <w:r>
        <w:t>Energy Savings</w:t>
      </w:r>
      <w:r w:rsidR="000E0E0C" w:rsidRPr="00970AD2">
        <w:t xml:space="preserve"> factor (</w:t>
      </w:r>
      <w:r>
        <w:t>MWh</w:t>
      </w:r>
      <w:r w:rsidR="000E0E0C" w:rsidRPr="00970AD2">
        <w:t>) = ((-0.</w:t>
      </w:r>
      <w:r w:rsidR="001353F2">
        <w:t>389</w:t>
      </w:r>
      <w:r w:rsidR="000E0E0C" w:rsidRPr="00970AD2">
        <w:t xml:space="preserve"> * Uw) + </w:t>
      </w:r>
      <w:r w:rsidR="001353F2">
        <w:t>4.738</w:t>
      </w:r>
      <w:r w:rsidR="000E0E0C" w:rsidRPr="00970AD2">
        <w:t>) * A</w:t>
      </w:r>
    </w:p>
    <w:p w14:paraId="22FB5569" w14:textId="77777777" w:rsidR="000E0E0C" w:rsidRPr="00970AD2" w:rsidRDefault="000E0E0C" w:rsidP="00B6462E">
      <w:pPr>
        <w:pStyle w:val="BodytextEEIS"/>
        <w:rPr>
          <w:bCs/>
        </w:rPr>
      </w:pPr>
      <w:r w:rsidRPr="00970AD2">
        <w:t>Where</w:t>
      </w:r>
      <w:r w:rsidRPr="00970AD2">
        <w:rPr>
          <w:bCs/>
        </w:rPr>
        <w:t>—</w:t>
      </w:r>
    </w:p>
    <w:p w14:paraId="1F0862FB" w14:textId="77777777" w:rsidR="000E0E0C" w:rsidRPr="00970AD2" w:rsidRDefault="000E0E0C" w:rsidP="00D633D3">
      <w:pPr>
        <w:pStyle w:val="Subdetailssecondindent"/>
        <w:numPr>
          <w:ilvl w:val="0"/>
          <w:numId w:val="28"/>
        </w:numPr>
      </w:pPr>
      <w:r w:rsidRPr="00B97004">
        <w:rPr>
          <w:i/>
          <w:iCs/>
        </w:rPr>
        <w:t>Uw</w:t>
      </w:r>
      <w:r w:rsidRPr="00970AD2">
        <w:t xml:space="preserve"> </w:t>
      </w:r>
      <w:r w:rsidR="00FC619C">
        <w:t>is</w:t>
      </w:r>
      <w:r w:rsidRPr="00970AD2">
        <w:t xml:space="preserve"> the total U value for the window system (as certified under WERS) – maximum = 4.0; and </w:t>
      </w:r>
    </w:p>
    <w:p w14:paraId="1FC9F5C0" w14:textId="77777777" w:rsidR="00CE4330" w:rsidRPr="00CE4330" w:rsidRDefault="000E0E0C" w:rsidP="00B6462E">
      <w:pPr>
        <w:pStyle w:val="Subdetailssecondindent"/>
      </w:pPr>
      <w:r w:rsidRPr="00B97004">
        <w:rPr>
          <w:i/>
          <w:iCs/>
        </w:rPr>
        <w:t>A</w:t>
      </w:r>
      <w:r w:rsidRPr="00CE4330">
        <w:t xml:space="preserve"> </w:t>
      </w:r>
      <w:r w:rsidR="00FC619C">
        <w:t>is</w:t>
      </w:r>
      <w:r w:rsidR="00FC619C" w:rsidRPr="00CE4330">
        <w:t xml:space="preserve"> </w:t>
      </w:r>
      <w:r w:rsidRPr="00CE4330">
        <w:t>the area of the installed thermally efficient window (m</w:t>
      </w:r>
      <w:r w:rsidRPr="00B97004">
        <w:rPr>
          <w:vertAlign w:val="superscript"/>
        </w:rPr>
        <w:t>2</w:t>
      </w:r>
      <w:r w:rsidRPr="00CE4330">
        <w:t>) measured from the outside of its frame to the nearest square centimetre.</w:t>
      </w:r>
    </w:p>
    <w:p w14:paraId="21E593EE" w14:textId="77777777" w:rsidR="00CE4330" w:rsidRPr="00970AD2" w:rsidRDefault="00741998" w:rsidP="00B6462E">
      <w:pPr>
        <w:pStyle w:val="Sectionheading2"/>
      </w:pPr>
      <w:bookmarkStart w:id="121" w:name="_Toc21867021"/>
      <w:bookmarkEnd w:id="121"/>
      <w:r>
        <w:br w:type="page"/>
      </w:r>
      <w:bookmarkStart w:id="122" w:name="_Toc27560545"/>
      <w:r w:rsidR="00CE4330" w:rsidRPr="00CE4330">
        <w:lastRenderedPageBreak/>
        <w:t>Retrofit thermally efficient glazing</w:t>
      </w:r>
      <w:bookmarkEnd w:id="122"/>
    </w:p>
    <w:p w14:paraId="7F68C861" w14:textId="77777777" w:rsidR="00825475" w:rsidRPr="00970AD2" w:rsidRDefault="00235DF3" w:rsidP="00B6462E">
      <w:pPr>
        <w:pStyle w:val="Sectionheading3"/>
      </w:pPr>
      <w:r w:rsidRPr="00970AD2">
        <w:t>A</w:t>
      </w:r>
      <w:r w:rsidR="001A78F3" w:rsidRPr="00970AD2">
        <w:t>ctivity definition</w:t>
      </w:r>
    </w:p>
    <w:p w14:paraId="71DC36E8" w14:textId="77777777" w:rsidR="005659EA" w:rsidRPr="00970AD2" w:rsidRDefault="003B760C" w:rsidP="00FC619C">
      <w:pPr>
        <w:pStyle w:val="BodytextEEIS"/>
      </w:pPr>
      <w:r w:rsidRPr="00B6462E">
        <w:rPr>
          <w:b/>
        </w:rPr>
        <w:t xml:space="preserve">Activity </w:t>
      </w:r>
      <w:r w:rsidR="00A516A3" w:rsidRPr="00B6462E">
        <w:rPr>
          <w:b/>
        </w:rPr>
        <w:t xml:space="preserve">ID </w:t>
      </w:r>
      <w:r w:rsidRPr="00B6462E">
        <w:rPr>
          <w:b/>
        </w:rPr>
        <w:t xml:space="preserve">1.5 </w:t>
      </w:r>
      <w:r w:rsidRPr="00970AD2">
        <w:t>–</w:t>
      </w:r>
      <w:r w:rsidRPr="00B6462E">
        <w:rPr>
          <w:b/>
        </w:rPr>
        <w:t xml:space="preserve"> </w:t>
      </w:r>
      <w:r w:rsidR="00235DF3" w:rsidRPr="00970AD2">
        <w:t xml:space="preserve">In accordance with the prescribed </w:t>
      </w:r>
      <w:r w:rsidR="00A85A25" w:rsidRPr="00970AD2">
        <w:t>minimum activity performance specifications</w:t>
      </w:r>
      <w:r w:rsidR="00235DF3" w:rsidRPr="00970AD2">
        <w:t>, i</w:t>
      </w:r>
      <w:r w:rsidR="005659EA" w:rsidRPr="00970AD2">
        <w:t xml:space="preserve">nstalling a product that improves the thermal efficiency of a window to one or more single glazed windows in an external wall of a conditioned zone where the existing glazing does not meet the minimum thermal performance requirements </w:t>
      </w:r>
      <w:r w:rsidR="00B550FF" w:rsidRPr="00970AD2">
        <w:t xml:space="preserve">prescribed in section </w:t>
      </w:r>
      <w:r w:rsidR="00FC619C">
        <w:t>1.5.</w:t>
      </w:r>
      <w:r w:rsidR="00B550FF" w:rsidRPr="00970AD2">
        <w:t>3</w:t>
      </w:r>
      <w:r w:rsidR="005659EA" w:rsidRPr="00970AD2">
        <w:t xml:space="preserve">, so that the glazing product </w:t>
      </w:r>
      <w:r w:rsidR="00BB34F2" w:rsidRPr="00970AD2">
        <w:t>covers all panes of the window unit or units</w:t>
      </w:r>
      <w:r w:rsidR="005659EA" w:rsidRPr="00970AD2">
        <w:t xml:space="preserve">. </w:t>
      </w:r>
    </w:p>
    <w:p w14:paraId="28336449" w14:textId="77777777" w:rsidR="00A85A25" w:rsidRPr="00970AD2" w:rsidRDefault="00A85A25" w:rsidP="00B6462E">
      <w:pPr>
        <w:pStyle w:val="Sectionheading3"/>
      </w:pPr>
      <w:r w:rsidRPr="00970AD2">
        <w:t>Minimum activity performance specifications</w:t>
      </w:r>
    </w:p>
    <w:p w14:paraId="569AFDB0" w14:textId="77777777" w:rsidR="005659EA" w:rsidRPr="00970AD2" w:rsidRDefault="005659EA" w:rsidP="00B6462E">
      <w:pPr>
        <w:pStyle w:val="BodytextEEIS"/>
        <w:rPr>
          <w:i/>
        </w:rPr>
      </w:pPr>
      <w:r w:rsidRPr="00970AD2">
        <w:t>To be an eligible activity the activity must</w:t>
      </w:r>
      <w:r w:rsidRPr="00970AD2">
        <w:rPr>
          <w:bCs/>
        </w:rPr>
        <w:t>—</w:t>
      </w:r>
    </w:p>
    <w:p w14:paraId="1303397C" w14:textId="77777777" w:rsidR="00831F19" w:rsidRPr="00970AD2" w:rsidRDefault="005659EA" w:rsidP="00D633D3">
      <w:pPr>
        <w:pStyle w:val="Subdetailsfirstindent"/>
        <w:numPr>
          <w:ilvl w:val="0"/>
          <w:numId w:val="29"/>
        </w:numPr>
      </w:pPr>
      <w:r w:rsidRPr="00970AD2">
        <w:t xml:space="preserve">be undertaken at an eligible residential premises; </w:t>
      </w:r>
    </w:p>
    <w:p w14:paraId="7DC0F6C7" w14:textId="77777777" w:rsidR="00831F19" w:rsidRPr="00970AD2" w:rsidRDefault="005659EA" w:rsidP="00B6462E">
      <w:pPr>
        <w:pStyle w:val="Subdetailsfirstindent"/>
      </w:pPr>
      <w:r w:rsidRPr="00970AD2">
        <w:t xml:space="preserve">be undertaken using a product or products meeting the installed product requirements in section </w:t>
      </w:r>
      <w:r w:rsidR="005A6C6C">
        <w:t>1.5.</w:t>
      </w:r>
      <w:r w:rsidRPr="00970AD2">
        <w:t xml:space="preserve">3; </w:t>
      </w:r>
    </w:p>
    <w:p w14:paraId="6EC81AFD" w14:textId="77777777" w:rsidR="00831F19" w:rsidRPr="00970AD2" w:rsidRDefault="005659EA" w:rsidP="00B6462E">
      <w:pPr>
        <w:pStyle w:val="Subdetailsfirstindent"/>
      </w:pPr>
      <w:r w:rsidRPr="00970AD2">
        <w:t xml:space="preserve">be completed and </w:t>
      </w:r>
      <w:r w:rsidR="008606E4" w:rsidRPr="00970AD2">
        <w:t>certified in accordance with the relevant code or codes of practice and other relevant legislation applying to the activity, including any licensing, registration, statutory approval, activity certification, health, safety, environmental or waste disposal requirements</w:t>
      </w:r>
      <w:r w:rsidRPr="00970AD2">
        <w:t xml:space="preserve">; and </w:t>
      </w:r>
    </w:p>
    <w:p w14:paraId="0DC04EEE" w14:textId="77777777" w:rsidR="00831F19" w:rsidRPr="00970AD2" w:rsidRDefault="005659EA" w:rsidP="00B6462E">
      <w:pPr>
        <w:pStyle w:val="Subdetailsfirstindent"/>
      </w:pPr>
      <w:r w:rsidRPr="00970AD2">
        <w:t>be recorded in accordance with any relevant code of practice for the activity.</w:t>
      </w:r>
    </w:p>
    <w:p w14:paraId="25A0AD0C" w14:textId="77777777" w:rsidR="005659EA" w:rsidRPr="00970AD2" w:rsidRDefault="005659EA" w:rsidP="00B6462E">
      <w:pPr>
        <w:pStyle w:val="Notesandexamples"/>
      </w:pPr>
      <w:r w:rsidRPr="00970AD2">
        <w:t>Note</w:t>
      </w:r>
      <w:r w:rsidRPr="00970AD2">
        <w:tab/>
        <w:t>All activities are subject to independent inspection or audit to confirm compliance with prescribed activity requirements.</w:t>
      </w:r>
    </w:p>
    <w:p w14:paraId="201B5BC2" w14:textId="77777777" w:rsidR="00254C0B" w:rsidRPr="00970AD2" w:rsidRDefault="00577459" w:rsidP="00B6462E">
      <w:pPr>
        <w:pStyle w:val="Sectionheading3"/>
      </w:pPr>
      <w:r w:rsidRPr="00970AD2">
        <w:t>Installed product requirements</w:t>
      </w:r>
    </w:p>
    <w:p w14:paraId="549BF65F" w14:textId="77777777" w:rsidR="00E07DD0" w:rsidRPr="00970AD2" w:rsidRDefault="00457D17" w:rsidP="00B6462E">
      <w:pPr>
        <w:pStyle w:val="BodytextEEIS"/>
      </w:pPr>
      <w:r w:rsidRPr="00970AD2">
        <w:t>A</w:t>
      </w:r>
      <w:r w:rsidR="00BB34F2" w:rsidRPr="00970AD2">
        <w:t xml:space="preserve">n installed product must be a glazing </w:t>
      </w:r>
      <w:r w:rsidRPr="00970AD2">
        <w:t>product that</w:t>
      </w:r>
      <w:r w:rsidR="001A78F3" w:rsidRPr="00970AD2">
        <w:t>—</w:t>
      </w:r>
    </w:p>
    <w:p w14:paraId="7E476CA1" w14:textId="77777777" w:rsidR="0079577D" w:rsidRPr="00970AD2" w:rsidRDefault="002F2117" w:rsidP="00D633D3">
      <w:pPr>
        <w:pStyle w:val="Subdetailsfirstindent"/>
        <w:numPr>
          <w:ilvl w:val="0"/>
          <w:numId w:val="30"/>
        </w:numPr>
      </w:pPr>
      <w:r w:rsidRPr="00970AD2">
        <w:t xml:space="preserve">when </w:t>
      </w:r>
      <w:r w:rsidR="009544E1" w:rsidRPr="00970AD2">
        <w:t>installed</w:t>
      </w:r>
      <w:r w:rsidR="00BB2DA6" w:rsidRPr="00970AD2">
        <w:t>,</w:t>
      </w:r>
      <w:r w:rsidR="009544E1" w:rsidRPr="00970AD2">
        <w:t xml:space="preserve"> </w:t>
      </w:r>
      <w:r w:rsidR="0079577D" w:rsidRPr="00970AD2">
        <w:t>creates a still air gap between an existing single glazed window and the product and raises the thermal efficiency performance of the window</w:t>
      </w:r>
      <w:r w:rsidR="009544E1" w:rsidRPr="00970AD2">
        <w:t xml:space="preserve">; </w:t>
      </w:r>
    </w:p>
    <w:p w14:paraId="151F5FB1" w14:textId="77777777" w:rsidR="0079577D" w:rsidRPr="00970AD2" w:rsidRDefault="002F2117" w:rsidP="00B6462E">
      <w:pPr>
        <w:pStyle w:val="Subdetailsfirstindent"/>
      </w:pPr>
      <w:r w:rsidRPr="00970AD2">
        <w:t>is</w:t>
      </w:r>
      <w:r w:rsidR="0079577D" w:rsidRPr="00970AD2">
        <w:t xml:space="preserve"> either glass, acrylic or polycarbonate (films are not eligible)</w:t>
      </w:r>
      <w:r w:rsidR="009544E1" w:rsidRPr="00970AD2">
        <w:t xml:space="preserve">; </w:t>
      </w:r>
    </w:p>
    <w:p w14:paraId="6FA6BEDF" w14:textId="77777777" w:rsidR="0079577D" w:rsidRPr="00970AD2" w:rsidRDefault="0079577D" w:rsidP="00B6462E">
      <w:pPr>
        <w:pStyle w:val="Subdetailsfirstindent"/>
      </w:pPr>
      <w:r w:rsidRPr="00970AD2">
        <w:t>is designed and suitable for installation on an existing window</w:t>
      </w:r>
      <w:r w:rsidR="009544E1" w:rsidRPr="00970AD2">
        <w:t xml:space="preserve">; </w:t>
      </w:r>
    </w:p>
    <w:p w14:paraId="6AF56C57" w14:textId="77777777" w:rsidR="0079577D" w:rsidRPr="00970AD2" w:rsidRDefault="002F2117" w:rsidP="00B6462E">
      <w:pPr>
        <w:pStyle w:val="Subdetailsfirstindent"/>
      </w:pPr>
      <w:r w:rsidRPr="00970AD2">
        <w:t>is</w:t>
      </w:r>
      <w:r w:rsidR="0079577D" w:rsidRPr="00970AD2">
        <w:t xml:space="preserve"> simply removable by the homeowner so as to permit access to the formed air gap for cleaning/drying purposes</w:t>
      </w:r>
      <w:r w:rsidR="009544E1" w:rsidRPr="00970AD2">
        <w:t xml:space="preserve">; </w:t>
      </w:r>
    </w:p>
    <w:p w14:paraId="644A4535" w14:textId="77777777" w:rsidR="009544E1" w:rsidRPr="00970AD2" w:rsidRDefault="002F2117" w:rsidP="00B6462E">
      <w:pPr>
        <w:pStyle w:val="Subdetailsfirstindent"/>
        <w:rPr>
          <w:iCs/>
        </w:rPr>
      </w:pPr>
      <w:r w:rsidRPr="00970AD2">
        <w:t>is</w:t>
      </w:r>
      <w:r w:rsidR="009544E1" w:rsidRPr="00970AD2">
        <w:t xml:space="preserve"> a window product </w:t>
      </w:r>
      <w:r w:rsidR="009544E1" w:rsidRPr="00970AD2">
        <w:rPr>
          <w:iCs/>
        </w:rPr>
        <w:t>currently</w:t>
      </w:r>
      <w:r w:rsidR="009544E1" w:rsidRPr="00970AD2">
        <w:t xml:space="preserve"> rated under the WERS scheme</w:t>
      </w:r>
      <w:r w:rsidR="009544E1" w:rsidRPr="00970AD2">
        <w:rPr>
          <w:iCs/>
        </w:rPr>
        <w:t xml:space="preserve">; </w:t>
      </w:r>
    </w:p>
    <w:p w14:paraId="104DE8FC" w14:textId="77777777" w:rsidR="009544E1" w:rsidRPr="00970AD2" w:rsidRDefault="009544E1" w:rsidP="00B6462E">
      <w:pPr>
        <w:pStyle w:val="Subdetailsfirstindent"/>
      </w:pPr>
      <w:r w:rsidRPr="00970AD2">
        <w:t>when installed</w:t>
      </w:r>
      <w:r w:rsidR="002F2117" w:rsidRPr="00970AD2">
        <w:t>,</w:t>
      </w:r>
      <w:r w:rsidRPr="00970AD2">
        <w:t xml:space="preserve"> ha</w:t>
      </w:r>
      <w:r w:rsidR="002F2117" w:rsidRPr="00970AD2">
        <w:t>s</w:t>
      </w:r>
      <w:r w:rsidRPr="00970AD2">
        <w:t xml:space="preserve"> a maximum total Uw value of 4.0, as rated by WERS when calculated exclusive of window coverings; </w:t>
      </w:r>
    </w:p>
    <w:p w14:paraId="17EFC026" w14:textId="77777777" w:rsidR="009544E1" w:rsidRPr="00970AD2" w:rsidRDefault="009544E1" w:rsidP="00B6462E">
      <w:pPr>
        <w:pStyle w:val="Subdetailsfirstindent"/>
      </w:pPr>
      <w:r w:rsidRPr="00970AD2">
        <w:t>when installed</w:t>
      </w:r>
      <w:r w:rsidR="002F2117" w:rsidRPr="00970AD2">
        <w:t>,</w:t>
      </w:r>
      <w:r w:rsidRPr="00970AD2">
        <w:t xml:space="preserve"> ha</w:t>
      </w:r>
      <w:r w:rsidR="002F2117" w:rsidRPr="00970AD2">
        <w:t>s</w:t>
      </w:r>
      <w:r w:rsidRPr="00970AD2">
        <w:t xml:space="preserve"> a minimum solar heat gain co-efficient of 0.4, as rated by WERS; </w:t>
      </w:r>
    </w:p>
    <w:p w14:paraId="63AB38E9" w14:textId="77777777" w:rsidR="009544E1" w:rsidRPr="00970AD2" w:rsidRDefault="009544E1" w:rsidP="00B6462E">
      <w:pPr>
        <w:pStyle w:val="Subdetailsfirstindent"/>
      </w:pPr>
      <w:r w:rsidRPr="00970AD2">
        <w:t>compl</w:t>
      </w:r>
      <w:r w:rsidR="00823786" w:rsidRPr="00970AD2">
        <w:t>ies</w:t>
      </w:r>
      <w:r w:rsidRPr="00970AD2">
        <w:t xml:space="preserve"> with the </w:t>
      </w:r>
      <w:r w:rsidR="00823786" w:rsidRPr="00970AD2">
        <w:t xml:space="preserve">relevant performance requirements </w:t>
      </w:r>
      <w:r w:rsidRPr="00970AD2">
        <w:t xml:space="preserve">of AS 2047 and AS 1288; </w:t>
      </w:r>
    </w:p>
    <w:p w14:paraId="3AB32AF2" w14:textId="77777777" w:rsidR="00B75D20" w:rsidRPr="00970AD2" w:rsidRDefault="002F2117" w:rsidP="00B6462E">
      <w:pPr>
        <w:pStyle w:val="Subdetailsfirstindent"/>
      </w:pPr>
      <w:r w:rsidRPr="00970AD2">
        <w:t>is</w:t>
      </w:r>
      <w:r w:rsidR="009544E1" w:rsidRPr="00970AD2">
        <w:t xml:space="preserve"> fit for the purpose for which it is intended to be used; </w:t>
      </w:r>
    </w:p>
    <w:p w14:paraId="068359C3" w14:textId="77777777" w:rsidR="00902551" w:rsidRPr="00970AD2" w:rsidRDefault="00902551" w:rsidP="00B6462E">
      <w:pPr>
        <w:pStyle w:val="Subdetailsfirstindent"/>
      </w:pPr>
      <w:r w:rsidRPr="00970AD2">
        <w:t xml:space="preserve">must be listed in the register of products; and </w:t>
      </w:r>
    </w:p>
    <w:p w14:paraId="78174B21" w14:textId="77777777" w:rsidR="0079577D" w:rsidRPr="00970AD2" w:rsidRDefault="00457D17" w:rsidP="00B6462E">
      <w:pPr>
        <w:pStyle w:val="Subdetailsfirstindent"/>
        <w:rPr>
          <w:iCs/>
        </w:rPr>
      </w:pPr>
      <w:r w:rsidRPr="00970AD2">
        <w:rPr>
          <w:iCs/>
        </w:rPr>
        <w:t xml:space="preserve">complies with </w:t>
      </w:r>
      <w:r w:rsidRPr="00970AD2">
        <w:t xml:space="preserve">any </w:t>
      </w:r>
      <w:r w:rsidRPr="00970AD2">
        <w:rPr>
          <w:iCs/>
        </w:rPr>
        <w:t>product</w:t>
      </w:r>
      <w:r w:rsidRPr="00970AD2">
        <w:t xml:space="preserve"> safety or other product requirements in a relevant code of practice or other relevant legislation.</w:t>
      </w:r>
    </w:p>
    <w:p w14:paraId="30AA2128" w14:textId="77777777" w:rsidR="00825475" w:rsidRPr="00970AD2" w:rsidRDefault="001A78F3" w:rsidP="00B6462E">
      <w:pPr>
        <w:pStyle w:val="Sectionheading3"/>
        <w:rPr>
          <w:u w:val="single"/>
        </w:rPr>
      </w:pPr>
      <w:r w:rsidRPr="00970AD2">
        <w:lastRenderedPageBreak/>
        <w:t>Time t</w:t>
      </w:r>
      <w:r w:rsidR="006264D1" w:rsidRPr="00970AD2">
        <w:t>he activity is taken to be completed</w:t>
      </w:r>
    </w:p>
    <w:p w14:paraId="09C6D23A" w14:textId="77777777" w:rsidR="00E07DD0" w:rsidRPr="00970AD2" w:rsidRDefault="00BB34F2" w:rsidP="00B97004">
      <w:pPr>
        <w:pStyle w:val="BodytextEEIS"/>
      </w:pPr>
      <w:r w:rsidRPr="00970AD2">
        <w:t xml:space="preserve">The activity is taken to be completed on the day all applicable prescribed activity requirements are completed. </w:t>
      </w:r>
    </w:p>
    <w:p w14:paraId="2B7BB49E" w14:textId="7A3E7422" w:rsidR="00825475" w:rsidRPr="00970AD2" w:rsidRDefault="001A78F3" w:rsidP="009D3E5C">
      <w:pPr>
        <w:pStyle w:val="Sectionheading3"/>
        <w:rPr>
          <w:u w:val="single"/>
        </w:rPr>
      </w:pPr>
      <w:r w:rsidRPr="00970AD2">
        <w:t>Calculation o</w:t>
      </w:r>
      <w:r w:rsidR="00577459" w:rsidRPr="00970AD2">
        <w:t xml:space="preserve">f </w:t>
      </w:r>
      <w:r w:rsidR="003074DE">
        <w:t>energy savings</w:t>
      </w:r>
      <w:r w:rsidR="00577459" w:rsidRPr="00970AD2">
        <w:t xml:space="preserve"> factor</w:t>
      </w:r>
    </w:p>
    <w:p w14:paraId="43CCD80E" w14:textId="1AD0E4B6" w:rsidR="00E07DD0" w:rsidRPr="00970AD2" w:rsidRDefault="00457D17" w:rsidP="00B97004">
      <w:pPr>
        <w:pStyle w:val="BodytextEEIS"/>
      </w:pPr>
      <w:r w:rsidRPr="00970AD2">
        <w:t xml:space="preserve">The total </w:t>
      </w:r>
      <w:r w:rsidR="003074DE">
        <w:t>energy savings</w:t>
      </w:r>
      <w:r w:rsidRPr="00970AD2">
        <w:t xml:space="preserve"> factor in </w:t>
      </w:r>
      <w:r w:rsidR="00880CB1">
        <w:t>Megawatt-hours</w:t>
      </w:r>
      <w:r w:rsidR="003074DE">
        <w:t xml:space="preserve"> (MWh) </w:t>
      </w:r>
      <w:r w:rsidRPr="00970AD2">
        <w:t>saved</w:t>
      </w:r>
      <w:r w:rsidR="003074DE">
        <w:t xml:space="preserve"> for the activity</w:t>
      </w:r>
      <w:r w:rsidRPr="00970AD2">
        <w:t xml:space="preserve"> is the sum of all </w:t>
      </w:r>
      <w:r w:rsidR="003074DE">
        <w:t>energy savings</w:t>
      </w:r>
      <w:r w:rsidR="003074DE" w:rsidRPr="00970AD2">
        <w:t xml:space="preserve"> </w:t>
      </w:r>
      <w:r w:rsidRPr="00970AD2">
        <w:t xml:space="preserve">factors for </w:t>
      </w:r>
      <w:r w:rsidR="00BB34F2" w:rsidRPr="00970AD2">
        <w:t xml:space="preserve">each </w:t>
      </w:r>
      <w:r w:rsidRPr="00970AD2">
        <w:t xml:space="preserve">glazing product installed in </w:t>
      </w:r>
      <w:r w:rsidR="008606E4" w:rsidRPr="00970AD2">
        <w:t>the</w:t>
      </w:r>
      <w:r w:rsidRPr="00970AD2">
        <w:t xml:space="preserve"> premises</w:t>
      </w:r>
      <w:r w:rsidR="00BB34F2" w:rsidRPr="00970AD2">
        <w:t>,</w:t>
      </w:r>
      <w:r w:rsidRPr="00970AD2">
        <w:t xml:space="preserve"> determined by using the equations prescribed in this section.</w:t>
      </w:r>
    </w:p>
    <w:p w14:paraId="248975F1" w14:textId="5AE2ED8B" w:rsidR="00E07DD0" w:rsidRPr="00970AD2" w:rsidRDefault="00457D17" w:rsidP="00D633D3">
      <w:pPr>
        <w:pStyle w:val="Subdetailsfirstindent"/>
        <w:numPr>
          <w:ilvl w:val="0"/>
          <w:numId w:val="193"/>
        </w:numPr>
      </w:pPr>
      <w:r w:rsidRPr="00970AD2">
        <w:t xml:space="preserve">The </w:t>
      </w:r>
      <w:r w:rsidR="003074DE">
        <w:t>energy savings</w:t>
      </w:r>
      <w:r w:rsidR="003074DE" w:rsidRPr="00970AD2">
        <w:t xml:space="preserve"> </w:t>
      </w:r>
      <w:r w:rsidRPr="00970AD2">
        <w:t xml:space="preserve"> factor is calculated as</w:t>
      </w:r>
      <w:r w:rsidR="00BB34F2" w:rsidRPr="006741CB">
        <w:rPr>
          <w:bCs/>
        </w:rPr>
        <w:t>—</w:t>
      </w:r>
      <w:r w:rsidRPr="00970AD2">
        <w:t xml:space="preserve"> </w:t>
      </w:r>
    </w:p>
    <w:p w14:paraId="487E64C2" w14:textId="2E08CD32" w:rsidR="00D468DF" w:rsidRPr="00A14CCE" w:rsidRDefault="003074DE" w:rsidP="00BB6085">
      <w:pPr>
        <w:pStyle w:val="Formula"/>
      </w:pPr>
      <w:r>
        <w:t>Energy Savings</w:t>
      </w:r>
      <w:r w:rsidR="00D468DF" w:rsidRPr="00A14CCE">
        <w:t xml:space="preserve"> factor (</w:t>
      </w:r>
      <w:r>
        <w:t>MWh</w:t>
      </w:r>
      <w:r w:rsidR="00D468DF" w:rsidRPr="00A14CCE">
        <w:t>) = ((-0.</w:t>
      </w:r>
      <w:r w:rsidR="001353F2">
        <w:t>233</w:t>
      </w:r>
      <w:r w:rsidR="00D468DF" w:rsidRPr="00A14CCE">
        <w:t xml:space="preserve"> * Uw) + </w:t>
      </w:r>
      <w:r w:rsidR="001353F2">
        <w:t>2.843</w:t>
      </w:r>
      <w:r w:rsidR="00D468DF" w:rsidRPr="00A14CCE">
        <w:t>) * A</w:t>
      </w:r>
    </w:p>
    <w:p w14:paraId="33EC47E2" w14:textId="77777777" w:rsidR="00213A9B" w:rsidRPr="00970AD2" w:rsidRDefault="00213A9B" w:rsidP="00B6462E">
      <w:pPr>
        <w:pStyle w:val="BodytextEEIS"/>
        <w:rPr>
          <w:bCs/>
        </w:rPr>
      </w:pPr>
      <w:r w:rsidRPr="00970AD2">
        <w:t>Where</w:t>
      </w:r>
      <w:r w:rsidRPr="00970AD2">
        <w:rPr>
          <w:bCs/>
        </w:rPr>
        <w:t>—</w:t>
      </w:r>
    </w:p>
    <w:p w14:paraId="0A8E880A" w14:textId="77777777" w:rsidR="00831F19" w:rsidRPr="00970AD2" w:rsidRDefault="00213A9B" w:rsidP="00D633D3">
      <w:pPr>
        <w:pStyle w:val="Subdetailssecondindent"/>
        <w:numPr>
          <w:ilvl w:val="0"/>
          <w:numId w:val="31"/>
        </w:numPr>
      </w:pPr>
      <w:r w:rsidRPr="00B97004">
        <w:rPr>
          <w:i/>
          <w:iCs/>
        </w:rPr>
        <w:t>Uw</w:t>
      </w:r>
      <w:r w:rsidRPr="00970AD2">
        <w:t xml:space="preserve"> </w:t>
      </w:r>
      <w:r w:rsidR="005A6C6C">
        <w:t>is</w:t>
      </w:r>
      <w:r w:rsidRPr="00970AD2">
        <w:t xml:space="preserve"> the total U value for the window system (as certified under WERS) – maximum =</w:t>
      </w:r>
      <w:r w:rsidR="00480D78" w:rsidRPr="00970AD2">
        <w:t xml:space="preserve"> </w:t>
      </w:r>
      <w:r w:rsidRPr="00970AD2">
        <w:t xml:space="preserve">4.0; and </w:t>
      </w:r>
    </w:p>
    <w:p w14:paraId="1905A06E" w14:textId="77777777" w:rsidR="00831F19" w:rsidRPr="00970AD2" w:rsidRDefault="00213A9B" w:rsidP="00B6462E">
      <w:pPr>
        <w:pStyle w:val="Subdetailssecondindent"/>
      </w:pPr>
      <w:r w:rsidRPr="00B97004">
        <w:rPr>
          <w:i/>
          <w:iCs/>
        </w:rPr>
        <w:t>A</w:t>
      </w:r>
      <w:r w:rsidR="00F31970" w:rsidRPr="00970AD2">
        <w:t xml:space="preserve"> is the number of square metres </w:t>
      </w:r>
      <w:r w:rsidR="005A6C6C" w:rsidRPr="00970AD2">
        <w:t>(m</w:t>
      </w:r>
      <w:r w:rsidR="005A6C6C" w:rsidRPr="00970AD2">
        <w:rPr>
          <w:vertAlign w:val="superscript"/>
        </w:rPr>
        <w:t>2</w:t>
      </w:r>
      <w:r w:rsidR="005A6C6C" w:rsidRPr="00970AD2">
        <w:t>)</w:t>
      </w:r>
      <w:r w:rsidR="005A6C6C">
        <w:t xml:space="preserve"> </w:t>
      </w:r>
      <w:r w:rsidR="00F31970" w:rsidRPr="00970AD2">
        <w:t>to the nearest square centimetre of the type of glazing product installed</w:t>
      </w:r>
      <w:r w:rsidR="00266F66" w:rsidRPr="00970AD2">
        <w:t>.</w:t>
      </w:r>
    </w:p>
    <w:p w14:paraId="07E869AA" w14:textId="77777777" w:rsidR="003A4CC5" w:rsidRPr="003D297E" w:rsidRDefault="004F3AFA" w:rsidP="00B6462E">
      <w:pPr>
        <w:pStyle w:val="Sectionheading2"/>
      </w:pPr>
      <w:bookmarkStart w:id="123" w:name="_Toc21867023"/>
      <w:bookmarkEnd w:id="123"/>
      <w:r w:rsidRPr="00970AD2">
        <w:rPr>
          <w:color w:val="000000"/>
        </w:rPr>
        <w:br w:type="page"/>
      </w:r>
      <w:bookmarkStart w:id="124" w:name="_Toc333417635"/>
      <w:bookmarkStart w:id="125" w:name="_Toc466535729"/>
      <w:bookmarkStart w:id="126" w:name="_Toc27560546"/>
      <w:r w:rsidR="007F20CE" w:rsidRPr="003D297E">
        <w:lastRenderedPageBreak/>
        <w:t>I</w:t>
      </w:r>
      <w:r w:rsidR="00825475" w:rsidRPr="003D297E">
        <w:t xml:space="preserve">nstall </w:t>
      </w:r>
      <w:bookmarkEnd w:id="124"/>
      <w:r w:rsidR="00CB3BCF" w:rsidRPr="003D297E">
        <w:t>thermally efficient window coverings</w:t>
      </w:r>
      <w:bookmarkEnd w:id="125"/>
      <w:bookmarkEnd w:id="126"/>
    </w:p>
    <w:p w14:paraId="7A2A6018" w14:textId="77777777" w:rsidR="005140C3" w:rsidRPr="00970AD2" w:rsidRDefault="00CB3BCF" w:rsidP="00B6462E">
      <w:pPr>
        <w:pStyle w:val="Sectionheading3"/>
      </w:pPr>
      <w:r w:rsidRPr="00970AD2">
        <w:t>A</w:t>
      </w:r>
      <w:r w:rsidR="001A78F3" w:rsidRPr="00970AD2">
        <w:t>ctivity definition</w:t>
      </w:r>
    </w:p>
    <w:p w14:paraId="46B5618B" w14:textId="77777777" w:rsidR="005140C3" w:rsidRPr="00970AD2" w:rsidRDefault="00FD3C3E" w:rsidP="005A6C6C">
      <w:pPr>
        <w:pStyle w:val="BodytextEEIS"/>
      </w:pPr>
      <w:r w:rsidRPr="00B6462E">
        <w:rPr>
          <w:b/>
        </w:rPr>
        <w:t xml:space="preserve">Activity </w:t>
      </w:r>
      <w:r w:rsidR="00A516A3" w:rsidRPr="00B6462E">
        <w:rPr>
          <w:b/>
        </w:rPr>
        <w:t xml:space="preserve">ID </w:t>
      </w:r>
      <w:r w:rsidRPr="00B6462E">
        <w:rPr>
          <w:b/>
        </w:rPr>
        <w:t xml:space="preserve">1.6 </w:t>
      </w:r>
      <w:r w:rsidRPr="00970AD2">
        <w:t>–</w:t>
      </w:r>
      <w:r w:rsidRPr="00B6462E">
        <w:rPr>
          <w:b/>
        </w:rPr>
        <w:t xml:space="preserve"> </w:t>
      </w:r>
      <w:r w:rsidR="00235DF3" w:rsidRPr="00970AD2">
        <w:t xml:space="preserve">In accordance with the prescribed </w:t>
      </w:r>
      <w:r w:rsidR="00A85A25" w:rsidRPr="00970AD2">
        <w:t>minimum activity performance specifications</w:t>
      </w:r>
      <w:r w:rsidR="00235DF3" w:rsidRPr="00970AD2">
        <w:t>, i</w:t>
      </w:r>
      <w:r w:rsidR="001A78F3" w:rsidRPr="00970AD2">
        <w:t xml:space="preserve">nstalling </w:t>
      </w:r>
      <w:r w:rsidR="00CB3BCF" w:rsidRPr="00970AD2">
        <w:t>window coverings</w:t>
      </w:r>
      <w:r w:rsidR="00CB2DA7" w:rsidRPr="00970AD2">
        <w:t xml:space="preserve"> </w:t>
      </w:r>
      <w:r w:rsidR="001A78F3" w:rsidRPr="00970AD2">
        <w:t xml:space="preserve">to a window in an external wall of a conditioned zone </w:t>
      </w:r>
      <w:r w:rsidR="00CB3BCF" w:rsidRPr="00970AD2">
        <w:t>that</w:t>
      </w:r>
      <w:r w:rsidR="00D73C55" w:rsidRPr="00D73C55">
        <w:t xml:space="preserve"> </w:t>
      </w:r>
      <w:r w:rsidR="00CB3BCF" w:rsidRPr="00970AD2">
        <w:t xml:space="preserve">fully cover the window and </w:t>
      </w:r>
      <w:r w:rsidR="001A78F3" w:rsidRPr="00970AD2">
        <w:t>restrict the convective air flow from between the window covering and glazing to the internal space</w:t>
      </w:r>
      <w:r w:rsidR="00CB3BCF" w:rsidRPr="00970AD2">
        <w:t>.</w:t>
      </w:r>
    </w:p>
    <w:p w14:paraId="376BEFD5" w14:textId="77777777" w:rsidR="005140C3" w:rsidRPr="00970AD2" w:rsidRDefault="00A85A25" w:rsidP="00B6462E">
      <w:pPr>
        <w:pStyle w:val="Sectionheading3"/>
      </w:pPr>
      <w:r w:rsidRPr="00970AD2">
        <w:t>Minimum activity performance specifications</w:t>
      </w:r>
    </w:p>
    <w:p w14:paraId="42DC8C28" w14:textId="77777777" w:rsidR="005140C3" w:rsidRPr="00970AD2" w:rsidRDefault="00CB3BCF" w:rsidP="00B6462E">
      <w:pPr>
        <w:pStyle w:val="BodytextEEIS"/>
        <w:rPr>
          <w:i/>
        </w:rPr>
      </w:pPr>
      <w:r w:rsidRPr="00970AD2">
        <w:t>To be an eligible activity the activity must</w:t>
      </w:r>
      <w:r w:rsidRPr="00970AD2">
        <w:rPr>
          <w:bCs/>
        </w:rPr>
        <w:t>—</w:t>
      </w:r>
    </w:p>
    <w:p w14:paraId="21F9A2D7" w14:textId="77777777" w:rsidR="005140C3" w:rsidRPr="00970AD2" w:rsidRDefault="00CB3BCF" w:rsidP="00D633D3">
      <w:pPr>
        <w:pStyle w:val="Subdetailsfirstindent"/>
        <w:numPr>
          <w:ilvl w:val="0"/>
          <w:numId w:val="32"/>
        </w:numPr>
      </w:pPr>
      <w:r w:rsidRPr="00970AD2">
        <w:t xml:space="preserve">be undertaken at an eligible residential premises; </w:t>
      </w:r>
    </w:p>
    <w:p w14:paraId="00E8D073" w14:textId="77777777" w:rsidR="005140C3" w:rsidRPr="00970AD2" w:rsidRDefault="00CB3BCF" w:rsidP="009D3E5C">
      <w:pPr>
        <w:pStyle w:val="Subdetailsfirstindent"/>
      </w:pPr>
      <w:r w:rsidRPr="00970AD2">
        <w:t xml:space="preserve">be undertaken using a product or products meeting the installed product requirements in section </w:t>
      </w:r>
      <w:r w:rsidR="005A6C6C">
        <w:t>1.6.</w:t>
      </w:r>
      <w:r w:rsidRPr="00970AD2">
        <w:t xml:space="preserve">3; </w:t>
      </w:r>
    </w:p>
    <w:p w14:paraId="7E91840C" w14:textId="77777777" w:rsidR="005140C3" w:rsidRPr="00970AD2" w:rsidRDefault="00CB3BCF" w:rsidP="009D3E5C">
      <w:pPr>
        <w:pStyle w:val="Subdetailsfirstindent"/>
      </w:pPr>
      <w:r w:rsidRPr="00970AD2">
        <w:t xml:space="preserve">be completed and </w:t>
      </w:r>
      <w:r w:rsidR="008606E4" w:rsidRPr="00970AD2">
        <w:t>certified in accordance with the relevant code or codes of practice and other relevant legislation applying to the activity, including any licensing, registration, statutory approval, activity certification, health, safety, environmental or waste disposal requirements</w:t>
      </w:r>
      <w:r w:rsidRPr="00970AD2">
        <w:t xml:space="preserve">; and </w:t>
      </w:r>
    </w:p>
    <w:p w14:paraId="2F83AA03" w14:textId="77777777" w:rsidR="005140C3" w:rsidRPr="00970AD2" w:rsidRDefault="00CB3BCF" w:rsidP="009D3E5C">
      <w:pPr>
        <w:pStyle w:val="Subdetailsfirstindent"/>
      </w:pPr>
      <w:r w:rsidRPr="00970AD2">
        <w:t>be recorded in accordance with any relevant code of practice for the activity.</w:t>
      </w:r>
    </w:p>
    <w:p w14:paraId="691DF873" w14:textId="77777777" w:rsidR="005140C3" w:rsidRPr="00970AD2" w:rsidRDefault="00CB3BCF" w:rsidP="009D3E5C">
      <w:pPr>
        <w:pStyle w:val="Notesandexamples"/>
      </w:pPr>
      <w:r w:rsidRPr="00970AD2">
        <w:t>Note</w:t>
      </w:r>
      <w:r w:rsidRPr="00970AD2">
        <w:tab/>
        <w:t>All activities are subject to independent inspection or audit to confirm compliance with prescribed activity requirements.</w:t>
      </w:r>
    </w:p>
    <w:p w14:paraId="3DD138EE" w14:textId="77777777" w:rsidR="005140C3" w:rsidRPr="00970AD2" w:rsidRDefault="009D3E5C" w:rsidP="00B6462E">
      <w:pPr>
        <w:pStyle w:val="Sectionheading3"/>
      </w:pPr>
      <w:r>
        <w:softHyphen/>
      </w:r>
      <w:r w:rsidR="001A78F3" w:rsidRPr="00970AD2">
        <w:t>Installed product requirements</w:t>
      </w:r>
    </w:p>
    <w:p w14:paraId="1E81E48B" w14:textId="77777777" w:rsidR="00052FCA" w:rsidRDefault="00052FCA" w:rsidP="00052FCA">
      <w:pPr>
        <w:pStyle w:val="Sectionheading4"/>
      </w:pPr>
      <w:r>
        <w:t>Window covering</w:t>
      </w:r>
    </w:p>
    <w:p w14:paraId="7829796A" w14:textId="77777777" w:rsidR="005140C3" w:rsidRPr="00970AD2" w:rsidRDefault="009E2B6A" w:rsidP="009D3E5C">
      <w:pPr>
        <w:pStyle w:val="BodytextEEIS"/>
      </w:pPr>
      <w:r w:rsidRPr="00970AD2">
        <w:t xml:space="preserve">An installed product must be a </w:t>
      </w:r>
      <w:r w:rsidR="001A78F3" w:rsidRPr="00970AD2">
        <w:t>window covering</w:t>
      </w:r>
      <w:r w:rsidR="008606E4" w:rsidRPr="00970AD2">
        <w:t xml:space="preserve"> </w:t>
      </w:r>
      <w:r>
        <w:t>that</w:t>
      </w:r>
      <w:r w:rsidR="001A78F3" w:rsidRPr="00970AD2">
        <w:rPr>
          <w:bCs/>
        </w:rPr>
        <w:t>—</w:t>
      </w:r>
    </w:p>
    <w:p w14:paraId="6A23DE4D" w14:textId="77777777" w:rsidR="005140C3" w:rsidRPr="00970AD2" w:rsidRDefault="009E2B6A" w:rsidP="00D633D3">
      <w:pPr>
        <w:pStyle w:val="Subdetailsfirstindent"/>
        <w:numPr>
          <w:ilvl w:val="0"/>
          <w:numId w:val="33"/>
        </w:numPr>
      </w:pPr>
      <w:r>
        <w:t>is</w:t>
      </w:r>
      <w:r w:rsidR="00750A7F" w:rsidRPr="00970AD2">
        <w:t xml:space="preserve"> </w:t>
      </w:r>
      <w:r w:rsidR="008606E4" w:rsidRPr="00970AD2">
        <w:t xml:space="preserve">a </w:t>
      </w:r>
      <w:r w:rsidR="001A78F3" w:rsidRPr="00970AD2">
        <w:t xml:space="preserve">curtain or blind </w:t>
      </w:r>
      <w:r w:rsidR="008606E4" w:rsidRPr="00970AD2">
        <w:t>that complies</w:t>
      </w:r>
      <w:r w:rsidR="001A78F3" w:rsidRPr="00970AD2">
        <w:t xml:space="preserve"> with ANSI A100, where applicable; </w:t>
      </w:r>
      <w:r w:rsidR="008606E4" w:rsidRPr="00970AD2">
        <w:t>or</w:t>
      </w:r>
    </w:p>
    <w:p w14:paraId="7D14277B" w14:textId="77777777" w:rsidR="005140C3" w:rsidRPr="00970AD2" w:rsidRDefault="009E2B6A" w:rsidP="009D3E5C">
      <w:pPr>
        <w:pStyle w:val="Subdetailsfirstindent"/>
      </w:pPr>
      <w:r>
        <w:t>is</w:t>
      </w:r>
      <w:r w:rsidR="00750A7F" w:rsidRPr="00970AD2">
        <w:t xml:space="preserve"> </w:t>
      </w:r>
      <w:r w:rsidR="001A78F3" w:rsidRPr="00970AD2">
        <w:t xml:space="preserve">a </w:t>
      </w:r>
      <w:r w:rsidR="001A78F3" w:rsidRPr="00970AD2">
        <w:rPr>
          <w:bCs/>
        </w:rPr>
        <w:t>h</w:t>
      </w:r>
      <w:r w:rsidR="001A78F3" w:rsidRPr="00970AD2">
        <w:t>eavy drape or curtain made of a fabric, or a composite of layered materials, that does not readily allow air, visible light or ultraviolet light to pass through it and through which the presence of a light source cannot be detected by eye</w:t>
      </w:r>
      <w:r w:rsidR="00DA6090" w:rsidRPr="00970AD2">
        <w:t xml:space="preserve">; </w:t>
      </w:r>
      <w:r w:rsidR="001A78F3" w:rsidRPr="00970AD2">
        <w:t>or</w:t>
      </w:r>
    </w:p>
    <w:p w14:paraId="093B8F06" w14:textId="77777777" w:rsidR="00946EBE" w:rsidRDefault="009E2B6A" w:rsidP="009D3E5C">
      <w:pPr>
        <w:pStyle w:val="Subdetailsfirstindent"/>
      </w:pPr>
      <w:r>
        <w:t>is</w:t>
      </w:r>
      <w:r w:rsidR="00750A7F" w:rsidRPr="00970AD2">
        <w:t xml:space="preserve"> </w:t>
      </w:r>
      <w:r w:rsidR="008606E4" w:rsidRPr="00970AD2">
        <w:t xml:space="preserve">a </w:t>
      </w:r>
      <w:r w:rsidR="001A78F3" w:rsidRPr="00970AD2">
        <w:t xml:space="preserve">honeycomb </w:t>
      </w:r>
      <w:r w:rsidR="008606E4" w:rsidRPr="00970AD2">
        <w:t>or roman blind that fits</w:t>
      </w:r>
      <w:r w:rsidR="001A78F3" w:rsidRPr="00970AD2">
        <w:t xml:space="preserve"> within the window reveal </w:t>
      </w:r>
      <w:r w:rsidR="008606E4" w:rsidRPr="00970AD2">
        <w:t>and</w:t>
      </w:r>
      <w:r w:rsidR="001A78F3" w:rsidRPr="00970AD2">
        <w:t xml:space="preserve"> provide</w:t>
      </w:r>
      <w:r w:rsidR="008606E4" w:rsidRPr="00970AD2">
        <w:t>s</w:t>
      </w:r>
      <w:r w:rsidR="001A78F3" w:rsidRPr="00970AD2">
        <w:t xml:space="preserve"> a minimal air gap between the blind and window frame</w:t>
      </w:r>
      <w:r w:rsidR="00946EBE">
        <w:t>.</w:t>
      </w:r>
    </w:p>
    <w:p w14:paraId="4CEA9E0A" w14:textId="77777777" w:rsidR="009052E4" w:rsidRDefault="009052E4" w:rsidP="009052E4">
      <w:pPr>
        <w:pStyle w:val="Sectionheading4"/>
      </w:pPr>
      <w:r>
        <w:t>Other requirements</w:t>
      </w:r>
    </w:p>
    <w:p w14:paraId="5FBDBCB3" w14:textId="77777777" w:rsidR="005140C3" w:rsidRPr="00970AD2" w:rsidRDefault="009052E4" w:rsidP="00756F18">
      <w:pPr>
        <w:pStyle w:val="Subdetailsfirstindent"/>
        <w:numPr>
          <w:ilvl w:val="0"/>
          <w:numId w:val="0"/>
        </w:numPr>
        <w:ind w:left="567"/>
      </w:pPr>
      <w:r>
        <w:t>The installed product</w:t>
      </w:r>
      <w:r w:rsidR="00946EBE">
        <w:t xml:space="preserve"> must also—</w:t>
      </w:r>
    </w:p>
    <w:p w14:paraId="0CFCFB6B" w14:textId="77777777" w:rsidR="00750A7F" w:rsidRPr="00970AD2" w:rsidRDefault="00750A7F" w:rsidP="00D633D3">
      <w:pPr>
        <w:pStyle w:val="Subdetailsfirstindent"/>
        <w:numPr>
          <w:ilvl w:val="0"/>
          <w:numId w:val="225"/>
        </w:numPr>
      </w:pPr>
      <w:r w:rsidRPr="00970AD2">
        <w:t xml:space="preserve">comply with the mandatory product and installation standard of Product Safety Australia, including the safe installation of cords; </w:t>
      </w:r>
    </w:p>
    <w:p w14:paraId="6045E9EC" w14:textId="77777777" w:rsidR="00750A7F" w:rsidRPr="00970AD2" w:rsidRDefault="00AE0AF8" w:rsidP="009D3E5C">
      <w:pPr>
        <w:pStyle w:val="Subdetailsfirstindent"/>
      </w:pPr>
      <w:r>
        <w:t>be</w:t>
      </w:r>
      <w:r w:rsidRPr="00970AD2">
        <w:t xml:space="preserve"> </w:t>
      </w:r>
      <w:r w:rsidR="00750A7F" w:rsidRPr="00970AD2">
        <w:t>mad</w:t>
      </w:r>
      <w:r w:rsidR="00DA7E3D" w:rsidRPr="00970AD2">
        <w:t>e of a fire</w:t>
      </w:r>
      <w:r w:rsidR="005A6C6C">
        <w:t>-</w:t>
      </w:r>
      <w:r w:rsidR="00DA7E3D" w:rsidRPr="00970AD2">
        <w:t>retardant material</w:t>
      </w:r>
      <w:r w:rsidR="00946EBE">
        <w:t>; and</w:t>
      </w:r>
    </w:p>
    <w:p w14:paraId="752BE975" w14:textId="77777777" w:rsidR="00211ABE" w:rsidRPr="00970AD2" w:rsidRDefault="009E2B6A" w:rsidP="00946EBE">
      <w:pPr>
        <w:pStyle w:val="Subdetailsfirstindent"/>
      </w:pPr>
      <w:r>
        <w:t>compl</w:t>
      </w:r>
      <w:r w:rsidR="00AE0AF8">
        <w:t>y</w:t>
      </w:r>
      <w:r w:rsidR="00457D17" w:rsidRPr="00970AD2">
        <w:rPr>
          <w:iCs/>
        </w:rPr>
        <w:t xml:space="preserve"> </w:t>
      </w:r>
      <w:r w:rsidR="008606E4" w:rsidRPr="00970AD2">
        <w:rPr>
          <w:iCs/>
        </w:rPr>
        <w:t xml:space="preserve">with </w:t>
      </w:r>
      <w:r w:rsidR="008606E4" w:rsidRPr="00970AD2">
        <w:t>any product safety or other product performance requirements in a relevant code of practice or other relevant legislation applying to the activity.</w:t>
      </w:r>
    </w:p>
    <w:p w14:paraId="30A82ED5" w14:textId="77777777" w:rsidR="005140C3" w:rsidRPr="00970AD2" w:rsidRDefault="001A78F3" w:rsidP="009D3E5C">
      <w:pPr>
        <w:pStyle w:val="Sectionheading3"/>
      </w:pPr>
      <w:r w:rsidRPr="00970AD2">
        <w:t>Time the activity is taken to be completed</w:t>
      </w:r>
    </w:p>
    <w:p w14:paraId="3F1968A3" w14:textId="77777777" w:rsidR="005140C3" w:rsidRPr="00970AD2" w:rsidRDefault="008606E4" w:rsidP="009D3E5C">
      <w:pPr>
        <w:pStyle w:val="BodytextEEIS"/>
      </w:pPr>
      <w:r w:rsidRPr="00970AD2">
        <w:t xml:space="preserve">The activity is taken to be completed on the day all applicable prescribed activity requirements are completed. </w:t>
      </w:r>
    </w:p>
    <w:p w14:paraId="4CD00517" w14:textId="22B4CB16" w:rsidR="005140C3" w:rsidRPr="00970AD2" w:rsidRDefault="001A78F3" w:rsidP="009D3E5C">
      <w:pPr>
        <w:pStyle w:val="Sectionheading3"/>
        <w:rPr>
          <w:u w:val="single"/>
        </w:rPr>
      </w:pPr>
      <w:r w:rsidRPr="00970AD2">
        <w:lastRenderedPageBreak/>
        <w:t xml:space="preserve">Calculation </w:t>
      </w:r>
      <w:r w:rsidR="00577459" w:rsidRPr="00970AD2">
        <w:t xml:space="preserve">of </w:t>
      </w:r>
      <w:r w:rsidR="004A0156">
        <w:t>energy savings</w:t>
      </w:r>
      <w:r w:rsidR="00577459" w:rsidRPr="00970AD2">
        <w:t xml:space="preserve"> factor</w:t>
      </w:r>
    </w:p>
    <w:p w14:paraId="63600EF5" w14:textId="61233153" w:rsidR="005140C3" w:rsidRPr="00970AD2" w:rsidRDefault="00CB3BCF" w:rsidP="00B97004">
      <w:pPr>
        <w:pStyle w:val="BodytextEEIS"/>
      </w:pPr>
      <w:r w:rsidRPr="00970AD2">
        <w:t xml:space="preserve">The total </w:t>
      </w:r>
      <w:r w:rsidR="00C356F3">
        <w:t>energy savings</w:t>
      </w:r>
      <w:r w:rsidRPr="00970AD2">
        <w:t xml:space="preserve"> factor</w:t>
      </w:r>
      <w:r w:rsidR="004A0156">
        <w:t xml:space="preserve"> in </w:t>
      </w:r>
      <w:r w:rsidR="00880CB1">
        <w:t>Megawatt-hours</w:t>
      </w:r>
      <w:r w:rsidR="004A0156">
        <w:t xml:space="preserve"> (MWh)</w:t>
      </w:r>
      <w:r w:rsidRPr="00970AD2">
        <w:t xml:space="preserve"> saved in a premises for the activity must be determined by using the equations prescribed in this section.</w:t>
      </w:r>
    </w:p>
    <w:p w14:paraId="772AB168" w14:textId="072E7019" w:rsidR="005140C3" w:rsidRPr="00970AD2" w:rsidRDefault="00CB3BCF" w:rsidP="00D633D3">
      <w:pPr>
        <w:pStyle w:val="Subdetailsfirstindent"/>
        <w:numPr>
          <w:ilvl w:val="0"/>
          <w:numId w:val="194"/>
        </w:numPr>
      </w:pPr>
      <w:r w:rsidRPr="00970AD2">
        <w:t xml:space="preserve">The </w:t>
      </w:r>
      <w:r w:rsidR="004A0156">
        <w:t>energy savings</w:t>
      </w:r>
      <w:r w:rsidRPr="00970AD2">
        <w:t xml:space="preserve"> factor is calculated by multiplying the area in square metres</w:t>
      </w:r>
      <w:r w:rsidR="00266F66" w:rsidRPr="00970AD2">
        <w:t xml:space="preserve"> (m</w:t>
      </w:r>
      <w:r w:rsidR="00266F66" w:rsidRPr="006741CB">
        <w:rPr>
          <w:vertAlign w:val="superscript"/>
        </w:rPr>
        <w:t>2</w:t>
      </w:r>
      <w:r w:rsidR="00266F66" w:rsidRPr="00970AD2">
        <w:t>)</w:t>
      </w:r>
      <w:r w:rsidRPr="00970AD2">
        <w:t xml:space="preserve"> to the nearest square centimetre</w:t>
      </w:r>
      <w:r w:rsidR="008606E4" w:rsidRPr="00970AD2">
        <w:t xml:space="preserve"> </w:t>
      </w:r>
      <w:r w:rsidRPr="00970AD2">
        <w:t xml:space="preserve">of the window or windows </w:t>
      </w:r>
      <w:r w:rsidR="008606E4" w:rsidRPr="00970AD2">
        <w:t xml:space="preserve">to which </w:t>
      </w:r>
      <w:r w:rsidRPr="00970AD2">
        <w:t xml:space="preserve">curtains </w:t>
      </w:r>
      <w:r w:rsidR="008606E4" w:rsidRPr="00970AD2">
        <w:t xml:space="preserve">have been installed such </w:t>
      </w:r>
      <w:r w:rsidRPr="00970AD2">
        <w:t>that</w:t>
      </w:r>
      <w:r w:rsidRPr="006741CB">
        <w:rPr>
          <w:bCs/>
        </w:rPr>
        <w:t>—</w:t>
      </w:r>
      <w:r w:rsidRPr="00970AD2">
        <w:t xml:space="preserve"> </w:t>
      </w:r>
    </w:p>
    <w:p w14:paraId="3BE4CBE8" w14:textId="6E5F6032" w:rsidR="009B79A6" w:rsidRDefault="004A0156" w:rsidP="009B79A6">
      <w:pPr>
        <w:pStyle w:val="Formula"/>
      </w:pPr>
      <w:r>
        <w:t>Energy Savings</w:t>
      </w:r>
      <w:r w:rsidR="009B79A6">
        <w:t xml:space="preserve"> factor (</w:t>
      </w:r>
      <w:r>
        <w:t>MWh</w:t>
      </w:r>
      <w:r w:rsidR="009B79A6">
        <w:t xml:space="preserve">) = </w:t>
      </w:r>
      <w:r>
        <w:t>ESF</w:t>
      </w:r>
      <w:r w:rsidR="009B79A6">
        <w:t xml:space="preserve"> x m</w:t>
      </w:r>
      <w:r w:rsidR="009B79A6" w:rsidRPr="009B79A6">
        <w:rPr>
          <w:vertAlign w:val="superscript"/>
        </w:rPr>
        <w:t>2</w:t>
      </w:r>
    </w:p>
    <w:p w14:paraId="536F5720" w14:textId="77777777" w:rsidR="00653E2C" w:rsidRDefault="00CB3BCF" w:rsidP="009D3E5C">
      <w:pPr>
        <w:pStyle w:val="BodytextEEIS"/>
      </w:pPr>
      <w:r w:rsidRPr="00970AD2">
        <w:t>Where</w:t>
      </w:r>
      <w:r w:rsidR="00653E2C">
        <w:t>—</w:t>
      </w:r>
    </w:p>
    <w:p w14:paraId="716E4A47" w14:textId="46504F06" w:rsidR="00EC53C5" w:rsidRDefault="004A0156" w:rsidP="00D633D3">
      <w:pPr>
        <w:pStyle w:val="Subdetailssecondindent"/>
        <w:numPr>
          <w:ilvl w:val="0"/>
          <w:numId w:val="155"/>
        </w:numPr>
      </w:pPr>
      <w:r>
        <w:rPr>
          <w:i/>
        </w:rPr>
        <w:t>ESF</w:t>
      </w:r>
      <w:r w:rsidR="00CB3BCF" w:rsidRPr="00970AD2">
        <w:t xml:space="preserve"> is </w:t>
      </w:r>
      <w:r w:rsidR="00FA1D3B" w:rsidRPr="00970AD2">
        <w:t>a</w:t>
      </w:r>
      <w:r w:rsidR="00CB3BCF" w:rsidRPr="00970AD2">
        <w:t xml:space="preserve"> </w:t>
      </w:r>
      <w:r w:rsidR="00FA1D3B" w:rsidRPr="00970AD2">
        <w:t xml:space="preserve">prescribed </w:t>
      </w:r>
      <w:r w:rsidR="00CB3BCF" w:rsidRPr="00970AD2">
        <w:t xml:space="preserve">activity </w:t>
      </w:r>
      <w:r w:rsidR="00CB093D">
        <w:t>energy savings</w:t>
      </w:r>
      <w:r w:rsidR="00CB3BCF" w:rsidRPr="00970AD2">
        <w:t xml:space="preserve"> value </w:t>
      </w:r>
      <w:r w:rsidR="008606E4" w:rsidRPr="00970AD2">
        <w:t xml:space="preserve">of </w:t>
      </w:r>
      <w:r>
        <w:t>0.914</w:t>
      </w:r>
      <w:r w:rsidR="008606E4" w:rsidRPr="00970AD2">
        <w:t>.</w:t>
      </w:r>
    </w:p>
    <w:p w14:paraId="2F2475F6" w14:textId="77777777" w:rsidR="005009AB" w:rsidRPr="00EE79B9" w:rsidRDefault="00741998" w:rsidP="00EE79B9">
      <w:pPr>
        <w:pStyle w:val="Sectionheading2"/>
      </w:pPr>
      <w:bookmarkStart w:id="127" w:name="_Toc21867025"/>
      <w:bookmarkEnd w:id="127"/>
      <w:r>
        <w:rPr>
          <w:color w:val="000000"/>
        </w:rPr>
        <w:br w:type="page"/>
      </w:r>
      <w:bookmarkStart w:id="128" w:name="_Toc20485292"/>
      <w:bookmarkStart w:id="129" w:name="_Toc27560547"/>
      <w:r w:rsidR="005009AB" w:rsidRPr="00EE79B9">
        <w:lastRenderedPageBreak/>
        <w:t>Install window pelmets</w:t>
      </w:r>
      <w:bookmarkEnd w:id="128"/>
      <w:bookmarkEnd w:id="129"/>
    </w:p>
    <w:p w14:paraId="24CE3510" w14:textId="77777777" w:rsidR="00825475" w:rsidRPr="00970AD2" w:rsidRDefault="00A85A25" w:rsidP="00030AC2">
      <w:pPr>
        <w:pStyle w:val="Sectionheading3"/>
      </w:pPr>
      <w:r w:rsidRPr="00970AD2">
        <w:t>A</w:t>
      </w:r>
      <w:r w:rsidR="001A78F3" w:rsidRPr="00970AD2">
        <w:t>ctivity definition</w:t>
      </w:r>
    </w:p>
    <w:p w14:paraId="15D6605C" w14:textId="77777777" w:rsidR="00825475" w:rsidRPr="00970AD2" w:rsidRDefault="00703BF9" w:rsidP="00653E2C">
      <w:pPr>
        <w:pStyle w:val="BodytextEEIS"/>
      </w:pPr>
      <w:r w:rsidRPr="00030AC2">
        <w:rPr>
          <w:b/>
        </w:rPr>
        <w:t xml:space="preserve">Activity </w:t>
      </w:r>
      <w:r w:rsidR="00A516A3" w:rsidRPr="00030AC2">
        <w:rPr>
          <w:b/>
        </w:rPr>
        <w:t xml:space="preserve">ID </w:t>
      </w:r>
      <w:r w:rsidRPr="00030AC2">
        <w:rPr>
          <w:b/>
        </w:rPr>
        <w:t xml:space="preserve">1.7 </w:t>
      </w:r>
      <w:r w:rsidRPr="00970AD2">
        <w:t>–</w:t>
      </w:r>
      <w:r w:rsidRPr="00030AC2">
        <w:rPr>
          <w:b/>
        </w:rPr>
        <w:t xml:space="preserve"> </w:t>
      </w:r>
      <w:r w:rsidR="00A85A25" w:rsidRPr="00970AD2">
        <w:t>In accordance with the prescribed minimum activity performance specifications, i</w:t>
      </w:r>
      <w:r w:rsidR="001A78F3" w:rsidRPr="00970AD2">
        <w:t>nstalling a box pelmet</w:t>
      </w:r>
      <w:r w:rsidR="00457D17" w:rsidRPr="00970AD2">
        <w:t xml:space="preserve"> to a window </w:t>
      </w:r>
      <w:r w:rsidR="00CB3BCF" w:rsidRPr="00970AD2">
        <w:t xml:space="preserve">in an external wall of a conditioned zone </w:t>
      </w:r>
      <w:r w:rsidR="00457D17" w:rsidRPr="00970AD2">
        <w:t xml:space="preserve">so that the pelmet fully encloses the top of an existing curtain, drape or blind </w:t>
      </w:r>
      <w:r w:rsidR="001A78F3" w:rsidRPr="00970AD2">
        <w:t xml:space="preserve">and </w:t>
      </w:r>
      <w:r w:rsidR="00457D17" w:rsidRPr="00970AD2">
        <w:t>restricts the convective air flow from beside or above the pelmet to the window</w:t>
      </w:r>
      <w:r w:rsidR="001A78F3" w:rsidRPr="00970AD2">
        <w:t>.</w:t>
      </w:r>
    </w:p>
    <w:p w14:paraId="5C3B7014" w14:textId="77777777" w:rsidR="00A85A25" w:rsidRPr="00970AD2" w:rsidRDefault="00A85A25" w:rsidP="00030AC2">
      <w:pPr>
        <w:pStyle w:val="Sectionheading3"/>
      </w:pPr>
      <w:r w:rsidRPr="00970AD2">
        <w:t>Minimum activity performance specifications</w:t>
      </w:r>
    </w:p>
    <w:p w14:paraId="6F47941E" w14:textId="77777777" w:rsidR="00CB3BCF" w:rsidRPr="00970AD2" w:rsidRDefault="00CB3BCF" w:rsidP="00030AC2">
      <w:pPr>
        <w:pStyle w:val="BodytextEEIS"/>
        <w:rPr>
          <w:i/>
        </w:rPr>
      </w:pPr>
      <w:r w:rsidRPr="00970AD2">
        <w:t>To be an eligible activity the activity must</w:t>
      </w:r>
      <w:r w:rsidRPr="00970AD2">
        <w:rPr>
          <w:bCs/>
        </w:rPr>
        <w:t>—</w:t>
      </w:r>
    </w:p>
    <w:p w14:paraId="280A2F79" w14:textId="77777777" w:rsidR="00B75D20" w:rsidRPr="00970AD2" w:rsidRDefault="00CB3BCF" w:rsidP="00D633D3">
      <w:pPr>
        <w:pStyle w:val="Subdetailsfirstindent"/>
        <w:numPr>
          <w:ilvl w:val="0"/>
          <w:numId w:val="34"/>
        </w:numPr>
      </w:pPr>
      <w:r w:rsidRPr="00970AD2">
        <w:t xml:space="preserve">be undertaken at an eligible residential premises; </w:t>
      </w:r>
    </w:p>
    <w:p w14:paraId="29CBF014" w14:textId="77777777" w:rsidR="00B75D20" w:rsidRPr="00970AD2" w:rsidRDefault="00CB3BCF" w:rsidP="00030AC2">
      <w:pPr>
        <w:pStyle w:val="Subdetailsfirstindent"/>
      </w:pPr>
      <w:r w:rsidRPr="00970AD2">
        <w:t xml:space="preserve">be undertaken using a product or products meeting the installed product requirements in section </w:t>
      </w:r>
      <w:r w:rsidR="00653E2C">
        <w:t>1.7.</w:t>
      </w:r>
      <w:r w:rsidRPr="00970AD2">
        <w:t xml:space="preserve">3; </w:t>
      </w:r>
    </w:p>
    <w:p w14:paraId="0FC5EECF" w14:textId="77777777" w:rsidR="00B75D20" w:rsidRPr="00970AD2" w:rsidRDefault="00CB3BCF" w:rsidP="00030AC2">
      <w:pPr>
        <w:pStyle w:val="Subdetailsfirstindent"/>
      </w:pPr>
      <w:r w:rsidRPr="00970AD2">
        <w:t xml:space="preserve">be completed and </w:t>
      </w:r>
      <w:r w:rsidR="008606E4" w:rsidRPr="00970AD2">
        <w:t>certified in accordance with the relevant code or codes of practice and other relevant legislation applying to the activity, including any licensing, registration, statutory approval, activity certification, health, safety, environmental or waste disposal requirements</w:t>
      </w:r>
      <w:r w:rsidRPr="00970AD2">
        <w:t xml:space="preserve">; and </w:t>
      </w:r>
    </w:p>
    <w:p w14:paraId="37672FE0" w14:textId="77777777" w:rsidR="00B75D20" w:rsidRPr="00970AD2" w:rsidRDefault="00CB3BCF" w:rsidP="00030AC2">
      <w:pPr>
        <w:pStyle w:val="Subdetailsfirstindent"/>
      </w:pPr>
      <w:r w:rsidRPr="00970AD2">
        <w:t>be recorded in accordance with any relevant code of practice for the activity.</w:t>
      </w:r>
    </w:p>
    <w:p w14:paraId="0CA47274" w14:textId="77777777" w:rsidR="00CB3BCF" w:rsidRPr="00970AD2" w:rsidRDefault="00CB3BCF" w:rsidP="00030AC2">
      <w:pPr>
        <w:pStyle w:val="Notesandexamples"/>
      </w:pPr>
      <w:r w:rsidRPr="00970AD2">
        <w:t>Note</w:t>
      </w:r>
      <w:r w:rsidRPr="00970AD2">
        <w:tab/>
        <w:t>All activities are subject to independent inspection or audit to confirm compliance with prescribed activity requirements.</w:t>
      </w:r>
    </w:p>
    <w:p w14:paraId="1BC789F6" w14:textId="77777777" w:rsidR="00577459" w:rsidRPr="00970AD2" w:rsidRDefault="00577459" w:rsidP="00030AC2">
      <w:pPr>
        <w:pStyle w:val="Sectionheading3"/>
      </w:pPr>
      <w:r w:rsidRPr="00970AD2">
        <w:t>Installed product requirements</w:t>
      </w:r>
    </w:p>
    <w:p w14:paraId="51045039" w14:textId="77777777" w:rsidR="008606E4" w:rsidRPr="00970AD2" w:rsidRDefault="008606E4" w:rsidP="00030AC2">
      <w:pPr>
        <w:pStyle w:val="BodytextEEIS"/>
      </w:pPr>
      <w:r w:rsidRPr="00970AD2">
        <w:t>An installed product must be a box pelmet that</w:t>
      </w:r>
      <w:r w:rsidRPr="00970AD2">
        <w:rPr>
          <w:bCs/>
        </w:rPr>
        <w:t>—</w:t>
      </w:r>
      <w:r w:rsidRPr="00970AD2">
        <w:t xml:space="preserve"> </w:t>
      </w:r>
    </w:p>
    <w:p w14:paraId="2D867AD7" w14:textId="77777777" w:rsidR="00B75D20" w:rsidRPr="00970AD2" w:rsidRDefault="00CB3BCF" w:rsidP="00D633D3">
      <w:pPr>
        <w:pStyle w:val="Subdetailsfirstindent"/>
        <w:numPr>
          <w:ilvl w:val="0"/>
          <w:numId w:val="35"/>
        </w:numPr>
      </w:pPr>
      <w:r w:rsidRPr="00970AD2">
        <w:t>works in combination with the curtain or drape to enclose the top of the curtain, drape or blind to prevent air plunging by convection from beside or abov</w:t>
      </w:r>
      <w:r w:rsidR="006950E2" w:rsidRPr="00970AD2">
        <w:t>e the pelmet to the window; and</w:t>
      </w:r>
      <w:r w:rsidRPr="00970AD2">
        <w:t xml:space="preserve"> </w:t>
      </w:r>
    </w:p>
    <w:p w14:paraId="1B2365AC" w14:textId="77777777" w:rsidR="00B75D20" w:rsidRPr="00970AD2" w:rsidRDefault="00CB3BCF" w:rsidP="00030AC2">
      <w:pPr>
        <w:pStyle w:val="Subdetailsfirstindent"/>
      </w:pPr>
      <w:r w:rsidRPr="00970AD2">
        <w:rPr>
          <w:iCs/>
        </w:rPr>
        <w:t xml:space="preserve">complies with </w:t>
      </w:r>
      <w:r w:rsidRPr="00970AD2">
        <w:t xml:space="preserve">any product safety or other product requirements in a relevant code of practice or other relevant legislation. </w:t>
      </w:r>
    </w:p>
    <w:p w14:paraId="3800299D" w14:textId="77777777" w:rsidR="00825475" w:rsidRPr="00970AD2" w:rsidRDefault="001A78F3" w:rsidP="00030AC2">
      <w:pPr>
        <w:pStyle w:val="Sectionheading3"/>
        <w:rPr>
          <w:u w:val="single"/>
        </w:rPr>
      </w:pPr>
      <w:r w:rsidRPr="00970AD2">
        <w:t>Time the activity is taken to be completed</w:t>
      </w:r>
    </w:p>
    <w:p w14:paraId="7949335D" w14:textId="77777777" w:rsidR="008606E4" w:rsidRPr="00970AD2" w:rsidRDefault="008606E4" w:rsidP="00030AC2">
      <w:pPr>
        <w:pStyle w:val="BodytextEEIS"/>
      </w:pPr>
      <w:r w:rsidRPr="00970AD2">
        <w:t xml:space="preserve">The activity is taken to be completed on the day all applicable prescribed activity requirements are completed. </w:t>
      </w:r>
    </w:p>
    <w:p w14:paraId="084473FE" w14:textId="11F46B87" w:rsidR="00825475" w:rsidRPr="00970AD2" w:rsidRDefault="001A78F3" w:rsidP="00030AC2">
      <w:pPr>
        <w:pStyle w:val="Sectionheading3"/>
        <w:rPr>
          <w:u w:val="single"/>
        </w:rPr>
      </w:pPr>
      <w:r w:rsidRPr="00970AD2">
        <w:t xml:space="preserve">Calculation </w:t>
      </w:r>
      <w:r w:rsidR="00577459" w:rsidRPr="00970AD2">
        <w:t>of</w:t>
      </w:r>
      <w:r w:rsidR="00C356F3">
        <w:t xml:space="preserve"> </w:t>
      </w:r>
      <w:r w:rsidR="004A0156">
        <w:t>energy savings</w:t>
      </w:r>
      <w:r w:rsidR="00C356F3">
        <w:t xml:space="preserve"> </w:t>
      </w:r>
      <w:r w:rsidR="00577459" w:rsidRPr="00970AD2">
        <w:t>factor</w:t>
      </w:r>
    </w:p>
    <w:p w14:paraId="45229ED4" w14:textId="677917E1" w:rsidR="00E07DD0" w:rsidRPr="00970AD2" w:rsidRDefault="00CB3BCF" w:rsidP="00D73C55">
      <w:pPr>
        <w:pStyle w:val="BodytextEEIS"/>
      </w:pPr>
      <w:r w:rsidRPr="00970AD2">
        <w:t xml:space="preserve">The total </w:t>
      </w:r>
      <w:r w:rsidR="00C356F3">
        <w:t>energy savings</w:t>
      </w:r>
      <w:r w:rsidRPr="00970AD2">
        <w:t xml:space="preserve"> factor </w:t>
      </w:r>
      <w:r w:rsidR="00C356F3" w:rsidRPr="00970AD2">
        <w:t xml:space="preserve">in </w:t>
      </w:r>
      <w:r w:rsidR="00880CB1">
        <w:t>Megawatt-hours</w:t>
      </w:r>
      <w:r w:rsidR="00C356F3">
        <w:t xml:space="preserve"> (MWh) </w:t>
      </w:r>
      <w:r w:rsidRPr="00970AD2">
        <w:t>saved in a premises for the activity must be determined by using the equations prescribed in this section.</w:t>
      </w:r>
    </w:p>
    <w:p w14:paraId="5C3416C3" w14:textId="33A4444A" w:rsidR="00E07DD0" w:rsidRPr="00970AD2" w:rsidRDefault="00CB3BCF" w:rsidP="00D633D3">
      <w:pPr>
        <w:pStyle w:val="Subdetailsfirstindent"/>
        <w:numPr>
          <w:ilvl w:val="0"/>
          <w:numId w:val="195"/>
        </w:numPr>
      </w:pPr>
      <w:r w:rsidRPr="00970AD2">
        <w:t xml:space="preserve">The </w:t>
      </w:r>
      <w:r w:rsidR="00C356F3">
        <w:t>energy savings</w:t>
      </w:r>
      <w:r w:rsidRPr="00970AD2">
        <w:t xml:space="preserve"> factor is calculated by multiplying the area in square metres </w:t>
      </w:r>
      <w:r w:rsidR="00D101BB" w:rsidRPr="00970AD2">
        <w:t>(m</w:t>
      </w:r>
      <w:r w:rsidR="00D101BB" w:rsidRPr="006741CB">
        <w:rPr>
          <w:vertAlign w:val="superscript"/>
        </w:rPr>
        <w:t>2</w:t>
      </w:r>
      <w:r w:rsidR="00D101BB" w:rsidRPr="00970AD2">
        <w:t xml:space="preserve">) </w:t>
      </w:r>
      <w:r w:rsidR="008606E4" w:rsidRPr="00970AD2">
        <w:t xml:space="preserve">to the nearest square centimetre </w:t>
      </w:r>
      <w:r w:rsidRPr="00970AD2">
        <w:t xml:space="preserve">of the window or windows </w:t>
      </w:r>
      <w:r w:rsidR="00245F22">
        <w:t>the</w:t>
      </w:r>
      <w:r w:rsidR="00245F22" w:rsidRPr="00970AD2">
        <w:t xml:space="preserve"> </w:t>
      </w:r>
      <w:r w:rsidRPr="00970AD2">
        <w:t>installed pelmets cover</w:t>
      </w:r>
      <w:r w:rsidR="008606E4" w:rsidRPr="00970AD2">
        <w:t xml:space="preserve"> by</w:t>
      </w:r>
      <w:r w:rsidRPr="00970AD2">
        <w:t xml:space="preserve"> </w:t>
      </w:r>
      <w:r w:rsidR="008606E4" w:rsidRPr="00970AD2">
        <w:t>t</w:t>
      </w:r>
      <w:r w:rsidRPr="00970AD2">
        <w:t xml:space="preserve">he activity </w:t>
      </w:r>
      <w:r w:rsidR="00C356F3">
        <w:t>energy savings</w:t>
      </w:r>
      <w:r w:rsidRPr="00970AD2">
        <w:t xml:space="preserve"> value </w:t>
      </w:r>
      <w:r w:rsidR="008606E4" w:rsidRPr="00970AD2">
        <w:t>such</w:t>
      </w:r>
      <w:r w:rsidRPr="00970AD2">
        <w:t xml:space="preserve"> that</w:t>
      </w:r>
      <w:r w:rsidRPr="006741CB">
        <w:rPr>
          <w:bCs/>
        </w:rPr>
        <w:t>—</w:t>
      </w:r>
      <w:r w:rsidRPr="00970AD2">
        <w:t xml:space="preserve"> </w:t>
      </w:r>
    </w:p>
    <w:p w14:paraId="555A1852" w14:textId="2B342AC9" w:rsidR="009B79A6" w:rsidRDefault="00C356F3" w:rsidP="009B79A6">
      <w:pPr>
        <w:pStyle w:val="Formula"/>
      </w:pPr>
      <w:r>
        <w:t>Energy Savings</w:t>
      </w:r>
      <w:r w:rsidR="009B79A6">
        <w:t xml:space="preserve"> factor (</w:t>
      </w:r>
      <w:r>
        <w:t>MWh</w:t>
      </w:r>
      <w:r w:rsidR="009B79A6">
        <w:t xml:space="preserve">) = </w:t>
      </w:r>
      <w:r>
        <w:t>ESF</w:t>
      </w:r>
      <w:r w:rsidR="009B79A6">
        <w:t xml:space="preserve"> x m</w:t>
      </w:r>
      <w:r w:rsidR="009B79A6" w:rsidRPr="009B79A6">
        <w:rPr>
          <w:vertAlign w:val="superscript"/>
        </w:rPr>
        <w:t>2</w:t>
      </w:r>
    </w:p>
    <w:p w14:paraId="7C63E7B0" w14:textId="77777777" w:rsidR="00653E2C" w:rsidRDefault="00CB3BCF" w:rsidP="00030AC2">
      <w:pPr>
        <w:pStyle w:val="BodytextEEIS"/>
      </w:pPr>
      <w:r w:rsidRPr="00970AD2">
        <w:t>Where</w:t>
      </w:r>
      <w:r w:rsidR="00653E2C">
        <w:t>—</w:t>
      </w:r>
      <w:r w:rsidR="008606E4" w:rsidRPr="00970AD2">
        <w:t xml:space="preserve"> </w:t>
      </w:r>
    </w:p>
    <w:p w14:paraId="1FBC4C57" w14:textId="73C05C88" w:rsidR="001069C8" w:rsidRDefault="00C356F3" w:rsidP="00D633D3">
      <w:pPr>
        <w:pStyle w:val="Subdetailssecondindent"/>
        <w:numPr>
          <w:ilvl w:val="0"/>
          <w:numId w:val="156"/>
        </w:numPr>
      </w:pPr>
      <w:r>
        <w:rPr>
          <w:i/>
        </w:rPr>
        <w:t>ESF</w:t>
      </w:r>
      <w:r w:rsidR="008606E4" w:rsidRPr="00970AD2">
        <w:t xml:space="preserve"> is </w:t>
      </w:r>
      <w:r w:rsidR="00FA1D3B" w:rsidRPr="00970AD2">
        <w:t>a prescribed</w:t>
      </w:r>
      <w:r w:rsidR="008606E4" w:rsidRPr="00970AD2">
        <w:t xml:space="preserve"> activity</w:t>
      </w:r>
      <w:r w:rsidR="00CB3BCF" w:rsidRPr="00970AD2">
        <w:t xml:space="preserve"> </w:t>
      </w:r>
      <w:r>
        <w:t>energy savings</w:t>
      </w:r>
      <w:r w:rsidR="00CB3BCF" w:rsidRPr="00970AD2">
        <w:t xml:space="preserve"> </w:t>
      </w:r>
      <w:r w:rsidR="00FA1D3B" w:rsidRPr="00970AD2">
        <w:t xml:space="preserve">value </w:t>
      </w:r>
      <w:r w:rsidR="008606E4" w:rsidRPr="00970AD2">
        <w:t>of 0.</w:t>
      </w:r>
      <w:r>
        <w:t>551</w:t>
      </w:r>
      <w:r w:rsidR="008606E4" w:rsidRPr="00970AD2">
        <w:t>.</w:t>
      </w:r>
      <w:r w:rsidR="00CB3BCF" w:rsidRPr="00970AD2">
        <w:t xml:space="preserve"> </w:t>
      </w:r>
    </w:p>
    <w:p w14:paraId="15C973C2" w14:textId="77777777" w:rsidR="00224B7E" w:rsidRDefault="00562193" w:rsidP="00030AC2">
      <w:pPr>
        <w:pStyle w:val="Sectionheading2"/>
      </w:pPr>
      <w:bookmarkStart w:id="130" w:name="_Toc435603226"/>
      <w:bookmarkStart w:id="131" w:name="_Toc466535731"/>
      <w:bookmarkStart w:id="132" w:name="_Toc333417646"/>
      <w:r>
        <w:br w:type="page"/>
      </w:r>
      <w:bookmarkStart w:id="133" w:name="_Toc531035044"/>
      <w:bookmarkStart w:id="134" w:name="_Toc27560548"/>
      <w:bookmarkStart w:id="135" w:name="_Toc519938931"/>
      <w:r w:rsidR="00224B7E">
        <w:lastRenderedPageBreak/>
        <w:t>Install ceiling i</w:t>
      </w:r>
      <w:r w:rsidR="00224B7E" w:rsidRPr="001069C8">
        <w:t>nsulation</w:t>
      </w:r>
      <w:bookmarkEnd w:id="133"/>
      <w:bookmarkEnd w:id="134"/>
      <w:r w:rsidR="00224B7E" w:rsidRPr="001069C8">
        <w:t xml:space="preserve"> </w:t>
      </w:r>
      <w:bookmarkEnd w:id="135"/>
    </w:p>
    <w:p w14:paraId="6C6A9E42" w14:textId="77777777" w:rsidR="00224B7E" w:rsidRPr="001069C8" w:rsidRDefault="00224B7E" w:rsidP="00030AC2">
      <w:pPr>
        <w:pStyle w:val="Sectionheading3"/>
      </w:pPr>
      <w:bookmarkStart w:id="136" w:name="_Toc519938932"/>
      <w:r w:rsidRPr="001069C8">
        <w:t>Activity definition</w:t>
      </w:r>
      <w:bookmarkEnd w:id="136"/>
    </w:p>
    <w:p w14:paraId="51464070" w14:textId="77777777" w:rsidR="00224B7E" w:rsidRPr="009E2BEB" w:rsidRDefault="00224B7E" w:rsidP="00245F22">
      <w:pPr>
        <w:pStyle w:val="BodytextEEIS"/>
        <w:rPr>
          <w:sz w:val="19"/>
          <w:szCs w:val="19"/>
        </w:rPr>
      </w:pPr>
      <w:r w:rsidRPr="009E2BEB">
        <w:rPr>
          <w:b/>
        </w:rPr>
        <w:t>Activity ID 1.8 –</w:t>
      </w:r>
      <w:r w:rsidRPr="00AE06A7">
        <w:t xml:space="preserve"> In accordance with the prescribed minimum activity performance specifications, installing a ceiling insulation product </w:t>
      </w:r>
      <w:r>
        <w:t xml:space="preserve">(new or top-up) </w:t>
      </w:r>
      <w:r w:rsidRPr="00AE06A7">
        <w:t xml:space="preserve">in accordance with </w:t>
      </w:r>
      <w:r>
        <w:t xml:space="preserve">the current version of </w:t>
      </w:r>
      <w:r w:rsidRPr="00AE06A7">
        <w:t>AS</w:t>
      </w:r>
      <w:r>
        <w:t xml:space="preserve"> </w:t>
      </w:r>
      <w:r w:rsidRPr="00AE06A7">
        <w:t>3999 in a ceiling area above a room that is either uninsulated or under insulated</w:t>
      </w:r>
      <w:r w:rsidR="003F3104">
        <w:t xml:space="preserve"> (R value of 2.0 or less)</w:t>
      </w:r>
      <w:r w:rsidRPr="00AE06A7">
        <w:t xml:space="preserve"> within a residential premises</w:t>
      </w:r>
      <w:r>
        <w:t>.</w:t>
      </w:r>
    </w:p>
    <w:p w14:paraId="0F22E946" w14:textId="77777777" w:rsidR="00224B7E" w:rsidRPr="001069C8" w:rsidRDefault="00224B7E" w:rsidP="00030AC2">
      <w:pPr>
        <w:pStyle w:val="Sectionheading3"/>
      </w:pPr>
      <w:r w:rsidRPr="001069C8">
        <w:t>Minimum activity performance specifications</w:t>
      </w:r>
    </w:p>
    <w:p w14:paraId="495BDB13" w14:textId="77777777" w:rsidR="00224B7E" w:rsidRPr="00B15B04" w:rsidRDefault="00224B7E" w:rsidP="009E2BEB">
      <w:pPr>
        <w:pStyle w:val="BodytextEEIS"/>
        <w:rPr>
          <w:i/>
        </w:rPr>
      </w:pPr>
      <w:r w:rsidRPr="00B15B04">
        <w:t>To be an eligible activity the activity must</w:t>
      </w:r>
      <w:r w:rsidRPr="00B15B04">
        <w:rPr>
          <w:bCs/>
        </w:rPr>
        <w:t>—</w:t>
      </w:r>
    </w:p>
    <w:p w14:paraId="63F04E07" w14:textId="77777777" w:rsidR="00224B7E" w:rsidRPr="009E2BEB" w:rsidRDefault="00224B7E" w:rsidP="00D633D3">
      <w:pPr>
        <w:pStyle w:val="Subdetailsfirstindent"/>
        <w:numPr>
          <w:ilvl w:val="0"/>
          <w:numId w:val="36"/>
        </w:numPr>
        <w:rPr>
          <w:sz w:val="19"/>
          <w:szCs w:val="19"/>
        </w:rPr>
      </w:pPr>
      <w:bookmarkStart w:id="137" w:name="_Hlk5695940"/>
      <w:r>
        <w:t xml:space="preserve">be undertaken at an eligible residential </w:t>
      </w:r>
      <w:bookmarkEnd w:id="137"/>
      <w:r>
        <w:t xml:space="preserve">premises; </w:t>
      </w:r>
    </w:p>
    <w:p w14:paraId="14EE527D" w14:textId="77777777" w:rsidR="00224B7E" w:rsidRPr="00F22C58" w:rsidRDefault="00224B7E" w:rsidP="009E2BEB">
      <w:pPr>
        <w:pStyle w:val="Subdetailsfirstindent"/>
        <w:rPr>
          <w:sz w:val="19"/>
          <w:szCs w:val="19"/>
        </w:rPr>
      </w:pPr>
      <w:r w:rsidRPr="00B15B04">
        <w:t xml:space="preserve">be undertaken using a product or products meeting the installed product requirements in section </w:t>
      </w:r>
      <w:r w:rsidR="00245F22">
        <w:t>1.8.</w:t>
      </w:r>
      <w:r w:rsidRPr="00B15B04">
        <w:t xml:space="preserve">3; </w:t>
      </w:r>
    </w:p>
    <w:p w14:paraId="15DF4720" w14:textId="77777777" w:rsidR="00224B7E" w:rsidRPr="008922F5" w:rsidRDefault="00224B7E" w:rsidP="009E2BEB">
      <w:pPr>
        <w:pStyle w:val="Subdetailsfirstindent"/>
      </w:pPr>
      <w:r w:rsidRPr="008922F5">
        <w:t>be either a new installation or the top up of existing insulation which</w:t>
      </w:r>
      <w:r w:rsidR="00245F22">
        <w:t>—</w:t>
      </w:r>
    </w:p>
    <w:p w14:paraId="31B85591" w14:textId="77777777" w:rsidR="00224B7E" w:rsidRPr="008922F5" w:rsidRDefault="00224B7E" w:rsidP="00D633D3">
      <w:pPr>
        <w:pStyle w:val="Subdetailssecondindent"/>
        <w:numPr>
          <w:ilvl w:val="0"/>
          <w:numId w:val="37"/>
        </w:numPr>
      </w:pPr>
      <w:r w:rsidRPr="008922F5">
        <w:t xml:space="preserve">brings the total </w:t>
      </w:r>
      <w:r>
        <w:t>material R-</w:t>
      </w:r>
      <w:r w:rsidRPr="008922F5">
        <w:t xml:space="preserve">value </w:t>
      </w:r>
      <w:r>
        <w:t xml:space="preserve">(thermal resistance) </w:t>
      </w:r>
      <w:r w:rsidRPr="008922F5">
        <w:t>of installed insulation products to not less than 5.0 when measured in accordance with the curre</w:t>
      </w:r>
      <w:r>
        <w:t>nt version of AS/NZS 4859</w:t>
      </w:r>
      <w:r w:rsidR="009B79A6">
        <w:t>,</w:t>
      </w:r>
      <w:r>
        <w:t xml:space="preserve"> or</w:t>
      </w:r>
      <w:r w:rsidR="009B79A6">
        <w:t xml:space="preserve"> </w:t>
      </w:r>
      <w:r>
        <w:t>i</w:t>
      </w:r>
      <w:r w:rsidRPr="008922F5">
        <w:t xml:space="preserve">n the case where there is a physical barrier to achieving a total </w:t>
      </w:r>
      <w:r>
        <w:t xml:space="preserve">material R </w:t>
      </w:r>
      <w:r w:rsidRPr="008922F5">
        <w:t xml:space="preserve">value of 5.0, </w:t>
      </w:r>
      <w:r>
        <w:t xml:space="preserve">a total material </w:t>
      </w:r>
      <w:r w:rsidRPr="008922F5">
        <w:t>R</w:t>
      </w:r>
      <w:r>
        <w:t xml:space="preserve"> value of</w:t>
      </w:r>
      <w:r w:rsidRPr="008922F5">
        <w:t xml:space="preserve"> 4.0 may be used as a minimum; and</w:t>
      </w:r>
    </w:p>
    <w:p w14:paraId="07B76556" w14:textId="77777777" w:rsidR="00224B7E" w:rsidRPr="008922F5" w:rsidRDefault="00224B7E" w:rsidP="009E2BEB">
      <w:pPr>
        <w:pStyle w:val="Subdetailssecondindent"/>
      </w:pPr>
      <w:r>
        <w:t>i</w:t>
      </w:r>
      <w:r w:rsidRPr="008922F5">
        <w:t xml:space="preserve">f it is not possible to achieve </w:t>
      </w:r>
      <w:r>
        <w:t xml:space="preserve">a total material </w:t>
      </w:r>
      <w:r w:rsidRPr="008922F5">
        <w:t>R</w:t>
      </w:r>
      <w:r>
        <w:t xml:space="preserve"> value of </w:t>
      </w:r>
      <w:r w:rsidRPr="008922F5">
        <w:t>5.0 or 4.0 out to 50mm over the top plate of the wall frame without being compressed between the roof and the ceiling, then R</w:t>
      </w:r>
      <w:r>
        <w:t xml:space="preserve"> </w:t>
      </w:r>
      <w:r w:rsidRPr="008922F5">
        <w:t>2.5 perimeter batts may be installed exclusively near eaves and tight areas, in accordance with the current version of AS 3999.</w:t>
      </w:r>
    </w:p>
    <w:p w14:paraId="21B73690" w14:textId="77777777" w:rsidR="00224B7E" w:rsidRPr="00E104BC" w:rsidRDefault="00224B7E" w:rsidP="009E2BEB">
      <w:pPr>
        <w:pStyle w:val="Notesandexamples"/>
      </w:pPr>
      <w:r w:rsidRPr="00E104BC">
        <w:t xml:space="preserve">Note </w:t>
      </w:r>
      <w:r w:rsidRPr="00E104BC">
        <w:tab/>
        <w:t>Top up insulation is defined as the addition of a new insulation product on top of an existing insulation product.</w:t>
      </w:r>
    </w:p>
    <w:p w14:paraId="0CB4ED22" w14:textId="77777777" w:rsidR="00224B7E" w:rsidRPr="00E104BC" w:rsidRDefault="00224B7E" w:rsidP="009E2BEB">
      <w:pPr>
        <w:pStyle w:val="Notesandexamples"/>
      </w:pPr>
      <w:r w:rsidRPr="00E104BC">
        <w:t>Example</w:t>
      </w:r>
      <w:r w:rsidRPr="00E104BC">
        <w:tab/>
        <w:t>A ceiling containing existing R 2.0 batts could be deemed to comply if either the R 2.0 batts were removed and R 5.0 batts where installed in their place or if the R 2.0 batts are deemed still in reasonable condition, then they may be left in situ and R 3.0 or higher batts are installed as a top up over the existing batts.</w:t>
      </w:r>
    </w:p>
    <w:p w14:paraId="13F9FB62" w14:textId="77777777" w:rsidR="00224B7E" w:rsidRPr="00B15B04" w:rsidRDefault="00224B7E" w:rsidP="009E2BEB">
      <w:pPr>
        <w:pStyle w:val="Subdetailsfirstindent"/>
      </w:pPr>
      <w:r w:rsidRPr="00B15B04">
        <w:t xml:space="preserve">not be otherwise required by law, for example under the National Construction Code; </w:t>
      </w:r>
    </w:p>
    <w:p w14:paraId="782DA3C2" w14:textId="77777777" w:rsidR="00224B7E" w:rsidRPr="00B15B04" w:rsidRDefault="00224B7E" w:rsidP="009E2BEB">
      <w:pPr>
        <w:pStyle w:val="Subdetailsfirstindent"/>
      </w:pPr>
      <w:r w:rsidRPr="00B15B04">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14:paraId="09F03C6C" w14:textId="77777777" w:rsidR="00224B7E" w:rsidRPr="00B15B04" w:rsidRDefault="00224B7E" w:rsidP="009E2BEB">
      <w:pPr>
        <w:pStyle w:val="Subdetailsfirstindent"/>
      </w:pPr>
      <w:r w:rsidRPr="00B15B04">
        <w:t>be recorded in accordance with any relevant code of practice for the activity.</w:t>
      </w:r>
    </w:p>
    <w:p w14:paraId="604AA0EC" w14:textId="77777777" w:rsidR="00224B7E" w:rsidRPr="00F0256F" w:rsidRDefault="00224B7E" w:rsidP="009E2BEB">
      <w:pPr>
        <w:pStyle w:val="Notesandexamples"/>
      </w:pPr>
      <w:r w:rsidRPr="00B80D0A">
        <w:t>Note</w:t>
      </w:r>
      <w:r>
        <w:rPr>
          <w:iCs/>
        </w:rPr>
        <w:tab/>
      </w:r>
      <w:r w:rsidRPr="00B80D0A">
        <w:t>All activities are subject to independent inspection or audit to confirm compliance with prescribed activity requirements.</w:t>
      </w:r>
      <w:r w:rsidDel="00156DF1">
        <w:t xml:space="preserve"> </w:t>
      </w:r>
    </w:p>
    <w:p w14:paraId="2A0C6596" w14:textId="77777777" w:rsidR="00224B7E" w:rsidRPr="001069C8" w:rsidRDefault="00224B7E" w:rsidP="009E2BEB">
      <w:pPr>
        <w:pStyle w:val="Sectionheading3"/>
      </w:pPr>
      <w:bookmarkStart w:id="138" w:name="_Toc519938934"/>
      <w:r w:rsidRPr="001069C8">
        <w:t>Installed product requirements</w:t>
      </w:r>
      <w:bookmarkEnd w:id="138"/>
    </w:p>
    <w:p w14:paraId="38A1FBE4" w14:textId="77777777" w:rsidR="00224B7E" w:rsidRPr="001069C8" w:rsidRDefault="00224B7E" w:rsidP="009E2BEB">
      <w:pPr>
        <w:pStyle w:val="BodytextEEIS"/>
      </w:pPr>
      <w:r w:rsidRPr="001069C8">
        <w:t>An installed product must be an insulation product that—</w:t>
      </w:r>
    </w:p>
    <w:p w14:paraId="39492FD9" w14:textId="77777777" w:rsidR="00224B7E" w:rsidRPr="00FD1E59" w:rsidRDefault="00224B7E" w:rsidP="00D633D3">
      <w:pPr>
        <w:pStyle w:val="Subdetailsfirstindent"/>
        <w:numPr>
          <w:ilvl w:val="0"/>
          <w:numId w:val="38"/>
        </w:numPr>
      </w:pPr>
      <w:r w:rsidRPr="009E2BEB">
        <w:rPr>
          <w:iCs/>
        </w:rPr>
        <w:t>is CodeMark certified or has been tested by a NATA-</w:t>
      </w:r>
      <w:r w:rsidRPr="00FD1E59">
        <w:t xml:space="preserve">Accredited Testing Laboratory and can be evidenced to comply with relevant requirements of the current version of AS/NZS 4859; </w:t>
      </w:r>
    </w:p>
    <w:p w14:paraId="47BD5F63" w14:textId="77777777" w:rsidR="00224B7E" w:rsidRDefault="00224B7E" w:rsidP="009E2BEB">
      <w:pPr>
        <w:pStyle w:val="Subdetailsfirstindent"/>
      </w:pPr>
      <w:r w:rsidRPr="00792BDD">
        <w:t xml:space="preserve">is not a foil laminated </w:t>
      </w:r>
      <w:r>
        <w:t xml:space="preserve">type product; </w:t>
      </w:r>
    </w:p>
    <w:p w14:paraId="470144B6" w14:textId="77777777" w:rsidR="00224B7E" w:rsidRPr="00296784" w:rsidRDefault="00224B7E" w:rsidP="009E2BEB">
      <w:pPr>
        <w:pStyle w:val="Subdetailsfirstindent"/>
      </w:pPr>
      <w:r>
        <w:t xml:space="preserve">is not a </w:t>
      </w:r>
      <w:r w:rsidRPr="00296784">
        <w:t>blow</w:t>
      </w:r>
      <w:r>
        <w:t xml:space="preserve">-in cellulose-based </w:t>
      </w:r>
      <w:r w:rsidRPr="00296784">
        <w:t xml:space="preserve">product; </w:t>
      </w:r>
    </w:p>
    <w:p w14:paraId="16B5DB9A" w14:textId="77777777" w:rsidR="00224B7E" w:rsidRPr="00296784" w:rsidRDefault="00224B7E" w:rsidP="009E2BEB">
      <w:pPr>
        <w:pStyle w:val="Subdetailsfirstindent"/>
      </w:pPr>
      <w:r w:rsidRPr="00296784">
        <w:t xml:space="preserve">is fit for the purpose for which it is intended to be used; </w:t>
      </w:r>
    </w:p>
    <w:p w14:paraId="59B6627C" w14:textId="77777777" w:rsidR="00224B7E" w:rsidRPr="00D73C55" w:rsidRDefault="00224B7E" w:rsidP="00AE7569">
      <w:pPr>
        <w:pStyle w:val="Subdetailsfirstindent"/>
      </w:pPr>
      <w:r w:rsidRPr="00D73C55">
        <w:lastRenderedPageBreak/>
        <w:t xml:space="preserve">is made of a non-combustible material in accordance with the current version of AS 1530; </w:t>
      </w:r>
    </w:p>
    <w:p w14:paraId="44ED0A16" w14:textId="77777777" w:rsidR="00224B7E" w:rsidRPr="00377046" w:rsidRDefault="00224B7E" w:rsidP="009E2BEB">
      <w:pPr>
        <w:pStyle w:val="Subdetailsfirstindent"/>
      </w:pPr>
      <w:r w:rsidRPr="00296784">
        <w:t>comes with a minimum 25</w:t>
      </w:r>
      <w:r w:rsidR="00245F22">
        <w:t>-</w:t>
      </w:r>
      <w:r w:rsidRPr="00296784">
        <w:t>year product warranty; and</w:t>
      </w:r>
    </w:p>
    <w:p w14:paraId="54A8BC11" w14:textId="77777777" w:rsidR="000C1A78" w:rsidRDefault="00224B7E" w:rsidP="000C1A78">
      <w:pPr>
        <w:pStyle w:val="Subdetailsfirstindent"/>
      </w:pPr>
      <w:r w:rsidRPr="00296784">
        <w:t>complies with any product safety or other product performance requirements in a relevant code of practice or other relevant legislation applying to the activity.</w:t>
      </w:r>
    </w:p>
    <w:p w14:paraId="6843BC5A" w14:textId="77777777" w:rsidR="00224B7E" w:rsidRPr="001069C8" w:rsidRDefault="00224B7E" w:rsidP="009E2BEB">
      <w:pPr>
        <w:pStyle w:val="Sectionheading3"/>
      </w:pPr>
      <w:bookmarkStart w:id="139" w:name="_Toc519938935"/>
      <w:r w:rsidRPr="001069C8">
        <w:t>Time the activity is taken to be completed</w:t>
      </w:r>
      <w:bookmarkEnd w:id="139"/>
    </w:p>
    <w:p w14:paraId="099DC348" w14:textId="77777777" w:rsidR="00224B7E" w:rsidRDefault="00224B7E" w:rsidP="009E2BEB">
      <w:pPr>
        <w:pStyle w:val="BodytextEEIS"/>
      </w:pPr>
      <w:r w:rsidRPr="00296784">
        <w:t>The activity is taken to be completed on the day all applicable prescribed activity requirements are completed.</w:t>
      </w:r>
    </w:p>
    <w:p w14:paraId="04595AEE" w14:textId="35AAB1F6" w:rsidR="00224B7E" w:rsidRPr="001069C8" w:rsidRDefault="00224B7E" w:rsidP="009E2BEB">
      <w:pPr>
        <w:pStyle w:val="Sectionheading3"/>
      </w:pPr>
      <w:bookmarkStart w:id="140" w:name="_Toc519938936"/>
      <w:r w:rsidRPr="001069C8">
        <w:t xml:space="preserve">Calculation of </w:t>
      </w:r>
      <w:r w:rsidR="0017320C">
        <w:t xml:space="preserve">energy savings </w:t>
      </w:r>
      <w:r w:rsidRPr="001069C8">
        <w:t>factor</w:t>
      </w:r>
      <w:bookmarkEnd w:id="140"/>
    </w:p>
    <w:p w14:paraId="730211A8" w14:textId="65EAF078" w:rsidR="00224B7E" w:rsidRDefault="00245F22" w:rsidP="009B79A6">
      <w:pPr>
        <w:pStyle w:val="BodytextEEIS"/>
      </w:pPr>
      <w:r w:rsidRPr="00970AD2">
        <w:t xml:space="preserve">The total </w:t>
      </w:r>
      <w:r w:rsidR="0017320C">
        <w:t>energy savings</w:t>
      </w:r>
      <w:r w:rsidR="0017320C" w:rsidRPr="00970AD2" w:rsidDel="0017320C">
        <w:t xml:space="preserve"> </w:t>
      </w:r>
      <w:r w:rsidRPr="00970AD2">
        <w:t xml:space="preserve"> factor in </w:t>
      </w:r>
      <w:r w:rsidR="0017320C" w:rsidRPr="00970AD2">
        <w:t xml:space="preserve">in </w:t>
      </w:r>
      <w:r w:rsidR="00880CB1">
        <w:t>Megawatt-hours</w:t>
      </w:r>
      <w:r w:rsidR="0017320C">
        <w:t xml:space="preserve"> (MWh)</w:t>
      </w:r>
      <w:r w:rsidRPr="00970AD2">
        <w:t xml:space="preserve"> saved for the activity </w:t>
      </w:r>
      <w:r w:rsidR="00291D4B">
        <w:t>is</w:t>
      </w:r>
      <w:r w:rsidRPr="00970AD2">
        <w:t xml:space="preserve"> </w:t>
      </w:r>
      <w:r w:rsidR="00284BB5">
        <w:t xml:space="preserve">the sum of </w:t>
      </w:r>
      <w:r w:rsidR="00291D4B">
        <w:t>all</w:t>
      </w:r>
      <w:r w:rsidR="00284BB5">
        <w:t xml:space="preserve"> </w:t>
      </w:r>
      <w:r w:rsidR="0017320C">
        <w:t>energy savings</w:t>
      </w:r>
      <w:r w:rsidR="0017320C" w:rsidDel="0017320C">
        <w:t xml:space="preserve"> </w:t>
      </w:r>
      <w:r w:rsidR="00284BB5">
        <w:t xml:space="preserve"> factors for each item in table 4</w:t>
      </w:r>
      <w:r w:rsidR="00291D4B">
        <w:t xml:space="preserve"> undertaken in the same premises</w:t>
      </w:r>
      <w:r w:rsidR="009B79A6">
        <w:t xml:space="preserve"> (noting R4 and R5 may be installed in the same premises)</w:t>
      </w:r>
      <w:r w:rsidR="00284BB5">
        <w:t xml:space="preserve">, </w:t>
      </w:r>
      <w:r w:rsidRPr="00970AD2">
        <w:t xml:space="preserve">using the equations </w:t>
      </w:r>
      <w:r w:rsidRPr="000C3A88">
        <w:t>prescribed</w:t>
      </w:r>
      <w:r w:rsidRPr="00970AD2">
        <w:t xml:space="preserve"> in this section.</w:t>
      </w:r>
    </w:p>
    <w:p w14:paraId="316C58E3" w14:textId="011809B5" w:rsidR="00224B7E" w:rsidRPr="009D0DEA" w:rsidRDefault="00224B7E" w:rsidP="00D633D3">
      <w:pPr>
        <w:pStyle w:val="Subdetailsfirstindent"/>
        <w:numPr>
          <w:ilvl w:val="0"/>
          <w:numId w:val="226"/>
        </w:numPr>
      </w:pPr>
      <w:r w:rsidRPr="009D0DEA">
        <w:t xml:space="preserve">The </w:t>
      </w:r>
      <w:r w:rsidR="0017320C">
        <w:t>energy savings</w:t>
      </w:r>
      <w:r w:rsidR="0017320C" w:rsidRPr="009D0DEA" w:rsidDel="0017320C">
        <w:t xml:space="preserve"> </w:t>
      </w:r>
      <w:r w:rsidRPr="009D0DEA">
        <w:t xml:space="preserve"> factor is calculated as—</w:t>
      </w:r>
    </w:p>
    <w:p w14:paraId="249AC3E0" w14:textId="2305E4A7" w:rsidR="00224B7E" w:rsidRPr="00296784" w:rsidRDefault="0017320C" w:rsidP="009B79A6">
      <w:pPr>
        <w:pStyle w:val="Formula"/>
      </w:pPr>
      <w:r>
        <w:t>Energy Savings</w:t>
      </w:r>
      <w:r w:rsidRPr="00296784" w:rsidDel="0017320C">
        <w:t xml:space="preserve"> </w:t>
      </w:r>
      <w:r w:rsidR="00224B7E" w:rsidRPr="00296784">
        <w:t xml:space="preserve"> factor (</w:t>
      </w:r>
      <w:r>
        <w:t>MWh</w:t>
      </w:r>
      <w:r w:rsidR="00224B7E" w:rsidRPr="00296784">
        <w:t xml:space="preserve">) = </w:t>
      </w:r>
      <w:r>
        <w:t>ESF</w:t>
      </w:r>
      <w:r w:rsidR="00224B7E" w:rsidRPr="00296784">
        <w:t xml:space="preserve"> * A</w:t>
      </w:r>
    </w:p>
    <w:p w14:paraId="60591FD2" w14:textId="77777777" w:rsidR="00224B7E" w:rsidRPr="00296784" w:rsidRDefault="00224B7E" w:rsidP="009E2BEB">
      <w:pPr>
        <w:pStyle w:val="BodytextEEIS"/>
        <w:rPr>
          <w:bCs/>
        </w:rPr>
      </w:pPr>
      <w:r w:rsidRPr="00296784">
        <w:t>Where</w:t>
      </w:r>
      <w:r w:rsidRPr="00296784">
        <w:rPr>
          <w:bCs/>
        </w:rPr>
        <w:t>—</w:t>
      </w:r>
    </w:p>
    <w:p w14:paraId="5626A503" w14:textId="0908D414" w:rsidR="00224B7E" w:rsidRPr="00EE186F" w:rsidRDefault="0017320C" w:rsidP="00D633D3">
      <w:pPr>
        <w:pStyle w:val="Subdetailssecondindent"/>
        <w:numPr>
          <w:ilvl w:val="0"/>
          <w:numId w:val="39"/>
        </w:numPr>
      </w:pPr>
      <w:r>
        <w:rPr>
          <w:i/>
          <w:iCs/>
        </w:rPr>
        <w:t>ESF</w:t>
      </w:r>
      <w:r w:rsidR="00224B7E" w:rsidRPr="00EE186F">
        <w:t xml:space="preserve"> is the relevant activity </w:t>
      </w:r>
      <w:r>
        <w:t>energy savings</w:t>
      </w:r>
      <w:r w:rsidR="00224B7E" w:rsidRPr="00EE186F">
        <w:t xml:space="preserve"> value prescribed for the activity item in </w:t>
      </w:r>
      <w:r w:rsidR="00707468">
        <w:t>t</w:t>
      </w:r>
      <w:r w:rsidR="00224B7E" w:rsidRPr="00EE186F">
        <w:t xml:space="preserve">able </w:t>
      </w:r>
      <w:r w:rsidR="00245F22">
        <w:t>4</w:t>
      </w:r>
      <w:r w:rsidR="00224B7E" w:rsidRPr="00EE186F">
        <w:t>; and</w:t>
      </w:r>
    </w:p>
    <w:p w14:paraId="2395493F" w14:textId="77777777" w:rsidR="00224B7E" w:rsidRPr="00EE186F" w:rsidRDefault="00224B7E" w:rsidP="009E2BEB">
      <w:pPr>
        <w:pStyle w:val="Subdetailssecondindent"/>
      </w:pPr>
      <w:r w:rsidRPr="00284BB5">
        <w:rPr>
          <w:i/>
          <w:iCs/>
        </w:rPr>
        <w:t>A</w:t>
      </w:r>
      <w:r w:rsidRPr="00EE186F">
        <w:t xml:space="preserve"> is the number of square metres</w:t>
      </w:r>
      <w:r w:rsidR="00245F22">
        <w:t xml:space="preserve"> </w:t>
      </w:r>
      <w:r w:rsidR="00245F22" w:rsidRPr="00EE186F">
        <w:t>(m</w:t>
      </w:r>
      <w:r w:rsidR="00245F22" w:rsidRPr="00EE186F">
        <w:rPr>
          <w:vertAlign w:val="superscript"/>
        </w:rPr>
        <w:t>2</w:t>
      </w:r>
      <w:r w:rsidR="00245F22" w:rsidRPr="00EE186F">
        <w:t>)</w:t>
      </w:r>
      <w:r w:rsidRPr="00EE186F">
        <w:t xml:space="preserve"> of ceiling space to which ceiling insulation has been applied</w:t>
      </w:r>
      <w:r w:rsidR="00245F22">
        <w:t>.</w:t>
      </w:r>
      <w:r w:rsidRPr="00EE186F">
        <w:t xml:space="preserve"> </w:t>
      </w:r>
    </w:p>
    <w:p w14:paraId="3127B19B" w14:textId="32BCBEAF" w:rsidR="00224B7E" w:rsidRPr="00EE186F" w:rsidRDefault="00224B7E" w:rsidP="009E2BEB">
      <w:pPr>
        <w:pStyle w:val="Caption"/>
      </w:pPr>
      <w:bookmarkStart w:id="141" w:name="_Toc21868109"/>
      <w:bookmarkStart w:id="142" w:name="_Toc21868241"/>
      <w:bookmarkStart w:id="143" w:name="_Toc37945688"/>
      <w:r w:rsidRPr="00EE186F">
        <w:t xml:space="preserve">Table </w:t>
      </w:r>
      <w:r w:rsidR="004A0156">
        <w:rPr>
          <w:noProof/>
        </w:rPr>
        <w:fldChar w:fldCharType="begin"/>
      </w:r>
      <w:r w:rsidR="004A0156">
        <w:rPr>
          <w:noProof/>
        </w:rPr>
        <w:instrText xml:space="preserve"> SEQ Table \* ARABIC </w:instrText>
      </w:r>
      <w:r w:rsidR="004A0156">
        <w:rPr>
          <w:noProof/>
        </w:rPr>
        <w:fldChar w:fldCharType="separate"/>
      </w:r>
      <w:r w:rsidR="00880CB1">
        <w:rPr>
          <w:noProof/>
        </w:rPr>
        <w:t>4</w:t>
      </w:r>
      <w:r w:rsidR="004A0156">
        <w:rPr>
          <w:noProof/>
        </w:rPr>
        <w:fldChar w:fldCharType="end"/>
      </w:r>
      <w:r w:rsidRPr="00EE186F">
        <w:t xml:space="preserve"> </w:t>
      </w:r>
      <w:r w:rsidR="009E6E7F">
        <w:tab/>
      </w:r>
      <w:r w:rsidR="009B79A6">
        <w:t xml:space="preserve">Activity </w:t>
      </w:r>
      <w:r w:rsidR="002578E2">
        <w:t xml:space="preserve">ID </w:t>
      </w:r>
      <w:r w:rsidR="009B79A6">
        <w:t>1.8</w:t>
      </w:r>
      <w:r w:rsidRPr="00EE186F">
        <w:t xml:space="preserve"> </w:t>
      </w:r>
      <w:r w:rsidR="0017320C">
        <w:t>energy savings</w:t>
      </w:r>
      <w:r w:rsidR="0017320C" w:rsidRPr="00EE186F" w:rsidDel="0017320C">
        <w:t xml:space="preserve"> </w:t>
      </w:r>
      <w:r w:rsidRPr="00EE186F">
        <w:t xml:space="preserve"> values for installing ceiling insulation</w:t>
      </w:r>
      <w:bookmarkEnd w:id="141"/>
      <w:bookmarkEnd w:id="142"/>
      <w:bookmarkEnd w:id="143"/>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536"/>
        <w:gridCol w:w="3180"/>
      </w:tblGrid>
      <w:tr w:rsidR="00224B7E" w:rsidRPr="00D936CF" w14:paraId="22168937" w14:textId="77777777" w:rsidTr="003A20C7">
        <w:trPr>
          <w:trHeight w:val="329"/>
        </w:trPr>
        <w:tc>
          <w:tcPr>
            <w:tcW w:w="1418" w:type="dxa"/>
            <w:shd w:val="clear" w:color="auto" w:fill="auto"/>
          </w:tcPr>
          <w:p w14:paraId="5AD5583B" w14:textId="77777777" w:rsidR="00224B7E" w:rsidRPr="00DA616C" w:rsidRDefault="00224B7E" w:rsidP="003A20C7">
            <w:pPr>
              <w:pStyle w:val="Tableheader"/>
            </w:pPr>
            <w:r>
              <w:t>Activity ID</w:t>
            </w:r>
          </w:p>
        </w:tc>
        <w:tc>
          <w:tcPr>
            <w:tcW w:w="4536" w:type="dxa"/>
            <w:shd w:val="clear" w:color="auto" w:fill="auto"/>
            <w:noWrap/>
            <w:hideMark/>
          </w:tcPr>
          <w:p w14:paraId="45A6AFDE" w14:textId="77777777" w:rsidR="00224B7E" w:rsidRPr="00DA616C" w:rsidRDefault="00224B7E" w:rsidP="003A20C7">
            <w:pPr>
              <w:pStyle w:val="Tableheader"/>
            </w:pPr>
            <w:r>
              <w:t>Description</w:t>
            </w:r>
          </w:p>
        </w:tc>
        <w:tc>
          <w:tcPr>
            <w:tcW w:w="3180" w:type="dxa"/>
            <w:shd w:val="clear" w:color="auto" w:fill="auto"/>
            <w:noWrap/>
            <w:hideMark/>
          </w:tcPr>
          <w:p w14:paraId="26B5A8B9" w14:textId="59C05EFC" w:rsidR="00224B7E" w:rsidRPr="00DA616C" w:rsidRDefault="0017320C" w:rsidP="003A20C7">
            <w:pPr>
              <w:pStyle w:val="Tableheader"/>
            </w:pPr>
            <w:r>
              <w:t>Energy Savings</w:t>
            </w:r>
            <w:r w:rsidRPr="00DA616C" w:rsidDel="0017320C">
              <w:t xml:space="preserve"> </w:t>
            </w:r>
            <w:r w:rsidR="00224B7E" w:rsidRPr="00DA616C">
              <w:t xml:space="preserve"> Value (</w:t>
            </w:r>
            <w:r w:rsidR="00CB093D">
              <w:t>MWh</w:t>
            </w:r>
            <w:r w:rsidR="00224B7E" w:rsidRPr="00DA616C">
              <w:t>)</w:t>
            </w:r>
          </w:p>
        </w:tc>
      </w:tr>
      <w:tr w:rsidR="00224B7E" w:rsidRPr="00D936CF" w14:paraId="6B227DAC" w14:textId="77777777" w:rsidTr="003A20C7">
        <w:trPr>
          <w:trHeight w:val="329"/>
        </w:trPr>
        <w:tc>
          <w:tcPr>
            <w:tcW w:w="1418" w:type="dxa"/>
            <w:shd w:val="clear" w:color="auto" w:fill="auto"/>
          </w:tcPr>
          <w:p w14:paraId="559ACBCF" w14:textId="77777777" w:rsidR="00224B7E" w:rsidRPr="00A91786" w:rsidRDefault="00224B7E" w:rsidP="003A20C7">
            <w:pPr>
              <w:pStyle w:val="Tabletext"/>
            </w:pPr>
            <w:r>
              <w:t>1.8</w:t>
            </w:r>
          </w:p>
        </w:tc>
        <w:tc>
          <w:tcPr>
            <w:tcW w:w="4536" w:type="dxa"/>
            <w:shd w:val="clear" w:color="auto" w:fill="auto"/>
            <w:noWrap/>
          </w:tcPr>
          <w:p w14:paraId="2E89B352" w14:textId="77777777" w:rsidR="00224B7E" w:rsidRPr="003A20C7" w:rsidRDefault="00224B7E" w:rsidP="003A20C7">
            <w:pPr>
              <w:pStyle w:val="Tabletext"/>
              <w:rPr>
                <w:rFonts w:ascii="Helvetica" w:hAnsi="Helvetica"/>
                <w:color w:val="000000"/>
              </w:rPr>
            </w:pPr>
            <w:r w:rsidRPr="00A91786">
              <w:t>For each m</w:t>
            </w:r>
            <w:r w:rsidRPr="003A20C7">
              <w:rPr>
                <w:vertAlign w:val="superscript"/>
              </w:rPr>
              <w:t>2</w:t>
            </w:r>
            <w:r w:rsidRPr="00A91786">
              <w:t xml:space="preserve"> of ceiling space</w:t>
            </w:r>
            <w:r w:rsidR="00E94ABE">
              <w:t xml:space="preserve"> that R</w:t>
            </w:r>
            <w:r w:rsidR="00992CC6">
              <w:t xml:space="preserve"> </w:t>
            </w:r>
            <w:r w:rsidR="00E94ABE">
              <w:t>5 insulation has been applied</w:t>
            </w:r>
          </w:p>
        </w:tc>
        <w:tc>
          <w:tcPr>
            <w:tcW w:w="3180" w:type="dxa"/>
            <w:shd w:val="clear" w:color="auto" w:fill="auto"/>
            <w:noWrap/>
          </w:tcPr>
          <w:p w14:paraId="73B11293" w14:textId="4408D12C" w:rsidR="00224B7E" w:rsidRPr="003A20C7" w:rsidRDefault="00224B7E" w:rsidP="009E2BEB">
            <w:pPr>
              <w:pStyle w:val="Tabletext"/>
              <w:rPr>
                <w:color w:val="000000"/>
              </w:rPr>
            </w:pPr>
            <w:r>
              <w:t>0.</w:t>
            </w:r>
            <w:r w:rsidR="0017320C">
              <w:t>740</w:t>
            </w:r>
          </w:p>
        </w:tc>
      </w:tr>
      <w:tr w:rsidR="00563459" w:rsidRPr="00D936CF" w14:paraId="17757D2F" w14:textId="77777777" w:rsidTr="003A20C7">
        <w:trPr>
          <w:trHeight w:val="329"/>
        </w:trPr>
        <w:tc>
          <w:tcPr>
            <w:tcW w:w="1418" w:type="dxa"/>
            <w:shd w:val="clear" w:color="auto" w:fill="auto"/>
          </w:tcPr>
          <w:p w14:paraId="253C1B75" w14:textId="77777777" w:rsidR="00563459" w:rsidRDefault="00563459" w:rsidP="003A20C7">
            <w:pPr>
              <w:pStyle w:val="Tabletext"/>
            </w:pPr>
            <w:r>
              <w:t>1.8</w:t>
            </w:r>
          </w:p>
        </w:tc>
        <w:tc>
          <w:tcPr>
            <w:tcW w:w="4536" w:type="dxa"/>
            <w:shd w:val="clear" w:color="auto" w:fill="auto"/>
            <w:noWrap/>
          </w:tcPr>
          <w:p w14:paraId="0DF6279B" w14:textId="77777777" w:rsidR="00563459" w:rsidRPr="00A91786" w:rsidRDefault="00E94ABE" w:rsidP="003A20C7">
            <w:pPr>
              <w:pStyle w:val="Tabletext"/>
            </w:pPr>
            <w:r w:rsidRPr="00A91786">
              <w:t>For each m</w:t>
            </w:r>
            <w:r w:rsidRPr="003A20C7">
              <w:rPr>
                <w:vertAlign w:val="superscript"/>
              </w:rPr>
              <w:t>2</w:t>
            </w:r>
            <w:r w:rsidRPr="00A91786">
              <w:t xml:space="preserve"> of ceiling space</w:t>
            </w:r>
            <w:r>
              <w:t xml:space="preserve"> that R</w:t>
            </w:r>
            <w:r w:rsidR="00992CC6">
              <w:t xml:space="preserve"> </w:t>
            </w:r>
            <w:r>
              <w:t>4 insulation has been applied</w:t>
            </w:r>
            <w:r w:rsidR="009168A1">
              <w:t xml:space="preserve"> (compliant with provision </w:t>
            </w:r>
            <w:r w:rsidR="00245F22">
              <w:t>1.8.</w:t>
            </w:r>
            <w:r w:rsidR="009168A1">
              <w:t>2(c)ii)</w:t>
            </w:r>
          </w:p>
        </w:tc>
        <w:tc>
          <w:tcPr>
            <w:tcW w:w="3180" w:type="dxa"/>
            <w:shd w:val="clear" w:color="auto" w:fill="auto"/>
            <w:noWrap/>
          </w:tcPr>
          <w:p w14:paraId="375A1F74" w14:textId="214D66D8" w:rsidR="00563459" w:rsidRDefault="00E94ABE" w:rsidP="009E2BEB">
            <w:pPr>
              <w:pStyle w:val="Tabletext"/>
            </w:pPr>
            <w:r>
              <w:t>0.</w:t>
            </w:r>
            <w:r w:rsidR="0017320C">
              <w:t>718</w:t>
            </w:r>
          </w:p>
        </w:tc>
      </w:tr>
    </w:tbl>
    <w:p w14:paraId="115037F6" w14:textId="77777777" w:rsidR="00224B7E" w:rsidRPr="00E76A20" w:rsidRDefault="00224B7E" w:rsidP="009E2BEB">
      <w:pPr>
        <w:pStyle w:val="Sectionheading2"/>
      </w:pPr>
      <w:r>
        <w:br w:type="page"/>
      </w:r>
      <w:bookmarkStart w:id="144" w:name="_Toc531035045"/>
      <w:bookmarkStart w:id="145" w:name="_Toc27560549"/>
      <w:bookmarkStart w:id="146" w:name="_Toc519938937"/>
      <w:r>
        <w:lastRenderedPageBreak/>
        <w:t xml:space="preserve">Install </w:t>
      </w:r>
      <w:r w:rsidRPr="00296784">
        <w:t>underfloor insulation</w:t>
      </w:r>
      <w:bookmarkEnd w:id="144"/>
      <w:bookmarkEnd w:id="145"/>
      <w:r w:rsidRPr="00296784">
        <w:t xml:space="preserve"> </w:t>
      </w:r>
      <w:bookmarkEnd w:id="146"/>
    </w:p>
    <w:p w14:paraId="4D7FA192" w14:textId="77777777" w:rsidR="00224B7E" w:rsidRPr="00296784" w:rsidRDefault="00224B7E" w:rsidP="009E2BEB">
      <w:pPr>
        <w:pStyle w:val="Sectionheading3"/>
      </w:pPr>
      <w:bookmarkStart w:id="147" w:name="_Toc519938938"/>
      <w:r w:rsidRPr="00296784">
        <w:t>Activity definition</w:t>
      </w:r>
      <w:bookmarkEnd w:id="147"/>
    </w:p>
    <w:p w14:paraId="346649A3" w14:textId="77777777" w:rsidR="00224B7E" w:rsidRPr="00296784" w:rsidRDefault="00224B7E" w:rsidP="00AC2B6F">
      <w:pPr>
        <w:pStyle w:val="BodytextEEIS"/>
      </w:pPr>
      <w:r w:rsidRPr="00296784">
        <w:t>In accordance with the prescribed minimum activity performance specifications, installing an underfloor insulation product</w:t>
      </w:r>
      <w:r w:rsidR="00AC2B6F">
        <w:t xml:space="preserve"> </w:t>
      </w:r>
      <w:r w:rsidRPr="00296784">
        <w:t xml:space="preserve">in accordance </w:t>
      </w:r>
      <w:r w:rsidRPr="009A571B">
        <w:t xml:space="preserve">with </w:t>
      </w:r>
      <w:r>
        <w:t xml:space="preserve">the current version of </w:t>
      </w:r>
      <w:r w:rsidRPr="009A571B">
        <w:t>AS</w:t>
      </w:r>
      <w:r>
        <w:t xml:space="preserve"> </w:t>
      </w:r>
      <w:r w:rsidRPr="009A571B">
        <w:t>3999</w:t>
      </w:r>
      <w:r w:rsidRPr="00296784">
        <w:t xml:space="preserve"> to the underside of a suspended timber floor of a room within a residential premises that sits immediately above a subfloor space that is either:</w:t>
      </w:r>
    </w:p>
    <w:p w14:paraId="5323C5C2" w14:textId="77777777" w:rsidR="00224B7E" w:rsidRPr="00296784" w:rsidRDefault="00224B7E" w:rsidP="00D633D3">
      <w:pPr>
        <w:pStyle w:val="Subdetailsfirstindent"/>
        <w:numPr>
          <w:ilvl w:val="0"/>
          <w:numId w:val="157"/>
        </w:numPr>
      </w:pPr>
      <w:r w:rsidRPr="00CC3ED7">
        <w:rPr>
          <w:b/>
        </w:rPr>
        <w:t>Activity ID 1.9(a)</w:t>
      </w:r>
      <w:r>
        <w:t xml:space="preserve"> – </w:t>
      </w:r>
      <w:r w:rsidRPr="00296784">
        <w:t>Enclosed, that is, where the area of open ventilation in the subfloor walling to the underfloor space averages less than 25,000 mm</w:t>
      </w:r>
      <w:r w:rsidRPr="00CC3ED7">
        <w:rPr>
          <w:vertAlign w:val="superscript"/>
        </w:rPr>
        <w:t>2</w:t>
      </w:r>
      <w:r w:rsidRPr="00296784">
        <w:t xml:space="preserve"> per lineal metre of subfloor walling</w:t>
      </w:r>
      <w:r>
        <w:t>; or</w:t>
      </w:r>
    </w:p>
    <w:p w14:paraId="1E6691A0" w14:textId="77777777" w:rsidR="00224B7E" w:rsidRPr="00296784" w:rsidRDefault="00224B7E" w:rsidP="008E436A">
      <w:pPr>
        <w:pStyle w:val="Subdetailsfirstindent"/>
      </w:pPr>
      <w:r w:rsidRPr="009168A1">
        <w:rPr>
          <w:b/>
        </w:rPr>
        <w:t>Activity ID 1.9(b)</w:t>
      </w:r>
      <w:r>
        <w:t xml:space="preserve"> – </w:t>
      </w:r>
      <w:r w:rsidRPr="00296784">
        <w:t>Un-enclosed, that is, where the area of open ventilation in the subfloor walling to the underfloor space averages 25,000 mm</w:t>
      </w:r>
      <w:r w:rsidRPr="00296784">
        <w:rPr>
          <w:vertAlign w:val="superscript"/>
        </w:rPr>
        <w:t>2</w:t>
      </w:r>
      <w:r w:rsidRPr="00296784">
        <w:t xml:space="preserve"> or more per lineal metre of subfloor walling.</w:t>
      </w:r>
    </w:p>
    <w:p w14:paraId="5FED5B0C" w14:textId="77777777" w:rsidR="00224B7E" w:rsidRPr="006F4947" w:rsidRDefault="00224B7E" w:rsidP="008E436A">
      <w:pPr>
        <w:pStyle w:val="Notesandexamples"/>
      </w:pPr>
      <w:r w:rsidRPr="006F4947">
        <w:t>Note</w:t>
      </w:r>
      <w:r w:rsidR="009B79A6">
        <w:t xml:space="preserve"> 1</w:t>
      </w:r>
      <w:r w:rsidRPr="006F4947">
        <w:t xml:space="preserve"> </w:t>
      </w:r>
      <w:r w:rsidRPr="006F4947">
        <w:tab/>
        <w:t>Ground floors do not include concrete floors or floors that separate habitable rooms.</w:t>
      </w:r>
    </w:p>
    <w:p w14:paraId="2FCAD6D8" w14:textId="77777777" w:rsidR="00224B7E" w:rsidRPr="006F4947" w:rsidRDefault="00224B7E" w:rsidP="008E436A">
      <w:pPr>
        <w:pStyle w:val="Notesandexamples"/>
      </w:pPr>
      <w:r w:rsidRPr="006F4947">
        <w:t>Note</w:t>
      </w:r>
      <w:r w:rsidR="009B79A6">
        <w:t xml:space="preserve"> 2</w:t>
      </w:r>
      <w:r w:rsidRPr="006F4947">
        <w:tab/>
        <w:t>Attached garages, sheds or the like are ineligible.</w:t>
      </w:r>
    </w:p>
    <w:p w14:paraId="13A0DD23" w14:textId="77777777" w:rsidR="00224B7E" w:rsidRPr="00296784" w:rsidRDefault="00224B7E" w:rsidP="008E436A">
      <w:pPr>
        <w:pStyle w:val="Sectionheading3"/>
      </w:pPr>
      <w:bookmarkStart w:id="148" w:name="_Toc519938939"/>
      <w:r w:rsidRPr="00296784">
        <w:t>Minimum activity performance specifications</w:t>
      </w:r>
      <w:bookmarkEnd w:id="148"/>
    </w:p>
    <w:p w14:paraId="1D5031D4" w14:textId="77777777" w:rsidR="00224B7E" w:rsidRPr="00296784" w:rsidRDefault="00224B7E" w:rsidP="008E436A">
      <w:pPr>
        <w:pStyle w:val="BodytextEEIS"/>
        <w:rPr>
          <w:i/>
        </w:rPr>
      </w:pPr>
      <w:r w:rsidRPr="00296784">
        <w:t>To be an eligible activity the activity must</w:t>
      </w:r>
      <w:r w:rsidRPr="00296784">
        <w:rPr>
          <w:bCs/>
        </w:rPr>
        <w:t>—</w:t>
      </w:r>
    </w:p>
    <w:p w14:paraId="289448A4" w14:textId="77777777" w:rsidR="00224B7E" w:rsidRPr="008E436A" w:rsidRDefault="00224B7E" w:rsidP="00D633D3">
      <w:pPr>
        <w:pStyle w:val="Subdetailsfirstindent"/>
        <w:numPr>
          <w:ilvl w:val="0"/>
          <w:numId w:val="40"/>
        </w:numPr>
        <w:rPr>
          <w:sz w:val="19"/>
          <w:szCs w:val="19"/>
        </w:rPr>
      </w:pPr>
      <w:r>
        <w:t xml:space="preserve">be undertaken at an eligible residential premises; </w:t>
      </w:r>
    </w:p>
    <w:p w14:paraId="5BB37F03" w14:textId="77777777" w:rsidR="00224B7E" w:rsidRPr="00F22C58" w:rsidRDefault="00224B7E" w:rsidP="008E436A">
      <w:pPr>
        <w:pStyle w:val="Subdetailsfirstindent"/>
        <w:rPr>
          <w:sz w:val="19"/>
          <w:szCs w:val="19"/>
        </w:rPr>
      </w:pPr>
      <w:r w:rsidRPr="00B15B04">
        <w:t xml:space="preserve">be undertaken using a product or products meeting the installed product requirements in section </w:t>
      </w:r>
      <w:r w:rsidR="00AD1C93">
        <w:t>1.9.</w:t>
      </w:r>
      <w:r w:rsidRPr="00B15B04">
        <w:t xml:space="preserve">3; </w:t>
      </w:r>
    </w:p>
    <w:p w14:paraId="101C8237" w14:textId="77777777" w:rsidR="00224B7E" w:rsidRPr="00B15B04" w:rsidRDefault="00224B7E" w:rsidP="008E436A">
      <w:pPr>
        <w:pStyle w:val="Subdetailsfirstindent"/>
      </w:pPr>
      <w:r w:rsidRPr="00B15B04">
        <w:t xml:space="preserve">not be otherwise required by law, for example under the National Construction Code; </w:t>
      </w:r>
    </w:p>
    <w:p w14:paraId="30BC2F94" w14:textId="77777777" w:rsidR="00224B7E" w:rsidRPr="00B15B04" w:rsidRDefault="00224B7E" w:rsidP="008E436A">
      <w:pPr>
        <w:pStyle w:val="Subdetailsfirstindent"/>
      </w:pPr>
      <w:r w:rsidRPr="00B15B04">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14:paraId="3E7A1210" w14:textId="77777777" w:rsidR="00224B7E" w:rsidRPr="00B15B04" w:rsidRDefault="00224B7E" w:rsidP="008E436A">
      <w:pPr>
        <w:pStyle w:val="Subdetailsfirstindent"/>
      </w:pPr>
      <w:r w:rsidRPr="00B15B04">
        <w:t>be recorded in accordance with any relevant code of practice for the activity.</w:t>
      </w:r>
    </w:p>
    <w:p w14:paraId="6C13CCB9" w14:textId="77777777" w:rsidR="00224B7E" w:rsidRPr="00F0256F" w:rsidRDefault="00224B7E" w:rsidP="008E436A">
      <w:pPr>
        <w:pStyle w:val="Notesandexamples"/>
      </w:pPr>
      <w:r w:rsidRPr="00B80D0A">
        <w:t>Note</w:t>
      </w:r>
      <w:r w:rsidR="009B79A6">
        <w:t xml:space="preserve"> 1</w:t>
      </w:r>
      <w:r w:rsidRPr="00B80D0A">
        <w:rPr>
          <w:iCs/>
        </w:rPr>
        <w:tab/>
      </w:r>
      <w:r w:rsidRPr="00B80D0A">
        <w:t>All activities are subject to independent inspection or audit to confirm compliance with prescribed activity requirements.</w:t>
      </w:r>
      <w:r w:rsidDel="00156DF1">
        <w:t xml:space="preserve"> </w:t>
      </w:r>
    </w:p>
    <w:p w14:paraId="4EA1B809" w14:textId="77777777" w:rsidR="00224B7E" w:rsidRPr="00670E92" w:rsidRDefault="00224B7E" w:rsidP="00670E92">
      <w:pPr>
        <w:pStyle w:val="Notesandexamples"/>
      </w:pPr>
      <w:r w:rsidRPr="00670E92">
        <w:t>Note</w:t>
      </w:r>
      <w:r w:rsidR="009B79A6">
        <w:t xml:space="preserve"> 2</w:t>
      </w:r>
      <w:r w:rsidRPr="00670E92">
        <w:tab/>
        <w:t>Where only part of an uninsulated ground floor is to be insulated then living areas must be insulated as a priority, followed by bedrooms.</w:t>
      </w:r>
    </w:p>
    <w:p w14:paraId="2D1E2197" w14:textId="77777777" w:rsidR="00224B7E" w:rsidRPr="00A33970" w:rsidRDefault="00224B7E" w:rsidP="008E436A">
      <w:pPr>
        <w:pStyle w:val="Sectionheading3"/>
      </w:pPr>
      <w:bookmarkStart w:id="149" w:name="_Toc519938940"/>
      <w:r w:rsidRPr="00A33970">
        <w:t>Installed product requirements</w:t>
      </w:r>
      <w:bookmarkEnd w:id="149"/>
    </w:p>
    <w:p w14:paraId="77FB5C0B" w14:textId="77777777" w:rsidR="00224B7E" w:rsidRPr="00A33970" w:rsidRDefault="00224B7E" w:rsidP="008E436A">
      <w:pPr>
        <w:pStyle w:val="BodytextEEIS"/>
      </w:pPr>
      <w:r w:rsidRPr="00A33970">
        <w:t>An installed product must be an insulation product that—</w:t>
      </w:r>
    </w:p>
    <w:p w14:paraId="01070910" w14:textId="77777777" w:rsidR="00224B7E" w:rsidRPr="00FD1E59" w:rsidRDefault="00224B7E" w:rsidP="00D633D3">
      <w:pPr>
        <w:pStyle w:val="Subdetailsfirstindent"/>
        <w:numPr>
          <w:ilvl w:val="0"/>
          <w:numId w:val="41"/>
        </w:numPr>
      </w:pPr>
      <w:r w:rsidRPr="008E436A">
        <w:rPr>
          <w:iCs/>
        </w:rPr>
        <w:t>is CodeMark certified or has been tested by a NATA-</w:t>
      </w:r>
      <w:r w:rsidRPr="00FD1E59">
        <w:t xml:space="preserve">Accredited Testing Laboratory and can be evidenced to comply with relevant requirements of the current version of AS/NZS 4859; </w:t>
      </w:r>
    </w:p>
    <w:p w14:paraId="05F3500E" w14:textId="77777777" w:rsidR="00224B7E" w:rsidRPr="00F4328E" w:rsidRDefault="00224B7E" w:rsidP="008E436A">
      <w:pPr>
        <w:pStyle w:val="Subdetailsfirstindent"/>
      </w:pPr>
      <w:r w:rsidRPr="00F4328E">
        <w:t xml:space="preserve">achieves a minimum </w:t>
      </w:r>
      <w:r>
        <w:t xml:space="preserve">material </w:t>
      </w:r>
      <w:r w:rsidRPr="00F4328E">
        <w:t>R</w:t>
      </w:r>
      <w:r>
        <w:t xml:space="preserve"> </w:t>
      </w:r>
      <w:r w:rsidRPr="00F4328E">
        <w:t>value</w:t>
      </w:r>
      <w:r>
        <w:t xml:space="preserve"> (thermal resistance)</w:t>
      </w:r>
      <w:r w:rsidRPr="00F4328E">
        <w:t xml:space="preserve"> of 1.5 when measured in accordance with the current version of AS/NZS 4859; </w:t>
      </w:r>
    </w:p>
    <w:p w14:paraId="6252E720" w14:textId="77777777" w:rsidR="00224B7E" w:rsidRDefault="00224B7E" w:rsidP="008E436A">
      <w:pPr>
        <w:pStyle w:val="Subdetailsfirstindent"/>
      </w:pPr>
      <w:r w:rsidRPr="00792BDD">
        <w:t xml:space="preserve">is not a foil laminated </w:t>
      </w:r>
      <w:r>
        <w:t xml:space="preserve">type product; </w:t>
      </w:r>
    </w:p>
    <w:p w14:paraId="2179AB40" w14:textId="77777777" w:rsidR="00224B7E" w:rsidRPr="00296784" w:rsidRDefault="00224B7E" w:rsidP="008E436A">
      <w:pPr>
        <w:pStyle w:val="Subdetailsfirstindent"/>
      </w:pPr>
      <w:r>
        <w:t xml:space="preserve">is not a </w:t>
      </w:r>
      <w:r w:rsidRPr="00296784">
        <w:t>blow</w:t>
      </w:r>
      <w:r>
        <w:t xml:space="preserve">-in cellulose-based </w:t>
      </w:r>
      <w:r w:rsidRPr="00296784">
        <w:t xml:space="preserve">product; </w:t>
      </w:r>
    </w:p>
    <w:p w14:paraId="53AB6AB3" w14:textId="77777777" w:rsidR="00224B7E" w:rsidRPr="00296784" w:rsidRDefault="00224B7E" w:rsidP="008E436A">
      <w:pPr>
        <w:pStyle w:val="Subdetailsfirstindent"/>
      </w:pPr>
      <w:r w:rsidRPr="00296784">
        <w:t xml:space="preserve">is fit for the purpose for which it is intended to be used; </w:t>
      </w:r>
    </w:p>
    <w:p w14:paraId="7229348F" w14:textId="77777777" w:rsidR="00224B7E" w:rsidRPr="00AF3515" w:rsidRDefault="00224B7E" w:rsidP="00AF3515">
      <w:pPr>
        <w:pStyle w:val="Subdetailsfirstindent"/>
      </w:pPr>
      <w:r w:rsidRPr="00AF3515">
        <w:t xml:space="preserve">is made of a non-combustible material in accordance with the current version of AS 1530; </w:t>
      </w:r>
    </w:p>
    <w:p w14:paraId="31D2427E" w14:textId="77777777" w:rsidR="00224B7E" w:rsidRPr="00452B20" w:rsidRDefault="00224B7E" w:rsidP="0050403C">
      <w:pPr>
        <w:pStyle w:val="Subdetailsfirstindent"/>
      </w:pPr>
      <w:r w:rsidRPr="0058001A">
        <w:lastRenderedPageBreak/>
        <w:t>is made of hydrophobic materials (i</w:t>
      </w:r>
      <w:r w:rsidR="00992CC6">
        <w:t>.</w:t>
      </w:r>
      <w:r w:rsidRPr="0058001A">
        <w:t>e</w:t>
      </w:r>
      <w:r w:rsidR="00992CC6">
        <w:t>.</w:t>
      </w:r>
      <w:r w:rsidRPr="0058001A">
        <w:t xml:space="preserve"> fibres and cured binders) as well as having vapour permeance of equal to or greater than 0.1429</w:t>
      </w:r>
      <w:r>
        <w:t xml:space="preserve"> micrograms</w:t>
      </w:r>
      <w:r w:rsidRPr="0058001A">
        <w:t xml:space="preserve"> per newton second to all</w:t>
      </w:r>
      <w:r>
        <w:t xml:space="preserve">ow </w:t>
      </w:r>
      <w:r w:rsidRPr="0050403C">
        <w:t>any</w:t>
      </w:r>
      <w:r>
        <w:t xml:space="preserve"> moisture to pass through</w:t>
      </w:r>
      <w:r w:rsidRPr="0058001A">
        <w:t xml:space="preserve">; </w:t>
      </w:r>
    </w:p>
    <w:p w14:paraId="6A4DAF04" w14:textId="77777777" w:rsidR="00224B7E" w:rsidRDefault="00224B7E" w:rsidP="008E436A">
      <w:pPr>
        <w:pStyle w:val="Subdetailsfirstindent"/>
      </w:pPr>
      <w:r w:rsidRPr="00296784">
        <w:t>comes with a minimum 25</w:t>
      </w:r>
      <w:r w:rsidR="00992CC6">
        <w:t>-</w:t>
      </w:r>
      <w:r w:rsidRPr="00296784">
        <w:t xml:space="preserve">year product warranty; </w:t>
      </w:r>
    </w:p>
    <w:p w14:paraId="41402517" w14:textId="77777777" w:rsidR="00224B7E" w:rsidRPr="00296784" w:rsidRDefault="00224B7E" w:rsidP="008E436A">
      <w:pPr>
        <w:pStyle w:val="Subdetailsfirstindent"/>
      </w:pPr>
      <w:r>
        <w:t xml:space="preserve">has </w:t>
      </w:r>
      <w:r w:rsidRPr="00C624EA">
        <w:t>installation instructions provided by manufacturer</w:t>
      </w:r>
      <w:r>
        <w:t>; and</w:t>
      </w:r>
    </w:p>
    <w:p w14:paraId="54DBA7C4" w14:textId="77777777" w:rsidR="00224B7E" w:rsidRPr="00296784" w:rsidRDefault="00224B7E" w:rsidP="008E436A">
      <w:pPr>
        <w:pStyle w:val="Subdetailsfirstindent"/>
      </w:pPr>
      <w:r w:rsidRPr="00296784">
        <w:t>complies with any product safety or other product performance requirements in a relevant code of practice or other relevant legislation applying to the activity.</w:t>
      </w:r>
    </w:p>
    <w:p w14:paraId="09BFDDD4" w14:textId="77777777" w:rsidR="00224B7E" w:rsidRPr="005E5A0C" w:rsidRDefault="00224B7E" w:rsidP="008E436A">
      <w:pPr>
        <w:pStyle w:val="Sectionheading3"/>
        <w:rPr>
          <w:lang w:eastAsia="en-AU"/>
        </w:rPr>
      </w:pPr>
      <w:bookmarkStart w:id="150" w:name="_Toc519938941"/>
      <w:r w:rsidRPr="00A33970">
        <w:t>Time the activity is taken to be completed</w:t>
      </w:r>
      <w:bookmarkEnd w:id="150"/>
    </w:p>
    <w:p w14:paraId="20ADB667" w14:textId="77777777" w:rsidR="00224B7E" w:rsidRPr="00A33970" w:rsidRDefault="00224B7E" w:rsidP="008E436A">
      <w:pPr>
        <w:pStyle w:val="BodytextEEIS"/>
      </w:pPr>
      <w:r w:rsidRPr="00A33970">
        <w:t xml:space="preserve">The activity is taken to be completed on the day all applicable prescribed activity requirements are completed. </w:t>
      </w:r>
    </w:p>
    <w:p w14:paraId="433B6396" w14:textId="316F287D" w:rsidR="00224B7E" w:rsidRPr="00A33970" w:rsidRDefault="00224B7E" w:rsidP="008E436A">
      <w:pPr>
        <w:pStyle w:val="Sectionheading3"/>
      </w:pPr>
      <w:bookmarkStart w:id="151" w:name="_Toc519938942"/>
      <w:r w:rsidRPr="00A33970">
        <w:t xml:space="preserve">Calculation of </w:t>
      </w:r>
      <w:r w:rsidR="00CB093D">
        <w:rPr>
          <w:color w:val="000000"/>
        </w:rPr>
        <w:t>energy savings</w:t>
      </w:r>
      <w:r w:rsidRPr="00A33970">
        <w:t xml:space="preserve"> factor</w:t>
      </w:r>
      <w:bookmarkEnd w:id="151"/>
    </w:p>
    <w:p w14:paraId="586846FC" w14:textId="7B1FAC09" w:rsidR="00224B7E" w:rsidRPr="008E436A" w:rsidRDefault="00224B7E" w:rsidP="009D0DEA">
      <w:pPr>
        <w:pStyle w:val="BodytextEEIS"/>
        <w:rPr>
          <w:color w:val="000000"/>
        </w:rPr>
      </w:pPr>
      <w:r w:rsidRPr="008E436A">
        <w:rPr>
          <w:color w:val="000000"/>
        </w:rPr>
        <w:t xml:space="preserve">The total </w:t>
      </w:r>
      <w:r w:rsidR="00CB093D">
        <w:rPr>
          <w:color w:val="000000"/>
        </w:rPr>
        <w:t>energy savings</w:t>
      </w:r>
      <w:r w:rsidRPr="008E436A">
        <w:rPr>
          <w:color w:val="000000"/>
        </w:rPr>
        <w:t xml:space="preserve"> factor in </w:t>
      </w:r>
      <w:r w:rsidR="00CB093D" w:rsidRPr="00970AD2">
        <w:t xml:space="preserve">in </w:t>
      </w:r>
      <w:r w:rsidR="00880CB1">
        <w:t>Megawatt-hours</w:t>
      </w:r>
      <w:r w:rsidR="00CB093D">
        <w:t xml:space="preserve"> (MWh) </w:t>
      </w:r>
      <w:r w:rsidRPr="008E436A">
        <w:rPr>
          <w:color w:val="000000"/>
        </w:rPr>
        <w:t xml:space="preserve">saved </w:t>
      </w:r>
      <w:r w:rsidRPr="00A33970">
        <w:t xml:space="preserve">for the activity is the sum of all </w:t>
      </w:r>
      <w:r w:rsidR="00CB093D">
        <w:rPr>
          <w:color w:val="000000"/>
        </w:rPr>
        <w:t>energy savings</w:t>
      </w:r>
      <w:r w:rsidRPr="00A33970">
        <w:t xml:space="preserve"> factors for each item in </w:t>
      </w:r>
      <w:r w:rsidR="00CC3ED7">
        <w:t>table 5</w:t>
      </w:r>
      <w:r w:rsidRPr="00A33970">
        <w:t xml:space="preserve"> undertaken in the same premises</w:t>
      </w:r>
      <w:r w:rsidR="009B79A6">
        <w:t xml:space="preserve"> (noting R</w:t>
      </w:r>
      <w:r w:rsidR="00CB093D">
        <w:t>1.5</w:t>
      </w:r>
      <w:r w:rsidR="009B79A6">
        <w:t xml:space="preserve"> and R</w:t>
      </w:r>
      <w:r w:rsidR="00CB093D">
        <w:t>2.5</w:t>
      </w:r>
      <w:r w:rsidR="009B79A6">
        <w:t xml:space="preserve"> may be installed in the same premises)</w:t>
      </w:r>
      <w:r w:rsidRPr="00A33970">
        <w:t>, determined by using the equations prescribed in this section.</w:t>
      </w:r>
    </w:p>
    <w:p w14:paraId="3378150E" w14:textId="0917BDCC" w:rsidR="00224B7E" w:rsidRPr="00A33970" w:rsidRDefault="00224B7E" w:rsidP="00D633D3">
      <w:pPr>
        <w:pStyle w:val="Subdetailsfirstindent"/>
        <w:numPr>
          <w:ilvl w:val="0"/>
          <w:numId w:val="196"/>
        </w:numPr>
      </w:pPr>
      <w:r w:rsidRPr="00A33970">
        <w:t xml:space="preserve">The </w:t>
      </w:r>
      <w:r w:rsidR="00CB093D">
        <w:rPr>
          <w:color w:val="000000"/>
        </w:rPr>
        <w:t>energy savings</w:t>
      </w:r>
      <w:r w:rsidRPr="00A33970">
        <w:t xml:space="preserve"> factor is calculated as</w:t>
      </w:r>
      <w:r w:rsidRPr="009D0DEA">
        <w:rPr>
          <w:bCs/>
        </w:rPr>
        <w:t>—</w:t>
      </w:r>
      <w:r w:rsidRPr="00A33970">
        <w:t xml:space="preserve"> </w:t>
      </w:r>
    </w:p>
    <w:p w14:paraId="20CC75F5" w14:textId="1F6286BE" w:rsidR="00224B7E" w:rsidRPr="00A33970" w:rsidRDefault="00CB093D" w:rsidP="009B79A6">
      <w:pPr>
        <w:pStyle w:val="Formula"/>
      </w:pPr>
      <w:r>
        <w:rPr>
          <w:color w:val="000000"/>
        </w:rPr>
        <w:t>Energy Savings</w:t>
      </w:r>
      <w:r w:rsidR="00224B7E" w:rsidRPr="00A33970">
        <w:t xml:space="preserve"> factor (</w:t>
      </w:r>
      <w:r>
        <w:t>MWh</w:t>
      </w:r>
      <w:r w:rsidR="00224B7E" w:rsidRPr="00A33970">
        <w:t xml:space="preserve">) = </w:t>
      </w:r>
      <w:r>
        <w:t>ESF</w:t>
      </w:r>
      <w:r w:rsidR="00224B7E" w:rsidRPr="00A33970">
        <w:t xml:space="preserve"> * A</w:t>
      </w:r>
    </w:p>
    <w:p w14:paraId="5ED5F080" w14:textId="77777777" w:rsidR="00224B7E" w:rsidRPr="00DA616C" w:rsidRDefault="00224B7E" w:rsidP="008E436A">
      <w:pPr>
        <w:pStyle w:val="BodytextEEIS"/>
        <w:rPr>
          <w:bCs/>
        </w:rPr>
      </w:pPr>
      <w:r w:rsidRPr="00DA616C">
        <w:t>Where</w:t>
      </w:r>
      <w:r w:rsidRPr="00DA616C">
        <w:rPr>
          <w:bCs/>
        </w:rPr>
        <w:t>—</w:t>
      </w:r>
    </w:p>
    <w:p w14:paraId="507836B1" w14:textId="72420285" w:rsidR="00224B7E" w:rsidRPr="00EE186F" w:rsidRDefault="00CB093D" w:rsidP="00D633D3">
      <w:pPr>
        <w:pStyle w:val="Subdetailssecondindent"/>
        <w:numPr>
          <w:ilvl w:val="0"/>
          <w:numId w:val="42"/>
        </w:numPr>
      </w:pPr>
      <w:r>
        <w:rPr>
          <w:i/>
          <w:iCs/>
        </w:rPr>
        <w:t>ESF</w:t>
      </w:r>
      <w:r w:rsidR="00224B7E" w:rsidRPr="00EE186F">
        <w:t xml:space="preserve"> is the relevant activity </w:t>
      </w:r>
      <w:r>
        <w:rPr>
          <w:color w:val="000000"/>
        </w:rPr>
        <w:t>energy savings</w:t>
      </w:r>
      <w:r w:rsidR="00224B7E" w:rsidRPr="00EE186F">
        <w:t xml:space="preserve"> value prescribed for the activity item in </w:t>
      </w:r>
      <w:r w:rsidR="00707468">
        <w:t>t</w:t>
      </w:r>
      <w:r w:rsidR="00224B7E" w:rsidRPr="00EE186F">
        <w:t xml:space="preserve">able </w:t>
      </w:r>
      <w:r w:rsidR="00992CC6">
        <w:t>5</w:t>
      </w:r>
      <w:r w:rsidR="00224B7E" w:rsidRPr="00EE186F">
        <w:t>; and</w:t>
      </w:r>
    </w:p>
    <w:p w14:paraId="2ED6F620" w14:textId="77777777" w:rsidR="00224B7E" w:rsidRPr="00EE186F" w:rsidRDefault="00224B7E" w:rsidP="008E436A">
      <w:pPr>
        <w:pStyle w:val="Subdetailssecondindent"/>
      </w:pPr>
      <w:r w:rsidRPr="00120C55">
        <w:rPr>
          <w:i/>
          <w:iCs/>
        </w:rPr>
        <w:t>A</w:t>
      </w:r>
      <w:r w:rsidRPr="00EE186F">
        <w:t xml:space="preserve"> is the number of square metres</w:t>
      </w:r>
      <w:r w:rsidR="00992CC6" w:rsidRPr="00EE186F">
        <w:t xml:space="preserve"> (m</w:t>
      </w:r>
      <w:r w:rsidR="00992CC6" w:rsidRPr="00EE186F">
        <w:rPr>
          <w:vertAlign w:val="superscript"/>
        </w:rPr>
        <w:t>2</w:t>
      </w:r>
      <w:r w:rsidR="00992CC6" w:rsidRPr="00EE186F">
        <w:t>)</w:t>
      </w:r>
      <w:r w:rsidRPr="00EE186F">
        <w:t xml:space="preserve"> of underfloor space to which insulation has been applied</w:t>
      </w:r>
      <w:r w:rsidR="00992CC6">
        <w:t>.</w:t>
      </w:r>
    </w:p>
    <w:p w14:paraId="07ACEA97" w14:textId="48AA68C9" w:rsidR="00224B7E" w:rsidRPr="00EE186F" w:rsidRDefault="00224B7E" w:rsidP="008E436A">
      <w:pPr>
        <w:pStyle w:val="Caption"/>
      </w:pPr>
      <w:bookmarkStart w:id="152" w:name="_Toc21868110"/>
      <w:bookmarkStart w:id="153" w:name="_Toc21868242"/>
      <w:bookmarkStart w:id="154" w:name="_Toc37945689"/>
      <w:r w:rsidRPr="00EE186F">
        <w:t xml:space="preserve">Table </w:t>
      </w:r>
      <w:r w:rsidR="004A0156">
        <w:rPr>
          <w:noProof/>
        </w:rPr>
        <w:fldChar w:fldCharType="begin"/>
      </w:r>
      <w:r w:rsidR="004A0156">
        <w:rPr>
          <w:noProof/>
        </w:rPr>
        <w:instrText xml:space="preserve"> SEQ Table \* ARABIC </w:instrText>
      </w:r>
      <w:r w:rsidR="004A0156">
        <w:rPr>
          <w:noProof/>
        </w:rPr>
        <w:fldChar w:fldCharType="separate"/>
      </w:r>
      <w:r w:rsidR="00880CB1">
        <w:rPr>
          <w:noProof/>
        </w:rPr>
        <w:t>5</w:t>
      </w:r>
      <w:r w:rsidR="004A0156">
        <w:rPr>
          <w:noProof/>
        </w:rPr>
        <w:fldChar w:fldCharType="end"/>
      </w:r>
      <w:r w:rsidRPr="00EE186F">
        <w:t xml:space="preserve"> </w:t>
      </w:r>
      <w:r w:rsidR="009E6E7F">
        <w:tab/>
      </w:r>
      <w:r w:rsidR="009B79A6">
        <w:t xml:space="preserve">Activity </w:t>
      </w:r>
      <w:r w:rsidR="002578E2">
        <w:t xml:space="preserve">ID </w:t>
      </w:r>
      <w:r w:rsidR="009B79A6">
        <w:t>1.9</w:t>
      </w:r>
      <w:r w:rsidRPr="00EE186F">
        <w:t xml:space="preserve"> </w:t>
      </w:r>
      <w:r w:rsidR="00CB093D">
        <w:rPr>
          <w:color w:val="000000"/>
        </w:rPr>
        <w:t>energy savings</w:t>
      </w:r>
      <w:r w:rsidRPr="00EE186F">
        <w:t xml:space="preserve"> values for </w:t>
      </w:r>
      <w:r w:rsidR="00992CC6">
        <w:t>u</w:t>
      </w:r>
      <w:r w:rsidRPr="00EE186F">
        <w:t xml:space="preserve">nderfloor </w:t>
      </w:r>
      <w:r w:rsidR="00992CC6">
        <w:t>i</w:t>
      </w:r>
      <w:r w:rsidRPr="00EE186F">
        <w:t>nsulation</w:t>
      </w:r>
      <w:bookmarkEnd w:id="152"/>
      <w:bookmarkEnd w:id="153"/>
      <w:bookmarkEnd w:id="154"/>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5528"/>
        <w:gridCol w:w="2299"/>
      </w:tblGrid>
      <w:tr w:rsidR="00224B7E" w:rsidRPr="00D936CF" w14:paraId="3AC1B558" w14:textId="77777777" w:rsidTr="003A20C7">
        <w:trPr>
          <w:trHeight w:val="329"/>
        </w:trPr>
        <w:tc>
          <w:tcPr>
            <w:tcW w:w="1307" w:type="dxa"/>
            <w:shd w:val="clear" w:color="auto" w:fill="auto"/>
          </w:tcPr>
          <w:p w14:paraId="0FB068D7" w14:textId="77777777" w:rsidR="00224B7E" w:rsidRPr="00DA616C" w:rsidRDefault="00224B7E" w:rsidP="003A20C7">
            <w:pPr>
              <w:pStyle w:val="Tableheader"/>
            </w:pPr>
            <w:r>
              <w:t>Activity ID</w:t>
            </w:r>
          </w:p>
        </w:tc>
        <w:tc>
          <w:tcPr>
            <w:tcW w:w="5528" w:type="dxa"/>
            <w:shd w:val="clear" w:color="auto" w:fill="auto"/>
            <w:noWrap/>
            <w:hideMark/>
          </w:tcPr>
          <w:p w14:paraId="7DB2CC9B" w14:textId="77777777" w:rsidR="00224B7E" w:rsidRPr="00DA616C" w:rsidRDefault="00224B7E" w:rsidP="003A20C7">
            <w:pPr>
              <w:pStyle w:val="Tableheader"/>
            </w:pPr>
            <w:r>
              <w:t>Description</w:t>
            </w:r>
          </w:p>
        </w:tc>
        <w:tc>
          <w:tcPr>
            <w:tcW w:w="2299" w:type="dxa"/>
            <w:shd w:val="clear" w:color="auto" w:fill="auto"/>
            <w:noWrap/>
            <w:hideMark/>
          </w:tcPr>
          <w:p w14:paraId="4F60419B" w14:textId="04BD0458" w:rsidR="00224B7E" w:rsidRPr="00DA616C" w:rsidRDefault="00CB093D" w:rsidP="003A20C7">
            <w:pPr>
              <w:pStyle w:val="Tableheader"/>
            </w:pPr>
            <w:r>
              <w:rPr>
                <w:color w:val="000000"/>
              </w:rPr>
              <w:t>Energy Savings</w:t>
            </w:r>
            <w:r w:rsidR="00224B7E" w:rsidRPr="00DA616C">
              <w:t xml:space="preserve"> Value (</w:t>
            </w:r>
            <w:r>
              <w:t>MWh</w:t>
            </w:r>
            <w:r w:rsidR="00224B7E" w:rsidRPr="00DA616C">
              <w:t>)</w:t>
            </w:r>
          </w:p>
        </w:tc>
      </w:tr>
      <w:tr w:rsidR="00224B7E" w:rsidRPr="00D936CF" w14:paraId="41AB5563" w14:textId="77777777" w:rsidTr="003A20C7">
        <w:trPr>
          <w:trHeight w:val="329"/>
        </w:trPr>
        <w:tc>
          <w:tcPr>
            <w:tcW w:w="1307" w:type="dxa"/>
            <w:shd w:val="clear" w:color="auto" w:fill="auto"/>
          </w:tcPr>
          <w:p w14:paraId="3456C93C" w14:textId="77777777" w:rsidR="00224B7E" w:rsidRPr="004F1B8F" w:rsidRDefault="00224B7E" w:rsidP="003A20C7">
            <w:pPr>
              <w:pStyle w:val="Tabletext"/>
            </w:pPr>
            <w:r w:rsidRPr="004F1B8F">
              <w:t>1.9(a)</w:t>
            </w:r>
          </w:p>
        </w:tc>
        <w:tc>
          <w:tcPr>
            <w:tcW w:w="5528" w:type="dxa"/>
            <w:shd w:val="clear" w:color="auto" w:fill="auto"/>
            <w:noWrap/>
          </w:tcPr>
          <w:p w14:paraId="0072DB97" w14:textId="77777777" w:rsidR="00224B7E" w:rsidRPr="003A20C7" w:rsidRDefault="00224B7E" w:rsidP="003A20C7">
            <w:pPr>
              <w:pStyle w:val="Tabletext"/>
              <w:rPr>
                <w:color w:val="000000"/>
              </w:rPr>
            </w:pPr>
            <w:r w:rsidRPr="004F1B8F">
              <w:t>For each m</w:t>
            </w:r>
            <w:r w:rsidRPr="003A20C7">
              <w:rPr>
                <w:vertAlign w:val="superscript"/>
              </w:rPr>
              <w:t xml:space="preserve">2 </w:t>
            </w:r>
            <w:r w:rsidRPr="005A6348">
              <w:t>of enclosed underfloor space that R</w:t>
            </w:r>
            <w:r>
              <w:t xml:space="preserve"> </w:t>
            </w:r>
            <w:r w:rsidRPr="005A6348">
              <w:t>1.5 insulation has been applied</w:t>
            </w:r>
          </w:p>
        </w:tc>
        <w:tc>
          <w:tcPr>
            <w:tcW w:w="2299" w:type="dxa"/>
            <w:shd w:val="clear" w:color="auto" w:fill="auto"/>
            <w:noWrap/>
          </w:tcPr>
          <w:p w14:paraId="515EECB2" w14:textId="625C5246" w:rsidR="00224B7E" w:rsidRPr="003A20C7" w:rsidRDefault="00224B7E" w:rsidP="008E436A">
            <w:pPr>
              <w:pStyle w:val="Tabletext"/>
              <w:rPr>
                <w:rFonts w:eastAsia="Times New Roman"/>
                <w:color w:val="000000"/>
                <w:lang w:eastAsia="en-AU"/>
              </w:rPr>
            </w:pPr>
            <w:r w:rsidRPr="00F408F5">
              <w:t>0.</w:t>
            </w:r>
            <w:r w:rsidR="00CB093D">
              <w:t>265</w:t>
            </w:r>
          </w:p>
        </w:tc>
      </w:tr>
      <w:tr w:rsidR="00224B7E" w:rsidRPr="00D936CF" w14:paraId="4C777106" w14:textId="77777777" w:rsidTr="003A20C7">
        <w:trPr>
          <w:trHeight w:val="329"/>
        </w:trPr>
        <w:tc>
          <w:tcPr>
            <w:tcW w:w="1307" w:type="dxa"/>
            <w:shd w:val="clear" w:color="auto" w:fill="auto"/>
          </w:tcPr>
          <w:p w14:paraId="64F78B68" w14:textId="77777777" w:rsidR="00224B7E" w:rsidRPr="004F1B8F" w:rsidRDefault="00224B7E" w:rsidP="008E436A">
            <w:pPr>
              <w:pStyle w:val="Tabletext"/>
            </w:pPr>
            <w:r w:rsidRPr="004F1B8F">
              <w:t>1.9(</w:t>
            </w:r>
            <w:r w:rsidR="00E94ABE">
              <w:t>b</w:t>
            </w:r>
            <w:r w:rsidRPr="004F1B8F">
              <w:t>)</w:t>
            </w:r>
          </w:p>
        </w:tc>
        <w:tc>
          <w:tcPr>
            <w:tcW w:w="5528" w:type="dxa"/>
            <w:shd w:val="clear" w:color="auto" w:fill="auto"/>
            <w:noWrap/>
          </w:tcPr>
          <w:p w14:paraId="07AC09D3" w14:textId="77777777" w:rsidR="00224B7E" w:rsidRPr="003A20C7" w:rsidRDefault="00224B7E" w:rsidP="008E436A">
            <w:pPr>
              <w:pStyle w:val="Tabletext"/>
              <w:rPr>
                <w:color w:val="000000"/>
              </w:rPr>
            </w:pPr>
            <w:r w:rsidRPr="004F1B8F">
              <w:t>For each m</w:t>
            </w:r>
            <w:r w:rsidRPr="003A20C7">
              <w:rPr>
                <w:vertAlign w:val="superscript"/>
              </w:rPr>
              <w:t>2</w:t>
            </w:r>
            <w:r w:rsidRPr="005A6348">
              <w:t xml:space="preserve"> of unenclosed underfloor space that R</w:t>
            </w:r>
            <w:r>
              <w:t xml:space="preserve"> </w:t>
            </w:r>
            <w:r w:rsidRPr="005A6348">
              <w:t>1.5 insulation has been applied</w:t>
            </w:r>
          </w:p>
        </w:tc>
        <w:tc>
          <w:tcPr>
            <w:tcW w:w="2299" w:type="dxa"/>
            <w:shd w:val="clear" w:color="auto" w:fill="auto"/>
            <w:noWrap/>
          </w:tcPr>
          <w:p w14:paraId="6E018C7C" w14:textId="0ACD2B03" w:rsidR="00224B7E" w:rsidRPr="003A20C7" w:rsidRDefault="00224B7E" w:rsidP="008E436A">
            <w:pPr>
              <w:pStyle w:val="Tabletext"/>
              <w:rPr>
                <w:rFonts w:eastAsia="Times New Roman"/>
                <w:color w:val="000000"/>
                <w:lang w:eastAsia="en-AU"/>
              </w:rPr>
            </w:pPr>
            <w:r w:rsidRPr="00F408F5">
              <w:t>0.</w:t>
            </w:r>
            <w:r w:rsidR="00CB093D">
              <w:t>615</w:t>
            </w:r>
          </w:p>
        </w:tc>
      </w:tr>
      <w:tr w:rsidR="00224B7E" w:rsidRPr="00D936CF" w14:paraId="5085FDD8" w14:textId="77777777" w:rsidTr="003A20C7">
        <w:trPr>
          <w:trHeight w:val="329"/>
        </w:trPr>
        <w:tc>
          <w:tcPr>
            <w:tcW w:w="1307" w:type="dxa"/>
            <w:shd w:val="clear" w:color="auto" w:fill="auto"/>
          </w:tcPr>
          <w:p w14:paraId="1D37D650" w14:textId="77777777" w:rsidR="00224B7E" w:rsidRPr="004F1B8F" w:rsidRDefault="00224B7E" w:rsidP="003A20C7">
            <w:pPr>
              <w:pStyle w:val="Tabletext"/>
            </w:pPr>
            <w:r w:rsidRPr="004F1B8F">
              <w:t>1.9(</w:t>
            </w:r>
            <w:r w:rsidR="00E94ABE">
              <w:t>a</w:t>
            </w:r>
            <w:r w:rsidRPr="004F1B8F">
              <w:t>)</w:t>
            </w:r>
          </w:p>
        </w:tc>
        <w:tc>
          <w:tcPr>
            <w:tcW w:w="5528" w:type="dxa"/>
            <w:shd w:val="clear" w:color="auto" w:fill="auto"/>
            <w:noWrap/>
          </w:tcPr>
          <w:p w14:paraId="02257A75" w14:textId="77777777" w:rsidR="00224B7E" w:rsidRPr="003A20C7" w:rsidRDefault="00224B7E" w:rsidP="003A20C7">
            <w:pPr>
              <w:pStyle w:val="Tabletext"/>
              <w:rPr>
                <w:color w:val="000000"/>
              </w:rPr>
            </w:pPr>
            <w:r w:rsidRPr="004F1B8F">
              <w:t>For each m</w:t>
            </w:r>
            <w:r w:rsidRPr="003A20C7">
              <w:rPr>
                <w:vertAlign w:val="superscript"/>
              </w:rPr>
              <w:t xml:space="preserve">2 </w:t>
            </w:r>
            <w:r w:rsidRPr="005A6348">
              <w:t>of enclosed underfloor space that R</w:t>
            </w:r>
            <w:r>
              <w:t xml:space="preserve"> </w:t>
            </w:r>
            <w:r w:rsidRPr="005A6348">
              <w:t>2.5 insulation has been applied</w:t>
            </w:r>
          </w:p>
        </w:tc>
        <w:tc>
          <w:tcPr>
            <w:tcW w:w="2299" w:type="dxa"/>
            <w:shd w:val="clear" w:color="auto" w:fill="auto"/>
            <w:noWrap/>
          </w:tcPr>
          <w:p w14:paraId="72D7813D" w14:textId="7BF7D4EC" w:rsidR="00224B7E" w:rsidRPr="003A20C7" w:rsidRDefault="00224B7E" w:rsidP="008E436A">
            <w:pPr>
              <w:pStyle w:val="Tabletext"/>
              <w:rPr>
                <w:rFonts w:eastAsia="Times New Roman"/>
                <w:color w:val="000000"/>
                <w:lang w:eastAsia="en-AU"/>
              </w:rPr>
            </w:pPr>
            <w:r w:rsidRPr="00F408F5">
              <w:t>0.</w:t>
            </w:r>
            <w:r w:rsidR="00CB093D">
              <w:t>307</w:t>
            </w:r>
          </w:p>
        </w:tc>
      </w:tr>
      <w:tr w:rsidR="00224B7E" w:rsidRPr="00D936CF" w14:paraId="1AB0CABC" w14:textId="77777777" w:rsidTr="003A20C7">
        <w:trPr>
          <w:trHeight w:val="329"/>
        </w:trPr>
        <w:tc>
          <w:tcPr>
            <w:tcW w:w="1307" w:type="dxa"/>
            <w:shd w:val="clear" w:color="auto" w:fill="auto"/>
          </w:tcPr>
          <w:p w14:paraId="3F681B9D" w14:textId="77777777" w:rsidR="00224B7E" w:rsidRPr="004F1B8F" w:rsidRDefault="00224B7E" w:rsidP="008E436A">
            <w:pPr>
              <w:pStyle w:val="Tabletext"/>
            </w:pPr>
            <w:r w:rsidRPr="004F1B8F">
              <w:t>1.9(b)</w:t>
            </w:r>
          </w:p>
        </w:tc>
        <w:tc>
          <w:tcPr>
            <w:tcW w:w="5528" w:type="dxa"/>
            <w:shd w:val="clear" w:color="auto" w:fill="auto"/>
            <w:noWrap/>
          </w:tcPr>
          <w:p w14:paraId="17F82F34" w14:textId="77777777" w:rsidR="00224B7E" w:rsidRPr="003A20C7" w:rsidRDefault="00224B7E" w:rsidP="008E436A">
            <w:pPr>
              <w:pStyle w:val="Tabletext"/>
              <w:rPr>
                <w:color w:val="000000"/>
              </w:rPr>
            </w:pPr>
            <w:r w:rsidRPr="004F1B8F">
              <w:t>For each m</w:t>
            </w:r>
            <w:r w:rsidRPr="003A20C7">
              <w:rPr>
                <w:vertAlign w:val="superscript"/>
              </w:rPr>
              <w:t>2</w:t>
            </w:r>
            <w:r w:rsidRPr="005A6348">
              <w:t xml:space="preserve"> of unenclosed underfloor space that R</w:t>
            </w:r>
            <w:r>
              <w:t xml:space="preserve"> </w:t>
            </w:r>
            <w:r w:rsidRPr="005A6348">
              <w:t>2.5 insulation has been applied</w:t>
            </w:r>
          </w:p>
        </w:tc>
        <w:tc>
          <w:tcPr>
            <w:tcW w:w="2299" w:type="dxa"/>
            <w:shd w:val="clear" w:color="auto" w:fill="auto"/>
            <w:noWrap/>
          </w:tcPr>
          <w:p w14:paraId="27379736" w14:textId="6DB062D5" w:rsidR="00224B7E" w:rsidRPr="003A20C7" w:rsidRDefault="00224B7E" w:rsidP="008E436A">
            <w:pPr>
              <w:pStyle w:val="Tabletext"/>
              <w:rPr>
                <w:rFonts w:eastAsia="Times New Roman"/>
                <w:color w:val="000000"/>
                <w:lang w:eastAsia="en-AU"/>
              </w:rPr>
            </w:pPr>
            <w:r w:rsidRPr="00F408F5">
              <w:t>0.</w:t>
            </w:r>
            <w:r w:rsidR="00CB093D">
              <w:t>690</w:t>
            </w:r>
          </w:p>
        </w:tc>
      </w:tr>
    </w:tbl>
    <w:p w14:paraId="0B5E5927" w14:textId="77777777" w:rsidR="009230D7" w:rsidRDefault="00224B7E" w:rsidP="008E436A">
      <w:pPr>
        <w:pStyle w:val="SectionHeading1"/>
      </w:pPr>
      <w:bookmarkStart w:id="155" w:name="_Toc21867029"/>
      <w:bookmarkEnd w:id="155"/>
      <w:r>
        <w:br w:type="page"/>
      </w:r>
      <w:bookmarkStart w:id="156" w:name="_Toc27560550"/>
      <w:r w:rsidR="00F0426F" w:rsidRPr="00970AD2">
        <w:lastRenderedPageBreak/>
        <w:t>Space heating and cooling activities</w:t>
      </w:r>
      <w:bookmarkStart w:id="157" w:name="_Toc501441390"/>
      <w:bookmarkEnd w:id="130"/>
      <w:bookmarkEnd w:id="131"/>
      <w:bookmarkEnd w:id="156"/>
    </w:p>
    <w:p w14:paraId="3D8EF241" w14:textId="77777777" w:rsidR="00E55447" w:rsidRPr="00775E09" w:rsidRDefault="00CA6223" w:rsidP="008E436A">
      <w:pPr>
        <w:pStyle w:val="Sectionheading2"/>
      </w:pPr>
      <w:bookmarkStart w:id="158" w:name="_Toc27560551"/>
      <w:bookmarkStart w:id="159" w:name="_Hlk8128521"/>
      <w:bookmarkStart w:id="160" w:name="_Hlk8128680"/>
      <w:bookmarkStart w:id="161" w:name="_Hlk8128752"/>
      <w:r>
        <w:t>Install a high efficiency</w:t>
      </w:r>
      <w:r w:rsidR="00E55447" w:rsidRPr="00775E09">
        <w:t xml:space="preserve"> central </w:t>
      </w:r>
      <w:r w:rsidR="002E67C2">
        <w:t xml:space="preserve">air conditioning </w:t>
      </w:r>
      <w:r>
        <w:t>heat pump</w:t>
      </w:r>
      <w:bookmarkEnd w:id="158"/>
      <w:r w:rsidR="00444594">
        <w:t xml:space="preserve"> </w:t>
      </w:r>
    </w:p>
    <w:bookmarkEnd w:id="157"/>
    <w:p w14:paraId="2FF06D39" w14:textId="77777777" w:rsidR="00605125" w:rsidRPr="00605125" w:rsidRDefault="00605125" w:rsidP="008E436A">
      <w:pPr>
        <w:pStyle w:val="Sectionheading3"/>
      </w:pPr>
      <w:r w:rsidRPr="00605125">
        <w:t xml:space="preserve">Activity </w:t>
      </w:r>
      <w:r w:rsidR="00563B50">
        <w:t>d</w:t>
      </w:r>
      <w:r w:rsidRPr="00605125">
        <w:t>efinition</w:t>
      </w:r>
    </w:p>
    <w:p w14:paraId="359AF3BB" w14:textId="77777777" w:rsidR="008600EA" w:rsidRPr="00562193" w:rsidRDefault="00605125" w:rsidP="00AF3515">
      <w:pPr>
        <w:pStyle w:val="BodytextEEIS"/>
      </w:pPr>
      <w:r w:rsidRPr="00562193">
        <w:t xml:space="preserve">In accordance with the prescribed minimum activity performance specifications, this activity involves the </w:t>
      </w:r>
      <w:r w:rsidR="00CA6223" w:rsidRPr="00562193">
        <w:t xml:space="preserve">installation </w:t>
      </w:r>
      <w:r w:rsidR="008600EA" w:rsidRPr="00562193">
        <w:t xml:space="preserve">of a </w:t>
      </w:r>
      <w:r w:rsidR="008600EA" w:rsidRPr="00823AAF">
        <w:t>high efficiency central air conditioning heat pump system</w:t>
      </w:r>
      <w:r w:rsidR="00907593">
        <w:t>/s</w:t>
      </w:r>
      <w:r w:rsidR="008600EA" w:rsidRPr="00823AAF">
        <w:t xml:space="preserve"> in</w:t>
      </w:r>
      <w:r w:rsidR="00563B50">
        <w:t>—</w:t>
      </w:r>
    </w:p>
    <w:p w14:paraId="1485267A" w14:textId="77777777" w:rsidR="00CA6223" w:rsidRDefault="008600EA" w:rsidP="00FF5D7A">
      <w:pPr>
        <w:pStyle w:val="Subdetailsfirstindent"/>
      </w:pPr>
      <w:r w:rsidRPr="00AF3515">
        <w:rPr>
          <w:b/>
        </w:rPr>
        <w:t xml:space="preserve">Activity ID 2.1(a) </w:t>
      </w:r>
      <w:r w:rsidR="00563B50">
        <w:t>–</w:t>
      </w:r>
      <w:r w:rsidRPr="00C85399">
        <w:t xml:space="preserve"> R</w:t>
      </w:r>
      <w:r w:rsidR="00387A6C" w:rsidRPr="00C85399">
        <w:t>esidential premises</w:t>
      </w:r>
      <w:r>
        <w:t>; or</w:t>
      </w:r>
    </w:p>
    <w:p w14:paraId="5321CC1E" w14:textId="77777777" w:rsidR="00AA3CB1" w:rsidRPr="00823AAF" w:rsidRDefault="008600EA" w:rsidP="00AF3515">
      <w:pPr>
        <w:pStyle w:val="Subdetailsfirstindent"/>
      </w:pPr>
      <w:r w:rsidRPr="00970AD2">
        <w:rPr>
          <w:b/>
        </w:rPr>
        <w:t xml:space="preserve">Activity ID </w:t>
      </w:r>
      <w:r>
        <w:rPr>
          <w:b/>
        </w:rPr>
        <w:t>2.1</w:t>
      </w:r>
      <w:r w:rsidRPr="00970AD2">
        <w:rPr>
          <w:b/>
        </w:rPr>
        <w:t>(</w:t>
      </w:r>
      <w:r>
        <w:rPr>
          <w:b/>
        </w:rPr>
        <w:t>b</w:t>
      </w:r>
      <w:r w:rsidRPr="00970AD2">
        <w:rPr>
          <w:b/>
        </w:rPr>
        <w:t>)</w:t>
      </w:r>
      <w:r w:rsidR="00AA3CB1">
        <w:rPr>
          <w:b/>
        </w:rPr>
        <w:t xml:space="preserve"> </w:t>
      </w:r>
      <w:r w:rsidR="00563B50">
        <w:t xml:space="preserve">– </w:t>
      </w:r>
      <w:r w:rsidR="00AA3CB1" w:rsidRPr="00C85399">
        <w:t xml:space="preserve">Business </w:t>
      </w:r>
      <w:r w:rsidR="00823AAF" w:rsidRPr="00C85399">
        <w:t>p</w:t>
      </w:r>
      <w:r w:rsidR="00AA3CB1" w:rsidRPr="00C85399">
        <w:t>remises</w:t>
      </w:r>
      <w:r w:rsidR="00563B50">
        <w:t>,</w:t>
      </w:r>
      <w:r w:rsidR="00562193">
        <w:t xml:space="preserve"> </w:t>
      </w:r>
      <w:r w:rsidR="0097160C">
        <w:t>defined as</w:t>
      </w:r>
      <w:r w:rsidR="00563B50">
        <w:t>—</w:t>
      </w:r>
    </w:p>
    <w:p w14:paraId="52A084C5" w14:textId="77777777" w:rsidR="00562193" w:rsidRPr="002959F0" w:rsidRDefault="00563B50" w:rsidP="00D633D3">
      <w:pPr>
        <w:pStyle w:val="Subdetailssecondindent"/>
        <w:numPr>
          <w:ilvl w:val="0"/>
          <w:numId w:val="44"/>
        </w:numPr>
      </w:pPr>
      <w:r>
        <w:t>h</w:t>
      </w:r>
      <w:r w:rsidR="00562193" w:rsidRPr="002959F0">
        <w:t>igh internal heat loads</w:t>
      </w:r>
      <w:r>
        <w:t xml:space="preserve"> (category 1)</w:t>
      </w:r>
      <w:r w:rsidR="00562193" w:rsidRPr="002959F0">
        <w:t xml:space="preserve">; </w:t>
      </w:r>
    </w:p>
    <w:p w14:paraId="73126CA7" w14:textId="77777777" w:rsidR="00562193" w:rsidRPr="002959F0" w:rsidRDefault="00563B50" w:rsidP="00AF3515">
      <w:pPr>
        <w:pStyle w:val="Subdetailssecondindent"/>
      </w:pPr>
      <w:r>
        <w:t>l</w:t>
      </w:r>
      <w:r w:rsidR="00562193" w:rsidRPr="002959F0">
        <w:t>ow internal heat loads</w:t>
      </w:r>
      <w:r>
        <w:t xml:space="preserve"> (category 2)</w:t>
      </w:r>
      <w:r w:rsidR="00562193" w:rsidRPr="002959F0">
        <w:t>; or</w:t>
      </w:r>
    </w:p>
    <w:p w14:paraId="24DF42DF" w14:textId="77777777" w:rsidR="00562193" w:rsidRDefault="00563B50" w:rsidP="00AF3515">
      <w:pPr>
        <w:pStyle w:val="Subdetailssecondindent"/>
      </w:pPr>
      <w:r>
        <w:t>o</w:t>
      </w:r>
      <w:r w:rsidR="00562193">
        <w:t>ther</w:t>
      </w:r>
      <w:r w:rsidR="00562193" w:rsidRPr="00605125">
        <w:t xml:space="preserve"> internal heat loads</w:t>
      </w:r>
      <w:r>
        <w:t xml:space="preserve"> (category 3).</w:t>
      </w:r>
    </w:p>
    <w:p w14:paraId="241536C3" w14:textId="77777777" w:rsidR="00562193" w:rsidRDefault="00562193" w:rsidP="00AF3515">
      <w:pPr>
        <w:pStyle w:val="Notesandexamples"/>
      </w:pPr>
      <w:r w:rsidRPr="00970AD2">
        <w:t>Note</w:t>
      </w:r>
      <w:r w:rsidR="00FC0097">
        <w:t xml:space="preserve"> 1</w:t>
      </w:r>
      <w:r w:rsidRPr="00970AD2">
        <w:tab/>
      </w:r>
      <w:r w:rsidRPr="00823AAF">
        <w:t xml:space="preserve">These categories are </w:t>
      </w:r>
      <w:r w:rsidR="00907593">
        <w:t xml:space="preserve">further </w:t>
      </w:r>
      <w:r w:rsidR="00A225CE">
        <w:t>de</w:t>
      </w:r>
      <w:r w:rsidRPr="00823AAF">
        <w:t xml:space="preserve">fined in </w:t>
      </w:r>
      <w:r w:rsidR="00A61326">
        <w:t>s</w:t>
      </w:r>
      <w:r w:rsidRPr="00823AAF">
        <w:t xml:space="preserve">ection </w:t>
      </w:r>
      <w:r w:rsidR="00563B50">
        <w:t>2.1.</w:t>
      </w:r>
      <w:r w:rsidRPr="00823AAF">
        <w:t xml:space="preserve">5, </w:t>
      </w:r>
      <w:r w:rsidR="00A61326">
        <w:t>t</w:t>
      </w:r>
      <w:r w:rsidRPr="00823AAF">
        <w:t xml:space="preserve">able </w:t>
      </w:r>
      <w:r w:rsidR="00563B50">
        <w:t>6</w:t>
      </w:r>
      <w:r w:rsidRPr="00823AAF">
        <w:t>.</w:t>
      </w:r>
    </w:p>
    <w:p w14:paraId="5CE290D5" w14:textId="77777777" w:rsidR="00C15E1F" w:rsidRPr="00E104BC" w:rsidRDefault="00C15E1F" w:rsidP="00AF3515">
      <w:pPr>
        <w:pStyle w:val="Notesandexamples"/>
      </w:pPr>
      <w:r>
        <w:t>Note</w:t>
      </w:r>
      <w:r w:rsidR="00FC0097">
        <w:t xml:space="preserve"> 2</w:t>
      </w:r>
      <w:r>
        <w:tab/>
        <w:t xml:space="preserve">The numbering system used </w:t>
      </w:r>
      <w:r w:rsidR="00563B50">
        <w:t>above</w:t>
      </w:r>
      <w:r>
        <w:t xml:space="preserve"> relates to the tables in section </w:t>
      </w:r>
      <w:r w:rsidR="00563B50">
        <w:t>2.1.</w:t>
      </w:r>
      <w:r>
        <w:t>5.</w:t>
      </w:r>
    </w:p>
    <w:p w14:paraId="7ADB2BD8" w14:textId="77777777" w:rsidR="00513D23" w:rsidRPr="00513D23" w:rsidRDefault="00513D23" w:rsidP="00611708">
      <w:pPr>
        <w:pStyle w:val="Sectionheading4"/>
      </w:pPr>
      <w:r w:rsidRPr="00513D23">
        <w:t>Pre-existing heating condition</w:t>
      </w:r>
    </w:p>
    <w:p w14:paraId="452DEFF6" w14:textId="77777777" w:rsidR="00513D23" w:rsidRDefault="00FC0097" w:rsidP="00611708">
      <w:pPr>
        <w:pStyle w:val="BodytextEEIS"/>
      </w:pPr>
      <w:r>
        <w:t>T</w:t>
      </w:r>
      <w:r w:rsidR="00513D23">
        <w:t>he pre-existing heating condition must be one of the following</w:t>
      </w:r>
      <w:r w:rsidR="00563B50">
        <w:t>—</w:t>
      </w:r>
    </w:p>
    <w:p w14:paraId="0E5B78D4" w14:textId="77777777" w:rsidR="00513D23" w:rsidRPr="002959F0" w:rsidRDefault="00180386" w:rsidP="00D633D3">
      <w:pPr>
        <w:pStyle w:val="Subdetailsfirstindent"/>
        <w:numPr>
          <w:ilvl w:val="0"/>
          <w:numId w:val="45"/>
        </w:numPr>
      </w:pPr>
      <w:r>
        <w:t>q</w:t>
      </w:r>
      <w:r w:rsidR="00513D23" w:rsidRPr="002959F0">
        <w:t xml:space="preserve">ualifying </w:t>
      </w:r>
      <w:r w:rsidR="00FD2BAE" w:rsidRPr="002959F0">
        <w:t xml:space="preserve">fixed </w:t>
      </w:r>
      <w:r w:rsidR="00513D23" w:rsidRPr="002959F0">
        <w:t xml:space="preserve">electric resistance </w:t>
      </w:r>
      <w:r>
        <w:t>–</w:t>
      </w:r>
      <w:r w:rsidR="00513D23" w:rsidRPr="002959F0">
        <w:t xml:space="preserve"> fixed panel heaters (must service more than 70m</w:t>
      </w:r>
      <w:r w:rsidR="00513D23" w:rsidRPr="00BD5DF1">
        <w:rPr>
          <w:vertAlign w:val="superscript"/>
        </w:rPr>
        <w:t>2</w:t>
      </w:r>
      <w:r w:rsidR="00513D23" w:rsidRPr="002959F0">
        <w:t xml:space="preserve">); </w:t>
      </w:r>
    </w:p>
    <w:p w14:paraId="663702ED" w14:textId="77777777" w:rsidR="00513D23" w:rsidRPr="002959F0" w:rsidRDefault="00180386" w:rsidP="00611708">
      <w:pPr>
        <w:pStyle w:val="Subdetailsfirstindent"/>
      </w:pPr>
      <w:r>
        <w:t>q</w:t>
      </w:r>
      <w:r w:rsidR="00513D23" w:rsidRPr="002959F0">
        <w:t xml:space="preserve">ualifying </w:t>
      </w:r>
      <w:r w:rsidR="00FD2BAE" w:rsidRPr="002959F0">
        <w:t xml:space="preserve">fixed </w:t>
      </w:r>
      <w:r w:rsidR="00513D23" w:rsidRPr="002959F0">
        <w:t xml:space="preserve">electric resistance </w:t>
      </w:r>
      <w:r w:rsidR="00FD2BAE" w:rsidRPr="002959F0">
        <w:t>–</w:t>
      </w:r>
      <w:r w:rsidR="00513D23" w:rsidRPr="002959F0">
        <w:t xml:space="preserve"> </w:t>
      </w:r>
      <w:r w:rsidR="00FD2BAE" w:rsidRPr="002959F0">
        <w:t xml:space="preserve">fixed </w:t>
      </w:r>
      <w:r w:rsidR="00513D23" w:rsidRPr="002959F0">
        <w:t>slab or ducted (must service more than 70m</w:t>
      </w:r>
      <w:r w:rsidR="00513D23" w:rsidRPr="00BD5DF1">
        <w:rPr>
          <w:vertAlign w:val="superscript"/>
        </w:rPr>
        <w:t>2</w:t>
      </w:r>
      <w:r w:rsidR="00513D23" w:rsidRPr="002959F0">
        <w:t xml:space="preserve">); </w:t>
      </w:r>
    </w:p>
    <w:p w14:paraId="67783ADA" w14:textId="77777777" w:rsidR="00513D23" w:rsidRPr="002959F0" w:rsidRDefault="00180386" w:rsidP="00611708">
      <w:pPr>
        <w:pStyle w:val="Subdetailsfirstindent"/>
      </w:pPr>
      <w:r>
        <w:t>q</w:t>
      </w:r>
      <w:r w:rsidR="00513D23" w:rsidRPr="002959F0">
        <w:t xml:space="preserve">ualifying </w:t>
      </w:r>
      <w:r w:rsidR="00FD2BAE" w:rsidRPr="002959F0">
        <w:t xml:space="preserve">fixed </w:t>
      </w:r>
      <w:r w:rsidR="00513D23" w:rsidRPr="002959F0">
        <w:t xml:space="preserve">gas ducted heater </w:t>
      </w:r>
      <w:r w:rsidR="00FD2BAE" w:rsidRPr="002959F0">
        <w:t>–</w:t>
      </w:r>
      <w:r w:rsidR="00513D23" w:rsidRPr="002959F0">
        <w:t xml:space="preserve"> </w:t>
      </w:r>
      <w:r w:rsidR="00FD2BAE" w:rsidRPr="002959F0">
        <w:t xml:space="preserve">any </w:t>
      </w:r>
      <w:r w:rsidR="00513D23" w:rsidRPr="002959F0">
        <w:t xml:space="preserve">fixed </w:t>
      </w:r>
      <w:r w:rsidR="00C60A36" w:rsidRPr="002959F0">
        <w:t>ducted gas</w:t>
      </w:r>
      <w:r w:rsidR="00513D23" w:rsidRPr="002959F0">
        <w:t xml:space="preserve"> heaters; or</w:t>
      </w:r>
    </w:p>
    <w:p w14:paraId="0A76A799" w14:textId="77777777" w:rsidR="00513D23" w:rsidRDefault="00180386" w:rsidP="00611708">
      <w:pPr>
        <w:pStyle w:val="Subdetailsfirstindent"/>
      </w:pPr>
      <w:r>
        <w:t>n</w:t>
      </w:r>
      <w:r w:rsidR="00513D23" w:rsidRPr="002959F0">
        <w:t>one, any not specified</w:t>
      </w:r>
      <w:r w:rsidR="00513D23">
        <w:t xml:space="preserve"> </w:t>
      </w:r>
      <w:r>
        <w:t>–</w:t>
      </w:r>
      <w:r w:rsidR="00513D23">
        <w:t xml:space="preserve"> in the case of a </w:t>
      </w:r>
      <w:r w:rsidR="00B37B9D">
        <w:t>c</w:t>
      </w:r>
      <w:r w:rsidR="00513D23">
        <w:t xml:space="preserve">ategory 1 </w:t>
      </w:r>
      <w:r w:rsidR="00B37B9D">
        <w:t>b</w:t>
      </w:r>
      <w:r w:rsidR="00513D23">
        <w:t>usiness only n</w:t>
      </w:r>
      <w:r w:rsidR="00513D23" w:rsidRPr="00AA3CB1">
        <w:t>one</w:t>
      </w:r>
      <w:r w:rsidR="00513D23">
        <w:t xml:space="preserve"> or</w:t>
      </w:r>
      <w:r w:rsidR="00B37B9D">
        <w:t xml:space="preserve"> a</w:t>
      </w:r>
      <w:r w:rsidR="00513D23">
        <w:t xml:space="preserve"> r</w:t>
      </w:r>
      <w:r w:rsidR="00513D23" w:rsidRPr="00AA3CB1">
        <w:t>everse cycle heat pump</w:t>
      </w:r>
      <w:r w:rsidR="00B37B9D">
        <w:t xml:space="preserve"> qualifies</w:t>
      </w:r>
      <w:r w:rsidR="00C15E1F">
        <w:t>.</w:t>
      </w:r>
    </w:p>
    <w:p w14:paraId="0508495D" w14:textId="77777777" w:rsidR="00513D23" w:rsidRPr="00513D23" w:rsidRDefault="00513D23" w:rsidP="00611708">
      <w:pPr>
        <w:pStyle w:val="Sectionheading4"/>
      </w:pPr>
      <w:r w:rsidRPr="00513D23">
        <w:t>New installation condition</w:t>
      </w:r>
    </w:p>
    <w:p w14:paraId="29F331C7" w14:textId="77777777" w:rsidR="00513D23" w:rsidRPr="00A225CE" w:rsidRDefault="00FC0097" w:rsidP="00611708">
      <w:pPr>
        <w:pStyle w:val="BodytextEEIS"/>
      </w:pPr>
      <w:r>
        <w:t>T</w:t>
      </w:r>
      <w:r w:rsidR="00513D23">
        <w:t>he new installation includes one of the following</w:t>
      </w:r>
      <w:r w:rsidR="00D80B11">
        <w:t>—</w:t>
      </w:r>
      <w:r w:rsidR="00513D23">
        <w:t xml:space="preserve"> </w:t>
      </w:r>
    </w:p>
    <w:p w14:paraId="71C97396" w14:textId="77777777" w:rsidR="00513D23" w:rsidRPr="002959F0" w:rsidRDefault="00180386" w:rsidP="00D633D3">
      <w:pPr>
        <w:pStyle w:val="Subdetailsfirstindent"/>
        <w:numPr>
          <w:ilvl w:val="0"/>
          <w:numId w:val="46"/>
        </w:numPr>
      </w:pPr>
      <w:r>
        <w:t>a</w:t>
      </w:r>
      <w:r w:rsidR="00513D23" w:rsidRPr="002959F0">
        <w:t xml:space="preserve"> high efficiency central ducted reverse cycle air conditioning heat pump (</w:t>
      </w:r>
      <w:r w:rsidR="00C60ACA">
        <w:t>c</w:t>
      </w:r>
      <w:r w:rsidR="00513D23" w:rsidRPr="002959F0">
        <w:t xml:space="preserve">entral ducted heat pump); </w:t>
      </w:r>
    </w:p>
    <w:p w14:paraId="58642898" w14:textId="77777777" w:rsidR="0097160C" w:rsidRPr="00611708" w:rsidRDefault="00180386" w:rsidP="00D633D3">
      <w:pPr>
        <w:pStyle w:val="Subdetailsfirstindent"/>
        <w:numPr>
          <w:ilvl w:val="0"/>
          <w:numId w:val="46"/>
        </w:numPr>
        <w:rPr>
          <w:b/>
        </w:rPr>
      </w:pPr>
      <w:bookmarkStart w:id="162" w:name="_Hlk8729870"/>
      <w:r>
        <w:t>a</w:t>
      </w:r>
      <w:r w:rsidR="00513D23" w:rsidRPr="002959F0">
        <w:t xml:space="preserve"> high efficiency central non-ducted reverse cycle multi</w:t>
      </w:r>
      <w:r w:rsidR="00A95988">
        <w:t>-</w:t>
      </w:r>
      <w:r w:rsidR="00513D23" w:rsidRPr="002959F0">
        <w:t>split air conditioning heat pump (</w:t>
      </w:r>
      <w:r w:rsidR="00FA0FC9">
        <w:t>c</w:t>
      </w:r>
      <w:r w:rsidR="00513D23" w:rsidRPr="002959F0">
        <w:t>entral non-ducted heat pump)</w:t>
      </w:r>
      <w:r w:rsidR="0097160C">
        <w:t xml:space="preserve"> or t</w:t>
      </w:r>
      <w:r w:rsidR="0097160C" w:rsidRPr="002959F0">
        <w:t>wo or more high efficiency reverse cycle single split air conditioning room heat pumps</w:t>
      </w:r>
      <w:r w:rsidR="0097160C" w:rsidRPr="00766091">
        <w:t xml:space="preserve"> (</w:t>
      </w:r>
      <w:r w:rsidR="00FA0FC9">
        <w:t>r</w:t>
      </w:r>
      <w:r w:rsidR="0097160C" w:rsidRPr="00766091">
        <w:t>oom heat pumps)</w:t>
      </w:r>
      <w:bookmarkEnd w:id="162"/>
      <w:r w:rsidR="00A61326">
        <w:t>; or</w:t>
      </w:r>
    </w:p>
    <w:p w14:paraId="157626AA" w14:textId="77777777" w:rsidR="00513D23" w:rsidRDefault="0097160C" w:rsidP="00D633D3">
      <w:pPr>
        <w:pStyle w:val="Subdetailsfirstindent"/>
        <w:numPr>
          <w:ilvl w:val="0"/>
          <w:numId w:val="46"/>
        </w:numPr>
      </w:pPr>
      <w:r w:rsidRPr="00224B7E">
        <w:t xml:space="preserve">Central ducted heat pump compliant with the provisions of section </w:t>
      </w:r>
      <w:r w:rsidR="00180386">
        <w:t>2.1.</w:t>
      </w:r>
      <w:r w:rsidRPr="00224B7E">
        <w:t>3(</w:t>
      </w:r>
      <w:r w:rsidR="00D5263C">
        <w:t>e</w:t>
      </w:r>
      <w:r w:rsidRPr="00224B7E">
        <w:t>)i</w:t>
      </w:r>
      <w:r w:rsidR="00660BDC">
        <w:t>i</w:t>
      </w:r>
      <w:r w:rsidRPr="00224B7E">
        <w:t>(2)</w:t>
      </w:r>
      <w:r w:rsidR="00A61326">
        <w:t>.</w:t>
      </w:r>
    </w:p>
    <w:p w14:paraId="70B5FA42" w14:textId="77777777" w:rsidR="00605125" w:rsidRPr="00605125" w:rsidRDefault="00605125" w:rsidP="00611708">
      <w:pPr>
        <w:pStyle w:val="Sectionheading3"/>
      </w:pPr>
      <w:r w:rsidRPr="00605125">
        <w:t>Minimum activity performance specifications</w:t>
      </w:r>
    </w:p>
    <w:p w14:paraId="104EA027" w14:textId="77777777" w:rsidR="00605125" w:rsidRPr="00605125" w:rsidRDefault="00605125" w:rsidP="00611708">
      <w:pPr>
        <w:pStyle w:val="BodytextEEIS"/>
        <w:rPr>
          <w:i/>
        </w:rPr>
      </w:pPr>
      <w:r w:rsidRPr="00605125">
        <w:t>To be an eligible activity the activity must</w:t>
      </w:r>
      <w:r w:rsidRPr="00605125">
        <w:rPr>
          <w:bCs/>
        </w:rPr>
        <w:t>—</w:t>
      </w:r>
    </w:p>
    <w:p w14:paraId="3362BA7B" w14:textId="77777777" w:rsidR="000E3586" w:rsidRDefault="00605125" w:rsidP="00D633D3">
      <w:pPr>
        <w:pStyle w:val="Subdetailsfirstindent"/>
        <w:numPr>
          <w:ilvl w:val="0"/>
          <w:numId w:val="47"/>
        </w:numPr>
      </w:pPr>
      <w:r w:rsidRPr="00605125">
        <w:t>be undertaken at an eligible residential or business premises</w:t>
      </w:r>
      <w:r w:rsidR="002E67C2">
        <w:t xml:space="preserve">; </w:t>
      </w:r>
    </w:p>
    <w:p w14:paraId="6D98D101" w14:textId="22CC8462" w:rsidR="00823AAF" w:rsidRPr="00605125" w:rsidRDefault="005E75B9" w:rsidP="00D633D3">
      <w:pPr>
        <w:pStyle w:val="Subdetailsfirstindent"/>
        <w:numPr>
          <w:ilvl w:val="0"/>
          <w:numId w:val="47"/>
        </w:numPr>
      </w:pPr>
      <w:r>
        <w:t>i</w:t>
      </w:r>
      <w:bookmarkStart w:id="163" w:name="_Hlk8208104"/>
      <w:r w:rsidR="000E3586">
        <w:t xml:space="preserve">nclude the removal and decommissioning of any pre-existing heater that is used </w:t>
      </w:r>
      <w:r w:rsidR="00823AAF">
        <w:t xml:space="preserve">in </w:t>
      </w:r>
      <w:r w:rsidR="00180386">
        <w:t>s</w:t>
      </w:r>
      <w:r w:rsidR="00823AAF">
        <w:t xml:space="preserve">ection </w:t>
      </w:r>
      <w:r w:rsidR="00180386">
        <w:t>2.1.</w:t>
      </w:r>
      <w:r w:rsidR="00823AAF">
        <w:t xml:space="preserve">5 to determine </w:t>
      </w:r>
      <w:r w:rsidR="00513D23">
        <w:t>an</w:t>
      </w:r>
      <w:r w:rsidR="00823AAF">
        <w:t xml:space="preserve"> </w:t>
      </w:r>
      <w:r w:rsidR="00BA31EE">
        <w:t>energy savings</w:t>
      </w:r>
      <w:r w:rsidR="00823AAF">
        <w:t xml:space="preserve"> factor; </w:t>
      </w:r>
    </w:p>
    <w:bookmarkEnd w:id="163"/>
    <w:p w14:paraId="1A9708C7" w14:textId="77777777" w:rsidR="006C5FB1" w:rsidRPr="00605125" w:rsidRDefault="006C5FB1" w:rsidP="00D633D3">
      <w:pPr>
        <w:pStyle w:val="Subdetailsfirstindent"/>
        <w:numPr>
          <w:ilvl w:val="0"/>
          <w:numId w:val="47"/>
        </w:numPr>
      </w:pPr>
      <w:r w:rsidRPr="00605125">
        <w:t xml:space="preserve">be undertaken using a product or products meeting the installed product requirements in section </w:t>
      </w:r>
      <w:r w:rsidR="00180386">
        <w:t>2.1.</w:t>
      </w:r>
      <w:r w:rsidRPr="00605125">
        <w:t xml:space="preserve">3; </w:t>
      </w:r>
    </w:p>
    <w:p w14:paraId="2F38860C" w14:textId="77777777" w:rsidR="007E00DF" w:rsidRPr="00605125" w:rsidRDefault="00012574" w:rsidP="00D633D3">
      <w:pPr>
        <w:pStyle w:val="Subdetailsfirstindent"/>
        <w:numPr>
          <w:ilvl w:val="0"/>
          <w:numId w:val="47"/>
        </w:numPr>
      </w:pPr>
      <w:bookmarkStart w:id="164" w:name="_Hlk8718054"/>
      <w:r w:rsidRPr="00012574">
        <w:lastRenderedPageBreak/>
        <w:t xml:space="preserve">be undertaken together with </w:t>
      </w:r>
      <w:r w:rsidR="00180386">
        <w:t>A</w:t>
      </w:r>
      <w:r w:rsidRPr="00012574">
        <w:t>ctivity</w:t>
      </w:r>
      <w:r w:rsidR="00180386">
        <w:t xml:space="preserve"> </w:t>
      </w:r>
      <w:r w:rsidRPr="00012574">
        <w:t xml:space="preserve">2.4 for the insulation of ductwork, where the new product requires ductwork and where existing ductwork connected to a replaced heater does not meet the installed product requirements in section </w:t>
      </w:r>
      <w:r w:rsidR="00180386">
        <w:t>2.4.</w:t>
      </w:r>
      <w:r w:rsidRPr="00012574">
        <w:t>3;</w:t>
      </w:r>
      <w:bookmarkEnd w:id="164"/>
      <w:r w:rsidR="00660BDC">
        <w:t xml:space="preserve"> </w:t>
      </w:r>
    </w:p>
    <w:p w14:paraId="267B4657" w14:textId="77777777" w:rsidR="00605125" w:rsidRPr="00605125" w:rsidRDefault="00605125" w:rsidP="00D633D3">
      <w:pPr>
        <w:pStyle w:val="Subdetailsfirstindent"/>
        <w:numPr>
          <w:ilvl w:val="0"/>
          <w:numId w:val="47"/>
        </w:numPr>
      </w:pPr>
      <w:r w:rsidRPr="00605125">
        <w:t>be completed and certified in accordance with the relevant code or codes of practice and other relevant legislation applying to the activity, including</w:t>
      </w:r>
      <w:r w:rsidR="005E75B9">
        <w:t xml:space="preserve"> but not limited to</w:t>
      </w:r>
      <w:r w:rsidRPr="00605125">
        <w:t xml:space="preserve"> any licensing, registration, statutory approval, activity certification, health, safety, environmental or waste disposal requirements; and </w:t>
      </w:r>
    </w:p>
    <w:p w14:paraId="6246321F" w14:textId="77777777" w:rsidR="00605125" w:rsidRPr="00605125" w:rsidRDefault="00605125" w:rsidP="00D633D3">
      <w:pPr>
        <w:pStyle w:val="Subdetailsfirstindent"/>
        <w:numPr>
          <w:ilvl w:val="0"/>
          <w:numId w:val="47"/>
        </w:numPr>
      </w:pPr>
      <w:r w:rsidRPr="00605125">
        <w:t>be recorded in accordance with any relevant code of practice for the activity.</w:t>
      </w:r>
    </w:p>
    <w:p w14:paraId="39FDCA25" w14:textId="77777777" w:rsidR="00605125" w:rsidRPr="00513D23" w:rsidRDefault="00605125" w:rsidP="00611708">
      <w:pPr>
        <w:pStyle w:val="Notesandexamples"/>
      </w:pPr>
      <w:r w:rsidRPr="00605125">
        <w:t>Note</w:t>
      </w:r>
      <w:r w:rsidRPr="00605125">
        <w:tab/>
      </w:r>
      <w:r w:rsidRPr="00513D23">
        <w:t>All activities are subject to independent inspection or audit to confirm compliance with prescribed activity requirements.</w:t>
      </w:r>
      <w:r w:rsidR="007E00DF" w:rsidRPr="00513D23">
        <w:t xml:space="preserve"> </w:t>
      </w:r>
    </w:p>
    <w:p w14:paraId="5840C315" w14:textId="77777777" w:rsidR="00605125" w:rsidRPr="00605125" w:rsidRDefault="00605125" w:rsidP="00611708">
      <w:pPr>
        <w:pStyle w:val="Sectionheading3"/>
      </w:pPr>
      <w:r w:rsidRPr="00605125">
        <w:t xml:space="preserve">Installed </w:t>
      </w:r>
      <w:r w:rsidRPr="00605125">
        <w:rPr>
          <w:szCs w:val="22"/>
        </w:rPr>
        <w:t>product</w:t>
      </w:r>
      <w:r w:rsidRPr="00605125">
        <w:t xml:space="preserve"> requirements  </w:t>
      </w:r>
    </w:p>
    <w:p w14:paraId="4788EE12" w14:textId="77777777" w:rsidR="00605125" w:rsidRPr="008608BA" w:rsidRDefault="00BC076B" w:rsidP="00611708">
      <w:pPr>
        <w:pStyle w:val="BodytextEEIS"/>
      </w:pPr>
      <w:bookmarkStart w:id="165" w:name="_Hlk8208243"/>
      <w:r>
        <w:t>An installed product must be a high efficiency central air conditioning heat pump that</w:t>
      </w:r>
      <w:r w:rsidR="00260CC5">
        <w:t>—</w:t>
      </w:r>
      <w:bookmarkEnd w:id="165"/>
    </w:p>
    <w:p w14:paraId="6B220287" w14:textId="77777777" w:rsidR="00882308" w:rsidRDefault="008B3EB3" w:rsidP="00D633D3">
      <w:pPr>
        <w:pStyle w:val="Subdetailsfirstindent"/>
        <w:numPr>
          <w:ilvl w:val="0"/>
          <w:numId w:val="48"/>
        </w:numPr>
      </w:pPr>
      <w:r>
        <w:t xml:space="preserve">is </w:t>
      </w:r>
      <w:r w:rsidR="00882308" w:rsidRPr="00970AD2">
        <w:t xml:space="preserve">listed in the register of products for the activity; </w:t>
      </w:r>
    </w:p>
    <w:p w14:paraId="12C7D4A8" w14:textId="77777777" w:rsidR="008B3EB3" w:rsidRPr="007D61DE" w:rsidRDefault="008B3EB3" w:rsidP="00D633D3">
      <w:pPr>
        <w:pStyle w:val="Subdetailsfirstindent"/>
        <w:numPr>
          <w:ilvl w:val="0"/>
          <w:numId w:val="48"/>
        </w:numPr>
      </w:pPr>
      <w:bookmarkStart w:id="166" w:name="_Hlk8208471"/>
      <w:r w:rsidRPr="007D61DE">
        <w:t>ha</w:t>
      </w:r>
      <w:r w:rsidR="008C38A6">
        <w:t>s</w:t>
      </w:r>
      <w:r w:rsidRPr="007D61DE">
        <w:t xml:space="preserve"> </w:t>
      </w:r>
      <w:bookmarkStart w:id="167" w:name="_Hlk8208456"/>
      <w:r w:rsidRPr="007D61DE">
        <w:t xml:space="preserve">a minimum product warranty of </w:t>
      </w:r>
      <w:r w:rsidR="00260CC5">
        <w:t>two</w:t>
      </w:r>
      <w:r w:rsidRPr="007D61DE">
        <w:t xml:space="preserve"> years</w:t>
      </w:r>
      <w:r w:rsidR="008B1A35">
        <w:t xml:space="preserve">; </w:t>
      </w:r>
      <w:bookmarkEnd w:id="166"/>
    </w:p>
    <w:bookmarkEnd w:id="167"/>
    <w:p w14:paraId="1735DBD1" w14:textId="77777777" w:rsidR="00882308" w:rsidRPr="00611708" w:rsidRDefault="00882308" w:rsidP="00D633D3">
      <w:pPr>
        <w:pStyle w:val="Subdetailsfirstindent"/>
        <w:numPr>
          <w:ilvl w:val="0"/>
          <w:numId w:val="48"/>
        </w:numPr>
        <w:rPr>
          <w:b/>
          <w:u w:val="single"/>
        </w:rPr>
      </w:pPr>
      <w:r>
        <w:t>co</w:t>
      </w:r>
      <w:r w:rsidRPr="008608BA">
        <w:t>mplies with Minimum Energy Performance Standard (MEPS) requirements (AS/NZS</w:t>
      </w:r>
      <w:r w:rsidRPr="00605125">
        <w:t xml:space="preserve"> 3823); </w:t>
      </w:r>
    </w:p>
    <w:p w14:paraId="083EAFE7" w14:textId="77777777" w:rsidR="00882308" w:rsidRPr="00611708" w:rsidRDefault="00882308" w:rsidP="00D633D3">
      <w:pPr>
        <w:pStyle w:val="Subdetailsfirstindent"/>
        <w:numPr>
          <w:ilvl w:val="0"/>
          <w:numId w:val="48"/>
        </w:numPr>
        <w:rPr>
          <w:szCs w:val="22"/>
        </w:rPr>
      </w:pPr>
      <w:bookmarkStart w:id="168" w:name="_Hlk8208588"/>
      <w:r w:rsidRPr="00605125">
        <w:t xml:space="preserve">is capable of heating an area that is comparable to the system being replaced (where applicable); </w:t>
      </w:r>
      <w:bookmarkEnd w:id="168"/>
    </w:p>
    <w:p w14:paraId="67EEF5A0" w14:textId="77777777" w:rsidR="009C6F8C" w:rsidRPr="00605125" w:rsidRDefault="005E75B9" w:rsidP="00D633D3">
      <w:pPr>
        <w:pStyle w:val="Subdetailsfirstindent"/>
        <w:numPr>
          <w:ilvl w:val="0"/>
          <w:numId w:val="48"/>
        </w:numPr>
      </w:pPr>
      <w:r>
        <w:t>where the installation includes</w:t>
      </w:r>
      <w:r w:rsidR="00596759" w:rsidRPr="00CC33D2">
        <w:t xml:space="preserve"> </w:t>
      </w:r>
      <w:r>
        <w:t xml:space="preserve">new </w:t>
      </w:r>
      <w:r w:rsidR="00596759" w:rsidRPr="00CC33D2">
        <w:t>central ducted or central non-ducted</w:t>
      </w:r>
      <w:r w:rsidR="00596759">
        <w:t xml:space="preserve"> systems</w:t>
      </w:r>
      <w:r w:rsidR="00260CC5">
        <w:t>—</w:t>
      </w:r>
      <w:r w:rsidR="009C6F8C" w:rsidRPr="00605125">
        <w:t xml:space="preserve"> </w:t>
      </w:r>
    </w:p>
    <w:p w14:paraId="5551EA9E" w14:textId="77777777" w:rsidR="00775EC3" w:rsidRPr="00EF4A04" w:rsidRDefault="00775EC3" w:rsidP="00D633D3">
      <w:pPr>
        <w:pStyle w:val="Subdetailssecondindent"/>
        <w:numPr>
          <w:ilvl w:val="0"/>
          <w:numId w:val="49"/>
        </w:numPr>
      </w:pPr>
      <w:r w:rsidRPr="00605125">
        <w:t>has a minimum rated heating capacity of 10 kW at H1 condition (AS/NZS 3823, AS/NZS 3823 or AS/NZS 3823 as applicable); and</w:t>
      </w:r>
    </w:p>
    <w:p w14:paraId="42A29407" w14:textId="77777777" w:rsidR="00605125" w:rsidRPr="00E02F27" w:rsidRDefault="00605125" w:rsidP="00611708">
      <w:pPr>
        <w:pStyle w:val="Subdetailssecondindent"/>
        <w:rPr>
          <w:b/>
          <w:u w:val="single"/>
        </w:rPr>
      </w:pPr>
      <w:r w:rsidRPr="00E02F27">
        <w:t xml:space="preserve">achieves a minimum </w:t>
      </w:r>
      <w:r w:rsidR="00A61326">
        <w:t>a</w:t>
      </w:r>
      <w:r w:rsidR="00ED221E" w:rsidRPr="00E02F27">
        <w:t xml:space="preserve">nnual </w:t>
      </w:r>
      <w:r w:rsidR="00A61326">
        <w:t>c</w:t>
      </w:r>
      <w:r w:rsidR="00ED221E" w:rsidRPr="00E02F27">
        <w:t xml:space="preserve">oefficient </w:t>
      </w:r>
      <w:r w:rsidR="00976D9F">
        <w:t>of</w:t>
      </w:r>
      <w:r w:rsidR="00ED221E" w:rsidRPr="00E02F27">
        <w:t xml:space="preserve"> </w:t>
      </w:r>
      <w:r w:rsidR="00A61326">
        <w:t>p</w:t>
      </w:r>
      <w:r w:rsidR="00ED221E" w:rsidRPr="00E02F27">
        <w:t xml:space="preserve">erformance </w:t>
      </w:r>
      <w:r w:rsidRPr="00E02F27">
        <w:t xml:space="preserve">(ACOP) of either: </w:t>
      </w:r>
    </w:p>
    <w:p w14:paraId="7215A835" w14:textId="77777777" w:rsidR="00945CAE" w:rsidRPr="00C87CF4" w:rsidRDefault="00945CAE" w:rsidP="00611708">
      <w:pPr>
        <w:pStyle w:val="Subdetailsthirdindent"/>
        <w:rPr>
          <w:u w:val="single"/>
        </w:rPr>
      </w:pPr>
      <w:r w:rsidRPr="00E02F27">
        <w:t>3.7</w:t>
      </w:r>
      <w:r w:rsidRPr="00E02F27" w:rsidDel="000F2149">
        <w:t xml:space="preserve"> </w:t>
      </w:r>
      <w:r w:rsidRPr="00E02F27">
        <w:t xml:space="preserve">at condition H1 (AS/NZS 3823) </w:t>
      </w:r>
      <w:r w:rsidRPr="00C87CF4">
        <w:t xml:space="preserve">for systems </w:t>
      </w:r>
      <w:r w:rsidR="007E03D3">
        <w:t xml:space="preserve">with </w:t>
      </w:r>
      <w:r w:rsidR="00DA24CE">
        <w:t>1</w:t>
      </w:r>
      <w:r w:rsidRPr="00C87CF4">
        <w:t>0</w:t>
      </w:r>
      <w:r w:rsidR="007E03D3">
        <w:t>kW</w:t>
      </w:r>
      <w:r w:rsidRPr="00C87CF4">
        <w:t xml:space="preserve"> </w:t>
      </w:r>
      <w:r w:rsidR="007E03D3">
        <w:t xml:space="preserve">and above in </w:t>
      </w:r>
      <w:r w:rsidRPr="00C87CF4">
        <w:t>heat capacity; or</w:t>
      </w:r>
    </w:p>
    <w:p w14:paraId="43E2E706" w14:textId="77777777" w:rsidR="00945CAE" w:rsidRPr="00C87CF4" w:rsidRDefault="00945CAE" w:rsidP="00611708">
      <w:pPr>
        <w:pStyle w:val="Subdetailsthirdindent"/>
        <w:rPr>
          <w:u w:val="single"/>
        </w:rPr>
      </w:pPr>
      <w:r w:rsidRPr="00C87CF4">
        <w:t>3.3 at condition H1 (AS/NZS 3823) for systems with 14</w:t>
      </w:r>
      <w:r w:rsidR="00D85178" w:rsidRPr="00C9272B">
        <w:t>kW</w:t>
      </w:r>
      <w:r w:rsidR="006D5B9A" w:rsidRPr="00C87CF4">
        <w:t xml:space="preserve"> </w:t>
      </w:r>
      <w:r w:rsidR="007E03D3">
        <w:t xml:space="preserve">and above in </w:t>
      </w:r>
      <w:r w:rsidRPr="00C87CF4">
        <w:t xml:space="preserve">heat capacity and 3.1 at condition H1 (AS/NZS 3823) for systems with 22kW </w:t>
      </w:r>
      <w:r w:rsidR="007E03D3">
        <w:t xml:space="preserve">and above in </w:t>
      </w:r>
      <w:r w:rsidRPr="00C87CF4">
        <w:t xml:space="preserve">heat capacity provided that: </w:t>
      </w:r>
    </w:p>
    <w:p w14:paraId="72C5AF10" w14:textId="77777777" w:rsidR="00945CAE" w:rsidRPr="00E02F27" w:rsidRDefault="00444594" w:rsidP="00611708">
      <w:pPr>
        <w:pStyle w:val="Subdetailsfourthindent"/>
      </w:pPr>
      <w:r>
        <w:t>t</w:t>
      </w:r>
      <w:r w:rsidRPr="00E02F27">
        <w:t xml:space="preserve">he </w:t>
      </w:r>
      <w:r w:rsidR="00945CAE" w:rsidRPr="00E02F27">
        <w:t>installation is to replace a</w:t>
      </w:r>
      <w:r w:rsidR="00611377">
        <w:t xml:space="preserve"> </w:t>
      </w:r>
      <w:r w:rsidR="00945CAE" w:rsidRPr="00E02F27">
        <w:t>pre-existing heat</w:t>
      </w:r>
      <w:r w:rsidR="00947C07">
        <w:t>ing condition</w:t>
      </w:r>
      <w:r w:rsidR="00FB3641">
        <w:t xml:space="preserve"> of </w:t>
      </w:r>
      <w:r w:rsidR="00260CC5">
        <w:t>2.1.</w:t>
      </w:r>
      <w:r w:rsidR="00FB3641">
        <w:t>1.1(</w:t>
      </w:r>
      <w:r w:rsidR="00260CC5">
        <w:t>a</w:t>
      </w:r>
      <w:r w:rsidR="00FB3641">
        <w:t xml:space="preserve">), </w:t>
      </w:r>
      <w:r w:rsidR="00260CC5">
        <w:t>2.1.</w:t>
      </w:r>
      <w:r w:rsidR="00FB3641">
        <w:t>1.1(</w:t>
      </w:r>
      <w:r w:rsidR="00260CC5">
        <w:t>b</w:t>
      </w:r>
      <w:r w:rsidR="00FB3641">
        <w:t xml:space="preserve">) </w:t>
      </w:r>
      <w:r w:rsidR="00C43E67">
        <w:t>or</w:t>
      </w:r>
      <w:r w:rsidR="00FB3641">
        <w:t xml:space="preserve"> </w:t>
      </w:r>
      <w:r w:rsidR="00260CC5">
        <w:t>2.1.</w:t>
      </w:r>
      <w:r w:rsidR="00FB3641">
        <w:t>1.1(</w:t>
      </w:r>
      <w:r w:rsidR="00260CC5">
        <w:t>c</w:t>
      </w:r>
      <w:r w:rsidR="00FB3641">
        <w:t xml:space="preserve">) as defined in section </w:t>
      </w:r>
      <w:r w:rsidR="00260CC5">
        <w:t>2.1.</w:t>
      </w:r>
      <w:r w:rsidR="00FB3641">
        <w:t>1</w:t>
      </w:r>
      <w:r w:rsidR="00244EBF">
        <w:t xml:space="preserve">; </w:t>
      </w:r>
    </w:p>
    <w:p w14:paraId="24D9E982" w14:textId="77777777" w:rsidR="00444594" w:rsidRPr="00C87CF4" w:rsidRDefault="00945CAE" w:rsidP="00611708">
      <w:pPr>
        <w:pStyle w:val="Subdetailsfourthindent"/>
        <w:rPr>
          <w:u w:val="single"/>
        </w:rPr>
      </w:pPr>
      <w:r w:rsidRPr="00C87CF4">
        <w:t>the installation is to serve a conditioned floor area of not less than 70m</w:t>
      </w:r>
      <w:r w:rsidRPr="00C87CF4">
        <w:rPr>
          <w:vertAlign w:val="superscript"/>
        </w:rPr>
        <w:t xml:space="preserve">2 </w:t>
      </w:r>
      <w:r w:rsidRPr="00C87CF4">
        <w:t xml:space="preserve">for systems </w:t>
      </w:r>
      <w:r w:rsidR="007E03D3">
        <w:t xml:space="preserve">14kW and above in heat capacity </w:t>
      </w:r>
      <w:r w:rsidRPr="00C87CF4">
        <w:t>and not less than 120m</w:t>
      </w:r>
      <w:r w:rsidRPr="00C87CF4">
        <w:rPr>
          <w:vertAlign w:val="superscript"/>
        </w:rPr>
        <w:t>2</w:t>
      </w:r>
      <w:r w:rsidRPr="00C87CF4">
        <w:t xml:space="preserve"> for systems </w:t>
      </w:r>
      <w:r w:rsidR="006D5B9A" w:rsidRPr="00C87CF4">
        <w:t xml:space="preserve">22kW </w:t>
      </w:r>
      <w:r w:rsidR="00244EBF">
        <w:t xml:space="preserve">and above in </w:t>
      </w:r>
      <w:r w:rsidR="006D5B9A" w:rsidRPr="00C87CF4">
        <w:t>heat capacity</w:t>
      </w:r>
      <w:r w:rsidRPr="00C87CF4">
        <w:t>;</w:t>
      </w:r>
    </w:p>
    <w:p w14:paraId="56DFDAE5" w14:textId="77777777" w:rsidR="00605125" w:rsidRPr="00605125" w:rsidRDefault="00605125" w:rsidP="00611708">
      <w:pPr>
        <w:pStyle w:val="Subdetailsfourthindent"/>
        <w:rPr>
          <w:szCs w:val="22"/>
          <w:u w:val="single"/>
        </w:rPr>
      </w:pPr>
      <w:r w:rsidRPr="00D92A45">
        <w:rPr>
          <w:szCs w:val="22"/>
        </w:rPr>
        <w:t xml:space="preserve">the </w:t>
      </w:r>
      <w:r w:rsidRPr="00D92A45">
        <w:t>unit has been tested and registered for low temperature performance under condition H2 and meets the requirements of AS/NZS</w:t>
      </w:r>
      <w:r w:rsidR="00680FEA">
        <w:t xml:space="preserve"> </w:t>
      </w:r>
      <w:r w:rsidRPr="00D92A45">
        <w:t>3823</w:t>
      </w:r>
      <w:r w:rsidR="00C60ACA">
        <w:t xml:space="preserve"> (see note 2 and note 3 below)</w:t>
      </w:r>
      <w:r w:rsidRPr="00D92A45">
        <w:t>; and</w:t>
      </w:r>
    </w:p>
    <w:p w14:paraId="64DD65A5" w14:textId="77777777" w:rsidR="006C5FB1" w:rsidRPr="00FC5C72" w:rsidRDefault="006C5FB1" w:rsidP="00611708">
      <w:pPr>
        <w:pStyle w:val="Subdetailsfourthindent"/>
      </w:pPr>
      <w:r w:rsidRPr="00FC5C72">
        <w:t>the installed unit has mandatory variable speed compressor(s), where such products are available</w:t>
      </w:r>
      <w:r w:rsidR="00A95988">
        <w:t>; and</w:t>
      </w:r>
    </w:p>
    <w:p w14:paraId="1C915EB5" w14:textId="77777777" w:rsidR="006C5FB1" w:rsidRPr="00C87CF4" w:rsidRDefault="005E75B9" w:rsidP="00611708">
      <w:pPr>
        <w:pStyle w:val="Subdetailsfirstindent"/>
      </w:pPr>
      <w:bookmarkStart w:id="169" w:name="_Hlk9497414"/>
      <w:r>
        <w:t xml:space="preserve">where the installation includes </w:t>
      </w:r>
      <w:r w:rsidR="00DA7A6C">
        <w:t xml:space="preserve">multiple </w:t>
      </w:r>
      <w:r w:rsidR="0012799D">
        <w:t>room heat pumps</w:t>
      </w:r>
      <w:r w:rsidR="00260CC5">
        <w:t>—</w:t>
      </w:r>
    </w:p>
    <w:p w14:paraId="0FEB1196" w14:textId="77777777" w:rsidR="006C5FB1" w:rsidRPr="00970AD2" w:rsidRDefault="006C5FB1" w:rsidP="00D633D3">
      <w:pPr>
        <w:pStyle w:val="Subdetailssecondindent"/>
        <w:numPr>
          <w:ilvl w:val="0"/>
          <w:numId w:val="50"/>
        </w:numPr>
      </w:pPr>
      <w:r w:rsidRPr="00970AD2">
        <w:t xml:space="preserve">achieves a minimum annual coefficient of performance (ACOP) of either: </w:t>
      </w:r>
    </w:p>
    <w:p w14:paraId="480E5413" w14:textId="77777777" w:rsidR="006C5FB1" w:rsidRPr="00265F43" w:rsidRDefault="006C5FB1" w:rsidP="00D633D3">
      <w:pPr>
        <w:pStyle w:val="Subdetailsthirdindent"/>
        <w:numPr>
          <w:ilvl w:val="0"/>
          <w:numId w:val="52"/>
        </w:numPr>
        <w:rPr>
          <w:u w:val="single"/>
        </w:rPr>
      </w:pPr>
      <w:r w:rsidRPr="00970AD2">
        <w:t>4.0</w:t>
      </w:r>
      <w:r w:rsidRPr="00970AD2" w:rsidDel="000F2149">
        <w:t xml:space="preserve"> </w:t>
      </w:r>
      <w:r w:rsidRPr="00970AD2">
        <w:t>at condition H1 (AS/NZS 3823); or</w:t>
      </w:r>
    </w:p>
    <w:p w14:paraId="68BC39A9" w14:textId="77777777" w:rsidR="006C5FB1" w:rsidRPr="003E452D" w:rsidRDefault="006C5FB1" w:rsidP="00265F43">
      <w:pPr>
        <w:pStyle w:val="Subdetailsthirdindent"/>
        <w:rPr>
          <w:sz w:val="18"/>
          <w:szCs w:val="18"/>
        </w:rPr>
      </w:pPr>
      <w:r w:rsidRPr="0043352E">
        <w:t xml:space="preserve">3.8 at condition H1 (AS/NZS 3823) provided that: </w:t>
      </w:r>
    </w:p>
    <w:p w14:paraId="17FD03A8" w14:textId="77777777" w:rsidR="006C5FB1" w:rsidRPr="00970AD2" w:rsidRDefault="00260CC5" w:rsidP="00D633D3">
      <w:pPr>
        <w:pStyle w:val="Subdetailsfourthindent"/>
        <w:numPr>
          <w:ilvl w:val="0"/>
          <w:numId w:val="53"/>
        </w:numPr>
      </w:pPr>
      <w:r>
        <w:t>t</w:t>
      </w:r>
      <w:r w:rsidR="006C5FB1" w:rsidRPr="00970AD2">
        <w:t xml:space="preserve">he installation is to replace a pre-existing </w:t>
      </w:r>
      <w:r w:rsidR="00C43E67" w:rsidRPr="00E02F27">
        <w:t>heat</w:t>
      </w:r>
      <w:r w:rsidR="00C43E67">
        <w:t xml:space="preserve">ing condition of </w:t>
      </w:r>
      <w:r>
        <w:t>2.1.</w:t>
      </w:r>
      <w:r w:rsidR="00C43E67">
        <w:t>1.1(</w:t>
      </w:r>
      <w:r>
        <w:t>a</w:t>
      </w:r>
      <w:r w:rsidR="00C43E67">
        <w:t xml:space="preserve">), </w:t>
      </w:r>
      <w:r>
        <w:t>2.1.</w:t>
      </w:r>
      <w:r w:rsidR="00C43E67">
        <w:t>1.1(</w:t>
      </w:r>
      <w:r>
        <w:t>b</w:t>
      </w:r>
      <w:r w:rsidR="00C43E67">
        <w:t xml:space="preserve">) or </w:t>
      </w:r>
      <w:r>
        <w:t>2.1.</w:t>
      </w:r>
      <w:r w:rsidR="00C43E67">
        <w:t>1.1(</w:t>
      </w:r>
      <w:r>
        <w:t>c</w:t>
      </w:r>
      <w:r w:rsidR="00C43E67">
        <w:t xml:space="preserve">) as defined in section </w:t>
      </w:r>
      <w:r>
        <w:t>2.1.</w:t>
      </w:r>
      <w:r w:rsidR="00C43E67">
        <w:t>1</w:t>
      </w:r>
      <w:r w:rsidR="00882308">
        <w:t xml:space="preserve">; </w:t>
      </w:r>
    </w:p>
    <w:p w14:paraId="6081EFCA" w14:textId="77777777" w:rsidR="006C5FB1" w:rsidRPr="00970AD2" w:rsidRDefault="006C5FB1" w:rsidP="00265F43">
      <w:pPr>
        <w:pStyle w:val="Subdetailsfourthindent"/>
      </w:pPr>
      <w:r w:rsidRPr="00970AD2">
        <w:lastRenderedPageBreak/>
        <w:t>the installation is to serve a conditioned floor area of not less</w:t>
      </w:r>
      <w:r w:rsidR="00FB32BB">
        <w:t xml:space="preserve"> </w:t>
      </w:r>
      <w:r w:rsidRPr="00970AD2">
        <w:t>than 55</w:t>
      </w:r>
      <w:r w:rsidR="000B73F2" w:rsidRPr="00762A56">
        <w:t>m</w:t>
      </w:r>
      <w:r w:rsidR="000B73F2" w:rsidRPr="00762A56">
        <w:rPr>
          <w:vertAlign w:val="superscript"/>
        </w:rPr>
        <w:t>2</w:t>
      </w:r>
      <w:r w:rsidR="000B73F2">
        <w:t>;</w:t>
      </w:r>
      <w:r w:rsidRPr="00970AD2">
        <w:t xml:space="preserve"> </w:t>
      </w:r>
    </w:p>
    <w:p w14:paraId="73D8F537" w14:textId="77777777" w:rsidR="006C5FB1" w:rsidRDefault="006C5FB1" w:rsidP="00265F43">
      <w:pPr>
        <w:pStyle w:val="Subdetailsfourthindent"/>
      </w:pPr>
      <w:r w:rsidRPr="00970AD2">
        <w:t>the unit has been tested and registered for low temperature performance under condition H2 and meets the requirements of AS/NZS</w:t>
      </w:r>
      <w:r w:rsidR="00680FEA">
        <w:t xml:space="preserve"> </w:t>
      </w:r>
      <w:r w:rsidRPr="00970AD2">
        <w:t>3823; and</w:t>
      </w:r>
    </w:p>
    <w:p w14:paraId="65444134" w14:textId="77777777" w:rsidR="006C5FB1" w:rsidRDefault="006C5FB1" w:rsidP="00265F43">
      <w:pPr>
        <w:pStyle w:val="Subdetailsfourthindent"/>
      </w:pPr>
      <w:r w:rsidRPr="00FC5C72">
        <w:t>the unit has a minimum heating capacity of 7 kW at H1 condition (AS/NZS 3823 as applicable)</w:t>
      </w:r>
      <w:r w:rsidR="001534BD">
        <w:t>; and</w:t>
      </w:r>
    </w:p>
    <w:p w14:paraId="06865C68" w14:textId="77777777" w:rsidR="00975943" w:rsidRPr="00A54DFD" w:rsidRDefault="00975943" w:rsidP="00611708">
      <w:pPr>
        <w:pStyle w:val="Subdetailssecondindent"/>
      </w:pPr>
      <w:bookmarkStart w:id="170" w:name="_Hlk8728097"/>
      <w:r>
        <w:t>h</w:t>
      </w:r>
      <w:r w:rsidRPr="00A54DFD">
        <w:t>as “built-in” demand response capability, for systems &lt;15kW heat capacity, in accordance with AS 4755. In either heating or cooling mode, the device must be capable of operating in DR modes 1, plus mode 2 and/or 3 as defined in AS</w:t>
      </w:r>
      <w:r w:rsidR="00680FEA">
        <w:t xml:space="preserve"> </w:t>
      </w:r>
      <w:r w:rsidRPr="00A54DFD">
        <w:t>4755.</w:t>
      </w:r>
      <w:bookmarkEnd w:id="170"/>
    </w:p>
    <w:bookmarkEnd w:id="169"/>
    <w:p w14:paraId="6B93C690" w14:textId="77777777" w:rsidR="007E00DF" w:rsidRPr="00C87CF4" w:rsidRDefault="007E00DF" w:rsidP="00611708">
      <w:pPr>
        <w:pStyle w:val="Notesandexamples"/>
      </w:pPr>
      <w:r w:rsidRPr="00A54DFD">
        <w:t>Note</w:t>
      </w:r>
      <w:r w:rsidR="00260CC5">
        <w:t xml:space="preserve"> </w:t>
      </w:r>
      <w:r w:rsidR="00AA2297" w:rsidRPr="00A54DFD">
        <w:t>1</w:t>
      </w:r>
      <w:r w:rsidR="0024735F">
        <w:tab/>
      </w:r>
      <w:r w:rsidR="0064167B" w:rsidRPr="00C87CF4">
        <w:t xml:space="preserve">Multiple heat pump units may be installed up to a maximum combined capacity </w:t>
      </w:r>
      <w:r w:rsidR="0064167B">
        <w:t>of 65kW for a single business space</w:t>
      </w:r>
      <w:r w:rsidR="0064167B" w:rsidRPr="00C87CF4">
        <w:t xml:space="preserve"> as required to meet the particular heating load. </w:t>
      </w:r>
      <w:r w:rsidRPr="00C87CF4">
        <w:t xml:space="preserve">These may be separate units or </w:t>
      </w:r>
      <w:r w:rsidR="00DA7A6C">
        <w:t>central non-ducted</w:t>
      </w:r>
      <w:r w:rsidRPr="00C87CF4">
        <w:t xml:space="preserve"> units provided each unit complies with the eligibility criteria above.</w:t>
      </w:r>
    </w:p>
    <w:p w14:paraId="1F3578C7" w14:textId="77777777" w:rsidR="00882308" w:rsidRDefault="00882308" w:rsidP="00611708">
      <w:pPr>
        <w:pStyle w:val="Notesandexamples"/>
      </w:pPr>
      <w:r w:rsidRPr="00A54DFD">
        <w:t xml:space="preserve">Note </w:t>
      </w:r>
      <w:r w:rsidR="00AA2297" w:rsidRPr="00A54DFD">
        <w:t>2</w:t>
      </w:r>
      <w:r w:rsidRPr="00C9272B">
        <w:t xml:space="preserve"> </w:t>
      </w:r>
      <w:r w:rsidR="00C60ACA">
        <w:tab/>
      </w:r>
      <w:r w:rsidRPr="00C9272B">
        <w:t xml:space="preserve">The H2 test result can be evidenced, without need for any additional testing via: </w:t>
      </w:r>
    </w:p>
    <w:p w14:paraId="61672483" w14:textId="77777777" w:rsidR="00882308" w:rsidRPr="00C9272B" w:rsidRDefault="00F54389" w:rsidP="00D633D3">
      <w:pPr>
        <w:pStyle w:val="Notesandexamples"/>
        <w:numPr>
          <w:ilvl w:val="0"/>
          <w:numId w:val="158"/>
        </w:numPr>
      </w:pPr>
      <w:r>
        <w:t>t</w:t>
      </w:r>
      <w:r w:rsidR="00882308" w:rsidRPr="00C9272B">
        <w:t>he product’s H2 test result in the GEMS/E3 air-conditioning database (</w:t>
      </w:r>
      <w:hyperlink r:id="rId10" w:history="1">
        <w:r w:rsidRPr="0070615C">
          <w:rPr>
            <w:rStyle w:val="Hyperlink"/>
            <w:rFonts w:cs="Arial"/>
          </w:rPr>
          <w:t>https://data.gov.au/dataset/energy-rating-for-household-appliances/resource/0973a476-eb0c-45e6-9a18-054f74307843</w:t>
        </w:r>
      </w:hyperlink>
      <w:r w:rsidR="00882308" w:rsidRPr="00C9272B">
        <w:t>)</w:t>
      </w:r>
      <w:r>
        <w:t>;</w:t>
      </w:r>
      <w:r w:rsidR="00882308" w:rsidRPr="00C9272B">
        <w:t xml:space="preserve"> </w:t>
      </w:r>
    </w:p>
    <w:p w14:paraId="4CF09499" w14:textId="77777777" w:rsidR="00882308" w:rsidRPr="00C9272B" w:rsidRDefault="00F54389" w:rsidP="00D633D3">
      <w:pPr>
        <w:pStyle w:val="Notesandexamples"/>
        <w:numPr>
          <w:ilvl w:val="0"/>
          <w:numId w:val="158"/>
        </w:numPr>
      </w:pPr>
      <w:r>
        <w:t>a</w:t>
      </w:r>
      <w:r w:rsidR="00882308" w:rsidRPr="00C9272B">
        <w:t>n AHRI certificate, being a certified test certificate from the Air-Conditioning, Heating, and Refrigeration Institute (</w:t>
      </w:r>
      <w:hyperlink r:id="rId11" w:history="1">
        <w:r w:rsidRPr="0070615C">
          <w:rPr>
            <w:rStyle w:val="Hyperlink"/>
            <w:rFonts w:cs="Arial"/>
          </w:rPr>
          <w:t>www.ahrinet.org</w:t>
        </w:r>
      </w:hyperlink>
      <w:r w:rsidR="00882308" w:rsidRPr="00C9272B">
        <w:t>)</w:t>
      </w:r>
      <w:r>
        <w:t>; or</w:t>
      </w:r>
    </w:p>
    <w:p w14:paraId="448197B6" w14:textId="77777777" w:rsidR="00882308" w:rsidRPr="00C9272B" w:rsidRDefault="00F54389" w:rsidP="00D633D3">
      <w:pPr>
        <w:pStyle w:val="Notesandexamples"/>
        <w:numPr>
          <w:ilvl w:val="0"/>
          <w:numId w:val="158"/>
        </w:numPr>
      </w:pPr>
      <w:r>
        <w:t>an</w:t>
      </w:r>
      <w:r w:rsidR="00882308" w:rsidRPr="00C9272B">
        <w:t xml:space="preserve"> Eurovent certificate, being a certified test certificate from the European Association of Air Handling and Refrigerating Equipment Manufacturers (</w:t>
      </w:r>
      <w:r w:rsidR="00882308" w:rsidRPr="00D37FE8">
        <w:rPr>
          <w:rStyle w:val="Hyperlink"/>
          <w:rFonts w:cs="Arial"/>
        </w:rPr>
        <w:t>www.eurovent-certification.com</w:t>
      </w:r>
      <w:r w:rsidR="00882308" w:rsidRPr="00C9272B">
        <w:t>)</w:t>
      </w:r>
      <w:r>
        <w:t>.</w:t>
      </w:r>
    </w:p>
    <w:p w14:paraId="3AA5EAB3" w14:textId="77777777" w:rsidR="00882308" w:rsidRPr="00C9272B" w:rsidRDefault="00882308" w:rsidP="00611708">
      <w:pPr>
        <w:pStyle w:val="Notesandexamples"/>
      </w:pPr>
      <w:r w:rsidRPr="00A54DFD">
        <w:t xml:space="preserve">Note </w:t>
      </w:r>
      <w:r w:rsidR="00AA2297" w:rsidRPr="00A54DFD">
        <w:t>3</w:t>
      </w:r>
      <w:r w:rsidRPr="00E02F27">
        <w:t xml:space="preserve"> </w:t>
      </w:r>
      <w:r w:rsidR="00C60ACA">
        <w:tab/>
      </w:r>
      <w:r w:rsidRPr="00E02F27">
        <w:t>Where</w:t>
      </w:r>
      <w:r w:rsidRPr="00C9272B">
        <w:t xml:space="preserve"> a product does not have a H2 test result, it does need an air enthalpy test or a truncated calorimeter room test spanning </w:t>
      </w:r>
      <w:r w:rsidR="00F54389">
        <w:t>three</w:t>
      </w:r>
      <w:r w:rsidRPr="00C9272B">
        <w:t xml:space="preserve"> complete defrost cycles. The use of calorimeter or air enthalpy for H2 tests are outlined in the relevant air conditioner type test standards of AS/NZS 3823. </w:t>
      </w:r>
    </w:p>
    <w:p w14:paraId="0A2996BE" w14:textId="1AFF78F3" w:rsidR="006C5FB1" w:rsidRDefault="00882308" w:rsidP="00611708">
      <w:pPr>
        <w:pStyle w:val="Notesandexamples"/>
      </w:pPr>
      <w:r w:rsidRPr="00A54DFD">
        <w:t xml:space="preserve">Note </w:t>
      </w:r>
      <w:r w:rsidR="00AA2297" w:rsidRPr="00A54DFD">
        <w:t>4</w:t>
      </w:r>
      <w:r w:rsidR="00C60ACA">
        <w:tab/>
      </w:r>
      <w:r w:rsidRPr="00FC5C72">
        <w:t xml:space="preserve">Products that have been tested and registered for low temperature performance under condition H2 and meet the requirements of </w:t>
      </w:r>
      <w:r w:rsidR="00060169">
        <w:t>c</w:t>
      </w:r>
      <w:r w:rsidRPr="00FC5C72">
        <w:t>lause 3.7 of AS/NZS</w:t>
      </w:r>
      <w:r w:rsidR="00680FEA">
        <w:t xml:space="preserve"> </w:t>
      </w:r>
      <w:r w:rsidRPr="00FC5C72">
        <w:t xml:space="preserve">3823 earn additional </w:t>
      </w:r>
      <w:r w:rsidR="0057710F">
        <w:t>energy savings</w:t>
      </w:r>
      <w:r w:rsidRPr="00FC5C72">
        <w:t>.</w:t>
      </w:r>
    </w:p>
    <w:p w14:paraId="7888B5F6" w14:textId="77777777" w:rsidR="009230D7" w:rsidRPr="00605125" w:rsidRDefault="009230D7" w:rsidP="00611708">
      <w:pPr>
        <w:pStyle w:val="Sectionheading3"/>
      </w:pPr>
      <w:r w:rsidRPr="00605125">
        <w:t xml:space="preserve">Time </w:t>
      </w:r>
      <w:r w:rsidR="00260CC5">
        <w:t>a</w:t>
      </w:r>
      <w:r w:rsidRPr="00605125">
        <w:t xml:space="preserve">ctivity is </w:t>
      </w:r>
      <w:r w:rsidR="00260CC5">
        <w:t>d</w:t>
      </w:r>
      <w:r w:rsidRPr="00605125">
        <w:t xml:space="preserve">eemed to be </w:t>
      </w:r>
      <w:r w:rsidR="00260CC5">
        <w:t>u</w:t>
      </w:r>
      <w:r w:rsidRPr="00605125">
        <w:t>ndertaken</w:t>
      </w:r>
    </w:p>
    <w:p w14:paraId="2FB98E63" w14:textId="77777777" w:rsidR="009230D7" w:rsidRPr="00605125" w:rsidRDefault="009230D7" w:rsidP="00611708">
      <w:pPr>
        <w:pStyle w:val="BodytextEEIS"/>
      </w:pPr>
      <w:r w:rsidRPr="00605125">
        <w:t>The activity is taken to be completed on the day all applicable prescribed activity requirements are completed, including but not limited to the disposal of any waste materials, lodgement of any statutory certifications for gas</w:t>
      </w:r>
      <w:r w:rsidR="00A95988">
        <w:t xml:space="preserve"> </w:t>
      </w:r>
      <w:r w:rsidRPr="00605125">
        <w:t xml:space="preserve">fitting work, the completed installation of the new appliance is completed and lodgement of any statutory certifications for electrical work. </w:t>
      </w:r>
    </w:p>
    <w:p w14:paraId="7C9834B8" w14:textId="55CFB17B" w:rsidR="009230D7" w:rsidRPr="00605125" w:rsidRDefault="009230D7" w:rsidP="00611708">
      <w:pPr>
        <w:pStyle w:val="Sectionheading3"/>
        <w:rPr>
          <w:u w:val="single"/>
        </w:rPr>
      </w:pPr>
      <w:r w:rsidRPr="00605125">
        <w:t xml:space="preserve">Calculation of </w:t>
      </w:r>
      <w:r w:rsidR="0057710F">
        <w:t>energy savings</w:t>
      </w:r>
      <w:r w:rsidRPr="00605125">
        <w:t xml:space="preserve"> factor</w:t>
      </w:r>
    </w:p>
    <w:p w14:paraId="762B5EFE" w14:textId="37B72A38" w:rsidR="009230D7" w:rsidRPr="00605125" w:rsidRDefault="009230D7" w:rsidP="001E56C2">
      <w:pPr>
        <w:pStyle w:val="BodytextEEIS"/>
      </w:pPr>
      <w:r w:rsidRPr="00605125">
        <w:t xml:space="preserve">The total </w:t>
      </w:r>
      <w:r w:rsidR="0057710F">
        <w:t>energy savings</w:t>
      </w:r>
      <w:r w:rsidRPr="00605125">
        <w:t xml:space="preserve"> factor in </w:t>
      </w:r>
      <w:r w:rsidR="00880CB1">
        <w:t>Megawatt-hours</w:t>
      </w:r>
      <w:r w:rsidR="0057710F">
        <w:t xml:space="preserve"> (MWh) </w:t>
      </w:r>
      <w:r w:rsidRPr="00605125">
        <w:t xml:space="preserve">saved in a premises for the activity is the relevant </w:t>
      </w:r>
      <w:r w:rsidR="0057710F">
        <w:t>energy savings</w:t>
      </w:r>
      <w:r w:rsidRPr="00605125">
        <w:t xml:space="preserve"> factor for the specified high efficiency central </w:t>
      </w:r>
      <w:r w:rsidR="00DA1950">
        <w:t xml:space="preserve"> </w:t>
      </w:r>
      <w:r w:rsidR="00E03CBD">
        <w:t>air conditioning heat pump</w:t>
      </w:r>
      <w:r w:rsidRPr="00605125">
        <w:t xml:space="preserve"> installed, exclusive of any </w:t>
      </w:r>
      <w:r w:rsidR="0057710F">
        <w:t>energy savings</w:t>
      </w:r>
      <w:r w:rsidRPr="00605125">
        <w:t xml:space="preserve"> factor calculated for insulation of ductwork under </w:t>
      </w:r>
      <w:r w:rsidR="00F54389">
        <w:t>section</w:t>
      </w:r>
      <w:r w:rsidR="00F54389" w:rsidRPr="00605125">
        <w:t xml:space="preserve"> </w:t>
      </w:r>
      <w:r w:rsidRPr="00605125">
        <w:t>2.4</w:t>
      </w:r>
      <w:r w:rsidR="004F30AA">
        <w:t>.5</w:t>
      </w:r>
      <w:r w:rsidRPr="00605125">
        <w:t xml:space="preserve"> where required, is determined by using the equations prescribed in this section.</w:t>
      </w:r>
    </w:p>
    <w:p w14:paraId="78E822B1" w14:textId="08DB7506" w:rsidR="009230D7" w:rsidRPr="00605125" w:rsidRDefault="009230D7" w:rsidP="00D633D3">
      <w:pPr>
        <w:pStyle w:val="Subdetailsfirstindent"/>
        <w:numPr>
          <w:ilvl w:val="0"/>
          <w:numId w:val="197"/>
        </w:numPr>
      </w:pPr>
      <w:r w:rsidRPr="00605125">
        <w:t xml:space="preserve">The </w:t>
      </w:r>
      <w:r w:rsidR="00BA31EE">
        <w:t>energy savings</w:t>
      </w:r>
      <w:r w:rsidRPr="00605125">
        <w:t xml:space="preserve"> factor is calculated as</w:t>
      </w:r>
      <w:r w:rsidRPr="006741CB">
        <w:rPr>
          <w:bCs/>
        </w:rPr>
        <w:t>—</w:t>
      </w:r>
    </w:p>
    <w:p w14:paraId="7C87DA35" w14:textId="55DD8416" w:rsidR="009230D7" w:rsidRPr="00605125" w:rsidRDefault="0057710F" w:rsidP="00FC0097">
      <w:pPr>
        <w:pStyle w:val="Formula"/>
      </w:pPr>
      <w:r>
        <w:t>Energy Savings</w:t>
      </w:r>
      <w:r w:rsidR="009230D7" w:rsidRPr="00605125">
        <w:t xml:space="preserve"> factor (t</w:t>
      </w:r>
      <w:r>
        <w:t>MWh</w:t>
      </w:r>
      <w:r w:rsidR="009230D7" w:rsidRPr="00605125">
        <w:t>) = [</w:t>
      </w:r>
      <w:r>
        <w:t>ESF</w:t>
      </w:r>
      <w:r w:rsidR="009230D7" w:rsidRPr="001E56C2">
        <w:rPr>
          <w:vertAlign w:val="subscript"/>
        </w:rPr>
        <w:t>fixed</w:t>
      </w:r>
      <w:r w:rsidR="009230D7" w:rsidRPr="00605125">
        <w:t xml:space="preserve"> + H2 + </w:t>
      </w:r>
      <w:r>
        <w:t>ESF</w:t>
      </w:r>
      <w:r w:rsidR="009230D7" w:rsidRPr="001E56C2">
        <w:rPr>
          <w:vertAlign w:val="subscript"/>
        </w:rPr>
        <w:t>var</w:t>
      </w:r>
      <w:r w:rsidR="009230D7" w:rsidRPr="00605125">
        <w:t xml:space="preserve"> × (ACOP–baseline)] × Capacity</w:t>
      </w:r>
    </w:p>
    <w:p w14:paraId="02CB117A" w14:textId="77777777" w:rsidR="009230D7" w:rsidRPr="004658CE" w:rsidRDefault="009230D7" w:rsidP="00265F43">
      <w:pPr>
        <w:pStyle w:val="BodytextEEIS"/>
      </w:pPr>
      <w:r w:rsidRPr="004658CE">
        <w:t>Where</w:t>
      </w:r>
      <w:r w:rsidR="00F54389">
        <w:t>—</w:t>
      </w:r>
    </w:p>
    <w:p w14:paraId="436A304A" w14:textId="4AC5A590" w:rsidR="00587934" w:rsidRDefault="0057710F" w:rsidP="00D633D3">
      <w:pPr>
        <w:pStyle w:val="Subdetailssecondindent"/>
        <w:numPr>
          <w:ilvl w:val="0"/>
          <w:numId w:val="54"/>
        </w:numPr>
      </w:pPr>
      <w:r>
        <w:rPr>
          <w:i/>
        </w:rPr>
        <w:t>ESF</w:t>
      </w:r>
      <w:r w:rsidR="009230D7" w:rsidRPr="00265F43">
        <w:rPr>
          <w:i/>
          <w:vertAlign w:val="subscript"/>
        </w:rPr>
        <w:t>fixed</w:t>
      </w:r>
      <w:r w:rsidR="009230D7" w:rsidRPr="00C87CF4">
        <w:t xml:space="preserve">, </w:t>
      </w:r>
      <w:r>
        <w:rPr>
          <w:i/>
        </w:rPr>
        <w:t>ESF</w:t>
      </w:r>
      <w:r w:rsidR="009230D7" w:rsidRPr="00265F43">
        <w:rPr>
          <w:i/>
          <w:vertAlign w:val="subscript"/>
        </w:rPr>
        <w:t>var</w:t>
      </w:r>
      <w:r w:rsidR="009230D7" w:rsidRPr="00C87CF4">
        <w:t xml:space="preserve"> and </w:t>
      </w:r>
      <w:r w:rsidR="009230D7" w:rsidRPr="00265F43">
        <w:rPr>
          <w:i/>
        </w:rPr>
        <w:t>baseline</w:t>
      </w:r>
      <w:r w:rsidR="009230D7" w:rsidRPr="00C87CF4">
        <w:t xml:space="preserve"> are the relevant values prescribed in</w:t>
      </w:r>
      <w:r w:rsidR="006C2A04">
        <w:t>:</w:t>
      </w:r>
      <w:r w:rsidR="009230D7" w:rsidRPr="00C87CF4">
        <w:t xml:space="preserve"> </w:t>
      </w:r>
    </w:p>
    <w:p w14:paraId="5BCB5ED9" w14:textId="77777777" w:rsidR="00587934" w:rsidRDefault="00707468" w:rsidP="00D633D3">
      <w:pPr>
        <w:pStyle w:val="Subdetailsthirdindent"/>
        <w:numPr>
          <w:ilvl w:val="0"/>
          <w:numId w:val="55"/>
        </w:numPr>
      </w:pPr>
      <w:r>
        <w:t>t</w:t>
      </w:r>
      <w:r w:rsidR="009230D7" w:rsidRPr="00C87CF4">
        <w:t xml:space="preserve">able </w:t>
      </w:r>
      <w:r w:rsidR="00F54389">
        <w:t xml:space="preserve">7 </w:t>
      </w:r>
      <w:r w:rsidR="009230D7" w:rsidRPr="00C87CF4">
        <w:t>(residential premises)</w:t>
      </w:r>
      <w:r w:rsidR="00587934">
        <w:t>;</w:t>
      </w:r>
      <w:r w:rsidR="009230D7" w:rsidRPr="00C87CF4">
        <w:t xml:space="preserve"> </w:t>
      </w:r>
    </w:p>
    <w:p w14:paraId="2402A51E" w14:textId="77777777" w:rsidR="00587934" w:rsidRDefault="00707468" w:rsidP="00265F43">
      <w:pPr>
        <w:pStyle w:val="Subdetailsthirdindent"/>
      </w:pPr>
      <w:r>
        <w:t>t</w:t>
      </w:r>
      <w:r w:rsidR="009230D7" w:rsidRPr="00C87CF4">
        <w:t xml:space="preserve">able </w:t>
      </w:r>
      <w:r w:rsidR="00F54389">
        <w:t>8</w:t>
      </w:r>
      <w:r w:rsidR="00587934" w:rsidRPr="00C87CF4">
        <w:t xml:space="preserve"> </w:t>
      </w:r>
      <w:r w:rsidR="009230D7" w:rsidRPr="00C87CF4">
        <w:t>(business premises – category 1)</w:t>
      </w:r>
      <w:r w:rsidR="00587934">
        <w:t>;</w:t>
      </w:r>
      <w:r w:rsidR="009230D7" w:rsidRPr="00C87CF4">
        <w:t xml:space="preserve"> </w:t>
      </w:r>
    </w:p>
    <w:p w14:paraId="14853429" w14:textId="77777777" w:rsidR="00587934" w:rsidRDefault="00707468" w:rsidP="00265F43">
      <w:pPr>
        <w:pStyle w:val="Subdetailsthirdindent"/>
      </w:pPr>
      <w:r>
        <w:t>t</w:t>
      </w:r>
      <w:r w:rsidR="009230D7" w:rsidRPr="00C87CF4">
        <w:t xml:space="preserve">able </w:t>
      </w:r>
      <w:r w:rsidR="00F54389">
        <w:t>9</w:t>
      </w:r>
      <w:r w:rsidR="00587934" w:rsidRPr="00C87CF4">
        <w:t xml:space="preserve"> </w:t>
      </w:r>
      <w:r w:rsidR="009230D7" w:rsidRPr="00C87CF4">
        <w:t>(business premises – category 2)</w:t>
      </w:r>
      <w:r w:rsidR="00587934">
        <w:t>;</w:t>
      </w:r>
      <w:r w:rsidR="009230D7" w:rsidRPr="00C87CF4">
        <w:t xml:space="preserve"> or</w:t>
      </w:r>
    </w:p>
    <w:p w14:paraId="552ECE94" w14:textId="77777777" w:rsidR="00587934" w:rsidRDefault="00707468" w:rsidP="00265F43">
      <w:pPr>
        <w:pStyle w:val="Subdetailsthirdindent"/>
      </w:pPr>
      <w:r>
        <w:lastRenderedPageBreak/>
        <w:t>t</w:t>
      </w:r>
      <w:r w:rsidR="009230D7" w:rsidRPr="00C87CF4">
        <w:t xml:space="preserve">able </w:t>
      </w:r>
      <w:r w:rsidR="00F54389">
        <w:t>10</w:t>
      </w:r>
      <w:r w:rsidR="00587934" w:rsidRPr="00C87CF4">
        <w:t xml:space="preserve"> </w:t>
      </w:r>
      <w:r w:rsidR="009230D7" w:rsidRPr="00C87CF4">
        <w:t xml:space="preserve">(business premises – category 3) </w:t>
      </w:r>
    </w:p>
    <w:p w14:paraId="7FB7DAC1" w14:textId="77777777" w:rsidR="009230D7" w:rsidRPr="00C87CF4" w:rsidRDefault="009230D7" w:rsidP="00DB63AE">
      <w:pPr>
        <w:pStyle w:val="BodytextEEIS"/>
        <w:ind w:left="1800"/>
      </w:pPr>
      <w:r w:rsidRPr="00C87CF4">
        <w:t xml:space="preserve">for the existing heater type (where applicable) and the new product type. </w:t>
      </w:r>
    </w:p>
    <w:p w14:paraId="4B5019E5" w14:textId="77777777" w:rsidR="007E00DF" w:rsidRPr="00C87CF4" w:rsidRDefault="009230D7" w:rsidP="00265F43">
      <w:pPr>
        <w:pStyle w:val="Subdetailssecondindent"/>
      </w:pPr>
      <w:r w:rsidRPr="007F0774">
        <w:rPr>
          <w:i/>
        </w:rPr>
        <w:t>ACOP</w:t>
      </w:r>
      <w:r w:rsidRPr="00C87CF4">
        <w:t xml:space="preserve"> is the </w:t>
      </w:r>
      <w:r w:rsidR="00FC2932">
        <w:t>a</w:t>
      </w:r>
      <w:r w:rsidRPr="00C87CF4">
        <w:t xml:space="preserve">nnual </w:t>
      </w:r>
      <w:r w:rsidR="00FC2932">
        <w:t>c</w:t>
      </w:r>
      <w:r w:rsidRPr="00C87CF4">
        <w:t xml:space="preserve">oefficient of </w:t>
      </w:r>
      <w:r w:rsidR="00FC2932">
        <w:t>p</w:t>
      </w:r>
      <w:r w:rsidRPr="00C87CF4">
        <w:t xml:space="preserve">erformance recorded for the installed model in the </w:t>
      </w:r>
      <w:r w:rsidR="00FC2932">
        <w:t>E</w:t>
      </w:r>
      <w:r w:rsidRPr="00C87CF4">
        <w:t>nergy Rating database for condition H1</w:t>
      </w:r>
      <w:r w:rsidR="007E00DF" w:rsidRPr="00C87CF4">
        <w:t xml:space="preserve">. In circumstances where the installed model consists of more than one unit (e.g. multiple </w:t>
      </w:r>
      <w:r w:rsidR="00D5263C">
        <w:t>room heat pumps</w:t>
      </w:r>
      <w:r w:rsidR="007E00DF" w:rsidRPr="00C87CF4">
        <w:t>) then the ACOP shall be calculated as follows:</w:t>
      </w:r>
    </w:p>
    <w:p w14:paraId="5AFE42BA" w14:textId="77777777" w:rsidR="007E00DF" w:rsidRPr="00C87CF4" w:rsidRDefault="007E00DF" w:rsidP="004E6867">
      <w:pPr>
        <w:pStyle w:val="Formula"/>
        <w:ind w:left="1843"/>
      </w:pPr>
      <w:r w:rsidRPr="00C87CF4">
        <w:t>ACOP = Σ (ACOP</w:t>
      </w:r>
      <w:r w:rsidRPr="00C87CF4">
        <w:rPr>
          <w:vertAlign w:val="subscript"/>
        </w:rPr>
        <w:t xml:space="preserve">1-n  </w:t>
      </w:r>
      <w:r w:rsidRPr="00C87CF4">
        <w:t>x  C</w:t>
      </w:r>
      <w:r w:rsidRPr="00C87CF4">
        <w:rPr>
          <w:vertAlign w:val="subscript"/>
        </w:rPr>
        <w:t>1-n</w:t>
      </w:r>
      <w:r w:rsidRPr="00C87CF4">
        <w:t>) / Σ (C</w:t>
      </w:r>
      <w:r w:rsidRPr="00C87CF4">
        <w:rPr>
          <w:vertAlign w:val="subscript"/>
        </w:rPr>
        <w:t>1-n</w:t>
      </w:r>
      <w:r w:rsidRPr="00C87CF4">
        <w:t>)</w:t>
      </w:r>
    </w:p>
    <w:p w14:paraId="6752BFEC" w14:textId="77777777" w:rsidR="007E00DF" w:rsidRPr="0061165E" w:rsidRDefault="007E00DF" w:rsidP="00DB63AE">
      <w:pPr>
        <w:pStyle w:val="BodytextEEIS"/>
        <w:ind w:left="1843"/>
      </w:pPr>
      <w:r w:rsidRPr="0061165E">
        <w:t>Where</w:t>
      </w:r>
      <w:r w:rsidR="00F54389">
        <w:t>—</w:t>
      </w:r>
      <w:r w:rsidRPr="0061165E">
        <w:t xml:space="preserve"> </w:t>
      </w:r>
    </w:p>
    <w:p w14:paraId="6C999F37" w14:textId="77777777" w:rsidR="004658CE" w:rsidRPr="004658CE" w:rsidRDefault="004658CE" w:rsidP="00D633D3">
      <w:pPr>
        <w:pStyle w:val="Subdetailsthirdindent"/>
        <w:numPr>
          <w:ilvl w:val="0"/>
          <w:numId w:val="56"/>
        </w:numPr>
      </w:pPr>
      <w:r w:rsidRPr="00DB63AE">
        <w:rPr>
          <w:i/>
          <w:iCs/>
        </w:rPr>
        <w:t>ACOP</w:t>
      </w:r>
      <w:r w:rsidRPr="00507DA4">
        <w:t xml:space="preserve"> </w:t>
      </w:r>
      <w:r w:rsidR="00F54389">
        <w:t>is t</w:t>
      </w:r>
      <w:r w:rsidRPr="00507DA4">
        <w:t>he weighted average ACOP of the individual units installed (units numbered 1 – n)</w:t>
      </w:r>
      <w:r w:rsidR="00F54389">
        <w:t>;</w:t>
      </w:r>
    </w:p>
    <w:p w14:paraId="5C7E030E" w14:textId="77777777" w:rsidR="004658CE" w:rsidRPr="0061165E" w:rsidRDefault="007E00DF" w:rsidP="00265F43">
      <w:pPr>
        <w:pStyle w:val="Subdetailsthirdindent"/>
      </w:pPr>
      <w:r w:rsidRPr="00DB63AE">
        <w:rPr>
          <w:i/>
          <w:iCs/>
          <w:szCs w:val="22"/>
        </w:rPr>
        <w:t>n</w:t>
      </w:r>
      <w:r w:rsidRPr="0061165E">
        <w:rPr>
          <w:szCs w:val="22"/>
        </w:rPr>
        <w:t xml:space="preserve"> </w:t>
      </w:r>
      <w:r w:rsidR="00F54389">
        <w:rPr>
          <w:szCs w:val="22"/>
        </w:rPr>
        <w:t>is</w:t>
      </w:r>
      <w:r w:rsidRPr="0061165E">
        <w:rPr>
          <w:szCs w:val="22"/>
        </w:rPr>
        <w:t xml:space="preserve"> the total number of units to be installed</w:t>
      </w:r>
      <w:r w:rsidR="00F54389">
        <w:rPr>
          <w:szCs w:val="22"/>
        </w:rPr>
        <w:t>;</w:t>
      </w:r>
    </w:p>
    <w:p w14:paraId="69481683" w14:textId="77777777" w:rsidR="004658CE" w:rsidRPr="00C87CF4" w:rsidRDefault="007E00DF" w:rsidP="00265F43">
      <w:pPr>
        <w:pStyle w:val="Subdetailsthirdindent"/>
      </w:pPr>
      <w:r w:rsidRPr="00DB63AE">
        <w:rPr>
          <w:i/>
          <w:iCs/>
          <w:szCs w:val="22"/>
        </w:rPr>
        <w:t>C</w:t>
      </w:r>
      <w:r w:rsidRPr="0061165E">
        <w:rPr>
          <w:szCs w:val="22"/>
        </w:rPr>
        <w:t xml:space="preserve"> </w:t>
      </w:r>
      <w:r w:rsidR="00F54389">
        <w:rPr>
          <w:szCs w:val="22"/>
        </w:rPr>
        <w:t>is</w:t>
      </w:r>
      <w:r w:rsidRPr="0061165E">
        <w:rPr>
          <w:szCs w:val="22"/>
        </w:rPr>
        <w:t xml:space="preserve"> the rated heating capacity of the installed model for condition H1 in kW for each of the individual units to be installed (numbered 1 – n)</w:t>
      </w:r>
      <w:r w:rsidR="00F54389">
        <w:rPr>
          <w:szCs w:val="22"/>
        </w:rPr>
        <w:t>;</w:t>
      </w:r>
    </w:p>
    <w:p w14:paraId="0D94850C" w14:textId="77777777" w:rsidR="009230D7" w:rsidRPr="005F602F" w:rsidRDefault="007E00DF" w:rsidP="00265F43">
      <w:pPr>
        <w:pStyle w:val="Subdetailsthirdindent"/>
        <w:rPr>
          <w:sz w:val="22"/>
        </w:rPr>
      </w:pPr>
      <w:r w:rsidRPr="00DB63AE">
        <w:rPr>
          <w:i/>
          <w:iCs/>
          <w:szCs w:val="22"/>
        </w:rPr>
        <w:t>Σ</w:t>
      </w:r>
      <w:r w:rsidRPr="00C87CF4">
        <w:rPr>
          <w:szCs w:val="22"/>
        </w:rPr>
        <w:t xml:space="preserve"> </w:t>
      </w:r>
      <w:r w:rsidR="00F54389">
        <w:rPr>
          <w:szCs w:val="22"/>
        </w:rPr>
        <w:t>is</w:t>
      </w:r>
      <w:r w:rsidRPr="00C87CF4">
        <w:rPr>
          <w:szCs w:val="22"/>
        </w:rPr>
        <w:t xml:space="preserve"> summate</w:t>
      </w:r>
      <w:r w:rsidR="00F54389">
        <w:rPr>
          <w:szCs w:val="22"/>
        </w:rPr>
        <w:t>.</w:t>
      </w:r>
    </w:p>
    <w:p w14:paraId="15C0CE97" w14:textId="1B6D6081" w:rsidR="004658CE" w:rsidRDefault="009230D7" w:rsidP="00265F43">
      <w:pPr>
        <w:pStyle w:val="Subdetailssecondindent"/>
      </w:pPr>
      <w:r w:rsidRPr="00EF01D1">
        <w:rPr>
          <w:i/>
        </w:rPr>
        <w:t>Capacity</w:t>
      </w:r>
      <w:r w:rsidRPr="00605125">
        <w:t xml:space="preserve"> is the rated heating capacity of the installed model</w:t>
      </w:r>
      <w:r w:rsidR="00D5263C">
        <w:t>/s</w:t>
      </w:r>
      <w:r w:rsidRPr="00605125">
        <w:t xml:space="preserve"> for condition H1 in kW</w:t>
      </w:r>
      <w:r w:rsidRPr="007D56A7">
        <w:t xml:space="preserve">. </w:t>
      </w:r>
      <w:r w:rsidR="007D56A7" w:rsidRPr="007D56A7">
        <w:t xml:space="preserve">For residential premises, where the capacity is greater than 30kW, the value of 30 is used in the equation of the </w:t>
      </w:r>
      <w:r w:rsidR="00BA31EE">
        <w:t>energy savings</w:t>
      </w:r>
      <w:r w:rsidR="007D56A7" w:rsidRPr="007D56A7">
        <w:t xml:space="preserve"> factor.</w:t>
      </w:r>
    </w:p>
    <w:p w14:paraId="20C2374C" w14:textId="4E1BEA83" w:rsidR="00605125" w:rsidRPr="00605125" w:rsidRDefault="009230D7" w:rsidP="0029090D">
      <w:pPr>
        <w:pStyle w:val="Subdetailssecondindent"/>
      </w:pPr>
      <w:r w:rsidRPr="00EF01D1">
        <w:rPr>
          <w:i/>
        </w:rPr>
        <w:t>H2</w:t>
      </w:r>
      <w:r w:rsidRPr="00605125">
        <w:t xml:space="preserve"> is a value of </w:t>
      </w:r>
      <w:r w:rsidRPr="006F06B0">
        <w:t>0.</w:t>
      </w:r>
      <w:r w:rsidR="00437C49" w:rsidRPr="006F06B0">
        <w:t>25</w:t>
      </w:r>
      <w:r w:rsidRPr="00605125">
        <w:t xml:space="preserve"> if the installed model</w:t>
      </w:r>
      <w:r w:rsidRPr="004658CE">
        <w:t xml:space="preserve"> has been tested and registered for low temperature performance under condition H2 and meets the requirements of AS/NZS</w:t>
      </w:r>
      <w:r w:rsidR="00680FEA">
        <w:t xml:space="preserve"> </w:t>
      </w:r>
      <w:r w:rsidRPr="004658CE">
        <w:t>3823 otherwise H2 is a value of 0.0 for all other products.</w:t>
      </w:r>
    </w:p>
    <w:p w14:paraId="55D01A2D" w14:textId="77777777" w:rsidR="00907593" w:rsidRDefault="00907593" w:rsidP="00265F43">
      <w:pPr>
        <w:pStyle w:val="Caption"/>
      </w:pPr>
      <w:bookmarkStart w:id="171" w:name="_Toc21868111"/>
      <w:bookmarkStart w:id="172" w:name="_Toc21868243"/>
      <w:bookmarkStart w:id="173" w:name="_Toc37945690"/>
      <w:r w:rsidRPr="00605125">
        <w:t xml:space="preserve">Table </w:t>
      </w:r>
      <w:r w:rsidR="004A0156">
        <w:rPr>
          <w:noProof/>
        </w:rPr>
        <w:fldChar w:fldCharType="begin"/>
      </w:r>
      <w:r w:rsidR="004A0156">
        <w:rPr>
          <w:noProof/>
        </w:rPr>
        <w:instrText xml:space="preserve"> SEQ Table \* ARABIC </w:instrText>
      </w:r>
      <w:r w:rsidR="004A0156">
        <w:rPr>
          <w:noProof/>
        </w:rPr>
        <w:fldChar w:fldCharType="separate"/>
      </w:r>
      <w:r w:rsidR="00880CB1">
        <w:rPr>
          <w:noProof/>
        </w:rPr>
        <w:t>6</w:t>
      </w:r>
      <w:r w:rsidR="004A0156">
        <w:rPr>
          <w:noProof/>
        </w:rPr>
        <w:fldChar w:fldCharType="end"/>
      </w:r>
      <w:r w:rsidRPr="00605125">
        <w:t xml:space="preserve"> </w:t>
      </w:r>
      <w:r w:rsidR="009E6E7F">
        <w:tab/>
      </w:r>
      <w:r w:rsidR="004E6867">
        <w:t xml:space="preserve">Activity </w:t>
      </w:r>
      <w:r w:rsidR="002578E2">
        <w:t xml:space="preserve">ID </w:t>
      </w:r>
      <w:r w:rsidR="004E6867">
        <w:t>2.1 c</w:t>
      </w:r>
      <w:r w:rsidRPr="00605125">
        <w:t xml:space="preserve">ategories </w:t>
      </w:r>
      <w:r>
        <w:t xml:space="preserve">of </w:t>
      </w:r>
      <w:r w:rsidRPr="00605125">
        <w:t>premises</w:t>
      </w:r>
      <w:bookmarkEnd w:id="171"/>
      <w:bookmarkEnd w:id="172"/>
      <w:bookmarkEnd w:id="173"/>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79"/>
      </w:tblGrid>
      <w:tr w:rsidR="00907593" w:rsidRPr="0072191F" w14:paraId="65B29BED" w14:textId="77777777" w:rsidTr="00C358AC">
        <w:trPr>
          <w:trHeight w:val="522"/>
          <w:tblHeader/>
        </w:trPr>
        <w:tc>
          <w:tcPr>
            <w:tcW w:w="2943" w:type="dxa"/>
            <w:shd w:val="clear" w:color="auto" w:fill="auto"/>
          </w:tcPr>
          <w:p w14:paraId="2B8919B3" w14:textId="77777777" w:rsidR="00907593" w:rsidRPr="0072191F" w:rsidRDefault="00907593" w:rsidP="00265F43">
            <w:pPr>
              <w:pStyle w:val="Tableheader"/>
            </w:pPr>
            <w:r w:rsidRPr="0072191F">
              <w:t>Category</w:t>
            </w:r>
          </w:p>
        </w:tc>
        <w:tc>
          <w:tcPr>
            <w:tcW w:w="6379" w:type="dxa"/>
            <w:shd w:val="clear" w:color="auto" w:fill="auto"/>
          </w:tcPr>
          <w:p w14:paraId="45ABAA57" w14:textId="77777777" w:rsidR="00907593" w:rsidRPr="0072191F" w:rsidRDefault="00907593" w:rsidP="00265F43">
            <w:pPr>
              <w:pStyle w:val="Tableheader"/>
            </w:pPr>
            <w:r w:rsidRPr="0072191F">
              <w:t>Description</w:t>
            </w:r>
          </w:p>
        </w:tc>
      </w:tr>
      <w:tr w:rsidR="00907593" w:rsidRPr="0072191F" w14:paraId="553366E8" w14:textId="77777777" w:rsidTr="00C358AC">
        <w:tc>
          <w:tcPr>
            <w:tcW w:w="2943" w:type="dxa"/>
            <w:shd w:val="clear" w:color="auto" w:fill="auto"/>
          </w:tcPr>
          <w:p w14:paraId="1014C883" w14:textId="77777777" w:rsidR="00907593" w:rsidRDefault="00907593" w:rsidP="00265F43">
            <w:pPr>
              <w:pStyle w:val="Tabletext"/>
            </w:pPr>
            <w:r>
              <w:t>Residential Premises</w:t>
            </w:r>
          </w:p>
          <w:p w14:paraId="085D1545" w14:textId="77777777" w:rsidR="00443EA3" w:rsidRPr="005E75B9" w:rsidRDefault="00443EA3" w:rsidP="00D633D3">
            <w:pPr>
              <w:pStyle w:val="Tabletext"/>
              <w:numPr>
                <w:ilvl w:val="0"/>
                <w:numId w:val="159"/>
              </w:numPr>
            </w:pPr>
            <w:r>
              <w:t>Use</w:t>
            </w:r>
            <w:r w:rsidRPr="005E75B9">
              <w:t xml:space="preserve"> table </w:t>
            </w:r>
            <w:r w:rsidR="00864A11">
              <w:t>7</w:t>
            </w:r>
          </w:p>
        </w:tc>
        <w:tc>
          <w:tcPr>
            <w:tcW w:w="6379" w:type="dxa"/>
            <w:shd w:val="clear" w:color="auto" w:fill="auto"/>
          </w:tcPr>
          <w:p w14:paraId="7605BD13" w14:textId="77777777" w:rsidR="00907593" w:rsidRPr="0072191F" w:rsidRDefault="00907593" w:rsidP="00265F43">
            <w:pPr>
              <w:pStyle w:val="Tabletext"/>
            </w:pPr>
            <w:r>
              <w:t xml:space="preserve">As defined in </w:t>
            </w:r>
            <w:r w:rsidR="00864A11">
              <w:t>section 6 –</w:t>
            </w:r>
            <w:r>
              <w:t xml:space="preserve"> Dictionary</w:t>
            </w:r>
          </w:p>
        </w:tc>
      </w:tr>
      <w:tr w:rsidR="00907593" w:rsidRPr="0072191F" w14:paraId="401B9115" w14:textId="77777777" w:rsidTr="00C358AC">
        <w:tc>
          <w:tcPr>
            <w:tcW w:w="2943" w:type="dxa"/>
            <w:shd w:val="clear" w:color="auto" w:fill="auto"/>
          </w:tcPr>
          <w:p w14:paraId="2FFFA66D" w14:textId="77777777" w:rsidR="00907593" w:rsidRDefault="00907593" w:rsidP="00265F43">
            <w:pPr>
              <w:pStyle w:val="Tabletext"/>
            </w:pPr>
            <w:r>
              <w:t>Business Premises</w:t>
            </w:r>
          </w:p>
          <w:p w14:paraId="7DA07CC2" w14:textId="77777777" w:rsidR="00907593" w:rsidRDefault="00907593" w:rsidP="00265F43">
            <w:pPr>
              <w:pStyle w:val="Tabletext"/>
            </w:pPr>
            <w:r w:rsidRPr="00895D26">
              <w:t xml:space="preserve">Category </w:t>
            </w:r>
            <w:r>
              <w:t>1</w:t>
            </w:r>
          </w:p>
          <w:p w14:paraId="10DF2487" w14:textId="77777777" w:rsidR="00443EA3" w:rsidRDefault="00907593" w:rsidP="00265F43">
            <w:pPr>
              <w:pStyle w:val="Tabletext"/>
            </w:pPr>
            <w:r w:rsidRPr="00895D26">
              <w:t>(High internal HL)</w:t>
            </w:r>
          </w:p>
          <w:p w14:paraId="5B8900DE" w14:textId="77777777" w:rsidR="00443EA3" w:rsidRPr="005E75B9" w:rsidRDefault="00443EA3" w:rsidP="00D633D3">
            <w:pPr>
              <w:pStyle w:val="Tabletext"/>
              <w:numPr>
                <w:ilvl w:val="0"/>
                <w:numId w:val="159"/>
              </w:numPr>
            </w:pPr>
            <w:r>
              <w:t>Use</w:t>
            </w:r>
            <w:r w:rsidRPr="00A968F8">
              <w:t xml:space="preserve"> table </w:t>
            </w:r>
            <w:r w:rsidR="00864A11">
              <w:t>8</w:t>
            </w:r>
          </w:p>
        </w:tc>
        <w:tc>
          <w:tcPr>
            <w:tcW w:w="6379" w:type="dxa"/>
            <w:shd w:val="clear" w:color="auto" w:fill="auto"/>
          </w:tcPr>
          <w:p w14:paraId="31F33CD6" w14:textId="77777777" w:rsidR="00907593" w:rsidRPr="00DB63AE" w:rsidRDefault="00907593" w:rsidP="00265F43">
            <w:pPr>
              <w:pStyle w:val="Tabletext"/>
              <w:rPr>
                <w:i/>
                <w:iCs/>
              </w:rPr>
            </w:pPr>
            <w:r w:rsidRPr="00DB63AE">
              <w:rPr>
                <w:i/>
                <w:iCs/>
              </w:rPr>
              <w:t>BCA Class 6</w:t>
            </w:r>
          </w:p>
          <w:p w14:paraId="5B719EB4" w14:textId="77777777" w:rsidR="00907593" w:rsidRDefault="00907593" w:rsidP="00265F43">
            <w:pPr>
              <w:pStyle w:val="Tabletext"/>
            </w:pPr>
            <w:r w:rsidRPr="0072191F">
              <w:t>Food retail sub-set including specifically</w:t>
            </w:r>
            <w:r>
              <w:t>:</w:t>
            </w:r>
            <w:r w:rsidRPr="0072191F">
              <w:t xml:space="preserve"> </w:t>
            </w:r>
          </w:p>
          <w:p w14:paraId="30E24BBD" w14:textId="77777777" w:rsidR="00907593" w:rsidRPr="0072191F" w:rsidRDefault="00864A11" w:rsidP="00265F43">
            <w:pPr>
              <w:pStyle w:val="BulletsEEIS"/>
            </w:pPr>
            <w:r>
              <w:t>r</w:t>
            </w:r>
            <w:r w:rsidR="00907593" w:rsidRPr="0072191F">
              <w:t>estaurants</w:t>
            </w:r>
          </w:p>
          <w:p w14:paraId="74805E29" w14:textId="77777777" w:rsidR="00907593" w:rsidRPr="0072191F" w:rsidRDefault="00864A11" w:rsidP="00265F43">
            <w:pPr>
              <w:pStyle w:val="BulletsEEIS"/>
            </w:pPr>
            <w:r>
              <w:t>c</w:t>
            </w:r>
            <w:r w:rsidR="00907593" w:rsidRPr="0072191F">
              <w:t xml:space="preserve">afes </w:t>
            </w:r>
          </w:p>
          <w:p w14:paraId="7BA93630" w14:textId="77777777" w:rsidR="00907593" w:rsidRPr="0072191F" w:rsidRDefault="00864A11" w:rsidP="00265F43">
            <w:pPr>
              <w:pStyle w:val="BulletsEEIS"/>
            </w:pPr>
            <w:r>
              <w:t>f</w:t>
            </w:r>
            <w:r w:rsidR="00907593" w:rsidRPr="0072191F">
              <w:t>ast food stores</w:t>
            </w:r>
          </w:p>
          <w:p w14:paraId="2590D3D6" w14:textId="77777777" w:rsidR="00907593" w:rsidRPr="0072191F" w:rsidRDefault="00864A11" w:rsidP="00265F43">
            <w:pPr>
              <w:pStyle w:val="BulletsEEIS"/>
            </w:pPr>
            <w:r>
              <w:t>b</w:t>
            </w:r>
            <w:r w:rsidR="00907593" w:rsidRPr="0072191F">
              <w:t>akeries</w:t>
            </w:r>
          </w:p>
        </w:tc>
      </w:tr>
      <w:tr w:rsidR="00907593" w:rsidRPr="0072191F" w14:paraId="25D6F0BF" w14:textId="77777777" w:rsidTr="00C358AC">
        <w:tc>
          <w:tcPr>
            <w:tcW w:w="2943" w:type="dxa"/>
            <w:shd w:val="clear" w:color="auto" w:fill="auto"/>
          </w:tcPr>
          <w:p w14:paraId="7C99B262" w14:textId="77777777" w:rsidR="00907593" w:rsidRDefault="00907593" w:rsidP="00265F43">
            <w:pPr>
              <w:pStyle w:val="Tabletext"/>
            </w:pPr>
            <w:r>
              <w:t>Business Premises</w:t>
            </w:r>
          </w:p>
          <w:p w14:paraId="2F5D5F0D" w14:textId="77777777" w:rsidR="00907593" w:rsidRDefault="00907593" w:rsidP="00265F43">
            <w:pPr>
              <w:pStyle w:val="Tabletext"/>
            </w:pPr>
            <w:r w:rsidRPr="00895D26">
              <w:t>Category 2</w:t>
            </w:r>
          </w:p>
          <w:p w14:paraId="2C143C88" w14:textId="77777777" w:rsidR="00907593" w:rsidRDefault="00907593" w:rsidP="00265F43">
            <w:pPr>
              <w:pStyle w:val="Tabletext"/>
            </w:pPr>
            <w:r w:rsidRPr="00895D26">
              <w:t>(Low internal HL)</w:t>
            </w:r>
          </w:p>
          <w:p w14:paraId="1F62F9D6" w14:textId="77777777" w:rsidR="00443EA3" w:rsidRPr="0072191F" w:rsidRDefault="00443EA3" w:rsidP="00D633D3">
            <w:pPr>
              <w:pStyle w:val="Tabletext"/>
              <w:numPr>
                <w:ilvl w:val="0"/>
                <w:numId w:val="159"/>
              </w:numPr>
              <w:rPr>
                <w:b/>
                <w:color w:val="000000"/>
                <w:sz w:val="22"/>
                <w:szCs w:val="22"/>
              </w:rPr>
            </w:pPr>
            <w:r>
              <w:t>Use</w:t>
            </w:r>
            <w:r w:rsidRPr="00A968F8">
              <w:t xml:space="preserve"> table </w:t>
            </w:r>
            <w:r w:rsidR="00864A11">
              <w:t>9</w:t>
            </w:r>
          </w:p>
        </w:tc>
        <w:tc>
          <w:tcPr>
            <w:tcW w:w="6379" w:type="dxa"/>
            <w:shd w:val="clear" w:color="auto" w:fill="auto"/>
          </w:tcPr>
          <w:p w14:paraId="331744B6" w14:textId="77777777" w:rsidR="00907593" w:rsidRPr="00DB63AE" w:rsidRDefault="00907593" w:rsidP="00265F43">
            <w:pPr>
              <w:pStyle w:val="Tabletext"/>
              <w:rPr>
                <w:i/>
                <w:iCs/>
              </w:rPr>
            </w:pPr>
            <w:r w:rsidRPr="00DB63AE">
              <w:rPr>
                <w:i/>
                <w:iCs/>
              </w:rPr>
              <w:t>BCA Class 5</w:t>
            </w:r>
          </w:p>
          <w:p w14:paraId="1EB3B5EA" w14:textId="77777777" w:rsidR="00907593" w:rsidRPr="0072191F" w:rsidRDefault="00907593" w:rsidP="00265F43">
            <w:pPr>
              <w:pStyle w:val="Tabletext"/>
              <w:rPr>
                <w:color w:val="000000"/>
              </w:rPr>
            </w:pPr>
            <w:r w:rsidRPr="0072191F">
              <w:rPr>
                <w:color w:val="000000"/>
              </w:rPr>
              <w:t xml:space="preserve">Office based businesses </w:t>
            </w:r>
          </w:p>
          <w:p w14:paraId="6F568388" w14:textId="77777777" w:rsidR="00907593" w:rsidRPr="00DB63AE" w:rsidRDefault="00907593" w:rsidP="00265F43">
            <w:pPr>
              <w:pStyle w:val="Tabletext"/>
              <w:rPr>
                <w:i/>
                <w:iCs/>
              </w:rPr>
            </w:pPr>
            <w:r w:rsidRPr="00DB63AE">
              <w:rPr>
                <w:i/>
                <w:iCs/>
              </w:rPr>
              <w:t>BCA Class 6</w:t>
            </w:r>
          </w:p>
          <w:p w14:paraId="6500FB14" w14:textId="77777777" w:rsidR="00907593" w:rsidRPr="0072191F" w:rsidRDefault="00907593" w:rsidP="00265F43">
            <w:pPr>
              <w:pStyle w:val="Tabletext"/>
              <w:rPr>
                <w:color w:val="000000"/>
              </w:rPr>
            </w:pPr>
            <w:r>
              <w:rPr>
                <w:color w:val="000000"/>
              </w:rPr>
              <w:t>A</w:t>
            </w:r>
            <w:r w:rsidRPr="0072191F">
              <w:rPr>
                <w:color w:val="000000"/>
              </w:rPr>
              <w:t>ll food retail is eligible except restaurants, cafes, fast food restaurants</w:t>
            </w:r>
            <w:r w:rsidR="00864A11">
              <w:rPr>
                <w:color w:val="000000"/>
              </w:rPr>
              <w:t xml:space="preserve"> and </w:t>
            </w:r>
            <w:r w:rsidRPr="0072191F">
              <w:rPr>
                <w:color w:val="000000"/>
              </w:rPr>
              <w:t>bakeries</w:t>
            </w:r>
          </w:p>
          <w:p w14:paraId="71AD2613" w14:textId="77777777" w:rsidR="00907593" w:rsidRPr="00DB63AE" w:rsidRDefault="00907593" w:rsidP="00265F43">
            <w:pPr>
              <w:pStyle w:val="Tabletext"/>
              <w:rPr>
                <w:i/>
                <w:iCs/>
              </w:rPr>
            </w:pPr>
            <w:r w:rsidRPr="00DB63AE">
              <w:rPr>
                <w:i/>
                <w:iCs/>
              </w:rPr>
              <w:t>BCA Class 7</w:t>
            </w:r>
          </w:p>
          <w:p w14:paraId="1A9A91C1" w14:textId="77777777" w:rsidR="00907593" w:rsidRPr="0072191F" w:rsidRDefault="00907593" w:rsidP="00265F43">
            <w:pPr>
              <w:pStyle w:val="Tabletext"/>
              <w:rPr>
                <w:color w:val="000000"/>
              </w:rPr>
            </w:pPr>
            <w:r w:rsidRPr="0072191F">
              <w:rPr>
                <w:color w:val="000000"/>
              </w:rPr>
              <w:t>Wholesale outlets and warehousing businesses</w:t>
            </w:r>
          </w:p>
          <w:p w14:paraId="36D64D7D" w14:textId="77777777" w:rsidR="00907593" w:rsidRPr="00DB63AE" w:rsidRDefault="00907593" w:rsidP="00265F43">
            <w:pPr>
              <w:pStyle w:val="Tabletext"/>
              <w:rPr>
                <w:i/>
                <w:iCs/>
              </w:rPr>
            </w:pPr>
            <w:r w:rsidRPr="00DB63AE">
              <w:rPr>
                <w:i/>
                <w:iCs/>
              </w:rPr>
              <w:t>BCA Class 8</w:t>
            </w:r>
          </w:p>
          <w:p w14:paraId="56678CF9" w14:textId="77777777" w:rsidR="00907593" w:rsidRPr="0072191F" w:rsidRDefault="00907593" w:rsidP="00265F43">
            <w:pPr>
              <w:pStyle w:val="Tabletext"/>
              <w:rPr>
                <w:color w:val="000000"/>
              </w:rPr>
            </w:pPr>
            <w:r w:rsidRPr="0072191F">
              <w:rPr>
                <w:color w:val="000000"/>
              </w:rPr>
              <w:lastRenderedPageBreak/>
              <w:t>Manufacturing premises</w:t>
            </w:r>
          </w:p>
          <w:p w14:paraId="5D98211E" w14:textId="77777777" w:rsidR="00907593" w:rsidRPr="00DB63AE" w:rsidRDefault="00907593" w:rsidP="00265F43">
            <w:pPr>
              <w:pStyle w:val="Tabletext"/>
              <w:rPr>
                <w:i/>
                <w:iCs/>
              </w:rPr>
            </w:pPr>
            <w:r w:rsidRPr="00DB63AE">
              <w:rPr>
                <w:i/>
                <w:iCs/>
              </w:rPr>
              <w:t>BCA Class 9a</w:t>
            </w:r>
          </w:p>
          <w:p w14:paraId="303B74FC" w14:textId="77777777" w:rsidR="00907593" w:rsidRPr="0072191F" w:rsidRDefault="00907593" w:rsidP="00265F43">
            <w:pPr>
              <w:pStyle w:val="Tabletext"/>
              <w:rPr>
                <w:color w:val="000000"/>
              </w:rPr>
            </w:pPr>
            <w:r w:rsidRPr="0072191F">
              <w:rPr>
                <w:color w:val="000000"/>
              </w:rPr>
              <w:t xml:space="preserve">Health </w:t>
            </w:r>
            <w:r w:rsidR="00864A11">
              <w:rPr>
                <w:color w:val="000000"/>
              </w:rPr>
              <w:t>c</w:t>
            </w:r>
            <w:r w:rsidRPr="0072191F">
              <w:rPr>
                <w:color w:val="000000"/>
              </w:rPr>
              <w:t xml:space="preserve">are building based professional services </w:t>
            </w:r>
          </w:p>
          <w:p w14:paraId="7403AF66" w14:textId="77777777" w:rsidR="00907593" w:rsidRPr="00DB63AE" w:rsidRDefault="00907593" w:rsidP="00265F43">
            <w:pPr>
              <w:pStyle w:val="Tabletext"/>
              <w:rPr>
                <w:i/>
                <w:iCs/>
              </w:rPr>
            </w:pPr>
            <w:r w:rsidRPr="00DB63AE">
              <w:rPr>
                <w:i/>
                <w:iCs/>
              </w:rPr>
              <w:t xml:space="preserve">BCA </w:t>
            </w:r>
            <w:r w:rsidR="00276A95">
              <w:rPr>
                <w:i/>
                <w:iCs/>
              </w:rPr>
              <w:t xml:space="preserve">Class </w:t>
            </w:r>
            <w:r w:rsidRPr="00DB63AE">
              <w:rPr>
                <w:i/>
                <w:iCs/>
              </w:rPr>
              <w:t>9b</w:t>
            </w:r>
          </w:p>
          <w:p w14:paraId="4C6CE3AD" w14:textId="77777777" w:rsidR="00907593" w:rsidRPr="0072191F" w:rsidRDefault="00907593" w:rsidP="00265F43">
            <w:pPr>
              <w:pStyle w:val="Tabletext"/>
              <w:rPr>
                <w:color w:val="000000"/>
              </w:rPr>
            </w:pPr>
            <w:r w:rsidRPr="0072191F">
              <w:rPr>
                <w:color w:val="000000"/>
              </w:rPr>
              <w:t xml:space="preserve">Auditoriums, churches, public halls and any assembly buildings used by </w:t>
            </w:r>
            <w:r w:rsidR="00864A11">
              <w:rPr>
                <w:color w:val="000000"/>
              </w:rPr>
              <w:t>n</w:t>
            </w:r>
            <w:r w:rsidRPr="0072191F">
              <w:rPr>
                <w:color w:val="000000"/>
              </w:rPr>
              <w:t>ot</w:t>
            </w:r>
            <w:r w:rsidR="00864A11">
              <w:rPr>
                <w:color w:val="000000"/>
              </w:rPr>
              <w:t>-</w:t>
            </w:r>
            <w:r w:rsidRPr="0072191F">
              <w:rPr>
                <w:color w:val="000000"/>
              </w:rPr>
              <w:t>for</w:t>
            </w:r>
            <w:r w:rsidR="00864A11">
              <w:rPr>
                <w:color w:val="000000"/>
              </w:rPr>
              <w:t>-</w:t>
            </w:r>
            <w:r w:rsidRPr="0072191F">
              <w:rPr>
                <w:color w:val="000000"/>
              </w:rPr>
              <w:t>profits/</w:t>
            </w:r>
            <w:r w:rsidR="00864A11">
              <w:rPr>
                <w:color w:val="000000"/>
              </w:rPr>
              <w:t>c</w:t>
            </w:r>
            <w:r w:rsidRPr="0072191F">
              <w:rPr>
                <w:color w:val="000000"/>
              </w:rPr>
              <w:t xml:space="preserve">ommunity </w:t>
            </w:r>
            <w:r w:rsidR="00864A11">
              <w:rPr>
                <w:color w:val="000000"/>
              </w:rPr>
              <w:t>g</w:t>
            </w:r>
            <w:r w:rsidRPr="0072191F">
              <w:rPr>
                <w:color w:val="000000"/>
              </w:rPr>
              <w:t>roups</w:t>
            </w:r>
          </w:p>
          <w:p w14:paraId="08673500" w14:textId="77777777" w:rsidR="00907593" w:rsidRPr="00DB63AE" w:rsidRDefault="00907593" w:rsidP="00265F43">
            <w:pPr>
              <w:pStyle w:val="Tabletext"/>
              <w:rPr>
                <w:i/>
                <w:iCs/>
              </w:rPr>
            </w:pPr>
            <w:r w:rsidRPr="00DB63AE">
              <w:rPr>
                <w:i/>
                <w:iCs/>
              </w:rPr>
              <w:t>BCA Class 9c</w:t>
            </w:r>
          </w:p>
          <w:p w14:paraId="7A68E99C" w14:textId="77777777" w:rsidR="00907593" w:rsidRPr="0072191F" w:rsidRDefault="00907593" w:rsidP="00265F43">
            <w:pPr>
              <w:pStyle w:val="Tabletext"/>
              <w:rPr>
                <w:b/>
                <w:color w:val="000000"/>
              </w:rPr>
            </w:pPr>
            <w:r w:rsidRPr="0072191F">
              <w:rPr>
                <w:color w:val="000000"/>
              </w:rPr>
              <w:t xml:space="preserve">Aged </w:t>
            </w:r>
            <w:r w:rsidR="00864A11">
              <w:rPr>
                <w:color w:val="000000"/>
              </w:rPr>
              <w:t>c</w:t>
            </w:r>
            <w:r w:rsidRPr="0072191F">
              <w:rPr>
                <w:color w:val="000000"/>
              </w:rPr>
              <w:t>are</w:t>
            </w:r>
          </w:p>
        </w:tc>
      </w:tr>
      <w:tr w:rsidR="00907593" w:rsidRPr="0072191F" w14:paraId="6B340C9E" w14:textId="77777777" w:rsidTr="00C358AC">
        <w:tc>
          <w:tcPr>
            <w:tcW w:w="2943" w:type="dxa"/>
            <w:shd w:val="clear" w:color="auto" w:fill="auto"/>
          </w:tcPr>
          <w:p w14:paraId="41DE9898" w14:textId="77777777" w:rsidR="00907593" w:rsidRDefault="00907593" w:rsidP="00265F43">
            <w:pPr>
              <w:pStyle w:val="Tabletext"/>
            </w:pPr>
            <w:r>
              <w:lastRenderedPageBreak/>
              <w:t>Business Premises</w:t>
            </w:r>
          </w:p>
          <w:p w14:paraId="1390C475" w14:textId="77777777" w:rsidR="00907593" w:rsidRDefault="00907593" w:rsidP="00265F43">
            <w:pPr>
              <w:pStyle w:val="Tabletext"/>
            </w:pPr>
            <w:r w:rsidRPr="00895D26">
              <w:t>Category 3</w:t>
            </w:r>
          </w:p>
          <w:p w14:paraId="33CD69B0" w14:textId="77777777" w:rsidR="00907593" w:rsidRDefault="00907593" w:rsidP="00265F43">
            <w:pPr>
              <w:pStyle w:val="Tabletext"/>
            </w:pPr>
            <w:r w:rsidRPr="00895D26">
              <w:t>(Other)</w:t>
            </w:r>
          </w:p>
          <w:p w14:paraId="6A5C4CB7" w14:textId="77777777" w:rsidR="00443EA3" w:rsidRPr="0072191F" w:rsidRDefault="00443EA3" w:rsidP="00D633D3">
            <w:pPr>
              <w:pStyle w:val="Tabletext"/>
              <w:numPr>
                <w:ilvl w:val="0"/>
                <w:numId w:val="159"/>
              </w:numPr>
              <w:rPr>
                <w:b/>
                <w:color w:val="000000"/>
                <w:sz w:val="22"/>
                <w:szCs w:val="22"/>
              </w:rPr>
            </w:pPr>
            <w:r>
              <w:t>Use</w:t>
            </w:r>
            <w:r w:rsidRPr="00A968F8">
              <w:t xml:space="preserve"> table </w:t>
            </w:r>
            <w:r w:rsidR="00864A11">
              <w:t>10</w:t>
            </w:r>
          </w:p>
        </w:tc>
        <w:tc>
          <w:tcPr>
            <w:tcW w:w="6379" w:type="dxa"/>
            <w:shd w:val="clear" w:color="auto" w:fill="auto"/>
          </w:tcPr>
          <w:p w14:paraId="71F80921" w14:textId="77777777" w:rsidR="00907593" w:rsidRPr="00D85178" w:rsidRDefault="00907593" w:rsidP="00265F43">
            <w:pPr>
              <w:pStyle w:val="Tabletext"/>
            </w:pPr>
            <w:r w:rsidRPr="0072191F">
              <w:t>Any other business premises not included in category 1 or 2</w:t>
            </w:r>
          </w:p>
          <w:p w14:paraId="53833278" w14:textId="77777777" w:rsidR="00907593" w:rsidRPr="0072191F" w:rsidRDefault="00907593" w:rsidP="00265F43">
            <w:pPr>
              <w:pStyle w:val="Tabletext"/>
              <w:rPr>
                <w:b/>
                <w:color w:val="000000"/>
                <w:sz w:val="22"/>
                <w:szCs w:val="22"/>
              </w:rPr>
            </w:pPr>
            <w:r w:rsidRPr="0072191F">
              <w:t xml:space="preserve">Businesses </w:t>
            </w:r>
            <w:r w:rsidR="00864A11">
              <w:t>that</w:t>
            </w:r>
            <w:r w:rsidR="00864A11" w:rsidRPr="0072191F">
              <w:t xml:space="preserve"> </w:t>
            </w:r>
            <w:r w:rsidRPr="0072191F">
              <w:t>have a combination of both high internal and low internal HL commercial spaces</w:t>
            </w:r>
          </w:p>
        </w:tc>
      </w:tr>
    </w:tbl>
    <w:p w14:paraId="46D5003C" w14:textId="77777777" w:rsidR="00605125" w:rsidRDefault="00605125" w:rsidP="00DB63AE">
      <w:pPr>
        <w:pStyle w:val="Caption"/>
        <w:ind w:left="0" w:firstLine="0"/>
      </w:pPr>
      <w:bookmarkStart w:id="174" w:name="_Toc21868112"/>
      <w:bookmarkStart w:id="175" w:name="_Toc21868244"/>
      <w:bookmarkStart w:id="176" w:name="_Toc37945691"/>
      <w:r w:rsidRPr="00605125">
        <w:t xml:space="preserve">Table </w:t>
      </w:r>
      <w:r w:rsidR="004A0156">
        <w:rPr>
          <w:noProof/>
        </w:rPr>
        <w:fldChar w:fldCharType="begin"/>
      </w:r>
      <w:r w:rsidR="004A0156">
        <w:rPr>
          <w:noProof/>
        </w:rPr>
        <w:instrText xml:space="preserve"> SEQ Table \* ARABIC </w:instrText>
      </w:r>
      <w:r w:rsidR="004A0156">
        <w:rPr>
          <w:noProof/>
        </w:rPr>
        <w:fldChar w:fldCharType="separate"/>
      </w:r>
      <w:r w:rsidR="00880CB1">
        <w:rPr>
          <w:noProof/>
        </w:rPr>
        <w:t>7</w:t>
      </w:r>
      <w:r w:rsidR="004A0156">
        <w:rPr>
          <w:noProof/>
        </w:rPr>
        <w:fldChar w:fldCharType="end"/>
      </w:r>
      <w:r w:rsidR="0024735F">
        <w:t xml:space="preserve"> </w:t>
      </w:r>
      <w:r w:rsidR="009E6E7F">
        <w:tab/>
      </w:r>
      <w:r w:rsidR="004E6867">
        <w:t xml:space="preserve">Activity </w:t>
      </w:r>
      <w:r w:rsidR="002578E2">
        <w:t xml:space="preserve">ID </w:t>
      </w:r>
      <w:r w:rsidR="004E6867">
        <w:t>2.1(a) r</w:t>
      </w:r>
      <w:r w:rsidRPr="00605125">
        <w:t xml:space="preserve">esidential </w:t>
      </w:r>
      <w:r w:rsidR="00F54389">
        <w:t>p</w:t>
      </w:r>
      <w:r w:rsidRPr="00605125">
        <w:t>remises</w:t>
      </w:r>
      <w:bookmarkEnd w:id="174"/>
      <w:bookmarkEnd w:id="175"/>
      <w:bookmarkEnd w:id="176"/>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827"/>
        <w:gridCol w:w="1276"/>
        <w:gridCol w:w="1275"/>
        <w:gridCol w:w="1276"/>
      </w:tblGrid>
      <w:tr w:rsidR="00D565C1" w:rsidRPr="00DA61EB" w14:paraId="61B36B32" w14:textId="77777777" w:rsidTr="00717A27">
        <w:trPr>
          <w:tblHeader/>
        </w:trPr>
        <w:tc>
          <w:tcPr>
            <w:tcW w:w="1668" w:type="dxa"/>
            <w:tcBorders>
              <w:bottom w:val="double" w:sz="4" w:space="0" w:color="auto"/>
            </w:tcBorders>
          </w:tcPr>
          <w:p w14:paraId="7476DAEE" w14:textId="77777777" w:rsidR="00D565C1" w:rsidRPr="00DA61EB" w:rsidRDefault="00D565C1" w:rsidP="00D565C1">
            <w:pPr>
              <w:pStyle w:val="Tableheader"/>
            </w:pPr>
            <w:r>
              <w:t>Pre-existing heating condition</w:t>
            </w:r>
          </w:p>
        </w:tc>
        <w:tc>
          <w:tcPr>
            <w:tcW w:w="3827" w:type="dxa"/>
            <w:tcBorders>
              <w:bottom w:val="double" w:sz="4" w:space="0" w:color="auto"/>
            </w:tcBorders>
          </w:tcPr>
          <w:p w14:paraId="0EB9D433" w14:textId="77777777" w:rsidR="00D565C1" w:rsidRPr="00DA61EB" w:rsidRDefault="00D565C1" w:rsidP="00D565C1">
            <w:pPr>
              <w:pStyle w:val="Tableheader"/>
            </w:pPr>
            <w:r>
              <w:t>Installed product type</w:t>
            </w:r>
          </w:p>
        </w:tc>
        <w:tc>
          <w:tcPr>
            <w:tcW w:w="1276" w:type="dxa"/>
            <w:tcBorders>
              <w:bottom w:val="double" w:sz="4" w:space="0" w:color="auto"/>
            </w:tcBorders>
          </w:tcPr>
          <w:p w14:paraId="0A0E6632" w14:textId="77777777" w:rsidR="00D565C1" w:rsidRPr="00DA61EB" w:rsidRDefault="00D565C1" w:rsidP="00D565C1">
            <w:pPr>
              <w:pStyle w:val="Tableheader"/>
            </w:pPr>
            <w:r w:rsidRPr="00DA61EB">
              <w:t>Base Efficiency (</w:t>
            </w:r>
            <w:r w:rsidRPr="00DA61EB">
              <w:rPr>
                <w:i/>
              </w:rPr>
              <w:t>Baseline</w:t>
            </w:r>
            <w:r w:rsidRPr="00DA61EB">
              <w:t>)</w:t>
            </w:r>
            <w:r w:rsidRPr="00DA61EB">
              <w:br/>
              <w:t>ACOP</w:t>
            </w:r>
          </w:p>
        </w:tc>
        <w:tc>
          <w:tcPr>
            <w:tcW w:w="1275" w:type="dxa"/>
            <w:tcBorders>
              <w:bottom w:val="double" w:sz="4" w:space="0" w:color="auto"/>
            </w:tcBorders>
          </w:tcPr>
          <w:p w14:paraId="65735272" w14:textId="2B66535A" w:rsidR="00D565C1" w:rsidRPr="00DA61EB" w:rsidRDefault="00D565C1" w:rsidP="00D565C1">
            <w:pPr>
              <w:pStyle w:val="Tableheader"/>
            </w:pPr>
            <w:r w:rsidRPr="00DA61EB">
              <w:t xml:space="preserve">Fixed </w:t>
            </w:r>
            <w:r>
              <w:t>Energy</w:t>
            </w:r>
            <w:r w:rsidRPr="00DA61EB">
              <w:t xml:space="preserve"> Savings (</w:t>
            </w:r>
            <w:r>
              <w:t>ESF</w:t>
            </w:r>
            <w:r w:rsidRPr="00DA61EB">
              <w:rPr>
                <w:vertAlign w:val="subscript"/>
              </w:rPr>
              <w:t>fixed</w:t>
            </w:r>
            <w:r w:rsidRPr="00DA61EB">
              <w:t xml:space="preserve">) </w:t>
            </w:r>
            <w:r w:rsidRPr="00DA61EB">
              <w:br/>
            </w:r>
            <w:r w:rsidRPr="00A52076">
              <w:t>MWh</w:t>
            </w:r>
          </w:p>
        </w:tc>
        <w:tc>
          <w:tcPr>
            <w:tcW w:w="1276" w:type="dxa"/>
            <w:tcBorders>
              <w:bottom w:val="double" w:sz="4" w:space="0" w:color="auto"/>
            </w:tcBorders>
          </w:tcPr>
          <w:p w14:paraId="142EC7CB" w14:textId="2CDD110D" w:rsidR="00D565C1" w:rsidRPr="00DA61EB" w:rsidRDefault="00D565C1" w:rsidP="00D565C1">
            <w:pPr>
              <w:pStyle w:val="Tableheader"/>
            </w:pPr>
            <w:r w:rsidRPr="00DA61EB">
              <w:t>Variable</w:t>
            </w:r>
            <w:r>
              <w:t xml:space="preserve"> Energy</w:t>
            </w:r>
            <w:r w:rsidRPr="00DA61EB">
              <w:t xml:space="preserve"> Savings (</w:t>
            </w:r>
            <w:r>
              <w:t>ESF</w:t>
            </w:r>
            <w:r w:rsidRPr="00DA61EB">
              <w:rPr>
                <w:vertAlign w:val="subscript"/>
              </w:rPr>
              <w:t>var</w:t>
            </w:r>
            <w:r w:rsidRPr="00DA61EB">
              <w:t>)</w:t>
            </w:r>
            <w:r w:rsidRPr="00DA61EB">
              <w:br/>
            </w:r>
            <w:r w:rsidRPr="00A52076">
              <w:t>MWh</w:t>
            </w:r>
            <w:r w:rsidRPr="00DA61EB">
              <w:t>/kW</w:t>
            </w:r>
          </w:p>
        </w:tc>
      </w:tr>
      <w:tr w:rsidR="00437C49" w:rsidRPr="00DA61EB" w14:paraId="4697E3B6" w14:textId="77777777" w:rsidTr="0064760C">
        <w:tc>
          <w:tcPr>
            <w:tcW w:w="1668" w:type="dxa"/>
            <w:vMerge w:val="restart"/>
            <w:tcBorders>
              <w:top w:val="double" w:sz="4" w:space="0" w:color="auto"/>
            </w:tcBorders>
          </w:tcPr>
          <w:p w14:paraId="3B243CB3" w14:textId="77777777" w:rsidR="00437C49" w:rsidRPr="00DA61EB" w:rsidRDefault="00437C49" w:rsidP="00437C49">
            <w:pPr>
              <w:pStyle w:val="Tabletext"/>
              <w:numPr>
                <w:ilvl w:val="0"/>
                <w:numId w:val="160"/>
              </w:numPr>
              <w:ind w:left="284" w:hanging="284"/>
            </w:pPr>
            <w:bookmarkStart w:id="177" w:name="_Hlk7681485"/>
            <w:r w:rsidRPr="00DA61EB">
              <w:t xml:space="preserve">Qualifying </w:t>
            </w:r>
            <w:r>
              <w:t xml:space="preserve">fixed </w:t>
            </w:r>
            <w:r w:rsidRPr="00DA61EB">
              <w:t xml:space="preserve">electric resistance </w:t>
            </w:r>
            <w:r>
              <w:t xml:space="preserve">– </w:t>
            </w:r>
            <w:r w:rsidRPr="00DA61EB">
              <w:t>panel heaters</w:t>
            </w:r>
            <w:r>
              <w:t xml:space="preserve"> (must service more than 70m</w:t>
            </w:r>
            <w:r w:rsidRPr="00265F43">
              <w:rPr>
                <w:vertAlign w:val="superscript"/>
              </w:rPr>
              <w:t>2</w:t>
            </w:r>
            <w:r>
              <w:t>)</w:t>
            </w:r>
            <w:bookmarkEnd w:id="177"/>
          </w:p>
        </w:tc>
        <w:tc>
          <w:tcPr>
            <w:tcW w:w="3827" w:type="dxa"/>
            <w:tcBorders>
              <w:top w:val="double" w:sz="4" w:space="0" w:color="auto"/>
            </w:tcBorders>
          </w:tcPr>
          <w:p w14:paraId="78396934" w14:textId="77777777" w:rsidR="00437C49" w:rsidRPr="00D92A45" w:rsidRDefault="00437C49" w:rsidP="00437C49">
            <w:pPr>
              <w:pStyle w:val="Tabletext"/>
              <w:numPr>
                <w:ilvl w:val="0"/>
                <w:numId w:val="161"/>
              </w:numPr>
              <w:ind w:left="328" w:hanging="328"/>
            </w:pPr>
            <w:r w:rsidRPr="00760F44">
              <w:rPr>
                <w:iCs/>
              </w:rPr>
              <w:t>Central ducted heat pump</w:t>
            </w:r>
            <w:r>
              <w:rPr>
                <w:iCs/>
              </w:rPr>
              <w:t xml:space="preserve"> </w:t>
            </w:r>
          </w:p>
        </w:tc>
        <w:tc>
          <w:tcPr>
            <w:tcW w:w="1276" w:type="dxa"/>
            <w:tcBorders>
              <w:top w:val="double" w:sz="4" w:space="0" w:color="auto"/>
            </w:tcBorders>
          </w:tcPr>
          <w:p w14:paraId="4D85E959" w14:textId="77777777" w:rsidR="00437C49" w:rsidRPr="00DA61EB" w:rsidRDefault="00437C49" w:rsidP="00437C49">
            <w:pPr>
              <w:pStyle w:val="Tabletext"/>
              <w:jc w:val="center"/>
            </w:pPr>
            <w:r w:rsidRPr="00DA61EB">
              <w:t>3.6</w:t>
            </w:r>
          </w:p>
        </w:tc>
        <w:tc>
          <w:tcPr>
            <w:tcW w:w="1275" w:type="dxa"/>
            <w:tcBorders>
              <w:top w:val="double" w:sz="4" w:space="0" w:color="auto"/>
            </w:tcBorders>
          </w:tcPr>
          <w:p w14:paraId="2555E61B" w14:textId="37E3DF6A" w:rsidR="00437C49" w:rsidRPr="00DA61EB" w:rsidRDefault="00437C49" w:rsidP="006F65CC">
            <w:pPr>
              <w:pStyle w:val="Tabletext"/>
              <w:jc w:val="center"/>
            </w:pPr>
            <w:r>
              <w:rPr>
                <w:rFonts w:ascii="Calibri" w:hAnsi="Calibri" w:cs="Calibri"/>
                <w:sz w:val="22"/>
                <w:szCs w:val="22"/>
              </w:rPr>
              <w:t>7.203</w:t>
            </w:r>
          </w:p>
        </w:tc>
        <w:tc>
          <w:tcPr>
            <w:tcW w:w="1276" w:type="dxa"/>
            <w:tcBorders>
              <w:top w:val="double" w:sz="4" w:space="0" w:color="auto"/>
            </w:tcBorders>
          </w:tcPr>
          <w:p w14:paraId="6B696D6D" w14:textId="3BFEA81F" w:rsidR="00437C49" w:rsidRPr="00DA61EB" w:rsidRDefault="00437C49" w:rsidP="006F65CC">
            <w:pPr>
              <w:pStyle w:val="Tabletext"/>
              <w:jc w:val="center"/>
            </w:pPr>
            <w:r>
              <w:rPr>
                <w:rFonts w:ascii="Calibri" w:hAnsi="Calibri" w:cs="Calibri"/>
                <w:sz w:val="22"/>
                <w:szCs w:val="22"/>
              </w:rPr>
              <w:t>1.067</w:t>
            </w:r>
          </w:p>
        </w:tc>
      </w:tr>
      <w:tr w:rsidR="00437C49" w:rsidRPr="00DA61EB" w14:paraId="0F981651" w14:textId="77777777" w:rsidTr="0064760C">
        <w:tc>
          <w:tcPr>
            <w:tcW w:w="1668" w:type="dxa"/>
            <w:vMerge/>
          </w:tcPr>
          <w:p w14:paraId="4C07935C" w14:textId="77777777" w:rsidR="00437C49" w:rsidRPr="00DA61EB" w:rsidRDefault="00437C49" w:rsidP="00437C49">
            <w:pPr>
              <w:pStyle w:val="Tabletext"/>
              <w:numPr>
                <w:ilvl w:val="0"/>
                <w:numId w:val="160"/>
              </w:numPr>
            </w:pPr>
          </w:p>
        </w:tc>
        <w:tc>
          <w:tcPr>
            <w:tcW w:w="3827" w:type="dxa"/>
          </w:tcPr>
          <w:p w14:paraId="59AD0CE2" w14:textId="77777777" w:rsidR="00437C49" w:rsidRPr="00D92A45" w:rsidRDefault="00437C49" w:rsidP="00437C49">
            <w:pPr>
              <w:pStyle w:val="Tabletext"/>
              <w:numPr>
                <w:ilvl w:val="0"/>
                <w:numId w:val="161"/>
              </w:numPr>
              <w:ind w:left="328" w:hanging="328"/>
            </w:pPr>
            <w:r w:rsidRPr="00760F44">
              <w:rPr>
                <w:iCs/>
              </w:rPr>
              <w:t>Central non-ducted heat pump</w:t>
            </w:r>
            <w:r w:rsidRPr="00D92A45">
              <w:t xml:space="preserve">, or two or more </w:t>
            </w:r>
            <w:r>
              <w:rPr>
                <w:iCs/>
              </w:rPr>
              <w:t>r</w:t>
            </w:r>
            <w:r w:rsidRPr="00760F44">
              <w:rPr>
                <w:iCs/>
              </w:rPr>
              <w:t>oom heat pump</w:t>
            </w:r>
            <w:r>
              <w:rPr>
                <w:iCs/>
              </w:rPr>
              <w:t>s</w:t>
            </w:r>
          </w:p>
        </w:tc>
        <w:tc>
          <w:tcPr>
            <w:tcW w:w="1276" w:type="dxa"/>
          </w:tcPr>
          <w:p w14:paraId="5ED4197C" w14:textId="77777777" w:rsidR="00437C49" w:rsidRPr="00DA61EB" w:rsidRDefault="00437C49" w:rsidP="00437C49">
            <w:pPr>
              <w:pStyle w:val="Tabletext"/>
              <w:jc w:val="center"/>
            </w:pPr>
            <w:r w:rsidRPr="00DA61EB">
              <w:t>3.6</w:t>
            </w:r>
          </w:p>
        </w:tc>
        <w:tc>
          <w:tcPr>
            <w:tcW w:w="1275" w:type="dxa"/>
          </w:tcPr>
          <w:p w14:paraId="09E28CA8" w14:textId="33847319" w:rsidR="00437C49" w:rsidRPr="00DA61EB" w:rsidRDefault="00437C49" w:rsidP="006F65CC">
            <w:pPr>
              <w:pStyle w:val="Tabletext"/>
              <w:jc w:val="center"/>
            </w:pPr>
            <w:r>
              <w:rPr>
                <w:rFonts w:ascii="Calibri" w:hAnsi="Calibri" w:cs="Calibri"/>
                <w:sz w:val="22"/>
                <w:szCs w:val="22"/>
              </w:rPr>
              <w:t>7.939</w:t>
            </w:r>
          </w:p>
        </w:tc>
        <w:tc>
          <w:tcPr>
            <w:tcW w:w="1276" w:type="dxa"/>
          </w:tcPr>
          <w:p w14:paraId="533ABE01" w14:textId="7B4044A5" w:rsidR="00437C49" w:rsidRPr="00DA61EB" w:rsidRDefault="00437C49" w:rsidP="006F65CC">
            <w:pPr>
              <w:pStyle w:val="Tabletext"/>
              <w:jc w:val="center"/>
            </w:pPr>
            <w:r>
              <w:rPr>
                <w:rFonts w:ascii="Calibri" w:hAnsi="Calibri" w:cs="Calibri"/>
                <w:sz w:val="22"/>
                <w:szCs w:val="22"/>
              </w:rPr>
              <w:t>0.907</w:t>
            </w:r>
          </w:p>
        </w:tc>
      </w:tr>
      <w:tr w:rsidR="00437C49" w:rsidRPr="00DA61EB" w14:paraId="3E274488" w14:textId="77777777" w:rsidTr="0064760C">
        <w:tc>
          <w:tcPr>
            <w:tcW w:w="1668" w:type="dxa"/>
            <w:vMerge/>
            <w:tcBorders>
              <w:bottom w:val="double" w:sz="4" w:space="0" w:color="auto"/>
            </w:tcBorders>
          </w:tcPr>
          <w:p w14:paraId="589CCEC2" w14:textId="77777777" w:rsidR="00437C49" w:rsidRPr="00DA61EB" w:rsidRDefault="00437C49" w:rsidP="00437C49">
            <w:pPr>
              <w:pStyle w:val="Tabletext"/>
              <w:numPr>
                <w:ilvl w:val="0"/>
                <w:numId w:val="160"/>
              </w:numPr>
            </w:pPr>
          </w:p>
        </w:tc>
        <w:tc>
          <w:tcPr>
            <w:tcW w:w="3827" w:type="dxa"/>
            <w:tcBorders>
              <w:bottom w:val="double" w:sz="4" w:space="0" w:color="auto"/>
            </w:tcBorders>
          </w:tcPr>
          <w:p w14:paraId="12B4BE33" w14:textId="77777777" w:rsidR="00437C49" w:rsidRPr="00D92A45" w:rsidRDefault="00437C49" w:rsidP="00437C49">
            <w:pPr>
              <w:pStyle w:val="Tabletext"/>
              <w:numPr>
                <w:ilvl w:val="0"/>
                <w:numId w:val="161"/>
              </w:numPr>
              <w:ind w:left="328" w:hanging="328"/>
            </w:pPr>
            <w:r w:rsidRPr="00987E3D">
              <w:rPr>
                <w:iCs/>
              </w:rPr>
              <w:t>Central ducted heat pump</w:t>
            </w:r>
            <w:r w:rsidRPr="00D92A45">
              <w:t xml:space="preserve"> compliant with the provisions of section </w:t>
            </w:r>
            <w:r>
              <w:t xml:space="preserve">2.1.3(e)ii(2) </w:t>
            </w:r>
          </w:p>
        </w:tc>
        <w:tc>
          <w:tcPr>
            <w:tcW w:w="1276" w:type="dxa"/>
            <w:tcBorders>
              <w:bottom w:val="double" w:sz="4" w:space="0" w:color="auto"/>
            </w:tcBorders>
          </w:tcPr>
          <w:p w14:paraId="3AF15636" w14:textId="77777777" w:rsidR="00437C49" w:rsidRPr="00DA61EB" w:rsidRDefault="00437C49" w:rsidP="00437C49">
            <w:pPr>
              <w:pStyle w:val="Tabletext"/>
              <w:jc w:val="center"/>
            </w:pPr>
            <w:r w:rsidRPr="00DA61EB">
              <w:t>3.1</w:t>
            </w:r>
          </w:p>
        </w:tc>
        <w:tc>
          <w:tcPr>
            <w:tcW w:w="1275" w:type="dxa"/>
            <w:tcBorders>
              <w:bottom w:val="double" w:sz="4" w:space="0" w:color="auto"/>
            </w:tcBorders>
          </w:tcPr>
          <w:p w14:paraId="57852B7C" w14:textId="6B96617A" w:rsidR="00437C49" w:rsidRPr="00DA61EB" w:rsidRDefault="00437C49" w:rsidP="006F65CC">
            <w:pPr>
              <w:pStyle w:val="Tabletext"/>
              <w:jc w:val="center"/>
            </w:pPr>
            <w:r>
              <w:rPr>
                <w:rFonts w:ascii="Calibri" w:hAnsi="Calibri" w:cs="Calibri"/>
                <w:sz w:val="22"/>
                <w:szCs w:val="22"/>
              </w:rPr>
              <w:t>6.411</w:t>
            </w:r>
          </w:p>
        </w:tc>
        <w:tc>
          <w:tcPr>
            <w:tcW w:w="1276" w:type="dxa"/>
            <w:tcBorders>
              <w:bottom w:val="double" w:sz="4" w:space="0" w:color="auto"/>
            </w:tcBorders>
          </w:tcPr>
          <w:p w14:paraId="2AE21408" w14:textId="03268920" w:rsidR="00437C49" w:rsidRPr="00DA61EB" w:rsidRDefault="00437C49" w:rsidP="006F65CC">
            <w:pPr>
              <w:pStyle w:val="Tabletext"/>
              <w:jc w:val="center"/>
            </w:pPr>
            <w:r>
              <w:rPr>
                <w:rFonts w:ascii="Calibri" w:hAnsi="Calibri" w:cs="Calibri"/>
                <w:sz w:val="22"/>
                <w:szCs w:val="22"/>
              </w:rPr>
              <w:t>1.390</w:t>
            </w:r>
          </w:p>
        </w:tc>
      </w:tr>
      <w:tr w:rsidR="00437C49" w:rsidRPr="00DA61EB" w14:paraId="66902B9C" w14:textId="77777777" w:rsidTr="0064760C">
        <w:tc>
          <w:tcPr>
            <w:tcW w:w="1668" w:type="dxa"/>
            <w:vMerge w:val="restart"/>
            <w:tcBorders>
              <w:top w:val="double" w:sz="4" w:space="0" w:color="auto"/>
            </w:tcBorders>
          </w:tcPr>
          <w:p w14:paraId="037CF625" w14:textId="77777777" w:rsidR="00437C49" w:rsidRPr="00DA61EB" w:rsidRDefault="00437C49" w:rsidP="00437C49">
            <w:pPr>
              <w:pStyle w:val="Tabletext"/>
              <w:numPr>
                <w:ilvl w:val="0"/>
                <w:numId w:val="160"/>
              </w:numPr>
              <w:ind w:left="284" w:hanging="284"/>
            </w:pPr>
            <w:r w:rsidRPr="00DA61EB">
              <w:t xml:space="preserve">Qualifying </w:t>
            </w:r>
            <w:r>
              <w:t xml:space="preserve">fixed </w:t>
            </w:r>
            <w:r w:rsidRPr="00DA61EB">
              <w:t xml:space="preserve">electric resistance </w:t>
            </w:r>
            <w:r>
              <w:t>–</w:t>
            </w:r>
            <w:r w:rsidRPr="00DA61EB">
              <w:t xml:space="preserve"> slab or ducted</w:t>
            </w:r>
            <w:r>
              <w:t xml:space="preserve"> (must service more than 70m</w:t>
            </w:r>
            <w:r w:rsidRPr="009261A0">
              <w:rPr>
                <w:vertAlign w:val="superscript"/>
              </w:rPr>
              <w:t>2</w:t>
            </w:r>
            <w:r>
              <w:t>)</w:t>
            </w:r>
          </w:p>
        </w:tc>
        <w:tc>
          <w:tcPr>
            <w:tcW w:w="3827" w:type="dxa"/>
            <w:tcBorders>
              <w:top w:val="double" w:sz="4" w:space="0" w:color="auto"/>
            </w:tcBorders>
          </w:tcPr>
          <w:p w14:paraId="6BFB89A9" w14:textId="77777777" w:rsidR="00437C49" w:rsidRPr="009261A0" w:rsidRDefault="00437C49" w:rsidP="00437C49">
            <w:pPr>
              <w:pStyle w:val="Tabletext"/>
              <w:numPr>
                <w:ilvl w:val="0"/>
                <w:numId w:val="164"/>
              </w:numPr>
              <w:ind w:left="328" w:hanging="328"/>
              <w:rPr>
                <w:iCs/>
              </w:rPr>
            </w:pPr>
            <w:r w:rsidRPr="009261A0">
              <w:rPr>
                <w:iCs/>
              </w:rPr>
              <w:t>Central ducted heat pump</w:t>
            </w:r>
          </w:p>
        </w:tc>
        <w:tc>
          <w:tcPr>
            <w:tcW w:w="1276" w:type="dxa"/>
            <w:tcBorders>
              <w:top w:val="double" w:sz="4" w:space="0" w:color="auto"/>
            </w:tcBorders>
          </w:tcPr>
          <w:p w14:paraId="2BDCF648" w14:textId="77777777" w:rsidR="00437C49" w:rsidRPr="00DA61EB" w:rsidRDefault="00437C49" w:rsidP="00437C49">
            <w:pPr>
              <w:pStyle w:val="Tabletext"/>
              <w:jc w:val="center"/>
            </w:pPr>
            <w:r w:rsidRPr="00DA61EB">
              <w:t>3.6</w:t>
            </w:r>
          </w:p>
        </w:tc>
        <w:tc>
          <w:tcPr>
            <w:tcW w:w="1275" w:type="dxa"/>
            <w:tcBorders>
              <w:top w:val="double" w:sz="4" w:space="0" w:color="auto"/>
            </w:tcBorders>
          </w:tcPr>
          <w:p w14:paraId="56E0F28F" w14:textId="78673137" w:rsidR="00437C49" w:rsidRPr="00DA61EB" w:rsidRDefault="00437C49" w:rsidP="006F65CC">
            <w:pPr>
              <w:pStyle w:val="Tabletext"/>
              <w:jc w:val="center"/>
            </w:pPr>
            <w:r>
              <w:rPr>
                <w:rFonts w:ascii="Calibri" w:hAnsi="Calibri" w:cs="Calibri"/>
                <w:sz w:val="22"/>
                <w:szCs w:val="22"/>
              </w:rPr>
              <w:t>10.230</w:t>
            </w:r>
          </w:p>
        </w:tc>
        <w:tc>
          <w:tcPr>
            <w:tcW w:w="1276" w:type="dxa"/>
            <w:tcBorders>
              <w:top w:val="double" w:sz="4" w:space="0" w:color="auto"/>
            </w:tcBorders>
          </w:tcPr>
          <w:p w14:paraId="0EC63FF4" w14:textId="29D80BB6" w:rsidR="00437C49" w:rsidRPr="00DA61EB" w:rsidRDefault="00437C49" w:rsidP="006F65CC">
            <w:pPr>
              <w:pStyle w:val="Tabletext"/>
              <w:jc w:val="center"/>
            </w:pPr>
            <w:r>
              <w:rPr>
                <w:rFonts w:ascii="Calibri" w:hAnsi="Calibri" w:cs="Calibri"/>
                <w:sz w:val="22"/>
                <w:szCs w:val="22"/>
              </w:rPr>
              <w:t>1.067</w:t>
            </w:r>
          </w:p>
        </w:tc>
      </w:tr>
      <w:tr w:rsidR="00437C49" w:rsidRPr="00DA61EB" w14:paraId="63224371" w14:textId="77777777" w:rsidTr="0064760C">
        <w:tc>
          <w:tcPr>
            <w:tcW w:w="1668" w:type="dxa"/>
            <w:vMerge/>
          </w:tcPr>
          <w:p w14:paraId="43E5F3D0" w14:textId="77777777" w:rsidR="00437C49" w:rsidRPr="00DA61EB" w:rsidRDefault="00437C49" w:rsidP="00437C49">
            <w:pPr>
              <w:pStyle w:val="Tabletext"/>
              <w:numPr>
                <w:ilvl w:val="0"/>
                <w:numId w:val="160"/>
              </w:numPr>
            </w:pPr>
          </w:p>
        </w:tc>
        <w:tc>
          <w:tcPr>
            <w:tcW w:w="3827" w:type="dxa"/>
          </w:tcPr>
          <w:p w14:paraId="67C73ADE" w14:textId="77777777" w:rsidR="00437C49" w:rsidRPr="009261A0" w:rsidRDefault="00437C49" w:rsidP="00437C49">
            <w:pPr>
              <w:pStyle w:val="Tabletext"/>
              <w:numPr>
                <w:ilvl w:val="0"/>
                <w:numId w:val="164"/>
              </w:numPr>
              <w:ind w:left="328" w:hanging="328"/>
              <w:rPr>
                <w:iCs/>
              </w:rPr>
            </w:pPr>
            <w:r w:rsidRPr="009261A0">
              <w:rPr>
                <w:iCs/>
              </w:rPr>
              <w:t>Central non-ducted heat pump, or two or more room heat pumps</w:t>
            </w:r>
          </w:p>
        </w:tc>
        <w:tc>
          <w:tcPr>
            <w:tcW w:w="1276" w:type="dxa"/>
          </w:tcPr>
          <w:p w14:paraId="612A3B5A" w14:textId="77777777" w:rsidR="00437C49" w:rsidRPr="00DA61EB" w:rsidRDefault="00437C49" w:rsidP="00437C49">
            <w:pPr>
              <w:pStyle w:val="Tabletext"/>
              <w:jc w:val="center"/>
            </w:pPr>
            <w:r w:rsidRPr="00DA61EB">
              <w:t>3.6</w:t>
            </w:r>
          </w:p>
        </w:tc>
        <w:tc>
          <w:tcPr>
            <w:tcW w:w="1275" w:type="dxa"/>
          </w:tcPr>
          <w:p w14:paraId="2C33CA55" w14:textId="604611EB" w:rsidR="00437C49" w:rsidRPr="00DA61EB" w:rsidRDefault="00437C49" w:rsidP="006F65CC">
            <w:pPr>
              <w:pStyle w:val="Tabletext"/>
              <w:jc w:val="center"/>
            </w:pPr>
            <w:r>
              <w:rPr>
                <w:rFonts w:ascii="Calibri" w:hAnsi="Calibri" w:cs="Calibri"/>
                <w:sz w:val="22"/>
                <w:szCs w:val="22"/>
              </w:rPr>
              <w:t>10.967</w:t>
            </w:r>
          </w:p>
        </w:tc>
        <w:tc>
          <w:tcPr>
            <w:tcW w:w="1276" w:type="dxa"/>
          </w:tcPr>
          <w:p w14:paraId="59E5E22A" w14:textId="7B2A452D" w:rsidR="00437C49" w:rsidRPr="00DA61EB" w:rsidRDefault="00437C49" w:rsidP="006F65CC">
            <w:pPr>
              <w:pStyle w:val="Tabletext"/>
              <w:jc w:val="center"/>
            </w:pPr>
            <w:r>
              <w:rPr>
                <w:rFonts w:ascii="Calibri" w:hAnsi="Calibri" w:cs="Calibri"/>
                <w:sz w:val="22"/>
                <w:szCs w:val="22"/>
              </w:rPr>
              <w:t>0.907</w:t>
            </w:r>
          </w:p>
        </w:tc>
      </w:tr>
      <w:tr w:rsidR="00437C49" w:rsidRPr="00DA61EB" w14:paraId="45DD969A" w14:textId="77777777" w:rsidTr="0064760C">
        <w:tc>
          <w:tcPr>
            <w:tcW w:w="1668" w:type="dxa"/>
            <w:vMerge/>
            <w:tcBorders>
              <w:bottom w:val="double" w:sz="4" w:space="0" w:color="auto"/>
            </w:tcBorders>
          </w:tcPr>
          <w:p w14:paraId="34822C41" w14:textId="77777777" w:rsidR="00437C49" w:rsidRPr="00DA61EB" w:rsidRDefault="00437C49" w:rsidP="00437C49">
            <w:pPr>
              <w:pStyle w:val="Tabletext"/>
              <w:numPr>
                <w:ilvl w:val="0"/>
                <w:numId w:val="160"/>
              </w:numPr>
            </w:pPr>
          </w:p>
        </w:tc>
        <w:tc>
          <w:tcPr>
            <w:tcW w:w="3827" w:type="dxa"/>
            <w:tcBorders>
              <w:bottom w:val="double" w:sz="4" w:space="0" w:color="auto"/>
            </w:tcBorders>
          </w:tcPr>
          <w:p w14:paraId="00E88A2A" w14:textId="77777777" w:rsidR="00437C49" w:rsidRPr="009261A0" w:rsidRDefault="00437C49" w:rsidP="00437C49">
            <w:pPr>
              <w:pStyle w:val="Tabletext"/>
              <w:numPr>
                <w:ilvl w:val="0"/>
                <w:numId w:val="164"/>
              </w:numPr>
              <w:ind w:left="328" w:hanging="328"/>
              <w:rPr>
                <w:iCs/>
              </w:rPr>
            </w:pPr>
            <w:r w:rsidRPr="009261A0">
              <w:rPr>
                <w:iCs/>
              </w:rPr>
              <w:t>Central ducted heat pump compliant with the provisions of section 2.1.3(e)ii(2)</w:t>
            </w:r>
          </w:p>
        </w:tc>
        <w:tc>
          <w:tcPr>
            <w:tcW w:w="1276" w:type="dxa"/>
            <w:tcBorders>
              <w:bottom w:val="double" w:sz="4" w:space="0" w:color="auto"/>
            </w:tcBorders>
          </w:tcPr>
          <w:p w14:paraId="74092AD9" w14:textId="77777777" w:rsidR="00437C49" w:rsidRPr="00DA61EB" w:rsidRDefault="00437C49" w:rsidP="00437C49">
            <w:pPr>
              <w:pStyle w:val="Tabletext"/>
              <w:jc w:val="center"/>
            </w:pPr>
            <w:r w:rsidRPr="00DA61EB">
              <w:t>3.1</w:t>
            </w:r>
          </w:p>
        </w:tc>
        <w:tc>
          <w:tcPr>
            <w:tcW w:w="1275" w:type="dxa"/>
            <w:tcBorders>
              <w:bottom w:val="double" w:sz="4" w:space="0" w:color="auto"/>
            </w:tcBorders>
          </w:tcPr>
          <w:p w14:paraId="1EBDAC83" w14:textId="1FACC344" w:rsidR="00437C49" w:rsidRPr="00DA61EB" w:rsidRDefault="00437C49" w:rsidP="006F65CC">
            <w:pPr>
              <w:pStyle w:val="Tabletext"/>
              <w:jc w:val="center"/>
            </w:pPr>
            <w:r>
              <w:rPr>
                <w:rFonts w:ascii="Calibri" w:hAnsi="Calibri" w:cs="Calibri"/>
                <w:sz w:val="22"/>
                <w:szCs w:val="22"/>
              </w:rPr>
              <w:t>9.439</w:t>
            </w:r>
          </w:p>
        </w:tc>
        <w:tc>
          <w:tcPr>
            <w:tcW w:w="1276" w:type="dxa"/>
            <w:tcBorders>
              <w:bottom w:val="double" w:sz="4" w:space="0" w:color="auto"/>
            </w:tcBorders>
          </w:tcPr>
          <w:p w14:paraId="6D8FEF56" w14:textId="41CBBB2E" w:rsidR="00437C49" w:rsidRPr="00DA61EB" w:rsidRDefault="00437C49" w:rsidP="006F65CC">
            <w:pPr>
              <w:pStyle w:val="Tabletext"/>
              <w:jc w:val="center"/>
            </w:pPr>
            <w:r>
              <w:rPr>
                <w:rFonts w:ascii="Calibri" w:hAnsi="Calibri" w:cs="Calibri"/>
                <w:sz w:val="22"/>
                <w:szCs w:val="22"/>
              </w:rPr>
              <w:t>1.390</w:t>
            </w:r>
          </w:p>
        </w:tc>
      </w:tr>
      <w:tr w:rsidR="00437C49" w:rsidRPr="00DA61EB" w14:paraId="7F49FD8B" w14:textId="77777777" w:rsidTr="0064760C">
        <w:tc>
          <w:tcPr>
            <w:tcW w:w="1668" w:type="dxa"/>
            <w:vMerge w:val="restart"/>
            <w:tcBorders>
              <w:top w:val="double" w:sz="4" w:space="0" w:color="auto"/>
            </w:tcBorders>
          </w:tcPr>
          <w:p w14:paraId="60E75C33" w14:textId="77777777" w:rsidR="00437C49" w:rsidRPr="00DA61EB" w:rsidRDefault="00437C49" w:rsidP="00437C49">
            <w:pPr>
              <w:pStyle w:val="Tabletext"/>
              <w:numPr>
                <w:ilvl w:val="0"/>
                <w:numId w:val="160"/>
              </w:numPr>
              <w:ind w:left="284" w:hanging="284"/>
            </w:pPr>
            <w:r w:rsidRPr="00DA61EB">
              <w:t xml:space="preserve">Qualifying </w:t>
            </w:r>
            <w:r>
              <w:t xml:space="preserve">fixed </w:t>
            </w:r>
            <w:r w:rsidRPr="00DA61EB">
              <w:t>gas ducted heater</w:t>
            </w:r>
            <w:r>
              <w:t>s</w:t>
            </w:r>
          </w:p>
        </w:tc>
        <w:tc>
          <w:tcPr>
            <w:tcW w:w="3827" w:type="dxa"/>
            <w:tcBorders>
              <w:top w:val="double" w:sz="4" w:space="0" w:color="auto"/>
            </w:tcBorders>
          </w:tcPr>
          <w:p w14:paraId="26C8EA98" w14:textId="77777777" w:rsidR="00437C49" w:rsidRPr="00D92A45" w:rsidRDefault="00437C49" w:rsidP="00437C49">
            <w:pPr>
              <w:pStyle w:val="Tabletext"/>
              <w:numPr>
                <w:ilvl w:val="0"/>
                <w:numId w:val="162"/>
              </w:numPr>
              <w:ind w:left="328" w:hanging="328"/>
            </w:pPr>
            <w:r w:rsidRPr="009261A0">
              <w:t>Central ducted heat pump</w:t>
            </w:r>
          </w:p>
        </w:tc>
        <w:tc>
          <w:tcPr>
            <w:tcW w:w="1276" w:type="dxa"/>
            <w:tcBorders>
              <w:top w:val="double" w:sz="4" w:space="0" w:color="auto"/>
            </w:tcBorders>
          </w:tcPr>
          <w:p w14:paraId="04DC8970" w14:textId="77777777" w:rsidR="00437C49" w:rsidRPr="00DA61EB" w:rsidRDefault="00437C49" w:rsidP="00437C49">
            <w:pPr>
              <w:pStyle w:val="Tabletext"/>
              <w:jc w:val="center"/>
            </w:pPr>
            <w:r w:rsidRPr="00DA61EB">
              <w:t>3.6</w:t>
            </w:r>
          </w:p>
        </w:tc>
        <w:tc>
          <w:tcPr>
            <w:tcW w:w="1275" w:type="dxa"/>
            <w:tcBorders>
              <w:top w:val="double" w:sz="4" w:space="0" w:color="auto"/>
            </w:tcBorders>
          </w:tcPr>
          <w:p w14:paraId="1B91345A" w14:textId="3FD8A562" w:rsidR="00437C49" w:rsidRPr="00DA61EB" w:rsidRDefault="00437C49" w:rsidP="006F65CC">
            <w:pPr>
              <w:pStyle w:val="Tabletext"/>
              <w:jc w:val="center"/>
            </w:pPr>
            <w:r>
              <w:rPr>
                <w:rFonts w:ascii="Calibri" w:hAnsi="Calibri" w:cs="Calibri"/>
                <w:sz w:val="22"/>
                <w:szCs w:val="22"/>
              </w:rPr>
              <w:t>14.564</w:t>
            </w:r>
          </w:p>
        </w:tc>
        <w:tc>
          <w:tcPr>
            <w:tcW w:w="1276" w:type="dxa"/>
            <w:tcBorders>
              <w:top w:val="double" w:sz="4" w:space="0" w:color="auto"/>
            </w:tcBorders>
          </w:tcPr>
          <w:p w14:paraId="2C92300C" w14:textId="754D79FD" w:rsidR="00437C49" w:rsidRPr="00DA61EB" w:rsidRDefault="00437C49" w:rsidP="006F65CC">
            <w:pPr>
              <w:pStyle w:val="Tabletext"/>
              <w:jc w:val="center"/>
            </w:pPr>
            <w:r>
              <w:rPr>
                <w:rFonts w:ascii="Calibri" w:hAnsi="Calibri" w:cs="Calibri"/>
                <w:sz w:val="22"/>
                <w:szCs w:val="22"/>
              </w:rPr>
              <w:t>1.067</w:t>
            </w:r>
          </w:p>
        </w:tc>
      </w:tr>
      <w:tr w:rsidR="00437C49" w:rsidRPr="00DA61EB" w14:paraId="518D87EE" w14:textId="77777777" w:rsidTr="0064760C">
        <w:tc>
          <w:tcPr>
            <w:tcW w:w="1668" w:type="dxa"/>
            <w:vMerge/>
          </w:tcPr>
          <w:p w14:paraId="5490BEBF" w14:textId="77777777" w:rsidR="00437C49" w:rsidRPr="00DA61EB" w:rsidRDefault="00437C49" w:rsidP="00437C49">
            <w:pPr>
              <w:pStyle w:val="Tabletext"/>
              <w:numPr>
                <w:ilvl w:val="0"/>
                <w:numId w:val="160"/>
              </w:numPr>
            </w:pPr>
          </w:p>
        </w:tc>
        <w:tc>
          <w:tcPr>
            <w:tcW w:w="3827" w:type="dxa"/>
          </w:tcPr>
          <w:p w14:paraId="4FF28BF7" w14:textId="77777777" w:rsidR="00437C49" w:rsidRPr="00D92A45" w:rsidRDefault="00437C49" w:rsidP="00437C49">
            <w:pPr>
              <w:pStyle w:val="Tabletext"/>
              <w:numPr>
                <w:ilvl w:val="0"/>
                <w:numId w:val="162"/>
              </w:numPr>
              <w:ind w:left="328" w:hanging="328"/>
            </w:pPr>
            <w:r w:rsidRPr="009261A0">
              <w:t>Central non-ducted heat pump</w:t>
            </w:r>
            <w:r w:rsidRPr="00D92A45">
              <w:t xml:space="preserve">, or two or more </w:t>
            </w:r>
            <w:r w:rsidRPr="009261A0">
              <w:t>room heat pumps</w:t>
            </w:r>
          </w:p>
        </w:tc>
        <w:tc>
          <w:tcPr>
            <w:tcW w:w="1276" w:type="dxa"/>
          </w:tcPr>
          <w:p w14:paraId="26F04FC2" w14:textId="77777777" w:rsidR="00437C49" w:rsidRPr="00DA61EB" w:rsidRDefault="00437C49" w:rsidP="00437C49">
            <w:pPr>
              <w:pStyle w:val="Tabletext"/>
              <w:jc w:val="center"/>
            </w:pPr>
            <w:r w:rsidRPr="00DA61EB">
              <w:t>3.6</w:t>
            </w:r>
          </w:p>
        </w:tc>
        <w:tc>
          <w:tcPr>
            <w:tcW w:w="1275" w:type="dxa"/>
          </w:tcPr>
          <w:p w14:paraId="6C3094D3" w14:textId="384DD380" w:rsidR="00437C49" w:rsidRPr="00DA61EB" w:rsidRDefault="00437C49" w:rsidP="006F65CC">
            <w:pPr>
              <w:pStyle w:val="Tabletext"/>
              <w:jc w:val="center"/>
            </w:pPr>
            <w:r>
              <w:rPr>
                <w:rFonts w:ascii="Calibri" w:hAnsi="Calibri" w:cs="Calibri"/>
                <w:sz w:val="22"/>
                <w:szCs w:val="22"/>
              </w:rPr>
              <w:t>15.300</w:t>
            </w:r>
          </w:p>
        </w:tc>
        <w:tc>
          <w:tcPr>
            <w:tcW w:w="1276" w:type="dxa"/>
          </w:tcPr>
          <w:p w14:paraId="1ECA4A35" w14:textId="1CB7A141" w:rsidR="00437C49" w:rsidRPr="00DA61EB" w:rsidRDefault="00437C49" w:rsidP="006F65CC">
            <w:pPr>
              <w:pStyle w:val="Tabletext"/>
              <w:jc w:val="center"/>
            </w:pPr>
            <w:r>
              <w:rPr>
                <w:rFonts w:ascii="Calibri" w:hAnsi="Calibri" w:cs="Calibri"/>
                <w:sz w:val="22"/>
                <w:szCs w:val="22"/>
              </w:rPr>
              <w:t>0.907</w:t>
            </w:r>
          </w:p>
        </w:tc>
      </w:tr>
      <w:tr w:rsidR="00437C49" w:rsidRPr="00DA61EB" w14:paraId="549022FA" w14:textId="77777777" w:rsidTr="0064760C">
        <w:tc>
          <w:tcPr>
            <w:tcW w:w="1668" w:type="dxa"/>
            <w:vMerge/>
            <w:tcBorders>
              <w:bottom w:val="double" w:sz="4" w:space="0" w:color="auto"/>
            </w:tcBorders>
          </w:tcPr>
          <w:p w14:paraId="3DA48389" w14:textId="77777777" w:rsidR="00437C49" w:rsidRPr="00DA61EB" w:rsidRDefault="00437C49" w:rsidP="00437C49">
            <w:pPr>
              <w:pStyle w:val="Tabletext"/>
              <w:numPr>
                <w:ilvl w:val="0"/>
                <w:numId w:val="160"/>
              </w:numPr>
            </w:pPr>
          </w:p>
        </w:tc>
        <w:tc>
          <w:tcPr>
            <w:tcW w:w="3827" w:type="dxa"/>
            <w:tcBorders>
              <w:bottom w:val="double" w:sz="4" w:space="0" w:color="auto"/>
            </w:tcBorders>
          </w:tcPr>
          <w:p w14:paraId="6B5702F2" w14:textId="77777777" w:rsidR="00437C49" w:rsidRPr="00D92A45" w:rsidRDefault="00437C49" w:rsidP="00437C49">
            <w:pPr>
              <w:pStyle w:val="Tabletext"/>
              <w:numPr>
                <w:ilvl w:val="0"/>
                <w:numId w:val="162"/>
              </w:numPr>
              <w:ind w:left="328" w:hanging="328"/>
            </w:pPr>
            <w:r w:rsidRPr="009261A0">
              <w:t>Central ducted heat pump</w:t>
            </w:r>
            <w:r w:rsidRPr="00D92A45">
              <w:t xml:space="preserve"> compliant with the provisions of section </w:t>
            </w:r>
            <w:r>
              <w:lastRenderedPageBreak/>
              <w:t xml:space="preserve">2.1.3(e)ii(2) </w:t>
            </w:r>
          </w:p>
        </w:tc>
        <w:tc>
          <w:tcPr>
            <w:tcW w:w="1276" w:type="dxa"/>
            <w:tcBorders>
              <w:bottom w:val="double" w:sz="4" w:space="0" w:color="auto"/>
            </w:tcBorders>
          </w:tcPr>
          <w:p w14:paraId="0418F880" w14:textId="77777777" w:rsidR="00437C49" w:rsidRPr="00DA61EB" w:rsidRDefault="00437C49" w:rsidP="00437C49">
            <w:pPr>
              <w:pStyle w:val="Tabletext"/>
              <w:jc w:val="center"/>
            </w:pPr>
            <w:r w:rsidRPr="00DA61EB">
              <w:lastRenderedPageBreak/>
              <w:t>3.1</w:t>
            </w:r>
          </w:p>
        </w:tc>
        <w:tc>
          <w:tcPr>
            <w:tcW w:w="1275" w:type="dxa"/>
            <w:tcBorders>
              <w:bottom w:val="double" w:sz="4" w:space="0" w:color="auto"/>
            </w:tcBorders>
          </w:tcPr>
          <w:p w14:paraId="4D020045" w14:textId="4BB20697" w:rsidR="00437C49" w:rsidRPr="00DA61EB" w:rsidRDefault="00437C49" w:rsidP="006F65CC">
            <w:pPr>
              <w:pStyle w:val="Tabletext"/>
              <w:jc w:val="center"/>
            </w:pPr>
            <w:r>
              <w:rPr>
                <w:rFonts w:ascii="Calibri" w:hAnsi="Calibri" w:cs="Calibri"/>
                <w:sz w:val="22"/>
                <w:szCs w:val="22"/>
              </w:rPr>
              <w:t>13.772</w:t>
            </w:r>
          </w:p>
        </w:tc>
        <w:tc>
          <w:tcPr>
            <w:tcW w:w="1276" w:type="dxa"/>
            <w:tcBorders>
              <w:bottom w:val="double" w:sz="4" w:space="0" w:color="auto"/>
            </w:tcBorders>
          </w:tcPr>
          <w:p w14:paraId="60D132A1" w14:textId="07B3AFBE" w:rsidR="00437C49" w:rsidRPr="00DA61EB" w:rsidRDefault="00437C49" w:rsidP="006F65CC">
            <w:pPr>
              <w:pStyle w:val="Tabletext"/>
              <w:jc w:val="center"/>
            </w:pPr>
            <w:r>
              <w:rPr>
                <w:rFonts w:ascii="Calibri" w:hAnsi="Calibri" w:cs="Calibri"/>
                <w:sz w:val="22"/>
                <w:szCs w:val="22"/>
              </w:rPr>
              <w:t>1.390</w:t>
            </w:r>
          </w:p>
        </w:tc>
      </w:tr>
      <w:tr w:rsidR="00437C49" w:rsidRPr="00DA61EB" w14:paraId="339951AB" w14:textId="77777777" w:rsidTr="0064760C">
        <w:tc>
          <w:tcPr>
            <w:tcW w:w="1668" w:type="dxa"/>
            <w:vMerge w:val="restart"/>
            <w:tcBorders>
              <w:top w:val="double" w:sz="4" w:space="0" w:color="auto"/>
            </w:tcBorders>
          </w:tcPr>
          <w:p w14:paraId="389ABE84" w14:textId="77777777" w:rsidR="00437C49" w:rsidRPr="00DA61EB" w:rsidRDefault="00437C49" w:rsidP="00437C49">
            <w:pPr>
              <w:pStyle w:val="Tabletext"/>
              <w:numPr>
                <w:ilvl w:val="0"/>
                <w:numId w:val="160"/>
              </w:numPr>
              <w:ind w:left="284" w:hanging="284"/>
            </w:pPr>
            <w:r w:rsidRPr="00DA61EB">
              <w:t>None, any, not specified</w:t>
            </w:r>
          </w:p>
        </w:tc>
        <w:tc>
          <w:tcPr>
            <w:tcW w:w="3827" w:type="dxa"/>
            <w:tcBorders>
              <w:top w:val="double" w:sz="4" w:space="0" w:color="auto"/>
            </w:tcBorders>
          </w:tcPr>
          <w:p w14:paraId="238BA4CC" w14:textId="77777777" w:rsidR="00437C49" w:rsidRPr="00D92A45" w:rsidRDefault="00437C49" w:rsidP="00437C49">
            <w:pPr>
              <w:pStyle w:val="Tabletext"/>
              <w:numPr>
                <w:ilvl w:val="0"/>
                <w:numId w:val="163"/>
              </w:numPr>
              <w:ind w:left="328" w:hanging="328"/>
            </w:pPr>
            <w:r w:rsidRPr="009261A0">
              <w:t>Central ducted heat pump</w:t>
            </w:r>
          </w:p>
        </w:tc>
        <w:tc>
          <w:tcPr>
            <w:tcW w:w="1276" w:type="dxa"/>
            <w:tcBorders>
              <w:top w:val="double" w:sz="4" w:space="0" w:color="auto"/>
            </w:tcBorders>
          </w:tcPr>
          <w:p w14:paraId="3F3DED97" w14:textId="77777777" w:rsidR="00437C49" w:rsidRPr="00DA61EB" w:rsidRDefault="00437C49" w:rsidP="00437C49">
            <w:pPr>
              <w:pStyle w:val="Tabletext"/>
              <w:jc w:val="center"/>
            </w:pPr>
            <w:r w:rsidRPr="00DA61EB">
              <w:t>3.6</w:t>
            </w:r>
          </w:p>
        </w:tc>
        <w:tc>
          <w:tcPr>
            <w:tcW w:w="1275" w:type="dxa"/>
            <w:tcBorders>
              <w:top w:val="double" w:sz="4" w:space="0" w:color="auto"/>
            </w:tcBorders>
            <w:vAlign w:val="bottom"/>
          </w:tcPr>
          <w:p w14:paraId="45D09EA2" w14:textId="1369BA2F" w:rsidR="00437C49" w:rsidRPr="00DA61EB" w:rsidRDefault="00437C49" w:rsidP="00437C49">
            <w:pPr>
              <w:pStyle w:val="Tabletext"/>
              <w:jc w:val="center"/>
            </w:pPr>
            <w:r>
              <w:rPr>
                <w:rFonts w:ascii="Calibri" w:hAnsi="Calibri" w:cs="Calibri"/>
                <w:sz w:val="22"/>
                <w:szCs w:val="22"/>
              </w:rPr>
              <w:t>0.000</w:t>
            </w:r>
          </w:p>
        </w:tc>
        <w:tc>
          <w:tcPr>
            <w:tcW w:w="1276" w:type="dxa"/>
            <w:tcBorders>
              <w:top w:val="double" w:sz="4" w:space="0" w:color="auto"/>
            </w:tcBorders>
            <w:vAlign w:val="bottom"/>
          </w:tcPr>
          <w:p w14:paraId="6F629274" w14:textId="5A184C5A" w:rsidR="00437C49" w:rsidRPr="00DA61EB" w:rsidRDefault="00437C49" w:rsidP="00437C49">
            <w:pPr>
              <w:pStyle w:val="Tabletext"/>
              <w:jc w:val="center"/>
            </w:pPr>
            <w:r>
              <w:rPr>
                <w:rFonts w:ascii="Calibri" w:hAnsi="Calibri" w:cs="Calibri"/>
                <w:sz w:val="22"/>
                <w:szCs w:val="22"/>
              </w:rPr>
              <w:t>1.067</w:t>
            </w:r>
          </w:p>
        </w:tc>
      </w:tr>
      <w:tr w:rsidR="00437C49" w:rsidRPr="00DA61EB" w14:paraId="671928C2" w14:textId="77777777" w:rsidTr="0064760C">
        <w:tc>
          <w:tcPr>
            <w:tcW w:w="1668" w:type="dxa"/>
            <w:vMerge/>
            <w:tcBorders>
              <w:top w:val="double" w:sz="4" w:space="0" w:color="auto"/>
            </w:tcBorders>
          </w:tcPr>
          <w:p w14:paraId="1BDEEBC2" w14:textId="77777777" w:rsidR="00437C49" w:rsidRPr="00DA61EB" w:rsidRDefault="00437C49" w:rsidP="00437C49">
            <w:pPr>
              <w:pStyle w:val="Tabletext"/>
              <w:numPr>
                <w:ilvl w:val="0"/>
                <w:numId w:val="160"/>
              </w:numPr>
              <w:ind w:left="284" w:hanging="284"/>
            </w:pPr>
          </w:p>
        </w:tc>
        <w:tc>
          <w:tcPr>
            <w:tcW w:w="3827" w:type="dxa"/>
            <w:tcBorders>
              <w:top w:val="double" w:sz="4" w:space="0" w:color="auto"/>
            </w:tcBorders>
          </w:tcPr>
          <w:p w14:paraId="520734C3" w14:textId="77777777" w:rsidR="00437C49" w:rsidRPr="009261A0" w:rsidRDefault="00437C49" w:rsidP="00437C49">
            <w:pPr>
              <w:pStyle w:val="Tabletext"/>
              <w:numPr>
                <w:ilvl w:val="0"/>
                <w:numId w:val="163"/>
              </w:numPr>
              <w:ind w:left="328" w:hanging="328"/>
            </w:pPr>
            <w:r>
              <w:t>Central non-ducted heat pump, or two or more room heat pumps</w:t>
            </w:r>
          </w:p>
        </w:tc>
        <w:tc>
          <w:tcPr>
            <w:tcW w:w="1276" w:type="dxa"/>
            <w:tcBorders>
              <w:top w:val="double" w:sz="4" w:space="0" w:color="auto"/>
            </w:tcBorders>
          </w:tcPr>
          <w:p w14:paraId="797FFB06" w14:textId="77777777" w:rsidR="00437C49" w:rsidRPr="00DA61EB" w:rsidRDefault="00437C49" w:rsidP="00437C49">
            <w:pPr>
              <w:pStyle w:val="Tabletext"/>
              <w:jc w:val="center"/>
            </w:pPr>
            <w:r>
              <w:t>3.6</w:t>
            </w:r>
          </w:p>
        </w:tc>
        <w:tc>
          <w:tcPr>
            <w:tcW w:w="1275" w:type="dxa"/>
            <w:tcBorders>
              <w:top w:val="double" w:sz="4" w:space="0" w:color="auto"/>
            </w:tcBorders>
            <w:vAlign w:val="bottom"/>
          </w:tcPr>
          <w:p w14:paraId="3DCDFB62" w14:textId="71360A22" w:rsidR="00437C49" w:rsidRPr="00DA61EB" w:rsidRDefault="00437C49" w:rsidP="00437C49">
            <w:pPr>
              <w:pStyle w:val="Tabletext"/>
              <w:jc w:val="center"/>
            </w:pPr>
            <w:r>
              <w:rPr>
                <w:rFonts w:ascii="Calibri" w:hAnsi="Calibri" w:cs="Calibri"/>
                <w:sz w:val="22"/>
                <w:szCs w:val="22"/>
              </w:rPr>
              <w:t>0.736</w:t>
            </w:r>
          </w:p>
        </w:tc>
        <w:tc>
          <w:tcPr>
            <w:tcW w:w="1276" w:type="dxa"/>
            <w:tcBorders>
              <w:top w:val="double" w:sz="4" w:space="0" w:color="auto"/>
            </w:tcBorders>
            <w:vAlign w:val="bottom"/>
          </w:tcPr>
          <w:p w14:paraId="2231AF27" w14:textId="412FBAB4" w:rsidR="00437C49" w:rsidRPr="00DA61EB" w:rsidRDefault="00437C49" w:rsidP="00437C49">
            <w:pPr>
              <w:pStyle w:val="Tabletext"/>
              <w:jc w:val="center"/>
            </w:pPr>
            <w:r>
              <w:rPr>
                <w:rFonts w:ascii="Calibri" w:hAnsi="Calibri" w:cs="Calibri"/>
                <w:sz w:val="22"/>
                <w:szCs w:val="22"/>
              </w:rPr>
              <w:t>0.907</w:t>
            </w:r>
          </w:p>
        </w:tc>
      </w:tr>
    </w:tbl>
    <w:p w14:paraId="4B3D8027" w14:textId="77777777" w:rsidR="00605125" w:rsidRPr="001C24E1" w:rsidRDefault="00605125" w:rsidP="001C24E1">
      <w:pPr>
        <w:pStyle w:val="Caption"/>
        <w:ind w:left="0" w:firstLine="0"/>
      </w:pPr>
      <w:bookmarkStart w:id="178" w:name="_Toc21868113"/>
      <w:bookmarkStart w:id="179" w:name="_Toc21868245"/>
      <w:bookmarkStart w:id="180" w:name="_Toc37945692"/>
      <w:r w:rsidRPr="001C24E1">
        <w:t xml:space="preserve">Table </w:t>
      </w:r>
      <w:r w:rsidR="004A0156">
        <w:rPr>
          <w:noProof/>
        </w:rPr>
        <w:fldChar w:fldCharType="begin"/>
      </w:r>
      <w:r w:rsidR="004A0156">
        <w:rPr>
          <w:noProof/>
        </w:rPr>
        <w:instrText xml:space="preserve"> SEQ Table \* ARABIC </w:instrText>
      </w:r>
      <w:r w:rsidR="004A0156">
        <w:rPr>
          <w:noProof/>
        </w:rPr>
        <w:fldChar w:fldCharType="separate"/>
      </w:r>
      <w:r w:rsidR="00880CB1">
        <w:rPr>
          <w:noProof/>
        </w:rPr>
        <w:t>8</w:t>
      </w:r>
      <w:r w:rsidR="004A0156">
        <w:rPr>
          <w:noProof/>
        </w:rPr>
        <w:fldChar w:fldCharType="end"/>
      </w:r>
      <w:r w:rsidR="0024735F" w:rsidRPr="001C24E1">
        <w:t xml:space="preserve"> </w:t>
      </w:r>
      <w:r w:rsidR="009E6E7F" w:rsidRPr="001C24E1">
        <w:tab/>
      </w:r>
      <w:r w:rsidR="00C358AC" w:rsidRPr="001C24E1">
        <w:t xml:space="preserve">Activity </w:t>
      </w:r>
      <w:r w:rsidR="00BE25CD">
        <w:t xml:space="preserve">ID </w:t>
      </w:r>
      <w:r w:rsidR="00C358AC" w:rsidRPr="001C24E1">
        <w:t>2.1(b)</w:t>
      </w:r>
      <w:r w:rsidR="00BE25CD">
        <w:t>i</w:t>
      </w:r>
      <w:r w:rsidR="00C358AC">
        <w:t xml:space="preserve"> b</w:t>
      </w:r>
      <w:r w:rsidRPr="001C24E1">
        <w:t xml:space="preserve">usiness </w:t>
      </w:r>
      <w:r w:rsidR="0092427E" w:rsidRPr="001C24E1">
        <w:t>p</w:t>
      </w:r>
      <w:r w:rsidRPr="001C24E1">
        <w:t xml:space="preserve">remises – </w:t>
      </w:r>
      <w:r w:rsidR="00C358AC">
        <w:t>c</w:t>
      </w:r>
      <w:r w:rsidRPr="001C24E1">
        <w:t>ategory 1</w:t>
      </w:r>
      <w:bookmarkEnd w:id="178"/>
      <w:bookmarkEnd w:id="179"/>
      <w:bookmarkEnd w:id="180"/>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3405"/>
        <w:gridCol w:w="1269"/>
        <w:gridCol w:w="1375"/>
        <w:gridCol w:w="1730"/>
      </w:tblGrid>
      <w:tr w:rsidR="00D565C1" w:rsidRPr="008600EA" w14:paraId="6438CC8F" w14:textId="77777777" w:rsidTr="001568B0">
        <w:trPr>
          <w:tblHeader/>
        </w:trPr>
        <w:tc>
          <w:tcPr>
            <w:tcW w:w="1572" w:type="dxa"/>
            <w:tcBorders>
              <w:bottom w:val="double" w:sz="4" w:space="0" w:color="auto"/>
            </w:tcBorders>
          </w:tcPr>
          <w:p w14:paraId="116A44AB" w14:textId="77777777" w:rsidR="00D565C1" w:rsidRPr="00823AAF" w:rsidRDefault="00D565C1" w:rsidP="00D565C1">
            <w:pPr>
              <w:pStyle w:val="Tableheader"/>
            </w:pPr>
            <w:r>
              <w:t>Pre-existing heating condition</w:t>
            </w:r>
            <w:r w:rsidRPr="00823AAF">
              <w:t xml:space="preserve"> </w:t>
            </w:r>
          </w:p>
        </w:tc>
        <w:tc>
          <w:tcPr>
            <w:tcW w:w="3405" w:type="dxa"/>
            <w:tcBorders>
              <w:bottom w:val="double" w:sz="4" w:space="0" w:color="auto"/>
            </w:tcBorders>
          </w:tcPr>
          <w:p w14:paraId="34D90833" w14:textId="77777777" w:rsidR="00D565C1" w:rsidRPr="00823AAF" w:rsidRDefault="00D565C1" w:rsidP="00D565C1">
            <w:pPr>
              <w:pStyle w:val="Tableheader"/>
            </w:pPr>
            <w:r>
              <w:t>Installed product type</w:t>
            </w:r>
          </w:p>
        </w:tc>
        <w:tc>
          <w:tcPr>
            <w:tcW w:w="1269" w:type="dxa"/>
            <w:tcBorders>
              <w:bottom w:val="double" w:sz="4" w:space="0" w:color="auto"/>
            </w:tcBorders>
          </w:tcPr>
          <w:p w14:paraId="051C4939" w14:textId="77777777" w:rsidR="00D565C1" w:rsidRPr="00823AAF" w:rsidRDefault="00D565C1" w:rsidP="00D565C1">
            <w:pPr>
              <w:pStyle w:val="Tableheader"/>
            </w:pPr>
            <w:r w:rsidRPr="00823AAF">
              <w:t>Base Efficiency (</w:t>
            </w:r>
            <w:r w:rsidRPr="00823AAF">
              <w:rPr>
                <w:i/>
              </w:rPr>
              <w:t>Baseline</w:t>
            </w:r>
            <w:r w:rsidRPr="00823AAF">
              <w:t>)</w:t>
            </w:r>
            <w:r w:rsidRPr="00823AAF">
              <w:br/>
              <w:t>ACOP</w:t>
            </w:r>
          </w:p>
        </w:tc>
        <w:tc>
          <w:tcPr>
            <w:tcW w:w="1375" w:type="dxa"/>
            <w:tcBorders>
              <w:bottom w:val="double" w:sz="4" w:space="0" w:color="auto"/>
            </w:tcBorders>
          </w:tcPr>
          <w:p w14:paraId="2931C821" w14:textId="03A0670F" w:rsidR="00D565C1" w:rsidRPr="00823AAF" w:rsidRDefault="00D565C1" w:rsidP="00D565C1">
            <w:pPr>
              <w:pStyle w:val="Tableheader"/>
            </w:pPr>
            <w:r w:rsidRPr="00DA61EB">
              <w:t xml:space="preserve">Fixed </w:t>
            </w:r>
            <w:r>
              <w:t>Energy</w:t>
            </w:r>
            <w:r w:rsidRPr="00DA61EB">
              <w:t xml:space="preserve"> Savings (</w:t>
            </w:r>
            <w:r>
              <w:t>ESF</w:t>
            </w:r>
            <w:r w:rsidRPr="00DA61EB">
              <w:rPr>
                <w:vertAlign w:val="subscript"/>
              </w:rPr>
              <w:t>fixed</w:t>
            </w:r>
            <w:r w:rsidRPr="00DA61EB">
              <w:t xml:space="preserve">) </w:t>
            </w:r>
            <w:r w:rsidRPr="00DA61EB">
              <w:br/>
            </w:r>
            <w:r w:rsidRPr="00A52076">
              <w:t>MWh</w:t>
            </w:r>
          </w:p>
        </w:tc>
        <w:tc>
          <w:tcPr>
            <w:tcW w:w="1730" w:type="dxa"/>
            <w:tcBorders>
              <w:bottom w:val="double" w:sz="4" w:space="0" w:color="auto"/>
            </w:tcBorders>
          </w:tcPr>
          <w:p w14:paraId="75D76B35" w14:textId="1F4FF577" w:rsidR="00D565C1" w:rsidRPr="00823AAF" w:rsidRDefault="00D565C1" w:rsidP="00D565C1">
            <w:pPr>
              <w:pStyle w:val="Tableheader"/>
            </w:pPr>
            <w:r w:rsidRPr="00DA61EB">
              <w:t>Variable</w:t>
            </w:r>
            <w:r>
              <w:t xml:space="preserve"> Energy</w:t>
            </w:r>
            <w:r w:rsidRPr="00DA61EB">
              <w:t xml:space="preserve"> Savings (</w:t>
            </w:r>
            <w:r>
              <w:t>ESF</w:t>
            </w:r>
            <w:r w:rsidRPr="00DA61EB">
              <w:rPr>
                <w:vertAlign w:val="subscript"/>
              </w:rPr>
              <w:t>var</w:t>
            </w:r>
            <w:r w:rsidRPr="00DA61EB">
              <w:t>)</w:t>
            </w:r>
            <w:r w:rsidRPr="00DA61EB">
              <w:br/>
            </w:r>
            <w:r w:rsidRPr="00A52076">
              <w:t>MWh</w:t>
            </w:r>
            <w:r w:rsidRPr="00DA61EB">
              <w:t>/kW</w:t>
            </w:r>
          </w:p>
        </w:tc>
      </w:tr>
      <w:tr w:rsidR="00C20DC7" w:rsidRPr="008600EA" w14:paraId="764F4EF3" w14:textId="77777777" w:rsidTr="0064760C">
        <w:tc>
          <w:tcPr>
            <w:tcW w:w="1572" w:type="dxa"/>
            <w:tcBorders>
              <w:top w:val="double" w:sz="4" w:space="0" w:color="auto"/>
              <w:bottom w:val="double" w:sz="4" w:space="0" w:color="auto"/>
            </w:tcBorders>
          </w:tcPr>
          <w:p w14:paraId="720C70F9" w14:textId="77777777" w:rsidR="00C20DC7" w:rsidRPr="00823AAF" w:rsidRDefault="00C20DC7" w:rsidP="00C20DC7">
            <w:pPr>
              <w:pStyle w:val="Tabletext"/>
            </w:pPr>
            <w:r>
              <w:t xml:space="preserve">(4) </w:t>
            </w:r>
            <w:r w:rsidRPr="00823AAF">
              <w:t>None, reverse cycle heat pump</w:t>
            </w:r>
          </w:p>
        </w:tc>
        <w:tc>
          <w:tcPr>
            <w:tcW w:w="3405" w:type="dxa"/>
            <w:tcBorders>
              <w:top w:val="double" w:sz="4" w:space="0" w:color="auto"/>
              <w:bottom w:val="double" w:sz="4" w:space="0" w:color="auto"/>
            </w:tcBorders>
          </w:tcPr>
          <w:p w14:paraId="6256F74B" w14:textId="77777777" w:rsidR="00C20DC7" w:rsidRPr="00823AAF" w:rsidRDefault="00C20DC7" w:rsidP="00C20DC7">
            <w:pPr>
              <w:pStyle w:val="Tabletext"/>
              <w:numPr>
                <w:ilvl w:val="0"/>
                <w:numId w:val="165"/>
              </w:numPr>
              <w:ind w:left="321" w:hanging="321"/>
            </w:pPr>
            <w:r w:rsidRPr="0092427E">
              <w:t>Central ducted heat pump</w:t>
            </w:r>
          </w:p>
        </w:tc>
        <w:tc>
          <w:tcPr>
            <w:tcW w:w="1269" w:type="dxa"/>
            <w:tcBorders>
              <w:top w:val="double" w:sz="4" w:space="0" w:color="auto"/>
              <w:bottom w:val="double" w:sz="4" w:space="0" w:color="auto"/>
            </w:tcBorders>
          </w:tcPr>
          <w:p w14:paraId="3D59D562" w14:textId="77777777" w:rsidR="00C20DC7" w:rsidRPr="00823AAF" w:rsidRDefault="00C20DC7" w:rsidP="00C20DC7">
            <w:pPr>
              <w:pStyle w:val="Tabletext"/>
              <w:jc w:val="center"/>
            </w:pPr>
            <w:r w:rsidRPr="00823AAF">
              <w:t>3.6</w:t>
            </w:r>
          </w:p>
        </w:tc>
        <w:tc>
          <w:tcPr>
            <w:tcW w:w="1375" w:type="dxa"/>
            <w:tcBorders>
              <w:top w:val="double" w:sz="4" w:space="0" w:color="auto"/>
              <w:bottom w:val="double" w:sz="4" w:space="0" w:color="auto"/>
            </w:tcBorders>
          </w:tcPr>
          <w:p w14:paraId="3A5BE1F9" w14:textId="5988A235" w:rsidR="00C20DC7" w:rsidRPr="00823AAF" w:rsidRDefault="00C20DC7" w:rsidP="006F65CC">
            <w:pPr>
              <w:pStyle w:val="Tabletext"/>
              <w:jc w:val="center"/>
            </w:pPr>
            <w:r w:rsidRPr="0064760C">
              <w:t>0.00</w:t>
            </w:r>
            <w:r w:rsidR="00E725D2">
              <w:t>0</w:t>
            </w:r>
          </w:p>
        </w:tc>
        <w:tc>
          <w:tcPr>
            <w:tcW w:w="1730" w:type="dxa"/>
            <w:tcBorders>
              <w:top w:val="double" w:sz="4" w:space="0" w:color="auto"/>
              <w:bottom w:val="double" w:sz="4" w:space="0" w:color="auto"/>
            </w:tcBorders>
          </w:tcPr>
          <w:p w14:paraId="71F8F155" w14:textId="69C3AC22" w:rsidR="00C20DC7" w:rsidRPr="00823AAF" w:rsidRDefault="00C20DC7" w:rsidP="006F65CC">
            <w:pPr>
              <w:pStyle w:val="Tabletext"/>
              <w:jc w:val="center"/>
            </w:pPr>
            <w:r w:rsidRPr="0064760C">
              <w:t>1.14</w:t>
            </w:r>
            <w:r w:rsidR="00E725D2">
              <w:t>0</w:t>
            </w:r>
          </w:p>
        </w:tc>
      </w:tr>
      <w:tr w:rsidR="00C20DC7" w:rsidRPr="008600EA" w14:paraId="0220A95D" w14:textId="77777777" w:rsidTr="0064760C">
        <w:tc>
          <w:tcPr>
            <w:tcW w:w="1572" w:type="dxa"/>
            <w:tcBorders>
              <w:top w:val="double" w:sz="4" w:space="0" w:color="auto"/>
            </w:tcBorders>
          </w:tcPr>
          <w:p w14:paraId="5B94B0E5" w14:textId="77777777" w:rsidR="00C20DC7" w:rsidRPr="00823AAF" w:rsidRDefault="00C20DC7" w:rsidP="00C20DC7">
            <w:pPr>
              <w:pStyle w:val="Tabletext"/>
            </w:pPr>
            <w:r>
              <w:t xml:space="preserve">(4) </w:t>
            </w:r>
            <w:r w:rsidRPr="00823AAF">
              <w:t>None, reverse cycle heat pump</w:t>
            </w:r>
          </w:p>
        </w:tc>
        <w:tc>
          <w:tcPr>
            <w:tcW w:w="3405" w:type="dxa"/>
            <w:tcBorders>
              <w:top w:val="double" w:sz="4" w:space="0" w:color="auto"/>
            </w:tcBorders>
          </w:tcPr>
          <w:p w14:paraId="72531B54" w14:textId="77777777" w:rsidR="00C20DC7" w:rsidRPr="00823AAF" w:rsidRDefault="00C20DC7" w:rsidP="00C20DC7">
            <w:pPr>
              <w:pStyle w:val="Tabletext"/>
              <w:numPr>
                <w:ilvl w:val="0"/>
                <w:numId w:val="165"/>
              </w:numPr>
              <w:ind w:left="328" w:hanging="328"/>
            </w:pPr>
            <w:r w:rsidRPr="0092427E">
              <w:t>Central non-ducted heat pump</w:t>
            </w:r>
            <w:r w:rsidRPr="00236FFF">
              <w:t xml:space="preserve">, or two or more </w:t>
            </w:r>
            <w:r>
              <w:t>r</w:t>
            </w:r>
            <w:r w:rsidRPr="0092427E">
              <w:t>oom heat pump</w:t>
            </w:r>
          </w:p>
        </w:tc>
        <w:tc>
          <w:tcPr>
            <w:tcW w:w="1269" w:type="dxa"/>
            <w:tcBorders>
              <w:top w:val="double" w:sz="4" w:space="0" w:color="auto"/>
            </w:tcBorders>
          </w:tcPr>
          <w:p w14:paraId="794C530F" w14:textId="77777777" w:rsidR="00C20DC7" w:rsidRPr="00823AAF" w:rsidRDefault="00C20DC7" w:rsidP="00C20DC7">
            <w:pPr>
              <w:pStyle w:val="Tabletext"/>
              <w:jc w:val="center"/>
            </w:pPr>
            <w:r w:rsidRPr="00823AAF">
              <w:t>3.6</w:t>
            </w:r>
          </w:p>
        </w:tc>
        <w:tc>
          <w:tcPr>
            <w:tcW w:w="1375" w:type="dxa"/>
            <w:tcBorders>
              <w:top w:val="double" w:sz="4" w:space="0" w:color="auto"/>
            </w:tcBorders>
          </w:tcPr>
          <w:p w14:paraId="001B55DF" w14:textId="12AF8F3D" w:rsidR="00C20DC7" w:rsidRPr="00823AAF" w:rsidRDefault="00C20DC7" w:rsidP="006F65CC">
            <w:pPr>
              <w:pStyle w:val="Tabletext"/>
              <w:jc w:val="center"/>
            </w:pPr>
            <w:r w:rsidRPr="0064760C">
              <w:t>0.7</w:t>
            </w:r>
            <w:r w:rsidR="00E725D2" w:rsidRPr="00E725D2">
              <w:t>86</w:t>
            </w:r>
          </w:p>
        </w:tc>
        <w:tc>
          <w:tcPr>
            <w:tcW w:w="1730" w:type="dxa"/>
            <w:tcBorders>
              <w:top w:val="double" w:sz="4" w:space="0" w:color="auto"/>
            </w:tcBorders>
          </w:tcPr>
          <w:p w14:paraId="33BA0363" w14:textId="7416C670" w:rsidR="00C20DC7" w:rsidRPr="00823AAF" w:rsidRDefault="00C20DC7" w:rsidP="006F65CC">
            <w:pPr>
              <w:pStyle w:val="Tabletext"/>
              <w:jc w:val="center"/>
            </w:pPr>
            <w:r w:rsidRPr="0064760C">
              <w:t>0.9</w:t>
            </w:r>
            <w:r w:rsidR="00E725D2" w:rsidRPr="00E725D2">
              <w:t>69</w:t>
            </w:r>
          </w:p>
        </w:tc>
      </w:tr>
    </w:tbl>
    <w:p w14:paraId="3A0DFFB8" w14:textId="77777777" w:rsidR="00605125" w:rsidRPr="00823AAF" w:rsidRDefault="00605125" w:rsidP="003571E7">
      <w:pPr>
        <w:pStyle w:val="Caption"/>
      </w:pPr>
      <w:bookmarkStart w:id="181" w:name="_Toc37945693"/>
      <w:bookmarkStart w:id="182" w:name="_Toc21868114"/>
      <w:bookmarkStart w:id="183" w:name="_Toc21868246"/>
      <w:r w:rsidRPr="00823AAF">
        <w:t xml:space="preserve">Table </w:t>
      </w:r>
      <w:r w:rsidR="004A0156">
        <w:rPr>
          <w:noProof/>
        </w:rPr>
        <w:fldChar w:fldCharType="begin"/>
      </w:r>
      <w:r w:rsidR="004A0156">
        <w:rPr>
          <w:noProof/>
        </w:rPr>
        <w:instrText xml:space="preserve"> SEQ Table \* ARABIC </w:instrText>
      </w:r>
      <w:r w:rsidR="004A0156">
        <w:rPr>
          <w:noProof/>
        </w:rPr>
        <w:fldChar w:fldCharType="separate"/>
      </w:r>
      <w:r w:rsidR="00880CB1">
        <w:rPr>
          <w:noProof/>
        </w:rPr>
        <w:t>9</w:t>
      </w:r>
      <w:r w:rsidR="004A0156">
        <w:rPr>
          <w:noProof/>
        </w:rPr>
        <w:fldChar w:fldCharType="end"/>
      </w:r>
      <w:r w:rsidR="0024735F" w:rsidRPr="00823AAF">
        <w:t xml:space="preserve"> </w:t>
      </w:r>
      <w:r w:rsidR="009E6E7F">
        <w:tab/>
      </w:r>
      <w:r w:rsidR="00C358AC">
        <w:t xml:space="preserve">Activity </w:t>
      </w:r>
      <w:r w:rsidR="00BE25CD">
        <w:t xml:space="preserve">ID </w:t>
      </w:r>
      <w:r w:rsidR="00C358AC">
        <w:t>2.1(b)</w:t>
      </w:r>
      <w:r w:rsidR="00BE25CD">
        <w:t>ii</w:t>
      </w:r>
      <w:r w:rsidR="00C358AC">
        <w:t xml:space="preserve"> b</w:t>
      </w:r>
      <w:r w:rsidRPr="00823AAF">
        <w:t xml:space="preserve">usiness </w:t>
      </w:r>
      <w:r w:rsidR="0092427E">
        <w:t>p</w:t>
      </w:r>
      <w:r w:rsidRPr="00823AAF">
        <w:t xml:space="preserve">remises – </w:t>
      </w:r>
      <w:r w:rsidR="00C358AC">
        <w:t>c</w:t>
      </w:r>
      <w:r w:rsidRPr="00823AAF">
        <w:t>ategory 2</w:t>
      </w:r>
      <w:bookmarkEnd w:id="181"/>
      <w:r w:rsidR="00864A11">
        <w:t xml:space="preserve"> </w:t>
      </w:r>
      <w:bookmarkEnd w:id="182"/>
      <w:bookmarkEnd w:id="183"/>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3406"/>
        <w:gridCol w:w="1256"/>
        <w:gridCol w:w="1505"/>
        <w:gridCol w:w="1588"/>
      </w:tblGrid>
      <w:tr w:rsidR="00D565C1" w:rsidRPr="008600EA" w14:paraId="105BFB77" w14:textId="77777777" w:rsidTr="0064760C">
        <w:trPr>
          <w:tblHeader/>
        </w:trPr>
        <w:tc>
          <w:tcPr>
            <w:tcW w:w="1596" w:type="dxa"/>
            <w:tcBorders>
              <w:bottom w:val="double" w:sz="4" w:space="0" w:color="auto"/>
            </w:tcBorders>
          </w:tcPr>
          <w:p w14:paraId="461812C2" w14:textId="77777777" w:rsidR="00D565C1" w:rsidRPr="00823AAF" w:rsidRDefault="00D565C1" w:rsidP="00D565C1">
            <w:pPr>
              <w:pStyle w:val="Tableheader"/>
            </w:pPr>
            <w:r>
              <w:t>Pre-existing heating condition</w:t>
            </w:r>
          </w:p>
        </w:tc>
        <w:tc>
          <w:tcPr>
            <w:tcW w:w="3406" w:type="dxa"/>
            <w:tcBorders>
              <w:bottom w:val="double" w:sz="4" w:space="0" w:color="auto"/>
            </w:tcBorders>
          </w:tcPr>
          <w:p w14:paraId="24946FF3" w14:textId="77777777" w:rsidR="00D565C1" w:rsidRPr="00823AAF" w:rsidRDefault="00D565C1" w:rsidP="00D565C1">
            <w:pPr>
              <w:pStyle w:val="Tableheader"/>
            </w:pPr>
            <w:r>
              <w:t>Installed product type</w:t>
            </w:r>
          </w:p>
        </w:tc>
        <w:tc>
          <w:tcPr>
            <w:tcW w:w="1256" w:type="dxa"/>
            <w:tcBorders>
              <w:bottom w:val="double" w:sz="4" w:space="0" w:color="auto"/>
            </w:tcBorders>
          </w:tcPr>
          <w:p w14:paraId="6D977E16" w14:textId="77777777" w:rsidR="00D565C1" w:rsidRPr="00823AAF" w:rsidRDefault="00D565C1" w:rsidP="00D565C1">
            <w:pPr>
              <w:pStyle w:val="Tableheader"/>
            </w:pPr>
            <w:r w:rsidRPr="00823AAF">
              <w:t>Base Efficiency (</w:t>
            </w:r>
            <w:r w:rsidRPr="00823AAF">
              <w:rPr>
                <w:i/>
              </w:rPr>
              <w:t>Baseline</w:t>
            </w:r>
            <w:r w:rsidRPr="00823AAF">
              <w:t>)</w:t>
            </w:r>
            <w:r w:rsidRPr="00823AAF">
              <w:br/>
              <w:t>ACOP</w:t>
            </w:r>
          </w:p>
        </w:tc>
        <w:tc>
          <w:tcPr>
            <w:tcW w:w="1505" w:type="dxa"/>
            <w:tcBorders>
              <w:bottom w:val="double" w:sz="4" w:space="0" w:color="auto"/>
            </w:tcBorders>
          </w:tcPr>
          <w:p w14:paraId="67CD16C3" w14:textId="7A35CBE5" w:rsidR="00D565C1" w:rsidRPr="00823AAF" w:rsidRDefault="00D565C1" w:rsidP="00D565C1">
            <w:pPr>
              <w:pStyle w:val="Tableheader"/>
            </w:pPr>
            <w:r w:rsidRPr="00DA61EB">
              <w:t xml:space="preserve">Fixed </w:t>
            </w:r>
            <w:r>
              <w:t>Energy</w:t>
            </w:r>
            <w:r w:rsidRPr="00DA61EB">
              <w:t xml:space="preserve"> Savings (</w:t>
            </w:r>
            <w:r>
              <w:t>ESF</w:t>
            </w:r>
            <w:r w:rsidRPr="00DA61EB">
              <w:rPr>
                <w:vertAlign w:val="subscript"/>
              </w:rPr>
              <w:t>fixed</w:t>
            </w:r>
            <w:r w:rsidRPr="00DA61EB">
              <w:t xml:space="preserve">) </w:t>
            </w:r>
            <w:r w:rsidRPr="00DA61EB">
              <w:br/>
            </w:r>
            <w:r w:rsidRPr="00A52076">
              <w:t>MWh</w:t>
            </w:r>
          </w:p>
        </w:tc>
        <w:tc>
          <w:tcPr>
            <w:tcW w:w="1588" w:type="dxa"/>
            <w:tcBorders>
              <w:bottom w:val="double" w:sz="4" w:space="0" w:color="auto"/>
            </w:tcBorders>
          </w:tcPr>
          <w:p w14:paraId="41EF31F2" w14:textId="668EE647" w:rsidR="00D565C1" w:rsidRPr="00823AAF" w:rsidRDefault="00D565C1" w:rsidP="00D565C1">
            <w:pPr>
              <w:pStyle w:val="Tableheader"/>
            </w:pPr>
            <w:r w:rsidRPr="00DA61EB">
              <w:t>Variable</w:t>
            </w:r>
            <w:r>
              <w:t xml:space="preserve"> Energy</w:t>
            </w:r>
            <w:r w:rsidRPr="00DA61EB">
              <w:t xml:space="preserve"> Savings (</w:t>
            </w:r>
            <w:r>
              <w:t>ESF</w:t>
            </w:r>
            <w:r w:rsidRPr="00DA61EB">
              <w:rPr>
                <w:vertAlign w:val="subscript"/>
              </w:rPr>
              <w:t>var</w:t>
            </w:r>
            <w:r w:rsidRPr="00DA61EB">
              <w:t>)</w:t>
            </w:r>
            <w:r w:rsidRPr="00DA61EB">
              <w:br/>
            </w:r>
            <w:r w:rsidRPr="00A52076">
              <w:t>MWh</w:t>
            </w:r>
            <w:r w:rsidRPr="00DA61EB">
              <w:t>/kW</w:t>
            </w:r>
          </w:p>
        </w:tc>
      </w:tr>
      <w:tr w:rsidR="00E725D2" w:rsidRPr="008600EA" w14:paraId="6CE22789" w14:textId="77777777" w:rsidTr="0064760C">
        <w:tc>
          <w:tcPr>
            <w:tcW w:w="1596" w:type="dxa"/>
            <w:vMerge w:val="restart"/>
            <w:tcBorders>
              <w:top w:val="double" w:sz="4" w:space="0" w:color="auto"/>
              <w:bottom w:val="double" w:sz="4" w:space="0" w:color="auto"/>
            </w:tcBorders>
          </w:tcPr>
          <w:p w14:paraId="33CAC2F2" w14:textId="77777777" w:rsidR="00E725D2" w:rsidRPr="00A553E5" w:rsidRDefault="00E725D2" w:rsidP="00E725D2">
            <w:pPr>
              <w:pStyle w:val="Tabletext"/>
              <w:numPr>
                <w:ilvl w:val="0"/>
                <w:numId w:val="166"/>
              </w:numPr>
              <w:ind w:left="284" w:hanging="284"/>
            </w:pPr>
            <w:r w:rsidRPr="00DA61EB">
              <w:t xml:space="preserve">Qualifying </w:t>
            </w:r>
            <w:r>
              <w:t xml:space="preserve">fixed </w:t>
            </w:r>
            <w:r w:rsidRPr="00DA61EB">
              <w:t xml:space="preserve">electric resistance </w:t>
            </w:r>
            <w:r>
              <w:t>–</w:t>
            </w:r>
            <w:r w:rsidRPr="00DA61EB">
              <w:t xml:space="preserve"> panel heaters</w:t>
            </w:r>
            <w:r>
              <w:t xml:space="preserve"> (must service more than 70m</w:t>
            </w:r>
            <w:r w:rsidRPr="00DB63AE">
              <w:rPr>
                <w:vertAlign w:val="superscript"/>
              </w:rPr>
              <w:t>2</w:t>
            </w:r>
            <w:r>
              <w:t>)</w:t>
            </w:r>
          </w:p>
        </w:tc>
        <w:tc>
          <w:tcPr>
            <w:tcW w:w="3406" w:type="dxa"/>
            <w:tcBorders>
              <w:top w:val="double" w:sz="4" w:space="0" w:color="auto"/>
            </w:tcBorders>
          </w:tcPr>
          <w:p w14:paraId="04A59908" w14:textId="77777777" w:rsidR="00E725D2" w:rsidRPr="00823AAF" w:rsidRDefault="00E725D2" w:rsidP="00E725D2">
            <w:pPr>
              <w:pStyle w:val="Tabletext"/>
              <w:numPr>
                <w:ilvl w:val="0"/>
                <w:numId w:val="167"/>
              </w:numPr>
              <w:ind w:left="351" w:hanging="351"/>
            </w:pPr>
            <w:r w:rsidRPr="000C2859">
              <w:t>Central ducted heat pump</w:t>
            </w:r>
          </w:p>
        </w:tc>
        <w:tc>
          <w:tcPr>
            <w:tcW w:w="1256" w:type="dxa"/>
            <w:tcBorders>
              <w:top w:val="double" w:sz="4" w:space="0" w:color="auto"/>
            </w:tcBorders>
          </w:tcPr>
          <w:p w14:paraId="5FEC7696" w14:textId="77777777" w:rsidR="00E725D2" w:rsidRPr="00823AAF" w:rsidRDefault="00E725D2" w:rsidP="00E725D2">
            <w:pPr>
              <w:pStyle w:val="Tabletext"/>
              <w:jc w:val="center"/>
            </w:pPr>
            <w:r w:rsidRPr="00823AAF">
              <w:t>3.6</w:t>
            </w:r>
          </w:p>
        </w:tc>
        <w:tc>
          <w:tcPr>
            <w:tcW w:w="1505" w:type="dxa"/>
            <w:tcBorders>
              <w:top w:val="double" w:sz="4" w:space="0" w:color="auto"/>
            </w:tcBorders>
          </w:tcPr>
          <w:p w14:paraId="0D8E388E" w14:textId="13252530" w:rsidR="00E725D2" w:rsidRPr="00823AAF" w:rsidRDefault="00E725D2" w:rsidP="00E725D2">
            <w:pPr>
              <w:pStyle w:val="Tabletext"/>
              <w:jc w:val="center"/>
            </w:pPr>
            <w:r>
              <w:rPr>
                <w:rFonts w:ascii="Calibri" w:hAnsi="Calibri" w:cs="Calibri"/>
                <w:color w:val="000000"/>
                <w:sz w:val="22"/>
                <w:szCs w:val="22"/>
              </w:rPr>
              <w:t>5.676</w:t>
            </w:r>
          </w:p>
        </w:tc>
        <w:tc>
          <w:tcPr>
            <w:tcW w:w="1588" w:type="dxa"/>
            <w:tcBorders>
              <w:top w:val="double" w:sz="4" w:space="0" w:color="auto"/>
            </w:tcBorders>
          </w:tcPr>
          <w:p w14:paraId="241C4DD2" w14:textId="13104B6D" w:rsidR="00E725D2" w:rsidRPr="00823AAF" w:rsidRDefault="00E725D2" w:rsidP="00E725D2">
            <w:pPr>
              <w:pStyle w:val="Tabletext"/>
              <w:jc w:val="center"/>
            </w:pPr>
            <w:r>
              <w:rPr>
                <w:rFonts w:ascii="Calibri" w:hAnsi="Calibri" w:cs="Calibri"/>
                <w:color w:val="000000"/>
                <w:sz w:val="22"/>
                <w:szCs w:val="22"/>
              </w:rPr>
              <w:t>0.925</w:t>
            </w:r>
          </w:p>
        </w:tc>
      </w:tr>
      <w:tr w:rsidR="00E725D2" w:rsidRPr="008600EA" w14:paraId="02C95041" w14:textId="77777777" w:rsidTr="0064760C">
        <w:tc>
          <w:tcPr>
            <w:tcW w:w="1596" w:type="dxa"/>
            <w:vMerge/>
            <w:tcBorders>
              <w:bottom w:val="double" w:sz="4" w:space="0" w:color="auto"/>
            </w:tcBorders>
          </w:tcPr>
          <w:p w14:paraId="3B13A017" w14:textId="77777777" w:rsidR="00E725D2" w:rsidRPr="00823AAF" w:rsidRDefault="00E725D2" w:rsidP="00E725D2">
            <w:pPr>
              <w:pStyle w:val="Tabletext"/>
              <w:numPr>
                <w:ilvl w:val="0"/>
                <w:numId w:val="166"/>
              </w:numPr>
              <w:ind w:left="284" w:hanging="284"/>
            </w:pPr>
          </w:p>
        </w:tc>
        <w:tc>
          <w:tcPr>
            <w:tcW w:w="3406" w:type="dxa"/>
            <w:tcBorders>
              <w:bottom w:val="single" w:sz="4" w:space="0" w:color="auto"/>
            </w:tcBorders>
          </w:tcPr>
          <w:p w14:paraId="7AF16CCA" w14:textId="77777777" w:rsidR="00E725D2" w:rsidRPr="00823AAF" w:rsidRDefault="00E725D2" w:rsidP="00E725D2">
            <w:pPr>
              <w:pStyle w:val="Tabletext"/>
              <w:numPr>
                <w:ilvl w:val="0"/>
                <w:numId w:val="167"/>
              </w:numPr>
              <w:ind w:left="328" w:hanging="328"/>
            </w:pPr>
            <w:r w:rsidRPr="000C2859">
              <w:t>Central non-ducted heat pump</w:t>
            </w:r>
            <w:r w:rsidRPr="00236FFF">
              <w:t xml:space="preserve">, or two or more </w:t>
            </w:r>
            <w:r>
              <w:t>r</w:t>
            </w:r>
            <w:r w:rsidRPr="000C2859">
              <w:t>oom heat pump</w:t>
            </w:r>
          </w:p>
        </w:tc>
        <w:tc>
          <w:tcPr>
            <w:tcW w:w="1256" w:type="dxa"/>
            <w:tcBorders>
              <w:bottom w:val="single" w:sz="4" w:space="0" w:color="auto"/>
            </w:tcBorders>
          </w:tcPr>
          <w:p w14:paraId="1AE78ACE" w14:textId="77777777" w:rsidR="00E725D2" w:rsidRPr="00823AAF" w:rsidRDefault="00E725D2" w:rsidP="00E725D2">
            <w:pPr>
              <w:pStyle w:val="Tabletext"/>
              <w:jc w:val="center"/>
            </w:pPr>
            <w:r w:rsidRPr="00823AAF">
              <w:t>3.6</w:t>
            </w:r>
          </w:p>
        </w:tc>
        <w:tc>
          <w:tcPr>
            <w:tcW w:w="1505" w:type="dxa"/>
            <w:tcBorders>
              <w:bottom w:val="single" w:sz="4" w:space="0" w:color="auto"/>
            </w:tcBorders>
          </w:tcPr>
          <w:p w14:paraId="3FC4B968" w14:textId="732A55C8" w:rsidR="00E725D2" w:rsidRPr="00823AAF" w:rsidRDefault="00E725D2" w:rsidP="00E725D2">
            <w:pPr>
              <w:pStyle w:val="Tabletext"/>
              <w:jc w:val="center"/>
            </w:pPr>
            <w:r>
              <w:rPr>
                <w:rFonts w:ascii="Calibri" w:hAnsi="Calibri" w:cs="Calibri"/>
                <w:color w:val="000000"/>
                <w:sz w:val="22"/>
                <w:szCs w:val="22"/>
              </w:rPr>
              <w:t>6.314</w:t>
            </w:r>
          </w:p>
        </w:tc>
        <w:tc>
          <w:tcPr>
            <w:tcW w:w="1588" w:type="dxa"/>
            <w:tcBorders>
              <w:bottom w:val="single" w:sz="4" w:space="0" w:color="auto"/>
            </w:tcBorders>
          </w:tcPr>
          <w:p w14:paraId="7909A9F0" w14:textId="3A29DAE9" w:rsidR="00E725D2" w:rsidRPr="00823AAF" w:rsidRDefault="00E725D2" w:rsidP="00E725D2">
            <w:pPr>
              <w:pStyle w:val="Tabletext"/>
              <w:jc w:val="center"/>
            </w:pPr>
            <w:r>
              <w:rPr>
                <w:rFonts w:ascii="Calibri" w:hAnsi="Calibri" w:cs="Calibri"/>
                <w:color w:val="000000"/>
                <w:sz w:val="22"/>
                <w:szCs w:val="22"/>
              </w:rPr>
              <w:t>0.787</w:t>
            </w:r>
          </w:p>
        </w:tc>
      </w:tr>
      <w:tr w:rsidR="00E725D2" w:rsidRPr="008600EA" w14:paraId="2F4DE2D6" w14:textId="77777777" w:rsidTr="0064760C">
        <w:tc>
          <w:tcPr>
            <w:tcW w:w="1596" w:type="dxa"/>
            <w:vMerge/>
            <w:tcBorders>
              <w:bottom w:val="double" w:sz="4" w:space="0" w:color="auto"/>
            </w:tcBorders>
          </w:tcPr>
          <w:p w14:paraId="00188F08" w14:textId="77777777" w:rsidR="00E725D2" w:rsidRPr="00823AAF" w:rsidRDefault="00E725D2" w:rsidP="00E725D2">
            <w:pPr>
              <w:pStyle w:val="Tabletext"/>
              <w:numPr>
                <w:ilvl w:val="0"/>
                <w:numId w:val="166"/>
              </w:numPr>
              <w:ind w:left="284" w:hanging="284"/>
            </w:pPr>
          </w:p>
        </w:tc>
        <w:tc>
          <w:tcPr>
            <w:tcW w:w="3406" w:type="dxa"/>
            <w:tcBorders>
              <w:bottom w:val="double" w:sz="4" w:space="0" w:color="auto"/>
            </w:tcBorders>
          </w:tcPr>
          <w:p w14:paraId="4933C8FA" w14:textId="77777777" w:rsidR="00E725D2" w:rsidRPr="00823AAF" w:rsidRDefault="00E725D2" w:rsidP="00E725D2">
            <w:pPr>
              <w:pStyle w:val="Tabletext"/>
              <w:numPr>
                <w:ilvl w:val="0"/>
                <w:numId w:val="167"/>
              </w:numPr>
              <w:ind w:left="328" w:hanging="328"/>
            </w:pPr>
            <w:r w:rsidRPr="000C2859">
              <w:t>Central ducted heat pump</w:t>
            </w:r>
            <w:r w:rsidRPr="00236FFF">
              <w:t xml:space="preserve"> compliant with the provisions of section </w:t>
            </w:r>
            <w:r>
              <w:t xml:space="preserve">2.1.3(e)ii(2) </w:t>
            </w:r>
          </w:p>
        </w:tc>
        <w:tc>
          <w:tcPr>
            <w:tcW w:w="1256" w:type="dxa"/>
            <w:tcBorders>
              <w:bottom w:val="double" w:sz="4" w:space="0" w:color="auto"/>
            </w:tcBorders>
          </w:tcPr>
          <w:p w14:paraId="62B1E997" w14:textId="77777777" w:rsidR="00E725D2" w:rsidRPr="00823AAF" w:rsidRDefault="00E725D2" w:rsidP="00E725D2">
            <w:pPr>
              <w:pStyle w:val="Tabletext"/>
              <w:jc w:val="center"/>
            </w:pPr>
            <w:r w:rsidRPr="00823AAF">
              <w:t>3.1</w:t>
            </w:r>
          </w:p>
        </w:tc>
        <w:tc>
          <w:tcPr>
            <w:tcW w:w="1505" w:type="dxa"/>
            <w:tcBorders>
              <w:bottom w:val="double" w:sz="4" w:space="0" w:color="auto"/>
            </w:tcBorders>
          </w:tcPr>
          <w:p w14:paraId="5E5B3FC3" w14:textId="72BFDCDB" w:rsidR="00E725D2" w:rsidRPr="00823AAF" w:rsidRDefault="00E725D2" w:rsidP="00E725D2">
            <w:pPr>
              <w:pStyle w:val="Tabletext"/>
              <w:jc w:val="center"/>
            </w:pPr>
            <w:r>
              <w:rPr>
                <w:rFonts w:ascii="Calibri" w:hAnsi="Calibri" w:cs="Calibri"/>
                <w:color w:val="000000"/>
                <w:sz w:val="22"/>
                <w:szCs w:val="22"/>
              </w:rPr>
              <w:t>4.989</w:t>
            </w:r>
          </w:p>
        </w:tc>
        <w:tc>
          <w:tcPr>
            <w:tcW w:w="1588" w:type="dxa"/>
            <w:tcBorders>
              <w:bottom w:val="double" w:sz="4" w:space="0" w:color="auto"/>
            </w:tcBorders>
          </w:tcPr>
          <w:p w14:paraId="6DAA09FB" w14:textId="4588B0F3" w:rsidR="00E725D2" w:rsidRPr="00823AAF" w:rsidRDefault="00E725D2" w:rsidP="00E725D2">
            <w:pPr>
              <w:pStyle w:val="Tabletext"/>
              <w:jc w:val="center"/>
            </w:pPr>
            <w:r>
              <w:rPr>
                <w:rFonts w:ascii="Calibri" w:hAnsi="Calibri" w:cs="Calibri"/>
                <w:color w:val="000000"/>
                <w:sz w:val="22"/>
                <w:szCs w:val="22"/>
              </w:rPr>
              <w:t>1.206</w:t>
            </w:r>
          </w:p>
        </w:tc>
      </w:tr>
      <w:tr w:rsidR="00E725D2" w:rsidRPr="008600EA" w14:paraId="3EB057BF" w14:textId="77777777" w:rsidTr="0064760C">
        <w:tc>
          <w:tcPr>
            <w:tcW w:w="1596" w:type="dxa"/>
            <w:vMerge w:val="restart"/>
            <w:tcBorders>
              <w:top w:val="double" w:sz="4" w:space="0" w:color="auto"/>
              <w:bottom w:val="double" w:sz="4" w:space="0" w:color="auto"/>
            </w:tcBorders>
          </w:tcPr>
          <w:p w14:paraId="5A0400EF" w14:textId="77777777" w:rsidR="00E725D2" w:rsidRPr="00A553E5" w:rsidRDefault="00E725D2" w:rsidP="00E725D2">
            <w:pPr>
              <w:pStyle w:val="Tabletext"/>
              <w:numPr>
                <w:ilvl w:val="0"/>
                <w:numId w:val="166"/>
              </w:numPr>
              <w:ind w:left="284" w:hanging="284"/>
            </w:pPr>
            <w:r w:rsidRPr="00DA61EB">
              <w:t xml:space="preserve">Qualifying </w:t>
            </w:r>
            <w:r>
              <w:t xml:space="preserve">fixed </w:t>
            </w:r>
            <w:r w:rsidRPr="00DA61EB">
              <w:t xml:space="preserve">electric resistance </w:t>
            </w:r>
            <w:r>
              <w:t>–</w:t>
            </w:r>
            <w:r w:rsidRPr="00DA61EB">
              <w:t xml:space="preserve"> </w:t>
            </w:r>
            <w:r w:rsidRPr="00DA61EB">
              <w:lastRenderedPageBreak/>
              <w:t>slab or ducted</w:t>
            </w:r>
            <w:r>
              <w:t xml:space="preserve"> (must service more than 70m</w:t>
            </w:r>
            <w:r w:rsidRPr="00DB63AE">
              <w:rPr>
                <w:vertAlign w:val="superscript"/>
              </w:rPr>
              <w:t>2</w:t>
            </w:r>
            <w:r>
              <w:t>)</w:t>
            </w:r>
          </w:p>
        </w:tc>
        <w:tc>
          <w:tcPr>
            <w:tcW w:w="3406" w:type="dxa"/>
            <w:tcBorders>
              <w:top w:val="double" w:sz="4" w:space="0" w:color="auto"/>
            </w:tcBorders>
          </w:tcPr>
          <w:p w14:paraId="66A4BED1" w14:textId="77777777" w:rsidR="00E725D2" w:rsidRPr="00823AAF" w:rsidRDefault="00E725D2" w:rsidP="00E725D2">
            <w:pPr>
              <w:pStyle w:val="Tabletext"/>
              <w:numPr>
                <w:ilvl w:val="0"/>
                <w:numId w:val="168"/>
              </w:numPr>
              <w:ind w:left="351" w:hanging="351"/>
            </w:pPr>
            <w:r w:rsidRPr="000C2859">
              <w:lastRenderedPageBreak/>
              <w:t>Central ducted heat pump</w:t>
            </w:r>
          </w:p>
        </w:tc>
        <w:tc>
          <w:tcPr>
            <w:tcW w:w="1256" w:type="dxa"/>
            <w:tcBorders>
              <w:top w:val="double" w:sz="4" w:space="0" w:color="auto"/>
            </w:tcBorders>
          </w:tcPr>
          <w:p w14:paraId="59394AA4" w14:textId="77777777" w:rsidR="00E725D2" w:rsidRPr="00823AAF" w:rsidRDefault="00E725D2" w:rsidP="00E725D2">
            <w:pPr>
              <w:pStyle w:val="Tabletext"/>
              <w:jc w:val="center"/>
            </w:pPr>
            <w:r w:rsidRPr="00823AAF">
              <w:t>3.6</w:t>
            </w:r>
          </w:p>
        </w:tc>
        <w:tc>
          <w:tcPr>
            <w:tcW w:w="1505" w:type="dxa"/>
            <w:tcBorders>
              <w:top w:val="double" w:sz="4" w:space="0" w:color="auto"/>
            </w:tcBorders>
          </w:tcPr>
          <w:p w14:paraId="05F152F1" w14:textId="27F929A1" w:rsidR="00E725D2" w:rsidRPr="00823AAF" w:rsidRDefault="00E725D2" w:rsidP="00E725D2">
            <w:pPr>
              <w:pStyle w:val="Tabletext"/>
              <w:jc w:val="center"/>
            </w:pPr>
            <w:r>
              <w:rPr>
                <w:rFonts w:ascii="Calibri" w:hAnsi="Calibri" w:cs="Calibri"/>
                <w:color w:val="000000"/>
                <w:sz w:val="22"/>
                <w:szCs w:val="22"/>
              </w:rPr>
              <w:t>8.159</w:t>
            </w:r>
          </w:p>
        </w:tc>
        <w:tc>
          <w:tcPr>
            <w:tcW w:w="1588" w:type="dxa"/>
            <w:tcBorders>
              <w:top w:val="double" w:sz="4" w:space="0" w:color="auto"/>
            </w:tcBorders>
          </w:tcPr>
          <w:p w14:paraId="1607A778" w14:textId="1CBEC6AE" w:rsidR="00E725D2" w:rsidRPr="00823AAF" w:rsidRDefault="00E725D2" w:rsidP="00E725D2">
            <w:pPr>
              <w:pStyle w:val="Tabletext"/>
              <w:jc w:val="center"/>
            </w:pPr>
            <w:r>
              <w:rPr>
                <w:rFonts w:ascii="Calibri" w:hAnsi="Calibri" w:cs="Calibri"/>
                <w:color w:val="000000"/>
                <w:sz w:val="22"/>
                <w:szCs w:val="22"/>
              </w:rPr>
              <w:t>0.925</w:t>
            </w:r>
          </w:p>
        </w:tc>
      </w:tr>
      <w:tr w:rsidR="00E725D2" w:rsidRPr="008600EA" w14:paraId="3E57991B" w14:textId="77777777" w:rsidTr="0064760C">
        <w:tc>
          <w:tcPr>
            <w:tcW w:w="1596" w:type="dxa"/>
            <w:vMerge/>
            <w:tcBorders>
              <w:bottom w:val="double" w:sz="4" w:space="0" w:color="auto"/>
            </w:tcBorders>
          </w:tcPr>
          <w:p w14:paraId="0E231A39" w14:textId="77777777" w:rsidR="00E725D2" w:rsidRPr="00823AAF" w:rsidRDefault="00E725D2" w:rsidP="00E725D2">
            <w:pPr>
              <w:pStyle w:val="Tabletext"/>
              <w:numPr>
                <w:ilvl w:val="0"/>
                <w:numId w:val="166"/>
              </w:numPr>
              <w:ind w:left="284" w:hanging="284"/>
            </w:pPr>
          </w:p>
        </w:tc>
        <w:tc>
          <w:tcPr>
            <w:tcW w:w="3406" w:type="dxa"/>
            <w:tcBorders>
              <w:bottom w:val="single" w:sz="4" w:space="0" w:color="auto"/>
            </w:tcBorders>
          </w:tcPr>
          <w:p w14:paraId="73B1BC65" w14:textId="77777777" w:rsidR="00E725D2" w:rsidRPr="00823AAF" w:rsidRDefault="00E725D2" w:rsidP="00E725D2">
            <w:pPr>
              <w:pStyle w:val="Tabletext"/>
              <w:numPr>
                <w:ilvl w:val="0"/>
                <w:numId w:val="168"/>
              </w:numPr>
              <w:ind w:left="328" w:hanging="328"/>
            </w:pPr>
            <w:r w:rsidRPr="000C2859">
              <w:t>Central non-ducted heat pump</w:t>
            </w:r>
            <w:r w:rsidRPr="00236FFF">
              <w:t xml:space="preserve">, or two or more </w:t>
            </w:r>
            <w:r w:rsidRPr="000C2859">
              <w:t>room heat pump</w:t>
            </w:r>
          </w:p>
        </w:tc>
        <w:tc>
          <w:tcPr>
            <w:tcW w:w="1256" w:type="dxa"/>
            <w:tcBorders>
              <w:bottom w:val="single" w:sz="4" w:space="0" w:color="auto"/>
            </w:tcBorders>
          </w:tcPr>
          <w:p w14:paraId="049557AB" w14:textId="77777777" w:rsidR="00E725D2" w:rsidRPr="00823AAF" w:rsidRDefault="00E725D2" w:rsidP="00E725D2">
            <w:pPr>
              <w:pStyle w:val="Tabletext"/>
              <w:jc w:val="center"/>
            </w:pPr>
            <w:r w:rsidRPr="00823AAF">
              <w:t>3.6</w:t>
            </w:r>
          </w:p>
        </w:tc>
        <w:tc>
          <w:tcPr>
            <w:tcW w:w="1505" w:type="dxa"/>
            <w:tcBorders>
              <w:bottom w:val="single" w:sz="4" w:space="0" w:color="auto"/>
            </w:tcBorders>
          </w:tcPr>
          <w:p w14:paraId="70510107" w14:textId="5DD8B5BC" w:rsidR="00E725D2" w:rsidRPr="00823AAF" w:rsidRDefault="00E725D2" w:rsidP="00E725D2">
            <w:pPr>
              <w:pStyle w:val="Tabletext"/>
              <w:jc w:val="center"/>
            </w:pPr>
            <w:r>
              <w:rPr>
                <w:rFonts w:ascii="Calibri" w:hAnsi="Calibri" w:cs="Calibri"/>
                <w:color w:val="000000"/>
                <w:sz w:val="22"/>
                <w:szCs w:val="22"/>
              </w:rPr>
              <w:t>8.797</w:t>
            </w:r>
          </w:p>
        </w:tc>
        <w:tc>
          <w:tcPr>
            <w:tcW w:w="1588" w:type="dxa"/>
            <w:tcBorders>
              <w:bottom w:val="single" w:sz="4" w:space="0" w:color="auto"/>
            </w:tcBorders>
          </w:tcPr>
          <w:p w14:paraId="6EA15570" w14:textId="5DC0D3CC" w:rsidR="00E725D2" w:rsidRPr="00823AAF" w:rsidRDefault="00E725D2" w:rsidP="00E725D2">
            <w:pPr>
              <w:pStyle w:val="Tabletext"/>
              <w:jc w:val="center"/>
            </w:pPr>
            <w:r>
              <w:rPr>
                <w:rFonts w:ascii="Calibri" w:hAnsi="Calibri" w:cs="Calibri"/>
                <w:color w:val="000000"/>
                <w:sz w:val="22"/>
                <w:szCs w:val="22"/>
              </w:rPr>
              <w:t>0.787</w:t>
            </w:r>
          </w:p>
        </w:tc>
      </w:tr>
      <w:tr w:rsidR="00E725D2" w:rsidRPr="008600EA" w14:paraId="061DFFD3" w14:textId="77777777" w:rsidTr="0064760C">
        <w:tc>
          <w:tcPr>
            <w:tcW w:w="1596" w:type="dxa"/>
            <w:vMerge/>
            <w:tcBorders>
              <w:bottom w:val="double" w:sz="4" w:space="0" w:color="auto"/>
            </w:tcBorders>
          </w:tcPr>
          <w:p w14:paraId="41997E8B" w14:textId="77777777" w:rsidR="00E725D2" w:rsidRPr="00823AAF" w:rsidRDefault="00E725D2" w:rsidP="00E725D2">
            <w:pPr>
              <w:pStyle w:val="Tabletext"/>
              <w:numPr>
                <w:ilvl w:val="0"/>
                <w:numId w:val="166"/>
              </w:numPr>
              <w:ind w:left="284" w:hanging="284"/>
            </w:pPr>
          </w:p>
        </w:tc>
        <w:tc>
          <w:tcPr>
            <w:tcW w:w="3406" w:type="dxa"/>
            <w:tcBorders>
              <w:bottom w:val="double" w:sz="4" w:space="0" w:color="auto"/>
            </w:tcBorders>
          </w:tcPr>
          <w:p w14:paraId="38987D41" w14:textId="77777777" w:rsidR="00E725D2" w:rsidRPr="00823AAF" w:rsidRDefault="00E725D2" w:rsidP="00E725D2">
            <w:pPr>
              <w:pStyle w:val="Tabletext"/>
              <w:numPr>
                <w:ilvl w:val="0"/>
                <w:numId w:val="168"/>
              </w:numPr>
              <w:ind w:left="328" w:hanging="328"/>
            </w:pPr>
            <w:r w:rsidRPr="000C2859">
              <w:t>Central ducted heat pump</w:t>
            </w:r>
            <w:r w:rsidRPr="00236FFF">
              <w:t xml:space="preserve"> compliant with the provisions of section </w:t>
            </w:r>
            <w:r>
              <w:t xml:space="preserve">2.1.3(e)ii(2) </w:t>
            </w:r>
          </w:p>
        </w:tc>
        <w:tc>
          <w:tcPr>
            <w:tcW w:w="1256" w:type="dxa"/>
            <w:tcBorders>
              <w:bottom w:val="double" w:sz="4" w:space="0" w:color="auto"/>
            </w:tcBorders>
          </w:tcPr>
          <w:p w14:paraId="4D09E986" w14:textId="77777777" w:rsidR="00E725D2" w:rsidRPr="00823AAF" w:rsidRDefault="00E725D2" w:rsidP="00E725D2">
            <w:pPr>
              <w:pStyle w:val="Tabletext"/>
              <w:jc w:val="center"/>
            </w:pPr>
            <w:r w:rsidRPr="00823AAF">
              <w:t>3.1</w:t>
            </w:r>
          </w:p>
        </w:tc>
        <w:tc>
          <w:tcPr>
            <w:tcW w:w="1505" w:type="dxa"/>
            <w:tcBorders>
              <w:bottom w:val="double" w:sz="4" w:space="0" w:color="auto"/>
            </w:tcBorders>
          </w:tcPr>
          <w:p w14:paraId="10509B64" w14:textId="498A2588" w:rsidR="00E725D2" w:rsidRPr="00823AAF" w:rsidRDefault="00E725D2" w:rsidP="00E725D2">
            <w:pPr>
              <w:pStyle w:val="Tabletext"/>
              <w:jc w:val="center"/>
            </w:pPr>
            <w:r>
              <w:rPr>
                <w:rFonts w:ascii="Calibri" w:hAnsi="Calibri" w:cs="Calibri"/>
                <w:color w:val="000000"/>
                <w:sz w:val="22"/>
                <w:szCs w:val="22"/>
              </w:rPr>
              <w:t>7.472</w:t>
            </w:r>
          </w:p>
        </w:tc>
        <w:tc>
          <w:tcPr>
            <w:tcW w:w="1588" w:type="dxa"/>
            <w:tcBorders>
              <w:bottom w:val="double" w:sz="4" w:space="0" w:color="auto"/>
            </w:tcBorders>
          </w:tcPr>
          <w:p w14:paraId="7F65F968" w14:textId="53CEA5E0" w:rsidR="00E725D2" w:rsidRPr="00823AAF" w:rsidRDefault="00E725D2" w:rsidP="00E725D2">
            <w:pPr>
              <w:pStyle w:val="Tabletext"/>
              <w:jc w:val="center"/>
            </w:pPr>
            <w:r>
              <w:rPr>
                <w:rFonts w:ascii="Calibri" w:hAnsi="Calibri" w:cs="Calibri"/>
                <w:color w:val="000000"/>
                <w:sz w:val="22"/>
                <w:szCs w:val="22"/>
              </w:rPr>
              <w:t>1.206</w:t>
            </w:r>
          </w:p>
        </w:tc>
      </w:tr>
      <w:tr w:rsidR="00E725D2" w:rsidRPr="008600EA" w14:paraId="205389A8" w14:textId="77777777" w:rsidTr="0064760C">
        <w:tc>
          <w:tcPr>
            <w:tcW w:w="1596" w:type="dxa"/>
            <w:vMerge w:val="restart"/>
            <w:tcBorders>
              <w:top w:val="double" w:sz="4" w:space="0" w:color="auto"/>
              <w:bottom w:val="double" w:sz="4" w:space="0" w:color="auto"/>
            </w:tcBorders>
          </w:tcPr>
          <w:p w14:paraId="47EBEAA3" w14:textId="77777777" w:rsidR="00E725D2" w:rsidRPr="00823AAF" w:rsidRDefault="00E725D2" w:rsidP="00E725D2">
            <w:pPr>
              <w:pStyle w:val="Tabletext"/>
              <w:numPr>
                <w:ilvl w:val="0"/>
                <w:numId w:val="166"/>
              </w:numPr>
              <w:ind w:left="284" w:hanging="284"/>
            </w:pPr>
            <w:r w:rsidRPr="00823AAF">
              <w:t xml:space="preserve">Qualifying </w:t>
            </w:r>
            <w:r>
              <w:t xml:space="preserve">fixed </w:t>
            </w:r>
            <w:r w:rsidRPr="00823AAF">
              <w:t>gas ducted heater</w:t>
            </w:r>
          </w:p>
        </w:tc>
        <w:tc>
          <w:tcPr>
            <w:tcW w:w="3406" w:type="dxa"/>
            <w:tcBorders>
              <w:top w:val="double" w:sz="4" w:space="0" w:color="auto"/>
            </w:tcBorders>
          </w:tcPr>
          <w:p w14:paraId="409556C4" w14:textId="77777777" w:rsidR="00E725D2" w:rsidRPr="00823AAF" w:rsidRDefault="00E725D2" w:rsidP="00E725D2">
            <w:pPr>
              <w:pStyle w:val="Tabletext"/>
              <w:numPr>
                <w:ilvl w:val="0"/>
                <w:numId w:val="169"/>
              </w:numPr>
              <w:ind w:left="351" w:hanging="351"/>
            </w:pPr>
            <w:r w:rsidRPr="000C2859">
              <w:t>Central ducted heat pump</w:t>
            </w:r>
          </w:p>
        </w:tc>
        <w:tc>
          <w:tcPr>
            <w:tcW w:w="1256" w:type="dxa"/>
            <w:tcBorders>
              <w:top w:val="double" w:sz="4" w:space="0" w:color="auto"/>
            </w:tcBorders>
          </w:tcPr>
          <w:p w14:paraId="3C2E7817" w14:textId="77777777" w:rsidR="00E725D2" w:rsidRPr="00823AAF" w:rsidRDefault="00E725D2" w:rsidP="00E725D2">
            <w:pPr>
              <w:pStyle w:val="Tabletext"/>
              <w:jc w:val="center"/>
            </w:pPr>
            <w:r w:rsidRPr="00823AAF">
              <w:t>3.6</w:t>
            </w:r>
          </w:p>
        </w:tc>
        <w:tc>
          <w:tcPr>
            <w:tcW w:w="1505" w:type="dxa"/>
            <w:tcBorders>
              <w:top w:val="double" w:sz="4" w:space="0" w:color="auto"/>
            </w:tcBorders>
          </w:tcPr>
          <w:p w14:paraId="5DC1F0DB" w14:textId="39BE698D" w:rsidR="00E725D2" w:rsidRPr="00823AAF" w:rsidRDefault="00E725D2" w:rsidP="00E725D2">
            <w:pPr>
              <w:pStyle w:val="Tabletext"/>
              <w:jc w:val="center"/>
            </w:pPr>
            <w:r>
              <w:rPr>
                <w:rFonts w:ascii="Calibri" w:hAnsi="Calibri" w:cs="Calibri"/>
                <w:color w:val="000000"/>
                <w:sz w:val="22"/>
                <w:szCs w:val="22"/>
              </w:rPr>
              <w:t>11.713</w:t>
            </w:r>
          </w:p>
        </w:tc>
        <w:tc>
          <w:tcPr>
            <w:tcW w:w="1588" w:type="dxa"/>
            <w:tcBorders>
              <w:top w:val="double" w:sz="4" w:space="0" w:color="auto"/>
            </w:tcBorders>
          </w:tcPr>
          <w:p w14:paraId="7441EDFA" w14:textId="58E424A2" w:rsidR="00E725D2" w:rsidRPr="00823AAF" w:rsidRDefault="00E725D2" w:rsidP="00E725D2">
            <w:pPr>
              <w:pStyle w:val="Tabletext"/>
              <w:jc w:val="center"/>
            </w:pPr>
            <w:r>
              <w:rPr>
                <w:rFonts w:ascii="Calibri" w:hAnsi="Calibri" w:cs="Calibri"/>
                <w:color w:val="000000"/>
                <w:sz w:val="22"/>
                <w:szCs w:val="22"/>
              </w:rPr>
              <w:t>0.925</w:t>
            </w:r>
          </w:p>
        </w:tc>
      </w:tr>
      <w:tr w:rsidR="00E725D2" w:rsidRPr="008600EA" w14:paraId="0707BD05" w14:textId="77777777" w:rsidTr="0064760C">
        <w:tc>
          <w:tcPr>
            <w:tcW w:w="1596" w:type="dxa"/>
            <w:vMerge/>
            <w:tcBorders>
              <w:bottom w:val="double" w:sz="4" w:space="0" w:color="auto"/>
            </w:tcBorders>
          </w:tcPr>
          <w:p w14:paraId="3FD4B2FF" w14:textId="77777777" w:rsidR="00E725D2" w:rsidRPr="00823AAF" w:rsidRDefault="00E725D2" w:rsidP="00E725D2">
            <w:pPr>
              <w:pStyle w:val="Tabletext"/>
              <w:numPr>
                <w:ilvl w:val="0"/>
                <w:numId w:val="166"/>
              </w:numPr>
              <w:ind w:left="284" w:hanging="284"/>
            </w:pPr>
          </w:p>
        </w:tc>
        <w:tc>
          <w:tcPr>
            <w:tcW w:w="3406" w:type="dxa"/>
            <w:tcBorders>
              <w:bottom w:val="single" w:sz="4" w:space="0" w:color="auto"/>
            </w:tcBorders>
          </w:tcPr>
          <w:p w14:paraId="5DE3A69E" w14:textId="77777777" w:rsidR="00E725D2" w:rsidRPr="00823AAF" w:rsidRDefault="00E725D2" w:rsidP="00E725D2">
            <w:pPr>
              <w:pStyle w:val="Tabletext"/>
              <w:numPr>
                <w:ilvl w:val="0"/>
                <w:numId w:val="169"/>
              </w:numPr>
              <w:ind w:left="328" w:hanging="328"/>
            </w:pPr>
            <w:r w:rsidRPr="000C2859">
              <w:t>Central non-ducted heat pump</w:t>
            </w:r>
            <w:r w:rsidRPr="00236FFF">
              <w:t xml:space="preserve">, or two or more </w:t>
            </w:r>
            <w:r w:rsidRPr="000C2859">
              <w:t>room heat pump</w:t>
            </w:r>
          </w:p>
        </w:tc>
        <w:tc>
          <w:tcPr>
            <w:tcW w:w="1256" w:type="dxa"/>
            <w:tcBorders>
              <w:bottom w:val="single" w:sz="4" w:space="0" w:color="auto"/>
            </w:tcBorders>
          </w:tcPr>
          <w:p w14:paraId="017BEE45" w14:textId="77777777" w:rsidR="00E725D2" w:rsidRPr="00823AAF" w:rsidRDefault="00E725D2" w:rsidP="00E725D2">
            <w:pPr>
              <w:pStyle w:val="Tabletext"/>
              <w:jc w:val="center"/>
            </w:pPr>
            <w:r w:rsidRPr="00823AAF">
              <w:t>3.6</w:t>
            </w:r>
          </w:p>
        </w:tc>
        <w:tc>
          <w:tcPr>
            <w:tcW w:w="1505" w:type="dxa"/>
            <w:tcBorders>
              <w:bottom w:val="single" w:sz="4" w:space="0" w:color="auto"/>
            </w:tcBorders>
          </w:tcPr>
          <w:p w14:paraId="0A706BA4" w14:textId="435E2F98" w:rsidR="00E725D2" w:rsidRPr="00823AAF" w:rsidRDefault="00E725D2" w:rsidP="00E725D2">
            <w:pPr>
              <w:pStyle w:val="Tabletext"/>
              <w:jc w:val="center"/>
            </w:pPr>
            <w:r>
              <w:rPr>
                <w:rFonts w:ascii="Calibri" w:hAnsi="Calibri" w:cs="Calibri"/>
                <w:color w:val="000000"/>
                <w:sz w:val="22"/>
                <w:szCs w:val="22"/>
              </w:rPr>
              <w:t>12.352</w:t>
            </w:r>
          </w:p>
        </w:tc>
        <w:tc>
          <w:tcPr>
            <w:tcW w:w="1588" w:type="dxa"/>
            <w:tcBorders>
              <w:bottom w:val="single" w:sz="4" w:space="0" w:color="auto"/>
            </w:tcBorders>
          </w:tcPr>
          <w:p w14:paraId="15DE2A41" w14:textId="0F54C4C5" w:rsidR="00E725D2" w:rsidRPr="00823AAF" w:rsidRDefault="00E725D2" w:rsidP="00E725D2">
            <w:pPr>
              <w:pStyle w:val="Tabletext"/>
              <w:jc w:val="center"/>
            </w:pPr>
            <w:r>
              <w:rPr>
                <w:rFonts w:ascii="Calibri" w:hAnsi="Calibri" w:cs="Calibri"/>
                <w:color w:val="000000"/>
                <w:sz w:val="22"/>
                <w:szCs w:val="22"/>
              </w:rPr>
              <w:t>0.787</w:t>
            </w:r>
          </w:p>
        </w:tc>
      </w:tr>
      <w:tr w:rsidR="00E725D2" w:rsidRPr="008600EA" w14:paraId="6EA081DA" w14:textId="77777777" w:rsidTr="0064760C">
        <w:tc>
          <w:tcPr>
            <w:tcW w:w="1596" w:type="dxa"/>
            <w:vMerge/>
            <w:tcBorders>
              <w:bottom w:val="double" w:sz="4" w:space="0" w:color="auto"/>
            </w:tcBorders>
          </w:tcPr>
          <w:p w14:paraId="4EEB29E4" w14:textId="77777777" w:rsidR="00E725D2" w:rsidRPr="00823AAF" w:rsidRDefault="00E725D2" w:rsidP="00E725D2">
            <w:pPr>
              <w:pStyle w:val="Tabletext"/>
              <w:numPr>
                <w:ilvl w:val="0"/>
                <w:numId w:val="166"/>
              </w:numPr>
              <w:ind w:left="284" w:hanging="284"/>
            </w:pPr>
          </w:p>
        </w:tc>
        <w:tc>
          <w:tcPr>
            <w:tcW w:w="3406" w:type="dxa"/>
            <w:tcBorders>
              <w:bottom w:val="double" w:sz="4" w:space="0" w:color="auto"/>
            </w:tcBorders>
          </w:tcPr>
          <w:p w14:paraId="2EB2F372" w14:textId="77777777" w:rsidR="00E725D2" w:rsidRPr="00823AAF" w:rsidRDefault="00E725D2" w:rsidP="00E725D2">
            <w:pPr>
              <w:pStyle w:val="Tabletext"/>
              <w:numPr>
                <w:ilvl w:val="0"/>
                <w:numId w:val="169"/>
              </w:numPr>
              <w:ind w:left="328" w:hanging="328"/>
            </w:pPr>
            <w:r w:rsidRPr="000C2859">
              <w:t>Central ducted heat pump</w:t>
            </w:r>
            <w:r w:rsidRPr="00236FFF">
              <w:t xml:space="preserve"> compliant with the provisions of section </w:t>
            </w:r>
            <w:r>
              <w:t xml:space="preserve">2.1.3(e)ii(2) </w:t>
            </w:r>
          </w:p>
        </w:tc>
        <w:tc>
          <w:tcPr>
            <w:tcW w:w="1256" w:type="dxa"/>
            <w:tcBorders>
              <w:bottom w:val="double" w:sz="4" w:space="0" w:color="auto"/>
            </w:tcBorders>
          </w:tcPr>
          <w:p w14:paraId="223235E1" w14:textId="77777777" w:rsidR="00E725D2" w:rsidRPr="00823AAF" w:rsidRDefault="00E725D2" w:rsidP="00E725D2">
            <w:pPr>
              <w:pStyle w:val="Tabletext"/>
              <w:jc w:val="center"/>
            </w:pPr>
            <w:r w:rsidRPr="00823AAF">
              <w:t>3.1</w:t>
            </w:r>
          </w:p>
        </w:tc>
        <w:tc>
          <w:tcPr>
            <w:tcW w:w="1505" w:type="dxa"/>
            <w:tcBorders>
              <w:bottom w:val="double" w:sz="4" w:space="0" w:color="auto"/>
            </w:tcBorders>
          </w:tcPr>
          <w:p w14:paraId="7B49CDEE" w14:textId="420D7848" w:rsidR="00E725D2" w:rsidRPr="00823AAF" w:rsidRDefault="00E725D2" w:rsidP="00E725D2">
            <w:pPr>
              <w:pStyle w:val="Tabletext"/>
              <w:jc w:val="center"/>
            </w:pPr>
            <w:r>
              <w:rPr>
                <w:rFonts w:ascii="Calibri" w:hAnsi="Calibri" w:cs="Calibri"/>
                <w:color w:val="000000"/>
                <w:sz w:val="22"/>
                <w:szCs w:val="22"/>
              </w:rPr>
              <w:t>11.027</w:t>
            </w:r>
          </w:p>
        </w:tc>
        <w:tc>
          <w:tcPr>
            <w:tcW w:w="1588" w:type="dxa"/>
            <w:tcBorders>
              <w:bottom w:val="double" w:sz="4" w:space="0" w:color="auto"/>
            </w:tcBorders>
          </w:tcPr>
          <w:p w14:paraId="596E1174" w14:textId="19CC3D46" w:rsidR="00E725D2" w:rsidRPr="00823AAF" w:rsidRDefault="00E725D2" w:rsidP="00E725D2">
            <w:pPr>
              <w:pStyle w:val="Tabletext"/>
              <w:jc w:val="center"/>
            </w:pPr>
            <w:r>
              <w:rPr>
                <w:rFonts w:ascii="Calibri" w:hAnsi="Calibri" w:cs="Calibri"/>
                <w:color w:val="000000"/>
                <w:sz w:val="22"/>
                <w:szCs w:val="22"/>
              </w:rPr>
              <w:t>1.206</w:t>
            </w:r>
          </w:p>
        </w:tc>
      </w:tr>
      <w:tr w:rsidR="00E725D2" w:rsidRPr="008600EA" w14:paraId="095B1AC7" w14:textId="77777777" w:rsidTr="0064760C">
        <w:tc>
          <w:tcPr>
            <w:tcW w:w="1596" w:type="dxa"/>
            <w:vMerge w:val="restart"/>
            <w:tcBorders>
              <w:top w:val="double" w:sz="4" w:space="0" w:color="auto"/>
            </w:tcBorders>
          </w:tcPr>
          <w:p w14:paraId="1EA28BEC" w14:textId="77777777" w:rsidR="00E725D2" w:rsidRPr="00823AAF" w:rsidRDefault="00E725D2" w:rsidP="00E725D2">
            <w:pPr>
              <w:pStyle w:val="Tabletext"/>
              <w:numPr>
                <w:ilvl w:val="0"/>
                <w:numId w:val="166"/>
              </w:numPr>
              <w:ind w:left="284" w:hanging="284"/>
            </w:pPr>
            <w:r w:rsidRPr="00823AAF">
              <w:t>None, any, not specified</w:t>
            </w:r>
          </w:p>
        </w:tc>
        <w:tc>
          <w:tcPr>
            <w:tcW w:w="3406" w:type="dxa"/>
            <w:tcBorders>
              <w:top w:val="double" w:sz="4" w:space="0" w:color="auto"/>
            </w:tcBorders>
          </w:tcPr>
          <w:p w14:paraId="5CDE9CCC" w14:textId="77777777" w:rsidR="00E725D2" w:rsidRPr="00823AAF" w:rsidRDefault="00E725D2" w:rsidP="00E725D2">
            <w:pPr>
              <w:pStyle w:val="Tabletext"/>
              <w:numPr>
                <w:ilvl w:val="0"/>
                <w:numId w:val="170"/>
              </w:numPr>
              <w:ind w:left="351" w:hanging="351"/>
            </w:pPr>
            <w:r w:rsidRPr="000C2859">
              <w:t>Central ducted heat pump</w:t>
            </w:r>
          </w:p>
        </w:tc>
        <w:tc>
          <w:tcPr>
            <w:tcW w:w="1256" w:type="dxa"/>
            <w:tcBorders>
              <w:top w:val="double" w:sz="4" w:space="0" w:color="auto"/>
            </w:tcBorders>
          </w:tcPr>
          <w:p w14:paraId="6332238F" w14:textId="77777777" w:rsidR="00E725D2" w:rsidRPr="00823AAF" w:rsidRDefault="00E725D2" w:rsidP="00E725D2">
            <w:pPr>
              <w:pStyle w:val="Tabletext"/>
              <w:jc w:val="center"/>
            </w:pPr>
            <w:r w:rsidRPr="00823AAF">
              <w:t>3.6</w:t>
            </w:r>
          </w:p>
        </w:tc>
        <w:tc>
          <w:tcPr>
            <w:tcW w:w="1505" w:type="dxa"/>
            <w:tcBorders>
              <w:top w:val="double" w:sz="4" w:space="0" w:color="auto"/>
            </w:tcBorders>
          </w:tcPr>
          <w:p w14:paraId="158B22E8" w14:textId="4B57551C" w:rsidR="00E725D2" w:rsidRPr="00823AAF" w:rsidRDefault="00E725D2" w:rsidP="00E725D2">
            <w:pPr>
              <w:pStyle w:val="Tabletext"/>
              <w:jc w:val="center"/>
            </w:pPr>
            <w:r>
              <w:rPr>
                <w:rFonts w:ascii="Calibri" w:hAnsi="Calibri" w:cs="Calibri"/>
                <w:color w:val="000000"/>
                <w:sz w:val="22"/>
                <w:szCs w:val="22"/>
              </w:rPr>
              <w:t>0.000</w:t>
            </w:r>
          </w:p>
        </w:tc>
        <w:tc>
          <w:tcPr>
            <w:tcW w:w="1588" w:type="dxa"/>
            <w:tcBorders>
              <w:top w:val="double" w:sz="4" w:space="0" w:color="auto"/>
            </w:tcBorders>
          </w:tcPr>
          <w:p w14:paraId="15C6DEB9" w14:textId="7068F33A" w:rsidR="00E725D2" w:rsidRPr="00823AAF" w:rsidRDefault="00E725D2" w:rsidP="00E725D2">
            <w:pPr>
              <w:pStyle w:val="Tabletext"/>
              <w:jc w:val="center"/>
            </w:pPr>
            <w:r>
              <w:rPr>
                <w:rFonts w:ascii="Calibri" w:hAnsi="Calibri" w:cs="Calibri"/>
                <w:color w:val="000000"/>
                <w:sz w:val="22"/>
                <w:szCs w:val="22"/>
              </w:rPr>
              <w:t>0.925</w:t>
            </w:r>
          </w:p>
        </w:tc>
      </w:tr>
      <w:tr w:rsidR="00E725D2" w:rsidRPr="008600EA" w14:paraId="2A921C05" w14:textId="77777777" w:rsidTr="0064760C">
        <w:tc>
          <w:tcPr>
            <w:tcW w:w="1596" w:type="dxa"/>
            <w:vMerge/>
          </w:tcPr>
          <w:p w14:paraId="071F0748" w14:textId="77777777" w:rsidR="00E725D2" w:rsidRPr="00823AAF" w:rsidRDefault="00E725D2" w:rsidP="00E725D2">
            <w:pPr>
              <w:pStyle w:val="Tabletext"/>
            </w:pPr>
          </w:p>
        </w:tc>
        <w:tc>
          <w:tcPr>
            <w:tcW w:w="3406" w:type="dxa"/>
          </w:tcPr>
          <w:p w14:paraId="4C671778" w14:textId="77777777" w:rsidR="00E725D2" w:rsidRPr="00823AAF" w:rsidRDefault="00E725D2" w:rsidP="00E725D2">
            <w:pPr>
              <w:pStyle w:val="Tabletext"/>
              <w:numPr>
                <w:ilvl w:val="0"/>
                <w:numId w:val="170"/>
              </w:numPr>
              <w:ind w:left="328" w:hanging="328"/>
            </w:pPr>
            <w:r w:rsidRPr="000C2859">
              <w:t>Central non-ducted heat pump</w:t>
            </w:r>
            <w:r w:rsidRPr="00236FFF">
              <w:t xml:space="preserve">, or two or more </w:t>
            </w:r>
            <w:r w:rsidRPr="000C2859">
              <w:t>room heat pump</w:t>
            </w:r>
            <w:r w:rsidRPr="000C2859" w:rsidDel="002322E0">
              <w:t xml:space="preserve"> </w:t>
            </w:r>
          </w:p>
        </w:tc>
        <w:tc>
          <w:tcPr>
            <w:tcW w:w="1256" w:type="dxa"/>
          </w:tcPr>
          <w:p w14:paraId="29FC26EB" w14:textId="77777777" w:rsidR="00E725D2" w:rsidRPr="00823AAF" w:rsidRDefault="00E725D2" w:rsidP="00E725D2">
            <w:pPr>
              <w:pStyle w:val="Tabletext"/>
              <w:jc w:val="center"/>
            </w:pPr>
            <w:r w:rsidRPr="00823AAF">
              <w:t>3.6</w:t>
            </w:r>
          </w:p>
        </w:tc>
        <w:tc>
          <w:tcPr>
            <w:tcW w:w="1505" w:type="dxa"/>
          </w:tcPr>
          <w:p w14:paraId="496DD46C" w14:textId="0547F308" w:rsidR="00E725D2" w:rsidRPr="00823AAF" w:rsidRDefault="00E725D2" w:rsidP="00E725D2">
            <w:pPr>
              <w:pStyle w:val="Tabletext"/>
              <w:jc w:val="center"/>
            </w:pPr>
            <w:r>
              <w:rPr>
                <w:rFonts w:ascii="Calibri" w:hAnsi="Calibri" w:cs="Calibri"/>
                <w:color w:val="000000"/>
                <w:sz w:val="22"/>
                <w:szCs w:val="22"/>
              </w:rPr>
              <w:t>0.638</w:t>
            </w:r>
          </w:p>
        </w:tc>
        <w:tc>
          <w:tcPr>
            <w:tcW w:w="1588" w:type="dxa"/>
          </w:tcPr>
          <w:p w14:paraId="157AFEEA" w14:textId="3443303B" w:rsidR="00E725D2" w:rsidRPr="00823AAF" w:rsidRDefault="00E725D2" w:rsidP="00E725D2">
            <w:pPr>
              <w:pStyle w:val="Tabletext"/>
              <w:jc w:val="center"/>
            </w:pPr>
            <w:r>
              <w:rPr>
                <w:rFonts w:ascii="Calibri" w:hAnsi="Calibri" w:cs="Calibri"/>
                <w:color w:val="000000"/>
                <w:sz w:val="22"/>
                <w:szCs w:val="22"/>
              </w:rPr>
              <w:t>0.787</w:t>
            </w:r>
          </w:p>
        </w:tc>
      </w:tr>
    </w:tbl>
    <w:p w14:paraId="4E432C30" w14:textId="77777777" w:rsidR="00E725D2" w:rsidRDefault="00E725D2" w:rsidP="0064760C">
      <w:pPr>
        <w:pStyle w:val="Caption"/>
        <w:ind w:left="0" w:firstLine="0"/>
      </w:pPr>
      <w:bookmarkStart w:id="184" w:name="_Toc21868115"/>
      <w:bookmarkStart w:id="185" w:name="_Toc21868247"/>
      <w:bookmarkStart w:id="186" w:name="_Toc37945694"/>
    </w:p>
    <w:p w14:paraId="4249AA75" w14:textId="77777777" w:rsidR="00605125" w:rsidRPr="003571E7" w:rsidRDefault="00605125" w:rsidP="003571E7">
      <w:pPr>
        <w:pStyle w:val="Caption"/>
      </w:pPr>
      <w:r w:rsidRPr="003571E7">
        <w:t xml:space="preserve">Table </w:t>
      </w:r>
      <w:r w:rsidR="004A0156">
        <w:rPr>
          <w:noProof/>
        </w:rPr>
        <w:fldChar w:fldCharType="begin"/>
      </w:r>
      <w:r w:rsidR="004A0156">
        <w:rPr>
          <w:noProof/>
        </w:rPr>
        <w:instrText xml:space="preserve"> SEQ Table \* ARABIC </w:instrText>
      </w:r>
      <w:r w:rsidR="004A0156">
        <w:rPr>
          <w:noProof/>
        </w:rPr>
        <w:fldChar w:fldCharType="separate"/>
      </w:r>
      <w:r w:rsidR="00880CB1">
        <w:rPr>
          <w:noProof/>
        </w:rPr>
        <w:t>10</w:t>
      </w:r>
      <w:r w:rsidR="004A0156">
        <w:rPr>
          <w:noProof/>
        </w:rPr>
        <w:fldChar w:fldCharType="end"/>
      </w:r>
      <w:r w:rsidR="003571E7" w:rsidRPr="003571E7">
        <w:t xml:space="preserve"> </w:t>
      </w:r>
      <w:r w:rsidR="009E6E7F">
        <w:tab/>
      </w:r>
      <w:r w:rsidR="00C358AC">
        <w:t>Activity</w:t>
      </w:r>
      <w:r w:rsidR="002578E2">
        <w:t xml:space="preserve"> ID</w:t>
      </w:r>
      <w:r w:rsidR="00C358AC">
        <w:t xml:space="preserve"> 2.1(b)</w:t>
      </w:r>
      <w:r w:rsidR="002578E2">
        <w:t>iii</w:t>
      </w:r>
      <w:r w:rsidR="00C358AC">
        <w:t xml:space="preserve"> b</w:t>
      </w:r>
      <w:r w:rsidRPr="003571E7">
        <w:t xml:space="preserve">usiness </w:t>
      </w:r>
      <w:r w:rsidR="0092427E">
        <w:t>p</w:t>
      </w:r>
      <w:r w:rsidRPr="003571E7">
        <w:t xml:space="preserve">remises – </w:t>
      </w:r>
      <w:r w:rsidR="00C358AC">
        <w:t>c</w:t>
      </w:r>
      <w:r w:rsidRPr="003571E7">
        <w:t>ategory 3</w:t>
      </w:r>
      <w:bookmarkEnd w:id="184"/>
      <w:bookmarkEnd w:id="185"/>
      <w:bookmarkEnd w:id="186"/>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3406"/>
        <w:gridCol w:w="1256"/>
        <w:gridCol w:w="1265"/>
        <w:gridCol w:w="1828"/>
      </w:tblGrid>
      <w:tr w:rsidR="00D565C1" w:rsidRPr="008600EA" w14:paraId="1F7B5D96" w14:textId="77777777" w:rsidTr="00E725D2">
        <w:trPr>
          <w:tblHeader/>
        </w:trPr>
        <w:tc>
          <w:tcPr>
            <w:tcW w:w="1596" w:type="dxa"/>
            <w:tcBorders>
              <w:bottom w:val="double" w:sz="4" w:space="0" w:color="auto"/>
            </w:tcBorders>
          </w:tcPr>
          <w:p w14:paraId="1F1D1EA7" w14:textId="77777777" w:rsidR="00D565C1" w:rsidRPr="00823AAF" w:rsidRDefault="00D565C1" w:rsidP="00D565C1">
            <w:pPr>
              <w:pStyle w:val="Tableheader"/>
            </w:pPr>
            <w:r>
              <w:t>Pre-existing heating condition</w:t>
            </w:r>
          </w:p>
        </w:tc>
        <w:tc>
          <w:tcPr>
            <w:tcW w:w="3406" w:type="dxa"/>
            <w:tcBorders>
              <w:bottom w:val="double" w:sz="4" w:space="0" w:color="auto"/>
            </w:tcBorders>
          </w:tcPr>
          <w:p w14:paraId="3B2D9F78" w14:textId="77777777" w:rsidR="00D565C1" w:rsidRPr="00823AAF" w:rsidRDefault="00D565C1" w:rsidP="00D565C1">
            <w:pPr>
              <w:pStyle w:val="Tableheader"/>
            </w:pPr>
            <w:r>
              <w:t>Installed product type</w:t>
            </w:r>
          </w:p>
        </w:tc>
        <w:tc>
          <w:tcPr>
            <w:tcW w:w="1256" w:type="dxa"/>
            <w:tcBorders>
              <w:bottom w:val="double" w:sz="4" w:space="0" w:color="auto"/>
            </w:tcBorders>
          </w:tcPr>
          <w:p w14:paraId="604B9E47" w14:textId="77777777" w:rsidR="00D565C1" w:rsidRPr="00823AAF" w:rsidRDefault="00D565C1" w:rsidP="00D565C1">
            <w:pPr>
              <w:pStyle w:val="Tableheader"/>
            </w:pPr>
            <w:r w:rsidRPr="00823AAF">
              <w:t>Base Efficiency (</w:t>
            </w:r>
            <w:r w:rsidRPr="00823AAF">
              <w:rPr>
                <w:i/>
              </w:rPr>
              <w:t>Baseline</w:t>
            </w:r>
            <w:r w:rsidRPr="00823AAF">
              <w:t>)</w:t>
            </w:r>
            <w:r w:rsidRPr="00823AAF">
              <w:br/>
              <w:t>ACOP</w:t>
            </w:r>
          </w:p>
        </w:tc>
        <w:tc>
          <w:tcPr>
            <w:tcW w:w="1265" w:type="dxa"/>
            <w:tcBorders>
              <w:bottom w:val="double" w:sz="4" w:space="0" w:color="auto"/>
            </w:tcBorders>
          </w:tcPr>
          <w:p w14:paraId="5003E1E8" w14:textId="65C7CF85" w:rsidR="00D565C1" w:rsidRPr="00823AAF" w:rsidRDefault="00D565C1" w:rsidP="00D565C1">
            <w:pPr>
              <w:pStyle w:val="Tableheader"/>
            </w:pPr>
            <w:r w:rsidRPr="00DA61EB">
              <w:t xml:space="preserve">Fixed </w:t>
            </w:r>
            <w:r>
              <w:t>Energy</w:t>
            </w:r>
            <w:r w:rsidRPr="00DA61EB">
              <w:t xml:space="preserve"> Savings (</w:t>
            </w:r>
            <w:r>
              <w:t>ESF</w:t>
            </w:r>
            <w:r w:rsidRPr="00DA61EB">
              <w:rPr>
                <w:vertAlign w:val="subscript"/>
              </w:rPr>
              <w:t>fixed</w:t>
            </w:r>
            <w:r w:rsidRPr="00DA61EB">
              <w:t xml:space="preserve">) </w:t>
            </w:r>
            <w:r w:rsidRPr="00DA61EB">
              <w:br/>
            </w:r>
            <w:r w:rsidRPr="00A52076">
              <w:t>MWh</w:t>
            </w:r>
          </w:p>
        </w:tc>
        <w:tc>
          <w:tcPr>
            <w:tcW w:w="1828" w:type="dxa"/>
            <w:tcBorders>
              <w:bottom w:val="double" w:sz="4" w:space="0" w:color="auto"/>
            </w:tcBorders>
          </w:tcPr>
          <w:p w14:paraId="3FFE7280" w14:textId="108ED192" w:rsidR="00D565C1" w:rsidRPr="00823AAF" w:rsidRDefault="00D565C1" w:rsidP="00D565C1">
            <w:pPr>
              <w:pStyle w:val="Tableheader"/>
            </w:pPr>
            <w:r w:rsidRPr="00DA61EB">
              <w:t>Variable</w:t>
            </w:r>
            <w:r>
              <w:t xml:space="preserve"> Energy</w:t>
            </w:r>
            <w:r w:rsidRPr="00DA61EB">
              <w:t xml:space="preserve"> Savings (</w:t>
            </w:r>
            <w:r>
              <w:t>ESF</w:t>
            </w:r>
            <w:r w:rsidRPr="00DA61EB">
              <w:rPr>
                <w:vertAlign w:val="subscript"/>
              </w:rPr>
              <w:t>var</w:t>
            </w:r>
            <w:r w:rsidRPr="00DA61EB">
              <w:t>)</w:t>
            </w:r>
            <w:r w:rsidRPr="00DA61EB">
              <w:br/>
            </w:r>
            <w:r w:rsidRPr="00A52076">
              <w:t>MWh</w:t>
            </w:r>
            <w:r w:rsidRPr="00DA61EB">
              <w:t>/kW</w:t>
            </w:r>
          </w:p>
        </w:tc>
      </w:tr>
      <w:tr w:rsidR="00E725D2" w:rsidRPr="008600EA" w14:paraId="1986F809" w14:textId="77777777" w:rsidTr="0064760C">
        <w:tc>
          <w:tcPr>
            <w:tcW w:w="1596" w:type="dxa"/>
            <w:vMerge w:val="restart"/>
            <w:tcBorders>
              <w:top w:val="double" w:sz="4" w:space="0" w:color="auto"/>
              <w:bottom w:val="double" w:sz="4" w:space="0" w:color="auto"/>
            </w:tcBorders>
          </w:tcPr>
          <w:p w14:paraId="5AC20919" w14:textId="77777777" w:rsidR="00E725D2" w:rsidRPr="00A553E5" w:rsidRDefault="00E725D2" w:rsidP="00E725D2">
            <w:pPr>
              <w:pStyle w:val="Tabletext"/>
              <w:numPr>
                <w:ilvl w:val="0"/>
                <w:numId w:val="175"/>
              </w:numPr>
              <w:ind w:left="284" w:hanging="284"/>
            </w:pPr>
            <w:r w:rsidRPr="00DA61EB">
              <w:t xml:space="preserve">Qualifying </w:t>
            </w:r>
            <w:r>
              <w:t xml:space="preserve">fixed </w:t>
            </w:r>
            <w:r w:rsidRPr="00DA61EB">
              <w:t xml:space="preserve">electric resistance </w:t>
            </w:r>
            <w:r>
              <w:t>–</w:t>
            </w:r>
            <w:r w:rsidRPr="00DA61EB">
              <w:t xml:space="preserve"> panel heaters</w:t>
            </w:r>
            <w:r>
              <w:t xml:space="preserve"> (must service more than 70m</w:t>
            </w:r>
            <w:r w:rsidRPr="00F92E9E">
              <w:rPr>
                <w:vertAlign w:val="superscript"/>
              </w:rPr>
              <w:t>2</w:t>
            </w:r>
            <w:r>
              <w:t>)</w:t>
            </w:r>
          </w:p>
        </w:tc>
        <w:tc>
          <w:tcPr>
            <w:tcW w:w="3406" w:type="dxa"/>
            <w:tcBorders>
              <w:top w:val="double" w:sz="4" w:space="0" w:color="auto"/>
            </w:tcBorders>
          </w:tcPr>
          <w:p w14:paraId="60E3FA78" w14:textId="77777777" w:rsidR="00E725D2" w:rsidRPr="00823AAF" w:rsidRDefault="00E725D2" w:rsidP="00E725D2">
            <w:pPr>
              <w:pStyle w:val="Tabletext"/>
              <w:numPr>
                <w:ilvl w:val="0"/>
                <w:numId w:val="171"/>
              </w:numPr>
              <w:ind w:left="351" w:hanging="351"/>
            </w:pPr>
            <w:r w:rsidRPr="000C2859">
              <w:t>Central ducted heat pump</w:t>
            </w:r>
          </w:p>
        </w:tc>
        <w:tc>
          <w:tcPr>
            <w:tcW w:w="1256" w:type="dxa"/>
            <w:tcBorders>
              <w:top w:val="double" w:sz="4" w:space="0" w:color="auto"/>
            </w:tcBorders>
          </w:tcPr>
          <w:p w14:paraId="250CA723" w14:textId="77777777" w:rsidR="00E725D2" w:rsidRPr="00823AAF" w:rsidRDefault="00E725D2" w:rsidP="00E725D2">
            <w:pPr>
              <w:pStyle w:val="Tabletext"/>
              <w:jc w:val="center"/>
            </w:pPr>
            <w:r w:rsidRPr="00823AAF">
              <w:t>3.6</w:t>
            </w:r>
          </w:p>
        </w:tc>
        <w:tc>
          <w:tcPr>
            <w:tcW w:w="1265" w:type="dxa"/>
            <w:tcBorders>
              <w:top w:val="double" w:sz="4" w:space="0" w:color="auto"/>
            </w:tcBorders>
          </w:tcPr>
          <w:p w14:paraId="71749F83" w14:textId="520A949F" w:rsidR="00E725D2" w:rsidRPr="00823AAF" w:rsidRDefault="00E725D2" w:rsidP="00E725D2">
            <w:pPr>
              <w:pStyle w:val="Tabletext"/>
              <w:jc w:val="center"/>
            </w:pPr>
            <w:r>
              <w:rPr>
                <w:rFonts w:ascii="Calibri" w:hAnsi="Calibri" w:cs="Calibri"/>
                <w:color w:val="000000"/>
                <w:sz w:val="22"/>
                <w:szCs w:val="22"/>
              </w:rPr>
              <w:t>1.103</w:t>
            </w:r>
          </w:p>
        </w:tc>
        <w:tc>
          <w:tcPr>
            <w:tcW w:w="1828" w:type="dxa"/>
            <w:tcBorders>
              <w:top w:val="double" w:sz="4" w:space="0" w:color="auto"/>
            </w:tcBorders>
          </w:tcPr>
          <w:p w14:paraId="22184E77" w14:textId="7AF475A5" w:rsidR="00E725D2" w:rsidRPr="00823AAF" w:rsidRDefault="00E725D2" w:rsidP="00E725D2">
            <w:pPr>
              <w:pStyle w:val="Tabletext"/>
              <w:jc w:val="center"/>
            </w:pPr>
            <w:r>
              <w:rPr>
                <w:rFonts w:ascii="Calibri" w:hAnsi="Calibri" w:cs="Calibri"/>
                <w:color w:val="000000"/>
                <w:sz w:val="22"/>
                <w:szCs w:val="22"/>
              </w:rPr>
              <w:t>1.033</w:t>
            </w:r>
          </w:p>
        </w:tc>
      </w:tr>
      <w:tr w:rsidR="00E725D2" w:rsidRPr="008600EA" w14:paraId="30608C21" w14:textId="77777777" w:rsidTr="0064760C">
        <w:tc>
          <w:tcPr>
            <w:tcW w:w="1596" w:type="dxa"/>
            <w:vMerge/>
            <w:tcBorders>
              <w:bottom w:val="double" w:sz="4" w:space="0" w:color="auto"/>
            </w:tcBorders>
          </w:tcPr>
          <w:p w14:paraId="69E62BB6" w14:textId="77777777" w:rsidR="00E725D2" w:rsidRPr="00823AAF" w:rsidRDefault="00E725D2" w:rsidP="00E725D2">
            <w:pPr>
              <w:pStyle w:val="Tabletext"/>
              <w:numPr>
                <w:ilvl w:val="0"/>
                <w:numId w:val="175"/>
              </w:numPr>
              <w:ind w:left="284" w:hanging="284"/>
            </w:pPr>
          </w:p>
        </w:tc>
        <w:tc>
          <w:tcPr>
            <w:tcW w:w="3406" w:type="dxa"/>
            <w:tcBorders>
              <w:bottom w:val="single" w:sz="4" w:space="0" w:color="auto"/>
            </w:tcBorders>
          </w:tcPr>
          <w:p w14:paraId="3E27D908" w14:textId="77777777" w:rsidR="00E725D2" w:rsidRPr="00823AAF" w:rsidRDefault="00E725D2" w:rsidP="00E725D2">
            <w:pPr>
              <w:pStyle w:val="Tabletext"/>
              <w:numPr>
                <w:ilvl w:val="0"/>
                <w:numId w:val="171"/>
              </w:numPr>
              <w:ind w:left="351" w:hanging="351"/>
            </w:pPr>
            <w:r w:rsidRPr="000C2859">
              <w:t>Central non-ducted heat pump</w:t>
            </w:r>
            <w:r w:rsidRPr="00236FFF">
              <w:t xml:space="preserve">, or two or more </w:t>
            </w:r>
            <w:r w:rsidRPr="000C2859">
              <w:t>room heat pump</w:t>
            </w:r>
          </w:p>
        </w:tc>
        <w:tc>
          <w:tcPr>
            <w:tcW w:w="1256" w:type="dxa"/>
            <w:tcBorders>
              <w:bottom w:val="single" w:sz="4" w:space="0" w:color="auto"/>
            </w:tcBorders>
          </w:tcPr>
          <w:p w14:paraId="19BDE1AC" w14:textId="77777777" w:rsidR="00E725D2" w:rsidRPr="00823AAF" w:rsidRDefault="00E725D2" w:rsidP="00E725D2">
            <w:pPr>
              <w:pStyle w:val="Tabletext"/>
              <w:jc w:val="center"/>
            </w:pPr>
            <w:r w:rsidRPr="00823AAF">
              <w:t>3.6</w:t>
            </w:r>
          </w:p>
        </w:tc>
        <w:tc>
          <w:tcPr>
            <w:tcW w:w="1265" w:type="dxa"/>
            <w:tcBorders>
              <w:bottom w:val="single" w:sz="4" w:space="0" w:color="auto"/>
            </w:tcBorders>
          </w:tcPr>
          <w:p w14:paraId="24874E31" w14:textId="0F522BA3" w:rsidR="00E725D2" w:rsidRPr="00823AAF" w:rsidRDefault="00E725D2" w:rsidP="00E725D2">
            <w:pPr>
              <w:pStyle w:val="Tabletext"/>
              <w:jc w:val="center"/>
            </w:pPr>
            <w:r>
              <w:rPr>
                <w:rFonts w:ascii="Calibri" w:hAnsi="Calibri" w:cs="Calibri"/>
                <w:color w:val="000000"/>
                <w:sz w:val="22"/>
                <w:szCs w:val="22"/>
              </w:rPr>
              <w:t>1.815</w:t>
            </w:r>
          </w:p>
        </w:tc>
        <w:tc>
          <w:tcPr>
            <w:tcW w:w="1828" w:type="dxa"/>
            <w:tcBorders>
              <w:bottom w:val="single" w:sz="4" w:space="0" w:color="auto"/>
            </w:tcBorders>
          </w:tcPr>
          <w:p w14:paraId="75CF64F2" w14:textId="5E60C6E2" w:rsidR="00E725D2" w:rsidRPr="00823AAF" w:rsidRDefault="00E725D2" w:rsidP="00E725D2">
            <w:pPr>
              <w:pStyle w:val="Tabletext"/>
              <w:jc w:val="center"/>
            </w:pPr>
            <w:r>
              <w:rPr>
                <w:rFonts w:ascii="Calibri" w:hAnsi="Calibri" w:cs="Calibri"/>
                <w:color w:val="000000"/>
                <w:sz w:val="22"/>
                <w:szCs w:val="22"/>
              </w:rPr>
              <w:t>0.878</w:t>
            </w:r>
          </w:p>
        </w:tc>
      </w:tr>
      <w:tr w:rsidR="00E725D2" w:rsidRPr="008600EA" w14:paraId="6A4F69CD" w14:textId="77777777" w:rsidTr="0064760C">
        <w:tc>
          <w:tcPr>
            <w:tcW w:w="1596" w:type="dxa"/>
            <w:vMerge/>
            <w:tcBorders>
              <w:bottom w:val="double" w:sz="4" w:space="0" w:color="auto"/>
            </w:tcBorders>
          </w:tcPr>
          <w:p w14:paraId="02EC9D57" w14:textId="77777777" w:rsidR="00E725D2" w:rsidRPr="00823AAF" w:rsidRDefault="00E725D2" w:rsidP="00E725D2">
            <w:pPr>
              <w:pStyle w:val="Tabletext"/>
              <w:numPr>
                <w:ilvl w:val="0"/>
                <w:numId w:val="175"/>
              </w:numPr>
              <w:ind w:left="284" w:hanging="284"/>
            </w:pPr>
          </w:p>
        </w:tc>
        <w:tc>
          <w:tcPr>
            <w:tcW w:w="3406" w:type="dxa"/>
            <w:tcBorders>
              <w:bottom w:val="double" w:sz="4" w:space="0" w:color="auto"/>
            </w:tcBorders>
          </w:tcPr>
          <w:p w14:paraId="4A5CD3CB" w14:textId="77777777" w:rsidR="00E725D2" w:rsidRPr="00823AAF" w:rsidRDefault="00E725D2" w:rsidP="00E725D2">
            <w:pPr>
              <w:pStyle w:val="Tabletext"/>
              <w:numPr>
                <w:ilvl w:val="0"/>
                <w:numId w:val="171"/>
              </w:numPr>
              <w:ind w:left="351" w:hanging="351"/>
            </w:pPr>
            <w:r w:rsidRPr="000C2859">
              <w:t>Central ducted heat pump</w:t>
            </w:r>
            <w:r w:rsidRPr="00236FFF">
              <w:t xml:space="preserve"> compliant with the provisions of section </w:t>
            </w:r>
            <w:r>
              <w:t xml:space="preserve">2.1.3(e)ii(2) </w:t>
            </w:r>
          </w:p>
        </w:tc>
        <w:tc>
          <w:tcPr>
            <w:tcW w:w="1256" w:type="dxa"/>
            <w:tcBorders>
              <w:bottom w:val="double" w:sz="4" w:space="0" w:color="auto"/>
            </w:tcBorders>
          </w:tcPr>
          <w:p w14:paraId="6635EDA2" w14:textId="77777777" w:rsidR="00E725D2" w:rsidRPr="00823AAF" w:rsidRDefault="00E725D2" w:rsidP="00E725D2">
            <w:pPr>
              <w:pStyle w:val="Tabletext"/>
              <w:jc w:val="center"/>
            </w:pPr>
            <w:r w:rsidRPr="00823AAF">
              <w:t>3.1</w:t>
            </w:r>
          </w:p>
        </w:tc>
        <w:tc>
          <w:tcPr>
            <w:tcW w:w="1265" w:type="dxa"/>
            <w:tcBorders>
              <w:bottom w:val="double" w:sz="4" w:space="0" w:color="auto"/>
            </w:tcBorders>
          </w:tcPr>
          <w:p w14:paraId="3DEA5D5B" w14:textId="41BAAE8F" w:rsidR="00E725D2" w:rsidRPr="00823AAF" w:rsidRDefault="00E725D2" w:rsidP="00E725D2">
            <w:pPr>
              <w:pStyle w:val="Tabletext"/>
              <w:jc w:val="center"/>
            </w:pPr>
            <w:r>
              <w:rPr>
                <w:rFonts w:ascii="Calibri" w:hAnsi="Calibri" w:cs="Calibri"/>
                <w:color w:val="000000"/>
                <w:sz w:val="22"/>
                <w:szCs w:val="22"/>
              </w:rPr>
              <w:t>0.336</w:t>
            </w:r>
          </w:p>
        </w:tc>
        <w:tc>
          <w:tcPr>
            <w:tcW w:w="1828" w:type="dxa"/>
            <w:tcBorders>
              <w:bottom w:val="double" w:sz="4" w:space="0" w:color="auto"/>
            </w:tcBorders>
          </w:tcPr>
          <w:p w14:paraId="630C4F69" w14:textId="31C7715A" w:rsidR="00E725D2" w:rsidRPr="00823AAF" w:rsidRDefault="00E725D2" w:rsidP="00E725D2">
            <w:pPr>
              <w:pStyle w:val="Tabletext"/>
              <w:jc w:val="center"/>
            </w:pPr>
            <w:r>
              <w:rPr>
                <w:rFonts w:ascii="Calibri" w:hAnsi="Calibri" w:cs="Calibri"/>
                <w:color w:val="000000"/>
                <w:sz w:val="22"/>
                <w:szCs w:val="22"/>
              </w:rPr>
              <w:t>1.345</w:t>
            </w:r>
          </w:p>
        </w:tc>
      </w:tr>
      <w:tr w:rsidR="00E725D2" w:rsidRPr="008600EA" w14:paraId="494D8C61" w14:textId="77777777" w:rsidTr="0064760C">
        <w:tc>
          <w:tcPr>
            <w:tcW w:w="1596" w:type="dxa"/>
            <w:vMerge w:val="restart"/>
            <w:tcBorders>
              <w:top w:val="double" w:sz="4" w:space="0" w:color="auto"/>
              <w:bottom w:val="double" w:sz="4" w:space="0" w:color="auto"/>
            </w:tcBorders>
          </w:tcPr>
          <w:p w14:paraId="039AC494" w14:textId="77777777" w:rsidR="00E725D2" w:rsidRPr="00A553E5" w:rsidRDefault="00E725D2" w:rsidP="00E725D2">
            <w:pPr>
              <w:pStyle w:val="Tabletext"/>
              <w:numPr>
                <w:ilvl w:val="0"/>
                <w:numId w:val="175"/>
              </w:numPr>
              <w:ind w:left="284" w:hanging="284"/>
            </w:pPr>
            <w:r w:rsidRPr="00DA61EB">
              <w:t>Qualifying</w:t>
            </w:r>
            <w:r>
              <w:t xml:space="preserve"> fixed</w:t>
            </w:r>
            <w:r w:rsidRPr="00DA61EB">
              <w:t xml:space="preserve"> electric resistance </w:t>
            </w:r>
            <w:r>
              <w:t>–</w:t>
            </w:r>
            <w:r w:rsidRPr="00DA61EB">
              <w:t xml:space="preserve"> </w:t>
            </w:r>
            <w:r w:rsidRPr="00DA61EB">
              <w:lastRenderedPageBreak/>
              <w:t>slab or ducted</w:t>
            </w:r>
            <w:r>
              <w:t xml:space="preserve"> (must service more than 70m</w:t>
            </w:r>
            <w:r w:rsidRPr="00F92E9E">
              <w:rPr>
                <w:vertAlign w:val="superscript"/>
              </w:rPr>
              <w:t>2</w:t>
            </w:r>
            <w:r>
              <w:t>)</w:t>
            </w:r>
          </w:p>
        </w:tc>
        <w:tc>
          <w:tcPr>
            <w:tcW w:w="3406" w:type="dxa"/>
            <w:tcBorders>
              <w:top w:val="double" w:sz="4" w:space="0" w:color="auto"/>
            </w:tcBorders>
          </w:tcPr>
          <w:p w14:paraId="637412D8" w14:textId="77777777" w:rsidR="00E725D2" w:rsidRPr="00823AAF" w:rsidRDefault="00E725D2" w:rsidP="00E725D2">
            <w:pPr>
              <w:pStyle w:val="Tabletext"/>
              <w:numPr>
                <w:ilvl w:val="0"/>
                <w:numId w:val="172"/>
              </w:numPr>
              <w:ind w:left="351" w:hanging="351"/>
            </w:pPr>
            <w:r w:rsidRPr="000C2859">
              <w:lastRenderedPageBreak/>
              <w:t>Central ducted heat pump</w:t>
            </w:r>
          </w:p>
        </w:tc>
        <w:tc>
          <w:tcPr>
            <w:tcW w:w="1256" w:type="dxa"/>
            <w:tcBorders>
              <w:top w:val="double" w:sz="4" w:space="0" w:color="auto"/>
            </w:tcBorders>
          </w:tcPr>
          <w:p w14:paraId="7703C155" w14:textId="77777777" w:rsidR="00E725D2" w:rsidRPr="00823AAF" w:rsidRDefault="00E725D2" w:rsidP="00E725D2">
            <w:pPr>
              <w:pStyle w:val="Tabletext"/>
              <w:jc w:val="center"/>
            </w:pPr>
            <w:r w:rsidRPr="00823AAF">
              <w:t>3.6</w:t>
            </w:r>
          </w:p>
        </w:tc>
        <w:tc>
          <w:tcPr>
            <w:tcW w:w="1265" w:type="dxa"/>
            <w:tcBorders>
              <w:top w:val="double" w:sz="4" w:space="0" w:color="auto"/>
            </w:tcBorders>
          </w:tcPr>
          <w:p w14:paraId="661CC40D" w14:textId="4B545586" w:rsidR="00E725D2" w:rsidRPr="00823AAF" w:rsidRDefault="00E725D2" w:rsidP="00E725D2">
            <w:pPr>
              <w:pStyle w:val="Tabletext"/>
              <w:jc w:val="center"/>
            </w:pPr>
            <w:r>
              <w:rPr>
                <w:rFonts w:ascii="Calibri" w:hAnsi="Calibri" w:cs="Calibri"/>
                <w:color w:val="000000"/>
                <w:sz w:val="22"/>
                <w:szCs w:val="22"/>
              </w:rPr>
              <w:t>2.566</w:t>
            </w:r>
          </w:p>
        </w:tc>
        <w:tc>
          <w:tcPr>
            <w:tcW w:w="1828" w:type="dxa"/>
            <w:tcBorders>
              <w:top w:val="double" w:sz="4" w:space="0" w:color="auto"/>
            </w:tcBorders>
          </w:tcPr>
          <w:p w14:paraId="789A0F65" w14:textId="7D61C89F" w:rsidR="00E725D2" w:rsidRPr="00823AAF" w:rsidRDefault="00E725D2" w:rsidP="00E725D2">
            <w:pPr>
              <w:pStyle w:val="Tabletext"/>
              <w:jc w:val="center"/>
            </w:pPr>
            <w:r>
              <w:rPr>
                <w:rFonts w:ascii="Calibri" w:hAnsi="Calibri" w:cs="Calibri"/>
                <w:color w:val="000000"/>
                <w:sz w:val="22"/>
                <w:szCs w:val="22"/>
              </w:rPr>
              <w:t>1.033</w:t>
            </w:r>
          </w:p>
        </w:tc>
      </w:tr>
      <w:tr w:rsidR="00E725D2" w:rsidRPr="008600EA" w14:paraId="2ADE67FF" w14:textId="77777777" w:rsidTr="0064760C">
        <w:tc>
          <w:tcPr>
            <w:tcW w:w="1596" w:type="dxa"/>
            <w:vMerge/>
            <w:tcBorders>
              <w:bottom w:val="double" w:sz="4" w:space="0" w:color="auto"/>
            </w:tcBorders>
          </w:tcPr>
          <w:p w14:paraId="3F0F344A" w14:textId="77777777" w:rsidR="00E725D2" w:rsidRPr="00823AAF" w:rsidRDefault="00E725D2" w:rsidP="00E725D2">
            <w:pPr>
              <w:pStyle w:val="Tabletext"/>
              <w:numPr>
                <w:ilvl w:val="0"/>
                <w:numId w:val="175"/>
              </w:numPr>
              <w:ind w:left="284" w:hanging="284"/>
            </w:pPr>
          </w:p>
        </w:tc>
        <w:tc>
          <w:tcPr>
            <w:tcW w:w="3406" w:type="dxa"/>
            <w:tcBorders>
              <w:bottom w:val="single" w:sz="4" w:space="0" w:color="auto"/>
            </w:tcBorders>
          </w:tcPr>
          <w:p w14:paraId="4555C68F" w14:textId="77777777" w:rsidR="00E725D2" w:rsidRPr="00823AAF" w:rsidRDefault="00E725D2" w:rsidP="00E725D2">
            <w:pPr>
              <w:pStyle w:val="Tabletext"/>
              <w:numPr>
                <w:ilvl w:val="0"/>
                <w:numId w:val="172"/>
              </w:numPr>
              <w:ind w:left="351" w:hanging="351"/>
            </w:pPr>
            <w:r w:rsidRPr="000C2859">
              <w:t>Central non-ducted heat pump</w:t>
            </w:r>
            <w:r w:rsidRPr="00236FFF">
              <w:t xml:space="preserve">, or two or more </w:t>
            </w:r>
            <w:r w:rsidRPr="000C2859">
              <w:t>room heat pump</w:t>
            </w:r>
            <w:r w:rsidRPr="000C2859" w:rsidDel="002322E0">
              <w:t xml:space="preserve"> </w:t>
            </w:r>
          </w:p>
        </w:tc>
        <w:tc>
          <w:tcPr>
            <w:tcW w:w="1256" w:type="dxa"/>
            <w:tcBorders>
              <w:bottom w:val="single" w:sz="4" w:space="0" w:color="auto"/>
            </w:tcBorders>
          </w:tcPr>
          <w:p w14:paraId="06AF4753" w14:textId="77777777" w:rsidR="00E725D2" w:rsidRPr="00823AAF" w:rsidRDefault="00E725D2" w:rsidP="00E725D2">
            <w:pPr>
              <w:pStyle w:val="Tabletext"/>
              <w:jc w:val="center"/>
            </w:pPr>
            <w:r w:rsidRPr="00823AAF">
              <w:t>3.6</w:t>
            </w:r>
          </w:p>
        </w:tc>
        <w:tc>
          <w:tcPr>
            <w:tcW w:w="1265" w:type="dxa"/>
            <w:tcBorders>
              <w:bottom w:val="single" w:sz="4" w:space="0" w:color="auto"/>
            </w:tcBorders>
          </w:tcPr>
          <w:p w14:paraId="0D4FF9CC" w14:textId="2B5A7EE3" w:rsidR="00E725D2" w:rsidRPr="00823AAF" w:rsidRDefault="00E725D2" w:rsidP="00E725D2">
            <w:pPr>
              <w:pStyle w:val="Tabletext"/>
              <w:jc w:val="center"/>
            </w:pPr>
            <w:r>
              <w:rPr>
                <w:rFonts w:ascii="Calibri" w:hAnsi="Calibri" w:cs="Calibri"/>
                <w:color w:val="000000"/>
                <w:sz w:val="22"/>
                <w:szCs w:val="22"/>
              </w:rPr>
              <w:t>3.278</w:t>
            </w:r>
          </w:p>
        </w:tc>
        <w:tc>
          <w:tcPr>
            <w:tcW w:w="1828" w:type="dxa"/>
            <w:tcBorders>
              <w:bottom w:val="single" w:sz="4" w:space="0" w:color="auto"/>
            </w:tcBorders>
          </w:tcPr>
          <w:p w14:paraId="502EB4E4" w14:textId="49C29F82" w:rsidR="00E725D2" w:rsidRPr="00823AAF" w:rsidRDefault="00E725D2" w:rsidP="00E725D2">
            <w:pPr>
              <w:pStyle w:val="Tabletext"/>
              <w:jc w:val="center"/>
            </w:pPr>
            <w:r>
              <w:rPr>
                <w:rFonts w:ascii="Calibri" w:hAnsi="Calibri" w:cs="Calibri"/>
                <w:color w:val="000000"/>
                <w:sz w:val="22"/>
                <w:szCs w:val="22"/>
              </w:rPr>
              <w:t>0.878</w:t>
            </w:r>
          </w:p>
        </w:tc>
      </w:tr>
      <w:tr w:rsidR="00E725D2" w:rsidRPr="008600EA" w14:paraId="61B26F8E" w14:textId="77777777" w:rsidTr="0064760C">
        <w:tc>
          <w:tcPr>
            <w:tcW w:w="1596" w:type="dxa"/>
            <w:vMerge/>
            <w:tcBorders>
              <w:bottom w:val="double" w:sz="4" w:space="0" w:color="auto"/>
            </w:tcBorders>
          </w:tcPr>
          <w:p w14:paraId="31485AF5" w14:textId="77777777" w:rsidR="00E725D2" w:rsidRPr="00823AAF" w:rsidRDefault="00E725D2" w:rsidP="00E725D2">
            <w:pPr>
              <w:pStyle w:val="Tabletext"/>
              <w:numPr>
                <w:ilvl w:val="0"/>
                <w:numId w:val="175"/>
              </w:numPr>
              <w:ind w:left="284" w:hanging="284"/>
            </w:pPr>
          </w:p>
        </w:tc>
        <w:tc>
          <w:tcPr>
            <w:tcW w:w="3406" w:type="dxa"/>
            <w:tcBorders>
              <w:bottom w:val="double" w:sz="4" w:space="0" w:color="auto"/>
            </w:tcBorders>
          </w:tcPr>
          <w:p w14:paraId="3FD6411F" w14:textId="77777777" w:rsidR="00E725D2" w:rsidRPr="00823AAF" w:rsidRDefault="00E725D2" w:rsidP="00E725D2">
            <w:pPr>
              <w:pStyle w:val="Tabletext"/>
              <w:numPr>
                <w:ilvl w:val="0"/>
                <w:numId w:val="172"/>
              </w:numPr>
              <w:ind w:left="351" w:hanging="351"/>
            </w:pPr>
            <w:r w:rsidRPr="000C2859">
              <w:t>Central ducted heat pump</w:t>
            </w:r>
            <w:r w:rsidRPr="00236FFF">
              <w:t xml:space="preserve"> compliant with the provisions of section </w:t>
            </w:r>
            <w:r>
              <w:t xml:space="preserve">2.1.3(e)ii(2) </w:t>
            </w:r>
          </w:p>
        </w:tc>
        <w:tc>
          <w:tcPr>
            <w:tcW w:w="1256" w:type="dxa"/>
            <w:tcBorders>
              <w:bottom w:val="double" w:sz="4" w:space="0" w:color="auto"/>
            </w:tcBorders>
          </w:tcPr>
          <w:p w14:paraId="198D0D1E" w14:textId="77777777" w:rsidR="00E725D2" w:rsidRPr="00823AAF" w:rsidRDefault="00E725D2" w:rsidP="00E725D2">
            <w:pPr>
              <w:pStyle w:val="Tabletext"/>
              <w:jc w:val="center"/>
            </w:pPr>
            <w:r w:rsidRPr="00823AAF">
              <w:t>3.1</w:t>
            </w:r>
          </w:p>
        </w:tc>
        <w:tc>
          <w:tcPr>
            <w:tcW w:w="1265" w:type="dxa"/>
            <w:tcBorders>
              <w:bottom w:val="double" w:sz="4" w:space="0" w:color="auto"/>
            </w:tcBorders>
          </w:tcPr>
          <w:p w14:paraId="533CFCFB" w14:textId="4A6E1E49" w:rsidR="00E725D2" w:rsidRPr="00823AAF" w:rsidRDefault="00E725D2" w:rsidP="00E725D2">
            <w:pPr>
              <w:pStyle w:val="Tabletext"/>
              <w:jc w:val="center"/>
            </w:pPr>
            <w:r>
              <w:rPr>
                <w:rFonts w:ascii="Calibri" w:hAnsi="Calibri" w:cs="Calibri"/>
                <w:color w:val="000000"/>
                <w:sz w:val="22"/>
                <w:szCs w:val="22"/>
              </w:rPr>
              <w:t>1.800</w:t>
            </w:r>
          </w:p>
        </w:tc>
        <w:tc>
          <w:tcPr>
            <w:tcW w:w="1828" w:type="dxa"/>
            <w:tcBorders>
              <w:bottom w:val="double" w:sz="4" w:space="0" w:color="auto"/>
            </w:tcBorders>
          </w:tcPr>
          <w:p w14:paraId="65C21527" w14:textId="7D8CAB1C" w:rsidR="00E725D2" w:rsidRPr="00823AAF" w:rsidRDefault="00E725D2" w:rsidP="00E725D2">
            <w:pPr>
              <w:pStyle w:val="Tabletext"/>
              <w:jc w:val="center"/>
            </w:pPr>
            <w:r>
              <w:rPr>
                <w:rFonts w:ascii="Calibri" w:hAnsi="Calibri" w:cs="Calibri"/>
                <w:color w:val="000000"/>
                <w:sz w:val="22"/>
                <w:szCs w:val="22"/>
              </w:rPr>
              <w:t>1.345</w:t>
            </w:r>
          </w:p>
        </w:tc>
      </w:tr>
      <w:tr w:rsidR="00E725D2" w:rsidRPr="008600EA" w14:paraId="7F9ABE49" w14:textId="77777777" w:rsidTr="0064760C">
        <w:tc>
          <w:tcPr>
            <w:tcW w:w="1596" w:type="dxa"/>
            <w:vMerge w:val="restart"/>
            <w:tcBorders>
              <w:top w:val="double" w:sz="4" w:space="0" w:color="auto"/>
              <w:bottom w:val="double" w:sz="4" w:space="0" w:color="auto"/>
            </w:tcBorders>
          </w:tcPr>
          <w:p w14:paraId="156E7421" w14:textId="77777777" w:rsidR="00E725D2" w:rsidRPr="00823AAF" w:rsidRDefault="00E725D2" w:rsidP="00E725D2">
            <w:pPr>
              <w:pStyle w:val="Tabletext"/>
              <w:numPr>
                <w:ilvl w:val="0"/>
                <w:numId w:val="175"/>
              </w:numPr>
              <w:ind w:left="284" w:hanging="284"/>
            </w:pPr>
            <w:r w:rsidRPr="00823AAF">
              <w:t xml:space="preserve">Qualifying </w:t>
            </w:r>
            <w:r>
              <w:t xml:space="preserve">fixed </w:t>
            </w:r>
            <w:r w:rsidRPr="00823AAF">
              <w:t>gas ducted heater</w:t>
            </w:r>
          </w:p>
        </w:tc>
        <w:tc>
          <w:tcPr>
            <w:tcW w:w="3406" w:type="dxa"/>
            <w:tcBorders>
              <w:top w:val="double" w:sz="4" w:space="0" w:color="auto"/>
            </w:tcBorders>
          </w:tcPr>
          <w:p w14:paraId="4969CBC9" w14:textId="77777777" w:rsidR="00E725D2" w:rsidRPr="00823AAF" w:rsidRDefault="00E725D2" w:rsidP="00E725D2">
            <w:pPr>
              <w:pStyle w:val="Tabletext"/>
              <w:numPr>
                <w:ilvl w:val="0"/>
                <w:numId w:val="173"/>
              </w:numPr>
              <w:ind w:left="351" w:hanging="351"/>
            </w:pPr>
            <w:r w:rsidRPr="000C2859">
              <w:t>Central ducted heat pump</w:t>
            </w:r>
          </w:p>
        </w:tc>
        <w:tc>
          <w:tcPr>
            <w:tcW w:w="1256" w:type="dxa"/>
            <w:tcBorders>
              <w:top w:val="double" w:sz="4" w:space="0" w:color="auto"/>
            </w:tcBorders>
          </w:tcPr>
          <w:p w14:paraId="7ABBC7E4" w14:textId="77777777" w:rsidR="00E725D2" w:rsidRPr="00823AAF" w:rsidRDefault="00E725D2" w:rsidP="00E725D2">
            <w:pPr>
              <w:pStyle w:val="Tabletext"/>
              <w:jc w:val="center"/>
            </w:pPr>
            <w:r w:rsidRPr="00823AAF">
              <w:t>3.6</w:t>
            </w:r>
          </w:p>
        </w:tc>
        <w:tc>
          <w:tcPr>
            <w:tcW w:w="1265" w:type="dxa"/>
            <w:tcBorders>
              <w:top w:val="double" w:sz="4" w:space="0" w:color="auto"/>
            </w:tcBorders>
          </w:tcPr>
          <w:p w14:paraId="10F068EC" w14:textId="188D5426" w:rsidR="00E725D2" w:rsidRPr="00823AAF" w:rsidRDefault="00E725D2" w:rsidP="00E725D2">
            <w:pPr>
              <w:pStyle w:val="Tabletext"/>
              <w:jc w:val="center"/>
            </w:pPr>
            <w:r>
              <w:rPr>
                <w:rFonts w:ascii="Calibri" w:hAnsi="Calibri" w:cs="Calibri"/>
                <w:color w:val="000000"/>
                <w:sz w:val="22"/>
                <w:szCs w:val="22"/>
              </w:rPr>
              <w:t>4.660</w:t>
            </w:r>
          </w:p>
        </w:tc>
        <w:tc>
          <w:tcPr>
            <w:tcW w:w="1828" w:type="dxa"/>
            <w:tcBorders>
              <w:top w:val="double" w:sz="4" w:space="0" w:color="auto"/>
            </w:tcBorders>
          </w:tcPr>
          <w:p w14:paraId="71F5D935" w14:textId="00E1FCC4" w:rsidR="00E725D2" w:rsidRPr="00823AAF" w:rsidRDefault="00E725D2" w:rsidP="00E725D2">
            <w:pPr>
              <w:pStyle w:val="Tabletext"/>
              <w:jc w:val="center"/>
            </w:pPr>
            <w:r>
              <w:rPr>
                <w:rFonts w:ascii="Calibri" w:hAnsi="Calibri" w:cs="Calibri"/>
                <w:color w:val="000000"/>
                <w:sz w:val="22"/>
                <w:szCs w:val="22"/>
              </w:rPr>
              <w:t>1.033</w:t>
            </w:r>
          </w:p>
        </w:tc>
      </w:tr>
      <w:tr w:rsidR="00E725D2" w:rsidRPr="008600EA" w14:paraId="6CDC5638" w14:textId="77777777" w:rsidTr="0064760C">
        <w:tc>
          <w:tcPr>
            <w:tcW w:w="1596" w:type="dxa"/>
            <w:vMerge/>
            <w:tcBorders>
              <w:bottom w:val="double" w:sz="4" w:space="0" w:color="auto"/>
            </w:tcBorders>
          </w:tcPr>
          <w:p w14:paraId="6E82F66B" w14:textId="77777777" w:rsidR="00E725D2" w:rsidRPr="00823AAF" w:rsidRDefault="00E725D2" w:rsidP="00E725D2">
            <w:pPr>
              <w:pStyle w:val="Tabletext"/>
              <w:numPr>
                <w:ilvl w:val="0"/>
                <w:numId w:val="175"/>
              </w:numPr>
              <w:ind w:left="284" w:hanging="284"/>
            </w:pPr>
          </w:p>
        </w:tc>
        <w:tc>
          <w:tcPr>
            <w:tcW w:w="3406" w:type="dxa"/>
            <w:tcBorders>
              <w:bottom w:val="single" w:sz="4" w:space="0" w:color="auto"/>
            </w:tcBorders>
          </w:tcPr>
          <w:p w14:paraId="31346979" w14:textId="77777777" w:rsidR="00E725D2" w:rsidRPr="00823AAF" w:rsidRDefault="00E725D2" w:rsidP="00E725D2">
            <w:pPr>
              <w:pStyle w:val="Tabletext"/>
              <w:numPr>
                <w:ilvl w:val="0"/>
                <w:numId w:val="173"/>
              </w:numPr>
              <w:ind w:left="351" w:hanging="351"/>
            </w:pPr>
            <w:r w:rsidRPr="000C2859">
              <w:t>Central non-ducted heat pump</w:t>
            </w:r>
            <w:r w:rsidRPr="00236FFF">
              <w:t xml:space="preserve">, or two or more </w:t>
            </w:r>
            <w:r w:rsidRPr="000C2859">
              <w:t>room heat pump</w:t>
            </w:r>
            <w:r w:rsidRPr="000C2859" w:rsidDel="002322E0">
              <w:t xml:space="preserve"> </w:t>
            </w:r>
          </w:p>
        </w:tc>
        <w:tc>
          <w:tcPr>
            <w:tcW w:w="1256" w:type="dxa"/>
            <w:tcBorders>
              <w:bottom w:val="single" w:sz="4" w:space="0" w:color="auto"/>
            </w:tcBorders>
          </w:tcPr>
          <w:p w14:paraId="42BF1183" w14:textId="77777777" w:rsidR="00E725D2" w:rsidRPr="00823AAF" w:rsidRDefault="00E725D2" w:rsidP="00E725D2">
            <w:pPr>
              <w:pStyle w:val="Tabletext"/>
              <w:jc w:val="center"/>
            </w:pPr>
            <w:r w:rsidRPr="00823AAF">
              <w:t>3.6</w:t>
            </w:r>
          </w:p>
        </w:tc>
        <w:tc>
          <w:tcPr>
            <w:tcW w:w="1265" w:type="dxa"/>
            <w:tcBorders>
              <w:bottom w:val="single" w:sz="4" w:space="0" w:color="auto"/>
            </w:tcBorders>
          </w:tcPr>
          <w:p w14:paraId="370F9E2A" w14:textId="78AA9F33" w:rsidR="00E725D2" w:rsidRPr="00823AAF" w:rsidRDefault="00E725D2" w:rsidP="00E725D2">
            <w:pPr>
              <w:pStyle w:val="Tabletext"/>
              <w:jc w:val="center"/>
            </w:pPr>
            <w:r>
              <w:rPr>
                <w:rFonts w:ascii="Calibri" w:hAnsi="Calibri" w:cs="Calibri"/>
                <w:color w:val="000000"/>
                <w:sz w:val="22"/>
                <w:szCs w:val="22"/>
              </w:rPr>
              <w:t>5.372</w:t>
            </w:r>
          </w:p>
        </w:tc>
        <w:tc>
          <w:tcPr>
            <w:tcW w:w="1828" w:type="dxa"/>
            <w:tcBorders>
              <w:bottom w:val="single" w:sz="4" w:space="0" w:color="auto"/>
            </w:tcBorders>
          </w:tcPr>
          <w:p w14:paraId="6D338759" w14:textId="58B08A57" w:rsidR="00E725D2" w:rsidRPr="00823AAF" w:rsidRDefault="00E725D2" w:rsidP="00E725D2">
            <w:pPr>
              <w:pStyle w:val="Tabletext"/>
              <w:jc w:val="center"/>
            </w:pPr>
            <w:r>
              <w:rPr>
                <w:rFonts w:ascii="Calibri" w:hAnsi="Calibri" w:cs="Calibri"/>
                <w:color w:val="000000"/>
                <w:sz w:val="22"/>
                <w:szCs w:val="22"/>
              </w:rPr>
              <w:t>0.878</w:t>
            </w:r>
          </w:p>
        </w:tc>
      </w:tr>
      <w:tr w:rsidR="00E725D2" w:rsidRPr="008600EA" w14:paraId="22286A36" w14:textId="77777777" w:rsidTr="0064760C">
        <w:tc>
          <w:tcPr>
            <w:tcW w:w="1596" w:type="dxa"/>
            <w:vMerge/>
            <w:tcBorders>
              <w:bottom w:val="double" w:sz="4" w:space="0" w:color="auto"/>
            </w:tcBorders>
          </w:tcPr>
          <w:p w14:paraId="5BE489F8" w14:textId="77777777" w:rsidR="00E725D2" w:rsidRPr="00823AAF" w:rsidRDefault="00E725D2" w:rsidP="00E725D2">
            <w:pPr>
              <w:pStyle w:val="Tabletext"/>
              <w:numPr>
                <w:ilvl w:val="0"/>
                <w:numId w:val="175"/>
              </w:numPr>
              <w:ind w:left="284" w:hanging="284"/>
            </w:pPr>
          </w:p>
        </w:tc>
        <w:tc>
          <w:tcPr>
            <w:tcW w:w="3406" w:type="dxa"/>
            <w:tcBorders>
              <w:bottom w:val="double" w:sz="4" w:space="0" w:color="auto"/>
            </w:tcBorders>
          </w:tcPr>
          <w:p w14:paraId="698DD106" w14:textId="77777777" w:rsidR="00E725D2" w:rsidRPr="00823AAF" w:rsidRDefault="00E725D2" w:rsidP="00E725D2">
            <w:pPr>
              <w:pStyle w:val="Tabletext"/>
              <w:numPr>
                <w:ilvl w:val="0"/>
                <w:numId w:val="173"/>
              </w:numPr>
              <w:ind w:left="351" w:hanging="351"/>
            </w:pPr>
            <w:r w:rsidRPr="000C2859">
              <w:t>Central ducted heat pump</w:t>
            </w:r>
            <w:r w:rsidRPr="00236FFF">
              <w:t xml:space="preserve"> compliant with the provisions of section </w:t>
            </w:r>
            <w:r>
              <w:t xml:space="preserve">2.1.3(e)ii(2) </w:t>
            </w:r>
          </w:p>
        </w:tc>
        <w:tc>
          <w:tcPr>
            <w:tcW w:w="1256" w:type="dxa"/>
            <w:tcBorders>
              <w:bottom w:val="double" w:sz="4" w:space="0" w:color="auto"/>
            </w:tcBorders>
          </w:tcPr>
          <w:p w14:paraId="0098BC88" w14:textId="77777777" w:rsidR="00E725D2" w:rsidRPr="00823AAF" w:rsidRDefault="00E725D2" w:rsidP="00E725D2">
            <w:pPr>
              <w:pStyle w:val="Tabletext"/>
              <w:jc w:val="center"/>
            </w:pPr>
            <w:r w:rsidRPr="00823AAF">
              <w:t>3.1</w:t>
            </w:r>
          </w:p>
        </w:tc>
        <w:tc>
          <w:tcPr>
            <w:tcW w:w="1265" w:type="dxa"/>
            <w:tcBorders>
              <w:bottom w:val="double" w:sz="4" w:space="0" w:color="auto"/>
            </w:tcBorders>
          </w:tcPr>
          <w:p w14:paraId="7E856FB7" w14:textId="07B80260" w:rsidR="00E725D2" w:rsidRPr="00823AAF" w:rsidRDefault="00E725D2" w:rsidP="00E725D2">
            <w:pPr>
              <w:pStyle w:val="Tabletext"/>
              <w:jc w:val="center"/>
            </w:pPr>
            <w:r>
              <w:rPr>
                <w:rFonts w:ascii="Calibri" w:hAnsi="Calibri" w:cs="Calibri"/>
                <w:color w:val="000000"/>
                <w:sz w:val="22"/>
                <w:szCs w:val="22"/>
              </w:rPr>
              <w:t>3.894</w:t>
            </w:r>
          </w:p>
        </w:tc>
        <w:tc>
          <w:tcPr>
            <w:tcW w:w="1828" w:type="dxa"/>
            <w:tcBorders>
              <w:bottom w:val="double" w:sz="4" w:space="0" w:color="auto"/>
            </w:tcBorders>
          </w:tcPr>
          <w:p w14:paraId="601BB62B" w14:textId="393FDD64" w:rsidR="00E725D2" w:rsidRPr="00823AAF" w:rsidRDefault="00E725D2" w:rsidP="00E725D2">
            <w:pPr>
              <w:pStyle w:val="Tabletext"/>
              <w:jc w:val="center"/>
            </w:pPr>
            <w:r>
              <w:rPr>
                <w:rFonts w:ascii="Calibri" w:hAnsi="Calibri" w:cs="Calibri"/>
                <w:color w:val="000000"/>
                <w:sz w:val="22"/>
                <w:szCs w:val="22"/>
              </w:rPr>
              <w:t>1.345</w:t>
            </w:r>
          </w:p>
        </w:tc>
      </w:tr>
      <w:tr w:rsidR="00E725D2" w:rsidRPr="008600EA" w14:paraId="7892B650" w14:textId="77777777" w:rsidTr="0064760C">
        <w:tc>
          <w:tcPr>
            <w:tcW w:w="1596" w:type="dxa"/>
            <w:vMerge w:val="restart"/>
            <w:tcBorders>
              <w:top w:val="double" w:sz="4" w:space="0" w:color="auto"/>
            </w:tcBorders>
          </w:tcPr>
          <w:p w14:paraId="037F6440" w14:textId="77777777" w:rsidR="00E725D2" w:rsidRPr="00823AAF" w:rsidRDefault="00E725D2" w:rsidP="00E725D2">
            <w:pPr>
              <w:pStyle w:val="Tabletext"/>
              <w:numPr>
                <w:ilvl w:val="0"/>
                <w:numId w:val="175"/>
              </w:numPr>
              <w:ind w:left="284" w:hanging="284"/>
            </w:pPr>
            <w:r w:rsidRPr="00823AAF">
              <w:t>None, any, not specified</w:t>
            </w:r>
          </w:p>
        </w:tc>
        <w:tc>
          <w:tcPr>
            <w:tcW w:w="3406" w:type="dxa"/>
            <w:tcBorders>
              <w:top w:val="double" w:sz="4" w:space="0" w:color="auto"/>
            </w:tcBorders>
          </w:tcPr>
          <w:p w14:paraId="49359B6E" w14:textId="77777777" w:rsidR="00E725D2" w:rsidRPr="00823AAF" w:rsidRDefault="00E725D2" w:rsidP="00E725D2">
            <w:pPr>
              <w:pStyle w:val="Tabletext"/>
              <w:numPr>
                <w:ilvl w:val="0"/>
                <w:numId w:val="174"/>
              </w:numPr>
              <w:ind w:left="351" w:hanging="351"/>
            </w:pPr>
            <w:r w:rsidRPr="000C2859">
              <w:t>Central ducted heat pump</w:t>
            </w:r>
          </w:p>
        </w:tc>
        <w:tc>
          <w:tcPr>
            <w:tcW w:w="1256" w:type="dxa"/>
            <w:tcBorders>
              <w:top w:val="double" w:sz="4" w:space="0" w:color="auto"/>
            </w:tcBorders>
          </w:tcPr>
          <w:p w14:paraId="28989CEF" w14:textId="77777777" w:rsidR="00E725D2" w:rsidRPr="00823AAF" w:rsidRDefault="00E725D2" w:rsidP="00E725D2">
            <w:pPr>
              <w:pStyle w:val="Tabletext"/>
              <w:jc w:val="center"/>
            </w:pPr>
            <w:r w:rsidRPr="00823AAF">
              <w:t>3.6</w:t>
            </w:r>
          </w:p>
        </w:tc>
        <w:tc>
          <w:tcPr>
            <w:tcW w:w="1265" w:type="dxa"/>
            <w:tcBorders>
              <w:top w:val="double" w:sz="4" w:space="0" w:color="auto"/>
            </w:tcBorders>
          </w:tcPr>
          <w:p w14:paraId="01C94BBA" w14:textId="621D07DD" w:rsidR="00E725D2" w:rsidRPr="00823AAF" w:rsidRDefault="00E725D2" w:rsidP="00E725D2">
            <w:pPr>
              <w:pStyle w:val="Tabletext"/>
              <w:jc w:val="center"/>
            </w:pPr>
            <w:r>
              <w:rPr>
                <w:rFonts w:ascii="Calibri" w:hAnsi="Calibri" w:cs="Calibri"/>
                <w:color w:val="000000"/>
                <w:sz w:val="22"/>
                <w:szCs w:val="22"/>
              </w:rPr>
              <w:t>0.000</w:t>
            </w:r>
          </w:p>
        </w:tc>
        <w:tc>
          <w:tcPr>
            <w:tcW w:w="1828" w:type="dxa"/>
            <w:tcBorders>
              <w:top w:val="double" w:sz="4" w:space="0" w:color="auto"/>
            </w:tcBorders>
          </w:tcPr>
          <w:p w14:paraId="226ADC50" w14:textId="0EC38E84" w:rsidR="00E725D2" w:rsidRPr="00823AAF" w:rsidRDefault="00E725D2" w:rsidP="00E725D2">
            <w:pPr>
              <w:pStyle w:val="Tabletext"/>
              <w:jc w:val="center"/>
            </w:pPr>
            <w:r>
              <w:rPr>
                <w:rFonts w:ascii="Calibri" w:hAnsi="Calibri" w:cs="Calibri"/>
                <w:color w:val="000000"/>
                <w:sz w:val="22"/>
                <w:szCs w:val="22"/>
              </w:rPr>
              <w:t>1.033</w:t>
            </w:r>
          </w:p>
        </w:tc>
      </w:tr>
      <w:tr w:rsidR="00E725D2" w:rsidRPr="008600EA" w14:paraId="1A2BBA81" w14:textId="77777777" w:rsidTr="0064760C">
        <w:tc>
          <w:tcPr>
            <w:tcW w:w="1596" w:type="dxa"/>
            <w:vMerge/>
          </w:tcPr>
          <w:p w14:paraId="2F691652" w14:textId="77777777" w:rsidR="00E725D2" w:rsidRPr="00823AAF" w:rsidRDefault="00E725D2" w:rsidP="00E725D2">
            <w:pPr>
              <w:pStyle w:val="Tabletext"/>
            </w:pPr>
          </w:p>
        </w:tc>
        <w:tc>
          <w:tcPr>
            <w:tcW w:w="3406" w:type="dxa"/>
          </w:tcPr>
          <w:p w14:paraId="6D8A19FC" w14:textId="77777777" w:rsidR="00E725D2" w:rsidRPr="00823AAF" w:rsidRDefault="00E725D2" w:rsidP="00E725D2">
            <w:pPr>
              <w:pStyle w:val="Tabletext"/>
              <w:numPr>
                <w:ilvl w:val="0"/>
                <w:numId w:val="174"/>
              </w:numPr>
              <w:ind w:left="351" w:hanging="351"/>
            </w:pPr>
            <w:r w:rsidRPr="000C2859">
              <w:t>Central non-ducted heat pump</w:t>
            </w:r>
            <w:r w:rsidRPr="00236FFF">
              <w:t xml:space="preserve">, or two or more </w:t>
            </w:r>
            <w:r w:rsidRPr="000C2859">
              <w:t>room heat pump</w:t>
            </w:r>
            <w:r w:rsidRPr="000C2859" w:rsidDel="002322E0">
              <w:t xml:space="preserve"> </w:t>
            </w:r>
          </w:p>
        </w:tc>
        <w:tc>
          <w:tcPr>
            <w:tcW w:w="1256" w:type="dxa"/>
          </w:tcPr>
          <w:p w14:paraId="6613BC59" w14:textId="77777777" w:rsidR="00E725D2" w:rsidRPr="00823AAF" w:rsidRDefault="00E725D2" w:rsidP="00E725D2">
            <w:pPr>
              <w:pStyle w:val="Tabletext"/>
              <w:jc w:val="center"/>
            </w:pPr>
            <w:r w:rsidRPr="00823AAF">
              <w:t>3.6</w:t>
            </w:r>
          </w:p>
        </w:tc>
        <w:tc>
          <w:tcPr>
            <w:tcW w:w="1265" w:type="dxa"/>
          </w:tcPr>
          <w:p w14:paraId="1E2DA070" w14:textId="7F3F20A3" w:rsidR="00E725D2" w:rsidRPr="00823AAF" w:rsidRDefault="00E725D2" w:rsidP="00E725D2">
            <w:pPr>
              <w:pStyle w:val="Tabletext"/>
              <w:jc w:val="center"/>
            </w:pPr>
            <w:r>
              <w:rPr>
                <w:rFonts w:ascii="Calibri" w:hAnsi="Calibri" w:cs="Calibri"/>
                <w:color w:val="000000"/>
                <w:sz w:val="22"/>
                <w:szCs w:val="22"/>
              </w:rPr>
              <w:t>0.712</w:t>
            </w:r>
          </w:p>
        </w:tc>
        <w:tc>
          <w:tcPr>
            <w:tcW w:w="1828" w:type="dxa"/>
          </w:tcPr>
          <w:p w14:paraId="5770B710" w14:textId="33D40061" w:rsidR="00E725D2" w:rsidRPr="00236FFF" w:rsidRDefault="00E725D2" w:rsidP="00E725D2">
            <w:pPr>
              <w:pStyle w:val="Tabletext"/>
              <w:jc w:val="center"/>
            </w:pPr>
            <w:r>
              <w:rPr>
                <w:rFonts w:ascii="Calibri" w:hAnsi="Calibri" w:cs="Calibri"/>
                <w:color w:val="000000"/>
                <w:sz w:val="22"/>
                <w:szCs w:val="22"/>
              </w:rPr>
              <w:t>0.878</w:t>
            </w:r>
          </w:p>
        </w:tc>
      </w:tr>
    </w:tbl>
    <w:p w14:paraId="1A9EAA9A" w14:textId="77777777" w:rsidR="00D22F9B" w:rsidRPr="00D22F9B" w:rsidRDefault="005861A9" w:rsidP="003571E7">
      <w:pPr>
        <w:pStyle w:val="Sectionheading2"/>
      </w:pPr>
      <w:bookmarkStart w:id="187" w:name="_Toc21867032"/>
      <w:bookmarkStart w:id="188" w:name="_Toc21867033"/>
      <w:bookmarkEnd w:id="159"/>
      <w:bookmarkEnd w:id="187"/>
      <w:bookmarkEnd w:id="188"/>
      <w:r>
        <w:rPr>
          <w:lang w:eastAsia="en-US"/>
        </w:rPr>
        <w:br w:type="page"/>
      </w:r>
      <w:bookmarkStart w:id="189" w:name="_Toc27560552"/>
      <w:bookmarkStart w:id="190" w:name="_Toc325753152"/>
      <w:bookmarkStart w:id="191" w:name="_Ref331773272"/>
      <w:bookmarkStart w:id="192" w:name="_Toc332272776"/>
      <w:bookmarkStart w:id="193" w:name="_Toc332287283"/>
      <w:bookmarkStart w:id="194" w:name="_Toc462215317"/>
      <w:bookmarkStart w:id="195" w:name="_Toc466535733"/>
      <w:bookmarkStart w:id="196" w:name="_Toc496273821"/>
      <w:r w:rsidR="00D22F9B">
        <w:lastRenderedPageBreak/>
        <w:t>Replace a ducted gas heater with high efficiency ducted gas heater</w:t>
      </w:r>
      <w:r w:rsidR="003C1630">
        <w:t xml:space="preserve"> (</w:t>
      </w:r>
      <w:r w:rsidR="00CF1E90">
        <w:rPr>
          <w:i/>
        </w:rPr>
        <w:t>Revoked</w:t>
      </w:r>
      <w:r w:rsidR="003C1630">
        <w:t>)</w:t>
      </w:r>
      <w:bookmarkEnd w:id="189"/>
    </w:p>
    <w:p w14:paraId="54039136" w14:textId="77777777" w:rsidR="006C553E" w:rsidRDefault="009230D7" w:rsidP="003571E7">
      <w:pPr>
        <w:pStyle w:val="Sectionheading2"/>
      </w:pPr>
      <w:bookmarkStart w:id="197" w:name="_Toc21867035"/>
      <w:bookmarkStart w:id="198" w:name="_Toc21867036"/>
      <w:bookmarkEnd w:id="160"/>
      <w:bookmarkEnd w:id="190"/>
      <w:bookmarkEnd w:id="191"/>
      <w:bookmarkEnd w:id="192"/>
      <w:bookmarkEnd w:id="193"/>
      <w:bookmarkEnd w:id="194"/>
      <w:bookmarkEnd w:id="195"/>
      <w:bookmarkEnd w:id="196"/>
      <w:bookmarkEnd w:id="197"/>
      <w:bookmarkEnd w:id="198"/>
      <w:r>
        <w:rPr>
          <w:sz w:val="22"/>
        </w:rPr>
        <w:br w:type="page"/>
      </w:r>
      <w:bookmarkStart w:id="199" w:name="_Toc27560553"/>
      <w:r w:rsidR="006C553E" w:rsidRPr="00970AD2">
        <w:lastRenderedPageBreak/>
        <w:t xml:space="preserve">Install a high efficiency </w:t>
      </w:r>
      <w:r w:rsidR="006C553E">
        <w:t>room air conditioning heat pump</w:t>
      </w:r>
      <w:bookmarkEnd w:id="199"/>
      <w:r w:rsidR="006C553E">
        <w:t xml:space="preserve"> </w:t>
      </w:r>
    </w:p>
    <w:p w14:paraId="27E6B875" w14:textId="77777777" w:rsidR="006C553E" w:rsidRPr="001A7A93" w:rsidRDefault="006C553E" w:rsidP="003571E7">
      <w:pPr>
        <w:pStyle w:val="Sectionheading3"/>
      </w:pPr>
      <w:r w:rsidRPr="001A7A93">
        <w:t xml:space="preserve">Activity </w:t>
      </w:r>
      <w:r w:rsidR="00261E0D">
        <w:t>d</w:t>
      </w:r>
      <w:r w:rsidRPr="001A7A93">
        <w:t>efinition</w:t>
      </w:r>
    </w:p>
    <w:p w14:paraId="593F334C" w14:textId="77777777" w:rsidR="006C553E" w:rsidRDefault="006C553E" w:rsidP="003571E7">
      <w:pPr>
        <w:pStyle w:val="BodytextEEIS"/>
        <w:rPr>
          <w:highlight w:val="yellow"/>
        </w:rPr>
      </w:pPr>
      <w:r w:rsidRPr="001A7A93">
        <w:t>In accordance with the prescribed minimum activity performance specifications</w:t>
      </w:r>
      <w:r w:rsidRPr="00EF4A04">
        <w:t>,</w:t>
      </w:r>
      <w:r w:rsidRPr="009F01FC">
        <w:rPr>
          <w:i/>
        </w:rPr>
        <w:t xml:space="preserve"> </w:t>
      </w:r>
      <w:r w:rsidRPr="00224B7E">
        <w:t>this activity involves the installation of a high efficiency room air conditioning heat pump system in</w:t>
      </w:r>
      <w:r w:rsidR="00261E0D">
        <w:t>—</w:t>
      </w:r>
    </w:p>
    <w:p w14:paraId="689FDFCC" w14:textId="77777777" w:rsidR="006C553E" w:rsidRDefault="006C553E" w:rsidP="00D633D3">
      <w:pPr>
        <w:pStyle w:val="Subdetailsfirstindent"/>
        <w:numPr>
          <w:ilvl w:val="0"/>
          <w:numId w:val="58"/>
        </w:numPr>
      </w:pPr>
      <w:bookmarkStart w:id="200" w:name="_Hlk8137703"/>
      <w:r w:rsidRPr="00993178">
        <w:rPr>
          <w:b/>
        </w:rPr>
        <w:t xml:space="preserve">Activity ID 2.3(a) </w:t>
      </w:r>
      <w:r w:rsidR="00261E0D">
        <w:t>–</w:t>
      </w:r>
      <w:r w:rsidRPr="00AD77D8">
        <w:t xml:space="preserve"> Residential premises</w:t>
      </w:r>
      <w:r>
        <w:t>; or</w:t>
      </w:r>
    </w:p>
    <w:p w14:paraId="5859723E" w14:textId="77777777" w:rsidR="006C553E" w:rsidRPr="00823AAF" w:rsidRDefault="006C553E" w:rsidP="00993178">
      <w:pPr>
        <w:pStyle w:val="Subdetailsfirstindent"/>
      </w:pPr>
      <w:r w:rsidRPr="00970AD2">
        <w:rPr>
          <w:b/>
        </w:rPr>
        <w:t xml:space="preserve">Activity ID </w:t>
      </w:r>
      <w:r>
        <w:rPr>
          <w:b/>
        </w:rPr>
        <w:t>2.3</w:t>
      </w:r>
      <w:r w:rsidRPr="00970AD2">
        <w:rPr>
          <w:b/>
        </w:rPr>
        <w:t>(</w:t>
      </w:r>
      <w:r>
        <w:rPr>
          <w:b/>
        </w:rPr>
        <w:t>b</w:t>
      </w:r>
      <w:r w:rsidRPr="00970AD2">
        <w:rPr>
          <w:b/>
        </w:rPr>
        <w:t>)</w:t>
      </w:r>
      <w:r>
        <w:rPr>
          <w:b/>
        </w:rPr>
        <w:t xml:space="preserve"> </w:t>
      </w:r>
      <w:r w:rsidR="00261E0D">
        <w:t>–</w:t>
      </w:r>
      <w:r w:rsidRPr="00AD77D8">
        <w:t xml:space="preserve"> Business premises</w:t>
      </w:r>
      <w:r w:rsidR="00F92E9E">
        <w:t>,</w:t>
      </w:r>
      <w:r>
        <w:t xml:space="preserve"> </w:t>
      </w:r>
      <w:r w:rsidR="0097160C">
        <w:t>defined as</w:t>
      </w:r>
      <w:r w:rsidR="00F92E9E">
        <w:t>—</w:t>
      </w:r>
    </w:p>
    <w:bookmarkEnd w:id="200"/>
    <w:p w14:paraId="7A80AC41" w14:textId="77777777" w:rsidR="006C553E" w:rsidRDefault="00F92E9E" w:rsidP="00D633D3">
      <w:pPr>
        <w:pStyle w:val="Subdetailssecondindent"/>
        <w:numPr>
          <w:ilvl w:val="0"/>
          <w:numId w:val="59"/>
        </w:numPr>
      </w:pPr>
      <w:r>
        <w:t>h</w:t>
      </w:r>
      <w:r w:rsidR="006C553E" w:rsidRPr="00605125">
        <w:t>igh internal heat loads</w:t>
      </w:r>
      <w:r>
        <w:t xml:space="preserve"> (category 1);</w:t>
      </w:r>
    </w:p>
    <w:p w14:paraId="355D43DB" w14:textId="77777777" w:rsidR="006C553E" w:rsidRPr="00562193" w:rsidRDefault="00F92E9E" w:rsidP="00993178">
      <w:pPr>
        <w:pStyle w:val="Subdetailssecondindent"/>
      </w:pPr>
      <w:r>
        <w:t>l</w:t>
      </w:r>
      <w:r w:rsidR="006C553E">
        <w:t>ow</w:t>
      </w:r>
      <w:r w:rsidR="006C553E" w:rsidRPr="00605125">
        <w:t xml:space="preserve"> internal heat loads</w:t>
      </w:r>
      <w:r>
        <w:t xml:space="preserve"> (category 2)</w:t>
      </w:r>
      <w:r w:rsidR="006C553E" w:rsidRPr="00562193">
        <w:t>; or</w:t>
      </w:r>
    </w:p>
    <w:p w14:paraId="56010758" w14:textId="77777777" w:rsidR="006C553E" w:rsidRDefault="00F92E9E" w:rsidP="00993178">
      <w:pPr>
        <w:pStyle w:val="Subdetailssecondindent"/>
      </w:pPr>
      <w:r>
        <w:t>o</w:t>
      </w:r>
      <w:r w:rsidR="006C553E">
        <w:t>ther</w:t>
      </w:r>
      <w:r w:rsidR="006C553E" w:rsidRPr="00605125">
        <w:t xml:space="preserve"> internal heat loads</w:t>
      </w:r>
      <w:r>
        <w:t xml:space="preserve"> (category 3</w:t>
      </w:r>
      <w:r w:rsidR="006C553E">
        <w:t>.</w:t>
      </w:r>
    </w:p>
    <w:p w14:paraId="00838C32" w14:textId="77777777" w:rsidR="006C553E" w:rsidRDefault="006C553E" w:rsidP="00993178">
      <w:pPr>
        <w:pStyle w:val="Notesandexamples"/>
      </w:pPr>
      <w:r w:rsidRPr="00970AD2">
        <w:t>Note</w:t>
      </w:r>
      <w:r w:rsidR="00C358AC">
        <w:t xml:space="preserve"> 1</w:t>
      </w:r>
      <w:r w:rsidRPr="00970AD2">
        <w:tab/>
      </w:r>
      <w:r w:rsidRPr="00411DA6">
        <w:t xml:space="preserve">These categories are further defined in </w:t>
      </w:r>
      <w:r w:rsidR="00166A25">
        <w:t>s</w:t>
      </w:r>
      <w:r w:rsidRPr="00411DA6">
        <w:t xml:space="preserve">ection </w:t>
      </w:r>
      <w:r w:rsidR="00261E0D">
        <w:t>2.3.</w:t>
      </w:r>
      <w:r w:rsidRPr="00411DA6">
        <w:t xml:space="preserve">5, </w:t>
      </w:r>
      <w:r w:rsidR="00166A25">
        <w:t>t</w:t>
      </w:r>
      <w:r w:rsidRPr="00411DA6">
        <w:t xml:space="preserve">able </w:t>
      </w:r>
      <w:r w:rsidR="00E8521C">
        <w:t>11</w:t>
      </w:r>
      <w:r w:rsidRPr="00411DA6">
        <w:t>.</w:t>
      </w:r>
    </w:p>
    <w:p w14:paraId="51A609BE" w14:textId="77777777" w:rsidR="00F84587" w:rsidRPr="00E104BC" w:rsidRDefault="00F84587" w:rsidP="00993178">
      <w:pPr>
        <w:pStyle w:val="Notesandexamples"/>
      </w:pPr>
      <w:r>
        <w:t>Note</w:t>
      </w:r>
      <w:r w:rsidR="00C358AC">
        <w:t xml:space="preserve"> 2</w:t>
      </w:r>
      <w:r>
        <w:tab/>
        <w:t xml:space="preserve">The numbering system used in </w:t>
      </w:r>
      <w:r w:rsidR="00E8521C">
        <w:t>above</w:t>
      </w:r>
      <w:r>
        <w:t xml:space="preserve"> relates to the tables in section </w:t>
      </w:r>
      <w:r w:rsidR="00E8521C">
        <w:t>2.3.</w:t>
      </w:r>
      <w:r>
        <w:t>5.</w:t>
      </w:r>
    </w:p>
    <w:p w14:paraId="69D0A4F9" w14:textId="77777777" w:rsidR="006C553E" w:rsidRPr="00513D23" w:rsidRDefault="006C553E" w:rsidP="00993178">
      <w:pPr>
        <w:pStyle w:val="Sectionheading4"/>
      </w:pPr>
      <w:r w:rsidRPr="00513D23">
        <w:t>Pre-existing heating condition</w:t>
      </w:r>
    </w:p>
    <w:p w14:paraId="0455DFCB" w14:textId="77777777" w:rsidR="006C553E" w:rsidRDefault="006C553E" w:rsidP="00993178">
      <w:pPr>
        <w:pStyle w:val="BodytextEEIS"/>
      </w:pPr>
      <w:r>
        <w:t>For Activity 2.3, the pre-existing heating condition must be one of the following</w:t>
      </w:r>
      <w:r w:rsidR="00F92E9E">
        <w:t>—</w:t>
      </w:r>
    </w:p>
    <w:p w14:paraId="6D772178" w14:textId="77777777" w:rsidR="006C553E" w:rsidRDefault="00F92E9E" w:rsidP="00D633D3">
      <w:pPr>
        <w:pStyle w:val="Subdetailsfirstindent"/>
        <w:numPr>
          <w:ilvl w:val="0"/>
          <w:numId w:val="60"/>
        </w:numPr>
      </w:pPr>
      <w:r>
        <w:t>q</w:t>
      </w:r>
      <w:r w:rsidR="006C553E" w:rsidRPr="00214542">
        <w:t>ualifying fixed electric resistance</w:t>
      </w:r>
      <w:r w:rsidR="006C553E" w:rsidRPr="00AA3CB1">
        <w:t xml:space="preserve"> </w:t>
      </w:r>
      <w:r w:rsidR="006C553E">
        <w:t>– a fixed electric resistance room heater that is hardwired including panel (excludes portable or plug</w:t>
      </w:r>
      <w:r>
        <w:t>-</w:t>
      </w:r>
      <w:r w:rsidR="006C553E">
        <w:t xml:space="preserve">in heaters); </w:t>
      </w:r>
    </w:p>
    <w:p w14:paraId="0E4BF7AD" w14:textId="77777777" w:rsidR="006C553E" w:rsidRPr="00823AAF" w:rsidRDefault="00F92E9E" w:rsidP="00993178">
      <w:pPr>
        <w:pStyle w:val="Subdetailsfirstindent"/>
        <w:rPr>
          <w:b/>
        </w:rPr>
      </w:pPr>
      <w:r>
        <w:t>q</w:t>
      </w:r>
      <w:r w:rsidR="006C553E" w:rsidRPr="00214542">
        <w:t>ualifying fixed gas heater</w:t>
      </w:r>
      <w:r w:rsidR="006C553E">
        <w:t xml:space="preserve"> – a fixed flued gas heater (excludes portable or un-flued heaters); or</w:t>
      </w:r>
    </w:p>
    <w:p w14:paraId="13695DB9" w14:textId="77777777" w:rsidR="006C553E" w:rsidRDefault="00F92E9E" w:rsidP="00993178">
      <w:pPr>
        <w:pStyle w:val="Subdetailsfirstindent"/>
      </w:pPr>
      <w:r>
        <w:t>n</w:t>
      </w:r>
      <w:r w:rsidR="006C553E" w:rsidRPr="00214542">
        <w:t>one, any, not specified</w:t>
      </w:r>
      <w:r w:rsidR="006C553E">
        <w:t xml:space="preserve"> </w:t>
      </w:r>
      <w:r>
        <w:t>–</w:t>
      </w:r>
      <w:r w:rsidR="006C553E">
        <w:t xml:space="preserve"> in the case of a category 1 business, only n</w:t>
      </w:r>
      <w:r w:rsidR="006C553E" w:rsidRPr="00AA3CB1">
        <w:t>one</w:t>
      </w:r>
      <w:r w:rsidR="006C553E">
        <w:t xml:space="preserve"> or a r</w:t>
      </w:r>
      <w:r w:rsidR="006C553E" w:rsidRPr="00AA3CB1">
        <w:t>everse cycle heat pump</w:t>
      </w:r>
      <w:r w:rsidR="006C553E">
        <w:t xml:space="preserve"> qualifies.</w:t>
      </w:r>
    </w:p>
    <w:p w14:paraId="4C3D4CAF" w14:textId="77777777" w:rsidR="006C553E" w:rsidRPr="00513D23" w:rsidRDefault="006C553E" w:rsidP="00993178">
      <w:pPr>
        <w:pStyle w:val="Sectionheading4"/>
      </w:pPr>
      <w:r w:rsidRPr="00513D23">
        <w:t>New installation condition</w:t>
      </w:r>
    </w:p>
    <w:p w14:paraId="66B3C48A" w14:textId="77777777" w:rsidR="006C553E" w:rsidRPr="00A225CE" w:rsidRDefault="006C553E" w:rsidP="00993178">
      <w:pPr>
        <w:pStyle w:val="BodytextEEIS"/>
      </w:pPr>
      <w:r>
        <w:t>For Activity 2.3, the new installation includes one of the following</w:t>
      </w:r>
      <w:r w:rsidR="00F92E9E">
        <w:t>—</w:t>
      </w:r>
    </w:p>
    <w:p w14:paraId="1987E2B6" w14:textId="77777777" w:rsidR="00F92E9E" w:rsidRDefault="00F92E9E" w:rsidP="00D633D3">
      <w:pPr>
        <w:pStyle w:val="Subdetailsfirstindent"/>
        <w:numPr>
          <w:ilvl w:val="0"/>
          <w:numId w:val="61"/>
        </w:numPr>
      </w:pPr>
      <w:r>
        <w:t>a</w:t>
      </w:r>
      <w:r w:rsidR="003D678B" w:rsidRPr="005C7A9C">
        <w:t xml:space="preserve"> high efficiency </w:t>
      </w:r>
      <w:r w:rsidR="003D678B">
        <w:t>room</w:t>
      </w:r>
      <w:r w:rsidR="003D678B" w:rsidRPr="005C7A9C">
        <w:t xml:space="preserve"> air conditioning heat pump </w:t>
      </w:r>
      <w:r w:rsidR="003D678B" w:rsidRPr="00876379">
        <w:t>(</w:t>
      </w:r>
      <w:r w:rsidR="003D678B">
        <w:t>room</w:t>
      </w:r>
      <w:r w:rsidR="003D678B" w:rsidRPr="00876379">
        <w:t xml:space="preserve"> heat pump)</w:t>
      </w:r>
      <w:r>
        <w:t>;</w:t>
      </w:r>
      <w:r w:rsidR="003D678B">
        <w:t xml:space="preserve"> or </w:t>
      </w:r>
    </w:p>
    <w:p w14:paraId="0D112E45" w14:textId="77777777" w:rsidR="003D678B" w:rsidRDefault="003D678B" w:rsidP="00D633D3">
      <w:pPr>
        <w:pStyle w:val="Subdetailsfirstindent"/>
        <w:numPr>
          <w:ilvl w:val="0"/>
          <w:numId w:val="61"/>
        </w:numPr>
      </w:pPr>
      <w:r>
        <w:t xml:space="preserve">a </w:t>
      </w:r>
      <w:r w:rsidRPr="002959F0">
        <w:t>high efficiency central non-ducted reverse cycle multi</w:t>
      </w:r>
      <w:r w:rsidR="00A95988">
        <w:t>-</w:t>
      </w:r>
      <w:r w:rsidRPr="002959F0">
        <w:t>split air conditioning heat pump (</w:t>
      </w:r>
      <w:r>
        <w:t>c</w:t>
      </w:r>
      <w:r w:rsidRPr="002959F0">
        <w:t>entral non-ducted heat pump)</w:t>
      </w:r>
      <w:r>
        <w:t>.</w:t>
      </w:r>
    </w:p>
    <w:p w14:paraId="6728D1D9" w14:textId="77777777" w:rsidR="006C553E" w:rsidRPr="001A7A93" w:rsidRDefault="006C553E" w:rsidP="00993178">
      <w:pPr>
        <w:pStyle w:val="Sectionheading3"/>
      </w:pPr>
      <w:r w:rsidRPr="001A7A93">
        <w:t>Minimum activity performance specifications</w:t>
      </w:r>
    </w:p>
    <w:p w14:paraId="2407684C" w14:textId="77777777" w:rsidR="006C553E" w:rsidRPr="001A7A93" w:rsidRDefault="006C553E" w:rsidP="00993178">
      <w:pPr>
        <w:pStyle w:val="BodytextEEIS"/>
        <w:rPr>
          <w:i/>
        </w:rPr>
      </w:pPr>
      <w:r w:rsidRPr="001A7A93">
        <w:t>To be an eligible activity the activity must</w:t>
      </w:r>
      <w:r w:rsidRPr="001A7A93">
        <w:rPr>
          <w:b/>
          <w:bCs/>
        </w:rPr>
        <w:t>—</w:t>
      </w:r>
    </w:p>
    <w:p w14:paraId="4B38E5C1" w14:textId="77777777" w:rsidR="006C553E" w:rsidRPr="005F602F" w:rsidRDefault="006C553E" w:rsidP="00D633D3">
      <w:pPr>
        <w:pStyle w:val="Subdetailsfirstindent"/>
        <w:numPr>
          <w:ilvl w:val="0"/>
          <w:numId w:val="62"/>
        </w:numPr>
      </w:pPr>
      <w:r w:rsidRPr="005F602F">
        <w:t>be undertaken at an eligible residential or business premises</w:t>
      </w:r>
      <w:r>
        <w:t xml:space="preserve">; </w:t>
      </w:r>
    </w:p>
    <w:p w14:paraId="60D2F527" w14:textId="671F6A1E" w:rsidR="006C553E" w:rsidRPr="00D0226E" w:rsidRDefault="006C553E" w:rsidP="00993178">
      <w:pPr>
        <w:pStyle w:val="Subdetailsfirstindent"/>
        <w:rPr>
          <w:color w:val="000000"/>
        </w:rPr>
      </w:pPr>
      <w:r>
        <w:rPr>
          <w:color w:val="000000"/>
        </w:rPr>
        <w:t xml:space="preserve">include the removal and decommissioning of any pre-existing heater that is used in </w:t>
      </w:r>
      <w:r w:rsidR="003D678B">
        <w:rPr>
          <w:color w:val="000000"/>
        </w:rPr>
        <w:t>s</w:t>
      </w:r>
      <w:r>
        <w:rPr>
          <w:color w:val="000000"/>
        </w:rPr>
        <w:t xml:space="preserve">ection </w:t>
      </w:r>
      <w:r w:rsidR="00F92E9E">
        <w:rPr>
          <w:color w:val="000000"/>
        </w:rPr>
        <w:t>2.3.</w:t>
      </w:r>
      <w:r>
        <w:rPr>
          <w:color w:val="000000"/>
        </w:rPr>
        <w:t xml:space="preserve">5 to determine an </w:t>
      </w:r>
      <w:r w:rsidR="00BA31EE">
        <w:rPr>
          <w:color w:val="000000"/>
        </w:rPr>
        <w:t>energy savings</w:t>
      </w:r>
      <w:r>
        <w:rPr>
          <w:color w:val="000000"/>
        </w:rPr>
        <w:t xml:space="preserve"> factor; </w:t>
      </w:r>
    </w:p>
    <w:p w14:paraId="1813C36B" w14:textId="77777777" w:rsidR="003D678B" w:rsidRDefault="006C553E" w:rsidP="00993178">
      <w:pPr>
        <w:pStyle w:val="Subdetailsfirstindent"/>
        <w:rPr>
          <w:color w:val="000000"/>
        </w:rPr>
      </w:pPr>
      <w:r w:rsidRPr="001A7A93">
        <w:rPr>
          <w:color w:val="000000"/>
        </w:rPr>
        <w:t xml:space="preserve">be undertaken using a product or products meeting the installed product requirements in section </w:t>
      </w:r>
      <w:r w:rsidR="00F92E9E">
        <w:rPr>
          <w:color w:val="000000"/>
        </w:rPr>
        <w:t>2.3.</w:t>
      </w:r>
      <w:r w:rsidRPr="001A7A93">
        <w:rPr>
          <w:color w:val="000000"/>
        </w:rPr>
        <w:t xml:space="preserve">3; </w:t>
      </w:r>
    </w:p>
    <w:p w14:paraId="493CA913" w14:textId="77777777" w:rsidR="003D678B" w:rsidRDefault="006C553E" w:rsidP="00993178">
      <w:pPr>
        <w:pStyle w:val="Subdetailsfirstindent"/>
        <w:rPr>
          <w:color w:val="000000"/>
        </w:rPr>
      </w:pPr>
      <w:r w:rsidRPr="003D678B">
        <w:rPr>
          <w:color w:val="000000"/>
        </w:rPr>
        <w:t xml:space="preserve">be completed and certified in accordance with the relevant code or codes of practice and other relevant legislation applying to the activity, including but not limited to any licensing, registration, statutory approval, activity certification, health, safety, environmental or waste disposal requirements; and </w:t>
      </w:r>
    </w:p>
    <w:p w14:paraId="372F2980" w14:textId="77777777" w:rsidR="006C553E" w:rsidRPr="003D678B" w:rsidRDefault="006C553E" w:rsidP="00993178">
      <w:pPr>
        <w:pStyle w:val="Subdetailsfirstindent"/>
        <w:rPr>
          <w:color w:val="000000"/>
        </w:rPr>
      </w:pPr>
      <w:r w:rsidRPr="003D678B">
        <w:rPr>
          <w:color w:val="000000"/>
        </w:rPr>
        <w:t>be recorded in accordance with any relevant code of practice for the activity.</w:t>
      </w:r>
    </w:p>
    <w:p w14:paraId="2757E70C" w14:textId="77777777" w:rsidR="006C553E" w:rsidRPr="001A7A93" w:rsidRDefault="006C553E" w:rsidP="00993178">
      <w:pPr>
        <w:pStyle w:val="Notesandexamples"/>
      </w:pPr>
      <w:r w:rsidRPr="001A7A93">
        <w:t>Note</w:t>
      </w:r>
      <w:r w:rsidRPr="001A7A93">
        <w:tab/>
        <w:t>All activities are subject to independent inspection or audit to confirm compliance with prescribed activity requirements.</w:t>
      </w:r>
    </w:p>
    <w:p w14:paraId="72477F23" w14:textId="77777777" w:rsidR="006C553E" w:rsidRPr="001A7A93" w:rsidRDefault="006C553E" w:rsidP="00993178">
      <w:pPr>
        <w:pStyle w:val="Sectionheading3"/>
      </w:pPr>
      <w:r w:rsidRPr="001A7A93">
        <w:lastRenderedPageBreak/>
        <w:t>Installed product requirements</w:t>
      </w:r>
    </w:p>
    <w:p w14:paraId="3BE5625E" w14:textId="77777777" w:rsidR="006C553E" w:rsidRPr="001A7A93" w:rsidRDefault="006C553E" w:rsidP="00993178">
      <w:pPr>
        <w:pStyle w:val="BodytextEEIS"/>
        <w:rPr>
          <w:szCs w:val="22"/>
        </w:rPr>
      </w:pPr>
      <w:r>
        <w:t>An installed product must be a high efficiency room air conditioning heat pump that</w:t>
      </w:r>
      <w:r w:rsidR="00F92E9E">
        <w:rPr>
          <w:szCs w:val="22"/>
        </w:rPr>
        <w:t>—</w:t>
      </w:r>
    </w:p>
    <w:p w14:paraId="69FB8557" w14:textId="77777777" w:rsidR="006C553E" w:rsidRDefault="006C553E" w:rsidP="00D633D3">
      <w:pPr>
        <w:pStyle w:val="Subdetailsfirstindent"/>
        <w:numPr>
          <w:ilvl w:val="0"/>
          <w:numId w:val="63"/>
        </w:numPr>
      </w:pPr>
      <w:r w:rsidRPr="001A7A93">
        <w:t xml:space="preserve">is listed in the register of products for the activity; </w:t>
      </w:r>
    </w:p>
    <w:p w14:paraId="71374899" w14:textId="77777777" w:rsidR="006C553E" w:rsidRPr="001A7A93" w:rsidRDefault="006C553E" w:rsidP="00993178">
      <w:pPr>
        <w:pStyle w:val="Subdetailsfirstindent"/>
      </w:pPr>
      <w:r w:rsidRPr="007D61DE">
        <w:t>ha</w:t>
      </w:r>
      <w:r>
        <w:t>s</w:t>
      </w:r>
      <w:r w:rsidRPr="007D61DE">
        <w:t xml:space="preserve"> a minimum product warranty of </w:t>
      </w:r>
      <w:r w:rsidR="00F92E9E">
        <w:t>two</w:t>
      </w:r>
      <w:r w:rsidRPr="007D61DE">
        <w:t xml:space="preserve"> years</w:t>
      </w:r>
      <w:r>
        <w:t xml:space="preserve">; </w:t>
      </w:r>
    </w:p>
    <w:p w14:paraId="70E9084B" w14:textId="77777777" w:rsidR="006C553E" w:rsidRDefault="006C553E" w:rsidP="00993178">
      <w:pPr>
        <w:pStyle w:val="Subdetailsfirstindent"/>
      </w:pPr>
      <w:r w:rsidRPr="001A7A93">
        <w:t xml:space="preserve">complies with Minimum Energy Performance Standards (MEPS) requirements (AS/NZS 3823); </w:t>
      </w:r>
    </w:p>
    <w:p w14:paraId="36F0290C" w14:textId="77777777" w:rsidR="006C553E" w:rsidRPr="00166A25" w:rsidRDefault="006C553E" w:rsidP="00993178">
      <w:pPr>
        <w:pStyle w:val="Subdetailsfirstindent"/>
        <w:rPr>
          <w:szCs w:val="22"/>
        </w:rPr>
      </w:pPr>
      <w:r w:rsidRPr="00605125">
        <w:t>is capable of heating an area that is comparable to the system being replaced (where applicable);</w:t>
      </w:r>
    </w:p>
    <w:p w14:paraId="36637851" w14:textId="77777777" w:rsidR="006C553E" w:rsidRPr="00166A25" w:rsidRDefault="006C553E" w:rsidP="00993178">
      <w:pPr>
        <w:pStyle w:val="Subdetailsfirstindent"/>
      </w:pPr>
      <w:r w:rsidRPr="00166A25">
        <w:t xml:space="preserve">achieves a minimum annual coefficient of performance (ACOP) of either: </w:t>
      </w:r>
    </w:p>
    <w:p w14:paraId="210B95CB" w14:textId="77777777" w:rsidR="006C553E" w:rsidRPr="00993178" w:rsidRDefault="006C553E" w:rsidP="00D633D3">
      <w:pPr>
        <w:pStyle w:val="Subdetailssecondindent"/>
        <w:numPr>
          <w:ilvl w:val="0"/>
          <w:numId w:val="64"/>
        </w:numPr>
        <w:rPr>
          <w:u w:val="single"/>
        </w:rPr>
      </w:pPr>
      <w:r w:rsidRPr="001A7A93">
        <w:t>4.0</w:t>
      </w:r>
      <w:r w:rsidRPr="001A7A93" w:rsidDel="000F2149">
        <w:t xml:space="preserve"> </w:t>
      </w:r>
      <w:r w:rsidRPr="001A7A93">
        <w:t>at condition H1 (AS/NZS 3823); or</w:t>
      </w:r>
    </w:p>
    <w:p w14:paraId="547E4278" w14:textId="77777777" w:rsidR="006C553E" w:rsidRPr="001A7A93" w:rsidRDefault="006C553E" w:rsidP="00993178">
      <w:pPr>
        <w:pStyle w:val="Subdetailssecondindent"/>
        <w:rPr>
          <w:u w:val="single"/>
        </w:rPr>
      </w:pPr>
      <w:r w:rsidRPr="001A7A93">
        <w:t xml:space="preserve">3.8 at condition H1 (AS/NZS 3823) provided that: </w:t>
      </w:r>
    </w:p>
    <w:p w14:paraId="0AC8D881" w14:textId="77777777" w:rsidR="006C553E" w:rsidRPr="001A7A93" w:rsidRDefault="006C553E" w:rsidP="00D633D3">
      <w:pPr>
        <w:pStyle w:val="Subdetailsthirdindent"/>
        <w:numPr>
          <w:ilvl w:val="0"/>
          <w:numId w:val="65"/>
        </w:numPr>
      </w:pPr>
      <w:r>
        <w:t>t</w:t>
      </w:r>
      <w:r w:rsidRPr="001A7A93">
        <w:t>he installation is to replace a pre-existing</w:t>
      </w:r>
      <w:r>
        <w:t xml:space="preserve"> heating condition of </w:t>
      </w:r>
      <w:r w:rsidR="00A95988">
        <w:t>2.3.</w:t>
      </w:r>
      <w:r>
        <w:t>1.1(</w:t>
      </w:r>
      <w:r w:rsidR="00A95988">
        <w:t>a</w:t>
      </w:r>
      <w:r>
        <w:t xml:space="preserve">) or </w:t>
      </w:r>
      <w:r w:rsidR="00A95988">
        <w:t>2.3.</w:t>
      </w:r>
      <w:r>
        <w:t>1.1(</w:t>
      </w:r>
      <w:r w:rsidR="00A95988">
        <w:t>b</w:t>
      </w:r>
      <w:r>
        <w:t xml:space="preserve">) as defined in section </w:t>
      </w:r>
      <w:r w:rsidR="00A95988">
        <w:t>2.3.1</w:t>
      </w:r>
      <w:r w:rsidRPr="001A7A93">
        <w:t xml:space="preserve">; </w:t>
      </w:r>
    </w:p>
    <w:p w14:paraId="56267759" w14:textId="77777777" w:rsidR="006C553E" w:rsidRPr="00993178" w:rsidRDefault="006C553E" w:rsidP="00D633D3">
      <w:pPr>
        <w:pStyle w:val="Subdetailsthirdindent"/>
        <w:numPr>
          <w:ilvl w:val="0"/>
          <w:numId w:val="65"/>
        </w:numPr>
        <w:rPr>
          <w:u w:val="single"/>
        </w:rPr>
      </w:pPr>
      <w:r w:rsidRPr="001A7A93">
        <w:t>the installation is to serve a conditioned floor area of not less than 55m</w:t>
      </w:r>
      <w:r w:rsidRPr="00993178">
        <w:rPr>
          <w:vertAlign w:val="superscript"/>
        </w:rPr>
        <w:t>2</w:t>
      </w:r>
      <w:r w:rsidRPr="001A7A93">
        <w:t>;</w:t>
      </w:r>
    </w:p>
    <w:p w14:paraId="1CBD6ACD" w14:textId="77777777" w:rsidR="006C553E" w:rsidRPr="00993178" w:rsidRDefault="006C553E" w:rsidP="00D633D3">
      <w:pPr>
        <w:pStyle w:val="Subdetailsthirdindent"/>
        <w:numPr>
          <w:ilvl w:val="0"/>
          <w:numId w:val="65"/>
        </w:numPr>
        <w:rPr>
          <w:szCs w:val="22"/>
          <w:u w:val="single"/>
        </w:rPr>
      </w:pPr>
      <w:r w:rsidRPr="00993178">
        <w:rPr>
          <w:szCs w:val="22"/>
        </w:rPr>
        <w:t xml:space="preserve">the </w:t>
      </w:r>
      <w:r w:rsidRPr="001A7A93">
        <w:t>unit has been tested and registered for low temperature performance under condition H2 and meets the requirements of AS/NZS</w:t>
      </w:r>
      <w:r w:rsidR="00680FEA">
        <w:t xml:space="preserve"> </w:t>
      </w:r>
      <w:r w:rsidRPr="00214C6A">
        <w:t>3823</w:t>
      </w:r>
      <w:r w:rsidR="00D24BF9">
        <w:t xml:space="preserve"> (see note 2 and 3 below)</w:t>
      </w:r>
      <w:r w:rsidRPr="001A7A93">
        <w:t xml:space="preserve">; </w:t>
      </w:r>
    </w:p>
    <w:p w14:paraId="29B6E94E" w14:textId="77777777" w:rsidR="006C553E" w:rsidRDefault="006C553E" w:rsidP="00D633D3">
      <w:pPr>
        <w:pStyle w:val="Subdetailsthirdindent"/>
        <w:numPr>
          <w:ilvl w:val="0"/>
          <w:numId w:val="65"/>
        </w:numPr>
      </w:pPr>
      <w:r w:rsidRPr="001A7A93">
        <w:t>the unit has a minimum heating capacity of 4kW at H1 condition (AS/NZS 3823 as applicable);</w:t>
      </w:r>
      <w:r w:rsidR="00A95988">
        <w:t xml:space="preserve"> and</w:t>
      </w:r>
    </w:p>
    <w:p w14:paraId="69211CF7" w14:textId="77777777" w:rsidR="006C553E" w:rsidRPr="00993178" w:rsidRDefault="006337C1" w:rsidP="00D633D3">
      <w:pPr>
        <w:pStyle w:val="Subdetailsthirdindent"/>
        <w:numPr>
          <w:ilvl w:val="0"/>
          <w:numId w:val="65"/>
        </w:numPr>
        <w:rPr>
          <w:szCs w:val="22"/>
          <w:u w:val="single"/>
        </w:rPr>
      </w:pPr>
      <w:r>
        <w:t>t</w:t>
      </w:r>
      <w:r w:rsidR="006C553E" w:rsidRPr="00242B3E">
        <w:t>he installed unit has mandatory variable speed compressor(s), where such products are available</w:t>
      </w:r>
      <w:r w:rsidR="00F92E9E">
        <w:t>; and</w:t>
      </w:r>
    </w:p>
    <w:p w14:paraId="36612272" w14:textId="77777777" w:rsidR="006C553E" w:rsidRPr="004F1AA5" w:rsidRDefault="006337C1" w:rsidP="00993178">
      <w:pPr>
        <w:pStyle w:val="Subdetailsfirstindent"/>
        <w:rPr>
          <w:u w:val="single"/>
        </w:rPr>
      </w:pPr>
      <w:r>
        <w:t>h</w:t>
      </w:r>
      <w:r w:rsidR="006C553E" w:rsidRPr="00242B3E">
        <w:t>as “built-in” demand response capability, for systems &lt;15kW heat capacity, in accordance with AS 4755. In either heating or cooling mode, the device must be capable of operating in DR modes 1, plus mode 2 and/or 3 as defined in AS</w:t>
      </w:r>
      <w:r w:rsidR="00680FEA">
        <w:t xml:space="preserve"> </w:t>
      </w:r>
      <w:r w:rsidR="006C553E" w:rsidRPr="00242B3E">
        <w:t>4755.</w:t>
      </w:r>
    </w:p>
    <w:p w14:paraId="47734CC6" w14:textId="77777777" w:rsidR="006C553E" w:rsidRDefault="006C553E" w:rsidP="00993178">
      <w:pPr>
        <w:pStyle w:val="Notesandexamples"/>
        <w:rPr>
          <w:highlight w:val="yellow"/>
        </w:rPr>
      </w:pPr>
      <w:r w:rsidRPr="00F84587">
        <w:t>Note 1</w:t>
      </w:r>
      <w:r>
        <w:tab/>
      </w:r>
      <w:r w:rsidRPr="00224B7E">
        <w:t>For business applications, multiple units may be installed in a single (large) space of a business up to a maximum combined capacity of 65kW as required to meet the particular load. These may be separate room space heating units or multi-split units provided each unit complies with the eligibility criteria above.</w:t>
      </w:r>
    </w:p>
    <w:p w14:paraId="2D552E35" w14:textId="77777777" w:rsidR="006C553E" w:rsidRPr="009A2A69" w:rsidRDefault="006C553E" w:rsidP="00993178">
      <w:pPr>
        <w:pStyle w:val="Notesandexamples"/>
      </w:pPr>
      <w:r w:rsidRPr="00F84587">
        <w:t>Note 2</w:t>
      </w:r>
      <w:r>
        <w:tab/>
      </w:r>
      <w:r w:rsidRPr="009A2A69">
        <w:t>The H2 test result can be evidenced, without need for any additional testing via</w:t>
      </w:r>
      <w:r w:rsidR="00A95988">
        <w:t>:</w:t>
      </w:r>
      <w:r w:rsidRPr="009A2A69">
        <w:t xml:space="preserve"> </w:t>
      </w:r>
    </w:p>
    <w:p w14:paraId="37DA7EC5" w14:textId="77777777" w:rsidR="006C553E" w:rsidRPr="009A2A69" w:rsidRDefault="00A95988" w:rsidP="00D633D3">
      <w:pPr>
        <w:pStyle w:val="Notesandexamples"/>
        <w:numPr>
          <w:ilvl w:val="0"/>
          <w:numId w:val="158"/>
        </w:numPr>
      </w:pPr>
      <w:r>
        <w:t>t</w:t>
      </w:r>
      <w:r w:rsidR="006C553E" w:rsidRPr="009A2A69">
        <w:t>he product’s H2 test result in the GEMS/E3 air-conditioning database</w:t>
      </w:r>
      <w:r>
        <w:t xml:space="preserve"> </w:t>
      </w:r>
      <w:r w:rsidR="006C553E" w:rsidRPr="00D37FE8">
        <w:t>(</w:t>
      </w:r>
      <w:r w:rsidR="006C553E" w:rsidRPr="00D37FE8">
        <w:rPr>
          <w:rStyle w:val="Hyperlink"/>
          <w:rFonts w:cs="Arial"/>
        </w:rPr>
        <w:t>https://data.gov.au/dataset/energy-rating-for-household-appliances/resource/0973a476-eb0c-45e6-9a18-054f74307843</w:t>
      </w:r>
      <w:r w:rsidR="006C553E" w:rsidRPr="009A2A69">
        <w:t>)</w:t>
      </w:r>
      <w:r>
        <w:t>;</w:t>
      </w:r>
      <w:r w:rsidR="006C553E" w:rsidRPr="009A2A69">
        <w:t xml:space="preserve"> </w:t>
      </w:r>
    </w:p>
    <w:p w14:paraId="543E2B66" w14:textId="77777777" w:rsidR="006C553E" w:rsidRPr="009A2A69" w:rsidRDefault="00A95988" w:rsidP="00D633D3">
      <w:pPr>
        <w:pStyle w:val="Notesandexamples"/>
        <w:numPr>
          <w:ilvl w:val="0"/>
          <w:numId w:val="158"/>
        </w:numPr>
      </w:pPr>
      <w:r>
        <w:t>a</w:t>
      </w:r>
      <w:r w:rsidR="006C553E" w:rsidRPr="009A2A69">
        <w:t>n AHRI certificate, being a certified test certificate from the Air-Conditioning, Heating, and Refrigeration Institute (</w:t>
      </w:r>
      <w:hyperlink r:id="rId12" w:history="1">
        <w:r w:rsidRPr="008C5AA7">
          <w:rPr>
            <w:rStyle w:val="Hyperlink"/>
            <w:rFonts w:cs="Arial"/>
          </w:rPr>
          <w:t>www.</w:t>
        </w:r>
        <w:r w:rsidRPr="00680FEA">
          <w:rPr>
            <w:rStyle w:val="Hyperlink"/>
            <w:rFonts w:cs="Arial"/>
          </w:rPr>
          <w:t>ahrinet</w:t>
        </w:r>
        <w:r w:rsidRPr="008C5AA7">
          <w:rPr>
            <w:rStyle w:val="Hyperlink"/>
            <w:rFonts w:cs="Arial"/>
          </w:rPr>
          <w:t>.org</w:t>
        </w:r>
      </w:hyperlink>
      <w:r w:rsidR="006C553E" w:rsidRPr="009A2A69">
        <w:t>)</w:t>
      </w:r>
      <w:r>
        <w:t>; or</w:t>
      </w:r>
    </w:p>
    <w:p w14:paraId="7013CE1B" w14:textId="77777777" w:rsidR="006C553E" w:rsidRPr="009A2A69" w:rsidRDefault="00A95988" w:rsidP="00D633D3">
      <w:pPr>
        <w:pStyle w:val="Notesandexamples"/>
        <w:numPr>
          <w:ilvl w:val="0"/>
          <w:numId w:val="158"/>
        </w:numPr>
      </w:pPr>
      <w:r>
        <w:t>an</w:t>
      </w:r>
      <w:r w:rsidR="006C553E" w:rsidRPr="009A2A69">
        <w:t xml:space="preserve"> Eurovent certificate, being a certified test certificate from the European Association of Air Handling and Refrigerating Equipment Manufacturers (</w:t>
      </w:r>
      <w:r w:rsidR="006C553E" w:rsidRPr="00D37FE8">
        <w:rPr>
          <w:rStyle w:val="Hyperlink"/>
          <w:rFonts w:cs="Arial"/>
        </w:rPr>
        <w:t>www.eurovent-certification.com</w:t>
      </w:r>
      <w:r w:rsidR="006C553E" w:rsidRPr="009A2A69">
        <w:t>)</w:t>
      </w:r>
      <w:r>
        <w:t>.</w:t>
      </w:r>
    </w:p>
    <w:p w14:paraId="42D6CAC9" w14:textId="77777777" w:rsidR="006C553E" w:rsidRPr="009A2A69" w:rsidRDefault="006C553E" w:rsidP="00993178">
      <w:pPr>
        <w:pStyle w:val="Notesandexamples"/>
      </w:pPr>
      <w:r w:rsidRPr="00F84587">
        <w:t>Note 3</w:t>
      </w:r>
      <w:r>
        <w:tab/>
      </w:r>
      <w:r w:rsidRPr="00E02F27">
        <w:t>Where</w:t>
      </w:r>
      <w:r w:rsidRPr="00C9272B">
        <w:t xml:space="preserve"> a product does not have an H2 test result, it does need an air enthalpy test or a truncated calorimeter room test spanning </w:t>
      </w:r>
      <w:r w:rsidR="00A95988">
        <w:t>three</w:t>
      </w:r>
      <w:r w:rsidRPr="00C9272B">
        <w:t xml:space="preserve"> complete defrost cycles. The use of calorimeter or air enthalpy for H2 tests are outlined in the relevant air conditioner type test standards of AS/NZS 3823.</w:t>
      </w:r>
    </w:p>
    <w:p w14:paraId="452E46ED" w14:textId="3B36FBC8" w:rsidR="006C553E" w:rsidRPr="001A7A93" w:rsidRDefault="006C553E" w:rsidP="00993178">
      <w:pPr>
        <w:pStyle w:val="Notesandexamples"/>
      </w:pPr>
      <w:r w:rsidRPr="00F84587">
        <w:t>Note 4</w:t>
      </w:r>
      <w:r>
        <w:tab/>
      </w:r>
      <w:r w:rsidRPr="00FC5C72">
        <w:t xml:space="preserve">Products that have been tested and registered for low temperature performance under condition H2 and meet the requirements of </w:t>
      </w:r>
      <w:r w:rsidR="00060169">
        <w:t>c</w:t>
      </w:r>
      <w:r w:rsidRPr="00FC5C72">
        <w:t>lause 3.7 of AS/NZS</w:t>
      </w:r>
      <w:r w:rsidR="00680FEA">
        <w:t xml:space="preserve"> </w:t>
      </w:r>
      <w:r w:rsidRPr="00FC5C72">
        <w:t xml:space="preserve">3823 earn additional </w:t>
      </w:r>
      <w:r w:rsidR="00BA31EE">
        <w:t>energy savings</w:t>
      </w:r>
      <w:r w:rsidRPr="00FC5C72">
        <w:t>.</w:t>
      </w:r>
    </w:p>
    <w:p w14:paraId="1B63DDFF" w14:textId="77777777" w:rsidR="006C553E" w:rsidRPr="001A7A93" w:rsidRDefault="006C553E" w:rsidP="00993178">
      <w:pPr>
        <w:pStyle w:val="Sectionheading3"/>
      </w:pPr>
      <w:r w:rsidRPr="001A7A93">
        <w:t>Time the activity is taken to be completed</w:t>
      </w:r>
    </w:p>
    <w:p w14:paraId="614848B1" w14:textId="77777777" w:rsidR="006C553E" w:rsidRDefault="006C553E" w:rsidP="00993178">
      <w:pPr>
        <w:pStyle w:val="BodytextEEIS"/>
      </w:pPr>
      <w:r w:rsidRPr="001A7A93">
        <w:t>The activity is taken to be completed on the day all applicable prescribed activity requirements are completed, including but not limited to the disposal of any waste materials, lodgement of any statutory certifications for gas fitting work, the installation of the new appliance is completed and lodgement of any statutory certifications for electrical work.</w:t>
      </w:r>
    </w:p>
    <w:p w14:paraId="2D198BF6" w14:textId="4765FD4D" w:rsidR="006C553E" w:rsidRPr="001A7A93" w:rsidRDefault="006C553E" w:rsidP="00993178">
      <w:pPr>
        <w:pStyle w:val="Sectionheading3"/>
        <w:rPr>
          <w:u w:val="single"/>
        </w:rPr>
      </w:pPr>
      <w:r w:rsidRPr="001A7A93">
        <w:lastRenderedPageBreak/>
        <w:t xml:space="preserve">Calculation of </w:t>
      </w:r>
      <w:r w:rsidR="00C20DC7">
        <w:t>energy savings</w:t>
      </w:r>
      <w:r w:rsidRPr="001A7A93">
        <w:t xml:space="preserve"> factor</w:t>
      </w:r>
    </w:p>
    <w:p w14:paraId="481B3827" w14:textId="14715500" w:rsidR="006C553E" w:rsidRPr="001A7A93" w:rsidRDefault="006C553E" w:rsidP="00312BC1">
      <w:pPr>
        <w:pStyle w:val="BodytextEEIS"/>
      </w:pPr>
      <w:r w:rsidRPr="001A7A93">
        <w:t xml:space="preserve">The total </w:t>
      </w:r>
      <w:r w:rsidR="00C20DC7">
        <w:t>energy savings</w:t>
      </w:r>
      <w:r w:rsidRPr="001A7A93">
        <w:t xml:space="preserve"> factor in </w:t>
      </w:r>
      <w:r w:rsidR="00880CB1">
        <w:t>Megawatt-hours</w:t>
      </w:r>
      <w:r w:rsidR="00C20DC7">
        <w:t xml:space="preserve"> (MWh) </w:t>
      </w:r>
      <w:r w:rsidRPr="001A7A93">
        <w:t xml:space="preserve">saved in a premises for the activity is the relevant </w:t>
      </w:r>
      <w:r w:rsidR="00C20DC7">
        <w:t>energy savings</w:t>
      </w:r>
      <w:r w:rsidR="00C20DC7" w:rsidRPr="00605125">
        <w:t xml:space="preserve"> </w:t>
      </w:r>
      <w:r w:rsidRPr="001A7A93">
        <w:t xml:space="preserve"> factor for the specified high efficiency electric room heaters installed, determined by using the equations prescribed in this section.</w:t>
      </w:r>
    </w:p>
    <w:p w14:paraId="57461D90" w14:textId="5AD6AA21" w:rsidR="006C553E" w:rsidRPr="001A7A93" w:rsidRDefault="006C553E" w:rsidP="00D633D3">
      <w:pPr>
        <w:pStyle w:val="Subdetailsfirstindent"/>
        <w:numPr>
          <w:ilvl w:val="0"/>
          <w:numId w:val="198"/>
        </w:numPr>
      </w:pPr>
      <w:r w:rsidRPr="001A7A93">
        <w:t xml:space="preserve">The </w:t>
      </w:r>
      <w:r w:rsidR="00C20DC7">
        <w:t>energy savings</w:t>
      </w:r>
      <w:r w:rsidR="00C20DC7" w:rsidRPr="00605125">
        <w:t xml:space="preserve"> </w:t>
      </w:r>
      <w:r w:rsidRPr="001A7A93">
        <w:t xml:space="preserve"> factor is calculated as</w:t>
      </w:r>
      <w:r w:rsidRPr="006741CB">
        <w:rPr>
          <w:bCs/>
        </w:rPr>
        <w:t>—</w:t>
      </w:r>
    </w:p>
    <w:p w14:paraId="37E8FEA5" w14:textId="57197DAE" w:rsidR="006C553E" w:rsidRPr="001A7A93" w:rsidRDefault="00C20DC7" w:rsidP="00C358AC">
      <w:pPr>
        <w:pStyle w:val="Formula"/>
      </w:pPr>
      <w:r>
        <w:t>Energy Savings</w:t>
      </w:r>
      <w:r w:rsidRPr="00605125">
        <w:t xml:space="preserve"> </w:t>
      </w:r>
      <w:r w:rsidR="006C553E" w:rsidRPr="001A7A93">
        <w:t xml:space="preserve"> factor (</w:t>
      </w:r>
      <w:r>
        <w:t>MWh</w:t>
      </w:r>
      <w:r w:rsidR="006C553E" w:rsidRPr="001A7A93">
        <w:t>) = [</w:t>
      </w:r>
      <w:r>
        <w:t>ESF</w:t>
      </w:r>
      <w:r w:rsidR="006C553E" w:rsidRPr="00312BC1">
        <w:rPr>
          <w:vertAlign w:val="subscript"/>
        </w:rPr>
        <w:t>fixed</w:t>
      </w:r>
      <w:r w:rsidR="006C553E" w:rsidRPr="001A7A93">
        <w:t xml:space="preserve"> + H2 + </w:t>
      </w:r>
      <w:r>
        <w:t>ESF</w:t>
      </w:r>
      <w:r w:rsidR="006C553E" w:rsidRPr="00312BC1">
        <w:rPr>
          <w:vertAlign w:val="subscript"/>
        </w:rPr>
        <w:t>var</w:t>
      </w:r>
      <w:r w:rsidR="006C553E" w:rsidRPr="001A7A93">
        <w:t xml:space="preserve"> × (ACOP – baseline)] × Capacity</w:t>
      </w:r>
    </w:p>
    <w:p w14:paraId="007DD7E9" w14:textId="77777777" w:rsidR="006C553E" w:rsidRPr="001A7A93" w:rsidRDefault="006C553E" w:rsidP="00AB48FF">
      <w:pPr>
        <w:pStyle w:val="BodytextEEIS"/>
      </w:pPr>
      <w:r w:rsidRPr="001A7A93">
        <w:t>Where</w:t>
      </w:r>
      <w:r w:rsidR="00276A95">
        <w:t>—</w:t>
      </w:r>
      <w:r w:rsidRPr="001A7A93">
        <w:t xml:space="preserve"> </w:t>
      </w:r>
    </w:p>
    <w:p w14:paraId="76D0C28F" w14:textId="37D23534" w:rsidR="006C553E" w:rsidRDefault="00C20DC7" w:rsidP="00D633D3">
      <w:pPr>
        <w:pStyle w:val="Subdetailssecondindent"/>
        <w:numPr>
          <w:ilvl w:val="0"/>
          <w:numId w:val="66"/>
        </w:numPr>
      </w:pPr>
      <w:r>
        <w:rPr>
          <w:i/>
        </w:rPr>
        <w:t>ESF</w:t>
      </w:r>
      <w:r w:rsidR="006C553E" w:rsidRPr="00AB48FF">
        <w:rPr>
          <w:i/>
          <w:vertAlign w:val="subscript"/>
        </w:rPr>
        <w:t>fixed</w:t>
      </w:r>
      <w:r w:rsidR="006C553E" w:rsidRPr="001A7A93">
        <w:t xml:space="preserve">, </w:t>
      </w:r>
      <w:r>
        <w:rPr>
          <w:i/>
        </w:rPr>
        <w:t>ESF</w:t>
      </w:r>
      <w:r w:rsidR="006C553E" w:rsidRPr="00AB48FF">
        <w:rPr>
          <w:i/>
          <w:vertAlign w:val="subscript"/>
        </w:rPr>
        <w:t>var</w:t>
      </w:r>
      <w:r w:rsidR="006C553E" w:rsidRPr="001A7A93">
        <w:t xml:space="preserve"> and </w:t>
      </w:r>
      <w:r w:rsidR="006C553E" w:rsidRPr="00AB48FF">
        <w:rPr>
          <w:i/>
        </w:rPr>
        <w:t>baseline</w:t>
      </w:r>
      <w:r w:rsidR="006C553E" w:rsidRPr="001A7A93">
        <w:t xml:space="preserve"> are the relevant values prescribed in</w:t>
      </w:r>
      <w:r w:rsidR="006C553E">
        <w:t>:</w:t>
      </w:r>
    </w:p>
    <w:p w14:paraId="41C4DBA4" w14:textId="77777777" w:rsidR="006C553E" w:rsidRPr="00AB48FF" w:rsidRDefault="00707468" w:rsidP="00D633D3">
      <w:pPr>
        <w:pStyle w:val="Subdetailsthirdindent"/>
        <w:numPr>
          <w:ilvl w:val="0"/>
          <w:numId w:val="67"/>
        </w:numPr>
        <w:rPr>
          <w:color w:val="000000"/>
        </w:rPr>
      </w:pPr>
      <w:r>
        <w:t>t</w:t>
      </w:r>
      <w:r w:rsidR="006C553E" w:rsidRPr="005F602F">
        <w:t xml:space="preserve">able </w:t>
      </w:r>
      <w:r w:rsidR="00A95988">
        <w:t>12</w:t>
      </w:r>
      <w:r w:rsidR="006C553E" w:rsidRPr="005F602F">
        <w:t xml:space="preserve"> (residential premises)</w:t>
      </w:r>
      <w:r w:rsidR="006C553E">
        <w:t>;</w:t>
      </w:r>
      <w:r w:rsidR="006C553E" w:rsidRPr="005F602F">
        <w:t xml:space="preserve"> </w:t>
      </w:r>
    </w:p>
    <w:p w14:paraId="382AF2FA" w14:textId="77777777" w:rsidR="006C553E" w:rsidRPr="004F1AA5" w:rsidRDefault="00707468" w:rsidP="00AB48FF">
      <w:pPr>
        <w:pStyle w:val="Subdetailsthirdindent"/>
        <w:rPr>
          <w:color w:val="000000"/>
        </w:rPr>
      </w:pPr>
      <w:r>
        <w:t>t</w:t>
      </w:r>
      <w:r w:rsidR="006C553E" w:rsidRPr="005F602F">
        <w:t xml:space="preserve">able </w:t>
      </w:r>
      <w:r w:rsidR="00A95988">
        <w:t>13</w:t>
      </w:r>
      <w:r w:rsidR="006C553E" w:rsidRPr="005F602F">
        <w:t xml:space="preserve"> (business premises – category 1)</w:t>
      </w:r>
      <w:r w:rsidR="006C553E">
        <w:t>;</w:t>
      </w:r>
      <w:r w:rsidR="006C553E" w:rsidRPr="005F602F">
        <w:t xml:space="preserve"> </w:t>
      </w:r>
    </w:p>
    <w:p w14:paraId="62B836D6" w14:textId="77777777" w:rsidR="006C553E" w:rsidRPr="004F1AA5" w:rsidRDefault="00707468" w:rsidP="00AB48FF">
      <w:pPr>
        <w:pStyle w:val="Subdetailsthirdindent"/>
        <w:rPr>
          <w:color w:val="000000"/>
        </w:rPr>
      </w:pPr>
      <w:r>
        <w:t>t</w:t>
      </w:r>
      <w:r w:rsidR="006C553E" w:rsidRPr="005F602F">
        <w:t xml:space="preserve">able </w:t>
      </w:r>
      <w:r w:rsidR="00A95988">
        <w:t>14</w:t>
      </w:r>
      <w:r w:rsidR="006C553E" w:rsidRPr="005F602F">
        <w:t xml:space="preserve"> (business premises – category 2)</w:t>
      </w:r>
      <w:r w:rsidR="006C553E">
        <w:t>;</w:t>
      </w:r>
      <w:r w:rsidR="006C553E" w:rsidRPr="005F602F">
        <w:t xml:space="preserve"> or</w:t>
      </w:r>
    </w:p>
    <w:p w14:paraId="501C9DA9" w14:textId="77777777" w:rsidR="006C553E" w:rsidRPr="004F1AA5" w:rsidRDefault="00707468" w:rsidP="00AB48FF">
      <w:pPr>
        <w:pStyle w:val="Subdetailsthirdindent"/>
        <w:rPr>
          <w:color w:val="000000"/>
        </w:rPr>
      </w:pPr>
      <w:r>
        <w:t>t</w:t>
      </w:r>
      <w:r w:rsidR="006C553E" w:rsidRPr="005F602F">
        <w:t xml:space="preserve">able </w:t>
      </w:r>
      <w:r w:rsidR="00946E16">
        <w:t>15</w:t>
      </w:r>
      <w:r w:rsidR="006C553E" w:rsidRPr="005F602F">
        <w:t xml:space="preserve"> (business premises – category 3)</w:t>
      </w:r>
      <w:r w:rsidR="00946E16">
        <w:t>.</w:t>
      </w:r>
      <w:r w:rsidR="006C553E" w:rsidRPr="005F602F">
        <w:t xml:space="preserve"> </w:t>
      </w:r>
    </w:p>
    <w:p w14:paraId="74D94823" w14:textId="77777777" w:rsidR="006C553E" w:rsidRPr="001A7A93" w:rsidRDefault="006C553E" w:rsidP="00312BC1">
      <w:pPr>
        <w:pStyle w:val="BodytextEEIS"/>
        <w:ind w:left="1800"/>
      </w:pPr>
      <w:r w:rsidRPr="001A7A93">
        <w:t>for the existing heater type (where applicable) and the new product type.</w:t>
      </w:r>
    </w:p>
    <w:p w14:paraId="4EB16E8F" w14:textId="77777777" w:rsidR="006C553E" w:rsidRPr="001A7A93" w:rsidRDefault="006C553E" w:rsidP="00AB48FF">
      <w:pPr>
        <w:pStyle w:val="Subdetailssecondindent"/>
      </w:pPr>
      <w:r w:rsidRPr="00312BC1">
        <w:rPr>
          <w:i/>
          <w:iCs/>
        </w:rPr>
        <w:t>ACOP</w:t>
      </w:r>
      <w:r w:rsidRPr="001A7A93">
        <w:t xml:space="preserve"> is the Annual Coefficient of Performance recorded for the installed model in the Energy Rating database for condition H1</w:t>
      </w:r>
      <w:r w:rsidR="00946E16">
        <w:t>.</w:t>
      </w:r>
    </w:p>
    <w:p w14:paraId="07EB49EE" w14:textId="77777777" w:rsidR="006C553E" w:rsidRPr="001A7A93" w:rsidRDefault="006C553E" w:rsidP="00AB48FF">
      <w:pPr>
        <w:pStyle w:val="Subdetailssecondindent"/>
      </w:pPr>
      <w:r w:rsidRPr="001A7A93">
        <w:rPr>
          <w:i/>
        </w:rPr>
        <w:t>Capacity</w:t>
      </w:r>
      <w:r w:rsidRPr="001A7A93">
        <w:t xml:space="preserve"> is the rated heating capacity of the installed model for condition H1 in kW.</w:t>
      </w:r>
    </w:p>
    <w:p w14:paraId="687FEB1A" w14:textId="164FE6EE" w:rsidR="006C553E" w:rsidRPr="001A7A93" w:rsidRDefault="006C553E" w:rsidP="00AB48FF">
      <w:pPr>
        <w:pStyle w:val="Subdetailssecondindent"/>
      </w:pPr>
      <w:r w:rsidRPr="001A7A93">
        <w:rPr>
          <w:szCs w:val="22"/>
        </w:rPr>
        <w:t>H2 is a value of 0.</w:t>
      </w:r>
      <w:r w:rsidR="00D02470">
        <w:rPr>
          <w:szCs w:val="22"/>
        </w:rPr>
        <w:t>25</w:t>
      </w:r>
      <w:r w:rsidRPr="001A7A93">
        <w:rPr>
          <w:szCs w:val="22"/>
        </w:rPr>
        <w:t xml:space="preserve"> if the installed model</w:t>
      </w:r>
      <w:r w:rsidRPr="001A7A93">
        <w:t xml:space="preserve"> has been tested and registered for low temperature performance under condition H2 and meets the requirements of AS/NZS</w:t>
      </w:r>
      <w:r w:rsidR="00680FEA">
        <w:t xml:space="preserve"> </w:t>
      </w:r>
      <w:r w:rsidRPr="001A7A93">
        <w:t>3823 or H2 is a value of 0.0 for all other products.</w:t>
      </w:r>
    </w:p>
    <w:p w14:paraId="0E6B34C4" w14:textId="77777777" w:rsidR="006C553E" w:rsidRDefault="006C553E" w:rsidP="00AB48FF">
      <w:pPr>
        <w:pStyle w:val="Caption"/>
      </w:pPr>
      <w:bookmarkStart w:id="201" w:name="_Toc21868116"/>
      <w:bookmarkStart w:id="202" w:name="_Toc21868248"/>
      <w:bookmarkStart w:id="203" w:name="_Toc37945695"/>
      <w:r w:rsidRPr="00605125">
        <w:t xml:space="preserve">Table </w:t>
      </w:r>
      <w:r w:rsidR="004A0156">
        <w:rPr>
          <w:noProof/>
        </w:rPr>
        <w:fldChar w:fldCharType="begin"/>
      </w:r>
      <w:r w:rsidR="004A0156">
        <w:rPr>
          <w:noProof/>
        </w:rPr>
        <w:instrText xml:space="preserve"> SEQ Table \* ARABIC </w:instrText>
      </w:r>
      <w:r w:rsidR="004A0156">
        <w:rPr>
          <w:noProof/>
        </w:rPr>
        <w:fldChar w:fldCharType="separate"/>
      </w:r>
      <w:r w:rsidR="00880CB1">
        <w:rPr>
          <w:noProof/>
        </w:rPr>
        <w:t>11</w:t>
      </w:r>
      <w:r w:rsidR="004A0156">
        <w:rPr>
          <w:noProof/>
        </w:rPr>
        <w:fldChar w:fldCharType="end"/>
      </w:r>
      <w:r w:rsidRPr="00605125">
        <w:t xml:space="preserve"> </w:t>
      </w:r>
      <w:r w:rsidR="009E6E7F">
        <w:tab/>
      </w:r>
      <w:r w:rsidR="00C358AC">
        <w:t>Activity</w:t>
      </w:r>
      <w:r w:rsidR="002578E2">
        <w:t xml:space="preserve"> ID</w:t>
      </w:r>
      <w:r w:rsidR="00C358AC">
        <w:t xml:space="preserve"> 2.3 c</w:t>
      </w:r>
      <w:r w:rsidRPr="00605125">
        <w:t xml:space="preserve">ategories </w:t>
      </w:r>
      <w:r>
        <w:t xml:space="preserve">of </w:t>
      </w:r>
      <w:r w:rsidRPr="00605125">
        <w:t>premises</w:t>
      </w:r>
      <w:bookmarkEnd w:id="201"/>
      <w:bookmarkEnd w:id="202"/>
      <w:bookmarkEnd w:id="203"/>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662"/>
      </w:tblGrid>
      <w:tr w:rsidR="006C553E" w:rsidRPr="0072191F" w14:paraId="0D86D7DC" w14:textId="77777777" w:rsidTr="00AB48FF">
        <w:trPr>
          <w:tblHeader/>
        </w:trPr>
        <w:tc>
          <w:tcPr>
            <w:tcW w:w="2689" w:type="dxa"/>
            <w:shd w:val="clear" w:color="auto" w:fill="auto"/>
          </w:tcPr>
          <w:p w14:paraId="41D40165" w14:textId="77777777" w:rsidR="006C553E" w:rsidRPr="0072191F" w:rsidRDefault="006C553E" w:rsidP="00AB48FF">
            <w:pPr>
              <w:pStyle w:val="Tableheader"/>
            </w:pPr>
            <w:r w:rsidRPr="0072191F">
              <w:t>Category</w:t>
            </w:r>
          </w:p>
        </w:tc>
        <w:tc>
          <w:tcPr>
            <w:tcW w:w="6662" w:type="dxa"/>
            <w:shd w:val="clear" w:color="auto" w:fill="auto"/>
          </w:tcPr>
          <w:p w14:paraId="7D465063" w14:textId="77777777" w:rsidR="006C553E" w:rsidRPr="0072191F" w:rsidRDefault="006C553E" w:rsidP="00AB48FF">
            <w:pPr>
              <w:pStyle w:val="Tableheader"/>
            </w:pPr>
            <w:r w:rsidRPr="0072191F">
              <w:t>Description</w:t>
            </w:r>
          </w:p>
        </w:tc>
      </w:tr>
      <w:tr w:rsidR="006C553E" w:rsidRPr="0072191F" w14:paraId="62F0D553" w14:textId="77777777" w:rsidTr="002A7BA8">
        <w:tc>
          <w:tcPr>
            <w:tcW w:w="2689" w:type="dxa"/>
            <w:shd w:val="clear" w:color="auto" w:fill="auto"/>
          </w:tcPr>
          <w:p w14:paraId="0913C9FF" w14:textId="77777777" w:rsidR="006C553E" w:rsidRDefault="006C553E" w:rsidP="00AB48FF">
            <w:pPr>
              <w:pStyle w:val="Tabletext"/>
            </w:pPr>
            <w:r>
              <w:t>Residential Premises</w:t>
            </w:r>
          </w:p>
          <w:p w14:paraId="57390285" w14:textId="77777777" w:rsidR="006C553E" w:rsidRPr="005E75B9" w:rsidRDefault="006C553E" w:rsidP="00D633D3">
            <w:pPr>
              <w:pStyle w:val="Tabletext"/>
              <w:numPr>
                <w:ilvl w:val="0"/>
                <w:numId w:val="159"/>
              </w:numPr>
            </w:pPr>
            <w:r>
              <w:t>Use</w:t>
            </w:r>
            <w:r w:rsidRPr="005E75B9">
              <w:t xml:space="preserve"> table </w:t>
            </w:r>
            <w:r w:rsidR="00946E16">
              <w:t>12</w:t>
            </w:r>
          </w:p>
        </w:tc>
        <w:tc>
          <w:tcPr>
            <w:tcW w:w="6662" w:type="dxa"/>
            <w:shd w:val="clear" w:color="auto" w:fill="auto"/>
          </w:tcPr>
          <w:p w14:paraId="41227BB6" w14:textId="77777777" w:rsidR="006C553E" w:rsidRPr="0072191F" w:rsidRDefault="006C553E" w:rsidP="00AB48FF">
            <w:pPr>
              <w:pStyle w:val="Tabletext"/>
            </w:pPr>
            <w:r>
              <w:t xml:space="preserve">As defined in </w:t>
            </w:r>
            <w:r w:rsidR="00946E16">
              <w:t>section 6</w:t>
            </w:r>
            <w:r>
              <w:t xml:space="preserve"> </w:t>
            </w:r>
            <w:r w:rsidR="00946E16">
              <w:t>–</w:t>
            </w:r>
            <w:r>
              <w:t xml:space="preserve"> Dictionary</w:t>
            </w:r>
          </w:p>
        </w:tc>
      </w:tr>
      <w:tr w:rsidR="006C553E" w:rsidRPr="0072191F" w14:paraId="78A0DBBA" w14:textId="77777777" w:rsidTr="002A7BA8">
        <w:tc>
          <w:tcPr>
            <w:tcW w:w="2689" w:type="dxa"/>
            <w:shd w:val="clear" w:color="auto" w:fill="auto"/>
          </w:tcPr>
          <w:p w14:paraId="4C34B3AF" w14:textId="77777777" w:rsidR="006C553E" w:rsidRDefault="006C553E" w:rsidP="00AB48FF">
            <w:pPr>
              <w:pStyle w:val="Tabletext"/>
            </w:pPr>
            <w:r>
              <w:t>Business Premises</w:t>
            </w:r>
          </w:p>
          <w:p w14:paraId="1CDE14F2" w14:textId="77777777" w:rsidR="006C553E" w:rsidRDefault="006C553E" w:rsidP="00AB48FF">
            <w:pPr>
              <w:pStyle w:val="Tabletext"/>
            </w:pPr>
            <w:r w:rsidRPr="00895D26">
              <w:t xml:space="preserve">Category </w:t>
            </w:r>
            <w:r>
              <w:t>1</w:t>
            </w:r>
          </w:p>
          <w:p w14:paraId="0ED64FA0" w14:textId="77777777" w:rsidR="006C553E" w:rsidRDefault="006C553E" w:rsidP="00AB48FF">
            <w:pPr>
              <w:pStyle w:val="Tabletext"/>
            </w:pPr>
            <w:r w:rsidRPr="00895D26">
              <w:t>(High internal HL)</w:t>
            </w:r>
          </w:p>
          <w:p w14:paraId="4EB95A15" w14:textId="77777777" w:rsidR="006C553E" w:rsidRPr="005E75B9" w:rsidRDefault="006C553E" w:rsidP="00D633D3">
            <w:pPr>
              <w:pStyle w:val="Tabletext"/>
              <w:numPr>
                <w:ilvl w:val="0"/>
                <w:numId w:val="159"/>
              </w:numPr>
            </w:pPr>
            <w:r>
              <w:t>Use</w:t>
            </w:r>
            <w:r w:rsidRPr="00A968F8">
              <w:t xml:space="preserve"> table </w:t>
            </w:r>
            <w:r w:rsidR="00946E16">
              <w:t>13</w:t>
            </w:r>
          </w:p>
        </w:tc>
        <w:tc>
          <w:tcPr>
            <w:tcW w:w="6662" w:type="dxa"/>
            <w:shd w:val="clear" w:color="auto" w:fill="auto"/>
          </w:tcPr>
          <w:p w14:paraId="37C1B0DF" w14:textId="77777777" w:rsidR="006C553E" w:rsidRPr="00312BC1" w:rsidRDefault="006C553E" w:rsidP="00AB48FF">
            <w:pPr>
              <w:pStyle w:val="Tabletext"/>
              <w:rPr>
                <w:i/>
                <w:iCs/>
              </w:rPr>
            </w:pPr>
            <w:r w:rsidRPr="00312BC1">
              <w:rPr>
                <w:i/>
                <w:iCs/>
              </w:rPr>
              <w:t>BCA Class 6</w:t>
            </w:r>
          </w:p>
          <w:p w14:paraId="1CAB1B4D" w14:textId="77777777" w:rsidR="006C553E" w:rsidRDefault="006C553E" w:rsidP="00AB48FF">
            <w:pPr>
              <w:pStyle w:val="Tabletext"/>
            </w:pPr>
            <w:r w:rsidRPr="0072191F">
              <w:t>Food retail sub-set including specifically</w:t>
            </w:r>
            <w:r>
              <w:t>:</w:t>
            </w:r>
            <w:r w:rsidRPr="0072191F">
              <w:t xml:space="preserve"> </w:t>
            </w:r>
          </w:p>
          <w:p w14:paraId="6B432CF7" w14:textId="77777777" w:rsidR="006C553E" w:rsidRPr="0072191F" w:rsidRDefault="00946E16" w:rsidP="00AB48FF">
            <w:pPr>
              <w:pStyle w:val="BulletsEEIS"/>
            </w:pPr>
            <w:r>
              <w:t>r</w:t>
            </w:r>
            <w:r w:rsidR="006C553E" w:rsidRPr="0072191F">
              <w:t>estaurants</w:t>
            </w:r>
          </w:p>
          <w:p w14:paraId="0B20F153" w14:textId="77777777" w:rsidR="006C553E" w:rsidRPr="0072191F" w:rsidRDefault="00946E16" w:rsidP="00AB48FF">
            <w:pPr>
              <w:pStyle w:val="BulletsEEIS"/>
            </w:pPr>
            <w:r>
              <w:t>c</w:t>
            </w:r>
            <w:r w:rsidR="006C553E" w:rsidRPr="0072191F">
              <w:t xml:space="preserve">afes </w:t>
            </w:r>
          </w:p>
          <w:p w14:paraId="09D6BEB8" w14:textId="77777777" w:rsidR="006C553E" w:rsidRPr="0072191F" w:rsidRDefault="00946E16" w:rsidP="00AB48FF">
            <w:pPr>
              <w:pStyle w:val="BulletsEEIS"/>
            </w:pPr>
            <w:r>
              <w:t>f</w:t>
            </w:r>
            <w:r w:rsidR="006C553E" w:rsidRPr="0072191F">
              <w:t>ast food stores</w:t>
            </w:r>
          </w:p>
          <w:p w14:paraId="0E5F49DA" w14:textId="77777777" w:rsidR="006C553E" w:rsidRPr="0072191F" w:rsidRDefault="00946E16" w:rsidP="00AB48FF">
            <w:pPr>
              <w:pStyle w:val="BulletsEEIS"/>
            </w:pPr>
            <w:r>
              <w:t>b</w:t>
            </w:r>
            <w:r w:rsidR="006C553E" w:rsidRPr="0072191F">
              <w:t>akeries</w:t>
            </w:r>
          </w:p>
        </w:tc>
      </w:tr>
      <w:tr w:rsidR="006C553E" w:rsidRPr="0072191F" w14:paraId="3C93E3F1" w14:textId="77777777" w:rsidTr="002A7BA8">
        <w:tc>
          <w:tcPr>
            <w:tcW w:w="2689" w:type="dxa"/>
            <w:shd w:val="clear" w:color="auto" w:fill="auto"/>
          </w:tcPr>
          <w:p w14:paraId="4E1A5CDD" w14:textId="77777777" w:rsidR="006C553E" w:rsidRDefault="006C553E" w:rsidP="00AB48FF">
            <w:pPr>
              <w:pStyle w:val="Tabletext"/>
            </w:pPr>
            <w:r>
              <w:t>Business Premises</w:t>
            </w:r>
          </w:p>
          <w:p w14:paraId="64697282" w14:textId="77777777" w:rsidR="006C553E" w:rsidRDefault="006C553E" w:rsidP="00AB48FF">
            <w:pPr>
              <w:pStyle w:val="Tabletext"/>
            </w:pPr>
            <w:r w:rsidRPr="00895D26">
              <w:t>Category 2</w:t>
            </w:r>
          </w:p>
          <w:p w14:paraId="3C5AD878" w14:textId="77777777" w:rsidR="006C553E" w:rsidRDefault="006C553E" w:rsidP="00AB48FF">
            <w:pPr>
              <w:pStyle w:val="Tabletext"/>
            </w:pPr>
            <w:r w:rsidRPr="00895D26">
              <w:t>(Low internal HL)</w:t>
            </w:r>
          </w:p>
          <w:p w14:paraId="042F3503" w14:textId="77777777" w:rsidR="006C553E" w:rsidRPr="0072191F" w:rsidRDefault="006C553E" w:rsidP="00D633D3">
            <w:pPr>
              <w:pStyle w:val="Tabletext"/>
              <w:numPr>
                <w:ilvl w:val="0"/>
                <w:numId w:val="159"/>
              </w:numPr>
              <w:rPr>
                <w:b/>
                <w:color w:val="000000"/>
                <w:sz w:val="22"/>
                <w:szCs w:val="22"/>
              </w:rPr>
            </w:pPr>
            <w:r>
              <w:t>Use</w:t>
            </w:r>
            <w:r w:rsidRPr="00A968F8">
              <w:t xml:space="preserve"> table </w:t>
            </w:r>
            <w:r w:rsidR="00946E16">
              <w:t>14</w:t>
            </w:r>
          </w:p>
        </w:tc>
        <w:tc>
          <w:tcPr>
            <w:tcW w:w="6662" w:type="dxa"/>
            <w:shd w:val="clear" w:color="auto" w:fill="auto"/>
          </w:tcPr>
          <w:p w14:paraId="22115729" w14:textId="77777777" w:rsidR="006C553E" w:rsidRPr="00312BC1" w:rsidRDefault="006C553E" w:rsidP="00AB48FF">
            <w:pPr>
              <w:pStyle w:val="Tabletext"/>
              <w:rPr>
                <w:i/>
                <w:iCs/>
                <w:color w:val="000000"/>
              </w:rPr>
            </w:pPr>
            <w:r w:rsidRPr="00312BC1">
              <w:rPr>
                <w:i/>
                <w:iCs/>
                <w:color w:val="000000"/>
              </w:rPr>
              <w:t>BCA Class 5</w:t>
            </w:r>
          </w:p>
          <w:p w14:paraId="0E4973AC" w14:textId="77777777" w:rsidR="006C553E" w:rsidRPr="0072191F" w:rsidRDefault="006C553E" w:rsidP="00AB48FF">
            <w:pPr>
              <w:pStyle w:val="Tabletext"/>
              <w:rPr>
                <w:color w:val="000000"/>
              </w:rPr>
            </w:pPr>
            <w:r w:rsidRPr="0072191F">
              <w:rPr>
                <w:color w:val="000000"/>
              </w:rPr>
              <w:t xml:space="preserve">Office based businesses </w:t>
            </w:r>
          </w:p>
          <w:p w14:paraId="32E754AB" w14:textId="77777777" w:rsidR="006C553E" w:rsidRPr="00312BC1" w:rsidRDefault="006C553E" w:rsidP="00AB48FF">
            <w:pPr>
              <w:pStyle w:val="Tabletext"/>
              <w:rPr>
                <w:i/>
                <w:iCs/>
                <w:color w:val="000000"/>
              </w:rPr>
            </w:pPr>
            <w:r w:rsidRPr="00312BC1">
              <w:rPr>
                <w:i/>
                <w:iCs/>
                <w:color w:val="000000"/>
              </w:rPr>
              <w:t>BCA Class 6</w:t>
            </w:r>
          </w:p>
          <w:p w14:paraId="6FA7ED06" w14:textId="77777777" w:rsidR="006C553E" w:rsidRPr="0072191F" w:rsidRDefault="006C553E" w:rsidP="00AB48FF">
            <w:pPr>
              <w:pStyle w:val="Tabletext"/>
              <w:rPr>
                <w:color w:val="000000"/>
              </w:rPr>
            </w:pPr>
            <w:r>
              <w:rPr>
                <w:color w:val="000000"/>
              </w:rPr>
              <w:t>A</w:t>
            </w:r>
            <w:r w:rsidRPr="0072191F">
              <w:rPr>
                <w:color w:val="000000"/>
              </w:rPr>
              <w:t>ll food retail is eligible except restaurants, cafes, fast food restaurants</w:t>
            </w:r>
            <w:r w:rsidR="00276A95">
              <w:rPr>
                <w:color w:val="000000"/>
              </w:rPr>
              <w:t xml:space="preserve"> and </w:t>
            </w:r>
            <w:r w:rsidRPr="0072191F">
              <w:rPr>
                <w:color w:val="000000"/>
              </w:rPr>
              <w:t>bakeries</w:t>
            </w:r>
          </w:p>
          <w:p w14:paraId="183CF545" w14:textId="77777777" w:rsidR="006C553E" w:rsidRPr="00312BC1" w:rsidRDefault="006C553E" w:rsidP="00AB48FF">
            <w:pPr>
              <w:pStyle w:val="Tabletext"/>
              <w:rPr>
                <w:i/>
                <w:iCs/>
                <w:color w:val="000000"/>
              </w:rPr>
            </w:pPr>
            <w:r w:rsidRPr="00312BC1">
              <w:rPr>
                <w:i/>
                <w:iCs/>
                <w:color w:val="000000"/>
              </w:rPr>
              <w:t>BCA Class 7</w:t>
            </w:r>
          </w:p>
          <w:p w14:paraId="759A15BB" w14:textId="77777777" w:rsidR="006C553E" w:rsidRPr="0072191F" w:rsidRDefault="006C553E" w:rsidP="00AB48FF">
            <w:pPr>
              <w:pStyle w:val="Tabletext"/>
              <w:rPr>
                <w:color w:val="000000"/>
              </w:rPr>
            </w:pPr>
            <w:r w:rsidRPr="0072191F">
              <w:rPr>
                <w:color w:val="000000"/>
              </w:rPr>
              <w:lastRenderedPageBreak/>
              <w:t>Wholesale outlets and warehousing businesses</w:t>
            </w:r>
          </w:p>
          <w:p w14:paraId="33409395" w14:textId="77777777" w:rsidR="006C553E" w:rsidRPr="00312BC1" w:rsidRDefault="006C553E" w:rsidP="00AB48FF">
            <w:pPr>
              <w:pStyle w:val="Tabletext"/>
              <w:rPr>
                <w:i/>
                <w:iCs/>
                <w:color w:val="000000"/>
              </w:rPr>
            </w:pPr>
            <w:r w:rsidRPr="00312BC1">
              <w:rPr>
                <w:i/>
                <w:iCs/>
                <w:color w:val="000000"/>
              </w:rPr>
              <w:t>BCA Class 8</w:t>
            </w:r>
          </w:p>
          <w:p w14:paraId="4F6A7D4A" w14:textId="77777777" w:rsidR="006C553E" w:rsidRPr="0072191F" w:rsidRDefault="006C553E" w:rsidP="00AB48FF">
            <w:pPr>
              <w:pStyle w:val="Tabletext"/>
              <w:rPr>
                <w:color w:val="000000"/>
              </w:rPr>
            </w:pPr>
            <w:r w:rsidRPr="0072191F">
              <w:rPr>
                <w:color w:val="000000"/>
              </w:rPr>
              <w:t>Manufacturing premises</w:t>
            </w:r>
          </w:p>
          <w:p w14:paraId="435568A2" w14:textId="77777777" w:rsidR="006C553E" w:rsidRPr="00312BC1" w:rsidRDefault="006C553E" w:rsidP="00AB48FF">
            <w:pPr>
              <w:pStyle w:val="Tabletext"/>
              <w:rPr>
                <w:i/>
                <w:iCs/>
                <w:color w:val="000000"/>
              </w:rPr>
            </w:pPr>
            <w:r w:rsidRPr="00312BC1">
              <w:rPr>
                <w:i/>
                <w:iCs/>
                <w:color w:val="000000"/>
              </w:rPr>
              <w:t>BCA Class 9a</w:t>
            </w:r>
          </w:p>
          <w:p w14:paraId="3E9BE625" w14:textId="77777777" w:rsidR="006C553E" w:rsidRPr="0072191F" w:rsidRDefault="006C553E" w:rsidP="00AB48FF">
            <w:pPr>
              <w:pStyle w:val="Tabletext"/>
              <w:rPr>
                <w:color w:val="000000"/>
              </w:rPr>
            </w:pPr>
            <w:r w:rsidRPr="0072191F">
              <w:rPr>
                <w:color w:val="000000"/>
              </w:rPr>
              <w:t xml:space="preserve">Health </w:t>
            </w:r>
            <w:r w:rsidR="00946E16">
              <w:rPr>
                <w:color w:val="000000"/>
              </w:rPr>
              <w:t>c</w:t>
            </w:r>
            <w:r w:rsidRPr="0072191F">
              <w:rPr>
                <w:color w:val="000000"/>
              </w:rPr>
              <w:t xml:space="preserve">are building based professional services </w:t>
            </w:r>
          </w:p>
          <w:p w14:paraId="7DD8E45E" w14:textId="77777777" w:rsidR="006C553E" w:rsidRPr="00312BC1" w:rsidRDefault="006C553E" w:rsidP="00AB48FF">
            <w:pPr>
              <w:pStyle w:val="Tabletext"/>
              <w:rPr>
                <w:i/>
                <w:iCs/>
                <w:color w:val="000000"/>
              </w:rPr>
            </w:pPr>
            <w:r w:rsidRPr="00312BC1">
              <w:rPr>
                <w:i/>
                <w:iCs/>
                <w:color w:val="000000"/>
              </w:rPr>
              <w:t xml:space="preserve">BCA </w:t>
            </w:r>
            <w:r w:rsidR="00946E16" w:rsidRPr="00312BC1">
              <w:rPr>
                <w:i/>
                <w:iCs/>
                <w:color w:val="000000"/>
              </w:rPr>
              <w:t xml:space="preserve">Class </w:t>
            </w:r>
            <w:r w:rsidRPr="00312BC1">
              <w:rPr>
                <w:i/>
                <w:iCs/>
                <w:color w:val="000000"/>
              </w:rPr>
              <w:t>9b</w:t>
            </w:r>
          </w:p>
          <w:p w14:paraId="04BDDC91" w14:textId="77777777" w:rsidR="006C553E" w:rsidRPr="0072191F" w:rsidRDefault="006C553E" w:rsidP="00AB48FF">
            <w:pPr>
              <w:pStyle w:val="Tabletext"/>
              <w:rPr>
                <w:color w:val="000000"/>
              </w:rPr>
            </w:pPr>
            <w:r w:rsidRPr="0072191F">
              <w:rPr>
                <w:color w:val="000000"/>
              </w:rPr>
              <w:t xml:space="preserve">Auditoriums, churches, public halls and any assembly buildings used by </w:t>
            </w:r>
            <w:r w:rsidR="00946E16">
              <w:rPr>
                <w:color w:val="000000"/>
              </w:rPr>
              <w:t>n</w:t>
            </w:r>
            <w:r w:rsidRPr="0072191F">
              <w:rPr>
                <w:color w:val="000000"/>
              </w:rPr>
              <w:t>ot</w:t>
            </w:r>
            <w:r w:rsidR="00946E16">
              <w:rPr>
                <w:color w:val="000000"/>
              </w:rPr>
              <w:t>-</w:t>
            </w:r>
            <w:r w:rsidRPr="0072191F">
              <w:rPr>
                <w:color w:val="000000"/>
              </w:rPr>
              <w:t>for</w:t>
            </w:r>
            <w:r w:rsidR="00946E16">
              <w:rPr>
                <w:color w:val="000000"/>
              </w:rPr>
              <w:t>-</w:t>
            </w:r>
            <w:r w:rsidRPr="0072191F">
              <w:rPr>
                <w:color w:val="000000"/>
              </w:rPr>
              <w:t>profits/</w:t>
            </w:r>
            <w:r w:rsidR="00946E16">
              <w:rPr>
                <w:color w:val="000000"/>
              </w:rPr>
              <w:t>c</w:t>
            </w:r>
            <w:r w:rsidRPr="0072191F">
              <w:rPr>
                <w:color w:val="000000"/>
              </w:rPr>
              <w:t xml:space="preserve">ommunity </w:t>
            </w:r>
            <w:r w:rsidR="00946E16">
              <w:rPr>
                <w:color w:val="000000"/>
              </w:rPr>
              <w:t>g</w:t>
            </w:r>
            <w:r w:rsidRPr="0072191F">
              <w:rPr>
                <w:color w:val="000000"/>
              </w:rPr>
              <w:t>roups</w:t>
            </w:r>
          </w:p>
          <w:p w14:paraId="02C3683E" w14:textId="77777777" w:rsidR="006C553E" w:rsidRPr="00312BC1" w:rsidRDefault="006C553E" w:rsidP="00AB48FF">
            <w:pPr>
              <w:pStyle w:val="Tabletext"/>
              <w:rPr>
                <w:i/>
                <w:iCs/>
                <w:color w:val="000000"/>
              </w:rPr>
            </w:pPr>
            <w:r w:rsidRPr="00312BC1">
              <w:rPr>
                <w:i/>
                <w:iCs/>
                <w:color w:val="000000"/>
              </w:rPr>
              <w:t>BCA Class 9c</w:t>
            </w:r>
          </w:p>
          <w:p w14:paraId="1D82C387" w14:textId="77777777" w:rsidR="006C553E" w:rsidRPr="0072191F" w:rsidRDefault="006C553E" w:rsidP="00AB48FF">
            <w:pPr>
              <w:pStyle w:val="Tabletext"/>
              <w:rPr>
                <w:b/>
                <w:color w:val="000000"/>
              </w:rPr>
            </w:pPr>
            <w:r w:rsidRPr="0072191F">
              <w:rPr>
                <w:color w:val="000000"/>
              </w:rPr>
              <w:t xml:space="preserve">Aged </w:t>
            </w:r>
            <w:r w:rsidR="00946E16">
              <w:rPr>
                <w:color w:val="000000"/>
              </w:rPr>
              <w:t>c</w:t>
            </w:r>
            <w:r w:rsidRPr="0072191F">
              <w:rPr>
                <w:color w:val="000000"/>
              </w:rPr>
              <w:t>are</w:t>
            </w:r>
          </w:p>
        </w:tc>
      </w:tr>
      <w:tr w:rsidR="006C553E" w:rsidRPr="0072191F" w14:paraId="2044FA63" w14:textId="77777777" w:rsidTr="002A7BA8">
        <w:tc>
          <w:tcPr>
            <w:tcW w:w="2689" w:type="dxa"/>
            <w:shd w:val="clear" w:color="auto" w:fill="auto"/>
          </w:tcPr>
          <w:p w14:paraId="109C737D" w14:textId="77777777" w:rsidR="006C553E" w:rsidRDefault="006C553E" w:rsidP="00AB48FF">
            <w:pPr>
              <w:pStyle w:val="Tabletext"/>
            </w:pPr>
            <w:r>
              <w:lastRenderedPageBreak/>
              <w:t>Business Premises</w:t>
            </w:r>
          </w:p>
          <w:p w14:paraId="5D073B34" w14:textId="77777777" w:rsidR="006C553E" w:rsidRDefault="006C553E" w:rsidP="00AB48FF">
            <w:pPr>
              <w:pStyle w:val="Tabletext"/>
            </w:pPr>
            <w:r w:rsidRPr="00895D26">
              <w:t>Category 3</w:t>
            </w:r>
          </w:p>
          <w:p w14:paraId="79772DF4" w14:textId="77777777" w:rsidR="006C553E" w:rsidRDefault="006C553E" w:rsidP="00AB48FF">
            <w:pPr>
              <w:pStyle w:val="Tabletext"/>
            </w:pPr>
            <w:r w:rsidRPr="00895D26">
              <w:t>(Other)</w:t>
            </w:r>
          </w:p>
          <w:p w14:paraId="6C2AD157" w14:textId="77777777" w:rsidR="006C553E" w:rsidRPr="0072191F" w:rsidRDefault="006C553E" w:rsidP="00D633D3">
            <w:pPr>
              <w:pStyle w:val="Tabletext"/>
              <w:numPr>
                <w:ilvl w:val="0"/>
                <w:numId w:val="159"/>
              </w:numPr>
              <w:rPr>
                <w:b/>
                <w:color w:val="000000"/>
                <w:sz w:val="22"/>
                <w:szCs w:val="22"/>
              </w:rPr>
            </w:pPr>
            <w:r>
              <w:t>Use</w:t>
            </w:r>
            <w:r w:rsidRPr="00A968F8">
              <w:t xml:space="preserve"> table </w:t>
            </w:r>
            <w:r w:rsidR="00946E16">
              <w:t>14</w:t>
            </w:r>
          </w:p>
        </w:tc>
        <w:tc>
          <w:tcPr>
            <w:tcW w:w="6662" w:type="dxa"/>
            <w:shd w:val="clear" w:color="auto" w:fill="auto"/>
          </w:tcPr>
          <w:p w14:paraId="41ADDF6E" w14:textId="77777777" w:rsidR="006C553E" w:rsidRPr="00D85178" w:rsidRDefault="006C553E" w:rsidP="00AB48FF">
            <w:pPr>
              <w:pStyle w:val="Tabletext"/>
            </w:pPr>
            <w:r w:rsidRPr="0072191F">
              <w:t>Any other business premises not included in category 1 or 2</w:t>
            </w:r>
          </w:p>
          <w:p w14:paraId="46615D4C" w14:textId="77777777" w:rsidR="006C553E" w:rsidRPr="0072191F" w:rsidRDefault="006C553E" w:rsidP="00AB48FF">
            <w:pPr>
              <w:pStyle w:val="Tabletext"/>
              <w:rPr>
                <w:b/>
                <w:color w:val="000000"/>
                <w:sz w:val="22"/>
                <w:szCs w:val="22"/>
              </w:rPr>
            </w:pPr>
            <w:r w:rsidRPr="0072191F">
              <w:t>Businesses which have a combination of both high internal and low internal HL commercial spaces</w:t>
            </w:r>
          </w:p>
        </w:tc>
      </w:tr>
    </w:tbl>
    <w:p w14:paraId="11467046" w14:textId="77777777" w:rsidR="006C553E" w:rsidRPr="006C553E" w:rsidRDefault="006C553E" w:rsidP="00AB48FF">
      <w:pPr>
        <w:pStyle w:val="Caption"/>
      </w:pPr>
      <w:bookmarkStart w:id="204" w:name="_Toc37945696"/>
      <w:bookmarkStart w:id="205" w:name="_Toc21868117"/>
      <w:bookmarkStart w:id="206" w:name="_Toc21868249"/>
      <w:r w:rsidRPr="006C553E">
        <w:t xml:space="preserve">Table </w:t>
      </w:r>
      <w:r w:rsidR="004A0156">
        <w:rPr>
          <w:noProof/>
        </w:rPr>
        <w:fldChar w:fldCharType="begin"/>
      </w:r>
      <w:r w:rsidR="004A0156">
        <w:rPr>
          <w:noProof/>
        </w:rPr>
        <w:instrText xml:space="preserve"> SEQ Table \* ARABIC </w:instrText>
      </w:r>
      <w:r w:rsidR="004A0156">
        <w:rPr>
          <w:noProof/>
        </w:rPr>
        <w:fldChar w:fldCharType="separate"/>
      </w:r>
      <w:r w:rsidR="00880CB1">
        <w:rPr>
          <w:noProof/>
        </w:rPr>
        <w:t>12</w:t>
      </w:r>
      <w:r w:rsidR="004A0156">
        <w:rPr>
          <w:noProof/>
        </w:rPr>
        <w:fldChar w:fldCharType="end"/>
      </w:r>
      <w:r w:rsidRPr="006C553E">
        <w:t xml:space="preserve"> </w:t>
      </w:r>
      <w:r w:rsidR="009E6E7F">
        <w:tab/>
      </w:r>
      <w:r w:rsidR="00C358AC">
        <w:t xml:space="preserve">Activity </w:t>
      </w:r>
      <w:r w:rsidR="00CC5BCC">
        <w:t xml:space="preserve">ID </w:t>
      </w:r>
      <w:r w:rsidR="00C358AC">
        <w:t>2.3(a) r</w:t>
      </w:r>
      <w:r w:rsidRPr="006C553E">
        <w:t xml:space="preserve">esidential </w:t>
      </w:r>
      <w:r w:rsidR="00946E16">
        <w:t>p</w:t>
      </w:r>
      <w:r w:rsidRPr="006C553E">
        <w:t>remises</w:t>
      </w:r>
      <w:bookmarkEnd w:id="204"/>
      <w:r w:rsidR="00946E16">
        <w:t xml:space="preserve"> </w:t>
      </w:r>
      <w:bookmarkEnd w:id="205"/>
      <w:bookmarkEnd w:id="206"/>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2667"/>
        <w:gridCol w:w="1258"/>
        <w:gridCol w:w="1715"/>
        <w:gridCol w:w="1588"/>
      </w:tblGrid>
      <w:tr w:rsidR="006C553E" w:rsidRPr="00DA61EB" w14:paraId="4F73555F" w14:textId="77777777" w:rsidTr="0064760C">
        <w:trPr>
          <w:tblHeader/>
        </w:trPr>
        <w:tc>
          <w:tcPr>
            <w:tcW w:w="2123" w:type="dxa"/>
            <w:tcBorders>
              <w:bottom w:val="double" w:sz="4" w:space="0" w:color="auto"/>
            </w:tcBorders>
          </w:tcPr>
          <w:p w14:paraId="564DEBC5" w14:textId="77777777" w:rsidR="006C553E" w:rsidRDefault="006C553E" w:rsidP="00AB48FF">
            <w:pPr>
              <w:pStyle w:val="Tableheader"/>
            </w:pPr>
            <w:r w:rsidRPr="00DA61EB">
              <w:t>Existing Heater Type</w:t>
            </w:r>
          </w:p>
          <w:p w14:paraId="065AC334" w14:textId="77777777" w:rsidR="006C553E" w:rsidRPr="00395FE1" w:rsidRDefault="006C553E" w:rsidP="00AB48FF">
            <w:pPr>
              <w:pStyle w:val="Tableheader"/>
            </w:pPr>
          </w:p>
        </w:tc>
        <w:tc>
          <w:tcPr>
            <w:tcW w:w="2667" w:type="dxa"/>
            <w:tcBorders>
              <w:bottom w:val="double" w:sz="4" w:space="0" w:color="auto"/>
            </w:tcBorders>
          </w:tcPr>
          <w:p w14:paraId="62FF652D" w14:textId="77777777" w:rsidR="006C553E" w:rsidRPr="00DA61EB" w:rsidRDefault="006C553E" w:rsidP="00AB48FF">
            <w:pPr>
              <w:pStyle w:val="Tableheader"/>
            </w:pPr>
            <w:r w:rsidRPr="00DA61EB">
              <w:t>New Product Type</w:t>
            </w:r>
          </w:p>
        </w:tc>
        <w:tc>
          <w:tcPr>
            <w:tcW w:w="1258" w:type="dxa"/>
            <w:tcBorders>
              <w:bottom w:val="double" w:sz="4" w:space="0" w:color="auto"/>
            </w:tcBorders>
          </w:tcPr>
          <w:p w14:paraId="7AD94D87" w14:textId="77777777" w:rsidR="006C553E" w:rsidRPr="00DA61EB" w:rsidRDefault="006C553E" w:rsidP="00AB48FF">
            <w:pPr>
              <w:pStyle w:val="Tableheader"/>
            </w:pPr>
            <w:r w:rsidRPr="00DA61EB">
              <w:t>Base Efficiency (</w:t>
            </w:r>
            <w:r w:rsidRPr="00DA61EB">
              <w:rPr>
                <w:i/>
              </w:rPr>
              <w:t>Baseline</w:t>
            </w:r>
            <w:r w:rsidRPr="00DA61EB">
              <w:t>)</w:t>
            </w:r>
            <w:r w:rsidRPr="00DA61EB">
              <w:br/>
              <w:t>ACOP</w:t>
            </w:r>
          </w:p>
        </w:tc>
        <w:tc>
          <w:tcPr>
            <w:tcW w:w="1715" w:type="dxa"/>
            <w:tcBorders>
              <w:bottom w:val="double" w:sz="4" w:space="0" w:color="auto"/>
            </w:tcBorders>
          </w:tcPr>
          <w:p w14:paraId="7D80409B" w14:textId="588725A1" w:rsidR="006C553E" w:rsidRPr="00DA61EB" w:rsidRDefault="006C553E" w:rsidP="00AB48FF">
            <w:pPr>
              <w:pStyle w:val="Tableheader"/>
            </w:pPr>
            <w:r w:rsidRPr="00DA61EB">
              <w:t xml:space="preserve">Fixed </w:t>
            </w:r>
            <w:r w:rsidR="00D565C1">
              <w:t>Energy</w:t>
            </w:r>
            <w:r w:rsidRPr="00DA61EB">
              <w:t xml:space="preserve"> Savings (</w:t>
            </w:r>
            <w:r w:rsidR="00D565C1">
              <w:t>ESF</w:t>
            </w:r>
            <w:r w:rsidRPr="00DA61EB">
              <w:rPr>
                <w:vertAlign w:val="subscript"/>
              </w:rPr>
              <w:t>fixed</w:t>
            </w:r>
            <w:r w:rsidRPr="00DA61EB">
              <w:t xml:space="preserve">) </w:t>
            </w:r>
            <w:r w:rsidRPr="00DA61EB">
              <w:br/>
            </w:r>
            <w:r w:rsidR="00D565C1" w:rsidRPr="0064760C">
              <w:t>MWh</w:t>
            </w:r>
          </w:p>
        </w:tc>
        <w:tc>
          <w:tcPr>
            <w:tcW w:w="1588" w:type="dxa"/>
            <w:tcBorders>
              <w:bottom w:val="double" w:sz="4" w:space="0" w:color="auto"/>
            </w:tcBorders>
          </w:tcPr>
          <w:p w14:paraId="3C3B7138" w14:textId="028822EC" w:rsidR="006C553E" w:rsidRPr="00DA61EB" w:rsidRDefault="006C553E" w:rsidP="00AB48FF">
            <w:pPr>
              <w:pStyle w:val="Tableheader"/>
            </w:pPr>
            <w:r w:rsidRPr="00DA61EB">
              <w:t>Variable</w:t>
            </w:r>
            <w:r w:rsidR="00D565C1">
              <w:t xml:space="preserve"> Energy</w:t>
            </w:r>
            <w:r w:rsidRPr="00DA61EB">
              <w:t xml:space="preserve"> Savings (</w:t>
            </w:r>
            <w:r w:rsidR="00D565C1">
              <w:t>ESF</w:t>
            </w:r>
            <w:r w:rsidRPr="00DA61EB">
              <w:rPr>
                <w:vertAlign w:val="subscript"/>
              </w:rPr>
              <w:t>var</w:t>
            </w:r>
            <w:r w:rsidRPr="00DA61EB">
              <w:t>)</w:t>
            </w:r>
            <w:r w:rsidRPr="00DA61EB">
              <w:br/>
            </w:r>
            <w:r w:rsidR="00D565C1" w:rsidRPr="0064760C">
              <w:t>MWh</w:t>
            </w:r>
            <w:r w:rsidRPr="00DA61EB">
              <w:t>/kW</w:t>
            </w:r>
          </w:p>
        </w:tc>
      </w:tr>
      <w:tr w:rsidR="00E725D2" w:rsidRPr="00DA61EB" w14:paraId="019CA4D9" w14:textId="77777777" w:rsidTr="0064760C">
        <w:tc>
          <w:tcPr>
            <w:tcW w:w="2123" w:type="dxa"/>
            <w:tcBorders>
              <w:top w:val="double" w:sz="4" w:space="0" w:color="auto"/>
              <w:bottom w:val="double" w:sz="4" w:space="0" w:color="auto"/>
            </w:tcBorders>
          </w:tcPr>
          <w:p w14:paraId="169F0A29" w14:textId="77777777" w:rsidR="00E725D2" w:rsidRPr="00E4619A" w:rsidRDefault="00E725D2" w:rsidP="00E725D2">
            <w:pPr>
              <w:pStyle w:val="Tabletext"/>
              <w:numPr>
                <w:ilvl w:val="0"/>
                <w:numId w:val="176"/>
              </w:numPr>
              <w:ind w:left="284" w:hanging="284"/>
            </w:pPr>
            <w:r w:rsidRPr="00E4619A">
              <w:t>Qualifying fixed electric resistance</w:t>
            </w:r>
          </w:p>
        </w:tc>
        <w:tc>
          <w:tcPr>
            <w:tcW w:w="2667" w:type="dxa"/>
            <w:tcBorders>
              <w:top w:val="double" w:sz="4" w:space="0" w:color="auto"/>
              <w:bottom w:val="single" w:sz="4" w:space="0" w:color="auto"/>
            </w:tcBorders>
          </w:tcPr>
          <w:p w14:paraId="6E5588E7" w14:textId="77777777" w:rsidR="00E725D2" w:rsidRPr="00E4619A" w:rsidRDefault="00E725D2" w:rsidP="00E725D2">
            <w:pPr>
              <w:pStyle w:val="Tabletext"/>
              <w:numPr>
                <w:ilvl w:val="0"/>
                <w:numId w:val="177"/>
              </w:numPr>
              <w:ind w:left="288" w:hanging="284"/>
            </w:pPr>
            <w:r w:rsidRPr="003D678B">
              <w:t>High efficiency room heat pump or central non-ducted heat pump</w:t>
            </w:r>
          </w:p>
        </w:tc>
        <w:tc>
          <w:tcPr>
            <w:tcW w:w="1258" w:type="dxa"/>
            <w:tcBorders>
              <w:top w:val="double" w:sz="4" w:space="0" w:color="auto"/>
              <w:bottom w:val="single" w:sz="4" w:space="0" w:color="auto"/>
            </w:tcBorders>
          </w:tcPr>
          <w:p w14:paraId="62720718" w14:textId="77777777" w:rsidR="00E725D2" w:rsidRPr="00DA61EB" w:rsidRDefault="00E725D2" w:rsidP="00E725D2">
            <w:pPr>
              <w:pStyle w:val="Tabletext"/>
              <w:jc w:val="center"/>
            </w:pPr>
            <w:r w:rsidRPr="00DA61EB">
              <w:t>3.7</w:t>
            </w:r>
          </w:p>
        </w:tc>
        <w:tc>
          <w:tcPr>
            <w:tcW w:w="1715" w:type="dxa"/>
            <w:tcBorders>
              <w:top w:val="double" w:sz="4" w:space="0" w:color="auto"/>
              <w:bottom w:val="single" w:sz="4" w:space="0" w:color="auto"/>
            </w:tcBorders>
          </w:tcPr>
          <w:p w14:paraId="4B870340" w14:textId="3BB0709B" w:rsidR="00E725D2" w:rsidRPr="00DA61EB" w:rsidRDefault="00E725D2" w:rsidP="00E725D2">
            <w:pPr>
              <w:pStyle w:val="Tabletext"/>
              <w:jc w:val="center"/>
            </w:pPr>
            <w:r>
              <w:rPr>
                <w:rFonts w:ascii="Calibri" w:hAnsi="Calibri" w:cs="Calibri"/>
                <w:color w:val="000000"/>
                <w:sz w:val="22"/>
                <w:szCs w:val="22"/>
              </w:rPr>
              <w:t>8.456</w:t>
            </w:r>
          </w:p>
        </w:tc>
        <w:tc>
          <w:tcPr>
            <w:tcW w:w="1588" w:type="dxa"/>
            <w:tcBorders>
              <w:top w:val="double" w:sz="4" w:space="0" w:color="auto"/>
              <w:bottom w:val="single" w:sz="4" w:space="0" w:color="auto"/>
            </w:tcBorders>
          </w:tcPr>
          <w:p w14:paraId="15949ECC" w14:textId="7ADCBEFA" w:rsidR="00E725D2" w:rsidRPr="00DA61EB" w:rsidRDefault="00E725D2" w:rsidP="00E725D2">
            <w:pPr>
              <w:pStyle w:val="Tabletext"/>
              <w:jc w:val="center"/>
            </w:pPr>
            <w:r w:rsidRPr="0064760C">
              <w:t>0.913</w:t>
            </w:r>
          </w:p>
        </w:tc>
      </w:tr>
      <w:tr w:rsidR="00E725D2" w:rsidRPr="00DA61EB" w14:paraId="74A7154F" w14:textId="77777777" w:rsidTr="0064760C">
        <w:tc>
          <w:tcPr>
            <w:tcW w:w="2123" w:type="dxa"/>
            <w:tcBorders>
              <w:top w:val="double" w:sz="4" w:space="0" w:color="auto"/>
            </w:tcBorders>
          </w:tcPr>
          <w:p w14:paraId="716CB6CD" w14:textId="77777777" w:rsidR="00E725D2" w:rsidRPr="00DA61EB" w:rsidRDefault="00E725D2" w:rsidP="00E725D2">
            <w:pPr>
              <w:pStyle w:val="Tabletext"/>
              <w:numPr>
                <w:ilvl w:val="0"/>
                <w:numId w:val="176"/>
              </w:numPr>
              <w:ind w:left="284" w:hanging="284"/>
            </w:pPr>
            <w:r>
              <w:t>Q</w:t>
            </w:r>
            <w:r w:rsidRPr="00DA61EB">
              <w:t>ualifying fixed gas heater</w:t>
            </w:r>
          </w:p>
        </w:tc>
        <w:tc>
          <w:tcPr>
            <w:tcW w:w="2667" w:type="dxa"/>
            <w:tcBorders>
              <w:top w:val="double" w:sz="4" w:space="0" w:color="auto"/>
            </w:tcBorders>
          </w:tcPr>
          <w:p w14:paraId="72ADC97C" w14:textId="77777777" w:rsidR="00E725D2" w:rsidRPr="00C02A93" w:rsidRDefault="00E725D2" w:rsidP="00E725D2">
            <w:pPr>
              <w:pStyle w:val="Tabletext"/>
              <w:numPr>
                <w:ilvl w:val="0"/>
                <w:numId w:val="178"/>
              </w:numPr>
              <w:ind w:left="288" w:hanging="284"/>
            </w:pPr>
            <w:r w:rsidRPr="003D678B">
              <w:t>High efficiency room heat pump or central non-ducted heat pump</w:t>
            </w:r>
          </w:p>
        </w:tc>
        <w:tc>
          <w:tcPr>
            <w:tcW w:w="1258" w:type="dxa"/>
            <w:tcBorders>
              <w:top w:val="double" w:sz="4" w:space="0" w:color="auto"/>
            </w:tcBorders>
          </w:tcPr>
          <w:p w14:paraId="10179EE6" w14:textId="77777777" w:rsidR="00E725D2" w:rsidRPr="00DA61EB" w:rsidRDefault="00E725D2" w:rsidP="00E725D2">
            <w:pPr>
              <w:pStyle w:val="Tabletext"/>
              <w:jc w:val="center"/>
            </w:pPr>
            <w:r w:rsidRPr="00DA61EB">
              <w:t>3.7</w:t>
            </w:r>
          </w:p>
        </w:tc>
        <w:tc>
          <w:tcPr>
            <w:tcW w:w="1715" w:type="dxa"/>
            <w:tcBorders>
              <w:top w:val="double" w:sz="4" w:space="0" w:color="auto"/>
            </w:tcBorders>
          </w:tcPr>
          <w:p w14:paraId="753792FA" w14:textId="01977768" w:rsidR="00E725D2" w:rsidRPr="00DA61EB" w:rsidRDefault="00E725D2" w:rsidP="00E725D2">
            <w:pPr>
              <w:pStyle w:val="Tabletext"/>
              <w:jc w:val="center"/>
            </w:pPr>
            <w:r>
              <w:rPr>
                <w:rFonts w:ascii="Calibri" w:hAnsi="Calibri" w:cs="Calibri"/>
                <w:color w:val="000000"/>
                <w:sz w:val="22"/>
                <w:szCs w:val="22"/>
              </w:rPr>
              <w:t>12.482</w:t>
            </w:r>
          </w:p>
        </w:tc>
        <w:tc>
          <w:tcPr>
            <w:tcW w:w="1588" w:type="dxa"/>
            <w:tcBorders>
              <w:top w:val="double" w:sz="4" w:space="0" w:color="auto"/>
            </w:tcBorders>
          </w:tcPr>
          <w:p w14:paraId="700E6E37" w14:textId="2ACC8A8D" w:rsidR="00E725D2" w:rsidRPr="00DA61EB" w:rsidRDefault="00E725D2" w:rsidP="00E725D2">
            <w:pPr>
              <w:pStyle w:val="Tabletext"/>
              <w:jc w:val="center"/>
            </w:pPr>
            <w:r w:rsidRPr="0064760C">
              <w:t>0.913</w:t>
            </w:r>
          </w:p>
        </w:tc>
      </w:tr>
      <w:tr w:rsidR="00E725D2" w:rsidRPr="00DA61EB" w14:paraId="349A2B7A" w14:textId="77777777" w:rsidTr="0064760C">
        <w:tc>
          <w:tcPr>
            <w:tcW w:w="2123" w:type="dxa"/>
            <w:tcBorders>
              <w:top w:val="double" w:sz="4" w:space="0" w:color="auto"/>
            </w:tcBorders>
          </w:tcPr>
          <w:p w14:paraId="48E9761A" w14:textId="77777777" w:rsidR="00E725D2" w:rsidRPr="00DA61EB" w:rsidRDefault="00E725D2" w:rsidP="00E725D2">
            <w:pPr>
              <w:pStyle w:val="Tabletext"/>
              <w:numPr>
                <w:ilvl w:val="0"/>
                <w:numId w:val="176"/>
              </w:numPr>
              <w:ind w:left="284" w:hanging="284"/>
            </w:pPr>
            <w:r w:rsidRPr="00DA61EB">
              <w:t>None, any</w:t>
            </w:r>
            <w:r>
              <w:t>,</w:t>
            </w:r>
            <w:r w:rsidRPr="00DA61EB">
              <w:t xml:space="preserve"> not specified</w:t>
            </w:r>
          </w:p>
        </w:tc>
        <w:tc>
          <w:tcPr>
            <w:tcW w:w="2667" w:type="dxa"/>
            <w:tcBorders>
              <w:top w:val="double" w:sz="4" w:space="0" w:color="auto"/>
            </w:tcBorders>
          </w:tcPr>
          <w:p w14:paraId="3F64ADC5" w14:textId="77777777" w:rsidR="00E725D2" w:rsidRPr="00DA61EB" w:rsidRDefault="00E725D2" w:rsidP="00E725D2">
            <w:pPr>
              <w:pStyle w:val="Tabletext"/>
              <w:numPr>
                <w:ilvl w:val="0"/>
                <w:numId w:val="179"/>
              </w:numPr>
              <w:ind w:left="288" w:hanging="284"/>
            </w:pPr>
            <w:r w:rsidRPr="003D678B">
              <w:t>High efficiency room heat pump or central non-ducted heat pump</w:t>
            </w:r>
          </w:p>
        </w:tc>
        <w:tc>
          <w:tcPr>
            <w:tcW w:w="1258" w:type="dxa"/>
            <w:tcBorders>
              <w:top w:val="double" w:sz="4" w:space="0" w:color="auto"/>
            </w:tcBorders>
          </w:tcPr>
          <w:p w14:paraId="146B2EBE" w14:textId="77777777" w:rsidR="00E725D2" w:rsidRPr="00DA61EB" w:rsidRDefault="00E725D2" w:rsidP="00E725D2">
            <w:pPr>
              <w:pStyle w:val="Tabletext"/>
              <w:jc w:val="center"/>
            </w:pPr>
            <w:r w:rsidRPr="00DA61EB">
              <w:t>3.7</w:t>
            </w:r>
          </w:p>
        </w:tc>
        <w:tc>
          <w:tcPr>
            <w:tcW w:w="1715" w:type="dxa"/>
            <w:tcBorders>
              <w:top w:val="double" w:sz="4" w:space="0" w:color="auto"/>
            </w:tcBorders>
          </w:tcPr>
          <w:p w14:paraId="6EECF022" w14:textId="03EC1ECA" w:rsidR="00E725D2" w:rsidRPr="00DA61EB" w:rsidRDefault="00E725D2" w:rsidP="00E725D2">
            <w:pPr>
              <w:pStyle w:val="Tabletext"/>
              <w:jc w:val="center"/>
            </w:pPr>
            <w:r>
              <w:rPr>
                <w:rFonts w:ascii="Calibri" w:hAnsi="Calibri" w:cs="Calibri"/>
                <w:color w:val="000000"/>
                <w:sz w:val="22"/>
                <w:szCs w:val="22"/>
              </w:rPr>
              <w:t>0.000</w:t>
            </w:r>
          </w:p>
        </w:tc>
        <w:tc>
          <w:tcPr>
            <w:tcW w:w="1588" w:type="dxa"/>
            <w:tcBorders>
              <w:top w:val="double" w:sz="4" w:space="0" w:color="auto"/>
            </w:tcBorders>
          </w:tcPr>
          <w:p w14:paraId="12C542A3" w14:textId="1465E904" w:rsidR="00E725D2" w:rsidRPr="00DA61EB" w:rsidRDefault="00E725D2" w:rsidP="00E725D2">
            <w:pPr>
              <w:pStyle w:val="Tabletext"/>
              <w:jc w:val="center"/>
            </w:pPr>
            <w:r w:rsidRPr="0064760C">
              <w:t>0.913</w:t>
            </w:r>
          </w:p>
        </w:tc>
      </w:tr>
    </w:tbl>
    <w:p w14:paraId="1982AD02" w14:textId="77777777" w:rsidR="006C553E" w:rsidRPr="006C553E" w:rsidRDefault="006C553E" w:rsidP="001C24E1">
      <w:pPr>
        <w:pStyle w:val="Caption"/>
        <w:ind w:left="0" w:firstLine="0"/>
      </w:pPr>
      <w:bookmarkStart w:id="207" w:name="_Toc37945697"/>
      <w:bookmarkStart w:id="208" w:name="_Toc21868118"/>
      <w:bookmarkStart w:id="209" w:name="_Toc21868250"/>
      <w:r w:rsidRPr="006C553E">
        <w:t xml:space="preserve">Table </w:t>
      </w:r>
      <w:r w:rsidR="004A0156">
        <w:rPr>
          <w:noProof/>
        </w:rPr>
        <w:fldChar w:fldCharType="begin"/>
      </w:r>
      <w:r w:rsidR="004A0156">
        <w:rPr>
          <w:noProof/>
        </w:rPr>
        <w:instrText xml:space="preserve"> SEQ Table \* ARABIC </w:instrText>
      </w:r>
      <w:r w:rsidR="004A0156">
        <w:rPr>
          <w:noProof/>
        </w:rPr>
        <w:fldChar w:fldCharType="separate"/>
      </w:r>
      <w:r w:rsidR="00880CB1">
        <w:rPr>
          <w:noProof/>
        </w:rPr>
        <w:t>13</w:t>
      </w:r>
      <w:r w:rsidR="004A0156">
        <w:rPr>
          <w:noProof/>
        </w:rPr>
        <w:fldChar w:fldCharType="end"/>
      </w:r>
      <w:r w:rsidRPr="006C553E">
        <w:t xml:space="preserve"> </w:t>
      </w:r>
      <w:r w:rsidR="009E6E7F">
        <w:tab/>
      </w:r>
      <w:r w:rsidR="00C358AC">
        <w:t xml:space="preserve">Activity </w:t>
      </w:r>
      <w:r w:rsidR="00CC5BCC">
        <w:t xml:space="preserve">ID </w:t>
      </w:r>
      <w:r w:rsidR="00C358AC">
        <w:t>2.3(b)</w:t>
      </w:r>
      <w:r w:rsidR="00D85CB2">
        <w:t>i</w:t>
      </w:r>
      <w:r w:rsidR="00C358AC">
        <w:t xml:space="preserve"> b</w:t>
      </w:r>
      <w:r w:rsidRPr="006C553E">
        <w:t xml:space="preserve">usiness </w:t>
      </w:r>
      <w:r w:rsidR="00946E16">
        <w:t>p</w:t>
      </w:r>
      <w:r w:rsidRPr="006C553E">
        <w:t xml:space="preserve">remises – </w:t>
      </w:r>
      <w:r w:rsidR="00C358AC">
        <w:t>c</w:t>
      </w:r>
      <w:r w:rsidRPr="006C553E">
        <w:t>ategory 1</w:t>
      </w:r>
      <w:bookmarkEnd w:id="207"/>
      <w:r w:rsidR="00946E16">
        <w:t xml:space="preserve"> </w:t>
      </w:r>
      <w:bookmarkEnd w:id="208"/>
      <w:bookmarkEnd w:id="209"/>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5"/>
        <w:gridCol w:w="2626"/>
        <w:gridCol w:w="1388"/>
        <w:gridCol w:w="1492"/>
        <w:gridCol w:w="1730"/>
      </w:tblGrid>
      <w:tr w:rsidR="00D565C1" w:rsidRPr="004F1AA5" w14:paraId="064EB598" w14:textId="77777777" w:rsidTr="001568B0">
        <w:trPr>
          <w:tblHeader/>
        </w:trPr>
        <w:tc>
          <w:tcPr>
            <w:tcW w:w="2115" w:type="dxa"/>
            <w:tcBorders>
              <w:bottom w:val="double" w:sz="4" w:space="0" w:color="auto"/>
            </w:tcBorders>
          </w:tcPr>
          <w:p w14:paraId="4533D65B" w14:textId="77777777" w:rsidR="00D565C1" w:rsidRPr="004F1AA5" w:rsidRDefault="00D565C1" w:rsidP="00D565C1">
            <w:pPr>
              <w:pStyle w:val="Tableheader"/>
            </w:pPr>
            <w:r w:rsidRPr="004F1AA5">
              <w:t>Existing Heater Type</w:t>
            </w:r>
          </w:p>
        </w:tc>
        <w:tc>
          <w:tcPr>
            <w:tcW w:w="2626" w:type="dxa"/>
            <w:tcBorders>
              <w:bottom w:val="double" w:sz="4" w:space="0" w:color="auto"/>
            </w:tcBorders>
          </w:tcPr>
          <w:p w14:paraId="70B33679" w14:textId="77777777" w:rsidR="00D565C1" w:rsidRPr="004F1AA5" w:rsidRDefault="00D565C1" w:rsidP="00D565C1">
            <w:pPr>
              <w:pStyle w:val="Tableheader"/>
            </w:pPr>
            <w:r w:rsidRPr="004F1AA5">
              <w:t>New Product Type</w:t>
            </w:r>
          </w:p>
        </w:tc>
        <w:tc>
          <w:tcPr>
            <w:tcW w:w="1388" w:type="dxa"/>
            <w:tcBorders>
              <w:bottom w:val="double" w:sz="4" w:space="0" w:color="auto"/>
            </w:tcBorders>
          </w:tcPr>
          <w:p w14:paraId="263DC2DC" w14:textId="77777777" w:rsidR="00D565C1" w:rsidRPr="004F1AA5" w:rsidRDefault="00D565C1" w:rsidP="00D565C1">
            <w:pPr>
              <w:pStyle w:val="Tableheader"/>
            </w:pPr>
            <w:r w:rsidRPr="004F1AA5">
              <w:t>Base Efficiency (</w:t>
            </w:r>
            <w:r w:rsidRPr="004F1AA5">
              <w:rPr>
                <w:i/>
              </w:rPr>
              <w:t>Baseline</w:t>
            </w:r>
            <w:r w:rsidRPr="004F1AA5">
              <w:t>)</w:t>
            </w:r>
            <w:r w:rsidRPr="004F1AA5">
              <w:br/>
              <w:t>ACOP</w:t>
            </w:r>
          </w:p>
        </w:tc>
        <w:tc>
          <w:tcPr>
            <w:tcW w:w="1492" w:type="dxa"/>
            <w:tcBorders>
              <w:bottom w:val="double" w:sz="4" w:space="0" w:color="auto"/>
            </w:tcBorders>
          </w:tcPr>
          <w:p w14:paraId="2A6931FD" w14:textId="63C3759A" w:rsidR="00D565C1" w:rsidRPr="004F1AA5" w:rsidRDefault="00D565C1" w:rsidP="00D565C1">
            <w:pPr>
              <w:pStyle w:val="Tableheader"/>
            </w:pPr>
            <w:r w:rsidRPr="00DA61EB">
              <w:t xml:space="preserve">Fixed </w:t>
            </w:r>
            <w:r>
              <w:t>Energy</w:t>
            </w:r>
            <w:r w:rsidRPr="00DA61EB">
              <w:t xml:space="preserve"> Savings (</w:t>
            </w:r>
            <w:r>
              <w:t>ESF</w:t>
            </w:r>
            <w:r w:rsidRPr="00DA61EB">
              <w:rPr>
                <w:vertAlign w:val="subscript"/>
              </w:rPr>
              <w:t>fixed</w:t>
            </w:r>
            <w:r w:rsidRPr="00DA61EB">
              <w:t xml:space="preserve">) </w:t>
            </w:r>
            <w:r w:rsidRPr="00DA61EB">
              <w:br/>
            </w:r>
            <w:r w:rsidRPr="00A52076">
              <w:t>MWh</w:t>
            </w:r>
          </w:p>
        </w:tc>
        <w:tc>
          <w:tcPr>
            <w:tcW w:w="1730" w:type="dxa"/>
            <w:tcBorders>
              <w:bottom w:val="double" w:sz="4" w:space="0" w:color="auto"/>
            </w:tcBorders>
          </w:tcPr>
          <w:p w14:paraId="20AF7601" w14:textId="18102AAB" w:rsidR="00D565C1" w:rsidRPr="004F1AA5" w:rsidRDefault="00D565C1" w:rsidP="00D565C1">
            <w:pPr>
              <w:pStyle w:val="Tableheader"/>
            </w:pPr>
            <w:r w:rsidRPr="00DA61EB">
              <w:t>Variable</w:t>
            </w:r>
            <w:r>
              <w:t xml:space="preserve"> Energy</w:t>
            </w:r>
            <w:r w:rsidRPr="00DA61EB">
              <w:t xml:space="preserve"> Savings (</w:t>
            </w:r>
            <w:r>
              <w:t>ESF</w:t>
            </w:r>
            <w:r w:rsidRPr="00DA61EB">
              <w:rPr>
                <w:vertAlign w:val="subscript"/>
              </w:rPr>
              <w:t>var</w:t>
            </w:r>
            <w:r w:rsidRPr="00DA61EB">
              <w:t>)</w:t>
            </w:r>
            <w:r w:rsidRPr="00DA61EB">
              <w:br/>
            </w:r>
            <w:r w:rsidRPr="00A52076">
              <w:t>MWh</w:t>
            </w:r>
            <w:r w:rsidRPr="00DA61EB">
              <w:t>/kW</w:t>
            </w:r>
          </w:p>
        </w:tc>
      </w:tr>
      <w:tr w:rsidR="003D678B" w:rsidRPr="004F1AA5" w14:paraId="2926279C" w14:textId="77777777" w:rsidTr="0064760C">
        <w:tc>
          <w:tcPr>
            <w:tcW w:w="2115" w:type="dxa"/>
            <w:tcBorders>
              <w:top w:val="double" w:sz="4" w:space="0" w:color="auto"/>
            </w:tcBorders>
          </w:tcPr>
          <w:p w14:paraId="149948A9" w14:textId="77777777" w:rsidR="003D678B" w:rsidRPr="004F1AA5" w:rsidRDefault="00133799" w:rsidP="00133799">
            <w:pPr>
              <w:pStyle w:val="Tabletext"/>
              <w:ind w:left="284" w:hanging="284"/>
            </w:pPr>
            <w:r>
              <w:t xml:space="preserve">(3) </w:t>
            </w:r>
            <w:r w:rsidR="003D678B" w:rsidRPr="004F1AA5">
              <w:t>None, reverse cycle heat pump</w:t>
            </w:r>
          </w:p>
        </w:tc>
        <w:tc>
          <w:tcPr>
            <w:tcW w:w="2626" w:type="dxa"/>
            <w:tcBorders>
              <w:top w:val="double" w:sz="4" w:space="0" w:color="auto"/>
            </w:tcBorders>
          </w:tcPr>
          <w:p w14:paraId="578536F6" w14:textId="77777777" w:rsidR="003D678B" w:rsidRPr="004F1AA5" w:rsidRDefault="003D678B" w:rsidP="00D633D3">
            <w:pPr>
              <w:pStyle w:val="Tabletext"/>
              <w:numPr>
                <w:ilvl w:val="0"/>
                <w:numId w:val="180"/>
              </w:numPr>
              <w:ind w:left="288" w:hanging="288"/>
            </w:pPr>
            <w:r w:rsidRPr="003D678B">
              <w:t xml:space="preserve">High efficiency room heat pump or central </w:t>
            </w:r>
            <w:r w:rsidRPr="003D678B">
              <w:lastRenderedPageBreak/>
              <w:t>non-ducted heat pump</w:t>
            </w:r>
          </w:p>
        </w:tc>
        <w:tc>
          <w:tcPr>
            <w:tcW w:w="1388" w:type="dxa"/>
            <w:tcBorders>
              <w:top w:val="double" w:sz="4" w:space="0" w:color="auto"/>
            </w:tcBorders>
          </w:tcPr>
          <w:p w14:paraId="2C9A64B8" w14:textId="77777777" w:rsidR="003D678B" w:rsidRPr="004F1AA5" w:rsidRDefault="003D678B" w:rsidP="00946E16">
            <w:pPr>
              <w:pStyle w:val="Tabletext"/>
              <w:jc w:val="center"/>
            </w:pPr>
            <w:r w:rsidRPr="004F1AA5">
              <w:lastRenderedPageBreak/>
              <w:t>3.7</w:t>
            </w:r>
          </w:p>
        </w:tc>
        <w:tc>
          <w:tcPr>
            <w:tcW w:w="1492" w:type="dxa"/>
            <w:tcBorders>
              <w:top w:val="double" w:sz="4" w:space="0" w:color="auto"/>
            </w:tcBorders>
          </w:tcPr>
          <w:p w14:paraId="3A16A928" w14:textId="77777777" w:rsidR="003D678B" w:rsidRPr="004F1AA5" w:rsidRDefault="003D678B" w:rsidP="006F65CC">
            <w:pPr>
              <w:pStyle w:val="Tabletext"/>
              <w:jc w:val="center"/>
            </w:pPr>
            <w:r w:rsidRPr="004F1AA5">
              <w:t>0.00</w:t>
            </w:r>
          </w:p>
        </w:tc>
        <w:tc>
          <w:tcPr>
            <w:tcW w:w="1730" w:type="dxa"/>
            <w:tcBorders>
              <w:top w:val="double" w:sz="4" w:space="0" w:color="auto"/>
            </w:tcBorders>
          </w:tcPr>
          <w:p w14:paraId="126433DC" w14:textId="3F41918D" w:rsidR="003D678B" w:rsidRPr="004F1AA5" w:rsidRDefault="00C933D0" w:rsidP="006F65CC">
            <w:pPr>
              <w:pStyle w:val="Tabletext"/>
              <w:jc w:val="center"/>
            </w:pPr>
            <w:r>
              <w:t>0.82</w:t>
            </w:r>
            <w:r w:rsidR="00E725D2">
              <w:t>0</w:t>
            </w:r>
          </w:p>
        </w:tc>
      </w:tr>
    </w:tbl>
    <w:p w14:paraId="37CA575A" w14:textId="77777777" w:rsidR="006C553E" w:rsidRPr="006C553E" w:rsidRDefault="006C553E" w:rsidP="006741CB">
      <w:pPr>
        <w:pStyle w:val="Caption"/>
      </w:pPr>
      <w:bookmarkStart w:id="210" w:name="_Toc37945698"/>
      <w:bookmarkStart w:id="211" w:name="_Toc21868119"/>
      <w:bookmarkStart w:id="212" w:name="_Toc21868251"/>
      <w:r w:rsidRPr="006C553E">
        <w:t xml:space="preserve">Table </w:t>
      </w:r>
      <w:r w:rsidR="004A0156">
        <w:rPr>
          <w:noProof/>
        </w:rPr>
        <w:fldChar w:fldCharType="begin"/>
      </w:r>
      <w:r w:rsidR="004A0156">
        <w:rPr>
          <w:noProof/>
        </w:rPr>
        <w:instrText xml:space="preserve"> SEQ Table \* ARABIC </w:instrText>
      </w:r>
      <w:r w:rsidR="004A0156">
        <w:rPr>
          <w:noProof/>
        </w:rPr>
        <w:fldChar w:fldCharType="separate"/>
      </w:r>
      <w:r w:rsidR="00880CB1">
        <w:rPr>
          <w:noProof/>
        </w:rPr>
        <w:t>14</w:t>
      </w:r>
      <w:r w:rsidR="004A0156">
        <w:rPr>
          <w:noProof/>
        </w:rPr>
        <w:fldChar w:fldCharType="end"/>
      </w:r>
      <w:r w:rsidRPr="006C553E">
        <w:t xml:space="preserve"> </w:t>
      </w:r>
      <w:r w:rsidR="009E6E7F">
        <w:tab/>
      </w:r>
      <w:r w:rsidR="00C358AC">
        <w:t xml:space="preserve">Activity </w:t>
      </w:r>
      <w:r w:rsidR="00D85CB2">
        <w:t xml:space="preserve">ID </w:t>
      </w:r>
      <w:r w:rsidR="00C358AC">
        <w:t>2.3(b)</w:t>
      </w:r>
      <w:r w:rsidR="00D85CB2">
        <w:t>ii</w:t>
      </w:r>
      <w:r w:rsidR="00C358AC">
        <w:t xml:space="preserve"> b</w:t>
      </w:r>
      <w:r w:rsidRPr="006C553E">
        <w:t xml:space="preserve">usiness </w:t>
      </w:r>
      <w:r w:rsidR="00946E16">
        <w:t>p</w:t>
      </w:r>
      <w:r w:rsidRPr="006C553E">
        <w:t xml:space="preserve">remises – </w:t>
      </w:r>
      <w:r w:rsidR="00C358AC">
        <w:t>c</w:t>
      </w:r>
      <w:r w:rsidRPr="006C553E">
        <w:t>ategory 2</w:t>
      </w:r>
      <w:bookmarkEnd w:id="210"/>
      <w:r w:rsidR="00946E16">
        <w:t xml:space="preserve"> </w:t>
      </w:r>
      <w:bookmarkEnd w:id="211"/>
      <w:bookmarkEnd w:id="212"/>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2596"/>
        <w:gridCol w:w="1394"/>
        <w:gridCol w:w="1400"/>
        <w:gridCol w:w="1828"/>
      </w:tblGrid>
      <w:tr w:rsidR="00D565C1" w:rsidRPr="004F1AA5" w14:paraId="4217CEAF" w14:textId="77777777" w:rsidTr="00C933D0">
        <w:trPr>
          <w:tblHeader/>
        </w:trPr>
        <w:tc>
          <w:tcPr>
            <w:tcW w:w="2151" w:type="dxa"/>
            <w:tcBorders>
              <w:bottom w:val="double" w:sz="4" w:space="0" w:color="auto"/>
            </w:tcBorders>
          </w:tcPr>
          <w:p w14:paraId="6885DCB4" w14:textId="77777777" w:rsidR="00D565C1" w:rsidRPr="004F1AA5" w:rsidRDefault="00D565C1" w:rsidP="00D565C1">
            <w:pPr>
              <w:pStyle w:val="Tableheader"/>
            </w:pPr>
            <w:r w:rsidRPr="004F1AA5">
              <w:t>Existing Heater Type</w:t>
            </w:r>
          </w:p>
        </w:tc>
        <w:tc>
          <w:tcPr>
            <w:tcW w:w="2596" w:type="dxa"/>
            <w:tcBorders>
              <w:bottom w:val="double" w:sz="4" w:space="0" w:color="auto"/>
            </w:tcBorders>
          </w:tcPr>
          <w:p w14:paraId="7270CA64" w14:textId="77777777" w:rsidR="00D565C1" w:rsidRPr="004F1AA5" w:rsidRDefault="00D565C1" w:rsidP="00D565C1">
            <w:pPr>
              <w:pStyle w:val="Tableheader"/>
            </w:pPr>
            <w:r w:rsidRPr="004F1AA5">
              <w:t>New Product Type</w:t>
            </w:r>
          </w:p>
        </w:tc>
        <w:tc>
          <w:tcPr>
            <w:tcW w:w="1394" w:type="dxa"/>
            <w:tcBorders>
              <w:bottom w:val="double" w:sz="4" w:space="0" w:color="auto"/>
            </w:tcBorders>
          </w:tcPr>
          <w:p w14:paraId="6C1158D5" w14:textId="77777777" w:rsidR="00D565C1" w:rsidRPr="004F1AA5" w:rsidRDefault="00D565C1" w:rsidP="00D565C1">
            <w:pPr>
              <w:pStyle w:val="Tableheader"/>
            </w:pPr>
            <w:r w:rsidRPr="004F1AA5">
              <w:t>Base Efficiency (</w:t>
            </w:r>
            <w:r w:rsidRPr="004F1AA5">
              <w:rPr>
                <w:i/>
              </w:rPr>
              <w:t>Baseline</w:t>
            </w:r>
            <w:r w:rsidRPr="004F1AA5">
              <w:t>)</w:t>
            </w:r>
            <w:r w:rsidRPr="004F1AA5">
              <w:br/>
              <w:t>ACOP</w:t>
            </w:r>
          </w:p>
        </w:tc>
        <w:tc>
          <w:tcPr>
            <w:tcW w:w="1400" w:type="dxa"/>
            <w:tcBorders>
              <w:bottom w:val="double" w:sz="4" w:space="0" w:color="auto"/>
            </w:tcBorders>
          </w:tcPr>
          <w:p w14:paraId="7089E2FB" w14:textId="50E36BD8" w:rsidR="00D565C1" w:rsidRPr="004F1AA5" w:rsidRDefault="00D565C1" w:rsidP="00D565C1">
            <w:pPr>
              <w:pStyle w:val="Tableheader"/>
            </w:pPr>
            <w:r w:rsidRPr="00DA61EB">
              <w:t xml:space="preserve">Fixed </w:t>
            </w:r>
            <w:r>
              <w:t>Energy</w:t>
            </w:r>
            <w:r w:rsidRPr="00DA61EB">
              <w:t xml:space="preserve"> Savings (</w:t>
            </w:r>
            <w:r>
              <w:t>ESF</w:t>
            </w:r>
            <w:r w:rsidRPr="00DA61EB">
              <w:rPr>
                <w:vertAlign w:val="subscript"/>
              </w:rPr>
              <w:t>fixed</w:t>
            </w:r>
            <w:r w:rsidRPr="00DA61EB">
              <w:t xml:space="preserve">) </w:t>
            </w:r>
            <w:r w:rsidRPr="00DA61EB">
              <w:br/>
            </w:r>
            <w:r w:rsidRPr="00A52076">
              <w:t>MWh</w:t>
            </w:r>
          </w:p>
        </w:tc>
        <w:tc>
          <w:tcPr>
            <w:tcW w:w="1828" w:type="dxa"/>
            <w:tcBorders>
              <w:bottom w:val="double" w:sz="4" w:space="0" w:color="auto"/>
            </w:tcBorders>
          </w:tcPr>
          <w:p w14:paraId="74D59DE8" w14:textId="3A8FB1D4" w:rsidR="00D565C1" w:rsidRPr="004F1AA5" w:rsidRDefault="00D565C1" w:rsidP="00D565C1">
            <w:pPr>
              <w:pStyle w:val="Tableheader"/>
            </w:pPr>
            <w:r w:rsidRPr="00DA61EB">
              <w:t>Variable</w:t>
            </w:r>
            <w:r>
              <w:t xml:space="preserve"> Energy</w:t>
            </w:r>
            <w:r w:rsidRPr="00DA61EB">
              <w:t xml:space="preserve"> Savings (</w:t>
            </w:r>
            <w:r>
              <w:t>ESF</w:t>
            </w:r>
            <w:r w:rsidRPr="00DA61EB">
              <w:rPr>
                <w:vertAlign w:val="subscript"/>
              </w:rPr>
              <w:t>var</w:t>
            </w:r>
            <w:r w:rsidRPr="00DA61EB">
              <w:t>)</w:t>
            </w:r>
            <w:r w:rsidRPr="00DA61EB">
              <w:br/>
            </w:r>
            <w:r w:rsidRPr="00A52076">
              <w:t>MWh</w:t>
            </w:r>
            <w:r w:rsidRPr="00DA61EB">
              <w:t>/kW</w:t>
            </w:r>
          </w:p>
        </w:tc>
      </w:tr>
      <w:tr w:rsidR="00C933D0" w:rsidRPr="004F1AA5" w14:paraId="707F889F" w14:textId="77777777" w:rsidTr="0064760C">
        <w:tc>
          <w:tcPr>
            <w:tcW w:w="2151" w:type="dxa"/>
            <w:tcBorders>
              <w:top w:val="double" w:sz="4" w:space="0" w:color="auto"/>
              <w:bottom w:val="double" w:sz="4" w:space="0" w:color="auto"/>
            </w:tcBorders>
          </w:tcPr>
          <w:p w14:paraId="2660DDBA" w14:textId="77777777" w:rsidR="00C933D0" w:rsidRPr="004F1AA5" w:rsidRDefault="00C933D0" w:rsidP="00C933D0">
            <w:pPr>
              <w:pStyle w:val="Tabletext"/>
              <w:numPr>
                <w:ilvl w:val="0"/>
                <w:numId w:val="181"/>
              </w:numPr>
              <w:ind w:left="284" w:hanging="284"/>
            </w:pPr>
            <w:r w:rsidRPr="00050491">
              <w:t>Qualifying fixed electric resistance</w:t>
            </w:r>
            <w:r w:rsidRPr="004F1AA5">
              <w:t xml:space="preserve"> </w:t>
            </w:r>
          </w:p>
        </w:tc>
        <w:tc>
          <w:tcPr>
            <w:tcW w:w="2596" w:type="dxa"/>
            <w:tcBorders>
              <w:top w:val="double" w:sz="4" w:space="0" w:color="auto"/>
              <w:bottom w:val="single" w:sz="4" w:space="0" w:color="auto"/>
            </w:tcBorders>
          </w:tcPr>
          <w:p w14:paraId="6D26ED5A" w14:textId="77777777" w:rsidR="00C933D0" w:rsidRPr="004F1AA5" w:rsidRDefault="00C933D0" w:rsidP="00C933D0">
            <w:pPr>
              <w:pStyle w:val="Tabletext"/>
              <w:numPr>
                <w:ilvl w:val="0"/>
                <w:numId w:val="182"/>
              </w:numPr>
              <w:ind w:left="288" w:hanging="288"/>
            </w:pPr>
            <w:r w:rsidRPr="003D678B">
              <w:t>High efficiency room heat pump or central non-ducted heat pump</w:t>
            </w:r>
          </w:p>
        </w:tc>
        <w:tc>
          <w:tcPr>
            <w:tcW w:w="1394" w:type="dxa"/>
            <w:tcBorders>
              <w:top w:val="double" w:sz="4" w:space="0" w:color="auto"/>
              <w:bottom w:val="single" w:sz="4" w:space="0" w:color="auto"/>
            </w:tcBorders>
          </w:tcPr>
          <w:p w14:paraId="096C8C29" w14:textId="77777777" w:rsidR="00C933D0" w:rsidRPr="004F1AA5" w:rsidRDefault="00C933D0" w:rsidP="00C933D0">
            <w:pPr>
              <w:pStyle w:val="Tabletext"/>
              <w:jc w:val="center"/>
            </w:pPr>
            <w:r w:rsidRPr="004F1AA5">
              <w:t>3.7</w:t>
            </w:r>
          </w:p>
        </w:tc>
        <w:tc>
          <w:tcPr>
            <w:tcW w:w="1400" w:type="dxa"/>
            <w:tcBorders>
              <w:top w:val="double" w:sz="4" w:space="0" w:color="auto"/>
              <w:bottom w:val="single" w:sz="4" w:space="0" w:color="auto"/>
            </w:tcBorders>
          </w:tcPr>
          <w:p w14:paraId="2449BB1E" w14:textId="35A5E15E" w:rsidR="00C933D0" w:rsidRPr="004F1AA5" w:rsidRDefault="00C933D0" w:rsidP="006F65CC">
            <w:pPr>
              <w:pStyle w:val="Tabletext"/>
              <w:jc w:val="center"/>
            </w:pPr>
            <w:r>
              <w:rPr>
                <w:rFonts w:ascii="Calibri" w:hAnsi="Calibri" w:cs="Calibri"/>
                <w:color w:val="000000"/>
                <w:sz w:val="22"/>
                <w:szCs w:val="22"/>
              </w:rPr>
              <w:t>5.94</w:t>
            </w:r>
            <w:r w:rsidR="00590361">
              <w:rPr>
                <w:rFonts w:ascii="Calibri" w:hAnsi="Calibri" w:cs="Calibri"/>
                <w:color w:val="000000"/>
                <w:sz w:val="22"/>
                <w:szCs w:val="22"/>
              </w:rPr>
              <w:t>3</w:t>
            </w:r>
          </w:p>
        </w:tc>
        <w:tc>
          <w:tcPr>
            <w:tcW w:w="1828" w:type="dxa"/>
            <w:tcBorders>
              <w:top w:val="double" w:sz="4" w:space="0" w:color="auto"/>
              <w:bottom w:val="single" w:sz="4" w:space="0" w:color="auto"/>
            </w:tcBorders>
          </w:tcPr>
          <w:p w14:paraId="3B9C268B" w14:textId="37C39456" w:rsidR="00C933D0" w:rsidRPr="004F1AA5" w:rsidRDefault="00C933D0" w:rsidP="006F65CC">
            <w:pPr>
              <w:pStyle w:val="Tabletext"/>
              <w:jc w:val="center"/>
            </w:pPr>
            <w:r w:rsidRPr="004F1AA5">
              <w:t>0.</w:t>
            </w:r>
            <w:r w:rsidR="00590361">
              <w:t>686</w:t>
            </w:r>
          </w:p>
        </w:tc>
      </w:tr>
      <w:tr w:rsidR="00C933D0" w:rsidRPr="004F1AA5" w14:paraId="4486D4B7" w14:textId="77777777" w:rsidTr="0064760C">
        <w:tc>
          <w:tcPr>
            <w:tcW w:w="2151" w:type="dxa"/>
            <w:tcBorders>
              <w:top w:val="double" w:sz="4" w:space="0" w:color="auto"/>
              <w:bottom w:val="double" w:sz="4" w:space="0" w:color="auto"/>
            </w:tcBorders>
          </w:tcPr>
          <w:p w14:paraId="67A92BB4" w14:textId="77777777" w:rsidR="00C933D0" w:rsidRPr="004F1AA5" w:rsidRDefault="00C933D0" w:rsidP="00C933D0">
            <w:pPr>
              <w:pStyle w:val="Tabletext"/>
              <w:numPr>
                <w:ilvl w:val="0"/>
                <w:numId w:val="181"/>
              </w:numPr>
              <w:ind w:left="284" w:hanging="284"/>
            </w:pPr>
            <w:r w:rsidRPr="00050491">
              <w:t>Qualifying fixed gas heater</w:t>
            </w:r>
          </w:p>
        </w:tc>
        <w:tc>
          <w:tcPr>
            <w:tcW w:w="2596" w:type="dxa"/>
            <w:tcBorders>
              <w:top w:val="double" w:sz="4" w:space="0" w:color="auto"/>
              <w:bottom w:val="single" w:sz="4" w:space="0" w:color="auto"/>
            </w:tcBorders>
          </w:tcPr>
          <w:p w14:paraId="5FFE809D" w14:textId="77777777" w:rsidR="00C933D0" w:rsidRPr="004F1AA5" w:rsidRDefault="00C933D0" w:rsidP="00C933D0">
            <w:pPr>
              <w:pStyle w:val="Tabletext"/>
              <w:numPr>
                <w:ilvl w:val="0"/>
                <w:numId w:val="183"/>
              </w:numPr>
              <w:ind w:left="288" w:hanging="288"/>
            </w:pPr>
            <w:r w:rsidRPr="003D678B">
              <w:t>High efficiency room heat pump or central non-ducted heat pump</w:t>
            </w:r>
          </w:p>
        </w:tc>
        <w:tc>
          <w:tcPr>
            <w:tcW w:w="1394" w:type="dxa"/>
            <w:tcBorders>
              <w:top w:val="double" w:sz="4" w:space="0" w:color="auto"/>
              <w:bottom w:val="single" w:sz="4" w:space="0" w:color="auto"/>
            </w:tcBorders>
          </w:tcPr>
          <w:p w14:paraId="4198FA46" w14:textId="77777777" w:rsidR="00C933D0" w:rsidRPr="004F1AA5" w:rsidRDefault="00C933D0" w:rsidP="00C933D0">
            <w:pPr>
              <w:pStyle w:val="Tabletext"/>
              <w:jc w:val="center"/>
            </w:pPr>
            <w:r w:rsidRPr="004F1AA5">
              <w:t>3.7</w:t>
            </w:r>
          </w:p>
        </w:tc>
        <w:tc>
          <w:tcPr>
            <w:tcW w:w="1400" w:type="dxa"/>
            <w:tcBorders>
              <w:top w:val="double" w:sz="4" w:space="0" w:color="auto"/>
              <w:bottom w:val="single" w:sz="4" w:space="0" w:color="auto"/>
            </w:tcBorders>
          </w:tcPr>
          <w:p w14:paraId="24C63735" w14:textId="651E8221" w:rsidR="00C933D0" w:rsidRPr="004F1AA5" w:rsidRDefault="00590361" w:rsidP="006F65CC">
            <w:pPr>
              <w:pStyle w:val="Tabletext"/>
              <w:jc w:val="center"/>
            </w:pPr>
            <w:r>
              <w:rPr>
                <w:rFonts w:ascii="Calibri" w:hAnsi="Calibri" w:cs="Calibri"/>
                <w:color w:val="000000"/>
                <w:sz w:val="22"/>
                <w:szCs w:val="22"/>
              </w:rPr>
              <w:t>8.838</w:t>
            </w:r>
          </w:p>
        </w:tc>
        <w:tc>
          <w:tcPr>
            <w:tcW w:w="1828" w:type="dxa"/>
            <w:tcBorders>
              <w:top w:val="double" w:sz="4" w:space="0" w:color="auto"/>
              <w:bottom w:val="single" w:sz="4" w:space="0" w:color="auto"/>
            </w:tcBorders>
          </w:tcPr>
          <w:p w14:paraId="6340B5AF" w14:textId="5E73127D" w:rsidR="00C933D0" w:rsidRPr="004F1AA5" w:rsidRDefault="00C933D0" w:rsidP="006F65CC">
            <w:pPr>
              <w:pStyle w:val="Tabletext"/>
              <w:jc w:val="center"/>
            </w:pPr>
            <w:r w:rsidRPr="004F1AA5">
              <w:t>0.</w:t>
            </w:r>
            <w:r w:rsidR="00590361">
              <w:t>686</w:t>
            </w:r>
          </w:p>
        </w:tc>
      </w:tr>
      <w:tr w:rsidR="00C933D0" w:rsidRPr="004F1AA5" w14:paraId="28F8E737" w14:textId="77777777" w:rsidTr="0064760C">
        <w:tc>
          <w:tcPr>
            <w:tcW w:w="2151" w:type="dxa"/>
            <w:tcBorders>
              <w:top w:val="double" w:sz="4" w:space="0" w:color="auto"/>
            </w:tcBorders>
          </w:tcPr>
          <w:p w14:paraId="039B37AB" w14:textId="77777777" w:rsidR="00C933D0" w:rsidRPr="004F1AA5" w:rsidRDefault="00C933D0" w:rsidP="00C933D0">
            <w:pPr>
              <w:pStyle w:val="Tabletext"/>
              <w:numPr>
                <w:ilvl w:val="0"/>
                <w:numId w:val="181"/>
              </w:numPr>
              <w:ind w:left="284" w:hanging="284"/>
            </w:pPr>
            <w:r w:rsidRPr="00050491">
              <w:t>None, any, not specified</w:t>
            </w:r>
          </w:p>
        </w:tc>
        <w:tc>
          <w:tcPr>
            <w:tcW w:w="2596" w:type="dxa"/>
            <w:tcBorders>
              <w:top w:val="double" w:sz="4" w:space="0" w:color="auto"/>
            </w:tcBorders>
          </w:tcPr>
          <w:p w14:paraId="74B33DA9" w14:textId="77777777" w:rsidR="00C933D0" w:rsidRPr="004F1AA5" w:rsidRDefault="00C933D0" w:rsidP="00C933D0">
            <w:pPr>
              <w:pStyle w:val="Tabletext"/>
              <w:numPr>
                <w:ilvl w:val="0"/>
                <w:numId w:val="184"/>
              </w:numPr>
              <w:ind w:left="288" w:hanging="288"/>
            </w:pPr>
            <w:r w:rsidRPr="003D678B">
              <w:t>High efficiency room heat pump or central non-ducted heat pump</w:t>
            </w:r>
          </w:p>
        </w:tc>
        <w:tc>
          <w:tcPr>
            <w:tcW w:w="1394" w:type="dxa"/>
            <w:tcBorders>
              <w:top w:val="double" w:sz="4" w:space="0" w:color="auto"/>
            </w:tcBorders>
          </w:tcPr>
          <w:p w14:paraId="1B51727C" w14:textId="77777777" w:rsidR="00C933D0" w:rsidRPr="004F1AA5" w:rsidRDefault="00C933D0" w:rsidP="00C933D0">
            <w:pPr>
              <w:pStyle w:val="Tabletext"/>
              <w:jc w:val="center"/>
            </w:pPr>
            <w:r w:rsidRPr="004F1AA5">
              <w:t>3.7</w:t>
            </w:r>
          </w:p>
        </w:tc>
        <w:tc>
          <w:tcPr>
            <w:tcW w:w="1400" w:type="dxa"/>
            <w:tcBorders>
              <w:top w:val="double" w:sz="4" w:space="0" w:color="auto"/>
            </w:tcBorders>
          </w:tcPr>
          <w:p w14:paraId="1EA1BCB7" w14:textId="7F9931D4" w:rsidR="00C933D0" w:rsidRPr="004F1AA5" w:rsidRDefault="00C933D0" w:rsidP="006F65CC">
            <w:pPr>
              <w:pStyle w:val="Tabletext"/>
              <w:jc w:val="center"/>
            </w:pPr>
            <w:r>
              <w:rPr>
                <w:rFonts w:ascii="Calibri" w:hAnsi="Calibri" w:cs="Calibri"/>
                <w:color w:val="000000"/>
                <w:sz w:val="22"/>
                <w:szCs w:val="22"/>
              </w:rPr>
              <w:t>0.00</w:t>
            </w:r>
          </w:p>
        </w:tc>
        <w:tc>
          <w:tcPr>
            <w:tcW w:w="1828" w:type="dxa"/>
            <w:tcBorders>
              <w:top w:val="double" w:sz="4" w:space="0" w:color="auto"/>
            </w:tcBorders>
          </w:tcPr>
          <w:p w14:paraId="3DD17EC3" w14:textId="33198BDA" w:rsidR="00C933D0" w:rsidRPr="004F1AA5" w:rsidRDefault="00C933D0" w:rsidP="006F65CC">
            <w:pPr>
              <w:pStyle w:val="Tabletext"/>
              <w:jc w:val="center"/>
            </w:pPr>
            <w:r w:rsidRPr="004F1AA5">
              <w:t>0.</w:t>
            </w:r>
            <w:r w:rsidR="00590361">
              <w:t>686</w:t>
            </w:r>
          </w:p>
        </w:tc>
      </w:tr>
    </w:tbl>
    <w:p w14:paraId="6FCB03CA" w14:textId="77777777" w:rsidR="006C553E" w:rsidRPr="006C553E" w:rsidRDefault="006C553E" w:rsidP="00AB48FF">
      <w:pPr>
        <w:pStyle w:val="Caption"/>
      </w:pPr>
      <w:bookmarkStart w:id="213" w:name="_Toc37945699"/>
      <w:bookmarkStart w:id="214" w:name="_Toc21868120"/>
      <w:bookmarkStart w:id="215" w:name="_Toc21868252"/>
      <w:r w:rsidRPr="006C553E">
        <w:t xml:space="preserve">Table </w:t>
      </w:r>
      <w:r w:rsidR="004A0156">
        <w:rPr>
          <w:noProof/>
        </w:rPr>
        <w:fldChar w:fldCharType="begin"/>
      </w:r>
      <w:r w:rsidR="004A0156">
        <w:rPr>
          <w:noProof/>
        </w:rPr>
        <w:instrText xml:space="preserve"> SEQ Table \* ARABIC </w:instrText>
      </w:r>
      <w:r w:rsidR="004A0156">
        <w:rPr>
          <w:noProof/>
        </w:rPr>
        <w:fldChar w:fldCharType="separate"/>
      </w:r>
      <w:r w:rsidR="00880CB1">
        <w:rPr>
          <w:noProof/>
        </w:rPr>
        <w:t>15</w:t>
      </w:r>
      <w:r w:rsidR="004A0156">
        <w:rPr>
          <w:noProof/>
        </w:rPr>
        <w:fldChar w:fldCharType="end"/>
      </w:r>
      <w:r w:rsidRPr="006C553E">
        <w:t xml:space="preserve"> </w:t>
      </w:r>
      <w:r w:rsidR="009E6E7F">
        <w:tab/>
      </w:r>
      <w:r w:rsidR="00C358AC">
        <w:t xml:space="preserve">Activity </w:t>
      </w:r>
      <w:r w:rsidR="00D85CB2">
        <w:t xml:space="preserve">ID </w:t>
      </w:r>
      <w:r w:rsidR="00C358AC">
        <w:t>2.3(b)</w:t>
      </w:r>
      <w:r w:rsidR="00D85CB2">
        <w:t>iii</w:t>
      </w:r>
      <w:r w:rsidR="00C358AC">
        <w:t xml:space="preserve"> b</w:t>
      </w:r>
      <w:r w:rsidRPr="006C553E">
        <w:t xml:space="preserve">usiness </w:t>
      </w:r>
      <w:r w:rsidR="00946E16">
        <w:t>p</w:t>
      </w:r>
      <w:r w:rsidRPr="006C553E">
        <w:t xml:space="preserve">remises – </w:t>
      </w:r>
      <w:r w:rsidR="00C358AC">
        <w:t>c</w:t>
      </w:r>
      <w:r w:rsidRPr="006C553E">
        <w:t>ategory 3</w:t>
      </w:r>
      <w:bookmarkEnd w:id="213"/>
      <w:r w:rsidR="00946E16">
        <w:t xml:space="preserve"> </w:t>
      </w:r>
      <w:bookmarkEnd w:id="214"/>
      <w:bookmarkEnd w:id="215"/>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8"/>
        <w:gridCol w:w="2599"/>
        <w:gridCol w:w="1385"/>
        <w:gridCol w:w="1489"/>
        <w:gridCol w:w="1730"/>
      </w:tblGrid>
      <w:tr w:rsidR="00D565C1" w:rsidRPr="004F1AA5" w14:paraId="1EBC6801" w14:textId="77777777" w:rsidTr="001568B0">
        <w:trPr>
          <w:tblHeader/>
        </w:trPr>
        <w:tc>
          <w:tcPr>
            <w:tcW w:w="2148" w:type="dxa"/>
            <w:tcBorders>
              <w:bottom w:val="double" w:sz="4" w:space="0" w:color="auto"/>
            </w:tcBorders>
          </w:tcPr>
          <w:p w14:paraId="5A5D6247" w14:textId="77777777" w:rsidR="00D565C1" w:rsidRPr="004F1AA5" w:rsidRDefault="00D565C1" w:rsidP="00D565C1">
            <w:pPr>
              <w:pStyle w:val="Tableheader"/>
            </w:pPr>
            <w:r w:rsidRPr="004F1AA5">
              <w:t>Existing Heater Type</w:t>
            </w:r>
          </w:p>
        </w:tc>
        <w:tc>
          <w:tcPr>
            <w:tcW w:w="2599" w:type="dxa"/>
            <w:tcBorders>
              <w:bottom w:val="double" w:sz="4" w:space="0" w:color="auto"/>
            </w:tcBorders>
          </w:tcPr>
          <w:p w14:paraId="4B902E69" w14:textId="77777777" w:rsidR="00D565C1" w:rsidRPr="004F1AA5" w:rsidRDefault="00D565C1" w:rsidP="00D565C1">
            <w:pPr>
              <w:pStyle w:val="Tableheader"/>
            </w:pPr>
            <w:r w:rsidRPr="004F1AA5">
              <w:t>New Product Type</w:t>
            </w:r>
          </w:p>
        </w:tc>
        <w:tc>
          <w:tcPr>
            <w:tcW w:w="1385" w:type="dxa"/>
            <w:tcBorders>
              <w:bottom w:val="double" w:sz="4" w:space="0" w:color="auto"/>
            </w:tcBorders>
          </w:tcPr>
          <w:p w14:paraId="75514C35" w14:textId="77777777" w:rsidR="00D565C1" w:rsidRPr="004F1AA5" w:rsidRDefault="00D565C1" w:rsidP="00D565C1">
            <w:pPr>
              <w:pStyle w:val="Tableheader"/>
            </w:pPr>
            <w:r w:rsidRPr="004F1AA5">
              <w:t>Base Efficiency (</w:t>
            </w:r>
            <w:r w:rsidRPr="004F1AA5">
              <w:rPr>
                <w:i/>
              </w:rPr>
              <w:t>Baseline</w:t>
            </w:r>
            <w:r w:rsidRPr="004F1AA5">
              <w:t>)</w:t>
            </w:r>
            <w:r w:rsidRPr="004F1AA5">
              <w:br/>
              <w:t>ACOP</w:t>
            </w:r>
          </w:p>
        </w:tc>
        <w:tc>
          <w:tcPr>
            <w:tcW w:w="1489" w:type="dxa"/>
            <w:tcBorders>
              <w:bottom w:val="double" w:sz="4" w:space="0" w:color="auto"/>
            </w:tcBorders>
          </w:tcPr>
          <w:p w14:paraId="4AE573D5" w14:textId="40B928CE" w:rsidR="00D565C1" w:rsidRPr="004F1AA5" w:rsidRDefault="00D565C1" w:rsidP="00D565C1">
            <w:pPr>
              <w:pStyle w:val="Tableheader"/>
            </w:pPr>
            <w:r w:rsidRPr="00DA61EB">
              <w:t xml:space="preserve">Fixed </w:t>
            </w:r>
            <w:r>
              <w:t>Energy</w:t>
            </w:r>
            <w:r w:rsidRPr="00DA61EB">
              <w:t xml:space="preserve"> Savings (</w:t>
            </w:r>
            <w:r>
              <w:t>ESF</w:t>
            </w:r>
            <w:r w:rsidRPr="00DA61EB">
              <w:rPr>
                <w:vertAlign w:val="subscript"/>
              </w:rPr>
              <w:t>fixed</w:t>
            </w:r>
            <w:r w:rsidRPr="00DA61EB">
              <w:t xml:space="preserve">) </w:t>
            </w:r>
            <w:r w:rsidRPr="00DA61EB">
              <w:br/>
            </w:r>
            <w:r w:rsidRPr="00A52076">
              <w:t>MWh</w:t>
            </w:r>
          </w:p>
        </w:tc>
        <w:tc>
          <w:tcPr>
            <w:tcW w:w="1730" w:type="dxa"/>
            <w:tcBorders>
              <w:bottom w:val="double" w:sz="4" w:space="0" w:color="auto"/>
            </w:tcBorders>
          </w:tcPr>
          <w:p w14:paraId="5F997F7B" w14:textId="2CCCD876" w:rsidR="00D565C1" w:rsidRPr="004F1AA5" w:rsidRDefault="00D565C1" w:rsidP="00D565C1">
            <w:pPr>
              <w:pStyle w:val="Tableheader"/>
            </w:pPr>
            <w:r w:rsidRPr="00DA61EB">
              <w:t>Variable</w:t>
            </w:r>
            <w:r>
              <w:t xml:space="preserve"> Energy</w:t>
            </w:r>
            <w:r w:rsidRPr="00DA61EB">
              <w:t xml:space="preserve"> Savings (</w:t>
            </w:r>
            <w:r>
              <w:t>ESF</w:t>
            </w:r>
            <w:r w:rsidRPr="00DA61EB">
              <w:rPr>
                <w:vertAlign w:val="subscript"/>
              </w:rPr>
              <w:t>var</w:t>
            </w:r>
            <w:r w:rsidRPr="00DA61EB">
              <w:t>)</w:t>
            </w:r>
            <w:r w:rsidRPr="00DA61EB">
              <w:br/>
            </w:r>
            <w:r w:rsidRPr="00A52076">
              <w:t>MWh</w:t>
            </w:r>
            <w:r w:rsidRPr="00DA61EB">
              <w:t>/kW</w:t>
            </w:r>
          </w:p>
        </w:tc>
      </w:tr>
      <w:tr w:rsidR="00C933D0" w:rsidRPr="004F1AA5" w14:paraId="4F652112" w14:textId="77777777" w:rsidTr="0064760C">
        <w:tc>
          <w:tcPr>
            <w:tcW w:w="2148" w:type="dxa"/>
            <w:tcBorders>
              <w:top w:val="double" w:sz="4" w:space="0" w:color="auto"/>
              <w:bottom w:val="double" w:sz="4" w:space="0" w:color="auto"/>
            </w:tcBorders>
          </w:tcPr>
          <w:p w14:paraId="3CEEAB6E" w14:textId="77777777" w:rsidR="00C933D0" w:rsidRPr="004F1AA5" w:rsidRDefault="00C933D0" w:rsidP="00C933D0">
            <w:pPr>
              <w:pStyle w:val="Tabletext"/>
              <w:numPr>
                <w:ilvl w:val="0"/>
                <w:numId w:val="185"/>
              </w:numPr>
              <w:ind w:left="284" w:hanging="284"/>
            </w:pPr>
            <w:r w:rsidRPr="004F1AA5">
              <w:t xml:space="preserve">Qualifying fixed electric resistance </w:t>
            </w:r>
          </w:p>
        </w:tc>
        <w:tc>
          <w:tcPr>
            <w:tcW w:w="2599" w:type="dxa"/>
            <w:tcBorders>
              <w:top w:val="double" w:sz="4" w:space="0" w:color="auto"/>
              <w:bottom w:val="single" w:sz="4" w:space="0" w:color="auto"/>
            </w:tcBorders>
          </w:tcPr>
          <w:p w14:paraId="2B33763A" w14:textId="77777777" w:rsidR="00C933D0" w:rsidRPr="00050491" w:rsidRDefault="00C933D0" w:rsidP="00C933D0">
            <w:pPr>
              <w:pStyle w:val="Tabletext"/>
              <w:numPr>
                <w:ilvl w:val="0"/>
                <w:numId w:val="186"/>
              </w:numPr>
              <w:ind w:left="288" w:hanging="288"/>
            </w:pPr>
            <w:r w:rsidRPr="003D678B">
              <w:t>High efficiency room heat pump or central non-ducted heat pump</w:t>
            </w:r>
          </w:p>
        </w:tc>
        <w:tc>
          <w:tcPr>
            <w:tcW w:w="1385" w:type="dxa"/>
            <w:tcBorders>
              <w:top w:val="double" w:sz="4" w:space="0" w:color="auto"/>
              <w:bottom w:val="single" w:sz="4" w:space="0" w:color="auto"/>
            </w:tcBorders>
          </w:tcPr>
          <w:p w14:paraId="704B4BAF" w14:textId="77777777" w:rsidR="00C933D0" w:rsidRPr="004F1AA5" w:rsidRDefault="00C933D0" w:rsidP="00C933D0">
            <w:pPr>
              <w:pStyle w:val="Tabletext"/>
              <w:jc w:val="center"/>
            </w:pPr>
            <w:r w:rsidRPr="004F1AA5">
              <w:t>3.7</w:t>
            </w:r>
          </w:p>
        </w:tc>
        <w:tc>
          <w:tcPr>
            <w:tcW w:w="1489" w:type="dxa"/>
            <w:tcBorders>
              <w:top w:val="double" w:sz="4" w:space="0" w:color="auto"/>
              <w:bottom w:val="single" w:sz="4" w:space="0" w:color="auto"/>
            </w:tcBorders>
          </w:tcPr>
          <w:p w14:paraId="13A376C2" w14:textId="4998EAE7" w:rsidR="00C933D0" w:rsidRPr="004F1AA5" w:rsidRDefault="00C933D0" w:rsidP="006F65CC">
            <w:pPr>
              <w:pStyle w:val="Tabletext"/>
              <w:jc w:val="center"/>
            </w:pPr>
            <w:r>
              <w:rPr>
                <w:rFonts w:ascii="Calibri" w:hAnsi="Calibri" w:cs="Calibri"/>
                <w:color w:val="000000"/>
                <w:sz w:val="22"/>
                <w:szCs w:val="22"/>
              </w:rPr>
              <w:t>1.86</w:t>
            </w:r>
            <w:r w:rsidR="00590361">
              <w:rPr>
                <w:rFonts w:ascii="Calibri" w:hAnsi="Calibri" w:cs="Calibri"/>
                <w:color w:val="000000"/>
                <w:sz w:val="22"/>
                <w:szCs w:val="22"/>
              </w:rPr>
              <w:t>1</w:t>
            </w:r>
          </w:p>
        </w:tc>
        <w:tc>
          <w:tcPr>
            <w:tcW w:w="1730" w:type="dxa"/>
            <w:tcBorders>
              <w:top w:val="double" w:sz="4" w:space="0" w:color="auto"/>
              <w:bottom w:val="single" w:sz="4" w:space="0" w:color="auto"/>
            </w:tcBorders>
          </w:tcPr>
          <w:p w14:paraId="010F9F76" w14:textId="0A787710" w:rsidR="00C933D0" w:rsidRPr="004F1AA5" w:rsidRDefault="00C933D0" w:rsidP="006F65CC">
            <w:pPr>
              <w:pStyle w:val="Tabletext"/>
              <w:jc w:val="center"/>
            </w:pPr>
            <w:r w:rsidRPr="004F1AA5">
              <w:t>0.</w:t>
            </w:r>
            <w:r>
              <w:t>75</w:t>
            </w:r>
            <w:r w:rsidR="00590361">
              <w:t>3</w:t>
            </w:r>
          </w:p>
        </w:tc>
      </w:tr>
      <w:tr w:rsidR="00C933D0" w:rsidRPr="004F1AA5" w14:paraId="33916CB2" w14:textId="77777777" w:rsidTr="0064760C">
        <w:tc>
          <w:tcPr>
            <w:tcW w:w="2148" w:type="dxa"/>
            <w:tcBorders>
              <w:bottom w:val="double" w:sz="4" w:space="0" w:color="auto"/>
            </w:tcBorders>
          </w:tcPr>
          <w:p w14:paraId="75B29A03" w14:textId="77777777" w:rsidR="00C933D0" w:rsidRPr="004F1AA5" w:rsidRDefault="00C933D0" w:rsidP="00C933D0">
            <w:pPr>
              <w:pStyle w:val="Tabletext"/>
              <w:numPr>
                <w:ilvl w:val="0"/>
                <w:numId w:val="185"/>
              </w:numPr>
              <w:ind w:left="284" w:hanging="284"/>
            </w:pPr>
            <w:r w:rsidRPr="004F1AA5">
              <w:t>Qualifying fixed gas heater</w:t>
            </w:r>
          </w:p>
        </w:tc>
        <w:tc>
          <w:tcPr>
            <w:tcW w:w="2599" w:type="dxa"/>
            <w:tcBorders>
              <w:top w:val="double" w:sz="4" w:space="0" w:color="auto"/>
              <w:bottom w:val="single" w:sz="4" w:space="0" w:color="auto"/>
            </w:tcBorders>
          </w:tcPr>
          <w:p w14:paraId="5FCB4EAA" w14:textId="77777777" w:rsidR="00C933D0" w:rsidRPr="004F1AA5" w:rsidRDefault="00C933D0" w:rsidP="00C933D0">
            <w:pPr>
              <w:pStyle w:val="Tabletext"/>
              <w:numPr>
                <w:ilvl w:val="0"/>
                <w:numId w:val="187"/>
              </w:numPr>
              <w:ind w:left="288" w:hanging="284"/>
            </w:pPr>
            <w:r w:rsidRPr="003D678B">
              <w:t>High efficiency room heat pump or central non-ducted heat pump</w:t>
            </w:r>
          </w:p>
        </w:tc>
        <w:tc>
          <w:tcPr>
            <w:tcW w:w="1385" w:type="dxa"/>
            <w:tcBorders>
              <w:top w:val="double" w:sz="4" w:space="0" w:color="auto"/>
              <w:bottom w:val="single" w:sz="4" w:space="0" w:color="auto"/>
            </w:tcBorders>
          </w:tcPr>
          <w:p w14:paraId="1595A70D" w14:textId="77777777" w:rsidR="00C933D0" w:rsidRPr="004F1AA5" w:rsidRDefault="00C933D0" w:rsidP="00C933D0">
            <w:pPr>
              <w:pStyle w:val="Tabletext"/>
              <w:jc w:val="center"/>
            </w:pPr>
            <w:r w:rsidRPr="004F1AA5">
              <w:t>3.7</w:t>
            </w:r>
          </w:p>
        </w:tc>
        <w:tc>
          <w:tcPr>
            <w:tcW w:w="1489" w:type="dxa"/>
            <w:tcBorders>
              <w:top w:val="double" w:sz="4" w:space="0" w:color="auto"/>
              <w:bottom w:val="single" w:sz="4" w:space="0" w:color="auto"/>
            </w:tcBorders>
          </w:tcPr>
          <w:p w14:paraId="293668A7" w14:textId="4A7C5DCE" w:rsidR="00C933D0" w:rsidRPr="004F1AA5" w:rsidRDefault="00590361" w:rsidP="006F65CC">
            <w:pPr>
              <w:pStyle w:val="Tabletext"/>
              <w:jc w:val="center"/>
            </w:pPr>
            <w:r>
              <w:rPr>
                <w:rFonts w:ascii="Calibri" w:hAnsi="Calibri" w:cs="Calibri"/>
                <w:color w:val="000000"/>
                <w:sz w:val="22"/>
                <w:szCs w:val="22"/>
              </w:rPr>
              <w:t>3.67</w:t>
            </w:r>
          </w:p>
        </w:tc>
        <w:tc>
          <w:tcPr>
            <w:tcW w:w="1730" w:type="dxa"/>
            <w:tcBorders>
              <w:top w:val="double" w:sz="4" w:space="0" w:color="auto"/>
              <w:bottom w:val="single" w:sz="4" w:space="0" w:color="auto"/>
            </w:tcBorders>
          </w:tcPr>
          <w:p w14:paraId="27599AB9" w14:textId="20277C22" w:rsidR="00C933D0" w:rsidRPr="004F1AA5" w:rsidRDefault="00C933D0" w:rsidP="006F65CC">
            <w:pPr>
              <w:pStyle w:val="Tabletext"/>
              <w:jc w:val="center"/>
            </w:pPr>
            <w:r w:rsidRPr="004F1AA5">
              <w:t>0.</w:t>
            </w:r>
            <w:r>
              <w:t>75</w:t>
            </w:r>
            <w:r w:rsidR="00590361">
              <w:t>3</w:t>
            </w:r>
          </w:p>
        </w:tc>
      </w:tr>
      <w:tr w:rsidR="00C933D0" w:rsidRPr="004F1AA5" w14:paraId="5F06D438" w14:textId="77777777" w:rsidTr="0064760C">
        <w:tc>
          <w:tcPr>
            <w:tcW w:w="2148" w:type="dxa"/>
            <w:tcBorders>
              <w:top w:val="double" w:sz="4" w:space="0" w:color="auto"/>
            </w:tcBorders>
          </w:tcPr>
          <w:p w14:paraId="6D03B90F" w14:textId="77777777" w:rsidR="00C933D0" w:rsidRPr="004F1AA5" w:rsidRDefault="00C933D0" w:rsidP="00C933D0">
            <w:pPr>
              <w:pStyle w:val="Tabletext"/>
              <w:keepNext/>
              <w:numPr>
                <w:ilvl w:val="0"/>
                <w:numId w:val="185"/>
              </w:numPr>
              <w:ind w:left="284" w:hanging="284"/>
            </w:pPr>
            <w:r w:rsidRPr="004F1AA5">
              <w:t>None, any, not specified</w:t>
            </w:r>
          </w:p>
        </w:tc>
        <w:tc>
          <w:tcPr>
            <w:tcW w:w="2599" w:type="dxa"/>
            <w:tcBorders>
              <w:top w:val="double" w:sz="4" w:space="0" w:color="auto"/>
            </w:tcBorders>
          </w:tcPr>
          <w:p w14:paraId="42DF70D5" w14:textId="77777777" w:rsidR="00C933D0" w:rsidRPr="004F1AA5" w:rsidRDefault="00C933D0" w:rsidP="00C933D0">
            <w:pPr>
              <w:pStyle w:val="Tabletext"/>
              <w:keepNext/>
              <w:numPr>
                <w:ilvl w:val="0"/>
                <w:numId w:val="188"/>
              </w:numPr>
              <w:ind w:left="289" w:hanging="289"/>
            </w:pPr>
            <w:r w:rsidRPr="003D678B">
              <w:t>High efficiency room heat pump or central non-ducted heat pump</w:t>
            </w:r>
          </w:p>
        </w:tc>
        <w:tc>
          <w:tcPr>
            <w:tcW w:w="1385" w:type="dxa"/>
            <w:tcBorders>
              <w:top w:val="double" w:sz="4" w:space="0" w:color="auto"/>
            </w:tcBorders>
          </w:tcPr>
          <w:p w14:paraId="10F862F0" w14:textId="77777777" w:rsidR="00C933D0" w:rsidRPr="004F1AA5" w:rsidRDefault="00C933D0" w:rsidP="00C933D0">
            <w:pPr>
              <w:pStyle w:val="Tabletext"/>
              <w:keepNext/>
              <w:jc w:val="center"/>
            </w:pPr>
            <w:r w:rsidRPr="004F1AA5">
              <w:t>3.7</w:t>
            </w:r>
          </w:p>
        </w:tc>
        <w:tc>
          <w:tcPr>
            <w:tcW w:w="1489" w:type="dxa"/>
            <w:tcBorders>
              <w:top w:val="double" w:sz="4" w:space="0" w:color="auto"/>
            </w:tcBorders>
          </w:tcPr>
          <w:p w14:paraId="23F85693" w14:textId="25D1E517" w:rsidR="00C933D0" w:rsidRPr="004F1AA5" w:rsidRDefault="00C933D0" w:rsidP="006F65CC">
            <w:pPr>
              <w:pStyle w:val="Tabletext"/>
              <w:keepNext/>
              <w:jc w:val="center"/>
            </w:pPr>
            <w:r>
              <w:rPr>
                <w:rFonts w:ascii="Calibri" w:hAnsi="Calibri" w:cs="Calibri"/>
                <w:color w:val="000000"/>
                <w:sz w:val="22"/>
                <w:szCs w:val="22"/>
              </w:rPr>
              <w:t>0.00</w:t>
            </w:r>
          </w:p>
        </w:tc>
        <w:tc>
          <w:tcPr>
            <w:tcW w:w="1730" w:type="dxa"/>
            <w:tcBorders>
              <w:top w:val="double" w:sz="4" w:space="0" w:color="auto"/>
            </w:tcBorders>
          </w:tcPr>
          <w:p w14:paraId="091E0086" w14:textId="004E7ACD" w:rsidR="00C933D0" w:rsidRPr="00050491" w:rsidRDefault="00C933D0" w:rsidP="006F65CC">
            <w:pPr>
              <w:pStyle w:val="Tabletext"/>
              <w:keepNext/>
              <w:jc w:val="center"/>
            </w:pPr>
            <w:r w:rsidRPr="004F1AA5">
              <w:t>0.</w:t>
            </w:r>
            <w:r>
              <w:t>75</w:t>
            </w:r>
            <w:r w:rsidR="00590361">
              <w:t>3</w:t>
            </w:r>
          </w:p>
        </w:tc>
      </w:tr>
    </w:tbl>
    <w:p w14:paraId="24084362" w14:textId="77777777" w:rsidR="006C553E" w:rsidRDefault="006C553E" w:rsidP="0029090D"/>
    <w:p w14:paraId="6C0DD4AD" w14:textId="52F5FC23" w:rsidR="00D924B9" w:rsidRPr="00970AD2" w:rsidRDefault="0018556A" w:rsidP="003571E7">
      <w:pPr>
        <w:pStyle w:val="Sectionheading2"/>
      </w:pPr>
      <w:bookmarkStart w:id="216" w:name="_Toc325753155"/>
      <w:bookmarkStart w:id="217" w:name="_Toc462215320"/>
      <w:bookmarkStart w:id="218" w:name="_Toc466535735"/>
      <w:bookmarkEnd w:id="161"/>
      <w:r>
        <w:br w:type="page"/>
      </w:r>
      <w:bookmarkStart w:id="219" w:name="_Toc333417642"/>
      <w:bookmarkStart w:id="220" w:name="_Toc27560554"/>
      <w:r w:rsidR="00D924B9" w:rsidRPr="00970AD2">
        <w:lastRenderedPageBreak/>
        <w:t>Install insulated space conditioning ductwork</w:t>
      </w:r>
      <w:bookmarkEnd w:id="216"/>
      <w:bookmarkEnd w:id="217"/>
      <w:bookmarkEnd w:id="218"/>
      <w:bookmarkEnd w:id="219"/>
      <w:bookmarkEnd w:id="220"/>
    </w:p>
    <w:p w14:paraId="69A4D506" w14:textId="77777777" w:rsidR="00D924B9" w:rsidRPr="00970AD2" w:rsidRDefault="00D924B9" w:rsidP="003571E7">
      <w:pPr>
        <w:pStyle w:val="Sectionheading3"/>
      </w:pPr>
      <w:r w:rsidRPr="00970AD2">
        <w:t>Activity definition</w:t>
      </w:r>
    </w:p>
    <w:p w14:paraId="738D41D6" w14:textId="77777777" w:rsidR="00D924B9" w:rsidRPr="00970AD2" w:rsidRDefault="00703BF9" w:rsidP="00AB48FF">
      <w:pPr>
        <w:pStyle w:val="BodytextEEIS"/>
      </w:pPr>
      <w:r w:rsidRPr="00970AD2">
        <w:rPr>
          <w:b/>
        </w:rPr>
        <w:t>Activity</w:t>
      </w:r>
      <w:r w:rsidR="00563D8B" w:rsidRPr="00970AD2">
        <w:rPr>
          <w:b/>
        </w:rPr>
        <w:t xml:space="preserve"> ID</w:t>
      </w:r>
      <w:r w:rsidRPr="00970AD2">
        <w:rPr>
          <w:b/>
        </w:rPr>
        <w:t xml:space="preserve"> 2.4 </w:t>
      </w:r>
      <w:r w:rsidRPr="00970AD2">
        <w:t>–</w:t>
      </w:r>
      <w:r w:rsidR="002E4295">
        <w:t xml:space="preserve"> </w:t>
      </w:r>
      <w:r w:rsidR="00D924B9" w:rsidRPr="00970AD2">
        <w:t>In accordance with the prescribed minimum activity performance specifications, decommissioning all existing space conditioning ductwork that is connected to an operable ducted gas heater or to an operable electric heat pump heater and does not achieve a minimum insulating R-value of 1.5 and replacing it with new ductwork that achieves an insulating R-value of 1.5 or higher.</w:t>
      </w:r>
    </w:p>
    <w:p w14:paraId="0D2395D9" w14:textId="77777777" w:rsidR="00D924B9" w:rsidRPr="00970AD2" w:rsidRDefault="00D924B9" w:rsidP="003571E7">
      <w:pPr>
        <w:pStyle w:val="Sectionheading3"/>
      </w:pPr>
      <w:r w:rsidRPr="00970AD2">
        <w:t>Minimum activity performance specifications</w:t>
      </w:r>
    </w:p>
    <w:p w14:paraId="293856E9" w14:textId="77777777" w:rsidR="00D924B9" w:rsidRPr="00970AD2" w:rsidRDefault="00D924B9" w:rsidP="00AB48FF">
      <w:pPr>
        <w:pStyle w:val="BodytextEEIS"/>
        <w:rPr>
          <w:i/>
        </w:rPr>
      </w:pPr>
      <w:r w:rsidRPr="00970AD2">
        <w:t>To be an eligible activity the activity must</w:t>
      </w:r>
      <w:r w:rsidRPr="00970AD2">
        <w:rPr>
          <w:b/>
          <w:bCs/>
        </w:rPr>
        <w:t>—</w:t>
      </w:r>
    </w:p>
    <w:p w14:paraId="716B0182" w14:textId="77777777" w:rsidR="00D924B9" w:rsidRPr="00970AD2" w:rsidRDefault="00D924B9" w:rsidP="00D633D3">
      <w:pPr>
        <w:pStyle w:val="Subdetailsfirstindent"/>
        <w:numPr>
          <w:ilvl w:val="0"/>
          <w:numId w:val="68"/>
        </w:numPr>
      </w:pPr>
      <w:r w:rsidRPr="00970AD2">
        <w:t xml:space="preserve">be undertaken at an eligible residential premises; </w:t>
      </w:r>
    </w:p>
    <w:p w14:paraId="3125C267" w14:textId="77777777" w:rsidR="00D924B9" w:rsidRPr="00970AD2" w:rsidRDefault="00D924B9" w:rsidP="00D633D3">
      <w:pPr>
        <w:pStyle w:val="Subdetailsfirstindent"/>
        <w:numPr>
          <w:ilvl w:val="0"/>
          <w:numId w:val="68"/>
        </w:numPr>
      </w:pPr>
      <w:r w:rsidRPr="00970AD2">
        <w:t xml:space="preserve">be undertaken using a product or products meeting the installed product requirements in section </w:t>
      </w:r>
      <w:r w:rsidR="002E4295">
        <w:t>2.4.</w:t>
      </w:r>
      <w:r w:rsidRPr="00970AD2">
        <w:t xml:space="preserve">3; </w:t>
      </w:r>
    </w:p>
    <w:p w14:paraId="109FABBC" w14:textId="77777777" w:rsidR="00664BC3" w:rsidRPr="00664BC3" w:rsidRDefault="00664BC3" w:rsidP="00D633D3">
      <w:pPr>
        <w:pStyle w:val="Subdetailsfirstindent"/>
        <w:numPr>
          <w:ilvl w:val="0"/>
          <w:numId w:val="68"/>
        </w:numPr>
      </w:pPr>
      <w:r w:rsidRPr="00970AD2">
        <w:t>not be otherwise required by law, for example as condition of a development approval</w:t>
      </w:r>
      <w:r>
        <w:t xml:space="preserve">; </w:t>
      </w:r>
    </w:p>
    <w:p w14:paraId="588BF541" w14:textId="77777777" w:rsidR="00D924B9" w:rsidRPr="00970AD2" w:rsidRDefault="00D924B9" w:rsidP="00D633D3">
      <w:pPr>
        <w:pStyle w:val="Subdetailsfirstindent"/>
        <w:numPr>
          <w:ilvl w:val="0"/>
          <w:numId w:val="68"/>
        </w:numPr>
      </w:pPr>
      <w:r w:rsidRPr="00970AD2">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14:paraId="0C4CB408" w14:textId="77777777" w:rsidR="00D924B9" w:rsidRPr="00970AD2" w:rsidRDefault="00D924B9" w:rsidP="00D633D3">
      <w:pPr>
        <w:pStyle w:val="Subdetailsfirstindent"/>
        <w:numPr>
          <w:ilvl w:val="0"/>
          <w:numId w:val="68"/>
        </w:numPr>
      </w:pPr>
      <w:r w:rsidRPr="00970AD2">
        <w:t>be recorded in accordance with any relevant code of practice for the activity.</w:t>
      </w:r>
    </w:p>
    <w:p w14:paraId="75A33C38" w14:textId="77777777" w:rsidR="00D924B9" w:rsidRPr="00970AD2" w:rsidRDefault="00D924B9" w:rsidP="004B331D">
      <w:pPr>
        <w:pStyle w:val="Notesandexamples"/>
      </w:pPr>
      <w:r w:rsidRPr="00970AD2">
        <w:t>Note</w:t>
      </w:r>
      <w:r w:rsidRPr="00970AD2">
        <w:tab/>
        <w:t>All activities are subject to independent inspection or audit to confirm compliance with prescribed activity requirements.</w:t>
      </w:r>
    </w:p>
    <w:p w14:paraId="124A1BB8" w14:textId="77777777" w:rsidR="00D924B9" w:rsidRPr="00970AD2" w:rsidRDefault="00D924B9" w:rsidP="004B331D">
      <w:pPr>
        <w:pStyle w:val="Sectionheading3"/>
      </w:pPr>
      <w:r w:rsidRPr="00970AD2">
        <w:t>Installed product requirements</w:t>
      </w:r>
    </w:p>
    <w:p w14:paraId="4016208F" w14:textId="77777777" w:rsidR="00D924B9" w:rsidRPr="00970AD2" w:rsidRDefault="00D924B9" w:rsidP="004B331D">
      <w:pPr>
        <w:pStyle w:val="BodytextEEIS"/>
      </w:pPr>
      <w:r w:rsidRPr="00970AD2">
        <w:t>An installed product must be ductwork that—</w:t>
      </w:r>
    </w:p>
    <w:p w14:paraId="2BEBE910" w14:textId="77777777" w:rsidR="00831F19" w:rsidRPr="00970AD2" w:rsidRDefault="002E4295" w:rsidP="00D633D3">
      <w:pPr>
        <w:pStyle w:val="Subdetailsfirstindent"/>
        <w:numPr>
          <w:ilvl w:val="0"/>
          <w:numId w:val="69"/>
        </w:numPr>
      </w:pPr>
      <w:r>
        <w:t>i</w:t>
      </w:r>
      <w:r w:rsidR="00D924B9" w:rsidRPr="00970AD2">
        <w:t>s installed within a roof space or between a floor and the natural ground</w:t>
      </w:r>
      <w:r>
        <w:t>;</w:t>
      </w:r>
    </w:p>
    <w:p w14:paraId="1458DFDC" w14:textId="77777777" w:rsidR="00831F19" w:rsidRPr="00970AD2" w:rsidRDefault="00D924B9" w:rsidP="00D633D3">
      <w:pPr>
        <w:pStyle w:val="Subdetailsfirstindent"/>
        <w:numPr>
          <w:ilvl w:val="0"/>
          <w:numId w:val="69"/>
        </w:numPr>
      </w:pPr>
      <w:r w:rsidRPr="00970AD2">
        <w:t xml:space="preserve">is tested and certified by an approved laboratory as complying with AS 4254; </w:t>
      </w:r>
    </w:p>
    <w:p w14:paraId="3090B49E" w14:textId="77777777" w:rsidR="00831F19" w:rsidRPr="00970AD2" w:rsidRDefault="00D924B9" w:rsidP="00D633D3">
      <w:pPr>
        <w:pStyle w:val="Subdetailsfirstindent"/>
        <w:numPr>
          <w:ilvl w:val="0"/>
          <w:numId w:val="69"/>
        </w:numPr>
      </w:pPr>
      <w:r w:rsidRPr="00970AD2">
        <w:t xml:space="preserve">is insulated using bulk insulation that is certified by an accredited body or approved laboratory as complying with AS/NZS 4859; </w:t>
      </w:r>
    </w:p>
    <w:p w14:paraId="3A6DE5FE" w14:textId="77777777" w:rsidR="00831F19" w:rsidRPr="00970AD2" w:rsidRDefault="00D924B9" w:rsidP="00D633D3">
      <w:pPr>
        <w:pStyle w:val="Subdetailsfirstindent"/>
        <w:numPr>
          <w:ilvl w:val="0"/>
          <w:numId w:val="69"/>
        </w:numPr>
      </w:pPr>
      <w:r w:rsidRPr="00970AD2">
        <w:t xml:space="preserve">is suitable for installation in a ducted gas heating system or a ducted electric heat pump heating system; </w:t>
      </w:r>
    </w:p>
    <w:p w14:paraId="251D1DE3" w14:textId="77777777" w:rsidR="00831F19" w:rsidRPr="00970AD2" w:rsidRDefault="00D924B9" w:rsidP="00D633D3">
      <w:pPr>
        <w:pStyle w:val="Subdetailsfirstindent"/>
        <w:numPr>
          <w:ilvl w:val="0"/>
          <w:numId w:val="69"/>
        </w:numPr>
      </w:pPr>
      <w:r w:rsidRPr="00970AD2">
        <w:t>achieves a minimum R-value of 1.5 when measured in accordance with AS/NZS</w:t>
      </w:r>
      <w:r w:rsidR="003D5A58" w:rsidRPr="00970AD2">
        <w:t> </w:t>
      </w:r>
      <w:r w:rsidRPr="00970AD2">
        <w:t>4859</w:t>
      </w:r>
      <w:r w:rsidR="0004146B" w:rsidRPr="00970AD2">
        <w:t xml:space="preserve"> with the exception</w:t>
      </w:r>
      <w:r w:rsidR="00867B79">
        <w:t xml:space="preserve"> noted at (f) below</w:t>
      </w:r>
      <w:r w:rsidR="003434BE" w:rsidRPr="00970AD2">
        <w:t>;</w:t>
      </w:r>
    </w:p>
    <w:p w14:paraId="6910546B" w14:textId="77777777" w:rsidR="00E236EA" w:rsidRPr="00970AD2" w:rsidRDefault="008F324B" w:rsidP="00D633D3">
      <w:pPr>
        <w:pStyle w:val="Subdetailsfirstindent"/>
        <w:numPr>
          <w:ilvl w:val="0"/>
          <w:numId w:val="69"/>
        </w:numPr>
      </w:pPr>
      <w:r w:rsidRPr="00970AD2">
        <w:t>e</w:t>
      </w:r>
      <w:r w:rsidR="00E236EA" w:rsidRPr="00970AD2">
        <w:t>xisting ductwork that does not meet the requirement of having an R-</w:t>
      </w:r>
      <w:r w:rsidR="00312BC1">
        <w:t>v</w:t>
      </w:r>
      <w:r w:rsidR="00E236EA" w:rsidRPr="00970AD2">
        <w:t>alue of 1.5 may be utilised in a ducting system if</w:t>
      </w:r>
      <w:r w:rsidR="002E4295">
        <w:t>—</w:t>
      </w:r>
    </w:p>
    <w:p w14:paraId="32838D99" w14:textId="77777777" w:rsidR="009666A1" w:rsidRPr="00970AD2" w:rsidRDefault="00E236EA" w:rsidP="00D633D3">
      <w:pPr>
        <w:pStyle w:val="Subdetailssecondindent"/>
        <w:numPr>
          <w:ilvl w:val="0"/>
          <w:numId w:val="70"/>
        </w:numPr>
      </w:pPr>
      <w:r w:rsidRPr="00970AD2">
        <w:t>the section of ductwork is inaccessible in a section of the building such as between floors or vertical riser shafts</w:t>
      </w:r>
      <w:r w:rsidR="009666A1" w:rsidRPr="00970AD2">
        <w:t xml:space="preserve">; </w:t>
      </w:r>
    </w:p>
    <w:p w14:paraId="7BDC02AA" w14:textId="77777777" w:rsidR="0027345C" w:rsidRPr="00970AD2" w:rsidRDefault="009666A1" w:rsidP="00D633D3">
      <w:pPr>
        <w:pStyle w:val="Subdetailssecondindent"/>
        <w:numPr>
          <w:ilvl w:val="0"/>
          <w:numId w:val="70"/>
        </w:numPr>
      </w:pPr>
      <w:r w:rsidRPr="00970AD2">
        <w:t>where replacement of existing ductwork is impractical</w:t>
      </w:r>
      <w:r w:rsidR="0027345C" w:rsidRPr="00970AD2">
        <w:t xml:space="preserve">; </w:t>
      </w:r>
    </w:p>
    <w:p w14:paraId="425F3D07" w14:textId="77777777" w:rsidR="006A303D" w:rsidRPr="00970AD2" w:rsidRDefault="00867B79" w:rsidP="00D633D3">
      <w:pPr>
        <w:pStyle w:val="Subdetailssecondindent"/>
        <w:numPr>
          <w:ilvl w:val="0"/>
          <w:numId w:val="70"/>
        </w:numPr>
      </w:pPr>
      <w:r>
        <w:t xml:space="preserve">it </w:t>
      </w:r>
      <w:r w:rsidR="0027345C" w:rsidRPr="00970AD2">
        <w:t>has an immaterial effect on the thermal improvement from the overall activity</w:t>
      </w:r>
      <w:r w:rsidR="00BE5727" w:rsidRPr="00970AD2">
        <w:t xml:space="preserve">; </w:t>
      </w:r>
    </w:p>
    <w:p w14:paraId="5AB50664" w14:textId="77777777" w:rsidR="009666A1" w:rsidRPr="00970AD2" w:rsidRDefault="00E236EA" w:rsidP="00D633D3">
      <w:pPr>
        <w:pStyle w:val="Subdetailssecondindent"/>
        <w:numPr>
          <w:ilvl w:val="0"/>
          <w:numId w:val="70"/>
        </w:numPr>
      </w:pPr>
      <w:r w:rsidRPr="00970AD2">
        <w:t xml:space="preserve">the section of ductwork is within a conditioned part of the building; </w:t>
      </w:r>
    </w:p>
    <w:p w14:paraId="6DC303CA" w14:textId="77777777" w:rsidR="006A303D" w:rsidRPr="00970AD2" w:rsidRDefault="004215C4" w:rsidP="00D633D3">
      <w:pPr>
        <w:pStyle w:val="Subdetailssecondindent"/>
        <w:numPr>
          <w:ilvl w:val="0"/>
          <w:numId w:val="70"/>
        </w:numPr>
      </w:pPr>
      <w:r w:rsidRPr="00970AD2">
        <w:t>sections located in riser shafts have the space between the ductwork and the riser shaft effectively sealed at the top of the shaft and the bottom of the shaft (where practical) so as to prevent airflow up the shaft (i.e</w:t>
      </w:r>
      <w:r w:rsidR="00867B79">
        <w:t>.</w:t>
      </w:r>
      <w:r w:rsidRPr="00970AD2">
        <w:t xml:space="preserve"> seal between the shaft </w:t>
      </w:r>
      <w:r w:rsidRPr="00970AD2">
        <w:lastRenderedPageBreak/>
        <w:t>walls and the external surface of the ductwork where it enters and exits the riser shaft)</w:t>
      </w:r>
      <w:r w:rsidR="006A303D" w:rsidRPr="00970AD2">
        <w:t>; and</w:t>
      </w:r>
    </w:p>
    <w:p w14:paraId="6D7557F0" w14:textId="77777777" w:rsidR="008F324B" w:rsidRPr="00970AD2" w:rsidRDefault="00E236EA" w:rsidP="00D633D3">
      <w:pPr>
        <w:pStyle w:val="Subdetailssecondindent"/>
        <w:numPr>
          <w:ilvl w:val="0"/>
          <w:numId w:val="70"/>
        </w:numPr>
      </w:pPr>
      <w:r w:rsidRPr="00970AD2">
        <w:t xml:space="preserve">the use of the existing ductwork is recorded against the job and reported </w:t>
      </w:r>
      <w:r w:rsidR="00C358AC">
        <w:t>d</w:t>
      </w:r>
      <w:r w:rsidRPr="00970AD2">
        <w:t>uring normal reporting periods</w:t>
      </w:r>
      <w:r w:rsidR="002E4295">
        <w:t>;</w:t>
      </w:r>
    </w:p>
    <w:p w14:paraId="49BB8042" w14:textId="77777777" w:rsidR="00831F19" w:rsidRPr="00970AD2" w:rsidRDefault="00D924B9" w:rsidP="004B331D">
      <w:pPr>
        <w:pStyle w:val="Subdetailsfirstindent"/>
      </w:pPr>
      <w:r w:rsidRPr="00970AD2">
        <w:t xml:space="preserve">is longitudinally labelled at intervals of not more than 1.5 metres, in characters that are clearly legible and at least 18mm high stating— </w:t>
      </w:r>
    </w:p>
    <w:p w14:paraId="3934375F" w14:textId="77777777" w:rsidR="00D924B9" w:rsidRPr="00970AD2" w:rsidRDefault="00D924B9" w:rsidP="00D633D3">
      <w:pPr>
        <w:pStyle w:val="Subdetailssecondindent"/>
        <w:numPr>
          <w:ilvl w:val="0"/>
          <w:numId w:val="71"/>
        </w:numPr>
      </w:pPr>
      <w:r w:rsidRPr="00970AD2">
        <w:t xml:space="preserve">the duct manufacturer's or duct assembler's name; </w:t>
      </w:r>
    </w:p>
    <w:p w14:paraId="233D17B9" w14:textId="77777777" w:rsidR="00D924B9" w:rsidRPr="00970AD2" w:rsidRDefault="00D924B9" w:rsidP="00D633D3">
      <w:pPr>
        <w:pStyle w:val="Subdetailssecondindent"/>
        <w:numPr>
          <w:ilvl w:val="0"/>
          <w:numId w:val="71"/>
        </w:numPr>
      </w:pPr>
      <w:r w:rsidRPr="00970AD2">
        <w:t xml:space="preserve">the diameter of the duct core; </w:t>
      </w:r>
    </w:p>
    <w:p w14:paraId="79C3D05F" w14:textId="77777777" w:rsidR="00D924B9" w:rsidRPr="00970AD2" w:rsidRDefault="00D924B9" w:rsidP="00D633D3">
      <w:pPr>
        <w:pStyle w:val="Subdetailssecondindent"/>
        <w:numPr>
          <w:ilvl w:val="0"/>
          <w:numId w:val="71"/>
        </w:numPr>
      </w:pPr>
      <w:r w:rsidRPr="00970AD2">
        <w:t xml:space="preserve">the R-value of the bulk insulation; and </w:t>
      </w:r>
    </w:p>
    <w:p w14:paraId="681DC73E" w14:textId="77777777" w:rsidR="00D924B9" w:rsidRPr="00970AD2" w:rsidRDefault="00D924B9" w:rsidP="00D633D3">
      <w:pPr>
        <w:pStyle w:val="Subdetailssecondindent"/>
        <w:numPr>
          <w:ilvl w:val="0"/>
          <w:numId w:val="71"/>
        </w:numPr>
      </w:pPr>
      <w:r w:rsidRPr="00970AD2">
        <w:t xml:space="preserve">whether the ductwork complies with AS 4254; </w:t>
      </w:r>
    </w:p>
    <w:p w14:paraId="597183BE" w14:textId="77777777" w:rsidR="00D924B9" w:rsidRPr="00970AD2" w:rsidRDefault="00D924B9" w:rsidP="004B331D">
      <w:pPr>
        <w:pStyle w:val="Subdetailsfirstindent"/>
      </w:pPr>
      <w:r w:rsidRPr="00970AD2">
        <w:t xml:space="preserve">is installed and supported in accordance with the relevant requirements in AS 4254; </w:t>
      </w:r>
    </w:p>
    <w:p w14:paraId="72D7F147" w14:textId="77777777" w:rsidR="00D924B9" w:rsidRPr="00970AD2" w:rsidRDefault="00D924B9" w:rsidP="004B331D">
      <w:pPr>
        <w:pStyle w:val="Subdetailsfirstindent"/>
      </w:pPr>
      <w:r w:rsidRPr="00970AD2">
        <w:t>uses fittings that achieve a minimum R-value of 0.4</w:t>
      </w:r>
      <w:r w:rsidR="00322C65" w:rsidRPr="00970AD2">
        <w:t xml:space="preserve">; </w:t>
      </w:r>
    </w:p>
    <w:p w14:paraId="61502827" w14:textId="77777777" w:rsidR="00D924B9" w:rsidRPr="00970AD2" w:rsidRDefault="00D924B9" w:rsidP="004B331D">
      <w:pPr>
        <w:pStyle w:val="Subdetailsfirstindent"/>
      </w:pPr>
      <w:r w:rsidRPr="00970AD2">
        <w:t>includes dampers (where required) that have positive seal damper mechanisms to prevent leakage</w:t>
      </w:r>
      <w:r w:rsidR="00322C65" w:rsidRPr="00970AD2">
        <w:t>; and</w:t>
      </w:r>
    </w:p>
    <w:p w14:paraId="5B2147A5" w14:textId="77777777" w:rsidR="00D924B9" w:rsidRPr="00970AD2" w:rsidRDefault="00867B79" w:rsidP="004B331D">
      <w:pPr>
        <w:pStyle w:val="Subdetailsfirstindent"/>
      </w:pPr>
      <w:r>
        <w:t>w</w:t>
      </w:r>
      <w:r w:rsidR="00D924B9" w:rsidRPr="00970AD2">
        <w:t>hen installing the new flexible duct work system the installer must at a minimum</w:t>
      </w:r>
      <w:r w:rsidR="002E4295">
        <w:t>—</w:t>
      </w:r>
    </w:p>
    <w:p w14:paraId="26C658DD" w14:textId="77777777" w:rsidR="00831F19" w:rsidRPr="00970AD2" w:rsidRDefault="00867B79" w:rsidP="00D633D3">
      <w:pPr>
        <w:pStyle w:val="Subdetailssecondindent"/>
        <w:numPr>
          <w:ilvl w:val="0"/>
          <w:numId w:val="72"/>
        </w:numPr>
      </w:pPr>
      <w:r>
        <w:t>u</w:t>
      </w:r>
      <w:r w:rsidR="00D924B9" w:rsidRPr="00970AD2">
        <w:t>ndertake the installation in accordance with manufacturer’s instructions</w:t>
      </w:r>
      <w:r w:rsidR="00322C65" w:rsidRPr="00970AD2">
        <w:t xml:space="preserve">; </w:t>
      </w:r>
    </w:p>
    <w:p w14:paraId="224BDA8C" w14:textId="77777777" w:rsidR="00831F19" w:rsidRPr="00970AD2" w:rsidRDefault="00D924B9" w:rsidP="004B331D">
      <w:pPr>
        <w:pStyle w:val="Subdetailssecondindent"/>
      </w:pPr>
      <w:r w:rsidRPr="00970AD2">
        <w:t>duct tape the inner liner to the collar and ensure the insulation is pulled up over the collar before the outer is duct taped and mechanically fixed to minimi</w:t>
      </w:r>
      <w:r w:rsidR="00867B79">
        <w:t>s</w:t>
      </w:r>
      <w:r w:rsidRPr="00970AD2">
        <w:t>e heat loss at the collar join;</w:t>
      </w:r>
      <w:r w:rsidR="00322C65" w:rsidRPr="00970AD2">
        <w:t xml:space="preserve"> and</w:t>
      </w:r>
    </w:p>
    <w:p w14:paraId="530BF28B" w14:textId="77777777" w:rsidR="00831F19" w:rsidRPr="00970AD2" w:rsidRDefault="00D924B9" w:rsidP="004B331D">
      <w:pPr>
        <w:pStyle w:val="Subdetailssecondindent"/>
      </w:pPr>
      <w:r w:rsidRPr="00970AD2">
        <w:t>tape any small tears/holes in the outer or inner sleeve using foil tape for the outer sleeve and duct tape for the inner sleeve. Taping of any significant tears of more than one quarter of the circumference of the duct may not last and therefore that section of duct is no longer suitable and should be replaced.</w:t>
      </w:r>
    </w:p>
    <w:p w14:paraId="0C64957E" w14:textId="77777777" w:rsidR="00D924B9" w:rsidRPr="00970AD2" w:rsidRDefault="00D924B9" w:rsidP="004B331D">
      <w:pPr>
        <w:pStyle w:val="Sectionheading3"/>
        <w:rPr>
          <w:u w:val="single"/>
        </w:rPr>
      </w:pPr>
      <w:r w:rsidRPr="00970AD2">
        <w:t>Time the activity is taken to be completed</w:t>
      </w:r>
    </w:p>
    <w:p w14:paraId="09C7B1D5" w14:textId="77777777" w:rsidR="00D924B9" w:rsidRPr="00970AD2" w:rsidRDefault="00D924B9" w:rsidP="004B331D">
      <w:pPr>
        <w:pStyle w:val="BodytextEEIS"/>
      </w:pPr>
      <w:r w:rsidRPr="00970AD2">
        <w:t xml:space="preserve">The activity is taken to be completed on the day all applicable prescribed activity requirements are completed, including but not limited to the disposal of any waste materials. </w:t>
      </w:r>
    </w:p>
    <w:p w14:paraId="4CFDEE8D" w14:textId="5DC9BCF9" w:rsidR="00D924B9" w:rsidRPr="00970AD2" w:rsidRDefault="00D924B9" w:rsidP="004B331D">
      <w:pPr>
        <w:pStyle w:val="Sectionheading3"/>
        <w:rPr>
          <w:u w:val="single"/>
        </w:rPr>
      </w:pPr>
      <w:r w:rsidRPr="00970AD2">
        <w:t xml:space="preserve">Calculation of </w:t>
      </w:r>
      <w:r w:rsidR="00BA31EE">
        <w:t>energy savings</w:t>
      </w:r>
      <w:r w:rsidRPr="00970AD2">
        <w:t xml:space="preserve"> factor</w:t>
      </w:r>
    </w:p>
    <w:p w14:paraId="44B57D93" w14:textId="72D4041D" w:rsidR="00831F19" w:rsidRPr="00970AD2" w:rsidRDefault="00D924B9" w:rsidP="00865C4D">
      <w:pPr>
        <w:pStyle w:val="BodytextEEIS"/>
      </w:pPr>
      <w:r w:rsidRPr="00970AD2">
        <w:t xml:space="preserve">The total </w:t>
      </w:r>
      <w:r w:rsidR="00DB47F5">
        <w:t>energy savings</w:t>
      </w:r>
      <w:r w:rsidRPr="00970AD2">
        <w:t xml:space="preserve"> factor in </w:t>
      </w:r>
      <w:r w:rsidR="00880CB1">
        <w:t>Megawatt-hours</w:t>
      </w:r>
      <w:r w:rsidR="00DB47F5">
        <w:t xml:space="preserve"> (MWh) </w:t>
      </w:r>
      <w:r w:rsidRPr="00970AD2">
        <w:t xml:space="preserve">saved in a premises for the activity is the relevant </w:t>
      </w:r>
      <w:r w:rsidR="00DB47F5">
        <w:t>energy savings</w:t>
      </w:r>
      <w:r w:rsidRPr="00970AD2">
        <w:t xml:space="preserve"> factor for the type of ducted heater the installed ductwork is connected to, determined by using the equations prescribed in this section.</w:t>
      </w:r>
    </w:p>
    <w:p w14:paraId="019F4EE4" w14:textId="4AAEC9D1" w:rsidR="00831F19" w:rsidRPr="00970AD2" w:rsidRDefault="00D924B9" w:rsidP="00D633D3">
      <w:pPr>
        <w:pStyle w:val="Subdetailsfirstindent"/>
        <w:numPr>
          <w:ilvl w:val="0"/>
          <w:numId w:val="73"/>
        </w:numPr>
      </w:pPr>
      <w:r w:rsidRPr="00970AD2">
        <w:t xml:space="preserve">The </w:t>
      </w:r>
      <w:r w:rsidR="00DB47F5">
        <w:t>energy savings</w:t>
      </w:r>
      <w:r w:rsidRPr="00970AD2">
        <w:t xml:space="preserve"> factor is calculated by multiplying the rated output capacity of the heater to which the installed ductwork is connected, to the nearest kW</w:t>
      </w:r>
      <w:r w:rsidR="009B1165">
        <w:t xml:space="preserve"> (see note below)</w:t>
      </w:r>
      <w:r w:rsidRPr="00970AD2">
        <w:t>, such that</w:t>
      </w:r>
      <w:r w:rsidR="003D5A58" w:rsidRPr="00970AD2">
        <w:t>—</w:t>
      </w:r>
    </w:p>
    <w:p w14:paraId="57A2362D" w14:textId="76B1AB61" w:rsidR="00C358AC" w:rsidRDefault="00DB47F5" w:rsidP="00C358AC">
      <w:pPr>
        <w:pStyle w:val="Formula"/>
      </w:pPr>
      <w:r>
        <w:t>Energy Savings</w:t>
      </w:r>
      <w:r w:rsidR="00C358AC">
        <w:t xml:space="preserve"> factor (</w:t>
      </w:r>
      <w:r w:rsidR="00BA31EE">
        <w:t>MWh</w:t>
      </w:r>
      <w:r w:rsidR="00C358AC">
        <w:t xml:space="preserve">) = </w:t>
      </w:r>
      <w:r>
        <w:t>ESF</w:t>
      </w:r>
      <w:r w:rsidR="00C358AC">
        <w:t xml:space="preserve"> x Capacity</w:t>
      </w:r>
    </w:p>
    <w:p w14:paraId="050542C8" w14:textId="77777777" w:rsidR="00D924B9" w:rsidRPr="00970AD2" w:rsidRDefault="00D924B9" w:rsidP="004B331D">
      <w:pPr>
        <w:pStyle w:val="BodytextEEIS"/>
      </w:pPr>
      <w:r w:rsidRPr="00970AD2">
        <w:t>Wher</w:t>
      </w:r>
      <w:r w:rsidR="009E076B">
        <w:t>e—</w:t>
      </w:r>
    </w:p>
    <w:p w14:paraId="35DF96D9" w14:textId="7D6C1A9F" w:rsidR="00D924B9" w:rsidRPr="00970AD2" w:rsidRDefault="00DB47F5" w:rsidP="00D633D3">
      <w:pPr>
        <w:pStyle w:val="Subdetailssecondindent"/>
        <w:numPr>
          <w:ilvl w:val="0"/>
          <w:numId w:val="74"/>
        </w:numPr>
      </w:pPr>
      <w:r>
        <w:rPr>
          <w:i/>
          <w:iCs/>
        </w:rPr>
        <w:t>ESF</w:t>
      </w:r>
      <w:r w:rsidR="00D924B9" w:rsidRPr="00970AD2">
        <w:t xml:space="preserve"> is the relevant activity </w:t>
      </w:r>
      <w:r>
        <w:t>energy savings</w:t>
      </w:r>
      <w:r w:rsidR="00D924B9" w:rsidRPr="00970AD2">
        <w:t xml:space="preserve"> value prescribed in </w:t>
      </w:r>
      <w:r w:rsidR="00707468">
        <w:t>t</w:t>
      </w:r>
      <w:r w:rsidR="00D924B9" w:rsidRPr="00970AD2">
        <w:t xml:space="preserve">able </w:t>
      </w:r>
      <w:r w:rsidR="009B1165">
        <w:t>16;</w:t>
      </w:r>
      <w:r w:rsidR="00D924B9" w:rsidRPr="00970AD2">
        <w:t xml:space="preserve"> and </w:t>
      </w:r>
    </w:p>
    <w:p w14:paraId="5DAAD268" w14:textId="77777777" w:rsidR="00D924B9" w:rsidRPr="00970AD2" w:rsidRDefault="00D924B9" w:rsidP="00D633D3">
      <w:pPr>
        <w:pStyle w:val="Subdetailssecondindent"/>
        <w:numPr>
          <w:ilvl w:val="0"/>
          <w:numId w:val="74"/>
        </w:numPr>
      </w:pPr>
      <w:r w:rsidRPr="00865C4D">
        <w:rPr>
          <w:i/>
          <w:iCs/>
        </w:rPr>
        <w:t>Capacity</w:t>
      </w:r>
      <w:r w:rsidRPr="00970AD2">
        <w:t xml:space="preserve"> is the rated heating capacity for the installed model in kW</w:t>
      </w:r>
      <w:r w:rsidR="009B1165">
        <w:t>.</w:t>
      </w:r>
    </w:p>
    <w:p w14:paraId="7D56B5DF" w14:textId="374650AE" w:rsidR="00D924B9" w:rsidRPr="00970AD2" w:rsidRDefault="00D924B9" w:rsidP="004B331D">
      <w:pPr>
        <w:pStyle w:val="Caption"/>
      </w:pPr>
      <w:bookmarkStart w:id="221" w:name="_Toc37945700"/>
      <w:bookmarkStart w:id="222" w:name="_Toc21868121"/>
      <w:bookmarkStart w:id="223" w:name="_Toc21868253"/>
      <w:r w:rsidRPr="00970AD2">
        <w:lastRenderedPageBreak/>
        <w:t xml:space="preserve">Table </w:t>
      </w:r>
      <w:r w:rsidR="004A0156">
        <w:rPr>
          <w:noProof/>
        </w:rPr>
        <w:fldChar w:fldCharType="begin"/>
      </w:r>
      <w:r w:rsidR="004A0156">
        <w:rPr>
          <w:noProof/>
        </w:rPr>
        <w:instrText xml:space="preserve"> SEQ Table \* ARABIC </w:instrText>
      </w:r>
      <w:r w:rsidR="004A0156">
        <w:rPr>
          <w:noProof/>
        </w:rPr>
        <w:fldChar w:fldCharType="separate"/>
      </w:r>
      <w:r w:rsidR="00880CB1">
        <w:rPr>
          <w:noProof/>
        </w:rPr>
        <w:t>16</w:t>
      </w:r>
      <w:r w:rsidR="004A0156">
        <w:rPr>
          <w:noProof/>
        </w:rPr>
        <w:fldChar w:fldCharType="end"/>
      </w:r>
      <w:r w:rsidRPr="00970AD2">
        <w:t xml:space="preserve"> </w:t>
      </w:r>
      <w:r w:rsidR="009E6E7F">
        <w:tab/>
      </w:r>
      <w:r w:rsidR="00C358AC">
        <w:t>Activity</w:t>
      </w:r>
      <w:r w:rsidR="00D85CB2">
        <w:t xml:space="preserve"> ID</w:t>
      </w:r>
      <w:r w:rsidR="00C358AC">
        <w:t xml:space="preserve"> 2.4</w:t>
      </w:r>
      <w:r w:rsidRPr="00970AD2">
        <w:t xml:space="preserve"> </w:t>
      </w:r>
      <w:r w:rsidR="00DB47F5">
        <w:t>energy savings</w:t>
      </w:r>
      <w:r w:rsidRPr="00970AD2">
        <w:t xml:space="preserve"> values for insulated space conditioning ductwork</w:t>
      </w:r>
      <w:bookmarkEnd w:id="221"/>
      <w:r w:rsidRPr="00970AD2">
        <w:t xml:space="preserve"> </w:t>
      </w:r>
      <w:bookmarkEnd w:id="222"/>
      <w:bookmarkEnd w:id="2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528"/>
        <w:gridCol w:w="1621"/>
      </w:tblGrid>
      <w:tr w:rsidR="00FD2636" w:rsidRPr="009B622C" w14:paraId="78C6D90E" w14:textId="77777777" w:rsidTr="004B331D">
        <w:trPr>
          <w:tblHeader/>
        </w:trPr>
        <w:tc>
          <w:tcPr>
            <w:tcW w:w="2093" w:type="dxa"/>
          </w:tcPr>
          <w:p w14:paraId="028C20E7" w14:textId="77777777" w:rsidR="00FD2636" w:rsidRPr="00970AD2" w:rsidRDefault="00FD2636" w:rsidP="004B331D">
            <w:pPr>
              <w:pStyle w:val="Tableheader"/>
              <w:rPr>
                <w:lang w:eastAsia="en-AU"/>
              </w:rPr>
            </w:pPr>
            <w:r w:rsidRPr="00970AD2">
              <w:rPr>
                <w:lang w:eastAsia="en-AU"/>
              </w:rPr>
              <w:t>Activity ID</w:t>
            </w:r>
          </w:p>
        </w:tc>
        <w:tc>
          <w:tcPr>
            <w:tcW w:w="5528" w:type="dxa"/>
          </w:tcPr>
          <w:p w14:paraId="54D6FF2E" w14:textId="77777777" w:rsidR="00FD2636" w:rsidRPr="00970AD2" w:rsidRDefault="00FD2636" w:rsidP="004B331D">
            <w:pPr>
              <w:pStyle w:val="Tableheader"/>
              <w:rPr>
                <w:lang w:eastAsia="en-AU"/>
              </w:rPr>
            </w:pPr>
            <w:r w:rsidRPr="00970AD2">
              <w:rPr>
                <w:lang w:eastAsia="en-AU"/>
              </w:rPr>
              <w:t>Existing Heater Type</w:t>
            </w:r>
          </w:p>
        </w:tc>
        <w:tc>
          <w:tcPr>
            <w:tcW w:w="1621" w:type="dxa"/>
          </w:tcPr>
          <w:p w14:paraId="57086992" w14:textId="1F91F410" w:rsidR="00FD2636" w:rsidRPr="00970AD2" w:rsidRDefault="00DB47F5" w:rsidP="004B331D">
            <w:pPr>
              <w:pStyle w:val="Tableheader"/>
              <w:rPr>
                <w:lang w:eastAsia="en-AU"/>
              </w:rPr>
            </w:pPr>
            <w:r>
              <w:rPr>
                <w:lang w:eastAsia="en-AU"/>
              </w:rPr>
              <w:t>ESF</w:t>
            </w:r>
            <w:r w:rsidR="00FD2636" w:rsidRPr="00970AD2">
              <w:rPr>
                <w:lang w:eastAsia="en-AU"/>
              </w:rPr>
              <w:t xml:space="preserve"> Factor</w:t>
            </w:r>
          </w:p>
        </w:tc>
      </w:tr>
      <w:tr w:rsidR="00FD2636" w:rsidRPr="009B622C" w14:paraId="56815792" w14:textId="77777777" w:rsidTr="00FD2636">
        <w:tc>
          <w:tcPr>
            <w:tcW w:w="2093" w:type="dxa"/>
          </w:tcPr>
          <w:p w14:paraId="7F81F82D" w14:textId="77777777" w:rsidR="00FD2636" w:rsidRPr="00970AD2" w:rsidRDefault="00FD2636" w:rsidP="004B331D">
            <w:pPr>
              <w:pStyle w:val="Tabletext"/>
              <w:rPr>
                <w:lang w:eastAsia="en-AU"/>
              </w:rPr>
            </w:pPr>
            <w:r w:rsidRPr="00970AD2">
              <w:rPr>
                <w:lang w:eastAsia="en-AU"/>
              </w:rPr>
              <w:t>2.4(a)</w:t>
            </w:r>
          </w:p>
        </w:tc>
        <w:tc>
          <w:tcPr>
            <w:tcW w:w="5528" w:type="dxa"/>
          </w:tcPr>
          <w:p w14:paraId="381ACD8F" w14:textId="77777777" w:rsidR="00FD2636" w:rsidRPr="00970AD2" w:rsidRDefault="00FD2636" w:rsidP="004B331D">
            <w:pPr>
              <w:pStyle w:val="Tabletext"/>
              <w:rPr>
                <w:lang w:eastAsia="en-AU"/>
              </w:rPr>
            </w:pPr>
            <w:r w:rsidRPr="00970AD2">
              <w:rPr>
                <w:lang w:eastAsia="en-AU"/>
              </w:rPr>
              <w:t xml:space="preserve">Gas </w:t>
            </w:r>
            <w:r w:rsidR="009B1165">
              <w:rPr>
                <w:lang w:eastAsia="en-AU"/>
              </w:rPr>
              <w:t>d</w:t>
            </w:r>
            <w:r w:rsidRPr="00970AD2">
              <w:rPr>
                <w:lang w:eastAsia="en-AU"/>
              </w:rPr>
              <w:t>ucted</w:t>
            </w:r>
          </w:p>
        </w:tc>
        <w:tc>
          <w:tcPr>
            <w:tcW w:w="1621" w:type="dxa"/>
          </w:tcPr>
          <w:p w14:paraId="774CC07C" w14:textId="3D4CBCEA" w:rsidR="00FD2636" w:rsidRPr="00970AD2" w:rsidRDefault="00590361" w:rsidP="004B331D">
            <w:pPr>
              <w:pStyle w:val="Tabletext"/>
              <w:rPr>
                <w:lang w:eastAsia="en-AU"/>
              </w:rPr>
            </w:pPr>
            <w:r>
              <w:rPr>
                <w:lang w:eastAsia="en-AU"/>
              </w:rPr>
              <w:t>3.249</w:t>
            </w:r>
          </w:p>
        </w:tc>
      </w:tr>
      <w:tr w:rsidR="00FD2636" w:rsidRPr="00D936CF" w14:paraId="654A5CDD" w14:textId="77777777" w:rsidTr="00FD2636">
        <w:tc>
          <w:tcPr>
            <w:tcW w:w="2093" w:type="dxa"/>
          </w:tcPr>
          <w:p w14:paraId="3B096610" w14:textId="77777777" w:rsidR="00FD2636" w:rsidRPr="00970AD2" w:rsidRDefault="00FD2636" w:rsidP="004B331D">
            <w:pPr>
              <w:pStyle w:val="Tabletext"/>
              <w:rPr>
                <w:lang w:eastAsia="en-AU"/>
              </w:rPr>
            </w:pPr>
            <w:r w:rsidRPr="00970AD2">
              <w:rPr>
                <w:lang w:eastAsia="en-AU"/>
              </w:rPr>
              <w:t>2.4(b)</w:t>
            </w:r>
          </w:p>
        </w:tc>
        <w:tc>
          <w:tcPr>
            <w:tcW w:w="5528" w:type="dxa"/>
          </w:tcPr>
          <w:p w14:paraId="729D4E79" w14:textId="77777777" w:rsidR="00FD2636" w:rsidRPr="00970AD2" w:rsidRDefault="00FD2636" w:rsidP="004B331D">
            <w:pPr>
              <w:pStyle w:val="Tabletext"/>
              <w:rPr>
                <w:lang w:eastAsia="en-AU"/>
              </w:rPr>
            </w:pPr>
            <w:r w:rsidRPr="00970AD2">
              <w:rPr>
                <w:lang w:eastAsia="en-AU"/>
              </w:rPr>
              <w:t xml:space="preserve">Electric ducted </w:t>
            </w:r>
            <w:r w:rsidR="009B1165">
              <w:rPr>
                <w:lang w:eastAsia="en-AU"/>
              </w:rPr>
              <w:t>h</w:t>
            </w:r>
            <w:r w:rsidRPr="00970AD2">
              <w:rPr>
                <w:lang w:eastAsia="en-AU"/>
              </w:rPr>
              <w:t>eat pump</w:t>
            </w:r>
          </w:p>
        </w:tc>
        <w:tc>
          <w:tcPr>
            <w:tcW w:w="1621" w:type="dxa"/>
          </w:tcPr>
          <w:p w14:paraId="17D86FEC" w14:textId="43F83234" w:rsidR="00FD2636" w:rsidRPr="00970AD2" w:rsidRDefault="00DB47F5" w:rsidP="004B331D">
            <w:pPr>
              <w:pStyle w:val="Tabletext"/>
              <w:rPr>
                <w:lang w:eastAsia="en-AU"/>
              </w:rPr>
            </w:pPr>
            <w:r>
              <w:rPr>
                <w:lang w:eastAsia="en-AU"/>
              </w:rPr>
              <w:t>0.84</w:t>
            </w:r>
            <w:r w:rsidR="00590361">
              <w:rPr>
                <w:lang w:eastAsia="en-AU"/>
              </w:rPr>
              <w:t>0</w:t>
            </w:r>
          </w:p>
        </w:tc>
      </w:tr>
    </w:tbl>
    <w:p w14:paraId="70D989F6" w14:textId="77777777" w:rsidR="009A649A" w:rsidRPr="00970AD2" w:rsidRDefault="00434394" w:rsidP="004B331D">
      <w:pPr>
        <w:pStyle w:val="Notesandexamples"/>
      </w:pPr>
      <w:r w:rsidRPr="00970AD2">
        <w:t>Note</w:t>
      </w:r>
      <w:r w:rsidRPr="00970AD2">
        <w:tab/>
      </w:r>
      <w:r w:rsidR="009A649A" w:rsidRPr="00970AD2">
        <w:t>Where a gas ducted heater is rated in megajoules per hour (MJ/h) this may be converted to a kW rating by dividing the MJ/h rating by 3.6.</w:t>
      </w:r>
    </w:p>
    <w:p w14:paraId="648E8FFC" w14:textId="77777777" w:rsidR="00C66E92" w:rsidRPr="00762A56" w:rsidRDefault="00D46557" w:rsidP="004B331D">
      <w:pPr>
        <w:pStyle w:val="Sectionheading2"/>
      </w:pPr>
      <w:bookmarkStart w:id="224" w:name="_Toc501441392"/>
      <w:r>
        <w:br w:type="page"/>
      </w:r>
      <w:bookmarkStart w:id="225" w:name="_Toc27560555"/>
      <w:bookmarkStart w:id="226" w:name="_Toc531035050"/>
      <w:bookmarkEnd w:id="224"/>
      <w:r w:rsidR="00C66E92" w:rsidRPr="00762A56">
        <w:lastRenderedPageBreak/>
        <w:t xml:space="preserve">Replace </w:t>
      </w:r>
      <w:r w:rsidR="00C66E92">
        <w:t>separate</w:t>
      </w:r>
      <w:r w:rsidR="00C66E92" w:rsidRPr="00762A56">
        <w:t xml:space="preserve"> central heating and cooling system</w:t>
      </w:r>
      <w:r w:rsidR="00C66E92">
        <w:t>s</w:t>
      </w:r>
      <w:r w:rsidR="00C66E92" w:rsidRPr="00762A56">
        <w:t xml:space="preserve"> </w:t>
      </w:r>
      <w:r w:rsidR="00C66E92">
        <w:t>with a high efficiency central air conditioning heat pump system</w:t>
      </w:r>
      <w:bookmarkEnd w:id="225"/>
      <w:r w:rsidR="00C66E92" w:rsidRPr="00762A56">
        <w:t xml:space="preserve">   </w:t>
      </w:r>
      <w:bookmarkEnd w:id="226"/>
    </w:p>
    <w:p w14:paraId="4C36ACDC" w14:textId="77777777" w:rsidR="00C66E92" w:rsidRPr="00762A56" w:rsidRDefault="00C66E92" w:rsidP="00975415">
      <w:pPr>
        <w:pStyle w:val="Sectionheading3"/>
      </w:pPr>
      <w:r w:rsidRPr="00762A56">
        <w:t xml:space="preserve">Activity </w:t>
      </w:r>
      <w:r w:rsidR="0003303A">
        <w:t>d</w:t>
      </w:r>
      <w:r w:rsidRPr="00762A56">
        <w:t>efinition</w:t>
      </w:r>
    </w:p>
    <w:p w14:paraId="6892467E" w14:textId="77777777" w:rsidR="00C66E92" w:rsidRPr="00762A56" w:rsidRDefault="00C66E92" w:rsidP="00975415">
      <w:pPr>
        <w:pStyle w:val="BodytextEEIS"/>
      </w:pPr>
      <w:r w:rsidRPr="00762A56">
        <w:t xml:space="preserve">In accordance with the prescribed minimum activity performance specifications, this activity involves the replacement of </w:t>
      </w:r>
      <w:r>
        <w:t>separate central heating and cooling systems with a high efficiency central heat pump system/s</w:t>
      </w:r>
      <w:r w:rsidR="00D87314">
        <w:t>—</w:t>
      </w:r>
      <w:r w:rsidRPr="00762A56">
        <w:t xml:space="preserve"> </w:t>
      </w:r>
    </w:p>
    <w:p w14:paraId="4EA7300E" w14:textId="77777777" w:rsidR="00C66E92" w:rsidRDefault="00C66E92" w:rsidP="00D633D3">
      <w:pPr>
        <w:pStyle w:val="Subdetailsfirstindent"/>
        <w:numPr>
          <w:ilvl w:val="0"/>
          <w:numId w:val="75"/>
        </w:numPr>
      </w:pPr>
      <w:r w:rsidRPr="00865C4D">
        <w:rPr>
          <w:b/>
          <w:bCs/>
        </w:rPr>
        <w:t>Activity ID 2.5(a)</w:t>
      </w:r>
      <w:r>
        <w:t xml:space="preserve"> </w:t>
      </w:r>
      <w:r w:rsidRPr="00AD77D8">
        <w:t>– Not active</w:t>
      </w:r>
      <w:r>
        <w:t>; or</w:t>
      </w:r>
    </w:p>
    <w:p w14:paraId="7EEB7295" w14:textId="77777777" w:rsidR="00C66E92" w:rsidRPr="00823AAF" w:rsidRDefault="00C66E92" w:rsidP="00D633D3">
      <w:pPr>
        <w:pStyle w:val="Subdetailsfirstindent"/>
        <w:numPr>
          <w:ilvl w:val="0"/>
          <w:numId w:val="75"/>
        </w:numPr>
      </w:pPr>
      <w:r w:rsidRPr="00865C4D">
        <w:rPr>
          <w:b/>
          <w:bCs/>
        </w:rPr>
        <w:t>Activity ID 2.5(b)</w:t>
      </w:r>
      <w:r>
        <w:t xml:space="preserve"> </w:t>
      </w:r>
      <w:r w:rsidR="00D87314">
        <w:t>–</w:t>
      </w:r>
      <w:r w:rsidRPr="00AD77D8">
        <w:t xml:space="preserve"> Business premises</w:t>
      </w:r>
      <w:r w:rsidR="00D87314">
        <w:t>,</w:t>
      </w:r>
      <w:r>
        <w:t xml:space="preserve"> defined as</w:t>
      </w:r>
      <w:r w:rsidR="00D87314">
        <w:t>—</w:t>
      </w:r>
    </w:p>
    <w:p w14:paraId="2997B4BE" w14:textId="77777777" w:rsidR="00C66E92" w:rsidRDefault="00D87314" w:rsidP="00D633D3">
      <w:pPr>
        <w:pStyle w:val="Subdetailssecondindent"/>
        <w:numPr>
          <w:ilvl w:val="0"/>
          <w:numId w:val="76"/>
        </w:numPr>
      </w:pPr>
      <w:r>
        <w:t>h</w:t>
      </w:r>
      <w:r w:rsidR="00C66E92" w:rsidRPr="00605125">
        <w:t>igh internal heat loads</w:t>
      </w:r>
      <w:r>
        <w:t xml:space="preserve"> (category 1)</w:t>
      </w:r>
      <w:r w:rsidR="00C66E92" w:rsidRPr="00562193">
        <w:t>;</w:t>
      </w:r>
    </w:p>
    <w:p w14:paraId="3BFDA52E" w14:textId="77777777" w:rsidR="00C66E92" w:rsidRPr="00562193" w:rsidRDefault="00D87314" w:rsidP="00D633D3">
      <w:pPr>
        <w:pStyle w:val="Subdetailssecondindent"/>
        <w:numPr>
          <w:ilvl w:val="0"/>
          <w:numId w:val="76"/>
        </w:numPr>
      </w:pPr>
      <w:r>
        <w:t>l</w:t>
      </w:r>
      <w:r w:rsidR="00C66E92">
        <w:t>ow</w:t>
      </w:r>
      <w:r w:rsidR="00C66E92" w:rsidRPr="00605125">
        <w:t xml:space="preserve"> internal heat loads</w:t>
      </w:r>
      <w:r>
        <w:t xml:space="preserve"> (category 2)</w:t>
      </w:r>
      <w:r w:rsidR="00C66E92" w:rsidRPr="00562193">
        <w:t>; or</w:t>
      </w:r>
    </w:p>
    <w:p w14:paraId="0CB6AC7B" w14:textId="77777777" w:rsidR="00C66E92" w:rsidRDefault="00D87314" w:rsidP="00D633D3">
      <w:pPr>
        <w:pStyle w:val="Subdetailssecondindent"/>
        <w:numPr>
          <w:ilvl w:val="0"/>
          <w:numId w:val="76"/>
        </w:numPr>
      </w:pPr>
      <w:r>
        <w:t>o</w:t>
      </w:r>
      <w:r w:rsidR="00C66E92">
        <w:t>ther</w:t>
      </w:r>
      <w:r w:rsidR="00C66E92" w:rsidRPr="00605125">
        <w:t xml:space="preserve"> internal heat loads</w:t>
      </w:r>
      <w:r>
        <w:t xml:space="preserve"> (category 3).</w:t>
      </w:r>
    </w:p>
    <w:p w14:paraId="5703AB32" w14:textId="77777777" w:rsidR="00C66E92" w:rsidRDefault="00C66E92" w:rsidP="00975415">
      <w:pPr>
        <w:pStyle w:val="Notesandexamples"/>
      </w:pPr>
      <w:r w:rsidRPr="00970AD2">
        <w:t>Note</w:t>
      </w:r>
      <w:r w:rsidRPr="00970AD2">
        <w:tab/>
      </w:r>
      <w:r w:rsidRPr="00823AAF">
        <w:t>The</w:t>
      </w:r>
      <w:r>
        <w:t xml:space="preserve"> business premises </w:t>
      </w:r>
      <w:r w:rsidRPr="00823AAF">
        <w:t xml:space="preserve">categories are </w:t>
      </w:r>
      <w:r>
        <w:t>further de</w:t>
      </w:r>
      <w:r w:rsidRPr="00823AAF">
        <w:t xml:space="preserve">fined in </w:t>
      </w:r>
      <w:r>
        <w:t>s</w:t>
      </w:r>
      <w:r w:rsidRPr="00823AAF">
        <w:t xml:space="preserve">ection </w:t>
      </w:r>
      <w:r w:rsidR="00901970">
        <w:t>2.5.</w:t>
      </w:r>
      <w:r w:rsidRPr="00823AAF">
        <w:t xml:space="preserve">5, </w:t>
      </w:r>
      <w:r>
        <w:t>t</w:t>
      </w:r>
      <w:r w:rsidRPr="00823AAF">
        <w:t xml:space="preserve">able </w:t>
      </w:r>
      <w:r w:rsidR="00901970">
        <w:t>17</w:t>
      </w:r>
      <w:r w:rsidRPr="00823AAF">
        <w:t>.</w:t>
      </w:r>
    </w:p>
    <w:p w14:paraId="42CB8610" w14:textId="77777777" w:rsidR="00F84587" w:rsidRPr="00E104BC" w:rsidRDefault="00F84587" w:rsidP="00975415">
      <w:pPr>
        <w:pStyle w:val="Notesandexamples"/>
      </w:pPr>
      <w:r>
        <w:t>Note</w:t>
      </w:r>
      <w:r>
        <w:tab/>
        <w:t xml:space="preserve">The numbering system used </w:t>
      </w:r>
      <w:r w:rsidR="00901970">
        <w:t>above</w:t>
      </w:r>
      <w:r>
        <w:t xml:space="preserve"> relates to the tables in section </w:t>
      </w:r>
      <w:r w:rsidR="00901970">
        <w:t>2.5.</w:t>
      </w:r>
      <w:r>
        <w:t>5.</w:t>
      </w:r>
    </w:p>
    <w:p w14:paraId="14E2F90B" w14:textId="77777777" w:rsidR="00C66E92" w:rsidRDefault="00C66E92" w:rsidP="00975415">
      <w:pPr>
        <w:pStyle w:val="Sectionheading4"/>
      </w:pPr>
      <w:r w:rsidRPr="00513D23">
        <w:t>Pre-existing heating condition</w:t>
      </w:r>
    </w:p>
    <w:p w14:paraId="6278DDAE" w14:textId="77777777" w:rsidR="00C66E92" w:rsidRDefault="00C66E92" w:rsidP="00975415">
      <w:pPr>
        <w:pStyle w:val="BodytextEEIS"/>
      </w:pPr>
      <w:r>
        <w:t xml:space="preserve">For </w:t>
      </w:r>
      <w:r w:rsidR="00901970">
        <w:t>A</w:t>
      </w:r>
      <w:r>
        <w:t>ctivity</w:t>
      </w:r>
      <w:r w:rsidR="00901970">
        <w:t xml:space="preserve"> </w:t>
      </w:r>
      <w:r>
        <w:t>2.5, the pre-existing heating condition must be one of the following</w:t>
      </w:r>
      <w:r w:rsidR="00901970">
        <w:t>—</w:t>
      </w:r>
      <w:r>
        <w:t xml:space="preserve"> </w:t>
      </w:r>
    </w:p>
    <w:p w14:paraId="51DD4F60" w14:textId="77777777" w:rsidR="00C66E92" w:rsidRDefault="00901970" w:rsidP="00D633D3">
      <w:pPr>
        <w:pStyle w:val="Subdetailsfirstindent"/>
        <w:numPr>
          <w:ilvl w:val="0"/>
          <w:numId w:val="77"/>
        </w:numPr>
      </w:pPr>
      <w:r>
        <w:t>q</w:t>
      </w:r>
      <w:r w:rsidR="00C66E92">
        <w:t>ualifying fixed electric systems – a fixed electric central heater and a fixed electric central cooler (must service more than 70</w:t>
      </w:r>
      <w:r w:rsidR="00C66E92" w:rsidRPr="00762A56">
        <w:t>m</w:t>
      </w:r>
      <w:r w:rsidR="00C66E92" w:rsidRPr="00975415">
        <w:rPr>
          <w:vertAlign w:val="superscript"/>
        </w:rPr>
        <w:t>2</w:t>
      </w:r>
      <w:r w:rsidR="00C66E92">
        <w:t xml:space="preserve">). All fixed electric central heater systems are eligible. Fixed electric central cooler systems must </w:t>
      </w:r>
      <w:r w:rsidR="00F62E69">
        <w:t xml:space="preserve">use refrigerative cooling </w:t>
      </w:r>
      <w:r w:rsidR="00C66E92">
        <w:t>technology (</w:t>
      </w:r>
      <w:r w:rsidR="00F62E69">
        <w:t>heat pumps and chillers</w:t>
      </w:r>
      <w:r w:rsidR="00C66E92">
        <w:t>)</w:t>
      </w:r>
      <w:r>
        <w:t>; or</w:t>
      </w:r>
    </w:p>
    <w:p w14:paraId="323AF6AF" w14:textId="77777777" w:rsidR="00C66E92" w:rsidRDefault="00901970" w:rsidP="00D633D3">
      <w:pPr>
        <w:pStyle w:val="Subdetailsfirstindent"/>
        <w:numPr>
          <w:ilvl w:val="0"/>
          <w:numId w:val="77"/>
        </w:numPr>
      </w:pPr>
      <w:r>
        <w:t>q</w:t>
      </w:r>
      <w:r w:rsidR="00C66E92">
        <w:t>ualifying fixed gas heater and electric cooler – a fixed gas central heater and a fixed electric central cooler (must service more than 70</w:t>
      </w:r>
      <w:r w:rsidR="00C66E92" w:rsidRPr="00762A56">
        <w:t>m</w:t>
      </w:r>
      <w:r w:rsidR="00C66E92" w:rsidRPr="00975415">
        <w:rPr>
          <w:vertAlign w:val="superscript"/>
        </w:rPr>
        <w:t>2</w:t>
      </w:r>
      <w:r w:rsidR="00C66E92">
        <w:t xml:space="preserve">). All fixed flued gas central heater systems are eligible. </w:t>
      </w:r>
      <w:r w:rsidR="00C66E92" w:rsidRPr="00762A56">
        <w:t>Portable or unflued gas heaters of any description are ineligible</w:t>
      </w:r>
      <w:r w:rsidR="00C66E92">
        <w:t xml:space="preserve">. </w:t>
      </w:r>
      <w:r w:rsidR="00F62E69">
        <w:t>Fixed electric central cooler systems must use refrigerative cooling technology (heat pumps and chillers).</w:t>
      </w:r>
    </w:p>
    <w:p w14:paraId="1B166521" w14:textId="77777777" w:rsidR="00C66E92" w:rsidRDefault="00C66E92" w:rsidP="00975415">
      <w:pPr>
        <w:pStyle w:val="Sectionheading4"/>
      </w:pPr>
      <w:r>
        <w:t>New installation</w:t>
      </w:r>
      <w:r w:rsidRPr="00513D23">
        <w:t xml:space="preserve"> condition</w:t>
      </w:r>
    </w:p>
    <w:p w14:paraId="45325664" w14:textId="77777777" w:rsidR="00C66E92" w:rsidRPr="00A225CE" w:rsidRDefault="00C66E92" w:rsidP="00975415">
      <w:pPr>
        <w:pStyle w:val="BodytextEEIS"/>
      </w:pPr>
      <w:r>
        <w:t>For Activity 2.5, the new installation includes one of the following</w:t>
      </w:r>
      <w:r w:rsidR="00901970">
        <w:t>—</w:t>
      </w:r>
    </w:p>
    <w:p w14:paraId="37290508" w14:textId="77777777" w:rsidR="00C66E92" w:rsidRPr="00876379" w:rsidRDefault="00901970" w:rsidP="00D633D3">
      <w:pPr>
        <w:pStyle w:val="Subdetailsfirstindent"/>
        <w:numPr>
          <w:ilvl w:val="0"/>
          <w:numId w:val="78"/>
        </w:numPr>
      </w:pPr>
      <w:r>
        <w:t>a</w:t>
      </w:r>
      <w:r w:rsidR="00C66E92" w:rsidRPr="00B20135">
        <w:t xml:space="preserve"> high efficiency central ducted reverse cycle air conditioning heat pump </w:t>
      </w:r>
      <w:r w:rsidR="00C66E92" w:rsidRPr="00876379">
        <w:t>(</w:t>
      </w:r>
      <w:r w:rsidR="00C66E92">
        <w:t>c</w:t>
      </w:r>
      <w:r w:rsidR="00C66E92" w:rsidRPr="00876379">
        <w:t xml:space="preserve">entral ducted heat pump); </w:t>
      </w:r>
    </w:p>
    <w:p w14:paraId="3BB2E16B" w14:textId="77777777" w:rsidR="00C66E92" w:rsidRDefault="00901970" w:rsidP="00D633D3">
      <w:pPr>
        <w:pStyle w:val="Subdetailsfirstindent"/>
        <w:numPr>
          <w:ilvl w:val="0"/>
          <w:numId w:val="78"/>
        </w:numPr>
      </w:pPr>
      <w:r>
        <w:t>a</w:t>
      </w:r>
      <w:r w:rsidR="00C66E92" w:rsidRPr="00B20135">
        <w:t xml:space="preserve"> high efficiency central non-ducted reverse cycle multi</w:t>
      </w:r>
      <w:r w:rsidR="00A95988">
        <w:t>-</w:t>
      </w:r>
      <w:r w:rsidR="00C66E92" w:rsidRPr="00B20135">
        <w:t>split air conditioning heat pump</w:t>
      </w:r>
      <w:r w:rsidR="00C66E92" w:rsidRPr="00876379">
        <w:t xml:space="preserve"> (</w:t>
      </w:r>
      <w:r w:rsidR="00C66E92">
        <w:t>c</w:t>
      </w:r>
      <w:r w:rsidR="00C66E92" w:rsidRPr="00876379">
        <w:t>entral non-ducted heat pump)</w:t>
      </w:r>
      <w:r w:rsidR="00C66E92">
        <w:t xml:space="preserve"> or t</w:t>
      </w:r>
      <w:r w:rsidR="00C66E92" w:rsidRPr="00B20135">
        <w:t>wo or more high efficiency reverse cycle single split air conditioning room heat pumps</w:t>
      </w:r>
      <w:r w:rsidR="00C66E92" w:rsidRPr="002936F4">
        <w:t xml:space="preserve"> (room heat pumps)</w:t>
      </w:r>
      <w:r w:rsidR="00C66E92">
        <w:t>; or</w:t>
      </w:r>
    </w:p>
    <w:p w14:paraId="587E93B8" w14:textId="77777777" w:rsidR="00C66E92" w:rsidRPr="00B20135" w:rsidRDefault="00901970" w:rsidP="00D633D3">
      <w:pPr>
        <w:pStyle w:val="Subdetailsfirstindent"/>
        <w:numPr>
          <w:ilvl w:val="0"/>
          <w:numId w:val="78"/>
        </w:numPr>
      </w:pPr>
      <w:r>
        <w:t>c</w:t>
      </w:r>
      <w:r w:rsidR="00C66E92" w:rsidRPr="009131F9">
        <w:t xml:space="preserve">entral ducted heat pump compliant with the provisions of </w:t>
      </w:r>
      <w:r>
        <w:t>s</w:t>
      </w:r>
      <w:r w:rsidR="00C66E92" w:rsidRPr="009131F9">
        <w:t xml:space="preserve">ection </w:t>
      </w:r>
      <w:r>
        <w:t>2.5.</w:t>
      </w:r>
      <w:r w:rsidR="00C66E92" w:rsidRPr="009131F9">
        <w:t>3(</w:t>
      </w:r>
      <w:r w:rsidR="00C66E92">
        <w:t>f</w:t>
      </w:r>
      <w:r w:rsidR="00C66E92" w:rsidRPr="009131F9">
        <w:t>)i</w:t>
      </w:r>
      <w:r w:rsidR="00C66E92">
        <w:t>i</w:t>
      </w:r>
      <w:r w:rsidR="00C66E92" w:rsidRPr="009131F9">
        <w:t>(2)</w:t>
      </w:r>
      <w:r w:rsidR="00C66E92">
        <w:t>.</w:t>
      </w:r>
    </w:p>
    <w:p w14:paraId="0AF5EF7C" w14:textId="77777777" w:rsidR="00C66E92" w:rsidRPr="00762A56" w:rsidRDefault="00C66E92" w:rsidP="00975415">
      <w:pPr>
        <w:pStyle w:val="Sectionheading3"/>
      </w:pPr>
      <w:r w:rsidRPr="00762A56">
        <w:t>Minimum activity performance specifications</w:t>
      </w:r>
    </w:p>
    <w:p w14:paraId="17F12245" w14:textId="77777777" w:rsidR="00C66E92" w:rsidRDefault="00C66E92" w:rsidP="00975415">
      <w:pPr>
        <w:pStyle w:val="BodytextEEIS"/>
        <w:rPr>
          <w:bCs/>
        </w:rPr>
      </w:pPr>
      <w:r w:rsidRPr="00762A56">
        <w:t>To be an eligible activity the activity must</w:t>
      </w:r>
      <w:r w:rsidRPr="00762A56">
        <w:rPr>
          <w:bCs/>
        </w:rPr>
        <w:t>—</w:t>
      </w:r>
    </w:p>
    <w:p w14:paraId="18BC69B7" w14:textId="77777777" w:rsidR="00C66E92" w:rsidRDefault="00C66E92" w:rsidP="00D633D3">
      <w:pPr>
        <w:pStyle w:val="Subdetailsfirstindent"/>
        <w:numPr>
          <w:ilvl w:val="0"/>
          <w:numId w:val="79"/>
        </w:numPr>
      </w:pPr>
      <w:r w:rsidRPr="00605125">
        <w:t>be undertaken at an eligible business premises</w:t>
      </w:r>
      <w:r>
        <w:t xml:space="preserve">; </w:t>
      </w:r>
    </w:p>
    <w:p w14:paraId="0F30513F" w14:textId="23AABC86" w:rsidR="00C66E92" w:rsidRPr="00605125" w:rsidRDefault="00C66E92" w:rsidP="00D633D3">
      <w:pPr>
        <w:pStyle w:val="Subdetailsfirstindent"/>
        <w:numPr>
          <w:ilvl w:val="0"/>
          <w:numId w:val="79"/>
        </w:numPr>
      </w:pPr>
      <w:r>
        <w:t xml:space="preserve">include the removal and decommissioning of any pre-existing heater that is used in section </w:t>
      </w:r>
      <w:r w:rsidR="00901970">
        <w:t>2.5.</w:t>
      </w:r>
      <w:r>
        <w:t xml:space="preserve">5 to determine an </w:t>
      </w:r>
      <w:r w:rsidR="00BA31EE">
        <w:t>energy savings</w:t>
      </w:r>
      <w:r>
        <w:t xml:space="preserve"> factor; </w:t>
      </w:r>
    </w:p>
    <w:p w14:paraId="4BA9A777" w14:textId="77777777" w:rsidR="00C66E92" w:rsidRDefault="00C66E92" w:rsidP="00D633D3">
      <w:pPr>
        <w:pStyle w:val="Subdetailsfirstindent"/>
        <w:numPr>
          <w:ilvl w:val="0"/>
          <w:numId w:val="79"/>
        </w:numPr>
      </w:pPr>
      <w:r w:rsidRPr="00605125">
        <w:t xml:space="preserve">be undertaken using a product or products meeting the installed product requirements in </w:t>
      </w:r>
      <w:r>
        <w:t>s</w:t>
      </w:r>
      <w:r w:rsidRPr="00605125">
        <w:t xml:space="preserve">ection </w:t>
      </w:r>
      <w:r w:rsidR="00901970">
        <w:t>2.5.</w:t>
      </w:r>
      <w:r w:rsidRPr="00605125">
        <w:t xml:space="preserve">3; </w:t>
      </w:r>
    </w:p>
    <w:p w14:paraId="468A684E" w14:textId="77777777" w:rsidR="00C66E92" w:rsidRPr="00762A56" w:rsidRDefault="00C66E92" w:rsidP="00D633D3">
      <w:pPr>
        <w:pStyle w:val="Subdetailsfirstindent"/>
        <w:numPr>
          <w:ilvl w:val="0"/>
          <w:numId w:val="79"/>
        </w:numPr>
      </w:pPr>
      <w:r w:rsidRPr="00012574">
        <w:lastRenderedPageBreak/>
        <w:t xml:space="preserve">be undertaken together with </w:t>
      </w:r>
      <w:r w:rsidR="00901970">
        <w:t>A</w:t>
      </w:r>
      <w:r w:rsidRPr="00012574">
        <w:t xml:space="preserve">ctivity 2.4 for the insulation of ductwork, where the new product requires ductwork and where existing ductwork connected to a replaced heater does not meet the installed product requirements in section </w:t>
      </w:r>
      <w:r w:rsidR="00901970">
        <w:t>2.4.</w:t>
      </w:r>
      <w:r w:rsidRPr="00012574">
        <w:t>3;</w:t>
      </w:r>
      <w:r>
        <w:t xml:space="preserve"> </w:t>
      </w:r>
    </w:p>
    <w:p w14:paraId="46D05DA4" w14:textId="77777777" w:rsidR="00C66E92" w:rsidRPr="00762A56" w:rsidRDefault="00C66E92" w:rsidP="00D633D3">
      <w:pPr>
        <w:pStyle w:val="Subdetailsfirstindent"/>
        <w:numPr>
          <w:ilvl w:val="0"/>
          <w:numId w:val="79"/>
        </w:numPr>
      </w:pPr>
      <w:r w:rsidRPr="00762A56">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14:paraId="42A5263C" w14:textId="77777777" w:rsidR="00C66E92" w:rsidRPr="00876379" w:rsidRDefault="00C66E92" w:rsidP="00D633D3">
      <w:pPr>
        <w:pStyle w:val="Subdetailsfirstindent"/>
        <w:numPr>
          <w:ilvl w:val="0"/>
          <w:numId w:val="79"/>
        </w:numPr>
      </w:pPr>
      <w:r w:rsidRPr="00876379">
        <w:t>be recorded in accordance with any relevant code of practice for the activity.</w:t>
      </w:r>
    </w:p>
    <w:p w14:paraId="54B8947A" w14:textId="77777777" w:rsidR="00C66E92" w:rsidRPr="00762A56" w:rsidRDefault="00C66E92" w:rsidP="00975415">
      <w:pPr>
        <w:pStyle w:val="Notesandexamples"/>
      </w:pPr>
      <w:r w:rsidRPr="00762A56">
        <w:t>Note</w:t>
      </w:r>
      <w:r w:rsidRPr="00762A56">
        <w:tab/>
        <w:t>All activities are subject to independent inspection or audit to confirm compliance with prescribed activity requirements</w:t>
      </w:r>
    </w:p>
    <w:p w14:paraId="4824ED81" w14:textId="77777777" w:rsidR="00C66E92" w:rsidRPr="00762A56" w:rsidRDefault="00C66E92" w:rsidP="00975415">
      <w:pPr>
        <w:pStyle w:val="Sectionheading3"/>
      </w:pPr>
      <w:r w:rsidRPr="00762A56">
        <w:t xml:space="preserve">Installed </w:t>
      </w:r>
      <w:r w:rsidRPr="00762A56">
        <w:rPr>
          <w:szCs w:val="22"/>
        </w:rPr>
        <w:t>product</w:t>
      </w:r>
      <w:r w:rsidRPr="00762A56">
        <w:t xml:space="preserve"> requirements  </w:t>
      </w:r>
    </w:p>
    <w:p w14:paraId="4BB837E4" w14:textId="77777777" w:rsidR="00C66E92" w:rsidRDefault="00C66E92" w:rsidP="00975415">
      <w:pPr>
        <w:pStyle w:val="BodytextEEIS"/>
      </w:pPr>
      <w:r>
        <w:t>An installed product must be a high efficiency central air conditioning heat pump that</w:t>
      </w:r>
      <w:r w:rsidR="00901970">
        <w:t>—</w:t>
      </w:r>
    </w:p>
    <w:p w14:paraId="75451159" w14:textId="77777777" w:rsidR="00C66E92" w:rsidRDefault="00C66E92" w:rsidP="00D633D3">
      <w:pPr>
        <w:pStyle w:val="Subdetailsfirstindent"/>
        <w:numPr>
          <w:ilvl w:val="0"/>
          <w:numId w:val="80"/>
        </w:numPr>
      </w:pPr>
      <w:r>
        <w:t xml:space="preserve">is listed in the register of products for the activity; </w:t>
      </w:r>
    </w:p>
    <w:p w14:paraId="75B77645" w14:textId="77777777" w:rsidR="00C66E92" w:rsidRDefault="00C66E92" w:rsidP="00D633D3">
      <w:pPr>
        <w:pStyle w:val="Subdetailsfirstindent"/>
        <w:numPr>
          <w:ilvl w:val="0"/>
          <w:numId w:val="80"/>
        </w:numPr>
      </w:pPr>
      <w:r>
        <w:t xml:space="preserve">has a minimum product warranty of </w:t>
      </w:r>
      <w:r w:rsidR="00901970">
        <w:t>two</w:t>
      </w:r>
      <w:r>
        <w:t xml:space="preserve"> years; </w:t>
      </w:r>
    </w:p>
    <w:p w14:paraId="1A41277C" w14:textId="77777777" w:rsidR="00C66E92" w:rsidRPr="00D94219" w:rsidRDefault="00C66E92" w:rsidP="00D633D3">
      <w:pPr>
        <w:pStyle w:val="Subdetailsfirstindent"/>
        <w:numPr>
          <w:ilvl w:val="0"/>
          <w:numId w:val="80"/>
        </w:numPr>
      </w:pPr>
      <w:r w:rsidRPr="00762A56">
        <w:t xml:space="preserve">complies with Minimum Energy Performance Standard (MEPS) requirements (AS/NZS 3823); </w:t>
      </w:r>
    </w:p>
    <w:p w14:paraId="5094819C" w14:textId="77777777" w:rsidR="00C66E92" w:rsidRDefault="00C66E92" w:rsidP="00D633D3">
      <w:pPr>
        <w:pStyle w:val="Subdetailsfirstindent"/>
        <w:numPr>
          <w:ilvl w:val="0"/>
          <w:numId w:val="80"/>
        </w:numPr>
      </w:pPr>
      <w:r>
        <w:t xml:space="preserve">is capable of heating an area that is comparable to the system being replaced (where applicable); </w:t>
      </w:r>
    </w:p>
    <w:p w14:paraId="6C3D1509" w14:textId="77777777" w:rsidR="00C66E92" w:rsidRDefault="00C66E92" w:rsidP="00D633D3">
      <w:pPr>
        <w:pStyle w:val="Subdetailsfirstindent"/>
        <w:numPr>
          <w:ilvl w:val="0"/>
          <w:numId w:val="80"/>
        </w:numPr>
      </w:pPr>
      <w:r>
        <w:t>h</w:t>
      </w:r>
      <w:r w:rsidRPr="00242B3E">
        <w:t>as a</w:t>
      </w:r>
      <w:r>
        <w:t xml:space="preserve"> maximum</w:t>
      </w:r>
      <w:r w:rsidRPr="00242B3E">
        <w:t xml:space="preserve"> rated heating capacity of 65kW</w:t>
      </w:r>
      <w:r w:rsidR="00CF1E90">
        <w:t xml:space="preserve"> for a single business space</w:t>
      </w:r>
      <w:r w:rsidRPr="00242B3E">
        <w:t xml:space="preserve"> (see note </w:t>
      </w:r>
      <w:r>
        <w:t>1</w:t>
      </w:r>
      <w:r w:rsidRPr="00242B3E">
        <w:t xml:space="preserve"> below) at H1 condition (AS/NZS 3823</w:t>
      </w:r>
      <w:r w:rsidR="001F5F05">
        <w:t xml:space="preserve"> </w:t>
      </w:r>
      <w:r w:rsidRPr="00242B3E">
        <w:t>as applicable)</w:t>
      </w:r>
      <w:r>
        <w:t xml:space="preserve">; </w:t>
      </w:r>
    </w:p>
    <w:p w14:paraId="7E5CF287" w14:textId="77777777" w:rsidR="00C66E92" w:rsidRDefault="00C66E92" w:rsidP="00D633D3">
      <w:pPr>
        <w:pStyle w:val="Subdetailsfirstindent"/>
        <w:numPr>
          <w:ilvl w:val="0"/>
          <w:numId w:val="80"/>
        </w:numPr>
      </w:pPr>
      <w:r>
        <w:t xml:space="preserve"> where the installation includes new central ducted or central non-ducted systems</w:t>
      </w:r>
      <w:r w:rsidR="00901970">
        <w:t>—</w:t>
      </w:r>
    </w:p>
    <w:p w14:paraId="4ED11369" w14:textId="77777777" w:rsidR="00C66E92" w:rsidRPr="00B20135" w:rsidRDefault="00C66E92" w:rsidP="00D633D3">
      <w:pPr>
        <w:pStyle w:val="Subdetailssecondindent"/>
        <w:numPr>
          <w:ilvl w:val="0"/>
          <w:numId w:val="81"/>
        </w:numPr>
      </w:pPr>
      <w:r w:rsidRPr="00605125">
        <w:t>has a minimum rated heating capacity of 10kW at H1 condition (AS/NZS 3823 as applicable); and</w:t>
      </w:r>
    </w:p>
    <w:p w14:paraId="45E2926A" w14:textId="77777777" w:rsidR="00C66E92" w:rsidRPr="00975415" w:rsidRDefault="00C66E92" w:rsidP="00D633D3">
      <w:pPr>
        <w:pStyle w:val="Subdetailssecondindent"/>
        <w:numPr>
          <w:ilvl w:val="0"/>
          <w:numId w:val="81"/>
        </w:numPr>
        <w:rPr>
          <w:b/>
          <w:u w:val="single"/>
        </w:rPr>
      </w:pPr>
      <w:r w:rsidRPr="00762A56">
        <w:t xml:space="preserve">achieves a minimum annual coefficient of performance (ACOP) of either: </w:t>
      </w:r>
    </w:p>
    <w:p w14:paraId="2017BC3C" w14:textId="77777777" w:rsidR="00C66E92" w:rsidRPr="006741CB" w:rsidRDefault="00C66E92" w:rsidP="00D633D3">
      <w:pPr>
        <w:pStyle w:val="Subdetailsthirdindent"/>
        <w:numPr>
          <w:ilvl w:val="0"/>
          <w:numId w:val="199"/>
        </w:numPr>
        <w:rPr>
          <w:u w:val="single"/>
        </w:rPr>
      </w:pPr>
      <w:r w:rsidRPr="00762A56">
        <w:t>3.7</w:t>
      </w:r>
      <w:r w:rsidRPr="00762A56" w:rsidDel="000F2149">
        <w:t xml:space="preserve"> </w:t>
      </w:r>
      <w:r w:rsidRPr="00762A56">
        <w:t>at condition H1 (AS/NZS 3823)</w:t>
      </w:r>
      <w:r>
        <w:t xml:space="preserve"> for systems with 10kW and above in heat capacity</w:t>
      </w:r>
      <w:r w:rsidRPr="00762A56">
        <w:t>; or</w:t>
      </w:r>
    </w:p>
    <w:p w14:paraId="499D0776" w14:textId="77777777" w:rsidR="00C66E92" w:rsidRPr="00975415" w:rsidRDefault="00C66E92" w:rsidP="00975415">
      <w:pPr>
        <w:pStyle w:val="Subdetailsthirdindent"/>
        <w:rPr>
          <w:u w:val="single"/>
        </w:rPr>
      </w:pPr>
      <w:r w:rsidRPr="00762A56">
        <w:t>3.</w:t>
      </w:r>
      <w:r>
        <w:t>3</w:t>
      </w:r>
      <w:r w:rsidRPr="00762A56">
        <w:t xml:space="preserve"> at condition H1 (AS/NZS 3823)</w:t>
      </w:r>
      <w:r>
        <w:t xml:space="preserve"> for systems with 14kW and above in heat capacity</w:t>
      </w:r>
      <w:r w:rsidRPr="00C87CF4">
        <w:t xml:space="preserve"> and 3.1 at condition H1 (AS/NZS 3823) for systems with 22kW </w:t>
      </w:r>
      <w:r>
        <w:t xml:space="preserve">and above in </w:t>
      </w:r>
      <w:r w:rsidRPr="00C87CF4">
        <w:t>heat capacity provided that</w:t>
      </w:r>
      <w:r w:rsidRPr="00762A56">
        <w:t xml:space="preserve">: </w:t>
      </w:r>
    </w:p>
    <w:p w14:paraId="28342684" w14:textId="77777777" w:rsidR="00C66E92" w:rsidRPr="00975415" w:rsidRDefault="00C66E92" w:rsidP="00D633D3">
      <w:pPr>
        <w:pStyle w:val="Subdetailsfourthindent"/>
        <w:numPr>
          <w:ilvl w:val="0"/>
          <w:numId w:val="83"/>
        </w:numPr>
        <w:rPr>
          <w:u w:val="single"/>
        </w:rPr>
      </w:pPr>
      <w:r w:rsidRPr="00762A56">
        <w:t xml:space="preserve">the installation is to serve a conditioned floor area of not less than </w:t>
      </w:r>
      <w:r>
        <w:t>70</w:t>
      </w:r>
      <w:r w:rsidRPr="00762A56">
        <w:t>m</w:t>
      </w:r>
      <w:r w:rsidRPr="00975415">
        <w:rPr>
          <w:vertAlign w:val="superscript"/>
        </w:rPr>
        <w:t>2</w:t>
      </w:r>
      <w:r w:rsidRPr="00762A56">
        <w:t xml:space="preserve"> </w:t>
      </w:r>
      <w:r>
        <w:t>for systems 14kW and above in heat capacity and not less than 120</w:t>
      </w:r>
      <w:bookmarkStart w:id="227" w:name="_Hlk8718831"/>
      <w:r w:rsidRPr="00762A56">
        <w:t>m</w:t>
      </w:r>
      <w:r w:rsidRPr="00975415">
        <w:rPr>
          <w:vertAlign w:val="superscript"/>
        </w:rPr>
        <w:t>2</w:t>
      </w:r>
      <w:bookmarkEnd w:id="227"/>
      <w:r>
        <w:t xml:space="preserve"> for systems 22kW and above in heat capacity; </w:t>
      </w:r>
    </w:p>
    <w:p w14:paraId="73B657F6" w14:textId="77777777" w:rsidR="00C66E92" w:rsidRPr="00975415" w:rsidRDefault="00C66E92" w:rsidP="00D633D3">
      <w:pPr>
        <w:pStyle w:val="Subdetailsfourthindent"/>
        <w:numPr>
          <w:ilvl w:val="0"/>
          <w:numId w:val="83"/>
        </w:numPr>
        <w:rPr>
          <w:szCs w:val="22"/>
          <w:u w:val="single"/>
        </w:rPr>
      </w:pPr>
      <w:r w:rsidRPr="00975415">
        <w:rPr>
          <w:szCs w:val="22"/>
        </w:rPr>
        <w:t xml:space="preserve">the </w:t>
      </w:r>
      <w:r w:rsidRPr="00762A56">
        <w:t>unit has been tested and registered for low temperature performance under condition H2 and meets the requirements of AS/NZS</w:t>
      </w:r>
      <w:r w:rsidR="00680FEA">
        <w:t xml:space="preserve"> </w:t>
      </w:r>
      <w:r w:rsidRPr="00762A56">
        <w:t>3823</w:t>
      </w:r>
      <w:r w:rsidR="00744466">
        <w:t xml:space="preserve"> (see note 2 and 3 below)</w:t>
      </w:r>
      <w:r w:rsidRPr="00762A56">
        <w:t>; and</w:t>
      </w:r>
    </w:p>
    <w:p w14:paraId="3559798B" w14:textId="77777777" w:rsidR="00C66E92" w:rsidRPr="00975415" w:rsidRDefault="00C66E92" w:rsidP="00D633D3">
      <w:pPr>
        <w:pStyle w:val="Subdetailsfourthindent"/>
        <w:numPr>
          <w:ilvl w:val="0"/>
          <w:numId w:val="83"/>
        </w:numPr>
        <w:rPr>
          <w:u w:val="single"/>
        </w:rPr>
      </w:pPr>
      <w:r w:rsidRPr="00B20135">
        <w:t>the install</w:t>
      </w:r>
      <w:r w:rsidRPr="008C7139">
        <w:t>ed unit has mandatory variable speed compressor(s) where such products are available</w:t>
      </w:r>
      <w:r w:rsidR="00901970">
        <w:t>; and</w:t>
      </w:r>
    </w:p>
    <w:p w14:paraId="4498A908" w14:textId="77777777" w:rsidR="00C66E92" w:rsidRPr="00C87CF4" w:rsidRDefault="00C66E92" w:rsidP="00975415">
      <w:pPr>
        <w:pStyle w:val="Subdetailsfirstindent"/>
      </w:pPr>
      <w:r>
        <w:t xml:space="preserve"> where the installation includes </w:t>
      </w:r>
      <w:r w:rsidR="00395766">
        <w:t>multiple</w:t>
      </w:r>
      <w:r w:rsidRPr="00605125">
        <w:t xml:space="preserve"> </w:t>
      </w:r>
      <w:r>
        <w:t>room heat pumps</w:t>
      </w:r>
      <w:r w:rsidR="00901970">
        <w:t>—</w:t>
      </w:r>
    </w:p>
    <w:p w14:paraId="2F996216" w14:textId="77777777" w:rsidR="00C66E92" w:rsidRPr="00970AD2" w:rsidRDefault="00C66E92" w:rsidP="00D633D3">
      <w:pPr>
        <w:pStyle w:val="Subdetailssecondindent"/>
        <w:numPr>
          <w:ilvl w:val="0"/>
          <w:numId w:val="84"/>
        </w:numPr>
      </w:pPr>
      <w:r w:rsidRPr="00970AD2">
        <w:t xml:space="preserve">achieves a minimum annual coefficient of performance (ACOP) of either: </w:t>
      </w:r>
    </w:p>
    <w:p w14:paraId="2A54B917" w14:textId="77777777" w:rsidR="00C66E92" w:rsidRPr="00975415" w:rsidRDefault="00C66E92" w:rsidP="00D633D3">
      <w:pPr>
        <w:pStyle w:val="Subdetailsthirdindent"/>
        <w:numPr>
          <w:ilvl w:val="0"/>
          <w:numId w:val="85"/>
        </w:numPr>
        <w:rPr>
          <w:u w:val="single"/>
        </w:rPr>
      </w:pPr>
      <w:r w:rsidRPr="00970AD2">
        <w:t>4.0</w:t>
      </w:r>
      <w:r w:rsidRPr="00970AD2" w:rsidDel="000F2149">
        <w:t xml:space="preserve"> </w:t>
      </w:r>
      <w:r w:rsidRPr="00970AD2">
        <w:t>at condition H1 (AS/NZS 3823); or</w:t>
      </w:r>
    </w:p>
    <w:p w14:paraId="0F4D6BB2" w14:textId="77777777" w:rsidR="00C66E92" w:rsidRPr="00975415" w:rsidRDefault="00C66E92" w:rsidP="00D633D3">
      <w:pPr>
        <w:pStyle w:val="Subdetailsthirdindent"/>
        <w:numPr>
          <w:ilvl w:val="0"/>
          <w:numId w:val="85"/>
        </w:numPr>
        <w:rPr>
          <w:u w:val="single"/>
        </w:rPr>
      </w:pPr>
      <w:r w:rsidRPr="008C7139">
        <w:t xml:space="preserve">3.8 at condition H1 (AS/NZS 3823) provided that: </w:t>
      </w:r>
    </w:p>
    <w:p w14:paraId="282931F4" w14:textId="77777777" w:rsidR="00C66E92" w:rsidRPr="00970AD2" w:rsidRDefault="00C66E92" w:rsidP="00D633D3">
      <w:pPr>
        <w:pStyle w:val="Subdetailsfourthindent"/>
        <w:numPr>
          <w:ilvl w:val="0"/>
          <w:numId w:val="86"/>
        </w:numPr>
      </w:pPr>
      <w:r w:rsidRPr="00970AD2">
        <w:t>the installation is to serve a conditioned floor area of not less</w:t>
      </w:r>
      <w:r>
        <w:t xml:space="preserve"> </w:t>
      </w:r>
      <w:r w:rsidRPr="00970AD2">
        <w:t>than 55m</w:t>
      </w:r>
      <w:r w:rsidRPr="00865C4D">
        <w:rPr>
          <w:vertAlign w:val="superscript"/>
        </w:rPr>
        <w:t>2</w:t>
      </w:r>
      <w:r>
        <w:t xml:space="preserve">; </w:t>
      </w:r>
    </w:p>
    <w:p w14:paraId="4F6E3083" w14:textId="77777777" w:rsidR="00C66E92" w:rsidRDefault="00C66E92" w:rsidP="00D633D3">
      <w:pPr>
        <w:pStyle w:val="Subdetailsfourthindent"/>
        <w:numPr>
          <w:ilvl w:val="0"/>
          <w:numId w:val="86"/>
        </w:numPr>
      </w:pPr>
      <w:r w:rsidRPr="00970AD2">
        <w:lastRenderedPageBreak/>
        <w:t>the unit has been tested and registered for low temperature performance under condition H2 and meets the requirements of AS/NZS</w:t>
      </w:r>
      <w:r w:rsidR="00680FEA">
        <w:t xml:space="preserve"> </w:t>
      </w:r>
      <w:r w:rsidRPr="00970AD2">
        <w:t>3823; and</w:t>
      </w:r>
    </w:p>
    <w:p w14:paraId="5147E762" w14:textId="77777777" w:rsidR="00C66E92" w:rsidRDefault="00C66E92" w:rsidP="00D633D3">
      <w:pPr>
        <w:pStyle w:val="Subdetailsfourthindent"/>
        <w:numPr>
          <w:ilvl w:val="0"/>
          <w:numId w:val="86"/>
        </w:numPr>
      </w:pPr>
      <w:r w:rsidRPr="008C7139">
        <w:t>the unit has a minimum heating capacity of 7 kW at H1 condition (AS/NZS 3823</w:t>
      </w:r>
      <w:r w:rsidR="001F5F05">
        <w:t xml:space="preserve"> </w:t>
      </w:r>
      <w:r w:rsidRPr="008C7139">
        <w:t>as applicable)</w:t>
      </w:r>
      <w:r w:rsidR="00901970">
        <w:t>; and</w:t>
      </w:r>
    </w:p>
    <w:p w14:paraId="4E84739E" w14:textId="77777777" w:rsidR="00C66E92" w:rsidRPr="00B20135" w:rsidRDefault="00EE5E8D" w:rsidP="00975415">
      <w:pPr>
        <w:pStyle w:val="Subdetailssecondindent"/>
      </w:pPr>
      <w:r>
        <w:t xml:space="preserve">the unit </w:t>
      </w:r>
      <w:r w:rsidR="00C66E92">
        <w:t>h</w:t>
      </w:r>
      <w:r w:rsidR="00C66E92" w:rsidRPr="005C7A9C">
        <w:t>as “built-in” demand response capability, for systems &lt;15kW heat capacity, in accordance with AS 4755. In either heating or cooling mode, the device must be capable of operating in DR modes 1, plus mode 2 and/or 3 as defined in AS</w:t>
      </w:r>
      <w:r w:rsidR="009E076B">
        <w:t xml:space="preserve"> </w:t>
      </w:r>
      <w:r w:rsidR="00C66E92" w:rsidRPr="005C7A9C">
        <w:t>4755.</w:t>
      </w:r>
    </w:p>
    <w:p w14:paraId="4A544625" w14:textId="77777777" w:rsidR="00C66E92" w:rsidRPr="00C87CF4" w:rsidRDefault="00C66E92" w:rsidP="00975415">
      <w:pPr>
        <w:pStyle w:val="Notesandexamples"/>
      </w:pPr>
      <w:r w:rsidRPr="00F84587">
        <w:t>Note1</w:t>
      </w:r>
      <w:r w:rsidRPr="00C87CF4">
        <w:t xml:space="preserve"> </w:t>
      </w:r>
      <w:r>
        <w:tab/>
      </w:r>
      <w:bookmarkStart w:id="228" w:name="_Hlk8719304"/>
      <w:r w:rsidRPr="00C87CF4">
        <w:t xml:space="preserve">Multiple heat pump units may be installed up to a maximum combined capacity </w:t>
      </w:r>
      <w:r>
        <w:t>of 65kW for a single business space</w:t>
      </w:r>
      <w:r w:rsidRPr="00C87CF4">
        <w:t xml:space="preserve"> as required to meet the particular heating load. </w:t>
      </w:r>
      <w:bookmarkEnd w:id="228"/>
      <w:r w:rsidRPr="00C87CF4">
        <w:t xml:space="preserve">These may be separate units or </w:t>
      </w:r>
      <w:r w:rsidR="00395766">
        <w:t>central non-ducted</w:t>
      </w:r>
      <w:r w:rsidRPr="00C87CF4">
        <w:t xml:space="preserve"> units provided each unit complies with the eligibility criteria above.</w:t>
      </w:r>
    </w:p>
    <w:p w14:paraId="1E13D9CD" w14:textId="77777777" w:rsidR="00C66E92" w:rsidRPr="00B20135" w:rsidRDefault="00C66E92" w:rsidP="00975415">
      <w:pPr>
        <w:pStyle w:val="Notesandexamples"/>
      </w:pPr>
      <w:r w:rsidRPr="00F84587">
        <w:rPr>
          <w:rFonts w:eastAsia="MS Mincho"/>
        </w:rPr>
        <w:t>Note 2</w:t>
      </w:r>
      <w:r>
        <w:rPr>
          <w:rFonts w:eastAsia="MS Mincho"/>
        </w:rPr>
        <w:tab/>
      </w:r>
      <w:r w:rsidRPr="00B20135">
        <w:rPr>
          <w:rFonts w:eastAsia="MS Mincho"/>
        </w:rPr>
        <w:t xml:space="preserve">The H2 test </w:t>
      </w:r>
      <w:r w:rsidRPr="00B20135">
        <w:t>result can be evidenced, without need for any additional testing via</w:t>
      </w:r>
      <w:r w:rsidR="0048551D">
        <w:t>:</w:t>
      </w:r>
      <w:r w:rsidRPr="00B20135">
        <w:t xml:space="preserve"> </w:t>
      </w:r>
    </w:p>
    <w:p w14:paraId="7A975793" w14:textId="77777777" w:rsidR="00C66E92" w:rsidRPr="00B20135" w:rsidRDefault="0048551D" w:rsidP="00D633D3">
      <w:pPr>
        <w:pStyle w:val="Notesandexamples"/>
        <w:numPr>
          <w:ilvl w:val="0"/>
          <w:numId w:val="158"/>
        </w:numPr>
      </w:pPr>
      <w:r>
        <w:t>t</w:t>
      </w:r>
      <w:r w:rsidR="00C66E92" w:rsidRPr="00B20135">
        <w:t>he product’s H2 test result in the GEMS/E3 air-conditioning database</w:t>
      </w:r>
      <w:r>
        <w:t xml:space="preserve"> </w:t>
      </w:r>
      <w:r w:rsidR="00C66E92" w:rsidRPr="00B20135">
        <w:t>(</w:t>
      </w:r>
      <w:r w:rsidR="00C66E92" w:rsidRPr="00D37FE8">
        <w:rPr>
          <w:rStyle w:val="Hyperlink"/>
          <w:rFonts w:cs="Arial"/>
        </w:rPr>
        <w:t>https://data.gov.au/dataset/energy-rating-for-household-appliances/resource/0973a476-eb0c-45e6-9a18-054f74307843</w:t>
      </w:r>
      <w:r w:rsidR="00C66E92" w:rsidRPr="00B20135">
        <w:t>)</w:t>
      </w:r>
      <w:r>
        <w:t>;</w:t>
      </w:r>
    </w:p>
    <w:p w14:paraId="1B0794E5" w14:textId="77777777" w:rsidR="00C66E92" w:rsidRPr="00B20135" w:rsidRDefault="0048551D" w:rsidP="00D633D3">
      <w:pPr>
        <w:pStyle w:val="Notesandexamples"/>
        <w:numPr>
          <w:ilvl w:val="0"/>
          <w:numId w:val="158"/>
        </w:numPr>
      </w:pPr>
      <w:r>
        <w:t>a</w:t>
      </w:r>
      <w:r w:rsidR="00C66E92" w:rsidRPr="00B20135">
        <w:t>n AHRI certificate, being a certified test certificate from the Air-Conditioning, Heating, and Refrigeration Institute (</w:t>
      </w:r>
      <w:hyperlink r:id="rId13" w:history="1">
        <w:r w:rsidRPr="0029312C">
          <w:rPr>
            <w:rStyle w:val="Hyperlink"/>
            <w:rFonts w:cs="Arial"/>
          </w:rPr>
          <w:t>www.ahrinet.org</w:t>
        </w:r>
      </w:hyperlink>
      <w:r w:rsidR="00C66E92" w:rsidRPr="00B20135">
        <w:t>)</w:t>
      </w:r>
      <w:r>
        <w:t>; or</w:t>
      </w:r>
    </w:p>
    <w:p w14:paraId="0CE7DDA7" w14:textId="77777777" w:rsidR="00C66E92" w:rsidRPr="00B92B9A" w:rsidRDefault="0048551D" w:rsidP="00D633D3">
      <w:pPr>
        <w:pStyle w:val="Notesandexamples"/>
        <w:numPr>
          <w:ilvl w:val="0"/>
          <w:numId w:val="158"/>
        </w:numPr>
      </w:pPr>
      <w:r>
        <w:t>an</w:t>
      </w:r>
      <w:r w:rsidR="00C66E92" w:rsidRPr="00B20135">
        <w:t xml:space="preserve"> Eurovent certificate, being a certified test certificate from the European Association of Air Handling</w:t>
      </w:r>
      <w:r w:rsidR="00C66E92" w:rsidRPr="00B92B9A">
        <w:t xml:space="preserve"> and Refrigerating Equipment Manufacturers (</w:t>
      </w:r>
      <w:r w:rsidR="00C66E92" w:rsidRPr="00D37FE8">
        <w:rPr>
          <w:rStyle w:val="Hyperlink"/>
          <w:rFonts w:cs="Arial"/>
        </w:rPr>
        <w:t>www.eurovent-certification.com</w:t>
      </w:r>
      <w:r w:rsidR="00C66E92" w:rsidRPr="00B92B9A">
        <w:t>)</w:t>
      </w:r>
      <w:r>
        <w:t>.</w:t>
      </w:r>
    </w:p>
    <w:p w14:paraId="362EF595" w14:textId="77777777" w:rsidR="00C66E92" w:rsidRPr="00D94219" w:rsidRDefault="00C66E92" w:rsidP="00975415">
      <w:pPr>
        <w:pStyle w:val="Notesandexamples"/>
        <w:rPr>
          <w:rFonts w:eastAsia="MS Mincho"/>
        </w:rPr>
      </w:pPr>
      <w:r w:rsidRPr="00F84587">
        <w:rPr>
          <w:rFonts w:eastAsia="MS Mincho"/>
        </w:rPr>
        <w:t>Note 3</w:t>
      </w:r>
      <w:r>
        <w:rPr>
          <w:rFonts w:eastAsia="MS Mincho"/>
        </w:rPr>
        <w:t xml:space="preserve"> </w:t>
      </w:r>
      <w:r>
        <w:rPr>
          <w:rFonts w:eastAsia="MS Mincho"/>
        </w:rPr>
        <w:tab/>
      </w:r>
      <w:r w:rsidRPr="00B20135">
        <w:t xml:space="preserve">Where a product does not have an H2 test result, it does need an air enthalpy test or a truncated calorimeter room test spanning </w:t>
      </w:r>
      <w:r w:rsidR="0048551D">
        <w:t>three</w:t>
      </w:r>
      <w:r w:rsidRPr="00B20135">
        <w:t xml:space="preserve"> complete defrost cycles. The use of calorimeter or air enthalpy for H2 tests are outlined in the relevant</w:t>
      </w:r>
      <w:r w:rsidRPr="00B20135">
        <w:rPr>
          <w:rFonts w:eastAsia="MS Mincho"/>
        </w:rPr>
        <w:t xml:space="preserve"> air conditioner type test standards. </w:t>
      </w:r>
    </w:p>
    <w:p w14:paraId="42902B85" w14:textId="680F2D08" w:rsidR="00C66E92" w:rsidRPr="00B20135" w:rsidRDefault="00C66E92" w:rsidP="00975415">
      <w:pPr>
        <w:pStyle w:val="Notesandexamples"/>
        <w:rPr>
          <w:rFonts w:eastAsia="MS Mincho"/>
        </w:rPr>
      </w:pPr>
      <w:r w:rsidRPr="00F84587">
        <w:rPr>
          <w:rFonts w:eastAsia="MS Mincho"/>
        </w:rPr>
        <w:t>Note 4</w:t>
      </w:r>
      <w:r>
        <w:rPr>
          <w:rFonts w:eastAsia="MS Mincho"/>
        </w:rPr>
        <w:tab/>
      </w:r>
      <w:r w:rsidRPr="00B20135">
        <w:t>Products that have been tested and registered for low temperature performance under condition H2 and meet the requirements of AS/NZS</w:t>
      </w:r>
      <w:r w:rsidR="009E076B">
        <w:t xml:space="preserve"> </w:t>
      </w:r>
      <w:r w:rsidRPr="00B20135">
        <w:t xml:space="preserve">3823 earn additional </w:t>
      </w:r>
      <w:r w:rsidR="00BA31EE">
        <w:t>energy savings</w:t>
      </w:r>
      <w:r w:rsidRPr="00B20135">
        <w:t>.</w:t>
      </w:r>
    </w:p>
    <w:p w14:paraId="2FE277B7" w14:textId="77777777" w:rsidR="00C66E92" w:rsidRPr="00762A56" w:rsidRDefault="00C66E92" w:rsidP="00975415">
      <w:pPr>
        <w:pStyle w:val="Sectionheading3"/>
      </w:pPr>
      <w:r w:rsidRPr="00762A56">
        <w:t xml:space="preserve">Time </w:t>
      </w:r>
      <w:r w:rsidR="00462AA0">
        <w:t>a</w:t>
      </w:r>
      <w:r w:rsidRPr="00762A56">
        <w:t xml:space="preserve">ctivity is </w:t>
      </w:r>
      <w:r w:rsidR="00462AA0">
        <w:t>d</w:t>
      </w:r>
      <w:r w:rsidRPr="00762A56">
        <w:t xml:space="preserve">eemed to be </w:t>
      </w:r>
      <w:r w:rsidR="00462AA0">
        <w:t>u</w:t>
      </w:r>
      <w:r w:rsidRPr="00762A56">
        <w:t>ndertaken</w:t>
      </w:r>
    </w:p>
    <w:p w14:paraId="1E177EA0" w14:textId="77777777" w:rsidR="00C66E92" w:rsidRPr="00762A56" w:rsidRDefault="00C66E92" w:rsidP="00975415">
      <w:pPr>
        <w:pStyle w:val="BodytextEEIS"/>
      </w:pPr>
      <w:r w:rsidRPr="00762A56">
        <w:t>The activity is taken to be completed on the day all applicable prescribed activity requirements are completed, including but not limited to the disposal of any waste materials, lodgement of any statutory certifications for gas</w:t>
      </w:r>
      <w:r w:rsidR="00462AA0">
        <w:t xml:space="preserve"> </w:t>
      </w:r>
      <w:r w:rsidRPr="00762A56">
        <w:t xml:space="preserve">fitting work, the completed installation of the new appliance is completed and lodgement of any statutory certifications for electrical work. </w:t>
      </w:r>
    </w:p>
    <w:p w14:paraId="06617D1F" w14:textId="293F6945" w:rsidR="00C66E92" w:rsidRPr="00762A56" w:rsidRDefault="00C66E92" w:rsidP="00975415">
      <w:pPr>
        <w:pStyle w:val="Sectionheading3"/>
        <w:rPr>
          <w:u w:val="single"/>
        </w:rPr>
      </w:pPr>
      <w:r w:rsidRPr="00762A56">
        <w:t xml:space="preserve">Calculation of </w:t>
      </w:r>
      <w:r w:rsidR="00D02470">
        <w:t>energy savings</w:t>
      </w:r>
      <w:r w:rsidRPr="00762A56">
        <w:t xml:space="preserve"> factor</w:t>
      </w:r>
    </w:p>
    <w:p w14:paraId="6509BC31" w14:textId="4C58D180" w:rsidR="00C66E92" w:rsidRPr="00762A56" w:rsidRDefault="00C66E92" w:rsidP="00865C4D">
      <w:pPr>
        <w:pStyle w:val="BodytextEEIS"/>
      </w:pPr>
      <w:r w:rsidRPr="00762A56">
        <w:t xml:space="preserve">The total </w:t>
      </w:r>
      <w:r w:rsidR="00D02470">
        <w:t>energy savings</w:t>
      </w:r>
      <w:r w:rsidRPr="00762A56">
        <w:t xml:space="preserve"> factor in </w:t>
      </w:r>
      <w:r w:rsidR="00880CB1">
        <w:t>Megawatt-hours</w:t>
      </w:r>
      <w:r w:rsidR="00D02470">
        <w:t xml:space="preserve"> (MWh)</w:t>
      </w:r>
      <w:r w:rsidRPr="00762A56">
        <w:t xml:space="preserve"> saved in a premises for the activity is the relevant </w:t>
      </w:r>
      <w:r w:rsidR="00D02470">
        <w:t>energy savings</w:t>
      </w:r>
      <w:r w:rsidRPr="00762A56">
        <w:t xml:space="preserve"> factor for the specified high efficiency central electric space heater installed, exclusive of any </w:t>
      </w:r>
      <w:r w:rsidR="00D02470">
        <w:t>energy savings</w:t>
      </w:r>
      <w:r w:rsidR="00D02470" w:rsidRPr="00762A56">
        <w:t xml:space="preserve"> </w:t>
      </w:r>
      <w:r w:rsidRPr="00762A56">
        <w:t xml:space="preserve"> factor calculated for insulation of ductwork under </w:t>
      </w:r>
      <w:r w:rsidR="0048551D">
        <w:t>section</w:t>
      </w:r>
      <w:r w:rsidR="0048551D" w:rsidRPr="00762A56">
        <w:t xml:space="preserve"> </w:t>
      </w:r>
      <w:r w:rsidRPr="00762A56">
        <w:t>2.4 where required, is determined by using the equations prescribed in this section.</w:t>
      </w:r>
    </w:p>
    <w:p w14:paraId="41858AE7" w14:textId="0669F1F9" w:rsidR="00C66E92" w:rsidRPr="00762A56" w:rsidRDefault="00C66E92" w:rsidP="00D633D3">
      <w:pPr>
        <w:pStyle w:val="Subdetailsfirstindent"/>
        <w:numPr>
          <w:ilvl w:val="0"/>
          <w:numId w:val="87"/>
        </w:numPr>
      </w:pPr>
      <w:r w:rsidRPr="00762A56">
        <w:t xml:space="preserve">The </w:t>
      </w:r>
      <w:r w:rsidR="00D02470">
        <w:t>energy savings</w:t>
      </w:r>
      <w:r w:rsidRPr="00762A56">
        <w:t xml:space="preserve"> factor is calculated as</w:t>
      </w:r>
      <w:r w:rsidRPr="00975415">
        <w:rPr>
          <w:bCs/>
        </w:rPr>
        <w:t>—</w:t>
      </w:r>
    </w:p>
    <w:p w14:paraId="3B2E975C" w14:textId="52A5C032" w:rsidR="00C66E92" w:rsidRPr="00605125" w:rsidRDefault="00D02470" w:rsidP="009E076B">
      <w:pPr>
        <w:pStyle w:val="Formula"/>
      </w:pPr>
      <w:r>
        <w:t>Energy Savings</w:t>
      </w:r>
      <w:r w:rsidR="00C66E92" w:rsidRPr="00605125">
        <w:t xml:space="preserve"> factor (</w:t>
      </w:r>
      <w:r>
        <w:t>MWh</w:t>
      </w:r>
      <w:r w:rsidR="00C66E92" w:rsidRPr="00605125">
        <w:t>) = [</w:t>
      </w:r>
      <w:r>
        <w:t>ESF</w:t>
      </w:r>
      <w:r w:rsidR="00C66E92" w:rsidRPr="00605125">
        <w:t xml:space="preserve">fixed + H2 + </w:t>
      </w:r>
      <w:r>
        <w:t>ESF</w:t>
      </w:r>
      <w:r w:rsidR="00C66E92" w:rsidRPr="00605125">
        <w:t>var × (ACOP–baseline)] × Capacity</w:t>
      </w:r>
    </w:p>
    <w:p w14:paraId="05717D4A" w14:textId="77777777" w:rsidR="00C66E92" w:rsidRPr="004658CE" w:rsidRDefault="00C66E92" w:rsidP="00975415">
      <w:pPr>
        <w:pStyle w:val="BodytextEEIS"/>
      </w:pPr>
      <w:r w:rsidRPr="004658CE">
        <w:t>Where</w:t>
      </w:r>
      <w:r w:rsidR="0048551D">
        <w:t>—</w:t>
      </w:r>
    </w:p>
    <w:p w14:paraId="6DE043B1" w14:textId="7959308D" w:rsidR="00C66E92" w:rsidRPr="00744466" w:rsidRDefault="00D02470" w:rsidP="00D633D3">
      <w:pPr>
        <w:pStyle w:val="Subdetailssecondindent"/>
        <w:numPr>
          <w:ilvl w:val="0"/>
          <w:numId w:val="88"/>
        </w:numPr>
      </w:pPr>
      <w:r>
        <w:rPr>
          <w:i/>
        </w:rPr>
        <w:t>ESF</w:t>
      </w:r>
      <w:r w:rsidR="00C66E92" w:rsidRPr="00BB1D43">
        <w:rPr>
          <w:i/>
          <w:vertAlign w:val="subscript"/>
        </w:rPr>
        <w:t>fixed</w:t>
      </w:r>
      <w:r w:rsidR="00C66E92" w:rsidRPr="00C87CF4">
        <w:t xml:space="preserve">, </w:t>
      </w:r>
      <w:r>
        <w:rPr>
          <w:i/>
        </w:rPr>
        <w:t>ESF</w:t>
      </w:r>
      <w:r w:rsidR="00C66E92" w:rsidRPr="00BB1D43">
        <w:rPr>
          <w:i/>
          <w:vertAlign w:val="subscript"/>
        </w:rPr>
        <w:t>var</w:t>
      </w:r>
      <w:r w:rsidR="00C66E92" w:rsidRPr="00C87CF4">
        <w:t xml:space="preserve"> and </w:t>
      </w:r>
      <w:r w:rsidR="00C66E92" w:rsidRPr="00BB1D43">
        <w:rPr>
          <w:i/>
        </w:rPr>
        <w:t>baseline</w:t>
      </w:r>
      <w:r w:rsidR="00C66E92" w:rsidRPr="00C87CF4">
        <w:t xml:space="preserve"> are the relevant values prescribed in</w:t>
      </w:r>
      <w:r w:rsidR="00C66E92">
        <w:t>:</w:t>
      </w:r>
      <w:r w:rsidR="00C66E92" w:rsidRPr="00C87CF4">
        <w:t xml:space="preserve"> </w:t>
      </w:r>
    </w:p>
    <w:p w14:paraId="4F91C5E6" w14:textId="77777777" w:rsidR="00C66E92" w:rsidRDefault="00707468" w:rsidP="00D633D3">
      <w:pPr>
        <w:pStyle w:val="Subdetailsthirdindent"/>
        <w:numPr>
          <w:ilvl w:val="0"/>
          <w:numId w:val="89"/>
        </w:numPr>
      </w:pPr>
      <w:r>
        <w:t>t</w:t>
      </w:r>
      <w:r w:rsidR="00C66E92" w:rsidRPr="00C87CF4">
        <w:t xml:space="preserve">able </w:t>
      </w:r>
      <w:r w:rsidR="0048551D">
        <w:t>18</w:t>
      </w:r>
      <w:r w:rsidR="00C66E92" w:rsidRPr="00C87CF4">
        <w:t xml:space="preserve"> (business premises – category 1)</w:t>
      </w:r>
      <w:r w:rsidR="00C66E92">
        <w:t>;</w:t>
      </w:r>
      <w:r w:rsidR="00C66E92" w:rsidRPr="00C87CF4">
        <w:t xml:space="preserve"> </w:t>
      </w:r>
    </w:p>
    <w:p w14:paraId="2661F846" w14:textId="77777777" w:rsidR="00C66E92" w:rsidRDefault="00707468" w:rsidP="00D633D3">
      <w:pPr>
        <w:pStyle w:val="Subdetailsthirdindent"/>
        <w:numPr>
          <w:ilvl w:val="0"/>
          <w:numId w:val="89"/>
        </w:numPr>
      </w:pPr>
      <w:r>
        <w:t>t</w:t>
      </w:r>
      <w:r w:rsidR="00C66E92" w:rsidRPr="00C87CF4">
        <w:t xml:space="preserve">able </w:t>
      </w:r>
      <w:r w:rsidR="0048551D">
        <w:t>19</w:t>
      </w:r>
      <w:r w:rsidR="00C66E92" w:rsidRPr="00C87CF4">
        <w:t xml:space="preserve"> (business premises – category 2)</w:t>
      </w:r>
      <w:r w:rsidR="00C66E92">
        <w:t>;</w:t>
      </w:r>
      <w:r w:rsidR="00C66E92" w:rsidRPr="00C87CF4">
        <w:t xml:space="preserve"> or</w:t>
      </w:r>
    </w:p>
    <w:p w14:paraId="177E689A" w14:textId="77777777" w:rsidR="00C66E92" w:rsidRDefault="00707468" w:rsidP="00D633D3">
      <w:pPr>
        <w:pStyle w:val="Subdetailsthirdindent"/>
        <w:numPr>
          <w:ilvl w:val="0"/>
          <w:numId w:val="89"/>
        </w:numPr>
      </w:pPr>
      <w:r>
        <w:t>t</w:t>
      </w:r>
      <w:r w:rsidR="00C66E92" w:rsidRPr="00C87CF4">
        <w:t xml:space="preserve">able </w:t>
      </w:r>
      <w:r w:rsidR="0048551D">
        <w:t>20</w:t>
      </w:r>
      <w:r w:rsidR="00C66E92" w:rsidRPr="00C87CF4">
        <w:t xml:space="preserve"> (business premises – category 3)</w:t>
      </w:r>
    </w:p>
    <w:p w14:paraId="677FA73F" w14:textId="77777777" w:rsidR="00C66E92" w:rsidRPr="00C87CF4" w:rsidRDefault="00C66E92" w:rsidP="00865C4D">
      <w:pPr>
        <w:pStyle w:val="BodytextEEIS"/>
        <w:ind w:left="1800"/>
      </w:pPr>
      <w:r w:rsidRPr="00C87CF4">
        <w:t xml:space="preserve">for the existing heater type (where applicable) and the new product type. </w:t>
      </w:r>
    </w:p>
    <w:p w14:paraId="27400AC8" w14:textId="77777777" w:rsidR="00C66E92" w:rsidRPr="00C87CF4" w:rsidRDefault="00C66E92" w:rsidP="00BB1D43">
      <w:pPr>
        <w:pStyle w:val="Subdetailssecondindent"/>
      </w:pPr>
      <w:r w:rsidRPr="00B20135">
        <w:rPr>
          <w:i/>
        </w:rPr>
        <w:lastRenderedPageBreak/>
        <w:t>ACOP</w:t>
      </w:r>
      <w:r w:rsidRPr="00C87CF4">
        <w:t xml:space="preserve"> is the </w:t>
      </w:r>
      <w:r>
        <w:t>a</w:t>
      </w:r>
      <w:r w:rsidRPr="00C87CF4">
        <w:t xml:space="preserve">nnual </w:t>
      </w:r>
      <w:r>
        <w:t>c</w:t>
      </w:r>
      <w:r w:rsidRPr="00C87CF4">
        <w:t xml:space="preserve">oefficient of </w:t>
      </w:r>
      <w:r>
        <w:t>p</w:t>
      </w:r>
      <w:r w:rsidRPr="00C87CF4">
        <w:t>erformance recorded for the installed model in the Energy Rating database for condition H1. In circumstances where the installed model consists of more than one unit (e.g. multiple single split air-conditioners) then the ACOP shall be calculated as follows:</w:t>
      </w:r>
    </w:p>
    <w:p w14:paraId="5EEA6DE6" w14:textId="77777777" w:rsidR="00C66E92" w:rsidRPr="00C87CF4" w:rsidRDefault="00C66E92" w:rsidP="009E076B">
      <w:pPr>
        <w:pStyle w:val="Formula"/>
        <w:ind w:left="1800"/>
      </w:pPr>
      <w:r w:rsidRPr="00C87CF4">
        <w:t>ACOP = Σ (ACOP</w:t>
      </w:r>
      <w:r w:rsidRPr="00C87CF4">
        <w:rPr>
          <w:vertAlign w:val="subscript"/>
        </w:rPr>
        <w:t xml:space="preserve">1-n  </w:t>
      </w:r>
      <w:r w:rsidRPr="00C87CF4">
        <w:t>x  C</w:t>
      </w:r>
      <w:r w:rsidRPr="00C87CF4">
        <w:rPr>
          <w:vertAlign w:val="subscript"/>
        </w:rPr>
        <w:t>1-n</w:t>
      </w:r>
      <w:r w:rsidRPr="00C87CF4">
        <w:t>) / Σ (C</w:t>
      </w:r>
      <w:r w:rsidRPr="00C87CF4">
        <w:rPr>
          <w:vertAlign w:val="subscript"/>
        </w:rPr>
        <w:t>1-n</w:t>
      </w:r>
      <w:r w:rsidRPr="00C87CF4">
        <w:t>)</w:t>
      </w:r>
    </w:p>
    <w:p w14:paraId="62870930" w14:textId="77777777" w:rsidR="00C66E92" w:rsidRPr="0061165E" w:rsidRDefault="00C66E92" w:rsidP="00865C4D">
      <w:pPr>
        <w:pStyle w:val="BodytextEEIS"/>
        <w:ind w:left="1800"/>
      </w:pPr>
      <w:r w:rsidRPr="0061165E">
        <w:t>Where</w:t>
      </w:r>
      <w:r w:rsidR="0048551D">
        <w:t>—</w:t>
      </w:r>
    </w:p>
    <w:p w14:paraId="71786135" w14:textId="77777777" w:rsidR="00C66E92" w:rsidRPr="004658CE" w:rsidRDefault="00C66E92" w:rsidP="00D633D3">
      <w:pPr>
        <w:pStyle w:val="Subdetailsthirdindent"/>
        <w:numPr>
          <w:ilvl w:val="0"/>
          <w:numId w:val="90"/>
        </w:numPr>
      </w:pPr>
      <w:r w:rsidRPr="00BB1D43">
        <w:rPr>
          <w:i/>
        </w:rPr>
        <w:t>ACOP</w:t>
      </w:r>
      <w:r w:rsidRPr="00507DA4">
        <w:t xml:space="preserve"> </w:t>
      </w:r>
      <w:r w:rsidR="00276A95">
        <w:t>is t</w:t>
      </w:r>
      <w:r w:rsidRPr="00507DA4">
        <w:t>he weighted average ACOP of the individual units installed (units numbered 1 – n)</w:t>
      </w:r>
      <w:r w:rsidR="00276A95">
        <w:t>;</w:t>
      </w:r>
    </w:p>
    <w:p w14:paraId="3236283D" w14:textId="77777777" w:rsidR="00C66E92" w:rsidRPr="0061165E" w:rsidRDefault="00C66E92" w:rsidP="00D633D3">
      <w:pPr>
        <w:pStyle w:val="Subdetailsthirdindent"/>
        <w:numPr>
          <w:ilvl w:val="0"/>
          <w:numId w:val="90"/>
        </w:numPr>
      </w:pPr>
      <w:r w:rsidRPr="00BB1D43">
        <w:rPr>
          <w:i/>
          <w:szCs w:val="22"/>
        </w:rPr>
        <w:t>n</w:t>
      </w:r>
      <w:r w:rsidRPr="00BB1D43">
        <w:rPr>
          <w:szCs w:val="22"/>
        </w:rPr>
        <w:t xml:space="preserve"> </w:t>
      </w:r>
      <w:r w:rsidR="00276A95">
        <w:rPr>
          <w:szCs w:val="22"/>
        </w:rPr>
        <w:t>is</w:t>
      </w:r>
      <w:r w:rsidRPr="00BB1D43">
        <w:rPr>
          <w:szCs w:val="22"/>
        </w:rPr>
        <w:t xml:space="preserve"> the total number of units to be installed</w:t>
      </w:r>
      <w:r w:rsidR="00276A95">
        <w:rPr>
          <w:szCs w:val="22"/>
        </w:rPr>
        <w:t>;</w:t>
      </w:r>
    </w:p>
    <w:p w14:paraId="62B27AE8" w14:textId="77777777" w:rsidR="00C66E92" w:rsidRPr="00C87CF4" w:rsidRDefault="00C66E92" w:rsidP="00D633D3">
      <w:pPr>
        <w:pStyle w:val="Subdetailsthirdindent"/>
        <w:numPr>
          <w:ilvl w:val="0"/>
          <w:numId w:val="90"/>
        </w:numPr>
      </w:pPr>
      <w:r w:rsidRPr="00BB1D43">
        <w:rPr>
          <w:i/>
          <w:szCs w:val="22"/>
        </w:rPr>
        <w:t>C</w:t>
      </w:r>
      <w:r w:rsidRPr="00BB1D43">
        <w:rPr>
          <w:szCs w:val="22"/>
        </w:rPr>
        <w:t xml:space="preserve"> </w:t>
      </w:r>
      <w:r w:rsidR="00276A95">
        <w:rPr>
          <w:szCs w:val="22"/>
        </w:rPr>
        <w:t>is</w:t>
      </w:r>
      <w:r w:rsidRPr="00BB1D43">
        <w:rPr>
          <w:szCs w:val="22"/>
        </w:rPr>
        <w:t xml:space="preserve"> the rated heating capacity of the installed model for condition H1 in kW for each of the individual units to be installed (numbered 1 – n)</w:t>
      </w:r>
      <w:r w:rsidR="00276A95">
        <w:rPr>
          <w:szCs w:val="22"/>
        </w:rPr>
        <w:t>; and</w:t>
      </w:r>
    </w:p>
    <w:p w14:paraId="742212CF" w14:textId="77777777" w:rsidR="00C66E92" w:rsidRPr="00BB1D43" w:rsidRDefault="00C66E92" w:rsidP="00D633D3">
      <w:pPr>
        <w:pStyle w:val="Subdetailsthirdindent"/>
        <w:numPr>
          <w:ilvl w:val="0"/>
          <w:numId w:val="90"/>
        </w:numPr>
        <w:rPr>
          <w:sz w:val="22"/>
        </w:rPr>
      </w:pPr>
      <w:r w:rsidRPr="00BB1D43">
        <w:rPr>
          <w:i/>
          <w:szCs w:val="22"/>
        </w:rPr>
        <w:t>Σ</w:t>
      </w:r>
      <w:r w:rsidRPr="00BB1D43">
        <w:rPr>
          <w:szCs w:val="22"/>
        </w:rPr>
        <w:t xml:space="preserve"> </w:t>
      </w:r>
      <w:r w:rsidR="00276A95">
        <w:rPr>
          <w:szCs w:val="22"/>
        </w:rPr>
        <w:t>is</w:t>
      </w:r>
      <w:r w:rsidRPr="00BB1D43">
        <w:rPr>
          <w:szCs w:val="22"/>
        </w:rPr>
        <w:t xml:space="preserve"> summate</w:t>
      </w:r>
      <w:r w:rsidR="00276A95">
        <w:rPr>
          <w:szCs w:val="22"/>
        </w:rPr>
        <w:t>.</w:t>
      </w:r>
    </w:p>
    <w:p w14:paraId="5A388B0E" w14:textId="77777777" w:rsidR="00C66E92" w:rsidRDefault="00C66E92" w:rsidP="00BB1D43">
      <w:pPr>
        <w:pStyle w:val="Subdetailssecondindent"/>
      </w:pPr>
      <w:r w:rsidRPr="00B20135">
        <w:rPr>
          <w:i/>
        </w:rPr>
        <w:t>Capacity</w:t>
      </w:r>
      <w:r w:rsidRPr="00605125">
        <w:t xml:space="preserve"> is the rated heating capacity of the installed model for condition H1 in kW. </w:t>
      </w:r>
    </w:p>
    <w:p w14:paraId="463B7BAA" w14:textId="6DA87B18" w:rsidR="00C66E92" w:rsidRPr="007D2E29" w:rsidRDefault="00C66E92" w:rsidP="00BB1D43">
      <w:pPr>
        <w:pStyle w:val="Subdetailssecondindent"/>
      </w:pPr>
      <w:r w:rsidRPr="00B20135">
        <w:rPr>
          <w:i/>
        </w:rPr>
        <w:t>H2</w:t>
      </w:r>
      <w:r w:rsidRPr="007D2E29">
        <w:t xml:space="preserve"> is a value of 0.</w:t>
      </w:r>
      <w:r w:rsidR="00D02470">
        <w:t>25</w:t>
      </w:r>
      <w:r w:rsidRPr="007D2E29">
        <w:t xml:space="preserve"> if the installed model has been tested and registered for low temperature performance under condition H2 and meets the requirements of AS/NZS</w:t>
      </w:r>
      <w:r w:rsidR="00680FEA">
        <w:t xml:space="preserve"> </w:t>
      </w:r>
      <w:r w:rsidRPr="007D2E29">
        <w:t>3823 otherwise H2 is a value of 0.0 for all other products.</w:t>
      </w:r>
    </w:p>
    <w:p w14:paraId="730411F4" w14:textId="77777777" w:rsidR="00C66E92" w:rsidRDefault="00C66E92" w:rsidP="00BB1D43">
      <w:pPr>
        <w:pStyle w:val="Caption"/>
      </w:pPr>
      <w:bookmarkStart w:id="229" w:name="_Toc21868122"/>
      <w:bookmarkStart w:id="230" w:name="_Toc21868254"/>
      <w:bookmarkStart w:id="231" w:name="_Toc37945701"/>
      <w:r w:rsidRPr="00605125">
        <w:t xml:space="preserve">Table </w:t>
      </w:r>
      <w:r w:rsidR="004A0156">
        <w:rPr>
          <w:noProof/>
        </w:rPr>
        <w:fldChar w:fldCharType="begin"/>
      </w:r>
      <w:r w:rsidR="004A0156">
        <w:rPr>
          <w:noProof/>
        </w:rPr>
        <w:instrText xml:space="preserve"> SEQ Table \* ARABIC </w:instrText>
      </w:r>
      <w:r w:rsidR="004A0156">
        <w:rPr>
          <w:noProof/>
        </w:rPr>
        <w:fldChar w:fldCharType="separate"/>
      </w:r>
      <w:r w:rsidR="00880CB1">
        <w:rPr>
          <w:noProof/>
        </w:rPr>
        <w:t>17</w:t>
      </w:r>
      <w:r w:rsidR="004A0156">
        <w:rPr>
          <w:noProof/>
        </w:rPr>
        <w:fldChar w:fldCharType="end"/>
      </w:r>
      <w:r w:rsidRPr="00605125">
        <w:t xml:space="preserve"> </w:t>
      </w:r>
      <w:r w:rsidR="009E6E7F">
        <w:tab/>
      </w:r>
      <w:r w:rsidR="009E076B">
        <w:t xml:space="preserve">Activity </w:t>
      </w:r>
      <w:r w:rsidR="00D85CB2">
        <w:t xml:space="preserve">ID </w:t>
      </w:r>
      <w:r w:rsidR="009E076B">
        <w:t>2.5 c</w:t>
      </w:r>
      <w:r w:rsidRPr="00605125">
        <w:t xml:space="preserve">ategories </w:t>
      </w:r>
      <w:r>
        <w:t xml:space="preserve">of </w:t>
      </w:r>
      <w:r w:rsidRPr="00605125">
        <w:t>premises</w:t>
      </w:r>
      <w:bookmarkEnd w:id="229"/>
      <w:bookmarkEnd w:id="230"/>
      <w:bookmarkEnd w:id="2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C66E92" w:rsidRPr="0072191F" w14:paraId="2B82EA1A" w14:textId="77777777" w:rsidTr="00BB1D43">
        <w:trPr>
          <w:tblHeader/>
        </w:trPr>
        <w:tc>
          <w:tcPr>
            <w:tcW w:w="2943" w:type="dxa"/>
            <w:shd w:val="clear" w:color="auto" w:fill="auto"/>
          </w:tcPr>
          <w:p w14:paraId="7E31BEBD" w14:textId="77777777" w:rsidR="00C66E92" w:rsidRPr="0072191F" w:rsidRDefault="00C66E92" w:rsidP="00BB1D43">
            <w:pPr>
              <w:pStyle w:val="Tableheader"/>
            </w:pPr>
            <w:r w:rsidRPr="0072191F">
              <w:t>Category</w:t>
            </w:r>
          </w:p>
        </w:tc>
        <w:tc>
          <w:tcPr>
            <w:tcW w:w="6299" w:type="dxa"/>
            <w:shd w:val="clear" w:color="auto" w:fill="auto"/>
          </w:tcPr>
          <w:p w14:paraId="556F57AA" w14:textId="77777777" w:rsidR="00C66E92" w:rsidRPr="0072191F" w:rsidRDefault="00C66E92" w:rsidP="00BB1D43">
            <w:pPr>
              <w:pStyle w:val="Tableheader"/>
            </w:pPr>
            <w:r w:rsidRPr="0072191F">
              <w:t>Description</w:t>
            </w:r>
          </w:p>
        </w:tc>
      </w:tr>
      <w:tr w:rsidR="00C66E92" w:rsidRPr="0072191F" w14:paraId="6AA70B6D" w14:textId="77777777" w:rsidTr="0031330C">
        <w:tc>
          <w:tcPr>
            <w:tcW w:w="2943" w:type="dxa"/>
            <w:shd w:val="clear" w:color="auto" w:fill="auto"/>
          </w:tcPr>
          <w:p w14:paraId="585BBD03" w14:textId="77777777" w:rsidR="00C66E92" w:rsidRDefault="00C66E92" w:rsidP="00BB1D43">
            <w:pPr>
              <w:pStyle w:val="Tabletext"/>
            </w:pPr>
            <w:r>
              <w:t>Business Premises</w:t>
            </w:r>
          </w:p>
          <w:p w14:paraId="526F0690" w14:textId="77777777" w:rsidR="00C66E92" w:rsidRDefault="00C66E92" w:rsidP="00BB1D43">
            <w:pPr>
              <w:pStyle w:val="Tabletext"/>
            </w:pPr>
            <w:r w:rsidRPr="00895D26">
              <w:t xml:space="preserve">Category </w:t>
            </w:r>
            <w:r>
              <w:t>1</w:t>
            </w:r>
          </w:p>
          <w:p w14:paraId="085BA06D" w14:textId="77777777" w:rsidR="00C66E92" w:rsidRDefault="00C66E92" w:rsidP="00BB1D43">
            <w:pPr>
              <w:pStyle w:val="Tabletext"/>
            </w:pPr>
            <w:r w:rsidRPr="00895D26">
              <w:t>(High internal HL)</w:t>
            </w:r>
          </w:p>
          <w:p w14:paraId="3E262E78" w14:textId="77777777" w:rsidR="00C66E92" w:rsidRPr="005E75B9" w:rsidRDefault="00C66E92" w:rsidP="00D633D3">
            <w:pPr>
              <w:pStyle w:val="Tabletext"/>
              <w:numPr>
                <w:ilvl w:val="0"/>
                <w:numId w:val="159"/>
              </w:numPr>
            </w:pPr>
            <w:r>
              <w:t>Use</w:t>
            </w:r>
            <w:r w:rsidRPr="00A968F8">
              <w:t xml:space="preserve"> table </w:t>
            </w:r>
            <w:r w:rsidR="00276A95">
              <w:t>18</w:t>
            </w:r>
          </w:p>
        </w:tc>
        <w:tc>
          <w:tcPr>
            <w:tcW w:w="6299" w:type="dxa"/>
            <w:shd w:val="clear" w:color="auto" w:fill="auto"/>
          </w:tcPr>
          <w:p w14:paraId="59D18643" w14:textId="77777777" w:rsidR="00C66E92" w:rsidRPr="00865C4D" w:rsidRDefault="00C66E92" w:rsidP="00BB1D43">
            <w:pPr>
              <w:pStyle w:val="Tabletext"/>
              <w:rPr>
                <w:i/>
                <w:iCs/>
              </w:rPr>
            </w:pPr>
            <w:r w:rsidRPr="00865C4D">
              <w:rPr>
                <w:i/>
                <w:iCs/>
              </w:rPr>
              <w:t>BCA Class 6</w:t>
            </w:r>
          </w:p>
          <w:p w14:paraId="56189BEB" w14:textId="77777777" w:rsidR="00C66E92" w:rsidRDefault="00C66E92" w:rsidP="00BB1D43">
            <w:pPr>
              <w:pStyle w:val="Tabletext"/>
            </w:pPr>
            <w:r w:rsidRPr="0072191F">
              <w:t>Food retail sub-set including specifically</w:t>
            </w:r>
            <w:r>
              <w:t>:</w:t>
            </w:r>
            <w:r w:rsidRPr="0072191F">
              <w:t xml:space="preserve"> </w:t>
            </w:r>
          </w:p>
          <w:p w14:paraId="09226F93" w14:textId="77777777" w:rsidR="00C66E92" w:rsidRPr="0072191F" w:rsidRDefault="00276A95" w:rsidP="00BB1D43">
            <w:pPr>
              <w:pStyle w:val="BulletsEEIS"/>
            </w:pPr>
            <w:r>
              <w:t>r</w:t>
            </w:r>
            <w:r w:rsidR="00C66E92" w:rsidRPr="0072191F">
              <w:t>estaurants</w:t>
            </w:r>
          </w:p>
          <w:p w14:paraId="091F0EC8" w14:textId="77777777" w:rsidR="00C66E92" w:rsidRPr="0072191F" w:rsidRDefault="00276A95" w:rsidP="00BB1D43">
            <w:pPr>
              <w:pStyle w:val="BulletsEEIS"/>
            </w:pPr>
            <w:r>
              <w:t>c</w:t>
            </w:r>
            <w:r w:rsidR="00C66E92" w:rsidRPr="0072191F">
              <w:t xml:space="preserve">afes </w:t>
            </w:r>
          </w:p>
          <w:p w14:paraId="0786C0DD" w14:textId="77777777" w:rsidR="00C66E92" w:rsidRPr="0072191F" w:rsidRDefault="00276A95" w:rsidP="00BB1D43">
            <w:pPr>
              <w:pStyle w:val="BulletsEEIS"/>
            </w:pPr>
            <w:r>
              <w:t>f</w:t>
            </w:r>
            <w:r w:rsidR="00C66E92" w:rsidRPr="0072191F">
              <w:t>ast food stores</w:t>
            </w:r>
          </w:p>
          <w:p w14:paraId="57A18639" w14:textId="77777777" w:rsidR="00C66E92" w:rsidRPr="0072191F" w:rsidRDefault="00276A95" w:rsidP="00BB1D43">
            <w:pPr>
              <w:pStyle w:val="BulletsEEIS"/>
            </w:pPr>
            <w:r>
              <w:t>b</w:t>
            </w:r>
            <w:r w:rsidR="00C66E92" w:rsidRPr="0072191F">
              <w:t>akeries</w:t>
            </w:r>
          </w:p>
        </w:tc>
      </w:tr>
      <w:tr w:rsidR="00C66E92" w:rsidRPr="0072191F" w14:paraId="3FA5E417" w14:textId="77777777" w:rsidTr="0031330C">
        <w:tc>
          <w:tcPr>
            <w:tcW w:w="2943" w:type="dxa"/>
            <w:shd w:val="clear" w:color="auto" w:fill="auto"/>
          </w:tcPr>
          <w:p w14:paraId="256E42D2" w14:textId="77777777" w:rsidR="00C66E92" w:rsidRDefault="00C66E92" w:rsidP="00BB1D43">
            <w:pPr>
              <w:pStyle w:val="Tabletext"/>
            </w:pPr>
            <w:r>
              <w:t>Business Premises</w:t>
            </w:r>
          </w:p>
          <w:p w14:paraId="12062D30" w14:textId="77777777" w:rsidR="00C66E92" w:rsidRDefault="00C66E92" w:rsidP="00BB1D43">
            <w:pPr>
              <w:pStyle w:val="Tabletext"/>
            </w:pPr>
            <w:r w:rsidRPr="00895D26">
              <w:t>Category 2</w:t>
            </w:r>
          </w:p>
          <w:p w14:paraId="12003513" w14:textId="77777777" w:rsidR="00C66E92" w:rsidRDefault="00C66E92" w:rsidP="00BB1D43">
            <w:pPr>
              <w:pStyle w:val="Tabletext"/>
            </w:pPr>
            <w:r w:rsidRPr="00895D26">
              <w:t>(Low internal HL)</w:t>
            </w:r>
          </w:p>
          <w:p w14:paraId="2D00DAF1" w14:textId="77777777" w:rsidR="00C66E92" w:rsidRPr="0072191F" w:rsidRDefault="00C66E92" w:rsidP="00D633D3">
            <w:pPr>
              <w:pStyle w:val="Tabletext"/>
              <w:numPr>
                <w:ilvl w:val="0"/>
                <w:numId w:val="159"/>
              </w:numPr>
              <w:rPr>
                <w:b/>
                <w:color w:val="000000"/>
                <w:sz w:val="22"/>
                <w:szCs w:val="22"/>
              </w:rPr>
            </w:pPr>
            <w:r>
              <w:t>Use</w:t>
            </w:r>
            <w:r w:rsidRPr="00A968F8">
              <w:t xml:space="preserve"> table </w:t>
            </w:r>
            <w:r w:rsidR="00276A95">
              <w:t>19</w:t>
            </w:r>
          </w:p>
        </w:tc>
        <w:tc>
          <w:tcPr>
            <w:tcW w:w="6299" w:type="dxa"/>
            <w:shd w:val="clear" w:color="auto" w:fill="auto"/>
          </w:tcPr>
          <w:p w14:paraId="14DC1C81" w14:textId="77777777" w:rsidR="00C66E92" w:rsidRPr="00865C4D" w:rsidRDefault="00C66E92" w:rsidP="00BB1D43">
            <w:pPr>
              <w:pStyle w:val="Tabletext"/>
              <w:rPr>
                <w:i/>
                <w:iCs/>
                <w:color w:val="000000"/>
              </w:rPr>
            </w:pPr>
            <w:r w:rsidRPr="00865C4D">
              <w:rPr>
                <w:i/>
                <w:iCs/>
                <w:color w:val="000000"/>
              </w:rPr>
              <w:t>BCA Class 5</w:t>
            </w:r>
          </w:p>
          <w:p w14:paraId="5B3E493E" w14:textId="77777777" w:rsidR="00C66E92" w:rsidRPr="0072191F" w:rsidRDefault="00C66E92" w:rsidP="00BB1D43">
            <w:pPr>
              <w:pStyle w:val="Tabletext"/>
              <w:rPr>
                <w:color w:val="000000"/>
              </w:rPr>
            </w:pPr>
            <w:r w:rsidRPr="0072191F">
              <w:rPr>
                <w:color w:val="000000"/>
              </w:rPr>
              <w:t xml:space="preserve">Office based businesses </w:t>
            </w:r>
          </w:p>
          <w:p w14:paraId="7F8CBB31" w14:textId="77777777" w:rsidR="00C66E92" w:rsidRPr="00865C4D" w:rsidRDefault="00C66E92" w:rsidP="00BB1D43">
            <w:pPr>
              <w:pStyle w:val="Tabletext"/>
              <w:rPr>
                <w:i/>
                <w:iCs/>
                <w:color w:val="000000"/>
              </w:rPr>
            </w:pPr>
            <w:r w:rsidRPr="00865C4D">
              <w:rPr>
                <w:i/>
                <w:iCs/>
                <w:color w:val="000000"/>
              </w:rPr>
              <w:t>BCA Class 6</w:t>
            </w:r>
          </w:p>
          <w:p w14:paraId="54F647AD" w14:textId="77777777" w:rsidR="00C66E92" w:rsidRPr="0072191F" w:rsidRDefault="00C66E92" w:rsidP="00BB1D43">
            <w:pPr>
              <w:pStyle w:val="Tabletext"/>
              <w:rPr>
                <w:color w:val="000000"/>
              </w:rPr>
            </w:pPr>
            <w:r>
              <w:rPr>
                <w:color w:val="000000"/>
              </w:rPr>
              <w:t>A</w:t>
            </w:r>
            <w:r w:rsidRPr="0072191F">
              <w:rPr>
                <w:color w:val="000000"/>
              </w:rPr>
              <w:t>ll food retail is eligible except restaurants, cafes, fast food restaurants</w:t>
            </w:r>
            <w:r w:rsidR="00276A95">
              <w:rPr>
                <w:color w:val="000000"/>
              </w:rPr>
              <w:t xml:space="preserve"> and</w:t>
            </w:r>
            <w:r w:rsidRPr="0072191F">
              <w:rPr>
                <w:color w:val="000000"/>
              </w:rPr>
              <w:t xml:space="preserve"> bakeries </w:t>
            </w:r>
          </w:p>
          <w:p w14:paraId="0728A1E0" w14:textId="77777777" w:rsidR="00C66E92" w:rsidRPr="00865C4D" w:rsidRDefault="00C66E92" w:rsidP="00BB1D43">
            <w:pPr>
              <w:pStyle w:val="Tabletext"/>
              <w:rPr>
                <w:i/>
                <w:iCs/>
                <w:color w:val="000000"/>
              </w:rPr>
            </w:pPr>
            <w:r w:rsidRPr="00865C4D">
              <w:rPr>
                <w:i/>
                <w:iCs/>
                <w:color w:val="000000"/>
              </w:rPr>
              <w:t>BCA Class 7</w:t>
            </w:r>
          </w:p>
          <w:p w14:paraId="3CD6C2AD" w14:textId="77777777" w:rsidR="00C66E92" w:rsidRPr="0072191F" w:rsidRDefault="00C66E92" w:rsidP="00BB1D43">
            <w:pPr>
              <w:pStyle w:val="Tabletext"/>
              <w:rPr>
                <w:color w:val="000000"/>
              </w:rPr>
            </w:pPr>
            <w:r w:rsidRPr="0072191F">
              <w:rPr>
                <w:color w:val="000000"/>
              </w:rPr>
              <w:t>Wholesale outlets and warehousing businesses</w:t>
            </w:r>
          </w:p>
          <w:p w14:paraId="15F73873" w14:textId="77777777" w:rsidR="00C66E92" w:rsidRPr="00865C4D" w:rsidRDefault="00C66E92" w:rsidP="00BB1D43">
            <w:pPr>
              <w:pStyle w:val="Tabletext"/>
              <w:rPr>
                <w:i/>
                <w:iCs/>
                <w:color w:val="000000"/>
              </w:rPr>
            </w:pPr>
            <w:r w:rsidRPr="00865C4D">
              <w:rPr>
                <w:i/>
                <w:iCs/>
                <w:color w:val="000000"/>
              </w:rPr>
              <w:t>BCA Class 8</w:t>
            </w:r>
          </w:p>
          <w:p w14:paraId="483D3FD6" w14:textId="77777777" w:rsidR="00C66E92" w:rsidRPr="0072191F" w:rsidRDefault="00C66E92" w:rsidP="00BB1D43">
            <w:pPr>
              <w:pStyle w:val="Tabletext"/>
              <w:rPr>
                <w:color w:val="000000"/>
              </w:rPr>
            </w:pPr>
            <w:r w:rsidRPr="0072191F">
              <w:rPr>
                <w:color w:val="000000"/>
              </w:rPr>
              <w:t>Manufacturing premises</w:t>
            </w:r>
          </w:p>
          <w:p w14:paraId="70C6C716" w14:textId="77777777" w:rsidR="00C66E92" w:rsidRPr="00865C4D" w:rsidRDefault="00C66E92" w:rsidP="00BB1D43">
            <w:pPr>
              <w:pStyle w:val="Tabletext"/>
              <w:rPr>
                <w:i/>
                <w:iCs/>
                <w:color w:val="000000"/>
              </w:rPr>
            </w:pPr>
            <w:r w:rsidRPr="00865C4D">
              <w:rPr>
                <w:i/>
                <w:iCs/>
                <w:color w:val="000000"/>
              </w:rPr>
              <w:t>BCA Class 9a</w:t>
            </w:r>
          </w:p>
          <w:p w14:paraId="14D088BC" w14:textId="77777777" w:rsidR="00C66E92" w:rsidRPr="0072191F" w:rsidRDefault="00C66E92" w:rsidP="00BB1D43">
            <w:pPr>
              <w:pStyle w:val="Tabletext"/>
              <w:rPr>
                <w:color w:val="000000"/>
              </w:rPr>
            </w:pPr>
            <w:r w:rsidRPr="0072191F">
              <w:rPr>
                <w:color w:val="000000"/>
              </w:rPr>
              <w:t xml:space="preserve">Health </w:t>
            </w:r>
            <w:r w:rsidR="00EC06E9">
              <w:rPr>
                <w:color w:val="000000"/>
              </w:rPr>
              <w:t>c</w:t>
            </w:r>
            <w:r w:rsidRPr="0072191F">
              <w:rPr>
                <w:color w:val="000000"/>
              </w:rPr>
              <w:t xml:space="preserve">are building based professional services </w:t>
            </w:r>
          </w:p>
          <w:p w14:paraId="1F1A63F3" w14:textId="77777777" w:rsidR="00C66E92" w:rsidRPr="00865C4D" w:rsidRDefault="00C66E92" w:rsidP="00BB1D43">
            <w:pPr>
              <w:pStyle w:val="Tabletext"/>
              <w:rPr>
                <w:i/>
                <w:iCs/>
                <w:color w:val="000000"/>
              </w:rPr>
            </w:pPr>
            <w:r w:rsidRPr="00865C4D">
              <w:rPr>
                <w:i/>
                <w:iCs/>
                <w:color w:val="000000"/>
              </w:rPr>
              <w:t>BCA</w:t>
            </w:r>
            <w:r w:rsidR="00276A95" w:rsidRPr="00865C4D">
              <w:rPr>
                <w:i/>
                <w:iCs/>
                <w:color w:val="000000"/>
              </w:rPr>
              <w:t xml:space="preserve"> Class</w:t>
            </w:r>
            <w:r w:rsidRPr="00865C4D">
              <w:rPr>
                <w:i/>
                <w:iCs/>
                <w:color w:val="000000"/>
              </w:rPr>
              <w:t xml:space="preserve"> 9b</w:t>
            </w:r>
          </w:p>
          <w:p w14:paraId="527917F9" w14:textId="77777777" w:rsidR="00C66E92" w:rsidRPr="0072191F" w:rsidRDefault="00C66E92" w:rsidP="00BB1D43">
            <w:pPr>
              <w:pStyle w:val="Tabletext"/>
              <w:rPr>
                <w:color w:val="000000"/>
              </w:rPr>
            </w:pPr>
            <w:r w:rsidRPr="0072191F">
              <w:rPr>
                <w:color w:val="000000"/>
              </w:rPr>
              <w:t xml:space="preserve">Auditoriums, churches, public halls and any assembly buildings used </w:t>
            </w:r>
            <w:r w:rsidRPr="0072191F">
              <w:rPr>
                <w:color w:val="000000"/>
              </w:rPr>
              <w:lastRenderedPageBreak/>
              <w:t xml:space="preserve">by </w:t>
            </w:r>
            <w:r w:rsidR="00276A95">
              <w:rPr>
                <w:color w:val="000000"/>
              </w:rPr>
              <w:t>n</w:t>
            </w:r>
            <w:r w:rsidRPr="0072191F">
              <w:rPr>
                <w:color w:val="000000"/>
              </w:rPr>
              <w:t>ot</w:t>
            </w:r>
            <w:r w:rsidR="00276A95">
              <w:rPr>
                <w:color w:val="000000"/>
              </w:rPr>
              <w:t>-</w:t>
            </w:r>
            <w:r w:rsidRPr="0072191F">
              <w:rPr>
                <w:color w:val="000000"/>
              </w:rPr>
              <w:t>for</w:t>
            </w:r>
            <w:r w:rsidR="00276A95">
              <w:rPr>
                <w:color w:val="000000"/>
              </w:rPr>
              <w:t>-</w:t>
            </w:r>
            <w:r w:rsidRPr="0072191F">
              <w:rPr>
                <w:color w:val="000000"/>
              </w:rPr>
              <w:t>profits/</w:t>
            </w:r>
            <w:r w:rsidR="00276A95">
              <w:rPr>
                <w:color w:val="000000"/>
              </w:rPr>
              <w:t>c</w:t>
            </w:r>
            <w:r w:rsidRPr="0072191F">
              <w:rPr>
                <w:color w:val="000000"/>
              </w:rPr>
              <w:t xml:space="preserve">ommunity </w:t>
            </w:r>
            <w:r w:rsidR="00276A95">
              <w:rPr>
                <w:color w:val="000000"/>
              </w:rPr>
              <w:t>g</w:t>
            </w:r>
            <w:r w:rsidRPr="0072191F">
              <w:rPr>
                <w:color w:val="000000"/>
              </w:rPr>
              <w:t>roups</w:t>
            </w:r>
          </w:p>
          <w:p w14:paraId="0A999C3A" w14:textId="77777777" w:rsidR="00C66E92" w:rsidRPr="00865C4D" w:rsidRDefault="00C66E92" w:rsidP="00BB1D43">
            <w:pPr>
              <w:pStyle w:val="Tabletext"/>
              <w:rPr>
                <w:i/>
                <w:iCs/>
                <w:color w:val="000000"/>
              </w:rPr>
            </w:pPr>
            <w:r w:rsidRPr="00865C4D">
              <w:rPr>
                <w:i/>
                <w:iCs/>
                <w:color w:val="000000"/>
              </w:rPr>
              <w:t>BCA Class 9c</w:t>
            </w:r>
          </w:p>
          <w:p w14:paraId="420B1EB5" w14:textId="77777777" w:rsidR="00C66E92" w:rsidRPr="0072191F" w:rsidRDefault="00C66E92" w:rsidP="00BB1D43">
            <w:pPr>
              <w:pStyle w:val="Tabletext"/>
              <w:rPr>
                <w:b/>
                <w:color w:val="000000"/>
              </w:rPr>
            </w:pPr>
            <w:r w:rsidRPr="0072191F">
              <w:rPr>
                <w:color w:val="000000"/>
              </w:rPr>
              <w:t xml:space="preserve">Aged </w:t>
            </w:r>
            <w:r w:rsidR="00276A95">
              <w:rPr>
                <w:color w:val="000000"/>
              </w:rPr>
              <w:t>c</w:t>
            </w:r>
            <w:r w:rsidRPr="0072191F">
              <w:rPr>
                <w:color w:val="000000"/>
              </w:rPr>
              <w:t>are</w:t>
            </w:r>
          </w:p>
        </w:tc>
      </w:tr>
      <w:tr w:rsidR="00C66E92" w:rsidRPr="0072191F" w14:paraId="7E37F442" w14:textId="77777777" w:rsidTr="0031330C">
        <w:tc>
          <w:tcPr>
            <w:tcW w:w="2943" w:type="dxa"/>
            <w:shd w:val="clear" w:color="auto" w:fill="auto"/>
          </w:tcPr>
          <w:p w14:paraId="5A2C1421" w14:textId="77777777" w:rsidR="00C66E92" w:rsidRDefault="00C66E92" w:rsidP="00276A95">
            <w:pPr>
              <w:pStyle w:val="Tabletext"/>
              <w:keepNext/>
            </w:pPr>
            <w:r>
              <w:lastRenderedPageBreak/>
              <w:t>Business Premises</w:t>
            </w:r>
          </w:p>
          <w:p w14:paraId="680D24A8" w14:textId="77777777" w:rsidR="00C66E92" w:rsidRDefault="00C66E92" w:rsidP="00276A95">
            <w:pPr>
              <w:pStyle w:val="Tabletext"/>
              <w:keepNext/>
            </w:pPr>
            <w:r w:rsidRPr="00895D26">
              <w:t>Category 3</w:t>
            </w:r>
          </w:p>
          <w:p w14:paraId="5B4425BC" w14:textId="77777777" w:rsidR="00C66E92" w:rsidRDefault="00C66E92" w:rsidP="00276A95">
            <w:pPr>
              <w:pStyle w:val="Tabletext"/>
              <w:keepNext/>
            </w:pPr>
            <w:r w:rsidRPr="00895D26">
              <w:t>(Other)</w:t>
            </w:r>
          </w:p>
          <w:p w14:paraId="60687BEE" w14:textId="77777777" w:rsidR="00C66E92" w:rsidRPr="0072191F" w:rsidRDefault="00C66E92" w:rsidP="00D633D3">
            <w:pPr>
              <w:pStyle w:val="Tabletext"/>
              <w:keepNext/>
              <w:numPr>
                <w:ilvl w:val="0"/>
                <w:numId w:val="159"/>
              </w:numPr>
              <w:rPr>
                <w:b/>
                <w:color w:val="000000"/>
                <w:sz w:val="22"/>
                <w:szCs w:val="22"/>
              </w:rPr>
            </w:pPr>
            <w:r>
              <w:t>Use</w:t>
            </w:r>
            <w:r w:rsidRPr="00A968F8">
              <w:t xml:space="preserve"> table </w:t>
            </w:r>
            <w:r w:rsidR="00276A95">
              <w:t>20</w:t>
            </w:r>
          </w:p>
        </w:tc>
        <w:tc>
          <w:tcPr>
            <w:tcW w:w="6299" w:type="dxa"/>
            <w:shd w:val="clear" w:color="auto" w:fill="auto"/>
          </w:tcPr>
          <w:p w14:paraId="2367431D" w14:textId="77777777" w:rsidR="00C66E92" w:rsidRPr="00D85178" w:rsidRDefault="00C66E92" w:rsidP="00276A95">
            <w:pPr>
              <w:pStyle w:val="Tabletext"/>
              <w:keepNext/>
            </w:pPr>
            <w:r w:rsidRPr="0072191F">
              <w:t>Any other business premises not included in category 1 or 2</w:t>
            </w:r>
          </w:p>
          <w:p w14:paraId="4B86675B" w14:textId="77777777" w:rsidR="00C66E92" w:rsidRPr="0072191F" w:rsidRDefault="00C66E92" w:rsidP="00276A95">
            <w:pPr>
              <w:pStyle w:val="Tabletext"/>
              <w:keepNext/>
              <w:rPr>
                <w:b/>
                <w:color w:val="000000"/>
                <w:sz w:val="22"/>
                <w:szCs w:val="22"/>
              </w:rPr>
            </w:pPr>
            <w:r w:rsidRPr="0072191F">
              <w:t>Businesses which have a combination of both high internal and low internal HL commercial spaces</w:t>
            </w:r>
          </w:p>
        </w:tc>
      </w:tr>
    </w:tbl>
    <w:p w14:paraId="43A27EE3" w14:textId="77777777" w:rsidR="00C66E92" w:rsidRPr="008C5221" w:rsidRDefault="00C66E92" w:rsidP="00BB1D43">
      <w:pPr>
        <w:pStyle w:val="Caption"/>
      </w:pPr>
      <w:bookmarkStart w:id="232" w:name="_Toc21868123"/>
      <w:bookmarkStart w:id="233" w:name="_Toc21868255"/>
      <w:bookmarkStart w:id="234" w:name="_Toc37945702"/>
      <w:r w:rsidRPr="00762A56">
        <w:rPr>
          <w:rFonts w:cs="Times New Roman"/>
          <w:lang w:eastAsia="en-AU"/>
        </w:rPr>
        <w:t xml:space="preserve">Table </w:t>
      </w:r>
      <w:r w:rsidR="00BB1D43">
        <w:rPr>
          <w:rFonts w:cs="Times New Roman"/>
          <w:lang w:eastAsia="en-AU"/>
        </w:rPr>
        <w:fldChar w:fldCharType="begin"/>
      </w:r>
      <w:r w:rsidR="00BB1D43">
        <w:rPr>
          <w:rFonts w:cs="Times New Roman"/>
          <w:lang w:eastAsia="en-AU"/>
        </w:rPr>
        <w:instrText xml:space="preserve"> SEQ Table \* ARABIC </w:instrText>
      </w:r>
      <w:r w:rsidR="00BB1D43">
        <w:rPr>
          <w:rFonts w:cs="Times New Roman"/>
          <w:lang w:eastAsia="en-AU"/>
        </w:rPr>
        <w:fldChar w:fldCharType="separate"/>
      </w:r>
      <w:r w:rsidR="00880CB1">
        <w:rPr>
          <w:rFonts w:cs="Times New Roman"/>
          <w:noProof/>
          <w:lang w:eastAsia="en-AU"/>
        </w:rPr>
        <w:t>18</w:t>
      </w:r>
      <w:r w:rsidR="00BB1D43">
        <w:rPr>
          <w:rFonts w:cs="Times New Roman"/>
          <w:lang w:eastAsia="en-AU"/>
        </w:rPr>
        <w:fldChar w:fldCharType="end"/>
      </w:r>
      <w:r w:rsidRPr="00823AAF">
        <w:t xml:space="preserve"> </w:t>
      </w:r>
      <w:r w:rsidR="009E6E7F">
        <w:tab/>
      </w:r>
      <w:r w:rsidR="009E076B">
        <w:t>Activity</w:t>
      </w:r>
      <w:r w:rsidR="00D85CB2">
        <w:t xml:space="preserve"> ID</w:t>
      </w:r>
      <w:r w:rsidR="009E076B">
        <w:t xml:space="preserve"> 2.5(b)</w:t>
      </w:r>
      <w:r w:rsidR="00D85CB2">
        <w:t>i</w:t>
      </w:r>
      <w:r w:rsidR="009E076B">
        <w:t xml:space="preserve"> b</w:t>
      </w:r>
      <w:r w:rsidRPr="00823AAF">
        <w:t xml:space="preserve">usiness </w:t>
      </w:r>
      <w:r w:rsidR="00276A95">
        <w:t>p</w:t>
      </w:r>
      <w:r w:rsidRPr="00823AAF">
        <w:t xml:space="preserve">remises – </w:t>
      </w:r>
      <w:r w:rsidR="009E076B">
        <w:t>c</w:t>
      </w:r>
      <w:r w:rsidRPr="00823AAF">
        <w:t>ategory 1</w:t>
      </w:r>
      <w:bookmarkEnd w:id="232"/>
      <w:bookmarkEnd w:id="233"/>
      <w:bookmarkEnd w:id="23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3600"/>
        <w:gridCol w:w="1269"/>
        <w:gridCol w:w="1404"/>
        <w:gridCol w:w="1701"/>
      </w:tblGrid>
      <w:tr w:rsidR="00EC0971" w:rsidRPr="00762A56" w14:paraId="6796E490" w14:textId="77777777" w:rsidTr="0064760C">
        <w:trPr>
          <w:tblHeader/>
        </w:trPr>
        <w:tc>
          <w:tcPr>
            <w:tcW w:w="1490" w:type="dxa"/>
            <w:tcBorders>
              <w:bottom w:val="double" w:sz="4" w:space="0" w:color="auto"/>
            </w:tcBorders>
          </w:tcPr>
          <w:p w14:paraId="4BEAAE7E" w14:textId="77777777" w:rsidR="00EC0971" w:rsidRPr="00762A56" w:rsidRDefault="00EC0971" w:rsidP="00EC0971">
            <w:pPr>
              <w:pStyle w:val="Tableheader"/>
            </w:pPr>
            <w:r>
              <w:t>Pre-existing heating condition</w:t>
            </w:r>
          </w:p>
        </w:tc>
        <w:tc>
          <w:tcPr>
            <w:tcW w:w="3600" w:type="dxa"/>
            <w:tcBorders>
              <w:bottom w:val="double" w:sz="4" w:space="0" w:color="auto"/>
            </w:tcBorders>
          </w:tcPr>
          <w:p w14:paraId="0535046C" w14:textId="77777777" w:rsidR="00EC0971" w:rsidRPr="00762A56" w:rsidRDefault="00EC0971" w:rsidP="00EC0971">
            <w:pPr>
              <w:pStyle w:val="Tableheader"/>
            </w:pPr>
            <w:r>
              <w:t>Installed product type</w:t>
            </w:r>
          </w:p>
        </w:tc>
        <w:tc>
          <w:tcPr>
            <w:tcW w:w="1269" w:type="dxa"/>
            <w:tcBorders>
              <w:bottom w:val="double" w:sz="4" w:space="0" w:color="auto"/>
            </w:tcBorders>
          </w:tcPr>
          <w:p w14:paraId="5DF7653F" w14:textId="77777777" w:rsidR="00EC0971" w:rsidRPr="00762A56" w:rsidRDefault="00EC0971" w:rsidP="00EC0971">
            <w:pPr>
              <w:pStyle w:val="Tableheader"/>
            </w:pPr>
            <w:r w:rsidRPr="00762A56">
              <w:t>Base Efficiency (</w:t>
            </w:r>
            <w:r w:rsidRPr="00762A56">
              <w:rPr>
                <w:i/>
              </w:rPr>
              <w:t>Baseline</w:t>
            </w:r>
            <w:r w:rsidRPr="00762A56">
              <w:t>)</w:t>
            </w:r>
            <w:r w:rsidRPr="00762A56">
              <w:br/>
              <w:t>ACOP</w:t>
            </w:r>
          </w:p>
        </w:tc>
        <w:tc>
          <w:tcPr>
            <w:tcW w:w="1404" w:type="dxa"/>
            <w:tcBorders>
              <w:bottom w:val="double" w:sz="4" w:space="0" w:color="auto"/>
            </w:tcBorders>
          </w:tcPr>
          <w:p w14:paraId="76F3FCB2" w14:textId="73014DB1" w:rsidR="00EC0971" w:rsidRPr="00762A56" w:rsidRDefault="00EC0971" w:rsidP="00EC0971">
            <w:pPr>
              <w:pStyle w:val="Tableheader"/>
            </w:pPr>
            <w:r w:rsidRPr="00FA0B4A">
              <w:t xml:space="preserve">Fixed </w:t>
            </w:r>
            <w:r>
              <w:t xml:space="preserve">Energy Savings </w:t>
            </w:r>
            <w:r w:rsidRPr="00FA0B4A">
              <w:t xml:space="preserve"> (</w:t>
            </w:r>
            <w:r>
              <w:t>ESF</w:t>
            </w:r>
            <w:r w:rsidRPr="00FA0B4A">
              <w:rPr>
                <w:vertAlign w:val="subscript"/>
              </w:rPr>
              <w:t>fixed</w:t>
            </w:r>
            <w:r w:rsidRPr="00FA0B4A">
              <w:t xml:space="preserve">) </w:t>
            </w:r>
            <w:r w:rsidRPr="00FA0B4A">
              <w:br/>
            </w:r>
            <w:r>
              <w:t>MWh</w:t>
            </w:r>
          </w:p>
        </w:tc>
        <w:tc>
          <w:tcPr>
            <w:tcW w:w="1701" w:type="dxa"/>
            <w:tcBorders>
              <w:bottom w:val="double" w:sz="4" w:space="0" w:color="auto"/>
            </w:tcBorders>
          </w:tcPr>
          <w:p w14:paraId="09323E91" w14:textId="799C47E5" w:rsidR="00EC0971" w:rsidRPr="00762A56" w:rsidRDefault="00EC0971" w:rsidP="00EC0971">
            <w:pPr>
              <w:pStyle w:val="Tableheader"/>
            </w:pPr>
            <w:r w:rsidRPr="00FA0B4A">
              <w:t xml:space="preserve">Variable </w:t>
            </w:r>
            <w:r>
              <w:t xml:space="preserve">Energy Savings </w:t>
            </w:r>
            <w:r w:rsidRPr="00FA0B4A">
              <w:t xml:space="preserve"> (</w:t>
            </w:r>
            <w:r>
              <w:t>ESF</w:t>
            </w:r>
            <w:r w:rsidRPr="00FA0B4A">
              <w:rPr>
                <w:vertAlign w:val="subscript"/>
              </w:rPr>
              <w:t>var</w:t>
            </w:r>
            <w:r w:rsidRPr="00FA0B4A">
              <w:t>)</w:t>
            </w:r>
            <w:r w:rsidRPr="00FA0B4A">
              <w:br/>
            </w:r>
            <w:r>
              <w:t>MWh</w:t>
            </w:r>
            <w:r w:rsidRPr="00FA0B4A">
              <w:t>/kW</w:t>
            </w:r>
          </w:p>
        </w:tc>
      </w:tr>
      <w:tr w:rsidR="00590361" w:rsidRPr="00762A56" w14:paraId="5B576FED" w14:textId="77777777" w:rsidTr="0064760C">
        <w:tc>
          <w:tcPr>
            <w:tcW w:w="1490" w:type="dxa"/>
            <w:vMerge w:val="restart"/>
            <w:tcBorders>
              <w:top w:val="double" w:sz="4" w:space="0" w:color="auto"/>
            </w:tcBorders>
          </w:tcPr>
          <w:p w14:paraId="22CB68BE" w14:textId="77777777" w:rsidR="00590361" w:rsidRPr="00762A56" w:rsidRDefault="00590361" w:rsidP="00590361">
            <w:pPr>
              <w:pStyle w:val="Tabletext"/>
              <w:ind w:left="284" w:hanging="284"/>
            </w:pPr>
            <w:r w:rsidRPr="008C5221">
              <w:t>(1) Qualifying fixed electric systems</w:t>
            </w:r>
            <w:r>
              <w:t xml:space="preserve"> (must service more than 70m</w:t>
            </w:r>
            <w:r>
              <w:rPr>
                <w:vertAlign w:val="superscript"/>
              </w:rPr>
              <w:t>2</w:t>
            </w:r>
            <w:r>
              <w:t>)</w:t>
            </w:r>
          </w:p>
        </w:tc>
        <w:tc>
          <w:tcPr>
            <w:tcW w:w="3600" w:type="dxa"/>
            <w:tcBorders>
              <w:top w:val="double" w:sz="4" w:space="0" w:color="auto"/>
            </w:tcBorders>
          </w:tcPr>
          <w:p w14:paraId="707E013C" w14:textId="77777777" w:rsidR="00590361" w:rsidRPr="00823AAF" w:rsidRDefault="00590361" w:rsidP="00590361">
            <w:pPr>
              <w:pStyle w:val="Tabletext"/>
              <w:numPr>
                <w:ilvl w:val="0"/>
                <w:numId w:val="200"/>
              </w:numPr>
              <w:ind w:left="381" w:hanging="381"/>
            </w:pPr>
            <w:r w:rsidRPr="00236FFF">
              <w:t>Central ducted heat pump</w:t>
            </w:r>
          </w:p>
        </w:tc>
        <w:tc>
          <w:tcPr>
            <w:tcW w:w="1269" w:type="dxa"/>
            <w:tcBorders>
              <w:top w:val="double" w:sz="4" w:space="0" w:color="auto"/>
            </w:tcBorders>
          </w:tcPr>
          <w:p w14:paraId="2D024E30" w14:textId="77777777" w:rsidR="00590361" w:rsidRPr="00762A56" w:rsidRDefault="00590361" w:rsidP="00590361">
            <w:pPr>
              <w:pStyle w:val="Tabletext"/>
              <w:jc w:val="center"/>
            </w:pPr>
            <w:r w:rsidRPr="00762A56">
              <w:t>3.6</w:t>
            </w:r>
          </w:p>
        </w:tc>
        <w:tc>
          <w:tcPr>
            <w:tcW w:w="1404" w:type="dxa"/>
            <w:tcBorders>
              <w:top w:val="double" w:sz="4" w:space="0" w:color="auto"/>
            </w:tcBorders>
          </w:tcPr>
          <w:p w14:paraId="4C7E56C9" w14:textId="7B7F114D" w:rsidR="00590361" w:rsidRPr="00762A56" w:rsidRDefault="00590361" w:rsidP="00590361">
            <w:pPr>
              <w:pStyle w:val="Tabletext"/>
              <w:jc w:val="center"/>
            </w:pPr>
            <w:r>
              <w:rPr>
                <w:rFonts w:ascii="Calibri" w:hAnsi="Calibri" w:cs="Calibri"/>
                <w:color w:val="000000"/>
                <w:sz w:val="22"/>
                <w:szCs w:val="22"/>
              </w:rPr>
              <w:t>0.000</w:t>
            </w:r>
          </w:p>
        </w:tc>
        <w:tc>
          <w:tcPr>
            <w:tcW w:w="1701" w:type="dxa"/>
            <w:tcBorders>
              <w:top w:val="double" w:sz="4" w:space="0" w:color="auto"/>
            </w:tcBorders>
          </w:tcPr>
          <w:p w14:paraId="25D44493" w14:textId="54C7B394" w:rsidR="00590361" w:rsidRPr="00762A56" w:rsidRDefault="00590361" w:rsidP="00590361">
            <w:pPr>
              <w:pStyle w:val="Tabletext"/>
              <w:jc w:val="center"/>
            </w:pPr>
            <w:r w:rsidRPr="0064760C">
              <w:t>1.140</w:t>
            </w:r>
          </w:p>
        </w:tc>
      </w:tr>
      <w:tr w:rsidR="00590361" w:rsidRPr="00762A56" w14:paraId="437B2E61" w14:textId="77777777" w:rsidTr="0064760C">
        <w:tc>
          <w:tcPr>
            <w:tcW w:w="1490" w:type="dxa"/>
            <w:vMerge/>
          </w:tcPr>
          <w:p w14:paraId="446DBD9A" w14:textId="77777777" w:rsidR="00590361" w:rsidRPr="00762A56" w:rsidRDefault="00590361" w:rsidP="00590361">
            <w:pPr>
              <w:pStyle w:val="Tabletext"/>
            </w:pPr>
          </w:p>
        </w:tc>
        <w:tc>
          <w:tcPr>
            <w:tcW w:w="3600" w:type="dxa"/>
          </w:tcPr>
          <w:p w14:paraId="410F8301" w14:textId="77777777" w:rsidR="00590361" w:rsidRPr="00823AAF" w:rsidRDefault="00590361" w:rsidP="00590361">
            <w:pPr>
              <w:pStyle w:val="Tabletext"/>
              <w:numPr>
                <w:ilvl w:val="0"/>
                <w:numId w:val="200"/>
              </w:numPr>
              <w:ind w:left="381" w:hanging="381"/>
            </w:pPr>
            <w:r w:rsidRPr="00236FFF">
              <w:t xml:space="preserve">Central non-ducted heat pump, or two or more </w:t>
            </w:r>
            <w:r>
              <w:t>r</w:t>
            </w:r>
            <w:r w:rsidRPr="00236FFF">
              <w:t>oom heat pump</w:t>
            </w:r>
            <w:r>
              <w:t>s</w:t>
            </w:r>
          </w:p>
        </w:tc>
        <w:tc>
          <w:tcPr>
            <w:tcW w:w="1269" w:type="dxa"/>
          </w:tcPr>
          <w:p w14:paraId="0B2190D6" w14:textId="77777777" w:rsidR="00590361" w:rsidRPr="00762A56" w:rsidRDefault="00590361" w:rsidP="00590361">
            <w:pPr>
              <w:pStyle w:val="Tabletext"/>
              <w:jc w:val="center"/>
            </w:pPr>
            <w:r w:rsidRPr="00762A56">
              <w:t>3.6</w:t>
            </w:r>
          </w:p>
        </w:tc>
        <w:tc>
          <w:tcPr>
            <w:tcW w:w="1404" w:type="dxa"/>
          </w:tcPr>
          <w:p w14:paraId="21BE228F" w14:textId="0C41114E" w:rsidR="00590361" w:rsidRPr="00762A56" w:rsidRDefault="00590361" w:rsidP="00590361">
            <w:pPr>
              <w:pStyle w:val="Tabletext"/>
              <w:jc w:val="center"/>
            </w:pPr>
            <w:r>
              <w:rPr>
                <w:rFonts w:ascii="Calibri" w:hAnsi="Calibri" w:cs="Calibri"/>
                <w:color w:val="000000"/>
                <w:sz w:val="22"/>
                <w:szCs w:val="22"/>
              </w:rPr>
              <w:t>0.786</w:t>
            </w:r>
          </w:p>
        </w:tc>
        <w:tc>
          <w:tcPr>
            <w:tcW w:w="1701" w:type="dxa"/>
          </w:tcPr>
          <w:p w14:paraId="16408000" w14:textId="37419D53" w:rsidR="00590361" w:rsidRPr="00762A56" w:rsidRDefault="00590361" w:rsidP="00590361">
            <w:pPr>
              <w:pStyle w:val="Tabletext"/>
              <w:jc w:val="center"/>
            </w:pPr>
            <w:r w:rsidRPr="0064760C">
              <w:t>0.969</w:t>
            </w:r>
          </w:p>
        </w:tc>
      </w:tr>
      <w:tr w:rsidR="00590361" w:rsidRPr="00762A56" w14:paraId="218D24A9" w14:textId="77777777" w:rsidTr="0064760C">
        <w:tc>
          <w:tcPr>
            <w:tcW w:w="1490" w:type="dxa"/>
            <w:vMerge/>
            <w:tcBorders>
              <w:bottom w:val="double" w:sz="4" w:space="0" w:color="auto"/>
            </w:tcBorders>
          </w:tcPr>
          <w:p w14:paraId="67AF29C9" w14:textId="77777777" w:rsidR="00590361" w:rsidRPr="00762A56" w:rsidRDefault="00590361" w:rsidP="00590361">
            <w:pPr>
              <w:pStyle w:val="Tabletext"/>
            </w:pPr>
          </w:p>
        </w:tc>
        <w:tc>
          <w:tcPr>
            <w:tcW w:w="3600" w:type="dxa"/>
            <w:tcBorders>
              <w:bottom w:val="double" w:sz="4" w:space="0" w:color="auto"/>
            </w:tcBorders>
          </w:tcPr>
          <w:p w14:paraId="45E2E919" w14:textId="77777777" w:rsidR="00590361" w:rsidRPr="00823AAF" w:rsidRDefault="00590361" w:rsidP="00590361">
            <w:pPr>
              <w:pStyle w:val="Tabletext"/>
              <w:numPr>
                <w:ilvl w:val="0"/>
                <w:numId w:val="200"/>
              </w:numPr>
              <w:ind w:left="381" w:hanging="381"/>
            </w:pPr>
            <w:r w:rsidRPr="00236FFF">
              <w:t xml:space="preserve">Central ducted heat pump compliant with the provisions of section </w:t>
            </w:r>
            <w:r>
              <w:t>2.5.3(f)ii(2)</w:t>
            </w:r>
            <w:r w:rsidRPr="00D92A45">
              <w:t xml:space="preserve"> </w:t>
            </w:r>
          </w:p>
        </w:tc>
        <w:tc>
          <w:tcPr>
            <w:tcW w:w="1269" w:type="dxa"/>
            <w:tcBorders>
              <w:bottom w:val="double" w:sz="4" w:space="0" w:color="auto"/>
            </w:tcBorders>
          </w:tcPr>
          <w:p w14:paraId="2D153F32" w14:textId="77777777" w:rsidR="00590361" w:rsidRPr="00762A56" w:rsidRDefault="00590361" w:rsidP="00590361">
            <w:pPr>
              <w:pStyle w:val="Tabletext"/>
              <w:jc w:val="center"/>
            </w:pPr>
            <w:r w:rsidRPr="00762A56">
              <w:t>3.1</w:t>
            </w:r>
          </w:p>
        </w:tc>
        <w:tc>
          <w:tcPr>
            <w:tcW w:w="1404" w:type="dxa"/>
            <w:tcBorders>
              <w:bottom w:val="double" w:sz="4" w:space="0" w:color="auto"/>
            </w:tcBorders>
          </w:tcPr>
          <w:p w14:paraId="23263636" w14:textId="6B3D57A2" w:rsidR="00590361" w:rsidRPr="00762A56" w:rsidRDefault="00590361" w:rsidP="00590361">
            <w:pPr>
              <w:pStyle w:val="Tabletext"/>
              <w:jc w:val="center"/>
            </w:pPr>
            <w:r>
              <w:rPr>
                <w:rFonts w:ascii="Calibri" w:hAnsi="Calibri" w:cs="Calibri"/>
                <w:color w:val="000000"/>
                <w:sz w:val="22"/>
                <w:szCs w:val="22"/>
              </w:rPr>
              <w:t>0.000</w:t>
            </w:r>
          </w:p>
        </w:tc>
        <w:tc>
          <w:tcPr>
            <w:tcW w:w="1701" w:type="dxa"/>
            <w:tcBorders>
              <w:bottom w:val="double" w:sz="4" w:space="0" w:color="auto"/>
            </w:tcBorders>
          </w:tcPr>
          <w:p w14:paraId="0BFA6F51" w14:textId="2B57E3EE" w:rsidR="00590361" w:rsidRPr="00762A56" w:rsidRDefault="00590361" w:rsidP="00590361">
            <w:pPr>
              <w:pStyle w:val="Tabletext"/>
              <w:jc w:val="center"/>
            </w:pPr>
            <w:r w:rsidRPr="0064760C">
              <w:t>1.485</w:t>
            </w:r>
          </w:p>
        </w:tc>
      </w:tr>
      <w:tr w:rsidR="00590361" w:rsidRPr="00762A56" w14:paraId="55FE44FE" w14:textId="77777777" w:rsidTr="0064760C">
        <w:tc>
          <w:tcPr>
            <w:tcW w:w="1490" w:type="dxa"/>
            <w:vMerge w:val="restart"/>
            <w:tcBorders>
              <w:top w:val="double" w:sz="4" w:space="0" w:color="auto"/>
            </w:tcBorders>
          </w:tcPr>
          <w:p w14:paraId="3EC41DA5" w14:textId="77777777" w:rsidR="00590361" w:rsidRPr="00762A56" w:rsidRDefault="00590361" w:rsidP="00590361">
            <w:pPr>
              <w:pStyle w:val="Tabletext"/>
              <w:ind w:left="284" w:hanging="284"/>
            </w:pPr>
            <w:r w:rsidRPr="00F4786A">
              <w:t>(2)</w:t>
            </w:r>
            <w:r>
              <w:t xml:space="preserve"> </w:t>
            </w:r>
            <w:r w:rsidRPr="00F4786A">
              <w:t xml:space="preserve">Qualifying fixed gas heater and electric cooler </w:t>
            </w:r>
            <w:r>
              <w:t>(must service more than 70m</w:t>
            </w:r>
            <w:r>
              <w:rPr>
                <w:vertAlign w:val="superscript"/>
              </w:rPr>
              <w:t>2</w:t>
            </w:r>
            <w:r>
              <w:t>)</w:t>
            </w:r>
          </w:p>
        </w:tc>
        <w:tc>
          <w:tcPr>
            <w:tcW w:w="3600" w:type="dxa"/>
            <w:tcBorders>
              <w:top w:val="double" w:sz="4" w:space="0" w:color="auto"/>
            </w:tcBorders>
          </w:tcPr>
          <w:p w14:paraId="04B209E7" w14:textId="77777777" w:rsidR="00590361" w:rsidRPr="00823AAF" w:rsidRDefault="00590361" w:rsidP="00590361">
            <w:pPr>
              <w:pStyle w:val="Tabletext"/>
              <w:numPr>
                <w:ilvl w:val="0"/>
                <w:numId w:val="204"/>
              </w:numPr>
              <w:ind w:left="426" w:hanging="426"/>
            </w:pPr>
            <w:r w:rsidRPr="00236FFF">
              <w:t>Central ducted heat pump</w:t>
            </w:r>
          </w:p>
        </w:tc>
        <w:tc>
          <w:tcPr>
            <w:tcW w:w="1269" w:type="dxa"/>
            <w:tcBorders>
              <w:top w:val="double" w:sz="4" w:space="0" w:color="auto"/>
            </w:tcBorders>
          </w:tcPr>
          <w:p w14:paraId="3D3296EB" w14:textId="77777777" w:rsidR="00590361" w:rsidRPr="00762A56" w:rsidRDefault="00590361" w:rsidP="00590361">
            <w:pPr>
              <w:pStyle w:val="Tabletext"/>
              <w:jc w:val="center"/>
            </w:pPr>
            <w:r w:rsidRPr="00762A56">
              <w:t>3.6</w:t>
            </w:r>
          </w:p>
        </w:tc>
        <w:tc>
          <w:tcPr>
            <w:tcW w:w="1404" w:type="dxa"/>
            <w:tcBorders>
              <w:top w:val="double" w:sz="4" w:space="0" w:color="auto"/>
            </w:tcBorders>
          </w:tcPr>
          <w:p w14:paraId="58D49175" w14:textId="65CFE186" w:rsidR="00590361" w:rsidRPr="00762A56" w:rsidRDefault="00590361" w:rsidP="00590361">
            <w:pPr>
              <w:pStyle w:val="Tabletext"/>
              <w:jc w:val="center"/>
            </w:pPr>
            <w:r>
              <w:rPr>
                <w:rFonts w:ascii="Calibri" w:hAnsi="Calibri" w:cs="Calibri"/>
                <w:color w:val="000000"/>
                <w:sz w:val="22"/>
                <w:szCs w:val="22"/>
              </w:rPr>
              <w:t>2.223</w:t>
            </w:r>
          </w:p>
        </w:tc>
        <w:tc>
          <w:tcPr>
            <w:tcW w:w="1701" w:type="dxa"/>
            <w:tcBorders>
              <w:top w:val="double" w:sz="4" w:space="0" w:color="auto"/>
            </w:tcBorders>
          </w:tcPr>
          <w:p w14:paraId="6DDD1868" w14:textId="730BB721" w:rsidR="00590361" w:rsidRPr="00762A56" w:rsidRDefault="00590361" w:rsidP="00590361">
            <w:pPr>
              <w:pStyle w:val="Tabletext"/>
              <w:jc w:val="center"/>
            </w:pPr>
            <w:r w:rsidRPr="0064760C">
              <w:t>1.140</w:t>
            </w:r>
          </w:p>
        </w:tc>
      </w:tr>
      <w:tr w:rsidR="00590361" w:rsidRPr="00762A56" w14:paraId="1B9D964E" w14:textId="77777777" w:rsidTr="0064760C">
        <w:tc>
          <w:tcPr>
            <w:tcW w:w="1490" w:type="dxa"/>
            <w:vMerge/>
          </w:tcPr>
          <w:p w14:paraId="16A99DD1" w14:textId="77777777" w:rsidR="00590361" w:rsidRPr="00762A56" w:rsidRDefault="00590361" w:rsidP="00590361">
            <w:pPr>
              <w:pStyle w:val="Tabletext"/>
            </w:pPr>
          </w:p>
        </w:tc>
        <w:tc>
          <w:tcPr>
            <w:tcW w:w="3600" w:type="dxa"/>
          </w:tcPr>
          <w:p w14:paraId="041810BA" w14:textId="77777777" w:rsidR="00590361" w:rsidRPr="00823AAF" w:rsidRDefault="00590361" w:rsidP="00590361">
            <w:pPr>
              <w:pStyle w:val="Tabletext"/>
              <w:numPr>
                <w:ilvl w:val="0"/>
                <w:numId w:val="204"/>
              </w:numPr>
              <w:ind w:left="381" w:hanging="381"/>
            </w:pPr>
            <w:r w:rsidRPr="00236FFF">
              <w:t xml:space="preserve">Central non-ducted heat pump, or two or more </w:t>
            </w:r>
            <w:r>
              <w:t>r</w:t>
            </w:r>
            <w:r w:rsidRPr="00236FFF">
              <w:t>oom heat pump</w:t>
            </w:r>
            <w:r>
              <w:t>s</w:t>
            </w:r>
          </w:p>
        </w:tc>
        <w:tc>
          <w:tcPr>
            <w:tcW w:w="1269" w:type="dxa"/>
          </w:tcPr>
          <w:p w14:paraId="2A467315" w14:textId="77777777" w:rsidR="00590361" w:rsidRPr="00762A56" w:rsidRDefault="00590361" w:rsidP="00590361">
            <w:pPr>
              <w:pStyle w:val="Tabletext"/>
              <w:jc w:val="center"/>
            </w:pPr>
            <w:r w:rsidRPr="00762A56">
              <w:t>3.6</w:t>
            </w:r>
          </w:p>
        </w:tc>
        <w:tc>
          <w:tcPr>
            <w:tcW w:w="1404" w:type="dxa"/>
          </w:tcPr>
          <w:p w14:paraId="6BB9B95A" w14:textId="237D6AF2" w:rsidR="00590361" w:rsidRPr="00762A56" w:rsidRDefault="00590361" w:rsidP="00590361">
            <w:pPr>
              <w:pStyle w:val="Tabletext"/>
              <w:jc w:val="center"/>
            </w:pPr>
            <w:r>
              <w:rPr>
                <w:rFonts w:ascii="Calibri" w:hAnsi="Calibri" w:cs="Calibri"/>
                <w:color w:val="000000"/>
                <w:sz w:val="22"/>
                <w:szCs w:val="22"/>
              </w:rPr>
              <w:t>3.010</w:t>
            </w:r>
          </w:p>
        </w:tc>
        <w:tc>
          <w:tcPr>
            <w:tcW w:w="1701" w:type="dxa"/>
          </w:tcPr>
          <w:p w14:paraId="4F08B1E6" w14:textId="1D7C866E" w:rsidR="00590361" w:rsidRPr="00762A56" w:rsidRDefault="00590361" w:rsidP="00590361">
            <w:pPr>
              <w:pStyle w:val="Tabletext"/>
              <w:jc w:val="center"/>
            </w:pPr>
            <w:r w:rsidRPr="0064760C">
              <w:t>0.969</w:t>
            </w:r>
          </w:p>
        </w:tc>
      </w:tr>
      <w:tr w:rsidR="00590361" w:rsidRPr="00762A56" w14:paraId="4C13F7B9" w14:textId="77777777" w:rsidTr="0064760C">
        <w:tc>
          <w:tcPr>
            <w:tcW w:w="1490" w:type="dxa"/>
            <w:vMerge/>
          </w:tcPr>
          <w:p w14:paraId="079BE856" w14:textId="77777777" w:rsidR="00590361" w:rsidRPr="00762A56" w:rsidRDefault="00590361" w:rsidP="00590361">
            <w:pPr>
              <w:pStyle w:val="Tabletext"/>
            </w:pPr>
          </w:p>
        </w:tc>
        <w:tc>
          <w:tcPr>
            <w:tcW w:w="3600" w:type="dxa"/>
          </w:tcPr>
          <w:p w14:paraId="032CCEFD" w14:textId="77777777" w:rsidR="00590361" w:rsidRPr="00823AAF" w:rsidRDefault="00590361" w:rsidP="00590361">
            <w:pPr>
              <w:pStyle w:val="Tabletext"/>
              <w:numPr>
                <w:ilvl w:val="0"/>
                <w:numId w:val="204"/>
              </w:numPr>
              <w:ind w:left="381" w:hanging="381"/>
            </w:pPr>
            <w:r w:rsidRPr="00236FFF">
              <w:t xml:space="preserve">Central ducted heat pump compliant with the provisions of section </w:t>
            </w:r>
            <w:r>
              <w:t>2.5.3(f)ii(2)</w:t>
            </w:r>
            <w:r w:rsidRPr="00D92A45">
              <w:t xml:space="preserve"> </w:t>
            </w:r>
          </w:p>
        </w:tc>
        <w:tc>
          <w:tcPr>
            <w:tcW w:w="1269" w:type="dxa"/>
          </w:tcPr>
          <w:p w14:paraId="690D65AC" w14:textId="77777777" w:rsidR="00590361" w:rsidRPr="00762A56" w:rsidRDefault="00590361" w:rsidP="00590361">
            <w:pPr>
              <w:pStyle w:val="Tabletext"/>
              <w:jc w:val="center"/>
            </w:pPr>
            <w:r w:rsidRPr="00762A56">
              <w:t>3.1</w:t>
            </w:r>
          </w:p>
        </w:tc>
        <w:tc>
          <w:tcPr>
            <w:tcW w:w="1404" w:type="dxa"/>
          </w:tcPr>
          <w:p w14:paraId="4202664E" w14:textId="4D3DEC7F" w:rsidR="00590361" w:rsidRPr="00762A56" w:rsidRDefault="00590361" w:rsidP="00590361">
            <w:pPr>
              <w:pStyle w:val="Tabletext"/>
              <w:jc w:val="center"/>
            </w:pPr>
            <w:r>
              <w:rPr>
                <w:rFonts w:ascii="Calibri" w:hAnsi="Calibri" w:cs="Calibri"/>
                <w:color w:val="000000"/>
                <w:sz w:val="22"/>
                <w:szCs w:val="22"/>
              </w:rPr>
              <w:t>2.122</w:t>
            </w:r>
          </w:p>
        </w:tc>
        <w:tc>
          <w:tcPr>
            <w:tcW w:w="1701" w:type="dxa"/>
          </w:tcPr>
          <w:p w14:paraId="711BA19D" w14:textId="5BA6A95D" w:rsidR="00590361" w:rsidRPr="00762A56" w:rsidRDefault="00590361" w:rsidP="00590361">
            <w:pPr>
              <w:pStyle w:val="Tabletext"/>
              <w:jc w:val="center"/>
            </w:pPr>
            <w:r w:rsidRPr="0064760C">
              <w:t>1.485</w:t>
            </w:r>
          </w:p>
        </w:tc>
      </w:tr>
    </w:tbl>
    <w:p w14:paraId="35135F6E" w14:textId="77777777" w:rsidR="00C66E92" w:rsidRPr="00BB1D43" w:rsidRDefault="00C66E92" w:rsidP="00880CB1">
      <w:pPr>
        <w:pStyle w:val="Caption"/>
        <w:ind w:left="0" w:firstLine="0"/>
      </w:pPr>
      <w:bookmarkStart w:id="235" w:name="_Toc21868124"/>
      <w:bookmarkStart w:id="236" w:name="_Toc21868256"/>
      <w:bookmarkStart w:id="237" w:name="_Toc37945703"/>
      <w:r w:rsidRPr="00BB1D43">
        <w:t xml:space="preserve">Table </w:t>
      </w:r>
      <w:r w:rsidR="004A0156">
        <w:rPr>
          <w:noProof/>
        </w:rPr>
        <w:fldChar w:fldCharType="begin"/>
      </w:r>
      <w:r w:rsidR="004A0156">
        <w:rPr>
          <w:noProof/>
        </w:rPr>
        <w:instrText xml:space="preserve"> SEQ Table \* ARABIC </w:instrText>
      </w:r>
      <w:r w:rsidR="004A0156">
        <w:rPr>
          <w:noProof/>
        </w:rPr>
        <w:fldChar w:fldCharType="separate"/>
      </w:r>
      <w:r w:rsidR="00880CB1">
        <w:rPr>
          <w:noProof/>
        </w:rPr>
        <w:t>19</w:t>
      </w:r>
      <w:r w:rsidR="004A0156">
        <w:rPr>
          <w:noProof/>
        </w:rPr>
        <w:fldChar w:fldCharType="end"/>
      </w:r>
      <w:r w:rsidRPr="00BB1D43">
        <w:t xml:space="preserve"> </w:t>
      </w:r>
      <w:r w:rsidR="009E6E7F">
        <w:tab/>
      </w:r>
      <w:r w:rsidR="009E076B">
        <w:t xml:space="preserve">Activity </w:t>
      </w:r>
      <w:r w:rsidR="00D85CB2">
        <w:t xml:space="preserve">ID </w:t>
      </w:r>
      <w:r w:rsidR="009E076B">
        <w:t>2.5(b)</w:t>
      </w:r>
      <w:r w:rsidR="00D85CB2">
        <w:t>ii</w:t>
      </w:r>
      <w:r w:rsidR="009E076B">
        <w:t xml:space="preserve"> b</w:t>
      </w:r>
      <w:r w:rsidRPr="00BB1D43">
        <w:t xml:space="preserve">usiness </w:t>
      </w:r>
      <w:r w:rsidR="00276A95">
        <w:t>p</w:t>
      </w:r>
      <w:r w:rsidRPr="00BB1D43">
        <w:t xml:space="preserve">remises – </w:t>
      </w:r>
      <w:r w:rsidR="009E076B">
        <w:t>c</w:t>
      </w:r>
      <w:r w:rsidRPr="00BB1D43">
        <w:t>ategory 2</w:t>
      </w:r>
      <w:bookmarkEnd w:id="235"/>
      <w:bookmarkEnd w:id="236"/>
      <w:bookmarkEnd w:id="237"/>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3580"/>
        <w:gridCol w:w="1258"/>
        <w:gridCol w:w="1394"/>
        <w:gridCol w:w="1701"/>
      </w:tblGrid>
      <w:tr w:rsidR="00EC0971" w:rsidRPr="00762A56" w14:paraId="31298B41" w14:textId="77777777" w:rsidTr="0064760C">
        <w:trPr>
          <w:tblHeader/>
        </w:trPr>
        <w:tc>
          <w:tcPr>
            <w:tcW w:w="1531" w:type="dxa"/>
            <w:tcBorders>
              <w:bottom w:val="double" w:sz="4" w:space="0" w:color="auto"/>
            </w:tcBorders>
          </w:tcPr>
          <w:p w14:paraId="4340D607" w14:textId="77777777" w:rsidR="00EC0971" w:rsidRPr="00762A56" w:rsidRDefault="00EC0971" w:rsidP="00EC0971">
            <w:pPr>
              <w:pStyle w:val="Tableheader"/>
            </w:pPr>
            <w:r>
              <w:t>Pre-existing heating condition</w:t>
            </w:r>
          </w:p>
        </w:tc>
        <w:tc>
          <w:tcPr>
            <w:tcW w:w="3580" w:type="dxa"/>
            <w:tcBorders>
              <w:bottom w:val="double" w:sz="4" w:space="0" w:color="auto"/>
            </w:tcBorders>
          </w:tcPr>
          <w:p w14:paraId="295FA6EE" w14:textId="77777777" w:rsidR="00EC0971" w:rsidRPr="00762A56" w:rsidRDefault="00EC0971" w:rsidP="00EC0971">
            <w:pPr>
              <w:pStyle w:val="Tableheader"/>
            </w:pPr>
            <w:r>
              <w:t>Installed product type</w:t>
            </w:r>
          </w:p>
        </w:tc>
        <w:tc>
          <w:tcPr>
            <w:tcW w:w="1258" w:type="dxa"/>
            <w:tcBorders>
              <w:bottom w:val="double" w:sz="4" w:space="0" w:color="auto"/>
            </w:tcBorders>
          </w:tcPr>
          <w:p w14:paraId="5593D0E0" w14:textId="77777777" w:rsidR="00EC0971" w:rsidRPr="00762A56" w:rsidRDefault="00EC0971" w:rsidP="00EC0971">
            <w:pPr>
              <w:pStyle w:val="Tableheader"/>
            </w:pPr>
            <w:r w:rsidRPr="00762A56">
              <w:t>Base Efficiency (</w:t>
            </w:r>
            <w:r w:rsidRPr="00762A56">
              <w:rPr>
                <w:i/>
              </w:rPr>
              <w:t>Baseline</w:t>
            </w:r>
            <w:r w:rsidRPr="00762A56">
              <w:t>)</w:t>
            </w:r>
            <w:r w:rsidRPr="00762A56">
              <w:br/>
              <w:t>ACOP</w:t>
            </w:r>
          </w:p>
        </w:tc>
        <w:tc>
          <w:tcPr>
            <w:tcW w:w="1394" w:type="dxa"/>
            <w:tcBorders>
              <w:bottom w:val="double" w:sz="4" w:space="0" w:color="auto"/>
            </w:tcBorders>
          </w:tcPr>
          <w:p w14:paraId="22C1081B" w14:textId="61A9F539" w:rsidR="00EC0971" w:rsidRPr="00762A56" w:rsidRDefault="00EC0971" w:rsidP="00EC0971">
            <w:pPr>
              <w:pStyle w:val="Tableheader"/>
            </w:pPr>
            <w:r w:rsidRPr="00FA0B4A">
              <w:t xml:space="preserve">Fixed </w:t>
            </w:r>
            <w:r>
              <w:t xml:space="preserve">Energy Savings </w:t>
            </w:r>
            <w:r w:rsidRPr="00FA0B4A">
              <w:t xml:space="preserve"> (</w:t>
            </w:r>
            <w:r>
              <w:t>ESF</w:t>
            </w:r>
            <w:r w:rsidRPr="00FA0B4A">
              <w:rPr>
                <w:vertAlign w:val="subscript"/>
              </w:rPr>
              <w:t>fixed</w:t>
            </w:r>
            <w:r w:rsidRPr="00FA0B4A">
              <w:t xml:space="preserve">) </w:t>
            </w:r>
            <w:r w:rsidRPr="00FA0B4A">
              <w:br/>
            </w:r>
            <w:r>
              <w:t>MWh</w:t>
            </w:r>
          </w:p>
        </w:tc>
        <w:tc>
          <w:tcPr>
            <w:tcW w:w="1701" w:type="dxa"/>
            <w:tcBorders>
              <w:bottom w:val="double" w:sz="4" w:space="0" w:color="auto"/>
            </w:tcBorders>
          </w:tcPr>
          <w:p w14:paraId="6260A868" w14:textId="13E17AE7" w:rsidR="00EC0971" w:rsidRPr="00762A56" w:rsidRDefault="00EC0971" w:rsidP="00EC0971">
            <w:pPr>
              <w:pStyle w:val="Tableheader"/>
            </w:pPr>
            <w:r w:rsidRPr="00FA0B4A">
              <w:t xml:space="preserve">Variable </w:t>
            </w:r>
            <w:r>
              <w:t xml:space="preserve">Energy Savings </w:t>
            </w:r>
            <w:r w:rsidRPr="00FA0B4A">
              <w:t xml:space="preserve"> (</w:t>
            </w:r>
            <w:r>
              <w:t>ESF</w:t>
            </w:r>
            <w:r w:rsidRPr="00FA0B4A">
              <w:rPr>
                <w:vertAlign w:val="subscript"/>
              </w:rPr>
              <w:t>var</w:t>
            </w:r>
            <w:r w:rsidRPr="00FA0B4A">
              <w:t>)</w:t>
            </w:r>
            <w:r w:rsidRPr="00FA0B4A">
              <w:br/>
            </w:r>
            <w:r>
              <w:t>MWh</w:t>
            </w:r>
            <w:r w:rsidRPr="00FA0B4A">
              <w:t>/kW</w:t>
            </w:r>
          </w:p>
        </w:tc>
      </w:tr>
      <w:tr w:rsidR="002413EC" w:rsidRPr="00762A56" w14:paraId="7AE88F3D" w14:textId="77777777" w:rsidTr="0064760C">
        <w:tc>
          <w:tcPr>
            <w:tcW w:w="1531" w:type="dxa"/>
            <w:vMerge w:val="restart"/>
            <w:tcBorders>
              <w:top w:val="double" w:sz="4" w:space="0" w:color="auto"/>
            </w:tcBorders>
          </w:tcPr>
          <w:p w14:paraId="21CFFE8D" w14:textId="77777777" w:rsidR="002413EC" w:rsidRPr="00762A56" w:rsidRDefault="002413EC" w:rsidP="002413EC">
            <w:pPr>
              <w:pStyle w:val="Tabletext"/>
              <w:ind w:left="284" w:hanging="284"/>
            </w:pPr>
            <w:r w:rsidRPr="008C5221">
              <w:t>(1) Qualifying fixed electric systems</w:t>
            </w:r>
            <w:r>
              <w:t xml:space="preserve"> </w:t>
            </w:r>
            <w:r>
              <w:lastRenderedPageBreak/>
              <w:t>(must service more than 70m</w:t>
            </w:r>
            <w:r>
              <w:rPr>
                <w:vertAlign w:val="superscript"/>
              </w:rPr>
              <w:t>2</w:t>
            </w:r>
            <w:r>
              <w:t>)</w:t>
            </w:r>
          </w:p>
        </w:tc>
        <w:tc>
          <w:tcPr>
            <w:tcW w:w="3580" w:type="dxa"/>
            <w:tcBorders>
              <w:top w:val="double" w:sz="4" w:space="0" w:color="auto"/>
            </w:tcBorders>
          </w:tcPr>
          <w:p w14:paraId="43653B11" w14:textId="77777777" w:rsidR="002413EC" w:rsidRPr="00823AAF" w:rsidRDefault="002413EC" w:rsidP="002413EC">
            <w:pPr>
              <w:pStyle w:val="Tabletext"/>
              <w:numPr>
                <w:ilvl w:val="0"/>
                <w:numId w:val="205"/>
              </w:numPr>
              <w:ind w:left="381" w:hanging="381"/>
            </w:pPr>
            <w:r w:rsidRPr="00236FFF">
              <w:lastRenderedPageBreak/>
              <w:t>Central ducted heat pump</w:t>
            </w:r>
          </w:p>
        </w:tc>
        <w:tc>
          <w:tcPr>
            <w:tcW w:w="1258" w:type="dxa"/>
            <w:tcBorders>
              <w:top w:val="double" w:sz="4" w:space="0" w:color="auto"/>
            </w:tcBorders>
          </w:tcPr>
          <w:p w14:paraId="1D97DED5" w14:textId="77777777" w:rsidR="002413EC" w:rsidRPr="00762A56" w:rsidRDefault="002413EC" w:rsidP="002413EC">
            <w:pPr>
              <w:pStyle w:val="Tabletext"/>
              <w:jc w:val="center"/>
            </w:pPr>
            <w:r w:rsidRPr="00762A56">
              <w:t>3.6</w:t>
            </w:r>
          </w:p>
        </w:tc>
        <w:tc>
          <w:tcPr>
            <w:tcW w:w="1394" w:type="dxa"/>
            <w:tcBorders>
              <w:top w:val="double" w:sz="4" w:space="0" w:color="auto"/>
            </w:tcBorders>
          </w:tcPr>
          <w:p w14:paraId="664C5B2E" w14:textId="4C349A2D" w:rsidR="002413EC" w:rsidRPr="00762A56" w:rsidRDefault="002413EC" w:rsidP="006F65CC">
            <w:pPr>
              <w:pStyle w:val="Tabletext"/>
              <w:jc w:val="center"/>
            </w:pPr>
            <w:r>
              <w:rPr>
                <w:rFonts w:ascii="Calibri" w:hAnsi="Calibri" w:cs="Calibri"/>
                <w:color w:val="000000"/>
                <w:sz w:val="22"/>
                <w:szCs w:val="22"/>
              </w:rPr>
              <w:t>0.00</w:t>
            </w:r>
          </w:p>
        </w:tc>
        <w:tc>
          <w:tcPr>
            <w:tcW w:w="1701" w:type="dxa"/>
            <w:tcBorders>
              <w:top w:val="double" w:sz="4" w:space="0" w:color="auto"/>
            </w:tcBorders>
          </w:tcPr>
          <w:p w14:paraId="1A52F0B2" w14:textId="6D50879F" w:rsidR="002413EC" w:rsidRPr="00762A56" w:rsidRDefault="002413EC" w:rsidP="006F65CC">
            <w:pPr>
              <w:pStyle w:val="Tabletext"/>
              <w:jc w:val="center"/>
            </w:pPr>
            <w:r w:rsidRPr="00762A56">
              <w:t>0.</w:t>
            </w:r>
            <w:r>
              <w:t>925</w:t>
            </w:r>
          </w:p>
        </w:tc>
      </w:tr>
      <w:tr w:rsidR="002413EC" w:rsidRPr="00762A56" w14:paraId="7CA308A4" w14:textId="77777777" w:rsidTr="0064760C">
        <w:tc>
          <w:tcPr>
            <w:tcW w:w="1531" w:type="dxa"/>
            <w:vMerge/>
          </w:tcPr>
          <w:p w14:paraId="46CC084D" w14:textId="77777777" w:rsidR="002413EC" w:rsidRPr="00762A56" w:rsidRDefault="002413EC" w:rsidP="002413EC">
            <w:pPr>
              <w:pStyle w:val="Tabletext"/>
            </w:pPr>
          </w:p>
        </w:tc>
        <w:tc>
          <w:tcPr>
            <w:tcW w:w="3580" w:type="dxa"/>
          </w:tcPr>
          <w:p w14:paraId="1C67569B" w14:textId="77777777" w:rsidR="002413EC" w:rsidRPr="00823AAF" w:rsidRDefault="002413EC" w:rsidP="002413EC">
            <w:pPr>
              <w:pStyle w:val="Tabletext"/>
              <w:numPr>
                <w:ilvl w:val="0"/>
                <w:numId w:val="205"/>
              </w:numPr>
              <w:ind w:left="381" w:hanging="381"/>
            </w:pPr>
            <w:r w:rsidRPr="00236FFF">
              <w:t xml:space="preserve">Central non-ducted heat pump, or two or more </w:t>
            </w:r>
            <w:r>
              <w:t>r</w:t>
            </w:r>
            <w:r w:rsidRPr="00236FFF">
              <w:t>oom heat pump</w:t>
            </w:r>
            <w:r>
              <w:t>s</w:t>
            </w:r>
          </w:p>
        </w:tc>
        <w:tc>
          <w:tcPr>
            <w:tcW w:w="1258" w:type="dxa"/>
          </w:tcPr>
          <w:p w14:paraId="4372299D" w14:textId="77777777" w:rsidR="002413EC" w:rsidRPr="00762A56" w:rsidRDefault="002413EC" w:rsidP="002413EC">
            <w:pPr>
              <w:pStyle w:val="Tabletext"/>
              <w:jc w:val="center"/>
            </w:pPr>
            <w:r w:rsidRPr="00762A56">
              <w:t>3.6</w:t>
            </w:r>
          </w:p>
        </w:tc>
        <w:tc>
          <w:tcPr>
            <w:tcW w:w="1394" w:type="dxa"/>
          </w:tcPr>
          <w:p w14:paraId="15DED5E0" w14:textId="77777777" w:rsidR="00590361" w:rsidRDefault="00590361" w:rsidP="006F65CC">
            <w:pPr>
              <w:pStyle w:val="Tabletext"/>
              <w:jc w:val="center"/>
              <w:rPr>
                <w:rFonts w:ascii="Calibri" w:hAnsi="Calibri" w:cs="Calibri"/>
                <w:color w:val="000000"/>
                <w:sz w:val="22"/>
                <w:szCs w:val="22"/>
              </w:rPr>
            </w:pPr>
            <w:r>
              <w:rPr>
                <w:rFonts w:ascii="Calibri" w:hAnsi="Calibri" w:cs="Calibri"/>
                <w:color w:val="000000"/>
                <w:sz w:val="22"/>
                <w:szCs w:val="22"/>
              </w:rPr>
              <w:t>0.638</w:t>
            </w:r>
          </w:p>
          <w:p w14:paraId="0DB33372" w14:textId="456FCBA2" w:rsidR="002413EC" w:rsidRPr="00762A56" w:rsidRDefault="002413EC" w:rsidP="0064760C">
            <w:pPr>
              <w:pStyle w:val="Tabletext"/>
            </w:pPr>
          </w:p>
        </w:tc>
        <w:tc>
          <w:tcPr>
            <w:tcW w:w="1701" w:type="dxa"/>
          </w:tcPr>
          <w:p w14:paraId="2EC953DD" w14:textId="6CE3DCD7" w:rsidR="002413EC" w:rsidRPr="00762A56" w:rsidRDefault="002413EC" w:rsidP="006F65CC">
            <w:pPr>
              <w:pStyle w:val="Tabletext"/>
              <w:jc w:val="center"/>
            </w:pPr>
            <w:r>
              <w:rPr>
                <w:rFonts w:ascii="Calibri" w:hAnsi="Calibri" w:cs="Calibri"/>
                <w:color w:val="000000"/>
                <w:sz w:val="22"/>
                <w:szCs w:val="22"/>
              </w:rPr>
              <w:lastRenderedPageBreak/>
              <w:t>0.787</w:t>
            </w:r>
          </w:p>
        </w:tc>
      </w:tr>
      <w:tr w:rsidR="00590361" w:rsidRPr="00762A56" w14:paraId="5D9E72A4" w14:textId="77777777" w:rsidTr="0064760C">
        <w:tc>
          <w:tcPr>
            <w:tcW w:w="1531" w:type="dxa"/>
            <w:vMerge/>
            <w:tcBorders>
              <w:bottom w:val="double" w:sz="4" w:space="0" w:color="auto"/>
            </w:tcBorders>
          </w:tcPr>
          <w:p w14:paraId="158F8719" w14:textId="20BFA21B" w:rsidR="00590361" w:rsidRPr="00762A56" w:rsidRDefault="00590361" w:rsidP="00590361">
            <w:pPr>
              <w:pStyle w:val="Tabletext"/>
            </w:pPr>
          </w:p>
        </w:tc>
        <w:tc>
          <w:tcPr>
            <w:tcW w:w="3580" w:type="dxa"/>
            <w:tcBorders>
              <w:bottom w:val="double" w:sz="4" w:space="0" w:color="auto"/>
            </w:tcBorders>
          </w:tcPr>
          <w:p w14:paraId="3E3E85F3" w14:textId="77777777" w:rsidR="00590361" w:rsidRPr="00823AAF" w:rsidRDefault="00590361" w:rsidP="00590361">
            <w:pPr>
              <w:pStyle w:val="Tabletext"/>
              <w:numPr>
                <w:ilvl w:val="0"/>
                <w:numId w:val="205"/>
              </w:numPr>
              <w:ind w:left="380" w:hanging="380"/>
            </w:pPr>
            <w:r w:rsidRPr="00236FFF">
              <w:t xml:space="preserve">Central ducted heat pump compliant with the provisions of section </w:t>
            </w:r>
            <w:r>
              <w:t>2.5.3(f)ii(2)</w:t>
            </w:r>
            <w:r w:rsidRPr="00D92A45">
              <w:t xml:space="preserve"> </w:t>
            </w:r>
          </w:p>
        </w:tc>
        <w:tc>
          <w:tcPr>
            <w:tcW w:w="1258" w:type="dxa"/>
            <w:tcBorders>
              <w:bottom w:val="double" w:sz="4" w:space="0" w:color="auto"/>
            </w:tcBorders>
          </w:tcPr>
          <w:p w14:paraId="7FA59A22" w14:textId="77777777" w:rsidR="00590361" w:rsidRPr="00762A56" w:rsidRDefault="00590361" w:rsidP="00590361">
            <w:pPr>
              <w:pStyle w:val="Tabletext"/>
              <w:jc w:val="center"/>
            </w:pPr>
            <w:r w:rsidRPr="00762A56">
              <w:t>3.1</w:t>
            </w:r>
          </w:p>
        </w:tc>
        <w:tc>
          <w:tcPr>
            <w:tcW w:w="1394" w:type="dxa"/>
            <w:tcBorders>
              <w:bottom w:val="double" w:sz="4" w:space="0" w:color="auto"/>
            </w:tcBorders>
          </w:tcPr>
          <w:p w14:paraId="0F1708E9" w14:textId="7C9C1FE2" w:rsidR="00590361" w:rsidRPr="00762A56" w:rsidRDefault="00590361" w:rsidP="00590361">
            <w:pPr>
              <w:pStyle w:val="Tabletext"/>
              <w:jc w:val="center"/>
            </w:pPr>
            <w:r>
              <w:rPr>
                <w:rFonts w:ascii="Calibri" w:hAnsi="Calibri" w:cs="Calibri"/>
                <w:color w:val="000000"/>
                <w:sz w:val="22"/>
                <w:szCs w:val="22"/>
              </w:rPr>
              <w:t>0.000</w:t>
            </w:r>
          </w:p>
        </w:tc>
        <w:tc>
          <w:tcPr>
            <w:tcW w:w="1701" w:type="dxa"/>
            <w:tcBorders>
              <w:bottom w:val="double" w:sz="4" w:space="0" w:color="auto"/>
            </w:tcBorders>
          </w:tcPr>
          <w:p w14:paraId="01BD7E2F" w14:textId="0C802401" w:rsidR="00590361" w:rsidRPr="00762A56" w:rsidRDefault="00590361" w:rsidP="00590361">
            <w:pPr>
              <w:pStyle w:val="Tabletext"/>
              <w:jc w:val="center"/>
            </w:pPr>
            <w:r>
              <w:rPr>
                <w:rFonts w:ascii="Calibri" w:hAnsi="Calibri" w:cs="Calibri"/>
                <w:color w:val="000000"/>
                <w:sz w:val="22"/>
                <w:szCs w:val="22"/>
              </w:rPr>
              <w:t>1.206</w:t>
            </w:r>
          </w:p>
        </w:tc>
      </w:tr>
      <w:tr w:rsidR="00590361" w:rsidRPr="00762A56" w14:paraId="5FC46B88" w14:textId="77777777" w:rsidTr="0064760C">
        <w:tc>
          <w:tcPr>
            <w:tcW w:w="1531" w:type="dxa"/>
            <w:vMerge w:val="restart"/>
            <w:tcBorders>
              <w:top w:val="double" w:sz="4" w:space="0" w:color="auto"/>
            </w:tcBorders>
          </w:tcPr>
          <w:p w14:paraId="22A0E5CF" w14:textId="77777777" w:rsidR="00590361" w:rsidRPr="00762A56" w:rsidRDefault="00590361" w:rsidP="00590361">
            <w:pPr>
              <w:pStyle w:val="Tabletext"/>
              <w:ind w:left="284" w:hanging="284"/>
            </w:pPr>
            <w:r w:rsidRPr="00F4786A">
              <w:t>(2)</w:t>
            </w:r>
            <w:r>
              <w:t xml:space="preserve"> </w:t>
            </w:r>
            <w:r w:rsidRPr="00F4786A">
              <w:t xml:space="preserve">Qualifying fixed gas heater and electric cooler </w:t>
            </w:r>
            <w:r>
              <w:t>(must service more than 70m</w:t>
            </w:r>
            <w:r>
              <w:rPr>
                <w:vertAlign w:val="superscript"/>
              </w:rPr>
              <w:t>2</w:t>
            </w:r>
            <w:r>
              <w:t>)</w:t>
            </w:r>
          </w:p>
        </w:tc>
        <w:tc>
          <w:tcPr>
            <w:tcW w:w="3580" w:type="dxa"/>
            <w:tcBorders>
              <w:top w:val="double" w:sz="4" w:space="0" w:color="auto"/>
            </w:tcBorders>
          </w:tcPr>
          <w:p w14:paraId="119CF3B8" w14:textId="77777777" w:rsidR="00590361" w:rsidRPr="00823AAF" w:rsidRDefault="00590361" w:rsidP="00590361">
            <w:pPr>
              <w:pStyle w:val="Tabletext"/>
              <w:numPr>
                <w:ilvl w:val="0"/>
                <w:numId w:val="201"/>
              </w:numPr>
              <w:ind w:left="381" w:hanging="381"/>
            </w:pPr>
            <w:r w:rsidRPr="00236FFF">
              <w:t>Central ducted heat pump</w:t>
            </w:r>
          </w:p>
        </w:tc>
        <w:tc>
          <w:tcPr>
            <w:tcW w:w="1258" w:type="dxa"/>
            <w:tcBorders>
              <w:top w:val="double" w:sz="4" w:space="0" w:color="auto"/>
            </w:tcBorders>
          </w:tcPr>
          <w:p w14:paraId="4D3E9230" w14:textId="77777777" w:rsidR="00590361" w:rsidRPr="00762A56" w:rsidRDefault="00590361" w:rsidP="00590361">
            <w:pPr>
              <w:pStyle w:val="Tabletext"/>
              <w:jc w:val="center"/>
            </w:pPr>
            <w:r w:rsidRPr="00762A56">
              <w:t>3.6</w:t>
            </w:r>
          </w:p>
        </w:tc>
        <w:tc>
          <w:tcPr>
            <w:tcW w:w="1394" w:type="dxa"/>
            <w:tcBorders>
              <w:top w:val="double" w:sz="4" w:space="0" w:color="auto"/>
            </w:tcBorders>
          </w:tcPr>
          <w:p w14:paraId="747B2C0D" w14:textId="2AF1FA6E" w:rsidR="00590361" w:rsidRPr="00762A56" w:rsidRDefault="00590361" w:rsidP="00590361">
            <w:pPr>
              <w:pStyle w:val="Tabletext"/>
              <w:jc w:val="center"/>
            </w:pPr>
            <w:r>
              <w:rPr>
                <w:rFonts w:ascii="Calibri" w:hAnsi="Calibri" w:cs="Calibri"/>
                <w:color w:val="000000"/>
                <w:sz w:val="22"/>
                <w:szCs w:val="22"/>
              </w:rPr>
              <w:t>12.461</w:t>
            </w:r>
          </w:p>
        </w:tc>
        <w:tc>
          <w:tcPr>
            <w:tcW w:w="1701" w:type="dxa"/>
            <w:tcBorders>
              <w:top w:val="double" w:sz="4" w:space="0" w:color="auto"/>
            </w:tcBorders>
          </w:tcPr>
          <w:p w14:paraId="3455EF27" w14:textId="20210D0E" w:rsidR="00590361" w:rsidRPr="00762A56" w:rsidRDefault="00590361" w:rsidP="00590361">
            <w:pPr>
              <w:pStyle w:val="Tabletext"/>
              <w:jc w:val="center"/>
            </w:pPr>
            <w:r>
              <w:rPr>
                <w:rFonts w:ascii="Calibri" w:hAnsi="Calibri" w:cs="Calibri"/>
                <w:color w:val="000000"/>
                <w:sz w:val="22"/>
                <w:szCs w:val="22"/>
              </w:rPr>
              <w:t>0.925</w:t>
            </w:r>
          </w:p>
        </w:tc>
      </w:tr>
      <w:tr w:rsidR="00590361" w:rsidRPr="00762A56" w14:paraId="6C9070EC" w14:textId="77777777" w:rsidTr="0064760C">
        <w:tc>
          <w:tcPr>
            <w:tcW w:w="1531" w:type="dxa"/>
            <w:vMerge/>
          </w:tcPr>
          <w:p w14:paraId="0D5E1B5F" w14:textId="77777777" w:rsidR="00590361" w:rsidRPr="00762A56" w:rsidRDefault="00590361" w:rsidP="00590361">
            <w:pPr>
              <w:pStyle w:val="Tabletext"/>
            </w:pPr>
          </w:p>
        </w:tc>
        <w:tc>
          <w:tcPr>
            <w:tcW w:w="3580" w:type="dxa"/>
          </w:tcPr>
          <w:p w14:paraId="6E4CD29E" w14:textId="77777777" w:rsidR="00590361" w:rsidRPr="00823AAF" w:rsidRDefault="00590361" w:rsidP="00590361">
            <w:pPr>
              <w:pStyle w:val="Tabletext"/>
              <w:numPr>
                <w:ilvl w:val="0"/>
                <w:numId w:val="201"/>
              </w:numPr>
              <w:ind w:left="381" w:hanging="381"/>
            </w:pPr>
            <w:r w:rsidRPr="00236FFF">
              <w:t xml:space="preserve">Central non-ducted heat pump, or two or more </w:t>
            </w:r>
            <w:r>
              <w:t>r</w:t>
            </w:r>
            <w:r w:rsidRPr="00236FFF">
              <w:t>oom heat pump</w:t>
            </w:r>
            <w:r>
              <w:t>s</w:t>
            </w:r>
          </w:p>
        </w:tc>
        <w:tc>
          <w:tcPr>
            <w:tcW w:w="1258" w:type="dxa"/>
          </w:tcPr>
          <w:p w14:paraId="1438DFB4" w14:textId="77777777" w:rsidR="00590361" w:rsidRPr="00762A56" w:rsidRDefault="00590361" w:rsidP="00590361">
            <w:pPr>
              <w:pStyle w:val="Tabletext"/>
              <w:jc w:val="center"/>
            </w:pPr>
            <w:r w:rsidRPr="00762A56">
              <w:t>3.6</w:t>
            </w:r>
          </w:p>
        </w:tc>
        <w:tc>
          <w:tcPr>
            <w:tcW w:w="1394" w:type="dxa"/>
          </w:tcPr>
          <w:p w14:paraId="64EAA9DF" w14:textId="2EFE8351" w:rsidR="00590361" w:rsidRPr="00762A56" w:rsidRDefault="00590361" w:rsidP="00590361">
            <w:pPr>
              <w:pStyle w:val="Tabletext"/>
              <w:jc w:val="center"/>
            </w:pPr>
            <w:r>
              <w:rPr>
                <w:rFonts w:ascii="Calibri" w:hAnsi="Calibri" w:cs="Calibri"/>
                <w:color w:val="000000"/>
                <w:sz w:val="22"/>
                <w:szCs w:val="22"/>
              </w:rPr>
              <w:t>13.099</w:t>
            </w:r>
          </w:p>
        </w:tc>
        <w:tc>
          <w:tcPr>
            <w:tcW w:w="1701" w:type="dxa"/>
          </w:tcPr>
          <w:p w14:paraId="1983B3AB" w14:textId="75007ADC" w:rsidR="00590361" w:rsidRPr="00762A56" w:rsidRDefault="00590361" w:rsidP="00590361">
            <w:pPr>
              <w:pStyle w:val="Tabletext"/>
              <w:jc w:val="center"/>
            </w:pPr>
            <w:r>
              <w:rPr>
                <w:rFonts w:ascii="Calibri" w:hAnsi="Calibri" w:cs="Calibri"/>
                <w:color w:val="000000"/>
                <w:sz w:val="22"/>
                <w:szCs w:val="22"/>
              </w:rPr>
              <w:t>0.787</w:t>
            </w:r>
          </w:p>
        </w:tc>
      </w:tr>
      <w:tr w:rsidR="00590361" w:rsidRPr="00762A56" w14:paraId="56792F6B" w14:textId="77777777" w:rsidTr="0064760C">
        <w:tc>
          <w:tcPr>
            <w:tcW w:w="1531" w:type="dxa"/>
            <w:vMerge/>
          </w:tcPr>
          <w:p w14:paraId="7C490AB6" w14:textId="77777777" w:rsidR="00590361" w:rsidRPr="00762A56" w:rsidRDefault="00590361" w:rsidP="00590361">
            <w:pPr>
              <w:pStyle w:val="Tabletext"/>
            </w:pPr>
          </w:p>
        </w:tc>
        <w:tc>
          <w:tcPr>
            <w:tcW w:w="3580" w:type="dxa"/>
          </w:tcPr>
          <w:p w14:paraId="192CE76C" w14:textId="77777777" w:rsidR="00590361" w:rsidRPr="00823AAF" w:rsidRDefault="00590361" w:rsidP="00590361">
            <w:pPr>
              <w:pStyle w:val="Tabletext"/>
              <w:numPr>
                <w:ilvl w:val="0"/>
                <w:numId w:val="201"/>
              </w:numPr>
              <w:ind w:left="381" w:hanging="381"/>
            </w:pPr>
            <w:r w:rsidRPr="00236FFF">
              <w:t xml:space="preserve">Central ducted heat pump compliant with the provisions of section </w:t>
            </w:r>
            <w:r>
              <w:t>2.5.3(f)ii(2)</w:t>
            </w:r>
            <w:r w:rsidRPr="00D92A45">
              <w:t xml:space="preserve"> </w:t>
            </w:r>
          </w:p>
        </w:tc>
        <w:tc>
          <w:tcPr>
            <w:tcW w:w="1258" w:type="dxa"/>
          </w:tcPr>
          <w:p w14:paraId="6AB6E516" w14:textId="77777777" w:rsidR="00590361" w:rsidRPr="00762A56" w:rsidRDefault="00590361" w:rsidP="00590361">
            <w:pPr>
              <w:pStyle w:val="Tabletext"/>
              <w:jc w:val="center"/>
            </w:pPr>
            <w:r w:rsidRPr="00762A56">
              <w:t>3.1</w:t>
            </w:r>
          </w:p>
        </w:tc>
        <w:tc>
          <w:tcPr>
            <w:tcW w:w="1394" w:type="dxa"/>
          </w:tcPr>
          <w:p w14:paraId="057F6871" w14:textId="2E765238" w:rsidR="00590361" w:rsidRPr="00762A56" w:rsidRDefault="00590361" w:rsidP="00590361">
            <w:pPr>
              <w:pStyle w:val="Tabletext"/>
              <w:jc w:val="center"/>
            </w:pPr>
            <w:r>
              <w:rPr>
                <w:rFonts w:ascii="Calibri" w:hAnsi="Calibri" w:cs="Calibri"/>
                <w:color w:val="000000"/>
                <w:sz w:val="22"/>
                <w:szCs w:val="22"/>
              </w:rPr>
              <w:t>11.895</w:t>
            </w:r>
          </w:p>
        </w:tc>
        <w:tc>
          <w:tcPr>
            <w:tcW w:w="1701" w:type="dxa"/>
          </w:tcPr>
          <w:p w14:paraId="03D67CAA" w14:textId="0C3CF168" w:rsidR="00590361" w:rsidRPr="00762A56" w:rsidRDefault="00590361" w:rsidP="00590361">
            <w:pPr>
              <w:pStyle w:val="Tabletext"/>
              <w:jc w:val="center"/>
            </w:pPr>
            <w:r>
              <w:rPr>
                <w:rFonts w:ascii="Calibri" w:hAnsi="Calibri" w:cs="Calibri"/>
                <w:color w:val="000000"/>
                <w:sz w:val="22"/>
                <w:szCs w:val="22"/>
              </w:rPr>
              <w:t>1.206</w:t>
            </w:r>
          </w:p>
        </w:tc>
      </w:tr>
    </w:tbl>
    <w:p w14:paraId="021CF56A" w14:textId="77777777" w:rsidR="00C66E92" w:rsidRPr="00BB1D43" w:rsidRDefault="00C66E92" w:rsidP="00BB1D43">
      <w:pPr>
        <w:pStyle w:val="Caption"/>
      </w:pPr>
      <w:bookmarkStart w:id="238" w:name="_Toc21868125"/>
      <w:bookmarkStart w:id="239" w:name="_Toc21868257"/>
      <w:bookmarkStart w:id="240" w:name="_Toc37945704"/>
      <w:r w:rsidRPr="00BB1D43">
        <w:t xml:space="preserve">Table </w:t>
      </w:r>
      <w:r w:rsidR="004A0156">
        <w:rPr>
          <w:noProof/>
        </w:rPr>
        <w:fldChar w:fldCharType="begin"/>
      </w:r>
      <w:r w:rsidR="004A0156">
        <w:rPr>
          <w:noProof/>
        </w:rPr>
        <w:instrText xml:space="preserve"> SEQ Table \* ARABIC </w:instrText>
      </w:r>
      <w:r w:rsidR="004A0156">
        <w:rPr>
          <w:noProof/>
        </w:rPr>
        <w:fldChar w:fldCharType="separate"/>
      </w:r>
      <w:r w:rsidR="00880CB1">
        <w:rPr>
          <w:noProof/>
        </w:rPr>
        <w:t>20</w:t>
      </w:r>
      <w:r w:rsidR="004A0156">
        <w:rPr>
          <w:noProof/>
        </w:rPr>
        <w:fldChar w:fldCharType="end"/>
      </w:r>
      <w:r w:rsidRPr="00BB1D43">
        <w:t xml:space="preserve"> </w:t>
      </w:r>
      <w:r w:rsidR="009E6E7F">
        <w:tab/>
      </w:r>
      <w:r w:rsidR="009E076B">
        <w:t xml:space="preserve">Activity </w:t>
      </w:r>
      <w:r w:rsidR="00D85CB2">
        <w:t xml:space="preserve">ID </w:t>
      </w:r>
      <w:r w:rsidR="009E076B">
        <w:t>2.5(b)</w:t>
      </w:r>
      <w:r w:rsidR="00D85CB2">
        <w:t>iii</w:t>
      </w:r>
      <w:r w:rsidR="009E076B">
        <w:t xml:space="preserve"> b</w:t>
      </w:r>
      <w:r w:rsidRPr="00BB1D43">
        <w:t xml:space="preserve">usiness </w:t>
      </w:r>
      <w:r w:rsidR="00276A95">
        <w:t>p</w:t>
      </w:r>
      <w:r w:rsidRPr="00BB1D43">
        <w:t xml:space="preserve">remises – </w:t>
      </w:r>
      <w:r w:rsidR="009E076B">
        <w:t>c</w:t>
      </w:r>
      <w:r w:rsidRPr="00BB1D43">
        <w:t>ategory 3</w:t>
      </w:r>
      <w:bookmarkEnd w:id="238"/>
      <w:bookmarkEnd w:id="239"/>
      <w:bookmarkEnd w:id="24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3580"/>
        <w:gridCol w:w="1258"/>
        <w:gridCol w:w="1394"/>
        <w:gridCol w:w="1701"/>
      </w:tblGrid>
      <w:tr w:rsidR="00EC0971" w:rsidRPr="00762A56" w14:paraId="200A2027" w14:textId="77777777" w:rsidTr="0064760C">
        <w:trPr>
          <w:tblHeader/>
        </w:trPr>
        <w:tc>
          <w:tcPr>
            <w:tcW w:w="1531" w:type="dxa"/>
            <w:tcBorders>
              <w:bottom w:val="double" w:sz="4" w:space="0" w:color="auto"/>
            </w:tcBorders>
          </w:tcPr>
          <w:p w14:paraId="2BFF994F" w14:textId="77777777" w:rsidR="00EC0971" w:rsidRPr="00762A56" w:rsidRDefault="00EC0971" w:rsidP="00EC0971">
            <w:pPr>
              <w:pStyle w:val="Tableheader"/>
            </w:pPr>
            <w:r w:rsidRPr="00EA049A">
              <w:t>Pre</w:t>
            </w:r>
            <w:r>
              <w:t>-</w:t>
            </w:r>
            <w:r w:rsidRPr="00EA049A">
              <w:t>existing heating condition</w:t>
            </w:r>
          </w:p>
        </w:tc>
        <w:tc>
          <w:tcPr>
            <w:tcW w:w="3580" w:type="dxa"/>
            <w:tcBorders>
              <w:bottom w:val="double" w:sz="4" w:space="0" w:color="auto"/>
            </w:tcBorders>
          </w:tcPr>
          <w:p w14:paraId="07A92F37" w14:textId="77777777" w:rsidR="00EC0971" w:rsidRPr="00762A56" w:rsidRDefault="00EC0971" w:rsidP="00EC0971">
            <w:pPr>
              <w:pStyle w:val="Tableheader"/>
            </w:pPr>
            <w:r>
              <w:t>Installed product type</w:t>
            </w:r>
          </w:p>
        </w:tc>
        <w:tc>
          <w:tcPr>
            <w:tcW w:w="1258" w:type="dxa"/>
            <w:tcBorders>
              <w:bottom w:val="double" w:sz="4" w:space="0" w:color="auto"/>
            </w:tcBorders>
          </w:tcPr>
          <w:p w14:paraId="00850E5A" w14:textId="77777777" w:rsidR="00EC0971" w:rsidRPr="00762A56" w:rsidRDefault="00EC0971" w:rsidP="00EC0971">
            <w:pPr>
              <w:pStyle w:val="Tableheader"/>
            </w:pPr>
            <w:r w:rsidRPr="00762A56">
              <w:t>Base Efficiency (</w:t>
            </w:r>
            <w:r w:rsidRPr="00762A56">
              <w:rPr>
                <w:i/>
              </w:rPr>
              <w:t>Baseline</w:t>
            </w:r>
            <w:r w:rsidRPr="00762A56">
              <w:t>)</w:t>
            </w:r>
            <w:r w:rsidRPr="00762A56">
              <w:br/>
              <w:t>ACOP</w:t>
            </w:r>
          </w:p>
        </w:tc>
        <w:tc>
          <w:tcPr>
            <w:tcW w:w="1394" w:type="dxa"/>
            <w:tcBorders>
              <w:bottom w:val="double" w:sz="4" w:space="0" w:color="auto"/>
            </w:tcBorders>
          </w:tcPr>
          <w:p w14:paraId="0B843D1C" w14:textId="2C5B01A4" w:rsidR="00EC0971" w:rsidRPr="00762A56" w:rsidRDefault="00EC0971" w:rsidP="00EC0971">
            <w:pPr>
              <w:pStyle w:val="Tableheader"/>
            </w:pPr>
            <w:r w:rsidRPr="00FA0B4A">
              <w:t xml:space="preserve">Fixed </w:t>
            </w:r>
            <w:r>
              <w:t xml:space="preserve">Energy Savings </w:t>
            </w:r>
            <w:r w:rsidRPr="00FA0B4A">
              <w:t xml:space="preserve"> (</w:t>
            </w:r>
            <w:r>
              <w:t>ESF</w:t>
            </w:r>
            <w:r w:rsidRPr="00FA0B4A">
              <w:rPr>
                <w:vertAlign w:val="subscript"/>
              </w:rPr>
              <w:t>fixed</w:t>
            </w:r>
            <w:r w:rsidRPr="00FA0B4A">
              <w:t xml:space="preserve">) </w:t>
            </w:r>
            <w:r w:rsidRPr="00FA0B4A">
              <w:br/>
            </w:r>
            <w:r>
              <w:t>MWh</w:t>
            </w:r>
          </w:p>
        </w:tc>
        <w:tc>
          <w:tcPr>
            <w:tcW w:w="1701" w:type="dxa"/>
            <w:tcBorders>
              <w:bottom w:val="double" w:sz="4" w:space="0" w:color="auto"/>
            </w:tcBorders>
          </w:tcPr>
          <w:p w14:paraId="6B29074E" w14:textId="41E47E57" w:rsidR="00EC0971" w:rsidRPr="00762A56" w:rsidRDefault="00EC0971" w:rsidP="00EC0971">
            <w:pPr>
              <w:pStyle w:val="Tableheader"/>
            </w:pPr>
            <w:r w:rsidRPr="00FA0B4A">
              <w:t xml:space="preserve">Variable </w:t>
            </w:r>
            <w:r>
              <w:t xml:space="preserve">Energy Savings </w:t>
            </w:r>
            <w:r w:rsidRPr="00FA0B4A">
              <w:t xml:space="preserve"> (</w:t>
            </w:r>
            <w:r>
              <w:t>ESF</w:t>
            </w:r>
            <w:r w:rsidRPr="00FA0B4A">
              <w:rPr>
                <w:vertAlign w:val="subscript"/>
              </w:rPr>
              <w:t>var</w:t>
            </w:r>
            <w:r w:rsidRPr="00FA0B4A">
              <w:t>)</w:t>
            </w:r>
            <w:r w:rsidRPr="00FA0B4A">
              <w:br/>
            </w:r>
            <w:r>
              <w:t>MWh</w:t>
            </w:r>
            <w:r w:rsidRPr="00FA0B4A">
              <w:t>/kW</w:t>
            </w:r>
          </w:p>
        </w:tc>
      </w:tr>
      <w:tr w:rsidR="00590361" w:rsidRPr="00762A56" w14:paraId="54CFA268" w14:textId="77777777" w:rsidTr="0064760C">
        <w:tc>
          <w:tcPr>
            <w:tcW w:w="1531" w:type="dxa"/>
            <w:vMerge w:val="restart"/>
            <w:tcBorders>
              <w:top w:val="double" w:sz="4" w:space="0" w:color="auto"/>
            </w:tcBorders>
          </w:tcPr>
          <w:p w14:paraId="3F804E1C" w14:textId="77777777" w:rsidR="00590361" w:rsidRPr="008C5221" w:rsidRDefault="00590361" w:rsidP="00590361">
            <w:pPr>
              <w:pStyle w:val="Tabletext"/>
              <w:ind w:left="284" w:hanging="284"/>
            </w:pPr>
            <w:r w:rsidRPr="008C5221">
              <w:t>(1) Qualifying fixed electric systems</w:t>
            </w:r>
            <w:r>
              <w:t xml:space="preserve"> (must service more than 70m</w:t>
            </w:r>
            <w:r>
              <w:rPr>
                <w:vertAlign w:val="superscript"/>
              </w:rPr>
              <w:t>2</w:t>
            </w:r>
            <w:r>
              <w:t>)</w:t>
            </w:r>
          </w:p>
          <w:p w14:paraId="38416F20" w14:textId="77777777" w:rsidR="00590361" w:rsidRPr="00762A56" w:rsidRDefault="00590361" w:rsidP="00590361">
            <w:pPr>
              <w:pStyle w:val="Tabletext"/>
            </w:pPr>
          </w:p>
        </w:tc>
        <w:tc>
          <w:tcPr>
            <w:tcW w:w="3580" w:type="dxa"/>
            <w:tcBorders>
              <w:top w:val="double" w:sz="4" w:space="0" w:color="auto"/>
            </w:tcBorders>
          </w:tcPr>
          <w:p w14:paraId="4150E821" w14:textId="77777777" w:rsidR="00590361" w:rsidRPr="00823AAF" w:rsidRDefault="00590361" w:rsidP="00590361">
            <w:pPr>
              <w:pStyle w:val="Tabletext"/>
              <w:numPr>
                <w:ilvl w:val="0"/>
                <w:numId w:val="202"/>
              </w:numPr>
              <w:ind w:left="381" w:hanging="381"/>
            </w:pPr>
            <w:r w:rsidRPr="00236FFF">
              <w:t>Central ducted heat pump</w:t>
            </w:r>
          </w:p>
        </w:tc>
        <w:tc>
          <w:tcPr>
            <w:tcW w:w="1258" w:type="dxa"/>
            <w:tcBorders>
              <w:top w:val="double" w:sz="4" w:space="0" w:color="auto"/>
            </w:tcBorders>
          </w:tcPr>
          <w:p w14:paraId="57E61B18" w14:textId="77777777" w:rsidR="00590361" w:rsidRPr="00762A56" w:rsidRDefault="00590361" w:rsidP="00590361">
            <w:pPr>
              <w:pStyle w:val="Tabletext"/>
              <w:jc w:val="center"/>
            </w:pPr>
            <w:r w:rsidRPr="00762A56">
              <w:t>3.6</w:t>
            </w:r>
          </w:p>
        </w:tc>
        <w:tc>
          <w:tcPr>
            <w:tcW w:w="1394" w:type="dxa"/>
            <w:tcBorders>
              <w:top w:val="double" w:sz="4" w:space="0" w:color="auto"/>
            </w:tcBorders>
          </w:tcPr>
          <w:p w14:paraId="31AA5125" w14:textId="75CF9762" w:rsidR="00590361" w:rsidRPr="00762A56" w:rsidRDefault="00590361" w:rsidP="00590361">
            <w:pPr>
              <w:pStyle w:val="Tabletext"/>
              <w:jc w:val="center"/>
            </w:pPr>
            <w:r>
              <w:rPr>
                <w:rFonts w:ascii="Calibri" w:hAnsi="Calibri" w:cs="Calibri"/>
                <w:color w:val="000000"/>
                <w:sz w:val="22"/>
                <w:szCs w:val="22"/>
              </w:rPr>
              <w:t>0.000</w:t>
            </w:r>
          </w:p>
        </w:tc>
        <w:tc>
          <w:tcPr>
            <w:tcW w:w="1701" w:type="dxa"/>
            <w:tcBorders>
              <w:top w:val="double" w:sz="4" w:space="0" w:color="auto"/>
            </w:tcBorders>
          </w:tcPr>
          <w:p w14:paraId="6DF7C1B8" w14:textId="37EF8B41" w:rsidR="00590361" w:rsidRPr="00762A56" w:rsidRDefault="00590361" w:rsidP="00590361">
            <w:pPr>
              <w:pStyle w:val="Tabletext"/>
              <w:jc w:val="center"/>
            </w:pPr>
            <w:r>
              <w:t>1.033</w:t>
            </w:r>
          </w:p>
        </w:tc>
      </w:tr>
      <w:tr w:rsidR="00590361" w:rsidRPr="00762A56" w14:paraId="6F4FE9F9" w14:textId="77777777" w:rsidTr="0064760C">
        <w:tc>
          <w:tcPr>
            <w:tcW w:w="1531" w:type="dxa"/>
            <w:vMerge/>
          </w:tcPr>
          <w:p w14:paraId="3C9665A5" w14:textId="77777777" w:rsidR="00590361" w:rsidRPr="00762A56" w:rsidRDefault="00590361" w:rsidP="00590361">
            <w:pPr>
              <w:pStyle w:val="Tabletext"/>
            </w:pPr>
          </w:p>
        </w:tc>
        <w:tc>
          <w:tcPr>
            <w:tcW w:w="3580" w:type="dxa"/>
          </w:tcPr>
          <w:p w14:paraId="70C63A10" w14:textId="77777777" w:rsidR="00590361" w:rsidRPr="00823AAF" w:rsidRDefault="00590361" w:rsidP="00590361">
            <w:pPr>
              <w:pStyle w:val="Tabletext"/>
              <w:numPr>
                <w:ilvl w:val="0"/>
                <w:numId w:val="202"/>
              </w:numPr>
              <w:ind w:left="381" w:hanging="381"/>
            </w:pPr>
            <w:r w:rsidRPr="00236FFF">
              <w:t xml:space="preserve">Central non-ducted heat pump, or two or more </w:t>
            </w:r>
            <w:r>
              <w:t>r</w:t>
            </w:r>
            <w:r w:rsidRPr="00236FFF">
              <w:t>oom heat pump</w:t>
            </w:r>
            <w:r>
              <w:t>s</w:t>
            </w:r>
          </w:p>
        </w:tc>
        <w:tc>
          <w:tcPr>
            <w:tcW w:w="1258" w:type="dxa"/>
          </w:tcPr>
          <w:p w14:paraId="7FAE70D1" w14:textId="77777777" w:rsidR="00590361" w:rsidRPr="00762A56" w:rsidRDefault="00590361" w:rsidP="00590361">
            <w:pPr>
              <w:pStyle w:val="Tabletext"/>
              <w:jc w:val="center"/>
            </w:pPr>
            <w:r w:rsidRPr="00762A56">
              <w:t>3.6</w:t>
            </w:r>
          </w:p>
        </w:tc>
        <w:tc>
          <w:tcPr>
            <w:tcW w:w="1394" w:type="dxa"/>
          </w:tcPr>
          <w:p w14:paraId="622B0F9D" w14:textId="7BBE11CE" w:rsidR="00590361" w:rsidRPr="00762A56" w:rsidRDefault="00590361" w:rsidP="00590361">
            <w:pPr>
              <w:pStyle w:val="Tabletext"/>
              <w:jc w:val="center"/>
            </w:pPr>
            <w:r>
              <w:rPr>
                <w:rFonts w:ascii="Calibri" w:hAnsi="Calibri" w:cs="Calibri"/>
                <w:color w:val="000000"/>
                <w:sz w:val="22"/>
                <w:szCs w:val="22"/>
              </w:rPr>
              <w:t>0.712</w:t>
            </w:r>
          </w:p>
        </w:tc>
        <w:tc>
          <w:tcPr>
            <w:tcW w:w="1701" w:type="dxa"/>
          </w:tcPr>
          <w:p w14:paraId="2902E675" w14:textId="45BDF9D5" w:rsidR="00590361" w:rsidRPr="00762A56" w:rsidRDefault="00590361" w:rsidP="00590361">
            <w:pPr>
              <w:pStyle w:val="Tabletext"/>
              <w:jc w:val="center"/>
            </w:pPr>
            <w:r>
              <w:rPr>
                <w:rFonts w:ascii="Calibri" w:hAnsi="Calibri" w:cs="Calibri"/>
                <w:color w:val="000000"/>
                <w:sz w:val="22"/>
                <w:szCs w:val="22"/>
              </w:rPr>
              <w:t>0.878</w:t>
            </w:r>
          </w:p>
        </w:tc>
      </w:tr>
      <w:tr w:rsidR="00590361" w:rsidRPr="00762A56" w14:paraId="245E0B15" w14:textId="77777777" w:rsidTr="0064760C">
        <w:tc>
          <w:tcPr>
            <w:tcW w:w="1531" w:type="dxa"/>
            <w:vMerge/>
            <w:tcBorders>
              <w:bottom w:val="double" w:sz="4" w:space="0" w:color="auto"/>
            </w:tcBorders>
          </w:tcPr>
          <w:p w14:paraId="67CFDCA2" w14:textId="77777777" w:rsidR="00590361" w:rsidRPr="00762A56" w:rsidRDefault="00590361" w:rsidP="00590361">
            <w:pPr>
              <w:pStyle w:val="Tabletext"/>
            </w:pPr>
          </w:p>
        </w:tc>
        <w:tc>
          <w:tcPr>
            <w:tcW w:w="3580" w:type="dxa"/>
            <w:tcBorders>
              <w:bottom w:val="double" w:sz="4" w:space="0" w:color="auto"/>
            </w:tcBorders>
          </w:tcPr>
          <w:p w14:paraId="2C501156" w14:textId="77777777" w:rsidR="00590361" w:rsidRPr="00823AAF" w:rsidRDefault="00590361" w:rsidP="00590361">
            <w:pPr>
              <w:pStyle w:val="Tabletext"/>
              <w:numPr>
                <w:ilvl w:val="0"/>
                <w:numId w:val="202"/>
              </w:numPr>
              <w:ind w:left="381" w:hanging="381"/>
            </w:pPr>
            <w:r w:rsidRPr="00236FFF">
              <w:t xml:space="preserve">Central ducted heat pump compliant with the provisions of section </w:t>
            </w:r>
            <w:r>
              <w:t>2.5.3(f)ii(2)</w:t>
            </w:r>
            <w:r w:rsidRPr="00D92A45">
              <w:t xml:space="preserve"> </w:t>
            </w:r>
          </w:p>
        </w:tc>
        <w:tc>
          <w:tcPr>
            <w:tcW w:w="1258" w:type="dxa"/>
            <w:tcBorders>
              <w:bottom w:val="double" w:sz="4" w:space="0" w:color="auto"/>
            </w:tcBorders>
          </w:tcPr>
          <w:p w14:paraId="16B5EBF5" w14:textId="77777777" w:rsidR="00590361" w:rsidRPr="00762A56" w:rsidRDefault="00590361" w:rsidP="00590361">
            <w:pPr>
              <w:pStyle w:val="Tabletext"/>
              <w:jc w:val="center"/>
            </w:pPr>
            <w:r w:rsidRPr="00762A56">
              <w:t>3.1</w:t>
            </w:r>
          </w:p>
        </w:tc>
        <w:tc>
          <w:tcPr>
            <w:tcW w:w="1394" w:type="dxa"/>
            <w:tcBorders>
              <w:bottom w:val="double" w:sz="4" w:space="0" w:color="auto"/>
            </w:tcBorders>
          </w:tcPr>
          <w:p w14:paraId="5C29D611" w14:textId="24262CBC" w:rsidR="00590361" w:rsidRPr="00762A56" w:rsidRDefault="00590361" w:rsidP="00590361">
            <w:pPr>
              <w:pStyle w:val="Tabletext"/>
              <w:jc w:val="center"/>
            </w:pPr>
            <w:r>
              <w:rPr>
                <w:rFonts w:ascii="Calibri" w:hAnsi="Calibri" w:cs="Calibri"/>
                <w:color w:val="000000"/>
                <w:sz w:val="22"/>
                <w:szCs w:val="22"/>
              </w:rPr>
              <w:t>0.000</w:t>
            </w:r>
          </w:p>
        </w:tc>
        <w:tc>
          <w:tcPr>
            <w:tcW w:w="1701" w:type="dxa"/>
            <w:tcBorders>
              <w:bottom w:val="double" w:sz="4" w:space="0" w:color="auto"/>
            </w:tcBorders>
          </w:tcPr>
          <w:p w14:paraId="4C062FA1" w14:textId="678EDF4B" w:rsidR="00590361" w:rsidRPr="00762A56" w:rsidRDefault="00590361" w:rsidP="00590361">
            <w:pPr>
              <w:pStyle w:val="Tabletext"/>
              <w:jc w:val="center"/>
            </w:pPr>
            <w:r>
              <w:rPr>
                <w:rFonts w:ascii="Calibri" w:hAnsi="Calibri" w:cs="Calibri"/>
                <w:color w:val="000000"/>
                <w:sz w:val="22"/>
                <w:szCs w:val="22"/>
              </w:rPr>
              <w:t>1.345</w:t>
            </w:r>
          </w:p>
        </w:tc>
      </w:tr>
      <w:tr w:rsidR="00590361" w:rsidRPr="00762A56" w14:paraId="7098E498" w14:textId="77777777" w:rsidTr="0064760C">
        <w:tc>
          <w:tcPr>
            <w:tcW w:w="1531" w:type="dxa"/>
            <w:vMerge w:val="restart"/>
            <w:tcBorders>
              <w:top w:val="double" w:sz="4" w:space="0" w:color="auto"/>
            </w:tcBorders>
          </w:tcPr>
          <w:p w14:paraId="46DBE511" w14:textId="77777777" w:rsidR="00590361" w:rsidRPr="00762A56" w:rsidRDefault="00590361" w:rsidP="00590361">
            <w:pPr>
              <w:pStyle w:val="Tabletext"/>
              <w:ind w:left="284" w:hanging="284"/>
            </w:pPr>
            <w:r w:rsidRPr="00F4786A">
              <w:t>(2)</w:t>
            </w:r>
            <w:r>
              <w:t xml:space="preserve"> </w:t>
            </w:r>
            <w:r w:rsidRPr="00F4786A">
              <w:t xml:space="preserve">Qualifying fixed gas heater and electric cooler </w:t>
            </w:r>
            <w:r>
              <w:t>(must service more than 70m</w:t>
            </w:r>
            <w:r>
              <w:rPr>
                <w:vertAlign w:val="superscript"/>
              </w:rPr>
              <w:t>2</w:t>
            </w:r>
            <w:r>
              <w:t>)</w:t>
            </w:r>
          </w:p>
        </w:tc>
        <w:tc>
          <w:tcPr>
            <w:tcW w:w="3580" w:type="dxa"/>
            <w:tcBorders>
              <w:top w:val="double" w:sz="4" w:space="0" w:color="auto"/>
            </w:tcBorders>
          </w:tcPr>
          <w:p w14:paraId="7CEF9F1B" w14:textId="77777777" w:rsidR="00590361" w:rsidRPr="00823AAF" w:rsidRDefault="00590361" w:rsidP="00590361">
            <w:pPr>
              <w:pStyle w:val="Tabletext"/>
              <w:numPr>
                <w:ilvl w:val="0"/>
                <w:numId w:val="203"/>
              </w:numPr>
              <w:ind w:left="381" w:hanging="381"/>
            </w:pPr>
            <w:r w:rsidRPr="00236FFF">
              <w:t>Central ducted heat pump</w:t>
            </w:r>
          </w:p>
        </w:tc>
        <w:tc>
          <w:tcPr>
            <w:tcW w:w="1258" w:type="dxa"/>
            <w:tcBorders>
              <w:top w:val="double" w:sz="4" w:space="0" w:color="auto"/>
            </w:tcBorders>
          </w:tcPr>
          <w:p w14:paraId="0FB7B829" w14:textId="77777777" w:rsidR="00590361" w:rsidRPr="00762A56" w:rsidRDefault="00590361" w:rsidP="00590361">
            <w:pPr>
              <w:pStyle w:val="Tabletext"/>
              <w:jc w:val="center"/>
            </w:pPr>
            <w:r w:rsidRPr="00762A56">
              <w:t>3.6</w:t>
            </w:r>
          </w:p>
        </w:tc>
        <w:tc>
          <w:tcPr>
            <w:tcW w:w="1394" w:type="dxa"/>
            <w:tcBorders>
              <w:top w:val="double" w:sz="4" w:space="0" w:color="auto"/>
            </w:tcBorders>
          </w:tcPr>
          <w:p w14:paraId="1620BF5C" w14:textId="6F192685" w:rsidR="00590361" w:rsidRPr="00762A56" w:rsidRDefault="00590361" w:rsidP="00590361">
            <w:pPr>
              <w:pStyle w:val="Tabletext"/>
              <w:jc w:val="center"/>
            </w:pPr>
            <w:r>
              <w:rPr>
                <w:rFonts w:ascii="Calibri" w:hAnsi="Calibri" w:cs="Calibri"/>
                <w:color w:val="000000"/>
                <w:sz w:val="22"/>
                <w:szCs w:val="22"/>
              </w:rPr>
              <w:t>7.342</w:t>
            </w:r>
          </w:p>
        </w:tc>
        <w:tc>
          <w:tcPr>
            <w:tcW w:w="1701" w:type="dxa"/>
            <w:tcBorders>
              <w:top w:val="double" w:sz="4" w:space="0" w:color="auto"/>
            </w:tcBorders>
          </w:tcPr>
          <w:p w14:paraId="0159E453" w14:textId="32E7BA32" w:rsidR="00590361" w:rsidRPr="00762A56" w:rsidRDefault="00590361" w:rsidP="00590361">
            <w:pPr>
              <w:pStyle w:val="Tabletext"/>
              <w:jc w:val="center"/>
            </w:pPr>
            <w:r>
              <w:rPr>
                <w:rFonts w:ascii="Calibri" w:hAnsi="Calibri" w:cs="Calibri"/>
                <w:color w:val="000000"/>
                <w:sz w:val="22"/>
                <w:szCs w:val="22"/>
              </w:rPr>
              <w:t>1.033</w:t>
            </w:r>
          </w:p>
        </w:tc>
      </w:tr>
      <w:tr w:rsidR="00590361" w:rsidRPr="00762A56" w14:paraId="44C8CE6F" w14:textId="77777777" w:rsidTr="0064760C">
        <w:tc>
          <w:tcPr>
            <w:tcW w:w="1531" w:type="dxa"/>
            <w:vMerge/>
          </w:tcPr>
          <w:p w14:paraId="34868E03" w14:textId="77777777" w:rsidR="00590361" w:rsidRPr="00762A56" w:rsidRDefault="00590361" w:rsidP="00590361">
            <w:pPr>
              <w:pStyle w:val="Tabletext"/>
            </w:pPr>
          </w:p>
        </w:tc>
        <w:tc>
          <w:tcPr>
            <w:tcW w:w="3580" w:type="dxa"/>
          </w:tcPr>
          <w:p w14:paraId="2902D299" w14:textId="77777777" w:rsidR="00590361" w:rsidRPr="00823AAF" w:rsidRDefault="00590361" w:rsidP="00590361">
            <w:pPr>
              <w:pStyle w:val="Tabletext"/>
              <w:numPr>
                <w:ilvl w:val="0"/>
                <w:numId w:val="203"/>
              </w:numPr>
              <w:ind w:left="381" w:hanging="381"/>
            </w:pPr>
            <w:r w:rsidRPr="00236FFF">
              <w:t xml:space="preserve">Central non-ducted heat pump, or two or more </w:t>
            </w:r>
            <w:r>
              <w:t>r</w:t>
            </w:r>
            <w:r w:rsidRPr="00236FFF">
              <w:t>oom heat pump</w:t>
            </w:r>
            <w:r>
              <w:t>s</w:t>
            </w:r>
          </w:p>
        </w:tc>
        <w:tc>
          <w:tcPr>
            <w:tcW w:w="1258" w:type="dxa"/>
          </w:tcPr>
          <w:p w14:paraId="6C55F253" w14:textId="77777777" w:rsidR="00590361" w:rsidRPr="00762A56" w:rsidRDefault="00590361" w:rsidP="00590361">
            <w:pPr>
              <w:pStyle w:val="Tabletext"/>
              <w:jc w:val="center"/>
            </w:pPr>
            <w:r w:rsidRPr="00762A56">
              <w:t>3.6</w:t>
            </w:r>
          </w:p>
        </w:tc>
        <w:tc>
          <w:tcPr>
            <w:tcW w:w="1394" w:type="dxa"/>
          </w:tcPr>
          <w:p w14:paraId="383E4394" w14:textId="7EDEEFFE" w:rsidR="00590361" w:rsidRPr="00762A56" w:rsidRDefault="00590361" w:rsidP="00590361">
            <w:pPr>
              <w:pStyle w:val="Tabletext"/>
              <w:jc w:val="center"/>
            </w:pPr>
            <w:r>
              <w:rPr>
                <w:rFonts w:ascii="Calibri" w:hAnsi="Calibri" w:cs="Calibri"/>
                <w:color w:val="000000"/>
                <w:sz w:val="22"/>
                <w:szCs w:val="22"/>
              </w:rPr>
              <w:t>8.055</w:t>
            </w:r>
          </w:p>
        </w:tc>
        <w:tc>
          <w:tcPr>
            <w:tcW w:w="1701" w:type="dxa"/>
          </w:tcPr>
          <w:p w14:paraId="47B34E1F" w14:textId="49A9EFB0" w:rsidR="00590361" w:rsidRPr="00762A56" w:rsidRDefault="00590361" w:rsidP="00590361">
            <w:pPr>
              <w:pStyle w:val="Tabletext"/>
              <w:jc w:val="center"/>
            </w:pPr>
            <w:r>
              <w:rPr>
                <w:rFonts w:ascii="Calibri" w:hAnsi="Calibri" w:cs="Calibri"/>
                <w:color w:val="000000"/>
                <w:sz w:val="22"/>
                <w:szCs w:val="22"/>
              </w:rPr>
              <w:t>0.878</w:t>
            </w:r>
          </w:p>
        </w:tc>
      </w:tr>
      <w:tr w:rsidR="00590361" w:rsidRPr="00762A56" w14:paraId="34E02A0A" w14:textId="77777777" w:rsidTr="0064760C">
        <w:tc>
          <w:tcPr>
            <w:tcW w:w="1531" w:type="dxa"/>
            <w:vMerge/>
          </w:tcPr>
          <w:p w14:paraId="66A443A0" w14:textId="77777777" w:rsidR="00590361" w:rsidRPr="00762A56" w:rsidRDefault="00590361" w:rsidP="00590361">
            <w:pPr>
              <w:pStyle w:val="Tabletext"/>
            </w:pPr>
          </w:p>
        </w:tc>
        <w:tc>
          <w:tcPr>
            <w:tcW w:w="3580" w:type="dxa"/>
          </w:tcPr>
          <w:p w14:paraId="46C34005" w14:textId="77777777" w:rsidR="00590361" w:rsidRPr="00823AAF" w:rsidRDefault="00590361" w:rsidP="00590361">
            <w:pPr>
              <w:pStyle w:val="Tabletext"/>
              <w:numPr>
                <w:ilvl w:val="0"/>
                <w:numId w:val="203"/>
              </w:numPr>
              <w:ind w:left="381" w:hanging="381"/>
            </w:pPr>
            <w:r w:rsidRPr="00236FFF">
              <w:t xml:space="preserve">Central ducted heat pump compliant with the provisions of section </w:t>
            </w:r>
            <w:r>
              <w:t>2.5.3(f)ii(2)</w:t>
            </w:r>
            <w:r w:rsidRPr="00D92A45">
              <w:t xml:space="preserve"> </w:t>
            </w:r>
          </w:p>
        </w:tc>
        <w:tc>
          <w:tcPr>
            <w:tcW w:w="1258" w:type="dxa"/>
          </w:tcPr>
          <w:p w14:paraId="4B7BD310" w14:textId="77777777" w:rsidR="00590361" w:rsidRPr="00762A56" w:rsidRDefault="00590361" w:rsidP="00590361">
            <w:pPr>
              <w:pStyle w:val="Tabletext"/>
              <w:jc w:val="center"/>
            </w:pPr>
            <w:r w:rsidRPr="00762A56">
              <w:t>3.1</w:t>
            </w:r>
          </w:p>
        </w:tc>
        <w:tc>
          <w:tcPr>
            <w:tcW w:w="1394" w:type="dxa"/>
          </w:tcPr>
          <w:p w14:paraId="685CDF15" w14:textId="175D1C11" w:rsidR="00590361" w:rsidRPr="00762A56" w:rsidRDefault="00590361" w:rsidP="00590361">
            <w:pPr>
              <w:pStyle w:val="Tabletext"/>
              <w:jc w:val="center"/>
            </w:pPr>
            <w:r>
              <w:rPr>
                <w:rFonts w:ascii="Calibri" w:hAnsi="Calibri" w:cs="Calibri"/>
                <w:color w:val="000000"/>
                <w:sz w:val="22"/>
                <w:szCs w:val="22"/>
              </w:rPr>
              <w:t>7.009</w:t>
            </w:r>
          </w:p>
        </w:tc>
        <w:tc>
          <w:tcPr>
            <w:tcW w:w="1701" w:type="dxa"/>
          </w:tcPr>
          <w:p w14:paraId="4DE71367" w14:textId="6A0A6595" w:rsidR="00590361" w:rsidRPr="00762A56" w:rsidRDefault="00590361" w:rsidP="00590361">
            <w:pPr>
              <w:pStyle w:val="Tabletext"/>
              <w:jc w:val="center"/>
            </w:pPr>
            <w:r>
              <w:rPr>
                <w:rFonts w:ascii="Calibri" w:hAnsi="Calibri" w:cs="Calibri"/>
                <w:color w:val="000000"/>
                <w:sz w:val="22"/>
                <w:szCs w:val="22"/>
              </w:rPr>
              <w:t>1.345</w:t>
            </w:r>
          </w:p>
        </w:tc>
      </w:tr>
    </w:tbl>
    <w:p w14:paraId="16B99063" w14:textId="77777777" w:rsidR="00C66E92" w:rsidRPr="00762A56" w:rsidRDefault="00C66E92" w:rsidP="00C66E92">
      <w:pPr>
        <w:rPr>
          <w:color w:val="000000"/>
        </w:rPr>
      </w:pPr>
    </w:p>
    <w:p w14:paraId="67E4D5C4" w14:textId="77777777" w:rsidR="00C66E92" w:rsidRDefault="00C66E92" w:rsidP="00BB1D43">
      <w:pPr>
        <w:pStyle w:val="Sectionheading2"/>
      </w:pPr>
      <w:r w:rsidRPr="00F0256F">
        <w:rPr>
          <w:color w:val="000000"/>
          <w:highlight w:val="yellow"/>
        </w:rPr>
        <w:br w:type="page"/>
      </w:r>
      <w:bookmarkStart w:id="241" w:name="_Toc27560556"/>
      <w:bookmarkStart w:id="242" w:name="_Toc501441393"/>
      <w:bookmarkStart w:id="243" w:name="_Toc531035051"/>
      <w:r w:rsidRPr="00762A56">
        <w:lastRenderedPageBreak/>
        <w:t xml:space="preserve">Replace </w:t>
      </w:r>
      <w:r>
        <w:t>separate</w:t>
      </w:r>
      <w:r w:rsidRPr="00762A56">
        <w:t xml:space="preserve"> </w:t>
      </w:r>
      <w:r>
        <w:t>room</w:t>
      </w:r>
      <w:r w:rsidRPr="00762A56">
        <w:t xml:space="preserve"> heating and cooling system</w:t>
      </w:r>
      <w:r>
        <w:t>s</w:t>
      </w:r>
      <w:r w:rsidRPr="00762A56">
        <w:t xml:space="preserve"> </w:t>
      </w:r>
      <w:r>
        <w:t>with a high efficiency room heat pump</w:t>
      </w:r>
      <w:bookmarkEnd w:id="241"/>
      <w:r>
        <w:t xml:space="preserve"> </w:t>
      </w:r>
    </w:p>
    <w:bookmarkEnd w:id="242"/>
    <w:bookmarkEnd w:id="243"/>
    <w:p w14:paraId="50E9BC0F" w14:textId="77777777" w:rsidR="00C66E92" w:rsidRPr="00FA0B4A" w:rsidRDefault="00C66E92" w:rsidP="00BB1D43">
      <w:pPr>
        <w:pStyle w:val="Sectionheading3"/>
      </w:pPr>
      <w:r w:rsidRPr="00FA0B4A">
        <w:t xml:space="preserve">Activity </w:t>
      </w:r>
      <w:r w:rsidR="00EE5E8D">
        <w:t>d</w:t>
      </w:r>
      <w:r w:rsidRPr="00FA0B4A">
        <w:t>efinition</w:t>
      </w:r>
    </w:p>
    <w:p w14:paraId="31E06EF5" w14:textId="77777777" w:rsidR="00C66E92" w:rsidRPr="00762A56" w:rsidRDefault="00C66E92" w:rsidP="00BB1D43">
      <w:pPr>
        <w:pStyle w:val="BodytextEEIS"/>
      </w:pPr>
      <w:r w:rsidRPr="00762A56">
        <w:t xml:space="preserve">In accordance with the prescribed minimum activity performance specifications, this activity involves the replacement of </w:t>
      </w:r>
      <w:r>
        <w:t>separate room heating and cooling systems with a high efficiency room heat pump system in</w:t>
      </w:r>
      <w:r w:rsidR="00EE5E8D">
        <w:t>—</w:t>
      </w:r>
      <w:r w:rsidRPr="00762A56">
        <w:t xml:space="preserve"> </w:t>
      </w:r>
    </w:p>
    <w:p w14:paraId="0A0D68E0" w14:textId="77777777" w:rsidR="00C66E92" w:rsidRDefault="00C66E92" w:rsidP="00D633D3">
      <w:pPr>
        <w:pStyle w:val="Subdetailsfirstindent"/>
        <w:numPr>
          <w:ilvl w:val="0"/>
          <w:numId w:val="91"/>
        </w:numPr>
      </w:pPr>
      <w:r w:rsidRPr="00865C4D">
        <w:rPr>
          <w:b/>
          <w:bCs/>
        </w:rPr>
        <w:t>Activity ID 2.6(a)</w:t>
      </w:r>
      <w:r>
        <w:t xml:space="preserve"> </w:t>
      </w:r>
      <w:r w:rsidRPr="00AD77D8">
        <w:t>– Not active;</w:t>
      </w:r>
      <w:r>
        <w:t xml:space="preserve"> or</w:t>
      </w:r>
    </w:p>
    <w:p w14:paraId="3F7D11DF" w14:textId="77777777" w:rsidR="00C66E92" w:rsidRPr="00823AAF" w:rsidRDefault="00C66E92" w:rsidP="00D633D3">
      <w:pPr>
        <w:pStyle w:val="Subdetailsfirstindent"/>
        <w:numPr>
          <w:ilvl w:val="0"/>
          <w:numId w:val="91"/>
        </w:numPr>
      </w:pPr>
      <w:r w:rsidRPr="00865C4D">
        <w:rPr>
          <w:b/>
          <w:bCs/>
        </w:rPr>
        <w:t>Activity ID 2.6(b)</w:t>
      </w:r>
      <w:r>
        <w:t xml:space="preserve"> </w:t>
      </w:r>
      <w:r w:rsidR="00EE5E8D">
        <w:t>–</w:t>
      </w:r>
      <w:r w:rsidRPr="00AD77D8">
        <w:t xml:space="preserve"> Business premises</w:t>
      </w:r>
      <w:r w:rsidR="00EE5E8D">
        <w:t>,</w:t>
      </w:r>
      <w:r>
        <w:t xml:space="preserve"> </w:t>
      </w:r>
      <w:r w:rsidR="00EE5E8D">
        <w:t>defined as—</w:t>
      </w:r>
    </w:p>
    <w:p w14:paraId="3C237034" w14:textId="77777777" w:rsidR="00C66E92" w:rsidRDefault="00EE5E8D" w:rsidP="00D633D3">
      <w:pPr>
        <w:pStyle w:val="Subdetailssecondindent"/>
        <w:numPr>
          <w:ilvl w:val="0"/>
          <w:numId w:val="92"/>
        </w:numPr>
      </w:pPr>
      <w:r>
        <w:t>h</w:t>
      </w:r>
      <w:r w:rsidR="00C66E92" w:rsidRPr="00605125">
        <w:t>igh internal heat loads</w:t>
      </w:r>
      <w:r>
        <w:t xml:space="preserve"> (category 1)</w:t>
      </w:r>
      <w:r w:rsidR="00C66E92" w:rsidRPr="00562193">
        <w:t>;</w:t>
      </w:r>
    </w:p>
    <w:p w14:paraId="36944CB7" w14:textId="77777777" w:rsidR="00C66E92" w:rsidRPr="00562193" w:rsidRDefault="00EE5E8D" w:rsidP="00D633D3">
      <w:pPr>
        <w:pStyle w:val="Subdetailssecondindent"/>
        <w:numPr>
          <w:ilvl w:val="0"/>
          <w:numId w:val="92"/>
        </w:numPr>
      </w:pPr>
      <w:r>
        <w:t>l</w:t>
      </w:r>
      <w:r w:rsidR="00C66E92">
        <w:t>ow</w:t>
      </w:r>
      <w:r w:rsidR="00C66E92" w:rsidRPr="00605125">
        <w:t xml:space="preserve"> internal heat loads</w:t>
      </w:r>
      <w:r>
        <w:t xml:space="preserve"> (category 2)</w:t>
      </w:r>
      <w:r w:rsidR="00C66E92" w:rsidRPr="00562193">
        <w:t>; or</w:t>
      </w:r>
    </w:p>
    <w:p w14:paraId="724FC971" w14:textId="77777777" w:rsidR="00C66E92" w:rsidRDefault="00EE5E8D" w:rsidP="00D633D3">
      <w:pPr>
        <w:pStyle w:val="Subdetailssecondindent"/>
        <w:numPr>
          <w:ilvl w:val="0"/>
          <w:numId w:val="92"/>
        </w:numPr>
      </w:pPr>
      <w:r>
        <w:t>o</w:t>
      </w:r>
      <w:r w:rsidR="00C66E92">
        <w:t>ther</w:t>
      </w:r>
      <w:r w:rsidR="00C66E92" w:rsidRPr="00605125">
        <w:t xml:space="preserve"> internal heat loads</w:t>
      </w:r>
      <w:r>
        <w:t xml:space="preserve"> (category 3).</w:t>
      </w:r>
    </w:p>
    <w:p w14:paraId="79EFE065" w14:textId="77777777" w:rsidR="00C66E92" w:rsidRPr="00395766" w:rsidRDefault="00C66E92" w:rsidP="00BB1D43">
      <w:pPr>
        <w:pStyle w:val="Notesandexamples"/>
      </w:pPr>
      <w:r w:rsidRPr="00970AD2">
        <w:t>Note</w:t>
      </w:r>
      <w:r w:rsidR="00995E5B">
        <w:t xml:space="preserve"> 1</w:t>
      </w:r>
      <w:r w:rsidRPr="00970AD2">
        <w:tab/>
      </w:r>
      <w:r w:rsidRPr="00395766">
        <w:t xml:space="preserve">The business premises categories are further defined in </w:t>
      </w:r>
      <w:r w:rsidR="00395766" w:rsidRPr="00395766">
        <w:t>s</w:t>
      </w:r>
      <w:r w:rsidRPr="00395766">
        <w:t xml:space="preserve">ection </w:t>
      </w:r>
      <w:r w:rsidR="00EE5E8D">
        <w:t>2.6.</w:t>
      </w:r>
      <w:r w:rsidRPr="00395766">
        <w:t xml:space="preserve">5, </w:t>
      </w:r>
      <w:r w:rsidR="00395766" w:rsidRPr="00395766">
        <w:t>t</w:t>
      </w:r>
      <w:r w:rsidRPr="00395766">
        <w:t>able 2</w:t>
      </w:r>
      <w:r w:rsidR="00EE5E8D">
        <w:t>1</w:t>
      </w:r>
      <w:r w:rsidRPr="00395766">
        <w:t>.</w:t>
      </w:r>
    </w:p>
    <w:p w14:paraId="028075B6" w14:textId="77777777" w:rsidR="00F84587" w:rsidRPr="00E104BC" w:rsidRDefault="00F84587" w:rsidP="00BB1D43">
      <w:pPr>
        <w:pStyle w:val="Notesandexamples"/>
      </w:pPr>
      <w:r>
        <w:t>Note</w:t>
      </w:r>
      <w:r w:rsidR="00995E5B">
        <w:t xml:space="preserve"> 2</w:t>
      </w:r>
      <w:r>
        <w:tab/>
        <w:t xml:space="preserve">The numbering system used </w:t>
      </w:r>
      <w:r w:rsidR="00EE5E8D">
        <w:t>above</w:t>
      </w:r>
      <w:r>
        <w:t xml:space="preserve"> relates to the tables in section </w:t>
      </w:r>
      <w:r w:rsidR="00EE5E8D">
        <w:t>2.6.</w:t>
      </w:r>
      <w:r>
        <w:t>5.</w:t>
      </w:r>
    </w:p>
    <w:p w14:paraId="153073B4" w14:textId="77777777" w:rsidR="00C66E92" w:rsidRDefault="00C66E92" w:rsidP="00BB1D43">
      <w:pPr>
        <w:pStyle w:val="Sectionheading4"/>
      </w:pPr>
      <w:r w:rsidRPr="00513D23">
        <w:t>Pre-existing heating condition</w:t>
      </w:r>
    </w:p>
    <w:p w14:paraId="7ED376CA" w14:textId="77777777" w:rsidR="00C66E92" w:rsidRDefault="00C66E92" w:rsidP="00BB1D43">
      <w:pPr>
        <w:pStyle w:val="BodytextEEIS"/>
      </w:pPr>
      <w:r>
        <w:t xml:space="preserve">For </w:t>
      </w:r>
      <w:r w:rsidR="00EE5E8D">
        <w:t>A</w:t>
      </w:r>
      <w:r>
        <w:t>ctivity</w:t>
      </w:r>
      <w:r w:rsidR="00EE5E8D">
        <w:t xml:space="preserve"> </w:t>
      </w:r>
      <w:r>
        <w:t>2.6, the pre-existing heating condition must be one of the following</w:t>
      </w:r>
      <w:r w:rsidR="00EE5E8D">
        <w:t>—</w:t>
      </w:r>
      <w:r>
        <w:t xml:space="preserve">  </w:t>
      </w:r>
    </w:p>
    <w:p w14:paraId="11810F48" w14:textId="77777777" w:rsidR="00C66E92" w:rsidRDefault="00EE5E8D" w:rsidP="00D633D3">
      <w:pPr>
        <w:pStyle w:val="Subdetailsfirstindent"/>
        <w:numPr>
          <w:ilvl w:val="0"/>
          <w:numId w:val="93"/>
        </w:numPr>
      </w:pPr>
      <w:r>
        <w:t>q</w:t>
      </w:r>
      <w:r w:rsidR="00C66E92">
        <w:t xml:space="preserve">ualifying fixed electric systems – a fixed electric room heater and a fixed electric room cooler. All fixed electric room heater systems are eligible. </w:t>
      </w:r>
      <w:r w:rsidR="00F62E69">
        <w:t>Fixed electric room cooler systems must use refrigerative cooling technology (heat pumps and chillers)</w:t>
      </w:r>
      <w:r w:rsidR="007805BD">
        <w:t>; or</w:t>
      </w:r>
    </w:p>
    <w:p w14:paraId="1F340637" w14:textId="77777777" w:rsidR="00C66E92" w:rsidRPr="00B20135" w:rsidRDefault="00EE5E8D" w:rsidP="00D633D3">
      <w:pPr>
        <w:pStyle w:val="Subdetailsfirstindent"/>
        <w:numPr>
          <w:ilvl w:val="0"/>
          <w:numId w:val="93"/>
        </w:numPr>
      </w:pPr>
      <w:r>
        <w:t>q</w:t>
      </w:r>
      <w:r w:rsidR="00C66E92" w:rsidRPr="00B20135">
        <w:t xml:space="preserve">ualifying fixed gas heater and electric cooler – a fixed gas room heater and a fixed electric room cooler. All flued fixed gas room heater systems are eligible (unflued gas heaters of any description are ineligible.) </w:t>
      </w:r>
      <w:r w:rsidR="00F62E69">
        <w:t>Fixed electric room cooler systems must use refrigerative cooling technology (heat pumps and chillers).</w:t>
      </w:r>
    </w:p>
    <w:p w14:paraId="29DF2347" w14:textId="77777777" w:rsidR="00C66E92" w:rsidRDefault="00C66E92" w:rsidP="00BB1D43">
      <w:pPr>
        <w:pStyle w:val="Sectionheading4"/>
      </w:pPr>
      <w:r>
        <w:t>New installation</w:t>
      </w:r>
      <w:r w:rsidRPr="00513D23">
        <w:t xml:space="preserve"> condition</w:t>
      </w:r>
    </w:p>
    <w:p w14:paraId="70593694" w14:textId="77777777" w:rsidR="00C66E92" w:rsidRPr="00A225CE" w:rsidRDefault="00C66E92" w:rsidP="00BB1D43">
      <w:pPr>
        <w:pStyle w:val="BodytextEEIS"/>
      </w:pPr>
      <w:r>
        <w:t>For Activity 2.6, the new installation includes</w:t>
      </w:r>
      <w:r w:rsidR="00EE5E8D">
        <w:t>—</w:t>
      </w:r>
    </w:p>
    <w:p w14:paraId="298FB92A" w14:textId="77777777" w:rsidR="00C66E92" w:rsidRDefault="00EE5E8D" w:rsidP="00D633D3">
      <w:pPr>
        <w:pStyle w:val="Subdetailsfirstindent"/>
        <w:numPr>
          <w:ilvl w:val="0"/>
          <w:numId w:val="94"/>
        </w:numPr>
      </w:pPr>
      <w:bookmarkStart w:id="244" w:name="_Hlk8729966"/>
      <w:r>
        <w:t>a</w:t>
      </w:r>
      <w:r w:rsidR="00C66E92" w:rsidRPr="00B20135">
        <w:t xml:space="preserve"> high efficiency </w:t>
      </w:r>
      <w:r w:rsidR="00C66E92">
        <w:t>room</w:t>
      </w:r>
      <w:r w:rsidR="00C66E92" w:rsidRPr="00B20135">
        <w:t xml:space="preserve"> air conditioning heat pump </w:t>
      </w:r>
      <w:r w:rsidR="00C66E92" w:rsidRPr="00876379">
        <w:t>(</w:t>
      </w:r>
      <w:r w:rsidR="00C66E92">
        <w:t>room</w:t>
      </w:r>
      <w:r w:rsidR="00C66E92" w:rsidRPr="00876379">
        <w:t xml:space="preserve"> heat pump)</w:t>
      </w:r>
      <w:r w:rsidR="00C66E92">
        <w:t xml:space="preserve"> or a </w:t>
      </w:r>
      <w:r w:rsidR="00C66E92" w:rsidRPr="002959F0">
        <w:t>high efficiency central non-ducted reverse cycle multi</w:t>
      </w:r>
      <w:r w:rsidR="00A95988">
        <w:t>-</w:t>
      </w:r>
      <w:r w:rsidR="00C66E92" w:rsidRPr="002959F0">
        <w:t>split air conditioning heat pump (</w:t>
      </w:r>
      <w:r w:rsidR="00C66E92">
        <w:t>c</w:t>
      </w:r>
      <w:r w:rsidR="00C66E92" w:rsidRPr="002959F0">
        <w:t>entral non-ducted heat pump)</w:t>
      </w:r>
      <w:r w:rsidR="00C66E92">
        <w:t>.</w:t>
      </w:r>
    </w:p>
    <w:bookmarkEnd w:id="244"/>
    <w:p w14:paraId="09BF3B3B" w14:textId="77777777" w:rsidR="00C66E92" w:rsidRPr="00FA0B4A" w:rsidRDefault="00C66E92" w:rsidP="00BB1D43">
      <w:pPr>
        <w:pStyle w:val="Sectionheading3"/>
      </w:pPr>
      <w:r w:rsidRPr="00FA0B4A">
        <w:t>Minimum activity performance specifications</w:t>
      </w:r>
    </w:p>
    <w:p w14:paraId="084FF80A" w14:textId="77777777" w:rsidR="00C66E92" w:rsidRPr="00FA0B4A" w:rsidRDefault="00C66E92" w:rsidP="00BB1D43">
      <w:pPr>
        <w:pStyle w:val="BodytextEEIS"/>
        <w:rPr>
          <w:i/>
        </w:rPr>
      </w:pPr>
      <w:r w:rsidRPr="00FA0B4A">
        <w:t>To be an eligible activity the activity must</w:t>
      </w:r>
      <w:r w:rsidRPr="00FA0B4A">
        <w:rPr>
          <w:b/>
          <w:bCs/>
        </w:rPr>
        <w:t>—</w:t>
      </w:r>
    </w:p>
    <w:p w14:paraId="7EEB548C" w14:textId="77777777" w:rsidR="00C66E92" w:rsidRDefault="00C66E92" w:rsidP="00D633D3">
      <w:pPr>
        <w:pStyle w:val="Subdetailsfirstindent"/>
        <w:numPr>
          <w:ilvl w:val="0"/>
          <w:numId w:val="95"/>
        </w:numPr>
      </w:pPr>
      <w:r w:rsidRPr="00605125">
        <w:t>be undertaken at an eligible business premises</w:t>
      </w:r>
      <w:r>
        <w:t xml:space="preserve">; </w:t>
      </w:r>
    </w:p>
    <w:p w14:paraId="2517728D" w14:textId="2BE7E1D1" w:rsidR="00C66E92" w:rsidRPr="00605125" w:rsidRDefault="00C66E92" w:rsidP="00D633D3">
      <w:pPr>
        <w:pStyle w:val="Subdetailsfirstindent"/>
        <w:numPr>
          <w:ilvl w:val="0"/>
          <w:numId w:val="95"/>
        </w:numPr>
      </w:pPr>
      <w:r>
        <w:t xml:space="preserve">include the removal and decommissioning of any pre-existing heater that is used in section </w:t>
      </w:r>
      <w:r w:rsidR="00EE5E8D">
        <w:t>2.6.</w:t>
      </w:r>
      <w:r>
        <w:t xml:space="preserve">5 to determine an </w:t>
      </w:r>
      <w:r w:rsidR="00BA31EE">
        <w:t>energy savings</w:t>
      </w:r>
      <w:r>
        <w:t xml:space="preserve"> factor; </w:t>
      </w:r>
    </w:p>
    <w:p w14:paraId="0F925016" w14:textId="77777777" w:rsidR="00C66E92" w:rsidRPr="00B20135" w:rsidRDefault="00C66E92" w:rsidP="00D633D3">
      <w:pPr>
        <w:pStyle w:val="Subdetailsfirstindent"/>
        <w:numPr>
          <w:ilvl w:val="0"/>
          <w:numId w:val="95"/>
        </w:numPr>
      </w:pPr>
      <w:r w:rsidRPr="00605125">
        <w:t xml:space="preserve">be undertaken using a product or products meeting the installed product requirements in </w:t>
      </w:r>
      <w:r>
        <w:t>s</w:t>
      </w:r>
      <w:r w:rsidRPr="00605125">
        <w:t xml:space="preserve">ection </w:t>
      </w:r>
      <w:r w:rsidR="00EE5E8D">
        <w:t>2.6.</w:t>
      </w:r>
      <w:r w:rsidRPr="00605125">
        <w:t xml:space="preserve">3; </w:t>
      </w:r>
    </w:p>
    <w:p w14:paraId="7B170CB1" w14:textId="77777777" w:rsidR="00C66E92" w:rsidRDefault="00C66E92" w:rsidP="00D633D3">
      <w:pPr>
        <w:pStyle w:val="Subdetailsfirstindent"/>
        <w:numPr>
          <w:ilvl w:val="0"/>
          <w:numId w:val="95"/>
        </w:numPr>
      </w:pPr>
      <w:r w:rsidRPr="00762A56">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14:paraId="3E4EE50D" w14:textId="77777777" w:rsidR="00C66E92" w:rsidRPr="00B20135" w:rsidRDefault="00C66E92" w:rsidP="00D633D3">
      <w:pPr>
        <w:pStyle w:val="Subdetailsfirstindent"/>
        <w:numPr>
          <w:ilvl w:val="0"/>
          <w:numId w:val="95"/>
        </w:numPr>
      </w:pPr>
      <w:r w:rsidRPr="00034898">
        <w:t>be recorded in accordance with any relevant code of practice for the activity.</w:t>
      </w:r>
    </w:p>
    <w:p w14:paraId="73B5FC36" w14:textId="77777777" w:rsidR="00C66E92" w:rsidRPr="00FA0B4A" w:rsidRDefault="00C66E92" w:rsidP="00BB1D43">
      <w:pPr>
        <w:pStyle w:val="Notesandexamples"/>
      </w:pPr>
      <w:r w:rsidRPr="00FA0B4A">
        <w:lastRenderedPageBreak/>
        <w:t>Note</w:t>
      </w:r>
      <w:r w:rsidRPr="00FA0B4A">
        <w:tab/>
        <w:t>All activities are subject to independent inspection or audit to confirm compliance with prescribed activity requirements.</w:t>
      </w:r>
    </w:p>
    <w:p w14:paraId="27999150" w14:textId="77777777" w:rsidR="00C66E92" w:rsidRPr="00FA0B4A" w:rsidRDefault="00C66E92" w:rsidP="00BB1D43">
      <w:pPr>
        <w:pStyle w:val="Sectionheading3"/>
      </w:pPr>
      <w:r w:rsidRPr="00FA0B4A">
        <w:t>Installed product requirements</w:t>
      </w:r>
    </w:p>
    <w:p w14:paraId="496880E7" w14:textId="77777777" w:rsidR="00C66E92" w:rsidRPr="00FA0B4A" w:rsidRDefault="00C66E92" w:rsidP="00BB1D43">
      <w:pPr>
        <w:pStyle w:val="BodytextEEIS"/>
        <w:rPr>
          <w:szCs w:val="22"/>
        </w:rPr>
      </w:pPr>
      <w:r>
        <w:t>An installed product must be a high efficiency room air conditioning heat pump that</w:t>
      </w:r>
      <w:r w:rsidR="00EE5E8D">
        <w:rPr>
          <w:szCs w:val="22"/>
        </w:rPr>
        <w:t>—</w:t>
      </w:r>
    </w:p>
    <w:p w14:paraId="49260BC3" w14:textId="77777777" w:rsidR="00C66E92" w:rsidRDefault="00C66E92" w:rsidP="00D633D3">
      <w:pPr>
        <w:pStyle w:val="Subdetailsfirstindent"/>
        <w:numPr>
          <w:ilvl w:val="0"/>
          <w:numId w:val="96"/>
        </w:numPr>
      </w:pPr>
      <w:r w:rsidRPr="00FA0B4A">
        <w:t xml:space="preserve">is listed in the register of products for the activity; </w:t>
      </w:r>
    </w:p>
    <w:p w14:paraId="539E1C9E" w14:textId="77777777" w:rsidR="00C66E92" w:rsidRPr="00034898" w:rsidRDefault="00C66E92" w:rsidP="00D633D3">
      <w:pPr>
        <w:pStyle w:val="Subdetailsfirstindent"/>
        <w:numPr>
          <w:ilvl w:val="0"/>
          <w:numId w:val="96"/>
        </w:numPr>
      </w:pPr>
      <w:r w:rsidRPr="007D61DE">
        <w:t>ha</w:t>
      </w:r>
      <w:r>
        <w:t>s</w:t>
      </w:r>
      <w:r w:rsidRPr="007D61DE">
        <w:t xml:space="preserve"> a minimum product warranty of </w:t>
      </w:r>
      <w:r w:rsidR="00EE5E8D">
        <w:t>two</w:t>
      </w:r>
      <w:r w:rsidRPr="007D61DE">
        <w:t xml:space="preserve"> years</w:t>
      </w:r>
      <w:r>
        <w:t xml:space="preserve">; </w:t>
      </w:r>
    </w:p>
    <w:p w14:paraId="73BCBF00" w14:textId="77777777" w:rsidR="00C66E92" w:rsidRDefault="00C66E92" w:rsidP="00D633D3">
      <w:pPr>
        <w:pStyle w:val="Subdetailsfirstindent"/>
        <w:numPr>
          <w:ilvl w:val="0"/>
          <w:numId w:val="96"/>
        </w:numPr>
      </w:pPr>
      <w:r w:rsidRPr="00FA0B4A">
        <w:t xml:space="preserve">complies with Minimum Energy Performance Standards (MEPS) requirements (AS/NZS 3823); </w:t>
      </w:r>
    </w:p>
    <w:p w14:paraId="2AF84888" w14:textId="77777777" w:rsidR="00C66E92" w:rsidRPr="00BB1D43" w:rsidRDefault="00C66E92" w:rsidP="00D633D3">
      <w:pPr>
        <w:pStyle w:val="Subdetailsfirstindent"/>
        <w:numPr>
          <w:ilvl w:val="0"/>
          <w:numId w:val="96"/>
        </w:numPr>
        <w:rPr>
          <w:szCs w:val="22"/>
        </w:rPr>
      </w:pPr>
      <w:r w:rsidRPr="00605125">
        <w:t>is capable of heating an area that is comparable to the system being replaced (where applicable);</w:t>
      </w:r>
      <w:r>
        <w:t xml:space="preserve"> </w:t>
      </w:r>
    </w:p>
    <w:p w14:paraId="120341AE" w14:textId="77777777" w:rsidR="00C66E92" w:rsidRDefault="00C66E92" w:rsidP="00D633D3">
      <w:pPr>
        <w:pStyle w:val="Subdetailsfirstindent"/>
        <w:numPr>
          <w:ilvl w:val="0"/>
          <w:numId w:val="96"/>
        </w:numPr>
      </w:pPr>
      <w:r>
        <w:t>h</w:t>
      </w:r>
      <w:r w:rsidRPr="00242B3E">
        <w:t xml:space="preserve">as a rated heating capacity of not more </w:t>
      </w:r>
      <w:r>
        <w:t xml:space="preserve">than </w:t>
      </w:r>
      <w:r w:rsidRPr="00242B3E">
        <w:t xml:space="preserve">65kW </w:t>
      </w:r>
      <w:r w:rsidR="00CF1E90">
        <w:t>for a single bu</w:t>
      </w:r>
      <w:r w:rsidR="00EE5E8D">
        <w:t xml:space="preserve">siness space </w:t>
      </w:r>
      <w:r w:rsidRPr="00242B3E">
        <w:t xml:space="preserve">(see note </w:t>
      </w:r>
      <w:r>
        <w:t>1</w:t>
      </w:r>
      <w:r w:rsidRPr="00242B3E">
        <w:t xml:space="preserve"> below) at H1 condition (AS/NZS 3823 as applicable) and, except as required in section </w:t>
      </w:r>
      <w:r w:rsidR="00EE5E8D">
        <w:t>2.6.</w:t>
      </w:r>
      <w:r w:rsidRPr="00242B3E">
        <w:t>3(</w:t>
      </w:r>
      <w:r>
        <w:t>f</w:t>
      </w:r>
      <w:r w:rsidRPr="00242B3E">
        <w:t>)ii(</w:t>
      </w:r>
      <w:r>
        <w:t>3</w:t>
      </w:r>
      <w:r w:rsidRPr="00242B3E">
        <w:t>) where applicable, has a minimum rated heating capacity of 2kW at condition H1; and</w:t>
      </w:r>
    </w:p>
    <w:p w14:paraId="21FB7380" w14:textId="77777777" w:rsidR="00C66E92" w:rsidRPr="00B20135" w:rsidRDefault="00C66E92" w:rsidP="00D633D3">
      <w:pPr>
        <w:pStyle w:val="Subdetailsfirstindent"/>
        <w:numPr>
          <w:ilvl w:val="0"/>
          <w:numId w:val="96"/>
        </w:numPr>
      </w:pPr>
      <w:r w:rsidRPr="00034898">
        <w:t xml:space="preserve">achieves a minimum annual coefficient of performance (ACOP) of either: </w:t>
      </w:r>
    </w:p>
    <w:p w14:paraId="468AAD52" w14:textId="77777777" w:rsidR="00C66E92" w:rsidRPr="00BB1D43" w:rsidRDefault="00C66E92" w:rsidP="00D633D3">
      <w:pPr>
        <w:pStyle w:val="Subdetailssecondindent"/>
        <w:numPr>
          <w:ilvl w:val="0"/>
          <w:numId w:val="97"/>
        </w:numPr>
        <w:rPr>
          <w:u w:val="single"/>
        </w:rPr>
      </w:pPr>
      <w:r w:rsidRPr="001A7A93">
        <w:t>4.0</w:t>
      </w:r>
      <w:r w:rsidRPr="001A7A93" w:rsidDel="000F2149">
        <w:t xml:space="preserve"> </w:t>
      </w:r>
      <w:r w:rsidRPr="001A7A93">
        <w:t>at condition H1 (AS/NZS 3823); or</w:t>
      </w:r>
    </w:p>
    <w:p w14:paraId="512808FE" w14:textId="77777777" w:rsidR="00C66E92" w:rsidRPr="00BB1D43" w:rsidRDefault="00C66E92" w:rsidP="00D633D3">
      <w:pPr>
        <w:pStyle w:val="Subdetailssecondindent"/>
        <w:numPr>
          <w:ilvl w:val="0"/>
          <w:numId w:val="97"/>
        </w:numPr>
        <w:rPr>
          <w:u w:val="single"/>
        </w:rPr>
      </w:pPr>
      <w:r w:rsidRPr="001A7A93">
        <w:t xml:space="preserve">3.8 at condition H1 (AS/NZS 3823) provided that: </w:t>
      </w:r>
    </w:p>
    <w:p w14:paraId="07EDC8D3" w14:textId="77777777" w:rsidR="00C66E92" w:rsidRPr="00BB1D43" w:rsidRDefault="00C66E92" w:rsidP="00D633D3">
      <w:pPr>
        <w:pStyle w:val="Subdetailsthirdindent"/>
        <w:numPr>
          <w:ilvl w:val="0"/>
          <w:numId w:val="98"/>
        </w:numPr>
        <w:rPr>
          <w:u w:val="single"/>
        </w:rPr>
      </w:pPr>
      <w:r w:rsidRPr="001A7A93">
        <w:t>the installation is to serve a conditioned floor area of not less than 55m</w:t>
      </w:r>
      <w:r w:rsidRPr="00BB1D43">
        <w:rPr>
          <w:vertAlign w:val="superscript"/>
        </w:rPr>
        <w:t>2</w:t>
      </w:r>
      <w:r>
        <w:t xml:space="preserve">; </w:t>
      </w:r>
    </w:p>
    <w:p w14:paraId="483E043E" w14:textId="77777777" w:rsidR="00C66E92" w:rsidRPr="00BB1D43" w:rsidRDefault="00C66E92" w:rsidP="00D633D3">
      <w:pPr>
        <w:pStyle w:val="Subdetailsthirdindent"/>
        <w:numPr>
          <w:ilvl w:val="0"/>
          <w:numId w:val="98"/>
        </w:numPr>
        <w:rPr>
          <w:szCs w:val="22"/>
          <w:u w:val="single"/>
        </w:rPr>
      </w:pPr>
      <w:r w:rsidRPr="00BB1D43">
        <w:rPr>
          <w:szCs w:val="22"/>
        </w:rPr>
        <w:t xml:space="preserve">the </w:t>
      </w:r>
      <w:r w:rsidRPr="001A7A93">
        <w:t>unit has been tested and registered for low temperature performance under condition H2 and meets the requirements of AS/NZS</w:t>
      </w:r>
      <w:r w:rsidR="00995E5B">
        <w:t xml:space="preserve"> </w:t>
      </w:r>
      <w:r w:rsidRPr="001A7A93">
        <w:t>3823</w:t>
      </w:r>
      <w:r w:rsidR="00554756">
        <w:t xml:space="preserve"> (see note 2 and 3 below)</w:t>
      </w:r>
      <w:r w:rsidRPr="001A7A93">
        <w:t xml:space="preserve">; </w:t>
      </w:r>
    </w:p>
    <w:p w14:paraId="0E35A434" w14:textId="77777777" w:rsidR="00C66E92" w:rsidRDefault="00C66E92" w:rsidP="00D633D3">
      <w:pPr>
        <w:pStyle w:val="Subdetailsthirdindent"/>
        <w:numPr>
          <w:ilvl w:val="0"/>
          <w:numId w:val="98"/>
        </w:numPr>
      </w:pPr>
      <w:r w:rsidRPr="001A7A93">
        <w:t>the unit has a minimum heating capacity of 4kW at H1 condition (AS/NZS 3823 as applicable);</w:t>
      </w:r>
      <w:r>
        <w:t xml:space="preserve"> </w:t>
      </w:r>
    </w:p>
    <w:p w14:paraId="3AE92506" w14:textId="77777777" w:rsidR="00C66E92" w:rsidRDefault="00C66E92" w:rsidP="00D633D3">
      <w:pPr>
        <w:pStyle w:val="Subdetailsthirdindent"/>
        <w:numPr>
          <w:ilvl w:val="0"/>
          <w:numId w:val="98"/>
        </w:numPr>
      </w:pPr>
      <w:r>
        <w:t>t</w:t>
      </w:r>
      <w:r w:rsidRPr="00242B3E">
        <w:t>he installed unit has mandatory variable speed compressor(s), where such products are available</w:t>
      </w:r>
      <w:r w:rsidR="00EE5E8D">
        <w:t>; and</w:t>
      </w:r>
    </w:p>
    <w:p w14:paraId="1D3E319F" w14:textId="77777777" w:rsidR="00C66E92" w:rsidRPr="00BB1D43" w:rsidRDefault="00EE5E8D" w:rsidP="00D633D3">
      <w:pPr>
        <w:pStyle w:val="Subdetailsthirdindent"/>
        <w:numPr>
          <w:ilvl w:val="0"/>
          <w:numId w:val="98"/>
        </w:numPr>
        <w:rPr>
          <w:u w:val="single"/>
        </w:rPr>
      </w:pPr>
      <w:r>
        <w:t xml:space="preserve">the unit </w:t>
      </w:r>
      <w:r w:rsidR="00C66E92">
        <w:t>h</w:t>
      </w:r>
      <w:r w:rsidR="00C66E92" w:rsidRPr="00242B3E">
        <w:t>as “built-in” demand response capability, for systems &lt;15kW heat capacity, in accordance with AS 4755. In either heating or cooling mode, the device must be capable of operating in DR modes 1, plus mode 2 and/or 3 as defined in AS</w:t>
      </w:r>
      <w:r w:rsidR="00995E5B">
        <w:t xml:space="preserve"> </w:t>
      </w:r>
      <w:r w:rsidR="00C66E92" w:rsidRPr="00242B3E">
        <w:t>4755</w:t>
      </w:r>
      <w:r>
        <w:t>.</w:t>
      </w:r>
    </w:p>
    <w:p w14:paraId="76025D73" w14:textId="77777777" w:rsidR="00C66E92" w:rsidRPr="00372D14" w:rsidRDefault="00C66E92" w:rsidP="00BB1D43">
      <w:pPr>
        <w:pStyle w:val="Notesandexamples"/>
        <w:rPr>
          <w:highlight w:val="yellow"/>
        </w:rPr>
      </w:pPr>
      <w:r w:rsidRPr="00F84587">
        <w:t>Note 1</w:t>
      </w:r>
      <w:r w:rsidRPr="00372D14">
        <w:tab/>
        <w:t>For business applications, multiple units may be installed in a single (large) space of a business up to a maximum combined capacity of 65kW as required to meet the particular load. These may be separate room space heating units or multi-split units provided each unit complies with the eligibility criteria above.</w:t>
      </w:r>
    </w:p>
    <w:p w14:paraId="53C809ED" w14:textId="77777777" w:rsidR="00C66E92" w:rsidRPr="00372D14" w:rsidRDefault="00C66E92" w:rsidP="00BB1D43">
      <w:pPr>
        <w:pStyle w:val="Notesandexamples"/>
      </w:pPr>
      <w:r w:rsidRPr="00F84587">
        <w:t>Note 2</w:t>
      </w:r>
      <w:r>
        <w:tab/>
      </w:r>
      <w:r w:rsidRPr="00372D14">
        <w:t>The H2 test result can be evidenced, without need for any additional testing via</w:t>
      </w:r>
      <w:r w:rsidR="00EC06E9">
        <w:t>:</w:t>
      </w:r>
    </w:p>
    <w:p w14:paraId="3C319A65" w14:textId="77777777" w:rsidR="00C66E92" w:rsidRPr="00372D14" w:rsidRDefault="00EC06E9" w:rsidP="00D633D3">
      <w:pPr>
        <w:pStyle w:val="Notesandexamples"/>
        <w:numPr>
          <w:ilvl w:val="0"/>
          <w:numId w:val="158"/>
        </w:numPr>
      </w:pPr>
      <w:r>
        <w:t>t</w:t>
      </w:r>
      <w:r w:rsidR="00C66E92" w:rsidRPr="00372D14">
        <w:t>he product’s H2 test result in the GEMS/E3 air-conditioning database (</w:t>
      </w:r>
      <w:hyperlink r:id="rId14" w:history="1">
        <w:r w:rsidRPr="0029312C">
          <w:rPr>
            <w:rStyle w:val="Hyperlink"/>
            <w:rFonts w:cs="Arial"/>
          </w:rPr>
          <w:t>https://data.gov.au/dataset/energy-rating-for-household-appliances/resource/0973a476-eb0c-45e6-9a18-054f74307843</w:t>
        </w:r>
      </w:hyperlink>
      <w:r w:rsidR="00C66E92" w:rsidRPr="00372D14">
        <w:t>)</w:t>
      </w:r>
      <w:r>
        <w:t xml:space="preserve">; </w:t>
      </w:r>
      <w:r w:rsidR="00C66E92" w:rsidRPr="00372D14">
        <w:t xml:space="preserve"> </w:t>
      </w:r>
    </w:p>
    <w:p w14:paraId="55FCF19A" w14:textId="77777777" w:rsidR="00C66E92" w:rsidRPr="00912110" w:rsidRDefault="00EC06E9" w:rsidP="00D633D3">
      <w:pPr>
        <w:pStyle w:val="Notesandexamples"/>
        <w:numPr>
          <w:ilvl w:val="0"/>
          <w:numId w:val="158"/>
        </w:numPr>
      </w:pPr>
      <w:r>
        <w:t>a</w:t>
      </w:r>
      <w:r w:rsidR="00C66E92" w:rsidRPr="00912110">
        <w:t>n AHRI certificate, being a certified test certificate from the Air-Conditioning, Heating, and Refrigeration Institute (</w:t>
      </w:r>
      <w:hyperlink r:id="rId15" w:history="1">
        <w:r w:rsidRPr="0029312C">
          <w:rPr>
            <w:rStyle w:val="Hyperlink"/>
            <w:rFonts w:cs="Arial"/>
          </w:rPr>
          <w:t>www.ahrinet.org</w:t>
        </w:r>
      </w:hyperlink>
      <w:r w:rsidR="00C66E92" w:rsidRPr="00912110">
        <w:t>)</w:t>
      </w:r>
      <w:r>
        <w:t>; or</w:t>
      </w:r>
    </w:p>
    <w:p w14:paraId="63CD83C6" w14:textId="77777777" w:rsidR="00C66E92" w:rsidRPr="00372D14" w:rsidRDefault="00EC06E9" w:rsidP="00D633D3">
      <w:pPr>
        <w:pStyle w:val="Notesandexamples"/>
        <w:numPr>
          <w:ilvl w:val="0"/>
          <w:numId w:val="158"/>
        </w:numPr>
      </w:pPr>
      <w:r>
        <w:t>an</w:t>
      </w:r>
      <w:r w:rsidR="00C66E92" w:rsidRPr="00B96424">
        <w:t xml:space="preserve"> Eurovent certificate, being a certified test certificate from the European Association of Air Handling and Refrigerating Equipment Manufacturers (</w:t>
      </w:r>
      <w:hyperlink r:id="rId16" w:history="1">
        <w:r w:rsidR="00C66E92" w:rsidRPr="00DE4AB4">
          <w:rPr>
            <w:rStyle w:val="Hyperlink"/>
            <w:rFonts w:cs="Arial"/>
          </w:rPr>
          <w:t>www.eurovent-certification.com</w:t>
        </w:r>
      </w:hyperlink>
      <w:r w:rsidR="00C66E92" w:rsidRPr="00372D14">
        <w:t>)</w:t>
      </w:r>
      <w:r>
        <w:t>.</w:t>
      </w:r>
    </w:p>
    <w:p w14:paraId="5E45332C" w14:textId="77777777" w:rsidR="00C66E92" w:rsidRPr="00372D14" w:rsidRDefault="00C66E92" w:rsidP="00BB1D43">
      <w:pPr>
        <w:pStyle w:val="Notesandexamples"/>
      </w:pPr>
      <w:r w:rsidRPr="00F84587">
        <w:t>Note 3</w:t>
      </w:r>
      <w:r>
        <w:tab/>
      </w:r>
      <w:r w:rsidRPr="00372D14">
        <w:t xml:space="preserve">Where a product does not have a H2 test result, it does need an air enthalpy test or a truncated calorimeter room test spanning </w:t>
      </w:r>
      <w:r w:rsidR="00EC06E9">
        <w:t>three</w:t>
      </w:r>
      <w:r w:rsidRPr="00372D14">
        <w:t xml:space="preserve"> complete defrost cycles. The use of calorimeter or air enthalpy for H2 tests are outlined in the relevant air conditioner type test standards of AS/NZS 3823.</w:t>
      </w:r>
    </w:p>
    <w:p w14:paraId="1FC8FC92" w14:textId="79CEDCD9" w:rsidR="00C66E92" w:rsidRPr="00912110" w:rsidRDefault="00C66E92" w:rsidP="00BB1D43">
      <w:pPr>
        <w:pStyle w:val="Notesandexamples"/>
      </w:pPr>
      <w:r w:rsidRPr="00F84587">
        <w:t>Note 4</w:t>
      </w:r>
      <w:r w:rsidRPr="00372D14">
        <w:tab/>
        <w:t xml:space="preserve">Products that have been tested and registered for low temperature performance under condition H2 and meet the requirements of </w:t>
      </w:r>
      <w:r w:rsidR="00060169">
        <w:t>c</w:t>
      </w:r>
      <w:r w:rsidRPr="00372D14">
        <w:t>lause 3.7 of AS/NZS</w:t>
      </w:r>
      <w:r w:rsidR="00995E5B">
        <w:t xml:space="preserve"> </w:t>
      </w:r>
      <w:r w:rsidRPr="00372D14">
        <w:t xml:space="preserve">3823 earn additional </w:t>
      </w:r>
      <w:r w:rsidR="00BA31EE">
        <w:t>energy savings</w:t>
      </w:r>
      <w:r w:rsidRPr="00372D14">
        <w:t>.</w:t>
      </w:r>
    </w:p>
    <w:p w14:paraId="7C8E41DB" w14:textId="77777777" w:rsidR="00C66E92" w:rsidRPr="00FA0B4A" w:rsidRDefault="00C66E92" w:rsidP="00BB1D43">
      <w:pPr>
        <w:pStyle w:val="Sectionheading3"/>
      </w:pPr>
      <w:r w:rsidRPr="00FA0B4A">
        <w:lastRenderedPageBreak/>
        <w:t>Time the activity is taken to be completed</w:t>
      </w:r>
    </w:p>
    <w:p w14:paraId="78816012" w14:textId="77777777" w:rsidR="00C66E92" w:rsidRPr="00FA0B4A" w:rsidRDefault="00C66E92" w:rsidP="00BB1D43">
      <w:pPr>
        <w:pStyle w:val="BodytextEEIS"/>
      </w:pPr>
      <w:r w:rsidRPr="00FA0B4A">
        <w:t>The activity is taken to be completed on the day all applicable prescribed activity requirements are completed, including but not limited to the disposal of any waste materials, lodgement of any statutory certifications for gas</w:t>
      </w:r>
      <w:r w:rsidR="00EC06E9">
        <w:t xml:space="preserve"> </w:t>
      </w:r>
      <w:r w:rsidRPr="00FA0B4A">
        <w:t>fitting work, the installation of the new appliance is completed and lodgement of any statutory certifications for electrical work.</w:t>
      </w:r>
    </w:p>
    <w:p w14:paraId="164F99F0" w14:textId="0FFB6D71" w:rsidR="00C66E92" w:rsidRPr="00FA0B4A" w:rsidRDefault="00C66E92" w:rsidP="00BB1D43">
      <w:pPr>
        <w:pStyle w:val="Sectionheading3"/>
        <w:rPr>
          <w:u w:val="single"/>
        </w:rPr>
      </w:pPr>
      <w:r w:rsidRPr="00FA0B4A">
        <w:t xml:space="preserve">Calculation of </w:t>
      </w:r>
      <w:r w:rsidR="00D02470">
        <w:t>energy savings</w:t>
      </w:r>
      <w:r w:rsidR="00D02470" w:rsidRPr="00762A56">
        <w:t xml:space="preserve"> </w:t>
      </w:r>
      <w:r w:rsidRPr="00FA0B4A">
        <w:t xml:space="preserve"> factor</w:t>
      </w:r>
    </w:p>
    <w:p w14:paraId="06D1485C" w14:textId="60B88232" w:rsidR="00C66E92" w:rsidRPr="00FA0B4A" w:rsidRDefault="00C66E92" w:rsidP="00DE4AB4">
      <w:pPr>
        <w:pStyle w:val="BodytextEEIS"/>
      </w:pPr>
      <w:r w:rsidRPr="00FA0B4A">
        <w:t xml:space="preserve">The total </w:t>
      </w:r>
      <w:r w:rsidR="00D02470">
        <w:t>energy savings</w:t>
      </w:r>
      <w:r w:rsidR="00D02470" w:rsidRPr="00762A56">
        <w:t xml:space="preserve"> </w:t>
      </w:r>
      <w:r w:rsidRPr="00FA0B4A">
        <w:t xml:space="preserve"> factor in </w:t>
      </w:r>
      <w:r w:rsidR="00880CB1">
        <w:t>Megawatt-hours</w:t>
      </w:r>
      <w:r w:rsidR="00D02470">
        <w:t xml:space="preserve"> (MWh)</w:t>
      </w:r>
      <w:r w:rsidR="00D02470" w:rsidRPr="00762A56">
        <w:t xml:space="preserve"> </w:t>
      </w:r>
      <w:r w:rsidRPr="00FA0B4A">
        <w:t xml:space="preserve">saved in a premises for the activity is the relevant </w:t>
      </w:r>
      <w:r w:rsidR="00D02470">
        <w:t>energy savings</w:t>
      </w:r>
      <w:r w:rsidRPr="00FA0B4A">
        <w:t xml:space="preserve"> factor for the specified high efficiency room electric reverse cycle air-conditioner installed, determined by using the equations prescribed in this section.</w:t>
      </w:r>
    </w:p>
    <w:p w14:paraId="25D19F6E" w14:textId="21679D9F" w:rsidR="00C66E92" w:rsidRPr="00FA0B4A" w:rsidRDefault="00C66E92" w:rsidP="00D633D3">
      <w:pPr>
        <w:pStyle w:val="Subdetailsfirstindent"/>
        <w:numPr>
          <w:ilvl w:val="0"/>
          <w:numId w:val="99"/>
        </w:numPr>
      </w:pPr>
      <w:r w:rsidRPr="00FA0B4A">
        <w:t xml:space="preserve">The </w:t>
      </w:r>
      <w:r w:rsidR="00D02470">
        <w:t>energy savings</w:t>
      </w:r>
      <w:r w:rsidRPr="00FA0B4A">
        <w:t xml:space="preserve"> factor is calculated as</w:t>
      </w:r>
      <w:r w:rsidRPr="00BB1D43">
        <w:rPr>
          <w:bCs/>
        </w:rPr>
        <w:t>—</w:t>
      </w:r>
    </w:p>
    <w:p w14:paraId="75DE06AA" w14:textId="2D0F5E6E" w:rsidR="00C66E92" w:rsidRPr="00FA0B4A" w:rsidRDefault="00D02470" w:rsidP="00995E5B">
      <w:pPr>
        <w:pStyle w:val="Formula"/>
      </w:pPr>
      <w:r w:rsidRPr="00D02470">
        <w:t xml:space="preserve"> </w:t>
      </w:r>
      <w:r>
        <w:t>Energy Savings</w:t>
      </w:r>
      <w:r w:rsidR="00C66E92" w:rsidRPr="00FA0B4A">
        <w:t xml:space="preserve"> factor (</w:t>
      </w:r>
      <w:r w:rsidRPr="0064760C">
        <w:t>MWh</w:t>
      </w:r>
      <w:r w:rsidR="00C66E92" w:rsidRPr="00FA0B4A">
        <w:t>) = [</w:t>
      </w:r>
      <w:r>
        <w:t>ESF</w:t>
      </w:r>
      <w:r w:rsidR="00C66E92" w:rsidRPr="00FA0B4A">
        <w:rPr>
          <w:vertAlign w:val="subscript"/>
        </w:rPr>
        <w:t>fixed</w:t>
      </w:r>
      <w:r w:rsidR="00C66E92" w:rsidRPr="00FA0B4A">
        <w:t xml:space="preserve"> + H2 + </w:t>
      </w:r>
      <w:r>
        <w:t>ESF</w:t>
      </w:r>
      <w:r w:rsidR="00C66E92" w:rsidRPr="00FA0B4A">
        <w:rPr>
          <w:vertAlign w:val="subscript"/>
        </w:rPr>
        <w:t xml:space="preserve">var </w:t>
      </w:r>
      <w:r w:rsidR="00C66E92" w:rsidRPr="00FA0B4A">
        <w:t>× (ACOP–baseline)] × Capacity</w:t>
      </w:r>
    </w:p>
    <w:p w14:paraId="61B2A171" w14:textId="77777777" w:rsidR="00C66E92" w:rsidRPr="00FA0B4A" w:rsidRDefault="00C66E92" w:rsidP="00BB1D43">
      <w:pPr>
        <w:pStyle w:val="BodytextEEIS"/>
      </w:pPr>
      <w:r w:rsidRPr="00FA0B4A">
        <w:t>Where</w:t>
      </w:r>
      <w:r w:rsidR="00EC06E9">
        <w:t>—</w:t>
      </w:r>
    </w:p>
    <w:p w14:paraId="1CE8454B" w14:textId="297E0971" w:rsidR="00C66E92" w:rsidRDefault="00EC0971" w:rsidP="00D633D3">
      <w:pPr>
        <w:pStyle w:val="Subdetailssecondindent"/>
        <w:numPr>
          <w:ilvl w:val="0"/>
          <w:numId w:val="100"/>
        </w:numPr>
      </w:pPr>
      <w:r>
        <w:rPr>
          <w:i/>
        </w:rPr>
        <w:t>ESF</w:t>
      </w:r>
      <w:r w:rsidR="00C66E92" w:rsidRPr="00BB1D43">
        <w:rPr>
          <w:i/>
          <w:vertAlign w:val="subscript"/>
        </w:rPr>
        <w:t>fixed</w:t>
      </w:r>
      <w:r w:rsidR="00C66E92" w:rsidRPr="001A7A93">
        <w:t xml:space="preserve">, </w:t>
      </w:r>
      <w:r>
        <w:rPr>
          <w:i/>
        </w:rPr>
        <w:t>ESF</w:t>
      </w:r>
      <w:r w:rsidR="00C66E92" w:rsidRPr="00BB1D43">
        <w:rPr>
          <w:i/>
          <w:vertAlign w:val="subscript"/>
        </w:rPr>
        <w:t>var</w:t>
      </w:r>
      <w:r w:rsidR="00C66E92" w:rsidRPr="001A7A93">
        <w:t xml:space="preserve"> and </w:t>
      </w:r>
      <w:r w:rsidR="00C66E92" w:rsidRPr="00BB1D43">
        <w:rPr>
          <w:i/>
        </w:rPr>
        <w:t>baseline</w:t>
      </w:r>
      <w:r w:rsidR="00C66E92" w:rsidRPr="001A7A93">
        <w:t xml:space="preserve"> are the relevant values prescribed in</w:t>
      </w:r>
      <w:r w:rsidR="00C66E92">
        <w:t>:</w:t>
      </w:r>
    </w:p>
    <w:p w14:paraId="15B70E8A" w14:textId="77777777" w:rsidR="00C66E92" w:rsidRPr="00BB1D43" w:rsidRDefault="00707468" w:rsidP="00D633D3">
      <w:pPr>
        <w:pStyle w:val="Subdetailsthirdindent"/>
        <w:numPr>
          <w:ilvl w:val="0"/>
          <w:numId w:val="101"/>
        </w:numPr>
        <w:rPr>
          <w:color w:val="000000"/>
        </w:rPr>
      </w:pPr>
      <w:r>
        <w:t>t</w:t>
      </w:r>
      <w:r w:rsidR="00C66E92" w:rsidRPr="005F602F">
        <w:t xml:space="preserve">able </w:t>
      </w:r>
      <w:r w:rsidR="00EC06E9">
        <w:t>22</w:t>
      </w:r>
      <w:r w:rsidR="00C66E92" w:rsidRPr="005F602F">
        <w:t xml:space="preserve"> (business premises – category 1)</w:t>
      </w:r>
      <w:r w:rsidR="00C66E92">
        <w:t>;</w:t>
      </w:r>
      <w:r w:rsidR="00C66E92" w:rsidRPr="005F602F">
        <w:t xml:space="preserve"> </w:t>
      </w:r>
    </w:p>
    <w:p w14:paraId="2AB571C4" w14:textId="77777777" w:rsidR="00C66E92" w:rsidRPr="00BB1D43" w:rsidRDefault="00707468" w:rsidP="00D633D3">
      <w:pPr>
        <w:pStyle w:val="Subdetailsthirdindent"/>
        <w:numPr>
          <w:ilvl w:val="0"/>
          <w:numId w:val="101"/>
        </w:numPr>
        <w:rPr>
          <w:color w:val="000000"/>
        </w:rPr>
      </w:pPr>
      <w:r>
        <w:t>t</w:t>
      </w:r>
      <w:r w:rsidR="00C66E92" w:rsidRPr="005F602F">
        <w:t>able 2</w:t>
      </w:r>
      <w:r w:rsidR="00EC06E9">
        <w:t>3</w:t>
      </w:r>
      <w:r w:rsidR="00C66E92" w:rsidRPr="005F602F">
        <w:t xml:space="preserve"> (business premises – category 2)</w:t>
      </w:r>
      <w:r w:rsidR="00C66E92">
        <w:t>;</w:t>
      </w:r>
      <w:r w:rsidR="00C66E92" w:rsidRPr="005F602F">
        <w:t xml:space="preserve"> or</w:t>
      </w:r>
    </w:p>
    <w:p w14:paraId="0DDA376F" w14:textId="77777777" w:rsidR="00C66E92" w:rsidRPr="00BB1D43" w:rsidRDefault="00707468" w:rsidP="00D633D3">
      <w:pPr>
        <w:pStyle w:val="Subdetailsthirdindent"/>
        <w:numPr>
          <w:ilvl w:val="0"/>
          <w:numId w:val="101"/>
        </w:numPr>
        <w:rPr>
          <w:color w:val="000000"/>
        </w:rPr>
      </w:pPr>
      <w:r>
        <w:t>t</w:t>
      </w:r>
      <w:r w:rsidR="00C66E92" w:rsidRPr="005F602F">
        <w:t>able 2</w:t>
      </w:r>
      <w:r w:rsidR="00EC06E9">
        <w:t>4</w:t>
      </w:r>
      <w:r w:rsidR="00C66E92" w:rsidRPr="005F602F">
        <w:t xml:space="preserve"> (business premises – category 3) </w:t>
      </w:r>
    </w:p>
    <w:p w14:paraId="078D5EE4" w14:textId="77777777" w:rsidR="00C66E92" w:rsidRDefault="00C66E92" w:rsidP="00DE4AB4">
      <w:pPr>
        <w:pStyle w:val="BodytextEEIS"/>
        <w:ind w:left="1800"/>
        <w:rPr>
          <w:i/>
        </w:rPr>
      </w:pPr>
      <w:r w:rsidRPr="001A7A93">
        <w:t xml:space="preserve">for the </w:t>
      </w:r>
      <w:r>
        <w:t>pre-existing heating condition</w:t>
      </w:r>
      <w:r w:rsidRPr="001A7A93">
        <w:t xml:space="preserve"> and </w:t>
      </w:r>
      <w:r>
        <w:t>installed product type</w:t>
      </w:r>
      <w:r w:rsidRPr="001A7A93">
        <w:t>.</w:t>
      </w:r>
    </w:p>
    <w:p w14:paraId="557E01D5" w14:textId="77777777" w:rsidR="00C66E92" w:rsidRPr="00FA0B4A" w:rsidRDefault="00C66E92" w:rsidP="00BB1D43">
      <w:pPr>
        <w:pStyle w:val="Subdetailssecondindent"/>
      </w:pPr>
      <w:r w:rsidRPr="00B20135">
        <w:rPr>
          <w:i/>
        </w:rPr>
        <w:t>ACOP</w:t>
      </w:r>
      <w:r w:rsidRPr="00FA0B4A">
        <w:t xml:space="preserve"> is the Annual Coefficient of Performance recorded for the installed model in the Energy Rating database for condition H1</w:t>
      </w:r>
      <w:r w:rsidR="00EC06E9">
        <w:t>.</w:t>
      </w:r>
    </w:p>
    <w:p w14:paraId="5E191A46" w14:textId="77777777" w:rsidR="00C66E92" w:rsidRPr="00FA0B4A" w:rsidRDefault="00C66E92" w:rsidP="00BB1D43">
      <w:pPr>
        <w:pStyle w:val="Subdetailssecondindent"/>
      </w:pPr>
      <w:r w:rsidRPr="00FA0B4A">
        <w:rPr>
          <w:i/>
        </w:rPr>
        <w:t>Capacity</w:t>
      </w:r>
      <w:r w:rsidRPr="00FA0B4A">
        <w:t xml:space="preserve"> is the rated heating capacity of the installed model for condition H1 in kW.</w:t>
      </w:r>
    </w:p>
    <w:p w14:paraId="0411DDBA" w14:textId="633CFB9B" w:rsidR="00C66E92" w:rsidRPr="00FA0B4A" w:rsidRDefault="00C66E92" w:rsidP="00BB1D43">
      <w:pPr>
        <w:pStyle w:val="Subdetailssecondindent"/>
      </w:pPr>
      <w:r w:rsidRPr="00B20135">
        <w:rPr>
          <w:i/>
          <w:szCs w:val="22"/>
        </w:rPr>
        <w:t>H2</w:t>
      </w:r>
      <w:r w:rsidRPr="00FA0B4A">
        <w:rPr>
          <w:szCs w:val="22"/>
        </w:rPr>
        <w:t xml:space="preserve"> is a value of 0.</w:t>
      </w:r>
      <w:r w:rsidR="00D02470">
        <w:rPr>
          <w:szCs w:val="22"/>
        </w:rPr>
        <w:t>25</w:t>
      </w:r>
      <w:r w:rsidRPr="00FA0B4A">
        <w:rPr>
          <w:szCs w:val="22"/>
        </w:rPr>
        <w:t xml:space="preserve"> if the installed model</w:t>
      </w:r>
      <w:r w:rsidRPr="00FA0B4A">
        <w:t xml:space="preserve"> has been tested and registered for low temperature performance under condition H2 and meets the requirements of AS/NZS</w:t>
      </w:r>
      <w:r w:rsidR="00680FEA">
        <w:t xml:space="preserve"> </w:t>
      </w:r>
      <w:r w:rsidRPr="00FA0B4A">
        <w:t>3823 or H2 is a value of 0.0 for all other products.</w:t>
      </w:r>
    </w:p>
    <w:p w14:paraId="3C73EA6F" w14:textId="77777777" w:rsidR="00C66E92" w:rsidRDefault="00C66E92" w:rsidP="00BB1D43">
      <w:pPr>
        <w:pStyle w:val="Caption"/>
      </w:pPr>
      <w:bookmarkStart w:id="245" w:name="_Toc37945705"/>
      <w:bookmarkStart w:id="246" w:name="_Toc21868126"/>
      <w:bookmarkStart w:id="247" w:name="_Toc21868258"/>
      <w:r w:rsidRPr="00605125">
        <w:t xml:space="preserve">Table </w:t>
      </w:r>
      <w:r w:rsidR="004A0156">
        <w:rPr>
          <w:noProof/>
        </w:rPr>
        <w:fldChar w:fldCharType="begin"/>
      </w:r>
      <w:r w:rsidR="004A0156">
        <w:rPr>
          <w:noProof/>
        </w:rPr>
        <w:instrText xml:space="preserve"> SEQ Table \* ARABIC </w:instrText>
      </w:r>
      <w:r w:rsidR="004A0156">
        <w:rPr>
          <w:noProof/>
        </w:rPr>
        <w:fldChar w:fldCharType="separate"/>
      </w:r>
      <w:r w:rsidR="00880CB1">
        <w:rPr>
          <w:noProof/>
        </w:rPr>
        <w:t>21</w:t>
      </w:r>
      <w:r w:rsidR="004A0156">
        <w:rPr>
          <w:noProof/>
        </w:rPr>
        <w:fldChar w:fldCharType="end"/>
      </w:r>
      <w:r w:rsidRPr="00605125">
        <w:t xml:space="preserve"> </w:t>
      </w:r>
      <w:r w:rsidR="009E6E7F">
        <w:tab/>
      </w:r>
      <w:r w:rsidR="00995E5B">
        <w:t xml:space="preserve">Activity </w:t>
      </w:r>
      <w:r w:rsidR="00D85CB2">
        <w:t xml:space="preserve">ID </w:t>
      </w:r>
      <w:r w:rsidR="00995E5B">
        <w:t>2.6 c</w:t>
      </w:r>
      <w:r w:rsidRPr="00605125">
        <w:t xml:space="preserve">ategories </w:t>
      </w:r>
      <w:r>
        <w:t xml:space="preserve">of </w:t>
      </w:r>
      <w:r w:rsidRPr="00605125">
        <w:t>premises</w:t>
      </w:r>
      <w:bookmarkEnd w:id="245"/>
      <w:r w:rsidR="00EC06E9">
        <w:t xml:space="preserve"> </w:t>
      </w:r>
      <w:bookmarkEnd w:id="246"/>
      <w:bookmarkEnd w:id="2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C66E92" w:rsidRPr="0072191F" w14:paraId="6F7A0EC3" w14:textId="77777777" w:rsidTr="00BB1D43">
        <w:trPr>
          <w:tblHeader/>
        </w:trPr>
        <w:tc>
          <w:tcPr>
            <w:tcW w:w="2943" w:type="dxa"/>
            <w:shd w:val="clear" w:color="auto" w:fill="auto"/>
          </w:tcPr>
          <w:p w14:paraId="45F57133" w14:textId="77777777" w:rsidR="00C66E92" w:rsidRPr="0072191F" w:rsidRDefault="00C66E92" w:rsidP="00BB1D43">
            <w:pPr>
              <w:pStyle w:val="Tableheader"/>
            </w:pPr>
            <w:r w:rsidRPr="0072191F">
              <w:t>Category</w:t>
            </w:r>
          </w:p>
        </w:tc>
        <w:tc>
          <w:tcPr>
            <w:tcW w:w="6299" w:type="dxa"/>
            <w:shd w:val="clear" w:color="auto" w:fill="auto"/>
          </w:tcPr>
          <w:p w14:paraId="7404994D" w14:textId="77777777" w:rsidR="00C66E92" w:rsidRPr="0072191F" w:rsidRDefault="00C66E92" w:rsidP="00BB1D43">
            <w:pPr>
              <w:pStyle w:val="Tableheader"/>
            </w:pPr>
            <w:r w:rsidRPr="0072191F">
              <w:t>Description</w:t>
            </w:r>
          </w:p>
        </w:tc>
      </w:tr>
      <w:tr w:rsidR="00C66E92" w:rsidRPr="0072191F" w14:paraId="5EBA3AAE" w14:textId="77777777" w:rsidTr="0031330C">
        <w:tc>
          <w:tcPr>
            <w:tcW w:w="2943" w:type="dxa"/>
            <w:shd w:val="clear" w:color="auto" w:fill="auto"/>
          </w:tcPr>
          <w:p w14:paraId="38954F58" w14:textId="77777777" w:rsidR="00C66E92" w:rsidRDefault="00C66E92" w:rsidP="00BB1D43">
            <w:pPr>
              <w:pStyle w:val="Tabletext"/>
            </w:pPr>
            <w:r>
              <w:t>Business Premises</w:t>
            </w:r>
          </w:p>
          <w:p w14:paraId="5311AA3A" w14:textId="77777777" w:rsidR="00C66E92" w:rsidRDefault="00C66E92" w:rsidP="00BB1D43">
            <w:pPr>
              <w:pStyle w:val="Tabletext"/>
            </w:pPr>
            <w:r w:rsidRPr="00895D26">
              <w:t xml:space="preserve">Category </w:t>
            </w:r>
            <w:r>
              <w:t>1</w:t>
            </w:r>
          </w:p>
          <w:p w14:paraId="67BC42F1" w14:textId="77777777" w:rsidR="00C66E92" w:rsidRDefault="00C66E92" w:rsidP="00BB1D43">
            <w:pPr>
              <w:pStyle w:val="Tabletext"/>
            </w:pPr>
            <w:r w:rsidRPr="00895D26">
              <w:t>(High internal HL)</w:t>
            </w:r>
          </w:p>
          <w:p w14:paraId="3C610984" w14:textId="77777777" w:rsidR="00C66E92" w:rsidRPr="005E75B9" w:rsidRDefault="00C66E92" w:rsidP="00D633D3">
            <w:pPr>
              <w:pStyle w:val="Tabletext"/>
              <w:numPr>
                <w:ilvl w:val="0"/>
                <w:numId w:val="159"/>
              </w:numPr>
            </w:pPr>
            <w:r>
              <w:t>Use</w:t>
            </w:r>
            <w:r w:rsidRPr="00A968F8">
              <w:t xml:space="preserve"> table </w:t>
            </w:r>
            <w:r w:rsidR="00EC06E9">
              <w:t>22</w:t>
            </w:r>
          </w:p>
        </w:tc>
        <w:tc>
          <w:tcPr>
            <w:tcW w:w="6299" w:type="dxa"/>
            <w:shd w:val="clear" w:color="auto" w:fill="auto"/>
          </w:tcPr>
          <w:p w14:paraId="71B6F15B" w14:textId="77777777" w:rsidR="00C66E92" w:rsidRPr="00DE4AB4" w:rsidRDefault="00C66E92" w:rsidP="00BB1D43">
            <w:pPr>
              <w:pStyle w:val="Tabletext"/>
              <w:rPr>
                <w:i/>
                <w:iCs/>
              </w:rPr>
            </w:pPr>
            <w:r w:rsidRPr="00DE4AB4">
              <w:rPr>
                <w:i/>
                <w:iCs/>
              </w:rPr>
              <w:t>BCA Class 6</w:t>
            </w:r>
          </w:p>
          <w:p w14:paraId="12561930" w14:textId="77777777" w:rsidR="00C66E92" w:rsidRDefault="00C66E92" w:rsidP="00BB1D43">
            <w:pPr>
              <w:pStyle w:val="Tabletext"/>
            </w:pPr>
            <w:r w:rsidRPr="0072191F">
              <w:t>Food retail sub-set including specifically</w:t>
            </w:r>
            <w:r>
              <w:t>:</w:t>
            </w:r>
            <w:r w:rsidRPr="0072191F">
              <w:t xml:space="preserve"> </w:t>
            </w:r>
          </w:p>
          <w:p w14:paraId="0C10F3EC" w14:textId="77777777" w:rsidR="00C66E92" w:rsidRPr="0072191F" w:rsidRDefault="00EC06E9" w:rsidP="00BB1D43">
            <w:pPr>
              <w:pStyle w:val="BulletsEEIS"/>
            </w:pPr>
            <w:r>
              <w:t>r</w:t>
            </w:r>
            <w:r w:rsidR="00C66E92" w:rsidRPr="0072191F">
              <w:t>estaurants</w:t>
            </w:r>
          </w:p>
          <w:p w14:paraId="016A6208" w14:textId="77777777" w:rsidR="00C66E92" w:rsidRPr="0072191F" w:rsidRDefault="00EC06E9" w:rsidP="00BB1D43">
            <w:pPr>
              <w:pStyle w:val="BulletsEEIS"/>
            </w:pPr>
            <w:r>
              <w:t>c</w:t>
            </w:r>
            <w:r w:rsidR="00C66E92" w:rsidRPr="0072191F">
              <w:t xml:space="preserve">afes </w:t>
            </w:r>
          </w:p>
          <w:p w14:paraId="693F7058" w14:textId="77777777" w:rsidR="00C66E92" w:rsidRPr="0072191F" w:rsidRDefault="00EC06E9" w:rsidP="00BB1D43">
            <w:pPr>
              <w:pStyle w:val="BulletsEEIS"/>
            </w:pPr>
            <w:r>
              <w:t>f</w:t>
            </w:r>
            <w:r w:rsidR="00C66E92" w:rsidRPr="0072191F">
              <w:t xml:space="preserve">ast food stores </w:t>
            </w:r>
          </w:p>
          <w:p w14:paraId="41C5DCF3" w14:textId="77777777" w:rsidR="00C66E92" w:rsidRPr="0072191F" w:rsidRDefault="00EC06E9" w:rsidP="00BB1D43">
            <w:pPr>
              <w:pStyle w:val="BulletsEEIS"/>
            </w:pPr>
            <w:r>
              <w:t>b</w:t>
            </w:r>
            <w:r w:rsidR="00C66E92" w:rsidRPr="0072191F">
              <w:t>akeries</w:t>
            </w:r>
          </w:p>
        </w:tc>
      </w:tr>
      <w:tr w:rsidR="00C66E92" w:rsidRPr="0072191F" w14:paraId="7865DF49" w14:textId="77777777" w:rsidTr="0031330C">
        <w:tc>
          <w:tcPr>
            <w:tcW w:w="2943" w:type="dxa"/>
            <w:shd w:val="clear" w:color="auto" w:fill="auto"/>
          </w:tcPr>
          <w:p w14:paraId="296A0E56" w14:textId="77777777" w:rsidR="00C66E92" w:rsidRDefault="00C66E92" w:rsidP="00BB1D43">
            <w:pPr>
              <w:pStyle w:val="Tabletext"/>
            </w:pPr>
            <w:r>
              <w:t>Business Premises</w:t>
            </w:r>
          </w:p>
          <w:p w14:paraId="64B4CD03" w14:textId="77777777" w:rsidR="00C66E92" w:rsidRDefault="00C66E92" w:rsidP="00BB1D43">
            <w:pPr>
              <w:pStyle w:val="Tabletext"/>
            </w:pPr>
            <w:r w:rsidRPr="00895D26">
              <w:t>Category 2</w:t>
            </w:r>
          </w:p>
          <w:p w14:paraId="0729C8C8" w14:textId="77777777" w:rsidR="00C66E92" w:rsidRDefault="00C66E92" w:rsidP="00BB1D43">
            <w:pPr>
              <w:pStyle w:val="Tabletext"/>
            </w:pPr>
            <w:r w:rsidRPr="00895D26">
              <w:t>(Low internal HL)</w:t>
            </w:r>
          </w:p>
          <w:p w14:paraId="69084837" w14:textId="77777777" w:rsidR="00C66E92" w:rsidRPr="0072191F" w:rsidRDefault="00C66E92" w:rsidP="00D633D3">
            <w:pPr>
              <w:pStyle w:val="Tabletext"/>
              <w:numPr>
                <w:ilvl w:val="0"/>
                <w:numId w:val="159"/>
              </w:numPr>
              <w:rPr>
                <w:b/>
                <w:color w:val="000000"/>
                <w:sz w:val="22"/>
                <w:szCs w:val="22"/>
              </w:rPr>
            </w:pPr>
            <w:r>
              <w:t>Use</w:t>
            </w:r>
            <w:r w:rsidRPr="00A968F8">
              <w:t xml:space="preserve"> table 2</w:t>
            </w:r>
            <w:r w:rsidR="00EC06E9">
              <w:t>3</w:t>
            </w:r>
          </w:p>
        </w:tc>
        <w:tc>
          <w:tcPr>
            <w:tcW w:w="6299" w:type="dxa"/>
            <w:shd w:val="clear" w:color="auto" w:fill="auto"/>
          </w:tcPr>
          <w:p w14:paraId="7DC76295" w14:textId="77777777" w:rsidR="00C66E92" w:rsidRPr="00DE4AB4" w:rsidRDefault="00C66E92" w:rsidP="00BB1D43">
            <w:pPr>
              <w:pStyle w:val="Tabletext"/>
              <w:rPr>
                <w:i/>
                <w:iCs/>
                <w:color w:val="000000"/>
              </w:rPr>
            </w:pPr>
            <w:r w:rsidRPr="00DE4AB4">
              <w:rPr>
                <w:i/>
                <w:iCs/>
                <w:color w:val="000000"/>
              </w:rPr>
              <w:t>BCA Class 5</w:t>
            </w:r>
          </w:p>
          <w:p w14:paraId="651DF0F4" w14:textId="77777777" w:rsidR="00C66E92" w:rsidRPr="0072191F" w:rsidRDefault="00C66E92" w:rsidP="00BB1D43">
            <w:pPr>
              <w:pStyle w:val="Tabletext"/>
              <w:rPr>
                <w:color w:val="000000"/>
              </w:rPr>
            </w:pPr>
            <w:r w:rsidRPr="0072191F">
              <w:rPr>
                <w:color w:val="000000"/>
              </w:rPr>
              <w:t xml:space="preserve">Office based businesses </w:t>
            </w:r>
          </w:p>
          <w:p w14:paraId="48B1A02D" w14:textId="77777777" w:rsidR="00C66E92" w:rsidRPr="00DE4AB4" w:rsidRDefault="00C66E92" w:rsidP="00BB1D43">
            <w:pPr>
              <w:pStyle w:val="Tabletext"/>
              <w:rPr>
                <w:i/>
                <w:iCs/>
                <w:color w:val="000000"/>
              </w:rPr>
            </w:pPr>
            <w:r w:rsidRPr="00DE4AB4">
              <w:rPr>
                <w:i/>
                <w:iCs/>
                <w:color w:val="000000"/>
              </w:rPr>
              <w:t>BCA Class 6</w:t>
            </w:r>
          </w:p>
          <w:p w14:paraId="615AA886" w14:textId="77777777" w:rsidR="00C66E92" w:rsidRPr="0072191F" w:rsidRDefault="00C66E92" w:rsidP="00BB1D43">
            <w:pPr>
              <w:pStyle w:val="Tabletext"/>
              <w:rPr>
                <w:color w:val="000000"/>
              </w:rPr>
            </w:pPr>
            <w:r>
              <w:rPr>
                <w:color w:val="000000"/>
              </w:rPr>
              <w:t>A</w:t>
            </w:r>
            <w:r w:rsidRPr="0072191F">
              <w:rPr>
                <w:color w:val="000000"/>
              </w:rPr>
              <w:t xml:space="preserve">ll food retail is eligible except restaurants, cafes, fast food </w:t>
            </w:r>
            <w:r w:rsidRPr="0072191F">
              <w:rPr>
                <w:color w:val="000000"/>
              </w:rPr>
              <w:lastRenderedPageBreak/>
              <w:t>restaurants</w:t>
            </w:r>
            <w:r w:rsidR="00EC06E9">
              <w:rPr>
                <w:color w:val="000000"/>
              </w:rPr>
              <w:t xml:space="preserve"> and</w:t>
            </w:r>
            <w:r w:rsidRPr="0072191F">
              <w:rPr>
                <w:color w:val="000000"/>
              </w:rPr>
              <w:t xml:space="preserve"> bakeries</w:t>
            </w:r>
          </w:p>
          <w:p w14:paraId="6E001623" w14:textId="77777777" w:rsidR="00C66E92" w:rsidRPr="00DE4AB4" w:rsidRDefault="00C66E92" w:rsidP="00BB1D43">
            <w:pPr>
              <w:pStyle w:val="Tabletext"/>
              <w:rPr>
                <w:i/>
                <w:iCs/>
                <w:color w:val="000000"/>
              </w:rPr>
            </w:pPr>
            <w:r w:rsidRPr="00DE4AB4">
              <w:rPr>
                <w:i/>
                <w:iCs/>
                <w:color w:val="000000"/>
              </w:rPr>
              <w:t>BCA Class 7</w:t>
            </w:r>
          </w:p>
          <w:p w14:paraId="145E276A" w14:textId="77777777" w:rsidR="00C66E92" w:rsidRPr="0072191F" w:rsidRDefault="00C66E92" w:rsidP="00BB1D43">
            <w:pPr>
              <w:pStyle w:val="Tabletext"/>
              <w:rPr>
                <w:color w:val="000000"/>
              </w:rPr>
            </w:pPr>
            <w:r w:rsidRPr="0072191F">
              <w:rPr>
                <w:color w:val="000000"/>
              </w:rPr>
              <w:t>Wholesale outlets and warehousing businesses</w:t>
            </w:r>
          </w:p>
          <w:p w14:paraId="7B1ADA28" w14:textId="77777777" w:rsidR="00C66E92" w:rsidRPr="00DE4AB4" w:rsidRDefault="00C66E92" w:rsidP="00BB1D43">
            <w:pPr>
              <w:pStyle w:val="Tabletext"/>
              <w:rPr>
                <w:i/>
                <w:color w:val="000000"/>
              </w:rPr>
            </w:pPr>
            <w:r w:rsidRPr="00DE4AB4">
              <w:rPr>
                <w:i/>
                <w:color w:val="000000"/>
              </w:rPr>
              <w:t>BCA Class 8</w:t>
            </w:r>
          </w:p>
          <w:p w14:paraId="503029C4" w14:textId="77777777" w:rsidR="00C66E92" w:rsidRPr="0072191F" w:rsidRDefault="00C66E92" w:rsidP="00BB1D43">
            <w:pPr>
              <w:pStyle w:val="Tabletext"/>
              <w:rPr>
                <w:color w:val="000000"/>
              </w:rPr>
            </w:pPr>
            <w:r w:rsidRPr="0072191F">
              <w:rPr>
                <w:color w:val="000000"/>
              </w:rPr>
              <w:t>Manufacturing premises</w:t>
            </w:r>
          </w:p>
          <w:p w14:paraId="62BF1A25" w14:textId="77777777" w:rsidR="00C66E92" w:rsidRPr="00DE4AB4" w:rsidRDefault="00C66E92" w:rsidP="00BB1D43">
            <w:pPr>
              <w:pStyle w:val="Tabletext"/>
              <w:rPr>
                <w:i/>
                <w:iCs/>
                <w:color w:val="000000"/>
              </w:rPr>
            </w:pPr>
            <w:r w:rsidRPr="00DE4AB4">
              <w:rPr>
                <w:i/>
                <w:iCs/>
                <w:color w:val="000000"/>
              </w:rPr>
              <w:t>BCA Class 9a</w:t>
            </w:r>
          </w:p>
          <w:p w14:paraId="585AE464" w14:textId="77777777" w:rsidR="00C66E92" w:rsidRPr="0072191F" w:rsidRDefault="00C66E92" w:rsidP="00BB1D43">
            <w:pPr>
              <w:pStyle w:val="Tabletext"/>
              <w:rPr>
                <w:color w:val="000000"/>
              </w:rPr>
            </w:pPr>
            <w:r w:rsidRPr="0072191F">
              <w:rPr>
                <w:color w:val="000000"/>
              </w:rPr>
              <w:t xml:space="preserve">Health </w:t>
            </w:r>
            <w:r w:rsidR="00EC06E9">
              <w:rPr>
                <w:color w:val="000000"/>
              </w:rPr>
              <w:t>c</w:t>
            </w:r>
            <w:r w:rsidRPr="0072191F">
              <w:rPr>
                <w:color w:val="000000"/>
              </w:rPr>
              <w:t xml:space="preserve">are building based professional services </w:t>
            </w:r>
          </w:p>
          <w:p w14:paraId="31F8C032" w14:textId="77777777" w:rsidR="00C66E92" w:rsidRPr="00DE4AB4" w:rsidRDefault="00C66E92" w:rsidP="00BB1D43">
            <w:pPr>
              <w:pStyle w:val="Tabletext"/>
              <w:rPr>
                <w:i/>
                <w:iCs/>
                <w:color w:val="000000"/>
              </w:rPr>
            </w:pPr>
            <w:r w:rsidRPr="00DE4AB4">
              <w:rPr>
                <w:i/>
                <w:iCs/>
                <w:color w:val="000000"/>
              </w:rPr>
              <w:t xml:space="preserve">BCA </w:t>
            </w:r>
            <w:r w:rsidR="00EC06E9" w:rsidRPr="00DE4AB4">
              <w:rPr>
                <w:i/>
                <w:iCs/>
                <w:color w:val="000000"/>
              </w:rPr>
              <w:t xml:space="preserve">Class </w:t>
            </w:r>
            <w:r w:rsidRPr="00DE4AB4">
              <w:rPr>
                <w:i/>
                <w:iCs/>
                <w:color w:val="000000"/>
              </w:rPr>
              <w:t>9b</w:t>
            </w:r>
          </w:p>
          <w:p w14:paraId="2EF21F46" w14:textId="77777777" w:rsidR="00C66E92" w:rsidRPr="0072191F" w:rsidRDefault="00C66E92" w:rsidP="00BB1D43">
            <w:pPr>
              <w:pStyle w:val="Tabletext"/>
              <w:rPr>
                <w:color w:val="000000"/>
              </w:rPr>
            </w:pPr>
            <w:r w:rsidRPr="0072191F">
              <w:rPr>
                <w:color w:val="000000"/>
              </w:rPr>
              <w:t xml:space="preserve">Auditoriums, churches, public halls and any assembly buildings used by </w:t>
            </w:r>
            <w:r w:rsidR="00EC06E9">
              <w:rPr>
                <w:color w:val="000000"/>
              </w:rPr>
              <w:t>n</w:t>
            </w:r>
            <w:r w:rsidRPr="0072191F">
              <w:rPr>
                <w:color w:val="000000"/>
              </w:rPr>
              <w:t>ot</w:t>
            </w:r>
            <w:r w:rsidR="00EC06E9">
              <w:rPr>
                <w:color w:val="000000"/>
              </w:rPr>
              <w:t>-</w:t>
            </w:r>
            <w:r w:rsidRPr="0072191F">
              <w:rPr>
                <w:color w:val="000000"/>
              </w:rPr>
              <w:t>for</w:t>
            </w:r>
            <w:r w:rsidR="00EC06E9">
              <w:rPr>
                <w:color w:val="000000"/>
              </w:rPr>
              <w:t>-</w:t>
            </w:r>
            <w:r w:rsidRPr="0072191F">
              <w:rPr>
                <w:color w:val="000000"/>
              </w:rPr>
              <w:t>profits/</w:t>
            </w:r>
            <w:r w:rsidR="00EC06E9">
              <w:rPr>
                <w:color w:val="000000"/>
              </w:rPr>
              <w:t>c</w:t>
            </w:r>
            <w:r w:rsidRPr="0072191F">
              <w:rPr>
                <w:color w:val="000000"/>
              </w:rPr>
              <w:t xml:space="preserve">ommunity </w:t>
            </w:r>
            <w:r w:rsidR="00EC06E9">
              <w:rPr>
                <w:color w:val="000000"/>
              </w:rPr>
              <w:t>g</w:t>
            </w:r>
            <w:r w:rsidRPr="0072191F">
              <w:rPr>
                <w:color w:val="000000"/>
              </w:rPr>
              <w:t>roups</w:t>
            </w:r>
          </w:p>
          <w:p w14:paraId="19A6837E" w14:textId="77777777" w:rsidR="00C66E92" w:rsidRPr="00DE4AB4" w:rsidRDefault="00C66E92" w:rsidP="00BB1D43">
            <w:pPr>
              <w:pStyle w:val="Tabletext"/>
              <w:rPr>
                <w:i/>
                <w:iCs/>
                <w:color w:val="000000"/>
              </w:rPr>
            </w:pPr>
            <w:r w:rsidRPr="00DE4AB4">
              <w:rPr>
                <w:i/>
                <w:iCs/>
                <w:color w:val="000000"/>
              </w:rPr>
              <w:t>BCA Class 9c</w:t>
            </w:r>
          </w:p>
          <w:p w14:paraId="240F420E" w14:textId="77777777" w:rsidR="00C66E92" w:rsidRPr="0072191F" w:rsidRDefault="00C66E92" w:rsidP="00BB1D43">
            <w:pPr>
              <w:pStyle w:val="Tabletext"/>
              <w:rPr>
                <w:b/>
                <w:color w:val="000000"/>
              </w:rPr>
            </w:pPr>
            <w:r w:rsidRPr="0072191F">
              <w:rPr>
                <w:color w:val="000000"/>
              </w:rPr>
              <w:t xml:space="preserve">Aged </w:t>
            </w:r>
            <w:r w:rsidR="00EC06E9">
              <w:rPr>
                <w:color w:val="000000"/>
              </w:rPr>
              <w:t>c</w:t>
            </w:r>
            <w:r w:rsidRPr="0072191F">
              <w:rPr>
                <w:color w:val="000000"/>
              </w:rPr>
              <w:t>are</w:t>
            </w:r>
          </w:p>
        </w:tc>
      </w:tr>
      <w:tr w:rsidR="00C66E92" w:rsidRPr="0072191F" w14:paraId="4365A736" w14:textId="77777777" w:rsidTr="0031330C">
        <w:tc>
          <w:tcPr>
            <w:tcW w:w="2943" w:type="dxa"/>
            <w:shd w:val="clear" w:color="auto" w:fill="auto"/>
          </w:tcPr>
          <w:p w14:paraId="7733E94E" w14:textId="77777777" w:rsidR="00C66E92" w:rsidRDefault="00C66E92" w:rsidP="00BB1D43">
            <w:pPr>
              <w:pStyle w:val="Tabletext"/>
            </w:pPr>
            <w:r>
              <w:lastRenderedPageBreak/>
              <w:t>Business Premises</w:t>
            </w:r>
          </w:p>
          <w:p w14:paraId="1D8A43DC" w14:textId="77777777" w:rsidR="00C66E92" w:rsidRDefault="00C66E92" w:rsidP="00BB1D43">
            <w:pPr>
              <w:pStyle w:val="Tabletext"/>
            </w:pPr>
            <w:r w:rsidRPr="00895D26">
              <w:t>Category 3</w:t>
            </w:r>
          </w:p>
          <w:p w14:paraId="5C59FF66" w14:textId="77777777" w:rsidR="00C66E92" w:rsidRDefault="00C66E92" w:rsidP="00BB1D43">
            <w:pPr>
              <w:pStyle w:val="Tabletext"/>
            </w:pPr>
            <w:r w:rsidRPr="00895D26">
              <w:t>(Other)</w:t>
            </w:r>
          </w:p>
          <w:p w14:paraId="03A7D9E7" w14:textId="77777777" w:rsidR="00C66E92" w:rsidRPr="0072191F" w:rsidRDefault="00C66E92" w:rsidP="00D633D3">
            <w:pPr>
              <w:pStyle w:val="Tabletext"/>
              <w:numPr>
                <w:ilvl w:val="0"/>
                <w:numId w:val="159"/>
              </w:numPr>
              <w:rPr>
                <w:b/>
                <w:color w:val="000000"/>
                <w:sz w:val="22"/>
                <w:szCs w:val="22"/>
              </w:rPr>
            </w:pPr>
            <w:r>
              <w:t>Use</w:t>
            </w:r>
            <w:r w:rsidRPr="00A968F8">
              <w:t xml:space="preserve"> table 2</w:t>
            </w:r>
            <w:r w:rsidR="00EC06E9">
              <w:t>4</w:t>
            </w:r>
          </w:p>
        </w:tc>
        <w:tc>
          <w:tcPr>
            <w:tcW w:w="6299" w:type="dxa"/>
            <w:shd w:val="clear" w:color="auto" w:fill="auto"/>
          </w:tcPr>
          <w:p w14:paraId="595F3155" w14:textId="77777777" w:rsidR="00C66E92" w:rsidRPr="00D85178" w:rsidRDefault="00C66E92" w:rsidP="00BB1D43">
            <w:pPr>
              <w:pStyle w:val="Tabletext"/>
            </w:pPr>
            <w:r w:rsidRPr="0072191F">
              <w:t>Any other business premises not included in category 1 or 2</w:t>
            </w:r>
          </w:p>
          <w:p w14:paraId="33F46F7C" w14:textId="77777777" w:rsidR="00C66E92" w:rsidRPr="0072191F" w:rsidRDefault="00C66E92" w:rsidP="00BB1D43">
            <w:pPr>
              <w:pStyle w:val="Tabletext"/>
              <w:rPr>
                <w:b/>
                <w:color w:val="000000"/>
                <w:sz w:val="22"/>
                <w:szCs w:val="22"/>
              </w:rPr>
            </w:pPr>
            <w:r w:rsidRPr="0072191F">
              <w:t>Businesses which have a combination of both high internal and low internal HL commercial spaces</w:t>
            </w:r>
          </w:p>
        </w:tc>
      </w:tr>
    </w:tbl>
    <w:p w14:paraId="2DCCA12E" w14:textId="77777777" w:rsidR="00C66E92" w:rsidRPr="008C5221" w:rsidRDefault="00C66E92" w:rsidP="00BB1D43">
      <w:pPr>
        <w:pStyle w:val="Caption"/>
      </w:pPr>
      <w:bookmarkStart w:id="248" w:name="_Toc37945706"/>
      <w:bookmarkStart w:id="249" w:name="_Toc21868127"/>
      <w:bookmarkStart w:id="250" w:name="_Toc21868259"/>
      <w:r w:rsidRPr="00762A56">
        <w:rPr>
          <w:rFonts w:cs="Times New Roman"/>
          <w:lang w:eastAsia="en-AU"/>
        </w:rPr>
        <w:t xml:space="preserve">Table </w:t>
      </w:r>
      <w:r w:rsidR="00BB1D43">
        <w:rPr>
          <w:rFonts w:cs="Times New Roman"/>
          <w:lang w:eastAsia="en-AU"/>
        </w:rPr>
        <w:fldChar w:fldCharType="begin"/>
      </w:r>
      <w:r w:rsidR="00BB1D43">
        <w:rPr>
          <w:rFonts w:cs="Times New Roman"/>
          <w:lang w:eastAsia="en-AU"/>
        </w:rPr>
        <w:instrText xml:space="preserve"> SEQ Table \* ARABIC </w:instrText>
      </w:r>
      <w:r w:rsidR="00BB1D43">
        <w:rPr>
          <w:rFonts w:cs="Times New Roman"/>
          <w:lang w:eastAsia="en-AU"/>
        </w:rPr>
        <w:fldChar w:fldCharType="separate"/>
      </w:r>
      <w:r w:rsidR="00880CB1">
        <w:rPr>
          <w:rFonts w:cs="Times New Roman"/>
          <w:noProof/>
          <w:lang w:eastAsia="en-AU"/>
        </w:rPr>
        <w:t>22</w:t>
      </w:r>
      <w:r w:rsidR="00BB1D43">
        <w:rPr>
          <w:rFonts w:cs="Times New Roman"/>
          <w:lang w:eastAsia="en-AU"/>
        </w:rPr>
        <w:fldChar w:fldCharType="end"/>
      </w:r>
      <w:r w:rsidRPr="00823AAF">
        <w:t xml:space="preserve"> </w:t>
      </w:r>
      <w:r w:rsidR="009E6E7F">
        <w:tab/>
      </w:r>
      <w:r w:rsidR="00995E5B">
        <w:t xml:space="preserve">Activity </w:t>
      </w:r>
      <w:r w:rsidR="00D85CB2">
        <w:t xml:space="preserve">ID </w:t>
      </w:r>
      <w:r w:rsidR="00995E5B">
        <w:t>2.6(b)</w:t>
      </w:r>
      <w:r w:rsidR="00D85CB2">
        <w:t>i</w:t>
      </w:r>
      <w:r w:rsidR="00995E5B">
        <w:t xml:space="preserve"> b</w:t>
      </w:r>
      <w:r w:rsidRPr="00823AAF">
        <w:t xml:space="preserve">usiness </w:t>
      </w:r>
      <w:r w:rsidR="00EC06E9">
        <w:t>p</w:t>
      </w:r>
      <w:r w:rsidRPr="00823AAF">
        <w:t xml:space="preserve">remises – </w:t>
      </w:r>
      <w:r w:rsidR="00995E5B">
        <w:t>c</w:t>
      </w:r>
      <w:r w:rsidRPr="00823AAF">
        <w:t>ategory 1</w:t>
      </w:r>
      <w:bookmarkEnd w:id="248"/>
      <w:r w:rsidR="00EC06E9">
        <w:t xml:space="preserve"> </w:t>
      </w:r>
      <w:bookmarkEnd w:id="249"/>
      <w:bookmarkEnd w:id="250"/>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3692"/>
        <w:gridCol w:w="1172"/>
        <w:gridCol w:w="1464"/>
        <w:gridCol w:w="1356"/>
      </w:tblGrid>
      <w:tr w:rsidR="00EC0971" w:rsidRPr="00FA0B4A" w14:paraId="364421B3" w14:textId="77777777" w:rsidTr="002413EC">
        <w:trPr>
          <w:tblHeader/>
        </w:trPr>
        <w:tc>
          <w:tcPr>
            <w:tcW w:w="1638" w:type="dxa"/>
            <w:tcBorders>
              <w:bottom w:val="double" w:sz="4" w:space="0" w:color="auto"/>
            </w:tcBorders>
          </w:tcPr>
          <w:p w14:paraId="1E501E08" w14:textId="77777777" w:rsidR="00C66E92" w:rsidRPr="00FA0B4A" w:rsidRDefault="00C66E92" w:rsidP="00797E59">
            <w:pPr>
              <w:pStyle w:val="Tableheader"/>
            </w:pPr>
            <w:r>
              <w:t>Pre</w:t>
            </w:r>
            <w:r w:rsidR="00EC06E9">
              <w:t>-</w:t>
            </w:r>
            <w:r>
              <w:t>existing heating condition</w:t>
            </w:r>
          </w:p>
        </w:tc>
        <w:tc>
          <w:tcPr>
            <w:tcW w:w="3692" w:type="dxa"/>
            <w:tcBorders>
              <w:bottom w:val="double" w:sz="4" w:space="0" w:color="auto"/>
            </w:tcBorders>
          </w:tcPr>
          <w:p w14:paraId="029CD4DA" w14:textId="77777777" w:rsidR="00C66E92" w:rsidRPr="00FA0B4A" w:rsidRDefault="00C66E92" w:rsidP="00797E59">
            <w:pPr>
              <w:pStyle w:val="Tableheader"/>
            </w:pPr>
            <w:r>
              <w:t>Installed product type</w:t>
            </w:r>
          </w:p>
        </w:tc>
        <w:tc>
          <w:tcPr>
            <w:tcW w:w="1172" w:type="dxa"/>
            <w:tcBorders>
              <w:bottom w:val="double" w:sz="4" w:space="0" w:color="auto"/>
            </w:tcBorders>
          </w:tcPr>
          <w:p w14:paraId="559E6EA9" w14:textId="77777777" w:rsidR="00C66E92" w:rsidRPr="00FA0B4A" w:rsidRDefault="00C66E92" w:rsidP="00797E59">
            <w:pPr>
              <w:pStyle w:val="Tableheader"/>
            </w:pPr>
            <w:r w:rsidRPr="00FA0B4A">
              <w:t>Base Efficiency (</w:t>
            </w:r>
            <w:r w:rsidRPr="00FA0B4A">
              <w:rPr>
                <w:i/>
              </w:rPr>
              <w:t>Baseline</w:t>
            </w:r>
            <w:r w:rsidRPr="00FA0B4A">
              <w:t>)</w:t>
            </w:r>
            <w:r w:rsidRPr="00FA0B4A">
              <w:br/>
              <w:t>ACOP</w:t>
            </w:r>
          </w:p>
        </w:tc>
        <w:tc>
          <w:tcPr>
            <w:tcW w:w="1464" w:type="dxa"/>
            <w:tcBorders>
              <w:bottom w:val="double" w:sz="4" w:space="0" w:color="auto"/>
            </w:tcBorders>
          </w:tcPr>
          <w:p w14:paraId="3A081D78" w14:textId="0FC25DC6" w:rsidR="00C66E92" w:rsidRPr="00FA0B4A" w:rsidRDefault="00C66E92" w:rsidP="00797E59">
            <w:pPr>
              <w:pStyle w:val="Tableheader"/>
            </w:pPr>
            <w:r w:rsidRPr="00FA0B4A">
              <w:t xml:space="preserve">Fixed </w:t>
            </w:r>
            <w:r w:rsidR="00EC0971">
              <w:t xml:space="preserve">Energy Savings </w:t>
            </w:r>
            <w:r w:rsidRPr="00FA0B4A">
              <w:t xml:space="preserve"> (</w:t>
            </w:r>
            <w:r w:rsidR="00EC0971">
              <w:t>ESF</w:t>
            </w:r>
            <w:r w:rsidRPr="00FA0B4A">
              <w:rPr>
                <w:vertAlign w:val="subscript"/>
              </w:rPr>
              <w:t>fixed</w:t>
            </w:r>
            <w:r w:rsidRPr="00FA0B4A">
              <w:t xml:space="preserve">) </w:t>
            </w:r>
            <w:r w:rsidRPr="00FA0B4A">
              <w:br/>
            </w:r>
            <w:r w:rsidR="00EC0971">
              <w:t>MWh</w:t>
            </w:r>
          </w:p>
        </w:tc>
        <w:tc>
          <w:tcPr>
            <w:tcW w:w="1356" w:type="dxa"/>
            <w:tcBorders>
              <w:bottom w:val="double" w:sz="4" w:space="0" w:color="auto"/>
            </w:tcBorders>
          </w:tcPr>
          <w:p w14:paraId="645F476E" w14:textId="321A11C0" w:rsidR="00C66E92" w:rsidRPr="00FA0B4A" w:rsidRDefault="00C66E92" w:rsidP="00797E59">
            <w:pPr>
              <w:pStyle w:val="Tableheader"/>
            </w:pPr>
            <w:r w:rsidRPr="00FA0B4A">
              <w:t xml:space="preserve">Variable </w:t>
            </w:r>
            <w:r w:rsidR="00EC0971">
              <w:t xml:space="preserve">Energy Savings </w:t>
            </w:r>
            <w:r w:rsidRPr="00FA0B4A">
              <w:t xml:space="preserve"> (</w:t>
            </w:r>
            <w:r w:rsidR="00EC0971">
              <w:t>ESF</w:t>
            </w:r>
            <w:r w:rsidRPr="00FA0B4A">
              <w:rPr>
                <w:vertAlign w:val="subscript"/>
              </w:rPr>
              <w:t>var</w:t>
            </w:r>
            <w:r w:rsidRPr="00FA0B4A">
              <w:t>)</w:t>
            </w:r>
            <w:r w:rsidRPr="00FA0B4A">
              <w:br/>
            </w:r>
            <w:r w:rsidR="00EC0971">
              <w:t>MWh</w:t>
            </w:r>
            <w:r w:rsidRPr="00FA0B4A">
              <w:t>/kW</w:t>
            </w:r>
          </w:p>
        </w:tc>
      </w:tr>
      <w:tr w:rsidR="002413EC" w:rsidRPr="00FA0B4A" w14:paraId="01E71E53" w14:textId="77777777" w:rsidTr="0064760C">
        <w:tc>
          <w:tcPr>
            <w:tcW w:w="1638" w:type="dxa"/>
            <w:tcBorders>
              <w:top w:val="double" w:sz="4" w:space="0" w:color="auto"/>
            </w:tcBorders>
          </w:tcPr>
          <w:p w14:paraId="6ECDA897" w14:textId="77777777" w:rsidR="002413EC" w:rsidRPr="00FA0B4A" w:rsidRDefault="002413EC" w:rsidP="002413EC">
            <w:pPr>
              <w:pStyle w:val="Tabletext"/>
              <w:ind w:left="284" w:hanging="284"/>
              <w:rPr>
                <w:rFonts w:cs="Calibri"/>
              </w:rPr>
            </w:pPr>
            <w:r w:rsidRPr="008C5221">
              <w:rPr>
                <w:rFonts w:cs="Calibri"/>
              </w:rPr>
              <w:t xml:space="preserve">(1) </w:t>
            </w:r>
            <w:r w:rsidRPr="008C5221">
              <w:t>Qualifying fixed electric systems</w:t>
            </w:r>
            <w:r>
              <w:t xml:space="preserve"> </w:t>
            </w:r>
          </w:p>
        </w:tc>
        <w:tc>
          <w:tcPr>
            <w:tcW w:w="3692" w:type="dxa"/>
            <w:tcBorders>
              <w:top w:val="double" w:sz="4" w:space="0" w:color="auto"/>
            </w:tcBorders>
          </w:tcPr>
          <w:p w14:paraId="62C99D84" w14:textId="77777777" w:rsidR="002413EC" w:rsidRPr="00FA0B4A" w:rsidRDefault="002413EC" w:rsidP="002413EC">
            <w:pPr>
              <w:pStyle w:val="Tabletext"/>
              <w:ind w:left="433" w:hanging="433"/>
              <w:rPr>
                <w:rFonts w:cs="Calibri"/>
              </w:rPr>
            </w:pPr>
            <w:r>
              <w:rPr>
                <w:rFonts w:cs="Calibri"/>
              </w:rPr>
              <w:t xml:space="preserve">(a) </w:t>
            </w:r>
            <w:r>
              <w:rPr>
                <w:rFonts w:cs="Calibri"/>
              </w:rPr>
              <w:tab/>
            </w:r>
            <w:r w:rsidRPr="004F1AA5">
              <w:rPr>
                <w:rFonts w:cs="Calibri"/>
              </w:rPr>
              <w:t>High efficiency room heat pump</w:t>
            </w:r>
            <w:r>
              <w:rPr>
                <w:rFonts w:cs="Calibri"/>
              </w:rPr>
              <w:t xml:space="preserve"> or </w:t>
            </w:r>
            <w:r w:rsidRPr="0014717E">
              <w:rPr>
                <w:rFonts w:cs="Calibri"/>
              </w:rPr>
              <w:t>central non-ducted heat pump</w:t>
            </w:r>
          </w:p>
        </w:tc>
        <w:tc>
          <w:tcPr>
            <w:tcW w:w="1172" w:type="dxa"/>
            <w:tcBorders>
              <w:top w:val="double" w:sz="4" w:space="0" w:color="auto"/>
            </w:tcBorders>
          </w:tcPr>
          <w:p w14:paraId="6BACCA1C" w14:textId="77777777" w:rsidR="002413EC" w:rsidRPr="00FA0B4A" w:rsidRDefault="002413EC" w:rsidP="002413EC">
            <w:pPr>
              <w:pStyle w:val="Tabletext"/>
              <w:jc w:val="center"/>
              <w:rPr>
                <w:rFonts w:cs="Calibri"/>
              </w:rPr>
            </w:pPr>
            <w:r w:rsidRPr="00FA0B4A">
              <w:rPr>
                <w:rFonts w:cs="Calibri"/>
              </w:rPr>
              <w:t>3.7</w:t>
            </w:r>
          </w:p>
        </w:tc>
        <w:tc>
          <w:tcPr>
            <w:tcW w:w="1464" w:type="dxa"/>
            <w:tcBorders>
              <w:top w:val="double" w:sz="4" w:space="0" w:color="auto"/>
            </w:tcBorders>
          </w:tcPr>
          <w:p w14:paraId="5ED2895C" w14:textId="2D27B4B0" w:rsidR="002413EC" w:rsidRPr="00FA0B4A" w:rsidRDefault="002413EC" w:rsidP="006F65CC">
            <w:pPr>
              <w:pStyle w:val="Tabletext"/>
              <w:jc w:val="center"/>
              <w:rPr>
                <w:rFonts w:cs="Calibri"/>
              </w:rPr>
            </w:pPr>
            <w:r>
              <w:rPr>
                <w:rFonts w:ascii="Calibri" w:hAnsi="Calibri" w:cs="Calibri"/>
                <w:color w:val="000000"/>
                <w:sz w:val="22"/>
                <w:szCs w:val="22"/>
              </w:rPr>
              <w:t>0.00</w:t>
            </w:r>
            <w:r w:rsidR="00590361">
              <w:rPr>
                <w:rFonts w:ascii="Calibri" w:hAnsi="Calibri" w:cs="Calibri"/>
                <w:color w:val="000000"/>
                <w:sz w:val="22"/>
                <w:szCs w:val="22"/>
              </w:rPr>
              <w:t>0</w:t>
            </w:r>
          </w:p>
        </w:tc>
        <w:tc>
          <w:tcPr>
            <w:tcW w:w="1356" w:type="dxa"/>
            <w:tcBorders>
              <w:top w:val="double" w:sz="4" w:space="0" w:color="auto"/>
            </w:tcBorders>
          </w:tcPr>
          <w:p w14:paraId="4DEC6B8F" w14:textId="674B97C8" w:rsidR="002413EC" w:rsidRPr="00FA0B4A" w:rsidRDefault="002413EC" w:rsidP="006F65CC">
            <w:pPr>
              <w:pStyle w:val="Tabletext"/>
              <w:jc w:val="center"/>
              <w:rPr>
                <w:rFonts w:cs="Calibri"/>
              </w:rPr>
            </w:pPr>
            <w:r>
              <w:rPr>
                <w:rFonts w:ascii="Calibri" w:hAnsi="Calibri" w:cs="Calibri"/>
                <w:color w:val="000000"/>
                <w:sz w:val="22"/>
                <w:szCs w:val="22"/>
              </w:rPr>
              <w:t>0.820</w:t>
            </w:r>
          </w:p>
        </w:tc>
      </w:tr>
      <w:tr w:rsidR="002413EC" w:rsidRPr="00FA0B4A" w14:paraId="6A3A2EB6" w14:textId="77777777" w:rsidTr="0064760C">
        <w:tc>
          <w:tcPr>
            <w:tcW w:w="1638" w:type="dxa"/>
            <w:tcBorders>
              <w:top w:val="double" w:sz="4" w:space="0" w:color="auto"/>
            </w:tcBorders>
          </w:tcPr>
          <w:p w14:paraId="1A8313AC" w14:textId="77777777" w:rsidR="002413EC" w:rsidRPr="00FA0B4A" w:rsidRDefault="002413EC" w:rsidP="002413EC">
            <w:pPr>
              <w:pStyle w:val="Tabletext"/>
              <w:ind w:left="284" w:hanging="284"/>
              <w:rPr>
                <w:rFonts w:cs="Calibri"/>
              </w:rPr>
            </w:pPr>
            <w:r w:rsidRPr="00F4786A">
              <w:rPr>
                <w:rFonts w:cs="Calibri"/>
              </w:rPr>
              <w:t>(2)</w:t>
            </w:r>
            <w:r>
              <w:rPr>
                <w:rFonts w:cs="Calibri"/>
              </w:rPr>
              <w:t xml:space="preserve"> </w:t>
            </w:r>
            <w:r w:rsidRPr="00F4786A">
              <w:rPr>
                <w:rFonts w:cs="Calibri"/>
              </w:rPr>
              <w:t xml:space="preserve">Qualifying fixed gas heater and electric cooler </w:t>
            </w:r>
          </w:p>
        </w:tc>
        <w:tc>
          <w:tcPr>
            <w:tcW w:w="3692" w:type="dxa"/>
            <w:tcBorders>
              <w:top w:val="double" w:sz="4" w:space="0" w:color="auto"/>
            </w:tcBorders>
          </w:tcPr>
          <w:p w14:paraId="319665D6" w14:textId="77777777" w:rsidR="002413EC" w:rsidRPr="00FA0B4A" w:rsidRDefault="002413EC" w:rsidP="002413EC">
            <w:pPr>
              <w:pStyle w:val="Tabletext"/>
              <w:ind w:left="433" w:hanging="433"/>
              <w:rPr>
                <w:rFonts w:cs="Calibri"/>
              </w:rPr>
            </w:pPr>
            <w:r>
              <w:rPr>
                <w:rFonts w:cs="Calibri"/>
              </w:rPr>
              <w:t xml:space="preserve">(a) </w:t>
            </w:r>
            <w:r>
              <w:rPr>
                <w:rFonts w:cs="Calibri"/>
              </w:rPr>
              <w:tab/>
            </w:r>
            <w:r w:rsidRPr="004F1AA5">
              <w:rPr>
                <w:rFonts w:cs="Calibri"/>
              </w:rPr>
              <w:t>High efficiency room heat pump</w:t>
            </w:r>
            <w:r>
              <w:rPr>
                <w:rFonts w:cs="Calibri"/>
              </w:rPr>
              <w:t xml:space="preserve"> or </w:t>
            </w:r>
            <w:r w:rsidRPr="0014717E">
              <w:rPr>
                <w:rFonts w:cs="Calibri"/>
              </w:rPr>
              <w:t>central non-ducted heat pump</w:t>
            </w:r>
          </w:p>
        </w:tc>
        <w:tc>
          <w:tcPr>
            <w:tcW w:w="1172" w:type="dxa"/>
            <w:tcBorders>
              <w:top w:val="double" w:sz="4" w:space="0" w:color="auto"/>
            </w:tcBorders>
          </w:tcPr>
          <w:p w14:paraId="71CD7DA2" w14:textId="77777777" w:rsidR="002413EC" w:rsidRPr="00FA0B4A" w:rsidRDefault="002413EC" w:rsidP="002413EC">
            <w:pPr>
              <w:pStyle w:val="Tabletext"/>
              <w:jc w:val="center"/>
              <w:rPr>
                <w:rFonts w:cs="Calibri"/>
              </w:rPr>
            </w:pPr>
            <w:r w:rsidRPr="00FA0B4A">
              <w:rPr>
                <w:rFonts w:cs="Calibri"/>
              </w:rPr>
              <w:t>3.7</w:t>
            </w:r>
          </w:p>
        </w:tc>
        <w:tc>
          <w:tcPr>
            <w:tcW w:w="1464" w:type="dxa"/>
            <w:tcBorders>
              <w:top w:val="double" w:sz="4" w:space="0" w:color="auto"/>
            </w:tcBorders>
          </w:tcPr>
          <w:p w14:paraId="7359A736" w14:textId="5A0AB74F" w:rsidR="002413EC" w:rsidRPr="00FA0B4A" w:rsidRDefault="002413EC" w:rsidP="006F65CC">
            <w:pPr>
              <w:pStyle w:val="Tabletext"/>
              <w:jc w:val="center"/>
              <w:rPr>
                <w:rFonts w:cs="Calibri"/>
              </w:rPr>
            </w:pPr>
            <w:r>
              <w:rPr>
                <w:rFonts w:ascii="Calibri" w:hAnsi="Calibri" w:cs="Calibri"/>
                <w:color w:val="000000"/>
                <w:sz w:val="22"/>
                <w:szCs w:val="22"/>
              </w:rPr>
              <w:t>1.67</w:t>
            </w:r>
            <w:r w:rsidR="00590361">
              <w:rPr>
                <w:rFonts w:ascii="Calibri" w:hAnsi="Calibri" w:cs="Calibri"/>
                <w:color w:val="000000"/>
                <w:sz w:val="22"/>
                <w:szCs w:val="22"/>
              </w:rPr>
              <w:t>5</w:t>
            </w:r>
          </w:p>
        </w:tc>
        <w:tc>
          <w:tcPr>
            <w:tcW w:w="1356" w:type="dxa"/>
            <w:tcBorders>
              <w:top w:val="double" w:sz="4" w:space="0" w:color="auto"/>
            </w:tcBorders>
          </w:tcPr>
          <w:p w14:paraId="5170AA18" w14:textId="682741DD" w:rsidR="002413EC" w:rsidRPr="00FA0B4A" w:rsidRDefault="002413EC" w:rsidP="006F65CC">
            <w:pPr>
              <w:pStyle w:val="Tabletext"/>
              <w:jc w:val="center"/>
              <w:rPr>
                <w:rFonts w:cs="Calibri"/>
              </w:rPr>
            </w:pPr>
            <w:r>
              <w:rPr>
                <w:rFonts w:ascii="Calibri" w:hAnsi="Calibri" w:cs="Calibri"/>
                <w:color w:val="000000"/>
                <w:sz w:val="22"/>
                <w:szCs w:val="22"/>
              </w:rPr>
              <w:t>0.820</w:t>
            </w:r>
          </w:p>
        </w:tc>
      </w:tr>
    </w:tbl>
    <w:p w14:paraId="74293F33" w14:textId="77777777" w:rsidR="002413EC" w:rsidRDefault="002413EC" w:rsidP="00797E59">
      <w:pPr>
        <w:pStyle w:val="Caption"/>
      </w:pPr>
      <w:bookmarkStart w:id="251" w:name="_Toc21868128"/>
      <w:bookmarkStart w:id="252" w:name="_Toc21868260"/>
    </w:p>
    <w:p w14:paraId="551EEDB5" w14:textId="77777777" w:rsidR="00C66E92" w:rsidRPr="006C553E" w:rsidRDefault="00C66E92" w:rsidP="00797E59">
      <w:pPr>
        <w:pStyle w:val="Caption"/>
      </w:pPr>
      <w:bookmarkStart w:id="253" w:name="_Toc37945707"/>
      <w:r w:rsidRPr="006C553E">
        <w:t xml:space="preserve">Table </w:t>
      </w:r>
      <w:r w:rsidR="004A0156">
        <w:rPr>
          <w:noProof/>
        </w:rPr>
        <w:fldChar w:fldCharType="begin"/>
      </w:r>
      <w:r w:rsidR="004A0156">
        <w:rPr>
          <w:noProof/>
        </w:rPr>
        <w:instrText xml:space="preserve"> SEQ Table \* ARABIC </w:instrText>
      </w:r>
      <w:r w:rsidR="004A0156">
        <w:rPr>
          <w:noProof/>
        </w:rPr>
        <w:fldChar w:fldCharType="separate"/>
      </w:r>
      <w:r w:rsidR="00880CB1">
        <w:rPr>
          <w:noProof/>
        </w:rPr>
        <w:t>23</w:t>
      </w:r>
      <w:r w:rsidR="004A0156">
        <w:rPr>
          <w:noProof/>
        </w:rPr>
        <w:fldChar w:fldCharType="end"/>
      </w:r>
      <w:r w:rsidRPr="006C553E">
        <w:t xml:space="preserve"> </w:t>
      </w:r>
      <w:r w:rsidR="009E6E7F">
        <w:tab/>
      </w:r>
      <w:r w:rsidR="00995E5B">
        <w:t>Activity</w:t>
      </w:r>
      <w:r w:rsidR="00D85CB2">
        <w:t xml:space="preserve"> ID</w:t>
      </w:r>
      <w:r w:rsidR="00995E5B">
        <w:t xml:space="preserve"> 2.6(b)</w:t>
      </w:r>
      <w:r w:rsidR="00D85CB2">
        <w:t>ii</w:t>
      </w:r>
      <w:r w:rsidR="00995E5B">
        <w:t xml:space="preserve"> b</w:t>
      </w:r>
      <w:r w:rsidRPr="006C553E">
        <w:t xml:space="preserve">usiness </w:t>
      </w:r>
      <w:r w:rsidR="00EC06E9">
        <w:t>p</w:t>
      </w:r>
      <w:r w:rsidRPr="006C553E">
        <w:t xml:space="preserve">remises – </w:t>
      </w:r>
      <w:r w:rsidR="00995E5B">
        <w:t>c</w:t>
      </w:r>
      <w:r w:rsidRPr="006C553E">
        <w:t>ategory 2</w:t>
      </w:r>
      <w:bookmarkEnd w:id="251"/>
      <w:bookmarkEnd w:id="252"/>
      <w:bookmarkEnd w:id="253"/>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3501"/>
        <w:gridCol w:w="1172"/>
        <w:gridCol w:w="1344"/>
        <w:gridCol w:w="1701"/>
      </w:tblGrid>
      <w:tr w:rsidR="00EC0971" w:rsidRPr="00FA0B4A" w14:paraId="56A7F9BF" w14:textId="77777777" w:rsidTr="001568B0">
        <w:trPr>
          <w:tblHeader/>
        </w:trPr>
        <w:tc>
          <w:tcPr>
            <w:tcW w:w="1604" w:type="dxa"/>
            <w:tcBorders>
              <w:bottom w:val="double" w:sz="4" w:space="0" w:color="auto"/>
            </w:tcBorders>
          </w:tcPr>
          <w:p w14:paraId="1E9220AF" w14:textId="77777777" w:rsidR="00EC0971" w:rsidRPr="00FA0B4A" w:rsidRDefault="00EC0971" w:rsidP="00EC0971">
            <w:pPr>
              <w:pStyle w:val="Tableheader"/>
            </w:pPr>
            <w:r>
              <w:t>Pre-existing heating condition</w:t>
            </w:r>
          </w:p>
        </w:tc>
        <w:tc>
          <w:tcPr>
            <w:tcW w:w="3501" w:type="dxa"/>
            <w:tcBorders>
              <w:bottom w:val="double" w:sz="4" w:space="0" w:color="auto"/>
            </w:tcBorders>
          </w:tcPr>
          <w:p w14:paraId="66FC8A93" w14:textId="77777777" w:rsidR="00EC0971" w:rsidRPr="00FA0B4A" w:rsidRDefault="00EC0971" w:rsidP="00EC0971">
            <w:pPr>
              <w:pStyle w:val="Tableheader"/>
            </w:pPr>
            <w:r>
              <w:t>Installed product type</w:t>
            </w:r>
          </w:p>
        </w:tc>
        <w:tc>
          <w:tcPr>
            <w:tcW w:w="1172" w:type="dxa"/>
            <w:tcBorders>
              <w:bottom w:val="double" w:sz="4" w:space="0" w:color="auto"/>
            </w:tcBorders>
          </w:tcPr>
          <w:p w14:paraId="015D21AB" w14:textId="77777777" w:rsidR="00EC0971" w:rsidRPr="00FA0B4A" w:rsidRDefault="00EC0971" w:rsidP="00EC0971">
            <w:pPr>
              <w:pStyle w:val="Tableheader"/>
            </w:pPr>
            <w:r w:rsidRPr="00FA0B4A">
              <w:t>Base Efficiency (</w:t>
            </w:r>
            <w:r w:rsidRPr="00FA0B4A">
              <w:rPr>
                <w:i/>
              </w:rPr>
              <w:t>Baseline</w:t>
            </w:r>
            <w:r w:rsidRPr="00FA0B4A">
              <w:t>)</w:t>
            </w:r>
            <w:r w:rsidRPr="00FA0B4A">
              <w:br/>
              <w:t>ACOP</w:t>
            </w:r>
          </w:p>
        </w:tc>
        <w:tc>
          <w:tcPr>
            <w:tcW w:w="1344" w:type="dxa"/>
            <w:tcBorders>
              <w:bottom w:val="double" w:sz="4" w:space="0" w:color="auto"/>
            </w:tcBorders>
          </w:tcPr>
          <w:p w14:paraId="6CE13EB0" w14:textId="3AD5A0E3" w:rsidR="00EC0971" w:rsidRPr="00FA0B4A" w:rsidRDefault="00EC0971" w:rsidP="00EC0971">
            <w:pPr>
              <w:pStyle w:val="Tableheader"/>
            </w:pPr>
            <w:r w:rsidRPr="00FA0B4A">
              <w:t xml:space="preserve">Fixed </w:t>
            </w:r>
            <w:r>
              <w:t xml:space="preserve">Energy Savings </w:t>
            </w:r>
            <w:r w:rsidRPr="00FA0B4A">
              <w:t xml:space="preserve"> (</w:t>
            </w:r>
            <w:r>
              <w:t>ESF</w:t>
            </w:r>
            <w:r w:rsidRPr="00FA0B4A">
              <w:rPr>
                <w:vertAlign w:val="subscript"/>
              </w:rPr>
              <w:t>fixed</w:t>
            </w:r>
            <w:r w:rsidRPr="00FA0B4A">
              <w:t xml:space="preserve">) </w:t>
            </w:r>
            <w:r w:rsidRPr="00FA0B4A">
              <w:br/>
            </w:r>
            <w:r>
              <w:t>MWh</w:t>
            </w:r>
          </w:p>
        </w:tc>
        <w:tc>
          <w:tcPr>
            <w:tcW w:w="1701" w:type="dxa"/>
            <w:tcBorders>
              <w:bottom w:val="double" w:sz="4" w:space="0" w:color="auto"/>
            </w:tcBorders>
          </w:tcPr>
          <w:p w14:paraId="74CA4392" w14:textId="77777777" w:rsidR="00EC0971" w:rsidRDefault="00EC0971" w:rsidP="00EC0971">
            <w:pPr>
              <w:pStyle w:val="Tableheader"/>
            </w:pPr>
            <w:r w:rsidRPr="00FA0B4A">
              <w:t xml:space="preserve">Variable </w:t>
            </w:r>
            <w:r>
              <w:t xml:space="preserve">Energy Savings </w:t>
            </w:r>
            <w:r w:rsidRPr="00FA0B4A">
              <w:t xml:space="preserve"> </w:t>
            </w:r>
          </w:p>
          <w:p w14:paraId="182ECE2B" w14:textId="6DD0C77E" w:rsidR="00EC0971" w:rsidRPr="00FA0B4A" w:rsidRDefault="00EC0971" w:rsidP="00EC0971">
            <w:pPr>
              <w:pStyle w:val="Tableheader"/>
            </w:pPr>
            <w:r w:rsidRPr="00FA0B4A">
              <w:t>(</w:t>
            </w:r>
            <w:r>
              <w:t>ESF</w:t>
            </w:r>
            <w:r w:rsidRPr="00FA0B4A">
              <w:rPr>
                <w:vertAlign w:val="subscript"/>
              </w:rPr>
              <w:t>var</w:t>
            </w:r>
            <w:r w:rsidRPr="00FA0B4A">
              <w:t>)</w:t>
            </w:r>
            <w:r w:rsidRPr="00FA0B4A">
              <w:br/>
            </w:r>
            <w:r>
              <w:t>MWh</w:t>
            </w:r>
            <w:r w:rsidRPr="00FA0B4A">
              <w:t>/kW</w:t>
            </w:r>
          </w:p>
        </w:tc>
      </w:tr>
      <w:tr w:rsidR="002413EC" w:rsidRPr="00FA0B4A" w14:paraId="1932F540" w14:textId="77777777" w:rsidTr="0064760C">
        <w:tc>
          <w:tcPr>
            <w:tcW w:w="1604" w:type="dxa"/>
            <w:tcBorders>
              <w:top w:val="double" w:sz="4" w:space="0" w:color="auto"/>
            </w:tcBorders>
          </w:tcPr>
          <w:p w14:paraId="05250216" w14:textId="77777777" w:rsidR="002413EC" w:rsidRPr="008C5221" w:rsidRDefault="002413EC" w:rsidP="002413EC">
            <w:pPr>
              <w:pStyle w:val="Tabletext"/>
              <w:ind w:left="284" w:hanging="284"/>
              <w:rPr>
                <w:rFonts w:cs="Calibri"/>
              </w:rPr>
            </w:pPr>
            <w:r w:rsidRPr="008C5221">
              <w:rPr>
                <w:rFonts w:cs="Calibri"/>
              </w:rPr>
              <w:t xml:space="preserve">(1) </w:t>
            </w:r>
            <w:r w:rsidRPr="008C5221">
              <w:t>Qualifying fixed electric systems</w:t>
            </w:r>
            <w:r>
              <w:t xml:space="preserve"> </w:t>
            </w:r>
          </w:p>
          <w:p w14:paraId="77CDB678" w14:textId="77777777" w:rsidR="002413EC" w:rsidRPr="00FA0B4A" w:rsidRDefault="002413EC" w:rsidP="002413EC">
            <w:pPr>
              <w:pStyle w:val="Tabletext"/>
              <w:rPr>
                <w:rFonts w:cs="Calibri"/>
              </w:rPr>
            </w:pPr>
          </w:p>
        </w:tc>
        <w:tc>
          <w:tcPr>
            <w:tcW w:w="3501" w:type="dxa"/>
            <w:tcBorders>
              <w:top w:val="double" w:sz="4" w:space="0" w:color="auto"/>
            </w:tcBorders>
          </w:tcPr>
          <w:p w14:paraId="29DE0771" w14:textId="77777777" w:rsidR="002413EC" w:rsidRPr="00FA0B4A" w:rsidRDefault="002413EC" w:rsidP="002413EC">
            <w:pPr>
              <w:pStyle w:val="Tabletext"/>
              <w:ind w:left="433" w:hanging="433"/>
              <w:rPr>
                <w:rFonts w:cs="Calibri"/>
              </w:rPr>
            </w:pPr>
            <w:r>
              <w:rPr>
                <w:rFonts w:cs="Calibri"/>
              </w:rPr>
              <w:t xml:space="preserve">(a) </w:t>
            </w:r>
            <w:r>
              <w:rPr>
                <w:rFonts w:cs="Calibri"/>
              </w:rPr>
              <w:tab/>
            </w:r>
            <w:r w:rsidRPr="004F1AA5">
              <w:rPr>
                <w:rFonts w:cs="Calibri"/>
              </w:rPr>
              <w:t>High efficiency room heat pump</w:t>
            </w:r>
            <w:r>
              <w:rPr>
                <w:rFonts w:cs="Calibri"/>
              </w:rPr>
              <w:t xml:space="preserve"> or </w:t>
            </w:r>
            <w:r w:rsidRPr="0014717E">
              <w:rPr>
                <w:rFonts w:cs="Calibri"/>
              </w:rPr>
              <w:t>central non-ducted heat pump</w:t>
            </w:r>
          </w:p>
        </w:tc>
        <w:tc>
          <w:tcPr>
            <w:tcW w:w="1172" w:type="dxa"/>
            <w:tcBorders>
              <w:top w:val="double" w:sz="4" w:space="0" w:color="auto"/>
            </w:tcBorders>
          </w:tcPr>
          <w:p w14:paraId="45D0389E" w14:textId="77777777" w:rsidR="002413EC" w:rsidRPr="00FA0B4A" w:rsidRDefault="002413EC" w:rsidP="002413EC">
            <w:pPr>
              <w:pStyle w:val="Tabletext"/>
              <w:jc w:val="center"/>
              <w:rPr>
                <w:rFonts w:cs="Calibri"/>
              </w:rPr>
            </w:pPr>
            <w:r w:rsidRPr="00FA0B4A">
              <w:rPr>
                <w:rFonts w:cs="Calibri"/>
              </w:rPr>
              <w:t>3.7</w:t>
            </w:r>
          </w:p>
        </w:tc>
        <w:tc>
          <w:tcPr>
            <w:tcW w:w="1344" w:type="dxa"/>
            <w:tcBorders>
              <w:top w:val="double" w:sz="4" w:space="0" w:color="auto"/>
            </w:tcBorders>
          </w:tcPr>
          <w:p w14:paraId="6018D293" w14:textId="645A954B" w:rsidR="002413EC" w:rsidRPr="00FA0B4A" w:rsidRDefault="002413EC" w:rsidP="002413EC">
            <w:pPr>
              <w:pStyle w:val="Tabletext"/>
              <w:jc w:val="center"/>
              <w:rPr>
                <w:rFonts w:cs="Calibri"/>
              </w:rPr>
            </w:pPr>
            <w:r w:rsidRPr="00FA0B4A">
              <w:rPr>
                <w:rFonts w:cs="Calibri"/>
              </w:rPr>
              <w:t>0.00</w:t>
            </w:r>
            <w:r w:rsidR="00590361">
              <w:rPr>
                <w:rFonts w:cs="Calibri"/>
              </w:rPr>
              <w:t>0</w:t>
            </w:r>
          </w:p>
        </w:tc>
        <w:tc>
          <w:tcPr>
            <w:tcW w:w="1701" w:type="dxa"/>
            <w:tcBorders>
              <w:top w:val="double" w:sz="4" w:space="0" w:color="auto"/>
            </w:tcBorders>
          </w:tcPr>
          <w:p w14:paraId="33532EB0" w14:textId="7D821465" w:rsidR="002413EC" w:rsidRPr="00FA0B4A" w:rsidRDefault="002413EC" w:rsidP="006F65CC">
            <w:pPr>
              <w:pStyle w:val="Tabletext"/>
              <w:jc w:val="center"/>
              <w:rPr>
                <w:rFonts w:cs="Calibri"/>
              </w:rPr>
            </w:pPr>
            <w:r w:rsidRPr="0064760C">
              <w:rPr>
                <w:rFonts w:cs="Calibri"/>
              </w:rPr>
              <w:t>0.686</w:t>
            </w:r>
          </w:p>
        </w:tc>
      </w:tr>
      <w:tr w:rsidR="002413EC" w:rsidRPr="00FA0B4A" w14:paraId="323257D9" w14:textId="77777777" w:rsidTr="0064760C">
        <w:tc>
          <w:tcPr>
            <w:tcW w:w="1604" w:type="dxa"/>
            <w:tcBorders>
              <w:top w:val="double" w:sz="4" w:space="0" w:color="auto"/>
            </w:tcBorders>
          </w:tcPr>
          <w:p w14:paraId="52F74D86" w14:textId="77777777" w:rsidR="002413EC" w:rsidRPr="00FA0B4A" w:rsidRDefault="002413EC" w:rsidP="002413EC">
            <w:pPr>
              <w:pStyle w:val="Tabletext"/>
              <w:ind w:left="284" w:hanging="284"/>
              <w:rPr>
                <w:rFonts w:cs="Calibri"/>
              </w:rPr>
            </w:pPr>
            <w:r w:rsidRPr="00F4786A">
              <w:rPr>
                <w:rFonts w:cs="Calibri"/>
              </w:rPr>
              <w:t>(2)</w:t>
            </w:r>
            <w:r>
              <w:rPr>
                <w:rFonts w:cs="Calibri"/>
              </w:rPr>
              <w:t xml:space="preserve"> </w:t>
            </w:r>
            <w:r w:rsidRPr="00F4786A">
              <w:rPr>
                <w:rFonts w:cs="Calibri"/>
              </w:rPr>
              <w:t>Qualifying fixed gas heater and electric cooler</w:t>
            </w:r>
          </w:p>
        </w:tc>
        <w:tc>
          <w:tcPr>
            <w:tcW w:w="3501" w:type="dxa"/>
            <w:tcBorders>
              <w:top w:val="double" w:sz="4" w:space="0" w:color="auto"/>
            </w:tcBorders>
          </w:tcPr>
          <w:p w14:paraId="7465ED23" w14:textId="77777777" w:rsidR="002413EC" w:rsidRPr="00372D14" w:rsidRDefault="002413EC" w:rsidP="002413EC">
            <w:pPr>
              <w:pStyle w:val="Tabletext"/>
              <w:ind w:left="433" w:hanging="433"/>
              <w:rPr>
                <w:rFonts w:cs="Calibri"/>
              </w:rPr>
            </w:pPr>
            <w:r>
              <w:rPr>
                <w:rFonts w:cs="Calibri"/>
              </w:rPr>
              <w:t xml:space="preserve">(a) </w:t>
            </w:r>
            <w:r>
              <w:rPr>
                <w:rFonts w:cs="Calibri"/>
              </w:rPr>
              <w:tab/>
            </w:r>
            <w:r w:rsidRPr="004F1AA5">
              <w:rPr>
                <w:rFonts w:cs="Calibri"/>
              </w:rPr>
              <w:t>High efficiency room heat pump</w:t>
            </w:r>
            <w:r>
              <w:rPr>
                <w:rFonts w:cs="Calibri"/>
              </w:rPr>
              <w:t xml:space="preserve"> or </w:t>
            </w:r>
            <w:r w:rsidRPr="0014717E">
              <w:rPr>
                <w:rFonts w:cs="Calibri"/>
              </w:rPr>
              <w:t>central non-ducted heat pump</w:t>
            </w:r>
          </w:p>
        </w:tc>
        <w:tc>
          <w:tcPr>
            <w:tcW w:w="1172" w:type="dxa"/>
            <w:tcBorders>
              <w:top w:val="double" w:sz="4" w:space="0" w:color="auto"/>
            </w:tcBorders>
          </w:tcPr>
          <w:p w14:paraId="0547414B" w14:textId="77777777" w:rsidR="002413EC" w:rsidRPr="00FA0B4A" w:rsidRDefault="002413EC" w:rsidP="002413EC">
            <w:pPr>
              <w:pStyle w:val="Tabletext"/>
              <w:jc w:val="center"/>
              <w:rPr>
                <w:rFonts w:cs="Calibri"/>
              </w:rPr>
            </w:pPr>
            <w:r w:rsidRPr="00FA0B4A">
              <w:rPr>
                <w:rFonts w:cs="Calibri"/>
              </w:rPr>
              <w:t>3.7</w:t>
            </w:r>
          </w:p>
        </w:tc>
        <w:tc>
          <w:tcPr>
            <w:tcW w:w="1344" w:type="dxa"/>
            <w:tcBorders>
              <w:top w:val="double" w:sz="4" w:space="0" w:color="auto"/>
            </w:tcBorders>
          </w:tcPr>
          <w:p w14:paraId="19A08B2D" w14:textId="02556EFD" w:rsidR="002413EC" w:rsidRPr="00FA0B4A" w:rsidRDefault="002413EC" w:rsidP="002413EC">
            <w:pPr>
              <w:pStyle w:val="Tabletext"/>
              <w:jc w:val="center"/>
              <w:rPr>
                <w:rFonts w:cs="Calibri"/>
              </w:rPr>
            </w:pPr>
            <w:r>
              <w:rPr>
                <w:rFonts w:cs="Calibri"/>
              </w:rPr>
              <w:t>9.38</w:t>
            </w:r>
            <w:r w:rsidR="00590361">
              <w:rPr>
                <w:rFonts w:cs="Calibri"/>
              </w:rPr>
              <w:t>5</w:t>
            </w:r>
          </w:p>
        </w:tc>
        <w:tc>
          <w:tcPr>
            <w:tcW w:w="1701" w:type="dxa"/>
            <w:tcBorders>
              <w:top w:val="double" w:sz="4" w:space="0" w:color="auto"/>
            </w:tcBorders>
          </w:tcPr>
          <w:p w14:paraId="3F080847" w14:textId="228FA2F9" w:rsidR="002413EC" w:rsidRPr="00FA0B4A" w:rsidRDefault="002413EC" w:rsidP="006F65CC">
            <w:pPr>
              <w:pStyle w:val="Tabletext"/>
              <w:jc w:val="center"/>
              <w:rPr>
                <w:rFonts w:cs="Calibri"/>
              </w:rPr>
            </w:pPr>
            <w:r w:rsidRPr="0064760C">
              <w:rPr>
                <w:rFonts w:cs="Calibri"/>
              </w:rPr>
              <w:t>0.686</w:t>
            </w:r>
          </w:p>
        </w:tc>
      </w:tr>
    </w:tbl>
    <w:p w14:paraId="5060E152" w14:textId="77777777" w:rsidR="00C66E92" w:rsidRPr="006C553E" w:rsidRDefault="00C66E92" w:rsidP="00797E59">
      <w:pPr>
        <w:pStyle w:val="Caption"/>
      </w:pPr>
      <w:bookmarkStart w:id="254" w:name="_Toc37945708"/>
      <w:bookmarkStart w:id="255" w:name="_Toc21868129"/>
      <w:bookmarkStart w:id="256" w:name="_Toc21868261"/>
      <w:r w:rsidRPr="006C553E">
        <w:t xml:space="preserve">Table </w:t>
      </w:r>
      <w:r w:rsidR="004A0156">
        <w:rPr>
          <w:noProof/>
        </w:rPr>
        <w:fldChar w:fldCharType="begin"/>
      </w:r>
      <w:r w:rsidR="004A0156">
        <w:rPr>
          <w:noProof/>
        </w:rPr>
        <w:instrText xml:space="preserve"> SEQ Table \* ARABIC </w:instrText>
      </w:r>
      <w:r w:rsidR="004A0156">
        <w:rPr>
          <w:noProof/>
        </w:rPr>
        <w:fldChar w:fldCharType="separate"/>
      </w:r>
      <w:r w:rsidR="00880CB1">
        <w:rPr>
          <w:noProof/>
        </w:rPr>
        <w:t>24</w:t>
      </w:r>
      <w:r w:rsidR="004A0156">
        <w:rPr>
          <w:noProof/>
        </w:rPr>
        <w:fldChar w:fldCharType="end"/>
      </w:r>
      <w:r w:rsidRPr="006C553E">
        <w:t xml:space="preserve"> </w:t>
      </w:r>
      <w:r w:rsidR="009E6E7F">
        <w:tab/>
      </w:r>
      <w:r w:rsidR="00995E5B">
        <w:t xml:space="preserve">Activity </w:t>
      </w:r>
      <w:r w:rsidR="00D85CB2">
        <w:t xml:space="preserve">ID </w:t>
      </w:r>
      <w:r w:rsidR="00995E5B">
        <w:t>2.6(b)</w:t>
      </w:r>
      <w:r w:rsidR="00D85CB2">
        <w:t>iii</w:t>
      </w:r>
      <w:r w:rsidR="00995E5B">
        <w:t xml:space="preserve"> b</w:t>
      </w:r>
      <w:r w:rsidRPr="006C553E">
        <w:t xml:space="preserve">usiness </w:t>
      </w:r>
      <w:r w:rsidR="00EC06E9">
        <w:t>p</w:t>
      </w:r>
      <w:r w:rsidRPr="006C553E">
        <w:t xml:space="preserve">remises – </w:t>
      </w:r>
      <w:r w:rsidR="00995E5B">
        <w:t>c</w:t>
      </w:r>
      <w:r w:rsidRPr="006C553E">
        <w:t>ategory 3</w:t>
      </w:r>
      <w:bookmarkEnd w:id="254"/>
      <w:r w:rsidR="00EC06E9">
        <w:t xml:space="preserve"> </w:t>
      </w:r>
      <w:bookmarkEnd w:id="255"/>
      <w:bookmarkEnd w:id="256"/>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3505"/>
        <w:gridCol w:w="1172"/>
        <w:gridCol w:w="1344"/>
        <w:gridCol w:w="1701"/>
      </w:tblGrid>
      <w:tr w:rsidR="00EC0971" w:rsidRPr="00FA0B4A" w14:paraId="552B37D8" w14:textId="77777777" w:rsidTr="0064760C">
        <w:trPr>
          <w:tblHeader/>
        </w:trPr>
        <w:tc>
          <w:tcPr>
            <w:tcW w:w="1600" w:type="dxa"/>
            <w:tcBorders>
              <w:bottom w:val="double" w:sz="4" w:space="0" w:color="auto"/>
            </w:tcBorders>
          </w:tcPr>
          <w:p w14:paraId="2FB0D730" w14:textId="77777777" w:rsidR="00EC0971" w:rsidRPr="00FA0B4A" w:rsidRDefault="00EC0971" w:rsidP="00EC0971">
            <w:pPr>
              <w:pStyle w:val="Tableheader"/>
            </w:pPr>
            <w:r>
              <w:t>Pre-existing heating condition</w:t>
            </w:r>
          </w:p>
        </w:tc>
        <w:tc>
          <w:tcPr>
            <w:tcW w:w="3505" w:type="dxa"/>
            <w:tcBorders>
              <w:bottom w:val="double" w:sz="4" w:space="0" w:color="auto"/>
            </w:tcBorders>
          </w:tcPr>
          <w:p w14:paraId="2E3C2275" w14:textId="77777777" w:rsidR="00EC0971" w:rsidRPr="00FA0B4A" w:rsidRDefault="00EC0971" w:rsidP="00EC0971">
            <w:pPr>
              <w:pStyle w:val="Tableheader"/>
            </w:pPr>
            <w:r>
              <w:t>Installed product type</w:t>
            </w:r>
          </w:p>
        </w:tc>
        <w:tc>
          <w:tcPr>
            <w:tcW w:w="1172" w:type="dxa"/>
            <w:tcBorders>
              <w:bottom w:val="double" w:sz="4" w:space="0" w:color="auto"/>
            </w:tcBorders>
          </w:tcPr>
          <w:p w14:paraId="5402AA0F" w14:textId="77777777" w:rsidR="00EC0971" w:rsidRPr="00FA0B4A" w:rsidRDefault="00EC0971" w:rsidP="00EC0971">
            <w:pPr>
              <w:pStyle w:val="Tableheader"/>
            </w:pPr>
            <w:r w:rsidRPr="00FA0B4A">
              <w:t>Base Efficiency (</w:t>
            </w:r>
            <w:r w:rsidRPr="00FA0B4A">
              <w:rPr>
                <w:i/>
              </w:rPr>
              <w:t>Baseline</w:t>
            </w:r>
            <w:r w:rsidRPr="00FA0B4A">
              <w:t>)</w:t>
            </w:r>
            <w:r w:rsidRPr="00FA0B4A">
              <w:br/>
              <w:t>ACOP</w:t>
            </w:r>
          </w:p>
        </w:tc>
        <w:tc>
          <w:tcPr>
            <w:tcW w:w="1344" w:type="dxa"/>
            <w:tcBorders>
              <w:bottom w:val="double" w:sz="4" w:space="0" w:color="auto"/>
            </w:tcBorders>
          </w:tcPr>
          <w:p w14:paraId="0542ED33" w14:textId="4BA447E7" w:rsidR="00EC0971" w:rsidRPr="00FA0B4A" w:rsidRDefault="00EC0971" w:rsidP="00EC0971">
            <w:pPr>
              <w:pStyle w:val="Tableheader"/>
            </w:pPr>
            <w:r w:rsidRPr="00FA0B4A">
              <w:t xml:space="preserve">Fixed </w:t>
            </w:r>
            <w:r>
              <w:t xml:space="preserve">Energy Savings </w:t>
            </w:r>
            <w:r w:rsidRPr="00FA0B4A">
              <w:t xml:space="preserve"> (</w:t>
            </w:r>
            <w:r>
              <w:t>ESF</w:t>
            </w:r>
            <w:r w:rsidRPr="00FA0B4A">
              <w:rPr>
                <w:vertAlign w:val="subscript"/>
              </w:rPr>
              <w:t>fixed</w:t>
            </w:r>
            <w:r w:rsidRPr="00FA0B4A">
              <w:t xml:space="preserve">) </w:t>
            </w:r>
            <w:r w:rsidRPr="00FA0B4A">
              <w:br/>
            </w:r>
            <w:r>
              <w:t>MWh</w:t>
            </w:r>
          </w:p>
        </w:tc>
        <w:tc>
          <w:tcPr>
            <w:tcW w:w="1701" w:type="dxa"/>
            <w:tcBorders>
              <w:bottom w:val="double" w:sz="4" w:space="0" w:color="auto"/>
            </w:tcBorders>
          </w:tcPr>
          <w:p w14:paraId="739278A5" w14:textId="79A0A88E" w:rsidR="00EC0971" w:rsidRPr="00FA0B4A" w:rsidRDefault="00EC0971" w:rsidP="00EC0971">
            <w:pPr>
              <w:pStyle w:val="Tableheader"/>
            </w:pPr>
            <w:r w:rsidRPr="00FA0B4A">
              <w:t xml:space="preserve">Variable </w:t>
            </w:r>
            <w:r>
              <w:t xml:space="preserve">Energy Savings </w:t>
            </w:r>
            <w:r w:rsidRPr="00FA0B4A">
              <w:t xml:space="preserve"> (</w:t>
            </w:r>
            <w:r>
              <w:t>ESF</w:t>
            </w:r>
            <w:r w:rsidRPr="00FA0B4A">
              <w:rPr>
                <w:vertAlign w:val="subscript"/>
              </w:rPr>
              <w:t>var</w:t>
            </w:r>
            <w:r w:rsidRPr="00FA0B4A">
              <w:t>)</w:t>
            </w:r>
            <w:r w:rsidRPr="00FA0B4A">
              <w:br/>
            </w:r>
            <w:r>
              <w:t>MWh</w:t>
            </w:r>
            <w:r w:rsidRPr="00FA0B4A">
              <w:t>/kW</w:t>
            </w:r>
          </w:p>
        </w:tc>
      </w:tr>
      <w:tr w:rsidR="00C66E92" w:rsidRPr="00FA0B4A" w14:paraId="3F303571" w14:textId="77777777" w:rsidTr="0064760C">
        <w:tc>
          <w:tcPr>
            <w:tcW w:w="1600" w:type="dxa"/>
            <w:tcBorders>
              <w:top w:val="double" w:sz="4" w:space="0" w:color="auto"/>
            </w:tcBorders>
          </w:tcPr>
          <w:p w14:paraId="760A3481" w14:textId="77777777" w:rsidR="00C66E92" w:rsidRPr="008C5221" w:rsidRDefault="00C66E92" w:rsidP="00995E5B">
            <w:pPr>
              <w:pStyle w:val="Tabletext"/>
              <w:ind w:left="284" w:hanging="284"/>
              <w:rPr>
                <w:rFonts w:cs="Calibri"/>
              </w:rPr>
            </w:pPr>
            <w:r w:rsidRPr="008C5221">
              <w:rPr>
                <w:rFonts w:cs="Calibri"/>
              </w:rPr>
              <w:t xml:space="preserve">(1) </w:t>
            </w:r>
            <w:r w:rsidRPr="00995E5B">
              <w:rPr>
                <w:rFonts w:cs="Calibri"/>
              </w:rPr>
              <w:t>Qualifying</w:t>
            </w:r>
            <w:r w:rsidRPr="008C5221">
              <w:t xml:space="preserve"> fixed electric systems</w:t>
            </w:r>
            <w:r>
              <w:t xml:space="preserve"> </w:t>
            </w:r>
          </w:p>
          <w:p w14:paraId="008D2D4E" w14:textId="77777777" w:rsidR="00C66E92" w:rsidRPr="00FA0B4A" w:rsidRDefault="00C66E92" w:rsidP="00797E59">
            <w:pPr>
              <w:pStyle w:val="Tabletext"/>
              <w:rPr>
                <w:rFonts w:cs="Calibri"/>
              </w:rPr>
            </w:pPr>
          </w:p>
        </w:tc>
        <w:tc>
          <w:tcPr>
            <w:tcW w:w="3505" w:type="dxa"/>
            <w:tcBorders>
              <w:top w:val="double" w:sz="4" w:space="0" w:color="auto"/>
            </w:tcBorders>
          </w:tcPr>
          <w:p w14:paraId="430FC74D" w14:textId="77777777" w:rsidR="00C66E92" w:rsidRPr="00FA0B4A" w:rsidRDefault="00C66E92" w:rsidP="003726AC">
            <w:pPr>
              <w:pStyle w:val="Tabletext"/>
              <w:ind w:left="433" w:hanging="433"/>
              <w:rPr>
                <w:rFonts w:cs="Calibri"/>
              </w:rPr>
            </w:pPr>
            <w:r>
              <w:rPr>
                <w:rFonts w:cs="Calibri"/>
              </w:rPr>
              <w:t xml:space="preserve">(a) </w:t>
            </w:r>
            <w:r w:rsidR="003726AC">
              <w:rPr>
                <w:rFonts w:cs="Calibri"/>
              </w:rPr>
              <w:tab/>
            </w:r>
            <w:r w:rsidRPr="004F1AA5">
              <w:rPr>
                <w:rFonts w:cs="Calibri"/>
              </w:rPr>
              <w:t>High efficiency room heat pump</w:t>
            </w:r>
            <w:r>
              <w:rPr>
                <w:rFonts w:cs="Calibri"/>
              </w:rPr>
              <w:t xml:space="preserve"> or </w:t>
            </w:r>
            <w:r w:rsidRPr="0014717E">
              <w:rPr>
                <w:rFonts w:cs="Calibri"/>
              </w:rPr>
              <w:t>central non-ducted heat pump</w:t>
            </w:r>
          </w:p>
        </w:tc>
        <w:tc>
          <w:tcPr>
            <w:tcW w:w="1172" w:type="dxa"/>
            <w:tcBorders>
              <w:top w:val="double" w:sz="4" w:space="0" w:color="auto"/>
            </w:tcBorders>
          </w:tcPr>
          <w:p w14:paraId="4F5DB721" w14:textId="77777777" w:rsidR="00C66E92" w:rsidRPr="00FA0B4A" w:rsidRDefault="00C66E92" w:rsidP="003726AC">
            <w:pPr>
              <w:pStyle w:val="Tabletext"/>
              <w:jc w:val="center"/>
              <w:rPr>
                <w:rFonts w:cs="Calibri"/>
              </w:rPr>
            </w:pPr>
            <w:r w:rsidRPr="00FA0B4A">
              <w:rPr>
                <w:rFonts w:cs="Calibri"/>
              </w:rPr>
              <w:t>3.7</w:t>
            </w:r>
          </w:p>
        </w:tc>
        <w:tc>
          <w:tcPr>
            <w:tcW w:w="1344" w:type="dxa"/>
            <w:tcBorders>
              <w:top w:val="double" w:sz="4" w:space="0" w:color="auto"/>
            </w:tcBorders>
          </w:tcPr>
          <w:p w14:paraId="59475058" w14:textId="35677FE4" w:rsidR="00C66E92" w:rsidRPr="00FA0B4A" w:rsidRDefault="00C66E92" w:rsidP="003726AC">
            <w:pPr>
              <w:pStyle w:val="Tabletext"/>
              <w:jc w:val="center"/>
              <w:rPr>
                <w:rFonts w:cs="Calibri"/>
              </w:rPr>
            </w:pPr>
            <w:r w:rsidRPr="00FA0B4A">
              <w:rPr>
                <w:rFonts w:cs="Calibri"/>
              </w:rPr>
              <w:t>0.00</w:t>
            </w:r>
            <w:r w:rsidR="00590361">
              <w:rPr>
                <w:rFonts w:cs="Calibri"/>
              </w:rPr>
              <w:t>1</w:t>
            </w:r>
          </w:p>
        </w:tc>
        <w:tc>
          <w:tcPr>
            <w:tcW w:w="1701" w:type="dxa"/>
            <w:tcBorders>
              <w:top w:val="double" w:sz="4" w:space="0" w:color="auto"/>
            </w:tcBorders>
          </w:tcPr>
          <w:p w14:paraId="1FE21444" w14:textId="236F5590" w:rsidR="00C66E92" w:rsidRPr="00FA0B4A" w:rsidRDefault="002413EC" w:rsidP="003726AC">
            <w:pPr>
              <w:pStyle w:val="Tabletext"/>
              <w:jc w:val="center"/>
              <w:rPr>
                <w:rFonts w:cs="Calibri"/>
              </w:rPr>
            </w:pPr>
            <w:r>
              <w:rPr>
                <w:rFonts w:cs="Calibri"/>
              </w:rPr>
              <w:t>0.753</w:t>
            </w:r>
          </w:p>
        </w:tc>
      </w:tr>
      <w:tr w:rsidR="00C66E92" w:rsidRPr="00FA0B4A" w14:paraId="196B3014" w14:textId="77777777" w:rsidTr="0064760C">
        <w:tc>
          <w:tcPr>
            <w:tcW w:w="1600" w:type="dxa"/>
            <w:tcBorders>
              <w:top w:val="double" w:sz="4" w:space="0" w:color="auto"/>
            </w:tcBorders>
          </w:tcPr>
          <w:p w14:paraId="377F077E" w14:textId="77777777" w:rsidR="00C66E92" w:rsidRPr="00FA0B4A" w:rsidRDefault="00C66E92" w:rsidP="00995E5B">
            <w:pPr>
              <w:pStyle w:val="Tabletext"/>
              <w:ind w:left="284" w:hanging="284"/>
              <w:rPr>
                <w:rFonts w:cs="Calibri"/>
              </w:rPr>
            </w:pPr>
            <w:r w:rsidRPr="00F4786A">
              <w:rPr>
                <w:rFonts w:cs="Calibri"/>
              </w:rPr>
              <w:t>(2)</w:t>
            </w:r>
            <w:r>
              <w:rPr>
                <w:rFonts w:cs="Calibri"/>
              </w:rPr>
              <w:t xml:space="preserve"> </w:t>
            </w:r>
            <w:r w:rsidRPr="00F4786A">
              <w:rPr>
                <w:rFonts w:cs="Calibri"/>
              </w:rPr>
              <w:t>Qualifying fixed gas heater and electric cooler</w:t>
            </w:r>
          </w:p>
        </w:tc>
        <w:tc>
          <w:tcPr>
            <w:tcW w:w="3505" w:type="dxa"/>
            <w:tcBorders>
              <w:top w:val="double" w:sz="4" w:space="0" w:color="auto"/>
            </w:tcBorders>
          </w:tcPr>
          <w:p w14:paraId="1F4F45A4" w14:textId="77777777" w:rsidR="00C66E92" w:rsidRPr="00FA0B4A" w:rsidRDefault="00C66E92" w:rsidP="003726AC">
            <w:pPr>
              <w:pStyle w:val="Tabletext"/>
              <w:ind w:left="433" w:hanging="433"/>
              <w:rPr>
                <w:rFonts w:cs="Calibri"/>
              </w:rPr>
            </w:pPr>
            <w:r>
              <w:rPr>
                <w:rFonts w:cs="Calibri"/>
              </w:rPr>
              <w:t xml:space="preserve">(a) </w:t>
            </w:r>
            <w:r w:rsidR="003726AC">
              <w:rPr>
                <w:rFonts w:cs="Calibri"/>
              </w:rPr>
              <w:tab/>
            </w:r>
            <w:r w:rsidRPr="004F1AA5">
              <w:rPr>
                <w:rFonts w:cs="Calibri"/>
              </w:rPr>
              <w:t>High efficiency room heat pump</w:t>
            </w:r>
            <w:r>
              <w:rPr>
                <w:rFonts w:cs="Calibri"/>
              </w:rPr>
              <w:t xml:space="preserve"> or </w:t>
            </w:r>
            <w:r w:rsidRPr="0014717E">
              <w:rPr>
                <w:rFonts w:cs="Calibri"/>
              </w:rPr>
              <w:t>central non-ducted heat pump</w:t>
            </w:r>
          </w:p>
        </w:tc>
        <w:tc>
          <w:tcPr>
            <w:tcW w:w="1172" w:type="dxa"/>
            <w:tcBorders>
              <w:top w:val="double" w:sz="4" w:space="0" w:color="auto"/>
            </w:tcBorders>
          </w:tcPr>
          <w:p w14:paraId="3F2F6863" w14:textId="77777777" w:rsidR="00C66E92" w:rsidRPr="00FA0B4A" w:rsidRDefault="00C66E92" w:rsidP="003726AC">
            <w:pPr>
              <w:pStyle w:val="Tabletext"/>
              <w:jc w:val="center"/>
              <w:rPr>
                <w:rFonts w:cs="Calibri"/>
              </w:rPr>
            </w:pPr>
            <w:r w:rsidRPr="00FA0B4A">
              <w:rPr>
                <w:rFonts w:cs="Calibri"/>
              </w:rPr>
              <w:t>3.7</w:t>
            </w:r>
          </w:p>
        </w:tc>
        <w:tc>
          <w:tcPr>
            <w:tcW w:w="1344" w:type="dxa"/>
            <w:tcBorders>
              <w:top w:val="double" w:sz="4" w:space="0" w:color="auto"/>
            </w:tcBorders>
          </w:tcPr>
          <w:p w14:paraId="18C48691" w14:textId="01322BA4" w:rsidR="00C66E92" w:rsidRPr="00FA0B4A" w:rsidRDefault="002413EC" w:rsidP="003726AC">
            <w:pPr>
              <w:pStyle w:val="Tabletext"/>
              <w:jc w:val="center"/>
              <w:rPr>
                <w:rFonts w:cs="Calibri"/>
              </w:rPr>
            </w:pPr>
            <w:r>
              <w:rPr>
                <w:rFonts w:cs="Calibri"/>
              </w:rPr>
              <w:t>5.53</w:t>
            </w:r>
            <w:r w:rsidR="00590361">
              <w:rPr>
                <w:rFonts w:cs="Calibri"/>
              </w:rPr>
              <w:t>0</w:t>
            </w:r>
          </w:p>
        </w:tc>
        <w:tc>
          <w:tcPr>
            <w:tcW w:w="1701" w:type="dxa"/>
            <w:tcBorders>
              <w:top w:val="double" w:sz="4" w:space="0" w:color="auto"/>
            </w:tcBorders>
          </w:tcPr>
          <w:p w14:paraId="466B3208" w14:textId="7CC0DA23" w:rsidR="00C66E92" w:rsidRPr="00FA0B4A" w:rsidRDefault="002413EC" w:rsidP="003726AC">
            <w:pPr>
              <w:pStyle w:val="Tabletext"/>
              <w:jc w:val="center"/>
              <w:rPr>
                <w:rFonts w:cs="Calibri"/>
              </w:rPr>
            </w:pPr>
            <w:r>
              <w:rPr>
                <w:rFonts w:cs="Calibri"/>
              </w:rPr>
              <w:t>0.753</w:t>
            </w:r>
          </w:p>
        </w:tc>
      </w:tr>
    </w:tbl>
    <w:p w14:paraId="40203A92" w14:textId="77777777" w:rsidR="00D924B9" w:rsidRPr="00970AD2" w:rsidRDefault="00126C80" w:rsidP="00867A67">
      <w:pPr>
        <w:pStyle w:val="SectionHeading1"/>
      </w:pPr>
      <w:bookmarkStart w:id="257" w:name="_Toc333417643"/>
      <w:bookmarkStart w:id="258" w:name="_Toc325753156"/>
      <w:bookmarkStart w:id="259" w:name="_Toc462215321"/>
      <w:bookmarkStart w:id="260" w:name="_Toc466535736"/>
      <w:r>
        <w:br w:type="page"/>
      </w:r>
      <w:bookmarkStart w:id="261" w:name="_Toc27560557"/>
      <w:r w:rsidR="00D924B9" w:rsidRPr="00970AD2">
        <w:lastRenderedPageBreak/>
        <w:t>Hot water service activities</w:t>
      </w:r>
      <w:bookmarkEnd w:id="257"/>
      <w:bookmarkEnd w:id="258"/>
      <w:bookmarkEnd w:id="259"/>
      <w:bookmarkEnd w:id="260"/>
      <w:bookmarkEnd w:id="261"/>
    </w:p>
    <w:p w14:paraId="2F73BB92" w14:textId="77777777" w:rsidR="00D924B9" w:rsidRPr="00970AD2" w:rsidRDefault="00D924B9" w:rsidP="00867A67">
      <w:pPr>
        <w:pStyle w:val="Sectionheading2"/>
      </w:pPr>
      <w:bookmarkStart w:id="262" w:name="_Toc328140143"/>
      <w:bookmarkStart w:id="263" w:name="_Ref331773295"/>
      <w:bookmarkStart w:id="264" w:name="_Toc332272779"/>
      <w:bookmarkStart w:id="265" w:name="_Toc332287286"/>
      <w:bookmarkStart w:id="266" w:name="_Toc333417644"/>
      <w:bookmarkStart w:id="267" w:name="_Toc325753157"/>
      <w:bookmarkStart w:id="268" w:name="_Toc462215322"/>
      <w:bookmarkStart w:id="269" w:name="_Toc466535737"/>
      <w:bookmarkStart w:id="270" w:name="_Toc27560558"/>
      <w:r w:rsidRPr="00970AD2">
        <w:t>Decommission an electric resistance water heater</w:t>
      </w:r>
      <w:bookmarkEnd w:id="262"/>
      <w:bookmarkEnd w:id="263"/>
      <w:bookmarkEnd w:id="264"/>
      <w:bookmarkEnd w:id="265"/>
      <w:bookmarkEnd w:id="266"/>
      <w:r w:rsidRPr="00970AD2">
        <w:t xml:space="preserve"> and install a specified high efficiency water heater</w:t>
      </w:r>
      <w:bookmarkEnd w:id="267"/>
      <w:bookmarkEnd w:id="268"/>
      <w:bookmarkEnd w:id="269"/>
      <w:bookmarkEnd w:id="270"/>
    </w:p>
    <w:p w14:paraId="05EFA34A" w14:textId="77777777" w:rsidR="00D924B9" w:rsidRPr="00970AD2" w:rsidRDefault="00D924B9" w:rsidP="00867A67">
      <w:pPr>
        <w:pStyle w:val="Sectionheading3"/>
      </w:pPr>
      <w:r w:rsidRPr="00970AD2">
        <w:t>Activity definition</w:t>
      </w:r>
    </w:p>
    <w:p w14:paraId="5557F9CA" w14:textId="77777777" w:rsidR="00D924B9" w:rsidRDefault="00703BF9" w:rsidP="00867A67">
      <w:pPr>
        <w:pStyle w:val="BodytextEEIS"/>
      </w:pPr>
      <w:r w:rsidRPr="00970AD2">
        <w:rPr>
          <w:b/>
        </w:rPr>
        <w:t xml:space="preserve">Activity </w:t>
      </w:r>
      <w:r w:rsidR="00CC7414" w:rsidRPr="00970AD2">
        <w:rPr>
          <w:b/>
        </w:rPr>
        <w:t xml:space="preserve">ID </w:t>
      </w:r>
      <w:r w:rsidRPr="00970AD2">
        <w:rPr>
          <w:b/>
        </w:rPr>
        <w:t xml:space="preserve">3.1 </w:t>
      </w:r>
      <w:r w:rsidRPr="00970AD2">
        <w:t>–</w:t>
      </w:r>
      <w:r w:rsidRPr="00970AD2">
        <w:rPr>
          <w:b/>
        </w:rPr>
        <w:t xml:space="preserve"> </w:t>
      </w:r>
      <w:r w:rsidR="00D924B9" w:rsidRPr="00970AD2">
        <w:t>In accordance with the prescribed minimum activity performance specifications, decommissioning an electric resistance water heater in a hot water system servicing sanitary fixtures and appliances and installing a specified high efficiency water heater.</w:t>
      </w:r>
    </w:p>
    <w:p w14:paraId="2B16A528" w14:textId="77777777" w:rsidR="002D0A57" w:rsidRDefault="002D0A57" w:rsidP="00D633D3">
      <w:pPr>
        <w:pStyle w:val="Subdetailsfirstindent"/>
        <w:numPr>
          <w:ilvl w:val="0"/>
          <w:numId w:val="232"/>
        </w:numPr>
      </w:pPr>
      <w:r w:rsidRPr="002D0A57">
        <w:rPr>
          <w:b/>
        </w:rPr>
        <w:t xml:space="preserve">Activity ID </w:t>
      </w:r>
      <w:r>
        <w:rPr>
          <w:b/>
        </w:rPr>
        <w:t>3</w:t>
      </w:r>
      <w:r w:rsidRPr="002D0A57">
        <w:rPr>
          <w:b/>
        </w:rPr>
        <w:t xml:space="preserve">.1(a) </w:t>
      </w:r>
      <w:r>
        <w:t>–</w:t>
      </w:r>
      <w:r w:rsidRPr="00C85399">
        <w:t xml:space="preserve"> </w:t>
      </w:r>
      <w:r w:rsidRPr="009B622C">
        <w:rPr>
          <w:lang w:eastAsia="en-AU"/>
        </w:rPr>
        <w:t>Solar electric small (25.2 MJ/day or 120 litres</w:t>
      </w:r>
      <w:r>
        <w:rPr>
          <w:lang w:eastAsia="en-AU"/>
        </w:rPr>
        <w:t>/</w:t>
      </w:r>
      <w:r w:rsidRPr="009B622C">
        <w:rPr>
          <w:lang w:eastAsia="en-AU"/>
        </w:rPr>
        <w:t>day)</w:t>
      </w:r>
      <w:r>
        <w:t>; or</w:t>
      </w:r>
    </w:p>
    <w:p w14:paraId="1ECAC327" w14:textId="77777777" w:rsidR="002D0A57" w:rsidRDefault="002D0A57" w:rsidP="002D0A57">
      <w:pPr>
        <w:pStyle w:val="Subdetailsfirstindent"/>
      </w:pPr>
      <w:r w:rsidRPr="00970AD2">
        <w:rPr>
          <w:b/>
        </w:rPr>
        <w:t xml:space="preserve">Activity ID </w:t>
      </w:r>
      <w:r>
        <w:rPr>
          <w:b/>
        </w:rPr>
        <w:t>3.1</w:t>
      </w:r>
      <w:r w:rsidRPr="00970AD2">
        <w:rPr>
          <w:b/>
        </w:rPr>
        <w:t>(</w:t>
      </w:r>
      <w:r>
        <w:rPr>
          <w:b/>
        </w:rPr>
        <w:t>b</w:t>
      </w:r>
      <w:r w:rsidRPr="00970AD2">
        <w:rPr>
          <w:b/>
        </w:rPr>
        <w:t>)</w:t>
      </w:r>
      <w:r>
        <w:rPr>
          <w:b/>
        </w:rPr>
        <w:t xml:space="preserve"> </w:t>
      </w:r>
      <w:r>
        <w:t xml:space="preserve">– </w:t>
      </w:r>
      <w:r w:rsidRPr="009B622C">
        <w:rPr>
          <w:lang w:eastAsia="en-AU"/>
        </w:rPr>
        <w:t>Solar electric medium (42 MJ/day or 121 to 200 litres/day)</w:t>
      </w:r>
      <w:r>
        <w:t>; or</w:t>
      </w:r>
    </w:p>
    <w:p w14:paraId="63AD7DEA" w14:textId="77777777" w:rsidR="002D0A57" w:rsidRPr="00823AAF" w:rsidRDefault="002D0A57" w:rsidP="002D0A57">
      <w:pPr>
        <w:pStyle w:val="Subdetailsfirstindent"/>
      </w:pPr>
      <w:r w:rsidRPr="00970AD2">
        <w:rPr>
          <w:b/>
        </w:rPr>
        <w:t xml:space="preserve">Activity ID </w:t>
      </w:r>
      <w:r>
        <w:rPr>
          <w:b/>
        </w:rPr>
        <w:t>3.1</w:t>
      </w:r>
      <w:r w:rsidRPr="00970AD2">
        <w:rPr>
          <w:b/>
        </w:rPr>
        <w:t>(</w:t>
      </w:r>
      <w:r>
        <w:rPr>
          <w:b/>
        </w:rPr>
        <w:t xml:space="preserve">c) </w:t>
      </w:r>
      <w:r>
        <w:t xml:space="preserve">– </w:t>
      </w:r>
      <w:r w:rsidRPr="009B622C">
        <w:rPr>
          <w:lang w:eastAsia="en-AU"/>
        </w:rPr>
        <w:t>Electric heat pump medium (42 MJ/day or 200 litres/day)</w:t>
      </w:r>
      <w:r>
        <w:rPr>
          <w:lang w:eastAsia="en-AU"/>
        </w:rPr>
        <w:t>.</w:t>
      </w:r>
    </w:p>
    <w:p w14:paraId="11C4768B" w14:textId="77777777" w:rsidR="002D0A57" w:rsidRDefault="002D0A57" w:rsidP="002D0A57">
      <w:pPr>
        <w:pStyle w:val="Notesandexamples"/>
      </w:pPr>
      <w:r w:rsidRPr="00970AD2">
        <w:t>Note</w:t>
      </w:r>
      <w:r>
        <w:t xml:space="preserve"> 1</w:t>
      </w:r>
      <w:r w:rsidRPr="00970AD2">
        <w:tab/>
      </w:r>
      <w:r w:rsidRPr="00823AAF">
        <w:t xml:space="preserve">These categories are </w:t>
      </w:r>
      <w:r>
        <w:t>further de</w:t>
      </w:r>
      <w:r w:rsidRPr="00823AAF">
        <w:t xml:space="preserve">fined in </w:t>
      </w:r>
      <w:r>
        <w:t>s</w:t>
      </w:r>
      <w:r w:rsidRPr="00823AAF">
        <w:t xml:space="preserve">ection </w:t>
      </w:r>
      <w:r>
        <w:t>3.1.</w:t>
      </w:r>
      <w:r w:rsidRPr="00823AAF">
        <w:t xml:space="preserve">5, </w:t>
      </w:r>
      <w:r>
        <w:t>t</w:t>
      </w:r>
      <w:r w:rsidRPr="00823AAF">
        <w:t xml:space="preserve">able </w:t>
      </w:r>
      <w:r>
        <w:t>25</w:t>
      </w:r>
      <w:r w:rsidRPr="00823AAF">
        <w:t>.</w:t>
      </w:r>
    </w:p>
    <w:p w14:paraId="390461A0" w14:textId="77777777" w:rsidR="002D0A57" w:rsidRPr="00970AD2" w:rsidRDefault="002D0A57" w:rsidP="00F675B8">
      <w:pPr>
        <w:pStyle w:val="Notesandexamples"/>
      </w:pPr>
      <w:r>
        <w:t>Note 2</w:t>
      </w:r>
      <w:r>
        <w:tab/>
        <w:t>The numbering system used above relates to the tables in section 3.1.5.</w:t>
      </w:r>
    </w:p>
    <w:p w14:paraId="78221AA0" w14:textId="77777777" w:rsidR="00D924B9" w:rsidRPr="00970AD2" w:rsidRDefault="00D924B9" w:rsidP="00867A67">
      <w:pPr>
        <w:pStyle w:val="Sectionheading3"/>
      </w:pPr>
      <w:r w:rsidRPr="00970AD2">
        <w:t>Minimum activity performance specifications</w:t>
      </w:r>
    </w:p>
    <w:p w14:paraId="4F6474B8" w14:textId="77777777" w:rsidR="00D924B9" w:rsidRPr="00970AD2" w:rsidRDefault="00D924B9" w:rsidP="00867A67">
      <w:pPr>
        <w:pStyle w:val="BodytextEEIS"/>
        <w:rPr>
          <w:i/>
        </w:rPr>
      </w:pPr>
      <w:r w:rsidRPr="00970AD2">
        <w:t>To be an eligible activity the activity must</w:t>
      </w:r>
      <w:r w:rsidRPr="00970AD2">
        <w:rPr>
          <w:b/>
          <w:bCs/>
        </w:rPr>
        <w:t>—</w:t>
      </w:r>
    </w:p>
    <w:p w14:paraId="5BDE95C7" w14:textId="77777777" w:rsidR="00831F19" w:rsidRPr="00970AD2" w:rsidRDefault="00D924B9" w:rsidP="00D633D3">
      <w:pPr>
        <w:pStyle w:val="Subdetailsfirstindent"/>
        <w:numPr>
          <w:ilvl w:val="0"/>
          <w:numId w:val="102"/>
        </w:numPr>
      </w:pPr>
      <w:r w:rsidRPr="00970AD2">
        <w:t>be undertaken at an eligible residential premises or an eligible business premises</w:t>
      </w:r>
      <w:r w:rsidR="009A649A" w:rsidRPr="00970AD2">
        <w:t xml:space="preserve"> with an existing electric resistance water heater (excluding solar and heat pump)</w:t>
      </w:r>
      <w:r w:rsidRPr="00970AD2">
        <w:t xml:space="preserve">; </w:t>
      </w:r>
    </w:p>
    <w:p w14:paraId="0524D275" w14:textId="77777777" w:rsidR="00831F19" w:rsidRPr="00970AD2" w:rsidRDefault="00D924B9" w:rsidP="00D633D3">
      <w:pPr>
        <w:pStyle w:val="Subdetailsfirstindent"/>
        <w:numPr>
          <w:ilvl w:val="0"/>
          <w:numId w:val="102"/>
        </w:numPr>
      </w:pPr>
      <w:r w:rsidRPr="00970AD2">
        <w:t xml:space="preserve">be undertaken using a product or products meeting the installed product requirements in section </w:t>
      </w:r>
      <w:r w:rsidR="00585069">
        <w:t>3.1.</w:t>
      </w:r>
      <w:r w:rsidRPr="00970AD2">
        <w:t xml:space="preserve">3; </w:t>
      </w:r>
    </w:p>
    <w:p w14:paraId="70AA79D7" w14:textId="77777777" w:rsidR="00831F19" w:rsidRPr="00970AD2" w:rsidRDefault="00D924B9" w:rsidP="00D633D3">
      <w:pPr>
        <w:pStyle w:val="Subdetailsfirstindent"/>
        <w:numPr>
          <w:ilvl w:val="0"/>
          <w:numId w:val="102"/>
        </w:numPr>
      </w:pPr>
      <w:r w:rsidRPr="00970AD2">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14:paraId="571114CE" w14:textId="77777777" w:rsidR="00831F19" w:rsidRPr="00970AD2" w:rsidRDefault="00D924B9" w:rsidP="00D633D3">
      <w:pPr>
        <w:pStyle w:val="Subdetailsfirstindent"/>
        <w:numPr>
          <w:ilvl w:val="0"/>
          <w:numId w:val="102"/>
        </w:numPr>
      </w:pPr>
      <w:r w:rsidRPr="00970AD2">
        <w:t>be recorded in accordance with any relevant code of practice for the activity.</w:t>
      </w:r>
    </w:p>
    <w:p w14:paraId="45580BA9" w14:textId="77777777" w:rsidR="00D924B9" w:rsidRPr="00316962" w:rsidRDefault="00D924B9" w:rsidP="00867A67">
      <w:pPr>
        <w:pStyle w:val="Notesandexamples"/>
      </w:pPr>
      <w:r w:rsidRPr="00316962">
        <w:t>Note</w:t>
      </w:r>
      <w:r w:rsidRPr="00316962">
        <w:tab/>
        <w:t>All activities are subject to independent inspection or audit to confirm compliance with prescribed activity requirements.</w:t>
      </w:r>
    </w:p>
    <w:p w14:paraId="5DC430A7" w14:textId="77777777" w:rsidR="00D924B9" w:rsidRPr="00970AD2" w:rsidRDefault="00D924B9" w:rsidP="00867A67">
      <w:pPr>
        <w:pStyle w:val="Sectionheading3"/>
      </w:pPr>
      <w:r w:rsidRPr="00970AD2">
        <w:t>Installed product requirements</w:t>
      </w:r>
    </w:p>
    <w:p w14:paraId="4A8B63D7" w14:textId="77777777" w:rsidR="00D924B9" w:rsidRPr="00970AD2" w:rsidRDefault="00D924B9" w:rsidP="00867A67">
      <w:pPr>
        <w:pStyle w:val="BodytextEEIS"/>
      </w:pPr>
      <w:r w:rsidRPr="00970AD2">
        <w:t>A specified high efficiency water heater for this activity includes any of the following water heater options as set out in (</w:t>
      </w:r>
      <w:r w:rsidR="00867A67">
        <w:t>a</w:t>
      </w:r>
      <w:r w:rsidRPr="00970AD2">
        <w:t>) or (</w:t>
      </w:r>
      <w:r w:rsidR="00867A67">
        <w:t>b</w:t>
      </w:r>
      <w:r w:rsidRPr="00970AD2">
        <w:t>) below</w:t>
      </w:r>
      <w:r w:rsidR="00585069">
        <w:t>.</w:t>
      </w:r>
    </w:p>
    <w:p w14:paraId="6081FB88" w14:textId="77777777" w:rsidR="00D924B9" w:rsidRPr="00970AD2" w:rsidRDefault="00D924B9" w:rsidP="00D633D3">
      <w:pPr>
        <w:pStyle w:val="Subdetailsfirstindent"/>
        <w:numPr>
          <w:ilvl w:val="0"/>
          <w:numId w:val="103"/>
        </w:numPr>
      </w:pPr>
      <w:r w:rsidRPr="00970AD2">
        <w:t>An electric boosted solar water heater that</w:t>
      </w:r>
      <w:r w:rsidRPr="00867A67">
        <w:rPr>
          <w:bCs/>
        </w:rPr>
        <w:t>—</w:t>
      </w:r>
    </w:p>
    <w:p w14:paraId="759B74BB" w14:textId="77777777" w:rsidR="00831F19" w:rsidRPr="00970AD2" w:rsidRDefault="00D924B9" w:rsidP="00D633D3">
      <w:pPr>
        <w:pStyle w:val="Subdetailssecondindent"/>
        <w:numPr>
          <w:ilvl w:val="0"/>
          <w:numId w:val="104"/>
        </w:numPr>
      </w:pPr>
      <w:r w:rsidRPr="00970AD2">
        <w:t xml:space="preserve">is certified by a relevant accredited body to AS 2712; </w:t>
      </w:r>
    </w:p>
    <w:p w14:paraId="67DA3273" w14:textId="77777777" w:rsidR="00831F19" w:rsidRPr="00970AD2" w:rsidRDefault="00D924B9" w:rsidP="00D633D3">
      <w:pPr>
        <w:pStyle w:val="Subdetailssecondindent"/>
        <w:numPr>
          <w:ilvl w:val="0"/>
          <w:numId w:val="104"/>
        </w:numPr>
      </w:pPr>
      <w:r w:rsidRPr="00970AD2">
        <w:t>achieves minimum energy performance of 60</w:t>
      </w:r>
      <w:r w:rsidR="00585069">
        <w:t xml:space="preserve"> per cent</w:t>
      </w:r>
      <w:r w:rsidRPr="00970AD2">
        <w:t xml:space="preserve"> solar contribution in climate zone 4 as determined in accordance with AS/NZS 4234; </w:t>
      </w:r>
    </w:p>
    <w:p w14:paraId="38CE642F" w14:textId="77777777" w:rsidR="00831F19" w:rsidRPr="00970AD2" w:rsidRDefault="00D924B9" w:rsidP="00D633D3">
      <w:pPr>
        <w:pStyle w:val="Subdetailssecondindent"/>
        <w:numPr>
          <w:ilvl w:val="0"/>
          <w:numId w:val="104"/>
        </w:numPr>
      </w:pPr>
      <w:r w:rsidRPr="00970AD2">
        <w:t>is listed in the register of products for the activity; and</w:t>
      </w:r>
    </w:p>
    <w:p w14:paraId="60E622F5" w14:textId="77777777" w:rsidR="00831F19" w:rsidRPr="00970AD2" w:rsidRDefault="00D924B9" w:rsidP="00D633D3">
      <w:pPr>
        <w:pStyle w:val="Subdetailssecondindent"/>
        <w:numPr>
          <w:ilvl w:val="0"/>
          <w:numId w:val="104"/>
        </w:numPr>
      </w:pPr>
      <w:r w:rsidRPr="00970AD2">
        <w:t xml:space="preserve">complies with any product safety or other product performance requirements in a relevant code of practice or other relevant legislation applying to the activity. </w:t>
      </w:r>
    </w:p>
    <w:p w14:paraId="77D80092" w14:textId="77777777" w:rsidR="00D924B9" w:rsidRPr="00970AD2" w:rsidRDefault="00D924B9" w:rsidP="00867A67">
      <w:pPr>
        <w:pStyle w:val="Subdetailsfirstindent"/>
      </w:pPr>
      <w:r w:rsidRPr="00970AD2">
        <w:t>An electric heat pump water heater that</w:t>
      </w:r>
      <w:r w:rsidRPr="00970AD2">
        <w:rPr>
          <w:bCs/>
        </w:rPr>
        <w:t>—</w:t>
      </w:r>
    </w:p>
    <w:p w14:paraId="349ACCA3" w14:textId="77777777" w:rsidR="00831F19" w:rsidRPr="00970AD2" w:rsidRDefault="00D924B9" w:rsidP="00D633D3">
      <w:pPr>
        <w:pStyle w:val="Subdetailssecondindent"/>
        <w:numPr>
          <w:ilvl w:val="0"/>
          <w:numId w:val="105"/>
        </w:numPr>
      </w:pPr>
      <w:r w:rsidRPr="00970AD2">
        <w:lastRenderedPageBreak/>
        <w:t>has been tested in accordance with AS/NZS</w:t>
      </w:r>
      <w:r w:rsidR="001F5F05">
        <w:t xml:space="preserve"> </w:t>
      </w:r>
      <w:r w:rsidRPr="00970AD2">
        <w:t xml:space="preserve">5125 </w:t>
      </w:r>
      <w:r w:rsidRPr="006B35C8">
        <w:rPr>
          <w:i/>
          <w:iCs/>
        </w:rPr>
        <w:t>Heat pump water heaters—Performance assessment Part 1: Air source heat pump water heaters</w:t>
      </w:r>
      <w:r w:rsidRPr="00970AD2">
        <w:t xml:space="preserve">; </w:t>
      </w:r>
    </w:p>
    <w:p w14:paraId="31A95CC3" w14:textId="77777777" w:rsidR="00831F19" w:rsidRPr="00970AD2" w:rsidRDefault="00D924B9" w:rsidP="00D633D3">
      <w:pPr>
        <w:pStyle w:val="Subdetailssecondindent"/>
        <w:numPr>
          <w:ilvl w:val="0"/>
          <w:numId w:val="105"/>
        </w:numPr>
      </w:pPr>
      <w:r w:rsidRPr="00970AD2">
        <w:t>is registered with the Clean Energy Regulator</w:t>
      </w:r>
      <w:r w:rsidR="00B176F6">
        <w:t xml:space="preserve"> (CER)</w:t>
      </w:r>
      <w:r w:rsidRPr="00970AD2">
        <w:t xml:space="preserve"> as an air source heat pump with a volumetric capacity of no more than 425L and is listed in the current CER register; </w:t>
      </w:r>
    </w:p>
    <w:p w14:paraId="49586C9F" w14:textId="77777777" w:rsidR="00831F19" w:rsidRPr="00970AD2" w:rsidRDefault="00D924B9" w:rsidP="00D633D3">
      <w:pPr>
        <w:pStyle w:val="Subdetailssecondindent"/>
        <w:numPr>
          <w:ilvl w:val="0"/>
          <w:numId w:val="105"/>
        </w:numPr>
      </w:pPr>
      <w:r w:rsidRPr="00970AD2">
        <w:t>is rated a medium size under AS/NZS</w:t>
      </w:r>
      <w:r w:rsidR="00995E5B">
        <w:t xml:space="preserve"> </w:t>
      </w:r>
      <w:r w:rsidRPr="00970AD2">
        <w:t>4234 and listed as achieving not less than 28 certificates (RECs) in Zone 5 (HP5-AU) as determined in accordance with AS/NZS</w:t>
      </w:r>
      <w:r w:rsidR="00995E5B">
        <w:t xml:space="preserve"> </w:t>
      </w:r>
      <w:r w:rsidRPr="00970AD2">
        <w:t>4234 and TRNSYS simulation; and</w:t>
      </w:r>
    </w:p>
    <w:p w14:paraId="604BEA0C" w14:textId="77777777" w:rsidR="00831F19" w:rsidRPr="00970AD2" w:rsidRDefault="00D924B9" w:rsidP="00D633D3">
      <w:pPr>
        <w:pStyle w:val="Subdetailssecondindent"/>
        <w:numPr>
          <w:ilvl w:val="0"/>
          <w:numId w:val="105"/>
        </w:numPr>
      </w:pPr>
      <w:r w:rsidRPr="00970AD2">
        <w:t xml:space="preserve">complies with any product safety or other product performance requirements in a relevant code of practice or other relevant legislation applying to the activity. </w:t>
      </w:r>
    </w:p>
    <w:p w14:paraId="5B5EC9D7" w14:textId="77777777" w:rsidR="00D924B9" w:rsidRPr="00970AD2" w:rsidRDefault="00D924B9" w:rsidP="00867A67">
      <w:pPr>
        <w:pStyle w:val="Sectionheading3"/>
        <w:rPr>
          <w:u w:val="single"/>
        </w:rPr>
      </w:pPr>
      <w:r w:rsidRPr="00970AD2">
        <w:t>Time the activity is taken to be completed</w:t>
      </w:r>
    </w:p>
    <w:p w14:paraId="5E722421" w14:textId="77777777" w:rsidR="00D924B9" w:rsidRPr="00970AD2" w:rsidRDefault="00D924B9" w:rsidP="00867A67">
      <w:pPr>
        <w:pStyle w:val="BodytextEEIS"/>
      </w:pPr>
      <w:r w:rsidRPr="00970AD2">
        <w:t>The activity is taken to be completed on the day all applicable prescribed activity requirements are completed, including but not limited to the disposal of any waste materials and the lodgement of statutory certifications for electrical, gas</w:t>
      </w:r>
      <w:r w:rsidR="00935793">
        <w:t xml:space="preserve"> </w:t>
      </w:r>
      <w:r w:rsidRPr="00970AD2">
        <w:t xml:space="preserve">fitting and plumbing work. </w:t>
      </w:r>
    </w:p>
    <w:p w14:paraId="5BE0FCD3" w14:textId="0D7D6D53" w:rsidR="00D924B9" w:rsidRPr="00970AD2" w:rsidRDefault="00D924B9" w:rsidP="00867A67">
      <w:pPr>
        <w:pStyle w:val="Sectionheading3"/>
        <w:rPr>
          <w:u w:val="single"/>
        </w:rPr>
      </w:pPr>
      <w:r w:rsidRPr="00970AD2">
        <w:t xml:space="preserve">Calculation of </w:t>
      </w:r>
      <w:r w:rsidR="00D25CD5">
        <w:t>energy savings</w:t>
      </w:r>
      <w:r w:rsidRPr="00970AD2">
        <w:t xml:space="preserve"> factor</w:t>
      </w:r>
    </w:p>
    <w:p w14:paraId="615007A3" w14:textId="5459ED3F" w:rsidR="00D924B9" w:rsidRPr="00867A67" w:rsidRDefault="00D924B9" w:rsidP="006B35C8">
      <w:pPr>
        <w:pStyle w:val="BodytextEEIS"/>
      </w:pPr>
      <w:r w:rsidRPr="00970AD2">
        <w:t xml:space="preserve">The total </w:t>
      </w:r>
      <w:r w:rsidR="00D25CD5">
        <w:t>energy savings</w:t>
      </w:r>
      <w:r w:rsidRPr="00970AD2">
        <w:t xml:space="preserve"> factor in </w:t>
      </w:r>
      <w:r w:rsidR="00880CB1">
        <w:t>Megawatt-hours</w:t>
      </w:r>
      <w:r w:rsidR="00D25CD5">
        <w:t xml:space="preserve"> (MWh)</w:t>
      </w:r>
      <w:r w:rsidRPr="00970AD2">
        <w:t xml:space="preserve"> saved in a premises for the activity is the relevant </w:t>
      </w:r>
      <w:r w:rsidR="00D25CD5">
        <w:t>energy savings</w:t>
      </w:r>
      <w:r w:rsidRPr="00970AD2">
        <w:t xml:space="preserve"> factor for the type of water heater installed, determined by using the equations prescribed in this section.</w:t>
      </w:r>
    </w:p>
    <w:p w14:paraId="5641E203" w14:textId="18EF7A5B" w:rsidR="00D924B9" w:rsidRPr="00970AD2" w:rsidRDefault="00D924B9" w:rsidP="00D633D3">
      <w:pPr>
        <w:pStyle w:val="Subdetailsfirstindent"/>
        <w:numPr>
          <w:ilvl w:val="0"/>
          <w:numId w:val="206"/>
        </w:numPr>
      </w:pPr>
      <w:r w:rsidRPr="00970AD2">
        <w:t xml:space="preserve">The </w:t>
      </w:r>
      <w:r w:rsidR="00D25CD5">
        <w:t>energy savings</w:t>
      </w:r>
      <w:r w:rsidRPr="00970AD2">
        <w:t xml:space="preserve"> factor is calculated as</w:t>
      </w:r>
      <w:r w:rsidRPr="006741CB">
        <w:rPr>
          <w:bCs/>
        </w:rPr>
        <w:t>—</w:t>
      </w:r>
    </w:p>
    <w:p w14:paraId="38887936" w14:textId="78D7C070" w:rsidR="00D924B9" w:rsidRPr="00970AD2" w:rsidRDefault="00D25CD5" w:rsidP="00995E5B">
      <w:pPr>
        <w:pStyle w:val="Formula"/>
      </w:pPr>
      <w:r>
        <w:t>Energy savings</w:t>
      </w:r>
      <w:r w:rsidR="009915F1" w:rsidRPr="00970AD2">
        <w:t xml:space="preserve"> factor (</w:t>
      </w:r>
      <w:r>
        <w:t>MWh</w:t>
      </w:r>
      <w:r w:rsidR="009915F1" w:rsidRPr="00970AD2">
        <w:t xml:space="preserve">) = </w:t>
      </w:r>
      <w:r>
        <w:t>ESF</w:t>
      </w:r>
      <w:r w:rsidR="009915F1" w:rsidRPr="00970AD2">
        <w:rPr>
          <w:vertAlign w:val="subscript"/>
        </w:rPr>
        <w:t>base</w:t>
      </w:r>
      <w:r w:rsidR="009915F1" w:rsidRPr="00970AD2">
        <w:t xml:space="preserve"> – (</w:t>
      </w:r>
      <w:r>
        <w:t>ESF</w:t>
      </w:r>
      <w:r w:rsidR="009915F1" w:rsidRPr="00970AD2">
        <w:rPr>
          <w:vertAlign w:val="subscript"/>
        </w:rPr>
        <w:t>Bs</w:t>
      </w:r>
      <w:r w:rsidR="009915F1" w:rsidRPr="00970AD2">
        <w:t xml:space="preserve"> × Bs) – (</w:t>
      </w:r>
      <w:r>
        <w:t>ESF</w:t>
      </w:r>
      <w:r w:rsidR="009915F1" w:rsidRPr="00970AD2">
        <w:rPr>
          <w:vertAlign w:val="subscript"/>
        </w:rPr>
        <w:t>Be</w:t>
      </w:r>
      <w:r w:rsidR="009915F1" w:rsidRPr="00970AD2">
        <w:t xml:space="preserve"> × Be)</w:t>
      </w:r>
      <w:r w:rsidR="00942A3D">
        <w:t xml:space="preserve"> </w:t>
      </w:r>
    </w:p>
    <w:p w14:paraId="669EEA93" w14:textId="77777777" w:rsidR="00D924B9" w:rsidRPr="00970AD2" w:rsidRDefault="00D924B9" w:rsidP="00867A67">
      <w:pPr>
        <w:pStyle w:val="BodytextEEIS"/>
        <w:rPr>
          <w:bCs/>
        </w:rPr>
      </w:pPr>
      <w:r w:rsidRPr="00970AD2">
        <w:t>Where</w:t>
      </w:r>
      <w:r w:rsidRPr="00970AD2">
        <w:rPr>
          <w:bCs/>
        </w:rPr>
        <w:t>—</w:t>
      </w:r>
    </w:p>
    <w:p w14:paraId="799A010F" w14:textId="1783DBBD" w:rsidR="00831F19" w:rsidRPr="00970AD2" w:rsidRDefault="00D25CD5" w:rsidP="00D633D3">
      <w:pPr>
        <w:pStyle w:val="Subdetailssecondindent"/>
        <w:numPr>
          <w:ilvl w:val="0"/>
          <w:numId w:val="106"/>
        </w:numPr>
      </w:pPr>
      <w:r>
        <w:rPr>
          <w:i/>
          <w:iCs/>
        </w:rPr>
        <w:t>ESF</w:t>
      </w:r>
      <w:r w:rsidR="00D924B9" w:rsidRPr="006B35C8">
        <w:rPr>
          <w:i/>
          <w:iCs/>
          <w:vertAlign w:val="subscript"/>
        </w:rPr>
        <w:t>base</w:t>
      </w:r>
      <w:r w:rsidR="00D924B9" w:rsidRPr="00970AD2">
        <w:t xml:space="preserve">, </w:t>
      </w:r>
      <w:r>
        <w:rPr>
          <w:i/>
          <w:iCs/>
        </w:rPr>
        <w:t>ESF</w:t>
      </w:r>
      <w:r w:rsidR="00D924B9" w:rsidRPr="006B35C8">
        <w:rPr>
          <w:i/>
          <w:iCs/>
          <w:vertAlign w:val="subscript"/>
        </w:rPr>
        <w:t>Bs</w:t>
      </w:r>
      <w:r w:rsidR="00D924B9" w:rsidRPr="00970AD2">
        <w:t xml:space="preserve"> and </w:t>
      </w:r>
      <w:r>
        <w:rPr>
          <w:i/>
          <w:iCs/>
        </w:rPr>
        <w:t>ESF</w:t>
      </w:r>
      <w:r w:rsidR="00D924B9" w:rsidRPr="006B35C8">
        <w:rPr>
          <w:i/>
          <w:iCs/>
          <w:vertAlign w:val="subscript"/>
        </w:rPr>
        <w:t>Be</w:t>
      </w:r>
      <w:r w:rsidR="00D924B9" w:rsidRPr="00970AD2">
        <w:t xml:space="preserve"> are the activity </w:t>
      </w:r>
      <w:r>
        <w:t>energy savings</w:t>
      </w:r>
      <w:r w:rsidR="00D924B9" w:rsidRPr="00970AD2">
        <w:t xml:space="preserve"> values prescribed in </w:t>
      </w:r>
      <w:r w:rsidR="00935793">
        <w:t>t</w:t>
      </w:r>
      <w:r w:rsidR="00E1796B" w:rsidRPr="00970AD2">
        <w:t>able</w:t>
      </w:r>
      <w:r w:rsidR="00D924B9" w:rsidRPr="00970AD2">
        <w:t xml:space="preserve"> </w:t>
      </w:r>
      <w:r w:rsidR="00935793">
        <w:t>25</w:t>
      </w:r>
      <w:r w:rsidR="00D924B9" w:rsidRPr="00970AD2">
        <w:t xml:space="preserve"> for the system size and type as determined in accordance with AS/NZS 4234 based on the system</w:t>
      </w:r>
      <w:r w:rsidR="00935793">
        <w:t>’</w:t>
      </w:r>
      <w:r w:rsidR="00D924B9" w:rsidRPr="00970AD2">
        <w:t xml:space="preserve">s peak daily thermal energy load delivery characteristics; </w:t>
      </w:r>
    </w:p>
    <w:p w14:paraId="24279FBA" w14:textId="77777777" w:rsidR="00831F19" w:rsidRPr="00970AD2" w:rsidRDefault="00D924B9" w:rsidP="00D633D3">
      <w:pPr>
        <w:pStyle w:val="Subdetailssecondindent"/>
        <w:numPr>
          <w:ilvl w:val="0"/>
          <w:numId w:val="106"/>
        </w:numPr>
      </w:pPr>
      <w:r w:rsidRPr="006B35C8">
        <w:rPr>
          <w:i/>
          <w:iCs/>
        </w:rPr>
        <w:t>Bs</w:t>
      </w:r>
      <w:r w:rsidRPr="00970AD2">
        <w:t xml:space="preserve"> is the annual supplementary purchased energy consumption used by a high efficiency water heater to directly heat water in Gigajoules per year (GJ/Yr) as determined in the performance evaluation process in AS/NZS 4234 and as recorded in the register of products for the activity; and</w:t>
      </w:r>
    </w:p>
    <w:p w14:paraId="1F275F0A" w14:textId="77777777" w:rsidR="00831F19" w:rsidRPr="00970AD2" w:rsidRDefault="00D924B9" w:rsidP="00D633D3">
      <w:pPr>
        <w:pStyle w:val="Subdetailssecondindent"/>
        <w:numPr>
          <w:ilvl w:val="0"/>
          <w:numId w:val="106"/>
        </w:numPr>
      </w:pPr>
      <w:r w:rsidRPr="006B35C8">
        <w:rPr>
          <w:i/>
          <w:iCs/>
        </w:rPr>
        <w:t xml:space="preserve">Be </w:t>
      </w:r>
      <w:r w:rsidRPr="00970AD2">
        <w:t>is the annual electrical energy used by auxiliary equipment integral to the water heater other than resistive heating units in Gigajoules per year (GJ/Yr) as determined in the performance evaluation process in AS/NZS 4234 and as recorded in the register of products for the activity.</w:t>
      </w:r>
    </w:p>
    <w:p w14:paraId="4475CC83" w14:textId="3891A060" w:rsidR="00A16E34" w:rsidRPr="00970AD2" w:rsidRDefault="00A16E34" w:rsidP="00D633D3">
      <w:pPr>
        <w:pStyle w:val="Subdetailsfirstindent"/>
        <w:numPr>
          <w:ilvl w:val="0"/>
          <w:numId w:val="206"/>
        </w:numPr>
      </w:pPr>
      <w:r w:rsidRPr="001A768A">
        <w:t>For medium sized heat pump water heaters, the</w:t>
      </w:r>
      <w:r w:rsidRPr="00970AD2">
        <w:t xml:space="preserve"> </w:t>
      </w:r>
      <w:r w:rsidR="00D25CD5">
        <w:t>energy savings</w:t>
      </w:r>
      <w:r w:rsidRPr="00970AD2">
        <w:t xml:space="preserve"> factor is calculated as</w:t>
      </w:r>
      <w:r w:rsidRPr="006741CB">
        <w:rPr>
          <w:bCs/>
        </w:rPr>
        <w:t>—</w:t>
      </w:r>
    </w:p>
    <w:p w14:paraId="76339B2C" w14:textId="424E569F" w:rsidR="00A16E34" w:rsidRPr="00970AD2" w:rsidRDefault="00D25CD5" w:rsidP="00A16E34">
      <w:pPr>
        <w:pStyle w:val="Formula"/>
      </w:pPr>
      <w:r>
        <w:t>Energy savings</w:t>
      </w:r>
      <w:r w:rsidR="00A16E34" w:rsidRPr="00970AD2">
        <w:t xml:space="preserve"> factor (t CO</w:t>
      </w:r>
      <w:r w:rsidR="00A16E34" w:rsidRPr="00970AD2">
        <w:rPr>
          <w:vertAlign w:val="subscript"/>
        </w:rPr>
        <w:t>2</w:t>
      </w:r>
      <w:r w:rsidR="00A16E34" w:rsidRPr="00970AD2">
        <w:t xml:space="preserve">-e) = </w:t>
      </w:r>
      <w:r>
        <w:t>ESF</w:t>
      </w:r>
      <w:r w:rsidR="00A16E34" w:rsidRPr="00970AD2">
        <w:rPr>
          <w:vertAlign w:val="subscript"/>
        </w:rPr>
        <w:t>base</w:t>
      </w:r>
      <w:r w:rsidR="00A16E34" w:rsidRPr="00970AD2">
        <w:t xml:space="preserve"> – (</w:t>
      </w:r>
      <w:r>
        <w:t>ESF</w:t>
      </w:r>
      <w:r w:rsidR="00A16E34" w:rsidRPr="00970AD2">
        <w:rPr>
          <w:vertAlign w:val="subscript"/>
        </w:rPr>
        <w:t>Bs</w:t>
      </w:r>
      <w:r w:rsidR="00A16E34" w:rsidRPr="00970AD2">
        <w:t xml:space="preserve"> × Bs) – (</w:t>
      </w:r>
      <w:r>
        <w:t>ESF</w:t>
      </w:r>
      <w:r w:rsidR="00A16E34" w:rsidRPr="00970AD2">
        <w:rPr>
          <w:vertAlign w:val="subscript"/>
        </w:rPr>
        <w:t>Be</w:t>
      </w:r>
      <w:r w:rsidR="00A16E34" w:rsidRPr="00970AD2">
        <w:t xml:space="preserve"> × Be)</w:t>
      </w:r>
      <w:r w:rsidR="00A16E34">
        <w:t xml:space="preserve"> </w:t>
      </w:r>
    </w:p>
    <w:p w14:paraId="34D4E22B" w14:textId="77777777" w:rsidR="00A16E34" w:rsidRPr="00970AD2" w:rsidRDefault="00A16E34" w:rsidP="00A16E34">
      <w:pPr>
        <w:pStyle w:val="BodytextEEIS"/>
        <w:rPr>
          <w:bCs/>
        </w:rPr>
      </w:pPr>
      <w:r w:rsidRPr="00970AD2">
        <w:t>Where</w:t>
      </w:r>
      <w:r w:rsidRPr="00970AD2">
        <w:rPr>
          <w:bCs/>
        </w:rPr>
        <w:t>—</w:t>
      </w:r>
    </w:p>
    <w:p w14:paraId="65F556C6" w14:textId="4E517DD1" w:rsidR="00A16E34" w:rsidRPr="00970AD2" w:rsidRDefault="00D25CD5" w:rsidP="00D633D3">
      <w:pPr>
        <w:pStyle w:val="Subdetailssecondindent"/>
        <w:numPr>
          <w:ilvl w:val="0"/>
          <w:numId w:val="234"/>
        </w:numPr>
      </w:pPr>
      <w:r>
        <w:rPr>
          <w:i/>
          <w:iCs/>
        </w:rPr>
        <w:t>ESF</w:t>
      </w:r>
      <w:r w:rsidR="00A16E34" w:rsidRPr="00A16E34">
        <w:rPr>
          <w:i/>
          <w:iCs/>
          <w:vertAlign w:val="subscript"/>
        </w:rPr>
        <w:t>base</w:t>
      </w:r>
      <w:r w:rsidR="00A16E34" w:rsidRPr="00970AD2">
        <w:t xml:space="preserve">, </w:t>
      </w:r>
      <w:r>
        <w:rPr>
          <w:i/>
          <w:iCs/>
        </w:rPr>
        <w:t>ESF</w:t>
      </w:r>
      <w:r w:rsidR="00A16E34" w:rsidRPr="00A16E34">
        <w:rPr>
          <w:i/>
          <w:iCs/>
          <w:vertAlign w:val="subscript"/>
        </w:rPr>
        <w:t>Bs</w:t>
      </w:r>
      <w:r w:rsidR="00A16E34" w:rsidRPr="00970AD2">
        <w:t xml:space="preserve"> and </w:t>
      </w:r>
      <w:r>
        <w:rPr>
          <w:i/>
          <w:iCs/>
        </w:rPr>
        <w:t>ESF</w:t>
      </w:r>
      <w:r w:rsidR="00A16E34" w:rsidRPr="00A16E34">
        <w:rPr>
          <w:i/>
          <w:iCs/>
          <w:vertAlign w:val="subscript"/>
        </w:rPr>
        <w:t>Be</w:t>
      </w:r>
      <w:r w:rsidR="00A16E34" w:rsidRPr="00970AD2">
        <w:t xml:space="preserve"> are the activity </w:t>
      </w:r>
      <w:r>
        <w:t>energy savings</w:t>
      </w:r>
      <w:r w:rsidR="00A16E34" w:rsidRPr="00970AD2">
        <w:t xml:space="preserve"> values prescribed in </w:t>
      </w:r>
      <w:r w:rsidR="00A16E34">
        <w:t>t</w:t>
      </w:r>
      <w:r w:rsidR="00A16E34" w:rsidRPr="00970AD2">
        <w:t xml:space="preserve">able </w:t>
      </w:r>
      <w:r w:rsidR="00A16E34">
        <w:t>25</w:t>
      </w:r>
      <w:r w:rsidR="00A16E34" w:rsidRPr="00970AD2">
        <w:t xml:space="preserve"> for the system size and type as determined in accordance with AS/NZS 4234 based on the system</w:t>
      </w:r>
      <w:r w:rsidR="00A16E34">
        <w:t>’</w:t>
      </w:r>
      <w:r w:rsidR="00A16E34" w:rsidRPr="00970AD2">
        <w:t xml:space="preserve">s peak daily thermal energy load delivery characteristics; </w:t>
      </w:r>
    </w:p>
    <w:p w14:paraId="100ECAE4" w14:textId="77777777" w:rsidR="00D924B9" w:rsidRPr="00867A67" w:rsidRDefault="00D924B9" w:rsidP="00A16E34">
      <w:pPr>
        <w:pStyle w:val="Subdetailssecondindent"/>
      </w:pPr>
      <w:r w:rsidRPr="006B35C8">
        <w:rPr>
          <w:i/>
          <w:iCs/>
        </w:rPr>
        <w:t>Be</w:t>
      </w:r>
      <w:r w:rsidRPr="00867A67">
        <w:t xml:space="preserve"> </w:t>
      </w:r>
      <w:r w:rsidR="00935793">
        <w:t>is</w:t>
      </w:r>
      <w:r w:rsidRPr="00867A67">
        <w:t xml:space="preserve"> 0 (for medium size heat pump systems only)</w:t>
      </w:r>
      <w:r w:rsidR="00B176F6">
        <w:t>; and</w:t>
      </w:r>
    </w:p>
    <w:p w14:paraId="228A41F4" w14:textId="77777777" w:rsidR="00D924B9" w:rsidRPr="00867A67" w:rsidRDefault="00D924B9" w:rsidP="006B35C8">
      <w:pPr>
        <w:pStyle w:val="Subdetailssecondindent"/>
      </w:pPr>
      <w:r w:rsidRPr="006B35C8">
        <w:rPr>
          <w:i/>
          <w:iCs/>
        </w:rPr>
        <w:lastRenderedPageBreak/>
        <w:t>Bs</w:t>
      </w:r>
      <w:r w:rsidRPr="00867A67">
        <w:t xml:space="preserve"> </w:t>
      </w:r>
      <w:r w:rsidR="00935793">
        <w:t>is</w:t>
      </w:r>
      <w:r w:rsidRPr="00867A67">
        <w:t xml:space="preserve"> (1 – RECs × 0.0214) × 16.67 (for medium size heat pump </w:t>
      </w:r>
      <w:r w:rsidR="009915F1" w:rsidRPr="00867A67">
        <w:t xml:space="preserve">systems only) </w:t>
      </w:r>
      <w:r w:rsidRPr="00867A67">
        <w:t>in GJ</w:t>
      </w:r>
      <w:r w:rsidR="00B176F6">
        <w:t>.</w:t>
      </w:r>
    </w:p>
    <w:p w14:paraId="2D10FF2A" w14:textId="77777777" w:rsidR="00D924B9" w:rsidRDefault="00D924B9" w:rsidP="006B35C8">
      <w:pPr>
        <w:pStyle w:val="BodytextEEIS"/>
        <w:ind w:left="1440"/>
      </w:pPr>
      <w:r w:rsidRPr="00970AD2">
        <w:t xml:space="preserve">Where </w:t>
      </w:r>
      <w:r w:rsidRPr="006B35C8">
        <w:rPr>
          <w:i/>
          <w:iCs/>
        </w:rPr>
        <w:t>RECs</w:t>
      </w:r>
      <w:r w:rsidRPr="00970AD2">
        <w:t xml:space="preserve"> is the number of certificates for an installation in Zone 5 for the specific model as listed by the </w:t>
      </w:r>
      <w:r w:rsidR="00996E8E">
        <w:t>CER</w:t>
      </w:r>
      <w:r w:rsidRPr="00970AD2">
        <w:t xml:space="preserve"> in the register of air source heat pumps with a volumetric capacity of no more than 425 L and where the number of RECs is greater than or equal to 28 for Zone 5 (HP5-AU).</w:t>
      </w:r>
    </w:p>
    <w:p w14:paraId="0019B9B7" w14:textId="2754A9E5" w:rsidR="00D924B9" w:rsidRPr="00867A67" w:rsidRDefault="00D924B9" w:rsidP="00867A67">
      <w:pPr>
        <w:pStyle w:val="Caption"/>
      </w:pPr>
      <w:bookmarkStart w:id="271" w:name="_Toc21868130"/>
      <w:bookmarkStart w:id="272" w:name="_Toc21868262"/>
      <w:bookmarkStart w:id="273" w:name="_Toc37945709"/>
      <w:r w:rsidRPr="00970AD2">
        <w:t xml:space="preserve">Table </w:t>
      </w:r>
      <w:r w:rsidR="004A0156">
        <w:rPr>
          <w:noProof/>
        </w:rPr>
        <w:fldChar w:fldCharType="begin"/>
      </w:r>
      <w:r w:rsidR="004A0156">
        <w:rPr>
          <w:noProof/>
        </w:rPr>
        <w:instrText xml:space="preserve"> SEQ Table \* ARABIC </w:instrText>
      </w:r>
      <w:r w:rsidR="004A0156">
        <w:rPr>
          <w:noProof/>
        </w:rPr>
        <w:fldChar w:fldCharType="separate"/>
      </w:r>
      <w:r w:rsidR="00880CB1">
        <w:rPr>
          <w:noProof/>
        </w:rPr>
        <w:t>25</w:t>
      </w:r>
      <w:r w:rsidR="004A0156">
        <w:rPr>
          <w:noProof/>
        </w:rPr>
        <w:fldChar w:fldCharType="end"/>
      </w:r>
      <w:r w:rsidRPr="00970AD2">
        <w:t xml:space="preserve"> </w:t>
      </w:r>
      <w:r w:rsidR="009E6E7F">
        <w:tab/>
      </w:r>
      <w:r w:rsidR="00995E5B">
        <w:t xml:space="preserve">Activity </w:t>
      </w:r>
      <w:r w:rsidR="00D85CB2">
        <w:t xml:space="preserve">ID </w:t>
      </w:r>
      <w:r w:rsidR="00995E5B">
        <w:t>3.1</w:t>
      </w:r>
      <w:r w:rsidRPr="00970AD2">
        <w:t xml:space="preserve"> </w:t>
      </w:r>
      <w:r w:rsidR="00D25CD5">
        <w:t>energy savings</w:t>
      </w:r>
      <w:r w:rsidRPr="00970AD2">
        <w:t xml:space="preserve"> values for a specified high efficiency water heater replacing an electric resistance water heater</w:t>
      </w:r>
      <w:bookmarkEnd w:id="271"/>
      <w:bookmarkEnd w:id="272"/>
      <w:bookmarkEnd w:id="273"/>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4190"/>
        <w:gridCol w:w="1324"/>
        <w:gridCol w:w="1218"/>
        <w:gridCol w:w="1290"/>
      </w:tblGrid>
      <w:tr w:rsidR="00FD2636" w:rsidRPr="009B622C" w14:paraId="0DE61A24" w14:textId="77777777" w:rsidTr="00D25CD5">
        <w:trPr>
          <w:tblHeader/>
        </w:trPr>
        <w:tc>
          <w:tcPr>
            <w:tcW w:w="1220" w:type="dxa"/>
          </w:tcPr>
          <w:p w14:paraId="75F65195" w14:textId="77777777" w:rsidR="00FD2636" w:rsidRPr="00970AD2" w:rsidRDefault="00FD2636" w:rsidP="00867A67">
            <w:pPr>
              <w:pStyle w:val="Tableheader"/>
              <w:rPr>
                <w:lang w:eastAsia="en-AU"/>
              </w:rPr>
            </w:pPr>
            <w:r w:rsidRPr="00970AD2">
              <w:rPr>
                <w:lang w:eastAsia="en-AU"/>
              </w:rPr>
              <w:t>Activity ID</w:t>
            </w:r>
          </w:p>
        </w:tc>
        <w:tc>
          <w:tcPr>
            <w:tcW w:w="4190" w:type="dxa"/>
          </w:tcPr>
          <w:p w14:paraId="05A4B280" w14:textId="77777777" w:rsidR="00FD2636" w:rsidRPr="00970AD2" w:rsidRDefault="00FD2636" w:rsidP="00867A67">
            <w:pPr>
              <w:pStyle w:val="Tableheader"/>
              <w:rPr>
                <w:lang w:eastAsia="en-AU"/>
              </w:rPr>
            </w:pPr>
            <w:r w:rsidRPr="00970AD2">
              <w:rPr>
                <w:lang w:eastAsia="en-AU"/>
              </w:rPr>
              <w:t>New system size and type</w:t>
            </w:r>
          </w:p>
        </w:tc>
        <w:tc>
          <w:tcPr>
            <w:tcW w:w="1324" w:type="dxa"/>
          </w:tcPr>
          <w:p w14:paraId="1A6092DF" w14:textId="76069067" w:rsidR="00FD2636" w:rsidRPr="00970AD2" w:rsidRDefault="00D25CD5" w:rsidP="00867A67">
            <w:pPr>
              <w:pStyle w:val="Tableheader"/>
              <w:rPr>
                <w:lang w:eastAsia="en-AU"/>
              </w:rPr>
            </w:pPr>
            <w:r>
              <w:rPr>
                <w:lang w:eastAsia="en-AU"/>
              </w:rPr>
              <w:t>ESF</w:t>
            </w:r>
            <w:r w:rsidR="00FD2636" w:rsidRPr="00970AD2">
              <w:rPr>
                <w:vertAlign w:val="subscript"/>
                <w:lang w:eastAsia="en-AU"/>
              </w:rPr>
              <w:t>base</w:t>
            </w:r>
          </w:p>
        </w:tc>
        <w:tc>
          <w:tcPr>
            <w:tcW w:w="1218" w:type="dxa"/>
          </w:tcPr>
          <w:p w14:paraId="05EF3B99" w14:textId="74DEB3EE" w:rsidR="00FD2636" w:rsidRPr="00970AD2" w:rsidRDefault="00D25CD5" w:rsidP="00867A67">
            <w:pPr>
              <w:pStyle w:val="Tableheader"/>
              <w:rPr>
                <w:lang w:eastAsia="en-AU"/>
              </w:rPr>
            </w:pPr>
            <w:r>
              <w:rPr>
                <w:lang w:eastAsia="en-AU"/>
              </w:rPr>
              <w:t>ESF</w:t>
            </w:r>
            <w:r w:rsidR="00FD2636" w:rsidRPr="00970AD2">
              <w:rPr>
                <w:vertAlign w:val="subscript"/>
                <w:lang w:eastAsia="en-AU"/>
              </w:rPr>
              <w:t>Bs</w:t>
            </w:r>
          </w:p>
        </w:tc>
        <w:tc>
          <w:tcPr>
            <w:tcW w:w="1290" w:type="dxa"/>
          </w:tcPr>
          <w:p w14:paraId="45CE141B" w14:textId="1EA99CB0" w:rsidR="00FD2636" w:rsidRPr="00970AD2" w:rsidRDefault="00D25CD5" w:rsidP="00867A67">
            <w:pPr>
              <w:pStyle w:val="Tableheader"/>
              <w:rPr>
                <w:lang w:eastAsia="en-AU"/>
              </w:rPr>
            </w:pPr>
            <w:r>
              <w:rPr>
                <w:lang w:eastAsia="en-AU"/>
              </w:rPr>
              <w:t>ESF</w:t>
            </w:r>
            <w:r w:rsidR="00FD2636" w:rsidRPr="00970AD2">
              <w:rPr>
                <w:vertAlign w:val="subscript"/>
                <w:lang w:eastAsia="en-AU"/>
              </w:rPr>
              <w:t>Be</w:t>
            </w:r>
          </w:p>
        </w:tc>
      </w:tr>
      <w:tr w:rsidR="00D25CD5" w:rsidRPr="009B622C" w14:paraId="6E9A997B" w14:textId="77777777" w:rsidTr="0064760C">
        <w:tc>
          <w:tcPr>
            <w:tcW w:w="1220" w:type="dxa"/>
          </w:tcPr>
          <w:p w14:paraId="4F8591BF" w14:textId="77777777" w:rsidR="00D25CD5" w:rsidRPr="009B622C" w:rsidRDefault="00D25CD5" w:rsidP="00D25CD5">
            <w:pPr>
              <w:pStyle w:val="Tabletext"/>
              <w:rPr>
                <w:lang w:eastAsia="en-AU"/>
              </w:rPr>
            </w:pPr>
            <w:r w:rsidRPr="009B622C">
              <w:rPr>
                <w:lang w:eastAsia="en-AU"/>
              </w:rPr>
              <w:t>3.1(a)</w:t>
            </w:r>
          </w:p>
        </w:tc>
        <w:tc>
          <w:tcPr>
            <w:tcW w:w="4190" w:type="dxa"/>
          </w:tcPr>
          <w:p w14:paraId="52352ED7" w14:textId="77777777" w:rsidR="00D25CD5" w:rsidRPr="009B622C" w:rsidRDefault="00D25CD5" w:rsidP="00D25CD5">
            <w:pPr>
              <w:pStyle w:val="Tabletext"/>
              <w:rPr>
                <w:lang w:eastAsia="en-AU"/>
              </w:rPr>
            </w:pPr>
            <w:r w:rsidRPr="009B622C">
              <w:rPr>
                <w:lang w:eastAsia="en-AU"/>
              </w:rPr>
              <w:t>Solar electric small (25.2 MJ/day or 120 litres</w:t>
            </w:r>
            <w:r>
              <w:rPr>
                <w:lang w:eastAsia="en-AU"/>
              </w:rPr>
              <w:t>/</w:t>
            </w:r>
            <w:r w:rsidRPr="009B622C">
              <w:rPr>
                <w:lang w:eastAsia="en-AU"/>
              </w:rPr>
              <w:t>day)</w:t>
            </w:r>
          </w:p>
        </w:tc>
        <w:tc>
          <w:tcPr>
            <w:tcW w:w="1324" w:type="dxa"/>
          </w:tcPr>
          <w:p w14:paraId="5D52E1DE" w14:textId="6BECBCB7" w:rsidR="00D25CD5" w:rsidRPr="00970AD2" w:rsidRDefault="00D25CD5" w:rsidP="0064760C">
            <w:pPr>
              <w:pStyle w:val="Tabletext"/>
              <w:jc w:val="center"/>
              <w:rPr>
                <w:color w:val="000000"/>
                <w:lang w:eastAsia="en-AU"/>
              </w:rPr>
            </w:pPr>
            <w:r>
              <w:rPr>
                <w:rFonts w:ascii="Calibri" w:hAnsi="Calibri" w:cs="Calibri"/>
                <w:color w:val="000000"/>
                <w:sz w:val="22"/>
                <w:szCs w:val="22"/>
              </w:rPr>
              <w:t>29.981</w:t>
            </w:r>
          </w:p>
        </w:tc>
        <w:tc>
          <w:tcPr>
            <w:tcW w:w="1218" w:type="dxa"/>
          </w:tcPr>
          <w:p w14:paraId="4FAFF3D7" w14:textId="74109BD5" w:rsidR="00D25CD5" w:rsidRPr="00970AD2" w:rsidRDefault="00D25CD5" w:rsidP="0064760C">
            <w:pPr>
              <w:pStyle w:val="Tabletext"/>
              <w:jc w:val="center"/>
              <w:rPr>
                <w:color w:val="000000"/>
                <w:lang w:eastAsia="en-AU"/>
              </w:rPr>
            </w:pPr>
            <w:r>
              <w:rPr>
                <w:rFonts w:ascii="Calibri" w:hAnsi="Calibri" w:cs="Calibri"/>
                <w:color w:val="000000"/>
                <w:sz w:val="22"/>
                <w:szCs w:val="22"/>
              </w:rPr>
              <w:t>2.917</w:t>
            </w:r>
          </w:p>
        </w:tc>
        <w:tc>
          <w:tcPr>
            <w:tcW w:w="1290" w:type="dxa"/>
          </w:tcPr>
          <w:p w14:paraId="2C2A520D" w14:textId="3C373530" w:rsidR="00D25CD5" w:rsidRPr="00970AD2" w:rsidRDefault="00D25CD5" w:rsidP="0064760C">
            <w:pPr>
              <w:pStyle w:val="Tabletext"/>
              <w:jc w:val="center"/>
              <w:rPr>
                <w:color w:val="000000"/>
                <w:lang w:eastAsia="en-AU"/>
              </w:rPr>
            </w:pPr>
            <w:r>
              <w:rPr>
                <w:rFonts w:ascii="Calibri" w:hAnsi="Calibri" w:cs="Calibri"/>
                <w:color w:val="000000"/>
                <w:sz w:val="22"/>
                <w:szCs w:val="22"/>
              </w:rPr>
              <w:t>2.917</w:t>
            </w:r>
          </w:p>
        </w:tc>
      </w:tr>
      <w:tr w:rsidR="00D25CD5" w:rsidRPr="009B622C" w14:paraId="52DAD9B3" w14:textId="77777777" w:rsidTr="0064760C">
        <w:tc>
          <w:tcPr>
            <w:tcW w:w="1220" w:type="dxa"/>
          </w:tcPr>
          <w:p w14:paraId="3BFEFEF1" w14:textId="77777777" w:rsidR="00D25CD5" w:rsidRPr="009B622C" w:rsidRDefault="00D25CD5" w:rsidP="00D25CD5">
            <w:pPr>
              <w:pStyle w:val="Tabletext"/>
              <w:rPr>
                <w:lang w:eastAsia="en-AU"/>
              </w:rPr>
            </w:pPr>
            <w:r w:rsidRPr="009B622C">
              <w:rPr>
                <w:lang w:eastAsia="en-AU"/>
              </w:rPr>
              <w:t>3.1(b)</w:t>
            </w:r>
          </w:p>
        </w:tc>
        <w:tc>
          <w:tcPr>
            <w:tcW w:w="4190" w:type="dxa"/>
          </w:tcPr>
          <w:p w14:paraId="408735BF" w14:textId="77777777" w:rsidR="00D25CD5" w:rsidRPr="009B622C" w:rsidRDefault="00D25CD5" w:rsidP="00D25CD5">
            <w:pPr>
              <w:pStyle w:val="Tabletext"/>
              <w:rPr>
                <w:lang w:eastAsia="en-AU"/>
              </w:rPr>
            </w:pPr>
            <w:r w:rsidRPr="009B622C">
              <w:rPr>
                <w:lang w:eastAsia="en-AU"/>
              </w:rPr>
              <w:t>Solar electric medium (42 MJ/day or 121 to 200 litres/day)</w:t>
            </w:r>
          </w:p>
        </w:tc>
        <w:tc>
          <w:tcPr>
            <w:tcW w:w="1324" w:type="dxa"/>
          </w:tcPr>
          <w:p w14:paraId="1E25C432" w14:textId="2D004130" w:rsidR="00D25CD5" w:rsidRPr="00970AD2" w:rsidRDefault="00D25CD5" w:rsidP="0064760C">
            <w:pPr>
              <w:pStyle w:val="Tabletext"/>
              <w:jc w:val="center"/>
              <w:rPr>
                <w:color w:val="000000"/>
                <w:lang w:eastAsia="en-AU"/>
              </w:rPr>
            </w:pPr>
            <w:r>
              <w:rPr>
                <w:rFonts w:ascii="Calibri" w:hAnsi="Calibri" w:cs="Calibri"/>
                <w:color w:val="000000"/>
                <w:sz w:val="22"/>
                <w:szCs w:val="22"/>
              </w:rPr>
              <w:t>48.609</w:t>
            </w:r>
          </w:p>
        </w:tc>
        <w:tc>
          <w:tcPr>
            <w:tcW w:w="1218" w:type="dxa"/>
          </w:tcPr>
          <w:p w14:paraId="29E4638B" w14:textId="7DD1A49A" w:rsidR="00D25CD5" w:rsidRPr="00970AD2" w:rsidRDefault="00D25CD5" w:rsidP="0064760C">
            <w:pPr>
              <w:pStyle w:val="Tabletext"/>
              <w:jc w:val="center"/>
              <w:rPr>
                <w:color w:val="000000"/>
                <w:lang w:eastAsia="en-AU"/>
              </w:rPr>
            </w:pPr>
            <w:r>
              <w:rPr>
                <w:rFonts w:ascii="Calibri" w:hAnsi="Calibri" w:cs="Calibri"/>
                <w:color w:val="000000"/>
                <w:sz w:val="22"/>
                <w:szCs w:val="22"/>
              </w:rPr>
              <w:t>2.917</w:t>
            </w:r>
          </w:p>
        </w:tc>
        <w:tc>
          <w:tcPr>
            <w:tcW w:w="1290" w:type="dxa"/>
          </w:tcPr>
          <w:p w14:paraId="39CB99DF" w14:textId="6EA4A3CD" w:rsidR="00D25CD5" w:rsidRPr="00970AD2" w:rsidRDefault="00D25CD5" w:rsidP="0064760C">
            <w:pPr>
              <w:pStyle w:val="Tabletext"/>
              <w:jc w:val="center"/>
              <w:rPr>
                <w:color w:val="000000"/>
                <w:lang w:eastAsia="en-AU"/>
              </w:rPr>
            </w:pPr>
            <w:r>
              <w:rPr>
                <w:rFonts w:ascii="Calibri" w:hAnsi="Calibri" w:cs="Calibri"/>
                <w:color w:val="000000"/>
                <w:sz w:val="22"/>
                <w:szCs w:val="22"/>
              </w:rPr>
              <w:t>2.917</w:t>
            </w:r>
          </w:p>
        </w:tc>
      </w:tr>
      <w:tr w:rsidR="00D25CD5" w:rsidRPr="00D936CF" w14:paraId="044BEE3B" w14:textId="77777777" w:rsidTr="0064760C">
        <w:tc>
          <w:tcPr>
            <w:tcW w:w="1220" w:type="dxa"/>
          </w:tcPr>
          <w:p w14:paraId="30DE9221" w14:textId="77777777" w:rsidR="00D25CD5" w:rsidRPr="009B622C" w:rsidRDefault="00D25CD5" w:rsidP="00D25CD5">
            <w:pPr>
              <w:pStyle w:val="Tabletext"/>
              <w:rPr>
                <w:lang w:eastAsia="en-AU"/>
              </w:rPr>
            </w:pPr>
            <w:r w:rsidRPr="009B622C">
              <w:rPr>
                <w:lang w:eastAsia="en-AU"/>
              </w:rPr>
              <w:t>3.1(c)</w:t>
            </w:r>
          </w:p>
        </w:tc>
        <w:tc>
          <w:tcPr>
            <w:tcW w:w="4190" w:type="dxa"/>
          </w:tcPr>
          <w:p w14:paraId="6598B741" w14:textId="77777777" w:rsidR="00D25CD5" w:rsidRPr="009B622C" w:rsidRDefault="00D25CD5" w:rsidP="00D25CD5">
            <w:pPr>
              <w:pStyle w:val="Tabletext"/>
              <w:rPr>
                <w:lang w:eastAsia="en-AU"/>
              </w:rPr>
            </w:pPr>
            <w:r w:rsidRPr="009B622C">
              <w:rPr>
                <w:lang w:eastAsia="en-AU"/>
              </w:rPr>
              <w:t>Electric heat pump medium (42 MJ/day or 200 litres/day)</w:t>
            </w:r>
          </w:p>
        </w:tc>
        <w:tc>
          <w:tcPr>
            <w:tcW w:w="1324" w:type="dxa"/>
          </w:tcPr>
          <w:p w14:paraId="2EBB2C74" w14:textId="3D2CD30E" w:rsidR="00D25CD5" w:rsidRPr="00970AD2" w:rsidRDefault="00D25CD5" w:rsidP="0064760C">
            <w:pPr>
              <w:pStyle w:val="Tabletext"/>
              <w:jc w:val="center"/>
              <w:rPr>
                <w:color w:val="000000"/>
                <w:lang w:eastAsia="en-AU"/>
              </w:rPr>
            </w:pPr>
            <w:r>
              <w:rPr>
                <w:rFonts w:ascii="Calibri" w:hAnsi="Calibri" w:cs="Calibri"/>
                <w:color w:val="000000"/>
                <w:sz w:val="22"/>
                <w:szCs w:val="22"/>
              </w:rPr>
              <w:t>48.609</w:t>
            </w:r>
          </w:p>
        </w:tc>
        <w:tc>
          <w:tcPr>
            <w:tcW w:w="1218" w:type="dxa"/>
          </w:tcPr>
          <w:p w14:paraId="5DA530EF" w14:textId="7BA982FE" w:rsidR="00D25CD5" w:rsidRPr="00970AD2" w:rsidRDefault="00D25CD5" w:rsidP="0064760C">
            <w:pPr>
              <w:pStyle w:val="Tabletext"/>
              <w:jc w:val="center"/>
              <w:rPr>
                <w:color w:val="000000"/>
                <w:lang w:eastAsia="en-AU"/>
              </w:rPr>
            </w:pPr>
            <w:r>
              <w:rPr>
                <w:rFonts w:ascii="Calibri" w:hAnsi="Calibri" w:cs="Calibri"/>
                <w:color w:val="000000"/>
                <w:sz w:val="22"/>
                <w:szCs w:val="22"/>
              </w:rPr>
              <w:t>2.917</w:t>
            </w:r>
          </w:p>
        </w:tc>
        <w:tc>
          <w:tcPr>
            <w:tcW w:w="1290" w:type="dxa"/>
          </w:tcPr>
          <w:p w14:paraId="25533604" w14:textId="31135258" w:rsidR="00D25CD5" w:rsidRPr="00970AD2" w:rsidRDefault="00D25CD5" w:rsidP="0064760C">
            <w:pPr>
              <w:pStyle w:val="Tabletext"/>
              <w:jc w:val="center"/>
              <w:rPr>
                <w:color w:val="000000"/>
                <w:lang w:eastAsia="en-AU"/>
              </w:rPr>
            </w:pPr>
            <w:r>
              <w:rPr>
                <w:rFonts w:ascii="Calibri" w:hAnsi="Calibri" w:cs="Calibri"/>
                <w:color w:val="000000"/>
                <w:sz w:val="22"/>
                <w:szCs w:val="22"/>
              </w:rPr>
              <w:t>2.917</w:t>
            </w:r>
          </w:p>
        </w:tc>
      </w:tr>
    </w:tbl>
    <w:p w14:paraId="6FFEF871" w14:textId="77777777" w:rsidR="00A11DE0" w:rsidRPr="00F94041" w:rsidRDefault="00070542" w:rsidP="00867A67">
      <w:pPr>
        <w:pStyle w:val="Notesandexamples"/>
      </w:pPr>
      <w:r w:rsidRPr="00970AD2">
        <w:t>Note</w:t>
      </w:r>
      <w:r w:rsidR="009A4B9E" w:rsidRPr="00970AD2">
        <w:tab/>
      </w:r>
      <w:r w:rsidR="00B176F6">
        <w:t>L</w:t>
      </w:r>
      <w:r w:rsidRPr="00970AD2">
        <w:t xml:space="preserve">arge or very large systems may be installed but the maximum credit available is for a medium system. </w:t>
      </w:r>
    </w:p>
    <w:p w14:paraId="238DEAEF" w14:textId="77777777" w:rsidR="00D924B9" w:rsidRPr="00970AD2" w:rsidRDefault="00F94041" w:rsidP="00867A67">
      <w:pPr>
        <w:pStyle w:val="Sectionheading2"/>
      </w:pPr>
      <w:bookmarkStart w:id="274" w:name="_Toc325753158"/>
      <w:bookmarkStart w:id="275" w:name="_Toc462215323"/>
      <w:bookmarkStart w:id="276" w:name="_Toc466535738"/>
      <w:r>
        <w:br w:type="page"/>
      </w:r>
      <w:bookmarkStart w:id="277" w:name="_Toc333417645"/>
      <w:bookmarkStart w:id="278" w:name="_Toc27560559"/>
      <w:r w:rsidR="00D924B9" w:rsidRPr="00970AD2">
        <w:lastRenderedPageBreak/>
        <w:t>Decommission a gas or liquefied petroleum gas water heater and install a specified high efficiency water heater</w:t>
      </w:r>
      <w:bookmarkEnd w:id="274"/>
      <w:bookmarkEnd w:id="275"/>
      <w:bookmarkEnd w:id="276"/>
      <w:bookmarkEnd w:id="277"/>
      <w:bookmarkEnd w:id="278"/>
    </w:p>
    <w:p w14:paraId="167A8B40" w14:textId="77777777" w:rsidR="00D924B9" w:rsidRPr="00970AD2" w:rsidRDefault="00D924B9" w:rsidP="00867A67">
      <w:pPr>
        <w:pStyle w:val="Sectionheading3"/>
      </w:pPr>
      <w:r w:rsidRPr="00970AD2">
        <w:t>Activity definition</w:t>
      </w:r>
    </w:p>
    <w:p w14:paraId="763CC11B" w14:textId="77777777" w:rsidR="00D924B9" w:rsidRDefault="00224144" w:rsidP="00867A67">
      <w:pPr>
        <w:pStyle w:val="BodytextEEIS"/>
      </w:pPr>
      <w:r w:rsidRPr="00970AD2">
        <w:rPr>
          <w:b/>
        </w:rPr>
        <w:t xml:space="preserve">Activity </w:t>
      </w:r>
      <w:r w:rsidR="00CC7414" w:rsidRPr="00970AD2">
        <w:rPr>
          <w:b/>
        </w:rPr>
        <w:t xml:space="preserve">ID </w:t>
      </w:r>
      <w:r w:rsidRPr="00970AD2">
        <w:rPr>
          <w:b/>
        </w:rPr>
        <w:t xml:space="preserve">3.2 </w:t>
      </w:r>
      <w:r w:rsidRPr="00970AD2">
        <w:t>–</w:t>
      </w:r>
      <w:r w:rsidRPr="00970AD2">
        <w:rPr>
          <w:b/>
        </w:rPr>
        <w:t xml:space="preserve"> </w:t>
      </w:r>
      <w:r w:rsidR="00D924B9" w:rsidRPr="00970AD2">
        <w:t xml:space="preserve">In accordance with the prescribed minimum activity performance specifications, decommissioning a natural gas or liquefied petroleum gas water heater in a hot water system servicing sanitary fixtures and appliances, </w:t>
      </w:r>
      <w:r w:rsidR="002D405B" w:rsidRPr="00970AD2">
        <w:t>which</w:t>
      </w:r>
      <w:r w:rsidR="00D924B9" w:rsidRPr="00970AD2">
        <w:t xml:space="preserve"> does not meet the installed product requirements in section </w:t>
      </w:r>
      <w:r w:rsidR="00B176F6">
        <w:t>3.2.</w:t>
      </w:r>
      <w:r w:rsidR="00D924B9" w:rsidRPr="00970AD2">
        <w:t>3, and installing a specified high efficiency</w:t>
      </w:r>
      <w:r w:rsidR="00D924B9" w:rsidRPr="00970AD2" w:rsidDel="00494514">
        <w:t xml:space="preserve"> </w:t>
      </w:r>
      <w:r w:rsidR="00D924B9" w:rsidRPr="00970AD2">
        <w:t>water heater.</w:t>
      </w:r>
    </w:p>
    <w:p w14:paraId="13C9251E" w14:textId="77777777" w:rsidR="007D1160" w:rsidRDefault="007D1160" w:rsidP="00D633D3">
      <w:pPr>
        <w:pStyle w:val="Subdetailsfirstindent"/>
        <w:numPr>
          <w:ilvl w:val="0"/>
          <w:numId w:val="232"/>
        </w:numPr>
      </w:pPr>
      <w:r w:rsidRPr="002D0A57">
        <w:rPr>
          <w:b/>
        </w:rPr>
        <w:t xml:space="preserve">Activity ID </w:t>
      </w:r>
      <w:r>
        <w:rPr>
          <w:b/>
        </w:rPr>
        <w:t>3</w:t>
      </w:r>
      <w:r w:rsidRPr="002D0A57">
        <w:rPr>
          <w:b/>
        </w:rPr>
        <w:t>.</w:t>
      </w:r>
      <w:r>
        <w:rPr>
          <w:b/>
        </w:rPr>
        <w:t>2</w:t>
      </w:r>
      <w:r w:rsidRPr="002D0A57">
        <w:rPr>
          <w:b/>
        </w:rPr>
        <w:t xml:space="preserve">(a) </w:t>
      </w:r>
      <w:r>
        <w:t>–</w:t>
      </w:r>
      <w:r w:rsidRPr="00C85399">
        <w:t xml:space="preserve"> </w:t>
      </w:r>
      <w:r w:rsidRPr="009B622C">
        <w:rPr>
          <w:lang w:eastAsia="en-AU"/>
        </w:rPr>
        <w:t>Solar electric small (25.2 MJ/day or 120 litres</w:t>
      </w:r>
      <w:r>
        <w:rPr>
          <w:lang w:eastAsia="en-AU"/>
        </w:rPr>
        <w:t>/</w:t>
      </w:r>
      <w:r w:rsidRPr="009B622C">
        <w:rPr>
          <w:lang w:eastAsia="en-AU"/>
        </w:rPr>
        <w:t>day)</w:t>
      </w:r>
      <w:r>
        <w:t>; or</w:t>
      </w:r>
    </w:p>
    <w:p w14:paraId="26A1B090" w14:textId="77777777" w:rsidR="007D1160" w:rsidRDefault="007D1160" w:rsidP="007D1160">
      <w:pPr>
        <w:pStyle w:val="Subdetailsfirstindent"/>
      </w:pPr>
      <w:r w:rsidRPr="00970AD2">
        <w:rPr>
          <w:b/>
        </w:rPr>
        <w:t xml:space="preserve">Activity ID </w:t>
      </w:r>
      <w:r>
        <w:rPr>
          <w:b/>
        </w:rPr>
        <w:t>3.2</w:t>
      </w:r>
      <w:r w:rsidRPr="00970AD2">
        <w:rPr>
          <w:b/>
        </w:rPr>
        <w:t>(</w:t>
      </w:r>
      <w:r>
        <w:rPr>
          <w:b/>
        </w:rPr>
        <w:t>b</w:t>
      </w:r>
      <w:r w:rsidRPr="00970AD2">
        <w:rPr>
          <w:b/>
        </w:rPr>
        <w:t>)</w:t>
      </w:r>
      <w:r>
        <w:rPr>
          <w:b/>
        </w:rPr>
        <w:t xml:space="preserve"> </w:t>
      </w:r>
      <w:r>
        <w:t xml:space="preserve">– </w:t>
      </w:r>
      <w:r w:rsidRPr="009B622C">
        <w:rPr>
          <w:lang w:eastAsia="en-AU"/>
        </w:rPr>
        <w:t>Solar electric medium (42 MJ/day or 121 to 200 litres/day)</w:t>
      </w:r>
      <w:r>
        <w:t>; or</w:t>
      </w:r>
    </w:p>
    <w:p w14:paraId="23FF54CA" w14:textId="77777777" w:rsidR="007D1160" w:rsidRPr="00823AAF" w:rsidRDefault="007D1160" w:rsidP="007D1160">
      <w:pPr>
        <w:pStyle w:val="Subdetailsfirstindent"/>
      </w:pPr>
      <w:r w:rsidRPr="00970AD2">
        <w:rPr>
          <w:b/>
        </w:rPr>
        <w:t xml:space="preserve">Activity ID </w:t>
      </w:r>
      <w:r>
        <w:rPr>
          <w:b/>
        </w:rPr>
        <w:t>3.2</w:t>
      </w:r>
      <w:r w:rsidRPr="00970AD2">
        <w:rPr>
          <w:b/>
        </w:rPr>
        <w:t>(</w:t>
      </w:r>
      <w:r>
        <w:rPr>
          <w:b/>
        </w:rPr>
        <w:t xml:space="preserve">c) </w:t>
      </w:r>
      <w:r>
        <w:t xml:space="preserve">– </w:t>
      </w:r>
      <w:r w:rsidRPr="009B622C">
        <w:rPr>
          <w:lang w:eastAsia="en-AU"/>
        </w:rPr>
        <w:t>Electric heat pump medium (42 MJ/day or 200 litres/day)</w:t>
      </w:r>
      <w:r>
        <w:rPr>
          <w:lang w:eastAsia="en-AU"/>
        </w:rPr>
        <w:t>.</w:t>
      </w:r>
    </w:p>
    <w:p w14:paraId="15648002" w14:textId="77777777" w:rsidR="007D1160" w:rsidRDefault="007D1160" w:rsidP="007D1160">
      <w:pPr>
        <w:pStyle w:val="Notesandexamples"/>
      </w:pPr>
      <w:r w:rsidRPr="00970AD2">
        <w:t>Note</w:t>
      </w:r>
      <w:r>
        <w:t xml:space="preserve"> 1</w:t>
      </w:r>
      <w:r w:rsidRPr="00970AD2">
        <w:tab/>
      </w:r>
      <w:r w:rsidRPr="00823AAF">
        <w:t xml:space="preserve">These categories are </w:t>
      </w:r>
      <w:r>
        <w:t>further de</w:t>
      </w:r>
      <w:r w:rsidRPr="00823AAF">
        <w:t xml:space="preserve">fined in </w:t>
      </w:r>
      <w:r>
        <w:t>s</w:t>
      </w:r>
      <w:r w:rsidRPr="00823AAF">
        <w:t xml:space="preserve">ection </w:t>
      </w:r>
      <w:r>
        <w:t>3.2.</w:t>
      </w:r>
      <w:r w:rsidRPr="00823AAF">
        <w:t xml:space="preserve">5, </w:t>
      </w:r>
      <w:r>
        <w:t>t</w:t>
      </w:r>
      <w:r w:rsidRPr="00823AAF">
        <w:t xml:space="preserve">able </w:t>
      </w:r>
      <w:r>
        <w:t>26</w:t>
      </w:r>
      <w:r w:rsidRPr="00823AAF">
        <w:t>.</w:t>
      </w:r>
    </w:p>
    <w:p w14:paraId="4B8F9029" w14:textId="77777777" w:rsidR="007D1160" w:rsidRPr="00970AD2" w:rsidRDefault="007D1160" w:rsidP="00F675B8">
      <w:pPr>
        <w:pStyle w:val="Notesandexamples"/>
      </w:pPr>
      <w:r>
        <w:t>Note 2</w:t>
      </w:r>
      <w:r>
        <w:tab/>
        <w:t>The numbering system used above relates to the tables in section 3.2.5.</w:t>
      </w:r>
    </w:p>
    <w:p w14:paraId="5D9A6104" w14:textId="77777777" w:rsidR="00D924B9" w:rsidRPr="00970AD2" w:rsidRDefault="00D924B9" w:rsidP="00867A67">
      <w:pPr>
        <w:pStyle w:val="Sectionheading3"/>
      </w:pPr>
      <w:r w:rsidRPr="00970AD2">
        <w:t>Minimum activity performance specifications</w:t>
      </w:r>
    </w:p>
    <w:p w14:paraId="0688B46B" w14:textId="77777777" w:rsidR="00D924B9" w:rsidRPr="00970AD2" w:rsidRDefault="00D924B9" w:rsidP="00867A67">
      <w:pPr>
        <w:pStyle w:val="BodytextEEIS"/>
        <w:rPr>
          <w:i/>
        </w:rPr>
      </w:pPr>
      <w:r w:rsidRPr="00970AD2">
        <w:t>To be an eligible activity the activity must</w:t>
      </w:r>
      <w:r w:rsidRPr="00970AD2">
        <w:rPr>
          <w:b/>
          <w:bCs/>
        </w:rPr>
        <w:t>—</w:t>
      </w:r>
    </w:p>
    <w:p w14:paraId="457E17CE" w14:textId="77777777" w:rsidR="00831F19" w:rsidRPr="00970AD2" w:rsidRDefault="00D924B9" w:rsidP="00D633D3">
      <w:pPr>
        <w:pStyle w:val="Subdetailsfirstindent"/>
        <w:numPr>
          <w:ilvl w:val="0"/>
          <w:numId w:val="107"/>
        </w:numPr>
      </w:pPr>
      <w:r w:rsidRPr="00970AD2">
        <w:t>be undertaken at an eligible residential premises or an eligible business premises</w:t>
      </w:r>
      <w:r w:rsidR="009A649A" w:rsidRPr="00970AD2">
        <w:t xml:space="preserve"> with an existing LPG or gas water heater (excluding solar)</w:t>
      </w:r>
      <w:r w:rsidRPr="00970AD2">
        <w:t xml:space="preserve">; </w:t>
      </w:r>
    </w:p>
    <w:p w14:paraId="116416C0" w14:textId="77777777" w:rsidR="00831F19" w:rsidRPr="00970AD2" w:rsidRDefault="00D924B9" w:rsidP="00D633D3">
      <w:pPr>
        <w:pStyle w:val="Subdetailsfirstindent"/>
        <w:numPr>
          <w:ilvl w:val="0"/>
          <w:numId w:val="107"/>
        </w:numPr>
      </w:pPr>
      <w:r w:rsidRPr="00970AD2">
        <w:t xml:space="preserve">be undertaken using a product or products meeting the installed product requirements in section </w:t>
      </w:r>
      <w:r w:rsidR="00B176F6">
        <w:t>3.2.</w:t>
      </w:r>
      <w:r w:rsidRPr="00970AD2">
        <w:t xml:space="preserve">3; </w:t>
      </w:r>
    </w:p>
    <w:p w14:paraId="47C98038" w14:textId="77777777" w:rsidR="00831F19" w:rsidRPr="00970AD2" w:rsidRDefault="00D924B9" w:rsidP="00D633D3">
      <w:pPr>
        <w:pStyle w:val="Subdetailsfirstindent"/>
        <w:numPr>
          <w:ilvl w:val="0"/>
          <w:numId w:val="107"/>
        </w:numPr>
      </w:pPr>
      <w:r w:rsidRPr="00970AD2">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14:paraId="1848AE3A" w14:textId="77777777" w:rsidR="00831F19" w:rsidRPr="00970AD2" w:rsidRDefault="00D924B9" w:rsidP="00D633D3">
      <w:pPr>
        <w:pStyle w:val="Subdetailsfirstindent"/>
        <w:numPr>
          <w:ilvl w:val="0"/>
          <w:numId w:val="107"/>
        </w:numPr>
      </w:pPr>
      <w:r w:rsidRPr="00970AD2">
        <w:t>be recorded in accordance with any relevant code of practice for the activity.</w:t>
      </w:r>
    </w:p>
    <w:p w14:paraId="37509E4B" w14:textId="77777777" w:rsidR="00D924B9" w:rsidRPr="00316962" w:rsidRDefault="00D924B9" w:rsidP="00867A67">
      <w:pPr>
        <w:pStyle w:val="Notesandexamples"/>
      </w:pPr>
      <w:r w:rsidRPr="00316962">
        <w:t>Note</w:t>
      </w:r>
      <w:r w:rsidRPr="00316962">
        <w:tab/>
        <w:t>All activities are subject to independent inspection or audit to confirm compliance with prescribed activity requirements.</w:t>
      </w:r>
    </w:p>
    <w:p w14:paraId="2AD57811" w14:textId="77777777" w:rsidR="00D924B9" w:rsidRPr="00970AD2" w:rsidRDefault="00D924B9" w:rsidP="00867A67">
      <w:pPr>
        <w:pStyle w:val="Sectionheading3"/>
      </w:pPr>
      <w:r w:rsidRPr="00970AD2">
        <w:t>Installed product requirements</w:t>
      </w:r>
    </w:p>
    <w:p w14:paraId="5A6BEF54" w14:textId="77777777" w:rsidR="00D924B9" w:rsidRPr="00970AD2" w:rsidRDefault="00D924B9" w:rsidP="00867A67">
      <w:pPr>
        <w:pStyle w:val="BodytextEEIS"/>
      </w:pPr>
      <w:r w:rsidRPr="00970AD2">
        <w:t>A specified high efficiency water heater for this activity includes any of the following water h</w:t>
      </w:r>
      <w:r w:rsidR="002D405B" w:rsidRPr="00970AD2">
        <w:t>eater options as set out in (</w:t>
      </w:r>
      <w:r w:rsidR="00867A67">
        <w:t>a</w:t>
      </w:r>
      <w:r w:rsidR="002D405B" w:rsidRPr="00970AD2">
        <w:t>) or</w:t>
      </w:r>
      <w:r w:rsidRPr="00970AD2">
        <w:t xml:space="preserve"> (</w:t>
      </w:r>
      <w:r w:rsidR="00867A67">
        <w:t>b</w:t>
      </w:r>
      <w:r w:rsidRPr="00970AD2">
        <w:t>) below</w:t>
      </w:r>
      <w:r w:rsidR="00B176F6">
        <w:t>.</w:t>
      </w:r>
    </w:p>
    <w:p w14:paraId="79C94A78" w14:textId="77777777" w:rsidR="00831F19" w:rsidRPr="00970AD2" w:rsidRDefault="00D924B9" w:rsidP="00D633D3">
      <w:pPr>
        <w:pStyle w:val="Subdetailsfirstindent"/>
        <w:numPr>
          <w:ilvl w:val="0"/>
          <w:numId w:val="108"/>
        </w:numPr>
      </w:pPr>
      <w:r w:rsidRPr="00970AD2">
        <w:t>An electric boosted solar water heater that</w:t>
      </w:r>
      <w:r w:rsidRPr="00867A67">
        <w:rPr>
          <w:bCs/>
        </w:rPr>
        <w:t>—</w:t>
      </w:r>
    </w:p>
    <w:p w14:paraId="3A3ADF72" w14:textId="77777777" w:rsidR="00831F19" w:rsidRPr="00970AD2" w:rsidRDefault="00D924B9" w:rsidP="00D633D3">
      <w:pPr>
        <w:pStyle w:val="Subdetailssecondindent"/>
        <w:numPr>
          <w:ilvl w:val="0"/>
          <w:numId w:val="109"/>
        </w:numPr>
      </w:pPr>
      <w:r w:rsidRPr="00970AD2">
        <w:t xml:space="preserve">is certified by a relevant accredited body to AS 2712; </w:t>
      </w:r>
    </w:p>
    <w:p w14:paraId="7F9AEA02" w14:textId="77777777" w:rsidR="00831F19" w:rsidRPr="00970AD2" w:rsidRDefault="00D924B9" w:rsidP="00D633D3">
      <w:pPr>
        <w:pStyle w:val="Subdetailssecondindent"/>
        <w:numPr>
          <w:ilvl w:val="0"/>
          <w:numId w:val="109"/>
        </w:numPr>
      </w:pPr>
      <w:r w:rsidRPr="00970AD2">
        <w:t>achieves minimum energy performance of 60</w:t>
      </w:r>
      <w:r w:rsidR="00B176F6">
        <w:t xml:space="preserve"> per cent</w:t>
      </w:r>
      <w:r w:rsidRPr="00970AD2">
        <w:t xml:space="preserve"> solar contribution in climate zone 4 as determined in accordance with AS/NZS 4234; </w:t>
      </w:r>
    </w:p>
    <w:p w14:paraId="75104782" w14:textId="77777777" w:rsidR="00831F19" w:rsidRPr="00970AD2" w:rsidRDefault="00D924B9" w:rsidP="00D633D3">
      <w:pPr>
        <w:pStyle w:val="Subdetailssecondindent"/>
        <w:numPr>
          <w:ilvl w:val="0"/>
          <w:numId w:val="109"/>
        </w:numPr>
      </w:pPr>
      <w:r w:rsidRPr="00970AD2">
        <w:t>is listed in the register of products for the activity; and</w:t>
      </w:r>
    </w:p>
    <w:p w14:paraId="0C943EF1" w14:textId="77777777" w:rsidR="00831F19" w:rsidRPr="00970AD2" w:rsidRDefault="00D924B9" w:rsidP="00D633D3">
      <w:pPr>
        <w:pStyle w:val="Subdetailssecondindent"/>
        <w:numPr>
          <w:ilvl w:val="0"/>
          <w:numId w:val="109"/>
        </w:numPr>
      </w:pPr>
      <w:r w:rsidRPr="00970AD2">
        <w:t xml:space="preserve">complies with any product safety or other product performance requirements in a relevant code of practice or other relevant legislation applying to the activity. </w:t>
      </w:r>
    </w:p>
    <w:p w14:paraId="2E3F48A4" w14:textId="77777777" w:rsidR="00831F19" w:rsidRPr="00970AD2" w:rsidRDefault="00D924B9" w:rsidP="00867A67">
      <w:pPr>
        <w:pStyle w:val="Subdetailsfirstindent"/>
      </w:pPr>
      <w:r w:rsidRPr="00970AD2">
        <w:t>An electric heat pump water heater that</w:t>
      </w:r>
      <w:r w:rsidRPr="00970AD2">
        <w:rPr>
          <w:bCs/>
        </w:rPr>
        <w:t>—</w:t>
      </w:r>
    </w:p>
    <w:p w14:paraId="4CD2920B" w14:textId="77777777" w:rsidR="00831F19" w:rsidRPr="00970AD2" w:rsidRDefault="00D924B9" w:rsidP="00D633D3">
      <w:pPr>
        <w:pStyle w:val="Subdetailssecondindent"/>
        <w:numPr>
          <w:ilvl w:val="0"/>
          <w:numId w:val="110"/>
        </w:numPr>
      </w:pPr>
      <w:r w:rsidRPr="00970AD2">
        <w:t>has been tested in accordance with AS/NZS</w:t>
      </w:r>
      <w:r w:rsidR="00995E5B">
        <w:t xml:space="preserve"> </w:t>
      </w:r>
      <w:r w:rsidRPr="00970AD2">
        <w:t xml:space="preserve">5125 </w:t>
      </w:r>
      <w:r w:rsidRPr="006B35C8">
        <w:rPr>
          <w:i/>
          <w:iCs/>
        </w:rPr>
        <w:t>Heat pump water heaters</w:t>
      </w:r>
      <w:r w:rsidR="002D405B" w:rsidRPr="006B35C8">
        <w:rPr>
          <w:i/>
          <w:iCs/>
        </w:rPr>
        <w:t xml:space="preserve"> – </w:t>
      </w:r>
      <w:r w:rsidRPr="006B35C8">
        <w:rPr>
          <w:i/>
          <w:iCs/>
        </w:rPr>
        <w:t>Performance assessment Part 1: Air source heat pump water heaters</w:t>
      </w:r>
      <w:r w:rsidRPr="00970AD2">
        <w:t xml:space="preserve">; </w:t>
      </w:r>
    </w:p>
    <w:p w14:paraId="4539A15D" w14:textId="77777777" w:rsidR="00831F19" w:rsidRPr="00970AD2" w:rsidRDefault="00D924B9" w:rsidP="00D633D3">
      <w:pPr>
        <w:pStyle w:val="Subdetailssecondindent"/>
        <w:numPr>
          <w:ilvl w:val="0"/>
          <w:numId w:val="110"/>
        </w:numPr>
      </w:pPr>
      <w:r w:rsidRPr="00970AD2">
        <w:lastRenderedPageBreak/>
        <w:t xml:space="preserve">is registered with the Clean Energy Regulator </w:t>
      </w:r>
      <w:r w:rsidR="002D405B" w:rsidRPr="00970AD2">
        <w:t>(CER) as an air source heat pump</w:t>
      </w:r>
      <w:r w:rsidRPr="00970AD2">
        <w:t xml:space="preserve"> with a volumetric capacity of no more than 425L and is listed in the current CER register; </w:t>
      </w:r>
    </w:p>
    <w:p w14:paraId="4EF03FCE" w14:textId="77777777" w:rsidR="00831F19" w:rsidRPr="00970AD2" w:rsidRDefault="00D924B9" w:rsidP="00D633D3">
      <w:pPr>
        <w:pStyle w:val="Subdetailssecondindent"/>
        <w:numPr>
          <w:ilvl w:val="0"/>
          <w:numId w:val="110"/>
        </w:numPr>
      </w:pPr>
      <w:r w:rsidRPr="00970AD2">
        <w:t>is rated a medium size under AS/NZS</w:t>
      </w:r>
      <w:r w:rsidR="00680FEA">
        <w:t xml:space="preserve"> </w:t>
      </w:r>
      <w:r w:rsidRPr="00970AD2">
        <w:t>4234 and listed as achieving not less than 28 certificates (RECs) in Zone 5 (HP5-AU) as determined in accordance with AS/NZS</w:t>
      </w:r>
      <w:r w:rsidR="00995E5B">
        <w:t xml:space="preserve"> </w:t>
      </w:r>
      <w:r w:rsidRPr="00970AD2">
        <w:t>4234 and TRNSYS simulation; and</w:t>
      </w:r>
    </w:p>
    <w:p w14:paraId="71CCA590" w14:textId="77777777" w:rsidR="00831F19" w:rsidRPr="00970AD2" w:rsidRDefault="00D924B9" w:rsidP="00D633D3">
      <w:pPr>
        <w:pStyle w:val="Subdetailssecondindent"/>
        <w:numPr>
          <w:ilvl w:val="0"/>
          <w:numId w:val="110"/>
        </w:numPr>
      </w:pPr>
      <w:r w:rsidRPr="00970AD2">
        <w:t xml:space="preserve">complies with any product safety or other product performance requirements in a relevant code of practice or other relevant legislation applying to the activity. </w:t>
      </w:r>
    </w:p>
    <w:p w14:paraId="52F87C73" w14:textId="77777777" w:rsidR="00D924B9" w:rsidRPr="00970AD2" w:rsidRDefault="00D924B9" w:rsidP="00867A67">
      <w:pPr>
        <w:pStyle w:val="Sectionheading3"/>
        <w:rPr>
          <w:u w:val="single"/>
        </w:rPr>
      </w:pPr>
      <w:r w:rsidRPr="00970AD2">
        <w:t>Time the activity is taken to be completed</w:t>
      </w:r>
    </w:p>
    <w:p w14:paraId="21CB1A6D" w14:textId="77777777" w:rsidR="00D924B9" w:rsidRPr="00970AD2" w:rsidRDefault="00D924B9" w:rsidP="00867A67">
      <w:pPr>
        <w:pStyle w:val="BodytextEEIS"/>
      </w:pPr>
      <w:r w:rsidRPr="00970AD2">
        <w:t>The activity is taken to be completed on the day all applicable prescribed activity requirements are completed, including but not limited to the disposal of any waste materials and the lodgement of statutory certifications for gas</w:t>
      </w:r>
      <w:r w:rsidR="00996E8E">
        <w:t xml:space="preserve"> </w:t>
      </w:r>
      <w:r w:rsidRPr="00970AD2">
        <w:t xml:space="preserve">fitting and plumbing work. </w:t>
      </w:r>
    </w:p>
    <w:p w14:paraId="07C1887D" w14:textId="4D4ACE6A" w:rsidR="00D924B9" w:rsidRPr="00970AD2" w:rsidRDefault="00D924B9" w:rsidP="00867A67">
      <w:pPr>
        <w:pStyle w:val="Sectionheading3"/>
        <w:rPr>
          <w:u w:val="single"/>
        </w:rPr>
      </w:pPr>
      <w:r w:rsidRPr="00970AD2">
        <w:t xml:space="preserve">Calculation of </w:t>
      </w:r>
      <w:r w:rsidR="00D25CD5">
        <w:t>energy savings</w:t>
      </w:r>
      <w:r w:rsidRPr="00970AD2">
        <w:t xml:space="preserve"> factor</w:t>
      </w:r>
    </w:p>
    <w:p w14:paraId="269DE26D" w14:textId="081D3E62" w:rsidR="00D924B9" w:rsidRPr="00970AD2" w:rsidRDefault="00D924B9" w:rsidP="006B35C8">
      <w:pPr>
        <w:pStyle w:val="BodytextEEIS"/>
      </w:pPr>
      <w:r w:rsidRPr="00970AD2">
        <w:t xml:space="preserve">The total </w:t>
      </w:r>
      <w:r w:rsidR="00D25CD5">
        <w:t>energy savings</w:t>
      </w:r>
      <w:r w:rsidRPr="00970AD2">
        <w:t xml:space="preserve"> factor in </w:t>
      </w:r>
      <w:r w:rsidR="00880CB1">
        <w:t>Megawatt-hours</w:t>
      </w:r>
      <w:r w:rsidR="00D25CD5">
        <w:t xml:space="preserve"> (MWh)</w:t>
      </w:r>
      <w:r w:rsidRPr="00970AD2">
        <w:t xml:space="preserve"> saved in a premises for the activity is the relevant </w:t>
      </w:r>
      <w:r w:rsidR="00D25CD5">
        <w:t>energy savings</w:t>
      </w:r>
      <w:r w:rsidRPr="00970AD2">
        <w:t xml:space="preserve"> factor for the type of water heater installed, determined by using the equations prescribed in this section.</w:t>
      </w:r>
    </w:p>
    <w:p w14:paraId="12044039" w14:textId="64EEDC56" w:rsidR="00D924B9" w:rsidRPr="00867A67" w:rsidRDefault="00D924B9" w:rsidP="00D633D3">
      <w:pPr>
        <w:pStyle w:val="Subdetailsfirstindent"/>
        <w:numPr>
          <w:ilvl w:val="0"/>
          <w:numId w:val="111"/>
        </w:numPr>
        <w:rPr>
          <w:b/>
          <w:u w:val="single"/>
        </w:rPr>
      </w:pPr>
      <w:r w:rsidRPr="00970AD2">
        <w:t xml:space="preserve">The </w:t>
      </w:r>
      <w:r w:rsidR="00D25CD5">
        <w:t>energy savings</w:t>
      </w:r>
      <w:r w:rsidRPr="00970AD2">
        <w:t xml:space="preserve"> factor is calculated as</w:t>
      </w:r>
      <w:r w:rsidRPr="00867A67">
        <w:rPr>
          <w:bCs/>
        </w:rPr>
        <w:t>—</w:t>
      </w:r>
    </w:p>
    <w:p w14:paraId="48208F44" w14:textId="410DA31F" w:rsidR="00D924B9" w:rsidRPr="00970AD2" w:rsidRDefault="00D25CD5" w:rsidP="00995E5B">
      <w:pPr>
        <w:pStyle w:val="Formula"/>
      </w:pPr>
      <w:r>
        <w:t>Energy savings</w:t>
      </w:r>
      <w:r w:rsidR="00D924B9" w:rsidRPr="00970AD2">
        <w:t xml:space="preserve"> factor (</w:t>
      </w:r>
      <w:r>
        <w:t>MWh</w:t>
      </w:r>
      <w:r w:rsidR="00D924B9" w:rsidRPr="00970AD2">
        <w:t xml:space="preserve">) = </w:t>
      </w:r>
      <w:r>
        <w:t>ESF</w:t>
      </w:r>
      <w:r w:rsidR="00D924B9" w:rsidRPr="00970AD2">
        <w:rPr>
          <w:vertAlign w:val="subscript"/>
        </w:rPr>
        <w:t>base</w:t>
      </w:r>
      <w:r w:rsidR="00D924B9" w:rsidRPr="00970AD2">
        <w:t xml:space="preserve"> – (</w:t>
      </w:r>
      <w:r>
        <w:t>ESF</w:t>
      </w:r>
      <w:r w:rsidR="00D924B9" w:rsidRPr="00970AD2">
        <w:rPr>
          <w:vertAlign w:val="subscript"/>
        </w:rPr>
        <w:t>Bs</w:t>
      </w:r>
      <w:r w:rsidR="00D924B9" w:rsidRPr="00970AD2">
        <w:t xml:space="preserve"> × Bs) – (</w:t>
      </w:r>
      <w:r>
        <w:t>ESF</w:t>
      </w:r>
      <w:r w:rsidR="00D924B9" w:rsidRPr="00970AD2">
        <w:rPr>
          <w:vertAlign w:val="subscript"/>
        </w:rPr>
        <w:t>Be</w:t>
      </w:r>
      <w:r w:rsidR="00D924B9" w:rsidRPr="00970AD2">
        <w:t xml:space="preserve"> × Be)</w:t>
      </w:r>
    </w:p>
    <w:p w14:paraId="24250543" w14:textId="77777777" w:rsidR="00D924B9" w:rsidRPr="00970AD2" w:rsidRDefault="00D924B9" w:rsidP="00867A67">
      <w:pPr>
        <w:pStyle w:val="BodytextEEIS"/>
      </w:pPr>
      <w:r w:rsidRPr="00970AD2">
        <w:t xml:space="preserve">Where </w:t>
      </w:r>
      <w:r w:rsidRPr="00970AD2">
        <w:rPr>
          <w:bCs/>
        </w:rPr>
        <w:t>—</w:t>
      </w:r>
    </w:p>
    <w:p w14:paraId="3B47A1D9" w14:textId="461BDFB6" w:rsidR="00831F19" w:rsidRPr="00970AD2" w:rsidRDefault="00D25CD5" w:rsidP="00D633D3">
      <w:pPr>
        <w:pStyle w:val="Subdetailssecondindent"/>
        <w:numPr>
          <w:ilvl w:val="0"/>
          <w:numId w:val="112"/>
        </w:numPr>
      </w:pPr>
      <w:r>
        <w:rPr>
          <w:i/>
          <w:iCs/>
        </w:rPr>
        <w:t>ESF</w:t>
      </w:r>
      <w:r w:rsidR="00D924B9" w:rsidRPr="006B35C8">
        <w:rPr>
          <w:i/>
          <w:iCs/>
          <w:vertAlign w:val="subscript"/>
        </w:rPr>
        <w:t>base</w:t>
      </w:r>
      <w:r w:rsidR="00D924B9" w:rsidRPr="00970AD2">
        <w:t xml:space="preserve">, </w:t>
      </w:r>
      <w:r>
        <w:rPr>
          <w:i/>
          <w:iCs/>
        </w:rPr>
        <w:t>ESF</w:t>
      </w:r>
      <w:r w:rsidR="00D924B9" w:rsidRPr="006B35C8">
        <w:rPr>
          <w:i/>
          <w:iCs/>
          <w:vertAlign w:val="subscript"/>
        </w:rPr>
        <w:t>Bs</w:t>
      </w:r>
      <w:r w:rsidR="00D924B9" w:rsidRPr="00970AD2">
        <w:t xml:space="preserve"> and </w:t>
      </w:r>
      <w:r>
        <w:rPr>
          <w:i/>
          <w:iCs/>
        </w:rPr>
        <w:t>ESF</w:t>
      </w:r>
      <w:r w:rsidR="00D924B9" w:rsidRPr="006B35C8">
        <w:rPr>
          <w:i/>
          <w:iCs/>
          <w:vertAlign w:val="subscript"/>
        </w:rPr>
        <w:t>Be</w:t>
      </w:r>
      <w:r w:rsidR="00D924B9" w:rsidRPr="00970AD2">
        <w:t xml:space="preserve"> are the activity </w:t>
      </w:r>
      <w:r>
        <w:t>energy savings</w:t>
      </w:r>
      <w:r w:rsidR="00D924B9" w:rsidRPr="00970AD2">
        <w:t xml:space="preserve"> values prescribed in </w:t>
      </w:r>
      <w:r w:rsidR="00996E8E">
        <w:t>t</w:t>
      </w:r>
      <w:r w:rsidR="00E1796B" w:rsidRPr="00970AD2">
        <w:t>able</w:t>
      </w:r>
      <w:r w:rsidR="00D924B9" w:rsidRPr="00970AD2">
        <w:t xml:space="preserve"> </w:t>
      </w:r>
      <w:r w:rsidR="00996E8E">
        <w:t>26</w:t>
      </w:r>
      <w:r w:rsidR="00D924B9" w:rsidRPr="00970AD2">
        <w:t xml:space="preserve"> for the system size and type as determined in accordance with AS/NZS 4234 based on the system</w:t>
      </w:r>
      <w:r w:rsidR="00996E8E">
        <w:t>’</w:t>
      </w:r>
      <w:r w:rsidR="00D924B9" w:rsidRPr="00970AD2">
        <w:t xml:space="preserve">s peak daily thermal energy load delivery characteristics; </w:t>
      </w:r>
    </w:p>
    <w:p w14:paraId="4618D8C0" w14:textId="77777777" w:rsidR="00831F19" w:rsidRPr="00970AD2" w:rsidRDefault="00D924B9" w:rsidP="00D633D3">
      <w:pPr>
        <w:pStyle w:val="Subdetailssecondindent"/>
        <w:numPr>
          <w:ilvl w:val="0"/>
          <w:numId w:val="112"/>
        </w:numPr>
      </w:pPr>
      <w:r w:rsidRPr="006B35C8">
        <w:rPr>
          <w:i/>
          <w:iCs/>
        </w:rPr>
        <w:t>Bs</w:t>
      </w:r>
      <w:r w:rsidRPr="00970AD2">
        <w:t xml:space="preserve"> is the annual supplementary purchased energy consumption used by a high efficiency water heater to directly heat water in </w:t>
      </w:r>
      <w:r w:rsidR="00993A8A" w:rsidRPr="00970AD2">
        <w:t>Gi</w:t>
      </w:r>
      <w:r w:rsidRPr="00970AD2">
        <w:t>gajoules per year (</w:t>
      </w:r>
      <w:r w:rsidR="00993A8A" w:rsidRPr="00970AD2">
        <w:t>G</w:t>
      </w:r>
      <w:r w:rsidRPr="00970AD2">
        <w:t>J/Yr) as determined in the performance evaluation process in AS/NZS 4234 and as recorded in the register of products for the activity; and</w:t>
      </w:r>
    </w:p>
    <w:p w14:paraId="42400C33" w14:textId="77777777" w:rsidR="00831F19" w:rsidRPr="00970AD2" w:rsidRDefault="00D924B9" w:rsidP="00D633D3">
      <w:pPr>
        <w:pStyle w:val="Subdetailssecondindent"/>
        <w:numPr>
          <w:ilvl w:val="0"/>
          <w:numId w:val="112"/>
        </w:numPr>
      </w:pPr>
      <w:r w:rsidRPr="006B35C8">
        <w:rPr>
          <w:i/>
          <w:iCs/>
        </w:rPr>
        <w:t>Be</w:t>
      </w:r>
      <w:r w:rsidRPr="00970AD2">
        <w:t xml:space="preserve"> is the annual electrical energy used by auxiliary equipment integral to the water heater other than resistive heating units in Gigajoules per year (GJ/Yr) as determined in the performance evaluation process in AS/NZS 4234 and as recorded in the register of product for the activity.</w:t>
      </w:r>
    </w:p>
    <w:p w14:paraId="2E20E130" w14:textId="366225A8" w:rsidR="002F4BFE" w:rsidRPr="00867A67" w:rsidRDefault="00DB37AC" w:rsidP="00D633D3">
      <w:pPr>
        <w:pStyle w:val="Subdetailsfirstindent"/>
        <w:numPr>
          <w:ilvl w:val="0"/>
          <w:numId w:val="111"/>
        </w:numPr>
        <w:rPr>
          <w:b/>
          <w:u w:val="single"/>
        </w:rPr>
      </w:pPr>
      <w:r w:rsidRPr="001A768A">
        <w:t>For medium sized heat pump water heaters,</w:t>
      </w:r>
      <w:r w:rsidRPr="00970AD2">
        <w:t xml:space="preserve"> </w:t>
      </w:r>
      <w:r>
        <w:t>t</w:t>
      </w:r>
      <w:r w:rsidR="002F4BFE" w:rsidRPr="00970AD2">
        <w:t xml:space="preserve">he </w:t>
      </w:r>
      <w:r w:rsidR="00D25CD5">
        <w:t>energy savings</w:t>
      </w:r>
      <w:r w:rsidR="002F4BFE" w:rsidRPr="00970AD2">
        <w:t xml:space="preserve"> factor is calculated as</w:t>
      </w:r>
      <w:r w:rsidR="002F4BFE" w:rsidRPr="00867A67">
        <w:rPr>
          <w:bCs/>
        </w:rPr>
        <w:t>—</w:t>
      </w:r>
    </w:p>
    <w:p w14:paraId="3E6BAE0D" w14:textId="651BCF1A" w:rsidR="002F4BFE" w:rsidRPr="00970AD2" w:rsidRDefault="00D25CD5" w:rsidP="002F4BFE">
      <w:pPr>
        <w:pStyle w:val="Formula"/>
      </w:pPr>
      <w:r>
        <w:t>Energy savings</w:t>
      </w:r>
      <w:r w:rsidR="002F4BFE" w:rsidRPr="00970AD2">
        <w:t xml:space="preserve"> factor (</w:t>
      </w:r>
      <w:r>
        <w:t>MWh</w:t>
      </w:r>
      <w:r w:rsidR="002F4BFE" w:rsidRPr="00970AD2">
        <w:t xml:space="preserve">) = </w:t>
      </w:r>
      <w:r>
        <w:t>ESF</w:t>
      </w:r>
      <w:r w:rsidR="002F4BFE" w:rsidRPr="00970AD2">
        <w:rPr>
          <w:vertAlign w:val="subscript"/>
        </w:rPr>
        <w:t>base</w:t>
      </w:r>
      <w:r w:rsidR="002F4BFE" w:rsidRPr="00970AD2">
        <w:t xml:space="preserve"> – (</w:t>
      </w:r>
      <w:r>
        <w:t>ESF</w:t>
      </w:r>
      <w:r w:rsidR="002F4BFE" w:rsidRPr="00970AD2">
        <w:rPr>
          <w:vertAlign w:val="subscript"/>
        </w:rPr>
        <w:t>Bs</w:t>
      </w:r>
      <w:r w:rsidR="002F4BFE" w:rsidRPr="00970AD2">
        <w:t xml:space="preserve"> × Bs) – (</w:t>
      </w:r>
      <w:r>
        <w:t>ESF</w:t>
      </w:r>
      <w:r w:rsidR="002F4BFE" w:rsidRPr="00970AD2">
        <w:rPr>
          <w:vertAlign w:val="subscript"/>
        </w:rPr>
        <w:t>Be</w:t>
      </w:r>
      <w:r w:rsidR="002F4BFE" w:rsidRPr="00970AD2">
        <w:t xml:space="preserve"> × Be)</w:t>
      </w:r>
    </w:p>
    <w:p w14:paraId="44010ABB" w14:textId="77777777" w:rsidR="002F4BFE" w:rsidRPr="00970AD2" w:rsidRDefault="002F4BFE" w:rsidP="002F4BFE">
      <w:pPr>
        <w:pStyle w:val="BodytextEEIS"/>
      </w:pPr>
      <w:r w:rsidRPr="00970AD2">
        <w:t xml:space="preserve">Where </w:t>
      </w:r>
      <w:r w:rsidRPr="00970AD2">
        <w:rPr>
          <w:bCs/>
        </w:rPr>
        <w:t>—</w:t>
      </w:r>
    </w:p>
    <w:p w14:paraId="770571E3" w14:textId="193E6530" w:rsidR="00687B9D" w:rsidRPr="00687B9D" w:rsidRDefault="00D25CD5" w:rsidP="00D633D3">
      <w:pPr>
        <w:pStyle w:val="Subdetailssecondindent"/>
        <w:numPr>
          <w:ilvl w:val="0"/>
          <w:numId w:val="207"/>
        </w:numPr>
      </w:pPr>
      <w:r>
        <w:rPr>
          <w:i/>
          <w:iCs/>
        </w:rPr>
        <w:t>ESF</w:t>
      </w:r>
      <w:r w:rsidR="00687B9D" w:rsidRPr="00687B9D">
        <w:rPr>
          <w:i/>
          <w:iCs/>
          <w:vertAlign w:val="subscript"/>
        </w:rPr>
        <w:t>base</w:t>
      </w:r>
      <w:r w:rsidR="00687B9D" w:rsidRPr="00970AD2">
        <w:t xml:space="preserve">, </w:t>
      </w:r>
      <w:r>
        <w:rPr>
          <w:i/>
          <w:iCs/>
        </w:rPr>
        <w:t>ESF</w:t>
      </w:r>
      <w:r w:rsidR="00687B9D" w:rsidRPr="00687B9D">
        <w:rPr>
          <w:i/>
          <w:iCs/>
          <w:vertAlign w:val="subscript"/>
        </w:rPr>
        <w:t>Bs</w:t>
      </w:r>
      <w:r w:rsidR="00687B9D" w:rsidRPr="00970AD2">
        <w:t xml:space="preserve"> and </w:t>
      </w:r>
      <w:r>
        <w:rPr>
          <w:i/>
          <w:iCs/>
        </w:rPr>
        <w:t>ESF</w:t>
      </w:r>
      <w:r w:rsidR="00687B9D" w:rsidRPr="00687B9D">
        <w:rPr>
          <w:i/>
          <w:iCs/>
          <w:vertAlign w:val="subscript"/>
        </w:rPr>
        <w:t>Be</w:t>
      </w:r>
      <w:r w:rsidR="00687B9D" w:rsidRPr="00970AD2">
        <w:t xml:space="preserve"> are the activity </w:t>
      </w:r>
      <w:r>
        <w:t>energy savings</w:t>
      </w:r>
      <w:r w:rsidR="00687B9D" w:rsidRPr="00970AD2">
        <w:t xml:space="preserve"> values prescribed in </w:t>
      </w:r>
      <w:r w:rsidR="00687B9D">
        <w:t>t</w:t>
      </w:r>
      <w:r w:rsidR="00687B9D" w:rsidRPr="00970AD2">
        <w:t xml:space="preserve">able </w:t>
      </w:r>
      <w:r w:rsidR="00687B9D">
        <w:t>26</w:t>
      </w:r>
      <w:r w:rsidR="00687B9D" w:rsidRPr="00970AD2">
        <w:t xml:space="preserve"> for the system size and type as determined in accordance with AS/NZS 4234 based on the system</w:t>
      </w:r>
      <w:r w:rsidR="00687B9D">
        <w:t>’</w:t>
      </w:r>
      <w:r w:rsidR="00687B9D" w:rsidRPr="00970AD2">
        <w:t xml:space="preserve">s peak daily thermal energy load delivery characteristics; </w:t>
      </w:r>
    </w:p>
    <w:p w14:paraId="26EEF605" w14:textId="77777777" w:rsidR="00D924B9" w:rsidRPr="00970AD2" w:rsidRDefault="00D924B9" w:rsidP="00D633D3">
      <w:pPr>
        <w:pStyle w:val="Subdetailssecondindent"/>
        <w:numPr>
          <w:ilvl w:val="0"/>
          <w:numId w:val="207"/>
        </w:numPr>
      </w:pPr>
      <w:r w:rsidRPr="006B35C8">
        <w:rPr>
          <w:i/>
          <w:iCs/>
        </w:rPr>
        <w:t>Be</w:t>
      </w:r>
      <w:r w:rsidRPr="00970AD2">
        <w:t xml:space="preserve"> </w:t>
      </w:r>
      <w:r w:rsidR="00996E8E">
        <w:t>is</w:t>
      </w:r>
      <w:r w:rsidRPr="00970AD2">
        <w:t xml:space="preserve"> 0 (for medium size heat pump systems only)</w:t>
      </w:r>
      <w:r w:rsidR="00996E8E">
        <w:t>; and</w:t>
      </w:r>
    </w:p>
    <w:p w14:paraId="3860EEAA" w14:textId="77777777" w:rsidR="00D924B9" w:rsidRPr="00970AD2" w:rsidRDefault="00D924B9" w:rsidP="006B35C8">
      <w:pPr>
        <w:pStyle w:val="Subdetailssecondindent"/>
      </w:pPr>
      <w:r w:rsidRPr="006B35C8">
        <w:rPr>
          <w:i/>
          <w:iCs/>
        </w:rPr>
        <w:t>Bs</w:t>
      </w:r>
      <w:r w:rsidRPr="00970AD2">
        <w:t xml:space="preserve"> </w:t>
      </w:r>
      <w:r w:rsidR="00996E8E">
        <w:t>is</w:t>
      </w:r>
      <w:r w:rsidRPr="00970AD2">
        <w:t xml:space="preserve"> (1 – RECs × 0.0214) × 16.67 (for mediu</w:t>
      </w:r>
      <w:r w:rsidR="002D405B" w:rsidRPr="00970AD2">
        <w:t xml:space="preserve">m size heat pump systems only) </w:t>
      </w:r>
      <w:r w:rsidRPr="00970AD2">
        <w:t>in GJ</w:t>
      </w:r>
    </w:p>
    <w:p w14:paraId="79B0C938" w14:textId="77777777" w:rsidR="00D924B9" w:rsidRPr="00970AD2" w:rsidRDefault="00D924B9" w:rsidP="006B35C8">
      <w:pPr>
        <w:pStyle w:val="BodytextEEIS"/>
        <w:ind w:left="1440"/>
      </w:pPr>
      <w:r w:rsidRPr="00970AD2">
        <w:lastRenderedPageBreak/>
        <w:t xml:space="preserve">Where </w:t>
      </w:r>
      <w:r w:rsidRPr="006B35C8">
        <w:rPr>
          <w:i/>
          <w:iCs/>
        </w:rPr>
        <w:t>RECs</w:t>
      </w:r>
      <w:r w:rsidRPr="00970AD2">
        <w:t xml:space="preserve"> is the number of certificates for an installation in Zone 5 for the specific model as listed by the </w:t>
      </w:r>
      <w:r w:rsidR="00996E8E">
        <w:t>CER</w:t>
      </w:r>
      <w:r w:rsidRPr="00970AD2">
        <w:t xml:space="preserve"> in the register of air source heat pumps with a volumetric capacity of no more than 425L and where the number of RECs is greater than or equal to 28 for Zone 5 (HP5-AU).</w:t>
      </w:r>
    </w:p>
    <w:p w14:paraId="0E2464E7" w14:textId="09BC911F" w:rsidR="00D924B9" w:rsidRPr="00970AD2" w:rsidRDefault="00D924B9" w:rsidP="00867A67">
      <w:pPr>
        <w:pStyle w:val="Caption"/>
      </w:pPr>
      <w:bookmarkStart w:id="279" w:name="_Toc37945710"/>
      <w:bookmarkStart w:id="280" w:name="_Toc21868131"/>
      <w:bookmarkStart w:id="281" w:name="_Toc21868263"/>
      <w:r w:rsidRPr="00970AD2">
        <w:t xml:space="preserve">Table </w:t>
      </w:r>
      <w:r w:rsidR="004A0156">
        <w:rPr>
          <w:noProof/>
        </w:rPr>
        <w:fldChar w:fldCharType="begin"/>
      </w:r>
      <w:r w:rsidR="004A0156">
        <w:rPr>
          <w:noProof/>
        </w:rPr>
        <w:instrText xml:space="preserve"> SEQ Table \* ARABIC </w:instrText>
      </w:r>
      <w:r w:rsidR="004A0156">
        <w:rPr>
          <w:noProof/>
        </w:rPr>
        <w:fldChar w:fldCharType="separate"/>
      </w:r>
      <w:r w:rsidR="00880CB1">
        <w:rPr>
          <w:noProof/>
        </w:rPr>
        <w:t>26</w:t>
      </w:r>
      <w:r w:rsidR="004A0156">
        <w:rPr>
          <w:noProof/>
        </w:rPr>
        <w:fldChar w:fldCharType="end"/>
      </w:r>
      <w:r w:rsidRPr="00970AD2">
        <w:t xml:space="preserve"> </w:t>
      </w:r>
      <w:r w:rsidR="009E6E7F">
        <w:tab/>
      </w:r>
      <w:r w:rsidR="00995E5B">
        <w:t xml:space="preserve">Activity </w:t>
      </w:r>
      <w:r w:rsidR="00D85CB2">
        <w:t xml:space="preserve">ID </w:t>
      </w:r>
      <w:r w:rsidR="00995E5B">
        <w:t>3.2</w:t>
      </w:r>
      <w:r w:rsidRPr="00970AD2">
        <w:t xml:space="preserve"> </w:t>
      </w:r>
      <w:r w:rsidR="00D25CD5">
        <w:t>energy savings</w:t>
      </w:r>
      <w:r w:rsidRPr="00970AD2">
        <w:t xml:space="preserve"> values for a specified high efficiency water heater replacing a gas water heater</w:t>
      </w:r>
      <w:bookmarkEnd w:id="279"/>
      <w:r w:rsidR="00E836DB">
        <w:t xml:space="preserve"> </w:t>
      </w:r>
      <w:bookmarkEnd w:id="280"/>
      <w:bookmarkEnd w:id="281"/>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4219"/>
        <w:gridCol w:w="1324"/>
        <w:gridCol w:w="1194"/>
        <w:gridCol w:w="1194"/>
      </w:tblGrid>
      <w:tr w:rsidR="00FD2636" w:rsidRPr="00D936CF" w14:paraId="023ED040" w14:textId="77777777" w:rsidTr="00D25CD5">
        <w:trPr>
          <w:tblHeader/>
        </w:trPr>
        <w:tc>
          <w:tcPr>
            <w:tcW w:w="1204" w:type="dxa"/>
          </w:tcPr>
          <w:p w14:paraId="253FB9A0" w14:textId="77777777" w:rsidR="00FD2636" w:rsidRPr="00970AD2" w:rsidRDefault="00FD2636" w:rsidP="00867A67">
            <w:pPr>
              <w:pStyle w:val="Tableheader"/>
              <w:rPr>
                <w:lang w:eastAsia="en-AU"/>
              </w:rPr>
            </w:pPr>
            <w:r w:rsidRPr="00970AD2">
              <w:rPr>
                <w:lang w:eastAsia="en-AU"/>
              </w:rPr>
              <w:t>Activity ID</w:t>
            </w:r>
          </w:p>
        </w:tc>
        <w:tc>
          <w:tcPr>
            <w:tcW w:w="4219" w:type="dxa"/>
          </w:tcPr>
          <w:p w14:paraId="18C10273" w14:textId="77777777" w:rsidR="00FD2636" w:rsidRPr="00970AD2" w:rsidRDefault="00FD2636" w:rsidP="00867A67">
            <w:pPr>
              <w:pStyle w:val="Tableheader"/>
              <w:rPr>
                <w:lang w:eastAsia="en-AU"/>
              </w:rPr>
            </w:pPr>
            <w:r w:rsidRPr="00970AD2">
              <w:rPr>
                <w:lang w:eastAsia="en-AU"/>
              </w:rPr>
              <w:t>New system size and type</w:t>
            </w:r>
          </w:p>
        </w:tc>
        <w:tc>
          <w:tcPr>
            <w:tcW w:w="1324" w:type="dxa"/>
          </w:tcPr>
          <w:p w14:paraId="3F87A8A7" w14:textId="22180BF5" w:rsidR="00FD2636" w:rsidRPr="00970AD2" w:rsidRDefault="00D25CD5" w:rsidP="00867A67">
            <w:pPr>
              <w:pStyle w:val="Tableheader"/>
              <w:rPr>
                <w:lang w:eastAsia="en-AU"/>
              </w:rPr>
            </w:pPr>
            <w:r>
              <w:rPr>
                <w:lang w:eastAsia="en-AU"/>
              </w:rPr>
              <w:t>ESF</w:t>
            </w:r>
            <w:r w:rsidR="00FD2636" w:rsidRPr="00970AD2">
              <w:rPr>
                <w:vertAlign w:val="subscript"/>
                <w:lang w:eastAsia="en-AU"/>
              </w:rPr>
              <w:t>base</w:t>
            </w:r>
          </w:p>
        </w:tc>
        <w:tc>
          <w:tcPr>
            <w:tcW w:w="1194" w:type="dxa"/>
          </w:tcPr>
          <w:p w14:paraId="525DF552" w14:textId="0F8F8A9A" w:rsidR="00FD2636" w:rsidRPr="00970AD2" w:rsidRDefault="00D25CD5" w:rsidP="00867A67">
            <w:pPr>
              <w:pStyle w:val="Tableheader"/>
              <w:rPr>
                <w:lang w:eastAsia="en-AU"/>
              </w:rPr>
            </w:pPr>
            <w:r>
              <w:rPr>
                <w:lang w:eastAsia="en-AU"/>
              </w:rPr>
              <w:t>ESF</w:t>
            </w:r>
            <w:r w:rsidR="00FD2636" w:rsidRPr="00970AD2">
              <w:rPr>
                <w:vertAlign w:val="subscript"/>
                <w:lang w:eastAsia="en-AU"/>
              </w:rPr>
              <w:t>Bs</w:t>
            </w:r>
          </w:p>
        </w:tc>
        <w:tc>
          <w:tcPr>
            <w:tcW w:w="1194" w:type="dxa"/>
          </w:tcPr>
          <w:p w14:paraId="79991EC8" w14:textId="10C4EC32" w:rsidR="00FD2636" w:rsidRPr="00970AD2" w:rsidRDefault="00D25CD5" w:rsidP="00867A67">
            <w:pPr>
              <w:pStyle w:val="Tableheader"/>
              <w:rPr>
                <w:lang w:eastAsia="en-AU"/>
              </w:rPr>
            </w:pPr>
            <w:r>
              <w:rPr>
                <w:lang w:eastAsia="en-AU"/>
              </w:rPr>
              <w:t>ESF</w:t>
            </w:r>
            <w:r w:rsidR="00FD2636" w:rsidRPr="00970AD2">
              <w:rPr>
                <w:vertAlign w:val="subscript"/>
                <w:lang w:eastAsia="en-AU"/>
              </w:rPr>
              <w:t>Be</w:t>
            </w:r>
          </w:p>
        </w:tc>
      </w:tr>
      <w:tr w:rsidR="00D25CD5" w:rsidRPr="009B622C" w14:paraId="450E3BBB" w14:textId="77777777" w:rsidTr="0064760C">
        <w:tc>
          <w:tcPr>
            <w:tcW w:w="1204" w:type="dxa"/>
          </w:tcPr>
          <w:p w14:paraId="3EC7E8D0" w14:textId="77777777" w:rsidR="00D25CD5" w:rsidRPr="009B622C" w:rsidRDefault="00D25CD5" w:rsidP="00D25CD5">
            <w:pPr>
              <w:pStyle w:val="Tabletext"/>
              <w:rPr>
                <w:lang w:eastAsia="en-AU"/>
              </w:rPr>
            </w:pPr>
            <w:r w:rsidRPr="009B622C">
              <w:rPr>
                <w:lang w:eastAsia="en-AU"/>
              </w:rPr>
              <w:t>3.2(a)</w:t>
            </w:r>
          </w:p>
        </w:tc>
        <w:tc>
          <w:tcPr>
            <w:tcW w:w="4219" w:type="dxa"/>
          </w:tcPr>
          <w:p w14:paraId="163B4AEF" w14:textId="77777777" w:rsidR="00D25CD5" w:rsidRPr="009B622C" w:rsidRDefault="00D25CD5" w:rsidP="00D25CD5">
            <w:pPr>
              <w:pStyle w:val="Tabletext"/>
              <w:rPr>
                <w:lang w:eastAsia="en-AU"/>
              </w:rPr>
            </w:pPr>
            <w:r w:rsidRPr="009B622C">
              <w:rPr>
                <w:lang w:eastAsia="en-AU"/>
              </w:rPr>
              <w:t xml:space="preserve">Solar electric small (25.2 MJ/day or </w:t>
            </w:r>
            <w:r w:rsidRPr="009B622C">
              <w:rPr>
                <w:lang w:eastAsia="en-AU"/>
              </w:rPr>
              <w:br/>
              <w:t>120 litres</w:t>
            </w:r>
            <w:r>
              <w:rPr>
                <w:lang w:eastAsia="en-AU"/>
              </w:rPr>
              <w:t>/</w:t>
            </w:r>
            <w:r w:rsidRPr="009B622C">
              <w:rPr>
                <w:lang w:eastAsia="en-AU"/>
              </w:rPr>
              <w:t>day)</w:t>
            </w:r>
          </w:p>
        </w:tc>
        <w:tc>
          <w:tcPr>
            <w:tcW w:w="1324" w:type="dxa"/>
          </w:tcPr>
          <w:p w14:paraId="7BB6755B" w14:textId="6DA6011E" w:rsidR="00D25CD5" w:rsidRPr="00970AD2" w:rsidRDefault="00D25CD5" w:rsidP="0064760C">
            <w:pPr>
              <w:pStyle w:val="Tabletext"/>
              <w:jc w:val="center"/>
              <w:rPr>
                <w:color w:val="000000"/>
                <w:lang w:eastAsia="en-AU"/>
              </w:rPr>
            </w:pPr>
            <w:r>
              <w:rPr>
                <w:rFonts w:ascii="Calibri" w:hAnsi="Calibri" w:cs="Calibri"/>
                <w:color w:val="000000"/>
                <w:sz w:val="22"/>
                <w:szCs w:val="22"/>
              </w:rPr>
              <w:t>41.632</w:t>
            </w:r>
          </w:p>
        </w:tc>
        <w:tc>
          <w:tcPr>
            <w:tcW w:w="1194" w:type="dxa"/>
          </w:tcPr>
          <w:p w14:paraId="21C12FA7" w14:textId="6E6DC25C" w:rsidR="00D25CD5" w:rsidRPr="00970AD2" w:rsidRDefault="00D25CD5" w:rsidP="0064760C">
            <w:pPr>
              <w:pStyle w:val="Tabletext"/>
              <w:jc w:val="center"/>
              <w:rPr>
                <w:color w:val="000000"/>
                <w:lang w:eastAsia="en-AU"/>
              </w:rPr>
            </w:pPr>
            <w:r>
              <w:rPr>
                <w:rFonts w:ascii="Calibri" w:hAnsi="Calibri" w:cs="Calibri"/>
                <w:color w:val="000000"/>
                <w:sz w:val="22"/>
                <w:szCs w:val="22"/>
              </w:rPr>
              <w:t>2.917</w:t>
            </w:r>
          </w:p>
        </w:tc>
        <w:tc>
          <w:tcPr>
            <w:tcW w:w="1194" w:type="dxa"/>
          </w:tcPr>
          <w:p w14:paraId="0B4DDC6F" w14:textId="03C63445" w:rsidR="00D25CD5" w:rsidRPr="00970AD2" w:rsidRDefault="00D25CD5" w:rsidP="0064760C">
            <w:pPr>
              <w:pStyle w:val="Tabletext"/>
              <w:jc w:val="center"/>
              <w:rPr>
                <w:color w:val="000000"/>
                <w:lang w:eastAsia="en-AU"/>
              </w:rPr>
            </w:pPr>
            <w:r>
              <w:rPr>
                <w:rFonts w:ascii="Calibri" w:hAnsi="Calibri" w:cs="Calibri"/>
                <w:color w:val="000000"/>
                <w:sz w:val="22"/>
                <w:szCs w:val="22"/>
              </w:rPr>
              <w:t>2.917</w:t>
            </w:r>
          </w:p>
        </w:tc>
      </w:tr>
      <w:tr w:rsidR="00D25CD5" w:rsidRPr="009B622C" w14:paraId="199E38D5" w14:textId="77777777" w:rsidTr="0064760C">
        <w:tc>
          <w:tcPr>
            <w:tcW w:w="1204" w:type="dxa"/>
          </w:tcPr>
          <w:p w14:paraId="4E16519F" w14:textId="77777777" w:rsidR="00D25CD5" w:rsidRPr="009B622C" w:rsidRDefault="00D25CD5" w:rsidP="00D25CD5">
            <w:pPr>
              <w:pStyle w:val="Tabletext"/>
              <w:rPr>
                <w:lang w:eastAsia="en-AU"/>
              </w:rPr>
            </w:pPr>
            <w:r w:rsidRPr="009B622C">
              <w:rPr>
                <w:lang w:eastAsia="en-AU"/>
              </w:rPr>
              <w:t>3.2(b)</w:t>
            </w:r>
          </w:p>
        </w:tc>
        <w:tc>
          <w:tcPr>
            <w:tcW w:w="4219" w:type="dxa"/>
          </w:tcPr>
          <w:p w14:paraId="49460EB0" w14:textId="77777777" w:rsidR="00D25CD5" w:rsidRPr="009B622C" w:rsidRDefault="00D25CD5" w:rsidP="00D25CD5">
            <w:pPr>
              <w:pStyle w:val="Tabletext"/>
              <w:rPr>
                <w:lang w:eastAsia="en-AU"/>
              </w:rPr>
            </w:pPr>
            <w:r w:rsidRPr="009B622C">
              <w:rPr>
                <w:lang w:eastAsia="en-AU"/>
              </w:rPr>
              <w:t xml:space="preserve">Solar electric medium (MJ/day or </w:t>
            </w:r>
            <w:r w:rsidRPr="009B622C">
              <w:rPr>
                <w:lang w:eastAsia="en-AU"/>
              </w:rPr>
              <w:br/>
              <w:t>121 to 200 litres/day)</w:t>
            </w:r>
          </w:p>
        </w:tc>
        <w:tc>
          <w:tcPr>
            <w:tcW w:w="1324" w:type="dxa"/>
          </w:tcPr>
          <w:p w14:paraId="1FAE4C2F" w14:textId="65CFDD75" w:rsidR="00D25CD5" w:rsidRPr="00970AD2" w:rsidRDefault="00D25CD5" w:rsidP="0064760C">
            <w:pPr>
              <w:pStyle w:val="Tabletext"/>
              <w:jc w:val="center"/>
              <w:rPr>
                <w:color w:val="000000"/>
                <w:lang w:eastAsia="en-AU"/>
              </w:rPr>
            </w:pPr>
            <w:r>
              <w:rPr>
                <w:rFonts w:ascii="Calibri" w:hAnsi="Calibri" w:cs="Calibri"/>
                <w:color w:val="000000"/>
                <w:sz w:val="22"/>
                <w:szCs w:val="22"/>
              </w:rPr>
              <w:t>60.920</w:t>
            </w:r>
          </w:p>
        </w:tc>
        <w:tc>
          <w:tcPr>
            <w:tcW w:w="1194" w:type="dxa"/>
          </w:tcPr>
          <w:p w14:paraId="7CAD5D2B" w14:textId="726FB9A7" w:rsidR="00D25CD5" w:rsidRPr="00970AD2" w:rsidRDefault="00D25CD5" w:rsidP="0064760C">
            <w:pPr>
              <w:pStyle w:val="Tabletext"/>
              <w:jc w:val="center"/>
              <w:rPr>
                <w:color w:val="000000"/>
                <w:lang w:eastAsia="en-AU"/>
              </w:rPr>
            </w:pPr>
            <w:r>
              <w:rPr>
                <w:rFonts w:ascii="Calibri" w:hAnsi="Calibri" w:cs="Calibri"/>
                <w:color w:val="000000"/>
                <w:sz w:val="22"/>
                <w:szCs w:val="22"/>
              </w:rPr>
              <w:t>2.917</w:t>
            </w:r>
          </w:p>
        </w:tc>
        <w:tc>
          <w:tcPr>
            <w:tcW w:w="1194" w:type="dxa"/>
          </w:tcPr>
          <w:p w14:paraId="21DC405F" w14:textId="433227F1" w:rsidR="00D25CD5" w:rsidRPr="00970AD2" w:rsidRDefault="00D25CD5" w:rsidP="0064760C">
            <w:pPr>
              <w:pStyle w:val="Tabletext"/>
              <w:jc w:val="center"/>
              <w:rPr>
                <w:color w:val="000000"/>
                <w:lang w:eastAsia="en-AU"/>
              </w:rPr>
            </w:pPr>
            <w:r>
              <w:rPr>
                <w:rFonts w:ascii="Calibri" w:hAnsi="Calibri" w:cs="Calibri"/>
                <w:color w:val="000000"/>
                <w:sz w:val="22"/>
                <w:szCs w:val="22"/>
              </w:rPr>
              <w:t>2.917</w:t>
            </w:r>
          </w:p>
        </w:tc>
      </w:tr>
      <w:tr w:rsidR="00D25CD5" w:rsidRPr="00D936CF" w14:paraId="7944DA2D" w14:textId="77777777" w:rsidTr="0064760C">
        <w:tc>
          <w:tcPr>
            <w:tcW w:w="1204" w:type="dxa"/>
          </w:tcPr>
          <w:p w14:paraId="65F6FF52" w14:textId="77777777" w:rsidR="00D25CD5" w:rsidRPr="009B622C" w:rsidRDefault="00D25CD5" w:rsidP="00D25CD5">
            <w:pPr>
              <w:pStyle w:val="Tabletext"/>
              <w:rPr>
                <w:lang w:eastAsia="en-AU"/>
              </w:rPr>
            </w:pPr>
            <w:r w:rsidRPr="009B622C">
              <w:rPr>
                <w:lang w:eastAsia="en-AU"/>
              </w:rPr>
              <w:t>3.2(c)</w:t>
            </w:r>
          </w:p>
        </w:tc>
        <w:tc>
          <w:tcPr>
            <w:tcW w:w="4219" w:type="dxa"/>
          </w:tcPr>
          <w:p w14:paraId="4FADD29E" w14:textId="77777777" w:rsidR="00D25CD5" w:rsidRPr="009B622C" w:rsidRDefault="00D25CD5" w:rsidP="00D25CD5">
            <w:pPr>
              <w:pStyle w:val="Tabletext"/>
              <w:rPr>
                <w:lang w:eastAsia="en-AU"/>
              </w:rPr>
            </w:pPr>
            <w:r w:rsidRPr="009B622C">
              <w:rPr>
                <w:lang w:eastAsia="en-AU"/>
              </w:rPr>
              <w:t>Electric heat pump medium (42 MJ/day or 200 litres/day)</w:t>
            </w:r>
          </w:p>
        </w:tc>
        <w:tc>
          <w:tcPr>
            <w:tcW w:w="1324" w:type="dxa"/>
          </w:tcPr>
          <w:p w14:paraId="5A75CB77" w14:textId="76330E28" w:rsidR="00D25CD5" w:rsidRPr="00970AD2" w:rsidRDefault="00D25CD5" w:rsidP="0064760C">
            <w:pPr>
              <w:pStyle w:val="Tabletext"/>
              <w:jc w:val="center"/>
              <w:rPr>
                <w:color w:val="000000"/>
                <w:lang w:eastAsia="en-AU"/>
              </w:rPr>
            </w:pPr>
            <w:r>
              <w:rPr>
                <w:rFonts w:ascii="Calibri" w:hAnsi="Calibri" w:cs="Calibri"/>
                <w:color w:val="000000"/>
                <w:sz w:val="22"/>
                <w:szCs w:val="22"/>
              </w:rPr>
              <w:t>60.920</w:t>
            </w:r>
          </w:p>
        </w:tc>
        <w:tc>
          <w:tcPr>
            <w:tcW w:w="1194" w:type="dxa"/>
          </w:tcPr>
          <w:p w14:paraId="740B8CCA" w14:textId="1FB30AEC" w:rsidR="00D25CD5" w:rsidRPr="00970AD2" w:rsidRDefault="00D25CD5" w:rsidP="0064760C">
            <w:pPr>
              <w:pStyle w:val="Tabletext"/>
              <w:jc w:val="center"/>
              <w:rPr>
                <w:color w:val="000000"/>
                <w:lang w:eastAsia="en-AU"/>
              </w:rPr>
            </w:pPr>
            <w:r>
              <w:rPr>
                <w:rFonts w:ascii="Calibri" w:hAnsi="Calibri" w:cs="Calibri"/>
                <w:color w:val="000000"/>
                <w:sz w:val="22"/>
                <w:szCs w:val="22"/>
              </w:rPr>
              <w:t>2.917</w:t>
            </w:r>
          </w:p>
        </w:tc>
        <w:tc>
          <w:tcPr>
            <w:tcW w:w="1194" w:type="dxa"/>
          </w:tcPr>
          <w:p w14:paraId="7A25052F" w14:textId="32B6B2E9" w:rsidR="00D25CD5" w:rsidRPr="00970AD2" w:rsidRDefault="00D25CD5" w:rsidP="0064760C">
            <w:pPr>
              <w:pStyle w:val="Tabletext"/>
              <w:jc w:val="center"/>
              <w:rPr>
                <w:color w:val="000000"/>
                <w:lang w:eastAsia="en-AU"/>
              </w:rPr>
            </w:pPr>
            <w:r>
              <w:rPr>
                <w:rFonts w:ascii="Calibri" w:hAnsi="Calibri" w:cs="Calibri"/>
                <w:color w:val="000000"/>
                <w:sz w:val="22"/>
                <w:szCs w:val="22"/>
              </w:rPr>
              <w:t>2.917</w:t>
            </w:r>
          </w:p>
        </w:tc>
      </w:tr>
    </w:tbl>
    <w:p w14:paraId="6172E529" w14:textId="77777777" w:rsidR="00D924B9" w:rsidRPr="00970AD2" w:rsidRDefault="00D85CB2" w:rsidP="00867A67">
      <w:pPr>
        <w:pStyle w:val="Sectionheading2"/>
      </w:pPr>
      <w:bookmarkStart w:id="282" w:name="_Toc325753159"/>
      <w:bookmarkStart w:id="283" w:name="_Toc462215324"/>
      <w:bookmarkStart w:id="284" w:name="_Toc466535739"/>
      <w:r>
        <w:br w:type="page"/>
      </w:r>
      <w:bookmarkStart w:id="285" w:name="_Toc27560560"/>
      <w:r w:rsidR="00D924B9" w:rsidRPr="00970AD2">
        <w:lastRenderedPageBreak/>
        <w:t>Replace an existing shower fixture outlet with a low flow shower fixture outlet</w:t>
      </w:r>
      <w:bookmarkEnd w:id="282"/>
      <w:bookmarkEnd w:id="283"/>
      <w:bookmarkEnd w:id="284"/>
      <w:bookmarkEnd w:id="285"/>
    </w:p>
    <w:p w14:paraId="0FCE36A1" w14:textId="77777777" w:rsidR="00D924B9" w:rsidRPr="00970AD2" w:rsidRDefault="00D924B9" w:rsidP="00867A67">
      <w:pPr>
        <w:pStyle w:val="Sectionheading3"/>
      </w:pPr>
      <w:r w:rsidRPr="00970AD2">
        <w:t>Activity definition</w:t>
      </w:r>
    </w:p>
    <w:p w14:paraId="75128511" w14:textId="77777777" w:rsidR="00D924B9" w:rsidRDefault="00224144" w:rsidP="00867A67">
      <w:pPr>
        <w:pStyle w:val="BodytextEEIS"/>
      </w:pPr>
      <w:r w:rsidRPr="00970AD2">
        <w:rPr>
          <w:b/>
        </w:rPr>
        <w:t xml:space="preserve">Activity </w:t>
      </w:r>
      <w:r w:rsidR="00CC7414" w:rsidRPr="00970AD2">
        <w:rPr>
          <w:b/>
        </w:rPr>
        <w:t xml:space="preserve">ID </w:t>
      </w:r>
      <w:r w:rsidRPr="00970AD2">
        <w:rPr>
          <w:b/>
        </w:rPr>
        <w:t xml:space="preserve">3.3 </w:t>
      </w:r>
      <w:r w:rsidRPr="00970AD2">
        <w:t>–</w:t>
      </w:r>
      <w:r w:rsidRPr="00970AD2">
        <w:rPr>
          <w:b/>
        </w:rPr>
        <w:t xml:space="preserve"> </w:t>
      </w:r>
      <w:r w:rsidR="00D924B9" w:rsidRPr="00970AD2">
        <w:t xml:space="preserve">In accordance with the prescribed minimum activity performance specifications, removing a shower fixture outlet or outlets with a flow rate of greater </w:t>
      </w:r>
      <w:r w:rsidR="00D924B9" w:rsidRPr="003E53A8">
        <w:t>than 9 litres per minute and replacing with a shower fixture outlet or outlets with a WELS rated flow rate of 9 litres per minute or less</w:t>
      </w:r>
      <w:r w:rsidR="00D924B9" w:rsidRPr="00970AD2">
        <w:t>.</w:t>
      </w:r>
    </w:p>
    <w:p w14:paraId="6287E16C" w14:textId="77777777" w:rsidR="007D1160" w:rsidRDefault="007D1160" w:rsidP="00D633D3">
      <w:pPr>
        <w:pStyle w:val="Subdetailsfirstindent"/>
        <w:numPr>
          <w:ilvl w:val="0"/>
          <w:numId w:val="232"/>
        </w:numPr>
      </w:pPr>
      <w:r w:rsidRPr="002D0A57">
        <w:rPr>
          <w:b/>
        </w:rPr>
        <w:t xml:space="preserve">Activity ID </w:t>
      </w:r>
      <w:r>
        <w:rPr>
          <w:b/>
        </w:rPr>
        <w:t>3</w:t>
      </w:r>
      <w:r w:rsidRPr="002D0A57">
        <w:rPr>
          <w:b/>
        </w:rPr>
        <w:t>.</w:t>
      </w:r>
      <w:r>
        <w:rPr>
          <w:b/>
        </w:rPr>
        <w:t>3</w:t>
      </w:r>
      <w:r w:rsidRPr="002D0A57">
        <w:rPr>
          <w:b/>
        </w:rPr>
        <w:t xml:space="preserve">(a) </w:t>
      </w:r>
      <w:r>
        <w:t>–</w:t>
      </w:r>
      <w:r w:rsidRPr="00C85399">
        <w:t xml:space="preserve"> </w:t>
      </w:r>
      <w:r w:rsidRPr="00157B11">
        <w:t>Over 6.0 and not more than 9.0 litres/minute</w:t>
      </w:r>
      <w:r>
        <w:t>; or</w:t>
      </w:r>
    </w:p>
    <w:p w14:paraId="11DFDD01" w14:textId="77777777" w:rsidR="007D1160" w:rsidRDefault="007D1160" w:rsidP="007D1160">
      <w:pPr>
        <w:pStyle w:val="Subdetailsfirstindent"/>
      </w:pPr>
      <w:r w:rsidRPr="00970AD2">
        <w:rPr>
          <w:b/>
        </w:rPr>
        <w:t xml:space="preserve">Activity ID </w:t>
      </w:r>
      <w:r>
        <w:rPr>
          <w:b/>
        </w:rPr>
        <w:t>3.3</w:t>
      </w:r>
      <w:r w:rsidRPr="00970AD2">
        <w:rPr>
          <w:b/>
        </w:rPr>
        <w:t>(</w:t>
      </w:r>
      <w:r>
        <w:rPr>
          <w:b/>
        </w:rPr>
        <w:t>b</w:t>
      </w:r>
      <w:r w:rsidRPr="00970AD2">
        <w:rPr>
          <w:b/>
        </w:rPr>
        <w:t>)</w:t>
      </w:r>
      <w:r>
        <w:rPr>
          <w:b/>
        </w:rPr>
        <w:t xml:space="preserve"> </w:t>
      </w:r>
      <w:r>
        <w:t xml:space="preserve">– </w:t>
      </w:r>
      <w:r w:rsidRPr="00157B11">
        <w:t>Not more than 6.0 litres/minute</w:t>
      </w:r>
      <w:r>
        <w:t>.</w:t>
      </w:r>
    </w:p>
    <w:p w14:paraId="542E3100" w14:textId="77777777" w:rsidR="007D1160" w:rsidRDefault="007D1160" w:rsidP="007D1160">
      <w:pPr>
        <w:pStyle w:val="Notesandexamples"/>
      </w:pPr>
      <w:r w:rsidRPr="00970AD2">
        <w:t>Note</w:t>
      </w:r>
      <w:r>
        <w:t xml:space="preserve"> 1</w:t>
      </w:r>
      <w:r w:rsidRPr="00970AD2">
        <w:tab/>
      </w:r>
      <w:r w:rsidRPr="00823AAF">
        <w:t xml:space="preserve">These categories are </w:t>
      </w:r>
      <w:r>
        <w:t>further de</w:t>
      </w:r>
      <w:r w:rsidRPr="00823AAF">
        <w:t xml:space="preserve">fined in </w:t>
      </w:r>
      <w:r>
        <w:t>s</w:t>
      </w:r>
      <w:r w:rsidRPr="00823AAF">
        <w:t xml:space="preserve">ection </w:t>
      </w:r>
      <w:r>
        <w:t>3.3.</w:t>
      </w:r>
      <w:r w:rsidRPr="00823AAF">
        <w:t xml:space="preserve">5, </w:t>
      </w:r>
      <w:r>
        <w:t>t</w:t>
      </w:r>
      <w:r w:rsidRPr="00823AAF">
        <w:t xml:space="preserve">able </w:t>
      </w:r>
      <w:r>
        <w:t>27</w:t>
      </w:r>
      <w:r w:rsidRPr="00823AAF">
        <w:t>.</w:t>
      </w:r>
    </w:p>
    <w:p w14:paraId="0B1AAB57" w14:textId="77777777" w:rsidR="007D1160" w:rsidRPr="00970AD2" w:rsidRDefault="007D1160" w:rsidP="00F675B8">
      <w:pPr>
        <w:pStyle w:val="Notesandexamples"/>
      </w:pPr>
      <w:r>
        <w:t>Note 2</w:t>
      </w:r>
      <w:r>
        <w:tab/>
        <w:t>The numbering system used above relates to the tables in section 3.3.5.</w:t>
      </w:r>
    </w:p>
    <w:p w14:paraId="192BD005" w14:textId="77777777" w:rsidR="00D924B9" w:rsidRPr="00970AD2" w:rsidRDefault="00D924B9" w:rsidP="00867A67">
      <w:pPr>
        <w:pStyle w:val="Sectionheading3"/>
      </w:pPr>
      <w:r w:rsidRPr="00970AD2">
        <w:t>Minimum activity performance specifications</w:t>
      </w:r>
    </w:p>
    <w:p w14:paraId="40D8181F" w14:textId="77777777" w:rsidR="00D924B9" w:rsidRPr="00970AD2" w:rsidRDefault="00D924B9" w:rsidP="00867A67">
      <w:pPr>
        <w:pStyle w:val="BodytextEEIS"/>
        <w:rPr>
          <w:i/>
        </w:rPr>
      </w:pPr>
      <w:r w:rsidRPr="00970AD2">
        <w:t>To be an eligible activity the activity must</w:t>
      </w:r>
      <w:r w:rsidRPr="00970AD2">
        <w:rPr>
          <w:b/>
          <w:bCs/>
        </w:rPr>
        <w:t>—</w:t>
      </w:r>
    </w:p>
    <w:p w14:paraId="3D2241F7" w14:textId="77777777" w:rsidR="00D924B9" w:rsidRPr="00970AD2" w:rsidRDefault="00D924B9" w:rsidP="00D633D3">
      <w:pPr>
        <w:pStyle w:val="Subdetailsfirstindent"/>
        <w:numPr>
          <w:ilvl w:val="0"/>
          <w:numId w:val="113"/>
        </w:numPr>
      </w:pPr>
      <w:r w:rsidRPr="00970AD2">
        <w:t xml:space="preserve">be undertaken at an eligible residential premises or an eligible business premises; </w:t>
      </w:r>
    </w:p>
    <w:p w14:paraId="66497F5D" w14:textId="77777777" w:rsidR="00D924B9" w:rsidRPr="00970AD2" w:rsidRDefault="00D924B9" w:rsidP="00D633D3">
      <w:pPr>
        <w:pStyle w:val="Subdetailsfirstindent"/>
        <w:numPr>
          <w:ilvl w:val="0"/>
          <w:numId w:val="113"/>
        </w:numPr>
      </w:pPr>
      <w:r w:rsidRPr="00970AD2">
        <w:t xml:space="preserve">be undertaken using a product or products meeting the installed product requirements in section </w:t>
      </w:r>
      <w:r w:rsidR="00A439E8">
        <w:t>3.3.</w:t>
      </w:r>
      <w:r w:rsidRPr="00970AD2">
        <w:t xml:space="preserve">3; </w:t>
      </w:r>
    </w:p>
    <w:p w14:paraId="2CA7FC70" w14:textId="77777777" w:rsidR="00D924B9" w:rsidRPr="00970AD2" w:rsidRDefault="00D924B9" w:rsidP="00D633D3">
      <w:pPr>
        <w:pStyle w:val="Subdetailsfirstindent"/>
        <w:numPr>
          <w:ilvl w:val="0"/>
          <w:numId w:val="113"/>
        </w:numPr>
      </w:pPr>
      <w:r w:rsidRPr="00970AD2">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14:paraId="438C0C82" w14:textId="77777777" w:rsidR="00D924B9" w:rsidRPr="00970AD2" w:rsidRDefault="00D924B9" w:rsidP="00D633D3">
      <w:pPr>
        <w:pStyle w:val="Subdetailsfirstindent"/>
        <w:numPr>
          <w:ilvl w:val="0"/>
          <w:numId w:val="113"/>
        </w:numPr>
      </w:pPr>
      <w:r w:rsidRPr="00970AD2">
        <w:t>be recorded in accordance with any relevant code of practice for the activity.</w:t>
      </w:r>
    </w:p>
    <w:p w14:paraId="6EC8BD6D" w14:textId="77777777" w:rsidR="00D924B9" w:rsidRPr="00316962" w:rsidRDefault="00D924B9" w:rsidP="007E3AF7">
      <w:pPr>
        <w:pStyle w:val="Notesandexamples"/>
      </w:pPr>
      <w:r w:rsidRPr="00316962">
        <w:t>Note</w:t>
      </w:r>
      <w:r w:rsidRPr="00316962">
        <w:tab/>
        <w:t>All activities are subject to independent inspection or audit to confirm compliance with prescribed activity requirements.</w:t>
      </w:r>
    </w:p>
    <w:p w14:paraId="2617F583" w14:textId="77777777" w:rsidR="00D924B9" w:rsidRPr="00970AD2" w:rsidRDefault="00D924B9" w:rsidP="007E3AF7">
      <w:pPr>
        <w:pStyle w:val="Sectionheading3"/>
      </w:pPr>
      <w:r w:rsidRPr="00970AD2">
        <w:t>Installed product requirements</w:t>
      </w:r>
    </w:p>
    <w:p w14:paraId="00326043" w14:textId="77777777" w:rsidR="00D924B9" w:rsidRPr="00970AD2" w:rsidRDefault="00D924B9" w:rsidP="007E3AF7">
      <w:pPr>
        <w:pStyle w:val="BodytextEEIS"/>
      </w:pPr>
      <w:r w:rsidRPr="00970AD2">
        <w:t>An installed product must be a shower fixture outlet, including the shower head, flow restrictor and any other components integral to and supplied with the fixture that</w:t>
      </w:r>
      <w:r w:rsidRPr="00970AD2">
        <w:rPr>
          <w:b/>
          <w:bCs/>
        </w:rPr>
        <w:t>—</w:t>
      </w:r>
      <w:r w:rsidRPr="00970AD2">
        <w:t xml:space="preserve"> </w:t>
      </w:r>
    </w:p>
    <w:p w14:paraId="27A38A43" w14:textId="77777777" w:rsidR="00D924B9" w:rsidRPr="00970AD2" w:rsidRDefault="00D924B9" w:rsidP="00D633D3">
      <w:pPr>
        <w:pStyle w:val="Subdetailsfirstindent"/>
        <w:numPr>
          <w:ilvl w:val="0"/>
          <w:numId w:val="114"/>
        </w:numPr>
      </w:pPr>
      <w:r w:rsidRPr="00970AD2">
        <w:t xml:space="preserve">complies with the requirements of AS 3662; </w:t>
      </w:r>
    </w:p>
    <w:p w14:paraId="47FBEE5A" w14:textId="77777777" w:rsidR="00D924B9" w:rsidRPr="00970AD2" w:rsidRDefault="00D924B9" w:rsidP="00D633D3">
      <w:pPr>
        <w:pStyle w:val="Subdetailsfirstindent"/>
        <w:numPr>
          <w:ilvl w:val="0"/>
          <w:numId w:val="114"/>
        </w:numPr>
      </w:pPr>
      <w:r w:rsidRPr="00970AD2">
        <w:t xml:space="preserve">achieves maximum flow rate of 9 litres per minute or less and a minimum water efficiency rating of 3 stars when assessed and labelled in accordance with AS 6400; </w:t>
      </w:r>
    </w:p>
    <w:p w14:paraId="26F3DBE6" w14:textId="77777777" w:rsidR="00D924B9" w:rsidRPr="00970AD2" w:rsidRDefault="00D924B9" w:rsidP="00D633D3">
      <w:pPr>
        <w:pStyle w:val="Subdetailsfirstindent"/>
        <w:numPr>
          <w:ilvl w:val="0"/>
          <w:numId w:val="114"/>
        </w:numPr>
      </w:pPr>
      <w:r w:rsidRPr="00970AD2">
        <w:t xml:space="preserve">carries a mark from a relevant accredited body certifying that the shower fixture outlet complies with the plumbing code; </w:t>
      </w:r>
    </w:p>
    <w:p w14:paraId="7447BAED" w14:textId="77777777" w:rsidR="00D924B9" w:rsidRPr="00970AD2" w:rsidRDefault="00D924B9" w:rsidP="00D633D3">
      <w:pPr>
        <w:pStyle w:val="Subdetailsfirstindent"/>
        <w:numPr>
          <w:ilvl w:val="0"/>
          <w:numId w:val="114"/>
        </w:numPr>
      </w:pPr>
      <w:r w:rsidRPr="00970AD2">
        <w:t>complies with any product safety or other product performance requirements in a relevant code of practice or other relevant legisl</w:t>
      </w:r>
      <w:r w:rsidR="00FA616C" w:rsidRPr="00970AD2">
        <w:t>ation applying to the activity</w:t>
      </w:r>
      <w:r w:rsidR="00085EBA" w:rsidRPr="00970AD2">
        <w:t>; and</w:t>
      </w:r>
    </w:p>
    <w:p w14:paraId="7EDB1506" w14:textId="77777777" w:rsidR="00120738" w:rsidRPr="007E3AF7" w:rsidRDefault="00492849" w:rsidP="00D633D3">
      <w:pPr>
        <w:pStyle w:val="Subdetailsfirstindent"/>
        <w:numPr>
          <w:ilvl w:val="0"/>
          <w:numId w:val="114"/>
        </w:numPr>
        <w:rPr>
          <w:sz w:val="32"/>
        </w:rPr>
      </w:pPr>
      <w:r w:rsidRPr="007E3AF7">
        <w:rPr>
          <w:szCs w:val="16"/>
        </w:rPr>
        <w:t xml:space="preserve">if undertaken at a residential premises, is undertaken on a maximum of </w:t>
      </w:r>
      <w:r w:rsidR="00A439E8">
        <w:rPr>
          <w:szCs w:val="16"/>
        </w:rPr>
        <w:t>two</w:t>
      </w:r>
      <w:r w:rsidRPr="007E3AF7">
        <w:rPr>
          <w:szCs w:val="16"/>
        </w:rPr>
        <w:t xml:space="preserve"> shower fixtures in a single premises including the showers with the highest usage rates according to the occupant.</w:t>
      </w:r>
    </w:p>
    <w:p w14:paraId="35C27BFE" w14:textId="77777777" w:rsidR="00D924B9" w:rsidRPr="00970AD2" w:rsidRDefault="00D924B9" w:rsidP="007E3AF7">
      <w:pPr>
        <w:pStyle w:val="Sectionheading3"/>
        <w:rPr>
          <w:u w:val="single"/>
        </w:rPr>
      </w:pPr>
      <w:r w:rsidRPr="00970AD2">
        <w:lastRenderedPageBreak/>
        <w:t>Time the activity is taken to be completed</w:t>
      </w:r>
    </w:p>
    <w:p w14:paraId="011BA003" w14:textId="77777777" w:rsidR="00D924B9" w:rsidRPr="00970AD2" w:rsidRDefault="00D924B9" w:rsidP="007E3AF7">
      <w:pPr>
        <w:pStyle w:val="BodytextEEIS"/>
      </w:pPr>
      <w:r w:rsidRPr="00970AD2">
        <w:t xml:space="preserve">The activity is taken to be completed on the day all applicable prescribed activity requirements are completed, including but not limited to the disposal of any waste materials and lodgement of all statutory certifications for plumbing work. </w:t>
      </w:r>
    </w:p>
    <w:p w14:paraId="1BD63350" w14:textId="25FA70CF" w:rsidR="00D924B9" w:rsidRPr="00970AD2" w:rsidRDefault="00D924B9" w:rsidP="007E3AF7">
      <w:pPr>
        <w:pStyle w:val="Sectionheading3"/>
        <w:rPr>
          <w:u w:val="single"/>
        </w:rPr>
      </w:pPr>
      <w:r w:rsidRPr="00970AD2">
        <w:t xml:space="preserve">Calculation of </w:t>
      </w:r>
      <w:r w:rsidR="00D25CD5">
        <w:t>energy savings</w:t>
      </w:r>
      <w:r w:rsidRPr="00970AD2">
        <w:t xml:space="preserve"> factor</w:t>
      </w:r>
    </w:p>
    <w:p w14:paraId="037B3B97" w14:textId="5F367A5F" w:rsidR="00D924B9" w:rsidRPr="00970AD2" w:rsidRDefault="00D924B9" w:rsidP="00002E97">
      <w:pPr>
        <w:pStyle w:val="BodytextEEIS"/>
      </w:pPr>
      <w:r w:rsidRPr="00970AD2">
        <w:t xml:space="preserve">The total </w:t>
      </w:r>
      <w:r w:rsidR="00D25CD5">
        <w:t>energy savings</w:t>
      </w:r>
      <w:r w:rsidRPr="00970AD2">
        <w:t xml:space="preserve"> factor in </w:t>
      </w:r>
      <w:r w:rsidR="00880CB1">
        <w:t>Megawatt-hours</w:t>
      </w:r>
      <w:r w:rsidR="00D25CD5">
        <w:t xml:space="preserve"> (MWh)</w:t>
      </w:r>
      <w:r w:rsidRPr="00970AD2">
        <w:t xml:space="preserve"> saved in a premises must be determined by using the equation prescribed in this section.</w:t>
      </w:r>
    </w:p>
    <w:p w14:paraId="29A9BF53" w14:textId="480167E7" w:rsidR="00D924B9" w:rsidRPr="00970AD2" w:rsidRDefault="00D924B9" w:rsidP="00D633D3">
      <w:pPr>
        <w:pStyle w:val="Subdetailsfirstindent"/>
        <w:numPr>
          <w:ilvl w:val="0"/>
          <w:numId w:val="115"/>
        </w:numPr>
      </w:pPr>
      <w:r w:rsidRPr="00970AD2">
        <w:t xml:space="preserve">The </w:t>
      </w:r>
      <w:r w:rsidR="00D25CD5">
        <w:t>energy savings</w:t>
      </w:r>
      <w:r w:rsidRPr="00970AD2">
        <w:t xml:space="preserve"> factor for the activity is calculated as</w:t>
      </w:r>
      <w:r w:rsidRPr="007E3AF7">
        <w:rPr>
          <w:b/>
          <w:bCs/>
        </w:rPr>
        <w:t>—</w:t>
      </w:r>
      <w:r w:rsidRPr="00970AD2">
        <w:t xml:space="preserve">  </w:t>
      </w:r>
    </w:p>
    <w:p w14:paraId="701D9C78" w14:textId="1A35AE37" w:rsidR="00995E5B" w:rsidRDefault="00D25CD5" w:rsidP="00995E5B">
      <w:pPr>
        <w:pStyle w:val="Formula"/>
      </w:pPr>
      <w:r>
        <w:t>Energy savings</w:t>
      </w:r>
      <w:r w:rsidR="00995E5B">
        <w:t xml:space="preserve"> factor (</w:t>
      </w:r>
      <w:r>
        <w:t>MWh</w:t>
      </w:r>
      <w:r w:rsidR="00995E5B">
        <w:t xml:space="preserve">) = </w:t>
      </w:r>
      <w:r>
        <w:t>ESF</w:t>
      </w:r>
      <w:r w:rsidR="00995E5B">
        <w:t xml:space="preserve"> x N</w:t>
      </w:r>
    </w:p>
    <w:p w14:paraId="3B088A76" w14:textId="77777777" w:rsidR="00D924B9" w:rsidRPr="00970AD2" w:rsidRDefault="00D924B9" w:rsidP="007E3AF7">
      <w:pPr>
        <w:pStyle w:val="BodytextEEIS"/>
        <w:rPr>
          <w:bCs/>
        </w:rPr>
      </w:pPr>
      <w:r w:rsidRPr="00970AD2">
        <w:t>Where</w:t>
      </w:r>
      <w:r w:rsidRPr="00970AD2">
        <w:rPr>
          <w:bCs/>
        </w:rPr>
        <w:t>—</w:t>
      </w:r>
    </w:p>
    <w:p w14:paraId="51B4B173" w14:textId="189C5CD4" w:rsidR="00D924B9" w:rsidRPr="009A4B9E" w:rsidRDefault="00D25CD5" w:rsidP="00D633D3">
      <w:pPr>
        <w:pStyle w:val="Subdetailssecondindent"/>
        <w:numPr>
          <w:ilvl w:val="0"/>
          <w:numId w:val="116"/>
        </w:numPr>
      </w:pPr>
      <w:r>
        <w:rPr>
          <w:i/>
          <w:iCs/>
        </w:rPr>
        <w:t>ESF</w:t>
      </w:r>
      <w:r w:rsidR="00D924B9" w:rsidRPr="009A4B9E">
        <w:t xml:space="preserve"> is the relevant activity </w:t>
      </w:r>
      <w:r>
        <w:t>energy savings</w:t>
      </w:r>
      <w:r w:rsidR="00D924B9" w:rsidRPr="009A4B9E">
        <w:t xml:space="preserve"> value prescribed for the WELS rated flow rate of the shower</w:t>
      </w:r>
      <w:r w:rsidR="00A439E8">
        <w:t xml:space="preserve"> </w:t>
      </w:r>
      <w:r w:rsidR="00D924B9" w:rsidRPr="009A4B9E">
        <w:t xml:space="preserve">head in </w:t>
      </w:r>
      <w:r w:rsidR="00A439E8">
        <w:t>t</w:t>
      </w:r>
      <w:r w:rsidR="00E1796B" w:rsidRPr="009A4B9E">
        <w:t>able</w:t>
      </w:r>
      <w:r w:rsidR="00D924B9" w:rsidRPr="009A4B9E">
        <w:t xml:space="preserve"> </w:t>
      </w:r>
      <w:r w:rsidR="00A439E8">
        <w:t>27</w:t>
      </w:r>
      <w:r w:rsidR="00D924B9" w:rsidRPr="009A4B9E">
        <w:t xml:space="preserve">; and </w:t>
      </w:r>
    </w:p>
    <w:p w14:paraId="1C0867CA" w14:textId="77777777" w:rsidR="00D924B9" w:rsidRPr="007E3AF7" w:rsidRDefault="00D924B9" w:rsidP="00D633D3">
      <w:pPr>
        <w:pStyle w:val="Subdetailssecondindent"/>
        <w:numPr>
          <w:ilvl w:val="0"/>
          <w:numId w:val="116"/>
        </w:numPr>
      </w:pPr>
      <w:r w:rsidRPr="00002E97">
        <w:rPr>
          <w:i/>
          <w:iCs/>
        </w:rPr>
        <w:t>N</w:t>
      </w:r>
      <w:r w:rsidRPr="009A4B9E">
        <w:t xml:space="preserve"> is the number of shower fixture outlets installed in the premises with a maximum value of </w:t>
      </w:r>
      <w:r w:rsidR="00A439E8">
        <w:t>two</w:t>
      </w:r>
      <w:r w:rsidR="00265B2B" w:rsidRPr="009A4B9E">
        <w:t xml:space="preserve"> in a residential premises</w:t>
      </w:r>
      <w:r w:rsidRPr="009A4B9E">
        <w:t xml:space="preserve">. </w:t>
      </w:r>
    </w:p>
    <w:p w14:paraId="09827027" w14:textId="41A1F6A0" w:rsidR="00157B11" w:rsidRPr="00970AD2" w:rsidRDefault="00D924B9" w:rsidP="007E3AF7">
      <w:pPr>
        <w:pStyle w:val="Caption"/>
      </w:pPr>
      <w:bookmarkStart w:id="286" w:name="_Toc37945711"/>
      <w:bookmarkStart w:id="287" w:name="_Toc21868132"/>
      <w:bookmarkStart w:id="288" w:name="_Toc21868264"/>
      <w:r w:rsidRPr="00970AD2">
        <w:t xml:space="preserve">Table </w:t>
      </w:r>
      <w:r w:rsidR="004A0156">
        <w:rPr>
          <w:noProof/>
        </w:rPr>
        <w:fldChar w:fldCharType="begin"/>
      </w:r>
      <w:r w:rsidR="004A0156">
        <w:rPr>
          <w:noProof/>
        </w:rPr>
        <w:instrText xml:space="preserve"> SEQ Table \* ARABIC </w:instrText>
      </w:r>
      <w:r w:rsidR="004A0156">
        <w:rPr>
          <w:noProof/>
        </w:rPr>
        <w:fldChar w:fldCharType="separate"/>
      </w:r>
      <w:r w:rsidR="00880CB1">
        <w:rPr>
          <w:noProof/>
        </w:rPr>
        <w:t>27</w:t>
      </w:r>
      <w:r w:rsidR="004A0156">
        <w:rPr>
          <w:noProof/>
        </w:rPr>
        <w:fldChar w:fldCharType="end"/>
      </w:r>
      <w:r w:rsidRPr="00970AD2">
        <w:t xml:space="preserve"> </w:t>
      </w:r>
      <w:r w:rsidR="009E6E7F">
        <w:tab/>
      </w:r>
      <w:r w:rsidR="00995E5B">
        <w:t>Activity</w:t>
      </w:r>
      <w:r w:rsidR="00D85CB2">
        <w:t xml:space="preserve"> ID</w:t>
      </w:r>
      <w:r w:rsidR="00995E5B">
        <w:t xml:space="preserve"> 3.3</w:t>
      </w:r>
      <w:r w:rsidRPr="00970AD2">
        <w:t xml:space="preserve"> </w:t>
      </w:r>
      <w:r w:rsidR="00D25CD5">
        <w:t>energy savings</w:t>
      </w:r>
      <w:r w:rsidRPr="00970AD2">
        <w:t xml:space="preserve"> values for low flow shower fixtures</w:t>
      </w:r>
      <w:bookmarkEnd w:id="286"/>
      <w:r w:rsidRPr="00970AD2">
        <w:t xml:space="preserve"> </w:t>
      </w:r>
      <w:bookmarkEnd w:id="287"/>
      <w:bookmarkEnd w:id="288"/>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240"/>
        <w:gridCol w:w="3760"/>
      </w:tblGrid>
      <w:tr w:rsidR="00FD2636" w:rsidRPr="00D936CF" w14:paraId="228231B3" w14:textId="77777777" w:rsidTr="007E3AF7">
        <w:trPr>
          <w:trHeight w:val="329"/>
          <w:tblHeader/>
        </w:trPr>
        <w:tc>
          <w:tcPr>
            <w:tcW w:w="1134" w:type="dxa"/>
          </w:tcPr>
          <w:p w14:paraId="6C152B62" w14:textId="77777777" w:rsidR="00FD2636" w:rsidRPr="00970AD2" w:rsidRDefault="00FD2636" w:rsidP="007E3AF7">
            <w:pPr>
              <w:pStyle w:val="Tableheader"/>
            </w:pPr>
            <w:r w:rsidRPr="00970AD2">
              <w:t>Activity ID</w:t>
            </w:r>
          </w:p>
        </w:tc>
        <w:tc>
          <w:tcPr>
            <w:tcW w:w="4240" w:type="dxa"/>
            <w:noWrap/>
            <w:hideMark/>
          </w:tcPr>
          <w:p w14:paraId="032E36AE" w14:textId="77777777" w:rsidR="00FD2636" w:rsidRPr="00970AD2" w:rsidRDefault="00FD2636" w:rsidP="007E3AF7">
            <w:pPr>
              <w:pStyle w:val="Tableheader"/>
            </w:pPr>
            <w:r w:rsidRPr="00970AD2">
              <w:t>Product WELS rated flow rate</w:t>
            </w:r>
          </w:p>
        </w:tc>
        <w:tc>
          <w:tcPr>
            <w:tcW w:w="3760" w:type="dxa"/>
            <w:noWrap/>
            <w:hideMark/>
          </w:tcPr>
          <w:p w14:paraId="1EF4703A" w14:textId="3B3D02BC" w:rsidR="00FD2636" w:rsidRPr="00970AD2" w:rsidRDefault="00FD2636" w:rsidP="007E3AF7">
            <w:pPr>
              <w:pStyle w:val="Tableheader"/>
            </w:pPr>
            <w:r w:rsidRPr="00970AD2">
              <w:t xml:space="preserve">Activity </w:t>
            </w:r>
            <w:r w:rsidR="00D25CD5">
              <w:t>Energy savings</w:t>
            </w:r>
            <w:r w:rsidRPr="00970AD2">
              <w:t xml:space="preserve"> Value (</w:t>
            </w:r>
            <w:r w:rsidR="00D25CD5">
              <w:t>MWh</w:t>
            </w:r>
            <w:r w:rsidRPr="00970AD2">
              <w:t>)</w:t>
            </w:r>
          </w:p>
        </w:tc>
      </w:tr>
      <w:tr w:rsidR="00D25CD5" w:rsidRPr="009B622C" w14:paraId="2139B9A8" w14:textId="77777777" w:rsidTr="00C66B7C">
        <w:trPr>
          <w:trHeight w:val="329"/>
        </w:trPr>
        <w:tc>
          <w:tcPr>
            <w:tcW w:w="1134" w:type="dxa"/>
          </w:tcPr>
          <w:p w14:paraId="77B95539" w14:textId="77777777" w:rsidR="00D25CD5" w:rsidRPr="00970AD2" w:rsidRDefault="00D25CD5" w:rsidP="00D25CD5">
            <w:pPr>
              <w:pStyle w:val="Tabletext"/>
            </w:pPr>
            <w:r w:rsidRPr="00970AD2">
              <w:t>3.3(a)</w:t>
            </w:r>
          </w:p>
        </w:tc>
        <w:tc>
          <w:tcPr>
            <w:tcW w:w="4240" w:type="dxa"/>
            <w:noWrap/>
            <w:vAlign w:val="bottom"/>
            <w:hideMark/>
          </w:tcPr>
          <w:p w14:paraId="1C076A90" w14:textId="77777777" w:rsidR="00D25CD5" w:rsidRPr="00970AD2" w:rsidRDefault="00D25CD5" w:rsidP="00D25CD5">
            <w:pPr>
              <w:pStyle w:val="Tabletext"/>
            </w:pPr>
            <w:r w:rsidRPr="00157B11">
              <w:t>Over 6.0 and not more than 9.0 litres/minute</w:t>
            </w:r>
          </w:p>
        </w:tc>
        <w:tc>
          <w:tcPr>
            <w:tcW w:w="3760" w:type="dxa"/>
            <w:noWrap/>
            <w:vAlign w:val="bottom"/>
            <w:hideMark/>
          </w:tcPr>
          <w:p w14:paraId="638FDDB8" w14:textId="2E9EAF0E" w:rsidR="00D25CD5" w:rsidRPr="00970AD2" w:rsidRDefault="00D25CD5" w:rsidP="00D25CD5">
            <w:pPr>
              <w:pStyle w:val="Tabletext"/>
            </w:pPr>
            <w:r>
              <w:rPr>
                <w:rFonts w:ascii="Calibri" w:hAnsi="Calibri" w:cs="Calibri"/>
                <w:color w:val="000000"/>
                <w:sz w:val="22"/>
                <w:szCs w:val="22"/>
              </w:rPr>
              <w:t>2.818</w:t>
            </w:r>
          </w:p>
        </w:tc>
      </w:tr>
      <w:tr w:rsidR="00D25CD5" w:rsidRPr="00D936CF" w14:paraId="4D37A220" w14:textId="77777777" w:rsidTr="00C66B7C">
        <w:trPr>
          <w:trHeight w:val="329"/>
        </w:trPr>
        <w:tc>
          <w:tcPr>
            <w:tcW w:w="1134" w:type="dxa"/>
          </w:tcPr>
          <w:p w14:paraId="3E942564" w14:textId="77777777" w:rsidR="00D25CD5" w:rsidRPr="00970AD2" w:rsidRDefault="00D25CD5" w:rsidP="00D25CD5">
            <w:pPr>
              <w:pStyle w:val="Tabletext"/>
            </w:pPr>
            <w:r w:rsidRPr="00970AD2">
              <w:t>3.3(b)</w:t>
            </w:r>
          </w:p>
        </w:tc>
        <w:tc>
          <w:tcPr>
            <w:tcW w:w="4240" w:type="dxa"/>
            <w:noWrap/>
            <w:vAlign w:val="bottom"/>
            <w:hideMark/>
          </w:tcPr>
          <w:p w14:paraId="546B527B" w14:textId="77777777" w:rsidR="00D25CD5" w:rsidRPr="00970AD2" w:rsidRDefault="00D25CD5" w:rsidP="00D25CD5">
            <w:pPr>
              <w:pStyle w:val="Tabletext"/>
            </w:pPr>
            <w:r w:rsidRPr="00157B11">
              <w:t>Not more than 6.0 litres/minute</w:t>
            </w:r>
          </w:p>
        </w:tc>
        <w:tc>
          <w:tcPr>
            <w:tcW w:w="3760" w:type="dxa"/>
            <w:noWrap/>
            <w:vAlign w:val="bottom"/>
            <w:hideMark/>
          </w:tcPr>
          <w:p w14:paraId="34481AC4" w14:textId="18AE6DE0" w:rsidR="00D25CD5" w:rsidRPr="00970AD2" w:rsidRDefault="00D25CD5" w:rsidP="00D25CD5">
            <w:pPr>
              <w:pStyle w:val="Tabletext"/>
            </w:pPr>
            <w:r>
              <w:rPr>
                <w:rFonts w:ascii="Calibri" w:hAnsi="Calibri" w:cs="Calibri"/>
                <w:color w:val="000000"/>
                <w:sz w:val="22"/>
                <w:szCs w:val="22"/>
              </w:rPr>
              <w:t>4.160</w:t>
            </w:r>
          </w:p>
        </w:tc>
      </w:tr>
    </w:tbl>
    <w:p w14:paraId="6A53860E" w14:textId="77777777" w:rsidR="00D924B9" w:rsidRPr="00970AD2" w:rsidRDefault="00D924B9">
      <w:pPr>
        <w:rPr>
          <w:color w:val="000000"/>
        </w:rPr>
      </w:pPr>
    </w:p>
    <w:p w14:paraId="214ABE86" w14:textId="77777777" w:rsidR="00F0426F" w:rsidRPr="00970AD2" w:rsidRDefault="00F0426F" w:rsidP="00F0426F">
      <w:pPr>
        <w:spacing w:before="0" w:after="0" w:line="240" w:lineRule="auto"/>
        <w:rPr>
          <w:rFonts w:eastAsia="Times New Roman"/>
          <w:b/>
          <w:bCs/>
          <w:iCs/>
          <w:color w:val="000000"/>
          <w:sz w:val="28"/>
          <w:szCs w:val="28"/>
        </w:rPr>
      </w:pPr>
    </w:p>
    <w:p w14:paraId="4B7BE2AF" w14:textId="77777777" w:rsidR="00F0426F" w:rsidRPr="00970AD2" w:rsidRDefault="00316962" w:rsidP="007E3AF7">
      <w:pPr>
        <w:pStyle w:val="SectionHeading1"/>
      </w:pPr>
      <w:bookmarkStart w:id="289" w:name="_Toc435603238"/>
      <w:bookmarkStart w:id="290" w:name="_Toc466535740"/>
      <w:bookmarkStart w:id="291" w:name="_Toc333417648"/>
      <w:bookmarkStart w:id="292" w:name="_Toc435603239"/>
      <w:bookmarkStart w:id="293" w:name="_Toc333417650"/>
      <w:bookmarkEnd w:id="132"/>
      <w:r>
        <w:br w:type="page"/>
      </w:r>
      <w:bookmarkStart w:id="294" w:name="_Toc27560561"/>
      <w:r w:rsidR="00F0426F" w:rsidRPr="00970AD2">
        <w:lastRenderedPageBreak/>
        <w:t xml:space="preserve">Lighting </w:t>
      </w:r>
      <w:r w:rsidR="00A439E8">
        <w:t>a</w:t>
      </w:r>
      <w:r w:rsidR="00F0426F" w:rsidRPr="00970AD2">
        <w:t>ctivities</w:t>
      </w:r>
      <w:bookmarkEnd w:id="289"/>
      <w:bookmarkEnd w:id="290"/>
      <w:bookmarkEnd w:id="294"/>
    </w:p>
    <w:p w14:paraId="6AB442C4" w14:textId="77777777" w:rsidR="00F0426F" w:rsidRPr="00970AD2" w:rsidRDefault="00F0426F" w:rsidP="007E3AF7">
      <w:pPr>
        <w:pStyle w:val="Sectionheading2"/>
      </w:pPr>
      <w:bookmarkStart w:id="295" w:name="_Toc466535741"/>
      <w:bookmarkStart w:id="296" w:name="_Toc27560562"/>
      <w:r w:rsidRPr="00970AD2">
        <w:t xml:space="preserve">Residential </w:t>
      </w:r>
      <w:r w:rsidR="00A439E8">
        <w:t>l</w:t>
      </w:r>
      <w:r w:rsidRPr="00970AD2">
        <w:t>ighting activities</w:t>
      </w:r>
      <w:bookmarkEnd w:id="295"/>
      <w:bookmarkEnd w:id="296"/>
    </w:p>
    <w:p w14:paraId="20724853" w14:textId="77777777" w:rsidR="00F0426F" w:rsidRPr="00970AD2" w:rsidRDefault="00F0426F" w:rsidP="007E3AF7">
      <w:pPr>
        <w:pStyle w:val="Sectionheading3"/>
      </w:pPr>
      <w:r w:rsidRPr="00970AD2">
        <w:t xml:space="preserve">Activity </w:t>
      </w:r>
      <w:r w:rsidR="00CB4600" w:rsidRPr="00970AD2">
        <w:t>definition</w:t>
      </w:r>
    </w:p>
    <w:p w14:paraId="5B4D59F0" w14:textId="77777777" w:rsidR="00F0426F" w:rsidRPr="00970AD2" w:rsidRDefault="00F0426F" w:rsidP="000F1A48">
      <w:pPr>
        <w:pStyle w:val="BodytextEEIS"/>
      </w:pPr>
      <w:r w:rsidRPr="00970AD2">
        <w:t>In accordance with the prescribed minimum activity performance specifications</w:t>
      </w:r>
      <w:r w:rsidR="00A439E8">
        <w:t>,</w:t>
      </w:r>
      <w:r w:rsidRPr="00970AD2">
        <w:t xml:space="preserve"> installing one or more of</w:t>
      </w:r>
      <w:r w:rsidR="00CB4600" w:rsidRPr="00970AD2">
        <w:t>—</w:t>
      </w:r>
      <w:r w:rsidRPr="00970AD2">
        <w:t xml:space="preserve">    </w:t>
      </w:r>
    </w:p>
    <w:p w14:paraId="41803876" w14:textId="77777777" w:rsidR="00F0426F" w:rsidRPr="00970AD2" w:rsidRDefault="00BD5C0C" w:rsidP="00D633D3">
      <w:pPr>
        <w:pStyle w:val="Subdetailsfirstindent"/>
        <w:numPr>
          <w:ilvl w:val="0"/>
          <w:numId w:val="117"/>
        </w:numPr>
      </w:pPr>
      <w:r w:rsidRPr="000F1A48">
        <w:rPr>
          <w:b/>
        </w:rPr>
        <w:t xml:space="preserve">Activity </w:t>
      </w:r>
      <w:r w:rsidR="004253DF" w:rsidRPr="000F1A48">
        <w:rPr>
          <w:b/>
        </w:rPr>
        <w:t xml:space="preserve">ID </w:t>
      </w:r>
      <w:r w:rsidRPr="000F1A48">
        <w:rPr>
          <w:b/>
        </w:rPr>
        <w:t xml:space="preserve">4.1(a) </w:t>
      </w:r>
      <w:r w:rsidRPr="00970AD2">
        <w:t>–</w:t>
      </w:r>
      <w:r w:rsidRPr="000F1A48">
        <w:rPr>
          <w:b/>
        </w:rPr>
        <w:t xml:space="preserve"> </w:t>
      </w:r>
      <w:r w:rsidR="006914EA" w:rsidRPr="00EB2462">
        <w:t>light emitting diode (LED)</w:t>
      </w:r>
      <w:r w:rsidR="006914EA" w:rsidRPr="000F1A48">
        <w:rPr>
          <w:b/>
        </w:rPr>
        <w:t xml:space="preserve"> </w:t>
      </w:r>
      <w:r w:rsidR="00F0426F" w:rsidRPr="00970AD2">
        <w:t xml:space="preserve">in place of a mains voltage incandescent </w:t>
      </w:r>
      <w:r w:rsidR="00EB2462">
        <w:t>general lighting service (</w:t>
      </w:r>
      <w:r w:rsidR="00F0426F" w:rsidRPr="00970AD2">
        <w:t>GLS</w:t>
      </w:r>
      <w:r w:rsidR="00EB2462">
        <w:t>)</w:t>
      </w:r>
      <w:r w:rsidR="00F0426F" w:rsidRPr="00970AD2">
        <w:t xml:space="preserve"> lamp of at least 25 watts (tungsten filament type) or 18 watts (tungsten halogen type); </w:t>
      </w:r>
    </w:p>
    <w:p w14:paraId="6F02CC66" w14:textId="77777777" w:rsidR="00F0426F" w:rsidRPr="00970AD2" w:rsidRDefault="00BD5C0C" w:rsidP="00D633D3">
      <w:pPr>
        <w:pStyle w:val="Subdetailsfirstindent"/>
        <w:numPr>
          <w:ilvl w:val="0"/>
          <w:numId w:val="117"/>
        </w:numPr>
      </w:pPr>
      <w:r w:rsidRPr="000F1A48">
        <w:rPr>
          <w:b/>
        </w:rPr>
        <w:t xml:space="preserve">Activity </w:t>
      </w:r>
      <w:r w:rsidR="004253DF" w:rsidRPr="000F1A48">
        <w:rPr>
          <w:b/>
        </w:rPr>
        <w:t xml:space="preserve">ID </w:t>
      </w:r>
      <w:r w:rsidRPr="000F1A48">
        <w:rPr>
          <w:b/>
        </w:rPr>
        <w:t xml:space="preserve">4.1(b) </w:t>
      </w:r>
      <w:r w:rsidRPr="00970AD2">
        <w:t>–</w:t>
      </w:r>
      <w:r w:rsidR="006914EA" w:rsidRPr="000F1A48">
        <w:rPr>
          <w:b/>
        </w:rPr>
        <w:t xml:space="preserve"> </w:t>
      </w:r>
      <w:r w:rsidR="006914EA" w:rsidRPr="00EB2462">
        <w:t xml:space="preserve">LED </w:t>
      </w:r>
      <w:r w:rsidR="00F0426F" w:rsidRPr="00EB2462">
        <w:t>l</w:t>
      </w:r>
      <w:r w:rsidR="00F0426F" w:rsidRPr="00970AD2">
        <w:t xml:space="preserve">amp in place of a mains voltage incandescent reflector lamp; </w:t>
      </w:r>
    </w:p>
    <w:p w14:paraId="59685479" w14:textId="77777777" w:rsidR="00F0426F" w:rsidRPr="00970AD2" w:rsidRDefault="00BD5C0C" w:rsidP="00D633D3">
      <w:pPr>
        <w:pStyle w:val="Subdetailsfirstindent"/>
        <w:numPr>
          <w:ilvl w:val="0"/>
          <w:numId w:val="117"/>
        </w:numPr>
      </w:pPr>
      <w:r w:rsidRPr="000F1A48">
        <w:rPr>
          <w:b/>
        </w:rPr>
        <w:t xml:space="preserve">Activity </w:t>
      </w:r>
      <w:r w:rsidR="004253DF" w:rsidRPr="000F1A48">
        <w:rPr>
          <w:b/>
        </w:rPr>
        <w:t xml:space="preserve">ID </w:t>
      </w:r>
      <w:r w:rsidRPr="000F1A48">
        <w:rPr>
          <w:b/>
        </w:rPr>
        <w:t xml:space="preserve">4.1(c) </w:t>
      </w:r>
      <w:r w:rsidRPr="00970AD2">
        <w:t>–</w:t>
      </w:r>
      <w:r w:rsidR="006914EA" w:rsidRPr="000F1A48">
        <w:rPr>
          <w:b/>
        </w:rPr>
        <w:t xml:space="preserve"> </w:t>
      </w:r>
      <w:r w:rsidR="006914EA" w:rsidRPr="00EB2462">
        <w:t xml:space="preserve">LED </w:t>
      </w:r>
      <w:r w:rsidR="00F0426F" w:rsidRPr="00970AD2">
        <w:t xml:space="preserve">12 volt lamp to replace 12 volt halogen; </w:t>
      </w:r>
    </w:p>
    <w:p w14:paraId="127D83B2" w14:textId="77777777" w:rsidR="00F0426F" w:rsidRPr="00970AD2" w:rsidRDefault="00BD5C0C" w:rsidP="00D633D3">
      <w:pPr>
        <w:pStyle w:val="Subdetailsfirstindent"/>
        <w:numPr>
          <w:ilvl w:val="0"/>
          <w:numId w:val="117"/>
        </w:numPr>
      </w:pPr>
      <w:r w:rsidRPr="000F1A48">
        <w:rPr>
          <w:b/>
        </w:rPr>
        <w:t xml:space="preserve">Activity </w:t>
      </w:r>
      <w:r w:rsidR="004253DF" w:rsidRPr="000F1A48">
        <w:rPr>
          <w:b/>
        </w:rPr>
        <w:t xml:space="preserve">ID </w:t>
      </w:r>
      <w:r w:rsidRPr="000F1A48">
        <w:rPr>
          <w:b/>
        </w:rPr>
        <w:t xml:space="preserve">4.1(d) </w:t>
      </w:r>
      <w:r w:rsidRPr="00970AD2">
        <w:t>–</w:t>
      </w:r>
      <w:r w:rsidRPr="000F1A48">
        <w:rPr>
          <w:b/>
        </w:rPr>
        <w:t xml:space="preserve"> </w:t>
      </w:r>
      <w:r w:rsidR="00F0426F" w:rsidRPr="00970AD2">
        <w:t xml:space="preserve">mains voltage low energy </w:t>
      </w:r>
      <w:r w:rsidR="006914EA">
        <w:t xml:space="preserve">LED </w:t>
      </w:r>
      <w:r w:rsidR="00F0426F" w:rsidRPr="00970AD2">
        <w:t xml:space="preserve">downlight </w:t>
      </w:r>
      <w:r w:rsidR="00321E73" w:rsidRPr="00970AD2">
        <w:t xml:space="preserve">fitting </w:t>
      </w:r>
      <w:r w:rsidR="00F0426F" w:rsidRPr="00970AD2">
        <w:t>in place of existing 12 volt halogen downlight</w:t>
      </w:r>
      <w:r w:rsidR="00321E73" w:rsidRPr="00970AD2">
        <w:t xml:space="preserve"> fitting</w:t>
      </w:r>
      <w:r w:rsidR="00F0426F" w:rsidRPr="00970AD2">
        <w:t>; or</w:t>
      </w:r>
    </w:p>
    <w:p w14:paraId="7432000E" w14:textId="77777777" w:rsidR="00F0426F" w:rsidRPr="00970AD2" w:rsidRDefault="00BD5C0C" w:rsidP="00D633D3">
      <w:pPr>
        <w:pStyle w:val="Subdetailsfirstindent"/>
        <w:numPr>
          <w:ilvl w:val="0"/>
          <w:numId w:val="117"/>
        </w:numPr>
      </w:pPr>
      <w:r w:rsidRPr="000F1A48">
        <w:rPr>
          <w:b/>
        </w:rPr>
        <w:t xml:space="preserve">Activity </w:t>
      </w:r>
      <w:r w:rsidR="004253DF" w:rsidRPr="000F1A48">
        <w:rPr>
          <w:b/>
        </w:rPr>
        <w:t xml:space="preserve">ID </w:t>
      </w:r>
      <w:r w:rsidRPr="000F1A48">
        <w:rPr>
          <w:b/>
        </w:rPr>
        <w:t xml:space="preserve">4.1(e) </w:t>
      </w:r>
      <w:r w:rsidRPr="00970AD2">
        <w:t>–</w:t>
      </w:r>
      <w:r w:rsidRPr="000F1A48">
        <w:rPr>
          <w:b/>
        </w:rPr>
        <w:t xml:space="preserve"> </w:t>
      </w:r>
      <w:r w:rsidR="00F0426F" w:rsidRPr="00970AD2">
        <w:t xml:space="preserve">low energy </w:t>
      </w:r>
      <w:r w:rsidR="006914EA">
        <w:t xml:space="preserve">LED </w:t>
      </w:r>
      <w:r w:rsidR="00F0426F" w:rsidRPr="00970AD2">
        <w:t xml:space="preserve">lamp with a GU10 base in place of existing mains voltage halogen lamp of at least 35 watts with a GU10 base.  </w:t>
      </w:r>
    </w:p>
    <w:p w14:paraId="3D39025C" w14:textId="77777777" w:rsidR="00F0426F" w:rsidRPr="00970AD2" w:rsidRDefault="00F0426F" w:rsidP="007E3AF7">
      <w:pPr>
        <w:pStyle w:val="Sectionheading3"/>
      </w:pPr>
      <w:r w:rsidRPr="00970AD2">
        <w:t>Minimum activity performance specifications</w:t>
      </w:r>
    </w:p>
    <w:p w14:paraId="4F1C6534" w14:textId="77777777" w:rsidR="00F0426F" w:rsidRPr="00970AD2" w:rsidRDefault="00F0426F" w:rsidP="000F1A48">
      <w:pPr>
        <w:pStyle w:val="BodytextEEIS"/>
        <w:rPr>
          <w:i/>
        </w:rPr>
      </w:pPr>
      <w:r w:rsidRPr="00970AD2">
        <w:rPr>
          <w:iCs/>
        </w:rPr>
        <w:t>To be an eligible ac</w:t>
      </w:r>
      <w:r w:rsidRPr="00970AD2">
        <w:t>tivity the activity must</w:t>
      </w:r>
      <w:r w:rsidR="00CB4600" w:rsidRPr="00970AD2">
        <w:rPr>
          <w:bCs/>
        </w:rPr>
        <w:t>—</w:t>
      </w:r>
    </w:p>
    <w:p w14:paraId="0F63574E" w14:textId="77777777" w:rsidR="00F0426F" w:rsidRPr="00970AD2" w:rsidRDefault="00F0426F" w:rsidP="00D633D3">
      <w:pPr>
        <w:pStyle w:val="Subdetailsfirstindent"/>
        <w:numPr>
          <w:ilvl w:val="0"/>
          <w:numId w:val="118"/>
        </w:numPr>
      </w:pPr>
      <w:r w:rsidRPr="00970AD2">
        <w:t xml:space="preserve">be undertaken at an eligible residential </w:t>
      </w:r>
      <w:r w:rsidR="00416863">
        <w:t>or</w:t>
      </w:r>
      <w:r w:rsidRPr="00970AD2">
        <w:t xml:space="preserve"> business premises; </w:t>
      </w:r>
    </w:p>
    <w:p w14:paraId="711915E3" w14:textId="77777777" w:rsidR="00F0426F" w:rsidRPr="00970AD2" w:rsidRDefault="00F0426F" w:rsidP="00D633D3">
      <w:pPr>
        <w:pStyle w:val="Subdetailsfirstindent"/>
        <w:numPr>
          <w:ilvl w:val="0"/>
          <w:numId w:val="118"/>
        </w:numPr>
      </w:pPr>
      <w:r w:rsidRPr="00970AD2">
        <w:t xml:space="preserve">be undertaken using a product or products meeting the installed product requirements in section </w:t>
      </w:r>
      <w:r w:rsidR="00416863">
        <w:t>4.1.</w:t>
      </w:r>
      <w:r w:rsidRPr="00970AD2">
        <w:t xml:space="preserve">3; </w:t>
      </w:r>
    </w:p>
    <w:p w14:paraId="6A699B66" w14:textId="77777777" w:rsidR="00F0426F" w:rsidRPr="00970AD2" w:rsidRDefault="00F0426F" w:rsidP="00D633D3">
      <w:pPr>
        <w:pStyle w:val="Subdetailsfirstindent"/>
        <w:numPr>
          <w:ilvl w:val="0"/>
          <w:numId w:val="118"/>
        </w:numPr>
      </w:pPr>
      <w:r w:rsidRPr="00970AD2">
        <w:t xml:space="preserve">be completed and certified in accordance with the relevant code or codes of practice and other relevant legislation applying to the activity, including any licensing, registration, statutory approval, activity certification, health, safety, environmental, waste disposal and decommissioning requirements; </w:t>
      </w:r>
    </w:p>
    <w:p w14:paraId="707B94A8" w14:textId="77777777" w:rsidR="00F0426F" w:rsidRPr="00970AD2" w:rsidRDefault="00F0426F" w:rsidP="00D633D3">
      <w:pPr>
        <w:pStyle w:val="Subdetailsfirstindent"/>
        <w:numPr>
          <w:ilvl w:val="0"/>
          <w:numId w:val="118"/>
        </w:numPr>
      </w:pPr>
      <w:r w:rsidRPr="00970AD2">
        <w:t>be recorded in accordance with any relevant code of practice for the activity; and</w:t>
      </w:r>
    </w:p>
    <w:p w14:paraId="5002F3DB" w14:textId="77777777" w:rsidR="00F0426F" w:rsidRPr="00970AD2" w:rsidRDefault="00F0426F" w:rsidP="00D633D3">
      <w:pPr>
        <w:pStyle w:val="Subdetailsfirstindent"/>
        <w:numPr>
          <w:ilvl w:val="0"/>
          <w:numId w:val="118"/>
        </w:numPr>
      </w:pPr>
      <w:r w:rsidRPr="00970AD2">
        <w:t xml:space="preserve">only replace existing equipment that is in working order immediately prior to removal.  </w:t>
      </w:r>
    </w:p>
    <w:p w14:paraId="1C51F818" w14:textId="77777777" w:rsidR="00F0426F" w:rsidRPr="00970AD2" w:rsidRDefault="00F0426F" w:rsidP="000F1A48">
      <w:pPr>
        <w:pStyle w:val="Notesandexamples"/>
        <w:rPr>
          <w:b/>
        </w:rPr>
      </w:pPr>
      <w:r w:rsidRPr="00970AD2">
        <w:t>Note</w:t>
      </w:r>
      <w:r w:rsidRPr="00970AD2">
        <w:tab/>
        <w:t>All activities are subject to independent inspection or audit to confirm compliance with prescribed activity requirements.</w:t>
      </w:r>
    </w:p>
    <w:p w14:paraId="0FA77AE7" w14:textId="77777777" w:rsidR="00F0426F" w:rsidRPr="00970AD2" w:rsidRDefault="00F0426F" w:rsidP="000F1A48">
      <w:pPr>
        <w:pStyle w:val="Sectionheading3"/>
      </w:pPr>
      <w:r w:rsidRPr="00970AD2">
        <w:t xml:space="preserve">Existing and </w:t>
      </w:r>
      <w:r w:rsidR="00A439E8">
        <w:t>r</w:t>
      </w:r>
      <w:r w:rsidRPr="00970AD2">
        <w:t>eplacement equipment requirements</w:t>
      </w:r>
    </w:p>
    <w:p w14:paraId="27229CA7" w14:textId="77777777" w:rsidR="00831F19" w:rsidRPr="00970AD2" w:rsidRDefault="00F0426F" w:rsidP="00D633D3">
      <w:pPr>
        <w:pStyle w:val="Subdetailsfirstindent"/>
        <w:numPr>
          <w:ilvl w:val="0"/>
          <w:numId w:val="208"/>
        </w:numPr>
      </w:pPr>
      <w:r w:rsidRPr="00970AD2">
        <w:t xml:space="preserve">For </w:t>
      </w:r>
      <w:r w:rsidR="00A439E8">
        <w:t>A</w:t>
      </w:r>
      <w:r w:rsidR="004253DF" w:rsidRPr="00970AD2">
        <w:t>ctivity</w:t>
      </w:r>
      <w:r w:rsidR="002C260A" w:rsidRPr="00970AD2">
        <w:t xml:space="preserve"> </w:t>
      </w:r>
      <w:r w:rsidR="004253DF" w:rsidRPr="00970AD2">
        <w:t>4.</w:t>
      </w:r>
      <w:r w:rsidRPr="00970AD2">
        <w:t>1(a), an installed product must</w:t>
      </w:r>
      <w:r w:rsidRPr="00D613C8">
        <w:rPr>
          <w:bCs/>
        </w:rPr>
        <w:t>—</w:t>
      </w:r>
    </w:p>
    <w:p w14:paraId="75E07700" w14:textId="77777777" w:rsidR="00831F19" w:rsidRPr="00970AD2" w:rsidRDefault="00F0426F" w:rsidP="00D633D3">
      <w:pPr>
        <w:pStyle w:val="Subdetailssecondindent"/>
        <w:numPr>
          <w:ilvl w:val="0"/>
          <w:numId w:val="209"/>
        </w:numPr>
      </w:pPr>
      <w:r w:rsidRPr="00D613C8">
        <w:rPr>
          <w:iCs/>
        </w:rPr>
        <w:t>have</w:t>
      </w:r>
      <w:r w:rsidRPr="00970AD2">
        <w:t xml:space="preserve"> a light output equivalent to the replaced lamp; </w:t>
      </w:r>
    </w:p>
    <w:p w14:paraId="3F422E04" w14:textId="77777777" w:rsidR="00831F19" w:rsidRPr="00970AD2" w:rsidRDefault="00F0426F" w:rsidP="00D613C8">
      <w:pPr>
        <w:pStyle w:val="Subdetailssecondindent"/>
      </w:pPr>
      <w:r w:rsidRPr="00970AD2">
        <w:t>be a</w:t>
      </w:r>
      <w:r w:rsidR="00EB2462">
        <w:t>n LED</w:t>
      </w:r>
      <w:r w:rsidRPr="00970AD2">
        <w:t xml:space="preserve"> that complies with MEPS in accordance with AS 4847 that meets</w:t>
      </w:r>
      <w:r w:rsidR="003F7A84" w:rsidRPr="000F1A48">
        <w:rPr>
          <w:bCs/>
        </w:rPr>
        <w:t>—</w:t>
      </w:r>
      <w:r w:rsidRPr="00970AD2">
        <w:t xml:space="preserve"> </w:t>
      </w:r>
    </w:p>
    <w:p w14:paraId="68EC2266" w14:textId="77777777" w:rsidR="00831F19" w:rsidRPr="00970AD2" w:rsidRDefault="00F0426F" w:rsidP="00D633D3">
      <w:pPr>
        <w:pStyle w:val="Subdetailsthirdindent"/>
        <w:numPr>
          <w:ilvl w:val="0"/>
          <w:numId w:val="210"/>
        </w:numPr>
      </w:pPr>
      <w:r w:rsidRPr="00970AD2">
        <w:t xml:space="preserve">the performance requirements for </w:t>
      </w:r>
      <w:r w:rsidR="000639ED">
        <w:t>LED</w:t>
      </w:r>
      <w:r w:rsidR="006914EA">
        <w:t xml:space="preserve"> lamps </w:t>
      </w:r>
      <w:r w:rsidRPr="00970AD2">
        <w:t xml:space="preserve">set out </w:t>
      </w:r>
      <w:r w:rsidR="003D2955">
        <w:t xml:space="preserve">in </w:t>
      </w:r>
      <w:r w:rsidR="005E1B98">
        <w:t xml:space="preserve">‘Compliance Requirements’ </w:t>
      </w:r>
      <w:r w:rsidRPr="00970AD2">
        <w:t xml:space="preserve">of AS 4847; or </w:t>
      </w:r>
    </w:p>
    <w:p w14:paraId="45F07FD1" w14:textId="77777777" w:rsidR="00831F19" w:rsidRPr="00970AD2" w:rsidRDefault="00F0426F" w:rsidP="00D613C8">
      <w:pPr>
        <w:pStyle w:val="Subdetailsthirdindent"/>
      </w:pPr>
      <w:r w:rsidRPr="00970AD2">
        <w:t xml:space="preserve">if the Administrator determines that the performance requirements for </w:t>
      </w:r>
      <w:r w:rsidR="000639ED">
        <w:t>LED</w:t>
      </w:r>
      <w:r w:rsidR="006914EA">
        <w:t xml:space="preserve"> lamps </w:t>
      </w:r>
      <w:r w:rsidRPr="00970AD2">
        <w:t xml:space="preserve">set out in </w:t>
      </w:r>
      <w:r w:rsidR="005E1B98">
        <w:t xml:space="preserve">‘Compliance Requirements’ </w:t>
      </w:r>
      <w:r w:rsidRPr="00970AD2">
        <w:t xml:space="preserve">of AS 4847 </w:t>
      </w:r>
      <w:r w:rsidR="00282BCF" w:rsidRPr="00970AD2">
        <w:t>are</w:t>
      </w:r>
      <w:r w:rsidRPr="00970AD2">
        <w:t xml:space="preserve"> not applicable to the product, any other performance requirement determined by the Administrator; </w:t>
      </w:r>
    </w:p>
    <w:p w14:paraId="366449D2" w14:textId="77777777" w:rsidR="00831F19" w:rsidRPr="00970AD2" w:rsidRDefault="00F0426F" w:rsidP="00D613C8">
      <w:pPr>
        <w:pStyle w:val="Subdetailssecondindent"/>
      </w:pPr>
      <w:r w:rsidRPr="00970AD2">
        <w:t>achieve minimum lighting source efficacy levels of—</w:t>
      </w:r>
    </w:p>
    <w:p w14:paraId="4070CF69" w14:textId="77777777" w:rsidR="00831F19" w:rsidRPr="00970AD2" w:rsidRDefault="00F0426F" w:rsidP="00D633D3">
      <w:pPr>
        <w:pStyle w:val="Subdetailsthirdindent"/>
        <w:numPr>
          <w:ilvl w:val="0"/>
          <w:numId w:val="211"/>
        </w:numPr>
      </w:pPr>
      <w:r w:rsidRPr="00970AD2">
        <w:lastRenderedPageBreak/>
        <w:t>40</w:t>
      </w:r>
      <w:r w:rsidR="00995E5B">
        <w:t xml:space="preserve"> </w:t>
      </w:r>
      <w:r w:rsidRPr="00970AD2">
        <w:t>l</w:t>
      </w:r>
      <w:r w:rsidR="00995E5B">
        <w:t>m</w:t>
      </w:r>
      <w:r w:rsidRPr="00970AD2">
        <w:t>/</w:t>
      </w:r>
      <w:r w:rsidR="00995E5B">
        <w:t>W</w:t>
      </w:r>
      <w:r w:rsidRPr="00970AD2">
        <w:t xml:space="preserve"> where light output is less than 350 lumens; </w:t>
      </w:r>
    </w:p>
    <w:p w14:paraId="42D1CBFB" w14:textId="77777777" w:rsidR="00831F19" w:rsidRPr="00970AD2" w:rsidRDefault="00F0426F" w:rsidP="00D613C8">
      <w:pPr>
        <w:pStyle w:val="Subdetailsthirdindent"/>
      </w:pPr>
      <w:r w:rsidRPr="00970AD2">
        <w:t>45</w:t>
      </w:r>
      <w:r w:rsidR="00995E5B">
        <w:t xml:space="preserve"> </w:t>
      </w:r>
      <w:r w:rsidR="00995E5B" w:rsidRPr="00970AD2">
        <w:t>l</w:t>
      </w:r>
      <w:r w:rsidR="00995E5B">
        <w:t>m</w:t>
      </w:r>
      <w:r w:rsidR="00995E5B" w:rsidRPr="00970AD2">
        <w:t>/</w:t>
      </w:r>
      <w:r w:rsidR="00995E5B">
        <w:t>W</w:t>
      </w:r>
      <w:r w:rsidR="00995E5B" w:rsidRPr="00970AD2">
        <w:t xml:space="preserve"> </w:t>
      </w:r>
      <w:r w:rsidRPr="00970AD2">
        <w:t>where light output is 350 lumens or more</w:t>
      </w:r>
      <w:r w:rsidR="00416863">
        <w:t>,</w:t>
      </w:r>
      <w:r w:rsidRPr="00970AD2">
        <w:t xml:space="preserve"> and less than 650 lumens; </w:t>
      </w:r>
    </w:p>
    <w:p w14:paraId="058B380D" w14:textId="77777777" w:rsidR="00831F19" w:rsidRPr="00970AD2" w:rsidRDefault="00F0426F" w:rsidP="00D613C8">
      <w:pPr>
        <w:pStyle w:val="Subdetailsthirdindent"/>
      </w:pPr>
      <w:r w:rsidRPr="00970AD2">
        <w:t>52</w:t>
      </w:r>
      <w:r w:rsidR="00995E5B">
        <w:t xml:space="preserve"> </w:t>
      </w:r>
      <w:r w:rsidR="00995E5B" w:rsidRPr="00970AD2">
        <w:t>l</w:t>
      </w:r>
      <w:r w:rsidR="00995E5B">
        <w:t>m</w:t>
      </w:r>
      <w:r w:rsidR="00995E5B" w:rsidRPr="00970AD2">
        <w:t>/</w:t>
      </w:r>
      <w:r w:rsidR="00995E5B">
        <w:t>W</w:t>
      </w:r>
      <w:r w:rsidR="00995E5B" w:rsidRPr="00970AD2">
        <w:t xml:space="preserve"> </w:t>
      </w:r>
      <w:r w:rsidRPr="00970AD2">
        <w:t>where light output is 650 lumens or more</w:t>
      </w:r>
      <w:r w:rsidR="00416863">
        <w:t>,</w:t>
      </w:r>
      <w:r w:rsidRPr="00970AD2">
        <w:t xml:space="preserve"> and less than 850 lumens; or</w:t>
      </w:r>
    </w:p>
    <w:p w14:paraId="48F1F25C" w14:textId="77777777" w:rsidR="00831F19" w:rsidRPr="00970AD2" w:rsidRDefault="00F0426F" w:rsidP="00D613C8">
      <w:pPr>
        <w:pStyle w:val="Subdetailsthirdindent"/>
      </w:pPr>
      <w:r w:rsidRPr="00970AD2">
        <w:t xml:space="preserve">55 </w:t>
      </w:r>
      <w:r w:rsidR="00995E5B" w:rsidRPr="00970AD2">
        <w:t>l</w:t>
      </w:r>
      <w:r w:rsidR="00995E5B">
        <w:t>m</w:t>
      </w:r>
      <w:r w:rsidR="00995E5B" w:rsidRPr="00970AD2">
        <w:t>/</w:t>
      </w:r>
      <w:r w:rsidR="00995E5B">
        <w:t>W</w:t>
      </w:r>
      <w:r w:rsidR="00995E5B" w:rsidRPr="00970AD2">
        <w:t xml:space="preserve"> </w:t>
      </w:r>
      <w:r w:rsidRPr="00970AD2">
        <w:t xml:space="preserve">where light output is 850 lumens or more; </w:t>
      </w:r>
    </w:p>
    <w:p w14:paraId="04EB90A3" w14:textId="77777777" w:rsidR="00831F19" w:rsidRPr="00970AD2" w:rsidRDefault="00F0426F" w:rsidP="00D613C8">
      <w:pPr>
        <w:pStyle w:val="Subdetailssecondindent"/>
      </w:pPr>
      <w:r w:rsidRPr="00970AD2">
        <w:t>if</w:t>
      </w:r>
      <w:r w:rsidRPr="00970AD2">
        <w:rPr>
          <w:spacing w:val="-1"/>
        </w:rPr>
        <w:t xml:space="preserve"> </w:t>
      </w:r>
      <w:r w:rsidRPr="00970AD2">
        <w:t>the</w:t>
      </w:r>
      <w:r w:rsidRPr="00970AD2">
        <w:rPr>
          <w:spacing w:val="-1"/>
        </w:rPr>
        <w:t xml:space="preserve"> </w:t>
      </w:r>
      <w:r w:rsidRPr="00970AD2">
        <w:t>l</w:t>
      </w:r>
      <w:r w:rsidRPr="00970AD2">
        <w:rPr>
          <w:spacing w:val="-1"/>
        </w:rPr>
        <w:t>a</w:t>
      </w:r>
      <w:r w:rsidRPr="00970AD2">
        <w:t>mp is to be</w:t>
      </w:r>
      <w:r w:rsidRPr="00970AD2">
        <w:rPr>
          <w:spacing w:val="-1"/>
        </w:rPr>
        <w:t xml:space="preserve"> </w:t>
      </w:r>
      <w:r w:rsidRPr="00970AD2">
        <w:t>inst</w:t>
      </w:r>
      <w:r w:rsidRPr="00970AD2">
        <w:rPr>
          <w:spacing w:val="-1"/>
        </w:rPr>
        <w:t>a</w:t>
      </w:r>
      <w:r w:rsidRPr="00970AD2">
        <w:t>ll</w:t>
      </w:r>
      <w:r w:rsidRPr="00970AD2">
        <w:rPr>
          <w:spacing w:val="-1"/>
        </w:rPr>
        <w:t>e</w:t>
      </w:r>
      <w:r w:rsidRPr="00970AD2">
        <w:t>d in a</w:t>
      </w:r>
      <w:r w:rsidRPr="00970AD2">
        <w:rPr>
          <w:spacing w:val="-1"/>
        </w:rPr>
        <w:t xml:space="preserve"> </w:t>
      </w:r>
      <w:r w:rsidRPr="00970AD2">
        <w:t>dimm</w:t>
      </w:r>
      <w:r w:rsidRPr="00970AD2">
        <w:rPr>
          <w:spacing w:val="-1"/>
        </w:rPr>
        <w:t>a</w:t>
      </w:r>
      <w:r w:rsidRPr="00970AD2">
        <w:t>ble</w:t>
      </w:r>
      <w:r w:rsidRPr="00970AD2">
        <w:rPr>
          <w:spacing w:val="-1"/>
        </w:rPr>
        <w:t xml:space="preserve"> c</w:t>
      </w:r>
      <w:r w:rsidRPr="00970AD2">
        <w:t>i</w:t>
      </w:r>
      <w:r w:rsidRPr="00970AD2">
        <w:rPr>
          <w:spacing w:val="-1"/>
        </w:rPr>
        <w:t>rc</w:t>
      </w:r>
      <w:r w:rsidRPr="00970AD2">
        <w:t>uit,</w:t>
      </w:r>
      <w:r w:rsidRPr="00970AD2">
        <w:rPr>
          <w:spacing w:val="2"/>
        </w:rPr>
        <w:t xml:space="preserve"> </w:t>
      </w:r>
      <w:r w:rsidRPr="00970AD2">
        <w:t xml:space="preserve">be </w:t>
      </w:r>
      <w:r w:rsidRPr="00970AD2">
        <w:rPr>
          <w:spacing w:val="-1"/>
        </w:rPr>
        <w:t>a</w:t>
      </w:r>
      <w:r w:rsidRPr="00970AD2">
        <w:t>pp</w:t>
      </w:r>
      <w:r w:rsidRPr="00970AD2">
        <w:rPr>
          <w:spacing w:val="-1"/>
        </w:rPr>
        <w:t>r</w:t>
      </w:r>
      <w:r w:rsidRPr="00970AD2">
        <w:t>ov</w:t>
      </w:r>
      <w:r w:rsidRPr="00970AD2">
        <w:rPr>
          <w:spacing w:val="-1"/>
        </w:rPr>
        <w:t>e</w:t>
      </w:r>
      <w:r w:rsidRPr="00970AD2">
        <w:t xml:space="preserve">d </w:t>
      </w:r>
      <w:r w:rsidRPr="00970AD2">
        <w:rPr>
          <w:spacing w:val="5"/>
        </w:rPr>
        <w:t>b</w:t>
      </w:r>
      <w:r w:rsidRPr="00970AD2">
        <w:t>y</w:t>
      </w:r>
      <w:r w:rsidRPr="00970AD2">
        <w:rPr>
          <w:spacing w:val="-5"/>
        </w:rPr>
        <w:t xml:space="preserve"> </w:t>
      </w:r>
      <w:r w:rsidRPr="00970AD2">
        <w:t>the</w:t>
      </w:r>
      <w:r w:rsidRPr="00970AD2">
        <w:rPr>
          <w:spacing w:val="-1"/>
        </w:rPr>
        <w:t xml:space="preserve"> </w:t>
      </w:r>
      <w:r w:rsidRPr="00970AD2">
        <w:t>m</w:t>
      </w:r>
      <w:r w:rsidRPr="00970AD2">
        <w:rPr>
          <w:spacing w:val="-1"/>
        </w:rPr>
        <w:t>a</w:t>
      </w:r>
      <w:r w:rsidRPr="00970AD2">
        <w:t>n</w:t>
      </w:r>
      <w:r w:rsidRPr="00970AD2">
        <w:rPr>
          <w:spacing w:val="2"/>
        </w:rPr>
        <w:t>u</w:t>
      </w:r>
      <w:r w:rsidRPr="00970AD2">
        <w:rPr>
          <w:spacing w:val="-1"/>
        </w:rPr>
        <w:t>f</w:t>
      </w:r>
      <w:r w:rsidRPr="00970AD2">
        <w:rPr>
          <w:spacing w:val="1"/>
        </w:rPr>
        <w:t>ac</w:t>
      </w:r>
      <w:r w:rsidRPr="00970AD2">
        <w:t>tu</w:t>
      </w:r>
      <w:r w:rsidRPr="00970AD2">
        <w:rPr>
          <w:spacing w:val="-1"/>
        </w:rPr>
        <w:t>re</w:t>
      </w:r>
      <w:r w:rsidRPr="00970AD2">
        <w:t>r</w:t>
      </w:r>
      <w:r w:rsidRPr="00970AD2">
        <w:rPr>
          <w:spacing w:val="-1"/>
        </w:rPr>
        <w:t xml:space="preserve"> a</w:t>
      </w:r>
      <w:r w:rsidRPr="00970AD2">
        <w:t>s suit</w:t>
      </w:r>
      <w:r w:rsidRPr="00970AD2">
        <w:rPr>
          <w:spacing w:val="-1"/>
        </w:rPr>
        <w:t>a</w:t>
      </w:r>
      <w:r w:rsidRPr="00970AD2">
        <w:t>ble</w:t>
      </w:r>
      <w:r w:rsidRPr="00970AD2">
        <w:rPr>
          <w:spacing w:val="-1"/>
        </w:rPr>
        <w:t xml:space="preserve"> f</w:t>
      </w:r>
      <w:r w:rsidRPr="00970AD2">
        <w:rPr>
          <w:spacing w:val="2"/>
        </w:rPr>
        <w:t>o</w:t>
      </w:r>
      <w:r w:rsidRPr="00970AD2">
        <w:t>r</w:t>
      </w:r>
      <w:r w:rsidRPr="00970AD2">
        <w:rPr>
          <w:spacing w:val="-1"/>
        </w:rPr>
        <w:t xml:space="preserve"> </w:t>
      </w:r>
      <w:r w:rsidRPr="00970AD2">
        <w:t>su</w:t>
      </w:r>
      <w:r w:rsidRPr="00970AD2">
        <w:rPr>
          <w:spacing w:val="-1"/>
        </w:rPr>
        <w:t>c</w:t>
      </w:r>
      <w:r w:rsidRPr="00970AD2">
        <w:t>h</w:t>
      </w:r>
      <w:r w:rsidRPr="00970AD2">
        <w:rPr>
          <w:spacing w:val="2"/>
        </w:rPr>
        <w:t xml:space="preserve"> </w:t>
      </w:r>
      <w:r w:rsidRPr="00970AD2">
        <w:t xml:space="preserve">a </w:t>
      </w:r>
      <w:r w:rsidRPr="00970AD2">
        <w:rPr>
          <w:spacing w:val="-1"/>
        </w:rPr>
        <w:t>c</w:t>
      </w:r>
      <w:r w:rsidRPr="00970AD2">
        <w:t>i</w:t>
      </w:r>
      <w:r w:rsidRPr="00970AD2">
        <w:rPr>
          <w:spacing w:val="-1"/>
        </w:rPr>
        <w:t>rc</w:t>
      </w:r>
      <w:r w:rsidRPr="00970AD2">
        <w:t xml:space="preserve">uit; </w:t>
      </w:r>
    </w:p>
    <w:p w14:paraId="5C186F31" w14:textId="77777777" w:rsidR="00831F19" w:rsidRPr="00970AD2" w:rsidRDefault="00F0426F" w:rsidP="00D613C8">
      <w:pPr>
        <w:pStyle w:val="Subdetailssecondindent"/>
      </w:pPr>
      <w:r w:rsidRPr="00970AD2">
        <w:t>h</w:t>
      </w:r>
      <w:r w:rsidRPr="00970AD2">
        <w:rPr>
          <w:spacing w:val="-1"/>
        </w:rPr>
        <w:t>a</w:t>
      </w:r>
      <w:r w:rsidRPr="00970AD2">
        <w:t>ve a</w:t>
      </w:r>
      <w:r w:rsidRPr="00970AD2">
        <w:rPr>
          <w:spacing w:val="-1"/>
        </w:rPr>
        <w:t xml:space="preserve"> </w:t>
      </w:r>
      <w:r w:rsidRPr="00970AD2">
        <w:t>minimum m</w:t>
      </w:r>
      <w:r w:rsidRPr="00970AD2">
        <w:rPr>
          <w:spacing w:val="-1"/>
        </w:rPr>
        <w:t>a</w:t>
      </w:r>
      <w:r w:rsidRPr="00970AD2">
        <w:t>nu</w:t>
      </w:r>
      <w:r w:rsidRPr="00970AD2">
        <w:rPr>
          <w:spacing w:val="-1"/>
        </w:rPr>
        <w:t>fac</w:t>
      </w:r>
      <w:r w:rsidRPr="00970AD2">
        <w:rPr>
          <w:spacing w:val="3"/>
        </w:rPr>
        <w:t>t</w:t>
      </w:r>
      <w:r w:rsidRPr="00970AD2">
        <w:t>u</w:t>
      </w:r>
      <w:r w:rsidRPr="00970AD2">
        <w:rPr>
          <w:spacing w:val="-1"/>
        </w:rPr>
        <w:t>re</w:t>
      </w:r>
      <w:r w:rsidRPr="00970AD2">
        <w:rPr>
          <w:spacing w:val="2"/>
        </w:rPr>
        <w:t>r</w:t>
      </w:r>
      <w:r w:rsidRPr="00970AD2">
        <w:rPr>
          <w:spacing w:val="-2"/>
        </w:rPr>
        <w:t>'</w:t>
      </w:r>
      <w:r w:rsidRPr="00970AD2">
        <w:t xml:space="preserve">s </w:t>
      </w:r>
      <w:r w:rsidRPr="00970AD2">
        <w:rPr>
          <w:spacing w:val="2"/>
        </w:rPr>
        <w:t>r</w:t>
      </w:r>
      <w:r w:rsidRPr="00970AD2">
        <w:rPr>
          <w:spacing w:val="-1"/>
        </w:rPr>
        <w:t>a</w:t>
      </w:r>
      <w:r w:rsidRPr="00970AD2">
        <w:t>t</w:t>
      </w:r>
      <w:r w:rsidRPr="00970AD2">
        <w:rPr>
          <w:spacing w:val="-1"/>
        </w:rPr>
        <w:t>e</w:t>
      </w:r>
      <w:r w:rsidRPr="00970AD2">
        <w:t>d li</w:t>
      </w:r>
      <w:r w:rsidRPr="00970AD2">
        <w:rPr>
          <w:spacing w:val="-1"/>
        </w:rPr>
        <w:t>fe</w:t>
      </w:r>
      <w:r w:rsidRPr="00970AD2">
        <w:t>time</w:t>
      </w:r>
      <w:r w:rsidRPr="00970AD2">
        <w:rPr>
          <w:spacing w:val="-1"/>
        </w:rPr>
        <w:t xml:space="preserve"> </w:t>
      </w:r>
      <w:r w:rsidRPr="00970AD2">
        <w:t>of 8,000 hou</w:t>
      </w:r>
      <w:r w:rsidRPr="00970AD2">
        <w:rPr>
          <w:spacing w:val="-1"/>
        </w:rPr>
        <w:t>r</w:t>
      </w:r>
      <w:r w:rsidRPr="00970AD2">
        <w:t xml:space="preserve">s; </w:t>
      </w:r>
    </w:p>
    <w:p w14:paraId="306E8A8F" w14:textId="77777777" w:rsidR="00831F19" w:rsidRPr="00970AD2" w:rsidRDefault="00F0426F" w:rsidP="00D613C8">
      <w:pPr>
        <w:pStyle w:val="Subdetailssecondindent"/>
      </w:pPr>
      <w:r w:rsidRPr="00970AD2">
        <w:t>have a colour temperature that is, or is capable of being set at, warm white (2700K to 3500K) or cool white (3500K to 4000K); and</w:t>
      </w:r>
    </w:p>
    <w:p w14:paraId="1BC66F09" w14:textId="77777777" w:rsidR="00831F19" w:rsidRPr="00970AD2" w:rsidRDefault="00F0426F" w:rsidP="00D613C8">
      <w:pPr>
        <w:pStyle w:val="Subdetailssecondindent"/>
      </w:pPr>
      <w:r w:rsidRPr="00970AD2">
        <w:t>be listed in the register of products for the activity.</w:t>
      </w:r>
    </w:p>
    <w:p w14:paraId="269E7301" w14:textId="77777777" w:rsidR="00831F19" w:rsidRPr="00970AD2" w:rsidRDefault="00F0426F" w:rsidP="00D613C8">
      <w:pPr>
        <w:pStyle w:val="Subdetailsfirstindent"/>
      </w:pPr>
      <w:r w:rsidRPr="00970AD2">
        <w:t xml:space="preserve">For </w:t>
      </w:r>
      <w:r w:rsidR="00A439E8">
        <w:t>A</w:t>
      </w:r>
      <w:r w:rsidR="004253DF" w:rsidRPr="00970AD2">
        <w:t>ctivity</w:t>
      </w:r>
      <w:r w:rsidR="002C260A" w:rsidRPr="00970AD2">
        <w:t xml:space="preserve"> </w:t>
      </w:r>
      <w:r w:rsidR="004253DF" w:rsidRPr="00970AD2">
        <w:t>4.</w:t>
      </w:r>
      <w:r w:rsidRPr="00970AD2">
        <w:t>1(b), an installed product must</w:t>
      </w:r>
      <w:r w:rsidR="003F7A84" w:rsidRPr="00970AD2">
        <w:rPr>
          <w:w w:val="102"/>
        </w:rPr>
        <w:t>—</w:t>
      </w:r>
    </w:p>
    <w:p w14:paraId="27AEB2D3" w14:textId="77777777" w:rsidR="00831F19" w:rsidRPr="00970AD2" w:rsidRDefault="00F0426F" w:rsidP="00D633D3">
      <w:pPr>
        <w:pStyle w:val="Subdetailssecondindent"/>
        <w:numPr>
          <w:ilvl w:val="0"/>
          <w:numId w:val="212"/>
        </w:numPr>
      </w:pPr>
      <w:r w:rsidRPr="00970AD2">
        <w:t xml:space="preserve">have a light output equivalent to the replaced lamp; </w:t>
      </w:r>
    </w:p>
    <w:p w14:paraId="740F0ABC" w14:textId="77777777" w:rsidR="00831F19" w:rsidRPr="00970AD2" w:rsidRDefault="00F0426F" w:rsidP="00D613C8">
      <w:pPr>
        <w:pStyle w:val="Subdetailssecondindent"/>
      </w:pPr>
      <w:r w:rsidRPr="00970AD2">
        <w:t>h</w:t>
      </w:r>
      <w:r w:rsidRPr="000F1A48">
        <w:rPr>
          <w:spacing w:val="1"/>
        </w:rPr>
        <w:t>a</w:t>
      </w:r>
      <w:r w:rsidRPr="00970AD2">
        <w:t>ve</w:t>
      </w:r>
      <w:r w:rsidRPr="000F1A48">
        <w:rPr>
          <w:spacing w:val="10"/>
        </w:rPr>
        <w:t xml:space="preserve"> </w:t>
      </w:r>
      <w:r w:rsidRPr="00970AD2">
        <w:t>t</w:t>
      </w:r>
      <w:r w:rsidRPr="000F1A48">
        <w:rPr>
          <w:spacing w:val="-2"/>
        </w:rPr>
        <w:t>h</w:t>
      </w:r>
      <w:r w:rsidRPr="00970AD2">
        <w:t>e</w:t>
      </w:r>
      <w:r w:rsidRPr="000F1A48">
        <w:rPr>
          <w:spacing w:val="6"/>
        </w:rPr>
        <w:t xml:space="preserve"> </w:t>
      </w:r>
      <w:r w:rsidRPr="00970AD2">
        <w:t>following</w:t>
      </w:r>
      <w:r w:rsidRPr="000F1A48">
        <w:rPr>
          <w:spacing w:val="17"/>
        </w:rPr>
        <w:t xml:space="preserve"> </w:t>
      </w:r>
      <w:r w:rsidRPr="000F1A48">
        <w:rPr>
          <w:spacing w:val="1"/>
          <w:w w:val="102"/>
        </w:rPr>
        <w:t>c</w:t>
      </w:r>
      <w:r w:rsidRPr="000F1A48">
        <w:rPr>
          <w:w w:val="102"/>
        </w:rPr>
        <w:t>h</w:t>
      </w:r>
      <w:r w:rsidRPr="000F1A48">
        <w:rPr>
          <w:spacing w:val="1"/>
          <w:w w:val="102"/>
        </w:rPr>
        <w:t>a</w:t>
      </w:r>
      <w:r w:rsidRPr="000F1A48">
        <w:rPr>
          <w:spacing w:val="-1"/>
          <w:w w:val="102"/>
        </w:rPr>
        <w:t>r</w:t>
      </w:r>
      <w:r w:rsidRPr="000F1A48">
        <w:rPr>
          <w:spacing w:val="1"/>
          <w:w w:val="102"/>
        </w:rPr>
        <w:t>ac</w:t>
      </w:r>
      <w:r w:rsidRPr="000F1A48">
        <w:rPr>
          <w:w w:val="102"/>
        </w:rPr>
        <w:t>t</w:t>
      </w:r>
      <w:r w:rsidRPr="000F1A48">
        <w:rPr>
          <w:spacing w:val="1"/>
          <w:w w:val="102"/>
        </w:rPr>
        <w:t>e</w:t>
      </w:r>
      <w:r w:rsidRPr="000F1A48">
        <w:rPr>
          <w:spacing w:val="-1"/>
          <w:w w:val="102"/>
        </w:rPr>
        <w:t>r</w:t>
      </w:r>
      <w:r w:rsidRPr="000F1A48">
        <w:rPr>
          <w:w w:val="102"/>
        </w:rPr>
        <w:t>i</w:t>
      </w:r>
      <w:r w:rsidRPr="000F1A48">
        <w:rPr>
          <w:spacing w:val="1"/>
          <w:w w:val="102"/>
        </w:rPr>
        <w:t>s</w:t>
      </w:r>
      <w:r w:rsidRPr="000F1A48">
        <w:rPr>
          <w:w w:val="102"/>
        </w:rPr>
        <w:t>ti</w:t>
      </w:r>
      <w:r w:rsidRPr="000F1A48">
        <w:rPr>
          <w:spacing w:val="1"/>
          <w:w w:val="102"/>
        </w:rPr>
        <w:t>cs</w:t>
      </w:r>
      <w:r w:rsidRPr="000F1A48">
        <w:rPr>
          <w:w w:val="102"/>
        </w:rPr>
        <w:t>—</w:t>
      </w:r>
    </w:p>
    <w:p w14:paraId="001BD672" w14:textId="77777777" w:rsidR="00831F19" w:rsidRPr="00970AD2" w:rsidRDefault="00F0426F" w:rsidP="00D633D3">
      <w:pPr>
        <w:pStyle w:val="Subdetailsthirdindent"/>
        <w:numPr>
          <w:ilvl w:val="0"/>
          <w:numId w:val="213"/>
        </w:numPr>
      </w:pPr>
      <w:r w:rsidRPr="00970AD2">
        <w:t xml:space="preserve">meet the performance requirements for the attributes set out in </w:t>
      </w:r>
      <w:r w:rsidR="003D2955">
        <w:t xml:space="preserve">‘Compliance Requirements’ of </w:t>
      </w:r>
      <w:r w:rsidRPr="00970AD2">
        <w:t xml:space="preserve">AS 4847, or if the Administrator determines that the performance requirements for attributes set out in </w:t>
      </w:r>
      <w:r w:rsidR="003D2955">
        <w:t xml:space="preserve">‘Compliance Requirements’ of </w:t>
      </w:r>
      <w:r w:rsidRPr="00970AD2">
        <w:t xml:space="preserve">AS 4847 </w:t>
      </w:r>
      <w:r w:rsidR="003F7A84" w:rsidRPr="00970AD2">
        <w:t>are</w:t>
      </w:r>
      <w:r w:rsidRPr="00970AD2">
        <w:t xml:space="preserve"> not applicable to the lamp, any other performance requirement determined by the Administrator; </w:t>
      </w:r>
    </w:p>
    <w:p w14:paraId="46FE888A" w14:textId="77777777" w:rsidR="00831F19" w:rsidRPr="00970AD2" w:rsidRDefault="00F0426F" w:rsidP="00D613C8">
      <w:pPr>
        <w:pStyle w:val="Subdetailsthirdindent"/>
      </w:pPr>
      <w:r w:rsidRPr="00970AD2">
        <w:t xml:space="preserve">achieve a minimum lighting source efficacy level of </w:t>
      </w:r>
      <w:r w:rsidR="00101155" w:rsidRPr="00970AD2">
        <w:t>45</w:t>
      </w:r>
      <w:r w:rsidRPr="00970AD2">
        <w:t xml:space="preserve"> l</w:t>
      </w:r>
      <w:r w:rsidR="00995E5B">
        <w:t>m/W</w:t>
      </w:r>
      <w:r w:rsidRPr="00970AD2">
        <w:t xml:space="preserve">; </w:t>
      </w:r>
    </w:p>
    <w:p w14:paraId="2DC8E7A8" w14:textId="77777777" w:rsidR="00831F19" w:rsidRPr="00970AD2" w:rsidRDefault="00F0426F" w:rsidP="00D613C8">
      <w:pPr>
        <w:pStyle w:val="Subdetailsthirdindent"/>
      </w:pPr>
      <w:r w:rsidRPr="00970AD2">
        <w:t>have a minimum manufacturer's rated lifetime of 1</w:t>
      </w:r>
      <w:r w:rsidR="00101155" w:rsidRPr="00970AD2">
        <w:t>2</w:t>
      </w:r>
      <w:r w:rsidRPr="00970AD2">
        <w:t xml:space="preserve">,000 hours; </w:t>
      </w:r>
    </w:p>
    <w:p w14:paraId="0F6BF1E0" w14:textId="77777777" w:rsidR="00831F19" w:rsidRPr="00970AD2" w:rsidRDefault="00F0426F" w:rsidP="00D613C8">
      <w:pPr>
        <w:pStyle w:val="Subdetailsthirdindent"/>
      </w:pPr>
      <w:r w:rsidRPr="00970AD2">
        <w:t xml:space="preserve">if the lamp is to be installed in a dimmable circuit, be approved by the manufacturer as suitable for such a circuit; and </w:t>
      </w:r>
    </w:p>
    <w:p w14:paraId="3B2AC9AF" w14:textId="77777777" w:rsidR="00831F19" w:rsidRPr="00970AD2" w:rsidRDefault="00F0426F" w:rsidP="00D613C8">
      <w:pPr>
        <w:pStyle w:val="Subdetailsthirdindent"/>
      </w:pPr>
      <w:r w:rsidRPr="00970AD2">
        <w:t>have a colour temperature that is, or is capable of being set at, warm white (2700Kto 3500K) or cool white (3500K to 4000K); and</w:t>
      </w:r>
    </w:p>
    <w:p w14:paraId="738817F6" w14:textId="77777777" w:rsidR="00831F19" w:rsidRPr="00970AD2" w:rsidRDefault="00F0426F" w:rsidP="00D613C8">
      <w:pPr>
        <w:pStyle w:val="Subdetailssecondindent"/>
      </w:pPr>
      <w:r w:rsidRPr="00970AD2">
        <w:t>be listed in the register of products for the activity.</w:t>
      </w:r>
    </w:p>
    <w:p w14:paraId="470C2CF5" w14:textId="77777777" w:rsidR="00831F19" w:rsidRPr="00970AD2" w:rsidRDefault="00F0426F" w:rsidP="00D613C8">
      <w:pPr>
        <w:pStyle w:val="Subdetailsfirstindent"/>
      </w:pPr>
      <w:r w:rsidRPr="00970AD2">
        <w:t xml:space="preserve">For </w:t>
      </w:r>
      <w:r w:rsidR="00A439E8">
        <w:t>A</w:t>
      </w:r>
      <w:r w:rsidR="002C260A" w:rsidRPr="00970AD2">
        <w:t>ctivity</w:t>
      </w:r>
      <w:r w:rsidR="00A439E8">
        <w:t xml:space="preserve"> </w:t>
      </w:r>
      <w:r w:rsidR="002C260A" w:rsidRPr="00970AD2">
        <w:t>4.</w:t>
      </w:r>
      <w:r w:rsidRPr="00970AD2">
        <w:t>1(c)</w:t>
      </w:r>
      <w:r w:rsidR="00282BCF" w:rsidRPr="00970AD2">
        <w:t>, an installed product must</w:t>
      </w:r>
      <w:r w:rsidRPr="00970AD2">
        <w:rPr>
          <w:rFonts w:eastAsia="Times New Roman"/>
        </w:rPr>
        <w:t>—</w:t>
      </w:r>
    </w:p>
    <w:p w14:paraId="39257EC2" w14:textId="77777777" w:rsidR="00831F19" w:rsidRPr="00970AD2" w:rsidRDefault="00F0426F" w:rsidP="00D633D3">
      <w:pPr>
        <w:pStyle w:val="Subdetailssecondindent"/>
        <w:numPr>
          <w:ilvl w:val="0"/>
          <w:numId w:val="214"/>
        </w:numPr>
      </w:pPr>
      <w:r w:rsidRPr="00970AD2">
        <w:t>if</w:t>
      </w:r>
      <w:r w:rsidRPr="00D613C8">
        <w:rPr>
          <w:spacing w:val="-1"/>
        </w:rPr>
        <w:t xml:space="preserve"> </w:t>
      </w:r>
      <w:r w:rsidRPr="00970AD2">
        <w:t>the</w:t>
      </w:r>
      <w:r w:rsidRPr="00D613C8">
        <w:rPr>
          <w:spacing w:val="-1"/>
        </w:rPr>
        <w:t xml:space="preserve"> </w:t>
      </w:r>
      <w:r w:rsidRPr="00970AD2">
        <w:t>l</w:t>
      </w:r>
      <w:r w:rsidRPr="00D613C8">
        <w:rPr>
          <w:spacing w:val="-1"/>
        </w:rPr>
        <w:t>a</w:t>
      </w:r>
      <w:r w:rsidRPr="00970AD2">
        <w:t>mp is to be</w:t>
      </w:r>
      <w:r w:rsidRPr="00D613C8">
        <w:rPr>
          <w:spacing w:val="-1"/>
        </w:rPr>
        <w:t xml:space="preserve"> </w:t>
      </w:r>
      <w:r w:rsidRPr="00970AD2">
        <w:t>inst</w:t>
      </w:r>
      <w:r w:rsidRPr="00D613C8">
        <w:rPr>
          <w:spacing w:val="-1"/>
        </w:rPr>
        <w:t>a</w:t>
      </w:r>
      <w:r w:rsidRPr="00970AD2">
        <w:t>ll</w:t>
      </w:r>
      <w:r w:rsidRPr="00D613C8">
        <w:rPr>
          <w:spacing w:val="-1"/>
        </w:rPr>
        <w:t>e</w:t>
      </w:r>
      <w:r w:rsidRPr="00970AD2">
        <w:t>d in a</w:t>
      </w:r>
      <w:r w:rsidRPr="00D613C8">
        <w:rPr>
          <w:spacing w:val="-1"/>
        </w:rPr>
        <w:t xml:space="preserve"> </w:t>
      </w:r>
      <w:r w:rsidRPr="00970AD2">
        <w:t>dimm</w:t>
      </w:r>
      <w:r w:rsidRPr="00D613C8">
        <w:rPr>
          <w:spacing w:val="-1"/>
        </w:rPr>
        <w:t>a</w:t>
      </w:r>
      <w:r w:rsidRPr="00970AD2">
        <w:t>ble</w:t>
      </w:r>
      <w:r w:rsidRPr="00D613C8">
        <w:rPr>
          <w:spacing w:val="-1"/>
        </w:rPr>
        <w:t xml:space="preserve"> c</w:t>
      </w:r>
      <w:r w:rsidRPr="00970AD2">
        <w:t>i</w:t>
      </w:r>
      <w:r w:rsidRPr="00D613C8">
        <w:rPr>
          <w:spacing w:val="-1"/>
        </w:rPr>
        <w:t>rc</w:t>
      </w:r>
      <w:r w:rsidRPr="00970AD2">
        <w:t>uit,</w:t>
      </w:r>
      <w:r w:rsidRPr="00D613C8">
        <w:rPr>
          <w:spacing w:val="2"/>
        </w:rPr>
        <w:t xml:space="preserve"> be</w:t>
      </w:r>
      <w:r w:rsidRPr="00970AD2">
        <w:t xml:space="preserve"> </w:t>
      </w:r>
      <w:r w:rsidRPr="00D613C8">
        <w:rPr>
          <w:spacing w:val="-1"/>
        </w:rPr>
        <w:t>a</w:t>
      </w:r>
      <w:r w:rsidRPr="00970AD2">
        <w:t>pp</w:t>
      </w:r>
      <w:r w:rsidRPr="00D613C8">
        <w:rPr>
          <w:spacing w:val="-1"/>
        </w:rPr>
        <w:t>r</w:t>
      </w:r>
      <w:r w:rsidRPr="00970AD2">
        <w:t>ov</w:t>
      </w:r>
      <w:r w:rsidRPr="00D613C8">
        <w:rPr>
          <w:spacing w:val="-1"/>
        </w:rPr>
        <w:t>e</w:t>
      </w:r>
      <w:r w:rsidRPr="00970AD2">
        <w:t xml:space="preserve">d </w:t>
      </w:r>
      <w:r w:rsidRPr="00D613C8">
        <w:rPr>
          <w:spacing w:val="5"/>
        </w:rPr>
        <w:t>b</w:t>
      </w:r>
      <w:r w:rsidRPr="00970AD2">
        <w:t>y</w:t>
      </w:r>
      <w:r w:rsidRPr="00D613C8">
        <w:rPr>
          <w:spacing w:val="-5"/>
        </w:rPr>
        <w:t xml:space="preserve"> </w:t>
      </w:r>
      <w:r w:rsidRPr="00970AD2">
        <w:t>the</w:t>
      </w:r>
      <w:r w:rsidRPr="00D613C8">
        <w:rPr>
          <w:spacing w:val="-1"/>
        </w:rPr>
        <w:t xml:space="preserve"> </w:t>
      </w:r>
      <w:r w:rsidRPr="00970AD2">
        <w:t>m</w:t>
      </w:r>
      <w:r w:rsidRPr="00D613C8">
        <w:rPr>
          <w:spacing w:val="-1"/>
        </w:rPr>
        <w:t>a</w:t>
      </w:r>
      <w:r w:rsidRPr="00970AD2">
        <w:t>n</w:t>
      </w:r>
      <w:r w:rsidRPr="00D613C8">
        <w:rPr>
          <w:spacing w:val="2"/>
        </w:rPr>
        <w:t>u</w:t>
      </w:r>
      <w:r w:rsidRPr="00D613C8">
        <w:rPr>
          <w:spacing w:val="-1"/>
        </w:rPr>
        <w:t>f</w:t>
      </w:r>
      <w:r w:rsidRPr="00D613C8">
        <w:rPr>
          <w:spacing w:val="1"/>
        </w:rPr>
        <w:t>ac</w:t>
      </w:r>
      <w:r w:rsidRPr="00970AD2">
        <w:t>tu</w:t>
      </w:r>
      <w:r w:rsidRPr="00D613C8">
        <w:rPr>
          <w:spacing w:val="-1"/>
        </w:rPr>
        <w:t>re</w:t>
      </w:r>
      <w:r w:rsidRPr="00970AD2">
        <w:t>r</w:t>
      </w:r>
      <w:r w:rsidRPr="00D613C8">
        <w:rPr>
          <w:spacing w:val="-1"/>
        </w:rPr>
        <w:t xml:space="preserve"> a</w:t>
      </w:r>
      <w:r w:rsidRPr="00970AD2">
        <w:t>s suit</w:t>
      </w:r>
      <w:r w:rsidRPr="00D613C8">
        <w:rPr>
          <w:spacing w:val="-1"/>
        </w:rPr>
        <w:t>a</w:t>
      </w:r>
      <w:r w:rsidRPr="00970AD2">
        <w:t>ble</w:t>
      </w:r>
      <w:r w:rsidRPr="00D613C8">
        <w:rPr>
          <w:spacing w:val="-1"/>
        </w:rPr>
        <w:t xml:space="preserve"> f</w:t>
      </w:r>
      <w:r w:rsidRPr="00D613C8">
        <w:rPr>
          <w:spacing w:val="2"/>
        </w:rPr>
        <w:t>o</w:t>
      </w:r>
      <w:r w:rsidRPr="00970AD2">
        <w:t>r</w:t>
      </w:r>
      <w:r w:rsidRPr="00D613C8">
        <w:rPr>
          <w:spacing w:val="-1"/>
        </w:rPr>
        <w:t xml:space="preserve"> </w:t>
      </w:r>
      <w:r w:rsidRPr="00970AD2">
        <w:t>su</w:t>
      </w:r>
      <w:r w:rsidRPr="00D613C8">
        <w:rPr>
          <w:spacing w:val="-1"/>
        </w:rPr>
        <w:t>c</w:t>
      </w:r>
      <w:r w:rsidRPr="00970AD2">
        <w:t>h</w:t>
      </w:r>
      <w:r w:rsidRPr="00D613C8">
        <w:rPr>
          <w:spacing w:val="2"/>
        </w:rPr>
        <w:t xml:space="preserve"> </w:t>
      </w:r>
      <w:r w:rsidRPr="00970AD2">
        <w:t xml:space="preserve">a </w:t>
      </w:r>
      <w:r w:rsidRPr="00D613C8">
        <w:rPr>
          <w:spacing w:val="-1"/>
        </w:rPr>
        <w:t>c</w:t>
      </w:r>
      <w:r w:rsidRPr="00970AD2">
        <w:t>i</w:t>
      </w:r>
      <w:r w:rsidRPr="00D613C8">
        <w:rPr>
          <w:spacing w:val="-1"/>
        </w:rPr>
        <w:t>rc</w:t>
      </w:r>
      <w:r w:rsidRPr="00970AD2">
        <w:t xml:space="preserve">uit; </w:t>
      </w:r>
    </w:p>
    <w:p w14:paraId="6E7CA474" w14:textId="77777777" w:rsidR="00831F19" w:rsidRPr="00970AD2" w:rsidRDefault="00F0426F" w:rsidP="00D613C8">
      <w:pPr>
        <w:pStyle w:val="Subdetailssecondindent"/>
      </w:pPr>
      <w:r w:rsidRPr="00970AD2">
        <w:t>h</w:t>
      </w:r>
      <w:r w:rsidRPr="000F1A48">
        <w:rPr>
          <w:spacing w:val="-1"/>
        </w:rPr>
        <w:t>ave</w:t>
      </w:r>
      <w:r w:rsidRPr="00970AD2">
        <w:t xml:space="preserve"> the</w:t>
      </w:r>
      <w:r w:rsidRPr="000F1A48">
        <w:rPr>
          <w:spacing w:val="-1"/>
        </w:rPr>
        <w:t xml:space="preserve"> </w:t>
      </w:r>
      <w:r w:rsidRPr="00970AD2">
        <w:t xml:space="preserve">following </w:t>
      </w:r>
      <w:r w:rsidRPr="000F1A48">
        <w:rPr>
          <w:spacing w:val="-1"/>
        </w:rPr>
        <w:t>c</w:t>
      </w:r>
      <w:r w:rsidRPr="00970AD2">
        <w:t>h</w:t>
      </w:r>
      <w:r w:rsidRPr="000F1A48">
        <w:rPr>
          <w:spacing w:val="-1"/>
        </w:rPr>
        <w:t>a</w:t>
      </w:r>
      <w:r w:rsidRPr="000F1A48">
        <w:rPr>
          <w:spacing w:val="2"/>
        </w:rPr>
        <w:t>r</w:t>
      </w:r>
      <w:r w:rsidRPr="000F1A48">
        <w:rPr>
          <w:spacing w:val="-1"/>
        </w:rPr>
        <w:t>ac</w:t>
      </w:r>
      <w:r w:rsidRPr="000F1A48">
        <w:rPr>
          <w:spacing w:val="3"/>
        </w:rPr>
        <w:t>t</w:t>
      </w:r>
      <w:r w:rsidRPr="000F1A48">
        <w:rPr>
          <w:spacing w:val="-1"/>
        </w:rPr>
        <w:t>er</w:t>
      </w:r>
      <w:r w:rsidRPr="00970AD2">
        <w:t>isti</w:t>
      </w:r>
      <w:r w:rsidRPr="000F1A48">
        <w:rPr>
          <w:spacing w:val="-1"/>
        </w:rPr>
        <w:t>c</w:t>
      </w:r>
      <w:r w:rsidRPr="00970AD2">
        <w:t>s—</w:t>
      </w:r>
    </w:p>
    <w:p w14:paraId="3EBDD706" w14:textId="77777777" w:rsidR="00831F19" w:rsidRPr="00970AD2" w:rsidRDefault="00F0426F" w:rsidP="00D633D3">
      <w:pPr>
        <w:pStyle w:val="Subdetailsthirdindent"/>
        <w:numPr>
          <w:ilvl w:val="0"/>
          <w:numId w:val="215"/>
        </w:numPr>
      </w:pPr>
      <w:r w:rsidRPr="00970AD2">
        <w:t xml:space="preserve">meet the performance requirements for the attributes set out in </w:t>
      </w:r>
      <w:r w:rsidR="003D2955">
        <w:t xml:space="preserve">‘Compliance Requirements’ of </w:t>
      </w:r>
      <w:r w:rsidRPr="00970AD2">
        <w:t xml:space="preserve">AS 4847, or if the Administrator determines that the performance requirements for attributes set out in </w:t>
      </w:r>
      <w:r w:rsidR="003D2955">
        <w:t xml:space="preserve">‘Compliance Requirements’ of </w:t>
      </w:r>
      <w:r w:rsidRPr="00970AD2">
        <w:t xml:space="preserve">AS 4847 </w:t>
      </w:r>
      <w:r w:rsidR="00282BCF" w:rsidRPr="00970AD2">
        <w:t>are</w:t>
      </w:r>
      <w:r w:rsidRPr="00970AD2">
        <w:t xml:space="preserve"> not applicable to the lamp, any other performance requirement determined by the Administrator; </w:t>
      </w:r>
    </w:p>
    <w:p w14:paraId="13EED5C7" w14:textId="77777777" w:rsidR="00831F19" w:rsidRPr="00970AD2" w:rsidRDefault="00F0426F" w:rsidP="00D633D3">
      <w:pPr>
        <w:pStyle w:val="Subdetailsthirdindent"/>
        <w:numPr>
          <w:ilvl w:val="0"/>
          <w:numId w:val="215"/>
        </w:numPr>
      </w:pPr>
      <w:r w:rsidRPr="00970AD2">
        <w:t>achieve</w:t>
      </w:r>
      <w:r w:rsidRPr="00D613C8">
        <w:rPr>
          <w:rFonts w:eastAsia="Times New Roman"/>
        </w:rPr>
        <w:t xml:space="preserve"> </w:t>
      </w:r>
      <w:r w:rsidRPr="00970AD2">
        <w:t>minimum</w:t>
      </w:r>
      <w:r w:rsidRPr="00D613C8">
        <w:rPr>
          <w:rFonts w:eastAsia="Times New Roman"/>
        </w:rPr>
        <w:t xml:space="preserve"> li</w:t>
      </w:r>
      <w:r w:rsidRPr="00D613C8">
        <w:rPr>
          <w:rFonts w:eastAsia="Times New Roman"/>
          <w:spacing w:val="-2"/>
        </w:rPr>
        <w:t>g</w:t>
      </w:r>
      <w:r w:rsidRPr="00D613C8">
        <w:rPr>
          <w:rFonts w:eastAsia="Times New Roman"/>
        </w:rPr>
        <w:t>hting</w:t>
      </w:r>
      <w:r w:rsidRPr="00D613C8">
        <w:rPr>
          <w:rFonts w:eastAsia="Times New Roman"/>
          <w:spacing w:val="-2"/>
        </w:rPr>
        <w:t xml:space="preserve"> </w:t>
      </w:r>
      <w:r w:rsidRPr="00D613C8">
        <w:rPr>
          <w:rFonts w:eastAsia="Times New Roman"/>
        </w:rPr>
        <w:t>sou</w:t>
      </w:r>
      <w:r w:rsidRPr="00D613C8">
        <w:rPr>
          <w:rFonts w:eastAsia="Times New Roman"/>
          <w:spacing w:val="2"/>
        </w:rPr>
        <w:t>r</w:t>
      </w:r>
      <w:r w:rsidRPr="00D613C8">
        <w:rPr>
          <w:rFonts w:eastAsia="Times New Roman"/>
          <w:spacing w:val="-1"/>
        </w:rPr>
        <w:t>c</w:t>
      </w:r>
      <w:r w:rsidRPr="00D613C8">
        <w:rPr>
          <w:rFonts w:eastAsia="Times New Roman"/>
        </w:rPr>
        <w:t>e</w:t>
      </w:r>
      <w:r w:rsidRPr="00D613C8">
        <w:rPr>
          <w:rFonts w:eastAsia="Times New Roman"/>
          <w:spacing w:val="-1"/>
        </w:rPr>
        <w:t xml:space="preserve"> </w:t>
      </w:r>
      <w:r w:rsidRPr="00D613C8">
        <w:rPr>
          <w:rFonts w:eastAsia="Times New Roman"/>
          <w:spacing w:val="1"/>
        </w:rPr>
        <w:t>e</w:t>
      </w:r>
      <w:r w:rsidRPr="00D613C8">
        <w:rPr>
          <w:rFonts w:eastAsia="Times New Roman"/>
          <w:spacing w:val="-1"/>
        </w:rPr>
        <w:t>ff</w:t>
      </w:r>
      <w:r w:rsidRPr="00D613C8">
        <w:rPr>
          <w:rFonts w:eastAsia="Times New Roman"/>
        </w:rPr>
        <w:t>i</w:t>
      </w:r>
      <w:r w:rsidRPr="00D613C8">
        <w:rPr>
          <w:rFonts w:eastAsia="Times New Roman"/>
          <w:spacing w:val="1"/>
        </w:rPr>
        <w:t>c</w:t>
      </w:r>
      <w:r w:rsidRPr="00D613C8">
        <w:rPr>
          <w:rFonts w:eastAsia="Times New Roman"/>
          <w:spacing w:val="-1"/>
        </w:rPr>
        <w:t>a</w:t>
      </w:r>
      <w:r w:rsidRPr="00D613C8">
        <w:rPr>
          <w:rFonts w:eastAsia="Times New Roman"/>
          <w:spacing w:val="4"/>
        </w:rPr>
        <w:t>c</w:t>
      </w:r>
      <w:r w:rsidRPr="00D613C8">
        <w:rPr>
          <w:rFonts w:eastAsia="Times New Roman"/>
        </w:rPr>
        <w:t>y l</w:t>
      </w:r>
      <w:r w:rsidRPr="00D613C8">
        <w:rPr>
          <w:rFonts w:eastAsia="Times New Roman"/>
          <w:spacing w:val="-1"/>
        </w:rPr>
        <w:t>e</w:t>
      </w:r>
      <w:r w:rsidRPr="00D613C8">
        <w:rPr>
          <w:rFonts w:eastAsia="Times New Roman"/>
        </w:rPr>
        <w:t>v</w:t>
      </w:r>
      <w:r w:rsidRPr="00D613C8">
        <w:rPr>
          <w:rFonts w:eastAsia="Times New Roman"/>
          <w:spacing w:val="-1"/>
        </w:rPr>
        <w:t>e</w:t>
      </w:r>
      <w:r w:rsidRPr="00D613C8">
        <w:rPr>
          <w:rFonts w:eastAsia="Times New Roman"/>
        </w:rPr>
        <w:t>ls of</w:t>
      </w:r>
      <w:r w:rsidRPr="00D613C8">
        <w:rPr>
          <w:rFonts w:eastAsia="Times New Roman"/>
          <w:spacing w:val="-1"/>
        </w:rPr>
        <w:t xml:space="preserve"> </w:t>
      </w:r>
      <w:r w:rsidRPr="00D613C8">
        <w:rPr>
          <w:spacing w:val="-1"/>
        </w:rPr>
        <w:t>52</w:t>
      </w:r>
      <w:r w:rsidRPr="00D613C8">
        <w:rPr>
          <w:rFonts w:eastAsia="Times New Roman"/>
        </w:rPr>
        <w:t xml:space="preserve"> l</w:t>
      </w:r>
      <w:r w:rsidR="000C27E5">
        <w:rPr>
          <w:rFonts w:eastAsia="Times New Roman"/>
        </w:rPr>
        <w:t>m/W</w:t>
      </w:r>
      <w:r w:rsidRPr="00D613C8">
        <w:rPr>
          <w:rFonts w:eastAsia="Times New Roman"/>
        </w:rPr>
        <w:t xml:space="preserve">; </w:t>
      </w:r>
    </w:p>
    <w:p w14:paraId="4C8BE98A" w14:textId="77777777" w:rsidR="00831F19" w:rsidRPr="00970AD2" w:rsidRDefault="00F0426F" w:rsidP="00D633D3">
      <w:pPr>
        <w:pStyle w:val="Subdetailsthirdindent"/>
        <w:numPr>
          <w:ilvl w:val="0"/>
          <w:numId w:val="215"/>
        </w:numPr>
      </w:pPr>
      <w:r w:rsidRPr="00D613C8">
        <w:rPr>
          <w:rFonts w:eastAsia="Times New Roman"/>
        </w:rPr>
        <w:t>h</w:t>
      </w:r>
      <w:r w:rsidRPr="00D613C8">
        <w:rPr>
          <w:rFonts w:eastAsia="Times New Roman"/>
          <w:spacing w:val="-1"/>
        </w:rPr>
        <w:t>ave</w:t>
      </w:r>
      <w:r w:rsidRPr="00D613C8">
        <w:rPr>
          <w:rFonts w:eastAsia="Times New Roman"/>
        </w:rPr>
        <w:t xml:space="preserve"> a</w:t>
      </w:r>
      <w:r w:rsidRPr="00D613C8">
        <w:rPr>
          <w:rFonts w:eastAsia="Times New Roman"/>
          <w:spacing w:val="-1"/>
        </w:rPr>
        <w:t xml:space="preserve"> </w:t>
      </w:r>
      <w:r w:rsidRPr="00970AD2">
        <w:t>minimum</w:t>
      </w:r>
      <w:r w:rsidRPr="00D613C8">
        <w:rPr>
          <w:rFonts w:eastAsia="Times New Roman"/>
        </w:rPr>
        <w:t xml:space="preserve"> li</w:t>
      </w:r>
      <w:r w:rsidRPr="00D613C8">
        <w:rPr>
          <w:rFonts w:eastAsia="Times New Roman"/>
          <w:spacing w:val="-2"/>
        </w:rPr>
        <w:t>g</w:t>
      </w:r>
      <w:r w:rsidRPr="00D613C8">
        <w:rPr>
          <w:rFonts w:eastAsia="Times New Roman"/>
        </w:rPr>
        <w:t>ht output of</w:t>
      </w:r>
      <w:r w:rsidRPr="00D613C8">
        <w:rPr>
          <w:rFonts w:eastAsia="Times New Roman"/>
          <w:spacing w:val="-1"/>
        </w:rPr>
        <w:t xml:space="preserve"> </w:t>
      </w:r>
      <w:r w:rsidRPr="00970AD2">
        <w:t>420</w:t>
      </w:r>
      <w:r w:rsidRPr="00D613C8">
        <w:rPr>
          <w:rFonts w:eastAsia="Times New Roman"/>
        </w:rPr>
        <w:t xml:space="preserve"> lum</w:t>
      </w:r>
      <w:r w:rsidRPr="00D613C8">
        <w:rPr>
          <w:rFonts w:eastAsia="Times New Roman"/>
          <w:spacing w:val="-1"/>
        </w:rPr>
        <w:t>e</w:t>
      </w:r>
      <w:r w:rsidRPr="00D613C8">
        <w:rPr>
          <w:rFonts w:eastAsia="Times New Roman"/>
        </w:rPr>
        <w:t>ns in the</w:t>
      </w:r>
      <w:r w:rsidRPr="00D613C8">
        <w:rPr>
          <w:rFonts w:eastAsia="Times New Roman"/>
          <w:spacing w:val="-1"/>
        </w:rPr>
        <w:t xml:space="preserve"> f</w:t>
      </w:r>
      <w:r w:rsidRPr="00D613C8">
        <w:rPr>
          <w:rFonts w:eastAsia="Times New Roman"/>
        </w:rPr>
        <w:t>o</w:t>
      </w:r>
      <w:r w:rsidRPr="00D613C8">
        <w:rPr>
          <w:rFonts w:eastAsia="Times New Roman"/>
          <w:spacing w:val="-1"/>
        </w:rPr>
        <w:t>r</w:t>
      </w:r>
      <w:r w:rsidRPr="00D613C8">
        <w:rPr>
          <w:rFonts w:eastAsia="Times New Roman"/>
        </w:rPr>
        <w:t>w</w:t>
      </w:r>
      <w:r w:rsidRPr="00D613C8">
        <w:rPr>
          <w:rFonts w:eastAsia="Times New Roman"/>
          <w:spacing w:val="1"/>
        </w:rPr>
        <w:t>a</w:t>
      </w:r>
      <w:r w:rsidRPr="00D613C8">
        <w:rPr>
          <w:rFonts w:eastAsia="Times New Roman"/>
          <w:spacing w:val="-1"/>
        </w:rPr>
        <w:t>r</w:t>
      </w:r>
      <w:r w:rsidRPr="00D613C8">
        <w:rPr>
          <w:rFonts w:eastAsia="Times New Roman"/>
        </w:rPr>
        <w:t>d di</w:t>
      </w:r>
      <w:r w:rsidRPr="00D613C8">
        <w:rPr>
          <w:rFonts w:eastAsia="Times New Roman"/>
          <w:spacing w:val="-1"/>
        </w:rPr>
        <w:t>r</w:t>
      </w:r>
      <w:r w:rsidRPr="00D613C8">
        <w:rPr>
          <w:rFonts w:eastAsia="Times New Roman"/>
          <w:spacing w:val="1"/>
        </w:rPr>
        <w:t>e</w:t>
      </w:r>
      <w:r w:rsidRPr="00D613C8">
        <w:rPr>
          <w:rFonts w:eastAsia="Times New Roman"/>
          <w:spacing w:val="-1"/>
        </w:rPr>
        <w:t>c</w:t>
      </w:r>
      <w:r w:rsidRPr="00D613C8">
        <w:rPr>
          <w:rFonts w:eastAsia="Times New Roman"/>
        </w:rPr>
        <w:t xml:space="preserve">tion; </w:t>
      </w:r>
    </w:p>
    <w:p w14:paraId="2E8B4074" w14:textId="77777777" w:rsidR="00831F19" w:rsidRPr="00970AD2" w:rsidRDefault="00F0426F" w:rsidP="00D633D3">
      <w:pPr>
        <w:pStyle w:val="Subdetailsthirdindent"/>
        <w:numPr>
          <w:ilvl w:val="0"/>
          <w:numId w:val="215"/>
        </w:numPr>
      </w:pPr>
      <w:r w:rsidRPr="00D613C8">
        <w:rPr>
          <w:rFonts w:eastAsia="Times New Roman"/>
        </w:rPr>
        <w:t>h</w:t>
      </w:r>
      <w:r w:rsidRPr="00D613C8">
        <w:rPr>
          <w:rFonts w:eastAsia="Times New Roman"/>
          <w:spacing w:val="-1"/>
        </w:rPr>
        <w:t>a</w:t>
      </w:r>
      <w:r w:rsidRPr="00D613C8">
        <w:rPr>
          <w:rFonts w:eastAsia="Times New Roman"/>
        </w:rPr>
        <w:t>ve a</w:t>
      </w:r>
      <w:r w:rsidRPr="00D613C8">
        <w:rPr>
          <w:rFonts w:eastAsia="Times New Roman"/>
          <w:spacing w:val="-1"/>
        </w:rPr>
        <w:t xml:space="preserve"> </w:t>
      </w:r>
      <w:r w:rsidRPr="00970AD2">
        <w:t>minimum</w:t>
      </w:r>
      <w:r w:rsidRPr="00D613C8">
        <w:rPr>
          <w:rFonts w:eastAsia="Times New Roman"/>
        </w:rPr>
        <w:t xml:space="preserve"> m</w:t>
      </w:r>
      <w:r w:rsidRPr="00D613C8">
        <w:rPr>
          <w:rFonts w:eastAsia="Times New Roman"/>
          <w:spacing w:val="-1"/>
        </w:rPr>
        <w:t>a</w:t>
      </w:r>
      <w:r w:rsidRPr="00D613C8">
        <w:rPr>
          <w:rFonts w:eastAsia="Times New Roman"/>
        </w:rPr>
        <w:t>nu</w:t>
      </w:r>
      <w:r w:rsidRPr="00D613C8">
        <w:rPr>
          <w:rFonts w:eastAsia="Times New Roman"/>
          <w:spacing w:val="-1"/>
        </w:rPr>
        <w:t>fac</w:t>
      </w:r>
      <w:r w:rsidRPr="00D613C8">
        <w:rPr>
          <w:rFonts w:eastAsia="Times New Roman"/>
          <w:spacing w:val="3"/>
        </w:rPr>
        <w:t>t</w:t>
      </w:r>
      <w:r w:rsidRPr="00D613C8">
        <w:rPr>
          <w:rFonts w:eastAsia="Times New Roman"/>
        </w:rPr>
        <w:t>u</w:t>
      </w:r>
      <w:r w:rsidRPr="00D613C8">
        <w:rPr>
          <w:rFonts w:eastAsia="Times New Roman"/>
          <w:spacing w:val="-1"/>
        </w:rPr>
        <w:t>re</w:t>
      </w:r>
      <w:r w:rsidRPr="00D613C8">
        <w:rPr>
          <w:rFonts w:eastAsia="Times New Roman"/>
          <w:spacing w:val="2"/>
        </w:rPr>
        <w:t>r</w:t>
      </w:r>
      <w:r w:rsidR="00877679" w:rsidRPr="00D613C8">
        <w:rPr>
          <w:rFonts w:eastAsia="Times New Roman"/>
          <w:spacing w:val="-2"/>
        </w:rPr>
        <w:t>’</w:t>
      </w:r>
      <w:r w:rsidRPr="00D613C8">
        <w:rPr>
          <w:rFonts w:eastAsia="Times New Roman"/>
        </w:rPr>
        <w:t xml:space="preserve">s </w:t>
      </w:r>
      <w:r w:rsidRPr="00D613C8">
        <w:rPr>
          <w:rFonts w:eastAsia="Times New Roman"/>
          <w:spacing w:val="2"/>
        </w:rPr>
        <w:t>r</w:t>
      </w:r>
      <w:r w:rsidRPr="00D613C8">
        <w:rPr>
          <w:rFonts w:eastAsia="Times New Roman"/>
          <w:spacing w:val="-1"/>
        </w:rPr>
        <w:t>a</w:t>
      </w:r>
      <w:r w:rsidRPr="00D613C8">
        <w:rPr>
          <w:rFonts w:eastAsia="Times New Roman"/>
        </w:rPr>
        <w:t>t</w:t>
      </w:r>
      <w:r w:rsidRPr="00D613C8">
        <w:rPr>
          <w:rFonts w:eastAsia="Times New Roman"/>
          <w:spacing w:val="-1"/>
        </w:rPr>
        <w:t>e</w:t>
      </w:r>
      <w:r w:rsidRPr="00D613C8">
        <w:rPr>
          <w:rFonts w:eastAsia="Times New Roman"/>
        </w:rPr>
        <w:t>d li</w:t>
      </w:r>
      <w:r w:rsidRPr="00D613C8">
        <w:rPr>
          <w:rFonts w:eastAsia="Times New Roman"/>
          <w:spacing w:val="-1"/>
        </w:rPr>
        <w:t>fe</w:t>
      </w:r>
      <w:r w:rsidRPr="00D613C8">
        <w:rPr>
          <w:rFonts w:eastAsia="Times New Roman"/>
        </w:rPr>
        <w:t>time of</w:t>
      </w:r>
      <w:r w:rsidRPr="00D613C8">
        <w:rPr>
          <w:rFonts w:eastAsia="Times New Roman"/>
          <w:spacing w:val="-1"/>
        </w:rPr>
        <w:t xml:space="preserve"> </w:t>
      </w:r>
      <w:r w:rsidRPr="00970AD2">
        <w:t>15,000</w:t>
      </w:r>
      <w:r w:rsidRPr="00D613C8">
        <w:rPr>
          <w:rFonts w:eastAsia="Times New Roman"/>
        </w:rPr>
        <w:t xml:space="preserve"> hou</w:t>
      </w:r>
      <w:r w:rsidRPr="00D613C8">
        <w:rPr>
          <w:rFonts w:eastAsia="Times New Roman"/>
          <w:spacing w:val="-1"/>
        </w:rPr>
        <w:t>r</w:t>
      </w:r>
      <w:r w:rsidRPr="00D613C8">
        <w:rPr>
          <w:rFonts w:eastAsia="Times New Roman"/>
        </w:rPr>
        <w:t xml:space="preserve">s; </w:t>
      </w:r>
    </w:p>
    <w:p w14:paraId="2F347C81" w14:textId="77777777" w:rsidR="00831F19" w:rsidRPr="00970AD2" w:rsidRDefault="00F0426F" w:rsidP="00D633D3">
      <w:pPr>
        <w:pStyle w:val="Subdetailsthirdindent"/>
        <w:numPr>
          <w:ilvl w:val="0"/>
          <w:numId w:val="215"/>
        </w:numPr>
      </w:pPr>
      <w:r w:rsidRPr="00D613C8">
        <w:rPr>
          <w:rFonts w:eastAsia="Times New Roman"/>
        </w:rPr>
        <w:t>h</w:t>
      </w:r>
      <w:r w:rsidRPr="00D613C8">
        <w:rPr>
          <w:rFonts w:eastAsia="Times New Roman"/>
          <w:spacing w:val="-1"/>
        </w:rPr>
        <w:t>a</w:t>
      </w:r>
      <w:r w:rsidRPr="00D613C8">
        <w:rPr>
          <w:rFonts w:eastAsia="Times New Roman"/>
        </w:rPr>
        <w:t>ve a</w:t>
      </w:r>
      <w:r w:rsidRPr="00D613C8">
        <w:rPr>
          <w:rFonts w:eastAsia="Times New Roman"/>
          <w:spacing w:val="-1"/>
        </w:rPr>
        <w:t xml:space="preserve"> c</w:t>
      </w:r>
      <w:r w:rsidRPr="00D613C8">
        <w:rPr>
          <w:rFonts w:eastAsia="Times New Roman"/>
        </w:rPr>
        <w:t>olour</w:t>
      </w:r>
      <w:r w:rsidRPr="00D613C8">
        <w:rPr>
          <w:rFonts w:eastAsia="Times New Roman"/>
          <w:spacing w:val="-1"/>
        </w:rPr>
        <w:t xml:space="preserve"> </w:t>
      </w:r>
      <w:r w:rsidRPr="00970AD2">
        <w:t>t</w:t>
      </w:r>
      <w:r w:rsidRPr="00D613C8">
        <w:rPr>
          <w:spacing w:val="-1"/>
        </w:rPr>
        <w:t>e</w:t>
      </w:r>
      <w:r w:rsidRPr="00970AD2">
        <w:t>m</w:t>
      </w:r>
      <w:r w:rsidRPr="00D613C8">
        <w:rPr>
          <w:spacing w:val="2"/>
        </w:rPr>
        <w:t>p</w:t>
      </w:r>
      <w:r w:rsidRPr="00D613C8">
        <w:rPr>
          <w:spacing w:val="-1"/>
        </w:rPr>
        <w:t>era</w:t>
      </w:r>
      <w:r w:rsidRPr="00970AD2">
        <w:t>tu</w:t>
      </w:r>
      <w:r w:rsidRPr="00D613C8">
        <w:rPr>
          <w:spacing w:val="2"/>
        </w:rPr>
        <w:t>r</w:t>
      </w:r>
      <w:r w:rsidRPr="00970AD2">
        <w:t>e</w:t>
      </w:r>
      <w:r w:rsidRPr="00D613C8">
        <w:rPr>
          <w:rFonts w:eastAsia="Times New Roman"/>
          <w:spacing w:val="1"/>
        </w:rPr>
        <w:t xml:space="preserve"> </w:t>
      </w:r>
      <w:r w:rsidRPr="00D613C8">
        <w:rPr>
          <w:spacing w:val="1"/>
        </w:rPr>
        <w:t>that is, or is capable of being set to,</w:t>
      </w:r>
      <w:r w:rsidRPr="00D613C8">
        <w:rPr>
          <w:rFonts w:eastAsia="Times New Roman"/>
        </w:rPr>
        <w:t xml:space="preserve"> w</w:t>
      </w:r>
      <w:r w:rsidRPr="00D613C8">
        <w:rPr>
          <w:rFonts w:eastAsia="Times New Roman"/>
          <w:spacing w:val="-1"/>
        </w:rPr>
        <w:t>ar</w:t>
      </w:r>
      <w:r w:rsidRPr="00D613C8">
        <w:rPr>
          <w:rFonts w:eastAsia="Times New Roman"/>
        </w:rPr>
        <w:t>m white</w:t>
      </w:r>
      <w:r w:rsidRPr="00970AD2">
        <w:t xml:space="preserve"> </w:t>
      </w:r>
      <w:r w:rsidRPr="00D613C8">
        <w:rPr>
          <w:rFonts w:eastAsia="Times New Roman"/>
          <w:spacing w:val="-1"/>
        </w:rPr>
        <w:t>(</w:t>
      </w:r>
      <w:r w:rsidRPr="00D613C8">
        <w:rPr>
          <w:rFonts w:eastAsia="Times New Roman"/>
        </w:rPr>
        <w:t>2700K to 3500K)</w:t>
      </w:r>
      <w:r w:rsidRPr="00D613C8">
        <w:rPr>
          <w:rFonts w:eastAsia="Times New Roman"/>
          <w:spacing w:val="-1"/>
        </w:rPr>
        <w:t xml:space="preserve"> </w:t>
      </w:r>
      <w:r w:rsidRPr="00D613C8">
        <w:rPr>
          <w:rFonts w:eastAsia="Times New Roman"/>
        </w:rPr>
        <w:t>or</w:t>
      </w:r>
      <w:r w:rsidRPr="00D613C8">
        <w:rPr>
          <w:rFonts w:eastAsia="Times New Roman"/>
          <w:spacing w:val="2"/>
        </w:rPr>
        <w:t xml:space="preserve"> </w:t>
      </w:r>
      <w:r w:rsidRPr="00D613C8">
        <w:rPr>
          <w:rFonts w:eastAsia="Times New Roman"/>
          <w:spacing w:val="-1"/>
        </w:rPr>
        <w:t>c</w:t>
      </w:r>
      <w:r w:rsidRPr="00D613C8">
        <w:rPr>
          <w:rFonts w:eastAsia="Times New Roman"/>
        </w:rPr>
        <w:t>o</w:t>
      </w:r>
      <w:r w:rsidRPr="00D613C8">
        <w:rPr>
          <w:rFonts w:eastAsia="Times New Roman"/>
          <w:spacing w:val="2"/>
        </w:rPr>
        <w:t>o</w:t>
      </w:r>
      <w:r w:rsidRPr="00D613C8">
        <w:rPr>
          <w:rFonts w:eastAsia="Times New Roman"/>
        </w:rPr>
        <w:t>l white</w:t>
      </w:r>
      <w:r w:rsidRPr="00D613C8">
        <w:rPr>
          <w:rFonts w:eastAsia="Times New Roman"/>
          <w:spacing w:val="-1"/>
        </w:rPr>
        <w:t xml:space="preserve"> (</w:t>
      </w:r>
      <w:r w:rsidRPr="00D613C8">
        <w:rPr>
          <w:rFonts w:eastAsia="Times New Roman"/>
        </w:rPr>
        <w:t>3500K to</w:t>
      </w:r>
      <w:r w:rsidRPr="00970AD2">
        <w:t xml:space="preserve"> </w:t>
      </w:r>
      <w:r w:rsidRPr="00D613C8">
        <w:rPr>
          <w:rFonts w:eastAsia="Times New Roman"/>
        </w:rPr>
        <w:t>4000K</w:t>
      </w:r>
      <w:r w:rsidRPr="00D613C8">
        <w:rPr>
          <w:rFonts w:eastAsia="Times New Roman"/>
          <w:spacing w:val="-1"/>
        </w:rPr>
        <w:t>)</w:t>
      </w:r>
      <w:r w:rsidRPr="00D613C8">
        <w:rPr>
          <w:rFonts w:eastAsia="Times New Roman"/>
        </w:rPr>
        <w:t xml:space="preserve">; </w:t>
      </w:r>
      <w:r w:rsidRPr="00D613C8">
        <w:rPr>
          <w:rFonts w:eastAsia="Times New Roman"/>
          <w:spacing w:val="-1"/>
        </w:rPr>
        <w:t>a</w:t>
      </w:r>
      <w:r w:rsidRPr="00D613C8">
        <w:rPr>
          <w:rFonts w:eastAsia="Times New Roman"/>
        </w:rPr>
        <w:t>nd</w:t>
      </w:r>
    </w:p>
    <w:p w14:paraId="0B993CF4" w14:textId="77777777" w:rsidR="00831F19" w:rsidRPr="00970AD2" w:rsidRDefault="00F0426F" w:rsidP="00D633D3">
      <w:pPr>
        <w:pStyle w:val="Subdetailsthirdindent"/>
        <w:numPr>
          <w:ilvl w:val="0"/>
          <w:numId w:val="215"/>
        </w:numPr>
      </w:pPr>
      <w:r w:rsidRPr="00D613C8">
        <w:rPr>
          <w:rFonts w:eastAsia="Times New Roman"/>
        </w:rPr>
        <w:lastRenderedPageBreak/>
        <w:t xml:space="preserve">in </w:t>
      </w:r>
      <w:r w:rsidRPr="00D613C8">
        <w:rPr>
          <w:rFonts w:eastAsia="Times New Roman"/>
          <w:spacing w:val="2"/>
        </w:rPr>
        <w:t>the</w:t>
      </w:r>
      <w:r w:rsidRPr="00D613C8">
        <w:rPr>
          <w:rFonts w:eastAsia="Times New Roman"/>
          <w:spacing w:val="-1"/>
        </w:rPr>
        <w:t xml:space="preserve"> </w:t>
      </w:r>
      <w:r w:rsidRPr="00D613C8">
        <w:rPr>
          <w:rFonts w:eastAsia="Times New Roman"/>
        </w:rPr>
        <w:t>case</w:t>
      </w:r>
      <w:r w:rsidRPr="00D613C8">
        <w:rPr>
          <w:rFonts w:eastAsia="Times New Roman"/>
          <w:spacing w:val="-1"/>
        </w:rPr>
        <w:t xml:space="preserve"> </w:t>
      </w:r>
      <w:r w:rsidRPr="00D613C8">
        <w:rPr>
          <w:rFonts w:eastAsia="Times New Roman"/>
        </w:rPr>
        <w:t>of</w:t>
      </w:r>
      <w:r w:rsidRPr="00D613C8">
        <w:rPr>
          <w:rFonts w:eastAsia="Times New Roman"/>
          <w:spacing w:val="2"/>
        </w:rPr>
        <w:t xml:space="preserve"> </w:t>
      </w:r>
      <w:r w:rsidRPr="00D613C8">
        <w:rPr>
          <w:rFonts w:eastAsia="Times New Roman"/>
        </w:rPr>
        <w:t>a</w:t>
      </w:r>
      <w:r w:rsidRPr="00D613C8">
        <w:rPr>
          <w:rFonts w:eastAsia="Times New Roman"/>
          <w:spacing w:val="-1"/>
        </w:rPr>
        <w:t xml:space="preserve"> </w:t>
      </w:r>
      <w:r w:rsidRPr="00D613C8">
        <w:rPr>
          <w:rFonts w:eastAsia="Times New Roman"/>
        </w:rPr>
        <w:t>p</w:t>
      </w:r>
      <w:r w:rsidRPr="00D613C8">
        <w:rPr>
          <w:rFonts w:eastAsia="Times New Roman"/>
          <w:spacing w:val="-1"/>
        </w:rPr>
        <w:t>r</w:t>
      </w:r>
      <w:r w:rsidRPr="00D613C8">
        <w:rPr>
          <w:rFonts w:eastAsia="Times New Roman"/>
        </w:rPr>
        <w:t>odu</w:t>
      </w:r>
      <w:r w:rsidRPr="00D613C8">
        <w:rPr>
          <w:rFonts w:eastAsia="Times New Roman"/>
          <w:spacing w:val="-1"/>
        </w:rPr>
        <w:t>c</w:t>
      </w:r>
      <w:r w:rsidRPr="00D613C8">
        <w:rPr>
          <w:rFonts w:eastAsia="Times New Roman"/>
        </w:rPr>
        <w:t xml:space="preserve">t </w:t>
      </w:r>
      <w:r w:rsidRPr="00D613C8">
        <w:rPr>
          <w:rFonts w:eastAsia="Times New Roman"/>
          <w:spacing w:val="3"/>
        </w:rPr>
        <w:t>i</w:t>
      </w:r>
      <w:r w:rsidRPr="00D613C8">
        <w:rPr>
          <w:rFonts w:eastAsia="Times New Roman"/>
        </w:rPr>
        <w:t>nst</w:t>
      </w:r>
      <w:r w:rsidRPr="00D613C8">
        <w:rPr>
          <w:rFonts w:eastAsia="Times New Roman"/>
          <w:spacing w:val="-1"/>
        </w:rPr>
        <w:t>a</w:t>
      </w:r>
      <w:r w:rsidRPr="00D613C8">
        <w:rPr>
          <w:rFonts w:eastAsia="Times New Roman"/>
        </w:rPr>
        <w:t>ll</w:t>
      </w:r>
      <w:r w:rsidRPr="00D613C8">
        <w:rPr>
          <w:rFonts w:eastAsia="Times New Roman"/>
          <w:spacing w:val="-1"/>
        </w:rPr>
        <w:t>e</w:t>
      </w:r>
      <w:r w:rsidRPr="00D613C8">
        <w:rPr>
          <w:rFonts w:eastAsia="Times New Roman"/>
        </w:rPr>
        <w:t xml:space="preserve">d in </w:t>
      </w:r>
      <w:r w:rsidRPr="00D613C8">
        <w:rPr>
          <w:rFonts w:eastAsia="Times New Roman"/>
          <w:spacing w:val="-1"/>
        </w:rPr>
        <w:t>re</w:t>
      </w:r>
      <w:r w:rsidRPr="00D613C8">
        <w:rPr>
          <w:rFonts w:eastAsia="Times New Roman"/>
        </w:rPr>
        <w:t>sid</w:t>
      </w:r>
      <w:r w:rsidRPr="00D613C8">
        <w:rPr>
          <w:rFonts w:eastAsia="Times New Roman"/>
          <w:spacing w:val="-1"/>
        </w:rPr>
        <w:t>e</w:t>
      </w:r>
      <w:r w:rsidRPr="00D613C8">
        <w:rPr>
          <w:rFonts w:eastAsia="Times New Roman"/>
        </w:rPr>
        <w:t>nti</w:t>
      </w:r>
      <w:r w:rsidRPr="00D613C8">
        <w:rPr>
          <w:rFonts w:eastAsia="Times New Roman"/>
          <w:spacing w:val="-1"/>
        </w:rPr>
        <w:t>a</w:t>
      </w:r>
      <w:r w:rsidRPr="00D613C8">
        <w:rPr>
          <w:rFonts w:eastAsia="Times New Roman"/>
        </w:rPr>
        <w:t>l p</w:t>
      </w:r>
      <w:r w:rsidRPr="00D613C8">
        <w:rPr>
          <w:rFonts w:eastAsia="Times New Roman"/>
          <w:spacing w:val="-1"/>
        </w:rPr>
        <w:t>re</w:t>
      </w:r>
      <w:r w:rsidRPr="00D613C8">
        <w:rPr>
          <w:rFonts w:eastAsia="Times New Roman"/>
        </w:rPr>
        <w:t>mis</w:t>
      </w:r>
      <w:r w:rsidRPr="00D613C8">
        <w:rPr>
          <w:rFonts w:eastAsia="Times New Roman"/>
          <w:spacing w:val="-1"/>
        </w:rPr>
        <w:t>e</w:t>
      </w:r>
      <w:r w:rsidRPr="00D613C8">
        <w:rPr>
          <w:rFonts w:eastAsia="Times New Roman"/>
        </w:rPr>
        <w:t>s, h</w:t>
      </w:r>
      <w:r w:rsidRPr="00D613C8">
        <w:rPr>
          <w:rFonts w:eastAsia="Times New Roman"/>
          <w:spacing w:val="-1"/>
        </w:rPr>
        <w:t>a</w:t>
      </w:r>
      <w:r w:rsidRPr="00D613C8">
        <w:rPr>
          <w:rFonts w:eastAsia="Times New Roman"/>
        </w:rPr>
        <w:t>ve a</w:t>
      </w:r>
      <w:r w:rsidRPr="00D613C8">
        <w:rPr>
          <w:rFonts w:eastAsia="Times New Roman"/>
          <w:spacing w:val="-1"/>
        </w:rPr>
        <w:t xml:space="preserve"> </w:t>
      </w:r>
      <w:r w:rsidRPr="00D613C8">
        <w:rPr>
          <w:rFonts w:eastAsia="Times New Roman"/>
          <w:spacing w:val="2"/>
        </w:rPr>
        <w:t>b</w:t>
      </w:r>
      <w:r w:rsidRPr="00D613C8">
        <w:rPr>
          <w:rFonts w:eastAsia="Times New Roman"/>
          <w:spacing w:val="-1"/>
        </w:rPr>
        <w:t>ea</w:t>
      </w:r>
      <w:r w:rsidRPr="00D613C8">
        <w:rPr>
          <w:rFonts w:eastAsia="Times New Roman"/>
        </w:rPr>
        <w:t xml:space="preserve">m </w:t>
      </w:r>
      <w:r w:rsidRPr="00D613C8">
        <w:rPr>
          <w:rFonts w:eastAsia="Times New Roman"/>
          <w:spacing w:val="-1"/>
        </w:rPr>
        <w:t>a</w:t>
      </w:r>
      <w:r w:rsidRPr="00D613C8">
        <w:rPr>
          <w:rFonts w:eastAsia="Times New Roman"/>
          <w:spacing w:val="2"/>
        </w:rPr>
        <w:t>n</w:t>
      </w:r>
      <w:r w:rsidRPr="00D613C8">
        <w:rPr>
          <w:rFonts w:eastAsia="Times New Roman"/>
        </w:rPr>
        <w:t>gle</w:t>
      </w:r>
      <w:r w:rsidRPr="00D613C8">
        <w:rPr>
          <w:rFonts w:eastAsia="Times New Roman"/>
          <w:spacing w:val="-1"/>
        </w:rPr>
        <w:t xml:space="preserve"> </w:t>
      </w:r>
      <w:r w:rsidRPr="00D613C8">
        <w:rPr>
          <w:rFonts w:eastAsia="Times New Roman"/>
        </w:rPr>
        <w:t>of</w:t>
      </w:r>
      <w:r w:rsidRPr="00D613C8">
        <w:rPr>
          <w:rFonts w:eastAsia="Times New Roman"/>
          <w:spacing w:val="-1"/>
        </w:rPr>
        <w:t xml:space="preserve"> </w:t>
      </w:r>
      <w:r w:rsidRPr="00D613C8">
        <w:rPr>
          <w:rFonts w:eastAsia="Times New Roman"/>
        </w:rPr>
        <w:t>not l</w:t>
      </w:r>
      <w:r w:rsidRPr="00D613C8">
        <w:rPr>
          <w:rFonts w:eastAsia="Times New Roman"/>
          <w:spacing w:val="-1"/>
        </w:rPr>
        <w:t>e</w:t>
      </w:r>
      <w:r w:rsidRPr="00D613C8">
        <w:rPr>
          <w:rFonts w:eastAsia="Times New Roman"/>
        </w:rPr>
        <w:t>ss th</w:t>
      </w:r>
      <w:r w:rsidRPr="00D613C8">
        <w:rPr>
          <w:rFonts w:eastAsia="Times New Roman"/>
          <w:spacing w:val="-1"/>
        </w:rPr>
        <w:t xml:space="preserve">an </w:t>
      </w:r>
      <w:r w:rsidRPr="00D613C8">
        <w:rPr>
          <w:rFonts w:eastAsia="Times New Roman"/>
        </w:rPr>
        <w:t>50 d</w:t>
      </w:r>
      <w:r w:rsidRPr="00D613C8">
        <w:rPr>
          <w:rFonts w:eastAsia="Times New Roman"/>
          <w:spacing w:val="-1"/>
        </w:rPr>
        <w:t>e</w:t>
      </w:r>
      <w:r w:rsidRPr="00D613C8">
        <w:rPr>
          <w:rFonts w:eastAsia="Times New Roman"/>
        </w:rPr>
        <w:t>g</w:t>
      </w:r>
      <w:r w:rsidRPr="00D613C8">
        <w:rPr>
          <w:rFonts w:eastAsia="Times New Roman"/>
          <w:spacing w:val="-1"/>
        </w:rPr>
        <w:t>ree</w:t>
      </w:r>
      <w:r w:rsidRPr="00D613C8">
        <w:rPr>
          <w:rFonts w:eastAsia="Times New Roman"/>
        </w:rPr>
        <w:t>s</w:t>
      </w:r>
      <w:r w:rsidRPr="00D613C8">
        <w:rPr>
          <w:rFonts w:eastAsia="Times New Roman"/>
          <w:spacing w:val="3"/>
        </w:rPr>
        <w:t xml:space="preserve"> </w:t>
      </w:r>
      <w:r w:rsidRPr="00D613C8">
        <w:rPr>
          <w:rFonts w:eastAsia="Times New Roman"/>
        </w:rPr>
        <w:t>wh</w:t>
      </w:r>
      <w:r w:rsidRPr="00D613C8">
        <w:rPr>
          <w:rFonts w:eastAsia="Times New Roman"/>
          <w:spacing w:val="-1"/>
        </w:rPr>
        <w:t>e</w:t>
      </w:r>
      <w:r w:rsidRPr="00D613C8">
        <w:rPr>
          <w:rFonts w:eastAsia="Times New Roman"/>
        </w:rPr>
        <w:t>n d</w:t>
      </w:r>
      <w:r w:rsidRPr="00D613C8">
        <w:rPr>
          <w:rFonts w:eastAsia="Times New Roman"/>
          <w:spacing w:val="-1"/>
        </w:rPr>
        <w:t>e</w:t>
      </w:r>
      <w:r w:rsidRPr="00D613C8">
        <w:rPr>
          <w:rFonts w:eastAsia="Times New Roman"/>
          <w:spacing w:val="3"/>
        </w:rPr>
        <w:t>t</w:t>
      </w:r>
      <w:r w:rsidRPr="00D613C8">
        <w:rPr>
          <w:rFonts w:eastAsia="Times New Roman"/>
          <w:spacing w:val="-1"/>
        </w:rPr>
        <w:t>er</w:t>
      </w:r>
      <w:r w:rsidRPr="00D613C8">
        <w:rPr>
          <w:rFonts w:eastAsia="Times New Roman"/>
        </w:rPr>
        <w:t>min</w:t>
      </w:r>
      <w:r w:rsidRPr="00D613C8">
        <w:rPr>
          <w:rFonts w:eastAsia="Times New Roman"/>
          <w:spacing w:val="-1"/>
        </w:rPr>
        <w:t>e</w:t>
      </w:r>
      <w:r w:rsidRPr="00D613C8">
        <w:rPr>
          <w:rFonts w:eastAsia="Times New Roman"/>
        </w:rPr>
        <w:t xml:space="preserve">d in </w:t>
      </w:r>
      <w:r w:rsidRPr="00D613C8">
        <w:rPr>
          <w:rFonts w:eastAsia="Times New Roman"/>
          <w:spacing w:val="-1"/>
        </w:rPr>
        <w:t>acc</w:t>
      </w:r>
      <w:r w:rsidRPr="00D613C8">
        <w:rPr>
          <w:rFonts w:eastAsia="Times New Roman"/>
          <w:spacing w:val="2"/>
        </w:rPr>
        <w:t>o</w:t>
      </w:r>
      <w:r w:rsidRPr="00D613C8">
        <w:rPr>
          <w:rFonts w:eastAsia="Times New Roman"/>
          <w:spacing w:val="-1"/>
        </w:rPr>
        <w:t>r</w:t>
      </w:r>
      <w:r w:rsidRPr="00D613C8">
        <w:rPr>
          <w:rFonts w:eastAsia="Times New Roman"/>
        </w:rPr>
        <w:t>d</w:t>
      </w:r>
      <w:r w:rsidRPr="00D613C8">
        <w:rPr>
          <w:rFonts w:eastAsia="Times New Roman"/>
          <w:spacing w:val="-1"/>
        </w:rPr>
        <w:t>a</w:t>
      </w:r>
      <w:r w:rsidRPr="00D613C8">
        <w:rPr>
          <w:rFonts w:eastAsia="Times New Roman"/>
        </w:rPr>
        <w:t>n</w:t>
      </w:r>
      <w:r w:rsidRPr="00D613C8">
        <w:rPr>
          <w:rFonts w:eastAsia="Times New Roman"/>
          <w:spacing w:val="1"/>
        </w:rPr>
        <w:t>c</w:t>
      </w:r>
      <w:r w:rsidRPr="00D613C8">
        <w:rPr>
          <w:rFonts w:eastAsia="Times New Roman"/>
        </w:rPr>
        <w:t>e with</w:t>
      </w:r>
      <w:r w:rsidRPr="00D613C8">
        <w:rPr>
          <w:rFonts w:eastAsia="Times New Roman"/>
          <w:spacing w:val="2"/>
        </w:rPr>
        <w:t xml:space="preserve"> </w:t>
      </w:r>
      <w:r w:rsidRPr="00D613C8">
        <w:rPr>
          <w:rFonts w:eastAsia="Times New Roman"/>
          <w:spacing w:val="-6"/>
        </w:rPr>
        <w:t>I</w:t>
      </w:r>
      <w:r w:rsidRPr="00D613C8">
        <w:rPr>
          <w:rFonts w:eastAsia="Times New Roman"/>
        </w:rPr>
        <w:t>E</w:t>
      </w:r>
      <w:r w:rsidRPr="00D613C8">
        <w:rPr>
          <w:rFonts w:eastAsia="Times New Roman"/>
          <w:spacing w:val="1"/>
        </w:rPr>
        <w:t>C</w:t>
      </w:r>
      <w:r w:rsidRPr="00D613C8">
        <w:rPr>
          <w:rFonts w:eastAsia="Times New Roman"/>
        </w:rPr>
        <w:t>/TR</w:t>
      </w:r>
      <w:r w:rsidRPr="00D613C8">
        <w:rPr>
          <w:rFonts w:eastAsia="Times New Roman"/>
          <w:spacing w:val="1"/>
        </w:rPr>
        <w:t xml:space="preserve"> </w:t>
      </w:r>
      <w:r w:rsidRPr="00D613C8">
        <w:rPr>
          <w:rFonts w:eastAsia="Times New Roman"/>
        </w:rPr>
        <w:t>61341 Edition 2.0</w:t>
      </w:r>
      <w:r w:rsidR="00877679">
        <w:t>;</w:t>
      </w:r>
      <w:r w:rsidRPr="00970AD2">
        <w:t xml:space="preserve"> and</w:t>
      </w:r>
    </w:p>
    <w:p w14:paraId="10C41930" w14:textId="77777777" w:rsidR="00831F19" w:rsidRPr="00970AD2" w:rsidRDefault="00F0426F" w:rsidP="00D613C8">
      <w:pPr>
        <w:pStyle w:val="Subdetailssecondindent"/>
      </w:pPr>
      <w:r w:rsidRPr="00970AD2">
        <w:t>be listed in the register of products for the activity.</w:t>
      </w:r>
    </w:p>
    <w:p w14:paraId="4E06F0EC" w14:textId="77777777" w:rsidR="00831F19" w:rsidRPr="00970AD2" w:rsidRDefault="00F0426F" w:rsidP="00D613C8">
      <w:pPr>
        <w:pStyle w:val="Subdetailsfirstindent"/>
      </w:pPr>
      <w:r w:rsidRPr="00970AD2">
        <w:t xml:space="preserve">For </w:t>
      </w:r>
      <w:r w:rsidR="00A439E8">
        <w:t>A</w:t>
      </w:r>
      <w:r w:rsidR="002C260A" w:rsidRPr="00970AD2">
        <w:t>ctivity 4.</w:t>
      </w:r>
      <w:r w:rsidRPr="00970AD2">
        <w:t>1(d), an installed p</w:t>
      </w:r>
      <w:r w:rsidR="00282BCF" w:rsidRPr="00970AD2">
        <w:t>roduct must</w:t>
      </w:r>
      <w:r w:rsidRPr="00970AD2">
        <w:rPr>
          <w:rFonts w:eastAsia="Times New Roman"/>
        </w:rPr>
        <w:t>—</w:t>
      </w:r>
    </w:p>
    <w:p w14:paraId="7B556732" w14:textId="77777777" w:rsidR="00831F19" w:rsidRPr="00970AD2" w:rsidRDefault="00F0426F" w:rsidP="00D633D3">
      <w:pPr>
        <w:pStyle w:val="Subdetailssecondindent"/>
        <w:numPr>
          <w:ilvl w:val="0"/>
          <w:numId w:val="216"/>
        </w:numPr>
      </w:pPr>
      <w:r w:rsidRPr="00D613C8">
        <w:rPr>
          <w:spacing w:val="-1"/>
        </w:rPr>
        <w:t>if</w:t>
      </w:r>
      <w:r w:rsidRPr="00970AD2">
        <w:t xml:space="preserve"> the downlight fitting and</w:t>
      </w:r>
      <w:r w:rsidR="006914EA">
        <w:t xml:space="preserve"> LED</w:t>
      </w:r>
      <w:r w:rsidRPr="00970AD2">
        <w:t xml:space="preserve"> lamp are to be installed in a dimmable</w:t>
      </w:r>
      <w:r w:rsidRPr="00D613C8">
        <w:rPr>
          <w:spacing w:val="-1"/>
        </w:rPr>
        <w:t xml:space="preserve"> c</w:t>
      </w:r>
      <w:r w:rsidRPr="00970AD2">
        <w:t>i</w:t>
      </w:r>
      <w:r w:rsidRPr="00D613C8">
        <w:rPr>
          <w:spacing w:val="-1"/>
        </w:rPr>
        <w:t>rc</w:t>
      </w:r>
      <w:r w:rsidRPr="00970AD2">
        <w:t xml:space="preserve">uit, be </w:t>
      </w:r>
      <w:r w:rsidRPr="00D613C8">
        <w:rPr>
          <w:spacing w:val="-1"/>
        </w:rPr>
        <w:t>a</w:t>
      </w:r>
      <w:r w:rsidRPr="00970AD2">
        <w:t>pp</w:t>
      </w:r>
      <w:r w:rsidRPr="00D613C8">
        <w:rPr>
          <w:spacing w:val="-1"/>
        </w:rPr>
        <w:t>r</w:t>
      </w:r>
      <w:r w:rsidRPr="00970AD2">
        <w:t>ov</w:t>
      </w:r>
      <w:r w:rsidRPr="00D613C8">
        <w:rPr>
          <w:spacing w:val="-1"/>
        </w:rPr>
        <w:t>e</w:t>
      </w:r>
      <w:r w:rsidRPr="00970AD2">
        <w:t xml:space="preserve">d </w:t>
      </w:r>
      <w:r w:rsidRPr="00D613C8">
        <w:rPr>
          <w:spacing w:val="5"/>
        </w:rPr>
        <w:t>b</w:t>
      </w:r>
      <w:r w:rsidRPr="00970AD2">
        <w:t>y</w:t>
      </w:r>
      <w:r w:rsidRPr="00D613C8">
        <w:rPr>
          <w:spacing w:val="-5"/>
        </w:rPr>
        <w:t xml:space="preserve"> </w:t>
      </w:r>
      <w:r w:rsidRPr="00970AD2">
        <w:t>the m</w:t>
      </w:r>
      <w:r w:rsidRPr="00D613C8">
        <w:rPr>
          <w:spacing w:val="-1"/>
        </w:rPr>
        <w:t>a</w:t>
      </w:r>
      <w:r w:rsidRPr="00970AD2">
        <w:t>nu</w:t>
      </w:r>
      <w:r w:rsidRPr="00D613C8">
        <w:rPr>
          <w:spacing w:val="-1"/>
        </w:rPr>
        <w:t>fac</w:t>
      </w:r>
      <w:r w:rsidRPr="00970AD2">
        <w:t>tu</w:t>
      </w:r>
      <w:r w:rsidRPr="00D613C8">
        <w:rPr>
          <w:spacing w:val="2"/>
        </w:rPr>
        <w:t>r</w:t>
      </w:r>
      <w:r w:rsidRPr="00D613C8">
        <w:rPr>
          <w:spacing w:val="-1"/>
        </w:rPr>
        <w:t>e</w:t>
      </w:r>
      <w:r w:rsidRPr="00970AD2">
        <w:t>r</w:t>
      </w:r>
      <w:r w:rsidRPr="00D613C8">
        <w:rPr>
          <w:spacing w:val="-1"/>
        </w:rPr>
        <w:t xml:space="preserve"> a</w:t>
      </w:r>
      <w:r w:rsidRPr="00970AD2">
        <w:t>s suit</w:t>
      </w:r>
      <w:r w:rsidRPr="00D613C8">
        <w:rPr>
          <w:spacing w:val="-1"/>
        </w:rPr>
        <w:t>a</w:t>
      </w:r>
      <w:r w:rsidRPr="00970AD2">
        <w:t>ble</w:t>
      </w:r>
      <w:r w:rsidRPr="00D613C8">
        <w:rPr>
          <w:spacing w:val="1"/>
        </w:rPr>
        <w:t xml:space="preserve"> </w:t>
      </w:r>
      <w:r w:rsidRPr="00D613C8">
        <w:rPr>
          <w:spacing w:val="-1"/>
        </w:rPr>
        <w:t>f</w:t>
      </w:r>
      <w:r w:rsidRPr="00970AD2">
        <w:t>or</w:t>
      </w:r>
      <w:r w:rsidRPr="00D613C8">
        <w:rPr>
          <w:spacing w:val="-1"/>
        </w:rPr>
        <w:t xml:space="preserve"> </w:t>
      </w:r>
      <w:r w:rsidRPr="00970AD2">
        <w:t>su</w:t>
      </w:r>
      <w:r w:rsidRPr="00D613C8">
        <w:rPr>
          <w:spacing w:val="-1"/>
        </w:rPr>
        <w:t>c</w:t>
      </w:r>
      <w:r w:rsidRPr="00970AD2">
        <w:t>h a</w:t>
      </w:r>
      <w:r w:rsidRPr="00D613C8">
        <w:rPr>
          <w:spacing w:val="1"/>
        </w:rPr>
        <w:t xml:space="preserve"> </w:t>
      </w:r>
      <w:r w:rsidRPr="00D613C8">
        <w:rPr>
          <w:spacing w:val="-1"/>
        </w:rPr>
        <w:t>c</w:t>
      </w:r>
      <w:r w:rsidRPr="00970AD2">
        <w:t>i</w:t>
      </w:r>
      <w:r w:rsidRPr="00D613C8">
        <w:rPr>
          <w:spacing w:val="-1"/>
        </w:rPr>
        <w:t>rc</w:t>
      </w:r>
      <w:r w:rsidRPr="00970AD2">
        <w:t xml:space="preserve">uit; </w:t>
      </w:r>
    </w:p>
    <w:p w14:paraId="1664E4B9" w14:textId="77777777" w:rsidR="00831F19" w:rsidRPr="00970AD2" w:rsidRDefault="00F0426F" w:rsidP="00D613C8">
      <w:pPr>
        <w:pStyle w:val="Subdetailssecondindent"/>
      </w:pPr>
      <w:r w:rsidRPr="00D42823">
        <w:rPr>
          <w:spacing w:val="-1"/>
        </w:rPr>
        <w:t>use</w:t>
      </w:r>
      <w:r w:rsidRPr="00970AD2">
        <w:t xml:space="preserve"> a</w:t>
      </w:r>
      <w:r w:rsidRPr="00D42823">
        <w:rPr>
          <w:spacing w:val="-1"/>
        </w:rPr>
        <w:t xml:space="preserve"> </w:t>
      </w:r>
      <w:r w:rsidRPr="00970AD2">
        <w:t>l</w:t>
      </w:r>
      <w:r w:rsidRPr="00D42823">
        <w:rPr>
          <w:spacing w:val="-1"/>
        </w:rPr>
        <w:t>a</w:t>
      </w:r>
      <w:r w:rsidRPr="00970AD2">
        <w:t>mp th</w:t>
      </w:r>
      <w:r w:rsidRPr="00D42823">
        <w:rPr>
          <w:spacing w:val="-1"/>
        </w:rPr>
        <w:t>a</w:t>
      </w:r>
      <w:r w:rsidRPr="00970AD2">
        <w:t>t h</w:t>
      </w:r>
      <w:r w:rsidRPr="00D42823">
        <w:rPr>
          <w:spacing w:val="-1"/>
        </w:rPr>
        <w:t>a</w:t>
      </w:r>
      <w:r w:rsidRPr="00970AD2">
        <w:t>s the</w:t>
      </w:r>
      <w:r w:rsidRPr="00D42823">
        <w:rPr>
          <w:spacing w:val="-1"/>
        </w:rPr>
        <w:t xml:space="preserve"> </w:t>
      </w:r>
      <w:r w:rsidRPr="00D42823">
        <w:rPr>
          <w:spacing w:val="2"/>
        </w:rPr>
        <w:t>f</w:t>
      </w:r>
      <w:r w:rsidRPr="00970AD2">
        <w:t>ollowing</w:t>
      </w:r>
      <w:r w:rsidRPr="00D42823">
        <w:rPr>
          <w:spacing w:val="-2"/>
        </w:rPr>
        <w:t xml:space="preserve"> </w:t>
      </w:r>
      <w:r w:rsidRPr="00D42823">
        <w:rPr>
          <w:spacing w:val="-1"/>
        </w:rPr>
        <w:t>c</w:t>
      </w:r>
      <w:r w:rsidRPr="00970AD2">
        <w:t>h</w:t>
      </w:r>
      <w:r w:rsidRPr="00D42823">
        <w:rPr>
          <w:spacing w:val="1"/>
        </w:rPr>
        <w:t>a</w:t>
      </w:r>
      <w:r w:rsidRPr="00D42823">
        <w:rPr>
          <w:spacing w:val="-1"/>
        </w:rPr>
        <w:t>rac</w:t>
      </w:r>
      <w:r w:rsidRPr="00D42823">
        <w:rPr>
          <w:spacing w:val="3"/>
        </w:rPr>
        <w:t>t</w:t>
      </w:r>
      <w:r w:rsidRPr="00D42823">
        <w:rPr>
          <w:spacing w:val="-1"/>
        </w:rPr>
        <w:t>er</w:t>
      </w:r>
      <w:r w:rsidRPr="00970AD2">
        <w:t>isti</w:t>
      </w:r>
      <w:r w:rsidRPr="00D42823">
        <w:rPr>
          <w:spacing w:val="-1"/>
        </w:rPr>
        <w:t>c</w:t>
      </w:r>
      <w:r w:rsidRPr="00D42823">
        <w:rPr>
          <w:spacing w:val="3"/>
        </w:rPr>
        <w:t>s</w:t>
      </w:r>
      <w:r w:rsidRPr="00970AD2">
        <w:t>—</w:t>
      </w:r>
    </w:p>
    <w:p w14:paraId="37A754EA" w14:textId="77777777" w:rsidR="00831F19" w:rsidRPr="00970AD2" w:rsidRDefault="00F0426F" w:rsidP="00D633D3">
      <w:pPr>
        <w:pStyle w:val="Subdetailsthirdindent"/>
        <w:numPr>
          <w:ilvl w:val="0"/>
          <w:numId w:val="217"/>
        </w:numPr>
      </w:pPr>
      <w:r w:rsidRPr="00970AD2">
        <w:t xml:space="preserve">meet the performance requirements for the attributes set out in </w:t>
      </w:r>
      <w:r w:rsidR="003D2955">
        <w:t xml:space="preserve">‘Compliance Requirements’ of </w:t>
      </w:r>
      <w:r w:rsidRPr="00970AD2">
        <w:t xml:space="preserve">AS 4847, or if the Administrator determines that the performance requirements for attributes set out </w:t>
      </w:r>
      <w:r w:rsidR="003D2955">
        <w:t xml:space="preserve">‘Compliance Requirements’ of </w:t>
      </w:r>
      <w:r w:rsidRPr="00970AD2">
        <w:t xml:space="preserve">AS 4847 </w:t>
      </w:r>
      <w:r w:rsidR="00282BCF" w:rsidRPr="00970AD2">
        <w:t>are</w:t>
      </w:r>
      <w:r w:rsidRPr="00970AD2">
        <w:t xml:space="preserve"> not applicable to the lamp, any other performance requirement determined by the Administrator; </w:t>
      </w:r>
    </w:p>
    <w:p w14:paraId="29716854" w14:textId="77777777" w:rsidR="00831F19" w:rsidRPr="00970AD2" w:rsidRDefault="00F0426F" w:rsidP="00D613C8">
      <w:pPr>
        <w:pStyle w:val="Subdetailsthirdindent"/>
      </w:pPr>
      <w:r w:rsidRPr="00970AD2">
        <w:t>achieve</w:t>
      </w:r>
      <w:r w:rsidRPr="00D42823">
        <w:rPr>
          <w:rFonts w:eastAsia="Times New Roman"/>
          <w:spacing w:val="3"/>
        </w:rPr>
        <w:t xml:space="preserve"> </w:t>
      </w:r>
      <w:r w:rsidRPr="00D42823">
        <w:rPr>
          <w:rFonts w:eastAsia="Times New Roman"/>
        </w:rPr>
        <w:t>a</w:t>
      </w:r>
      <w:r w:rsidRPr="00D42823">
        <w:rPr>
          <w:rFonts w:eastAsia="Times New Roman"/>
          <w:spacing w:val="-1"/>
        </w:rPr>
        <w:t xml:space="preserve"> </w:t>
      </w:r>
      <w:r w:rsidRPr="00D42823">
        <w:rPr>
          <w:rFonts w:eastAsia="Times New Roman"/>
        </w:rPr>
        <w:t>minimum li</w:t>
      </w:r>
      <w:r w:rsidRPr="00D42823">
        <w:rPr>
          <w:rFonts w:eastAsia="Times New Roman"/>
          <w:spacing w:val="-2"/>
        </w:rPr>
        <w:t>g</w:t>
      </w:r>
      <w:r w:rsidRPr="00D42823">
        <w:rPr>
          <w:rFonts w:eastAsia="Times New Roman"/>
        </w:rPr>
        <w:t>hting</w:t>
      </w:r>
      <w:r w:rsidRPr="00D42823">
        <w:rPr>
          <w:rFonts w:eastAsia="Times New Roman"/>
          <w:spacing w:val="-2"/>
        </w:rPr>
        <w:t xml:space="preserve"> </w:t>
      </w:r>
      <w:r w:rsidRPr="00D42823">
        <w:rPr>
          <w:rFonts w:eastAsia="Times New Roman"/>
        </w:rPr>
        <w:t>sou</w:t>
      </w:r>
      <w:r w:rsidRPr="00D42823">
        <w:rPr>
          <w:rFonts w:eastAsia="Times New Roman"/>
          <w:spacing w:val="-1"/>
        </w:rPr>
        <w:t>r</w:t>
      </w:r>
      <w:r w:rsidRPr="00D42823">
        <w:rPr>
          <w:rFonts w:eastAsia="Times New Roman"/>
          <w:spacing w:val="1"/>
        </w:rPr>
        <w:t>c</w:t>
      </w:r>
      <w:r w:rsidRPr="00D42823">
        <w:rPr>
          <w:rFonts w:eastAsia="Times New Roman"/>
        </w:rPr>
        <w:t>e</w:t>
      </w:r>
      <w:r w:rsidRPr="00D42823">
        <w:rPr>
          <w:rFonts w:eastAsia="Times New Roman"/>
          <w:spacing w:val="-1"/>
        </w:rPr>
        <w:t xml:space="preserve"> e</w:t>
      </w:r>
      <w:r w:rsidRPr="00D42823">
        <w:rPr>
          <w:rFonts w:eastAsia="Times New Roman"/>
          <w:spacing w:val="2"/>
        </w:rPr>
        <w:t>f</w:t>
      </w:r>
      <w:r w:rsidRPr="00D42823">
        <w:rPr>
          <w:rFonts w:eastAsia="Times New Roman"/>
          <w:spacing w:val="-1"/>
        </w:rPr>
        <w:t>f</w:t>
      </w:r>
      <w:r w:rsidRPr="00D42823">
        <w:rPr>
          <w:rFonts w:eastAsia="Times New Roman"/>
        </w:rPr>
        <w:t>i</w:t>
      </w:r>
      <w:r w:rsidRPr="00D42823">
        <w:rPr>
          <w:rFonts w:eastAsia="Times New Roman"/>
          <w:spacing w:val="-1"/>
        </w:rPr>
        <w:t>c</w:t>
      </w:r>
      <w:r w:rsidRPr="00D42823">
        <w:rPr>
          <w:rFonts w:eastAsia="Times New Roman"/>
          <w:spacing w:val="1"/>
        </w:rPr>
        <w:t>a</w:t>
      </w:r>
      <w:r w:rsidRPr="00D42823">
        <w:rPr>
          <w:rFonts w:eastAsia="Times New Roman"/>
          <w:spacing w:val="4"/>
        </w:rPr>
        <w:t>c</w:t>
      </w:r>
      <w:r w:rsidRPr="00D42823">
        <w:rPr>
          <w:rFonts w:eastAsia="Times New Roman"/>
        </w:rPr>
        <w:t>y of</w:t>
      </w:r>
      <w:r w:rsidRPr="00D42823">
        <w:rPr>
          <w:rFonts w:eastAsia="Times New Roman"/>
          <w:spacing w:val="-1"/>
        </w:rPr>
        <w:t xml:space="preserve"> </w:t>
      </w:r>
      <w:r w:rsidRPr="00D42823">
        <w:rPr>
          <w:rFonts w:eastAsia="Times New Roman"/>
        </w:rPr>
        <w:t>4</w:t>
      </w:r>
      <w:r w:rsidRPr="00970AD2">
        <w:t>8</w:t>
      </w:r>
      <w:r w:rsidRPr="00D42823">
        <w:rPr>
          <w:rFonts w:eastAsia="Times New Roman"/>
        </w:rPr>
        <w:t xml:space="preserve"> l</w:t>
      </w:r>
      <w:r w:rsidR="000C27E5">
        <w:rPr>
          <w:rFonts w:eastAsia="Times New Roman"/>
        </w:rPr>
        <w:t>m/W</w:t>
      </w:r>
      <w:r w:rsidRPr="00D42823">
        <w:rPr>
          <w:rFonts w:eastAsia="Times New Roman"/>
        </w:rPr>
        <w:t xml:space="preserve">; </w:t>
      </w:r>
    </w:p>
    <w:p w14:paraId="7EBC37C0" w14:textId="77777777" w:rsidR="00831F19" w:rsidRPr="00970AD2" w:rsidRDefault="00F0426F" w:rsidP="00D613C8">
      <w:pPr>
        <w:pStyle w:val="Subdetailsthirdindent"/>
      </w:pPr>
      <w:r w:rsidRPr="00970AD2">
        <w:t>have</w:t>
      </w:r>
      <w:r w:rsidRPr="00D42823">
        <w:rPr>
          <w:rFonts w:eastAsia="Times New Roman"/>
        </w:rPr>
        <w:t xml:space="preserve"> a</w:t>
      </w:r>
      <w:r w:rsidRPr="00D42823">
        <w:rPr>
          <w:rFonts w:eastAsia="Times New Roman"/>
          <w:spacing w:val="-1"/>
        </w:rPr>
        <w:t xml:space="preserve"> </w:t>
      </w:r>
      <w:r w:rsidRPr="00D42823">
        <w:rPr>
          <w:rFonts w:eastAsia="Times New Roman"/>
        </w:rPr>
        <w:t xml:space="preserve">minimum </w:t>
      </w:r>
      <w:r w:rsidRPr="00970AD2">
        <w:t>li</w:t>
      </w:r>
      <w:r w:rsidRPr="00D42823">
        <w:rPr>
          <w:spacing w:val="-2"/>
        </w:rPr>
        <w:t>g</w:t>
      </w:r>
      <w:r w:rsidRPr="00970AD2">
        <w:t>ht</w:t>
      </w:r>
      <w:r w:rsidRPr="00D42823">
        <w:rPr>
          <w:rFonts w:eastAsia="Times New Roman"/>
        </w:rPr>
        <w:t xml:space="preserve"> output of</w:t>
      </w:r>
      <w:r w:rsidRPr="00D42823">
        <w:rPr>
          <w:rFonts w:eastAsia="Times New Roman"/>
          <w:spacing w:val="-1"/>
        </w:rPr>
        <w:t xml:space="preserve"> </w:t>
      </w:r>
      <w:r w:rsidRPr="00970AD2">
        <w:t>400</w:t>
      </w:r>
      <w:r w:rsidRPr="00D42823">
        <w:rPr>
          <w:rFonts w:eastAsia="Times New Roman"/>
        </w:rPr>
        <w:t xml:space="preserve"> </w:t>
      </w:r>
      <w:r w:rsidRPr="00D42823">
        <w:rPr>
          <w:rFonts w:eastAsia="Times New Roman"/>
          <w:spacing w:val="1"/>
        </w:rPr>
        <w:t>l</w:t>
      </w:r>
      <w:r w:rsidRPr="00D42823">
        <w:rPr>
          <w:rFonts w:eastAsia="Times New Roman"/>
        </w:rPr>
        <w:t>u</w:t>
      </w:r>
      <w:r w:rsidRPr="00D42823">
        <w:rPr>
          <w:rFonts w:eastAsia="Times New Roman"/>
          <w:spacing w:val="-2"/>
        </w:rPr>
        <w:t>m</w:t>
      </w:r>
      <w:r w:rsidRPr="00D42823">
        <w:rPr>
          <w:rFonts w:eastAsia="Times New Roman"/>
          <w:spacing w:val="1"/>
        </w:rPr>
        <w:t>e</w:t>
      </w:r>
      <w:r w:rsidRPr="00D42823">
        <w:rPr>
          <w:rFonts w:eastAsia="Times New Roman"/>
        </w:rPr>
        <w:t>ns</w:t>
      </w:r>
      <w:r w:rsidRPr="00D42823">
        <w:rPr>
          <w:rFonts w:eastAsia="Times New Roman"/>
          <w:spacing w:val="-1"/>
        </w:rPr>
        <w:t xml:space="preserve"> </w:t>
      </w:r>
      <w:r w:rsidRPr="00D42823">
        <w:rPr>
          <w:rFonts w:eastAsia="Times New Roman"/>
        </w:rPr>
        <w:t>in the</w:t>
      </w:r>
      <w:r w:rsidRPr="00D42823">
        <w:rPr>
          <w:rFonts w:eastAsia="Times New Roman"/>
          <w:spacing w:val="-1"/>
        </w:rPr>
        <w:t xml:space="preserve"> f</w:t>
      </w:r>
      <w:r w:rsidRPr="00D42823">
        <w:rPr>
          <w:rFonts w:eastAsia="Times New Roman"/>
        </w:rPr>
        <w:t>o</w:t>
      </w:r>
      <w:r w:rsidRPr="00D42823">
        <w:rPr>
          <w:rFonts w:eastAsia="Times New Roman"/>
          <w:spacing w:val="-1"/>
        </w:rPr>
        <w:t>r</w:t>
      </w:r>
      <w:r w:rsidRPr="00D42823">
        <w:rPr>
          <w:rFonts w:eastAsia="Times New Roman"/>
        </w:rPr>
        <w:t>w</w:t>
      </w:r>
      <w:r w:rsidRPr="00D42823">
        <w:rPr>
          <w:rFonts w:eastAsia="Times New Roman"/>
          <w:spacing w:val="1"/>
        </w:rPr>
        <w:t>a</w:t>
      </w:r>
      <w:r w:rsidRPr="00D42823">
        <w:rPr>
          <w:rFonts w:eastAsia="Times New Roman"/>
          <w:spacing w:val="-1"/>
        </w:rPr>
        <w:t>r</w:t>
      </w:r>
      <w:r w:rsidRPr="00D42823">
        <w:rPr>
          <w:rFonts w:eastAsia="Times New Roman"/>
        </w:rPr>
        <w:t>d di</w:t>
      </w:r>
      <w:r w:rsidRPr="00D42823">
        <w:rPr>
          <w:rFonts w:eastAsia="Times New Roman"/>
          <w:spacing w:val="-1"/>
        </w:rPr>
        <w:t>r</w:t>
      </w:r>
      <w:r w:rsidRPr="00D42823">
        <w:rPr>
          <w:rFonts w:eastAsia="Times New Roman"/>
          <w:spacing w:val="1"/>
        </w:rPr>
        <w:t>e</w:t>
      </w:r>
      <w:r w:rsidRPr="00D42823">
        <w:rPr>
          <w:rFonts w:eastAsia="Times New Roman"/>
          <w:spacing w:val="-1"/>
        </w:rPr>
        <w:t>c</w:t>
      </w:r>
      <w:r w:rsidRPr="00D42823">
        <w:rPr>
          <w:rFonts w:eastAsia="Times New Roman"/>
        </w:rPr>
        <w:t xml:space="preserve">tion; </w:t>
      </w:r>
    </w:p>
    <w:p w14:paraId="15B3CDC5" w14:textId="77777777" w:rsidR="00831F19" w:rsidRPr="00970AD2" w:rsidRDefault="00F0426F" w:rsidP="00D613C8">
      <w:pPr>
        <w:pStyle w:val="Subdetailsthirdindent"/>
      </w:pPr>
      <w:r w:rsidRPr="00D42823">
        <w:rPr>
          <w:rFonts w:eastAsia="Times New Roman"/>
        </w:rPr>
        <w:t>h</w:t>
      </w:r>
      <w:r w:rsidRPr="00D42823">
        <w:rPr>
          <w:rFonts w:eastAsia="Times New Roman"/>
          <w:spacing w:val="-1"/>
        </w:rPr>
        <w:t>ave</w:t>
      </w:r>
      <w:r w:rsidRPr="00D42823">
        <w:rPr>
          <w:rFonts w:eastAsia="Times New Roman"/>
        </w:rPr>
        <w:t xml:space="preserve"> a</w:t>
      </w:r>
      <w:r w:rsidRPr="00D42823">
        <w:rPr>
          <w:rFonts w:eastAsia="Times New Roman"/>
          <w:spacing w:val="-1"/>
        </w:rPr>
        <w:t xml:space="preserve"> </w:t>
      </w:r>
      <w:r w:rsidRPr="00D42823">
        <w:rPr>
          <w:rFonts w:eastAsia="Times New Roman"/>
        </w:rPr>
        <w:t xml:space="preserve">minimum </w:t>
      </w:r>
      <w:r w:rsidRPr="00970AD2">
        <w:t>m</w:t>
      </w:r>
      <w:r w:rsidRPr="00D42823">
        <w:rPr>
          <w:spacing w:val="-1"/>
        </w:rPr>
        <w:t>a</w:t>
      </w:r>
      <w:r w:rsidRPr="00970AD2">
        <w:t>nu</w:t>
      </w:r>
      <w:r w:rsidRPr="00D42823">
        <w:rPr>
          <w:spacing w:val="-1"/>
        </w:rPr>
        <w:t>fac</w:t>
      </w:r>
      <w:r w:rsidRPr="00D42823">
        <w:rPr>
          <w:spacing w:val="3"/>
        </w:rPr>
        <w:t>t</w:t>
      </w:r>
      <w:r w:rsidRPr="00970AD2">
        <w:t>u</w:t>
      </w:r>
      <w:r w:rsidRPr="00D42823">
        <w:rPr>
          <w:spacing w:val="-1"/>
        </w:rPr>
        <w:t>re</w:t>
      </w:r>
      <w:r w:rsidRPr="00D42823">
        <w:rPr>
          <w:spacing w:val="2"/>
        </w:rPr>
        <w:t>r</w:t>
      </w:r>
      <w:r w:rsidR="00877679">
        <w:rPr>
          <w:spacing w:val="-2"/>
        </w:rPr>
        <w:t>’</w:t>
      </w:r>
      <w:r w:rsidRPr="00970AD2">
        <w:t>s</w:t>
      </w:r>
      <w:r w:rsidRPr="00D42823">
        <w:rPr>
          <w:rFonts w:eastAsia="Times New Roman"/>
        </w:rPr>
        <w:t xml:space="preserve"> </w:t>
      </w:r>
      <w:r w:rsidRPr="00D42823">
        <w:rPr>
          <w:rFonts w:eastAsia="Times New Roman"/>
          <w:spacing w:val="2"/>
        </w:rPr>
        <w:t>r</w:t>
      </w:r>
      <w:r w:rsidRPr="00D42823">
        <w:rPr>
          <w:rFonts w:eastAsia="Times New Roman"/>
          <w:spacing w:val="-1"/>
        </w:rPr>
        <w:t>a</w:t>
      </w:r>
      <w:r w:rsidRPr="00D42823">
        <w:rPr>
          <w:rFonts w:eastAsia="Times New Roman"/>
        </w:rPr>
        <w:t>t</w:t>
      </w:r>
      <w:r w:rsidRPr="00D42823">
        <w:rPr>
          <w:rFonts w:eastAsia="Times New Roman"/>
          <w:spacing w:val="-1"/>
        </w:rPr>
        <w:t>e</w:t>
      </w:r>
      <w:r w:rsidRPr="00D42823">
        <w:rPr>
          <w:rFonts w:eastAsia="Times New Roman"/>
        </w:rPr>
        <w:t>d li</w:t>
      </w:r>
      <w:r w:rsidRPr="00D42823">
        <w:rPr>
          <w:rFonts w:eastAsia="Times New Roman"/>
          <w:spacing w:val="-1"/>
        </w:rPr>
        <w:t>fe</w:t>
      </w:r>
      <w:r w:rsidRPr="00D42823">
        <w:rPr>
          <w:rFonts w:eastAsia="Times New Roman"/>
        </w:rPr>
        <w:t>time of</w:t>
      </w:r>
      <w:r w:rsidRPr="00D42823">
        <w:rPr>
          <w:rFonts w:eastAsia="Times New Roman"/>
          <w:spacing w:val="-1"/>
        </w:rPr>
        <w:t xml:space="preserve"> </w:t>
      </w:r>
      <w:r w:rsidRPr="00D42823">
        <w:rPr>
          <w:spacing w:val="-1"/>
        </w:rPr>
        <w:t>15,</w:t>
      </w:r>
      <w:r w:rsidRPr="00D42823">
        <w:rPr>
          <w:rFonts w:eastAsia="Times New Roman"/>
        </w:rPr>
        <w:t>000 hou</w:t>
      </w:r>
      <w:r w:rsidRPr="00D42823">
        <w:rPr>
          <w:rFonts w:eastAsia="Times New Roman"/>
          <w:spacing w:val="-1"/>
        </w:rPr>
        <w:t>r</w:t>
      </w:r>
      <w:r w:rsidRPr="00D42823">
        <w:rPr>
          <w:rFonts w:eastAsia="Times New Roman"/>
        </w:rPr>
        <w:t xml:space="preserve">s; </w:t>
      </w:r>
    </w:p>
    <w:p w14:paraId="2DE9AC59" w14:textId="77777777" w:rsidR="00831F19" w:rsidRPr="00970AD2" w:rsidRDefault="00F0426F" w:rsidP="00D613C8">
      <w:pPr>
        <w:pStyle w:val="Subdetailsthirdindent"/>
      </w:pPr>
      <w:r w:rsidRPr="00D42823">
        <w:rPr>
          <w:rFonts w:eastAsia="Times New Roman"/>
        </w:rPr>
        <w:t>h</w:t>
      </w:r>
      <w:r w:rsidRPr="00D42823">
        <w:rPr>
          <w:rFonts w:eastAsia="Times New Roman"/>
          <w:spacing w:val="-1"/>
        </w:rPr>
        <w:t>ave</w:t>
      </w:r>
      <w:r w:rsidRPr="00D42823">
        <w:rPr>
          <w:rFonts w:eastAsia="Times New Roman"/>
        </w:rPr>
        <w:t xml:space="preserve"> a</w:t>
      </w:r>
      <w:r w:rsidRPr="00D42823">
        <w:rPr>
          <w:rFonts w:eastAsia="Times New Roman"/>
          <w:spacing w:val="-1"/>
        </w:rPr>
        <w:t xml:space="preserve"> c</w:t>
      </w:r>
      <w:r w:rsidRPr="00D42823">
        <w:rPr>
          <w:rFonts w:eastAsia="Times New Roman"/>
        </w:rPr>
        <w:t>olour</w:t>
      </w:r>
      <w:r w:rsidRPr="00D42823">
        <w:rPr>
          <w:rFonts w:eastAsia="Times New Roman"/>
          <w:spacing w:val="-1"/>
        </w:rPr>
        <w:t xml:space="preserve"> </w:t>
      </w:r>
      <w:r w:rsidRPr="00970AD2">
        <w:t>t</w:t>
      </w:r>
      <w:r w:rsidRPr="00D42823">
        <w:rPr>
          <w:spacing w:val="-1"/>
        </w:rPr>
        <w:t>e</w:t>
      </w:r>
      <w:r w:rsidRPr="00970AD2">
        <w:t>m</w:t>
      </w:r>
      <w:r w:rsidRPr="00D42823">
        <w:rPr>
          <w:spacing w:val="2"/>
        </w:rPr>
        <w:t>p</w:t>
      </w:r>
      <w:r w:rsidRPr="00D42823">
        <w:rPr>
          <w:spacing w:val="-1"/>
        </w:rPr>
        <w:t>era</w:t>
      </w:r>
      <w:r w:rsidRPr="00970AD2">
        <w:t>tu</w:t>
      </w:r>
      <w:r w:rsidRPr="00D42823">
        <w:rPr>
          <w:spacing w:val="2"/>
        </w:rPr>
        <w:t>r</w:t>
      </w:r>
      <w:r w:rsidRPr="00970AD2">
        <w:t>e</w:t>
      </w:r>
      <w:r w:rsidRPr="00D42823">
        <w:rPr>
          <w:rFonts w:eastAsia="Times New Roman"/>
          <w:spacing w:val="1"/>
        </w:rPr>
        <w:t xml:space="preserve"> </w:t>
      </w:r>
      <w:r w:rsidRPr="00970AD2">
        <w:t>that is, or is capable of being set to</w:t>
      </w:r>
      <w:r w:rsidRPr="00D42823">
        <w:rPr>
          <w:rFonts w:eastAsia="Times New Roman"/>
        </w:rPr>
        <w:t xml:space="preserve"> w</w:t>
      </w:r>
      <w:r w:rsidRPr="00D42823">
        <w:rPr>
          <w:rFonts w:eastAsia="Times New Roman"/>
          <w:spacing w:val="-1"/>
        </w:rPr>
        <w:t>ar</w:t>
      </w:r>
      <w:r w:rsidRPr="00D42823">
        <w:rPr>
          <w:rFonts w:eastAsia="Times New Roman"/>
        </w:rPr>
        <w:t>m white</w:t>
      </w:r>
      <w:r w:rsidRPr="00970AD2">
        <w:t xml:space="preserve"> </w:t>
      </w:r>
      <w:r w:rsidRPr="00D42823">
        <w:rPr>
          <w:rFonts w:eastAsia="Times New Roman"/>
          <w:spacing w:val="-1"/>
        </w:rPr>
        <w:t>(</w:t>
      </w:r>
      <w:r w:rsidRPr="00D42823">
        <w:rPr>
          <w:rFonts w:eastAsia="Times New Roman"/>
        </w:rPr>
        <w:t>2700K to 3500K)</w:t>
      </w:r>
      <w:r w:rsidRPr="00D42823">
        <w:rPr>
          <w:rFonts w:eastAsia="Times New Roman"/>
          <w:spacing w:val="-1"/>
        </w:rPr>
        <w:t xml:space="preserve"> </w:t>
      </w:r>
      <w:r w:rsidRPr="00D42823">
        <w:rPr>
          <w:rFonts w:eastAsia="Times New Roman"/>
        </w:rPr>
        <w:t>or</w:t>
      </w:r>
      <w:r w:rsidRPr="00D42823">
        <w:rPr>
          <w:rFonts w:eastAsia="Times New Roman"/>
          <w:spacing w:val="2"/>
        </w:rPr>
        <w:t xml:space="preserve"> </w:t>
      </w:r>
      <w:r w:rsidRPr="00D42823">
        <w:rPr>
          <w:rFonts w:eastAsia="Times New Roman"/>
          <w:spacing w:val="-1"/>
        </w:rPr>
        <w:t>c</w:t>
      </w:r>
      <w:r w:rsidRPr="00D42823">
        <w:rPr>
          <w:rFonts w:eastAsia="Times New Roman"/>
        </w:rPr>
        <w:t>o</w:t>
      </w:r>
      <w:r w:rsidRPr="00D42823">
        <w:rPr>
          <w:rFonts w:eastAsia="Times New Roman"/>
          <w:spacing w:val="2"/>
        </w:rPr>
        <w:t>o</w:t>
      </w:r>
      <w:r w:rsidRPr="00D42823">
        <w:rPr>
          <w:rFonts w:eastAsia="Times New Roman"/>
        </w:rPr>
        <w:t>l white</w:t>
      </w:r>
      <w:r w:rsidRPr="00D42823">
        <w:rPr>
          <w:rFonts w:eastAsia="Times New Roman"/>
          <w:spacing w:val="-1"/>
        </w:rPr>
        <w:t xml:space="preserve"> (</w:t>
      </w:r>
      <w:r w:rsidRPr="00D42823">
        <w:rPr>
          <w:rFonts w:eastAsia="Times New Roman"/>
        </w:rPr>
        <w:t>3500K to</w:t>
      </w:r>
      <w:r w:rsidRPr="00970AD2">
        <w:t xml:space="preserve"> </w:t>
      </w:r>
      <w:r w:rsidRPr="00D42823">
        <w:rPr>
          <w:rFonts w:eastAsia="Times New Roman"/>
        </w:rPr>
        <w:t>4000K</w:t>
      </w:r>
      <w:r w:rsidRPr="00D42823">
        <w:rPr>
          <w:rFonts w:eastAsia="Times New Roman"/>
          <w:spacing w:val="-1"/>
        </w:rPr>
        <w:t>)</w:t>
      </w:r>
      <w:r w:rsidRPr="00D42823">
        <w:rPr>
          <w:rFonts w:eastAsia="Times New Roman"/>
        </w:rPr>
        <w:t xml:space="preserve">; </w:t>
      </w:r>
      <w:r w:rsidRPr="00D42823">
        <w:rPr>
          <w:rFonts w:eastAsia="Times New Roman"/>
          <w:spacing w:val="-1"/>
        </w:rPr>
        <w:t>a</w:t>
      </w:r>
      <w:r w:rsidRPr="00D42823">
        <w:rPr>
          <w:rFonts w:eastAsia="Times New Roman"/>
        </w:rPr>
        <w:t>nd</w:t>
      </w:r>
    </w:p>
    <w:p w14:paraId="7885AB7E" w14:textId="77777777" w:rsidR="00831F19" w:rsidRPr="00970AD2" w:rsidRDefault="00F0426F" w:rsidP="00D613C8">
      <w:pPr>
        <w:pStyle w:val="Subdetailsthirdindent"/>
      </w:pPr>
      <w:r w:rsidRPr="00D42823">
        <w:rPr>
          <w:rFonts w:eastAsia="Times New Roman"/>
        </w:rPr>
        <w:t>in the</w:t>
      </w:r>
      <w:r w:rsidRPr="00D42823">
        <w:rPr>
          <w:rFonts w:eastAsia="Times New Roman"/>
          <w:spacing w:val="-1"/>
        </w:rPr>
        <w:t xml:space="preserve"> ca</w:t>
      </w:r>
      <w:r w:rsidRPr="00D42823">
        <w:rPr>
          <w:rFonts w:eastAsia="Times New Roman"/>
        </w:rPr>
        <w:t>se</w:t>
      </w:r>
      <w:r w:rsidRPr="00D42823">
        <w:rPr>
          <w:rFonts w:eastAsia="Times New Roman"/>
          <w:spacing w:val="-1"/>
        </w:rPr>
        <w:t xml:space="preserve"> </w:t>
      </w:r>
      <w:r w:rsidRPr="00D42823">
        <w:rPr>
          <w:rFonts w:eastAsia="Times New Roman"/>
        </w:rPr>
        <w:t>of</w:t>
      </w:r>
      <w:r w:rsidRPr="00D42823">
        <w:rPr>
          <w:rFonts w:eastAsia="Times New Roman"/>
          <w:spacing w:val="2"/>
        </w:rPr>
        <w:t xml:space="preserve"> </w:t>
      </w:r>
      <w:r w:rsidRPr="00D42823">
        <w:rPr>
          <w:rFonts w:eastAsia="Times New Roman"/>
        </w:rPr>
        <w:t>a</w:t>
      </w:r>
      <w:r w:rsidRPr="00D42823">
        <w:rPr>
          <w:rFonts w:eastAsia="Times New Roman"/>
          <w:spacing w:val="-1"/>
        </w:rPr>
        <w:t xml:space="preserve"> </w:t>
      </w:r>
      <w:r w:rsidRPr="00970AD2">
        <w:t>p</w:t>
      </w:r>
      <w:r w:rsidRPr="00D42823">
        <w:rPr>
          <w:spacing w:val="-1"/>
        </w:rPr>
        <w:t>r</w:t>
      </w:r>
      <w:r w:rsidRPr="00970AD2">
        <w:t>odu</w:t>
      </w:r>
      <w:r w:rsidRPr="00D42823">
        <w:rPr>
          <w:spacing w:val="-1"/>
        </w:rPr>
        <w:t>c</w:t>
      </w:r>
      <w:r w:rsidRPr="00970AD2">
        <w:t>t</w:t>
      </w:r>
      <w:r w:rsidRPr="00D42823">
        <w:rPr>
          <w:rFonts w:eastAsia="Times New Roman"/>
        </w:rPr>
        <w:t xml:space="preserve"> </w:t>
      </w:r>
      <w:r w:rsidRPr="00D42823">
        <w:rPr>
          <w:rFonts w:eastAsia="Times New Roman"/>
          <w:spacing w:val="3"/>
        </w:rPr>
        <w:t>i</w:t>
      </w:r>
      <w:r w:rsidRPr="00D42823">
        <w:rPr>
          <w:rFonts w:eastAsia="Times New Roman"/>
        </w:rPr>
        <w:t>nst</w:t>
      </w:r>
      <w:r w:rsidRPr="00D42823">
        <w:rPr>
          <w:rFonts w:eastAsia="Times New Roman"/>
          <w:spacing w:val="-1"/>
        </w:rPr>
        <w:t>a</w:t>
      </w:r>
      <w:r w:rsidRPr="00D42823">
        <w:rPr>
          <w:rFonts w:eastAsia="Times New Roman"/>
        </w:rPr>
        <w:t>ll</w:t>
      </w:r>
      <w:r w:rsidRPr="00D42823">
        <w:rPr>
          <w:rFonts w:eastAsia="Times New Roman"/>
          <w:spacing w:val="-1"/>
        </w:rPr>
        <w:t>e</w:t>
      </w:r>
      <w:r w:rsidRPr="00D42823">
        <w:rPr>
          <w:rFonts w:eastAsia="Times New Roman"/>
        </w:rPr>
        <w:t xml:space="preserve">d in </w:t>
      </w:r>
      <w:r w:rsidRPr="00D42823">
        <w:rPr>
          <w:rFonts w:eastAsia="Times New Roman"/>
          <w:spacing w:val="-1"/>
        </w:rPr>
        <w:t>re</w:t>
      </w:r>
      <w:r w:rsidRPr="00D42823">
        <w:rPr>
          <w:rFonts w:eastAsia="Times New Roman"/>
        </w:rPr>
        <w:t>sid</w:t>
      </w:r>
      <w:r w:rsidRPr="00D42823">
        <w:rPr>
          <w:rFonts w:eastAsia="Times New Roman"/>
          <w:spacing w:val="-1"/>
        </w:rPr>
        <w:t>e</w:t>
      </w:r>
      <w:r w:rsidRPr="00D42823">
        <w:rPr>
          <w:rFonts w:eastAsia="Times New Roman"/>
        </w:rPr>
        <w:t>nti</w:t>
      </w:r>
      <w:r w:rsidRPr="00D42823">
        <w:rPr>
          <w:rFonts w:eastAsia="Times New Roman"/>
          <w:spacing w:val="-1"/>
        </w:rPr>
        <w:t>a</w:t>
      </w:r>
      <w:r w:rsidRPr="00D42823">
        <w:rPr>
          <w:rFonts w:eastAsia="Times New Roman"/>
        </w:rPr>
        <w:t>l p</w:t>
      </w:r>
      <w:r w:rsidRPr="00D42823">
        <w:rPr>
          <w:rFonts w:eastAsia="Times New Roman"/>
          <w:spacing w:val="-1"/>
        </w:rPr>
        <w:t>re</w:t>
      </w:r>
      <w:r w:rsidRPr="00D42823">
        <w:rPr>
          <w:rFonts w:eastAsia="Times New Roman"/>
        </w:rPr>
        <w:t>mis</w:t>
      </w:r>
      <w:r w:rsidRPr="00D42823">
        <w:rPr>
          <w:rFonts w:eastAsia="Times New Roman"/>
          <w:spacing w:val="-1"/>
        </w:rPr>
        <w:t>e</w:t>
      </w:r>
      <w:r w:rsidRPr="00D42823">
        <w:rPr>
          <w:rFonts w:eastAsia="Times New Roman"/>
        </w:rPr>
        <w:t>s, h</w:t>
      </w:r>
      <w:r w:rsidRPr="00D42823">
        <w:rPr>
          <w:rFonts w:eastAsia="Times New Roman"/>
          <w:spacing w:val="-1"/>
        </w:rPr>
        <w:t>a</w:t>
      </w:r>
      <w:r w:rsidRPr="00D42823">
        <w:rPr>
          <w:rFonts w:eastAsia="Times New Roman"/>
        </w:rPr>
        <w:t>ve a</w:t>
      </w:r>
      <w:r w:rsidRPr="00D42823">
        <w:rPr>
          <w:rFonts w:eastAsia="Times New Roman"/>
          <w:spacing w:val="-1"/>
        </w:rPr>
        <w:t xml:space="preserve"> </w:t>
      </w:r>
      <w:r w:rsidRPr="00D42823">
        <w:rPr>
          <w:rFonts w:eastAsia="Times New Roman"/>
          <w:spacing w:val="2"/>
        </w:rPr>
        <w:t>b</w:t>
      </w:r>
      <w:r w:rsidRPr="00D42823">
        <w:rPr>
          <w:rFonts w:eastAsia="Times New Roman"/>
          <w:spacing w:val="-1"/>
        </w:rPr>
        <w:t>ea</w:t>
      </w:r>
      <w:r w:rsidRPr="00D42823">
        <w:rPr>
          <w:rFonts w:eastAsia="Times New Roman"/>
        </w:rPr>
        <w:t xml:space="preserve">m </w:t>
      </w:r>
      <w:r w:rsidRPr="00D42823">
        <w:rPr>
          <w:rFonts w:eastAsia="Times New Roman"/>
          <w:spacing w:val="-1"/>
        </w:rPr>
        <w:t>a</w:t>
      </w:r>
      <w:r w:rsidRPr="00D42823">
        <w:rPr>
          <w:rFonts w:eastAsia="Times New Roman"/>
          <w:spacing w:val="2"/>
        </w:rPr>
        <w:t>n</w:t>
      </w:r>
      <w:r w:rsidRPr="00D42823">
        <w:rPr>
          <w:rFonts w:eastAsia="Times New Roman"/>
        </w:rPr>
        <w:t>gle</w:t>
      </w:r>
      <w:r w:rsidRPr="00D42823">
        <w:rPr>
          <w:rFonts w:eastAsia="Times New Roman"/>
          <w:spacing w:val="-1"/>
        </w:rPr>
        <w:t xml:space="preserve"> </w:t>
      </w:r>
      <w:r w:rsidRPr="00D42823">
        <w:rPr>
          <w:rFonts w:eastAsia="Times New Roman"/>
        </w:rPr>
        <w:t>of</w:t>
      </w:r>
      <w:r w:rsidRPr="00D42823">
        <w:rPr>
          <w:rFonts w:eastAsia="Times New Roman"/>
          <w:spacing w:val="-1"/>
        </w:rPr>
        <w:t xml:space="preserve"> </w:t>
      </w:r>
      <w:r w:rsidRPr="00D42823">
        <w:rPr>
          <w:rFonts w:eastAsia="Times New Roman"/>
        </w:rPr>
        <w:t>not l</w:t>
      </w:r>
      <w:r w:rsidRPr="00D42823">
        <w:rPr>
          <w:rFonts w:eastAsia="Times New Roman"/>
          <w:spacing w:val="-1"/>
        </w:rPr>
        <w:t>e</w:t>
      </w:r>
      <w:r w:rsidRPr="00D42823">
        <w:rPr>
          <w:rFonts w:eastAsia="Times New Roman"/>
        </w:rPr>
        <w:t>ss th</w:t>
      </w:r>
      <w:r w:rsidRPr="00D42823">
        <w:rPr>
          <w:rFonts w:eastAsia="Times New Roman"/>
          <w:spacing w:val="-1"/>
        </w:rPr>
        <w:t>an</w:t>
      </w:r>
      <w:r w:rsidRPr="00D42823">
        <w:rPr>
          <w:spacing w:val="-1"/>
        </w:rPr>
        <w:t xml:space="preserve"> </w:t>
      </w:r>
      <w:r w:rsidRPr="00970AD2">
        <w:t>40</w:t>
      </w:r>
      <w:r w:rsidRPr="00D42823">
        <w:rPr>
          <w:rFonts w:eastAsia="Times New Roman"/>
        </w:rPr>
        <w:t xml:space="preserve"> d</w:t>
      </w:r>
      <w:r w:rsidRPr="00D42823">
        <w:rPr>
          <w:rFonts w:eastAsia="Times New Roman"/>
          <w:spacing w:val="-1"/>
        </w:rPr>
        <w:t>e</w:t>
      </w:r>
      <w:r w:rsidRPr="00D42823">
        <w:rPr>
          <w:rFonts w:eastAsia="Times New Roman"/>
        </w:rPr>
        <w:t>g</w:t>
      </w:r>
      <w:r w:rsidRPr="00D42823">
        <w:rPr>
          <w:rFonts w:eastAsia="Times New Roman"/>
          <w:spacing w:val="-1"/>
        </w:rPr>
        <w:t>ree</w:t>
      </w:r>
      <w:r w:rsidRPr="00D42823">
        <w:rPr>
          <w:rFonts w:eastAsia="Times New Roman"/>
        </w:rPr>
        <w:t>s</w:t>
      </w:r>
      <w:r w:rsidRPr="00D42823">
        <w:rPr>
          <w:rFonts w:eastAsia="Times New Roman"/>
          <w:spacing w:val="3"/>
        </w:rPr>
        <w:t xml:space="preserve"> </w:t>
      </w:r>
      <w:r w:rsidRPr="00D42823">
        <w:rPr>
          <w:rFonts w:eastAsia="Times New Roman"/>
        </w:rPr>
        <w:t>wh</w:t>
      </w:r>
      <w:r w:rsidRPr="00D42823">
        <w:rPr>
          <w:rFonts w:eastAsia="Times New Roman"/>
          <w:spacing w:val="-1"/>
        </w:rPr>
        <w:t>e</w:t>
      </w:r>
      <w:r w:rsidRPr="00D42823">
        <w:rPr>
          <w:rFonts w:eastAsia="Times New Roman"/>
        </w:rPr>
        <w:t>n d</w:t>
      </w:r>
      <w:r w:rsidRPr="00D42823">
        <w:rPr>
          <w:rFonts w:eastAsia="Times New Roman"/>
          <w:spacing w:val="-1"/>
        </w:rPr>
        <w:t>e</w:t>
      </w:r>
      <w:r w:rsidRPr="00D42823">
        <w:rPr>
          <w:rFonts w:eastAsia="Times New Roman"/>
          <w:spacing w:val="3"/>
        </w:rPr>
        <w:t>t</w:t>
      </w:r>
      <w:r w:rsidRPr="00D42823">
        <w:rPr>
          <w:rFonts w:eastAsia="Times New Roman"/>
          <w:spacing w:val="-1"/>
        </w:rPr>
        <w:t>er</w:t>
      </w:r>
      <w:r w:rsidRPr="00D42823">
        <w:rPr>
          <w:rFonts w:eastAsia="Times New Roman"/>
        </w:rPr>
        <w:t>min</w:t>
      </w:r>
      <w:r w:rsidRPr="00D42823">
        <w:rPr>
          <w:rFonts w:eastAsia="Times New Roman"/>
          <w:spacing w:val="-1"/>
        </w:rPr>
        <w:t>e</w:t>
      </w:r>
      <w:r w:rsidRPr="00D42823">
        <w:rPr>
          <w:rFonts w:eastAsia="Times New Roman"/>
        </w:rPr>
        <w:t xml:space="preserve">d in </w:t>
      </w:r>
      <w:r w:rsidRPr="00D42823">
        <w:rPr>
          <w:rFonts w:eastAsia="Times New Roman"/>
          <w:spacing w:val="-1"/>
        </w:rPr>
        <w:t>acc</w:t>
      </w:r>
      <w:r w:rsidRPr="00D42823">
        <w:rPr>
          <w:rFonts w:eastAsia="Times New Roman"/>
          <w:spacing w:val="2"/>
        </w:rPr>
        <w:t>o</w:t>
      </w:r>
      <w:r w:rsidRPr="00D42823">
        <w:rPr>
          <w:rFonts w:eastAsia="Times New Roman"/>
          <w:spacing w:val="-1"/>
        </w:rPr>
        <w:t>r</w:t>
      </w:r>
      <w:r w:rsidRPr="00D42823">
        <w:rPr>
          <w:rFonts w:eastAsia="Times New Roman"/>
        </w:rPr>
        <w:t>d</w:t>
      </w:r>
      <w:r w:rsidRPr="00D42823">
        <w:rPr>
          <w:rFonts w:eastAsia="Times New Roman"/>
          <w:spacing w:val="-1"/>
        </w:rPr>
        <w:t>a</w:t>
      </w:r>
      <w:r w:rsidRPr="00D42823">
        <w:rPr>
          <w:rFonts w:eastAsia="Times New Roman"/>
        </w:rPr>
        <w:t>n</w:t>
      </w:r>
      <w:r w:rsidRPr="00D42823">
        <w:rPr>
          <w:rFonts w:eastAsia="Times New Roman"/>
          <w:spacing w:val="1"/>
        </w:rPr>
        <w:t>c</w:t>
      </w:r>
      <w:r w:rsidRPr="00D42823">
        <w:rPr>
          <w:rFonts w:eastAsia="Times New Roman"/>
        </w:rPr>
        <w:t>e with</w:t>
      </w:r>
      <w:r w:rsidRPr="00D42823">
        <w:rPr>
          <w:rFonts w:eastAsia="Times New Roman"/>
          <w:spacing w:val="2"/>
        </w:rPr>
        <w:t xml:space="preserve"> </w:t>
      </w:r>
      <w:r w:rsidRPr="00D42823">
        <w:rPr>
          <w:rFonts w:eastAsia="Times New Roman"/>
          <w:spacing w:val="-6"/>
        </w:rPr>
        <w:t>I</w:t>
      </w:r>
      <w:r w:rsidRPr="00D42823">
        <w:rPr>
          <w:rFonts w:eastAsia="Times New Roman"/>
        </w:rPr>
        <w:t>E</w:t>
      </w:r>
      <w:r w:rsidRPr="00D42823">
        <w:rPr>
          <w:rFonts w:eastAsia="Times New Roman"/>
          <w:spacing w:val="1"/>
        </w:rPr>
        <w:t>C</w:t>
      </w:r>
      <w:r w:rsidRPr="00D42823">
        <w:rPr>
          <w:rFonts w:eastAsia="Times New Roman"/>
        </w:rPr>
        <w:t>/TR</w:t>
      </w:r>
      <w:r w:rsidRPr="00D42823">
        <w:rPr>
          <w:rFonts w:eastAsia="Times New Roman"/>
          <w:spacing w:val="1"/>
        </w:rPr>
        <w:t xml:space="preserve"> </w:t>
      </w:r>
      <w:r w:rsidRPr="00D42823">
        <w:rPr>
          <w:rFonts w:eastAsia="Times New Roman"/>
        </w:rPr>
        <w:t>61341 Edition 2.0</w:t>
      </w:r>
      <w:r w:rsidR="00877679">
        <w:t>;</w:t>
      </w:r>
      <w:r w:rsidRPr="00970AD2">
        <w:t xml:space="preserve"> and</w:t>
      </w:r>
    </w:p>
    <w:p w14:paraId="3B1106D2" w14:textId="77777777" w:rsidR="00831F19" w:rsidRPr="00970AD2" w:rsidRDefault="00F0426F" w:rsidP="00D613C8">
      <w:pPr>
        <w:pStyle w:val="Subdetailssecondindent"/>
      </w:pPr>
      <w:r w:rsidRPr="00970AD2">
        <w:t xml:space="preserve">be listed in the </w:t>
      </w:r>
      <w:r w:rsidRPr="00970AD2">
        <w:rPr>
          <w:rFonts w:eastAsia="Times New Roman"/>
        </w:rPr>
        <w:t>register</w:t>
      </w:r>
      <w:r w:rsidRPr="00970AD2">
        <w:t xml:space="preserve"> of products for the activity.</w:t>
      </w:r>
    </w:p>
    <w:p w14:paraId="173F7E7C" w14:textId="77777777" w:rsidR="00831F19" w:rsidRPr="00970AD2" w:rsidRDefault="00F0426F" w:rsidP="00D613C8">
      <w:pPr>
        <w:pStyle w:val="Subdetailsfirstindent"/>
      </w:pPr>
      <w:r w:rsidRPr="00970AD2">
        <w:t xml:space="preserve">For </w:t>
      </w:r>
      <w:r w:rsidR="000C3A88">
        <w:t>A</w:t>
      </w:r>
      <w:r w:rsidR="002C260A" w:rsidRPr="00970AD2">
        <w:t>ctivity 4.</w:t>
      </w:r>
      <w:r w:rsidRPr="00970AD2">
        <w:t>1(e)</w:t>
      </w:r>
      <w:r w:rsidR="00282BCF" w:rsidRPr="00970AD2">
        <w:t>, an installed product must</w:t>
      </w:r>
      <w:r w:rsidRPr="00970AD2">
        <w:rPr>
          <w:rFonts w:eastAsia="Times New Roman"/>
        </w:rPr>
        <w:t>—</w:t>
      </w:r>
    </w:p>
    <w:p w14:paraId="79E40681" w14:textId="77777777" w:rsidR="00831F19" w:rsidRPr="00970AD2" w:rsidRDefault="00F0426F" w:rsidP="00D633D3">
      <w:pPr>
        <w:pStyle w:val="Subdetailssecondindent"/>
        <w:numPr>
          <w:ilvl w:val="0"/>
          <w:numId w:val="218"/>
        </w:numPr>
      </w:pPr>
      <w:r w:rsidRPr="00970AD2">
        <w:t>if</w:t>
      </w:r>
      <w:r w:rsidRPr="00D613C8">
        <w:rPr>
          <w:spacing w:val="7"/>
        </w:rPr>
        <w:t xml:space="preserve"> </w:t>
      </w:r>
      <w:r w:rsidRPr="00970AD2">
        <w:t>t</w:t>
      </w:r>
      <w:r w:rsidRPr="00D613C8">
        <w:rPr>
          <w:spacing w:val="-2"/>
        </w:rPr>
        <w:t>h</w:t>
      </w:r>
      <w:r w:rsidRPr="00970AD2">
        <w:t>e</w:t>
      </w:r>
      <w:r w:rsidRPr="00D613C8">
        <w:rPr>
          <w:spacing w:val="8"/>
        </w:rPr>
        <w:t xml:space="preserve"> </w:t>
      </w:r>
      <w:r w:rsidRPr="00D613C8">
        <w:rPr>
          <w:spacing w:val="-3"/>
        </w:rPr>
        <w:t>l</w:t>
      </w:r>
      <w:r w:rsidRPr="00D613C8">
        <w:rPr>
          <w:spacing w:val="3"/>
        </w:rPr>
        <w:t>a</w:t>
      </w:r>
      <w:r w:rsidRPr="00970AD2">
        <w:t>mp</w:t>
      </w:r>
      <w:r w:rsidRPr="00D613C8">
        <w:rPr>
          <w:spacing w:val="9"/>
        </w:rPr>
        <w:t xml:space="preserve"> </w:t>
      </w:r>
      <w:r w:rsidRPr="00D613C8">
        <w:rPr>
          <w:spacing w:val="2"/>
        </w:rPr>
        <w:t>i</w:t>
      </w:r>
      <w:r w:rsidRPr="00970AD2">
        <w:t>s</w:t>
      </w:r>
      <w:r w:rsidRPr="00D613C8">
        <w:rPr>
          <w:spacing w:val="4"/>
        </w:rPr>
        <w:t xml:space="preserve"> </w:t>
      </w:r>
      <w:r w:rsidRPr="00970AD2">
        <w:t>to</w:t>
      </w:r>
      <w:r w:rsidRPr="00D613C8">
        <w:rPr>
          <w:spacing w:val="6"/>
        </w:rPr>
        <w:t xml:space="preserve"> </w:t>
      </w:r>
      <w:r w:rsidRPr="00D613C8">
        <w:rPr>
          <w:spacing w:val="-2"/>
        </w:rPr>
        <w:t>b</w:t>
      </w:r>
      <w:r w:rsidRPr="00970AD2">
        <w:t>e</w:t>
      </w:r>
      <w:r w:rsidRPr="00D613C8">
        <w:rPr>
          <w:spacing w:val="7"/>
        </w:rPr>
        <w:t xml:space="preserve"> </w:t>
      </w:r>
      <w:r w:rsidRPr="00970AD2">
        <w:t>in</w:t>
      </w:r>
      <w:r w:rsidRPr="00D613C8">
        <w:rPr>
          <w:spacing w:val="1"/>
        </w:rPr>
        <w:t>s</w:t>
      </w:r>
      <w:r w:rsidRPr="00D613C8">
        <w:rPr>
          <w:spacing w:val="-3"/>
        </w:rPr>
        <w:t>t</w:t>
      </w:r>
      <w:r w:rsidRPr="00D613C8">
        <w:rPr>
          <w:spacing w:val="1"/>
        </w:rPr>
        <w:t>a</w:t>
      </w:r>
      <w:r w:rsidRPr="00D613C8">
        <w:rPr>
          <w:spacing w:val="2"/>
        </w:rPr>
        <w:t>l</w:t>
      </w:r>
      <w:r w:rsidRPr="00D613C8">
        <w:rPr>
          <w:spacing w:val="-3"/>
        </w:rPr>
        <w:t>l</w:t>
      </w:r>
      <w:r w:rsidRPr="00D613C8">
        <w:rPr>
          <w:spacing w:val="1"/>
        </w:rPr>
        <w:t>e</w:t>
      </w:r>
      <w:r w:rsidRPr="00970AD2">
        <w:t>d</w:t>
      </w:r>
      <w:r w:rsidRPr="00D613C8">
        <w:rPr>
          <w:spacing w:val="18"/>
        </w:rPr>
        <w:t xml:space="preserve"> </w:t>
      </w:r>
      <w:r w:rsidRPr="00970AD2">
        <w:t>in</w:t>
      </w:r>
      <w:r w:rsidRPr="00D613C8">
        <w:rPr>
          <w:spacing w:val="6"/>
        </w:rPr>
        <w:t xml:space="preserve"> </w:t>
      </w:r>
      <w:r w:rsidRPr="00970AD2">
        <w:t>a</w:t>
      </w:r>
      <w:r w:rsidRPr="00D613C8">
        <w:rPr>
          <w:spacing w:val="3"/>
        </w:rPr>
        <w:t xml:space="preserve"> </w:t>
      </w:r>
      <w:r w:rsidRPr="00D613C8">
        <w:rPr>
          <w:spacing w:val="-2"/>
        </w:rPr>
        <w:t>d</w:t>
      </w:r>
      <w:r w:rsidRPr="00D613C8">
        <w:rPr>
          <w:spacing w:val="2"/>
        </w:rPr>
        <w:t>i</w:t>
      </w:r>
      <w:r w:rsidRPr="00970AD2">
        <w:t>mm</w:t>
      </w:r>
      <w:r w:rsidRPr="00D613C8">
        <w:rPr>
          <w:spacing w:val="1"/>
        </w:rPr>
        <w:t>a</w:t>
      </w:r>
      <w:r w:rsidRPr="00970AD2">
        <w:t>ble</w:t>
      </w:r>
      <w:r w:rsidRPr="00D613C8">
        <w:rPr>
          <w:spacing w:val="19"/>
        </w:rPr>
        <w:t xml:space="preserve"> </w:t>
      </w:r>
      <w:r w:rsidRPr="00D613C8">
        <w:rPr>
          <w:spacing w:val="1"/>
        </w:rPr>
        <w:t>c</w:t>
      </w:r>
      <w:r w:rsidRPr="00D613C8">
        <w:rPr>
          <w:spacing w:val="2"/>
        </w:rPr>
        <w:t>i</w:t>
      </w:r>
      <w:r w:rsidRPr="00D613C8">
        <w:rPr>
          <w:spacing w:val="-3"/>
        </w:rPr>
        <w:t>r</w:t>
      </w:r>
      <w:r w:rsidRPr="00D613C8">
        <w:rPr>
          <w:spacing w:val="1"/>
        </w:rPr>
        <w:t>c</w:t>
      </w:r>
      <w:r w:rsidRPr="00970AD2">
        <w:t>uit,</w:t>
      </w:r>
      <w:r w:rsidRPr="00D613C8">
        <w:rPr>
          <w:spacing w:val="14"/>
        </w:rPr>
        <w:t xml:space="preserve"> </w:t>
      </w:r>
      <w:r w:rsidR="000C3A88">
        <w:t>be</w:t>
      </w:r>
      <w:r w:rsidR="000C3A88" w:rsidRPr="00D613C8">
        <w:rPr>
          <w:spacing w:val="4"/>
        </w:rPr>
        <w:t xml:space="preserve"> </w:t>
      </w:r>
      <w:r w:rsidRPr="00D613C8">
        <w:rPr>
          <w:spacing w:val="1"/>
        </w:rPr>
        <w:t>a</w:t>
      </w:r>
      <w:r w:rsidRPr="00970AD2">
        <w:t>pp</w:t>
      </w:r>
      <w:r w:rsidRPr="00D613C8">
        <w:rPr>
          <w:spacing w:val="-1"/>
        </w:rPr>
        <w:t>r</w:t>
      </w:r>
      <w:r w:rsidRPr="00970AD2">
        <w:t>ov</w:t>
      </w:r>
      <w:r w:rsidRPr="00D613C8">
        <w:rPr>
          <w:spacing w:val="1"/>
        </w:rPr>
        <w:t>e</w:t>
      </w:r>
      <w:r w:rsidRPr="00970AD2">
        <w:t>d</w:t>
      </w:r>
      <w:r w:rsidRPr="00D613C8">
        <w:rPr>
          <w:spacing w:val="19"/>
        </w:rPr>
        <w:t xml:space="preserve"> </w:t>
      </w:r>
      <w:r w:rsidRPr="00970AD2">
        <w:t>by</w:t>
      </w:r>
      <w:r w:rsidRPr="00D613C8">
        <w:rPr>
          <w:spacing w:val="7"/>
        </w:rPr>
        <w:t xml:space="preserve"> </w:t>
      </w:r>
      <w:r w:rsidRPr="00970AD2">
        <w:t>t</w:t>
      </w:r>
      <w:r w:rsidRPr="00D613C8">
        <w:rPr>
          <w:spacing w:val="-2"/>
        </w:rPr>
        <w:t>h</w:t>
      </w:r>
      <w:r w:rsidRPr="00970AD2">
        <w:t>e</w:t>
      </w:r>
      <w:r w:rsidRPr="00D613C8">
        <w:rPr>
          <w:spacing w:val="8"/>
        </w:rPr>
        <w:t xml:space="preserve"> </w:t>
      </w:r>
      <w:r w:rsidRPr="00D613C8">
        <w:rPr>
          <w:spacing w:val="-2"/>
        </w:rPr>
        <w:t>m</w:t>
      </w:r>
      <w:r w:rsidRPr="00D613C8">
        <w:rPr>
          <w:spacing w:val="3"/>
        </w:rPr>
        <w:t>a</w:t>
      </w:r>
      <w:r w:rsidRPr="00970AD2">
        <w:t>n</w:t>
      </w:r>
      <w:r w:rsidRPr="00D613C8">
        <w:rPr>
          <w:spacing w:val="-2"/>
        </w:rPr>
        <w:t>u</w:t>
      </w:r>
      <w:r w:rsidRPr="00D613C8">
        <w:rPr>
          <w:spacing w:val="-1"/>
        </w:rPr>
        <w:t>f</w:t>
      </w:r>
      <w:r w:rsidRPr="00D613C8">
        <w:rPr>
          <w:spacing w:val="1"/>
        </w:rPr>
        <w:t>ac</w:t>
      </w:r>
      <w:r w:rsidRPr="00D613C8">
        <w:rPr>
          <w:spacing w:val="2"/>
        </w:rPr>
        <w:t>t</w:t>
      </w:r>
      <w:r w:rsidRPr="00970AD2">
        <w:t>u</w:t>
      </w:r>
      <w:r w:rsidRPr="00D613C8">
        <w:rPr>
          <w:spacing w:val="-3"/>
        </w:rPr>
        <w:t>r</w:t>
      </w:r>
      <w:r w:rsidRPr="00D613C8">
        <w:rPr>
          <w:spacing w:val="1"/>
        </w:rPr>
        <w:t>e</w:t>
      </w:r>
      <w:r w:rsidRPr="00970AD2">
        <w:t>r</w:t>
      </w:r>
      <w:r w:rsidRPr="00D613C8">
        <w:rPr>
          <w:spacing w:val="25"/>
        </w:rPr>
        <w:t xml:space="preserve"> </w:t>
      </w:r>
      <w:r w:rsidRPr="00D613C8">
        <w:rPr>
          <w:spacing w:val="1"/>
          <w:w w:val="102"/>
        </w:rPr>
        <w:t>a</w:t>
      </w:r>
      <w:r w:rsidRPr="00D613C8">
        <w:rPr>
          <w:w w:val="102"/>
        </w:rPr>
        <w:t xml:space="preserve">s </w:t>
      </w:r>
      <w:r w:rsidRPr="00D613C8">
        <w:rPr>
          <w:spacing w:val="1"/>
        </w:rPr>
        <w:t>s</w:t>
      </w:r>
      <w:r w:rsidRPr="00970AD2">
        <w:t>uit</w:t>
      </w:r>
      <w:r w:rsidRPr="00D613C8">
        <w:rPr>
          <w:spacing w:val="3"/>
        </w:rPr>
        <w:t>a</w:t>
      </w:r>
      <w:r w:rsidRPr="00970AD2">
        <w:t>b</w:t>
      </w:r>
      <w:r w:rsidRPr="00D613C8">
        <w:rPr>
          <w:spacing w:val="-3"/>
        </w:rPr>
        <w:t>l</w:t>
      </w:r>
      <w:r w:rsidRPr="00970AD2">
        <w:t>e</w:t>
      </w:r>
      <w:r w:rsidRPr="00D613C8">
        <w:rPr>
          <w:spacing w:val="15"/>
        </w:rPr>
        <w:t xml:space="preserve"> </w:t>
      </w:r>
      <w:r w:rsidRPr="00D613C8">
        <w:rPr>
          <w:spacing w:val="2"/>
        </w:rPr>
        <w:t>f</w:t>
      </w:r>
      <w:r w:rsidRPr="00970AD2">
        <w:t>or</w:t>
      </w:r>
      <w:r w:rsidRPr="00D613C8">
        <w:rPr>
          <w:spacing w:val="7"/>
        </w:rPr>
        <w:t xml:space="preserve"> </w:t>
      </w:r>
      <w:r w:rsidRPr="00D613C8">
        <w:rPr>
          <w:spacing w:val="1"/>
        </w:rPr>
        <w:t>s</w:t>
      </w:r>
      <w:r w:rsidRPr="00D613C8">
        <w:rPr>
          <w:spacing w:val="-2"/>
        </w:rPr>
        <w:t>u</w:t>
      </w:r>
      <w:r w:rsidRPr="00D613C8">
        <w:rPr>
          <w:spacing w:val="1"/>
        </w:rPr>
        <w:t>c</w:t>
      </w:r>
      <w:r w:rsidRPr="00970AD2">
        <w:t>h</w:t>
      </w:r>
      <w:r w:rsidRPr="00D613C8">
        <w:rPr>
          <w:spacing w:val="8"/>
        </w:rPr>
        <w:t xml:space="preserve"> </w:t>
      </w:r>
      <w:r w:rsidRPr="00970AD2">
        <w:t>a</w:t>
      </w:r>
      <w:r w:rsidRPr="00D613C8">
        <w:rPr>
          <w:spacing w:val="5"/>
        </w:rPr>
        <w:t xml:space="preserve"> </w:t>
      </w:r>
      <w:r w:rsidRPr="00D613C8">
        <w:rPr>
          <w:spacing w:val="1"/>
        </w:rPr>
        <w:t>c</w:t>
      </w:r>
      <w:r w:rsidRPr="00970AD2">
        <w:t>i</w:t>
      </w:r>
      <w:r w:rsidRPr="00D613C8">
        <w:rPr>
          <w:spacing w:val="-3"/>
        </w:rPr>
        <w:t>r</w:t>
      </w:r>
      <w:r w:rsidRPr="00D613C8">
        <w:rPr>
          <w:spacing w:val="3"/>
        </w:rPr>
        <w:t>c</w:t>
      </w:r>
      <w:r w:rsidRPr="00970AD2">
        <w:t>ui</w:t>
      </w:r>
      <w:r w:rsidRPr="00D613C8">
        <w:rPr>
          <w:spacing w:val="-3"/>
        </w:rPr>
        <w:t>t</w:t>
      </w:r>
      <w:r w:rsidRPr="00970AD2">
        <w:t>;</w:t>
      </w:r>
      <w:r w:rsidRPr="00D613C8">
        <w:rPr>
          <w:spacing w:val="14"/>
        </w:rPr>
        <w:t xml:space="preserve"> </w:t>
      </w:r>
    </w:p>
    <w:p w14:paraId="3BDA6A31" w14:textId="77777777" w:rsidR="00831F19" w:rsidRPr="00970AD2" w:rsidRDefault="00F0426F" w:rsidP="00D613C8">
      <w:pPr>
        <w:pStyle w:val="Subdetailssecondindent"/>
      </w:pPr>
      <w:r w:rsidRPr="00970AD2">
        <w:t>h</w:t>
      </w:r>
      <w:r w:rsidRPr="00D42823">
        <w:rPr>
          <w:spacing w:val="1"/>
        </w:rPr>
        <w:t>a</w:t>
      </w:r>
      <w:r w:rsidRPr="00970AD2">
        <w:t>ve</w:t>
      </w:r>
      <w:r w:rsidRPr="00D42823">
        <w:rPr>
          <w:spacing w:val="10"/>
        </w:rPr>
        <w:t xml:space="preserve"> </w:t>
      </w:r>
      <w:r w:rsidRPr="00970AD2">
        <w:t>t</w:t>
      </w:r>
      <w:r w:rsidRPr="00D42823">
        <w:rPr>
          <w:spacing w:val="-2"/>
        </w:rPr>
        <w:t>h</w:t>
      </w:r>
      <w:r w:rsidRPr="00970AD2">
        <w:t>e</w:t>
      </w:r>
      <w:r w:rsidRPr="00D42823">
        <w:rPr>
          <w:spacing w:val="6"/>
        </w:rPr>
        <w:t xml:space="preserve"> </w:t>
      </w:r>
      <w:r w:rsidRPr="00D42823">
        <w:rPr>
          <w:spacing w:val="-2"/>
        </w:rPr>
        <w:t>following</w:t>
      </w:r>
      <w:r w:rsidRPr="00D42823">
        <w:rPr>
          <w:spacing w:val="17"/>
        </w:rPr>
        <w:t xml:space="preserve"> </w:t>
      </w:r>
      <w:r w:rsidRPr="00D42823">
        <w:rPr>
          <w:spacing w:val="1"/>
          <w:w w:val="102"/>
        </w:rPr>
        <w:t>c</w:t>
      </w:r>
      <w:r w:rsidRPr="00D42823">
        <w:rPr>
          <w:w w:val="102"/>
        </w:rPr>
        <w:t>h</w:t>
      </w:r>
      <w:r w:rsidRPr="00D42823">
        <w:rPr>
          <w:spacing w:val="1"/>
          <w:w w:val="102"/>
        </w:rPr>
        <w:t>a</w:t>
      </w:r>
      <w:r w:rsidRPr="00D42823">
        <w:rPr>
          <w:spacing w:val="-1"/>
          <w:w w:val="102"/>
        </w:rPr>
        <w:t>r</w:t>
      </w:r>
      <w:r w:rsidRPr="00D42823">
        <w:rPr>
          <w:spacing w:val="1"/>
          <w:w w:val="102"/>
        </w:rPr>
        <w:t>ac</w:t>
      </w:r>
      <w:r w:rsidRPr="00D42823">
        <w:rPr>
          <w:w w:val="102"/>
        </w:rPr>
        <w:t>t</w:t>
      </w:r>
      <w:r w:rsidRPr="00D42823">
        <w:rPr>
          <w:spacing w:val="1"/>
          <w:w w:val="102"/>
        </w:rPr>
        <w:t>e</w:t>
      </w:r>
      <w:r w:rsidRPr="00D42823">
        <w:rPr>
          <w:spacing w:val="-1"/>
          <w:w w:val="102"/>
        </w:rPr>
        <w:t>r</w:t>
      </w:r>
      <w:r w:rsidRPr="00D42823">
        <w:rPr>
          <w:w w:val="102"/>
        </w:rPr>
        <w:t>i</w:t>
      </w:r>
      <w:r w:rsidRPr="00D42823">
        <w:rPr>
          <w:spacing w:val="1"/>
          <w:w w:val="102"/>
        </w:rPr>
        <w:t>s</w:t>
      </w:r>
      <w:r w:rsidRPr="00D42823">
        <w:rPr>
          <w:w w:val="102"/>
        </w:rPr>
        <w:t>ti</w:t>
      </w:r>
      <w:r w:rsidRPr="00D42823">
        <w:rPr>
          <w:spacing w:val="1"/>
          <w:w w:val="102"/>
        </w:rPr>
        <w:t>cs</w:t>
      </w:r>
      <w:r w:rsidRPr="00D42823">
        <w:rPr>
          <w:w w:val="102"/>
        </w:rPr>
        <w:t>—</w:t>
      </w:r>
    </w:p>
    <w:p w14:paraId="45289FDC" w14:textId="77777777" w:rsidR="00831F19" w:rsidRPr="00970AD2" w:rsidRDefault="00F0426F" w:rsidP="00D633D3">
      <w:pPr>
        <w:pStyle w:val="Subdetailsthirdindent"/>
        <w:numPr>
          <w:ilvl w:val="0"/>
          <w:numId w:val="219"/>
        </w:numPr>
      </w:pPr>
      <w:r w:rsidRPr="00970AD2">
        <w:t>m</w:t>
      </w:r>
      <w:r w:rsidRPr="00D613C8">
        <w:rPr>
          <w:spacing w:val="1"/>
        </w:rPr>
        <w:t>ee</w:t>
      </w:r>
      <w:r w:rsidRPr="00970AD2">
        <w:t>t</w:t>
      </w:r>
      <w:r w:rsidRPr="00D613C8">
        <w:rPr>
          <w:spacing w:val="11"/>
        </w:rPr>
        <w:t xml:space="preserve"> </w:t>
      </w:r>
      <w:r w:rsidRPr="00970AD2">
        <w:t>t</w:t>
      </w:r>
      <w:r w:rsidRPr="00D613C8">
        <w:rPr>
          <w:spacing w:val="-2"/>
        </w:rPr>
        <w:t>h</w:t>
      </w:r>
      <w:r w:rsidRPr="00970AD2">
        <w:t>e</w:t>
      </w:r>
      <w:r w:rsidRPr="00D613C8">
        <w:rPr>
          <w:spacing w:val="8"/>
        </w:rPr>
        <w:t xml:space="preserve"> </w:t>
      </w:r>
      <w:r w:rsidRPr="00970AD2">
        <w:t>p</w:t>
      </w:r>
      <w:r w:rsidRPr="00D613C8">
        <w:rPr>
          <w:spacing w:val="1"/>
        </w:rPr>
        <w:t>e</w:t>
      </w:r>
      <w:r w:rsidRPr="00D613C8">
        <w:rPr>
          <w:spacing w:val="-1"/>
        </w:rPr>
        <w:t>r</w:t>
      </w:r>
      <w:r w:rsidRPr="00D613C8">
        <w:rPr>
          <w:spacing w:val="2"/>
        </w:rPr>
        <w:t>f</w:t>
      </w:r>
      <w:r w:rsidRPr="00970AD2">
        <w:t>o</w:t>
      </w:r>
      <w:r w:rsidRPr="00D613C8">
        <w:rPr>
          <w:spacing w:val="-1"/>
        </w:rPr>
        <w:t>r</w:t>
      </w:r>
      <w:r w:rsidRPr="00970AD2">
        <w:t>m</w:t>
      </w:r>
      <w:r w:rsidRPr="00D613C8">
        <w:rPr>
          <w:spacing w:val="1"/>
        </w:rPr>
        <w:t>a</w:t>
      </w:r>
      <w:r w:rsidRPr="00D613C8">
        <w:rPr>
          <w:spacing w:val="-2"/>
        </w:rPr>
        <w:t>n</w:t>
      </w:r>
      <w:r w:rsidRPr="00D613C8">
        <w:rPr>
          <w:spacing w:val="3"/>
        </w:rPr>
        <w:t>c</w:t>
      </w:r>
      <w:r w:rsidRPr="00970AD2">
        <w:t>e</w:t>
      </w:r>
      <w:r w:rsidRPr="00D613C8">
        <w:rPr>
          <w:spacing w:val="23"/>
        </w:rPr>
        <w:t xml:space="preserve"> </w:t>
      </w:r>
      <w:r w:rsidRPr="00D613C8">
        <w:rPr>
          <w:spacing w:val="-3"/>
        </w:rPr>
        <w:t>r</w:t>
      </w:r>
      <w:r w:rsidRPr="00D613C8">
        <w:rPr>
          <w:spacing w:val="3"/>
        </w:rPr>
        <w:t>e</w:t>
      </w:r>
      <w:r w:rsidRPr="00970AD2">
        <w:t>qui</w:t>
      </w:r>
      <w:r w:rsidRPr="00D613C8">
        <w:rPr>
          <w:spacing w:val="-1"/>
        </w:rPr>
        <w:t>r</w:t>
      </w:r>
      <w:r w:rsidRPr="00D613C8">
        <w:rPr>
          <w:spacing w:val="1"/>
        </w:rPr>
        <w:t>e</w:t>
      </w:r>
      <w:r w:rsidRPr="00970AD2">
        <w:t>m</w:t>
      </w:r>
      <w:r w:rsidRPr="00D613C8">
        <w:rPr>
          <w:spacing w:val="1"/>
        </w:rPr>
        <w:t>e</w:t>
      </w:r>
      <w:r w:rsidRPr="00970AD2">
        <w:t>nts</w:t>
      </w:r>
      <w:r w:rsidRPr="00D613C8">
        <w:rPr>
          <w:spacing w:val="24"/>
        </w:rPr>
        <w:t xml:space="preserve"> </w:t>
      </w:r>
      <w:r w:rsidRPr="00D613C8">
        <w:rPr>
          <w:spacing w:val="2"/>
        </w:rPr>
        <w:t>f</w:t>
      </w:r>
      <w:r w:rsidRPr="00970AD2">
        <w:t>or</w:t>
      </w:r>
      <w:r w:rsidRPr="00D613C8">
        <w:rPr>
          <w:spacing w:val="5"/>
        </w:rPr>
        <w:t xml:space="preserve"> </w:t>
      </w:r>
      <w:r w:rsidRPr="00970AD2">
        <w:t>the</w:t>
      </w:r>
      <w:r w:rsidRPr="00D613C8">
        <w:rPr>
          <w:spacing w:val="6"/>
        </w:rPr>
        <w:t xml:space="preserve"> </w:t>
      </w:r>
      <w:r w:rsidRPr="00D613C8">
        <w:rPr>
          <w:spacing w:val="3"/>
        </w:rPr>
        <w:t>a</w:t>
      </w:r>
      <w:r w:rsidRPr="00970AD2">
        <w:t>tt</w:t>
      </w:r>
      <w:r w:rsidRPr="00D613C8">
        <w:rPr>
          <w:spacing w:val="-1"/>
        </w:rPr>
        <w:t>r</w:t>
      </w:r>
      <w:r w:rsidRPr="00970AD2">
        <w:t>ibut</w:t>
      </w:r>
      <w:r w:rsidRPr="00D613C8">
        <w:rPr>
          <w:spacing w:val="1"/>
        </w:rPr>
        <w:t>e</w:t>
      </w:r>
      <w:r w:rsidRPr="00970AD2">
        <w:t>s</w:t>
      </w:r>
      <w:r w:rsidRPr="00D613C8">
        <w:rPr>
          <w:spacing w:val="17"/>
        </w:rPr>
        <w:t xml:space="preserve"> </w:t>
      </w:r>
      <w:r w:rsidRPr="00D613C8">
        <w:rPr>
          <w:spacing w:val="-1"/>
        </w:rPr>
        <w:t>s</w:t>
      </w:r>
      <w:r w:rsidRPr="00D613C8">
        <w:rPr>
          <w:spacing w:val="1"/>
        </w:rPr>
        <w:t>e</w:t>
      </w:r>
      <w:r w:rsidRPr="00970AD2">
        <w:t>t</w:t>
      </w:r>
      <w:r w:rsidRPr="00D613C8">
        <w:rPr>
          <w:spacing w:val="7"/>
        </w:rPr>
        <w:t xml:space="preserve"> </w:t>
      </w:r>
      <w:r w:rsidRPr="00970AD2">
        <w:t>out</w:t>
      </w:r>
      <w:r w:rsidRPr="00D613C8">
        <w:rPr>
          <w:spacing w:val="8"/>
        </w:rPr>
        <w:t xml:space="preserve"> </w:t>
      </w:r>
      <w:r w:rsidRPr="00970AD2">
        <w:t>in</w:t>
      </w:r>
      <w:r w:rsidRPr="00D613C8">
        <w:rPr>
          <w:spacing w:val="6"/>
        </w:rPr>
        <w:t xml:space="preserve"> </w:t>
      </w:r>
      <w:r w:rsidR="003D2955">
        <w:t xml:space="preserve">‘Compliance Requirements’ of </w:t>
      </w:r>
      <w:r w:rsidRPr="00D613C8">
        <w:rPr>
          <w:spacing w:val="1"/>
        </w:rPr>
        <w:t>A</w:t>
      </w:r>
      <w:r w:rsidRPr="00D613C8">
        <w:rPr>
          <w:spacing w:val="-3"/>
        </w:rPr>
        <w:t>S </w:t>
      </w:r>
      <w:r w:rsidRPr="00970AD2">
        <w:t>4847,</w:t>
      </w:r>
      <w:r w:rsidRPr="00D613C8">
        <w:rPr>
          <w:spacing w:val="27"/>
        </w:rPr>
        <w:t xml:space="preserve"> </w:t>
      </w:r>
      <w:r w:rsidRPr="00970AD2">
        <w:t>or</w:t>
      </w:r>
      <w:r w:rsidRPr="00D613C8">
        <w:rPr>
          <w:spacing w:val="6"/>
        </w:rPr>
        <w:t xml:space="preserve"> </w:t>
      </w:r>
      <w:r w:rsidRPr="00D613C8">
        <w:rPr>
          <w:spacing w:val="-3"/>
        </w:rPr>
        <w:t>i</w:t>
      </w:r>
      <w:r w:rsidRPr="00970AD2">
        <w:t>f</w:t>
      </w:r>
      <w:r w:rsidRPr="00D613C8">
        <w:rPr>
          <w:spacing w:val="7"/>
        </w:rPr>
        <w:t xml:space="preserve"> </w:t>
      </w:r>
      <w:r w:rsidRPr="00970AD2">
        <w:t>t</w:t>
      </w:r>
      <w:r w:rsidRPr="00D613C8">
        <w:rPr>
          <w:spacing w:val="-2"/>
        </w:rPr>
        <w:t>h</w:t>
      </w:r>
      <w:r w:rsidRPr="00970AD2">
        <w:t>e</w:t>
      </w:r>
      <w:r w:rsidRPr="00D613C8">
        <w:rPr>
          <w:spacing w:val="8"/>
        </w:rPr>
        <w:t xml:space="preserve"> </w:t>
      </w:r>
      <w:r w:rsidRPr="00D613C8">
        <w:rPr>
          <w:spacing w:val="-1"/>
        </w:rPr>
        <w:t>Administrator</w:t>
      </w:r>
      <w:r w:rsidRPr="00D613C8">
        <w:rPr>
          <w:spacing w:val="14"/>
        </w:rPr>
        <w:t xml:space="preserve"> </w:t>
      </w:r>
      <w:r w:rsidRPr="00D613C8">
        <w:rPr>
          <w:spacing w:val="-2"/>
        </w:rPr>
        <w:t>d</w:t>
      </w:r>
      <w:r w:rsidRPr="00D613C8">
        <w:rPr>
          <w:spacing w:val="1"/>
        </w:rPr>
        <w:t>e</w:t>
      </w:r>
      <w:r w:rsidRPr="00D613C8">
        <w:rPr>
          <w:spacing w:val="-3"/>
        </w:rPr>
        <w:t>t</w:t>
      </w:r>
      <w:r w:rsidRPr="00D613C8">
        <w:rPr>
          <w:spacing w:val="3"/>
        </w:rPr>
        <w:t>e</w:t>
      </w:r>
      <w:r w:rsidRPr="00D613C8">
        <w:rPr>
          <w:spacing w:val="-1"/>
        </w:rPr>
        <w:t>r</w:t>
      </w:r>
      <w:r w:rsidRPr="00970AD2">
        <w:t>min</w:t>
      </w:r>
      <w:r w:rsidRPr="00D613C8">
        <w:rPr>
          <w:spacing w:val="1"/>
        </w:rPr>
        <w:t>e</w:t>
      </w:r>
      <w:r w:rsidRPr="00970AD2">
        <w:t>s</w:t>
      </w:r>
      <w:r w:rsidRPr="00D613C8">
        <w:rPr>
          <w:spacing w:val="20"/>
        </w:rPr>
        <w:t xml:space="preserve"> </w:t>
      </w:r>
      <w:r w:rsidRPr="00970AD2">
        <w:t>t</w:t>
      </w:r>
      <w:r w:rsidRPr="00D613C8">
        <w:rPr>
          <w:spacing w:val="-2"/>
        </w:rPr>
        <w:t>h</w:t>
      </w:r>
      <w:r w:rsidRPr="00D613C8">
        <w:rPr>
          <w:spacing w:val="1"/>
        </w:rPr>
        <w:t>a</w:t>
      </w:r>
      <w:r w:rsidRPr="00970AD2">
        <w:t>t</w:t>
      </w:r>
      <w:r w:rsidRPr="00D613C8">
        <w:rPr>
          <w:spacing w:val="9"/>
        </w:rPr>
        <w:t xml:space="preserve"> </w:t>
      </w:r>
      <w:r w:rsidRPr="00D613C8">
        <w:rPr>
          <w:spacing w:val="2"/>
        </w:rPr>
        <w:t>t</w:t>
      </w:r>
      <w:r w:rsidRPr="00D613C8">
        <w:rPr>
          <w:spacing w:val="-2"/>
        </w:rPr>
        <w:t>h</w:t>
      </w:r>
      <w:r w:rsidRPr="00970AD2">
        <w:t>e</w:t>
      </w:r>
      <w:r w:rsidRPr="00D613C8">
        <w:rPr>
          <w:spacing w:val="6"/>
        </w:rPr>
        <w:t xml:space="preserve"> </w:t>
      </w:r>
      <w:r w:rsidRPr="00D613C8">
        <w:rPr>
          <w:w w:val="102"/>
        </w:rPr>
        <w:t>p</w:t>
      </w:r>
      <w:r w:rsidRPr="00D613C8">
        <w:rPr>
          <w:spacing w:val="3"/>
          <w:w w:val="102"/>
        </w:rPr>
        <w:t>e</w:t>
      </w:r>
      <w:r w:rsidRPr="00D613C8">
        <w:rPr>
          <w:spacing w:val="-3"/>
          <w:w w:val="102"/>
        </w:rPr>
        <w:t>r</w:t>
      </w:r>
      <w:r w:rsidRPr="00D613C8">
        <w:rPr>
          <w:spacing w:val="2"/>
          <w:w w:val="102"/>
        </w:rPr>
        <w:t>f</w:t>
      </w:r>
      <w:r w:rsidRPr="00D613C8">
        <w:rPr>
          <w:w w:val="102"/>
        </w:rPr>
        <w:t>o</w:t>
      </w:r>
      <w:r w:rsidRPr="00D613C8">
        <w:rPr>
          <w:spacing w:val="-1"/>
          <w:w w:val="102"/>
        </w:rPr>
        <w:t>r</w:t>
      </w:r>
      <w:r w:rsidRPr="00D613C8">
        <w:rPr>
          <w:w w:val="102"/>
        </w:rPr>
        <w:t>m</w:t>
      </w:r>
      <w:r w:rsidRPr="00D613C8">
        <w:rPr>
          <w:spacing w:val="1"/>
          <w:w w:val="102"/>
        </w:rPr>
        <w:t>a</w:t>
      </w:r>
      <w:r w:rsidRPr="00D613C8">
        <w:rPr>
          <w:w w:val="102"/>
        </w:rPr>
        <w:t>n</w:t>
      </w:r>
      <w:r w:rsidRPr="00D613C8">
        <w:rPr>
          <w:spacing w:val="1"/>
          <w:w w:val="102"/>
        </w:rPr>
        <w:t>c</w:t>
      </w:r>
      <w:r w:rsidRPr="00D613C8">
        <w:rPr>
          <w:w w:val="102"/>
        </w:rPr>
        <w:t xml:space="preserve">e </w:t>
      </w:r>
      <w:r w:rsidRPr="00D613C8">
        <w:rPr>
          <w:spacing w:val="-1"/>
        </w:rPr>
        <w:t>r</w:t>
      </w:r>
      <w:r w:rsidRPr="00D613C8">
        <w:rPr>
          <w:spacing w:val="1"/>
        </w:rPr>
        <w:t>e</w:t>
      </w:r>
      <w:r w:rsidRPr="00970AD2">
        <w:t>qu</w:t>
      </w:r>
      <w:r w:rsidRPr="00D613C8">
        <w:rPr>
          <w:spacing w:val="2"/>
        </w:rPr>
        <w:t>i</w:t>
      </w:r>
      <w:r w:rsidRPr="00D613C8">
        <w:rPr>
          <w:spacing w:val="-1"/>
        </w:rPr>
        <w:t>r</w:t>
      </w:r>
      <w:r w:rsidRPr="00D613C8">
        <w:rPr>
          <w:spacing w:val="1"/>
        </w:rPr>
        <w:t>e</w:t>
      </w:r>
      <w:r w:rsidRPr="00D613C8">
        <w:rPr>
          <w:spacing w:val="-2"/>
        </w:rPr>
        <w:t>m</w:t>
      </w:r>
      <w:r w:rsidRPr="00D613C8">
        <w:rPr>
          <w:spacing w:val="3"/>
        </w:rPr>
        <w:t>e</w:t>
      </w:r>
      <w:r w:rsidRPr="00970AD2">
        <w:t>nts</w:t>
      </w:r>
      <w:r w:rsidRPr="00D613C8">
        <w:rPr>
          <w:spacing w:val="22"/>
        </w:rPr>
        <w:t xml:space="preserve"> </w:t>
      </w:r>
      <w:r w:rsidRPr="00D613C8">
        <w:rPr>
          <w:spacing w:val="2"/>
        </w:rPr>
        <w:t>f</w:t>
      </w:r>
      <w:r w:rsidRPr="00970AD2">
        <w:t>or</w:t>
      </w:r>
      <w:r w:rsidRPr="00D613C8">
        <w:rPr>
          <w:spacing w:val="7"/>
        </w:rPr>
        <w:t xml:space="preserve"> </w:t>
      </w:r>
      <w:r w:rsidRPr="00D613C8">
        <w:rPr>
          <w:spacing w:val="1"/>
        </w:rPr>
        <w:t>a</w:t>
      </w:r>
      <w:r w:rsidRPr="00970AD2">
        <w:t>t</w:t>
      </w:r>
      <w:r w:rsidRPr="00D613C8">
        <w:rPr>
          <w:spacing w:val="2"/>
        </w:rPr>
        <w:t>t</w:t>
      </w:r>
      <w:r w:rsidRPr="00D613C8">
        <w:rPr>
          <w:spacing w:val="-1"/>
        </w:rPr>
        <w:t>r</w:t>
      </w:r>
      <w:r w:rsidRPr="00970AD2">
        <w:t>ibu</w:t>
      </w:r>
      <w:r w:rsidRPr="00D613C8">
        <w:rPr>
          <w:spacing w:val="-3"/>
        </w:rPr>
        <w:t>t</w:t>
      </w:r>
      <w:r w:rsidRPr="00D613C8">
        <w:rPr>
          <w:spacing w:val="1"/>
        </w:rPr>
        <w:t>e</w:t>
      </w:r>
      <w:r w:rsidRPr="00970AD2">
        <w:t>s</w:t>
      </w:r>
      <w:r w:rsidRPr="00D613C8">
        <w:rPr>
          <w:spacing w:val="20"/>
        </w:rPr>
        <w:t xml:space="preserve"> </w:t>
      </w:r>
      <w:r w:rsidRPr="00D613C8">
        <w:rPr>
          <w:spacing w:val="-1"/>
        </w:rPr>
        <w:t>s</w:t>
      </w:r>
      <w:r w:rsidRPr="00D613C8">
        <w:rPr>
          <w:spacing w:val="1"/>
        </w:rPr>
        <w:t>e</w:t>
      </w:r>
      <w:r w:rsidRPr="00970AD2">
        <w:t>t</w:t>
      </w:r>
      <w:r w:rsidRPr="00D613C8">
        <w:rPr>
          <w:spacing w:val="7"/>
        </w:rPr>
        <w:t xml:space="preserve"> </w:t>
      </w:r>
      <w:r w:rsidRPr="00970AD2">
        <w:t>out</w:t>
      </w:r>
      <w:r w:rsidRPr="00D613C8">
        <w:rPr>
          <w:spacing w:val="6"/>
        </w:rPr>
        <w:t xml:space="preserve"> </w:t>
      </w:r>
      <w:r w:rsidRPr="00D613C8">
        <w:rPr>
          <w:spacing w:val="2"/>
        </w:rPr>
        <w:t>i</w:t>
      </w:r>
      <w:r w:rsidRPr="00970AD2">
        <w:t>n</w:t>
      </w:r>
      <w:r w:rsidRPr="00D613C8">
        <w:rPr>
          <w:spacing w:val="3"/>
        </w:rPr>
        <w:t xml:space="preserve"> </w:t>
      </w:r>
      <w:r w:rsidR="003D2955">
        <w:t xml:space="preserve">‘Compliance Requirements’ of </w:t>
      </w:r>
      <w:r w:rsidRPr="00D613C8">
        <w:rPr>
          <w:spacing w:val="1"/>
        </w:rPr>
        <w:t>A</w:t>
      </w:r>
      <w:r w:rsidRPr="00D613C8">
        <w:rPr>
          <w:spacing w:val="-3"/>
        </w:rPr>
        <w:t>S</w:t>
      </w:r>
      <w:r w:rsidRPr="00D613C8">
        <w:rPr>
          <w:spacing w:val="17"/>
        </w:rPr>
        <w:t xml:space="preserve"> </w:t>
      </w:r>
      <w:r w:rsidRPr="00970AD2">
        <w:t>4847</w:t>
      </w:r>
      <w:r w:rsidRPr="00D613C8">
        <w:rPr>
          <w:spacing w:val="20"/>
        </w:rPr>
        <w:t xml:space="preserve"> </w:t>
      </w:r>
      <w:r w:rsidR="00282BCF" w:rsidRPr="00D613C8">
        <w:rPr>
          <w:spacing w:val="2"/>
        </w:rPr>
        <w:t>are</w:t>
      </w:r>
      <w:r w:rsidRPr="00D613C8">
        <w:rPr>
          <w:spacing w:val="4"/>
        </w:rPr>
        <w:t xml:space="preserve"> </w:t>
      </w:r>
      <w:r w:rsidRPr="00D613C8">
        <w:rPr>
          <w:w w:val="102"/>
        </w:rPr>
        <w:t xml:space="preserve">not </w:t>
      </w:r>
      <w:r w:rsidRPr="00D613C8">
        <w:rPr>
          <w:spacing w:val="1"/>
        </w:rPr>
        <w:t>a</w:t>
      </w:r>
      <w:r w:rsidRPr="00970AD2">
        <w:t>pp</w:t>
      </w:r>
      <w:r w:rsidRPr="00D613C8">
        <w:rPr>
          <w:spacing w:val="2"/>
        </w:rPr>
        <w:t>l</w:t>
      </w:r>
      <w:r w:rsidRPr="00D613C8">
        <w:rPr>
          <w:spacing w:val="-3"/>
        </w:rPr>
        <w:t>i</w:t>
      </w:r>
      <w:r w:rsidRPr="00D613C8">
        <w:rPr>
          <w:spacing w:val="1"/>
        </w:rPr>
        <w:t>c</w:t>
      </w:r>
      <w:r w:rsidRPr="00D613C8">
        <w:rPr>
          <w:spacing w:val="3"/>
        </w:rPr>
        <w:t>a</w:t>
      </w:r>
      <w:r w:rsidRPr="00970AD2">
        <w:t>b</w:t>
      </w:r>
      <w:r w:rsidRPr="00D613C8">
        <w:rPr>
          <w:spacing w:val="-3"/>
        </w:rPr>
        <w:t>l</w:t>
      </w:r>
      <w:r w:rsidRPr="00970AD2">
        <w:t>e</w:t>
      </w:r>
      <w:r w:rsidRPr="00D613C8">
        <w:rPr>
          <w:spacing w:val="21"/>
        </w:rPr>
        <w:t xml:space="preserve"> </w:t>
      </w:r>
      <w:r w:rsidRPr="00970AD2">
        <w:t>to</w:t>
      </w:r>
      <w:r w:rsidRPr="00D613C8">
        <w:rPr>
          <w:spacing w:val="3"/>
        </w:rPr>
        <w:t xml:space="preserve"> </w:t>
      </w:r>
      <w:r w:rsidRPr="00970AD2">
        <w:t>the</w:t>
      </w:r>
      <w:r w:rsidRPr="00D613C8">
        <w:rPr>
          <w:spacing w:val="8"/>
        </w:rPr>
        <w:t xml:space="preserve"> </w:t>
      </w:r>
      <w:r w:rsidRPr="00D613C8">
        <w:rPr>
          <w:spacing w:val="-3"/>
        </w:rPr>
        <w:t>l</w:t>
      </w:r>
      <w:r w:rsidRPr="00D613C8">
        <w:rPr>
          <w:spacing w:val="1"/>
        </w:rPr>
        <w:t>a</w:t>
      </w:r>
      <w:r w:rsidRPr="00D613C8">
        <w:rPr>
          <w:spacing w:val="2"/>
        </w:rPr>
        <w:t>m</w:t>
      </w:r>
      <w:r w:rsidRPr="00D613C8">
        <w:rPr>
          <w:spacing w:val="-2"/>
        </w:rPr>
        <w:t>p</w:t>
      </w:r>
      <w:r w:rsidRPr="00970AD2">
        <w:t>,</w:t>
      </w:r>
      <w:r w:rsidRPr="00D613C8">
        <w:rPr>
          <w:spacing w:val="12"/>
        </w:rPr>
        <w:t xml:space="preserve"> </w:t>
      </w:r>
      <w:r w:rsidRPr="00D613C8">
        <w:rPr>
          <w:spacing w:val="-2"/>
        </w:rPr>
        <w:t>a</w:t>
      </w:r>
      <w:r w:rsidRPr="00970AD2">
        <w:t>ny</w:t>
      </w:r>
      <w:r w:rsidRPr="00D613C8">
        <w:rPr>
          <w:spacing w:val="9"/>
        </w:rPr>
        <w:t xml:space="preserve"> </w:t>
      </w:r>
      <w:r w:rsidRPr="00970AD2">
        <w:t>oth</w:t>
      </w:r>
      <w:r w:rsidRPr="00D613C8">
        <w:rPr>
          <w:spacing w:val="1"/>
        </w:rPr>
        <w:t>e</w:t>
      </w:r>
      <w:r w:rsidRPr="00970AD2">
        <w:t>r</w:t>
      </w:r>
      <w:r w:rsidRPr="00D613C8">
        <w:rPr>
          <w:spacing w:val="11"/>
        </w:rPr>
        <w:t xml:space="preserve"> </w:t>
      </w:r>
      <w:r w:rsidRPr="00970AD2">
        <w:t>p</w:t>
      </w:r>
      <w:r w:rsidRPr="00D613C8">
        <w:rPr>
          <w:spacing w:val="1"/>
        </w:rPr>
        <w:t>e</w:t>
      </w:r>
      <w:r w:rsidRPr="00D613C8">
        <w:rPr>
          <w:spacing w:val="-3"/>
        </w:rPr>
        <w:t>r</w:t>
      </w:r>
      <w:r w:rsidRPr="00D613C8">
        <w:rPr>
          <w:spacing w:val="2"/>
        </w:rPr>
        <w:t>f</w:t>
      </w:r>
      <w:r w:rsidRPr="00970AD2">
        <w:t>o</w:t>
      </w:r>
      <w:r w:rsidRPr="00D613C8">
        <w:rPr>
          <w:spacing w:val="-1"/>
        </w:rPr>
        <w:t>r</w:t>
      </w:r>
      <w:r w:rsidRPr="00D613C8">
        <w:rPr>
          <w:spacing w:val="2"/>
        </w:rPr>
        <w:t>m</w:t>
      </w:r>
      <w:r w:rsidRPr="00D613C8">
        <w:rPr>
          <w:spacing w:val="1"/>
        </w:rPr>
        <w:t>a</w:t>
      </w:r>
      <w:r w:rsidRPr="00D613C8">
        <w:rPr>
          <w:spacing w:val="-2"/>
        </w:rPr>
        <w:t>n</w:t>
      </w:r>
      <w:r w:rsidRPr="00D613C8">
        <w:rPr>
          <w:spacing w:val="1"/>
        </w:rPr>
        <w:t>c</w:t>
      </w:r>
      <w:r w:rsidRPr="00970AD2">
        <w:t>e</w:t>
      </w:r>
      <w:r w:rsidRPr="00D613C8">
        <w:rPr>
          <w:spacing w:val="25"/>
        </w:rPr>
        <w:t xml:space="preserve"> </w:t>
      </w:r>
      <w:r w:rsidRPr="00D613C8">
        <w:rPr>
          <w:spacing w:val="-3"/>
        </w:rPr>
        <w:t>r</w:t>
      </w:r>
      <w:r w:rsidRPr="00D613C8">
        <w:rPr>
          <w:spacing w:val="1"/>
        </w:rPr>
        <w:t>e</w:t>
      </w:r>
      <w:r w:rsidRPr="00D613C8">
        <w:rPr>
          <w:spacing w:val="-2"/>
        </w:rPr>
        <w:t>q</w:t>
      </w:r>
      <w:r w:rsidRPr="00970AD2">
        <w:t>u</w:t>
      </w:r>
      <w:r w:rsidRPr="00D613C8">
        <w:rPr>
          <w:spacing w:val="2"/>
        </w:rPr>
        <w:t>i</w:t>
      </w:r>
      <w:r w:rsidRPr="00D613C8">
        <w:rPr>
          <w:spacing w:val="-1"/>
        </w:rPr>
        <w:t>r</w:t>
      </w:r>
      <w:r w:rsidRPr="00D613C8">
        <w:rPr>
          <w:spacing w:val="1"/>
        </w:rPr>
        <w:t>e</w:t>
      </w:r>
      <w:r w:rsidRPr="00970AD2">
        <w:t>m</w:t>
      </w:r>
      <w:r w:rsidRPr="00D613C8">
        <w:rPr>
          <w:spacing w:val="3"/>
        </w:rPr>
        <w:t>e</w:t>
      </w:r>
      <w:r w:rsidRPr="00D613C8">
        <w:rPr>
          <w:spacing w:val="-2"/>
        </w:rPr>
        <w:t>n</w:t>
      </w:r>
      <w:r w:rsidRPr="00970AD2">
        <w:t>t</w:t>
      </w:r>
      <w:r w:rsidRPr="00D613C8">
        <w:rPr>
          <w:spacing w:val="23"/>
        </w:rPr>
        <w:t xml:space="preserve"> </w:t>
      </w:r>
      <w:r w:rsidRPr="00970AD2">
        <w:t>d</w:t>
      </w:r>
      <w:r w:rsidRPr="00D613C8">
        <w:rPr>
          <w:spacing w:val="1"/>
        </w:rPr>
        <w:t>e</w:t>
      </w:r>
      <w:r w:rsidRPr="00D613C8">
        <w:rPr>
          <w:spacing w:val="-3"/>
        </w:rPr>
        <w:t>t</w:t>
      </w:r>
      <w:r w:rsidRPr="00D613C8">
        <w:rPr>
          <w:spacing w:val="3"/>
        </w:rPr>
        <w:t>e</w:t>
      </w:r>
      <w:r w:rsidRPr="00D613C8">
        <w:rPr>
          <w:spacing w:val="-1"/>
        </w:rPr>
        <w:t>r</w:t>
      </w:r>
      <w:r w:rsidRPr="00970AD2">
        <w:t>mi</w:t>
      </w:r>
      <w:r w:rsidRPr="00D613C8">
        <w:rPr>
          <w:spacing w:val="-2"/>
        </w:rPr>
        <w:t>n</w:t>
      </w:r>
      <w:r w:rsidRPr="00D613C8">
        <w:rPr>
          <w:spacing w:val="3"/>
        </w:rPr>
        <w:t>e</w:t>
      </w:r>
      <w:r w:rsidRPr="00970AD2">
        <w:t>d</w:t>
      </w:r>
      <w:r w:rsidRPr="00D613C8">
        <w:rPr>
          <w:spacing w:val="20"/>
        </w:rPr>
        <w:t xml:space="preserve"> </w:t>
      </w:r>
      <w:r w:rsidRPr="00970AD2">
        <w:t>by</w:t>
      </w:r>
      <w:r w:rsidRPr="00D613C8">
        <w:rPr>
          <w:spacing w:val="7"/>
        </w:rPr>
        <w:t xml:space="preserve"> </w:t>
      </w:r>
      <w:r w:rsidRPr="00D613C8">
        <w:rPr>
          <w:spacing w:val="-3"/>
          <w:w w:val="102"/>
        </w:rPr>
        <w:t>t</w:t>
      </w:r>
      <w:r w:rsidRPr="00D613C8">
        <w:rPr>
          <w:w w:val="102"/>
        </w:rPr>
        <w:t xml:space="preserve">he </w:t>
      </w:r>
      <w:r w:rsidRPr="00D613C8">
        <w:rPr>
          <w:spacing w:val="-1"/>
        </w:rPr>
        <w:t>Administrator</w:t>
      </w:r>
      <w:r w:rsidRPr="00970AD2">
        <w:t>;</w:t>
      </w:r>
      <w:r w:rsidRPr="00D613C8">
        <w:rPr>
          <w:spacing w:val="14"/>
        </w:rPr>
        <w:t xml:space="preserve"> </w:t>
      </w:r>
    </w:p>
    <w:p w14:paraId="42898E64" w14:textId="77777777" w:rsidR="00831F19" w:rsidRPr="00970AD2" w:rsidRDefault="00F0426F" w:rsidP="00D613C8">
      <w:pPr>
        <w:pStyle w:val="Subdetailsthirdindent"/>
      </w:pPr>
      <w:r w:rsidRPr="00D42823">
        <w:rPr>
          <w:spacing w:val="1"/>
        </w:rPr>
        <w:t>a</w:t>
      </w:r>
      <w:r w:rsidRPr="00D42823">
        <w:rPr>
          <w:spacing w:val="3"/>
        </w:rPr>
        <w:t>c</w:t>
      </w:r>
      <w:r w:rsidRPr="00970AD2">
        <w:t>h</w:t>
      </w:r>
      <w:r w:rsidRPr="00D42823">
        <w:rPr>
          <w:spacing w:val="-3"/>
        </w:rPr>
        <w:t>i</w:t>
      </w:r>
      <w:r w:rsidRPr="00D42823">
        <w:rPr>
          <w:spacing w:val="1"/>
        </w:rPr>
        <w:t>e</w:t>
      </w:r>
      <w:r w:rsidRPr="00D42823">
        <w:rPr>
          <w:spacing w:val="-2"/>
        </w:rPr>
        <w:t>v</w:t>
      </w:r>
      <w:r w:rsidRPr="00D42823">
        <w:rPr>
          <w:spacing w:val="3"/>
        </w:rPr>
        <w:t>e</w:t>
      </w:r>
      <w:r w:rsidRPr="00D42823">
        <w:rPr>
          <w:spacing w:val="16"/>
        </w:rPr>
        <w:t xml:space="preserve"> </w:t>
      </w:r>
      <w:r w:rsidRPr="00970AD2">
        <w:t>a</w:t>
      </w:r>
      <w:r w:rsidRPr="00D42823">
        <w:rPr>
          <w:spacing w:val="3"/>
        </w:rPr>
        <w:t xml:space="preserve"> </w:t>
      </w:r>
      <w:r w:rsidRPr="00970AD2">
        <w:t>min</w:t>
      </w:r>
      <w:r w:rsidRPr="00D42823">
        <w:rPr>
          <w:spacing w:val="2"/>
        </w:rPr>
        <w:t>i</w:t>
      </w:r>
      <w:r w:rsidRPr="00970AD2">
        <w:t>mum</w:t>
      </w:r>
      <w:r w:rsidRPr="00D42823">
        <w:rPr>
          <w:spacing w:val="17"/>
        </w:rPr>
        <w:t xml:space="preserve"> </w:t>
      </w:r>
      <w:r w:rsidRPr="00D42823">
        <w:rPr>
          <w:spacing w:val="-1"/>
        </w:rPr>
        <w:t>lighting</w:t>
      </w:r>
      <w:r w:rsidRPr="00D42823">
        <w:rPr>
          <w:spacing w:val="17"/>
        </w:rPr>
        <w:t xml:space="preserve"> </w:t>
      </w:r>
      <w:r w:rsidRPr="00D42823">
        <w:rPr>
          <w:spacing w:val="-1"/>
        </w:rPr>
        <w:t>s</w:t>
      </w:r>
      <w:r w:rsidRPr="00970AD2">
        <w:t>ou</w:t>
      </w:r>
      <w:r w:rsidRPr="00D42823">
        <w:rPr>
          <w:spacing w:val="-1"/>
        </w:rPr>
        <w:t>r</w:t>
      </w:r>
      <w:r w:rsidRPr="00D42823">
        <w:rPr>
          <w:spacing w:val="3"/>
        </w:rPr>
        <w:t>c</w:t>
      </w:r>
      <w:r w:rsidRPr="00970AD2">
        <w:t>e</w:t>
      </w:r>
      <w:r w:rsidRPr="00D42823">
        <w:rPr>
          <w:spacing w:val="12"/>
        </w:rPr>
        <w:t xml:space="preserve"> </w:t>
      </w:r>
      <w:r w:rsidRPr="00D42823">
        <w:rPr>
          <w:spacing w:val="-2"/>
        </w:rPr>
        <w:t>e</w:t>
      </w:r>
      <w:r w:rsidRPr="00D42823">
        <w:rPr>
          <w:spacing w:val="2"/>
        </w:rPr>
        <w:t>f</w:t>
      </w:r>
      <w:r w:rsidRPr="00D42823">
        <w:rPr>
          <w:spacing w:val="-1"/>
        </w:rPr>
        <w:t>f</w:t>
      </w:r>
      <w:r w:rsidRPr="00970AD2">
        <w:t>i</w:t>
      </w:r>
      <w:r w:rsidRPr="00D42823">
        <w:rPr>
          <w:spacing w:val="1"/>
        </w:rPr>
        <w:t>cac</w:t>
      </w:r>
      <w:r w:rsidRPr="00970AD2">
        <w:t>y</w:t>
      </w:r>
      <w:r w:rsidRPr="00D42823">
        <w:rPr>
          <w:spacing w:val="17"/>
        </w:rPr>
        <w:t xml:space="preserve"> </w:t>
      </w:r>
      <w:r w:rsidRPr="00D42823">
        <w:rPr>
          <w:spacing w:val="-2"/>
        </w:rPr>
        <w:t>o</w:t>
      </w:r>
      <w:r w:rsidRPr="00970AD2">
        <w:t>f</w:t>
      </w:r>
      <w:r w:rsidRPr="00D42823">
        <w:rPr>
          <w:spacing w:val="6"/>
        </w:rPr>
        <w:t xml:space="preserve"> </w:t>
      </w:r>
      <w:r w:rsidRPr="00970AD2">
        <w:t>48</w:t>
      </w:r>
      <w:r w:rsidRPr="00D42823">
        <w:rPr>
          <w:spacing w:val="7"/>
        </w:rPr>
        <w:t xml:space="preserve"> </w:t>
      </w:r>
      <w:r w:rsidRPr="00970AD2">
        <w:t>l</w:t>
      </w:r>
      <w:r w:rsidR="000C27E5">
        <w:t>m/W</w:t>
      </w:r>
      <w:r w:rsidRPr="00970AD2">
        <w:t>;</w:t>
      </w:r>
      <w:r w:rsidRPr="00D42823">
        <w:rPr>
          <w:spacing w:val="23"/>
        </w:rPr>
        <w:t xml:space="preserve"> </w:t>
      </w:r>
    </w:p>
    <w:p w14:paraId="32287981" w14:textId="77777777" w:rsidR="00831F19" w:rsidRPr="00970AD2" w:rsidRDefault="00F0426F" w:rsidP="00D613C8">
      <w:pPr>
        <w:pStyle w:val="Subdetailsthirdindent"/>
      </w:pPr>
      <w:r w:rsidRPr="00970AD2">
        <w:t>h</w:t>
      </w:r>
      <w:r w:rsidRPr="00D42823">
        <w:rPr>
          <w:spacing w:val="1"/>
        </w:rPr>
        <w:t>ave</w:t>
      </w:r>
      <w:r w:rsidRPr="00D42823">
        <w:rPr>
          <w:spacing w:val="7"/>
        </w:rPr>
        <w:t xml:space="preserve"> </w:t>
      </w:r>
      <w:r w:rsidRPr="00970AD2">
        <w:t>a</w:t>
      </w:r>
      <w:r w:rsidRPr="00D42823">
        <w:rPr>
          <w:spacing w:val="3"/>
        </w:rPr>
        <w:t xml:space="preserve"> </w:t>
      </w:r>
      <w:r w:rsidRPr="00D42823">
        <w:rPr>
          <w:spacing w:val="2"/>
        </w:rPr>
        <w:t>m</w:t>
      </w:r>
      <w:r w:rsidRPr="00970AD2">
        <w:t>ini</w:t>
      </w:r>
      <w:r w:rsidRPr="00D42823">
        <w:rPr>
          <w:spacing w:val="2"/>
        </w:rPr>
        <w:t>m</w:t>
      </w:r>
      <w:r w:rsidRPr="00970AD2">
        <w:t>um</w:t>
      </w:r>
      <w:r w:rsidRPr="00D42823">
        <w:rPr>
          <w:spacing w:val="17"/>
        </w:rPr>
        <w:t xml:space="preserve"> </w:t>
      </w:r>
      <w:r w:rsidRPr="00970AD2">
        <w:t>li</w:t>
      </w:r>
      <w:r w:rsidRPr="00D42823">
        <w:rPr>
          <w:spacing w:val="-2"/>
        </w:rPr>
        <w:t>g</w:t>
      </w:r>
      <w:r w:rsidRPr="00970AD2">
        <w:t>ht</w:t>
      </w:r>
      <w:r w:rsidRPr="00D42823">
        <w:rPr>
          <w:spacing w:val="13"/>
        </w:rPr>
        <w:t xml:space="preserve"> </w:t>
      </w:r>
      <w:r w:rsidRPr="00D42823">
        <w:rPr>
          <w:spacing w:val="-1"/>
        </w:rPr>
        <w:t>output</w:t>
      </w:r>
      <w:r w:rsidRPr="00D42823">
        <w:rPr>
          <w:spacing w:val="16"/>
        </w:rPr>
        <w:t xml:space="preserve"> </w:t>
      </w:r>
      <w:r w:rsidRPr="00D42823">
        <w:rPr>
          <w:spacing w:val="-2"/>
        </w:rPr>
        <w:t>o</w:t>
      </w:r>
      <w:r w:rsidRPr="00970AD2">
        <w:t>f</w:t>
      </w:r>
      <w:r w:rsidRPr="00D42823">
        <w:rPr>
          <w:spacing w:val="8"/>
        </w:rPr>
        <w:t xml:space="preserve"> </w:t>
      </w:r>
      <w:r w:rsidRPr="00970AD2">
        <w:t>400</w:t>
      </w:r>
      <w:r w:rsidRPr="00D42823">
        <w:rPr>
          <w:spacing w:val="6"/>
        </w:rPr>
        <w:t xml:space="preserve"> </w:t>
      </w:r>
      <w:r w:rsidRPr="00970AD2">
        <w:t>lu</w:t>
      </w:r>
      <w:r w:rsidRPr="00D42823">
        <w:rPr>
          <w:spacing w:val="-3"/>
        </w:rPr>
        <w:t>m</w:t>
      </w:r>
      <w:r w:rsidRPr="00970AD2">
        <w:t>ens</w:t>
      </w:r>
      <w:r w:rsidRPr="00D42823">
        <w:rPr>
          <w:spacing w:val="18"/>
        </w:rPr>
        <w:t xml:space="preserve"> </w:t>
      </w:r>
      <w:r w:rsidRPr="00970AD2">
        <w:t>in</w:t>
      </w:r>
      <w:r w:rsidRPr="00D42823">
        <w:rPr>
          <w:spacing w:val="6"/>
        </w:rPr>
        <w:t xml:space="preserve"> </w:t>
      </w:r>
      <w:r w:rsidRPr="00D42823">
        <w:rPr>
          <w:spacing w:val="2"/>
        </w:rPr>
        <w:t>t</w:t>
      </w:r>
      <w:r w:rsidRPr="00970AD2">
        <w:t>he</w:t>
      </w:r>
      <w:r w:rsidRPr="00D42823">
        <w:rPr>
          <w:spacing w:val="6"/>
        </w:rPr>
        <w:t xml:space="preserve"> </w:t>
      </w:r>
      <w:r w:rsidRPr="00D42823">
        <w:rPr>
          <w:spacing w:val="-1"/>
        </w:rPr>
        <w:t>f</w:t>
      </w:r>
      <w:r w:rsidRPr="00970AD2">
        <w:t>o</w:t>
      </w:r>
      <w:r w:rsidRPr="00D42823">
        <w:rPr>
          <w:spacing w:val="-1"/>
        </w:rPr>
        <w:t>r</w:t>
      </w:r>
      <w:r w:rsidRPr="00D42823">
        <w:rPr>
          <w:spacing w:val="-2"/>
        </w:rPr>
        <w:t>w</w:t>
      </w:r>
      <w:r w:rsidRPr="00D42823">
        <w:rPr>
          <w:spacing w:val="3"/>
        </w:rPr>
        <w:t>a</w:t>
      </w:r>
      <w:r w:rsidRPr="00D42823">
        <w:rPr>
          <w:spacing w:val="-1"/>
        </w:rPr>
        <w:t>r</w:t>
      </w:r>
      <w:r w:rsidRPr="00970AD2">
        <w:t>d</w:t>
      </w:r>
      <w:r w:rsidRPr="00D42823">
        <w:rPr>
          <w:spacing w:val="17"/>
        </w:rPr>
        <w:t xml:space="preserve"> </w:t>
      </w:r>
      <w:r w:rsidRPr="00970AD2">
        <w:t>di</w:t>
      </w:r>
      <w:r w:rsidRPr="00D42823">
        <w:rPr>
          <w:spacing w:val="-1"/>
        </w:rPr>
        <w:t>r</w:t>
      </w:r>
      <w:r w:rsidRPr="00D42823">
        <w:rPr>
          <w:spacing w:val="1"/>
        </w:rPr>
        <w:t>ec</w:t>
      </w:r>
      <w:r w:rsidRPr="00970AD2">
        <w:t>t</w:t>
      </w:r>
      <w:r w:rsidRPr="00D42823">
        <w:rPr>
          <w:spacing w:val="2"/>
        </w:rPr>
        <w:t>i</w:t>
      </w:r>
      <w:r w:rsidRPr="00970AD2">
        <w:t>o</w:t>
      </w:r>
      <w:r w:rsidRPr="00D42823">
        <w:rPr>
          <w:spacing w:val="-2"/>
        </w:rPr>
        <w:t>n</w:t>
      </w:r>
      <w:r w:rsidRPr="00970AD2">
        <w:t>;</w:t>
      </w:r>
      <w:r w:rsidRPr="00D42823">
        <w:rPr>
          <w:spacing w:val="19"/>
        </w:rPr>
        <w:t xml:space="preserve"> </w:t>
      </w:r>
    </w:p>
    <w:p w14:paraId="55CA2846" w14:textId="77777777" w:rsidR="00831F19" w:rsidRPr="00970AD2" w:rsidRDefault="00F0426F" w:rsidP="00D613C8">
      <w:pPr>
        <w:pStyle w:val="Subdetailsthirdindent"/>
      </w:pPr>
      <w:r w:rsidRPr="00970AD2">
        <w:t>h</w:t>
      </w:r>
      <w:r w:rsidRPr="00D42823">
        <w:rPr>
          <w:spacing w:val="1"/>
        </w:rPr>
        <w:t>a</w:t>
      </w:r>
      <w:r w:rsidRPr="00970AD2">
        <w:t>ve</w:t>
      </w:r>
      <w:r w:rsidRPr="00D42823">
        <w:rPr>
          <w:spacing w:val="7"/>
        </w:rPr>
        <w:t xml:space="preserve"> </w:t>
      </w:r>
      <w:r w:rsidRPr="00970AD2">
        <w:t>a</w:t>
      </w:r>
      <w:r w:rsidRPr="00D42823">
        <w:rPr>
          <w:spacing w:val="3"/>
        </w:rPr>
        <w:t xml:space="preserve"> </w:t>
      </w:r>
      <w:r w:rsidRPr="00D42823">
        <w:rPr>
          <w:spacing w:val="2"/>
        </w:rPr>
        <w:t>m</w:t>
      </w:r>
      <w:r w:rsidRPr="00970AD2">
        <w:t>ini</w:t>
      </w:r>
      <w:r w:rsidRPr="00D42823">
        <w:rPr>
          <w:spacing w:val="2"/>
        </w:rPr>
        <w:t>m</w:t>
      </w:r>
      <w:r w:rsidRPr="00970AD2">
        <w:t>um</w:t>
      </w:r>
      <w:r w:rsidRPr="00D42823">
        <w:rPr>
          <w:spacing w:val="17"/>
        </w:rPr>
        <w:t xml:space="preserve"> </w:t>
      </w:r>
      <w:r w:rsidRPr="00D42823">
        <w:rPr>
          <w:spacing w:val="-1"/>
        </w:rPr>
        <w:t>manufacturer</w:t>
      </w:r>
      <w:r w:rsidR="000C3A88">
        <w:rPr>
          <w:spacing w:val="-1"/>
        </w:rPr>
        <w:t>’</w:t>
      </w:r>
      <w:r w:rsidRPr="00D42823">
        <w:rPr>
          <w:spacing w:val="-1"/>
        </w:rPr>
        <w:t>s</w:t>
      </w:r>
      <w:r w:rsidRPr="00D42823">
        <w:rPr>
          <w:spacing w:val="32"/>
        </w:rPr>
        <w:t xml:space="preserve"> </w:t>
      </w:r>
      <w:r w:rsidRPr="00D42823">
        <w:rPr>
          <w:spacing w:val="-1"/>
        </w:rPr>
        <w:t>r</w:t>
      </w:r>
      <w:r w:rsidRPr="00D42823">
        <w:rPr>
          <w:spacing w:val="-2"/>
        </w:rPr>
        <w:t>a</w:t>
      </w:r>
      <w:r w:rsidRPr="00970AD2">
        <w:t>t</w:t>
      </w:r>
      <w:r w:rsidRPr="00D42823">
        <w:rPr>
          <w:spacing w:val="3"/>
        </w:rPr>
        <w:t>e</w:t>
      </w:r>
      <w:r w:rsidRPr="00970AD2">
        <w:t>d</w:t>
      </w:r>
      <w:r w:rsidRPr="00D42823">
        <w:rPr>
          <w:spacing w:val="9"/>
        </w:rPr>
        <w:t xml:space="preserve"> </w:t>
      </w:r>
      <w:r w:rsidRPr="00D42823">
        <w:rPr>
          <w:spacing w:val="-3"/>
        </w:rPr>
        <w:t>l</w:t>
      </w:r>
      <w:r w:rsidRPr="00D42823">
        <w:rPr>
          <w:spacing w:val="2"/>
        </w:rPr>
        <w:t>i</w:t>
      </w:r>
      <w:r w:rsidRPr="00D42823">
        <w:rPr>
          <w:spacing w:val="-1"/>
        </w:rPr>
        <w:t>f</w:t>
      </w:r>
      <w:r w:rsidRPr="00D42823">
        <w:rPr>
          <w:spacing w:val="1"/>
        </w:rPr>
        <w:t>e</w:t>
      </w:r>
      <w:r w:rsidRPr="00970AD2">
        <w:t>time</w:t>
      </w:r>
      <w:r w:rsidRPr="00D42823">
        <w:rPr>
          <w:spacing w:val="17"/>
        </w:rPr>
        <w:t xml:space="preserve"> </w:t>
      </w:r>
      <w:r w:rsidRPr="00D42823">
        <w:rPr>
          <w:spacing w:val="-2"/>
        </w:rPr>
        <w:t>o</w:t>
      </w:r>
      <w:r w:rsidRPr="00970AD2">
        <w:t>f</w:t>
      </w:r>
      <w:r w:rsidRPr="00D42823">
        <w:rPr>
          <w:spacing w:val="6"/>
        </w:rPr>
        <w:t xml:space="preserve"> </w:t>
      </w:r>
      <w:r w:rsidRPr="00970AD2">
        <w:t>1</w:t>
      </w:r>
      <w:r w:rsidRPr="00D42823">
        <w:rPr>
          <w:spacing w:val="-2"/>
        </w:rPr>
        <w:t>5,</w:t>
      </w:r>
      <w:r w:rsidRPr="00970AD2">
        <w:t>000</w:t>
      </w:r>
      <w:r w:rsidRPr="00D42823">
        <w:rPr>
          <w:spacing w:val="16"/>
        </w:rPr>
        <w:t xml:space="preserve"> </w:t>
      </w:r>
      <w:r w:rsidRPr="00970AD2">
        <w:t>hou</w:t>
      </w:r>
      <w:r w:rsidRPr="00D42823">
        <w:rPr>
          <w:spacing w:val="-1"/>
        </w:rPr>
        <w:t>r</w:t>
      </w:r>
      <w:r w:rsidRPr="00D42823">
        <w:rPr>
          <w:spacing w:val="1"/>
        </w:rPr>
        <w:t>s</w:t>
      </w:r>
      <w:r w:rsidRPr="00970AD2">
        <w:t>;</w:t>
      </w:r>
      <w:r w:rsidRPr="00D42823">
        <w:rPr>
          <w:spacing w:val="9"/>
        </w:rPr>
        <w:t xml:space="preserve"> </w:t>
      </w:r>
    </w:p>
    <w:p w14:paraId="4777DA2C" w14:textId="77777777" w:rsidR="00831F19" w:rsidRPr="00970AD2" w:rsidRDefault="00F0426F" w:rsidP="00D613C8">
      <w:pPr>
        <w:pStyle w:val="Subdetailsthirdindent"/>
      </w:pPr>
      <w:r w:rsidRPr="00970AD2">
        <w:t>have</w:t>
      </w:r>
      <w:r w:rsidRPr="00D42823">
        <w:rPr>
          <w:spacing w:val="7"/>
        </w:rPr>
        <w:t xml:space="preserve"> </w:t>
      </w:r>
      <w:r w:rsidRPr="00970AD2">
        <w:t>a</w:t>
      </w:r>
      <w:r w:rsidRPr="00D42823">
        <w:rPr>
          <w:spacing w:val="3"/>
        </w:rPr>
        <w:t xml:space="preserve"> c</w:t>
      </w:r>
      <w:r w:rsidRPr="00970AD2">
        <w:t>olour</w:t>
      </w:r>
      <w:r w:rsidRPr="00D42823">
        <w:rPr>
          <w:spacing w:val="11"/>
        </w:rPr>
        <w:t xml:space="preserve"> </w:t>
      </w:r>
      <w:r w:rsidRPr="00970AD2">
        <w:t>t</w:t>
      </w:r>
      <w:r w:rsidRPr="00D42823">
        <w:rPr>
          <w:spacing w:val="1"/>
        </w:rPr>
        <w:t>e</w:t>
      </w:r>
      <w:r w:rsidRPr="00970AD2">
        <w:t>mp</w:t>
      </w:r>
      <w:r w:rsidRPr="00D42823">
        <w:rPr>
          <w:spacing w:val="3"/>
        </w:rPr>
        <w:t>e</w:t>
      </w:r>
      <w:r w:rsidRPr="00D42823">
        <w:rPr>
          <w:spacing w:val="-3"/>
        </w:rPr>
        <w:t>r</w:t>
      </w:r>
      <w:r w:rsidRPr="00D42823">
        <w:rPr>
          <w:spacing w:val="1"/>
        </w:rPr>
        <w:t>a</w:t>
      </w:r>
      <w:r w:rsidRPr="00970AD2">
        <w:t>tu</w:t>
      </w:r>
      <w:r w:rsidRPr="00D42823">
        <w:rPr>
          <w:spacing w:val="2"/>
        </w:rPr>
        <w:t>r</w:t>
      </w:r>
      <w:r w:rsidRPr="00970AD2">
        <w:t>e</w:t>
      </w:r>
      <w:r w:rsidRPr="00D42823">
        <w:rPr>
          <w:spacing w:val="20"/>
        </w:rPr>
        <w:t xml:space="preserve"> </w:t>
      </w:r>
      <w:r w:rsidRPr="00D42823">
        <w:rPr>
          <w:spacing w:val="2"/>
        </w:rPr>
        <w:t>t</w:t>
      </w:r>
      <w:r w:rsidRPr="00970AD2">
        <w:t>h</w:t>
      </w:r>
      <w:r w:rsidRPr="00D42823">
        <w:rPr>
          <w:spacing w:val="1"/>
        </w:rPr>
        <w:t>a</w:t>
      </w:r>
      <w:r w:rsidRPr="00970AD2">
        <w:t>t</w:t>
      </w:r>
      <w:r w:rsidRPr="00D42823">
        <w:rPr>
          <w:spacing w:val="9"/>
        </w:rPr>
        <w:t xml:space="preserve"> </w:t>
      </w:r>
      <w:r w:rsidRPr="00970AD2">
        <w:t>i</w:t>
      </w:r>
      <w:r w:rsidRPr="00D42823">
        <w:rPr>
          <w:spacing w:val="-1"/>
        </w:rPr>
        <w:t>s</w:t>
      </w:r>
      <w:r w:rsidRPr="00970AD2">
        <w:t>,</w:t>
      </w:r>
      <w:r w:rsidRPr="00D42823">
        <w:rPr>
          <w:spacing w:val="8"/>
        </w:rPr>
        <w:t xml:space="preserve"> </w:t>
      </w:r>
      <w:r w:rsidRPr="00970AD2">
        <w:t>or</w:t>
      </w:r>
      <w:r w:rsidRPr="00D42823">
        <w:rPr>
          <w:spacing w:val="4"/>
        </w:rPr>
        <w:t xml:space="preserve"> </w:t>
      </w:r>
      <w:r w:rsidRPr="00D42823">
        <w:rPr>
          <w:spacing w:val="2"/>
        </w:rPr>
        <w:t>i</w:t>
      </w:r>
      <w:r w:rsidRPr="00970AD2">
        <w:t>s</w:t>
      </w:r>
      <w:r w:rsidRPr="00D42823">
        <w:rPr>
          <w:spacing w:val="2"/>
        </w:rPr>
        <w:t xml:space="preserve"> </w:t>
      </w:r>
      <w:r w:rsidRPr="00D42823">
        <w:rPr>
          <w:spacing w:val="-2"/>
        </w:rPr>
        <w:t>c</w:t>
      </w:r>
      <w:r w:rsidRPr="00D42823">
        <w:rPr>
          <w:spacing w:val="3"/>
        </w:rPr>
        <w:t>a</w:t>
      </w:r>
      <w:r w:rsidRPr="00970AD2">
        <w:t>p</w:t>
      </w:r>
      <w:r w:rsidRPr="00D42823">
        <w:rPr>
          <w:spacing w:val="1"/>
        </w:rPr>
        <w:t>a</w:t>
      </w:r>
      <w:r w:rsidRPr="00970AD2">
        <w:t>b</w:t>
      </w:r>
      <w:r w:rsidRPr="00D42823">
        <w:rPr>
          <w:spacing w:val="-3"/>
        </w:rPr>
        <w:t>l</w:t>
      </w:r>
      <w:r w:rsidRPr="00970AD2">
        <w:t>e</w:t>
      </w:r>
      <w:r w:rsidRPr="00D42823">
        <w:rPr>
          <w:spacing w:val="16"/>
        </w:rPr>
        <w:t xml:space="preserve"> </w:t>
      </w:r>
      <w:r w:rsidRPr="00D42823">
        <w:rPr>
          <w:spacing w:val="-2"/>
        </w:rPr>
        <w:t>o</w:t>
      </w:r>
      <w:r w:rsidRPr="00970AD2">
        <w:t>f</w:t>
      </w:r>
      <w:r w:rsidRPr="00D42823">
        <w:rPr>
          <w:spacing w:val="8"/>
        </w:rPr>
        <w:t xml:space="preserve"> </w:t>
      </w:r>
      <w:r w:rsidRPr="00D42823">
        <w:rPr>
          <w:spacing w:val="-2"/>
        </w:rPr>
        <w:t>b</w:t>
      </w:r>
      <w:r w:rsidRPr="00D42823">
        <w:rPr>
          <w:spacing w:val="1"/>
        </w:rPr>
        <w:t>e</w:t>
      </w:r>
      <w:r w:rsidRPr="00970AD2">
        <w:t>ing</w:t>
      </w:r>
      <w:r w:rsidRPr="00D42823">
        <w:rPr>
          <w:spacing w:val="13"/>
        </w:rPr>
        <w:t xml:space="preserve"> </w:t>
      </w:r>
      <w:r w:rsidRPr="00D42823">
        <w:rPr>
          <w:spacing w:val="-4"/>
        </w:rPr>
        <w:t>s</w:t>
      </w:r>
      <w:r w:rsidRPr="00D42823">
        <w:rPr>
          <w:spacing w:val="3"/>
        </w:rPr>
        <w:t>e</w:t>
      </w:r>
      <w:r w:rsidRPr="00970AD2">
        <w:t>t</w:t>
      </w:r>
      <w:r w:rsidRPr="00D42823">
        <w:rPr>
          <w:spacing w:val="7"/>
        </w:rPr>
        <w:t xml:space="preserve"> </w:t>
      </w:r>
      <w:r w:rsidRPr="00D42823">
        <w:rPr>
          <w:spacing w:val="-2"/>
        </w:rPr>
        <w:t>a</w:t>
      </w:r>
      <w:r w:rsidRPr="00D42823">
        <w:rPr>
          <w:spacing w:val="-3"/>
        </w:rPr>
        <w:t>t</w:t>
      </w:r>
      <w:r w:rsidRPr="00970AD2">
        <w:t>,</w:t>
      </w:r>
      <w:r w:rsidRPr="00D42823">
        <w:rPr>
          <w:spacing w:val="8"/>
        </w:rPr>
        <w:t xml:space="preserve"> </w:t>
      </w:r>
      <w:r w:rsidRPr="00D42823">
        <w:rPr>
          <w:spacing w:val="1"/>
        </w:rPr>
        <w:t>wa</w:t>
      </w:r>
      <w:r w:rsidRPr="00D42823">
        <w:rPr>
          <w:spacing w:val="-1"/>
        </w:rPr>
        <w:t>r</w:t>
      </w:r>
      <w:r w:rsidRPr="00970AD2">
        <w:t>m</w:t>
      </w:r>
      <w:r w:rsidRPr="00D42823">
        <w:rPr>
          <w:spacing w:val="13"/>
        </w:rPr>
        <w:t xml:space="preserve"> </w:t>
      </w:r>
      <w:r w:rsidRPr="00D42823">
        <w:rPr>
          <w:spacing w:val="1"/>
          <w:w w:val="102"/>
        </w:rPr>
        <w:t>w</w:t>
      </w:r>
      <w:r w:rsidRPr="00D42823">
        <w:rPr>
          <w:w w:val="102"/>
        </w:rPr>
        <w:t>hi</w:t>
      </w:r>
      <w:r w:rsidRPr="00D42823">
        <w:rPr>
          <w:spacing w:val="-3"/>
          <w:w w:val="102"/>
        </w:rPr>
        <w:t>t</w:t>
      </w:r>
      <w:r w:rsidRPr="00D42823">
        <w:rPr>
          <w:w w:val="102"/>
        </w:rPr>
        <w:t xml:space="preserve">e </w:t>
      </w:r>
      <w:r w:rsidRPr="00D42823">
        <w:rPr>
          <w:spacing w:val="-1"/>
        </w:rPr>
        <w:t>(</w:t>
      </w:r>
      <w:r w:rsidRPr="00970AD2">
        <w:t>270</w:t>
      </w:r>
      <w:r w:rsidRPr="00D42823">
        <w:rPr>
          <w:spacing w:val="3"/>
        </w:rPr>
        <w:t>0</w:t>
      </w:r>
      <w:r w:rsidRPr="00970AD2">
        <w:t>K</w:t>
      </w:r>
      <w:r w:rsidRPr="00D42823">
        <w:rPr>
          <w:spacing w:val="14"/>
        </w:rPr>
        <w:t xml:space="preserve"> </w:t>
      </w:r>
      <w:r w:rsidRPr="00970AD2">
        <w:t>to</w:t>
      </w:r>
      <w:r w:rsidRPr="00D42823">
        <w:rPr>
          <w:spacing w:val="6"/>
        </w:rPr>
        <w:t xml:space="preserve"> </w:t>
      </w:r>
      <w:r w:rsidRPr="00970AD2">
        <w:t>3500</w:t>
      </w:r>
      <w:r w:rsidRPr="00D42823">
        <w:rPr>
          <w:spacing w:val="-2"/>
        </w:rPr>
        <w:t>K</w:t>
      </w:r>
      <w:r w:rsidRPr="00970AD2">
        <w:t>)</w:t>
      </w:r>
      <w:r w:rsidRPr="00D42823">
        <w:rPr>
          <w:spacing w:val="15"/>
        </w:rPr>
        <w:t xml:space="preserve"> </w:t>
      </w:r>
      <w:r w:rsidRPr="00970AD2">
        <w:t>or</w:t>
      </w:r>
      <w:r w:rsidRPr="00D42823">
        <w:rPr>
          <w:spacing w:val="8"/>
        </w:rPr>
        <w:t xml:space="preserve"> </w:t>
      </w:r>
      <w:r w:rsidRPr="00D42823">
        <w:rPr>
          <w:spacing w:val="1"/>
        </w:rPr>
        <w:t>c</w:t>
      </w:r>
      <w:r w:rsidRPr="00970AD2">
        <w:t>o</w:t>
      </w:r>
      <w:r w:rsidRPr="00D42823">
        <w:rPr>
          <w:spacing w:val="-2"/>
        </w:rPr>
        <w:t>o</w:t>
      </w:r>
      <w:r w:rsidRPr="00970AD2">
        <w:t>l</w:t>
      </w:r>
      <w:r w:rsidRPr="00D42823">
        <w:rPr>
          <w:spacing w:val="13"/>
        </w:rPr>
        <w:t xml:space="preserve"> </w:t>
      </w:r>
      <w:r w:rsidRPr="00D42823">
        <w:rPr>
          <w:spacing w:val="-2"/>
        </w:rPr>
        <w:t>w</w:t>
      </w:r>
      <w:r w:rsidRPr="00970AD2">
        <w:t>h</w:t>
      </w:r>
      <w:r w:rsidRPr="00D42823">
        <w:rPr>
          <w:spacing w:val="2"/>
        </w:rPr>
        <w:t>i</w:t>
      </w:r>
      <w:r w:rsidRPr="00D42823">
        <w:rPr>
          <w:spacing w:val="-3"/>
        </w:rPr>
        <w:t>t</w:t>
      </w:r>
      <w:r w:rsidRPr="00970AD2">
        <w:t>e</w:t>
      </w:r>
      <w:r w:rsidRPr="00D42823">
        <w:rPr>
          <w:spacing w:val="13"/>
        </w:rPr>
        <w:t xml:space="preserve"> </w:t>
      </w:r>
      <w:r w:rsidRPr="00D42823">
        <w:rPr>
          <w:spacing w:val="-1"/>
        </w:rPr>
        <w:t>(</w:t>
      </w:r>
      <w:r w:rsidRPr="00970AD2">
        <w:t>3500K</w:t>
      </w:r>
      <w:r w:rsidRPr="00D42823">
        <w:rPr>
          <w:spacing w:val="14"/>
        </w:rPr>
        <w:t xml:space="preserve"> </w:t>
      </w:r>
      <w:r w:rsidRPr="00970AD2">
        <w:t>to</w:t>
      </w:r>
      <w:r w:rsidRPr="00D42823">
        <w:rPr>
          <w:spacing w:val="6"/>
        </w:rPr>
        <w:t xml:space="preserve"> </w:t>
      </w:r>
      <w:r w:rsidRPr="00970AD2">
        <w:t>4000</w:t>
      </w:r>
      <w:r w:rsidRPr="00D42823">
        <w:rPr>
          <w:spacing w:val="1"/>
        </w:rPr>
        <w:t>K</w:t>
      </w:r>
      <w:r w:rsidRPr="00D42823">
        <w:rPr>
          <w:spacing w:val="-1"/>
        </w:rPr>
        <w:t>)</w:t>
      </w:r>
      <w:r w:rsidRPr="00970AD2">
        <w:t>;</w:t>
      </w:r>
      <w:r w:rsidRPr="00D42823">
        <w:rPr>
          <w:spacing w:val="15"/>
        </w:rPr>
        <w:t xml:space="preserve"> </w:t>
      </w:r>
      <w:r w:rsidRPr="00D42823">
        <w:rPr>
          <w:spacing w:val="3"/>
          <w:w w:val="102"/>
        </w:rPr>
        <w:t>a</w:t>
      </w:r>
      <w:r w:rsidRPr="00D42823">
        <w:rPr>
          <w:w w:val="102"/>
        </w:rPr>
        <w:t>nd</w:t>
      </w:r>
    </w:p>
    <w:p w14:paraId="5BF9B488" w14:textId="77777777" w:rsidR="00831F19" w:rsidRPr="00D42823" w:rsidRDefault="00F0426F" w:rsidP="00D613C8">
      <w:pPr>
        <w:pStyle w:val="Subdetailsthirdindent"/>
        <w:rPr>
          <w:w w:val="102"/>
        </w:rPr>
      </w:pPr>
      <w:r w:rsidRPr="00970AD2">
        <w:t>in</w:t>
      </w:r>
      <w:r w:rsidRPr="00D42823">
        <w:rPr>
          <w:spacing w:val="8"/>
        </w:rPr>
        <w:t xml:space="preserve"> </w:t>
      </w:r>
      <w:r w:rsidRPr="00970AD2">
        <w:t>t</w:t>
      </w:r>
      <w:r w:rsidRPr="00D42823">
        <w:rPr>
          <w:spacing w:val="-2"/>
        </w:rPr>
        <w:t>h</w:t>
      </w:r>
      <w:r w:rsidRPr="00970AD2">
        <w:t>e</w:t>
      </w:r>
      <w:r w:rsidRPr="00D42823">
        <w:rPr>
          <w:spacing w:val="6"/>
        </w:rPr>
        <w:t xml:space="preserve"> </w:t>
      </w:r>
      <w:r w:rsidRPr="00D42823">
        <w:rPr>
          <w:spacing w:val="9"/>
        </w:rPr>
        <w:t>case</w:t>
      </w:r>
      <w:r w:rsidRPr="00D42823">
        <w:rPr>
          <w:spacing w:val="11"/>
        </w:rPr>
        <w:t xml:space="preserve"> </w:t>
      </w:r>
      <w:r w:rsidRPr="00D42823">
        <w:rPr>
          <w:spacing w:val="-2"/>
        </w:rPr>
        <w:t>o</w:t>
      </w:r>
      <w:r w:rsidRPr="00970AD2">
        <w:t>f</w:t>
      </w:r>
      <w:r w:rsidRPr="00D42823">
        <w:rPr>
          <w:spacing w:val="8"/>
        </w:rPr>
        <w:t xml:space="preserve"> </w:t>
      </w:r>
      <w:r w:rsidRPr="00970AD2">
        <w:t>a</w:t>
      </w:r>
      <w:r w:rsidRPr="00D42823">
        <w:rPr>
          <w:spacing w:val="3"/>
        </w:rPr>
        <w:t xml:space="preserve"> </w:t>
      </w:r>
      <w:r w:rsidRPr="00970AD2">
        <w:t>p</w:t>
      </w:r>
      <w:r w:rsidRPr="00D42823">
        <w:rPr>
          <w:spacing w:val="-1"/>
        </w:rPr>
        <w:t>r</w:t>
      </w:r>
      <w:r w:rsidRPr="00970AD2">
        <w:t>odu</w:t>
      </w:r>
      <w:r w:rsidRPr="00D42823">
        <w:rPr>
          <w:spacing w:val="1"/>
        </w:rPr>
        <w:t>c</w:t>
      </w:r>
      <w:r w:rsidRPr="00970AD2">
        <w:t>t</w:t>
      </w:r>
      <w:r w:rsidRPr="00D42823">
        <w:rPr>
          <w:spacing w:val="15"/>
        </w:rPr>
        <w:t xml:space="preserve"> </w:t>
      </w:r>
      <w:r w:rsidRPr="00D42823">
        <w:rPr>
          <w:spacing w:val="-1"/>
        </w:rPr>
        <w:t>installed</w:t>
      </w:r>
      <w:r w:rsidRPr="00D42823">
        <w:rPr>
          <w:spacing w:val="18"/>
        </w:rPr>
        <w:t xml:space="preserve"> </w:t>
      </w:r>
      <w:r w:rsidRPr="00970AD2">
        <w:t>in</w:t>
      </w:r>
      <w:r w:rsidRPr="00D42823">
        <w:rPr>
          <w:spacing w:val="6"/>
        </w:rPr>
        <w:t xml:space="preserve"> </w:t>
      </w:r>
      <w:r w:rsidRPr="00D42823">
        <w:rPr>
          <w:spacing w:val="-1"/>
        </w:rPr>
        <w:t>r</w:t>
      </w:r>
      <w:r w:rsidRPr="00D42823">
        <w:rPr>
          <w:spacing w:val="-2"/>
        </w:rPr>
        <w:t>e</w:t>
      </w:r>
      <w:r w:rsidRPr="00D42823">
        <w:rPr>
          <w:spacing w:val="1"/>
        </w:rPr>
        <w:t>s</w:t>
      </w:r>
      <w:r w:rsidRPr="00970AD2">
        <w:t>id</w:t>
      </w:r>
      <w:r w:rsidRPr="00D42823">
        <w:rPr>
          <w:spacing w:val="1"/>
        </w:rPr>
        <w:t>e</w:t>
      </w:r>
      <w:r w:rsidRPr="00D42823">
        <w:rPr>
          <w:spacing w:val="-2"/>
        </w:rPr>
        <w:t>n</w:t>
      </w:r>
      <w:r w:rsidRPr="00D42823">
        <w:rPr>
          <w:spacing w:val="2"/>
        </w:rPr>
        <w:t>t</w:t>
      </w:r>
      <w:r w:rsidRPr="00970AD2">
        <w:t>i</w:t>
      </w:r>
      <w:r w:rsidRPr="00D42823">
        <w:rPr>
          <w:spacing w:val="-2"/>
        </w:rPr>
        <w:t>a</w:t>
      </w:r>
      <w:r w:rsidRPr="00970AD2">
        <w:t>l</w:t>
      </w:r>
      <w:r w:rsidRPr="00D42823">
        <w:rPr>
          <w:spacing w:val="20"/>
        </w:rPr>
        <w:t xml:space="preserve"> </w:t>
      </w:r>
      <w:r w:rsidRPr="00970AD2">
        <w:t>p</w:t>
      </w:r>
      <w:r w:rsidRPr="00D42823">
        <w:rPr>
          <w:spacing w:val="-1"/>
        </w:rPr>
        <w:t>r</w:t>
      </w:r>
      <w:r w:rsidRPr="00D42823">
        <w:rPr>
          <w:spacing w:val="1"/>
        </w:rPr>
        <w:t>e</w:t>
      </w:r>
      <w:r w:rsidRPr="00970AD2">
        <w:t>mi</w:t>
      </w:r>
      <w:r w:rsidRPr="00D42823">
        <w:rPr>
          <w:spacing w:val="1"/>
        </w:rPr>
        <w:t>se</w:t>
      </w:r>
      <w:r w:rsidRPr="00D42823">
        <w:rPr>
          <w:spacing w:val="-1"/>
        </w:rPr>
        <w:t>s</w:t>
      </w:r>
      <w:r w:rsidRPr="00970AD2">
        <w:t>,</w:t>
      </w:r>
      <w:r w:rsidRPr="00D42823">
        <w:rPr>
          <w:spacing w:val="21"/>
        </w:rPr>
        <w:t xml:space="preserve"> </w:t>
      </w:r>
      <w:r w:rsidRPr="00D42823">
        <w:rPr>
          <w:spacing w:val="-2"/>
        </w:rPr>
        <w:t>h</w:t>
      </w:r>
      <w:r w:rsidRPr="00D42823">
        <w:rPr>
          <w:spacing w:val="1"/>
        </w:rPr>
        <w:t>a</w:t>
      </w:r>
      <w:r w:rsidRPr="00970AD2">
        <w:t>s</w:t>
      </w:r>
      <w:r w:rsidRPr="00D42823">
        <w:rPr>
          <w:spacing w:val="7"/>
        </w:rPr>
        <w:t xml:space="preserve"> </w:t>
      </w:r>
      <w:r w:rsidRPr="00970AD2">
        <w:t>a</w:t>
      </w:r>
      <w:r w:rsidRPr="00D42823">
        <w:rPr>
          <w:spacing w:val="5"/>
        </w:rPr>
        <w:t xml:space="preserve"> </w:t>
      </w:r>
      <w:r w:rsidRPr="00D42823">
        <w:rPr>
          <w:spacing w:val="-2"/>
        </w:rPr>
        <w:t>b</w:t>
      </w:r>
      <w:r w:rsidRPr="00D42823">
        <w:rPr>
          <w:spacing w:val="1"/>
        </w:rPr>
        <w:t>ea</w:t>
      </w:r>
      <w:r w:rsidRPr="00970AD2">
        <w:t>m</w:t>
      </w:r>
      <w:r w:rsidRPr="00D42823">
        <w:rPr>
          <w:spacing w:val="10"/>
        </w:rPr>
        <w:t xml:space="preserve"> </w:t>
      </w:r>
      <w:r w:rsidRPr="00D42823">
        <w:rPr>
          <w:spacing w:val="1"/>
        </w:rPr>
        <w:t>a</w:t>
      </w:r>
      <w:r w:rsidRPr="00970AD2">
        <w:t>n</w:t>
      </w:r>
      <w:r w:rsidRPr="00D42823">
        <w:rPr>
          <w:spacing w:val="-2"/>
        </w:rPr>
        <w:t>g</w:t>
      </w:r>
      <w:r w:rsidRPr="00970AD2">
        <w:t>le</w:t>
      </w:r>
      <w:r w:rsidRPr="00D42823">
        <w:rPr>
          <w:spacing w:val="13"/>
        </w:rPr>
        <w:t xml:space="preserve"> </w:t>
      </w:r>
      <w:r w:rsidRPr="00D42823">
        <w:rPr>
          <w:w w:val="102"/>
        </w:rPr>
        <w:t xml:space="preserve">of </w:t>
      </w:r>
      <w:r w:rsidRPr="00970AD2">
        <w:t>not</w:t>
      </w:r>
      <w:r w:rsidRPr="00D42823">
        <w:rPr>
          <w:spacing w:val="11"/>
        </w:rPr>
        <w:t xml:space="preserve"> </w:t>
      </w:r>
      <w:r w:rsidRPr="00D42823">
        <w:rPr>
          <w:spacing w:val="-3"/>
        </w:rPr>
        <w:t>l</w:t>
      </w:r>
      <w:r w:rsidRPr="00D42823">
        <w:rPr>
          <w:spacing w:val="1"/>
        </w:rPr>
        <w:t>es</w:t>
      </w:r>
      <w:r w:rsidRPr="00970AD2">
        <w:t>s</w:t>
      </w:r>
      <w:r w:rsidRPr="00D42823">
        <w:rPr>
          <w:spacing w:val="8"/>
        </w:rPr>
        <w:t xml:space="preserve"> </w:t>
      </w:r>
      <w:r w:rsidRPr="00D42823">
        <w:rPr>
          <w:spacing w:val="2"/>
        </w:rPr>
        <w:t>t</w:t>
      </w:r>
      <w:r w:rsidRPr="00D42823">
        <w:rPr>
          <w:spacing w:val="-2"/>
        </w:rPr>
        <w:t>h</w:t>
      </w:r>
      <w:r w:rsidRPr="00D42823">
        <w:rPr>
          <w:spacing w:val="1"/>
        </w:rPr>
        <w:t>a</w:t>
      </w:r>
      <w:r w:rsidRPr="00970AD2">
        <w:t>n</w:t>
      </w:r>
      <w:r w:rsidRPr="00D42823">
        <w:rPr>
          <w:spacing w:val="8"/>
        </w:rPr>
        <w:t xml:space="preserve"> </w:t>
      </w:r>
      <w:r w:rsidRPr="00970AD2">
        <w:t>36</w:t>
      </w:r>
      <w:r w:rsidRPr="00D42823">
        <w:rPr>
          <w:spacing w:val="7"/>
        </w:rPr>
        <w:t xml:space="preserve"> </w:t>
      </w:r>
      <w:r w:rsidRPr="00D42823">
        <w:rPr>
          <w:spacing w:val="-2"/>
        </w:rPr>
        <w:t>d</w:t>
      </w:r>
      <w:r w:rsidRPr="00D42823">
        <w:rPr>
          <w:spacing w:val="1"/>
        </w:rPr>
        <w:t>e</w:t>
      </w:r>
      <w:r w:rsidRPr="00D42823">
        <w:rPr>
          <w:spacing w:val="-2"/>
        </w:rPr>
        <w:t>g</w:t>
      </w:r>
      <w:r w:rsidRPr="00D42823">
        <w:rPr>
          <w:spacing w:val="-1"/>
        </w:rPr>
        <w:t>r</w:t>
      </w:r>
      <w:r w:rsidRPr="00D42823">
        <w:rPr>
          <w:spacing w:val="3"/>
        </w:rPr>
        <w:t>e</w:t>
      </w:r>
      <w:r w:rsidRPr="00D42823">
        <w:rPr>
          <w:spacing w:val="1"/>
        </w:rPr>
        <w:t>e</w:t>
      </w:r>
      <w:r w:rsidRPr="00970AD2">
        <w:t>s</w:t>
      </w:r>
      <w:r w:rsidRPr="00D42823">
        <w:rPr>
          <w:spacing w:val="12"/>
        </w:rPr>
        <w:t xml:space="preserve"> </w:t>
      </w:r>
      <w:r w:rsidRPr="00D42823">
        <w:rPr>
          <w:spacing w:val="1"/>
        </w:rPr>
        <w:t>w</w:t>
      </w:r>
      <w:r w:rsidRPr="00970AD2">
        <w:t>h</w:t>
      </w:r>
      <w:r w:rsidRPr="00D42823">
        <w:rPr>
          <w:spacing w:val="1"/>
        </w:rPr>
        <w:t>e</w:t>
      </w:r>
      <w:r w:rsidRPr="00970AD2">
        <w:t>n</w:t>
      </w:r>
      <w:r w:rsidRPr="00D42823">
        <w:rPr>
          <w:spacing w:val="15"/>
        </w:rPr>
        <w:t xml:space="preserve"> </w:t>
      </w:r>
      <w:r w:rsidRPr="00D42823">
        <w:rPr>
          <w:spacing w:val="-2"/>
        </w:rPr>
        <w:t>d</w:t>
      </w:r>
      <w:r w:rsidRPr="00D42823">
        <w:rPr>
          <w:spacing w:val="1"/>
        </w:rPr>
        <w:t>e</w:t>
      </w:r>
      <w:r w:rsidRPr="00D42823">
        <w:rPr>
          <w:spacing w:val="-3"/>
        </w:rPr>
        <w:t>t</w:t>
      </w:r>
      <w:r w:rsidRPr="00D42823">
        <w:rPr>
          <w:spacing w:val="3"/>
        </w:rPr>
        <w:t>e</w:t>
      </w:r>
      <w:r w:rsidRPr="00D42823">
        <w:rPr>
          <w:spacing w:val="-1"/>
        </w:rPr>
        <w:t>r</w:t>
      </w:r>
      <w:r w:rsidRPr="00970AD2">
        <w:t>mi</w:t>
      </w:r>
      <w:r w:rsidRPr="00D42823">
        <w:rPr>
          <w:spacing w:val="-2"/>
        </w:rPr>
        <w:t>n</w:t>
      </w:r>
      <w:r w:rsidRPr="00D42823">
        <w:rPr>
          <w:spacing w:val="3"/>
        </w:rPr>
        <w:t>e</w:t>
      </w:r>
      <w:r w:rsidRPr="00970AD2">
        <w:t>d</w:t>
      </w:r>
      <w:r w:rsidRPr="00D42823">
        <w:rPr>
          <w:spacing w:val="20"/>
        </w:rPr>
        <w:t xml:space="preserve"> </w:t>
      </w:r>
      <w:r w:rsidRPr="00D42823">
        <w:rPr>
          <w:spacing w:val="2"/>
        </w:rPr>
        <w:t>i</w:t>
      </w:r>
      <w:r w:rsidRPr="00970AD2">
        <w:t>n</w:t>
      </w:r>
      <w:r w:rsidRPr="00D42823">
        <w:rPr>
          <w:spacing w:val="3"/>
        </w:rPr>
        <w:t xml:space="preserve"> </w:t>
      </w:r>
      <w:r w:rsidRPr="00D42823">
        <w:rPr>
          <w:spacing w:val="-2"/>
        </w:rPr>
        <w:t>a</w:t>
      </w:r>
      <w:r w:rsidRPr="00D42823">
        <w:rPr>
          <w:spacing w:val="1"/>
        </w:rPr>
        <w:t>cc</w:t>
      </w:r>
      <w:r w:rsidRPr="00D42823">
        <w:rPr>
          <w:spacing w:val="-2"/>
        </w:rPr>
        <w:t>o</w:t>
      </w:r>
      <w:r w:rsidRPr="00D42823">
        <w:rPr>
          <w:spacing w:val="-1"/>
        </w:rPr>
        <w:t>r</w:t>
      </w:r>
      <w:r w:rsidRPr="00970AD2">
        <w:t>d</w:t>
      </w:r>
      <w:r w:rsidRPr="00D42823">
        <w:rPr>
          <w:spacing w:val="1"/>
        </w:rPr>
        <w:t>a</w:t>
      </w:r>
      <w:r w:rsidRPr="00970AD2">
        <w:t>n</w:t>
      </w:r>
      <w:r w:rsidRPr="00D42823">
        <w:rPr>
          <w:spacing w:val="1"/>
        </w:rPr>
        <w:t>c</w:t>
      </w:r>
      <w:r w:rsidRPr="00970AD2">
        <w:t>e</w:t>
      </w:r>
      <w:r w:rsidRPr="00D42823">
        <w:rPr>
          <w:spacing w:val="23"/>
        </w:rPr>
        <w:t xml:space="preserve"> </w:t>
      </w:r>
      <w:r w:rsidRPr="00D42823">
        <w:rPr>
          <w:spacing w:val="-2"/>
        </w:rPr>
        <w:t>w</w:t>
      </w:r>
      <w:r w:rsidRPr="00D42823">
        <w:rPr>
          <w:spacing w:val="2"/>
        </w:rPr>
        <w:t>i</w:t>
      </w:r>
      <w:r w:rsidRPr="00970AD2">
        <w:t>th</w:t>
      </w:r>
      <w:r w:rsidRPr="00D42823">
        <w:rPr>
          <w:spacing w:val="8"/>
        </w:rPr>
        <w:t xml:space="preserve"> </w:t>
      </w:r>
      <w:r w:rsidRPr="00D42823">
        <w:rPr>
          <w:spacing w:val="-1"/>
        </w:rPr>
        <w:t>I</w:t>
      </w:r>
      <w:r w:rsidRPr="00D42823">
        <w:rPr>
          <w:spacing w:val="2"/>
        </w:rPr>
        <w:t>E</w:t>
      </w:r>
      <w:r w:rsidRPr="00D42823">
        <w:rPr>
          <w:spacing w:val="1"/>
        </w:rPr>
        <w:t>C</w:t>
      </w:r>
      <w:r w:rsidRPr="00970AD2">
        <w:t>/</w:t>
      </w:r>
      <w:r w:rsidRPr="00D42823">
        <w:rPr>
          <w:spacing w:val="-1"/>
        </w:rPr>
        <w:t>T</w:t>
      </w:r>
      <w:r w:rsidRPr="00970AD2">
        <w:t>R</w:t>
      </w:r>
      <w:r w:rsidRPr="00D42823">
        <w:rPr>
          <w:spacing w:val="18"/>
        </w:rPr>
        <w:t xml:space="preserve"> </w:t>
      </w:r>
      <w:r w:rsidRPr="00D42823">
        <w:rPr>
          <w:w w:val="102"/>
        </w:rPr>
        <w:t>61</w:t>
      </w:r>
      <w:r w:rsidRPr="00D42823">
        <w:rPr>
          <w:spacing w:val="-2"/>
          <w:w w:val="102"/>
        </w:rPr>
        <w:t>3</w:t>
      </w:r>
      <w:r w:rsidRPr="00D42823">
        <w:rPr>
          <w:w w:val="102"/>
        </w:rPr>
        <w:t xml:space="preserve">41 </w:t>
      </w:r>
      <w:r w:rsidRPr="00D42823">
        <w:rPr>
          <w:spacing w:val="-1"/>
        </w:rPr>
        <w:t>E</w:t>
      </w:r>
      <w:r w:rsidRPr="00970AD2">
        <w:t>d</w:t>
      </w:r>
      <w:r w:rsidRPr="00D42823">
        <w:rPr>
          <w:spacing w:val="2"/>
        </w:rPr>
        <w:t>i</w:t>
      </w:r>
      <w:r w:rsidRPr="00970AD2">
        <w:t>tion</w:t>
      </w:r>
      <w:r w:rsidRPr="00D42823">
        <w:rPr>
          <w:spacing w:val="16"/>
        </w:rPr>
        <w:t xml:space="preserve"> </w:t>
      </w:r>
      <w:r w:rsidRPr="00D42823">
        <w:rPr>
          <w:spacing w:val="-2"/>
        </w:rPr>
        <w:t>2</w:t>
      </w:r>
      <w:r w:rsidRPr="00D42823">
        <w:rPr>
          <w:spacing w:val="1"/>
        </w:rPr>
        <w:t>.</w:t>
      </w:r>
      <w:r w:rsidRPr="00970AD2">
        <w:t>0;</w:t>
      </w:r>
      <w:r w:rsidRPr="00D42823">
        <w:rPr>
          <w:spacing w:val="9"/>
        </w:rPr>
        <w:t xml:space="preserve"> </w:t>
      </w:r>
      <w:r w:rsidRPr="00D42823">
        <w:rPr>
          <w:spacing w:val="1"/>
          <w:w w:val="102"/>
        </w:rPr>
        <w:t>a</w:t>
      </w:r>
      <w:r w:rsidRPr="00D42823">
        <w:rPr>
          <w:w w:val="102"/>
        </w:rPr>
        <w:t xml:space="preserve">nd </w:t>
      </w:r>
    </w:p>
    <w:p w14:paraId="158FAA7D" w14:textId="77777777" w:rsidR="00645EC9" w:rsidRPr="00970AD2" w:rsidRDefault="00F0426F" w:rsidP="00D613C8">
      <w:pPr>
        <w:pStyle w:val="Subdetailssecondindent"/>
      </w:pPr>
      <w:r w:rsidRPr="00970AD2">
        <w:t xml:space="preserve">be listed in the </w:t>
      </w:r>
      <w:r w:rsidRPr="00970AD2">
        <w:rPr>
          <w:spacing w:val="-2"/>
        </w:rPr>
        <w:t>register</w:t>
      </w:r>
      <w:r w:rsidRPr="00970AD2">
        <w:t xml:space="preserve"> of products for the activity.</w:t>
      </w:r>
    </w:p>
    <w:p w14:paraId="438C3229" w14:textId="77777777" w:rsidR="00F0426F" w:rsidRPr="00970AD2" w:rsidRDefault="00F0426F" w:rsidP="00D42823">
      <w:pPr>
        <w:pStyle w:val="Sectionheading3"/>
      </w:pPr>
      <w:r w:rsidRPr="00970AD2">
        <w:lastRenderedPageBreak/>
        <w:t>Time the activity is taken to be completed</w:t>
      </w:r>
    </w:p>
    <w:p w14:paraId="746D23EF" w14:textId="77777777" w:rsidR="00282BCF" w:rsidRPr="00D42823" w:rsidRDefault="00F0426F" w:rsidP="00D42823">
      <w:pPr>
        <w:pStyle w:val="BodytextEEIS"/>
      </w:pPr>
      <w:r w:rsidRPr="00970AD2">
        <w:t>The activity is taken to be completed on the day all applicable prescribed activity requirements are completed, including but not limited to the disposal of any waste materials and the lodgement of all statutory certifications for any electrical work.</w:t>
      </w:r>
    </w:p>
    <w:p w14:paraId="1A088E40" w14:textId="5643E60D" w:rsidR="00F0426F" w:rsidRPr="00970AD2" w:rsidRDefault="00F0426F" w:rsidP="00D42823">
      <w:pPr>
        <w:pStyle w:val="Sectionheading3"/>
      </w:pPr>
      <w:r w:rsidRPr="00970AD2">
        <w:t xml:space="preserve">Calculation of </w:t>
      </w:r>
      <w:r w:rsidR="00D25CD5">
        <w:t>energy savings</w:t>
      </w:r>
      <w:r w:rsidRPr="00970AD2">
        <w:t xml:space="preserve"> factor</w:t>
      </w:r>
    </w:p>
    <w:p w14:paraId="5545DBA1" w14:textId="086D7889" w:rsidR="00F0426F" w:rsidRPr="00970AD2" w:rsidRDefault="00F0426F" w:rsidP="00002E97">
      <w:pPr>
        <w:pStyle w:val="BodytextEEIS"/>
      </w:pPr>
      <w:r w:rsidRPr="00970AD2">
        <w:t xml:space="preserve">The total </w:t>
      </w:r>
      <w:r w:rsidR="00D25CD5">
        <w:t>energy savings</w:t>
      </w:r>
      <w:r w:rsidRPr="00970AD2">
        <w:t xml:space="preserve"> factor in </w:t>
      </w:r>
      <w:r w:rsidR="00880CB1">
        <w:t>Megawatt-hours</w:t>
      </w:r>
      <w:r w:rsidR="00D25CD5">
        <w:t xml:space="preserve"> (MWh) </w:t>
      </w:r>
      <w:r w:rsidRPr="00970AD2">
        <w:t xml:space="preserve"> saved in a premises is the sum of all </w:t>
      </w:r>
      <w:r w:rsidR="00D25CD5">
        <w:t>energy savings</w:t>
      </w:r>
      <w:r w:rsidRPr="00970AD2">
        <w:t xml:space="preserve"> factors for each activity item undertaken in the premises, determined by using the equation prescribed in this section.</w:t>
      </w:r>
    </w:p>
    <w:p w14:paraId="74079A09" w14:textId="6AB5D172" w:rsidR="00F0426F" w:rsidRPr="00D42823" w:rsidRDefault="00F0426F" w:rsidP="009052E4">
      <w:pPr>
        <w:pStyle w:val="Subdetailsfirstindent"/>
        <w:numPr>
          <w:ilvl w:val="0"/>
          <w:numId w:val="0"/>
        </w:numPr>
        <w:ind w:left="567"/>
        <w:rPr>
          <w:szCs w:val="18"/>
        </w:rPr>
      </w:pPr>
      <w:r w:rsidRPr="00970AD2">
        <w:t xml:space="preserve">For each </w:t>
      </w:r>
      <w:r w:rsidR="000C3A88">
        <w:t>A</w:t>
      </w:r>
      <w:r w:rsidRPr="00970AD2">
        <w:t>ctivity</w:t>
      </w:r>
      <w:r w:rsidR="000C3A88">
        <w:t xml:space="preserve"> </w:t>
      </w:r>
      <w:r w:rsidR="007357F2" w:rsidRPr="00970AD2">
        <w:t>4.</w:t>
      </w:r>
      <w:r w:rsidRPr="00970AD2">
        <w:t xml:space="preserve">1(a) to </w:t>
      </w:r>
      <w:r w:rsidR="007357F2" w:rsidRPr="00970AD2">
        <w:t>4.</w:t>
      </w:r>
      <w:r w:rsidRPr="00970AD2">
        <w:t xml:space="preserve">1(e) the </w:t>
      </w:r>
      <w:r w:rsidR="00D25CD5">
        <w:t>energy savings</w:t>
      </w:r>
      <w:r w:rsidRPr="00970AD2">
        <w:t xml:space="preserve"> factor is calculated as</w:t>
      </w:r>
      <w:r w:rsidR="00282BCF" w:rsidRPr="00970AD2">
        <w:t>—</w:t>
      </w:r>
      <w:r w:rsidRPr="00970AD2">
        <w:t xml:space="preserve"> </w:t>
      </w:r>
    </w:p>
    <w:p w14:paraId="62AD3059" w14:textId="790E8492" w:rsidR="000C27E5" w:rsidRDefault="00D25CD5" w:rsidP="000C27E5">
      <w:pPr>
        <w:pStyle w:val="Formula"/>
      </w:pPr>
      <w:r>
        <w:t>Energy savings</w:t>
      </w:r>
      <w:r w:rsidR="000C27E5">
        <w:t xml:space="preserve"> factor (</w:t>
      </w:r>
      <w:r>
        <w:t>MWh</w:t>
      </w:r>
      <w:r w:rsidR="000C27E5">
        <w:t xml:space="preserve">) = </w:t>
      </w:r>
      <w:r>
        <w:t>ESF</w:t>
      </w:r>
      <w:r w:rsidR="000C27E5">
        <w:t xml:space="preserve"> x N x PF</w:t>
      </w:r>
    </w:p>
    <w:p w14:paraId="2924A185" w14:textId="77777777" w:rsidR="00F0426F" w:rsidRPr="00D42823" w:rsidRDefault="00F0426F" w:rsidP="00D42823">
      <w:pPr>
        <w:pStyle w:val="BodytextEEIS"/>
      </w:pPr>
      <w:r w:rsidRPr="00D42823">
        <w:t>Where</w:t>
      </w:r>
      <w:r w:rsidR="00D0711D" w:rsidRPr="00D42823">
        <w:t>—</w:t>
      </w:r>
    </w:p>
    <w:p w14:paraId="7D554753" w14:textId="77777777" w:rsidR="00831F19" w:rsidRPr="00970AD2" w:rsidRDefault="00F0426F" w:rsidP="00D633D3">
      <w:pPr>
        <w:pStyle w:val="Subdetailsfirstindent"/>
        <w:numPr>
          <w:ilvl w:val="0"/>
          <w:numId w:val="119"/>
        </w:numPr>
      </w:pPr>
      <w:r w:rsidRPr="00002E97">
        <w:rPr>
          <w:i/>
          <w:iCs/>
        </w:rPr>
        <w:t>PF</w:t>
      </w:r>
      <w:r w:rsidRPr="00970AD2">
        <w:t xml:space="preserve"> is the power factor of the product determined in accordance with AS 4847 such that—</w:t>
      </w:r>
    </w:p>
    <w:p w14:paraId="4B9E3D74" w14:textId="77777777" w:rsidR="00831F19" w:rsidRPr="00970AD2" w:rsidRDefault="00F0426F" w:rsidP="00D633D3">
      <w:pPr>
        <w:pStyle w:val="Subdetailssecondindent"/>
        <w:numPr>
          <w:ilvl w:val="0"/>
          <w:numId w:val="120"/>
        </w:numPr>
      </w:pPr>
      <w:r w:rsidRPr="00970AD2">
        <w:t>if the power factor of the product is less than 0.9, PF has a prescribed value of 1.00; or</w:t>
      </w:r>
    </w:p>
    <w:p w14:paraId="10A86030" w14:textId="77777777" w:rsidR="00831F19" w:rsidRPr="00970AD2" w:rsidRDefault="00F0426F" w:rsidP="00D633D3">
      <w:pPr>
        <w:pStyle w:val="Subdetailssecondindent"/>
        <w:numPr>
          <w:ilvl w:val="0"/>
          <w:numId w:val="120"/>
        </w:numPr>
      </w:pPr>
      <w:r w:rsidRPr="00970AD2">
        <w:t xml:space="preserve">if the power factor of the product </w:t>
      </w:r>
      <w:r w:rsidR="00D613C8">
        <w:t xml:space="preserve">is </w:t>
      </w:r>
      <w:r w:rsidRPr="00970AD2">
        <w:t>0.9 or more, PF has a prescribed value of 1.05; and</w:t>
      </w:r>
    </w:p>
    <w:p w14:paraId="267ECB22" w14:textId="6412BC7E" w:rsidR="00831F19" w:rsidRPr="00970AD2" w:rsidRDefault="00D613C8" w:rsidP="00D42823">
      <w:pPr>
        <w:pStyle w:val="Subdetailsfirstindent"/>
      </w:pPr>
      <w:r>
        <w:t>f</w:t>
      </w:r>
      <w:r w:rsidR="00F0426F" w:rsidRPr="00970AD2">
        <w:t xml:space="preserve">or </w:t>
      </w:r>
      <w:r>
        <w:t>A</w:t>
      </w:r>
      <w:r w:rsidR="00F0426F" w:rsidRPr="00970AD2">
        <w:t xml:space="preserve">ctivity </w:t>
      </w:r>
      <w:r w:rsidR="007357F2" w:rsidRPr="00970AD2">
        <w:t>4.</w:t>
      </w:r>
      <w:r w:rsidR="00F0426F" w:rsidRPr="00970AD2">
        <w:t xml:space="preserve">1(a), </w:t>
      </w:r>
      <w:r w:rsidR="00D25CD5">
        <w:rPr>
          <w:i/>
          <w:iCs/>
        </w:rPr>
        <w:t>ESF</w:t>
      </w:r>
      <w:r w:rsidR="00F0426F" w:rsidRPr="00970AD2">
        <w:t xml:space="preserve"> is the prescribed activity </w:t>
      </w:r>
      <w:r w:rsidR="00D25CD5">
        <w:t>energy savings</w:t>
      </w:r>
      <w:r w:rsidR="00F0426F" w:rsidRPr="00970AD2">
        <w:t xml:space="preserve"> value in </w:t>
      </w:r>
      <w:r>
        <w:t>t</w:t>
      </w:r>
      <w:r w:rsidR="00E1796B" w:rsidRPr="00970AD2">
        <w:t>able</w:t>
      </w:r>
      <w:r w:rsidR="00F0426F" w:rsidRPr="00970AD2">
        <w:t xml:space="preserve"> </w:t>
      </w:r>
      <w:r>
        <w:t>28</w:t>
      </w:r>
      <w:r w:rsidR="00F0426F" w:rsidRPr="00970AD2">
        <w:t xml:space="preserve"> for the relevant manufacturer</w:t>
      </w:r>
      <w:r>
        <w:t>’</w:t>
      </w:r>
      <w:r w:rsidR="00F0426F" w:rsidRPr="00970AD2">
        <w:t xml:space="preserve">s rated lifetime and efficiency level of the low energy general lighting service lamp or lamps installed determined by the lighting source efficacy level in accordance with section </w:t>
      </w:r>
      <w:r>
        <w:t>4.1.</w:t>
      </w:r>
      <w:r w:rsidR="00F0426F" w:rsidRPr="00970AD2">
        <w:t>3(</w:t>
      </w:r>
      <w:r>
        <w:t>a)</w:t>
      </w:r>
      <w:r w:rsidR="00F0426F" w:rsidRPr="00970AD2">
        <w:t xml:space="preserve">; </w:t>
      </w:r>
    </w:p>
    <w:p w14:paraId="6943ABF2" w14:textId="59F420EB" w:rsidR="00831F19" w:rsidRPr="00970AD2" w:rsidRDefault="00A9320D" w:rsidP="00D42823">
      <w:pPr>
        <w:pStyle w:val="Subdetailsfirstindent"/>
      </w:pPr>
      <w:r>
        <w:t>f</w:t>
      </w:r>
      <w:r w:rsidR="00F0426F" w:rsidRPr="00970AD2">
        <w:t xml:space="preserve">or </w:t>
      </w:r>
      <w:r>
        <w:t>A</w:t>
      </w:r>
      <w:r w:rsidR="00F0426F" w:rsidRPr="00970AD2">
        <w:t>ctivity</w:t>
      </w:r>
      <w:r>
        <w:t xml:space="preserve"> </w:t>
      </w:r>
      <w:r w:rsidR="007357F2" w:rsidRPr="00970AD2">
        <w:t>4</w:t>
      </w:r>
      <w:r w:rsidR="00537DD8" w:rsidRPr="00970AD2">
        <w:t>.</w:t>
      </w:r>
      <w:r w:rsidR="00F0426F" w:rsidRPr="00970AD2">
        <w:t xml:space="preserve">1(b), </w:t>
      </w:r>
      <w:r w:rsidR="00D25CD5">
        <w:rPr>
          <w:i/>
          <w:iCs/>
        </w:rPr>
        <w:t>ESF</w:t>
      </w:r>
      <w:r w:rsidR="00F0426F" w:rsidRPr="00970AD2">
        <w:t xml:space="preserve"> is the prescribed activity </w:t>
      </w:r>
      <w:r w:rsidR="00D25CD5">
        <w:t>energy savings</w:t>
      </w:r>
      <w:r w:rsidR="00F0426F" w:rsidRPr="00970AD2">
        <w:t xml:space="preserve"> value in </w:t>
      </w:r>
      <w:r>
        <w:t>t</w:t>
      </w:r>
      <w:r w:rsidR="00E1796B" w:rsidRPr="00970AD2">
        <w:t>able</w:t>
      </w:r>
      <w:r w:rsidR="00F0426F" w:rsidRPr="00970AD2">
        <w:t xml:space="preserve"> </w:t>
      </w:r>
      <w:r>
        <w:t>29</w:t>
      </w:r>
      <w:r w:rsidR="00F0426F" w:rsidRPr="00970AD2">
        <w:t xml:space="preserve"> for the relevant manufacturer</w:t>
      </w:r>
      <w:r>
        <w:t>’</w:t>
      </w:r>
      <w:r w:rsidR="00F0426F" w:rsidRPr="00970AD2">
        <w:t xml:space="preserve">s rated lifetime and efficiency level of the low energy directional lamp or lamps installed determined by the lighting source efficacy level in accordance with section </w:t>
      </w:r>
      <w:r>
        <w:t>4.1.</w:t>
      </w:r>
      <w:r w:rsidR="00F0426F" w:rsidRPr="00970AD2">
        <w:t>3(</w:t>
      </w:r>
      <w:r>
        <w:t>b</w:t>
      </w:r>
      <w:r w:rsidR="00F0426F" w:rsidRPr="00970AD2">
        <w:t xml:space="preserve">); </w:t>
      </w:r>
    </w:p>
    <w:p w14:paraId="64283F86" w14:textId="5AE55036" w:rsidR="00831F19" w:rsidRPr="00970AD2" w:rsidRDefault="00A9320D" w:rsidP="00D42823">
      <w:pPr>
        <w:pStyle w:val="Subdetailsfirstindent"/>
      </w:pPr>
      <w:r>
        <w:t>f</w:t>
      </w:r>
      <w:r w:rsidR="00F0426F" w:rsidRPr="00970AD2">
        <w:t xml:space="preserve">or </w:t>
      </w:r>
      <w:r>
        <w:t>A</w:t>
      </w:r>
      <w:r w:rsidR="00F0426F" w:rsidRPr="00970AD2">
        <w:t>ctivity</w:t>
      </w:r>
      <w:r>
        <w:t xml:space="preserve"> </w:t>
      </w:r>
      <w:r w:rsidR="007357F2" w:rsidRPr="00970AD2">
        <w:t>4</w:t>
      </w:r>
      <w:r w:rsidR="00537DD8" w:rsidRPr="00970AD2">
        <w:t>.</w:t>
      </w:r>
      <w:r w:rsidR="00F0426F" w:rsidRPr="00970AD2">
        <w:t xml:space="preserve">1(c), </w:t>
      </w:r>
      <w:r w:rsidR="00D25CD5">
        <w:rPr>
          <w:i/>
          <w:iCs/>
        </w:rPr>
        <w:t>ESF</w:t>
      </w:r>
      <w:r w:rsidR="00F0426F" w:rsidRPr="00970AD2">
        <w:t xml:space="preserve"> is the prescribed activity </w:t>
      </w:r>
      <w:r w:rsidR="00D25CD5">
        <w:t>energy savings</w:t>
      </w:r>
      <w:r w:rsidR="00F0426F" w:rsidRPr="00970AD2">
        <w:t xml:space="preserve"> value in </w:t>
      </w:r>
      <w:r>
        <w:t>t</w:t>
      </w:r>
      <w:r w:rsidR="00E1796B" w:rsidRPr="00970AD2">
        <w:t>able</w:t>
      </w:r>
      <w:r w:rsidR="00F0426F" w:rsidRPr="00970AD2">
        <w:t xml:space="preserve"> </w:t>
      </w:r>
      <w:r>
        <w:t>30</w:t>
      </w:r>
      <w:r w:rsidR="00F0426F" w:rsidRPr="00970AD2">
        <w:t xml:space="preserve"> for the relevant manufacturer</w:t>
      </w:r>
      <w:r>
        <w:t>’</w:t>
      </w:r>
      <w:r w:rsidR="00F0426F" w:rsidRPr="00970AD2">
        <w:t xml:space="preserve">s rated lifetime and efficiency level of the low energy directional lamp or lamps installed determined by the lighting source efficacy level in accordance with section </w:t>
      </w:r>
      <w:r>
        <w:t>4.1.</w:t>
      </w:r>
      <w:r w:rsidR="00F0426F" w:rsidRPr="00970AD2">
        <w:t>3(</w:t>
      </w:r>
      <w:r>
        <w:t>c</w:t>
      </w:r>
      <w:r w:rsidR="00F0426F" w:rsidRPr="00970AD2">
        <w:t xml:space="preserve">); </w:t>
      </w:r>
    </w:p>
    <w:p w14:paraId="7719E4FF" w14:textId="67429B2F" w:rsidR="00831F19" w:rsidRPr="00970AD2" w:rsidRDefault="00A9320D" w:rsidP="00D42823">
      <w:pPr>
        <w:pStyle w:val="Subdetailsfirstindent"/>
      </w:pPr>
      <w:r>
        <w:t>f</w:t>
      </w:r>
      <w:r w:rsidR="00F0426F" w:rsidRPr="00970AD2">
        <w:t xml:space="preserve">or </w:t>
      </w:r>
      <w:r>
        <w:t>A</w:t>
      </w:r>
      <w:r w:rsidR="00F0426F" w:rsidRPr="00970AD2">
        <w:t>ctivity</w:t>
      </w:r>
      <w:r>
        <w:t xml:space="preserve"> </w:t>
      </w:r>
      <w:r w:rsidR="007357F2" w:rsidRPr="00970AD2">
        <w:t>4</w:t>
      </w:r>
      <w:r w:rsidR="00537DD8" w:rsidRPr="00970AD2">
        <w:t>.</w:t>
      </w:r>
      <w:r w:rsidR="00F0426F" w:rsidRPr="00970AD2">
        <w:t xml:space="preserve">1(d), </w:t>
      </w:r>
      <w:r w:rsidR="00D25CD5">
        <w:rPr>
          <w:i/>
          <w:iCs/>
        </w:rPr>
        <w:t>ESF</w:t>
      </w:r>
      <w:r w:rsidR="00F0426F" w:rsidRPr="00970AD2">
        <w:t xml:space="preserve"> is the prescribed activity </w:t>
      </w:r>
      <w:r w:rsidR="00D25CD5">
        <w:t>energy savings</w:t>
      </w:r>
      <w:r w:rsidR="00F0426F" w:rsidRPr="00970AD2">
        <w:t xml:space="preserve"> value in </w:t>
      </w:r>
      <w:r w:rsidR="00B55247">
        <w:t>t</w:t>
      </w:r>
      <w:r w:rsidR="00E1796B" w:rsidRPr="00970AD2">
        <w:t>able</w:t>
      </w:r>
      <w:r w:rsidR="00F0426F" w:rsidRPr="00970AD2">
        <w:t xml:space="preserve"> </w:t>
      </w:r>
      <w:r>
        <w:t>31</w:t>
      </w:r>
      <w:r w:rsidR="00F0426F" w:rsidRPr="00970AD2">
        <w:t xml:space="preserve"> for the relevant manufacturer</w:t>
      </w:r>
      <w:r w:rsidR="00B55247">
        <w:t>’</w:t>
      </w:r>
      <w:r w:rsidR="00F0426F" w:rsidRPr="00970AD2">
        <w:t xml:space="preserve">s rated lifetime and efficiency level of the low energy directional lamp or lamps installed determined by the lighting source efficacy level in accordance with section </w:t>
      </w:r>
      <w:r w:rsidR="00C33C70">
        <w:t>4.1.</w:t>
      </w:r>
      <w:r w:rsidR="00F0426F" w:rsidRPr="00970AD2">
        <w:t>3(</w:t>
      </w:r>
      <w:r w:rsidR="00C33C70">
        <w:t>d</w:t>
      </w:r>
      <w:r w:rsidR="00F0426F" w:rsidRPr="00970AD2">
        <w:t xml:space="preserve">); </w:t>
      </w:r>
    </w:p>
    <w:p w14:paraId="37730B5D" w14:textId="4BD0F499" w:rsidR="00831F19" w:rsidRPr="00970AD2" w:rsidRDefault="00C33C70" w:rsidP="00D42823">
      <w:pPr>
        <w:pStyle w:val="Subdetailsfirstindent"/>
      </w:pPr>
      <w:r>
        <w:t>f</w:t>
      </w:r>
      <w:r w:rsidR="00F0426F" w:rsidRPr="00970AD2">
        <w:t xml:space="preserve">or </w:t>
      </w:r>
      <w:r>
        <w:t>A</w:t>
      </w:r>
      <w:r w:rsidR="00F0426F" w:rsidRPr="00970AD2">
        <w:t>ctivity</w:t>
      </w:r>
      <w:r>
        <w:t xml:space="preserve"> </w:t>
      </w:r>
      <w:r w:rsidR="007357F2" w:rsidRPr="00970AD2">
        <w:t>4.</w:t>
      </w:r>
      <w:r w:rsidR="00F0426F" w:rsidRPr="00970AD2">
        <w:t xml:space="preserve">1(e), </w:t>
      </w:r>
      <w:r w:rsidR="00D25CD5">
        <w:rPr>
          <w:i/>
          <w:iCs/>
        </w:rPr>
        <w:t>ESF</w:t>
      </w:r>
      <w:r w:rsidR="00F0426F" w:rsidRPr="00970AD2">
        <w:t xml:space="preserve"> is the prescribed activity </w:t>
      </w:r>
      <w:r w:rsidR="00D25CD5">
        <w:t>energy savings</w:t>
      </w:r>
      <w:r w:rsidR="00F0426F" w:rsidRPr="00970AD2">
        <w:t xml:space="preserve"> value in </w:t>
      </w:r>
      <w:r>
        <w:t>t</w:t>
      </w:r>
      <w:r w:rsidR="00E1796B" w:rsidRPr="00970AD2">
        <w:t>able</w:t>
      </w:r>
      <w:r w:rsidR="00F0426F" w:rsidRPr="00970AD2">
        <w:t xml:space="preserve"> </w:t>
      </w:r>
      <w:r w:rsidR="00A9320D">
        <w:t>32</w:t>
      </w:r>
      <w:r w:rsidR="00F0426F" w:rsidRPr="00970AD2">
        <w:t xml:space="preserve"> for the relevant manufacturer</w:t>
      </w:r>
      <w:r>
        <w:t>’</w:t>
      </w:r>
      <w:r w:rsidR="00F0426F" w:rsidRPr="00970AD2">
        <w:t xml:space="preserve">s rated lifetime and efficiency level of the low energy directional lamp or lamps installed determined by the lighting source efficacy level in accordance with section </w:t>
      </w:r>
      <w:r>
        <w:t>4.1.</w:t>
      </w:r>
      <w:r w:rsidR="00F0426F" w:rsidRPr="00970AD2">
        <w:t>3(</w:t>
      </w:r>
      <w:r>
        <w:t>e</w:t>
      </w:r>
      <w:r w:rsidR="00F0426F" w:rsidRPr="00970AD2">
        <w:t>); and</w:t>
      </w:r>
    </w:p>
    <w:p w14:paraId="5387CB05" w14:textId="77777777" w:rsidR="00831F19" w:rsidRPr="00970AD2" w:rsidRDefault="00C33C70" w:rsidP="00D42823">
      <w:pPr>
        <w:pStyle w:val="Subdetailsfirstindent"/>
      </w:pPr>
      <w:r>
        <w:t>f</w:t>
      </w:r>
      <w:r w:rsidR="00F0426F" w:rsidRPr="00970AD2">
        <w:t xml:space="preserve">or all activity items, </w:t>
      </w:r>
      <w:r w:rsidR="00F0426F" w:rsidRPr="00C33C70">
        <w:rPr>
          <w:i/>
          <w:iCs/>
        </w:rPr>
        <w:t>N</w:t>
      </w:r>
      <w:r w:rsidR="00F0426F" w:rsidRPr="00970AD2">
        <w:t xml:space="preserve"> is the number of lamps of the relevant type installed in the premises. </w:t>
      </w:r>
    </w:p>
    <w:p w14:paraId="1B846FA9" w14:textId="4791BFA9" w:rsidR="00F0426F" w:rsidRPr="00970AD2" w:rsidRDefault="00F0426F" w:rsidP="00D42823">
      <w:pPr>
        <w:pStyle w:val="Notesandexamples"/>
      </w:pPr>
      <w:r w:rsidRPr="00970AD2">
        <w:t>Note</w:t>
      </w:r>
      <w:r w:rsidRPr="00970AD2">
        <w:tab/>
      </w:r>
      <w:bookmarkEnd w:id="291"/>
      <w:r w:rsidRPr="00970AD2">
        <w:t xml:space="preserve">Multiple calculations for an activity item may be required to find the </w:t>
      </w:r>
      <w:r w:rsidR="00D25CD5">
        <w:t>energy savings</w:t>
      </w:r>
      <w:r w:rsidRPr="00970AD2">
        <w:t xml:space="preserve"> factor for the item. For example, if a low energy 12 volt downlight with a manufacturer’s rated lifetime of 20,000 hours, an efficacy of 75 lumens/</w:t>
      </w:r>
      <w:r w:rsidR="00C33C70">
        <w:t>w</w:t>
      </w:r>
      <w:r w:rsidRPr="00970AD2">
        <w:t>att and with a power factor of 1.0 (AF = 0.107  x 1 x 1.05) and three low energy reflector lamps with a manufacturer’s rated lifetime of 15,000, an efficacy of 25 lumens/</w:t>
      </w:r>
      <w:r w:rsidR="00C33C70">
        <w:t>w</w:t>
      </w:r>
      <w:r w:rsidRPr="00970AD2">
        <w:t xml:space="preserve">att and with a power factor of 0.8 </w:t>
      </w:r>
      <w:r w:rsidR="00D0711D" w:rsidRPr="00970AD2">
        <w:br/>
      </w:r>
      <w:r w:rsidRPr="00970AD2">
        <w:t xml:space="preserve">(AF = 0.082  x 3 x 1.00) are installed in a premises then the </w:t>
      </w:r>
      <w:r w:rsidR="00D25CD5">
        <w:t>energy savings</w:t>
      </w:r>
      <w:r w:rsidRPr="00970AD2">
        <w:t xml:space="preserve"> factor for each type of lamp with differing activity </w:t>
      </w:r>
      <w:r w:rsidR="00D25CD5">
        <w:t>energy savings</w:t>
      </w:r>
      <w:r w:rsidRPr="00970AD2">
        <w:t xml:space="preserve"> values, power factors and/or lighting source efficacy levels will need to be determined and summed to find the </w:t>
      </w:r>
      <w:r w:rsidR="00D25CD5">
        <w:t>energy savings</w:t>
      </w:r>
      <w:r w:rsidRPr="00970AD2">
        <w:t xml:space="preserve"> factor for the item.</w:t>
      </w:r>
    </w:p>
    <w:p w14:paraId="42BC6F00" w14:textId="3D72824C" w:rsidR="00F0426F" w:rsidRPr="00D42823" w:rsidRDefault="00C33C70" w:rsidP="00D42823">
      <w:pPr>
        <w:pStyle w:val="Caption"/>
      </w:pPr>
      <w:r>
        <w:br w:type="page"/>
      </w:r>
      <w:bookmarkStart w:id="297" w:name="_Toc37945712"/>
      <w:bookmarkStart w:id="298" w:name="_Toc21868133"/>
      <w:bookmarkStart w:id="299" w:name="_Toc21868265"/>
      <w:r w:rsidR="00C631F1" w:rsidRPr="00D42823">
        <w:lastRenderedPageBreak/>
        <w:t xml:space="preserve">Table </w:t>
      </w:r>
      <w:r w:rsidR="004A0156">
        <w:rPr>
          <w:noProof/>
        </w:rPr>
        <w:fldChar w:fldCharType="begin"/>
      </w:r>
      <w:r w:rsidR="004A0156">
        <w:rPr>
          <w:noProof/>
        </w:rPr>
        <w:instrText xml:space="preserve"> SEQ Table \* ARABIC </w:instrText>
      </w:r>
      <w:r w:rsidR="004A0156">
        <w:rPr>
          <w:noProof/>
        </w:rPr>
        <w:fldChar w:fldCharType="separate"/>
      </w:r>
      <w:r w:rsidR="00880CB1">
        <w:rPr>
          <w:noProof/>
        </w:rPr>
        <w:t>28</w:t>
      </w:r>
      <w:r w:rsidR="004A0156">
        <w:rPr>
          <w:noProof/>
        </w:rPr>
        <w:fldChar w:fldCharType="end"/>
      </w:r>
      <w:r w:rsidR="00F0426F" w:rsidRPr="00D42823">
        <w:t xml:space="preserve"> </w:t>
      </w:r>
      <w:r w:rsidR="009E6E7F">
        <w:tab/>
      </w:r>
      <w:r w:rsidR="000C27E5">
        <w:t xml:space="preserve">Activity </w:t>
      </w:r>
      <w:r w:rsidR="00D85CB2">
        <w:t xml:space="preserve">ID </w:t>
      </w:r>
      <w:r w:rsidR="000C27E5">
        <w:t>4.1(a)</w:t>
      </w:r>
      <w:r w:rsidR="00F0426F" w:rsidRPr="00D42823">
        <w:t xml:space="preserve"> </w:t>
      </w:r>
      <w:r w:rsidR="00D25CD5">
        <w:t>energy savings</w:t>
      </w:r>
      <w:r w:rsidR="00F0426F" w:rsidRPr="00D42823">
        <w:t xml:space="preserve"> values for installation of low energy </w:t>
      </w:r>
      <w:r w:rsidR="00FD661C" w:rsidRPr="00D42823">
        <w:t xml:space="preserve">LED </w:t>
      </w:r>
      <w:r w:rsidR="00F0426F" w:rsidRPr="00D42823">
        <w:t>lighting services in place of mains voltage incandescent general lighting services</w:t>
      </w:r>
      <w:bookmarkEnd w:id="297"/>
      <w:r>
        <w:t xml:space="preserve"> </w:t>
      </w:r>
      <w:bookmarkEnd w:id="298"/>
      <w:bookmarkEnd w:id="299"/>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373"/>
        <w:gridCol w:w="463"/>
        <w:gridCol w:w="436"/>
        <w:gridCol w:w="436"/>
        <w:gridCol w:w="463"/>
        <w:gridCol w:w="463"/>
        <w:gridCol w:w="436"/>
        <w:gridCol w:w="436"/>
        <w:gridCol w:w="463"/>
        <w:gridCol w:w="463"/>
        <w:gridCol w:w="436"/>
        <w:gridCol w:w="436"/>
        <w:gridCol w:w="463"/>
        <w:gridCol w:w="463"/>
        <w:gridCol w:w="436"/>
        <w:gridCol w:w="436"/>
        <w:gridCol w:w="463"/>
      </w:tblGrid>
      <w:tr w:rsidR="00C33C70" w:rsidRPr="00101155" w14:paraId="2C026522" w14:textId="77777777" w:rsidTr="00C33C70">
        <w:trPr>
          <w:trHeight w:val="360"/>
          <w:tblHeader/>
        </w:trPr>
        <w:tc>
          <w:tcPr>
            <w:tcW w:w="9242" w:type="dxa"/>
            <w:gridSpan w:val="18"/>
            <w:noWrap/>
            <w:vAlign w:val="center"/>
            <w:hideMark/>
          </w:tcPr>
          <w:p w14:paraId="51FB2D37" w14:textId="578A98EB" w:rsidR="00C33C70" w:rsidRPr="00101155" w:rsidRDefault="00C33C70" w:rsidP="00C33C70">
            <w:pPr>
              <w:pStyle w:val="Tableheader"/>
              <w:jc w:val="center"/>
              <w:rPr>
                <w:lang w:eastAsia="en-AU"/>
              </w:rPr>
            </w:pPr>
            <w:r w:rsidRPr="00101155">
              <w:rPr>
                <w:lang w:eastAsia="en-AU"/>
              </w:rPr>
              <w:t xml:space="preserve">Activity </w:t>
            </w:r>
            <w:r w:rsidR="00D25CD5">
              <w:rPr>
                <w:lang w:eastAsia="en-AU"/>
              </w:rPr>
              <w:t>Energy savings</w:t>
            </w:r>
            <w:r w:rsidRPr="00101155">
              <w:rPr>
                <w:lang w:eastAsia="en-AU"/>
              </w:rPr>
              <w:t xml:space="preserve"> Value </w:t>
            </w:r>
            <w:r w:rsidR="00D25CD5">
              <w:rPr>
                <w:lang w:eastAsia="en-AU"/>
              </w:rPr>
              <w:t>MWh</w:t>
            </w:r>
          </w:p>
        </w:tc>
      </w:tr>
      <w:tr w:rsidR="0059495F" w:rsidRPr="00101155" w14:paraId="02C9909C" w14:textId="77777777" w:rsidTr="00151778">
        <w:trPr>
          <w:trHeight w:val="360"/>
        </w:trPr>
        <w:tc>
          <w:tcPr>
            <w:tcW w:w="661" w:type="dxa"/>
            <w:noWrap/>
            <w:vAlign w:val="center"/>
            <w:hideMark/>
          </w:tcPr>
          <w:p w14:paraId="72EE8E22" w14:textId="77777777" w:rsidR="00101155" w:rsidRPr="00101155" w:rsidRDefault="00101155" w:rsidP="00101155">
            <w:pPr>
              <w:spacing w:after="0" w:line="240" w:lineRule="auto"/>
              <w:rPr>
                <w:rFonts w:ascii="Calibri" w:hAnsi="Calibri" w:cs="Times New Roman"/>
                <w:color w:val="000000"/>
                <w:sz w:val="16"/>
                <w:lang w:eastAsia="en-AU"/>
              </w:rPr>
            </w:pPr>
            <w:r w:rsidRPr="00101155">
              <w:rPr>
                <w:rFonts w:ascii="Calibri" w:hAnsi="Calibri" w:cs="Times New Roman"/>
                <w:color w:val="000000"/>
                <w:sz w:val="16"/>
                <w:lang w:eastAsia="en-AU"/>
              </w:rPr>
              <w:t> </w:t>
            </w:r>
          </w:p>
        </w:tc>
        <w:tc>
          <w:tcPr>
            <w:tcW w:w="1484" w:type="dxa"/>
            <w:noWrap/>
            <w:vAlign w:val="center"/>
            <w:hideMark/>
          </w:tcPr>
          <w:p w14:paraId="44CFA4D0" w14:textId="77777777" w:rsidR="00101155" w:rsidRPr="00101155" w:rsidRDefault="00101155" w:rsidP="00C33C70">
            <w:pPr>
              <w:pStyle w:val="Tabletext"/>
              <w:rPr>
                <w:lang w:eastAsia="en-AU"/>
              </w:rPr>
            </w:pPr>
            <w:r w:rsidRPr="00101155">
              <w:rPr>
                <w:lang w:eastAsia="en-AU"/>
              </w:rPr>
              <w:t>Light Output Range (lm):</w:t>
            </w:r>
          </w:p>
        </w:tc>
        <w:tc>
          <w:tcPr>
            <w:tcW w:w="458" w:type="dxa"/>
            <w:noWrap/>
            <w:vAlign w:val="center"/>
            <w:hideMark/>
          </w:tcPr>
          <w:p w14:paraId="6CF2A025" w14:textId="77777777" w:rsidR="00101155" w:rsidRPr="0059495F" w:rsidRDefault="00101155" w:rsidP="00C33C70">
            <w:pPr>
              <w:pStyle w:val="Tabletext"/>
              <w:jc w:val="center"/>
              <w:rPr>
                <w:sz w:val="12"/>
                <w:szCs w:val="16"/>
                <w:lang w:eastAsia="en-AU"/>
              </w:rPr>
            </w:pPr>
            <w:r w:rsidRPr="0059495F">
              <w:rPr>
                <w:sz w:val="12"/>
                <w:szCs w:val="16"/>
                <w:lang w:eastAsia="en-AU"/>
              </w:rPr>
              <w:t>&lt;350</w:t>
            </w:r>
          </w:p>
        </w:tc>
        <w:tc>
          <w:tcPr>
            <w:tcW w:w="430" w:type="dxa"/>
            <w:noWrap/>
            <w:vAlign w:val="center"/>
            <w:hideMark/>
          </w:tcPr>
          <w:p w14:paraId="32F68A74" w14:textId="77777777" w:rsidR="00101155" w:rsidRPr="0059495F" w:rsidRDefault="00101155" w:rsidP="00C33C70">
            <w:pPr>
              <w:pStyle w:val="Tabletext"/>
              <w:jc w:val="center"/>
              <w:rPr>
                <w:sz w:val="12"/>
                <w:szCs w:val="16"/>
                <w:lang w:eastAsia="en-AU"/>
              </w:rPr>
            </w:pPr>
            <w:r w:rsidRPr="0059495F">
              <w:rPr>
                <w:sz w:val="12"/>
                <w:szCs w:val="16"/>
                <w:lang w:eastAsia="en-AU"/>
              </w:rPr>
              <w:t>350-649</w:t>
            </w:r>
          </w:p>
        </w:tc>
        <w:tc>
          <w:tcPr>
            <w:tcW w:w="430" w:type="dxa"/>
            <w:noWrap/>
            <w:vAlign w:val="center"/>
            <w:hideMark/>
          </w:tcPr>
          <w:p w14:paraId="372A43E8" w14:textId="77777777" w:rsidR="00101155" w:rsidRPr="0059495F" w:rsidRDefault="00101155" w:rsidP="00C33C70">
            <w:pPr>
              <w:pStyle w:val="Tabletext"/>
              <w:jc w:val="center"/>
              <w:rPr>
                <w:sz w:val="12"/>
                <w:szCs w:val="16"/>
                <w:lang w:eastAsia="en-AU"/>
              </w:rPr>
            </w:pPr>
            <w:r w:rsidRPr="0059495F">
              <w:rPr>
                <w:sz w:val="12"/>
                <w:szCs w:val="16"/>
                <w:lang w:eastAsia="en-AU"/>
              </w:rPr>
              <w:t>650-849</w:t>
            </w:r>
          </w:p>
        </w:tc>
        <w:tc>
          <w:tcPr>
            <w:tcW w:w="457" w:type="dxa"/>
            <w:noWrap/>
            <w:vAlign w:val="center"/>
            <w:hideMark/>
          </w:tcPr>
          <w:p w14:paraId="6B7BE4DC" w14:textId="77777777" w:rsidR="00101155" w:rsidRPr="0059495F" w:rsidRDefault="00101155" w:rsidP="00C33C70">
            <w:pPr>
              <w:pStyle w:val="Tabletext"/>
              <w:jc w:val="center"/>
              <w:rPr>
                <w:sz w:val="12"/>
                <w:szCs w:val="16"/>
                <w:lang w:eastAsia="en-AU"/>
              </w:rPr>
            </w:pPr>
            <w:r w:rsidRPr="0059495F">
              <w:rPr>
                <w:sz w:val="12"/>
                <w:szCs w:val="16"/>
                <w:lang w:eastAsia="en-AU"/>
              </w:rPr>
              <w:t>850+</w:t>
            </w:r>
          </w:p>
        </w:tc>
        <w:tc>
          <w:tcPr>
            <w:tcW w:w="457" w:type="dxa"/>
            <w:noWrap/>
            <w:vAlign w:val="center"/>
            <w:hideMark/>
          </w:tcPr>
          <w:p w14:paraId="0B07B400" w14:textId="77777777" w:rsidR="00101155" w:rsidRPr="0059495F" w:rsidRDefault="00101155" w:rsidP="00C33C70">
            <w:pPr>
              <w:pStyle w:val="Tabletext"/>
              <w:jc w:val="center"/>
              <w:rPr>
                <w:sz w:val="12"/>
                <w:szCs w:val="16"/>
                <w:lang w:eastAsia="en-AU"/>
              </w:rPr>
            </w:pPr>
            <w:r w:rsidRPr="0059495F">
              <w:rPr>
                <w:sz w:val="12"/>
                <w:szCs w:val="16"/>
                <w:lang w:eastAsia="en-AU"/>
              </w:rPr>
              <w:t>&lt;350</w:t>
            </w:r>
          </w:p>
        </w:tc>
        <w:tc>
          <w:tcPr>
            <w:tcW w:w="430" w:type="dxa"/>
            <w:noWrap/>
            <w:vAlign w:val="center"/>
            <w:hideMark/>
          </w:tcPr>
          <w:p w14:paraId="41912304" w14:textId="77777777" w:rsidR="00101155" w:rsidRPr="0059495F" w:rsidRDefault="00101155" w:rsidP="00C33C70">
            <w:pPr>
              <w:pStyle w:val="Tabletext"/>
              <w:jc w:val="center"/>
              <w:rPr>
                <w:sz w:val="12"/>
                <w:szCs w:val="16"/>
                <w:lang w:eastAsia="en-AU"/>
              </w:rPr>
            </w:pPr>
            <w:r w:rsidRPr="0059495F">
              <w:rPr>
                <w:sz w:val="12"/>
                <w:szCs w:val="16"/>
                <w:lang w:eastAsia="en-AU"/>
              </w:rPr>
              <w:t>350-649</w:t>
            </w:r>
          </w:p>
        </w:tc>
        <w:tc>
          <w:tcPr>
            <w:tcW w:w="430" w:type="dxa"/>
            <w:noWrap/>
            <w:vAlign w:val="center"/>
            <w:hideMark/>
          </w:tcPr>
          <w:p w14:paraId="77F92113" w14:textId="77777777" w:rsidR="00101155" w:rsidRPr="0059495F" w:rsidRDefault="00101155" w:rsidP="00C33C70">
            <w:pPr>
              <w:pStyle w:val="Tabletext"/>
              <w:jc w:val="center"/>
              <w:rPr>
                <w:sz w:val="12"/>
                <w:szCs w:val="16"/>
                <w:lang w:eastAsia="en-AU"/>
              </w:rPr>
            </w:pPr>
            <w:r w:rsidRPr="0059495F">
              <w:rPr>
                <w:sz w:val="12"/>
                <w:szCs w:val="16"/>
                <w:lang w:eastAsia="en-AU"/>
              </w:rPr>
              <w:t>650-849</w:t>
            </w:r>
          </w:p>
        </w:tc>
        <w:tc>
          <w:tcPr>
            <w:tcW w:w="457" w:type="dxa"/>
            <w:noWrap/>
            <w:vAlign w:val="center"/>
            <w:hideMark/>
          </w:tcPr>
          <w:p w14:paraId="2B76C0D4" w14:textId="77777777" w:rsidR="00101155" w:rsidRPr="0059495F" w:rsidRDefault="00101155" w:rsidP="00C33C70">
            <w:pPr>
              <w:pStyle w:val="Tabletext"/>
              <w:jc w:val="center"/>
              <w:rPr>
                <w:sz w:val="12"/>
                <w:szCs w:val="16"/>
                <w:lang w:eastAsia="en-AU"/>
              </w:rPr>
            </w:pPr>
            <w:r w:rsidRPr="0059495F">
              <w:rPr>
                <w:sz w:val="12"/>
                <w:szCs w:val="16"/>
                <w:lang w:eastAsia="en-AU"/>
              </w:rPr>
              <w:t>850+</w:t>
            </w:r>
          </w:p>
        </w:tc>
        <w:tc>
          <w:tcPr>
            <w:tcW w:w="457" w:type="dxa"/>
            <w:noWrap/>
            <w:vAlign w:val="center"/>
            <w:hideMark/>
          </w:tcPr>
          <w:p w14:paraId="05D0404A" w14:textId="77777777" w:rsidR="00101155" w:rsidRPr="0059495F" w:rsidRDefault="00101155" w:rsidP="00C33C70">
            <w:pPr>
              <w:pStyle w:val="Tabletext"/>
              <w:jc w:val="center"/>
              <w:rPr>
                <w:sz w:val="12"/>
                <w:szCs w:val="16"/>
                <w:lang w:eastAsia="en-AU"/>
              </w:rPr>
            </w:pPr>
            <w:r w:rsidRPr="0059495F">
              <w:rPr>
                <w:sz w:val="12"/>
                <w:szCs w:val="16"/>
                <w:lang w:eastAsia="en-AU"/>
              </w:rPr>
              <w:t>&lt;350</w:t>
            </w:r>
          </w:p>
        </w:tc>
        <w:tc>
          <w:tcPr>
            <w:tcW w:w="430" w:type="dxa"/>
            <w:noWrap/>
            <w:vAlign w:val="center"/>
            <w:hideMark/>
          </w:tcPr>
          <w:p w14:paraId="213EFDFF" w14:textId="77777777" w:rsidR="00101155" w:rsidRPr="0059495F" w:rsidRDefault="00101155" w:rsidP="00C33C70">
            <w:pPr>
              <w:pStyle w:val="Tabletext"/>
              <w:jc w:val="center"/>
              <w:rPr>
                <w:sz w:val="12"/>
                <w:szCs w:val="16"/>
                <w:lang w:eastAsia="en-AU"/>
              </w:rPr>
            </w:pPr>
            <w:r w:rsidRPr="0059495F">
              <w:rPr>
                <w:sz w:val="12"/>
                <w:szCs w:val="16"/>
                <w:lang w:eastAsia="en-AU"/>
              </w:rPr>
              <w:t>350-649</w:t>
            </w:r>
          </w:p>
        </w:tc>
        <w:tc>
          <w:tcPr>
            <w:tcW w:w="430" w:type="dxa"/>
            <w:noWrap/>
            <w:vAlign w:val="center"/>
            <w:hideMark/>
          </w:tcPr>
          <w:p w14:paraId="08A2F270" w14:textId="77777777" w:rsidR="00101155" w:rsidRPr="0059495F" w:rsidRDefault="00101155" w:rsidP="00C33C70">
            <w:pPr>
              <w:pStyle w:val="Tabletext"/>
              <w:jc w:val="center"/>
              <w:rPr>
                <w:sz w:val="12"/>
                <w:szCs w:val="16"/>
                <w:lang w:eastAsia="en-AU"/>
              </w:rPr>
            </w:pPr>
            <w:r w:rsidRPr="0059495F">
              <w:rPr>
                <w:sz w:val="12"/>
                <w:szCs w:val="16"/>
                <w:lang w:eastAsia="en-AU"/>
              </w:rPr>
              <w:t>650-849</w:t>
            </w:r>
          </w:p>
        </w:tc>
        <w:tc>
          <w:tcPr>
            <w:tcW w:w="457" w:type="dxa"/>
            <w:noWrap/>
            <w:vAlign w:val="center"/>
            <w:hideMark/>
          </w:tcPr>
          <w:p w14:paraId="6E3B5B25" w14:textId="77777777" w:rsidR="00101155" w:rsidRPr="0059495F" w:rsidRDefault="00101155" w:rsidP="00C33C70">
            <w:pPr>
              <w:pStyle w:val="Tabletext"/>
              <w:jc w:val="center"/>
              <w:rPr>
                <w:sz w:val="12"/>
                <w:szCs w:val="16"/>
                <w:lang w:eastAsia="en-AU"/>
              </w:rPr>
            </w:pPr>
            <w:r w:rsidRPr="0059495F">
              <w:rPr>
                <w:sz w:val="12"/>
                <w:szCs w:val="16"/>
                <w:lang w:eastAsia="en-AU"/>
              </w:rPr>
              <w:t>850+</w:t>
            </w:r>
          </w:p>
        </w:tc>
        <w:tc>
          <w:tcPr>
            <w:tcW w:w="457" w:type="dxa"/>
            <w:noWrap/>
            <w:vAlign w:val="center"/>
            <w:hideMark/>
          </w:tcPr>
          <w:p w14:paraId="76249DF0" w14:textId="77777777" w:rsidR="00101155" w:rsidRPr="0059495F" w:rsidRDefault="00101155" w:rsidP="00C33C70">
            <w:pPr>
              <w:pStyle w:val="Tabletext"/>
              <w:jc w:val="center"/>
              <w:rPr>
                <w:sz w:val="12"/>
                <w:szCs w:val="16"/>
                <w:lang w:eastAsia="en-AU"/>
              </w:rPr>
            </w:pPr>
            <w:r w:rsidRPr="0059495F">
              <w:rPr>
                <w:sz w:val="12"/>
                <w:szCs w:val="16"/>
                <w:lang w:eastAsia="en-AU"/>
              </w:rPr>
              <w:t>&lt;350</w:t>
            </w:r>
          </w:p>
        </w:tc>
        <w:tc>
          <w:tcPr>
            <w:tcW w:w="430" w:type="dxa"/>
            <w:noWrap/>
            <w:vAlign w:val="center"/>
            <w:hideMark/>
          </w:tcPr>
          <w:p w14:paraId="75CBF7FF" w14:textId="77777777" w:rsidR="00101155" w:rsidRPr="0059495F" w:rsidRDefault="00101155" w:rsidP="00C33C70">
            <w:pPr>
              <w:pStyle w:val="Tabletext"/>
              <w:jc w:val="center"/>
              <w:rPr>
                <w:sz w:val="12"/>
                <w:szCs w:val="16"/>
                <w:lang w:eastAsia="en-AU"/>
              </w:rPr>
            </w:pPr>
            <w:r w:rsidRPr="0059495F">
              <w:rPr>
                <w:sz w:val="12"/>
                <w:szCs w:val="16"/>
                <w:lang w:eastAsia="en-AU"/>
              </w:rPr>
              <w:t>350-649</w:t>
            </w:r>
          </w:p>
        </w:tc>
        <w:tc>
          <w:tcPr>
            <w:tcW w:w="430" w:type="dxa"/>
            <w:noWrap/>
            <w:vAlign w:val="center"/>
            <w:hideMark/>
          </w:tcPr>
          <w:p w14:paraId="2CF5DC90" w14:textId="77777777" w:rsidR="00101155" w:rsidRPr="0059495F" w:rsidRDefault="00101155" w:rsidP="00C33C70">
            <w:pPr>
              <w:pStyle w:val="Tabletext"/>
              <w:jc w:val="center"/>
              <w:rPr>
                <w:sz w:val="12"/>
                <w:szCs w:val="16"/>
                <w:lang w:eastAsia="en-AU"/>
              </w:rPr>
            </w:pPr>
            <w:r w:rsidRPr="0059495F">
              <w:rPr>
                <w:sz w:val="12"/>
                <w:szCs w:val="16"/>
                <w:lang w:eastAsia="en-AU"/>
              </w:rPr>
              <w:t>650-849</w:t>
            </w:r>
          </w:p>
        </w:tc>
        <w:tc>
          <w:tcPr>
            <w:tcW w:w="457" w:type="dxa"/>
            <w:noWrap/>
            <w:vAlign w:val="center"/>
            <w:hideMark/>
          </w:tcPr>
          <w:p w14:paraId="6F1B3B94" w14:textId="77777777" w:rsidR="00101155" w:rsidRPr="0059495F" w:rsidRDefault="00101155" w:rsidP="00C33C70">
            <w:pPr>
              <w:pStyle w:val="Tabletext"/>
              <w:jc w:val="center"/>
              <w:rPr>
                <w:sz w:val="12"/>
                <w:szCs w:val="16"/>
                <w:lang w:eastAsia="en-AU"/>
              </w:rPr>
            </w:pPr>
            <w:r w:rsidRPr="0059495F">
              <w:rPr>
                <w:sz w:val="12"/>
                <w:szCs w:val="16"/>
                <w:lang w:eastAsia="en-AU"/>
              </w:rPr>
              <w:t>850+</w:t>
            </w:r>
          </w:p>
        </w:tc>
      </w:tr>
      <w:tr w:rsidR="0059495F" w:rsidRPr="00101155" w14:paraId="1745F245" w14:textId="77777777" w:rsidTr="00151778">
        <w:trPr>
          <w:trHeight w:val="360"/>
        </w:trPr>
        <w:tc>
          <w:tcPr>
            <w:tcW w:w="661" w:type="dxa"/>
            <w:noWrap/>
            <w:vAlign w:val="center"/>
            <w:hideMark/>
          </w:tcPr>
          <w:p w14:paraId="09BD5D42" w14:textId="77777777" w:rsidR="00101155" w:rsidRPr="00101155" w:rsidRDefault="00101155" w:rsidP="00101155">
            <w:pPr>
              <w:spacing w:after="0" w:line="240" w:lineRule="auto"/>
              <w:rPr>
                <w:rFonts w:ascii="Calibri" w:hAnsi="Calibri" w:cs="Times New Roman"/>
                <w:color w:val="000000"/>
                <w:sz w:val="16"/>
                <w:lang w:eastAsia="en-AU"/>
              </w:rPr>
            </w:pPr>
            <w:r w:rsidRPr="00101155">
              <w:rPr>
                <w:rFonts w:ascii="Calibri" w:hAnsi="Calibri" w:cs="Times New Roman"/>
                <w:color w:val="000000"/>
                <w:sz w:val="16"/>
                <w:lang w:eastAsia="en-AU"/>
              </w:rPr>
              <w:t> </w:t>
            </w:r>
          </w:p>
        </w:tc>
        <w:tc>
          <w:tcPr>
            <w:tcW w:w="1484" w:type="dxa"/>
            <w:noWrap/>
            <w:vAlign w:val="center"/>
            <w:hideMark/>
          </w:tcPr>
          <w:p w14:paraId="40AF6361" w14:textId="77777777" w:rsidR="00101155" w:rsidRPr="00101155" w:rsidRDefault="00101155" w:rsidP="00C33C70">
            <w:pPr>
              <w:pStyle w:val="Tabletext"/>
              <w:rPr>
                <w:lang w:eastAsia="en-AU"/>
              </w:rPr>
            </w:pPr>
            <w:r w:rsidRPr="00101155">
              <w:rPr>
                <w:lang w:eastAsia="en-AU"/>
              </w:rPr>
              <w:t>Min Efficacy (lm/W):</w:t>
            </w:r>
          </w:p>
        </w:tc>
        <w:tc>
          <w:tcPr>
            <w:tcW w:w="458" w:type="dxa"/>
            <w:noWrap/>
            <w:vAlign w:val="center"/>
            <w:hideMark/>
          </w:tcPr>
          <w:p w14:paraId="238445C4" w14:textId="77777777" w:rsidR="00101155" w:rsidRPr="00101155" w:rsidRDefault="00101155" w:rsidP="00C33C70">
            <w:pPr>
              <w:pStyle w:val="Tabletext"/>
              <w:jc w:val="center"/>
              <w:rPr>
                <w:sz w:val="14"/>
                <w:lang w:eastAsia="en-AU"/>
              </w:rPr>
            </w:pPr>
            <w:r w:rsidRPr="00101155">
              <w:rPr>
                <w:sz w:val="14"/>
                <w:lang w:eastAsia="en-AU"/>
              </w:rPr>
              <w:t>40</w:t>
            </w:r>
          </w:p>
        </w:tc>
        <w:tc>
          <w:tcPr>
            <w:tcW w:w="430" w:type="dxa"/>
            <w:noWrap/>
            <w:vAlign w:val="center"/>
            <w:hideMark/>
          </w:tcPr>
          <w:p w14:paraId="247529FA" w14:textId="77777777" w:rsidR="00101155" w:rsidRPr="00101155" w:rsidRDefault="00101155" w:rsidP="00C33C70">
            <w:pPr>
              <w:pStyle w:val="Tabletext"/>
              <w:jc w:val="center"/>
              <w:rPr>
                <w:sz w:val="14"/>
                <w:lang w:eastAsia="en-AU"/>
              </w:rPr>
            </w:pPr>
            <w:r w:rsidRPr="00101155">
              <w:rPr>
                <w:sz w:val="14"/>
                <w:lang w:eastAsia="en-AU"/>
              </w:rPr>
              <w:t>45</w:t>
            </w:r>
          </w:p>
        </w:tc>
        <w:tc>
          <w:tcPr>
            <w:tcW w:w="430" w:type="dxa"/>
            <w:noWrap/>
            <w:vAlign w:val="center"/>
            <w:hideMark/>
          </w:tcPr>
          <w:p w14:paraId="3DD81105" w14:textId="77777777" w:rsidR="00101155" w:rsidRPr="00101155" w:rsidRDefault="00101155" w:rsidP="00C33C70">
            <w:pPr>
              <w:pStyle w:val="Tabletext"/>
              <w:jc w:val="center"/>
              <w:rPr>
                <w:sz w:val="14"/>
                <w:lang w:eastAsia="en-AU"/>
              </w:rPr>
            </w:pPr>
            <w:r w:rsidRPr="00101155">
              <w:rPr>
                <w:sz w:val="14"/>
                <w:lang w:eastAsia="en-AU"/>
              </w:rPr>
              <w:t>52</w:t>
            </w:r>
          </w:p>
        </w:tc>
        <w:tc>
          <w:tcPr>
            <w:tcW w:w="457" w:type="dxa"/>
            <w:noWrap/>
            <w:vAlign w:val="center"/>
            <w:hideMark/>
          </w:tcPr>
          <w:p w14:paraId="2511C54F" w14:textId="77777777" w:rsidR="00101155" w:rsidRPr="00101155" w:rsidRDefault="00101155" w:rsidP="00C33C70">
            <w:pPr>
              <w:pStyle w:val="Tabletext"/>
              <w:jc w:val="center"/>
              <w:rPr>
                <w:sz w:val="14"/>
                <w:lang w:eastAsia="en-AU"/>
              </w:rPr>
            </w:pPr>
            <w:r w:rsidRPr="00101155">
              <w:rPr>
                <w:sz w:val="14"/>
                <w:lang w:eastAsia="en-AU"/>
              </w:rPr>
              <w:t>55</w:t>
            </w:r>
          </w:p>
        </w:tc>
        <w:tc>
          <w:tcPr>
            <w:tcW w:w="457" w:type="dxa"/>
            <w:noWrap/>
            <w:vAlign w:val="center"/>
            <w:hideMark/>
          </w:tcPr>
          <w:p w14:paraId="35CB2F08" w14:textId="77777777" w:rsidR="00101155" w:rsidRPr="00101155" w:rsidRDefault="00101155" w:rsidP="00C33C70">
            <w:pPr>
              <w:pStyle w:val="Tabletext"/>
              <w:jc w:val="center"/>
              <w:rPr>
                <w:sz w:val="14"/>
                <w:lang w:eastAsia="en-AU"/>
              </w:rPr>
            </w:pPr>
            <w:r w:rsidRPr="00101155">
              <w:rPr>
                <w:sz w:val="14"/>
                <w:lang w:eastAsia="en-AU"/>
              </w:rPr>
              <w:t>48</w:t>
            </w:r>
          </w:p>
        </w:tc>
        <w:tc>
          <w:tcPr>
            <w:tcW w:w="430" w:type="dxa"/>
            <w:noWrap/>
            <w:vAlign w:val="center"/>
            <w:hideMark/>
          </w:tcPr>
          <w:p w14:paraId="4ED81CBF" w14:textId="77777777" w:rsidR="00101155" w:rsidRPr="00101155" w:rsidRDefault="00101155" w:rsidP="00C33C70">
            <w:pPr>
              <w:pStyle w:val="Tabletext"/>
              <w:jc w:val="center"/>
              <w:rPr>
                <w:sz w:val="14"/>
                <w:lang w:eastAsia="en-AU"/>
              </w:rPr>
            </w:pPr>
            <w:r w:rsidRPr="00101155">
              <w:rPr>
                <w:sz w:val="14"/>
                <w:lang w:eastAsia="en-AU"/>
              </w:rPr>
              <w:t>54</w:t>
            </w:r>
          </w:p>
        </w:tc>
        <w:tc>
          <w:tcPr>
            <w:tcW w:w="430" w:type="dxa"/>
            <w:noWrap/>
            <w:vAlign w:val="center"/>
            <w:hideMark/>
          </w:tcPr>
          <w:p w14:paraId="53D3B93B" w14:textId="77777777" w:rsidR="00101155" w:rsidRPr="00101155" w:rsidRDefault="00101155" w:rsidP="00C33C70">
            <w:pPr>
              <w:pStyle w:val="Tabletext"/>
              <w:jc w:val="center"/>
              <w:rPr>
                <w:sz w:val="14"/>
                <w:lang w:eastAsia="en-AU"/>
              </w:rPr>
            </w:pPr>
            <w:r w:rsidRPr="00101155">
              <w:rPr>
                <w:sz w:val="14"/>
                <w:lang w:eastAsia="en-AU"/>
              </w:rPr>
              <w:t>62</w:t>
            </w:r>
          </w:p>
        </w:tc>
        <w:tc>
          <w:tcPr>
            <w:tcW w:w="457" w:type="dxa"/>
            <w:noWrap/>
            <w:vAlign w:val="center"/>
            <w:hideMark/>
          </w:tcPr>
          <w:p w14:paraId="7C75F135" w14:textId="77777777" w:rsidR="00101155" w:rsidRPr="00101155" w:rsidRDefault="00101155" w:rsidP="00C33C70">
            <w:pPr>
              <w:pStyle w:val="Tabletext"/>
              <w:jc w:val="center"/>
              <w:rPr>
                <w:sz w:val="14"/>
                <w:lang w:eastAsia="en-AU"/>
              </w:rPr>
            </w:pPr>
            <w:r w:rsidRPr="00101155">
              <w:rPr>
                <w:sz w:val="14"/>
                <w:lang w:eastAsia="en-AU"/>
              </w:rPr>
              <w:t>66</w:t>
            </w:r>
          </w:p>
        </w:tc>
        <w:tc>
          <w:tcPr>
            <w:tcW w:w="457" w:type="dxa"/>
            <w:noWrap/>
            <w:vAlign w:val="center"/>
            <w:hideMark/>
          </w:tcPr>
          <w:p w14:paraId="53B38A38" w14:textId="77777777" w:rsidR="00101155" w:rsidRPr="00101155" w:rsidRDefault="00101155" w:rsidP="00C33C70">
            <w:pPr>
              <w:pStyle w:val="Tabletext"/>
              <w:jc w:val="center"/>
              <w:rPr>
                <w:sz w:val="14"/>
                <w:lang w:eastAsia="en-AU"/>
              </w:rPr>
            </w:pPr>
            <w:r w:rsidRPr="00101155">
              <w:rPr>
                <w:sz w:val="14"/>
                <w:lang w:eastAsia="en-AU"/>
              </w:rPr>
              <w:t>58</w:t>
            </w:r>
          </w:p>
        </w:tc>
        <w:tc>
          <w:tcPr>
            <w:tcW w:w="430" w:type="dxa"/>
            <w:noWrap/>
            <w:vAlign w:val="center"/>
            <w:hideMark/>
          </w:tcPr>
          <w:p w14:paraId="29CA6BE0" w14:textId="77777777" w:rsidR="00101155" w:rsidRPr="00101155" w:rsidRDefault="00101155" w:rsidP="00C33C70">
            <w:pPr>
              <w:pStyle w:val="Tabletext"/>
              <w:jc w:val="center"/>
              <w:rPr>
                <w:sz w:val="14"/>
                <w:lang w:eastAsia="en-AU"/>
              </w:rPr>
            </w:pPr>
            <w:r w:rsidRPr="00101155">
              <w:rPr>
                <w:sz w:val="14"/>
                <w:lang w:eastAsia="en-AU"/>
              </w:rPr>
              <w:t>65</w:t>
            </w:r>
          </w:p>
        </w:tc>
        <w:tc>
          <w:tcPr>
            <w:tcW w:w="430" w:type="dxa"/>
            <w:noWrap/>
            <w:vAlign w:val="center"/>
            <w:hideMark/>
          </w:tcPr>
          <w:p w14:paraId="55992892" w14:textId="77777777" w:rsidR="00101155" w:rsidRPr="00101155" w:rsidRDefault="00101155" w:rsidP="00C33C70">
            <w:pPr>
              <w:pStyle w:val="Tabletext"/>
              <w:jc w:val="center"/>
              <w:rPr>
                <w:sz w:val="14"/>
                <w:lang w:eastAsia="en-AU"/>
              </w:rPr>
            </w:pPr>
            <w:r w:rsidRPr="00101155">
              <w:rPr>
                <w:sz w:val="14"/>
                <w:lang w:eastAsia="en-AU"/>
              </w:rPr>
              <w:t>75</w:t>
            </w:r>
          </w:p>
        </w:tc>
        <w:tc>
          <w:tcPr>
            <w:tcW w:w="457" w:type="dxa"/>
            <w:noWrap/>
            <w:vAlign w:val="center"/>
            <w:hideMark/>
          </w:tcPr>
          <w:p w14:paraId="6FB64BB8" w14:textId="77777777" w:rsidR="00101155" w:rsidRPr="00101155" w:rsidRDefault="00101155" w:rsidP="00C33C70">
            <w:pPr>
              <w:pStyle w:val="Tabletext"/>
              <w:jc w:val="center"/>
              <w:rPr>
                <w:sz w:val="14"/>
                <w:lang w:eastAsia="en-AU"/>
              </w:rPr>
            </w:pPr>
            <w:r w:rsidRPr="00101155">
              <w:rPr>
                <w:sz w:val="14"/>
                <w:lang w:eastAsia="en-AU"/>
              </w:rPr>
              <w:t>79</w:t>
            </w:r>
          </w:p>
        </w:tc>
        <w:tc>
          <w:tcPr>
            <w:tcW w:w="457" w:type="dxa"/>
            <w:noWrap/>
            <w:vAlign w:val="center"/>
            <w:hideMark/>
          </w:tcPr>
          <w:p w14:paraId="3F83B426" w14:textId="77777777" w:rsidR="00101155" w:rsidRPr="00101155" w:rsidRDefault="00101155" w:rsidP="00C33C70">
            <w:pPr>
              <w:pStyle w:val="Tabletext"/>
              <w:jc w:val="center"/>
              <w:rPr>
                <w:sz w:val="14"/>
                <w:lang w:eastAsia="en-AU"/>
              </w:rPr>
            </w:pPr>
            <w:r w:rsidRPr="00101155">
              <w:rPr>
                <w:sz w:val="14"/>
                <w:lang w:eastAsia="en-AU"/>
              </w:rPr>
              <w:t>69</w:t>
            </w:r>
          </w:p>
        </w:tc>
        <w:tc>
          <w:tcPr>
            <w:tcW w:w="430" w:type="dxa"/>
            <w:noWrap/>
            <w:vAlign w:val="center"/>
            <w:hideMark/>
          </w:tcPr>
          <w:p w14:paraId="3AA2FBA2" w14:textId="77777777" w:rsidR="00101155" w:rsidRPr="00101155" w:rsidRDefault="00101155" w:rsidP="00C33C70">
            <w:pPr>
              <w:pStyle w:val="Tabletext"/>
              <w:jc w:val="center"/>
              <w:rPr>
                <w:sz w:val="14"/>
                <w:lang w:eastAsia="en-AU"/>
              </w:rPr>
            </w:pPr>
            <w:r w:rsidRPr="00101155">
              <w:rPr>
                <w:sz w:val="14"/>
                <w:lang w:eastAsia="en-AU"/>
              </w:rPr>
              <w:t>78</w:t>
            </w:r>
          </w:p>
        </w:tc>
        <w:tc>
          <w:tcPr>
            <w:tcW w:w="430" w:type="dxa"/>
            <w:noWrap/>
            <w:vAlign w:val="center"/>
            <w:hideMark/>
          </w:tcPr>
          <w:p w14:paraId="199C49EC" w14:textId="77777777" w:rsidR="00101155" w:rsidRPr="00101155" w:rsidRDefault="00101155" w:rsidP="00C33C70">
            <w:pPr>
              <w:pStyle w:val="Tabletext"/>
              <w:jc w:val="center"/>
              <w:rPr>
                <w:sz w:val="14"/>
                <w:lang w:eastAsia="en-AU"/>
              </w:rPr>
            </w:pPr>
            <w:r w:rsidRPr="00101155">
              <w:rPr>
                <w:sz w:val="14"/>
                <w:lang w:eastAsia="en-AU"/>
              </w:rPr>
              <w:t>90</w:t>
            </w:r>
          </w:p>
        </w:tc>
        <w:tc>
          <w:tcPr>
            <w:tcW w:w="457" w:type="dxa"/>
            <w:noWrap/>
            <w:vAlign w:val="center"/>
            <w:hideMark/>
          </w:tcPr>
          <w:p w14:paraId="1BCCB4EF" w14:textId="77777777" w:rsidR="00101155" w:rsidRPr="00101155" w:rsidRDefault="00101155" w:rsidP="00C33C70">
            <w:pPr>
              <w:pStyle w:val="Tabletext"/>
              <w:jc w:val="center"/>
              <w:rPr>
                <w:sz w:val="14"/>
                <w:lang w:eastAsia="en-AU"/>
              </w:rPr>
            </w:pPr>
            <w:r w:rsidRPr="00101155">
              <w:rPr>
                <w:sz w:val="14"/>
                <w:lang w:eastAsia="en-AU"/>
              </w:rPr>
              <w:t>95</w:t>
            </w:r>
          </w:p>
        </w:tc>
      </w:tr>
      <w:tr w:rsidR="00151778" w:rsidRPr="00101155" w14:paraId="5D42843B" w14:textId="77777777" w:rsidTr="0064760C">
        <w:trPr>
          <w:trHeight w:val="360"/>
        </w:trPr>
        <w:tc>
          <w:tcPr>
            <w:tcW w:w="661" w:type="dxa"/>
            <w:vMerge w:val="restart"/>
            <w:noWrap/>
            <w:textDirection w:val="btLr"/>
            <w:vAlign w:val="center"/>
            <w:hideMark/>
          </w:tcPr>
          <w:p w14:paraId="716BF271" w14:textId="77777777" w:rsidR="00151778" w:rsidRPr="00101155" w:rsidRDefault="00151778" w:rsidP="00151778">
            <w:pPr>
              <w:pStyle w:val="Tabletext"/>
              <w:jc w:val="center"/>
              <w:rPr>
                <w:lang w:eastAsia="en-AU"/>
              </w:rPr>
            </w:pPr>
            <w:r w:rsidRPr="00101155">
              <w:rPr>
                <w:lang w:eastAsia="en-AU"/>
              </w:rPr>
              <w:t>Lamp Life (hours)</w:t>
            </w:r>
          </w:p>
        </w:tc>
        <w:tc>
          <w:tcPr>
            <w:tcW w:w="1484" w:type="dxa"/>
            <w:noWrap/>
            <w:vAlign w:val="center"/>
            <w:hideMark/>
          </w:tcPr>
          <w:p w14:paraId="5540CDCA" w14:textId="77777777" w:rsidR="00151778" w:rsidRPr="00101155" w:rsidRDefault="00151778" w:rsidP="00151778">
            <w:pPr>
              <w:pStyle w:val="Tabletext"/>
              <w:rPr>
                <w:lang w:eastAsia="en-AU"/>
              </w:rPr>
            </w:pPr>
            <w:r w:rsidRPr="00101155">
              <w:rPr>
                <w:lang w:eastAsia="en-AU"/>
              </w:rPr>
              <w:t>8000 to 9999</w:t>
            </w:r>
          </w:p>
        </w:tc>
        <w:tc>
          <w:tcPr>
            <w:tcW w:w="1775" w:type="dxa"/>
            <w:gridSpan w:val="4"/>
            <w:noWrap/>
            <w:hideMark/>
          </w:tcPr>
          <w:p w14:paraId="32239839" w14:textId="7B1959D7" w:rsidR="00151778" w:rsidRPr="00101155" w:rsidRDefault="00151778" w:rsidP="00151778">
            <w:pPr>
              <w:pStyle w:val="Tabletext"/>
              <w:jc w:val="center"/>
              <w:rPr>
                <w:lang w:eastAsia="en-AU"/>
              </w:rPr>
            </w:pPr>
            <w:r w:rsidRPr="007F0484">
              <w:t>0.182</w:t>
            </w:r>
          </w:p>
        </w:tc>
        <w:tc>
          <w:tcPr>
            <w:tcW w:w="1774" w:type="dxa"/>
            <w:gridSpan w:val="4"/>
            <w:noWrap/>
            <w:hideMark/>
          </w:tcPr>
          <w:p w14:paraId="1A939462" w14:textId="16989195" w:rsidR="00151778" w:rsidRPr="00101155" w:rsidRDefault="00151778" w:rsidP="00151778">
            <w:pPr>
              <w:pStyle w:val="Tabletext"/>
              <w:jc w:val="center"/>
              <w:rPr>
                <w:lang w:eastAsia="en-AU"/>
              </w:rPr>
            </w:pPr>
            <w:r w:rsidRPr="007F0484">
              <w:t>0.199</w:t>
            </w:r>
          </w:p>
        </w:tc>
        <w:tc>
          <w:tcPr>
            <w:tcW w:w="1774" w:type="dxa"/>
            <w:gridSpan w:val="4"/>
            <w:noWrap/>
            <w:hideMark/>
          </w:tcPr>
          <w:p w14:paraId="2AB026A1" w14:textId="7615B9FF" w:rsidR="00151778" w:rsidRPr="00101155" w:rsidRDefault="00151778" w:rsidP="00151778">
            <w:pPr>
              <w:pStyle w:val="Tabletext"/>
              <w:jc w:val="center"/>
              <w:rPr>
                <w:lang w:eastAsia="en-AU"/>
              </w:rPr>
            </w:pPr>
            <w:r w:rsidRPr="007F0484">
              <w:t>0.209</w:t>
            </w:r>
          </w:p>
        </w:tc>
        <w:tc>
          <w:tcPr>
            <w:tcW w:w="1774" w:type="dxa"/>
            <w:gridSpan w:val="4"/>
            <w:noWrap/>
            <w:hideMark/>
          </w:tcPr>
          <w:p w14:paraId="42C6BCB7" w14:textId="3A8D66AB" w:rsidR="00151778" w:rsidRPr="00101155" w:rsidRDefault="00151778" w:rsidP="00151778">
            <w:pPr>
              <w:pStyle w:val="Tabletext"/>
              <w:jc w:val="center"/>
              <w:rPr>
                <w:lang w:eastAsia="en-AU"/>
              </w:rPr>
            </w:pPr>
            <w:r w:rsidRPr="007F0484">
              <w:t>0.218</w:t>
            </w:r>
          </w:p>
        </w:tc>
      </w:tr>
      <w:tr w:rsidR="00151778" w:rsidRPr="00101155" w14:paraId="370A7E97" w14:textId="77777777" w:rsidTr="0064760C">
        <w:trPr>
          <w:trHeight w:val="360"/>
        </w:trPr>
        <w:tc>
          <w:tcPr>
            <w:tcW w:w="661" w:type="dxa"/>
            <w:vMerge/>
            <w:vAlign w:val="center"/>
            <w:hideMark/>
          </w:tcPr>
          <w:p w14:paraId="5BD7BDC6" w14:textId="77777777" w:rsidR="00151778" w:rsidRPr="00101155" w:rsidRDefault="00151778" w:rsidP="00151778">
            <w:pPr>
              <w:spacing w:after="0" w:line="240" w:lineRule="auto"/>
              <w:rPr>
                <w:rFonts w:ascii="Calibri" w:hAnsi="Calibri" w:cs="Times New Roman"/>
                <w:color w:val="000000"/>
                <w:sz w:val="16"/>
                <w:lang w:eastAsia="en-AU"/>
              </w:rPr>
            </w:pPr>
          </w:p>
        </w:tc>
        <w:tc>
          <w:tcPr>
            <w:tcW w:w="1484" w:type="dxa"/>
            <w:noWrap/>
            <w:vAlign w:val="center"/>
            <w:hideMark/>
          </w:tcPr>
          <w:p w14:paraId="7E9835CF" w14:textId="77777777" w:rsidR="00151778" w:rsidRPr="00101155" w:rsidRDefault="00151778" w:rsidP="00151778">
            <w:pPr>
              <w:pStyle w:val="Tabletext"/>
              <w:rPr>
                <w:lang w:eastAsia="en-AU"/>
              </w:rPr>
            </w:pPr>
            <w:r w:rsidRPr="00BB7AFF">
              <w:rPr>
                <w:lang w:eastAsia="en-AU"/>
              </w:rPr>
              <w:t>10000 to 11999</w:t>
            </w:r>
          </w:p>
        </w:tc>
        <w:tc>
          <w:tcPr>
            <w:tcW w:w="1775" w:type="dxa"/>
            <w:gridSpan w:val="4"/>
            <w:noWrap/>
            <w:hideMark/>
          </w:tcPr>
          <w:p w14:paraId="30554115" w14:textId="5DA891D9" w:rsidR="00151778" w:rsidRPr="00101155" w:rsidRDefault="00151778" w:rsidP="00151778">
            <w:pPr>
              <w:pStyle w:val="Tabletext"/>
              <w:jc w:val="center"/>
              <w:rPr>
                <w:lang w:eastAsia="en-AU"/>
              </w:rPr>
            </w:pPr>
            <w:r w:rsidRPr="007F0484">
              <w:t>0.228</w:t>
            </w:r>
          </w:p>
        </w:tc>
        <w:tc>
          <w:tcPr>
            <w:tcW w:w="1774" w:type="dxa"/>
            <w:gridSpan w:val="4"/>
            <w:noWrap/>
            <w:hideMark/>
          </w:tcPr>
          <w:p w14:paraId="51AE9845" w14:textId="26F028F8" w:rsidR="00151778" w:rsidRPr="00101155" w:rsidRDefault="00151778" w:rsidP="00151778">
            <w:pPr>
              <w:pStyle w:val="Tabletext"/>
              <w:jc w:val="center"/>
              <w:rPr>
                <w:lang w:eastAsia="en-AU"/>
              </w:rPr>
            </w:pPr>
            <w:r w:rsidRPr="007F0484">
              <w:t>0.249</w:t>
            </w:r>
          </w:p>
        </w:tc>
        <w:tc>
          <w:tcPr>
            <w:tcW w:w="1774" w:type="dxa"/>
            <w:gridSpan w:val="4"/>
            <w:noWrap/>
            <w:hideMark/>
          </w:tcPr>
          <w:p w14:paraId="32148082" w14:textId="66608496" w:rsidR="00151778" w:rsidRPr="00101155" w:rsidRDefault="00151778" w:rsidP="00151778">
            <w:pPr>
              <w:pStyle w:val="Tabletext"/>
              <w:jc w:val="center"/>
              <w:rPr>
                <w:lang w:eastAsia="en-AU"/>
              </w:rPr>
            </w:pPr>
            <w:r w:rsidRPr="007F0484">
              <w:t>0.262</w:t>
            </w:r>
          </w:p>
        </w:tc>
        <w:tc>
          <w:tcPr>
            <w:tcW w:w="1774" w:type="dxa"/>
            <w:gridSpan w:val="4"/>
            <w:noWrap/>
            <w:hideMark/>
          </w:tcPr>
          <w:p w14:paraId="5792D537" w14:textId="1FCB6E2C" w:rsidR="00151778" w:rsidRPr="00101155" w:rsidRDefault="00151778" w:rsidP="00151778">
            <w:pPr>
              <w:pStyle w:val="Tabletext"/>
              <w:jc w:val="center"/>
              <w:rPr>
                <w:lang w:eastAsia="en-AU"/>
              </w:rPr>
            </w:pPr>
            <w:r w:rsidRPr="007F0484">
              <w:t>0.272</w:t>
            </w:r>
          </w:p>
        </w:tc>
      </w:tr>
      <w:tr w:rsidR="00151778" w:rsidRPr="00101155" w14:paraId="3B3E6002" w14:textId="77777777" w:rsidTr="0064760C">
        <w:trPr>
          <w:trHeight w:val="360"/>
        </w:trPr>
        <w:tc>
          <w:tcPr>
            <w:tcW w:w="661" w:type="dxa"/>
            <w:vMerge/>
            <w:vAlign w:val="center"/>
            <w:hideMark/>
          </w:tcPr>
          <w:p w14:paraId="28A73801" w14:textId="77777777" w:rsidR="00151778" w:rsidRPr="00101155" w:rsidRDefault="00151778" w:rsidP="00151778">
            <w:pPr>
              <w:spacing w:after="0" w:line="240" w:lineRule="auto"/>
              <w:rPr>
                <w:rFonts w:ascii="Calibri" w:hAnsi="Calibri" w:cs="Times New Roman"/>
                <w:color w:val="000000"/>
                <w:sz w:val="16"/>
                <w:lang w:eastAsia="en-AU"/>
              </w:rPr>
            </w:pPr>
          </w:p>
        </w:tc>
        <w:tc>
          <w:tcPr>
            <w:tcW w:w="1484" w:type="dxa"/>
            <w:noWrap/>
            <w:vAlign w:val="center"/>
            <w:hideMark/>
          </w:tcPr>
          <w:p w14:paraId="321C4D57" w14:textId="77777777" w:rsidR="00151778" w:rsidRPr="00101155" w:rsidRDefault="00151778" w:rsidP="00151778">
            <w:pPr>
              <w:pStyle w:val="Tabletext"/>
              <w:rPr>
                <w:lang w:eastAsia="en-AU"/>
              </w:rPr>
            </w:pPr>
            <w:r w:rsidRPr="00BB7AFF">
              <w:rPr>
                <w:lang w:eastAsia="en-AU"/>
              </w:rPr>
              <w:t>12000 to 14999</w:t>
            </w:r>
          </w:p>
        </w:tc>
        <w:tc>
          <w:tcPr>
            <w:tcW w:w="1775" w:type="dxa"/>
            <w:gridSpan w:val="4"/>
            <w:noWrap/>
            <w:hideMark/>
          </w:tcPr>
          <w:p w14:paraId="02CFC752" w14:textId="5A4E553D" w:rsidR="00151778" w:rsidRPr="00101155" w:rsidRDefault="00151778" w:rsidP="00151778">
            <w:pPr>
              <w:pStyle w:val="Tabletext"/>
              <w:jc w:val="center"/>
              <w:rPr>
                <w:lang w:eastAsia="en-AU"/>
              </w:rPr>
            </w:pPr>
            <w:r w:rsidRPr="007F0484">
              <w:t>0.274</w:t>
            </w:r>
          </w:p>
        </w:tc>
        <w:tc>
          <w:tcPr>
            <w:tcW w:w="1774" w:type="dxa"/>
            <w:gridSpan w:val="4"/>
            <w:noWrap/>
            <w:hideMark/>
          </w:tcPr>
          <w:p w14:paraId="781E378D" w14:textId="0A28FB67" w:rsidR="00151778" w:rsidRPr="00101155" w:rsidRDefault="00151778" w:rsidP="00151778">
            <w:pPr>
              <w:pStyle w:val="Tabletext"/>
              <w:jc w:val="center"/>
              <w:rPr>
                <w:lang w:eastAsia="en-AU"/>
              </w:rPr>
            </w:pPr>
            <w:r w:rsidRPr="007F0484">
              <w:t>0.299</w:t>
            </w:r>
          </w:p>
        </w:tc>
        <w:tc>
          <w:tcPr>
            <w:tcW w:w="1774" w:type="dxa"/>
            <w:gridSpan w:val="4"/>
            <w:noWrap/>
            <w:hideMark/>
          </w:tcPr>
          <w:p w14:paraId="3A462738" w14:textId="614143A8" w:rsidR="00151778" w:rsidRPr="00101155" w:rsidRDefault="00151778" w:rsidP="00151778">
            <w:pPr>
              <w:pStyle w:val="Tabletext"/>
              <w:jc w:val="center"/>
              <w:rPr>
                <w:lang w:eastAsia="en-AU"/>
              </w:rPr>
            </w:pPr>
            <w:r w:rsidRPr="007F0484">
              <w:t>0.314</w:t>
            </w:r>
          </w:p>
        </w:tc>
        <w:tc>
          <w:tcPr>
            <w:tcW w:w="1774" w:type="dxa"/>
            <w:gridSpan w:val="4"/>
            <w:noWrap/>
            <w:hideMark/>
          </w:tcPr>
          <w:p w14:paraId="305B57A7" w14:textId="1FCD6870" w:rsidR="00151778" w:rsidRPr="00101155" w:rsidRDefault="00151778" w:rsidP="00151778">
            <w:pPr>
              <w:pStyle w:val="Tabletext"/>
              <w:jc w:val="center"/>
              <w:rPr>
                <w:lang w:eastAsia="en-AU"/>
              </w:rPr>
            </w:pPr>
            <w:r w:rsidRPr="007F0484">
              <w:t>0.327</w:t>
            </w:r>
          </w:p>
        </w:tc>
      </w:tr>
      <w:tr w:rsidR="00151778" w:rsidRPr="00101155" w14:paraId="75B49D4A" w14:textId="77777777" w:rsidTr="0064760C">
        <w:trPr>
          <w:trHeight w:val="360"/>
        </w:trPr>
        <w:tc>
          <w:tcPr>
            <w:tcW w:w="661" w:type="dxa"/>
            <w:vMerge/>
            <w:vAlign w:val="center"/>
            <w:hideMark/>
          </w:tcPr>
          <w:p w14:paraId="62F60B5C" w14:textId="77777777" w:rsidR="00151778" w:rsidRPr="00101155" w:rsidRDefault="00151778" w:rsidP="00151778">
            <w:pPr>
              <w:spacing w:after="0" w:line="240" w:lineRule="auto"/>
              <w:rPr>
                <w:rFonts w:ascii="Calibri" w:hAnsi="Calibri" w:cs="Times New Roman"/>
                <w:color w:val="000000"/>
                <w:sz w:val="16"/>
                <w:lang w:eastAsia="en-AU"/>
              </w:rPr>
            </w:pPr>
          </w:p>
        </w:tc>
        <w:tc>
          <w:tcPr>
            <w:tcW w:w="1484" w:type="dxa"/>
            <w:noWrap/>
            <w:vAlign w:val="center"/>
            <w:hideMark/>
          </w:tcPr>
          <w:p w14:paraId="141EB213" w14:textId="77777777" w:rsidR="00151778" w:rsidRPr="00101155" w:rsidRDefault="00151778" w:rsidP="00151778">
            <w:pPr>
              <w:pStyle w:val="Tabletext"/>
              <w:rPr>
                <w:lang w:eastAsia="en-AU"/>
              </w:rPr>
            </w:pPr>
            <w:r w:rsidRPr="00BB7AFF">
              <w:rPr>
                <w:lang w:eastAsia="en-AU"/>
              </w:rPr>
              <w:t>15000 to 19999</w:t>
            </w:r>
          </w:p>
        </w:tc>
        <w:tc>
          <w:tcPr>
            <w:tcW w:w="1775" w:type="dxa"/>
            <w:gridSpan w:val="4"/>
            <w:noWrap/>
            <w:hideMark/>
          </w:tcPr>
          <w:p w14:paraId="78A23AB9" w14:textId="262C5373" w:rsidR="00151778" w:rsidRPr="00101155" w:rsidRDefault="00151778" w:rsidP="00151778">
            <w:pPr>
              <w:pStyle w:val="Tabletext"/>
              <w:jc w:val="center"/>
              <w:rPr>
                <w:lang w:eastAsia="en-AU"/>
              </w:rPr>
            </w:pPr>
            <w:r w:rsidRPr="007F0484">
              <w:t>0.342</w:t>
            </w:r>
          </w:p>
        </w:tc>
        <w:tc>
          <w:tcPr>
            <w:tcW w:w="1774" w:type="dxa"/>
            <w:gridSpan w:val="4"/>
            <w:noWrap/>
            <w:hideMark/>
          </w:tcPr>
          <w:p w14:paraId="02B3B16A" w14:textId="0D8A368D" w:rsidR="00151778" w:rsidRPr="00101155" w:rsidRDefault="00151778" w:rsidP="00151778">
            <w:pPr>
              <w:pStyle w:val="Tabletext"/>
              <w:jc w:val="center"/>
              <w:rPr>
                <w:lang w:eastAsia="en-AU"/>
              </w:rPr>
            </w:pPr>
            <w:r w:rsidRPr="007F0484">
              <w:t>0.374</w:t>
            </w:r>
          </w:p>
        </w:tc>
        <w:tc>
          <w:tcPr>
            <w:tcW w:w="1774" w:type="dxa"/>
            <w:gridSpan w:val="4"/>
            <w:noWrap/>
            <w:hideMark/>
          </w:tcPr>
          <w:p w14:paraId="42A9D9B1" w14:textId="0A5B758D" w:rsidR="00151778" w:rsidRPr="00101155" w:rsidRDefault="00151778" w:rsidP="00151778">
            <w:pPr>
              <w:pStyle w:val="Tabletext"/>
              <w:jc w:val="center"/>
              <w:rPr>
                <w:lang w:eastAsia="en-AU"/>
              </w:rPr>
            </w:pPr>
            <w:r w:rsidRPr="007F0484">
              <w:t>0.393</w:t>
            </w:r>
          </w:p>
        </w:tc>
        <w:tc>
          <w:tcPr>
            <w:tcW w:w="1774" w:type="dxa"/>
            <w:gridSpan w:val="4"/>
            <w:noWrap/>
            <w:hideMark/>
          </w:tcPr>
          <w:p w14:paraId="09113F43" w14:textId="71B949C8" w:rsidR="00151778" w:rsidRPr="00101155" w:rsidRDefault="00151778" w:rsidP="00151778">
            <w:pPr>
              <w:pStyle w:val="Tabletext"/>
              <w:jc w:val="center"/>
              <w:rPr>
                <w:lang w:eastAsia="en-AU"/>
              </w:rPr>
            </w:pPr>
            <w:r w:rsidRPr="007F0484">
              <w:t>0.408</w:t>
            </w:r>
          </w:p>
        </w:tc>
      </w:tr>
      <w:tr w:rsidR="00151778" w:rsidRPr="00101155" w14:paraId="16466B5F" w14:textId="77777777" w:rsidTr="0064760C">
        <w:trPr>
          <w:trHeight w:val="360"/>
        </w:trPr>
        <w:tc>
          <w:tcPr>
            <w:tcW w:w="661" w:type="dxa"/>
            <w:vMerge/>
            <w:vAlign w:val="center"/>
            <w:hideMark/>
          </w:tcPr>
          <w:p w14:paraId="2D0329AD" w14:textId="77777777" w:rsidR="00151778" w:rsidRPr="00101155" w:rsidRDefault="00151778" w:rsidP="00151778">
            <w:pPr>
              <w:spacing w:after="0" w:line="240" w:lineRule="auto"/>
              <w:rPr>
                <w:rFonts w:ascii="Calibri" w:hAnsi="Calibri" w:cs="Times New Roman"/>
                <w:color w:val="000000"/>
                <w:sz w:val="16"/>
                <w:lang w:eastAsia="en-AU"/>
              </w:rPr>
            </w:pPr>
          </w:p>
        </w:tc>
        <w:tc>
          <w:tcPr>
            <w:tcW w:w="1484" w:type="dxa"/>
            <w:noWrap/>
            <w:vAlign w:val="center"/>
            <w:hideMark/>
          </w:tcPr>
          <w:p w14:paraId="6D62AD2F" w14:textId="77777777" w:rsidR="00151778" w:rsidRPr="00101155" w:rsidRDefault="00151778" w:rsidP="00151778">
            <w:pPr>
              <w:pStyle w:val="Tabletext"/>
              <w:rPr>
                <w:lang w:eastAsia="en-AU"/>
              </w:rPr>
            </w:pPr>
            <w:r w:rsidRPr="00BB7AFF">
              <w:rPr>
                <w:lang w:eastAsia="en-AU"/>
              </w:rPr>
              <w:t>20000 to 24999</w:t>
            </w:r>
          </w:p>
        </w:tc>
        <w:tc>
          <w:tcPr>
            <w:tcW w:w="1775" w:type="dxa"/>
            <w:gridSpan w:val="4"/>
            <w:noWrap/>
            <w:hideMark/>
          </w:tcPr>
          <w:p w14:paraId="7D9ACE05" w14:textId="6C507A42" w:rsidR="00151778" w:rsidRPr="00101155" w:rsidRDefault="00151778" w:rsidP="00151778">
            <w:pPr>
              <w:pStyle w:val="Tabletext"/>
              <w:jc w:val="center"/>
              <w:rPr>
                <w:lang w:eastAsia="en-AU"/>
              </w:rPr>
            </w:pPr>
            <w:r w:rsidRPr="007F0484">
              <w:t>0.456</w:t>
            </w:r>
          </w:p>
        </w:tc>
        <w:tc>
          <w:tcPr>
            <w:tcW w:w="1774" w:type="dxa"/>
            <w:gridSpan w:val="4"/>
            <w:noWrap/>
            <w:hideMark/>
          </w:tcPr>
          <w:p w14:paraId="36DE9006" w14:textId="666F38E0" w:rsidR="00151778" w:rsidRPr="00101155" w:rsidRDefault="00151778" w:rsidP="00151778">
            <w:pPr>
              <w:pStyle w:val="Tabletext"/>
              <w:jc w:val="center"/>
              <w:rPr>
                <w:lang w:eastAsia="en-AU"/>
              </w:rPr>
            </w:pPr>
            <w:r w:rsidRPr="007F0484">
              <w:t>0.498</w:t>
            </w:r>
          </w:p>
        </w:tc>
        <w:tc>
          <w:tcPr>
            <w:tcW w:w="1774" w:type="dxa"/>
            <w:gridSpan w:val="4"/>
            <w:noWrap/>
            <w:hideMark/>
          </w:tcPr>
          <w:p w14:paraId="134819EA" w14:textId="53E5CFCD" w:rsidR="00151778" w:rsidRPr="00101155" w:rsidRDefault="00151778" w:rsidP="00151778">
            <w:pPr>
              <w:pStyle w:val="Tabletext"/>
              <w:jc w:val="center"/>
              <w:rPr>
                <w:lang w:eastAsia="en-AU"/>
              </w:rPr>
            </w:pPr>
            <w:r w:rsidRPr="007F0484">
              <w:t>0.523</w:t>
            </w:r>
          </w:p>
        </w:tc>
        <w:tc>
          <w:tcPr>
            <w:tcW w:w="1774" w:type="dxa"/>
            <w:gridSpan w:val="4"/>
            <w:noWrap/>
            <w:hideMark/>
          </w:tcPr>
          <w:p w14:paraId="5016D06B" w14:textId="3261D0ED" w:rsidR="00151778" w:rsidRPr="00101155" w:rsidRDefault="00151778" w:rsidP="00151778">
            <w:pPr>
              <w:pStyle w:val="Tabletext"/>
              <w:jc w:val="center"/>
              <w:rPr>
                <w:lang w:eastAsia="en-AU"/>
              </w:rPr>
            </w:pPr>
            <w:r w:rsidRPr="007F0484">
              <w:t>0.544</w:t>
            </w:r>
          </w:p>
        </w:tc>
      </w:tr>
      <w:tr w:rsidR="00151778" w:rsidRPr="00101155" w14:paraId="301D8DDF" w14:textId="77777777" w:rsidTr="0064760C">
        <w:trPr>
          <w:trHeight w:val="360"/>
        </w:trPr>
        <w:tc>
          <w:tcPr>
            <w:tcW w:w="661" w:type="dxa"/>
            <w:vMerge/>
            <w:vAlign w:val="center"/>
            <w:hideMark/>
          </w:tcPr>
          <w:p w14:paraId="2691CE77" w14:textId="77777777" w:rsidR="00151778" w:rsidRPr="00101155" w:rsidRDefault="00151778" w:rsidP="00151778">
            <w:pPr>
              <w:spacing w:after="0" w:line="240" w:lineRule="auto"/>
              <w:rPr>
                <w:rFonts w:ascii="Calibri" w:hAnsi="Calibri" w:cs="Times New Roman"/>
                <w:color w:val="000000"/>
                <w:sz w:val="16"/>
                <w:lang w:eastAsia="en-AU"/>
              </w:rPr>
            </w:pPr>
          </w:p>
        </w:tc>
        <w:tc>
          <w:tcPr>
            <w:tcW w:w="1484" w:type="dxa"/>
            <w:noWrap/>
            <w:vAlign w:val="center"/>
            <w:hideMark/>
          </w:tcPr>
          <w:p w14:paraId="42AA727D" w14:textId="77777777" w:rsidR="00151778" w:rsidRPr="00101155" w:rsidRDefault="00151778" w:rsidP="00151778">
            <w:pPr>
              <w:pStyle w:val="Tabletext"/>
              <w:rPr>
                <w:lang w:eastAsia="en-AU"/>
              </w:rPr>
            </w:pPr>
            <w:r w:rsidRPr="00BB7AFF">
              <w:rPr>
                <w:lang w:eastAsia="en-AU"/>
              </w:rPr>
              <w:t>25000+</w:t>
            </w:r>
          </w:p>
        </w:tc>
        <w:tc>
          <w:tcPr>
            <w:tcW w:w="1775" w:type="dxa"/>
            <w:gridSpan w:val="4"/>
            <w:noWrap/>
            <w:hideMark/>
          </w:tcPr>
          <w:p w14:paraId="1FF6F549" w14:textId="6D98EBB0" w:rsidR="00151778" w:rsidRPr="00101155" w:rsidRDefault="00151778" w:rsidP="00151778">
            <w:pPr>
              <w:pStyle w:val="Tabletext"/>
              <w:jc w:val="center"/>
              <w:rPr>
                <w:lang w:eastAsia="en-AU"/>
              </w:rPr>
            </w:pPr>
            <w:r w:rsidRPr="007F0484">
              <w:t>0.570</w:t>
            </w:r>
          </w:p>
        </w:tc>
        <w:tc>
          <w:tcPr>
            <w:tcW w:w="1774" w:type="dxa"/>
            <w:gridSpan w:val="4"/>
            <w:noWrap/>
            <w:hideMark/>
          </w:tcPr>
          <w:p w14:paraId="602CBD1F" w14:textId="1E96A5BE" w:rsidR="00151778" w:rsidRPr="00101155" w:rsidRDefault="00151778" w:rsidP="00151778">
            <w:pPr>
              <w:pStyle w:val="Tabletext"/>
              <w:jc w:val="center"/>
              <w:rPr>
                <w:lang w:eastAsia="en-AU"/>
              </w:rPr>
            </w:pPr>
            <w:r w:rsidRPr="007F0484">
              <w:t>0.623</w:t>
            </w:r>
          </w:p>
        </w:tc>
        <w:tc>
          <w:tcPr>
            <w:tcW w:w="1774" w:type="dxa"/>
            <w:gridSpan w:val="4"/>
            <w:noWrap/>
            <w:hideMark/>
          </w:tcPr>
          <w:p w14:paraId="2F6032AB" w14:textId="14612598" w:rsidR="00151778" w:rsidRPr="00101155" w:rsidRDefault="00151778" w:rsidP="00151778">
            <w:pPr>
              <w:pStyle w:val="Tabletext"/>
              <w:jc w:val="center"/>
              <w:rPr>
                <w:lang w:eastAsia="en-AU"/>
              </w:rPr>
            </w:pPr>
            <w:r w:rsidRPr="007F0484">
              <w:t>0.654</w:t>
            </w:r>
          </w:p>
        </w:tc>
        <w:tc>
          <w:tcPr>
            <w:tcW w:w="1774" w:type="dxa"/>
            <w:gridSpan w:val="4"/>
            <w:noWrap/>
            <w:hideMark/>
          </w:tcPr>
          <w:p w14:paraId="18848CE3" w14:textId="6DEBFB34" w:rsidR="00151778" w:rsidRPr="00101155" w:rsidRDefault="00151778" w:rsidP="00151778">
            <w:pPr>
              <w:pStyle w:val="Tabletext"/>
              <w:jc w:val="center"/>
              <w:rPr>
                <w:lang w:eastAsia="en-AU"/>
              </w:rPr>
            </w:pPr>
            <w:r w:rsidRPr="007F0484">
              <w:t>0.680</w:t>
            </w:r>
          </w:p>
        </w:tc>
      </w:tr>
    </w:tbl>
    <w:p w14:paraId="78D880B2" w14:textId="1110E292" w:rsidR="00F0426F" w:rsidRPr="00970AD2" w:rsidRDefault="00F0426F" w:rsidP="00D42823">
      <w:pPr>
        <w:pStyle w:val="Caption"/>
        <w:rPr>
          <w:rFonts w:eastAsia="Times New Roman"/>
          <w:lang w:eastAsia="en-AU"/>
        </w:rPr>
      </w:pPr>
      <w:bookmarkStart w:id="300" w:name="_Toc37945713"/>
      <w:bookmarkStart w:id="301" w:name="_Toc21868134"/>
      <w:bookmarkStart w:id="302" w:name="_Toc21868266"/>
      <w:r w:rsidRPr="00970AD2">
        <w:t xml:space="preserve">Table </w:t>
      </w:r>
      <w:r w:rsidR="004A0156">
        <w:rPr>
          <w:noProof/>
        </w:rPr>
        <w:fldChar w:fldCharType="begin"/>
      </w:r>
      <w:r w:rsidR="004A0156">
        <w:rPr>
          <w:noProof/>
        </w:rPr>
        <w:instrText xml:space="preserve"> SEQ Table \* ARABIC </w:instrText>
      </w:r>
      <w:r w:rsidR="004A0156">
        <w:rPr>
          <w:noProof/>
        </w:rPr>
        <w:fldChar w:fldCharType="separate"/>
      </w:r>
      <w:r w:rsidR="00880CB1">
        <w:rPr>
          <w:noProof/>
        </w:rPr>
        <w:t>29</w:t>
      </w:r>
      <w:r w:rsidR="004A0156">
        <w:rPr>
          <w:noProof/>
        </w:rPr>
        <w:fldChar w:fldCharType="end"/>
      </w:r>
      <w:r w:rsidRPr="00970AD2">
        <w:t xml:space="preserve"> </w:t>
      </w:r>
      <w:r w:rsidR="009E6E7F">
        <w:tab/>
      </w:r>
      <w:r w:rsidR="000C27E5">
        <w:t xml:space="preserve">Activity </w:t>
      </w:r>
      <w:r w:rsidR="00D85CB2">
        <w:t xml:space="preserve">ID </w:t>
      </w:r>
      <w:r w:rsidR="000C27E5">
        <w:t>4.1(b)</w:t>
      </w:r>
      <w:r w:rsidRPr="00970AD2">
        <w:t xml:space="preserve"> </w:t>
      </w:r>
      <w:r w:rsidR="00D25CD5">
        <w:t>energy savings</w:t>
      </w:r>
      <w:r w:rsidRPr="00970AD2">
        <w:t xml:space="preserve"> values for installation of a low energy </w:t>
      </w:r>
      <w:r w:rsidR="00FD661C">
        <w:t xml:space="preserve">LED </w:t>
      </w:r>
      <w:r w:rsidRPr="00970AD2">
        <w:t>reflector lamp in place of a mains voltage incandescent reflector lamp</w:t>
      </w:r>
      <w:bookmarkEnd w:id="300"/>
      <w:r w:rsidR="00C33C70">
        <w:t xml:space="preserve"> </w:t>
      </w:r>
      <w:bookmarkEnd w:id="301"/>
      <w:bookmarkEnd w:id="302"/>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736"/>
        <w:gridCol w:w="1736"/>
        <w:gridCol w:w="1736"/>
        <w:gridCol w:w="1737"/>
      </w:tblGrid>
      <w:tr w:rsidR="00C33C70" w:rsidRPr="00D936CF" w14:paraId="12D306E3" w14:textId="77777777" w:rsidTr="00C33C70">
        <w:trPr>
          <w:trHeight w:val="445"/>
          <w:tblHeader/>
        </w:trPr>
        <w:tc>
          <w:tcPr>
            <w:tcW w:w="9087" w:type="dxa"/>
            <w:gridSpan w:val="5"/>
            <w:vAlign w:val="center"/>
            <w:hideMark/>
          </w:tcPr>
          <w:p w14:paraId="24CE20F4" w14:textId="54D44AA1" w:rsidR="00C33C70" w:rsidRPr="00970AD2" w:rsidRDefault="00C33C70" w:rsidP="00C33C70">
            <w:pPr>
              <w:pStyle w:val="Tableheader"/>
              <w:jc w:val="center"/>
              <w:rPr>
                <w:rFonts w:ascii="Calibri" w:hAnsi="Calibri" w:cs="Times New Roman"/>
              </w:rPr>
            </w:pPr>
            <w:r w:rsidRPr="00970AD2">
              <w:t xml:space="preserve">Activity </w:t>
            </w:r>
            <w:r w:rsidR="00D25CD5">
              <w:t>Energy savings</w:t>
            </w:r>
            <w:r w:rsidRPr="00970AD2">
              <w:t xml:space="preserve"> Value (</w:t>
            </w:r>
            <w:r w:rsidR="0062067B">
              <w:t>MWh</w:t>
            </w:r>
            <w:r w:rsidRPr="00970AD2">
              <w:t>)</w:t>
            </w:r>
          </w:p>
        </w:tc>
      </w:tr>
      <w:tr w:rsidR="00F35FF4" w:rsidRPr="00D936CF" w14:paraId="5CF5F6D8" w14:textId="77777777" w:rsidTr="00C33C70">
        <w:trPr>
          <w:trHeight w:val="560"/>
        </w:trPr>
        <w:tc>
          <w:tcPr>
            <w:tcW w:w="2142" w:type="dxa"/>
            <w:vAlign w:val="center"/>
            <w:hideMark/>
          </w:tcPr>
          <w:p w14:paraId="44BBE890" w14:textId="77777777" w:rsidR="00F35FF4" w:rsidRPr="00970AD2" w:rsidRDefault="00F35FF4" w:rsidP="00C33C70">
            <w:pPr>
              <w:pStyle w:val="Tabletext"/>
            </w:pPr>
            <w:r w:rsidRPr="00970AD2">
              <w:t>Efficacy</w:t>
            </w:r>
          </w:p>
        </w:tc>
        <w:tc>
          <w:tcPr>
            <w:tcW w:w="1736" w:type="dxa"/>
            <w:vAlign w:val="center"/>
            <w:hideMark/>
          </w:tcPr>
          <w:p w14:paraId="77D5BBB1" w14:textId="77777777" w:rsidR="00F35FF4" w:rsidRPr="00970AD2" w:rsidRDefault="00F35FF4" w:rsidP="00EE39FE">
            <w:pPr>
              <w:pStyle w:val="Tabletext"/>
              <w:jc w:val="center"/>
            </w:pPr>
            <w:r w:rsidRPr="00970AD2">
              <w:t xml:space="preserve">Min 45 </w:t>
            </w:r>
            <w:r w:rsidR="000C27E5">
              <w:t>lm/W</w:t>
            </w:r>
          </w:p>
        </w:tc>
        <w:tc>
          <w:tcPr>
            <w:tcW w:w="1736" w:type="dxa"/>
            <w:vAlign w:val="center"/>
            <w:hideMark/>
          </w:tcPr>
          <w:p w14:paraId="5D8E7E45" w14:textId="77777777" w:rsidR="00F35FF4" w:rsidRPr="00970AD2" w:rsidRDefault="00F35FF4" w:rsidP="00EE39FE">
            <w:pPr>
              <w:pStyle w:val="Tabletext"/>
              <w:jc w:val="center"/>
            </w:pPr>
            <w:r w:rsidRPr="00970AD2">
              <w:t xml:space="preserve">Min 54 </w:t>
            </w:r>
            <w:r w:rsidR="000C27E5">
              <w:t>lm/W</w:t>
            </w:r>
          </w:p>
        </w:tc>
        <w:tc>
          <w:tcPr>
            <w:tcW w:w="1736" w:type="dxa"/>
            <w:vAlign w:val="center"/>
            <w:hideMark/>
          </w:tcPr>
          <w:p w14:paraId="3E8EF868" w14:textId="77777777" w:rsidR="00F35FF4" w:rsidRPr="00970AD2" w:rsidRDefault="00F35FF4" w:rsidP="00EE39FE">
            <w:pPr>
              <w:pStyle w:val="Tabletext"/>
              <w:jc w:val="center"/>
            </w:pPr>
            <w:r w:rsidRPr="00970AD2">
              <w:t xml:space="preserve">Min 65 </w:t>
            </w:r>
            <w:r w:rsidR="000C27E5">
              <w:t>lm/W</w:t>
            </w:r>
          </w:p>
        </w:tc>
        <w:tc>
          <w:tcPr>
            <w:tcW w:w="1737" w:type="dxa"/>
            <w:vAlign w:val="center"/>
            <w:hideMark/>
          </w:tcPr>
          <w:p w14:paraId="0DDC715F" w14:textId="77777777" w:rsidR="00F35FF4" w:rsidRPr="00970AD2" w:rsidRDefault="00F35FF4" w:rsidP="00EE39FE">
            <w:pPr>
              <w:pStyle w:val="Tabletext"/>
              <w:jc w:val="center"/>
            </w:pPr>
            <w:r w:rsidRPr="00970AD2">
              <w:t xml:space="preserve">Min 78 </w:t>
            </w:r>
            <w:r w:rsidR="000C27E5">
              <w:t>lm/W</w:t>
            </w:r>
          </w:p>
        </w:tc>
      </w:tr>
      <w:tr w:rsidR="0062067B" w:rsidRPr="00D936CF" w14:paraId="3C31C04A" w14:textId="77777777" w:rsidTr="0064760C">
        <w:trPr>
          <w:trHeight w:val="280"/>
        </w:trPr>
        <w:tc>
          <w:tcPr>
            <w:tcW w:w="2142" w:type="dxa"/>
            <w:noWrap/>
            <w:vAlign w:val="center"/>
            <w:hideMark/>
          </w:tcPr>
          <w:p w14:paraId="630B922F" w14:textId="77777777" w:rsidR="0062067B" w:rsidRPr="00970AD2" w:rsidRDefault="0062067B" w:rsidP="0062067B">
            <w:pPr>
              <w:pStyle w:val="Tabletext"/>
            </w:pPr>
            <w:r w:rsidRPr="00970AD2">
              <w:t>12000 to 14999 hrs</w:t>
            </w:r>
          </w:p>
        </w:tc>
        <w:tc>
          <w:tcPr>
            <w:tcW w:w="1736" w:type="dxa"/>
            <w:noWrap/>
            <w:hideMark/>
          </w:tcPr>
          <w:p w14:paraId="4DF40D7C" w14:textId="6F3FE3F8" w:rsidR="0062067B" w:rsidRPr="00970AD2" w:rsidRDefault="0062067B" w:rsidP="0062067B">
            <w:pPr>
              <w:pStyle w:val="Tabletext"/>
              <w:jc w:val="center"/>
            </w:pPr>
            <w:r>
              <w:rPr>
                <w:rFonts w:ascii="Calibri" w:hAnsi="Calibri" w:cs="Calibri"/>
                <w:color w:val="000000"/>
                <w:sz w:val="22"/>
                <w:szCs w:val="22"/>
              </w:rPr>
              <w:t>0.366</w:t>
            </w:r>
          </w:p>
        </w:tc>
        <w:tc>
          <w:tcPr>
            <w:tcW w:w="1736" w:type="dxa"/>
            <w:noWrap/>
            <w:hideMark/>
          </w:tcPr>
          <w:p w14:paraId="26B623EB" w14:textId="01198700" w:rsidR="0062067B" w:rsidRPr="00970AD2" w:rsidRDefault="0062067B" w:rsidP="0062067B">
            <w:pPr>
              <w:pStyle w:val="Tabletext"/>
              <w:jc w:val="center"/>
            </w:pPr>
            <w:r>
              <w:rPr>
                <w:rFonts w:ascii="Calibri" w:hAnsi="Calibri" w:cs="Calibri"/>
                <w:color w:val="000000"/>
                <w:sz w:val="22"/>
                <w:szCs w:val="22"/>
              </w:rPr>
              <w:t>0.374</w:t>
            </w:r>
          </w:p>
        </w:tc>
        <w:tc>
          <w:tcPr>
            <w:tcW w:w="1736" w:type="dxa"/>
            <w:noWrap/>
            <w:hideMark/>
          </w:tcPr>
          <w:p w14:paraId="348CA7FE" w14:textId="4B5CBFAD" w:rsidR="0062067B" w:rsidRPr="00970AD2" w:rsidRDefault="0062067B" w:rsidP="0062067B">
            <w:pPr>
              <w:pStyle w:val="Tabletext"/>
              <w:jc w:val="center"/>
            </w:pPr>
            <w:r>
              <w:rPr>
                <w:rFonts w:ascii="Calibri" w:hAnsi="Calibri" w:cs="Calibri"/>
                <w:color w:val="000000"/>
                <w:sz w:val="22"/>
                <w:szCs w:val="22"/>
              </w:rPr>
              <w:t>0.381</w:t>
            </w:r>
          </w:p>
        </w:tc>
        <w:tc>
          <w:tcPr>
            <w:tcW w:w="1737" w:type="dxa"/>
            <w:noWrap/>
            <w:hideMark/>
          </w:tcPr>
          <w:p w14:paraId="131588E7" w14:textId="40321DED" w:rsidR="0062067B" w:rsidRPr="00970AD2" w:rsidRDefault="0062067B" w:rsidP="0062067B">
            <w:pPr>
              <w:pStyle w:val="Tabletext"/>
              <w:jc w:val="center"/>
            </w:pPr>
            <w:r>
              <w:rPr>
                <w:rFonts w:ascii="Calibri" w:hAnsi="Calibri" w:cs="Calibri"/>
                <w:color w:val="000000"/>
                <w:sz w:val="22"/>
                <w:szCs w:val="22"/>
              </w:rPr>
              <w:t>0.387</w:t>
            </w:r>
          </w:p>
        </w:tc>
      </w:tr>
      <w:tr w:rsidR="0062067B" w:rsidRPr="00D936CF" w14:paraId="7C3E4177" w14:textId="77777777" w:rsidTr="0064760C">
        <w:trPr>
          <w:trHeight w:val="280"/>
        </w:trPr>
        <w:tc>
          <w:tcPr>
            <w:tcW w:w="2142" w:type="dxa"/>
            <w:noWrap/>
            <w:vAlign w:val="center"/>
            <w:hideMark/>
          </w:tcPr>
          <w:p w14:paraId="5BAA9D77" w14:textId="77777777" w:rsidR="0062067B" w:rsidRPr="00970AD2" w:rsidRDefault="0062067B" w:rsidP="0062067B">
            <w:pPr>
              <w:pStyle w:val="Tabletext"/>
            </w:pPr>
            <w:r w:rsidRPr="00970AD2">
              <w:t>15000 to 19999 hrs</w:t>
            </w:r>
          </w:p>
        </w:tc>
        <w:tc>
          <w:tcPr>
            <w:tcW w:w="1736" w:type="dxa"/>
            <w:noWrap/>
            <w:hideMark/>
          </w:tcPr>
          <w:p w14:paraId="3B67BC1E" w14:textId="5DB2D660" w:rsidR="0062067B" w:rsidRPr="00970AD2" w:rsidRDefault="0062067B" w:rsidP="0062067B">
            <w:pPr>
              <w:pStyle w:val="Tabletext"/>
              <w:jc w:val="center"/>
            </w:pPr>
            <w:r>
              <w:rPr>
                <w:rFonts w:ascii="Calibri" w:hAnsi="Calibri" w:cs="Calibri"/>
                <w:color w:val="000000"/>
                <w:sz w:val="22"/>
                <w:szCs w:val="22"/>
              </w:rPr>
              <w:t>0.457</w:t>
            </w:r>
          </w:p>
        </w:tc>
        <w:tc>
          <w:tcPr>
            <w:tcW w:w="1736" w:type="dxa"/>
            <w:noWrap/>
            <w:hideMark/>
          </w:tcPr>
          <w:p w14:paraId="15A8953B" w14:textId="30D71371" w:rsidR="0062067B" w:rsidRPr="00970AD2" w:rsidRDefault="0062067B" w:rsidP="0062067B">
            <w:pPr>
              <w:pStyle w:val="Tabletext"/>
              <w:jc w:val="center"/>
            </w:pPr>
            <w:r>
              <w:rPr>
                <w:rFonts w:ascii="Calibri" w:hAnsi="Calibri" w:cs="Calibri"/>
                <w:color w:val="000000"/>
                <w:sz w:val="22"/>
                <w:szCs w:val="22"/>
              </w:rPr>
              <w:t>0.468</w:t>
            </w:r>
          </w:p>
        </w:tc>
        <w:tc>
          <w:tcPr>
            <w:tcW w:w="1736" w:type="dxa"/>
            <w:noWrap/>
            <w:hideMark/>
          </w:tcPr>
          <w:p w14:paraId="7F71B319" w14:textId="4611A57A" w:rsidR="0062067B" w:rsidRPr="00970AD2" w:rsidRDefault="0062067B" w:rsidP="0062067B">
            <w:pPr>
              <w:pStyle w:val="Tabletext"/>
              <w:jc w:val="center"/>
            </w:pPr>
            <w:r>
              <w:rPr>
                <w:rFonts w:ascii="Calibri" w:hAnsi="Calibri" w:cs="Calibri"/>
                <w:color w:val="000000"/>
                <w:sz w:val="22"/>
                <w:szCs w:val="22"/>
              </w:rPr>
              <w:t>0.477</w:t>
            </w:r>
          </w:p>
        </w:tc>
        <w:tc>
          <w:tcPr>
            <w:tcW w:w="1737" w:type="dxa"/>
            <w:noWrap/>
            <w:hideMark/>
          </w:tcPr>
          <w:p w14:paraId="47F0CEE7" w14:textId="2E06017A" w:rsidR="0062067B" w:rsidRPr="00970AD2" w:rsidRDefault="0062067B" w:rsidP="0062067B">
            <w:pPr>
              <w:pStyle w:val="Tabletext"/>
              <w:jc w:val="center"/>
            </w:pPr>
            <w:r>
              <w:rPr>
                <w:rFonts w:ascii="Calibri" w:hAnsi="Calibri" w:cs="Calibri"/>
                <w:color w:val="000000"/>
                <w:sz w:val="22"/>
                <w:szCs w:val="22"/>
              </w:rPr>
              <w:t>0.484</w:t>
            </w:r>
          </w:p>
        </w:tc>
      </w:tr>
      <w:tr w:rsidR="0062067B" w:rsidRPr="00D936CF" w14:paraId="22233CCC" w14:textId="77777777" w:rsidTr="0064760C">
        <w:trPr>
          <w:trHeight w:val="280"/>
        </w:trPr>
        <w:tc>
          <w:tcPr>
            <w:tcW w:w="2142" w:type="dxa"/>
            <w:noWrap/>
            <w:vAlign w:val="center"/>
            <w:hideMark/>
          </w:tcPr>
          <w:p w14:paraId="7B62725B" w14:textId="77777777" w:rsidR="0062067B" w:rsidRPr="00970AD2" w:rsidRDefault="0062067B" w:rsidP="0062067B">
            <w:pPr>
              <w:pStyle w:val="Tabletext"/>
            </w:pPr>
            <w:r w:rsidRPr="00970AD2">
              <w:t>20000 to 24999 hrs</w:t>
            </w:r>
          </w:p>
        </w:tc>
        <w:tc>
          <w:tcPr>
            <w:tcW w:w="1736" w:type="dxa"/>
            <w:noWrap/>
            <w:hideMark/>
          </w:tcPr>
          <w:p w14:paraId="0AC9FE47" w14:textId="37737C17" w:rsidR="0062067B" w:rsidRPr="00970AD2" w:rsidRDefault="0062067B" w:rsidP="0062067B">
            <w:pPr>
              <w:pStyle w:val="Tabletext"/>
              <w:jc w:val="center"/>
            </w:pPr>
            <w:r>
              <w:rPr>
                <w:rFonts w:ascii="Calibri" w:hAnsi="Calibri" w:cs="Calibri"/>
                <w:color w:val="000000"/>
                <w:sz w:val="22"/>
                <w:szCs w:val="22"/>
              </w:rPr>
              <w:t>0.610</w:t>
            </w:r>
          </w:p>
        </w:tc>
        <w:tc>
          <w:tcPr>
            <w:tcW w:w="1736" w:type="dxa"/>
            <w:noWrap/>
            <w:hideMark/>
          </w:tcPr>
          <w:p w14:paraId="022CAEF5" w14:textId="646C3EDE" w:rsidR="0062067B" w:rsidRPr="00970AD2" w:rsidRDefault="0062067B" w:rsidP="0062067B">
            <w:pPr>
              <w:pStyle w:val="Tabletext"/>
              <w:jc w:val="center"/>
            </w:pPr>
            <w:r>
              <w:rPr>
                <w:rFonts w:ascii="Calibri" w:hAnsi="Calibri" w:cs="Calibri"/>
                <w:color w:val="000000"/>
                <w:sz w:val="22"/>
                <w:szCs w:val="22"/>
              </w:rPr>
              <w:t>0.624</w:t>
            </w:r>
          </w:p>
        </w:tc>
        <w:tc>
          <w:tcPr>
            <w:tcW w:w="1736" w:type="dxa"/>
            <w:noWrap/>
            <w:hideMark/>
          </w:tcPr>
          <w:p w14:paraId="07409339" w14:textId="27B4B38D" w:rsidR="0062067B" w:rsidRPr="00970AD2" w:rsidRDefault="0062067B" w:rsidP="0062067B">
            <w:pPr>
              <w:pStyle w:val="Tabletext"/>
              <w:jc w:val="center"/>
            </w:pPr>
            <w:r>
              <w:rPr>
                <w:rFonts w:ascii="Calibri" w:hAnsi="Calibri" w:cs="Calibri"/>
                <w:color w:val="000000"/>
                <w:sz w:val="22"/>
                <w:szCs w:val="22"/>
              </w:rPr>
              <w:t>0.636</w:t>
            </w:r>
          </w:p>
        </w:tc>
        <w:tc>
          <w:tcPr>
            <w:tcW w:w="1737" w:type="dxa"/>
            <w:noWrap/>
            <w:hideMark/>
          </w:tcPr>
          <w:p w14:paraId="535C973F" w14:textId="5A58E716" w:rsidR="0062067B" w:rsidRPr="00970AD2" w:rsidRDefault="0062067B" w:rsidP="0062067B">
            <w:pPr>
              <w:pStyle w:val="Tabletext"/>
              <w:jc w:val="center"/>
            </w:pPr>
            <w:r>
              <w:rPr>
                <w:rFonts w:ascii="Calibri" w:hAnsi="Calibri" w:cs="Calibri"/>
                <w:color w:val="000000"/>
                <w:sz w:val="22"/>
                <w:szCs w:val="22"/>
              </w:rPr>
              <w:t>0.645</w:t>
            </w:r>
          </w:p>
        </w:tc>
      </w:tr>
      <w:tr w:rsidR="0062067B" w:rsidRPr="00D936CF" w14:paraId="2BF915E0" w14:textId="77777777" w:rsidTr="0064760C">
        <w:trPr>
          <w:trHeight w:val="280"/>
        </w:trPr>
        <w:tc>
          <w:tcPr>
            <w:tcW w:w="2142" w:type="dxa"/>
            <w:noWrap/>
            <w:vAlign w:val="center"/>
            <w:hideMark/>
          </w:tcPr>
          <w:p w14:paraId="3CE01E66" w14:textId="77777777" w:rsidR="0062067B" w:rsidRPr="00970AD2" w:rsidRDefault="0062067B" w:rsidP="0062067B">
            <w:pPr>
              <w:pStyle w:val="Tabletext"/>
            </w:pPr>
            <w:r w:rsidRPr="00970AD2">
              <w:t>25000 hrs +</w:t>
            </w:r>
          </w:p>
        </w:tc>
        <w:tc>
          <w:tcPr>
            <w:tcW w:w="1736" w:type="dxa"/>
            <w:noWrap/>
            <w:hideMark/>
          </w:tcPr>
          <w:p w14:paraId="7CFB030C" w14:textId="1FA6200B" w:rsidR="0062067B" w:rsidRPr="00970AD2" w:rsidRDefault="0062067B" w:rsidP="0062067B">
            <w:pPr>
              <w:pStyle w:val="Tabletext"/>
              <w:jc w:val="center"/>
            </w:pPr>
            <w:r>
              <w:rPr>
                <w:rFonts w:ascii="Calibri" w:hAnsi="Calibri" w:cs="Calibri"/>
                <w:color w:val="000000"/>
                <w:sz w:val="22"/>
                <w:szCs w:val="22"/>
              </w:rPr>
              <w:t>0.762</w:t>
            </w:r>
          </w:p>
        </w:tc>
        <w:tc>
          <w:tcPr>
            <w:tcW w:w="1736" w:type="dxa"/>
            <w:noWrap/>
            <w:hideMark/>
          </w:tcPr>
          <w:p w14:paraId="44B0D4F3" w14:textId="432812CC" w:rsidR="0062067B" w:rsidRPr="00970AD2" w:rsidRDefault="0062067B" w:rsidP="0062067B">
            <w:pPr>
              <w:pStyle w:val="Tabletext"/>
              <w:jc w:val="center"/>
            </w:pPr>
            <w:r>
              <w:rPr>
                <w:rFonts w:ascii="Calibri" w:hAnsi="Calibri" w:cs="Calibri"/>
                <w:color w:val="000000"/>
                <w:sz w:val="22"/>
                <w:szCs w:val="22"/>
              </w:rPr>
              <w:t>0.780</w:t>
            </w:r>
          </w:p>
        </w:tc>
        <w:tc>
          <w:tcPr>
            <w:tcW w:w="1736" w:type="dxa"/>
            <w:noWrap/>
            <w:hideMark/>
          </w:tcPr>
          <w:p w14:paraId="4EE65634" w14:textId="7365FCEA" w:rsidR="0062067B" w:rsidRPr="00970AD2" w:rsidRDefault="0062067B" w:rsidP="0062067B">
            <w:pPr>
              <w:pStyle w:val="Tabletext"/>
              <w:jc w:val="center"/>
            </w:pPr>
            <w:r>
              <w:rPr>
                <w:rFonts w:ascii="Calibri" w:hAnsi="Calibri" w:cs="Calibri"/>
                <w:color w:val="000000"/>
                <w:sz w:val="22"/>
                <w:szCs w:val="22"/>
              </w:rPr>
              <w:t>0.795</w:t>
            </w:r>
          </w:p>
        </w:tc>
        <w:tc>
          <w:tcPr>
            <w:tcW w:w="1737" w:type="dxa"/>
            <w:noWrap/>
            <w:hideMark/>
          </w:tcPr>
          <w:p w14:paraId="7585E041" w14:textId="2AA490EC" w:rsidR="0062067B" w:rsidRPr="00970AD2" w:rsidRDefault="0062067B" w:rsidP="0062067B">
            <w:pPr>
              <w:pStyle w:val="Tabletext"/>
              <w:jc w:val="center"/>
            </w:pPr>
            <w:r>
              <w:rPr>
                <w:rFonts w:ascii="Calibri" w:hAnsi="Calibri" w:cs="Calibri"/>
                <w:color w:val="000000"/>
                <w:sz w:val="22"/>
                <w:szCs w:val="22"/>
              </w:rPr>
              <w:t>0.807</w:t>
            </w:r>
          </w:p>
        </w:tc>
      </w:tr>
    </w:tbl>
    <w:p w14:paraId="0DC8FA62" w14:textId="06588794" w:rsidR="00F0426F" w:rsidRPr="00970AD2" w:rsidRDefault="00F0426F" w:rsidP="00D42823">
      <w:pPr>
        <w:pStyle w:val="Caption"/>
      </w:pPr>
      <w:bookmarkStart w:id="303" w:name="_Toc37945714"/>
      <w:bookmarkStart w:id="304" w:name="_Toc21868135"/>
      <w:bookmarkStart w:id="305" w:name="_Toc21868267"/>
      <w:r w:rsidRPr="00970AD2">
        <w:t xml:space="preserve">Table </w:t>
      </w:r>
      <w:r w:rsidR="004A0156">
        <w:rPr>
          <w:noProof/>
        </w:rPr>
        <w:fldChar w:fldCharType="begin"/>
      </w:r>
      <w:r w:rsidR="004A0156">
        <w:rPr>
          <w:noProof/>
        </w:rPr>
        <w:instrText xml:space="preserve"> SEQ Table \* ARABIC </w:instrText>
      </w:r>
      <w:r w:rsidR="004A0156">
        <w:rPr>
          <w:noProof/>
        </w:rPr>
        <w:fldChar w:fldCharType="separate"/>
      </w:r>
      <w:r w:rsidR="00880CB1">
        <w:rPr>
          <w:noProof/>
        </w:rPr>
        <w:t>30</w:t>
      </w:r>
      <w:r w:rsidR="004A0156">
        <w:rPr>
          <w:noProof/>
        </w:rPr>
        <w:fldChar w:fldCharType="end"/>
      </w:r>
      <w:r w:rsidRPr="00970AD2">
        <w:t xml:space="preserve"> </w:t>
      </w:r>
      <w:r w:rsidR="009E6E7F">
        <w:tab/>
      </w:r>
      <w:r w:rsidR="000C27E5">
        <w:t xml:space="preserve">Activity </w:t>
      </w:r>
      <w:r w:rsidR="00D85CB2">
        <w:t xml:space="preserve">ID </w:t>
      </w:r>
      <w:r w:rsidR="000C27E5">
        <w:t>4.1(c)</w:t>
      </w:r>
      <w:r w:rsidRPr="00970AD2">
        <w:t xml:space="preserve"> </w:t>
      </w:r>
      <w:r w:rsidR="00D25CD5">
        <w:t>energy savings</w:t>
      </w:r>
      <w:r w:rsidRPr="00970AD2">
        <w:t xml:space="preserve"> values for installation of low energy </w:t>
      </w:r>
      <w:r w:rsidR="00FD661C">
        <w:t xml:space="preserve">LED </w:t>
      </w:r>
      <w:r w:rsidRPr="00970AD2">
        <w:t>12 volt lamp to replace 12 volt halogen</w:t>
      </w:r>
      <w:bookmarkEnd w:id="303"/>
      <w:r w:rsidR="00C33C70">
        <w:t xml:space="preserve"> </w:t>
      </w:r>
      <w:bookmarkEnd w:id="304"/>
      <w:bookmarkEnd w:id="3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751"/>
        <w:gridCol w:w="1752"/>
        <w:gridCol w:w="1752"/>
        <w:gridCol w:w="1690"/>
      </w:tblGrid>
      <w:tr w:rsidR="00C33C70" w:rsidRPr="00D936CF" w14:paraId="41464D14" w14:textId="77777777" w:rsidTr="00C33C70">
        <w:tc>
          <w:tcPr>
            <w:tcW w:w="9072" w:type="dxa"/>
            <w:gridSpan w:val="5"/>
            <w:shd w:val="clear" w:color="auto" w:fill="auto"/>
          </w:tcPr>
          <w:p w14:paraId="723A4A6E" w14:textId="710722B5" w:rsidR="00C33C70" w:rsidRPr="00970AD2" w:rsidRDefault="00C33C70" w:rsidP="00C33C70">
            <w:pPr>
              <w:pStyle w:val="Tableheader"/>
              <w:jc w:val="center"/>
              <w:rPr>
                <w:iCs/>
              </w:rPr>
            </w:pPr>
            <w:r w:rsidRPr="00970AD2">
              <w:t xml:space="preserve">Activity </w:t>
            </w:r>
            <w:r w:rsidR="00D25CD5">
              <w:t>Energy savings</w:t>
            </w:r>
            <w:r w:rsidRPr="00970AD2">
              <w:t xml:space="preserve"> Value (</w:t>
            </w:r>
            <w:r w:rsidR="0062067B">
              <w:t>MWh</w:t>
            </w:r>
            <w:r w:rsidRPr="00970AD2">
              <w:t>)</w:t>
            </w:r>
          </w:p>
        </w:tc>
      </w:tr>
      <w:tr w:rsidR="001069C8" w:rsidRPr="00C33C70" w14:paraId="45F17A0A" w14:textId="77777777" w:rsidTr="00C33C70">
        <w:tc>
          <w:tcPr>
            <w:tcW w:w="2127" w:type="dxa"/>
            <w:shd w:val="clear" w:color="auto" w:fill="auto"/>
          </w:tcPr>
          <w:p w14:paraId="4107E07E" w14:textId="77777777" w:rsidR="00F0426F" w:rsidRPr="00C33C70" w:rsidRDefault="00F0426F" w:rsidP="00C33C70">
            <w:pPr>
              <w:pStyle w:val="Tabletext"/>
            </w:pPr>
            <w:r w:rsidRPr="00C33C70">
              <w:t>Efficacy</w:t>
            </w:r>
          </w:p>
        </w:tc>
        <w:tc>
          <w:tcPr>
            <w:tcW w:w="1751" w:type="dxa"/>
            <w:shd w:val="clear" w:color="auto" w:fill="auto"/>
          </w:tcPr>
          <w:p w14:paraId="663C0EA6" w14:textId="77777777" w:rsidR="00F0426F" w:rsidRPr="00C33C70" w:rsidRDefault="00F0426F" w:rsidP="00EE39FE">
            <w:pPr>
              <w:pStyle w:val="Tabletext"/>
              <w:jc w:val="center"/>
            </w:pPr>
            <w:r w:rsidRPr="00C33C70">
              <w:t>52 l</w:t>
            </w:r>
            <w:r w:rsidR="000C27E5">
              <w:t>m</w:t>
            </w:r>
            <w:r w:rsidRPr="00C33C70">
              <w:t>/W</w:t>
            </w:r>
          </w:p>
        </w:tc>
        <w:tc>
          <w:tcPr>
            <w:tcW w:w="1752" w:type="dxa"/>
            <w:shd w:val="clear" w:color="auto" w:fill="auto"/>
          </w:tcPr>
          <w:p w14:paraId="290ADE15" w14:textId="77777777" w:rsidR="00F0426F" w:rsidRPr="00C33C70" w:rsidRDefault="00F0426F" w:rsidP="00EE39FE">
            <w:pPr>
              <w:pStyle w:val="Tabletext"/>
              <w:jc w:val="center"/>
            </w:pPr>
            <w:r w:rsidRPr="00C33C70">
              <w:t>62 l</w:t>
            </w:r>
            <w:r w:rsidR="000C27E5">
              <w:t>m</w:t>
            </w:r>
            <w:r w:rsidRPr="00C33C70">
              <w:t>/W</w:t>
            </w:r>
          </w:p>
        </w:tc>
        <w:tc>
          <w:tcPr>
            <w:tcW w:w="1752" w:type="dxa"/>
            <w:shd w:val="clear" w:color="auto" w:fill="auto"/>
          </w:tcPr>
          <w:p w14:paraId="20F69510" w14:textId="77777777" w:rsidR="00F0426F" w:rsidRPr="00C33C70" w:rsidRDefault="00F0426F" w:rsidP="00EE39FE">
            <w:pPr>
              <w:pStyle w:val="Tabletext"/>
              <w:jc w:val="center"/>
            </w:pPr>
            <w:r w:rsidRPr="00C33C70">
              <w:t>75 l</w:t>
            </w:r>
            <w:r w:rsidR="000C27E5">
              <w:t>m</w:t>
            </w:r>
            <w:r w:rsidRPr="00C33C70">
              <w:t>/W</w:t>
            </w:r>
          </w:p>
        </w:tc>
        <w:tc>
          <w:tcPr>
            <w:tcW w:w="1690" w:type="dxa"/>
            <w:shd w:val="clear" w:color="auto" w:fill="auto"/>
          </w:tcPr>
          <w:p w14:paraId="2EC13A97" w14:textId="77777777" w:rsidR="00F0426F" w:rsidRPr="00C33C70" w:rsidRDefault="00F0426F" w:rsidP="00EE39FE">
            <w:pPr>
              <w:pStyle w:val="Tabletext"/>
              <w:jc w:val="center"/>
            </w:pPr>
            <w:r w:rsidRPr="00C33C70">
              <w:t>90 l</w:t>
            </w:r>
            <w:r w:rsidR="000C27E5">
              <w:t>m</w:t>
            </w:r>
            <w:r w:rsidRPr="00C33C70">
              <w:t>/W</w:t>
            </w:r>
          </w:p>
        </w:tc>
      </w:tr>
      <w:tr w:rsidR="0062067B" w:rsidRPr="00C33C70" w14:paraId="7C05962B" w14:textId="77777777" w:rsidTr="0064760C">
        <w:tc>
          <w:tcPr>
            <w:tcW w:w="2127" w:type="dxa"/>
            <w:shd w:val="clear" w:color="auto" w:fill="auto"/>
          </w:tcPr>
          <w:p w14:paraId="5BE39A89" w14:textId="77777777" w:rsidR="0062067B" w:rsidRPr="00C33C70" w:rsidRDefault="0062067B" w:rsidP="0062067B">
            <w:pPr>
              <w:pStyle w:val="Tabletext"/>
            </w:pPr>
            <w:r w:rsidRPr="00C33C70">
              <w:t>15,000 to 19,999 hrs</w:t>
            </w:r>
          </w:p>
        </w:tc>
        <w:tc>
          <w:tcPr>
            <w:tcW w:w="1751" w:type="dxa"/>
            <w:shd w:val="clear" w:color="auto" w:fill="auto"/>
          </w:tcPr>
          <w:p w14:paraId="45AC6FDB" w14:textId="39CB6C18" w:rsidR="0062067B" w:rsidRPr="00C33C70" w:rsidRDefault="0062067B" w:rsidP="0062067B">
            <w:pPr>
              <w:pStyle w:val="Tabletext"/>
              <w:jc w:val="center"/>
            </w:pPr>
            <w:r>
              <w:rPr>
                <w:rFonts w:ascii="Calibri" w:hAnsi="Calibri" w:cs="Calibri"/>
                <w:color w:val="000000"/>
                <w:sz w:val="22"/>
                <w:szCs w:val="22"/>
              </w:rPr>
              <w:t>0.406</w:t>
            </w:r>
          </w:p>
        </w:tc>
        <w:tc>
          <w:tcPr>
            <w:tcW w:w="1752" w:type="dxa"/>
            <w:shd w:val="clear" w:color="auto" w:fill="auto"/>
          </w:tcPr>
          <w:p w14:paraId="034C0898" w14:textId="4BFEB5C0" w:rsidR="0062067B" w:rsidRPr="00C33C70" w:rsidRDefault="0062067B" w:rsidP="0062067B">
            <w:pPr>
              <w:pStyle w:val="Tabletext"/>
              <w:jc w:val="center"/>
            </w:pPr>
            <w:r>
              <w:rPr>
                <w:rFonts w:ascii="Calibri" w:hAnsi="Calibri" w:cs="Calibri"/>
                <w:color w:val="000000"/>
                <w:sz w:val="22"/>
                <w:szCs w:val="22"/>
              </w:rPr>
              <w:t>0.430</w:t>
            </w:r>
          </w:p>
        </w:tc>
        <w:tc>
          <w:tcPr>
            <w:tcW w:w="1752" w:type="dxa"/>
            <w:shd w:val="clear" w:color="auto" w:fill="auto"/>
          </w:tcPr>
          <w:p w14:paraId="16F24F24" w14:textId="058F6936" w:rsidR="0062067B" w:rsidRPr="00C33C70" w:rsidRDefault="0062067B" w:rsidP="0062067B">
            <w:pPr>
              <w:pStyle w:val="Tabletext"/>
              <w:jc w:val="center"/>
            </w:pPr>
            <w:r>
              <w:rPr>
                <w:rFonts w:ascii="Calibri" w:hAnsi="Calibri" w:cs="Calibri"/>
                <w:color w:val="000000"/>
                <w:sz w:val="22"/>
                <w:szCs w:val="22"/>
              </w:rPr>
              <w:t>0.449</w:t>
            </w:r>
          </w:p>
        </w:tc>
        <w:tc>
          <w:tcPr>
            <w:tcW w:w="1690" w:type="dxa"/>
            <w:shd w:val="clear" w:color="auto" w:fill="auto"/>
          </w:tcPr>
          <w:p w14:paraId="68D2DA17" w14:textId="69C3E3A7" w:rsidR="0062067B" w:rsidRPr="00C33C70" w:rsidRDefault="0062067B" w:rsidP="0062067B">
            <w:pPr>
              <w:pStyle w:val="Tabletext"/>
              <w:jc w:val="center"/>
            </w:pPr>
            <w:r>
              <w:rPr>
                <w:rFonts w:ascii="Calibri" w:hAnsi="Calibri" w:cs="Calibri"/>
                <w:color w:val="000000"/>
                <w:sz w:val="22"/>
                <w:szCs w:val="22"/>
              </w:rPr>
              <w:t>0.466</w:t>
            </w:r>
          </w:p>
        </w:tc>
      </w:tr>
      <w:tr w:rsidR="0062067B" w:rsidRPr="00C33C70" w14:paraId="115D2B80" w14:textId="77777777" w:rsidTr="0064760C">
        <w:tc>
          <w:tcPr>
            <w:tcW w:w="2127" w:type="dxa"/>
            <w:shd w:val="clear" w:color="auto" w:fill="auto"/>
          </w:tcPr>
          <w:p w14:paraId="7D5EEC73" w14:textId="77777777" w:rsidR="0062067B" w:rsidRPr="00C33C70" w:rsidRDefault="0062067B" w:rsidP="0062067B">
            <w:pPr>
              <w:pStyle w:val="Tabletext"/>
            </w:pPr>
            <w:r w:rsidRPr="00C33C70">
              <w:lastRenderedPageBreak/>
              <w:t>20,000 hrs to 24,999 hrs</w:t>
            </w:r>
          </w:p>
        </w:tc>
        <w:tc>
          <w:tcPr>
            <w:tcW w:w="1751" w:type="dxa"/>
            <w:shd w:val="clear" w:color="auto" w:fill="auto"/>
          </w:tcPr>
          <w:p w14:paraId="3DA1E94B" w14:textId="1B016FDC" w:rsidR="0062067B" w:rsidRPr="00C33C70" w:rsidRDefault="0062067B" w:rsidP="0062067B">
            <w:pPr>
              <w:pStyle w:val="Tabletext"/>
              <w:jc w:val="center"/>
            </w:pPr>
            <w:r>
              <w:rPr>
                <w:rFonts w:ascii="Calibri" w:hAnsi="Calibri" w:cs="Calibri"/>
                <w:color w:val="000000"/>
                <w:sz w:val="22"/>
                <w:szCs w:val="22"/>
              </w:rPr>
              <w:t>0.542</w:t>
            </w:r>
          </w:p>
        </w:tc>
        <w:tc>
          <w:tcPr>
            <w:tcW w:w="1752" w:type="dxa"/>
            <w:shd w:val="clear" w:color="auto" w:fill="auto"/>
          </w:tcPr>
          <w:p w14:paraId="077FC348" w14:textId="212D1DDF" w:rsidR="0062067B" w:rsidRPr="00C33C70" w:rsidRDefault="0062067B" w:rsidP="0062067B">
            <w:pPr>
              <w:pStyle w:val="Tabletext"/>
              <w:jc w:val="center"/>
            </w:pPr>
            <w:r>
              <w:rPr>
                <w:rFonts w:ascii="Calibri" w:hAnsi="Calibri" w:cs="Calibri"/>
                <w:color w:val="000000"/>
                <w:sz w:val="22"/>
                <w:szCs w:val="22"/>
              </w:rPr>
              <w:t>0.573</w:t>
            </w:r>
          </w:p>
        </w:tc>
        <w:tc>
          <w:tcPr>
            <w:tcW w:w="1752" w:type="dxa"/>
            <w:shd w:val="clear" w:color="auto" w:fill="auto"/>
          </w:tcPr>
          <w:p w14:paraId="4B735D40" w14:textId="5ADFAA69" w:rsidR="0062067B" w:rsidRPr="00C33C70" w:rsidRDefault="0062067B" w:rsidP="0062067B">
            <w:pPr>
              <w:pStyle w:val="Tabletext"/>
              <w:jc w:val="center"/>
            </w:pPr>
            <w:r>
              <w:rPr>
                <w:rFonts w:ascii="Calibri" w:hAnsi="Calibri" w:cs="Calibri"/>
                <w:color w:val="000000"/>
                <w:sz w:val="22"/>
                <w:szCs w:val="22"/>
              </w:rPr>
              <w:t>0.599</w:t>
            </w:r>
          </w:p>
        </w:tc>
        <w:tc>
          <w:tcPr>
            <w:tcW w:w="1690" w:type="dxa"/>
            <w:shd w:val="clear" w:color="auto" w:fill="auto"/>
          </w:tcPr>
          <w:p w14:paraId="23CD2DA7" w14:textId="5199530A" w:rsidR="0062067B" w:rsidRPr="00C33C70" w:rsidRDefault="0062067B" w:rsidP="0062067B">
            <w:pPr>
              <w:pStyle w:val="Tabletext"/>
              <w:jc w:val="center"/>
            </w:pPr>
            <w:r>
              <w:rPr>
                <w:rFonts w:ascii="Calibri" w:hAnsi="Calibri" w:cs="Calibri"/>
                <w:color w:val="000000"/>
                <w:sz w:val="22"/>
                <w:szCs w:val="22"/>
              </w:rPr>
              <w:t>0.621</w:t>
            </w:r>
          </w:p>
        </w:tc>
      </w:tr>
      <w:tr w:rsidR="0062067B" w:rsidRPr="00C33C70" w14:paraId="2D08E90F" w14:textId="77777777" w:rsidTr="0064760C">
        <w:tc>
          <w:tcPr>
            <w:tcW w:w="2127" w:type="dxa"/>
            <w:shd w:val="clear" w:color="auto" w:fill="auto"/>
          </w:tcPr>
          <w:p w14:paraId="3E5A7A15" w14:textId="77777777" w:rsidR="0062067B" w:rsidRPr="00C33C70" w:rsidRDefault="0062067B" w:rsidP="0062067B">
            <w:pPr>
              <w:pStyle w:val="Tabletext"/>
            </w:pPr>
            <w:r w:rsidRPr="00C33C70">
              <w:t xml:space="preserve">25,000 hrs + </w:t>
            </w:r>
          </w:p>
        </w:tc>
        <w:tc>
          <w:tcPr>
            <w:tcW w:w="1751" w:type="dxa"/>
            <w:shd w:val="clear" w:color="auto" w:fill="auto"/>
          </w:tcPr>
          <w:p w14:paraId="300A5464" w14:textId="021378C2" w:rsidR="0062067B" w:rsidRPr="00C33C70" w:rsidRDefault="0062067B" w:rsidP="0062067B">
            <w:pPr>
              <w:pStyle w:val="Tabletext"/>
              <w:jc w:val="center"/>
            </w:pPr>
            <w:r>
              <w:rPr>
                <w:rFonts w:ascii="Calibri" w:hAnsi="Calibri" w:cs="Calibri"/>
                <w:color w:val="000000"/>
                <w:sz w:val="22"/>
                <w:szCs w:val="22"/>
              </w:rPr>
              <w:t>0.677</w:t>
            </w:r>
          </w:p>
        </w:tc>
        <w:tc>
          <w:tcPr>
            <w:tcW w:w="1752" w:type="dxa"/>
            <w:shd w:val="clear" w:color="auto" w:fill="auto"/>
          </w:tcPr>
          <w:p w14:paraId="1754553A" w14:textId="400C60F3" w:rsidR="0062067B" w:rsidRPr="00C33C70" w:rsidRDefault="0062067B" w:rsidP="0062067B">
            <w:pPr>
              <w:pStyle w:val="Tabletext"/>
              <w:jc w:val="center"/>
            </w:pPr>
            <w:r>
              <w:rPr>
                <w:rFonts w:ascii="Calibri" w:hAnsi="Calibri" w:cs="Calibri"/>
                <w:color w:val="000000"/>
                <w:sz w:val="22"/>
                <w:szCs w:val="22"/>
              </w:rPr>
              <w:t>0.716</w:t>
            </w:r>
          </w:p>
        </w:tc>
        <w:tc>
          <w:tcPr>
            <w:tcW w:w="1752" w:type="dxa"/>
            <w:shd w:val="clear" w:color="auto" w:fill="auto"/>
          </w:tcPr>
          <w:p w14:paraId="19563DD5" w14:textId="35F02625" w:rsidR="0062067B" w:rsidRPr="00C33C70" w:rsidRDefault="0062067B" w:rsidP="0062067B">
            <w:pPr>
              <w:pStyle w:val="Tabletext"/>
              <w:jc w:val="center"/>
            </w:pPr>
            <w:r>
              <w:rPr>
                <w:rFonts w:ascii="Calibri" w:hAnsi="Calibri" w:cs="Calibri"/>
                <w:color w:val="000000"/>
                <w:sz w:val="22"/>
                <w:szCs w:val="22"/>
              </w:rPr>
              <w:t>0.749</w:t>
            </w:r>
          </w:p>
        </w:tc>
        <w:tc>
          <w:tcPr>
            <w:tcW w:w="1690" w:type="dxa"/>
            <w:shd w:val="clear" w:color="auto" w:fill="auto"/>
          </w:tcPr>
          <w:p w14:paraId="1C8ECADB" w14:textId="58F41815" w:rsidR="0062067B" w:rsidRPr="00C33C70" w:rsidRDefault="0062067B" w:rsidP="0062067B">
            <w:pPr>
              <w:pStyle w:val="Tabletext"/>
              <w:jc w:val="center"/>
            </w:pPr>
            <w:r>
              <w:rPr>
                <w:rFonts w:ascii="Calibri" w:hAnsi="Calibri" w:cs="Calibri"/>
                <w:color w:val="000000"/>
                <w:sz w:val="22"/>
                <w:szCs w:val="22"/>
              </w:rPr>
              <w:t>0.776</w:t>
            </w:r>
          </w:p>
        </w:tc>
      </w:tr>
    </w:tbl>
    <w:p w14:paraId="49E1B273" w14:textId="274CB1C6" w:rsidR="00F0426F" w:rsidRPr="00970AD2" w:rsidRDefault="00F0426F" w:rsidP="00D42823">
      <w:pPr>
        <w:pStyle w:val="Caption"/>
      </w:pPr>
      <w:bookmarkStart w:id="306" w:name="_Toc21868136"/>
      <w:bookmarkStart w:id="307" w:name="_Toc21868268"/>
      <w:bookmarkStart w:id="308" w:name="_Toc37945715"/>
      <w:r w:rsidRPr="00970AD2">
        <w:t xml:space="preserve">Table </w:t>
      </w:r>
      <w:r w:rsidR="004A0156">
        <w:rPr>
          <w:noProof/>
        </w:rPr>
        <w:fldChar w:fldCharType="begin"/>
      </w:r>
      <w:r w:rsidR="004A0156">
        <w:rPr>
          <w:noProof/>
        </w:rPr>
        <w:instrText xml:space="preserve"> SEQ Table \* ARABIC </w:instrText>
      </w:r>
      <w:r w:rsidR="004A0156">
        <w:rPr>
          <w:noProof/>
        </w:rPr>
        <w:fldChar w:fldCharType="separate"/>
      </w:r>
      <w:r w:rsidR="00880CB1">
        <w:rPr>
          <w:noProof/>
        </w:rPr>
        <w:t>31</w:t>
      </w:r>
      <w:r w:rsidR="004A0156">
        <w:rPr>
          <w:noProof/>
        </w:rPr>
        <w:fldChar w:fldCharType="end"/>
      </w:r>
      <w:r w:rsidRPr="00970AD2">
        <w:t xml:space="preserve"> </w:t>
      </w:r>
      <w:r w:rsidR="009E6E7F">
        <w:tab/>
      </w:r>
      <w:r w:rsidR="000C27E5">
        <w:t xml:space="preserve">Activity </w:t>
      </w:r>
      <w:r w:rsidR="00D85CB2">
        <w:t xml:space="preserve">ID </w:t>
      </w:r>
      <w:r w:rsidR="000C27E5">
        <w:t>4.1(d)</w:t>
      </w:r>
      <w:r w:rsidRPr="00970AD2">
        <w:t xml:space="preserve"> </w:t>
      </w:r>
      <w:r w:rsidR="00D25CD5">
        <w:t>energy savings</w:t>
      </w:r>
      <w:r w:rsidRPr="00970AD2">
        <w:t xml:space="preserve"> values for installation of mains voltage low energy downlight in place of existing 12 volt halogen downlight</w:t>
      </w:r>
      <w:bookmarkEnd w:id="306"/>
      <w:bookmarkEnd w:id="307"/>
      <w:bookmarkEnd w:id="308"/>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389"/>
        <w:gridCol w:w="1389"/>
        <w:gridCol w:w="1389"/>
        <w:gridCol w:w="1389"/>
        <w:gridCol w:w="1389"/>
      </w:tblGrid>
      <w:tr w:rsidR="00EE39FE" w:rsidRPr="00D936CF" w14:paraId="5D503C40" w14:textId="77777777" w:rsidTr="009E205F">
        <w:trPr>
          <w:trHeight w:val="560"/>
        </w:trPr>
        <w:tc>
          <w:tcPr>
            <w:tcW w:w="9087" w:type="dxa"/>
            <w:gridSpan w:val="6"/>
            <w:vAlign w:val="center"/>
            <w:hideMark/>
          </w:tcPr>
          <w:p w14:paraId="7287C2FC" w14:textId="07076FA0" w:rsidR="00EE39FE" w:rsidRPr="00970AD2" w:rsidRDefault="00EE39FE" w:rsidP="00EE39FE">
            <w:pPr>
              <w:pStyle w:val="Tableheader"/>
              <w:jc w:val="center"/>
              <w:rPr>
                <w:rFonts w:eastAsia="Times New Roman"/>
              </w:rPr>
            </w:pPr>
            <w:r w:rsidRPr="00970AD2">
              <w:t xml:space="preserve">Activity </w:t>
            </w:r>
            <w:r w:rsidR="00D25CD5">
              <w:t>Energy savings</w:t>
            </w:r>
            <w:r w:rsidRPr="00970AD2">
              <w:t xml:space="preserve"> Value (</w:t>
            </w:r>
            <w:r w:rsidR="0062067B">
              <w:t>MWh</w:t>
            </w:r>
            <w:r w:rsidRPr="00970AD2">
              <w:t>)</w:t>
            </w:r>
          </w:p>
        </w:tc>
      </w:tr>
      <w:tr w:rsidR="00F35FF4" w:rsidRPr="00D936CF" w14:paraId="026EBBDA" w14:textId="77777777" w:rsidTr="00EE39FE">
        <w:trPr>
          <w:trHeight w:val="560"/>
        </w:trPr>
        <w:tc>
          <w:tcPr>
            <w:tcW w:w="2142" w:type="dxa"/>
            <w:vAlign w:val="center"/>
            <w:hideMark/>
          </w:tcPr>
          <w:p w14:paraId="6A244315" w14:textId="77777777" w:rsidR="00F35FF4" w:rsidRPr="00970AD2" w:rsidRDefault="00F35FF4" w:rsidP="00EE39FE">
            <w:pPr>
              <w:pStyle w:val="Tabletext"/>
            </w:pPr>
            <w:r w:rsidRPr="00970AD2">
              <w:t>Efficacy</w:t>
            </w:r>
          </w:p>
        </w:tc>
        <w:tc>
          <w:tcPr>
            <w:tcW w:w="1389" w:type="dxa"/>
            <w:vAlign w:val="center"/>
            <w:hideMark/>
          </w:tcPr>
          <w:p w14:paraId="0C2E62AF" w14:textId="77777777" w:rsidR="00F35FF4" w:rsidRPr="00970AD2" w:rsidRDefault="00F35FF4" w:rsidP="00EE39FE">
            <w:pPr>
              <w:pStyle w:val="Tabletext"/>
              <w:jc w:val="center"/>
            </w:pPr>
            <w:r w:rsidRPr="00970AD2">
              <w:t xml:space="preserve">Min 48 </w:t>
            </w:r>
            <w:r w:rsidR="000C27E5">
              <w:t>lm/W</w:t>
            </w:r>
          </w:p>
        </w:tc>
        <w:tc>
          <w:tcPr>
            <w:tcW w:w="1389" w:type="dxa"/>
            <w:vAlign w:val="center"/>
            <w:hideMark/>
          </w:tcPr>
          <w:p w14:paraId="6A8C962F" w14:textId="77777777" w:rsidR="00F35FF4" w:rsidRPr="00970AD2" w:rsidRDefault="00F35FF4" w:rsidP="00EE39FE">
            <w:pPr>
              <w:pStyle w:val="Tabletext"/>
              <w:jc w:val="center"/>
            </w:pPr>
            <w:r w:rsidRPr="00970AD2">
              <w:t xml:space="preserve">Min 58 </w:t>
            </w:r>
            <w:r w:rsidR="000C27E5">
              <w:t>lm/W</w:t>
            </w:r>
          </w:p>
        </w:tc>
        <w:tc>
          <w:tcPr>
            <w:tcW w:w="1389" w:type="dxa"/>
            <w:vAlign w:val="center"/>
            <w:hideMark/>
          </w:tcPr>
          <w:p w14:paraId="2E6A7546" w14:textId="77777777" w:rsidR="00F35FF4" w:rsidRPr="00970AD2" w:rsidRDefault="00F35FF4" w:rsidP="00EE39FE">
            <w:pPr>
              <w:pStyle w:val="Tabletext"/>
              <w:jc w:val="center"/>
            </w:pPr>
            <w:r w:rsidRPr="00970AD2">
              <w:t xml:space="preserve">Min 69 </w:t>
            </w:r>
            <w:r w:rsidR="000C27E5">
              <w:t>lm/W</w:t>
            </w:r>
          </w:p>
        </w:tc>
        <w:tc>
          <w:tcPr>
            <w:tcW w:w="1389" w:type="dxa"/>
            <w:vAlign w:val="center"/>
            <w:hideMark/>
          </w:tcPr>
          <w:p w14:paraId="4521BCFF" w14:textId="77777777" w:rsidR="00F35FF4" w:rsidRPr="00970AD2" w:rsidRDefault="00F35FF4" w:rsidP="00EE39FE">
            <w:pPr>
              <w:pStyle w:val="Tabletext"/>
              <w:jc w:val="center"/>
            </w:pPr>
            <w:r w:rsidRPr="00970AD2">
              <w:t xml:space="preserve">Min 83 </w:t>
            </w:r>
            <w:r w:rsidR="000C27E5">
              <w:t>lm/W</w:t>
            </w:r>
          </w:p>
        </w:tc>
        <w:tc>
          <w:tcPr>
            <w:tcW w:w="1389" w:type="dxa"/>
            <w:vAlign w:val="center"/>
            <w:hideMark/>
          </w:tcPr>
          <w:p w14:paraId="3A5C4FD0" w14:textId="77777777" w:rsidR="00F35FF4" w:rsidRPr="00970AD2" w:rsidRDefault="00F35FF4" w:rsidP="00EE39FE">
            <w:pPr>
              <w:pStyle w:val="Tabletext"/>
              <w:jc w:val="center"/>
            </w:pPr>
            <w:r w:rsidRPr="00970AD2">
              <w:t xml:space="preserve">Min 100 </w:t>
            </w:r>
            <w:r w:rsidR="000C27E5">
              <w:t>lm/W</w:t>
            </w:r>
          </w:p>
        </w:tc>
      </w:tr>
      <w:tr w:rsidR="0062067B" w:rsidRPr="00D936CF" w14:paraId="5A206F99" w14:textId="77777777" w:rsidTr="0064760C">
        <w:trPr>
          <w:trHeight w:val="280"/>
        </w:trPr>
        <w:tc>
          <w:tcPr>
            <w:tcW w:w="2142" w:type="dxa"/>
            <w:noWrap/>
            <w:vAlign w:val="center"/>
            <w:hideMark/>
          </w:tcPr>
          <w:p w14:paraId="6D295323" w14:textId="77777777" w:rsidR="0062067B" w:rsidRPr="00970AD2" w:rsidRDefault="0062067B" w:rsidP="0062067B">
            <w:pPr>
              <w:pStyle w:val="Tabletext"/>
            </w:pPr>
            <w:r w:rsidRPr="00970AD2">
              <w:t>15000 to 19999 hrs</w:t>
            </w:r>
          </w:p>
        </w:tc>
        <w:tc>
          <w:tcPr>
            <w:tcW w:w="1389" w:type="dxa"/>
            <w:noWrap/>
            <w:hideMark/>
          </w:tcPr>
          <w:p w14:paraId="656767B7" w14:textId="43521236" w:rsidR="0062067B" w:rsidRPr="00970AD2" w:rsidRDefault="0062067B" w:rsidP="0062067B">
            <w:pPr>
              <w:pStyle w:val="Tabletext"/>
              <w:jc w:val="center"/>
            </w:pPr>
            <w:r>
              <w:rPr>
                <w:rFonts w:ascii="Calibri" w:hAnsi="Calibri" w:cs="Calibri"/>
                <w:color w:val="000000"/>
                <w:sz w:val="22"/>
                <w:szCs w:val="22"/>
              </w:rPr>
              <w:t>0.416</w:t>
            </w:r>
          </w:p>
        </w:tc>
        <w:tc>
          <w:tcPr>
            <w:tcW w:w="1389" w:type="dxa"/>
            <w:noWrap/>
            <w:hideMark/>
          </w:tcPr>
          <w:p w14:paraId="4B02CDF1" w14:textId="3E91673A" w:rsidR="0062067B" w:rsidRPr="00970AD2" w:rsidRDefault="0062067B" w:rsidP="0062067B">
            <w:pPr>
              <w:pStyle w:val="Tabletext"/>
              <w:jc w:val="center"/>
            </w:pPr>
            <w:r>
              <w:rPr>
                <w:rFonts w:ascii="Calibri" w:hAnsi="Calibri" w:cs="Calibri"/>
                <w:color w:val="000000"/>
                <w:sz w:val="22"/>
                <w:szCs w:val="22"/>
              </w:rPr>
              <w:t>0.438</w:t>
            </w:r>
          </w:p>
        </w:tc>
        <w:tc>
          <w:tcPr>
            <w:tcW w:w="1389" w:type="dxa"/>
            <w:noWrap/>
            <w:hideMark/>
          </w:tcPr>
          <w:p w14:paraId="45A3770F" w14:textId="6B31EC17" w:rsidR="0062067B" w:rsidRPr="00970AD2" w:rsidRDefault="0062067B" w:rsidP="0062067B">
            <w:pPr>
              <w:pStyle w:val="Tabletext"/>
              <w:jc w:val="center"/>
            </w:pPr>
            <w:r>
              <w:rPr>
                <w:rFonts w:ascii="Calibri" w:hAnsi="Calibri" w:cs="Calibri"/>
                <w:color w:val="000000"/>
                <w:sz w:val="22"/>
                <w:szCs w:val="22"/>
              </w:rPr>
              <w:t>0.456</w:t>
            </w:r>
          </w:p>
        </w:tc>
        <w:tc>
          <w:tcPr>
            <w:tcW w:w="1389" w:type="dxa"/>
            <w:noWrap/>
            <w:hideMark/>
          </w:tcPr>
          <w:p w14:paraId="2B1B527E" w14:textId="753B2E41" w:rsidR="0062067B" w:rsidRPr="00970AD2" w:rsidRDefault="0062067B" w:rsidP="0062067B">
            <w:pPr>
              <w:pStyle w:val="Tabletext"/>
              <w:jc w:val="center"/>
            </w:pPr>
            <w:r>
              <w:rPr>
                <w:rFonts w:ascii="Calibri" w:hAnsi="Calibri" w:cs="Calibri"/>
                <w:color w:val="000000"/>
                <w:sz w:val="22"/>
                <w:szCs w:val="22"/>
              </w:rPr>
              <w:t>0.471</w:t>
            </w:r>
          </w:p>
        </w:tc>
        <w:tc>
          <w:tcPr>
            <w:tcW w:w="1389" w:type="dxa"/>
            <w:noWrap/>
            <w:hideMark/>
          </w:tcPr>
          <w:p w14:paraId="52386FA8" w14:textId="7A6A7636" w:rsidR="0062067B" w:rsidRPr="00970AD2" w:rsidRDefault="0062067B" w:rsidP="0062067B">
            <w:pPr>
              <w:pStyle w:val="Tabletext"/>
              <w:jc w:val="center"/>
            </w:pPr>
            <w:r>
              <w:rPr>
                <w:rFonts w:ascii="Calibri" w:hAnsi="Calibri" w:cs="Calibri"/>
                <w:color w:val="000000"/>
                <w:sz w:val="22"/>
                <w:szCs w:val="22"/>
              </w:rPr>
              <w:t>0.484</w:t>
            </w:r>
          </w:p>
        </w:tc>
      </w:tr>
      <w:tr w:rsidR="0062067B" w:rsidRPr="00D936CF" w14:paraId="68954166" w14:textId="77777777" w:rsidTr="0064760C">
        <w:trPr>
          <w:trHeight w:val="280"/>
        </w:trPr>
        <w:tc>
          <w:tcPr>
            <w:tcW w:w="2142" w:type="dxa"/>
            <w:noWrap/>
            <w:vAlign w:val="center"/>
            <w:hideMark/>
          </w:tcPr>
          <w:p w14:paraId="29662C2E" w14:textId="77777777" w:rsidR="0062067B" w:rsidRPr="00970AD2" w:rsidRDefault="0062067B" w:rsidP="0062067B">
            <w:pPr>
              <w:pStyle w:val="Tabletext"/>
            </w:pPr>
            <w:r w:rsidRPr="00970AD2">
              <w:t>20000 to 24999 hrs</w:t>
            </w:r>
          </w:p>
        </w:tc>
        <w:tc>
          <w:tcPr>
            <w:tcW w:w="1389" w:type="dxa"/>
            <w:noWrap/>
            <w:hideMark/>
          </w:tcPr>
          <w:p w14:paraId="4FB9B441" w14:textId="6145E688" w:rsidR="0062067B" w:rsidRPr="00970AD2" w:rsidRDefault="0062067B" w:rsidP="0062067B">
            <w:pPr>
              <w:pStyle w:val="Tabletext"/>
              <w:jc w:val="center"/>
            </w:pPr>
            <w:r>
              <w:rPr>
                <w:rFonts w:ascii="Calibri" w:hAnsi="Calibri" w:cs="Calibri"/>
                <w:color w:val="000000"/>
                <w:sz w:val="22"/>
                <w:szCs w:val="22"/>
              </w:rPr>
              <w:t>0.554</w:t>
            </w:r>
          </w:p>
        </w:tc>
        <w:tc>
          <w:tcPr>
            <w:tcW w:w="1389" w:type="dxa"/>
            <w:noWrap/>
            <w:hideMark/>
          </w:tcPr>
          <w:p w14:paraId="22450FC3" w14:textId="51A9E56B" w:rsidR="0062067B" w:rsidRPr="00970AD2" w:rsidRDefault="0062067B" w:rsidP="0062067B">
            <w:pPr>
              <w:pStyle w:val="Tabletext"/>
              <w:jc w:val="center"/>
            </w:pPr>
            <w:r>
              <w:rPr>
                <w:rFonts w:ascii="Calibri" w:hAnsi="Calibri" w:cs="Calibri"/>
                <w:color w:val="000000"/>
                <w:sz w:val="22"/>
                <w:szCs w:val="22"/>
              </w:rPr>
              <w:t>0.583</w:t>
            </w:r>
          </w:p>
        </w:tc>
        <w:tc>
          <w:tcPr>
            <w:tcW w:w="1389" w:type="dxa"/>
            <w:noWrap/>
            <w:hideMark/>
          </w:tcPr>
          <w:p w14:paraId="4E7A5FC4" w14:textId="7DD316EE" w:rsidR="0062067B" w:rsidRPr="00970AD2" w:rsidRDefault="0062067B" w:rsidP="0062067B">
            <w:pPr>
              <w:pStyle w:val="Tabletext"/>
              <w:jc w:val="center"/>
            </w:pPr>
            <w:r>
              <w:rPr>
                <w:rFonts w:ascii="Calibri" w:hAnsi="Calibri" w:cs="Calibri"/>
                <w:color w:val="000000"/>
                <w:sz w:val="22"/>
                <w:szCs w:val="22"/>
              </w:rPr>
              <w:t>0.608</w:t>
            </w:r>
          </w:p>
        </w:tc>
        <w:tc>
          <w:tcPr>
            <w:tcW w:w="1389" w:type="dxa"/>
            <w:noWrap/>
            <w:hideMark/>
          </w:tcPr>
          <w:p w14:paraId="47B8B752" w14:textId="2623993B" w:rsidR="0062067B" w:rsidRPr="00970AD2" w:rsidRDefault="0062067B" w:rsidP="0062067B">
            <w:pPr>
              <w:pStyle w:val="Tabletext"/>
              <w:jc w:val="center"/>
            </w:pPr>
            <w:r>
              <w:rPr>
                <w:rFonts w:ascii="Calibri" w:hAnsi="Calibri" w:cs="Calibri"/>
                <w:color w:val="000000"/>
                <w:sz w:val="22"/>
                <w:szCs w:val="22"/>
              </w:rPr>
              <w:t>0.628</w:t>
            </w:r>
          </w:p>
        </w:tc>
        <w:tc>
          <w:tcPr>
            <w:tcW w:w="1389" w:type="dxa"/>
            <w:noWrap/>
            <w:hideMark/>
          </w:tcPr>
          <w:p w14:paraId="145DABD2" w14:textId="3EBA2E25" w:rsidR="0062067B" w:rsidRPr="00970AD2" w:rsidRDefault="0062067B" w:rsidP="0062067B">
            <w:pPr>
              <w:pStyle w:val="Tabletext"/>
              <w:jc w:val="center"/>
            </w:pPr>
            <w:r>
              <w:rPr>
                <w:rFonts w:ascii="Calibri" w:hAnsi="Calibri" w:cs="Calibri"/>
                <w:color w:val="000000"/>
                <w:sz w:val="22"/>
                <w:szCs w:val="22"/>
              </w:rPr>
              <w:t>0.645</w:t>
            </w:r>
          </w:p>
        </w:tc>
      </w:tr>
      <w:tr w:rsidR="0062067B" w:rsidRPr="00D936CF" w14:paraId="22EC6C0B" w14:textId="77777777" w:rsidTr="0064760C">
        <w:trPr>
          <w:trHeight w:val="280"/>
        </w:trPr>
        <w:tc>
          <w:tcPr>
            <w:tcW w:w="2142" w:type="dxa"/>
            <w:noWrap/>
            <w:vAlign w:val="center"/>
            <w:hideMark/>
          </w:tcPr>
          <w:p w14:paraId="40FAC30A" w14:textId="77777777" w:rsidR="0062067B" w:rsidRPr="00970AD2" w:rsidRDefault="0062067B" w:rsidP="0062067B">
            <w:pPr>
              <w:pStyle w:val="Tabletext"/>
            </w:pPr>
            <w:r w:rsidRPr="00970AD2">
              <w:t>25000 hrs +</w:t>
            </w:r>
          </w:p>
        </w:tc>
        <w:tc>
          <w:tcPr>
            <w:tcW w:w="1389" w:type="dxa"/>
            <w:noWrap/>
            <w:hideMark/>
          </w:tcPr>
          <w:p w14:paraId="6F19406E" w14:textId="078926C0" w:rsidR="0062067B" w:rsidRPr="00970AD2" w:rsidRDefault="0062067B" w:rsidP="0062067B">
            <w:pPr>
              <w:pStyle w:val="Tabletext"/>
              <w:jc w:val="center"/>
            </w:pPr>
            <w:r>
              <w:rPr>
                <w:rFonts w:ascii="Calibri" w:hAnsi="Calibri" w:cs="Calibri"/>
                <w:color w:val="000000"/>
                <w:sz w:val="22"/>
                <w:szCs w:val="22"/>
              </w:rPr>
              <w:t>0.693</w:t>
            </w:r>
          </w:p>
        </w:tc>
        <w:tc>
          <w:tcPr>
            <w:tcW w:w="1389" w:type="dxa"/>
            <w:noWrap/>
            <w:hideMark/>
          </w:tcPr>
          <w:p w14:paraId="36C9A815" w14:textId="33A0370B" w:rsidR="0062067B" w:rsidRPr="00970AD2" w:rsidRDefault="0062067B" w:rsidP="0062067B">
            <w:pPr>
              <w:pStyle w:val="Tabletext"/>
              <w:jc w:val="center"/>
            </w:pPr>
            <w:r>
              <w:rPr>
                <w:rFonts w:ascii="Calibri" w:hAnsi="Calibri" w:cs="Calibri"/>
                <w:color w:val="000000"/>
                <w:sz w:val="22"/>
                <w:szCs w:val="22"/>
              </w:rPr>
              <w:t>0.729</w:t>
            </w:r>
          </w:p>
        </w:tc>
        <w:tc>
          <w:tcPr>
            <w:tcW w:w="1389" w:type="dxa"/>
            <w:noWrap/>
            <w:hideMark/>
          </w:tcPr>
          <w:p w14:paraId="71420BA9" w14:textId="246C69AE" w:rsidR="0062067B" w:rsidRPr="00970AD2" w:rsidRDefault="0062067B" w:rsidP="0062067B">
            <w:pPr>
              <w:pStyle w:val="Tabletext"/>
              <w:jc w:val="center"/>
            </w:pPr>
            <w:r>
              <w:rPr>
                <w:rFonts w:ascii="Calibri" w:hAnsi="Calibri" w:cs="Calibri"/>
                <w:color w:val="000000"/>
                <w:sz w:val="22"/>
                <w:szCs w:val="22"/>
              </w:rPr>
              <w:t>0.760</w:t>
            </w:r>
          </w:p>
        </w:tc>
        <w:tc>
          <w:tcPr>
            <w:tcW w:w="1389" w:type="dxa"/>
            <w:noWrap/>
            <w:hideMark/>
          </w:tcPr>
          <w:p w14:paraId="0DC65107" w14:textId="6E1EF307" w:rsidR="0062067B" w:rsidRPr="00970AD2" w:rsidRDefault="0062067B" w:rsidP="0062067B">
            <w:pPr>
              <w:pStyle w:val="Tabletext"/>
              <w:jc w:val="center"/>
            </w:pPr>
            <w:r>
              <w:rPr>
                <w:rFonts w:ascii="Calibri" w:hAnsi="Calibri" w:cs="Calibri"/>
                <w:color w:val="000000"/>
                <w:sz w:val="22"/>
                <w:szCs w:val="22"/>
              </w:rPr>
              <w:t>0.785</w:t>
            </w:r>
          </w:p>
        </w:tc>
        <w:tc>
          <w:tcPr>
            <w:tcW w:w="1389" w:type="dxa"/>
            <w:noWrap/>
            <w:hideMark/>
          </w:tcPr>
          <w:p w14:paraId="0C1F2C20" w14:textId="345E43F0" w:rsidR="0062067B" w:rsidRPr="00970AD2" w:rsidRDefault="0062067B" w:rsidP="0062067B">
            <w:pPr>
              <w:pStyle w:val="Tabletext"/>
              <w:jc w:val="center"/>
            </w:pPr>
            <w:r>
              <w:rPr>
                <w:rFonts w:ascii="Calibri" w:hAnsi="Calibri" w:cs="Calibri"/>
                <w:color w:val="000000"/>
                <w:sz w:val="22"/>
                <w:szCs w:val="22"/>
              </w:rPr>
              <w:t>0.806</w:t>
            </w:r>
          </w:p>
        </w:tc>
      </w:tr>
    </w:tbl>
    <w:p w14:paraId="62F9A01C" w14:textId="1F611359" w:rsidR="00F0426F" w:rsidRPr="00970AD2" w:rsidRDefault="00F0426F" w:rsidP="00D42823">
      <w:pPr>
        <w:pStyle w:val="Caption"/>
        <w:rPr>
          <w:rFonts w:eastAsia="Times New Roman"/>
          <w:lang w:eastAsia="en-AU"/>
        </w:rPr>
      </w:pPr>
      <w:bookmarkStart w:id="309" w:name="_Toc37945716"/>
      <w:bookmarkStart w:id="310" w:name="_Toc21868137"/>
      <w:bookmarkStart w:id="311" w:name="_Toc21868269"/>
      <w:r w:rsidRPr="00970AD2">
        <w:t xml:space="preserve">Table </w:t>
      </w:r>
      <w:r w:rsidR="004A0156">
        <w:rPr>
          <w:noProof/>
        </w:rPr>
        <w:fldChar w:fldCharType="begin"/>
      </w:r>
      <w:r w:rsidR="004A0156">
        <w:rPr>
          <w:noProof/>
        </w:rPr>
        <w:instrText xml:space="preserve"> SEQ Table \* ARABIC </w:instrText>
      </w:r>
      <w:r w:rsidR="004A0156">
        <w:rPr>
          <w:noProof/>
        </w:rPr>
        <w:fldChar w:fldCharType="separate"/>
      </w:r>
      <w:r w:rsidR="00880CB1">
        <w:rPr>
          <w:noProof/>
        </w:rPr>
        <w:t>32</w:t>
      </w:r>
      <w:r w:rsidR="004A0156">
        <w:rPr>
          <w:noProof/>
        </w:rPr>
        <w:fldChar w:fldCharType="end"/>
      </w:r>
      <w:r w:rsidRPr="00970AD2">
        <w:t xml:space="preserve"> </w:t>
      </w:r>
      <w:r w:rsidR="009E6E7F">
        <w:tab/>
      </w:r>
      <w:r w:rsidR="000C27E5">
        <w:t xml:space="preserve">Activity </w:t>
      </w:r>
      <w:r w:rsidR="00D85CB2">
        <w:t xml:space="preserve">ID </w:t>
      </w:r>
      <w:r w:rsidR="000C27E5">
        <w:t>4.1(e)</w:t>
      </w:r>
      <w:r w:rsidRPr="00970AD2">
        <w:t xml:space="preserve"> </w:t>
      </w:r>
      <w:r w:rsidR="00D25CD5">
        <w:t>energy savings</w:t>
      </w:r>
      <w:r w:rsidRPr="00970AD2">
        <w:t xml:space="preserve"> values for installation of low energy </w:t>
      </w:r>
      <w:r w:rsidR="00FD661C">
        <w:t xml:space="preserve">LED </w:t>
      </w:r>
      <w:r w:rsidRPr="00970AD2">
        <w:t>lamp with a GU10 base in place of existing mains voltage halogen lamp of at least 35 watts with a GU10 base</w:t>
      </w:r>
      <w:bookmarkEnd w:id="309"/>
      <w:r w:rsidR="00EE39FE">
        <w:t xml:space="preserve"> </w:t>
      </w:r>
      <w:bookmarkEnd w:id="310"/>
      <w:bookmarkEnd w:id="3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1410"/>
        <w:gridCol w:w="1410"/>
        <w:gridCol w:w="1410"/>
        <w:gridCol w:w="1410"/>
        <w:gridCol w:w="1410"/>
      </w:tblGrid>
      <w:tr w:rsidR="00EE39FE" w:rsidRPr="00D936CF" w14:paraId="5C7AFA5A" w14:textId="77777777" w:rsidTr="009E205F">
        <w:tc>
          <w:tcPr>
            <w:tcW w:w="9134" w:type="dxa"/>
            <w:gridSpan w:val="6"/>
            <w:shd w:val="clear" w:color="auto" w:fill="auto"/>
          </w:tcPr>
          <w:p w14:paraId="1D804244" w14:textId="5CB89B92" w:rsidR="00EE39FE" w:rsidRPr="00970AD2" w:rsidRDefault="00EE39FE" w:rsidP="00EE39FE">
            <w:pPr>
              <w:pStyle w:val="Tableheader"/>
              <w:jc w:val="center"/>
              <w:rPr>
                <w:rFonts w:eastAsia="Times New Roman"/>
                <w:iCs/>
                <w:lang w:eastAsia="en-AU"/>
              </w:rPr>
            </w:pPr>
            <w:r w:rsidRPr="00970AD2">
              <w:t xml:space="preserve">Activity </w:t>
            </w:r>
            <w:r w:rsidR="00D25CD5">
              <w:t>Energy savings</w:t>
            </w:r>
            <w:r w:rsidRPr="00970AD2">
              <w:t xml:space="preserve"> Value (</w:t>
            </w:r>
            <w:r w:rsidR="0062067B">
              <w:t>MWh</w:t>
            </w:r>
            <w:r w:rsidRPr="00970AD2">
              <w:t>)</w:t>
            </w:r>
          </w:p>
        </w:tc>
      </w:tr>
      <w:tr w:rsidR="001069C8" w:rsidRPr="00EE39FE" w14:paraId="153E4B82" w14:textId="77777777" w:rsidTr="00EE39FE">
        <w:tc>
          <w:tcPr>
            <w:tcW w:w="2084" w:type="dxa"/>
            <w:shd w:val="clear" w:color="auto" w:fill="auto"/>
          </w:tcPr>
          <w:p w14:paraId="74E32BC1" w14:textId="77777777" w:rsidR="00FE576D" w:rsidRPr="00EE39FE" w:rsidRDefault="00FE576D" w:rsidP="00EE39FE">
            <w:pPr>
              <w:pStyle w:val="Tabletext"/>
            </w:pPr>
            <w:r w:rsidRPr="00EE39FE">
              <w:t>Efficacy</w:t>
            </w:r>
          </w:p>
        </w:tc>
        <w:tc>
          <w:tcPr>
            <w:tcW w:w="1410" w:type="dxa"/>
            <w:shd w:val="clear" w:color="auto" w:fill="auto"/>
            <w:vAlign w:val="center"/>
          </w:tcPr>
          <w:p w14:paraId="4A127BE1" w14:textId="77777777" w:rsidR="00FE576D" w:rsidRPr="00EE39FE" w:rsidRDefault="00FE576D" w:rsidP="00EE39FE">
            <w:pPr>
              <w:pStyle w:val="Tabletext"/>
              <w:jc w:val="center"/>
            </w:pPr>
            <w:r w:rsidRPr="00EE39FE">
              <w:t xml:space="preserve">Min 48 </w:t>
            </w:r>
            <w:r w:rsidR="000C27E5">
              <w:t>lm/W</w:t>
            </w:r>
          </w:p>
        </w:tc>
        <w:tc>
          <w:tcPr>
            <w:tcW w:w="1410" w:type="dxa"/>
            <w:shd w:val="clear" w:color="auto" w:fill="auto"/>
            <w:vAlign w:val="center"/>
          </w:tcPr>
          <w:p w14:paraId="42274ED0" w14:textId="77777777" w:rsidR="00FE576D" w:rsidRPr="00EE39FE" w:rsidRDefault="00FE576D" w:rsidP="00EE39FE">
            <w:pPr>
              <w:pStyle w:val="Tabletext"/>
              <w:jc w:val="center"/>
            </w:pPr>
            <w:r w:rsidRPr="00EE39FE">
              <w:t xml:space="preserve">Min 58 </w:t>
            </w:r>
            <w:r w:rsidR="000C27E5">
              <w:t>lm/W</w:t>
            </w:r>
          </w:p>
        </w:tc>
        <w:tc>
          <w:tcPr>
            <w:tcW w:w="1410" w:type="dxa"/>
            <w:shd w:val="clear" w:color="auto" w:fill="auto"/>
            <w:vAlign w:val="center"/>
          </w:tcPr>
          <w:p w14:paraId="790766DD" w14:textId="77777777" w:rsidR="00FE576D" w:rsidRPr="00EE39FE" w:rsidRDefault="00FE576D" w:rsidP="00EE39FE">
            <w:pPr>
              <w:pStyle w:val="Tabletext"/>
              <w:jc w:val="center"/>
            </w:pPr>
            <w:r w:rsidRPr="00EE39FE">
              <w:t xml:space="preserve">Min 69 </w:t>
            </w:r>
            <w:r w:rsidR="000C27E5">
              <w:t>lm/W</w:t>
            </w:r>
          </w:p>
        </w:tc>
        <w:tc>
          <w:tcPr>
            <w:tcW w:w="1410" w:type="dxa"/>
            <w:shd w:val="clear" w:color="auto" w:fill="auto"/>
            <w:vAlign w:val="center"/>
          </w:tcPr>
          <w:p w14:paraId="2C021C4E" w14:textId="77777777" w:rsidR="00FE576D" w:rsidRPr="00EE39FE" w:rsidRDefault="00FE576D" w:rsidP="00EE39FE">
            <w:pPr>
              <w:pStyle w:val="Tabletext"/>
              <w:jc w:val="center"/>
            </w:pPr>
            <w:r w:rsidRPr="00EE39FE">
              <w:t xml:space="preserve">Min 83 </w:t>
            </w:r>
            <w:r w:rsidR="000C27E5">
              <w:t>lm/W</w:t>
            </w:r>
          </w:p>
        </w:tc>
        <w:tc>
          <w:tcPr>
            <w:tcW w:w="1410" w:type="dxa"/>
            <w:shd w:val="clear" w:color="auto" w:fill="auto"/>
            <w:vAlign w:val="center"/>
          </w:tcPr>
          <w:p w14:paraId="6804A517" w14:textId="77777777" w:rsidR="00FE576D" w:rsidRPr="00EE39FE" w:rsidRDefault="00FE576D" w:rsidP="00EE39FE">
            <w:pPr>
              <w:pStyle w:val="Tabletext"/>
              <w:jc w:val="center"/>
            </w:pPr>
            <w:r w:rsidRPr="00EE39FE">
              <w:t xml:space="preserve">Min 100 </w:t>
            </w:r>
            <w:r w:rsidR="000C27E5">
              <w:t>lm/W</w:t>
            </w:r>
          </w:p>
        </w:tc>
      </w:tr>
      <w:tr w:rsidR="0062067B" w:rsidRPr="00EE39FE" w14:paraId="689FA4D1" w14:textId="77777777" w:rsidTr="0064760C">
        <w:tc>
          <w:tcPr>
            <w:tcW w:w="2084" w:type="dxa"/>
            <w:shd w:val="clear" w:color="auto" w:fill="auto"/>
          </w:tcPr>
          <w:p w14:paraId="11E38023" w14:textId="77777777" w:rsidR="0062067B" w:rsidRPr="00EE39FE" w:rsidRDefault="0062067B" w:rsidP="0062067B">
            <w:pPr>
              <w:pStyle w:val="Tabletext"/>
            </w:pPr>
            <w:r w:rsidRPr="00EE39FE">
              <w:t>15,000 to 19,999 hrs</w:t>
            </w:r>
          </w:p>
        </w:tc>
        <w:tc>
          <w:tcPr>
            <w:tcW w:w="1410" w:type="dxa"/>
            <w:shd w:val="clear" w:color="auto" w:fill="auto"/>
          </w:tcPr>
          <w:p w14:paraId="5FB7843F" w14:textId="3135054F" w:rsidR="0062067B" w:rsidRPr="00EE39FE" w:rsidRDefault="0062067B" w:rsidP="0062067B">
            <w:pPr>
              <w:pStyle w:val="Tabletext"/>
              <w:jc w:val="center"/>
            </w:pPr>
            <w:r>
              <w:rPr>
                <w:rFonts w:ascii="Calibri" w:hAnsi="Calibri" w:cs="Calibri"/>
                <w:color w:val="000000"/>
                <w:sz w:val="22"/>
                <w:szCs w:val="22"/>
              </w:rPr>
              <w:t>0.510</w:t>
            </w:r>
          </w:p>
        </w:tc>
        <w:tc>
          <w:tcPr>
            <w:tcW w:w="1410" w:type="dxa"/>
            <w:shd w:val="clear" w:color="auto" w:fill="auto"/>
          </w:tcPr>
          <w:p w14:paraId="1E59544F" w14:textId="5A19764C" w:rsidR="0062067B" w:rsidRPr="00EE39FE" w:rsidRDefault="0062067B" w:rsidP="0062067B">
            <w:pPr>
              <w:pStyle w:val="Tabletext"/>
              <w:jc w:val="center"/>
            </w:pPr>
            <w:r>
              <w:rPr>
                <w:rFonts w:ascii="Calibri" w:hAnsi="Calibri" w:cs="Calibri"/>
                <w:color w:val="000000"/>
                <w:sz w:val="22"/>
                <w:szCs w:val="22"/>
              </w:rPr>
              <w:t>0.531</w:t>
            </w:r>
          </w:p>
        </w:tc>
        <w:tc>
          <w:tcPr>
            <w:tcW w:w="1410" w:type="dxa"/>
            <w:shd w:val="clear" w:color="auto" w:fill="auto"/>
          </w:tcPr>
          <w:p w14:paraId="640411FF" w14:textId="1DDC3035" w:rsidR="0062067B" w:rsidRPr="00EE39FE" w:rsidRDefault="0062067B" w:rsidP="00071BDC">
            <w:pPr>
              <w:pStyle w:val="Tabletext"/>
              <w:jc w:val="center"/>
            </w:pPr>
            <w:r>
              <w:rPr>
                <w:rFonts w:ascii="Calibri" w:hAnsi="Calibri" w:cs="Calibri"/>
                <w:color w:val="000000"/>
                <w:sz w:val="22"/>
                <w:szCs w:val="22"/>
              </w:rPr>
              <w:t>0.549</w:t>
            </w:r>
          </w:p>
        </w:tc>
        <w:tc>
          <w:tcPr>
            <w:tcW w:w="1410" w:type="dxa"/>
            <w:shd w:val="clear" w:color="auto" w:fill="auto"/>
          </w:tcPr>
          <w:p w14:paraId="0B333F6D" w14:textId="233218A1" w:rsidR="0062067B" w:rsidRPr="00EE39FE" w:rsidRDefault="0062067B" w:rsidP="008E78DC">
            <w:pPr>
              <w:pStyle w:val="Tabletext"/>
              <w:jc w:val="center"/>
            </w:pPr>
            <w:r>
              <w:rPr>
                <w:rFonts w:ascii="Calibri" w:hAnsi="Calibri" w:cs="Calibri"/>
                <w:color w:val="000000"/>
                <w:sz w:val="22"/>
                <w:szCs w:val="22"/>
              </w:rPr>
              <w:t>0.564</w:t>
            </w:r>
          </w:p>
        </w:tc>
        <w:tc>
          <w:tcPr>
            <w:tcW w:w="1410" w:type="dxa"/>
            <w:shd w:val="clear" w:color="auto" w:fill="auto"/>
          </w:tcPr>
          <w:p w14:paraId="4814FFA1" w14:textId="53E794E1" w:rsidR="0062067B" w:rsidRPr="00EE39FE" w:rsidRDefault="0062067B" w:rsidP="008E78DC">
            <w:pPr>
              <w:pStyle w:val="Tabletext"/>
              <w:jc w:val="center"/>
            </w:pPr>
            <w:r>
              <w:rPr>
                <w:rFonts w:ascii="Calibri" w:hAnsi="Calibri" w:cs="Calibri"/>
                <w:color w:val="000000"/>
                <w:sz w:val="22"/>
                <w:szCs w:val="22"/>
              </w:rPr>
              <w:t>0.576</w:t>
            </w:r>
          </w:p>
        </w:tc>
      </w:tr>
      <w:tr w:rsidR="0062067B" w:rsidRPr="00EE39FE" w14:paraId="0EFAF7A7" w14:textId="77777777" w:rsidTr="0064760C">
        <w:tc>
          <w:tcPr>
            <w:tcW w:w="2084" w:type="dxa"/>
            <w:shd w:val="clear" w:color="auto" w:fill="auto"/>
          </w:tcPr>
          <w:p w14:paraId="4F82E441" w14:textId="77777777" w:rsidR="0062067B" w:rsidRPr="00EE39FE" w:rsidRDefault="0062067B" w:rsidP="0062067B">
            <w:pPr>
              <w:pStyle w:val="Tabletext"/>
            </w:pPr>
            <w:r w:rsidRPr="00EE39FE">
              <w:t>20,000 hrs to 24,999 hrs</w:t>
            </w:r>
          </w:p>
        </w:tc>
        <w:tc>
          <w:tcPr>
            <w:tcW w:w="1410" w:type="dxa"/>
            <w:shd w:val="clear" w:color="auto" w:fill="auto"/>
          </w:tcPr>
          <w:p w14:paraId="6B7B74E4" w14:textId="76476502" w:rsidR="0062067B" w:rsidRPr="00EE39FE" w:rsidRDefault="0062067B" w:rsidP="0062067B">
            <w:pPr>
              <w:pStyle w:val="Tabletext"/>
              <w:jc w:val="center"/>
            </w:pPr>
            <w:r>
              <w:rPr>
                <w:rFonts w:ascii="Calibri" w:hAnsi="Calibri" w:cs="Calibri"/>
                <w:color w:val="000000"/>
                <w:sz w:val="22"/>
                <w:szCs w:val="22"/>
              </w:rPr>
              <w:t>0.680</w:t>
            </w:r>
          </w:p>
        </w:tc>
        <w:tc>
          <w:tcPr>
            <w:tcW w:w="1410" w:type="dxa"/>
            <w:shd w:val="clear" w:color="auto" w:fill="auto"/>
          </w:tcPr>
          <w:p w14:paraId="7A404284" w14:textId="2BFB05CC" w:rsidR="0062067B" w:rsidRPr="00EE39FE" w:rsidRDefault="0062067B" w:rsidP="0062067B">
            <w:pPr>
              <w:pStyle w:val="Tabletext"/>
              <w:jc w:val="center"/>
            </w:pPr>
            <w:r>
              <w:rPr>
                <w:rFonts w:ascii="Calibri" w:hAnsi="Calibri" w:cs="Calibri"/>
                <w:color w:val="000000"/>
                <w:sz w:val="22"/>
                <w:szCs w:val="22"/>
              </w:rPr>
              <w:t>0.708</w:t>
            </w:r>
          </w:p>
        </w:tc>
        <w:tc>
          <w:tcPr>
            <w:tcW w:w="1410" w:type="dxa"/>
            <w:shd w:val="clear" w:color="auto" w:fill="auto"/>
          </w:tcPr>
          <w:p w14:paraId="0E44AD2E" w14:textId="581A378D" w:rsidR="0062067B" w:rsidRPr="00EE39FE" w:rsidRDefault="0062067B" w:rsidP="00071BDC">
            <w:pPr>
              <w:pStyle w:val="Tabletext"/>
              <w:jc w:val="center"/>
            </w:pPr>
            <w:r>
              <w:rPr>
                <w:rFonts w:ascii="Calibri" w:hAnsi="Calibri" w:cs="Calibri"/>
                <w:color w:val="000000"/>
                <w:sz w:val="22"/>
                <w:szCs w:val="22"/>
              </w:rPr>
              <w:t>0.732</w:t>
            </w:r>
          </w:p>
        </w:tc>
        <w:tc>
          <w:tcPr>
            <w:tcW w:w="1410" w:type="dxa"/>
            <w:shd w:val="clear" w:color="auto" w:fill="auto"/>
          </w:tcPr>
          <w:p w14:paraId="7BB46E7C" w14:textId="00D21144" w:rsidR="0062067B" w:rsidRPr="00EE39FE" w:rsidRDefault="0062067B" w:rsidP="008E78DC">
            <w:pPr>
              <w:pStyle w:val="Tabletext"/>
              <w:jc w:val="center"/>
            </w:pPr>
            <w:r>
              <w:rPr>
                <w:rFonts w:ascii="Calibri" w:hAnsi="Calibri" w:cs="Calibri"/>
                <w:color w:val="000000"/>
                <w:sz w:val="22"/>
                <w:szCs w:val="22"/>
              </w:rPr>
              <w:t>0.752</w:t>
            </w:r>
          </w:p>
        </w:tc>
        <w:tc>
          <w:tcPr>
            <w:tcW w:w="1410" w:type="dxa"/>
            <w:shd w:val="clear" w:color="auto" w:fill="auto"/>
          </w:tcPr>
          <w:p w14:paraId="53FF94C4" w14:textId="15ED068B" w:rsidR="0062067B" w:rsidRPr="00EE39FE" w:rsidRDefault="0062067B" w:rsidP="008E78DC">
            <w:pPr>
              <w:pStyle w:val="Tabletext"/>
              <w:jc w:val="center"/>
            </w:pPr>
            <w:r>
              <w:rPr>
                <w:rFonts w:ascii="Calibri" w:hAnsi="Calibri" w:cs="Calibri"/>
                <w:color w:val="000000"/>
                <w:sz w:val="22"/>
                <w:szCs w:val="22"/>
              </w:rPr>
              <w:t>0.768</w:t>
            </w:r>
          </w:p>
        </w:tc>
      </w:tr>
      <w:tr w:rsidR="0062067B" w:rsidRPr="00EE39FE" w14:paraId="34B4B1EC" w14:textId="77777777" w:rsidTr="0064760C">
        <w:tc>
          <w:tcPr>
            <w:tcW w:w="2084" w:type="dxa"/>
            <w:shd w:val="clear" w:color="auto" w:fill="auto"/>
          </w:tcPr>
          <w:p w14:paraId="4CFB69FB" w14:textId="77777777" w:rsidR="0062067B" w:rsidRPr="00EE39FE" w:rsidRDefault="0062067B" w:rsidP="0062067B">
            <w:pPr>
              <w:pStyle w:val="Tabletext"/>
            </w:pPr>
            <w:r w:rsidRPr="00EE39FE">
              <w:t xml:space="preserve">25,000 hrs + </w:t>
            </w:r>
          </w:p>
        </w:tc>
        <w:tc>
          <w:tcPr>
            <w:tcW w:w="1410" w:type="dxa"/>
            <w:shd w:val="clear" w:color="auto" w:fill="auto"/>
          </w:tcPr>
          <w:p w14:paraId="641D9162" w14:textId="4120B5C0" w:rsidR="0062067B" w:rsidRPr="00EE39FE" w:rsidRDefault="0062067B" w:rsidP="0062067B">
            <w:pPr>
              <w:pStyle w:val="Tabletext"/>
              <w:jc w:val="center"/>
            </w:pPr>
            <w:r>
              <w:rPr>
                <w:rFonts w:ascii="Calibri" w:hAnsi="Calibri" w:cs="Calibri"/>
                <w:color w:val="000000"/>
                <w:sz w:val="22"/>
                <w:szCs w:val="22"/>
              </w:rPr>
              <w:t>0.850</w:t>
            </w:r>
          </w:p>
        </w:tc>
        <w:tc>
          <w:tcPr>
            <w:tcW w:w="1410" w:type="dxa"/>
            <w:shd w:val="clear" w:color="auto" w:fill="auto"/>
          </w:tcPr>
          <w:p w14:paraId="5D5F3637" w14:textId="1EE94F05" w:rsidR="0062067B" w:rsidRPr="00EE39FE" w:rsidRDefault="0062067B" w:rsidP="0062067B">
            <w:pPr>
              <w:pStyle w:val="Tabletext"/>
              <w:jc w:val="center"/>
            </w:pPr>
            <w:r>
              <w:rPr>
                <w:rFonts w:ascii="Calibri" w:hAnsi="Calibri" w:cs="Calibri"/>
                <w:color w:val="000000"/>
                <w:sz w:val="22"/>
                <w:szCs w:val="22"/>
              </w:rPr>
              <w:t>0.885</w:t>
            </w:r>
          </w:p>
        </w:tc>
        <w:tc>
          <w:tcPr>
            <w:tcW w:w="1410" w:type="dxa"/>
            <w:shd w:val="clear" w:color="auto" w:fill="auto"/>
          </w:tcPr>
          <w:p w14:paraId="28AFBF1D" w14:textId="778940E3" w:rsidR="0062067B" w:rsidRPr="00EE39FE" w:rsidRDefault="0062067B" w:rsidP="00071BDC">
            <w:pPr>
              <w:pStyle w:val="Tabletext"/>
              <w:jc w:val="center"/>
            </w:pPr>
            <w:r>
              <w:rPr>
                <w:rFonts w:ascii="Calibri" w:hAnsi="Calibri" w:cs="Calibri"/>
                <w:color w:val="000000"/>
                <w:sz w:val="22"/>
                <w:szCs w:val="22"/>
              </w:rPr>
              <w:t>0.915</w:t>
            </w:r>
          </w:p>
        </w:tc>
        <w:tc>
          <w:tcPr>
            <w:tcW w:w="1410" w:type="dxa"/>
            <w:shd w:val="clear" w:color="auto" w:fill="auto"/>
          </w:tcPr>
          <w:p w14:paraId="79437AEC" w14:textId="678B4F01" w:rsidR="0062067B" w:rsidRPr="00EE39FE" w:rsidRDefault="0062067B" w:rsidP="008E78DC">
            <w:pPr>
              <w:pStyle w:val="Tabletext"/>
              <w:jc w:val="center"/>
            </w:pPr>
            <w:r>
              <w:rPr>
                <w:rFonts w:ascii="Calibri" w:hAnsi="Calibri" w:cs="Calibri"/>
                <w:color w:val="000000"/>
                <w:sz w:val="22"/>
                <w:szCs w:val="22"/>
              </w:rPr>
              <w:t>0.940</w:t>
            </w:r>
          </w:p>
        </w:tc>
        <w:tc>
          <w:tcPr>
            <w:tcW w:w="1410" w:type="dxa"/>
            <w:shd w:val="clear" w:color="auto" w:fill="auto"/>
          </w:tcPr>
          <w:p w14:paraId="2CCFA333" w14:textId="6662D405" w:rsidR="0062067B" w:rsidRPr="00EE39FE" w:rsidRDefault="0062067B" w:rsidP="008E78DC">
            <w:pPr>
              <w:pStyle w:val="Tabletext"/>
              <w:jc w:val="center"/>
            </w:pPr>
            <w:r>
              <w:rPr>
                <w:rFonts w:ascii="Calibri" w:hAnsi="Calibri" w:cs="Calibri"/>
                <w:color w:val="000000"/>
                <w:sz w:val="22"/>
                <w:szCs w:val="22"/>
              </w:rPr>
              <w:t>0.960</w:t>
            </w:r>
          </w:p>
        </w:tc>
      </w:tr>
    </w:tbl>
    <w:p w14:paraId="131A6EC6" w14:textId="77777777" w:rsidR="00392E46" w:rsidRPr="00970AD2" w:rsidRDefault="00F94041" w:rsidP="00D42823">
      <w:pPr>
        <w:pStyle w:val="Sectionheading2"/>
      </w:pPr>
      <w:bookmarkStart w:id="312" w:name="_Toc466535742"/>
      <w:r>
        <w:br w:type="page"/>
      </w:r>
      <w:bookmarkStart w:id="313" w:name="_Toc27560563"/>
      <w:r w:rsidR="00392E46" w:rsidRPr="00970AD2">
        <w:lastRenderedPageBreak/>
        <w:t xml:space="preserve">Commercial </w:t>
      </w:r>
      <w:r w:rsidR="00EE39FE">
        <w:t>l</w:t>
      </w:r>
      <w:r w:rsidR="00392E46" w:rsidRPr="00970AD2">
        <w:t>ighting</w:t>
      </w:r>
      <w:bookmarkEnd w:id="292"/>
      <w:r w:rsidR="00392E46" w:rsidRPr="00970AD2">
        <w:t xml:space="preserve"> </w:t>
      </w:r>
      <w:r w:rsidR="00EE39FE">
        <w:t>u</w:t>
      </w:r>
      <w:r w:rsidR="00392E46" w:rsidRPr="00970AD2">
        <w:t>pgrade</w:t>
      </w:r>
      <w:r w:rsidR="007D4740" w:rsidRPr="00970AD2">
        <w:t xml:space="preserve"> </w:t>
      </w:r>
      <w:r w:rsidR="00EE39FE">
        <w:t>a</w:t>
      </w:r>
      <w:r w:rsidR="007D4740" w:rsidRPr="00970AD2">
        <w:t>ctivities</w:t>
      </w:r>
      <w:bookmarkEnd w:id="312"/>
      <w:bookmarkEnd w:id="313"/>
    </w:p>
    <w:p w14:paraId="781852B4" w14:textId="77777777" w:rsidR="00E75F75" w:rsidRPr="00970AD2" w:rsidRDefault="00E75F75" w:rsidP="00D42823">
      <w:pPr>
        <w:pStyle w:val="Sectionheading3"/>
      </w:pPr>
      <w:r w:rsidRPr="00970AD2">
        <w:t>Activity description</w:t>
      </w:r>
    </w:p>
    <w:p w14:paraId="5829CD1C" w14:textId="77777777" w:rsidR="00E75F75" w:rsidRPr="00970AD2" w:rsidRDefault="00BD5C0C" w:rsidP="00D42823">
      <w:pPr>
        <w:pStyle w:val="BodytextEEIS"/>
      </w:pPr>
      <w:r w:rsidRPr="00970AD2">
        <w:rPr>
          <w:b/>
          <w:iCs/>
        </w:rPr>
        <w:t xml:space="preserve">Activity </w:t>
      </w:r>
      <w:r w:rsidR="002C260A" w:rsidRPr="00970AD2">
        <w:rPr>
          <w:b/>
          <w:iCs/>
        </w:rPr>
        <w:t xml:space="preserve">ID </w:t>
      </w:r>
      <w:r w:rsidRPr="00970AD2">
        <w:rPr>
          <w:b/>
          <w:iCs/>
        </w:rPr>
        <w:t xml:space="preserve">4.2 </w:t>
      </w:r>
      <w:r w:rsidRPr="00970AD2">
        <w:rPr>
          <w:iCs/>
        </w:rPr>
        <w:t>–</w:t>
      </w:r>
      <w:r w:rsidRPr="00970AD2">
        <w:rPr>
          <w:b/>
          <w:iCs/>
        </w:rPr>
        <w:t xml:space="preserve"> </w:t>
      </w:r>
      <w:r w:rsidR="009B51F8" w:rsidRPr="00970AD2">
        <w:rPr>
          <w:iCs/>
        </w:rPr>
        <w:t xml:space="preserve">In accordance with the prescribed minimum activity performance specifications, </w:t>
      </w:r>
      <w:r w:rsidR="00E75F75" w:rsidRPr="00970AD2">
        <w:t>being the upgrade of building lighting equipment in a business premises by replacing it with more efficient lighting equipment.</w:t>
      </w:r>
    </w:p>
    <w:p w14:paraId="56AE7F9D" w14:textId="77777777" w:rsidR="00E75F75" w:rsidRPr="00970AD2" w:rsidRDefault="00E75F75" w:rsidP="00D42823">
      <w:pPr>
        <w:pStyle w:val="Sectionheading3"/>
      </w:pPr>
      <w:r w:rsidRPr="00970AD2">
        <w:t xml:space="preserve">Minimum activity performance specifications  </w:t>
      </w:r>
    </w:p>
    <w:p w14:paraId="7F629F12" w14:textId="77777777" w:rsidR="00E75F75" w:rsidRPr="00970AD2" w:rsidRDefault="00E75F75" w:rsidP="00D0545B">
      <w:pPr>
        <w:pStyle w:val="BodytextEEIS"/>
      </w:pPr>
      <w:r w:rsidRPr="00970AD2">
        <w:t xml:space="preserve">To be an eligible activity the activity must— </w:t>
      </w:r>
    </w:p>
    <w:p w14:paraId="057D6B1B" w14:textId="77777777" w:rsidR="00E75F75" w:rsidRPr="00970AD2" w:rsidRDefault="00E75F75" w:rsidP="00D633D3">
      <w:pPr>
        <w:pStyle w:val="Subdetailsfirstindent"/>
        <w:numPr>
          <w:ilvl w:val="0"/>
          <w:numId w:val="121"/>
        </w:numPr>
      </w:pPr>
      <w:r w:rsidRPr="00970AD2">
        <w:t xml:space="preserve">be undertaken at an eligible business premises; </w:t>
      </w:r>
    </w:p>
    <w:p w14:paraId="37829E23" w14:textId="77777777" w:rsidR="00E75F75" w:rsidRPr="00970AD2" w:rsidRDefault="00E75F75" w:rsidP="00D633D3">
      <w:pPr>
        <w:pStyle w:val="Subdetailsfirstindent"/>
        <w:numPr>
          <w:ilvl w:val="0"/>
          <w:numId w:val="121"/>
        </w:numPr>
      </w:pPr>
      <w:r w:rsidRPr="00970AD2">
        <w:t xml:space="preserve">the premises must be a building which is classified under the </w:t>
      </w:r>
      <w:r w:rsidR="00C04813" w:rsidRPr="00970AD2">
        <w:t>National Construction Code</w:t>
      </w:r>
      <w:r w:rsidRPr="00970AD2">
        <w:t xml:space="preserve"> as either Class 3, 5, 6, 7, 8, 9, 10 or the Common Areas of Class 2; </w:t>
      </w:r>
    </w:p>
    <w:p w14:paraId="28F96874" w14:textId="77777777" w:rsidR="00E75F75" w:rsidRPr="00970AD2" w:rsidRDefault="00E75F75" w:rsidP="00D0545B">
      <w:pPr>
        <w:pStyle w:val="Notesandexamples"/>
      </w:pPr>
      <w:r w:rsidRPr="00970AD2">
        <w:t>Note</w:t>
      </w:r>
      <w:r w:rsidRPr="00970AD2">
        <w:tab/>
        <w:t>For detailed explanation of Classes 3</w:t>
      </w:r>
      <w:r w:rsidR="009E205F">
        <w:t>–</w:t>
      </w:r>
      <w:r w:rsidRPr="00970AD2">
        <w:t xml:space="preserve">10 in the </w:t>
      </w:r>
      <w:r w:rsidR="00C04813" w:rsidRPr="00970AD2">
        <w:t xml:space="preserve">National Construction Code </w:t>
      </w:r>
      <w:r w:rsidRPr="00970AD2">
        <w:t>see NSW Energy Saving Scheme (ESS) Commercial Lighting Method – Appendix A</w:t>
      </w:r>
      <w:r w:rsidR="009E205F">
        <w:t>.</w:t>
      </w:r>
      <w:r w:rsidRPr="00970AD2">
        <w:t xml:space="preserve"> </w:t>
      </w:r>
    </w:p>
    <w:p w14:paraId="0328E56A" w14:textId="77777777" w:rsidR="00E75F75" w:rsidRPr="00970AD2" w:rsidRDefault="00E75F75" w:rsidP="00D0545B">
      <w:pPr>
        <w:pStyle w:val="Subdetailsfirstindent"/>
      </w:pPr>
      <w:r w:rsidRPr="00970AD2">
        <w:t xml:space="preserve">only replace existing lighting equipment that is in working order immediately prior to removal; </w:t>
      </w:r>
    </w:p>
    <w:p w14:paraId="52F5BA9F" w14:textId="77777777" w:rsidR="00E75F75" w:rsidRPr="00970AD2" w:rsidRDefault="00E75F75" w:rsidP="00D0545B">
      <w:pPr>
        <w:pStyle w:val="Subdetailsfirstindent"/>
      </w:pPr>
      <w:r w:rsidRPr="00970AD2">
        <w:t xml:space="preserve">not be undertaken as part of development or refurbishment requiring development approval under the </w:t>
      </w:r>
      <w:r w:rsidRPr="00970AD2">
        <w:rPr>
          <w:i/>
        </w:rPr>
        <w:t>ACT Planning and Development Act 2007</w:t>
      </w:r>
      <w:r w:rsidRPr="00970AD2">
        <w:t xml:space="preserve">; </w:t>
      </w:r>
    </w:p>
    <w:p w14:paraId="38053890" w14:textId="77777777" w:rsidR="00E75F75" w:rsidRPr="00970AD2" w:rsidRDefault="00E75F75" w:rsidP="00D0545B">
      <w:pPr>
        <w:pStyle w:val="Subdetailsfirstindent"/>
      </w:pPr>
      <w:r w:rsidRPr="00970AD2">
        <w:t>be completed and certified in accordance with the relevant code or codes of practice and other relevant legislation applying to the activity, including any licensing, registration, statutory approval, activity certification, health, safety, environmental, waste disposal and decommissioning requirements; and</w:t>
      </w:r>
    </w:p>
    <w:p w14:paraId="3B57ABC7" w14:textId="77777777" w:rsidR="00E75F75" w:rsidRPr="00970AD2" w:rsidRDefault="00E75F75" w:rsidP="00D0545B">
      <w:pPr>
        <w:pStyle w:val="Subdetailsfirstindent"/>
      </w:pPr>
      <w:r w:rsidRPr="00970AD2">
        <w:t xml:space="preserve">be recorded in accordance with any relevant code of practice for the activity. </w:t>
      </w:r>
    </w:p>
    <w:p w14:paraId="2D65C55D" w14:textId="77777777" w:rsidR="00E75F75" w:rsidRPr="00970AD2" w:rsidRDefault="00E75F75" w:rsidP="00D0545B">
      <w:pPr>
        <w:pStyle w:val="Sectionheading3"/>
      </w:pPr>
      <w:r w:rsidRPr="00970AD2">
        <w:t xml:space="preserve">Installed </w:t>
      </w:r>
      <w:r w:rsidR="009E205F">
        <w:t>p</w:t>
      </w:r>
      <w:r w:rsidRPr="00970AD2">
        <w:t xml:space="preserve">roduct </w:t>
      </w:r>
      <w:r w:rsidR="009E205F">
        <w:t>r</w:t>
      </w:r>
      <w:r w:rsidRPr="00970AD2">
        <w:t>equirements</w:t>
      </w:r>
    </w:p>
    <w:p w14:paraId="345152FC" w14:textId="77777777" w:rsidR="00536872" w:rsidRDefault="001C46F8" w:rsidP="00536872">
      <w:pPr>
        <w:pStyle w:val="Sectionheading4"/>
      </w:pPr>
      <w:r>
        <w:t>Energy efficiency</w:t>
      </w:r>
    </w:p>
    <w:p w14:paraId="2EE94AFD" w14:textId="77777777" w:rsidR="00E75F75" w:rsidRPr="00391D83" w:rsidRDefault="00E75F75" w:rsidP="00536872">
      <w:pPr>
        <w:pStyle w:val="BodytextEEIS"/>
      </w:pPr>
      <w:r w:rsidRPr="00391D83">
        <w:t>Installed lamp and luminaire products must, at the time of installation, be—</w:t>
      </w:r>
    </w:p>
    <w:p w14:paraId="46EEA3A7" w14:textId="77777777" w:rsidR="00E75F75" w:rsidRPr="00970AD2" w:rsidRDefault="00E75F75" w:rsidP="00D633D3">
      <w:pPr>
        <w:pStyle w:val="Subdetailsfirstindent"/>
        <w:numPr>
          <w:ilvl w:val="0"/>
          <w:numId w:val="229"/>
        </w:numPr>
      </w:pPr>
      <w:r w:rsidRPr="00970AD2">
        <w:t>listed on the Victorian Energy Efficiency Target (VEET) Scheme product register where the activity involves LED linear tube modified luminaires; or</w:t>
      </w:r>
    </w:p>
    <w:p w14:paraId="4C090C0B" w14:textId="77777777" w:rsidR="00E75F75" w:rsidRPr="00970AD2" w:rsidRDefault="00E75F75" w:rsidP="00536872">
      <w:pPr>
        <w:pStyle w:val="Subdetailsfirstindent"/>
      </w:pPr>
      <w:r w:rsidRPr="00970AD2">
        <w:t>listed on the public list of accepted Emerging Lighting Technologies (ELTs) as published by the NSW Energy Saving Scheme (ESS) Administrator</w:t>
      </w:r>
      <w:r w:rsidR="00391D83" w:rsidRPr="00970AD2">
        <w:t xml:space="preserve"> </w:t>
      </w:r>
      <w:r w:rsidRPr="00970AD2">
        <w:t>for all other luminaire types</w:t>
      </w:r>
      <w:r w:rsidR="00270B86">
        <w:t>.</w:t>
      </w:r>
    </w:p>
    <w:p w14:paraId="121FDBB0" w14:textId="77777777" w:rsidR="00391D83" w:rsidRPr="00391D83" w:rsidRDefault="00E75F75" w:rsidP="00D0545B">
      <w:pPr>
        <w:pStyle w:val="Notesandexamples"/>
      </w:pPr>
      <w:r w:rsidRPr="00970AD2">
        <w:rPr>
          <w:color w:val="000000"/>
        </w:rPr>
        <w:t>Note</w:t>
      </w:r>
      <w:r w:rsidR="001C46F8">
        <w:rPr>
          <w:color w:val="000000"/>
        </w:rPr>
        <w:t xml:space="preserve"> 1</w:t>
      </w:r>
      <w:r w:rsidRPr="00970AD2">
        <w:rPr>
          <w:color w:val="000000"/>
        </w:rPr>
        <w:tab/>
      </w:r>
      <w:r w:rsidR="00391D83" w:rsidRPr="00391D83">
        <w:t>Eligible products under the NSW Energy Savings scheme include products of a class listed in the following:</w:t>
      </w:r>
    </w:p>
    <w:p w14:paraId="6B3BB2AC" w14:textId="77777777" w:rsidR="00391D83" w:rsidRPr="00391D83" w:rsidRDefault="00391D83" w:rsidP="00D633D3">
      <w:pPr>
        <w:pStyle w:val="Notesandexamples"/>
        <w:numPr>
          <w:ilvl w:val="0"/>
          <w:numId w:val="158"/>
        </w:numPr>
      </w:pPr>
      <w:r w:rsidRPr="00391D83">
        <w:t>NSW ‘Energy Savings Scheme Rule of 2009, Effective from 28 April 2017’ Schedule A – Table A9.1 Standard Equipment Classes for Lighting Upgrades, or Table A9.3 Other Equipment Classes for Lighting Upgrades, or a current rule that supersedes these</w:t>
      </w:r>
      <w:r w:rsidR="00807236">
        <w:t>;</w:t>
      </w:r>
      <w:r w:rsidRPr="00391D83">
        <w:t xml:space="preserve"> </w:t>
      </w:r>
      <w:r w:rsidRPr="00807236">
        <w:t>or</w:t>
      </w:r>
    </w:p>
    <w:p w14:paraId="6C42521D" w14:textId="77777777" w:rsidR="00391D83" w:rsidRPr="00B20BD4" w:rsidRDefault="00391D83" w:rsidP="00D633D3">
      <w:pPr>
        <w:pStyle w:val="Notesandexamples"/>
        <w:numPr>
          <w:ilvl w:val="0"/>
          <w:numId w:val="158"/>
        </w:numPr>
        <w:rPr>
          <w:color w:val="0070C0"/>
          <w:sz w:val="18"/>
          <w:szCs w:val="18"/>
        </w:rPr>
      </w:pPr>
      <w:r w:rsidRPr="00391D83">
        <w:t xml:space="preserve">Products listed under NSW Energy Saving Scheme Public List of Accepted Emerging Lighting Technologies </w:t>
      </w:r>
      <w:r w:rsidR="009E205F">
        <w:t>(</w:t>
      </w:r>
      <w:hyperlink r:id="rId17" w:history="1">
        <w:r w:rsidR="009E205F" w:rsidRPr="006741CB">
          <w:rPr>
            <w:rStyle w:val="Hyperlink"/>
            <w:rFonts w:cs="Arial"/>
          </w:rPr>
          <w:t>www.ess.nsw.gov.au/Projects_and_equipment/Lighting_Technologies/Using_Lighting_Technologies_for_Commercial</w:t>
        </w:r>
        <w:r w:rsidR="009E205F" w:rsidRPr="001B766F">
          <w:rPr>
            <w:rStyle w:val="Hyperlink"/>
            <w:rFonts w:cs="Arial"/>
          </w:rPr>
          <w:t>_Lighting</w:t>
        </w:r>
      </w:hyperlink>
      <w:r w:rsidR="009E205F">
        <w:t>).</w:t>
      </w:r>
      <w:r w:rsidRPr="00970AD2">
        <w:rPr>
          <w:rStyle w:val="Hyperlink"/>
          <w:rFonts w:cs="Arial"/>
          <w:i w:val="0"/>
          <w:color w:val="365F91"/>
          <w:sz w:val="18"/>
          <w:szCs w:val="18"/>
          <w:u w:val="none"/>
        </w:rPr>
        <w:t xml:space="preserve"> </w:t>
      </w:r>
    </w:p>
    <w:p w14:paraId="47551673" w14:textId="77777777" w:rsidR="00E75F75" w:rsidRPr="00970AD2" w:rsidRDefault="00391D83" w:rsidP="00D0545B">
      <w:pPr>
        <w:pStyle w:val="Notesandexamples"/>
      </w:pPr>
      <w:r w:rsidRPr="00970AD2">
        <w:t>Note</w:t>
      </w:r>
      <w:r w:rsidR="001C46F8">
        <w:t xml:space="preserve"> 2</w:t>
      </w:r>
      <w:r w:rsidRPr="00970AD2">
        <w:t xml:space="preserve"> </w:t>
      </w:r>
      <w:r w:rsidRPr="00970AD2">
        <w:tab/>
      </w:r>
      <w:r w:rsidR="00E75F75" w:rsidRPr="00970AD2">
        <w:t xml:space="preserve">If a lamp or luminaire product is suspended either by the ESS or VEET schemes then it is no longer an eligible product under the EEIS commercial lighting activity. </w:t>
      </w:r>
    </w:p>
    <w:p w14:paraId="264B139E" w14:textId="77777777" w:rsidR="001C46F8" w:rsidRDefault="001C46F8" w:rsidP="001C46F8">
      <w:pPr>
        <w:pStyle w:val="Sectionheading4"/>
      </w:pPr>
      <w:r>
        <w:t>Standards</w:t>
      </w:r>
    </w:p>
    <w:p w14:paraId="293C6612" w14:textId="77777777" w:rsidR="001C46F8" w:rsidRDefault="00270B86" w:rsidP="001C46F8">
      <w:pPr>
        <w:pStyle w:val="BodytextEEIS"/>
      </w:pPr>
      <w:r>
        <w:t>Installed p</w:t>
      </w:r>
      <w:r w:rsidR="001C46F8">
        <w:t>roducts must also—</w:t>
      </w:r>
    </w:p>
    <w:p w14:paraId="0D2499EF" w14:textId="77777777" w:rsidR="00E75F75" w:rsidRPr="00970AD2" w:rsidRDefault="001C46F8" w:rsidP="00D633D3">
      <w:pPr>
        <w:pStyle w:val="Subdetailsfirstindent"/>
        <w:numPr>
          <w:ilvl w:val="0"/>
          <w:numId w:val="230"/>
        </w:numPr>
      </w:pPr>
      <w:r w:rsidRPr="00970AD2">
        <w:lastRenderedPageBreak/>
        <w:t>comply with all relevant requirements of AS/NZS</w:t>
      </w:r>
      <w:r>
        <w:t xml:space="preserve"> </w:t>
      </w:r>
      <w:r w:rsidRPr="00970AD2">
        <w:t>60598</w:t>
      </w:r>
      <w:r>
        <w:t xml:space="preserve"> (for </w:t>
      </w:r>
      <w:r w:rsidR="00E75F75" w:rsidRPr="00970AD2">
        <w:t xml:space="preserve">LED linear tube products that must comply with </w:t>
      </w:r>
      <w:r w:rsidR="009E205F">
        <w:t>4.2.3</w:t>
      </w:r>
      <w:r w:rsidR="00270B86">
        <w:t>.1</w:t>
      </w:r>
      <w:r w:rsidR="00E75F75" w:rsidRPr="00970AD2">
        <w:t>(a)</w:t>
      </w:r>
      <w:r w:rsidR="00270B86">
        <w:t>)</w:t>
      </w:r>
      <w:r w:rsidR="00E75F75" w:rsidRPr="00970AD2">
        <w:t xml:space="preserve">; </w:t>
      </w:r>
    </w:p>
    <w:p w14:paraId="50320DAF" w14:textId="77777777" w:rsidR="00E75F75" w:rsidRPr="00970AD2" w:rsidRDefault="00270B86" w:rsidP="00D0545B">
      <w:pPr>
        <w:pStyle w:val="Subdetailsfirstindent"/>
      </w:pPr>
      <w:r w:rsidRPr="00970AD2">
        <w:t>comply with the requirements in AS/NZS 4783</w:t>
      </w:r>
      <w:r>
        <w:t xml:space="preserve"> (for </w:t>
      </w:r>
      <w:r w:rsidR="009E205F">
        <w:t>c</w:t>
      </w:r>
      <w:r w:rsidR="00E75F75" w:rsidRPr="00970AD2">
        <w:t>ontrol gear for linear fluorescent lamps manufactured in, or imported into</w:t>
      </w:r>
      <w:r w:rsidR="009E205F">
        <w:t>,</w:t>
      </w:r>
      <w:r w:rsidR="00E75F75" w:rsidRPr="00970AD2">
        <w:t xml:space="preserve"> Australia</w:t>
      </w:r>
      <w:r>
        <w:t>)</w:t>
      </w:r>
      <w:r w:rsidR="00E75F75" w:rsidRPr="00970AD2">
        <w:t xml:space="preserve">; </w:t>
      </w:r>
    </w:p>
    <w:p w14:paraId="2B43E4B1" w14:textId="77777777" w:rsidR="00E75F75" w:rsidRDefault="00E75F75" w:rsidP="00D0545B">
      <w:pPr>
        <w:pStyle w:val="Subdetailsfirstindent"/>
      </w:pPr>
      <w:r w:rsidRPr="00970AD2">
        <w:t>comply with all applicable mandatory safety, electromagnetic compatibility, performance and efficiency standards</w:t>
      </w:r>
      <w:r w:rsidR="00270B86">
        <w:t>;</w:t>
      </w:r>
    </w:p>
    <w:p w14:paraId="66A92647" w14:textId="77777777" w:rsidR="00270B86" w:rsidRDefault="00270B86" w:rsidP="00270B86">
      <w:pPr>
        <w:pStyle w:val="Subdetailsfirstindent"/>
      </w:pPr>
      <w:r w:rsidRPr="00970AD2">
        <w:t xml:space="preserve">be supplied with a minimum </w:t>
      </w:r>
      <w:r>
        <w:t>of five</w:t>
      </w:r>
      <w:r w:rsidRPr="00970AD2">
        <w:t xml:space="preserve"> years product </w:t>
      </w:r>
      <w:r>
        <w:t xml:space="preserve">warranty </w:t>
      </w:r>
      <w:r w:rsidRPr="00970AD2">
        <w:t xml:space="preserve">for all high-bay lighting and a minimum </w:t>
      </w:r>
      <w:r>
        <w:t>of three</w:t>
      </w:r>
      <w:r w:rsidRPr="00970AD2">
        <w:t xml:space="preserve"> years product and replacement warranty of all other lighting types.  </w:t>
      </w:r>
    </w:p>
    <w:p w14:paraId="022E52AE" w14:textId="77777777" w:rsidR="00536872" w:rsidRPr="00970AD2" w:rsidRDefault="00536872" w:rsidP="00536872">
      <w:pPr>
        <w:pStyle w:val="Sectionheading4"/>
      </w:pPr>
      <w:r>
        <w:t>Unacceptable products</w:t>
      </w:r>
    </w:p>
    <w:p w14:paraId="46268B5E" w14:textId="77777777" w:rsidR="00E75F75" w:rsidRPr="00970AD2" w:rsidRDefault="00536872" w:rsidP="00536872">
      <w:pPr>
        <w:pStyle w:val="BodytextEEIS"/>
      </w:pPr>
      <w:r>
        <w:t>T</w:t>
      </w:r>
      <w:r w:rsidR="00E75F75" w:rsidRPr="00970AD2">
        <w:t>he following types of lamp and luminaire products may not be installed—</w:t>
      </w:r>
    </w:p>
    <w:p w14:paraId="4FBD6ACB" w14:textId="77777777" w:rsidR="00E75F75" w:rsidRPr="00970AD2" w:rsidRDefault="00E75F75" w:rsidP="00D633D3">
      <w:pPr>
        <w:pStyle w:val="Subdetailsfirstindent"/>
        <w:numPr>
          <w:ilvl w:val="0"/>
          <w:numId w:val="231"/>
        </w:numPr>
      </w:pPr>
      <w:r w:rsidRPr="00970AD2">
        <w:t xml:space="preserve">portable lighting or desk lamps; </w:t>
      </w:r>
    </w:p>
    <w:p w14:paraId="30B6CFD4" w14:textId="77777777" w:rsidR="00E75F75" w:rsidRPr="00296713" w:rsidRDefault="00E75F75" w:rsidP="00270B86">
      <w:pPr>
        <w:pStyle w:val="Subdetailsfirstindent"/>
      </w:pPr>
      <w:r w:rsidRPr="00D0545B">
        <w:rPr>
          <w:color w:val="000000"/>
        </w:rPr>
        <w:t>T5 adaptor kits</w:t>
      </w:r>
      <w:r w:rsidR="009E205F">
        <w:rPr>
          <w:color w:val="000000"/>
        </w:rPr>
        <w:t xml:space="preserve"> (including</w:t>
      </w:r>
      <w:r w:rsidRPr="00296713">
        <w:t xml:space="preserve"> installing new lamps into existing T5 adaptor kit fittings</w:t>
      </w:r>
      <w:r w:rsidR="009E205F">
        <w:t>);</w:t>
      </w:r>
    </w:p>
    <w:p w14:paraId="704FC8F0" w14:textId="77777777" w:rsidR="00E75F75" w:rsidRPr="00970AD2" w:rsidRDefault="00E75F75" w:rsidP="00270B86">
      <w:pPr>
        <w:pStyle w:val="Subdetailsfirstindent"/>
      </w:pPr>
      <w:r w:rsidRPr="00970AD2">
        <w:t>heat lamps; or</w:t>
      </w:r>
    </w:p>
    <w:p w14:paraId="3FDC7F9F" w14:textId="77777777" w:rsidR="00E75F75" w:rsidRPr="00970AD2" w:rsidRDefault="00E75F75" w:rsidP="00270B86">
      <w:pPr>
        <w:pStyle w:val="Subdetailsfirstindent"/>
      </w:pPr>
      <w:r w:rsidRPr="00970AD2">
        <w:t>retrofitting fluorescent luminaires with LED linear lamps without modifications</w:t>
      </w:r>
      <w:r w:rsidR="00270B86">
        <w:t>.</w:t>
      </w:r>
    </w:p>
    <w:p w14:paraId="0918C7EA" w14:textId="77777777" w:rsidR="00E75F75" w:rsidRPr="00970AD2" w:rsidRDefault="00E75F75" w:rsidP="00D0545B">
      <w:pPr>
        <w:pStyle w:val="Notesandexamples"/>
      </w:pPr>
      <w:r w:rsidRPr="00970AD2">
        <w:t>Note</w:t>
      </w:r>
      <w:r w:rsidRPr="00970AD2">
        <w:tab/>
        <w:t>(</w:t>
      </w:r>
      <w:r w:rsidR="00270B86">
        <w:t>d</w:t>
      </w:r>
      <w:r w:rsidRPr="00970AD2">
        <w:t xml:space="preserve">) LED linear lamps, listed on the VEET </w:t>
      </w:r>
      <w:r w:rsidR="00391D83" w:rsidRPr="00970AD2">
        <w:t xml:space="preserve">or NSW Energy Saving Scheme </w:t>
      </w:r>
      <w:r w:rsidRPr="00970AD2">
        <w:t>register</w:t>
      </w:r>
      <w:r w:rsidR="00391D83" w:rsidRPr="00970AD2">
        <w:t>s</w:t>
      </w:r>
      <w:r w:rsidRPr="00970AD2">
        <w:t xml:space="preserve"> for approved modified linear LED luminaires</w:t>
      </w:r>
      <w:r w:rsidR="00391D83" w:rsidRPr="00970AD2">
        <w:rPr>
          <w:rStyle w:val="FootnoteReference"/>
          <w:color w:val="000000"/>
          <w:sz w:val="19"/>
          <w:szCs w:val="19"/>
        </w:rPr>
        <w:t xml:space="preserve"> </w:t>
      </w:r>
      <w:r w:rsidRPr="00970AD2">
        <w:t>can be used as modified luminaire replacements for linear fluorescent luminaires. This is where a T5, T8 or T12 luminaire has been modified to be replaced with an LED linear lamp. This involves modifying and removing the ballast, capacitor and any wiring or structure of the fluorescent luminaire, beyond the replacement of a starter. The method and details of modifications must first be approved by the administrator.</w:t>
      </w:r>
    </w:p>
    <w:p w14:paraId="16BA049F" w14:textId="77777777" w:rsidR="00E75F75" w:rsidRPr="00970AD2" w:rsidRDefault="00E75F75" w:rsidP="00D0545B">
      <w:pPr>
        <w:pStyle w:val="Sectionheading3"/>
      </w:pPr>
      <w:r w:rsidRPr="00970AD2">
        <w:t>Time the activity is taken to be completed</w:t>
      </w:r>
    </w:p>
    <w:p w14:paraId="79500C78" w14:textId="77777777" w:rsidR="00E75F75" w:rsidRPr="00970AD2" w:rsidRDefault="00E75F75" w:rsidP="00D0545B">
      <w:pPr>
        <w:pStyle w:val="BodytextEEIS"/>
      </w:pPr>
      <w:r w:rsidRPr="00970AD2">
        <w:t>The activity is taken to be completed on the day all applicable prescribed activity requirements are completed, including but not limited to the disposal of any waste materials and the lodgement of all statutory certifications for any electrical work.</w:t>
      </w:r>
    </w:p>
    <w:p w14:paraId="0EFB4717" w14:textId="786CAAEA" w:rsidR="00E75F75" w:rsidRPr="00970AD2" w:rsidRDefault="00E75F75" w:rsidP="00D0545B">
      <w:pPr>
        <w:pStyle w:val="Sectionheading3"/>
      </w:pPr>
      <w:r w:rsidRPr="00970AD2">
        <w:t xml:space="preserve">Calculation of </w:t>
      </w:r>
      <w:r w:rsidR="008E78DC">
        <w:t xml:space="preserve">energy savings </w:t>
      </w:r>
      <w:r w:rsidRPr="00970AD2">
        <w:t>factor</w:t>
      </w:r>
    </w:p>
    <w:p w14:paraId="58E2FB9F" w14:textId="24B5E3B8" w:rsidR="00E75F75" w:rsidRPr="00970AD2" w:rsidRDefault="00E75F75" w:rsidP="00D633D3">
      <w:pPr>
        <w:pStyle w:val="Subdetailsfirstindent"/>
        <w:numPr>
          <w:ilvl w:val="0"/>
          <w:numId w:val="122"/>
        </w:numPr>
      </w:pPr>
      <w:r w:rsidRPr="00970AD2">
        <w:t xml:space="preserve">The total </w:t>
      </w:r>
      <w:r w:rsidR="008E78DC">
        <w:t>energy savings</w:t>
      </w:r>
      <w:r w:rsidRPr="00970AD2">
        <w:t xml:space="preserve"> factor in </w:t>
      </w:r>
      <w:r w:rsidR="00880CB1">
        <w:t>Megawatt-hours</w:t>
      </w:r>
      <w:r w:rsidR="008E78DC">
        <w:t xml:space="preserve"> (MWh) </w:t>
      </w:r>
      <w:r w:rsidRPr="00970AD2">
        <w:t>saved for the activity is calculated as—</w:t>
      </w:r>
    </w:p>
    <w:p w14:paraId="16DBDA6E" w14:textId="00C6DA1F" w:rsidR="00E75F75" w:rsidRPr="00970AD2" w:rsidRDefault="008E78DC" w:rsidP="00834BE4">
      <w:pPr>
        <w:pStyle w:val="Formula"/>
      </w:pPr>
      <w:r>
        <w:t>Energy Savings</w:t>
      </w:r>
      <w:r w:rsidR="00E75F75" w:rsidRPr="00970AD2">
        <w:t xml:space="preserve"> factor (</w:t>
      </w:r>
      <w:r>
        <w:t>MWh</w:t>
      </w:r>
      <w:r w:rsidR="00E75F75" w:rsidRPr="00970AD2">
        <w:t xml:space="preserve">) = </w:t>
      </w:r>
      <w:r>
        <w:t>ESF</w:t>
      </w:r>
      <w:r w:rsidR="00E75F75" w:rsidRPr="00970AD2">
        <w:t xml:space="preserve"> x Energy Savings </w:t>
      </w:r>
    </w:p>
    <w:p w14:paraId="0B57755F" w14:textId="77777777" w:rsidR="00E75F75" w:rsidRPr="00F231EB" w:rsidRDefault="00E75F75" w:rsidP="00D0545B">
      <w:pPr>
        <w:pStyle w:val="BodytextEEIS"/>
        <w:rPr>
          <w:bCs/>
        </w:rPr>
      </w:pPr>
      <w:r w:rsidRPr="00F231EB">
        <w:t>Where</w:t>
      </w:r>
      <w:r w:rsidRPr="00F231EB">
        <w:rPr>
          <w:bCs/>
        </w:rPr>
        <w:t>—</w:t>
      </w:r>
    </w:p>
    <w:p w14:paraId="353E74F6" w14:textId="7C47E5CC" w:rsidR="00E75F75" w:rsidRPr="00970AD2" w:rsidRDefault="008E78DC" w:rsidP="00D633D3">
      <w:pPr>
        <w:pStyle w:val="Subdetailssecondindent"/>
        <w:numPr>
          <w:ilvl w:val="0"/>
          <w:numId w:val="123"/>
        </w:numPr>
      </w:pPr>
      <w:r>
        <w:rPr>
          <w:i/>
          <w:iCs/>
        </w:rPr>
        <w:t>ESF</w:t>
      </w:r>
      <w:r w:rsidR="00E75F75" w:rsidRPr="00970AD2">
        <w:t xml:space="preserve"> is the relevant activity </w:t>
      </w:r>
      <w:r>
        <w:t>energy savings</w:t>
      </w:r>
      <w:r w:rsidR="00E75F75" w:rsidRPr="00970AD2">
        <w:t xml:space="preserve"> value and is equal to </w:t>
      </w:r>
      <w:r>
        <w:t>1.0</w:t>
      </w:r>
      <w:r w:rsidR="00E75F75" w:rsidRPr="00970AD2">
        <w:t xml:space="preserve"> </w:t>
      </w:r>
    </w:p>
    <w:p w14:paraId="3819C4BB" w14:textId="77777777" w:rsidR="00E75F75" w:rsidRPr="00970AD2" w:rsidRDefault="00E75F75" w:rsidP="00D633D3">
      <w:pPr>
        <w:pStyle w:val="Subdetailssecondindent"/>
        <w:numPr>
          <w:ilvl w:val="0"/>
          <w:numId w:val="123"/>
        </w:numPr>
      </w:pPr>
      <w:r w:rsidRPr="00F56244">
        <w:rPr>
          <w:i/>
          <w:iCs/>
        </w:rPr>
        <w:t>Energy Savings</w:t>
      </w:r>
      <w:r w:rsidRPr="00970AD2">
        <w:t xml:space="preserve"> is the total energy savings, in megawatt-hours (MWh), calculated in accordance with </w:t>
      </w:r>
      <w:r w:rsidR="00060169">
        <w:t>c</w:t>
      </w:r>
      <w:r w:rsidRPr="00970AD2">
        <w:t>lause 9.4 of the ESS Rule</w:t>
      </w:r>
      <w:r w:rsidR="00351E2F">
        <w:t>;</w:t>
      </w:r>
    </w:p>
    <w:p w14:paraId="4F9CF8B9" w14:textId="77777777" w:rsidR="00E75F75" w:rsidRPr="00970AD2" w:rsidRDefault="00E75F75" w:rsidP="00D633D3">
      <w:pPr>
        <w:pStyle w:val="Subdetailssecondindent"/>
        <w:numPr>
          <w:ilvl w:val="0"/>
          <w:numId w:val="123"/>
        </w:numPr>
      </w:pPr>
      <w:r w:rsidRPr="00F56244">
        <w:rPr>
          <w:i/>
          <w:iCs/>
        </w:rPr>
        <w:t>Energy Savings</w:t>
      </w:r>
      <w:r w:rsidRPr="00970AD2">
        <w:t xml:space="preserve"> will be calculated using Equations 6, 7 and 9 of the commercial lighting energy savings formula in </w:t>
      </w:r>
      <w:r w:rsidR="00834BE4">
        <w:t>s</w:t>
      </w:r>
      <w:r w:rsidRPr="00970AD2">
        <w:t xml:space="preserve">ection 9 of the NSW Energy Savings Scheme (Amendment No.2) Rule 2014. This will be done using the ESS Commercial Lighting Calculation Tool as current at the time the </w:t>
      </w:r>
      <w:r w:rsidR="00351E2F">
        <w:t>a</w:t>
      </w:r>
      <w:r w:rsidRPr="00970AD2">
        <w:t>ctivity is undertaken; and</w:t>
      </w:r>
    </w:p>
    <w:p w14:paraId="53FEB34A" w14:textId="77777777" w:rsidR="00E75F75" w:rsidRPr="00970AD2" w:rsidRDefault="00E75F75" w:rsidP="00D633D3">
      <w:pPr>
        <w:pStyle w:val="Subdetailssecondindent"/>
        <w:numPr>
          <w:ilvl w:val="0"/>
          <w:numId w:val="123"/>
        </w:numPr>
      </w:pPr>
      <w:r w:rsidRPr="00970AD2">
        <w:t>calculations will use the factors and values from Schedule A – Default Factors and Classifications of the NSW ‘Energy Savings Scheme’ (Amendment No.2) Rule 2014,</w:t>
      </w:r>
      <w:r w:rsidR="00B607FB" w:rsidRPr="00970AD2">
        <w:t xml:space="preserve"> </w:t>
      </w:r>
      <w:r w:rsidRPr="00970AD2">
        <w:t>where linear florescent luminaires are modified to accept linear LED tubes, energy saving will be calculated using the ESS Commercial Lighting Calculation Tool using the lighting category ‘Modified Luminaire LED Linear Lamp’.</w:t>
      </w:r>
    </w:p>
    <w:p w14:paraId="6D30EECE" w14:textId="77777777" w:rsidR="00E75F75" w:rsidRPr="00D0545B" w:rsidRDefault="00E75F75" w:rsidP="00D0545B">
      <w:pPr>
        <w:pStyle w:val="Notesandexamples"/>
      </w:pPr>
      <w:r w:rsidRPr="00970AD2">
        <w:lastRenderedPageBreak/>
        <w:t>Note</w:t>
      </w:r>
      <w:r w:rsidR="00834BE4">
        <w:t xml:space="preserve"> 1</w:t>
      </w:r>
      <w:r w:rsidRPr="00970AD2">
        <w:tab/>
        <w:t>The ESS Commercial Lighting Calculation Tool is published by the ESS Administrator on the ESS Commercial Lighting website</w:t>
      </w:r>
      <w:r w:rsidR="00351E2F">
        <w:t xml:space="preserve"> (</w:t>
      </w:r>
      <w:hyperlink r:id="rId18" w:history="1">
        <w:r w:rsidR="00351E2F" w:rsidRPr="001C0F0F">
          <w:rPr>
            <w:rStyle w:val="Hyperlink"/>
            <w:rFonts w:cs="Arial"/>
          </w:rPr>
          <w:t>http://www.ess.nsw.gov.au/Methods_for_calculating_energy_savings/Commercial_Lighting</w:t>
        </w:r>
      </w:hyperlink>
      <w:r w:rsidR="00351E2F">
        <w:t>).</w:t>
      </w:r>
      <w:r w:rsidRPr="00D0545B">
        <w:t xml:space="preserve"> </w:t>
      </w:r>
    </w:p>
    <w:p w14:paraId="09463546" w14:textId="77777777" w:rsidR="00E75F75" w:rsidRDefault="00E75F75" w:rsidP="00D0545B">
      <w:pPr>
        <w:pStyle w:val="Notesandexamples"/>
      </w:pPr>
      <w:r w:rsidRPr="00970AD2">
        <w:t>Note</w:t>
      </w:r>
      <w:r w:rsidR="00834BE4">
        <w:t xml:space="preserve"> 2</w:t>
      </w:r>
      <w:r w:rsidRPr="00970AD2">
        <w:tab/>
        <w:t>Further explanation on energy savings calculation methods is outlined in the NSW ESS Commercial Lighting Method Guide – see Appendix C.</w:t>
      </w:r>
    </w:p>
    <w:p w14:paraId="65766936" w14:textId="77777777" w:rsidR="00E07DD0" w:rsidRPr="00970AD2" w:rsidRDefault="00ED0E90" w:rsidP="00D0545B">
      <w:pPr>
        <w:pStyle w:val="SectionHeading1"/>
      </w:pPr>
      <w:r w:rsidRPr="00970AD2">
        <w:rPr>
          <w:color w:val="000000"/>
        </w:rPr>
        <w:br w:type="page"/>
      </w:r>
      <w:bookmarkStart w:id="314" w:name="_Toc466535743"/>
      <w:bookmarkStart w:id="315" w:name="_Toc27560564"/>
      <w:r w:rsidR="001056DA" w:rsidRPr="00970AD2">
        <w:lastRenderedPageBreak/>
        <w:t>A</w:t>
      </w:r>
      <w:r w:rsidR="00390260" w:rsidRPr="00970AD2">
        <w:t xml:space="preserve">ppliance </w:t>
      </w:r>
      <w:r w:rsidR="00720ADA" w:rsidRPr="00970AD2">
        <w:t>a</w:t>
      </w:r>
      <w:r w:rsidR="00390260" w:rsidRPr="00970AD2">
        <w:t>ctivities</w:t>
      </w:r>
      <w:bookmarkEnd w:id="293"/>
      <w:bookmarkEnd w:id="314"/>
      <w:bookmarkEnd w:id="315"/>
    </w:p>
    <w:p w14:paraId="0AAF31F5" w14:textId="77777777" w:rsidR="004A426B" w:rsidRPr="00970AD2" w:rsidRDefault="004A426B" w:rsidP="00D0545B">
      <w:pPr>
        <w:pStyle w:val="Sectionheading2"/>
      </w:pPr>
      <w:bookmarkStart w:id="316" w:name="_Toc328140152"/>
      <w:bookmarkStart w:id="317" w:name="_Ref331773346"/>
      <w:bookmarkStart w:id="318" w:name="_Toc332272787"/>
      <w:bookmarkStart w:id="319" w:name="_Toc332287294"/>
      <w:bookmarkStart w:id="320" w:name="_Toc435603241"/>
      <w:bookmarkStart w:id="321" w:name="_Toc466535744"/>
      <w:bookmarkStart w:id="322" w:name="_Toc333417651"/>
      <w:bookmarkStart w:id="323" w:name="_Toc27560565"/>
      <w:r w:rsidRPr="00970AD2">
        <w:t>Decommissioning and disposal of refrigerator</w:t>
      </w:r>
      <w:bookmarkEnd w:id="316"/>
      <w:bookmarkEnd w:id="317"/>
      <w:bookmarkEnd w:id="318"/>
      <w:bookmarkEnd w:id="319"/>
      <w:r w:rsidRPr="00970AD2">
        <w:t xml:space="preserve"> or freezer</w:t>
      </w:r>
      <w:bookmarkEnd w:id="320"/>
      <w:bookmarkEnd w:id="321"/>
      <w:bookmarkEnd w:id="322"/>
      <w:bookmarkEnd w:id="323"/>
    </w:p>
    <w:p w14:paraId="7E1C48B6" w14:textId="77777777" w:rsidR="004A426B" w:rsidRPr="00970AD2" w:rsidRDefault="004A426B" w:rsidP="00D0545B">
      <w:pPr>
        <w:pStyle w:val="Sectionheading3"/>
      </w:pPr>
      <w:r w:rsidRPr="00970AD2">
        <w:t>Activity definition</w:t>
      </w:r>
    </w:p>
    <w:p w14:paraId="1E1E5D9D" w14:textId="77777777" w:rsidR="004A426B" w:rsidRDefault="004A180B" w:rsidP="00D0545B">
      <w:pPr>
        <w:pStyle w:val="BodytextEEIS"/>
      </w:pPr>
      <w:r w:rsidRPr="00970AD2">
        <w:rPr>
          <w:b/>
        </w:rPr>
        <w:t xml:space="preserve">Activity </w:t>
      </w:r>
      <w:r w:rsidR="002C260A" w:rsidRPr="00970AD2">
        <w:rPr>
          <w:b/>
        </w:rPr>
        <w:t>ID 5</w:t>
      </w:r>
      <w:r w:rsidRPr="00970AD2">
        <w:rPr>
          <w:b/>
        </w:rPr>
        <w:t>.1</w:t>
      </w:r>
      <w:r w:rsidRPr="00970AD2">
        <w:t xml:space="preserve"> –</w:t>
      </w:r>
      <w:r w:rsidRPr="00970AD2">
        <w:rPr>
          <w:b/>
        </w:rPr>
        <w:t xml:space="preserve"> </w:t>
      </w:r>
      <w:r w:rsidR="004A426B" w:rsidRPr="00970AD2">
        <w:t>In accordance with the prescribed minimum activity performance specifications, removing a refrigerator or freezer in working order from a premises and destroying the refrigerator or freezer.</w:t>
      </w:r>
    </w:p>
    <w:p w14:paraId="0DFA0E4E" w14:textId="4CB55476" w:rsidR="007D1160" w:rsidRPr="00B24CDF" w:rsidRDefault="007D1160" w:rsidP="00B24CDF">
      <w:pPr>
        <w:pStyle w:val="Subdetailsfirstindent"/>
        <w:numPr>
          <w:ilvl w:val="0"/>
          <w:numId w:val="232"/>
        </w:numPr>
      </w:pPr>
      <w:r w:rsidRPr="00B24CDF">
        <w:rPr>
          <w:b/>
        </w:rPr>
        <w:t xml:space="preserve">Activity ID 5.1(a) </w:t>
      </w:r>
      <w:r>
        <w:t>–</w:t>
      </w:r>
      <w:r w:rsidRPr="00C85399">
        <w:t xml:space="preserve"> </w:t>
      </w:r>
      <w:r w:rsidRPr="00B24CDF">
        <w:t>1-door refrigerator or freezer; or</w:t>
      </w:r>
    </w:p>
    <w:p w14:paraId="4D0377A3" w14:textId="63760C2E" w:rsidR="007D1160" w:rsidRPr="00B24CDF" w:rsidRDefault="007D1160" w:rsidP="0041055C">
      <w:pPr>
        <w:pStyle w:val="Subdetailsfirstindent"/>
      </w:pPr>
      <w:r w:rsidRPr="00B24CDF">
        <w:rPr>
          <w:b/>
        </w:rPr>
        <w:t xml:space="preserve">Activity ID 5.1(b) </w:t>
      </w:r>
      <w:r w:rsidRPr="00B24CDF">
        <w:t>– 2-door refrigerator or freezer; or</w:t>
      </w:r>
    </w:p>
    <w:p w14:paraId="191195FD" w14:textId="77777777" w:rsidR="007D1160" w:rsidRDefault="007D1160" w:rsidP="007D1160">
      <w:pPr>
        <w:pStyle w:val="Notesandexamples"/>
      </w:pPr>
      <w:r w:rsidRPr="00970AD2">
        <w:t>Note</w:t>
      </w:r>
      <w:r>
        <w:t xml:space="preserve"> 1</w:t>
      </w:r>
      <w:r w:rsidRPr="00970AD2">
        <w:tab/>
      </w:r>
      <w:r w:rsidRPr="00823AAF">
        <w:t xml:space="preserve">These categories are </w:t>
      </w:r>
      <w:r>
        <w:t>further de</w:t>
      </w:r>
      <w:r w:rsidRPr="00823AAF">
        <w:t xml:space="preserve">fined in </w:t>
      </w:r>
      <w:r>
        <w:t>s</w:t>
      </w:r>
      <w:r w:rsidRPr="00823AAF">
        <w:t xml:space="preserve">ection </w:t>
      </w:r>
      <w:r>
        <w:t>5.1.</w:t>
      </w:r>
      <w:r w:rsidRPr="00823AAF">
        <w:t xml:space="preserve">5, </w:t>
      </w:r>
      <w:r>
        <w:t>t</w:t>
      </w:r>
      <w:r w:rsidRPr="00823AAF">
        <w:t xml:space="preserve">able </w:t>
      </w:r>
      <w:r>
        <w:t>33</w:t>
      </w:r>
      <w:r w:rsidRPr="00823AAF">
        <w:t>.</w:t>
      </w:r>
    </w:p>
    <w:p w14:paraId="52B3C25B" w14:textId="77777777" w:rsidR="007D1160" w:rsidRPr="00E104BC" w:rsidRDefault="007D1160" w:rsidP="007D1160">
      <w:pPr>
        <w:pStyle w:val="Notesandexamples"/>
      </w:pPr>
      <w:r>
        <w:t>Note 2</w:t>
      </w:r>
      <w:r>
        <w:tab/>
        <w:t>The numbering system used above relates to the tables in section 5.1.5.</w:t>
      </w:r>
    </w:p>
    <w:p w14:paraId="553406C8" w14:textId="77777777" w:rsidR="007D1160" w:rsidRPr="00970AD2" w:rsidRDefault="007D1160" w:rsidP="00D0545B">
      <w:pPr>
        <w:pStyle w:val="BodytextEEIS"/>
      </w:pPr>
    </w:p>
    <w:p w14:paraId="47F50BCF" w14:textId="77777777" w:rsidR="004A426B" w:rsidRPr="00970AD2" w:rsidRDefault="004A426B" w:rsidP="00D0545B">
      <w:pPr>
        <w:pStyle w:val="Sectionheading3"/>
      </w:pPr>
      <w:r w:rsidRPr="00970AD2">
        <w:t>Minimum activity performance specifications</w:t>
      </w:r>
    </w:p>
    <w:p w14:paraId="1ED2E648" w14:textId="77777777" w:rsidR="004A426B" w:rsidRPr="00970AD2" w:rsidRDefault="004A426B" w:rsidP="00D0545B">
      <w:pPr>
        <w:pStyle w:val="BodytextEEIS"/>
        <w:rPr>
          <w:i/>
        </w:rPr>
      </w:pPr>
      <w:r w:rsidRPr="00970AD2">
        <w:t>To be an eligible activity the activity must</w:t>
      </w:r>
      <w:r w:rsidRPr="00970AD2">
        <w:rPr>
          <w:bCs/>
        </w:rPr>
        <w:t>—</w:t>
      </w:r>
    </w:p>
    <w:p w14:paraId="1BD92915" w14:textId="77777777" w:rsidR="004A426B" w:rsidRPr="00970AD2" w:rsidRDefault="004A426B" w:rsidP="00D633D3">
      <w:pPr>
        <w:pStyle w:val="Subdetailsfirstindent"/>
        <w:numPr>
          <w:ilvl w:val="0"/>
          <w:numId w:val="124"/>
        </w:numPr>
      </w:pPr>
      <w:r w:rsidRPr="00970AD2">
        <w:t xml:space="preserve">be undertaken at an eligible residential </w:t>
      </w:r>
      <w:r w:rsidR="00455485">
        <w:t>or</w:t>
      </w:r>
      <w:r w:rsidRPr="00970AD2">
        <w:t xml:space="preserve"> business premises; </w:t>
      </w:r>
    </w:p>
    <w:p w14:paraId="7509C4B2" w14:textId="77777777" w:rsidR="004A426B" w:rsidRPr="00970AD2" w:rsidRDefault="004A426B" w:rsidP="00D633D3">
      <w:pPr>
        <w:pStyle w:val="Subdetailsfirstindent"/>
        <w:numPr>
          <w:ilvl w:val="0"/>
          <w:numId w:val="124"/>
        </w:numPr>
      </w:pPr>
      <w:r w:rsidRPr="00970AD2">
        <w:t xml:space="preserve">be undertaken on a refrigerator or freezer that is currently in working order; </w:t>
      </w:r>
    </w:p>
    <w:p w14:paraId="12CBD81A" w14:textId="77777777" w:rsidR="004A426B" w:rsidRPr="00970AD2" w:rsidRDefault="004A426B" w:rsidP="00D633D3">
      <w:pPr>
        <w:pStyle w:val="Subdetailsfirstindent"/>
        <w:numPr>
          <w:ilvl w:val="0"/>
          <w:numId w:val="124"/>
        </w:numPr>
      </w:pPr>
      <w:r w:rsidRPr="00970AD2">
        <w:t xml:space="preserve">result in the refrigerator or freezer being destroyed by the disposal, in accordance with the </w:t>
      </w:r>
      <w:r w:rsidRPr="00D0545B">
        <w:rPr>
          <w:i/>
        </w:rPr>
        <w:t>Ozone Protection and Synthetic Greenhouse Gas Management Act 1989</w:t>
      </w:r>
      <w:r w:rsidRPr="00970AD2">
        <w:t xml:space="preserve"> (Commonwealth), of scheduled substances within the meaning of that Act; </w:t>
      </w:r>
    </w:p>
    <w:p w14:paraId="312E259A" w14:textId="77777777" w:rsidR="004A426B" w:rsidRPr="00970AD2" w:rsidRDefault="004A426B" w:rsidP="00D633D3">
      <w:pPr>
        <w:pStyle w:val="Subdetailsfirstindent"/>
        <w:numPr>
          <w:ilvl w:val="0"/>
          <w:numId w:val="124"/>
        </w:numPr>
      </w:pPr>
      <w:r w:rsidRPr="00970AD2">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14:paraId="52655BB6" w14:textId="77777777" w:rsidR="004A426B" w:rsidRPr="00970AD2" w:rsidRDefault="004A426B" w:rsidP="00D633D3">
      <w:pPr>
        <w:pStyle w:val="Subdetailsfirstindent"/>
        <w:numPr>
          <w:ilvl w:val="0"/>
          <w:numId w:val="124"/>
        </w:numPr>
      </w:pPr>
      <w:r w:rsidRPr="00970AD2">
        <w:t>be recorded in accordance with any relevant code of practice for the activity.</w:t>
      </w:r>
    </w:p>
    <w:p w14:paraId="157C3BFF" w14:textId="77777777" w:rsidR="004A426B" w:rsidRPr="00970AD2" w:rsidRDefault="004A426B" w:rsidP="00D0545B">
      <w:pPr>
        <w:pStyle w:val="Notesandexamples"/>
      </w:pPr>
      <w:r w:rsidRPr="00970AD2">
        <w:t>Note</w:t>
      </w:r>
      <w:r w:rsidRPr="00970AD2">
        <w:tab/>
        <w:t>All activities are subject to independent inspection or audit to confirm compliance with prescribed activity requirements.</w:t>
      </w:r>
    </w:p>
    <w:p w14:paraId="5A16682C" w14:textId="77777777" w:rsidR="004A426B" w:rsidRPr="00970AD2" w:rsidRDefault="004A426B" w:rsidP="00D0545B">
      <w:pPr>
        <w:pStyle w:val="Sectionheading3"/>
        <w:rPr>
          <w:u w:val="single"/>
        </w:rPr>
      </w:pPr>
      <w:r w:rsidRPr="00970AD2">
        <w:t>Time the activity is taken to be completed</w:t>
      </w:r>
    </w:p>
    <w:p w14:paraId="28A74537" w14:textId="77777777" w:rsidR="004A426B" w:rsidRPr="00970AD2" w:rsidRDefault="004A426B" w:rsidP="00D0545B">
      <w:pPr>
        <w:pStyle w:val="BodytextEEIS"/>
        <w:rPr>
          <w:i/>
        </w:rPr>
      </w:pPr>
      <w:r w:rsidRPr="00970AD2">
        <w:t xml:space="preserve">The activity is taken to be completed on the day all applicable prescribed activity requirements are completed. </w:t>
      </w:r>
    </w:p>
    <w:p w14:paraId="341711AB" w14:textId="6BFC3FF2" w:rsidR="004A426B" w:rsidRPr="00970AD2" w:rsidRDefault="004A426B" w:rsidP="00D0545B">
      <w:pPr>
        <w:pStyle w:val="Sectionheading3"/>
        <w:rPr>
          <w:u w:val="single"/>
        </w:rPr>
      </w:pPr>
      <w:r w:rsidRPr="00970AD2">
        <w:t xml:space="preserve">Calculation of </w:t>
      </w:r>
      <w:r w:rsidR="008E78DC">
        <w:t>energy savings</w:t>
      </w:r>
      <w:r w:rsidRPr="00970AD2">
        <w:t xml:space="preserve"> factor</w:t>
      </w:r>
    </w:p>
    <w:p w14:paraId="740D99EB" w14:textId="2B6668B2" w:rsidR="004A426B" w:rsidRPr="00970AD2" w:rsidRDefault="004A426B" w:rsidP="00F56244">
      <w:pPr>
        <w:pStyle w:val="BodytextEEIS"/>
      </w:pPr>
      <w:r w:rsidRPr="00970AD2">
        <w:t xml:space="preserve">The total </w:t>
      </w:r>
      <w:r w:rsidR="008E78DC">
        <w:t>energy savings</w:t>
      </w:r>
      <w:r w:rsidRPr="00970AD2">
        <w:t xml:space="preserve"> factor in </w:t>
      </w:r>
      <w:r w:rsidR="00880CB1">
        <w:t>Megawatt-hours</w:t>
      </w:r>
      <w:r w:rsidR="008E78DC">
        <w:t xml:space="preserve"> (MWh) </w:t>
      </w:r>
      <w:r w:rsidRPr="00970AD2">
        <w:t xml:space="preserve"> saved in a premises is the sum of all </w:t>
      </w:r>
      <w:r w:rsidR="008E78DC">
        <w:t>energy savings</w:t>
      </w:r>
      <w:r w:rsidRPr="00970AD2">
        <w:t xml:space="preserve"> factors for each refrigerator or freezer destroyed, determined by using the equations prescribed in this section.</w:t>
      </w:r>
    </w:p>
    <w:p w14:paraId="48D6D38B" w14:textId="12CB3B2D" w:rsidR="004A426B" w:rsidRPr="00970AD2" w:rsidRDefault="004A426B" w:rsidP="00D633D3">
      <w:pPr>
        <w:pStyle w:val="Subdetailsfirstindent"/>
        <w:numPr>
          <w:ilvl w:val="0"/>
          <w:numId w:val="125"/>
        </w:numPr>
      </w:pPr>
      <w:r w:rsidRPr="00970AD2">
        <w:t xml:space="preserve">The </w:t>
      </w:r>
      <w:r w:rsidR="008E78DC">
        <w:t>energy savings</w:t>
      </w:r>
      <w:r w:rsidRPr="00970AD2">
        <w:t xml:space="preserve"> factor for each refrigerator or freezer is calculated by</w:t>
      </w:r>
      <w:r w:rsidRPr="00D0545B">
        <w:rPr>
          <w:bCs/>
        </w:rPr>
        <w:t>—</w:t>
      </w:r>
      <w:r w:rsidRPr="00970AD2">
        <w:t xml:space="preserve"> </w:t>
      </w:r>
    </w:p>
    <w:p w14:paraId="747E490B" w14:textId="36D8F0A5" w:rsidR="00270F3A" w:rsidRDefault="008E78DC" w:rsidP="00270F3A">
      <w:pPr>
        <w:pStyle w:val="Formula"/>
      </w:pPr>
      <w:r>
        <w:t>Energy savings</w:t>
      </w:r>
      <w:r w:rsidR="00270F3A">
        <w:t xml:space="preserve"> factor (</w:t>
      </w:r>
      <w:r>
        <w:t>MWh</w:t>
      </w:r>
      <w:r w:rsidR="00270F3A">
        <w:t xml:space="preserve">) = </w:t>
      </w:r>
      <w:r>
        <w:t>ESF</w:t>
      </w:r>
    </w:p>
    <w:p w14:paraId="2BC52B20" w14:textId="77777777" w:rsidR="004A426B" w:rsidRPr="00D0545B" w:rsidRDefault="004A426B" w:rsidP="00D0545B">
      <w:pPr>
        <w:pStyle w:val="BodytextEEIS"/>
      </w:pPr>
      <w:r w:rsidRPr="00D0545B">
        <w:t>Where—</w:t>
      </w:r>
    </w:p>
    <w:p w14:paraId="4614357A" w14:textId="53D190B8" w:rsidR="004A426B" w:rsidRPr="00D0545B" w:rsidRDefault="008E78DC" w:rsidP="00D633D3">
      <w:pPr>
        <w:pStyle w:val="Subdetailssecondindent"/>
        <w:numPr>
          <w:ilvl w:val="0"/>
          <w:numId w:val="126"/>
        </w:numPr>
        <w:rPr>
          <w:b/>
          <w:u w:val="single"/>
        </w:rPr>
      </w:pPr>
      <w:r>
        <w:rPr>
          <w:i/>
        </w:rPr>
        <w:lastRenderedPageBreak/>
        <w:t>ESF</w:t>
      </w:r>
      <w:r w:rsidR="004A426B" w:rsidRPr="00970AD2">
        <w:t xml:space="preserve"> is the relevant activity </w:t>
      </w:r>
      <w:r>
        <w:t>energy savings</w:t>
      </w:r>
      <w:r w:rsidR="004A426B" w:rsidRPr="00970AD2">
        <w:t xml:space="preserve"> value prescribed in </w:t>
      </w:r>
      <w:r w:rsidR="00455485">
        <w:t>t</w:t>
      </w:r>
      <w:r w:rsidR="00E1796B" w:rsidRPr="00970AD2">
        <w:t>able</w:t>
      </w:r>
      <w:r w:rsidR="004A426B" w:rsidRPr="00970AD2">
        <w:t xml:space="preserve"> </w:t>
      </w:r>
      <w:r w:rsidR="00455485">
        <w:t>33</w:t>
      </w:r>
      <w:r w:rsidR="004A426B" w:rsidRPr="00970AD2">
        <w:t xml:space="preserve"> for the type of refrigerator or freezer destroyed.</w:t>
      </w:r>
    </w:p>
    <w:p w14:paraId="105474C5" w14:textId="29A9B3EB" w:rsidR="004A426B" w:rsidRPr="00970AD2" w:rsidRDefault="004A426B" w:rsidP="00D0545B">
      <w:pPr>
        <w:pStyle w:val="Caption"/>
      </w:pPr>
      <w:bookmarkStart w:id="324" w:name="_Toc37945717"/>
      <w:bookmarkStart w:id="325" w:name="_Toc21868138"/>
      <w:bookmarkStart w:id="326" w:name="_Toc21868270"/>
      <w:r w:rsidRPr="00970AD2">
        <w:t xml:space="preserve">Table </w:t>
      </w:r>
      <w:r w:rsidR="004A0156">
        <w:rPr>
          <w:noProof/>
        </w:rPr>
        <w:fldChar w:fldCharType="begin"/>
      </w:r>
      <w:r w:rsidR="004A0156">
        <w:rPr>
          <w:noProof/>
        </w:rPr>
        <w:instrText xml:space="preserve"> SEQ Table \* ARABIC </w:instrText>
      </w:r>
      <w:r w:rsidR="004A0156">
        <w:rPr>
          <w:noProof/>
        </w:rPr>
        <w:fldChar w:fldCharType="separate"/>
      </w:r>
      <w:r w:rsidR="00880CB1">
        <w:rPr>
          <w:noProof/>
        </w:rPr>
        <w:t>33</w:t>
      </w:r>
      <w:r w:rsidR="004A0156">
        <w:rPr>
          <w:noProof/>
        </w:rPr>
        <w:fldChar w:fldCharType="end"/>
      </w:r>
      <w:r w:rsidR="00D0545B">
        <w:t xml:space="preserve"> </w:t>
      </w:r>
      <w:r w:rsidR="009E6E7F">
        <w:tab/>
      </w:r>
      <w:r w:rsidR="00270F3A">
        <w:t xml:space="preserve">Activity </w:t>
      </w:r>
      <w:r w:rsidR="00D85CB2">
        <w:t xml:space="preserve">ID </w:t>
      </w:r>
      <w:r w:rsidR="00270F3A">
        <w:t>5.1</w:t>
      </w:r>
      <w:r w:rsidRPr="00970AD2">
        <w:t xml:space="preserve"> </w:t>
      </w:r>
      <w:r w:rsidR="008E78DC">
        <w:t>energy savings</w:t>
      </w:r>
      <w:r w:rsidRPr="00970AD2">
        <w:t xml:space="preserve"> values for type of refrigerator or freezer destroyed</w:t>
      </w:r>
      <w:bookmarkEnd w:id="324"/>
      <w:r w:rsidRPr="00970AD2">
        <w:t xml:space="preserve"> </w:t>
      </w:r>
      <w:bookmarkEnd w:id="325"/>
      <w:bookmarkEnd w:id="326"/>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774"/>
        <w:gridCol w:w="4084"/>
      </w:tblGrid>
      <w:tr w:rsidR="002C260A" w:rsidRPr="00D936CF" w14:paraId="506475F5" w14:textId="77777777" w:rsidTr="00F56244">
        <w:trPr>
          <w:cantSplit/>
          <w:trHeight w:val="329"/>
          <w:tblHeader/>
        </w:trPr>
        <w:tc>
          <w:tcPr>
            <w:tcW w:w="1276" w:type="dxa"/>
          </w:tcPr>
          <w:p w14:paraId="13106F2E" w14:textId="77777777" w:rsidR="002C260A" w:rsidRPr="00970AD2" w:rsidRDefault="002C260A" w:rsidP="00D0545B">
            <w:pPr>
              <w:pStyle w:val="Tableheader"/>
            </w:pPr>
            <w:r w:rsidRPr="00970AD2">
              <w:t>Activity ID</w:t>
            </w:r>
          </w:p>
        </w:tc>
        <w:tc>
          <w:tcPr>
            <w:tcW w:w="3774" w:type="dxa"/>
            <w:noWrap/>
            <w:hideMark/>
          </w:tcPr>
          <w:p w14:paraId="0AB7088E" w14:textId="2D45931D" w:rsidR="0041055C" w:rsidRDefault="002C260A" w:rsidP="00D0545B">
            <w:pPr>
              <w:pStyle w:val="Tableheader"/>
            </w:pPr>
            <w:r w:rsidRPr="00970AD2">
              <w:t>Type of refrigerat</w:t>
            </w:r>
            <w:r w:rsidR="0041055C">
              <w:t xml:space="preserve">ing appliance </w:t>
            </w:r>
          </w:p>
          <w:p w14:paraId="7885E15E" w14:textId="2ACFD833" w:rsidR="002C260A" w:rsidRPr="00970AD2" w:rsidRDefault="0041055C" w:rsidP="00D0545B">
            <w:pPr>
              <w:pStyle w:val="Tableheader"/>
            </w:pPr>
            <w:r>
              <w:t>(see note below)</w:t>
            </w:r>
          </w:p>
        </w:tc>
        <w:tc>
          <w:tcPr>
            <w:tcW w:w="4084" w:type="dxa"/>
            <w:noWrap/>
            <w:hideMark/>
          </w:tcPr>
          <w:p w14:paraId="4323D30D" w14:textId="5898A3B5" w:rsidR="002C260A" w:rsidRPr="00970AD2" w:rsidRDefault="002C260A" w:rsidP="00D0545B">
            <w:pPr>
              <w:pStyle w:val="Tableheader"/>
            </w:pPr>
            <w:r w:rsidRPr="00970AD2">
              <w:t xml:space="preserve">Activity </w:t>
            </w:r>
            <w:r w:rsidR="008E78DC">
              <w:t>Energy savings</w:t>
            </w:r>
            <w:r w:rsidRPr="00970AD2">
              <w:t xml:space="preserve"> Value (</w:t>
            </w:r>
            <w:r w:rsidR="008E78DC">
              <w:t>MWh</w:t>
            </w:r>
            <w:r w:rsidRPr="00970AD2">
              <w:t>)</w:t>
            </w:r>
          </w:p>
        </w:tc>
      </w:tr>
      <w:tr w:rsidR="002C260A" w:rsidRPr="009B622C" w14:paraId="3AF08312" w14:textId="77777777" w:rsidTr="00F56244">
        <w:trPr>
          <w:cantSplit/>
          <w:trHeight w:val="329"/>
        </w:trPr>
        <w:tc>
          <w:tcPr>
            <w:tcW w:w="1276" w:type="dxa"/>
          </w:tcPr>
          <w:p w14:paraId="390E28D9" w14:textId="43DD2C3C" w:rsidR="002C260A" w:rsidRPr="00970AD2" w:rsidRDefault="002C260A" w:rsidP="00D0545B">
            <w:pPr>
              <w:pStyle w:val="Tabletext"/>
            </w:pPr>
            <w:r w:rsidRPr="00970AD2">
              <w:t>5.1(a)</w:t>
            </w:r>
          </w:p>
        </w:tc>
        <w:tc>
          <w:tcPr>
            <w:tcW w:w="3774" w:type="dxa"/>
            <w:noWrap/>
            <w:hideMark/>
          </w:tcPr>
          <w:p w14:paraId="6F41D56F" w14:textId="0E5FD748" w:rsidR="002C260A" w:rsidRPr="00970AD2" w:rsidRDefault="002C260A" w:rsidP="00D0545B">
            <w:pPr>
              <w:pStyle w:val="Tabletext"/>
            </w:pPr>
            <w:r w:rsidRPr="00970AD2">
              <w:t>1-door refrigerator or freezer</w:t>
            </w:r>
          </w:p>
        </w:tc>
        <w:tc>
          <w:tcPr>
            <w:tcW w:w="4084" w:type="dxa"/>
            <w:noWrap/>
            <w:hideMark/>
          </w:tcPr>
          <w:p w14:paraId="4BA603E7" w14:textId="72CD3BD4" w:rsidR="002C260A" w:rsidRPr="0041055C" w:rsidRDefault="003740EA" w:rsidP="00D0545B">
            <w:pPr>
              <w:pStyle w:val="Tabletext"/>
            </w:pPr>
            <w:r>
              <w:t>3.377</w:t>
            </w:r>
          </w:p>
        </w:tc>
      </w:tr>
      <w:tr w:rsidR="002C260A" w:rsidRPr="00D936CF" w14:paraId="6765AB84" w14:textId="77777777" w:rsidTr="00F56244">
        <w:trPr>
          <w:cantSplit/>
          <w:trHeight w:val="329"/>
        </w:trPr>
        <w:tc>
          <w:tcPr>
            <w:tcW w:w="1276" w:type="dxa"/>
          </w:tcPr>
          <w:p w14:paraId="37E10E53" w14:textId="77777777" w:rsidR="002C260A" w:rsidRPr="00970AD2" w:rsidRDefault="002C260A" w:rsidP="00D0545B">
            <w:pPr>
              <w:pStyle w:val="Tabletext"/>
            </w:pPr>
            <w:r w:rsidRPr="00970AD2">
              <w:t>5.1(b)</w:t>
            </w:r>
          </w:p>
        </w:tc>
        <w:tc>
          <w:tcPr>
            <w:tcW w:w="3774" w:type="dxa"/>
            <w:noWrap/>
            <w:hideMark/>
          </w:tcPr>
          <w:p w14:paraId="4FEF5640" w14:textId="654FD856" w:rsidR="002C260A" w:rsidRPr="00970AD2" w:rsidRDefault="002C260A" w:rsidP="00D0545B">
            <w:pPr>
              <w:pStyle w:val="Tabletext"/>
            </w:pPr>
            <w:r w:rsidRPr="00970AD2">
              <w:t>2-door refrigerator or freezer</w:t>
            </w:r>
          </w:p>
        </w:tc>
        <w:tc>
          <w:tcPr>
            <w:tcW w:w="4084" w:type="dxa"/>
            <w:noWrap/>
            <w:hideMark/>
          </w:tcPr>
          <w:p w14:paraId="2BCCB5C2" w14:textId="4C79F7D1" w:rsidR="002C260A" w:rsidRPr="0041055C" w:rsidRDefault="003740EA" w:rsidP="00D0545B">
            <w:pPr>
              <w:pStyle w:val="Tabletext"/>
            </w:pPr>
            <w:r>
              <w:t>6.042</w:t>
            </w:r>
          </w:p>
        </w:tc>
      </w:tr>
    </w:tbl>
    <w:p w14:paraId="345BF906" w14:textId="77777777" w:rsidR="00543C1A" w:rsidRPr="00543C1A" w:rsidRDefault="00543C1A" w:rsidP="00543C1A">
      <w:pPr>
        <w:pStyle w:val="BodytextEEIS"/>
        <w:rPr>
          <w:highlight w:val="yellow"/>
        </w:rPr>
      </w:pPr>
      <w:bookmarkStart w:id="327" w:name="_Toc21867050"/>
      <w:bookmarkStart w:id="328" w:name="_Toc328140153"/>
      <w:bookmarkStart w:id="329" w:name="_Ref331773351"/>
      <w:bookmarkStart w:id="330" w:name="_Toc332272788"/>
      <w:bookmarkStart w:id="331" w:name="_Toc332287295"/>
      <w:bookmarkStart w:id="332" w:name="_Toc435603242"/>
      <w:bookmarkStart w:id="333" w:name="_Toc454287733"/>
      <w:bookmarkStart w:id="334" w:name="_Toc466535745"/>
      <w:bookmarkEnd w:id="327"/>
    </w:p>
    <w:p w14:paraId="4A4A1163" w14:textId="77777777" w:rsidR="0041055C" w:rsidRPr="0041055C" w:rsidRDefault="0041055C" w:rsidP="00543C1A">
      <w:pPr>
        <w:pStyle w:val="BodytextEEIS"/>
      </w:pPr>
      <w:r w:rsidRPr="0041055C">
        <w:t>Note:</w:t>
      </w:r>
    </w:p>
    <w:p w14:paraId="42E2B142" w14:textId="6916C132" w:rsidR="0041055C" w:rsidRPr="0041055C" w:rsidRDefault="0041055C" w:rsidP="0041055C">
      <w:pPr>
        <w:pStyle w:val="BodytextEEIS"/>
      </w:pPr>
      <w:r>
        <w:t>A</w:t>
      </w:r>
      <w:r w:rsidRPr="0041055C">
        <w:t xml:space="preserve"> refrigerator is defined as Group 1, 4, 5B, 5S or 5T refrigerating appliance as defined by Greenhouse and Energy Minimum Standards (Household Refrigerating Appliances) Determination 2012 (Cth)</w:t>
      </w:r>
    </w:p>
    <w:p w14:paraId="74229D93" w14:textId="7E24ECFB" w:rsidR="00543C1A" w:rsidRPr="0041055C" w:rsidRDefault="0041055C" w:rsidP="0041055C">
      <w:pPr>
        <w:pStyle w:val="BodytextEEIS"/>
        <w:rPr>
          <w:highlight w:val="yellow"/>
        </w:rPr>
      </w:pPr>
      <w:r>
        <w:t>A</w:t>
      </w:r>
      <w:r w:rsidRPr="0041055C">
        <w:t xml:space="preserve"> freezer is defined as Group 6C, 6U or 7 refrigerating appliance as defined by Greenhouse and Energy Minimum Standards (Household Refrigerating Appliances) Determination 2012 (Cth) .</w:t>
      </w:r>
    </w:p>
    <w:p w14:paraId="2BB7F3DC" w14:textId="77777777" w:rsidR="00543C1A" w:rsidRDefault="00543C1A" w:rsidP="00543C1A">
      <w:pPr>
        <w:pStyle w:val="SectionHeading1"/>
        <w:numPr>
          <w:ilvl w:val="0"/>
          <w:numId w:val="0"/>
        </w:numPr>
        <w:ind w:left="567" w:hanging="567"/>
      </w:pPr>
    </w:p>
    <w:p w14:paraId="4271D134" w14:textId="77777777" w:rsidR="00D936CF" w:rsidRPr="00970AD2" w:rsidRDefault="001C50FA" w:rsidP="00D0545B">
      <w:pPr>
        <w:pStyle w:val="Sectionheading2"/>
      </w:pPr>
      <w:r>
        <w:br w:type="page"/>
      </w:r>
      <w:bookmarkStart w:id="335" w:name="_Toc333417652"/>
      <w:bookmarkStart w:id="336" w:name="_Toc27560566"/>
      <w:r w:rsidR="00D936CF" w:rsidRPr="00970AD2">
        <w:lastRenderedPageBreak/>
        <w:t>Purchase of high efficiency refrigerator or freezer</w:t>
      </w:r>
      <w:bookmarkEnd w:id="328"/>
      <w:bookmarkEnd w:id="329"/>
      <w:bookmarkEnd w:id="330"/>
      <w:bookmarkEnd w:id="331"/>
      <w:bookmarkEnd w:id="332"/>
      <w:bookmarkEnd w:id="333"/>
      <w:bookmarkEnd w:id="334"/>
      <w:bookmarkEnd w:id="335"/>
      <w:bookmarkEnd w:id="336"/>
    </w:p>
    <w:p w14:paraId="23738119" w14:textId="77777777" w:rsidR="00D936CF" w:rsidRPr="00970AD2" w:rsidRDefault="00D936CF" w:rsidP="00D0545B">
      <w:pPr>
        <w:pStyle w:val="Sectionheading3"/>
      </w:pPr>
      <w:r w:rsidRPr="00970AD2">
        <w:t>Activity definition</w:t>
      </w:r>
    </w:p>
    <w:p w14:paraId="212C6151" w14:textId="77777777" w:rsidR="00D936CF" w:rsidRPr="00970AD2" w:rsidRDefault="00D936CF" w:rsidP="00D0545B">
      <w:pPr>
        <w:pStyle w:val="BodytextEEIS"/>
      </w:pPr>
      <w:r w:rsidRPr="00970AD2">
        <w:t>In accordance with the prescribed minimum activity performance specifications, purchase for installation in a premises of a high efficiency</w:t>
      </w:r>
      <w:r w:rsidRPr="00970AD2">
        <w:rPr>
          <w:bCs/>
        </w:rPr>
        <w:t>—</w:t>
      </w:r>
      <w:r w:rsidRPr="00970AD2">
        <w:t xml:space="preserve"> </w:t>
      </w:r>
    </w:p>
    <w:p w14:paraId="3E9E33F9" w14:textId="77777777" w:rsidR="00D936CF" w:rsidRPr="00970AD2" w:rsidRDefault="00F9737C" w:rsidP="00D633D3">
      <w:pPr>
        <w:pStyle w:val="Subdetailsfirstindent"/>
        <w:numPr>
          <w:ilvl w:val="0"/>
          <w:numId w:val="127"/>
        </w:numPr>
      </w:pPr>
      <w:r w:rsidRPr="00D0545B">
        <w:rPr>
          <w:b/>
        </w:rPr>
        <w:t xml:space="preserve">Activity </w:t>
      </w:r>
      <w:r w:rsidR="002C260A" w:rsidRPr="00D0545B">
        <w:rPr>
          <w:b/>
        </w:rPr>
        <w:t xml:space="preserve">ID </w:t>
      </w:r>
      <w:r w:rsidRPr="00D0545B">
        <w:rPr>
          <w:b/>
        </w:rPr>
        <w:t xml:space="preserve">5.2(a) </w:t>
      </w:r>
      <w:r w:rsidRPr="00970AD2">
        <w:t>–</w:t>
      </w:r>
      <w:r w:rsidRPr="00D0545B">
        <w:rPr>
          <w:b/>
        </w:rPr>
        <w:t xml:space="preserve"> </w:t>
      </w:r>
      <w:r w:rsidR="00D936CF" w:rsidRPr="00970AD2">
        <w:t xml:space="preserve">single door refrigerator; </w:t>
      </w:r>
    </w:p>
    <w:p w14:paraId="563C9F3D" w14:textId="77777777" w:rsidR="00D936CF" w:rsidRPr="00970AD2" w:rsidRDefault="00F9737C" w:rsidP="00D633D3">
      <w:pPr>
        <w:pStyle w:val="Subdetailsfirstindent"/>
        <w:numPr>
          <w:ilvl w:val="0"/>
          <w:numId w:val="127"/>
        </w:numPr>
      </w:pPr>
      <w:r w:rsidRPr="00D0545B">
        <w:rPr>
          <w:b/>
        </w:rPr>
        <w:t xml:space="preserve">Activity </w:t>
      </w:r>
      <w:r w:rsidR="002C260A" w:rsidRPr="00D0545B">
        <w:rPr>
          <w:b/>
        </w:rPr>
        <w:t xml:space="preserve">ID </w:t>
      </w:r>
      <w:r w:rsidRPr="00D0545B">
        <w:rPr>
          <w:b/>
        </w:rPr>
        <w:t xml:space="preserve">5.2(b) </w:t>
      </w:r>
      <w:r w:rsidRPr="00970AD2">
        <w:t>–</w:t>
      </w:r>
      <w:r w:rsidRPr="00D0545B">
        <w:rPr>
          <w:b/>
        </w:rPr>
        <w:t xml:space="preserve"> </w:t>
      </w:r>
      <w:r w:rsidR="00D936CF" w:rsidRPr="00970AD2">
        <w:t xml:space="preserve">two door refrigerator; </w:t>
      </w:r>
    </w:p>
    <w:p w14:paraId="6EB5C172" w14:textId="77777777" w:rsidR="00D936CF" w:rsidRPr="00970AD2" w:rsidRDefault="00F9737C" w:rsidP="00D633D3">
      <w:pPr>
        <w:pStyle w:val="Subdetailsfirstindent"/>
        <w:numPr>
          <w:ilvl w:val="0"/>
          <w:numId w:val="127"/>
        </w:numPr>
      </w:pPr>
      <w:r w:rsidRPr="00F56244">
        <w:rPr>
          <w:b/>
          <w:bCs/>
        </w:rPr>
        <w:t xml:space="preserve">Activity </w:t>
      </w:r>
      <w:r w:rsidR="002C260A" w:rsidRPr="00F56244">
        <w:rPr>
          <w:b/>
          <w:bCs/>
        </w:rPr>
        <w:t xml:space="preserve">ID </w:t>
      </w:r>
      <w:r w:rsidRPr="00F56244">
        <w:rPr>
          <w:b/>
          <w:bCs/>
        </w:rPr>
        <w:t>5.2(c)</w:t>
      </w:r>
      <w:r w:rsidRPr="00970AD2">
        <w:t xml:space="preserve"> – </w:t>
      </w:r>
      <w:r w:rsidR="00D936CF" w:rsidRPr="00970AD2">
        <w:t>chest freezer; or</w:t>
      </w:r>
    </w:p>
    <w:p w14:paraId="4DCB2DE5" w14:textId="77777777" w:rsidR="00D936CF" w:rsidRPr="00970AD2" w:rsidRDefault="00F9737C" w:rsidP="00D633D3">
      <w:pPr>
        <w:pStyle w:val="Subdetailsfirstindent"/>
        <w:numPr>
          <w:ilvl w:val="0"/>
          <w:numId w:val="127"/>
        </w:numPr>
      </w:pPr>
      <w:r w:rsidRPr="00F56244">
        <w:rPr>
          <w:b/>
          <w:bCs/>
        </w:rPr>
        <w:t xml:space="preserve">Activity </w:t>
      </w:r>
      <w:r w:rsidR="002C260A" w:rsidRPr="00F56244">
        <w:rPr>
          <w:b/>
          <w:bCs/>
        </w:rPr>
        <w:t xml:space="preserve">ID </w:t>
      </w:r>
      <w:r w:rsidRPr="00F56244">
        <w:rPr>
          <w:b/>
          <w:bCs/>
        </w:rPr>
        <w:t>5.2(d)</w:t>
      </w:r>
      <w:r w:rsidRPr="00970AD2">
        <w:t xml:space="preserve"> –</w:t>
      </w:r>
      <w:r w:rsidR="00EF01D1">
        <w:t xml:space="preserve"> </w:t>
      </w:r>
      <w:r w:rsidR="00D936CF" w:rsidRPr="00970AD2">
        <w:t xml:space="preserve">upright freezer. </w:t>
      </w:r>
    </w:p>
    <w:p w14:paraId="06AC9139" w14:textId="77777777" w:rsidR="00D936CF" w:rsidRPr="00970AD2" w:rsidRDefault="00D936CF" w:rsidP="00D0545B">
      <w:pPr>
        <w:pStyle w:val="Sectionheading3"/>
      </w:pPr>
      <w:r w:rsidRPr="00970AD2">
        <w:t>Minimum activity performance specifications</w:t>
      </w:r>
    </w:p>
    <w:p w14:paraId="254BE1D2" w14:textId="77777777" w:rsidR="00D936CF" w:rsidRPr="00970AD2" w:rsidRDefault="00D936CF" w:rsidP="00D0545B">
      <w:pPr>
        <w:pStyle w:val="BodytextEEIS"/>
        <w:rPr>
          <w:i/>
        </w:rPr>
      </w:pPr>
      <w:r w:rsidRPr="00970AD2">
        <w:t>To be an eligible activity</w:t>
      </w:r>
      <w:r w:rsidRPr="00970AD2">
        <w:rPr>
          <w:bCs/>
        </w:rPr>
        <w:t>—</w:t>
      </w:r>
    </w:p>
    <w:p w14:paraId="6B22EBE9" w14:textId="77777777" w:rsidR="00D936CF" w:rsidRPr="00970AD2" w:rsidRDefault="00D936CF" w:rsidP="00D633D3">
      <w:pPr>
        <w:pStyle w:val="Subdetailsfirstindent"/>
        <w:numPr>
          <w:ilvl w:val="0"/>
          <w:numId w:val="128"/>
        </w:numPr>
      </w:pPr>
      <w:r w:rsidRPr="00970AD2">
        <w:t xml:space="preserve">the product or products must be purchased by a resident of the ACT for installation and use in a residential or business premises within the ACT; </w:t>
      </w:r>
    </w:p>
    <w:p w14:paraId="35C13372" w14:textId="77777777" w:rsidR="00D936CF" w:rsidRPr="00970AD2" w:rsidRDefault="00CB5456" w:rsidP="00D633D3">
      <w:pPr>
        <w:pStyle w:val="Subdetailsfirstindent"/>
        <w:numPr>
          <w:ilvl w:val="0"/>
          <w:numId w:val="128"/>
        </w:numPr>
      </w:pPr>
      <w:r>
        <w:t xml:space="preserve">it must </w:t>
      </w:r>
      <w:r w:rsidR="00D936CF" w:rsidRPr="00970AD2">
        <w:t xml:space="preserve">be undertaken using a product or products meeting the installed product requirements in section </w:t>
      </w:r>
      <w:r>
        <w:t>5.2.</w:t>
      </w:r>
      <w:r w:rsidR="00D936CF" w:rsidRPr="00970AD2">
        <w:t xml:space="preserve">3; </w:t>
      </w:r>
    </w:p>
    <w:p w14:paraId="4FDF622C" w14:textId="77777777" w:rsidR="00D936CF" w:rsidRPr="00970AD2" w:rsidRDefault="00D936CF" w:rsidP="00D633D3">
      <w:pPr>
        <w:pStyle w:val="Subdetailsfirstindent"/>
        <w:numPr>
          <w:ilvl w:val="0"/>
          <w:numId w:val="128"/>
        </w:numPr>
      </w:pPr>
      <w:r w:rsidRPr="00970AD2">
        <w:t xml:space="preserve">the activity must be completed and certified in accordance with the relevant code of practice and other relevant legislation for the activity; and </w:t>
      </w:r>
    </w:p>
    <w:p w14:paraId="47C60FF2" w14:textId="77777777" w:rsidR="00D936CF" w:rsidRPr="00970AD2" w:rsidRDefault="00CB5456" w:rsidP="00D633D3">
      <w:pPr>
        <w:pStyle w:val="Subdetailsfirstindent"/>
        <w:numPr>
          <w:ilvl w:val="0"/>
          <w:numId w:val="128"/>
        </w:numPr>
      </w:pPr>
      <w:r>
        <w:t xml:space="preserve">it must </w:t>
      </w:r>
      <w:r w:rsidR="00D936CF" w:rsidRPr="00970AD2">
        <w:t xml:space="preserve">be recorded in accordance with any relevant code of practice for the activity. </w:t>
      </w:r>
    </w:p>
    <w:p w14:paraId="145E8837" w14:textId="77777777" w:rsidR="00D936CF" w:rsidRPr="00970AD2" w:rsidRDefault="00D936CF" w:rsidP="00D0545B">
      <w:pPr>
        <w:pStyle w:val="Notesandexamples"/>
      </w:pPr>
      <w:r w:rsidRPr="00970AD2">
        <w:t>Note</w:t>
      </w:r>
      <w:r w:rsidRPr="00970AD2">
        <w:tab/>
      </w:r>
      <w:r w:rsidR="00CB5456" w:rsidRPr="00970AD2">
        <w:t>All activities are subject to independent inspection or audit to confirm compliance with prescribed activity requirements.</w:t>
      </w:r>
    </w:p>
    <w:p w14:paraId="099C5C88" w14:textId="77777777" w:rsidR="00D936CF" w:rsidRPr="00EF01D1" w:rsidRDefault="00D936CF" w:rsidP="00D0545B">
      <w:pPr>
        <w:pStyle w:val="Sectionheading3"/>
      </w:pPr>
      <w:r w:rsidRPr="00970AD2">
        <w:t>Installed product requirements</w:t>
      </w:r>
    </w:p>
    <w:p w14:paraId="4E9689DF" w14:textId="77777777" w:rsidR="00B515FB" w:rsidRDefault="00B515FB" w:rsidP="00B515FB">
      <w:pPr>
        <w:pStyle w:val="Sectionheading4"/>
      </w:pPr>
      <w:r>
        <w:t>All products</w:t>
      </w:r>
    </w:p>
    <w:p w14:paraId="00342042" w14:textId="77777777" w:rsidR="008570B7" w:rsidRPr="001D21E4" w:rsidRDefault="008570B7" w:rsidP="00D0545B">
      <w:pPr>
        <w:pStyle w:val="BodytextEEIS"/>
      </w:pPr>
      <w:r>
        <w:t>General requirements for all products</w:t>
      </w:r>
      <w:r w:rsidRPr="001D21E4">
        <w:rPr>
          <w:b/>
          <w:bCs/>
        </w:rPr>
        <w:t>—</w:t>
      </w:r>
    </w:p>
    <w:p w14:paraId="6AC63B32" w14:textId="77777777" w:rsidR="008570B7" w:rsidRPr="001D21E4" w:rsidRDefault="00CB5456" w:rsidP="00D633D3">
      <w:pPr>
        <w:pStyle w:val="Subdetailsfirstindent"/>
        <w:numPr>
          <w:ilvl w:val="0"/>
          <w:numId w:val="129"/>
        </w:numPr>
      </w:pPr>
      <w:r>
        <w:t>t</w:t>
      </w:r>
      <w:r w:rsidR="008570B7">
        <w:t xml:space="preserve">he product has </w:t>
      </w:r>
      <w:r w:rsidR="008570B7" w:rsidRPr="008570B0">
        <w:t xml:space="preserve">valid registration with an Australian or New Zealand energy regulator </w:t>
      </w:r>
      <w:r w:rsidR="008570B7">
        <w:t>and has a registration status of “Approved</w:t>
      </w:r>
      <w:r>
        <w:t>”</w:t>
      </w:r>
      <w:r w:rsidR="008570B7">
        <w:t xml:space="preserve"> at the time of sale</w:t>
      </w:r>
      <w:r w:rsidR="008570B7" w:rsidRPr="001D21E4">
        <w:t xml:space="preserve">; </w:t>
      </w:r>
    </w:p>
    <w:p w14:paraId="51D9E859" w14:textId="77777777" w:rsidR="008570B7" w:rsidRPr="001D21E4" w:rsidRDefault="00CB5456" w:rsidP="00D633D3">
      <w:pPr>
        <w:pStyle w:val="Subdetailsfirstindent"/>
        <w:numPr>
          <w:ilvl w:val="0"/>
          <w:numId w:val="129"/>
        </w:numPr>
      </w:pPr>
      <w:r>
        <w:t>t</w:t>
      </w:r>
      <w:r w:rsidR="008570B7" w:rsidRPr="008570B0">
        <w:t>he refrigerating appliance shall not have a designation of cooled appliance under AS/NZS</w:t>
      </w:r>
      <w:r w:rsidR="00680FEA">
        <w:t xml:space="preserve"> </w:t>
      </w:r>
      <w:r w:rsidR="008570B7" w:rsidRPr="008570B0">
        <w:t>4474</w:t>
      </w:r>
      <w:r w:rsidR="008570B7" w:rsidRPr="001D21E4">
        <w:t xml:space="preserve">; </w:t>
      </w:r>
    </w:p>
    <w:p w14:paraId="2FB377DF" w14:textId="77777777" w:rsidR="008570B7" w:rsidRDefault="00CB5456" w:rsidP="00D633D3">
      <w:pPr>
        <w:pStyle w:val="Subdetailsfirstindent"/>
        <w:numPr>
          <w:ilvl w:val="0"/>
          <w:numId w:val="129"/>
        </w:numPr>
      </w:pPr>
      <w:r>
        <w:t>t</w:t>
      </w:r>
      <w:r w:rsidR="008570B7" w:rsidRPr="008570B0">
        <w:t>he refrigerating appliance shall not be a wine storage appliance or have any compartment that is intended exclusively for wine or beverage storage</w:t>
      </w:r>
      <w:r w:rsidR="008570B7">
        <w:t>; and</w:t>
      </w:r>
    </w:p>
    <w:p w14:paraId="130A822D" w14:textId="77777777" w:rsidR="008570B7" w:rsidRDefault="00CB5456" w:rsidP="00D633D3">
      <w:pPr>
        <w:pStyle w:val="Subdetailsfirstindent"/>
        <w:numPr>
          <w:ilvl w:val="0"/>
          <w:numId w:val="129"/>
        </w:numPr>
      </w:pPr>
      <w:r>
        <w:t>the product i</w:t>
      </w:r>
      <w:r w:rsidR="008570B7">
        <w:t>s on the register of products for the activity</w:t>
      </w:r>
      <w:r w:rsidR="008570B7" w:rsidRPr="001D21E4">
        <w:t xml:space="preserve">.  </w:t>
      </w:r>
    </w:p>
    <w:p w14:paraId="1530BBDC" w14:textId="77777777" w:rsidR="00B515FB" w:rsidRDefault="00B515FB" w:rsidP="00B515FB">
      <w:pPr>
        <w:pStyle w:val="Sectionheading4"/>
      </w:pPr>
      <w:r>
        <w:t>Individual products in each Group</w:t>
      </w:r>
    </w:p>
    <w:p w14:paraId="09A3B3A7" w14:textId="77777777" w:rsidR="00A57E6F" w:rsidRPr="003B19BC" w:rsidRDefault="00A57E6F" w:rsidP="00D0545B">
      <w:pPr>
        <w:pStyle w:val="BodytextEEIS"/>
      </w:pPr>
      <w:r w:rsidRPr="003B19BC">
        <w:t>Specific requirements for individual products in each Group as defined by AS/NZS 4474</w:t>
      </w:r>
      <w:r w:rsidRPr="003B19BC">
        <w:rPr>
          <w:bCs/>
        </w:rPr>
        <w:t>—</w:t>
      </w:r>
    </w:p>
    <w:p w14:paraId="682FC124" w14:textId="77777777" w:rsidR="00A57E6F" w:rsidRPr="003B19BC" w:rsidRDefault="00A57E6F" w:rsidP="00D633D3">
      <w:pPr>
        <w:pStyle w:val="Subdetailsfirstindent"/>
        <w:numPr>
          <w:ilvl w:val="0"/>
          <w:numId w:val="130"/>
        </w:numPr>
      </w:pPr>
      <w:r w:rsidRPr="003B19BC">
        <w:t xml:space="preserve">has a total gross volume as determined in accordance with AS/NZS 4474 of not less than the value specified in </w:t>
      </w:r>
      <w:r w:rsidR="00CB5456">
        <w:t>t</w:t>
      </w:r>
      <w:r w:rsidRPr="003B19BC">
        <w:t xml:space="preserve">able </w:t>
      </w:r>
      <w:r w:rsidR="00CB5456">
        <w:t>34</w:t>
      </w:r>
      <w:r w:rsidRPr="003B19BC">
        <w:t xml:space="preserve"> and not more than the value specified in </w:t>
      </w:r>
      <w:r w:rsidR="00CB5456">
        <w:t>t</w:t>
      </w:r>
      <w:r w:rsidRPr="003B19BC">
        <w:t xml:space="preserve">able </w:t>
      </w:r>
      <w:r w:rsidR="00CB5456">
        <w:t>34</w:t>
      </w:r>
      <w:r w:rsidRPr="003B19BC">
        <w:t xml:space="preserve">; </w:t>
      </w:r>
    </w:p>
    <w:p w14:paraId="0B117A1E" w14:textId="77777777" w:rsidR="00A57E6F" w:rsidRPr="003B19BC" w:rsidRDefault="00A57E6F" w:rsidP="00D633D3">
      <w:pPr>
        <w:pStyle w:val="Subdetailsfirstindent"/>
        <w:numPr>
          <w:ilvl w:val="0"/>
          <w:numId w:val="130"/>
        </w:numPr>
      </w:pPr>
      <w:r w:rsidRPr="003B19BC">
        <w:t xml:space="preserve">has a minimum star rating index as determined in accordance with AS/NZS 4474 of not less than the value specified in </w:t>
      </w:r>
      <w:r w:rsidR="00CB5456">
        <w:t>t</w:t>
      </w:r>
      <w:r w:rsidRPr="003B19BC">
        <w:t xml:space="preserve">able </w:t>
      </w:r>
      <w:r w:rsidR="00CB5456">
        <w:t>34</w:t>
      </w:r>
      <w:r w:rsidRPr="003B19BC">
        <w:t>; and</w:t>
      </w:r>
    </w:p>
    <w:p w14:paraId="388683ED" w14:textId="77777777" w:rsidR="00D936CF" w:rsidRPr="00E908BA" w:rsidRDefault="00A57E6F" w:rsidP="00D633D3">
      <w:pPr>
        <w:pStyle w:val="Subdetailsfirstindent"/>
        <w:numPr>
          <w:ilvl w:val="0"/>
          <w:numId w:val="130"/>
        </w:numPr>
      </w:pPr>
      <w:r w:rsidRPr="003B19BC">
        <w:t xml:space="preserve">is on the register of products for the activity.  </w:t>
      </w:r>
    </w:p>
    <w:p w14:paraId="1B7FE953" w14:textId="77777777" w:rsidR="00D936CF" w:rsidRPr="00E908BA" w:rsidRDefault="00D936CF" w:rsidP="00E908BA">
      <w:pPr>
        <w:pStyle w:val="Notesandexamples"/>
      </w:pPr>
      <w:r w:rsidRPr="00E908BA">
        <w:lastRenderedPageBreak/>
        <w:t xml:space="preserve">Note </w:t>
      </w:r>
      <w:r w:rsidRPr="00E908BA">
        <w:tab/>
        <w:t xml:space="preserve">Refrigerator and freezer group definitions </w:t>
      </w:r>
      <w:r w:rsidR="00CB5456">
        <w:t>(</w:t>
      </w:r>
      <w:hyperlink r:id="rId19" w:history="1">
        <w:r w:rsidRPr="00D37FE8">
          <w:rPr>
            <w:rStyle w:val="Hyperlink"/>
            <w:rFonts w:cs="Arial"/>
          </w:rPr>
          <w:t>http://www.energyrating.gov.au/products-themes/refrigeration/domestic-refrigeration/meps/</w:t>
        </w:r>
      </w:hyperlink>
      <w:r w:rsidR="00CB5456">
        <w:t>).</w:t>
      </w:r>
    </w:p>
    <w:p w14:paraId="1526E0E8" w14:textId="77777777" w:rsidR="00D936CF" w:rsidRPr="00970AD2" w:rsidRDefault="00D936CF" w:rsidP="00D0545B">
      <w:pPr>
        <w:pStyle w:val="Sectionheading3"/>
        <w:rPr>
          <w:u w:val="single"/>
        </w:rPr>
      </w:pPr>
      <w:r w:rsidRPr="00970AD2">
        <w:t>Time the activity is taken to be completed</w:t>
      </w:r>
    </w:p>
    <w:p w14:paraId="0F8EF043" w14:textId="77777777" w:rsidR="00D936CF" w:rsidRPr="00970AD2" w:rsidRDefault="00D936CF" w:rsidP="00E908BA">
      <w:pPr>
        <w:pStyle w:val="BodytextEEIS"/>
      </w:pPr>
      <w:r w:rsidRPr="00970AD2">
        <w:t>The activity is taken to be completed on the day all applicable prescribed activity requirements are completed.</w:t>
      </w:r>
    </w:p>
    <w:p w14:paraId="79A3F4DB" w14:textId="58A989E5" w:rsidR="00D936CF" w:rsidRPr="00970AD2" w:rsidRDefault="00D936CF" w:rsidP="00E908BA">
      <w:pPr>
        <w:pStyle w:val="Sectionheading3"/>
        <w:rPr>
          <w:u w:val="single"/>
        </w:rPr>
      </w:pPr>
      <w:r w:rsidRPr="00970AD2">
        <w:t xml:space="preserve">Calculation of </w:t>
      </w:r>
      <w:r w:rsidR="008E78DC">
        <w:t>energy savings</w:t>
      </w:r>
      <w:r w:rsidRPr="00970AD2">
        <w:t xml:space="preserve"> factor</w:t>
      </w:r>
    </w:p>
    <w:p w14:paraId="21F57071" w14:textId="177629BE" w:rsidR="00D936CF" w:rsidRPr="00970AD2" w:rsidRDefault="00D936CF" w:rsidP="00F56244">
      <w:pPr>
        <w:pStyle w:val="BodytextEEIS"/>
      </w:pPr>
      <w:r w:rsidRPr="00970AD2">
        <w:t xml:space="preserve">The total </w:t>
      </w:r>
      <w:r w:rsidR="008E78DC">
        <w:t>energy savings</w:t>
      </w:r>
      <w:r w:rsidRPr="00970AD2">
        <w:t xml:space="preserve"> factor </w:t>
      </w:r>
      <w:r w:rsidR="00880CB1">
        <w:t>Megawatt-hours</w:t>
      </w:r>
      <w:r w:rsidR="00DC534A">
        <w:t xml:space="preserve"> (MWh)</w:t>
      </w:r>
      <w:r w:rsidRPr="00970AD2">
        <w:t xml:space="preserve"> saved in a premises is the sum of all </w:t>
      </w:r>
      <w:r w:rsidR="008E78DC">
        <w:t>energy savings</w:t>
      </w:r>
      <w:r w:rsidRPr="00970AD2">
        <w:t xml:space="preserve"> factors for each refrigerator or freezer purchased for the premises, determined by using the equations prescribed in this section.</w:t>
      </w:r>
    </w:p>
    <w:p w14:paraId="5FE774B1" w14:textId="2B2C2967" w:rsidR="007562F0" w:rsidRPr="00E908BA" w:rsidRDefault="007562F0" w:rsidP="0064760C">
      <w:pPr>
        <w:pStyle w:val="Subdetailsfirstindent"/>
        <w:numPr>
          <w:ilvl w:val="0"/>
          <w:numId w:val="0"/>
        </w:numPr>
        <w:ind w:left="927" w:hanging="360"/>
        <w:rPr>
          <w:b/>
          <w:sz w:val="52"/>
          <w:u w:val="single"/>
        </w:rPr>
      </w:pPr>
      <w:r w:rsidRPr="006C3C1A">
        <w:t xml:space="preserve">The </w:t>
      </w:r>
      <w:r w:rsidR="008E78DC">
        <w:t>energy savings</w:t>
      </w:r>
      <w:r w:rsidRPr="006C3C1A">
        <w:t xml:space="preserve"> factor is calculated by</w:t>
      </w:r>
      <w:r w:rsidRPr="00E908BA">
        <w:rPr>
          <w:bCs/>
        </w:rPr>
        <w:t>—</w:t>
      </w:r>
    </w:p>
    <w:p w14:paraId="4D749BBE" w14:textId="4E6F87A9" w:rsidR="007562F0" w:rsidRPr="00E908BA" w:rsidRDefault="008E78DC" w:rsidP="00270F3A">
      <w:pPr>
        <w:pStyle w:val="Formula"/>
      </w:pPr>
      <w:r>
        <w:t>Energy savings</w:t>
      </w:r>
      <w:r w:rsidR="00270F3A">
        <w:t xml:space="preserve"> factor (</w:t>
      </w:r>
      <w:r w:rsidR="001E1E57">
        <w:t>MWh</w:t>
      </w:r>
      <w:r w:rsidR="00270F3A">
        <w:t>) = [(C</w:t>
      </w:r>
      <w:r w:rsidR="00270F3A" w:rsidRPr="00270F3A">
        <w:rPr>
          <w:vertAlign w:val="subscript"/>
        </w:rPr>
        <w:t>f</w:t>
      </w:r>
      <w:r w:rsidR="00270F3A">
        <w:t xml:space="preserve"> + C</w:t>
      </w:r>
      <w:r w:rsidR="00270F3A" w:rsidRPr="00270F3A">
        <w:rPr>
          <w:vertAlign w:val="subscript"/>
        </w:rPr>
        <w:t>v</w:t>
      </w:r>
      <w:r w:rsidR="00270F3A">
        <w:t xml:space="preserve"> x V</w:t>
      </w:r>
      <w:r w:rsidR="00270F3A" w:rsidRPr="00270F3A">
        <w:rPr>
          <w:vertAlign w:val="subscript"/>
        </w:rPr>
        <w:t>adj</w:t>
      </w:r>
      <w:r w:rsidR="00270F3A" w:rsidRPr="00270F3A">
        <w:rPr>
          <w:vertAlign w:val="superscript"/>
        </w:rPr>
        <w:t>0.67</w:t>
      </w:r>
      <w:r w:rsidR="00270F3A">
        <w:t>) x (1 – ERF)</w:t>
      </w:r>
      <w:r w:rsidR="00270F3A" w:rsidRPr="00270F3A">
        <w:rPr>
          <w:vertAlign w:val="superscript"/>
        </w:rPr>
        <w:t>(SRIbaseline – 1)</w:t>
      </w:r>
      <w:r w:rsidR="00270F3A">
        <w:t xml:space="preserve"> – CEC] x Usage x </w:t>
      </w:r>
      <w:r>
        <w:t>ESF</w:t>
      </w:r>
    </w:p>
    <w:p w14:paraId="0D87A204" w14:textId="77777777" w:rsidR="007562F0" w:rsidRPr="003B19BC" w:rsidRDefault="007562F0" w:rsidP="00E908BA">
      <w:pPr>
        <w:pStyle w:val="BodytextEEIS"/>
      </w:pPr>
      <w:r w:rsidRPr="003B19BC">
        <w:t>Where</w:t>
      </w:r>
      <w:r w:rsidRPr="003B19BC">
        <w:rPr>
          <w:bCs/>
        </w:rPr>
        <w:t>—</w:t>
      </w:r>
    </w:p>
    <w:p w14:paraId="275F2CB3" w14:textId="77777777" w:rsidR="007562F0" w:rsidRPr="003B19BC" w:rsidRDefault="007562F0" w:rsidP="00D633D3">
      <w:pPr>
        <w:pStyle w:val="Subdetailssecondindent"/>
        <w:numPr>
          <w:ilvl w:val="0"/>
          <w:numId w:val="132"/>
        </w:numPr>
      </w:pPr>
      <w:r w:rsidRPr="00E908BA">
        <w:rPr>
          <w:i/>
        </w:rPr>
        <w:t>C</w:t>
      </w:r>
      <w:r w:rsidRPr="00E908BA">
        <w:rPr>
          <w:vertAlign w:val="subscript"/>
        </w:rPr>
        <w:t>f</w:t>
      </w:r>
      <w:r w:rsidRPr="003B19BC">
        <w:t xml:space="preserve"> is the fixed factor for energy labelling for the relevant Group as set out in </w:t>
      </w:r>
      <w:r w:rsidR="00CB5456">
        <w:t>t</w:t>
      </w:r>
      <w:r w:rsidRPr="003B19BC">
        <w:t xml:space="preserve">able </w:t>
      </w:r>
      <w:r w:rsidR="00CB5456">
        <w:t>34;</w:t>
      </w:r>
    </w:p>
    <w:p w14:paraId="0942A02E" w14:textId="77777777" w:rsidR="007562F0" w:rsidRPr="003B19BC" w:rsidRDefault="007562F0" w:rsidP="00D633D3">
      <w:pPr>
        <w:pStyle w:val="Subdetailssecondindent"/>
        <w:numPr>
          <w:ilvl w:val="0"/>
          <w:numId w:val="132"/>
        </w:numPr>
      </w:pPr>
      <w:r w:rsidRPr="00E908BA">
        <w:rPr>
          <w:i/>
        </w:rPr>
        <w:t>C</w:t>
      </w:r>
      <w:r w:rsidRPr="00E908BA">
        <w:rPr>
          <w:vertAlign w:val="subscript"/>
        </w:rPr>
        <w:t>v</w:t>
      </w:r>
      <w:r w:rsidRPr="003B19BC">
        <w:t xml:space="preserve"> is the variable factor for energy labelling for the relevant Group as set out in </w:t>
      </w:r>
      <w:r w:rsidR="00CB5456">
        <w:t>t</w:t>
      </w:r>
      <w:r w:rsidRPr="003B19BC">
        <w:t xml:space="preserve">able </w:t>
      </w:r>
      <w:r w:rsidR="00CB5456">
        <w:t>34;</w:t>
      </w:r>
    </w:p>
    <w:p w14:paraId="5C07AD52" w14:textId="77777777" w:rsidR="007562F0" w:rsidRPr="003B19BC" w:rsidRDefault="007562F0" w:rsidP="00D633D3">
      <w:pPr>
        <w:pStyle w:val="Subdetailssecondindent"/>
        <w:numPr>
          <w:ilvl w:val="0"/>
          <w:numId w:val="132"/>
        </w:numPr>
      </w:pPr>
      <w:r w:rsidRPr="00E908BA">
        <w:rPr>
          <w:i/>
        </w:rPr>
        <w:t>V</w:t>
      </w:r>
      <w:r w:rsidRPr="00E908BA">
        <w:rPr>
          <w:vertAlign w:val="subscript"/>
        </w:rPr>
        <w:t>adj</w:t>
      </w:r>
      <w:r w:rsidRPr="003B19BC">
        <w:t xml:space="preserve"> is the total adjusted volume in litres as recorded on the GEMS register for the model;</w:t>
      </w:r>
    </w:p>
    <w:p w14:paraId="2D910DDD" w14:textId="77777777" w:rsidR="007562F0" w:rsidRPr="003B19BC" w:rsidRDefault="007562F0" w:rsidP="00D633D3">
      <w:pPr>
        <w:pStyle w:val="Subdetailssecondindent"/>
        <w:numPr>
          <w:ilvl w:val="0"/>
          <w:numId w:val="132"/>
        </w:numPr>
      </w:pPr>
      <w:r w:rsidRPr="00E908BA">
        <w:rPr>
          <w:i/>
        </w:rPr>
        <w:t>ERF</w:t>
      </w:r>
      <w:r w:rsidRPr="003B19BC">
        <w:t xml:space="preserve"> is the energy reduction factor, which is equal to 0.23 for all Groups</w:t>
      </w:r>
      <w:r w:rsidR="00CB5456">
        <w:t>;</w:t>
      </w:r>
    </w:p>
    <w:p w14:paraId="30CDA06B" w14:textId="77777777" w:rsidR="007562F0" w:rsidRPr="003B19BC" w:rsidRDefault="007562F0" w:rsidP="00D633D3">
      <w:pPr>
        <w:pStyle w:val="Subdetailssecondindent"/>
        <w:numPr>
          <w:ilvl w:val="0"/>
          <w:numId w:val="132"/>
        </w:numPr>
      </w:pPr>
      <w:r w:rsidRPr="00E908BA">
        <w:rPr>
          <w:i/>
        </w:rPr>
        <w:t>SRIbaseline</w:t>
      </w:r>
      <w:r w:rsidRPr="003B19BC">
        <w:t xml:space="preserve"> is the baseline star rating index for the relevant Group as set out in </w:t>
      </w:r>
      <w:r w:rsidR="00CB5456">
        <w:t>t</w:t>
      </w:r>
      <w:r w:rsidRPr="003B19BC">
        <w:t xml:space="preserve">able </w:t>
      </w:r>
      <w:r w:rsidR="00CB5456">
        <w:t>34</w:t>
      </w:r>
    </w:p>
    <w:p w14:paraId="5B8FE723" w14:textId="77777777" w:rsidR="007562F0" w:rsidRPr="003B19BC" w:rsidRDefault="007562F0" w:rsidP="00D633D3">
      <w:pPr>
        <w:pStyle w:val="Subdetailssecondindent"/>
        <w:numPr>
          <w:ilvl w:val="0"/>
          <w:numId w:val="132"/>
        </w:numPr>
      </w:pPr>
      <w:r w:rsidRPr="00E908BA">
        <w:rPr>
          <w:i/>
        </w:rPr>
        <w:t>CEC</w:t>
      </w:r>
      <w:r w:rsidRPr="003B19BC">
        <w:t xml:space="preserve"> is the comparative energy consumption specified on energy rating label as defined by AS/NZS 4474 and as recorded in the GEMS register for the model;</w:t>
      </w:r>
    </w:p>
    <w:p w14:paraId="3AA30162" w14:textId="77777777" w:rsidR="007562F0" w:rsidRPr="003B19BC" w:rsidRDefault="007562F0" w:rsidP="00D633D3">
      <w:pPr>
        <w:pStyle w:val="Subdetailssecondindent"/>
        <w:numPr>
          <w:ilvl w:val="0"/>
          <w:numId w:val="132"/>
        </w:numPr>
      </w:pPr>
      <w:r w:rsidRPr="00E908BA">
        <w:rPr>
          <w:i/>
        </w:rPr>
        <w:t>Usage</w:t>
      </w:r>
      <w:r w:rsidRPr="003B19BC">
        <w:t xml:space="preserve"> is the usage factor for the relevant Group as set out in </w:t>
      </w:r>
      <w:r w:rsidR="00CB5456">
        <w:t>t</w:t>
      </w:r>
      <w:r w:rsidRPr="003B19BC">
        <w:t xml:space="preserve">able </w:t>
      </w:r>
      <w:r w:rsidR="00CB5456">
        <w:t>34</w:t>
      </w:r>
      <w:r w:rsidRPr="003B19BC">
        <w:t>; and</w:t>
      </w:r>
    </w:p>
    <w:p w14:paraId="1A78D403" w14:textId="467C9760" w:rsidR="007562F0" w:rsidRPr="003B19BC" w:rsidRDefault="008E78DC" w:rsidP="00D633D3">
      <w:pPr>
        <w:pStyle w:val="Subdetailssecondindent"/>
        <w:numPr>
          <w:ilvl w:val="0"/>
          <w:numId w:val="132"/>
        </w:numPr>
      </w:pPr>
      <w:r>
        <w:rPr>
          <w:i/>
        </w:rPr>
        <w:t>ESF</w:t>
      </w:r>
      <w:r w:rsidR="007562F0" w:rsidRPr="003B19BC">
        <w:t xml:space="preserve"> is the </w:t>
      </w:r>
      <w:r w:rsidR="00DC534A">
        <w:t>energy savings</w:t>
      </w:r>
      <w:r w:rsidR="007562F0" w:rsidRPr="003B19BC">
        <w:t xml:space="preserve"> factor for electricity and the specific lifetime for the relevant Group as set out in </w:t>
      </w:r>
      <w:r w:rsidR="00CB5456">
        <w:t>t</w:t>
      </w:r>
      <w:r w:rsidR="007562F0" w:rsidRPr="003B19BC">
        <w:t xml:space="preserve">able </w:t>
      </w:r>
      <w:r w:rsidR="00CB5456">
        <w:t>34</w:t>
      </w:r>
      <w:r w:rsidR="007562F0" w:rsidRPr="003B19BC">
        <w:t>.</w:t>
      </w:r>
    </w:p>
    <w:p w14:paraId="286A2E8A" w14:textId="34C81F6F" w:rsidR="007562F0" w:rsidRPr="00E908BA" w:rsidRDefault="007562F0" w:rsidP="00E908BA">
      <w:pPr>
        <w:pStyle w:val="Caption"/>
      </w:pPr>
      <w:bookmarkStart w:id="337" w:name="_Toc21868139"/>
      <w:bookmarkStart w:id="338" w:name="_Toc21868271"/>
      <w:bookmarkStart w:id="339" w:name="_Toc37945718"/>
      <w:r w:rsidRPr="00E908BA">
        <w:t xml:space="preserve">Table </w:t>
      </w:r>
      <w:r w:rsidR="004A0156">
        <w:rPr>
          <w:noProof/>
        </w:rPr>
        <w:fldChar w:fldCharType="begin"/>
      </w:r>
      <w:r w:rsidR="004A0156">
        <w:rPr>
          <w:noProof/>
        </w:rPr>
        <w:instrText xml:space="preserve"> SEQ Table \* ARABIC </w:instrText>
      </w:r>
      <w:r w:rsidR="004A0156">
        <w:rPr>
          <w:noProof/>
        </w:rPr>
        <w:fldChar w:fldCharType="separate"/>
      </w:r>
      <w:r w:rsidR="00880CB1">
        <w:rPr>
          <w:noProof/>
        </w:rPr>
        <w:t>34</w:t>
      </w:r>
      <w:r w:rsidR="004A0156">
        <w:rPr>
          <w:noProof/>
        </w:rPr>
        <w:fldChar w:fldCharType="end"/>
      </w:r>
      <w:r w:rsidRPr="00E908BA">
        <w:t xml:space="preserve"> </w:t>
      </w:r>
      <w:r w:rsidR="009E6E7F">
        <w:tab/>
      </w:r>
      <w:r w:rsidR="00270F3A">
        <w:t xml:space="preserve">Activity </w:t>
      </w:r>
      <w:r w:rsidR="00D85CB2">
        <w:t xml:space="preserve">ID </w:t>
      </w:r>
      <w:r w:rsidR="00270F3A">
        <w:t>5.2 f</w:t>
      </w:r>
      <w:r w:rsidRPr="00E908BA">
        <w:t xml:space="preserve">actors used to calculate </w:t>
      </w:r>
      <w:r w:rsidR="008E78DC">
        <w:t>energy savings</w:t>
      </w:r>
      <w:r w:rsidRPr="00E908BA">
        <w:t xml:space="preserve"> factors for refrigerators and freezers</w:t>
      </w:r>
      <w:bookmarkEnd w:id="337"/>
      <w:bookmarkEnd w:id="338"/>
      <w:bookmarkEnd w:id="339"/>
    </w:p>
    <w:tbl>
      <w:tblPr>
        <w:tblW w:w="104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85"/>
        <w:gridCol w:w="926"/>
        <w:gridCol w:w="905"/>
        <w:gridCol w:w="906"/>
        <w:gridCol w:w="905"/>
        <w:gridCol w:w="906"/>
        <w:gridCol w:w="696"/>
        <w:gridCol w:w="993"/>
        <w:gridCol w:w="850"/>
        <w:gridCol w:w="1083"/>
      </w:tblGrid>
      <w:tr w:rsidR="007562F0" w:rsidRPr="00CB5456" w14:paraId="3983E6D3" w14:textId="77777777" w:rsidTr="002E525E">
        <w:trPr>
          <w:trHeight w:val="300"/>
          <w:tblHeader/>
        </w:trPr>
        <w:tc>
          <w:tcPr>
            <w:tcW w:w="1384" w:type="dxa"/>
            <w:tcBorders>
              <w:top w:val="single" w:sz="4" w:space="0" w:color="auto"/>
              <w:left w:val="single" w:sz="4" w:space="0" w:color="auto"/>
              <w:bottom w:val="single" w:sz="4" w:space="0" w:color="auto"/>
              <w:right w:val="single" w:sz="4" w:space="0" w:color="auto"/>
            </w:tcBorders>
          </w:tcPr>
          <w:p w14:paraId="0C88277F" w14:textId="77777777" w:rsidR="007562F0" w:rsidRPr="00CB5456" w:rsidRDefault="00F56244" w:rsidP="002E525E">
            <w:pPr>
              <w:pStyle w:val="Tableheader"/>
              <w:jc w:val="center"/>
            </w:pPr>
            <w:r>
              <w:t>Activity ID and</w:t>
            </w:r>
            <w:r w:rsidRPr="00CB5456">
              <w:t xml:space="preserve"> </w:t>
            </w:r>
            <w:r w:rsidR="007562F0" w:rsidRPr="00CB5456">
              <w:t>Sub-Activities</w:t>
            </w:r>
          </w:p>
        </w:tc>
        <w:tc>
          <w:tcPr>
            <w:tcW w:w="885" w:type="dxa"/>
            <w:tcBorders>
              <w:top w:val="single" w:sz="4" w:space="0" w:color="auto"/>
              <w:left w:val="single" w:sz="4" w:space="0" w:color="auto"/>
              <w:bottom w:val="single" w:sz="4" w:space="0" w:color="auto"/>
              <w:right w:val="single" w:sz="4" w:space="0" w:color="auto"/>
            </w:tcBorders>
            <w:noWrap/>
            <w:hideMark/>
          </w:tcPr>
          <w:p w14:paraId="5E5FF1ED" w14:textId="77777777" w:rsidR="007562F0" w:rsidRPr="00CB5456" w:rsidRDefault="007562F0" w:rsidP="002E525E">
            <w:pPr>
              <w:pStyle w:val="Tableheader"/>
              <w:jc w:val="center"/>
            </w:pPr>
            <w:r w:rsidRPr="00CB5456">
              <w:t>Group</w:t>
            </w:r>
          </w:p>
        </w:tc>
        <w:tc>
          <w:tcPr>
            <w:tcW w:w="926" w:type="dxa"/>
            <w:tcBorders>
              <w:top w:val="single" w:sz="4" w:space="0" w:color="auto"/>
              <w:left w:val="single" w:sz="4" w:space="0" w:color="auto"/>
              <w:bottom w:val="single" w:sz="4" w:space="0" w:color="auto"/>
              <w:right w:val="single" w:sz="4" w:space="0" w:color="auto"/>
            </w:tcBorders>
            <w:hideMark/>
          </w:tcPr>
          <w:p w14:paraId="21D0F32E" w14:textId="77777777" w:rsidR="007562F0" w:rsidRPr="00CB5456" w:rsidRDefault="007562F0" w:rsidP="002E525E">
            <w:pPr>
              <w:pStyle w:val="Tableheader"/>
              <w:jc w:val="center"/>
            </w:pPr>
            <w:r w:rsidRPr="00CB5456">
              <w:t>Min Star Rating</w:t>
            </w:r>
          </w:p>
        </w:tc>
        <w:tc>
          <w:tcPr>
            <w:tcW w:w="905" w:type="dxa"/>
            <w:tcBorders>
              <w:top w:val="single" w:sz="4" w:space="0" w:color="auto"/>
              <w:left w:val="single" w:sz="4" w:space="0" w:color="auto"/>
              <w:bottom w:val="single" w:sz="4" w:space="0" w:color="auto"/>
              <w:right w:val="single" w:sz="4" w:space="0" w:color="auto"/>
            </w:tcBorders>
            <w:hideMark/>
          </w:tcPr>
          <w:p w14:paraId="680DFCA2" w14:textId="77777777" w:rsidR="007562F0" w:rsidRPr="00CB5456" w:rsidRDefault="007562F0" w:rsidP="002E525E">
            <w:pPr>
              <w:pStyle w:val="Tableheader"/>
              <w:jc w:val="center"/>
            </w:pPr>
            <w:r w:rsidRPr="00CB5456">
              <w:t>Min size litres</w:t>
            </w:r>
          </w:p>
        </w:tc>
        <w:tc>
          <w:tcPr>
            <w:tcW w:w="906" w:type="dxa"/>
            <w:tcBorders>
              <w:top w:val="single" w:sz="4" w:space="0" w:color="auto"/>
              <w:left w:val="single" w:sz="4" w:space="0" w:color="auto"/>
              <w:bottom w:val="single" w:sz="4" w:space="0" w:color="auto"/>
              <w:right w:val="single" w:sz="4" w:space="0" w:color="auto"/>
            </w:tcBorders>
            <w:hideMark/>
          </w:tcPr>
          <w:p w14:paraId="7BA1B348" w14:textId="77777777" w:rsidR="007562F0" w:rsidRPr="00CB5456" w:rsidRDefault="007562F0" w:rsidP="002E525E">
            <w:pPr>
              <w:pStyle w:val="Tableheader"/>
              <w:jc w:val="center"/>
            </w:pPr>
            <w:r w:rsidRPr="00CB5456">
              <w:t>Max size litres</w:t>
            </w:r>
          </w:p>
        </w:tc>
        <w:tc>
          <w:tcPr>
            <w:tcW w:w="905" w:type="dxa"/>
            <w:tcBorders>
              <w:top w:val="single" w:sz="4" w:space="0" w:color="auto"/>
              <w:left w:val="single" w:sz="4" w:space="0" w:color="auto"/>
              <w:bottom w:val="single" w:sz="4" w:space="0" w:color="auto"/>
              <w:right w:val="single" w:sz="4" w:space="0" w:color="auto"/>
            </w:tcBorders>
            <w:noWrap/>
            <w:hideMark/>
          </w:tcPr>
          <w:p w14:paraId="0567C899" w14:textId="77777777" w:rsidR="00BE656D" w:rsidRPr="00CB5456" w:rsidRDefault="007562F0" w:rsidP="002E525E">
            <w:pPr>
              <w:pStyle w:val="Tableheader"/>
              <w:jc w:val="center"/>
            </w:pPr>
            <w:r w:rsidRPr="00CB5456">
              <w:t>Labelling</w:t>
            </w:r>
          </w:p>
          <w:p w14:paraId="7987375F" w14:textId="77777777" w:rsidR="007562F0" w:rsidRPr="00CB5456" w:rsidRDefault="007562F0" w:rsidP="002E525E">
            <w:pPr>
              <w:pStyle w:val="Tableheader"/>
              <w:jc w:val="center"/>
            </w:pPr>
            <w:r w:rsidRPr="00CB5456">
              <w:t>C</w:t>
            </w:r>
            <w:r w:rsidRPr="002E525E">
              <w:rPr>
                <w:vertAlign w:val="subscript"/>
              </w:rPr>
              <w:t xml:space="preserve">f </w:t>
            </w:r>
            <w:r w:rsidRPr="00CB5456">
              <w:t xml:space="preserve"> kWh/y</w:t>
            </w:r>
          </w:p>
        </w:tc>
        <w:tc>
          <w:tcPr>
            <w:tcW w:w="906" w:type="dxa"/>
            <w:tcBorders>
              <w:top w:val="single" w:sz="4" w:space="0" w:color="auto"/>
              <w:left w:val="single" w:sz="4" w:space="0" w:color="auto"/>
              <w:bottom w:val="single" w:sz="4" w:space="0" w:color="auto"/>
              <w:right w:val="single" w:sz="4" w:space="0" w:color="auto"/>
            </w:tcBorders>
            <w:noWrap/>
            <w:hideMark/>
          </w:tcPr>
          <w:p w14:paraId="536434A4" w14:textId="77777777" w:rsidR="00BE656D" w:rsidRPr="00CB5456" w:rsidRDefault="007562F0" w:rsidP="002E525E">
            <w:pPr>
              <w:pStyle w:val="Tableheader"/>
              <w:jc w:val="center"/>
            </w:pPr>
            <w:r w:rsidRPr="00CB5456">
              <w:t>Labelling</w:t>
            </w:r>
          </w:p>
          <w:p w14:paraId="46445E9B" w14:textId="77777777" w:rsidR="00BE656D" w:rsidRPr="00CB5456" w:rsidRDefault="007562F0" w:rsidP="002E525E">
            <w:pPr>
              <w:pStyle w:val="Tableheader"/>
              <w:jc w:val="center"/>
            </w:pPr>
            <w:r w:rsidRPr="00CB5456">
              <w:t>C</w:t>
            </w:r>
            <w:r w:rsidRPr="002E525E">
              <w:rPr>
                <w:vertAlign w:val="subscript"/>
              </w:rPr>
              <w:t>v</w:t>
            </w:r>
          </w:p>
          <w:p w14:paraId="47EE30C8" w14:textId="77777777" w:rsidR="007562F0" w:rsidRPr="00CB5456" w:rsidRDefault="007562F0" w:rsidP="002E525E">
            <w:pPr>
              <w:pStyle w:val="Tableheader"/>
              <w:jc w:val="center"/>
            </w:pPr>
            <w:r w:rsidRPr="00CB5456">
              <w:t>kWh/y/L</w:t>
            </w:r>
          </w:p>
        </w:tc>
        <w:tc>
          <w:tcPr>
            <w:tcW w:w="696" w:type="dxa"/>
            <w:tcBorders>
              <w:top w:val="single" w:sz="4" w:space="0" w:color="auto"/>
              <w:left w:val="single" w:sz="4" w:space="0" w:color="auto"/>
              <w:bottom w:val="single" w:sz="4" w:space="0" w:color="auto"/>
              <w:right w:val="single" w:sz="4" w:space="0" w:color="auto"/>
            </w:tcBorders>
            <w:noWrap/>
            <w:hideMark/>
          </w:tcPr>
          <w:p w14:paraId="17D245A5" w14:textId="77777777" w:rsidR="007562F0" w:rsidRPr="002E525E" w:rsidRDefault="007562F0" w:rsidP="002E525E">
            <w:pPr>
              <w:pStyle w:val="Tableheader"/>
              <w:jc w:val="center"/>
              <w:rPr>
                <w:i/>
                <w:iCs/>
              </w:rPr>
            </w:pPr>
            <w:r w:rsidRPr="002E525E">
              <w:rPr>
                <w:i/>
                <w:iCs/>
              </w:rPr>
              <w:t>ERF</w:t>
            </w:r>
          </w:p>
        </w:tc>
        <w:tc>
          <w:tcPr>
            <w:tcW w:w="993" w:type="dxa"/>
            <w:tcBorders>
              <w:top w:val="single" w:sz="4" w:space="0" w:color="auto"/>
              <w:left w:val="single" w:sz="4" w:space="0" w:color="auto"/>
              <w:bottom w:val="single" w:sz="4" w:space="0" w:color="auto"/>
              <w:right w:val="single" w:sz="4" w:space="0" w:color="auto"/>
            </w:tcBorders>
            <w:noWrap/>
            <w:hideMark/>
          </w:tcPr>
          <w:p w14:paraId="78C68E60" w14:textId="77777777" w:rsidR="007562F0" w:rsidRPr="00CB5456" w:rsidRDefault="007562F0" w:rsidP="002E525E">
            <w:pPr>
              <w:pStyle w:val="Tableheader"/>
              <w:jc w:val="center"/>
            </w:pPr>
            <w:r w:rsidRPr="00CB5456">
              <w:t>SRI</w:t>
            </w:r>
            <w:r w:rsidRPr="002E525E">
              <w:rPr>
                <w:vertAlign w:val="subscript"/>
              </w:rPr>
              <w:t>baseline</w:t>
            </w:r>
          </w:p>
        </w:tc>
        <w:tc>
          <w:tcPr>
            <w:tcW w:w="850" w:type="dxa"/>
            <w:tcBorders>
              <w:top w:val="single" w:sz="4" w:space="0" w:color="auto"/>
              <w:left w:val="single" w:sz="4" w:space="0" w:color="auto"/>
              <w:bottom w:val="single" w:sz="4" w:space="0" w:color="auto"/>
              <w:right w:val="single" w:sz="4" w:space="0" w:color="auto"/>
            </w:tcBorders>
            <w:hideMark/>
          </w:tcPr>
          <w:p w14:paraId="7450E4FE" w14:textId="77777777" w:rsidR="007562F0" w:rsidRPr="002E525E" w:rsidRDefault="007562F0" w:rsidP="002E525E">
            <w:pPr>
              <w:pStyle w:val="Tableheader"/>
              <w:jc w:val="center"/>
              <w:rPr>
                <w:i/>
                <w:iCs/>
              </w:rPr>
            </w:pPr>
            <w:r w:rsidRPr="002E525E">
              <w:rPr>
                <w:i/>
                <w:iCs/>
              </w:rPr>
              <w:t>Usage</w:t>
            </w:r>
          </w:p>
        </w:tc>
        <w:tc>
          <w:tcPr>
            <w:tcW w:w="1083" w:type="dxa"/>
            <w:tcBorders>
              <w:top w:val="single" w:sz="4" w:space="0" w:color="auto"/>
              <w:left w:val="single" w:sz="4" w:space="0" w:color="auto"/>
              <w:bottom w:val="single" w:sz="4" w:space="0" w:color="auto"/>
              <w:right w:val="single" w:sz="4" w:space="0" w:color="auto"/>
            </w:tcBorders>
            <w:noWrap/>
            <w:hideMark/>
          </w:tcPr>
          <w:p w14:paraId="5E6DE8AC" w14:textId="628B38C9" w:rsidR="007562F0" w:rsidRPr="002E525E" w:rsidRDefault="008E78DC" w:rsidP="002E525E">
            <w:pPr>
              <w:pStyle w:val="Tableheader"/>
              <w:jc w:val="center"/>
              <w:rPr>
                <w:i/>
                <w:iCs/>
              </w:rPr>
            </w:pPr>
            <w:r>
              <w:rPr>
                <w:i/>
                <w:iCs/>
              </w:rPr>
              <w:t>ESF</w:t>
            </w:r>
          </w:p>
        </w:tc>
      </w:tr>
      <w:tr w:rsidR="007562F0" w14:paraId="7D14F57E" w14:textId="77777777" w:rsidTr="002E525E">
        <w:trPr>
          <w:trHeight w:val="300"/>
        </w:trPr>
        <w:tc>
          <w:tcPr>
            <w:tcW w:w="1384" w:type="dxa"/>
            <w:tcBorders>
              <w:top w:val="single" w:sz="4" w:space="0" w:color="auto"/>
              <w:left w:val="single" w:sz="4" w:space="0" w:color="auto"/>
              <w:bottom w:val="single" w:sz="4" w:space="0" w:color="auto"/>
              <w:right w:val="single" w:sz="4" w:space="0" w:color="auto"/>
            </w:tcBorders>
          </w:tcPr>
          <w:p w14:paraId="143B0C6A" w14:textId="77777777" w:rsidR="007562F0" w:rsidRPr="00CB5456" w:rsidRDefault="007562F0" w:rsidP="00CB5456">
            <w:pPr>
              <w:pStyle w:val="Tabletext"/>
            </w:pPr>
            <w:r w:rsidRPr="00CB5456">
              <w:t>5.2(a) single door refrigerator</w:t>
            </w:r>
          </w:p>
        </w:tc>
        <w:tc>
          <w:tcPr>
            <w:tcW w:w="885" w:type="dxa"/>
            <w:tcBorders>
              <w:top w:val="single" w:sz="4" w:space="0" w:color="auto"/>
              <w:left w:val="single" w:sz="4" w:space="0" w:color="auto"/>
              <w:bottom w:val="single" w:sz="4" w:space="0" w:color="auto"/>
              <w:right w:val="single" w:sz="4" w:space="0" w:color="auto"/>
            </w:tcBorders>
            <w:noWrap/>
            <w:vAlign w:val="bottom"/>
            <w:hideMark/>
          </w:tcPr>
          <w:p w14:paraId="3857F73B" w14:textId="77777777" w:rsidR="007562F0" w:rsidRPr="00CB5456" w:rsidRDefault="007562F0" w:rsidP="002E525E">
            <w:pPr>
              <w:pStyle w:val="Tabletext"/>
              <w:jc w:val="center"/>
            </w:pPr>
            <w:r w:rsidRPr="00CB5456">
              <w:t>1</w:t>
            </w:r>
          </w:p>
        </w:tc>
        <w:tc>
          <w:tcPr>
            <w:tcW w:w="926" w:type="dxa"/>
            <w:tcBorders>
              <w:top w:val="single" w:sz="4" w:space="0" w:color="auto"/>
              <w:left w:val="single" w:sz="4" w:space="0" w:color="auto"/>
              <w:bottom w:val="single" w:sz="4" w:space="0" w:color="auto"/>
              <w:right w:val="single" w:sz="4" w:space="0" w:color="auto"/>
            </w:tcBorders>
            <w:vAlign w:val="bottom"/>
            <w:hideMark/>
          </w:tcPr>
          <w:p w14:paraId="21B4592B" w14:textId="77777777" w:rsidR="007562F0" w:rsidRPr="00CB5456" w:rsidRDefault="007562F0" w:rsidP="002E525E">
            <w:pPr>
              <w:pStyle w:val="Tabletext"/>
              <w:jc w:val="center"/>
            </w:pPr>
            <w:r w:rsidRPr="00CB5456">
              <w:t>2.5</w:t>
            </w:r>
          </w:p>
        </w:tc>
        <w:tc>
          <w:tcPr>
            <w:tcW w:w="905" w:type="dxa"/>
            <w:tcBorders>
              <w:top w:val="single" w:sz="4" w:space="0" w:color="auto"/>
              <w:left w:val="single" w:sz="4" w:space="0" w:color="auto"/>
              <w:bottom w:val="single" w:sz="4" w:space="0" w:color="auto"/>
              <w:right w:val="single" w:sz="4" w:space="0" w:color="auto"/>
            </w:tcBorders>
            <w:vAlign w:val="bottom"/>
            <w:hideMark/>
          </w:tcPr>
          <w:p w14:paraId="1ECD8C15" w14:textId="77777777" w:rsidR="007562F0" w:rsidRPr="00CB5456" w:rsidRDefault="007562F0" w:rsidP="002E525E">
            <w:pPr>
              <w:pStyle w:val="Tabletext"/>
              <w:jc w:val="center"/>
            </w:pPr>
            <w:r w:rsidRPr="00CB5456">
              <w:t>100</w:t>
            </w:r>
          </w:p>
        </w:tc>
        <w:tc>
          <w:tcPr>
            <w:tcW w:w="906" w:type="dxa"/>
            <w:tcBorders>
              <w:top w:val="single" w:sz="4" w:space="0" w:color="auto"/>
              <w:left w:val="single" w:sz="4" w:space="0" w:color="auto"/>
              <w:bottom w:val="single" w:sz="4" w:space="0" w:color="auto"/>
              <w:right w:val="single" w:sz="4" w:space="0" w:color="auto"/>
            </w:tcBorders>
            <w:vAlign w:val="bottom"/>
            <w:hideMark/>
          </w:tcPr>
          <w:p w14:paraId="4E83C3B7" w14:textId="77777777" w:rsidR="007562F0" w:rsidRPr="00CB5456" w:rsidRDefault="007562F0" w:rsidP="002E525E">
            <w:pPr>
              <w:pStyle w:val="Tabletext"/>
              <w:jc w:val="center"/>
            </w:pPr>
            <w:r w:rsidRPr="00CB5456">
              <w:t>700</w:t>
            </w:r>
          </w:p>
        </w:tc>
        <w:tc>
          <w:tcPr>
            <w:tcW w:w="905" w:type="dxa"/>
            <w:tcBorders>
              <w:top w:val="single" w:sz="4" w:space="0" w:color="auto"/>
              <w:left w:val="single" w:sz="4" w:space="0" w:color="auto"/>
              <w:bottom w:val="single" w:sz="4" w:space="0" w:color="auto"/>
              <w:right w:val="single" w:sz="4" w:space="0" w:color="auto"/>
            </w:tcBorders>
            <w:noWrap/>
            <w:vAlign w:val="bottom"/>
            <w:hideMark/>
          </w:tcPr>
          <w:p w14:paraId="2FF82543" w14:textId="77777777" w:rsidR="007562F0" w:rsidRPr="00CB5456" w:rsidRDefault="007562F0" w:rsidP="002E525E">
            <w:pPr>
              <w:pStyle w:val="Tabletext"/>
              <w:jc w:val="center"/>
            </w:pPr>
            <w:r w:rsidRPr="00CB5456">
              <w:t>200</w:t>
            </w:r>
          </w:p>
        </w:tc>
        <w:tc>
          <w:tcPr>
            <w:tcW w:w="906" w:type="dxa"/>
            <w:tcBorders>
              <w:top w:val="single" w:sz="4" w:space="0" w:color="auto"/>
              <w:left w:val="single" w:sz="4" w:space="0" w:color="auto"/>
              <w:bottom w:val="single" w:sz="4" w:space="0" w:color="auto"/>
              <w:right w:val="single" w:sz="4" w:space="0" w:color="auto"/>
            </w:tcBorders>
            <w:noWrap/>
            <w:vAlign w:val="bottom"/>
            <w:hideMark/>
          </w:tcPr>
          <w:p w14:paraId="5DBA56C0" w14:textId="77777777" w:rsidR="007562F0" w:rsidRPr="00CB5456" w:rsidRDefault="007562F0" w:rsidP="002E525E">
            <w:pPr>
              <w:pStyle w:val="Tabletext"/>
              <w:jc w:val="center"/>
            </w:pPr>
            <w:r w:rsidRPr="00CB5456">
              <w:t>4</w:t>
            </w:r>
          </w:p>
        </w:tc>
        <w:tc>
          <w:tcPr>
            <w:tcW w:w="696" w:type="dxa"/>
            <w:tcBorders>
              <w:top w:val="single" w:sz="4" w:space="0" w:color="auto"/>
              <w:left w:val="single" w:sz="4" w:space="0" w:color="auto"/>
              <w:bottom w:val="single" w:sz="4" w:space="0" w:color="auto"/>
              <w:right w:val="single" w:sz="4" w:space="0" w:color="auto"/>
            </w:tcBorders>
            <w:noWrap/>
            <w:vAlign w:val="bottom"/>
            <w:hideMark/>
          </w:tcPr>
          <w:p w14:paraId="509EF4AB" w14:textId="77777777" w:rsidR="007562F0" w:rsidRPr="00CB5456" w:rsidRDefault="007562F0" w:rsidP="002E525E">
            <w:pPr>
              <w:pStyle w:val="Tabletext"/>
              <w:jc w:val="center"/>
            </w:pPr>
            <w:r w:rsidRPr="00CB5456">
              <w:t>0.23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D1D13B1" w14:textId="77777777" w:rsidR="007562F0" w:rsidRPr="00CB5456" w:rsidRDefault="007562F0" w:rsidP="002E525E">
            <w:pPr>
              <w:pStyle w:val="Tabletext"/>
              <w:jc w:val="center"/>
            </w:pPr>
            <w:r w:rsidRPr="00CB5456">
              <w:t>2.25</w:t>
            </w:r>
          </w:p>
        </w:tc>
        <w:tc>
          <w:tcPr>
            <w:tcW w:w="850" w:type="dxa"/>
            <w:tcBorders>
              <w:top w:val="single" w:sz="4" w:space="0" w:color="auto"/>
              <w:left w:val="single" w:sz="4" w:space="0" w:color="auto"/>
              <w:bottom w:val="single" w:sz="4" w:space="0" w:color="auto"/>
              <w:right w:val="single" w:sz="4" w:space="0" w:color="auto"/>
            </w:tcBorders>
            <w:vAlign w:val="bottom"/>
            <w:hideMark/>
          </w:tcPr>
          <w:p w14:paraId="5F8969C1" w14:textId="77777777" w:rsidR="007562F0" w:rsidRPr="00CB5456" w:rsidRDefault="007562F0" w:rsidP="002E525E">
            <w:pPr>
              <w:pStyle w:val="Tabletext"/>
              <w:jc w:val="center"/>
            </w:pPr>
            <w:r w:rsidRPr="00CB5456">
              <w:t>0.85</w:t>
            </w:r>
          </w:p>
        </w:tc>
        <w:tc>
          <w:tcPr>
            <w:tcW w:w="1083" w:type="dxa"/>
            <w:tcBorders>
              <w:top w:val="single" w:sz="4" w:space="0" w:color="auto"/>
              <w:left w:val="single" w:sz="4" w:space="0" w:color="auto"/>
              <w:bottom w:val="single" w:sz="4" w:space="0" w:color="auto"/>
              <w:right w:val="single" w:sz="4" w:space="0" w:color="auto"/>
            </w:tcBorders>
            <w:noWrap/>
            <w:vAlign w:val="bottom"/>
            <w:hideMark/>
          </w:tcPr>
          <w:p w14:paraId="35AB0614" w14:textId="120E5907" w:rsidR="007562F0" w:rsidRPr="00CB5456" w:rsidRDefault="007562F0" w:rsidP="002E525E">
            <w:pPr>
              <w:pStyle w:val="Tabletext"/>
              <w:jc w:val="center"/>
            </w:pPr>
            <w:r w:rsidRPr="00CB5456">
              <w:t>0.0</w:t>
            </w:r>
            <w:r w:rsidR="00DC534A">
              <w:t>17</w:t>
            </w:r>
          </w:p>
        </w:tc>
      </w:tr>
      <w:tr w:rsidR="007562F0" w14:paraId="0E0F6CFE" w14:textId="77777777" w:rsidTr="002E525E">
        <w:trPr>
          <w:trHeight w:val="300"/>
        </w:trPr>
        <w:tc>
          <w:tcPr>
            <w:tcW w:w="1384" w:type="dxa"/>
            <w:tcBorders>
              <w:top w:val="single" w:sz="4" w:space="0" w:color="auto"/>
              <w:left w:val="single" w:sz="4" w:space="0" w:color="auto"/>
              <w:bottom w:val="single" w:sz="4" w:space="0" w:color="auto"/>
              <w:right w:val="single" w:sz="4" w:space="0" w:color="auto"/>
            </w:tcBorders>
          </w:tcPr>
          <w:p w14:paraId="281AE6E0" w14:textId="77777777" w:rsidR="007562F0" w:rsidRPr="00CB5456" w:rsidRDefault="007562F0" w:rsidP="00CB5456">
            <w:pPr>
              <w:pStyle w:val="Tabletext"/>
            </w:pPr>
            <w:r w:rsidRPr="00CB5456">
              <w:t xml:space="preserve">5.2(a) single door refrigerator manual </w:t>
            </w:r>
            <w:r w:rsidRPr="00CB5456">
              <w:lastRenderedPageBreak/>
              <w:t>defrost</w:t>
            </w:r>
          </w:p>
        </w:tc>
        <w:tc>
          <w:tcPr>
            <w:tcW w:w="885" w:type="dxa"/>
            <w:tcBorders>
              <w:top w:val="single" w:sz="4" w:space="0" w:color="auto"/>
              <w:left w:val="single" w:sz="4" w:space="0" w:color="auto"/>
              <w:bottom w:val="single" w:sz="4" w:space="0" w:color="auto"/>
              <w:right w:val="single" w:sz="4" w:space="0" w:color="auto"/>
            </w:tcBorders>
            <w:noWrap/>
            <w:vAlign w:val="bottom"/>
            <w:hideMark/>
          </w:tcPr>
          <w:p w14:paraId="2B17DBD8" w14:textId="77777777" w:rsidR="007562F0" w:rsidRPr="00CB5456" w:rsidRDefault="007562F0" w:rsidP="002E525E">
            <w:pPr>
              <w:pStyle w:val="Tabletext"/>
              <w:jc w:val="center"/>
            </w:pPr>
            <w:r w:rsidRPr="00CB5456">
              <w:lastRenderedPageBreak/>
              <w:t>2</w:t>
            </w:r>
          </w:p>
        </w:tc>
        <w:tc>
          <w:tcPr>
            <w:tcW w:w="926" w:type="dxa"/>
            <w:tcBorders>
              <w:top w:val="single" w:sz="4" w:space="0" w:color="auto"/>
              <w:left w:val="single" w:sz="4" w:space="0" w:color="auto"/>
              <w:bottom w:val="single" w:sz="4" w:space="0" w:color="auto"/>
              <w:right w:val="single" w:sz="4" w:space="0" w:color="auto"/>
            </w:tcBorders>
            <w:vAlign w:val="bottom"/>
            <w:hideMark/>
          </w:tcPr>
          <w:p w14:paraId="4D59B759" w14:textId="77777777" w:rsidR="007562F0" w:rsidRPr="00CB5456" w:rsidRDefault="007562F0" w:rsidP="002E525E">
            <w:pPr>
              <w:pStyle w:val="Tabletext"/>
              <w:jc w:val="center"/>
            </w:pPr>
            <w:r w:rsidRPr="00CB5456">
              <w:t>N/A</w:t>
            </w:r>
          </w:p>
        </w:tc>
        <w:tc>
          <w:tcPr>
            <w:tcW w:w="905" w:type="dxa"/>
            <w:tcBorders>
              <w:top w:val="single" w:sz="4" w:space="0" w:color="auto"/>
              <w:left w:val="single" w:sz="4" w:space="0" w:color="auto"/>
              <w:bottom w:val="single" w:sz="4" w:space="0" w:color="auto"/>
              <w:right w:val="single" w:sz="4" w:space="0" w:color="auto"/>
            </w:tcBorders>
            <w:vAlign w:val="bottom"/>
            <w:hideMark/>
          </w:tcPr>
          <w:p w14:paraId="05DBAEEC" w14:textId="77777777" w:rsidR="007562F0" w:rsidRPr="00CB5456" w:rsidRDefault="007562F0" w:rsidP="002E525E">
            <w:pPr>
              <w:pStyle w:val="Tabletext"/>
              <w:jc w:val="center"/>
            </w:pPr>
            <w:r w:rsidRPr="00CB5456">
              <w:t>N/A</w:t>
            </w:r>
          </w:p>
        </w:tc>
        <w:tc>
          <w:tcPr>
            <w:tcW w:w="906" w:type="dxa"/>
            <w:tcBorders>
              <w:top w:val="single" w:sz="4" w:space="0" w:color="auto"/>
              <w:left w:val="single" w:sz="4" w:space="0" w:color="auto"/>
              <w:bottom w:val="single" w:sz="4" w:space="0" w:color="auto"/>
              <w:right w:val="single" w:sz="4" w:space="0" w:color="auto"/>
            </w:tcBorders>
            <w:vAlign w:val="bottom"/>
            <w:hideMark/>
          </w:tcPr>
          <w:p w14:paraId="57D24230" w14:textId="77777777" w:rsidR="007562F0" w:rsidRPr="00CB5456" w:rsidRDefault="007562F0" w:rsidP="002E525E">
            <w:pPr>
              <w:pStyle w:val="Tabletext"/>
              <w:jc w:val="center"/>
            </w:pPr>
            <w:r w:rsidRPr="00CB5456">
              <w:t>N/A</w:t>
            </w:r>
          </w:p>
        </w:tc>
        <w:tc>
          <w:tcPr>
            <w:tcW w:w="905" w:type="dxa"/>
            <w:tcBorders>
              <w:top w:val="single" w:sz="4" w:space="0" w:color="auto"/>
              <w:left w:val="single" w:sz="4" w:space="0" w:color="auto"/>
              <w:bottom w:val="single" w:sz="4" w:space="0" w:color="auto"/>
              <w:right w:val="single" w:sz="4" w:space="0" w:color="auto"/>
            </w:tcBorders>
            <w:noWrap/>
            <w:vAlign w:val="bottom"/>
            <w:hideMark/>
          </w:tcPr>
          <w:p w14:paraId="38421CF4" w14:textId="77777777" w:rsidR="007562F0" w:rsidRPr="00CB5456" w:rsidRDefault="007562F0" w:rsidP="002E525E">
            <w:pPr>
              <w:pStyle w:val="Tabletext"/>
              <w:jc w:val="center"/>
            </w:pPr>
            <w:r w:rsidRPr="00CB5456">
              <w:t>200</w:t>
            </w:r>
          </w:p>
        </w:tc>
        <w:tc>
          <w:tcPr>
            <w:tcW w:w="906" w:type="dxa"/>
            <w:tcBorders>
              <w:top w:val="single" w:sz="4" w:space="0" w:color="auto"/>
              <w:left w:val="single" w:sz="4" w:space="0" w:color="auto"/>
              <w:bottom w:val="single" w:sz="4" w:space="0" w:color="auto"/>
              <w:right w:val="single" w:sz="4" w:space="0" w:color="auto"/>
            </w:tcBorders>
            <w:noWrap/>
            <w:vAlign w:val="bottom"/>
            <w:hideMark/>
          </w:tcPr>
          <w:p w14:paraId="5B5D9D99" w14:textId="77777777" w:rsidR="007562F0" w:rsidRPr="00CB5456" w:rsidRDefault="007562F0" w:rsidP="002E525E">
            <w:pPr>
              <w:pStyle w:val="Tabletext"/>
              <w:jc w:val="center"/>
            </w:pPr>
            <w:r w:rsidRPr="00CB5456">
              <w:t>4</w:t>
            </w:r>
          </w:p>
        </w:tc>
        <w:tc>
          <w:tcPr>
            <w:tcW w:w="696" w:type="dxa"/>
            <w:tcBorders>
              <w:top w:val="single" w:sz="4" w:space="0" w:color="auto"/>
              <w:left w:val="single" w:sz="4" w:space="0" w:color="auto"/>
              <w:bottom w:val="single" w:sz="4" w:space="0" w:color="auto"/>
              <w:right w:val="single" w:sz="4" w:space="0" w:color="auto"/>
            </w:tcBorders>
            <w:noWrap/>
            <w:vAlign w:val="bottom"/>
            <w:hideMark/>
          </w:tcPr>
          <w:p w14:paraId="3173D212" w14:textId="77777777" w:rsidR="007562F0" w:rsidRPr="00CB5456" w:rsidRDefault="007562F0" w:rsidP="002E525E">
            <w:pPr>
              <w:pStyle w:val="Tabletext"/>
              <w:jc w:val="center"/>
            </w:pPr>
            <w:r w:rsidRPr="00CB5456">
              <w:t>0.23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34ECE10" w14:textId="77777777" w:rsidR="007562F0" w:rsidRPr="00CB5456" w:rsidRDefault="007562F0" w:rsidP="002E525E">
            <w:pPr>
              <w:pStyle w:val="Tabletext"/>
              <w:jc w:val="center"/>
            </w:pPr>
            <w:r w:rsidRPr="00CB5456">
              <w:t>N/A</w:t>
            </w:r>
          </w:p>
        </w:tc>
        <w:tc>
          <w:tcPr>
            <w:tcW w:w="850" w:type="dxa"/>
            <w:tcBorders>
              <w:top w:val="single" w:sz="4" w:space="0" w:color="auto"/>
              <w:left w:val="single" w:sz="4" w:space="0" w:color="auto"/>
              <w:bottom w:val="single" w:sz="4" w:space="0" w:color="auto"/>
              <w:right w:val="single" w:sz="4" w:space="0" w:color="auto"/>
            </w:tcBorders>
            <w:vAlign w:val="bottom"/>
            <w:hideMark/>
          </w:tcPr>
          <w:p w14:paraId="41440744" w14:textId="77777777" w:rsidR="007562F0" w:rsidRPr="00CB5456" w:rsidRDefault="007562F0" w:rsidP="002E525E">
            <w:pPr>
              <w:pStyle w:val="Tabletext"/>
              <w:jc w:val="center"/>
            </w:pPr>
            <w:r w:rsidRPr="00CB5456">
              <w:t>N/A</w:t>
            </w:r>
          </w:p>
        </w:tc>
        <w:tc>
          <w:tcPr>
            <w:tcW w:w="1083" w:type="dxa"/>
            <w:tcBorders>
              <w:top w:val="single" w:sz="4" w:space="0" w:color="auto"/>
              <w:left w:val="single" w:sz="4" w:space="0" w:color="auto"/>
              <w:bottom w:val="single" w:sz="4" w:space="0" w:color="auto"/>
              <w:right w:val="single" w:sz="4" w:space="0" w:color="auto"/>
            </w:tcBorders>
            <w:noWrap/>
            <w:vAlign w:val="bottom"/>
            <w:hideMark/>
          </w:tcPr>
          <w:p w14:paraId="69D7922B" w14:textId="77777777" w:rsidR="007562F0" w:rsidRPr="00CB5456" w:rsidRDefault="007562F0" w:rsidP="002E525E">
            <w:pPr>
              <w:pStyle w:val="Tabletext"/>
              <w:jc w:val="center"/>
            </w:pPr>
            <w:r w:rsidRPr="00CB5456">
              <w:t>N/A</w:t>
            </w:r>
          </w:p>
        </w:tc>
      </w:tr>
      <w:tr w:rsidR="007562F0" w14:paraId="388B3E72" w14:textId="77777777" w:rsidTr="002E525E">
        <w:trPr>
          <w:trHeight w:val="300"/>
        </w:trPr>
        <w:tc>
          <w:tcPr>
            <w:tcW w:w="1384" w:type="dxa"/>
            <w:tcBorders>
              <w:top w:val="single" w:sz="4" w:space="0" w:color="auto"/>
              <w:left w:val="single" w:sz="4" w:space="0" w:color="auto"/>
              <w:bottom w:val="single" w:sz="4" w:space="0" w:color="auto"/>
              <w:right w:val="single" w:sz="4" w:space="0" w:color="auto"/>
            </w:tcBorders>
          </w:tcPr>
          <w:p w14:paraId="00D4F8EF" w14:textId="77777777" w:rsidR="007562F0" w:rsidRPr="00CB5456" w:rsidRDefault="007562F0" w:rsidP="00CB5456">
            <w:pPr>
              <w:pStyle w:val="Tabletext"/>
            </w:pPr>
            <w:r w:rsidRPr="00CB5456">
              <w:t>5.2(a) single door refrigerator with frozen food compartment</w:t>
            </w:r>
          </w:p>
        </w:tc>
        <w:tc>
          <w:tcPr>
            <w:tcW w:w="885" w:type="dxa"/>
            <w:tcBorders>
              <w:top w:val="single" w:sz="4" w:space="0" w:color="auto"/>
              <w:left w:val="single" w:sz="4" w:space="0" w:color="auto"/>
              <w:bottom w:val="single" w:sz="4" w:space="0" w:color="auto"/>
              <w:right w:val="single" w:sz="4" w:space="0" w:color="auto"/>
            </w:tcBorders>
            <w:noWrap/>
            <w:vAlign w:val="bottom"/>
            <w:hideMark/>
          </w:tcPr>
          <w:p w14:paraId="055EA632" w14:textId="77777777" w:rsidR="007562F0" w:rsidRPr="00CB5456" w:rsidRDefault="007562F0" w:rsidP="002E525E">
            <w:pPr>
              <w:pStyle w:val="Tabletext"/>
              <w:jc w:val="center"/>
            </w:pPr>
            <w:r w:rsidRPr="00CB5456">
              <w:t>3</w:t>
            </w:r>
          </w:p>
        </w:tc>
        <w:tc>
          <w:tcPr>
            <w:tcW w:w="926" w:type="dxa"/>
            <w:tcBorders>
              <w:top w:val="single" w:sz="4" w:space="0" w:color="auto"/>
              <w:left w:val="single" w:sz="4" w:space="0" w:color="auto"/>
              <w:bottom w:val="single" w:sz="4" w:space="0" w:color="auto"/>
              <w:right w:val="single" w:sz="4" w:space="0" w:color="auto"/>
            </w:tcBorders>
            <w:vAlign w:val="bottom"/>
            <w:hideMark/>
          </w:tcPr>
          <w:p w14:paraId="1B1A7694" w14:textId="77777777" w:rsidR="007562F0" w:rsidRPr="00CB5456" w:rsidRDefault="007562F0" w:rsidP="002E525E">
            <w:pPr>
              <w:pStyle w:val="Tabletext"/>
              <w:jc w:val="center"/>
            </w:pPr>
            <w:r w:rsidRPr="00CB5456">
              <w:t>N/A</w:t>
            </w:r>
          </w:p>
        </w:tc>
        <w:tc>
          <w:tcPr>
            <w:tcW w:w="905" w:type="dxa"/>
            <w:tcBorders>
              <w:top w:val="single" w:sz="4" w:space="0" w:color="auto"/>
              <w:left w:val="single" w:sz="4" w:space="0" w:color="auto"/>
              <w:bottom w:val="single" w:sz="4" w:space="0" w:color="auto"/>
              <w:right w:val="single" w:sz="4" w:space="0" w:color="auto"/>
            </w:tcBorders>
            <w:vAlign w:val="bottom"/>
            <w:hideMark/>
          </w:tcPr>
          <w:p w14:paraId="6143C365" w14:textId="77777777" w:rsidR="007562F0" w:rsidRPr="00CB5456" w:rsidRDefault="007562F0" w:rsidP="002E525E">
            <w:pPr>
              <w:pStyle w:val="Tabletext"/>
              <w:jc w:val="center"/>
            </w:pPr>
            <w:r w:rsidRPr="00CB5456">
              <w:t>N/A</w:t>
            </w:r>
          </w:p>
        </w:tc>
        <w:tc>
          <w:tcPr>
            <w:tcW w:w="906" w:type="dxa"/>
            <w:tcBorders>
              <w:top w:val="single" w:sz="4" w:space="0" w:color="auto"/>
              <w:left w:val="single" w:sz="4" w:space="0" w:color="auto"/>
              <w:bottom w:val="single" w:sz="4" w:space="0" w:color="auto"/>
              <w:right w:val="single" w:sz="4" w:space="0" w:color="auto"/>
            </w:tcBorders>
            <w:vAlign w:val="bottom"/>
            <w:hideMark/>
          </w:tcPr>
          <w:p w14:paraId="7FABDA02" w14:textId="77777777" w:rsidR="007562F0" w:rsidRPr="00CB5456" w:rsidRDefault="007562F0" w:rsidP="002E525E">
            <w:pPr>
              <w:pStyle w:val="Tabletext"/>
              <w:jc w:val="center"/>
            </w:pPr>
            <w:r w:rsidRPr="00CB5456">
              <w:t>N/A</w:t>
            </w:r>
          </w:p>
        </w:tc>
        <w:tc>
          <w:tcPr>
            <w:tcW w:w="905" w:type="dxa"/>
            <w:tcBorders>
              <w:top w:val="single" w:sz="4" w:space="0" w:color="auto"/>
              <w:left w:val="single" w:sz="4" w:space="0" w:color="auto"/>
              <w:bottom w:val="single" w:sz="4" w:space="0" w:color="auto"/>
              <w:right w:val="single" w:sz="4" w:space="0" w:color="auto"/>
            </w:tcBorders>
            <w:noWrap/>
            <w:vAlign w:val="bottom"/>
            <w:hideMark/>
          </w:tcPr>
          <w:p w14:paraId="7ED77EDA" w14:textId="77777777" w:rsidR="007562F0" w:rsidRPr="00CB5456" w:rsidRDefault="007562F0" w:rsidP="002E525E">
            <w:pPr>
              <w:pStyle w:val="Tabletext"/>
              <w:jc w:val="center"/>
            </w:pPr>
            <w:r w:rsidRPr="00CB5456">
              <w:t>200</w:t>
            </w:r>
          </w:p>
        </w:tc>
        <w:tc>
          <w:tcPr>
            <w:tcW w:w="906" w:type="dxa"/>
            <w:tcBorders>
              <w:top w:val="single" w:sz="4" w:space="0" w:color="auto"/>
              <w:left w:val="single" w:sz="4" w:space="0" w:color="auto"/>
              <w:bottom w:val="single" w:sz="4" w:space="0" w:color="auto"/>
              <w:right w:val="single" w:sz="4" w:space="0" w:color="auto"/>
            </w:tcBorders>
            <w:noWrap/>
            <w:vAlign w:val="bottom"/>
            <w:hideMark/>
          </w:tcPr>
          <w:p w14:paraId="2C2A626A" w14:textId="77777777" w:rsidR="007562F0" w:rsidRPr="00CB5456" w:rsidRDefault="007562F0" w:rsidP="002E525E">
            <w:pPr>
              <w:pStyle w:val="Tabletext"/>
              <w:jc w:val="center"/>
            </w:pPr>
            <w:r w:rsidRPr="00CB5456">
              <w:t>4</w:t>
            </w:r>
          </w:p>
        </w:tc>
        <w:tc>
          <w:tcPr>
            <w:tcW w:w="696" w:type="dxa"/>
            <w:tcBorders>
              <w:top w:val="single" w:sz="4" w:space="0" w:color="auto"/>
              <w:left w:val="single" w:sz="4" w:space="0" w:color="auto"/>
              <w:bottom w:val="single" w:sz="4" w:space="0" w:color="auto"/>
              <w:right w:val="single" w:sz="4" w:space="0" w:color="auto"/>
            </w:tcBorders>
            <w:noWrap/>
            <w:vAlign w:val="bottom"/>
            <w:hideMark/>
          </w:tcPr>
          <w:p w14:paraId="710E41AA" w14:textId="77777777" w:rsidR="007562F0" w:rsidRPr="00CB5456" w:rsidRDefault="007562F0" w:rsidP="002E525E">
            <w:pPr>
              <w:pStyle w:val="Tabletext"/>
              <w:jc w:val="center"/>
            </w:pPr>
            <w:r w:rsidRPr="00CB5456">
              <w:t>0.23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AFA09B3" w14:textId="77777777" w:rsidR="007562F0" w:rsidRPr="00CB5456" w:rsidRDefault="007562F0" w:rsidP="002E525E">
            <w:pPr>
              <w:pStyle w:val="Tabletext"/>
              <w:jc w:val="center"/>
            </w:pPr>
            <w:r w:rsidRPr="00CB5456">
              <w:t>N/A</w:t>
            </w:r>
          </w:p>
        </w:tc>
        <w:tc>
          <w:tcPr>
            <w:tcW w:w="850" w:type="dxa"/>
            <w:tcBorders>
              <w:top w:val="single" w:sz="4" w:space="0" w:color="auto"/>
              <w:left w:val="single" w:sz="4" w:space="0" w:color="auto"/>
              <w:bottom w:val="single" w:sz="4" w:space="0" w:color="auto"/>
              <w:right w:val="single" w:sz="4" w:space="0" w:color="auto"/>
            </w:tcBorders>
            <w:vAlign w:val="bottom"/>
            <w:hideMark/>
          </w:tcPr>
          <w:p w14:paraId="7552E414" w14:textId="77777777" w:rsidR="007562F0" w:rsidRPr="00CB5456" w:rsidRDefault="007562F0" w:rsidP="002E525E">
            <w:pPr>
              <w:pStyle w:val="Tabletext"/>
              <w:jc w:val="center"/>
            </w:pPr>
            <w:r w:rsidRPr="00CB5456">
              <w:t>N/A</w:t>
            </w:r>
          </w:p>
        </w:tc>
        <w:tc>
          <w:tcPr>
            <w:tcW w:w="1083" w:type="dxa"/>
            <w:tcBorders>
              <w:top w:val="single" w:sz="4" w:space="0" w:color="auto"/>
              <w:left w:val="single" w:sz="4" w:space="0" w:color="auto"/>
              <w:bottom w:val="single" w:sz="4" w:space="0" w:color="auto"/>
              <w:right w:val="single" w:sz="4" w:space="0" w:color="auto"/>
            </w:tcBorders>
            <w:noWrap/>
            <w:vAlign w:val="bottom"/>
            <w:hideMark/>
          </w:tcPr>
          <w:p w14:paraId="0804BB1F" w14:textId="77777777" w:rsidR="007562F0" w:rsidRPr="00CB5456" w:rsidRDefault="007562F0" w:rsidP="002E525E">
            <w:pPr>
              <w:pStyle w:val="Tabletext"/>
              <w:jc w:val="center"/>
            </w:pPr>
            <w:r w:rsidRPr="00CB5456">
              <w:t>N/A</w:t>
            </w:r>
          </w:p>
        </w:tc>
      </w:tr>
      <w:tr w:rsidR="007562F0" w14:paraId="4D582A93" w14:textId="77777777" w:rsidTr="002E525E">
        <w:trPr>
          <w:trHeight w:val="300"/>
        </w:trPr>
        <w:tc>
          <w:tcPr>
            <w:tcW w:w="1384" w:type="dxa"/>
            <w:vMerge w:val="restart"/>
            <w:tcBorders>
              <w:top w:val="single" w:sz="4" w:space="0" w:color="auto"/>
              <w:left w:val="single" w:sz="4" w:space="0" w:color="auto"/>
              <w:right w:val="single" w:sz="4" w:space="0" w:color="auto"/>
            </w:tcBorders>
          </w:tcPr>
          <w:p w14:paraId="50E77F5E" w14:textId="77777777" w:rsidR="007562F0" w:rsidRPr="00CB5456" w:rsidRDefault="007562F0" w:rsidP="00CB5456">
            <w:pPr>
              <w:pStyle w:val="Tabletext"/>
            </w:pPr>
            <w:r w:rsidRPr="00CB5456">
              <w:t>5.2(b) two door refrigerator</w:t>
            </w:r>
          </w:p>
        </w:tc>
        <w:tc>
          <w:tcPr>
            <w:tcW w:w="885" w:type="dxa"/>
            <w:tcBorders>
              <w:top w:val="single" w:sz="4" w:space="0" w:color="auto"/>
              <w:left w:val="single" w:sz="4" w:space="0" w:color="auto"/>
              <w:bottom w:val="single" w:sz="4" w:space="0" w:color="auto"/>
              <w:right w:val="single" w:sz="4" w:space="0" w:color="auto"/>
            </w:tcBorders>
            <w:noWrap/>
            <w:vAlign w:val="bottom"/>
            <w:hideMark/>
          </w:tcPr>
          <w:p w14:paraId="5C0E1ED3" w14:textId="77777777" w:rsidR="007562F0" w:rsidRPr="00CB5456" w:rsidRDefault="007562F0" w:rsidP="002E525E">
            <w:pPr>
              <w:pStyle w:val="Tabletext"/>
              <w:jc w:val="center"/>
            </w:pPr>
            <w:r w:rsidRPr="00CB5456">
              <w:t>4</w:t>
            </w:r>
          </w:p>
        </w:tc>
        <w:tc>
          <w:tcPr>
            <w:tcW w:w="926" w:type="dxa"/>
            <w:tcBorders>
              <w:top w:val="single" w:sz="4" w:space="0" w:color="auto"/>
              <w:left w:val="single" w:sz="4" w:space="0" w:color="auto"/>
              <w:bottom w:val="single" w:sz="4" w:space="0" w:color="auto"/>
              <w:right w:val="single" w:sz="4" w:space="0" w:color="auto"/>
            </w:tcBorders>
            <w:vAlign w:val="bottom"/>
            <w:hideMark/>
          </w:tcPr>
          <w:p w14:paraId="24C17127" w14:textId="77777777" w:rsidR="007562F0" w:rsidRPr="00CB5456" w:rsidRDefault="007562F0" w:rsidP="002E525E">
            <w:pPr>
              <w:pStyle w:val="Tabletext"/>
              <w:jc w:val="center"/>
            </w:pPr>
            <w:r w:rsidRPr="00CB5456">
              <w:t>3.5</w:t>
            </w:r>
          </w:p>
        </w:tc>
        <w:tc>
          <w:tcPr>
            <w:tcW w:w="905" w:type="dxa"/>
            <w:tcBorders>
              <w:top w:val="single" w:sz="4" w:space="0" w:color="auto"/>
              <w:left w:val="single" w:sz="4" w:space="0" w:color="auto"/>
              <w:bottom w:val="single" w:sz="4" w:space="0" w:color="auto"/>
              <w:right w:val="single" w:sz="4" w:space="0" w:color="auto"/>
            </w:tcBorders>
            <w:vAlign w:val="bottom"/>
            <w:hideMark/>
          </w:tcPr>
          <w:p w14:paraId="2C1E993F" w14:textId="77777777" w:rsidR="007562F0" w:rsidRPr="00CB5456" w:rsidRDefault="007562F0" w:rsidP="002E525E">
            <w:pPr>
              <w:pStyle w:val="Tabletext"/>
              <w:jc w:val="center"/>
            </w:pPr>
            <w:r w:rsidRPr="00CB5456">
              <w:t>100</w:t>
            </w:r>
          </w:p>
        </w:tc>
        <w:tc>
          <w:tcPr>
            <w:tcW w:w="906" w:type="dxa"/>
            <w:tcBorders>
              <w:top w:val="single" w:sz="4" w:space="0" w:color="auto"/>
              <w:left w:val="single" w:sz="4" w:space="0" w:color="auto"/>
              <w:bottom w:val="single" w:sz="4" w:space="0" w:color="auto"/>
              <w:right w:val="single" w:sz="4" w:space="0" w:color="auto"/>
            </w:tcBorders>
            <w:vAlign w:val="bottom"/>
            <w:hideMark/>
          </w:tcPr>
          <w:p w14:paraId="2CE9C295" w14:textId="77777777" w:rsidR="007562F0" w:rsidRPr="00CB5456" w:rsidRDefault="007562F0" w:rsidP="002E525E">
            <w:pPr>
              <w:pStyle w:val="Tabletext"/>
              <w:jc w:val="center"/>
            </w:pPr>
            <w:r w:rsidRPr="00CB5456">
              <w:t>700</w:t>
            </w:r>
          </w:p>
        </w:tc>
        <w:tc>
          <w:tcPr>
            <w:tcW w:w="905" w:type="dxa"/>
            <w:tcBorders>
              <w:top w:val="single" w:sz="4" w:space="0" w:color="auto"/>
              <w:left w:val="single" w:sz="4" w:space="0" w:color="auto"/>
              <w:bottom w:val="single" w:sz="4" w:space="0" w:color="auto"/>
              <w:right w:val="single" w:sz="4" w:space="0" w:color="auto"/>
            </w:tcBorders>
            <w:noWrap/>
            <w:vAlign w:val="bottom"/>
            <w:hideMark/>
          </w:tcPr>
          <w:p w14:paraId="1EDA868D" w14:textId="77777777" w:rsidR="007562F0" w:rsidRPr="00CB5456" w:rsidRDefault="007562F0" w:rsidP="002E525E">
            <w:pPr>
              <w:pStyle w:val="Tabletext"/>
              <w:jc w:val="center"/>
            </w:pPr>
            <w:r w:rsidRPr="00CB5456">
              <w:t>150</w:t>
            </w:r>
          </w:p>
        </w:tc>
        <w:tc>
          <w:tcPr>
            <w:tcW w:w="906" w:type="dxa"/>
            <w:tcBorders>
              <w:top w:val="single" w:sz="4" w:space="0" w:color="auto"/>
              <w:left w:val="single" w:sz="4" w:space="0" w:color="auto"/>
              <w:bottom w:val="single" w:sz="4" w:space="0" w:color="auto"/>
              <w:right w:val="single" w:sz="4" w:space="0" w:color="auto"/>
            </w:tcBorders>
            <w:noWrap/>
            <w:vAlign w:val="bottom"/>
            <w:hideMark/>
          </w:tcPr>
          <w:p w14:paraId="4068A072" w14:textId="77777777" w:rsidR="007562F0" w:rsidRPr="00CB5456" w:rsidRDefault="007562F0" w:rsidP="002E525E">
            <w:pPr>
              <w:pStyle w:val="Tabletext"/>
              <w:jc w:val="center"/>
            </w:pPr>
            <w:r w:rsidRPr="00CB5456">
              <w:t>8.8</w:t>
            </w:r>
          </w:p>
        </w:tc>
        <w:tc>
          <w:tcPr>
            <w:tcW w:w="696" w:type="dxa"/>
            <w:tcBorders>
              <w:top w:val="single" w:sz="4" w:space="0" w:color="auto"/>
              <w:left w:val="single" w:sz="4" w:space="0" w:color="auto"/>
              <w:bottom w:val="single" w:sz="4" w:space="0" w:color="auto"/>
              <w:right w:val="single" w:sz="4" w:space="0" w:color="auto"/>
            </w:tcBorders>
            <w:noWrap/>
            <w:vAlign w:val="bottom"/>
            <w:hideMark/>
          </w:tcPr>
          <w:p w14:paraId="08E00B5C" w14:textId="77777777" w:rsidR="007562F0" w:rsidRPr="00CB5456" w:rsidRDefault="007562F0" w:rsidP="002E525E">
            <w:pPr>
              <w:pStyle w:val="Tabletext"/>
              <w:jc w:val="center"/>
            </w:pPr>
            <w:r w:rsidRPr="00CB5456">
              <w:t>0.23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16208903" w14:textId="77777777" w:rsidR="007562F0" w:rsidRPr="00CB5456" w:rsidRDefault="007562F0" w:rsidP="002E525E">
            <w:pPr>
              <w:pStyle w:val="Tabletext"/>
              <w:jc w:val="center"/>
            </w:pPr>
            <w:r w:rsidRPr="00CB5456">
              <w:t>3.25</w:t>
            </w:r>
          </w:p>
        </w:tc>
        <w:tc>
          <w:tcPr>
            <w:tcW w:w="850" w:type="dxa"/>
            <w:tcBorders>
              <w:top w:val="single" w:sz="4" w:space="0" w:color="auto"/>
              <w:left w:val="single" w:sz="4" w:space="0" w:color="auto"/>
              <w:bottom w:val="single" w:sz="4" w:space="0" w:color="auto"/>
              <w:right w:val="single" w:sz="4" w:space="0" w:color="auto"/>
            </w:tcBorders>
            <w:vAlign w:val="bottom"/>
            <w:hideMark/>
          </w:tcPr>
          <w:p w14:paraId="79350197" w14:textId="77777777" w:rsidR="007562F0" w:rsidRPr="00CB5456" w:rsidRDefault="007562F0" w:rsidP="002E525E">
            <w:pPr>
              <w:pStyle w:val="Tabletext"/>
              <w:jc w:val="center"/>
            </w:pPr>
            <w:r w:rsidRPr="00CB5456">
              <w:t>0.85</w:t>
            </w:r>
          </w:p>
        </w:tc>
        <w:tc>
          <w:tcPr>
            <w:tcW w:w="1083" w:type="dxa"/>
            <w:tcBorders>
              <w:top w:val="single" w:sz="4" w:space="0" w:color="auto"/>
              <w:left w:val="single" w:sz="4" w:space="0" w:color="auto"/>
              <w:bottom w:val="single" w:sz="4" w:space="0" w:color="auto"/>
              <w:right w:val="single" w:sz="4" w:space="0" w:color="auto"/>
            </w:tcBorders>
            <w:noWrap/>
            <w:vAlign w:val="bottom"/>
            <w:hideMark/>
          </w:tcPr>
          <w:p w14:paraId="018B0554" w14:textId="4B7A2B7F" w:rsidR="007562F0" w:rsidRPr="00CB5456" w:rsidRDefault="007562F0" w:rsidP="002E525E">
            <w:pPr>
              <w:pStyle w:val="Tabletext"/>
              <w:jc w:val="center"/>
            </w:pPr>
            <w:r w:rsidRPr="00CB5456">
              <w:t>0.0</w:t>
            </w:r>
            <w:r w:rsidR="00DC534A">
              <w:t>17</w:t>
            </w:r>
          </w:p>
        </w:tc>
      </w:tr>
      <w:tr w:rsidR="007562F0" w14:paraId="25500694" w14:textId="77777777" w:rsidTr="002E525E">
        <w:trPr>
          <w:trHeight w:val="300"/>
        </w:trPr>
        <w:tc>
          <w:tcPr>
            <w:tcW w:w="1384" w:type="dxa"/>
            <w:vMerge/>
            <w:tcBorders>
              <w:left w:val="single" w:sz="4" w:space="0" w:color="auto"/>
              <w:right w:val="single" w:sz="4" w:space="0" w:color="auto"/>
            </w:tcBorders>
          </w:tcPr>
          <w:p w14:paraId="4A66390C" w14:textId="77777777" w:rsidR="007562F0" w:rsidRPr="00CB5456" w:rsidRDefault="007562F0" w:rsidP="00CB5456">
            <w:pPr>
              <w:pStyle w:val="Tabletext"/>
            </w:pPr>
          </w:p>
        </w:tc>
        <w:tc>
          <w:tcPr>
            <w:tcW w:w="885" w:type="dxa"/>
            <w:tcBorders>
              <w:top w:val="single" w:sz="4" w:space="0" w:color="auto"/>
              <w:left w:val="single" w:sz="4" w:space="0" w:color="auto"/>
              <w:bottom w:val="single" w:sz="4" w:space="0" w:color="auto"/>
              <w:right w:val="single" w:sz="4" w:space="0" w:color="auto"/>
            </w:tcBorders>
            <w:noWrap/>
            <w:vAlign w:val="bottom"/>
            <w:hideMark/>
          </w:tcPr>
          <w:p w14:paraId="4EA75906" w14:textId="77777777" w:rsidR="007562F0" w:rsidRPr="00CB5456" w:rsidRDefault="007562F0" w:rsidP="002E525E">
            <w:pPr>
              <w:pStyle w:val="Tabletext"/>
              <w:jc w:val="center"/>
            </w:pPr>
            <w:r w:rsidRPr="00CB5456">
              <w:t>5T</w:t>
            </w:r>
          </w:p>
        </w:tc>
        <w:tc>
          <w:tcPr>
            <w:tcW w:w="926" w:type="dxa"/>
            <w:tcBorders>
              <w:top w:val="single" w:sz="4" w:space="0" w:color="auto"/>
              <w:left w:val="single" w:sz="4" w:space="0" w:color="auto"/>
              <w:bottom w:val="single" w:sz="4" w:space="0" w:color="auto"/>
              <w:right w:val="single" w:sz="4" w:space="0" w:color="auto"/>
            </w:tcBorders>
            <w:vAlign w:val="bottom"/>
            <w:hideMark/>
          </w:tcPr>
          <w:p w14:paraId="050F28F4" w14:textId="77777777" w:rsidR="007562F0" w:rsidRPr="00CB5456" w:rsidRDefault="007562F0" w:rsidP="002E525E">
            <w:pPr>
              <w:pStyle w:val="Tabletext"/>
              <w:jc w:val="center"/>
            </w:pPr>
            <w:r w:rsidRPr="00CB5456">
              <w:t>3.5</w:t>
            </w:r>
          </w:p>
        </w:tc>
        <w:tc>
          <w:tcPr>
            <w:tcW w:w="905" w:type="dxa"/>
            <w:tcBorders>
              <w:top w:val="single" w:sz="4" w:space="0" w:color="auto"/>
              <w:left w:val="single" w:sz="4" w:space="0" w:color="auto"/>
              <w:bottom w:val="single" w:sz="4" w:space="0" w:color="auto"/>
              <w:right w:val="single" w:sz="4" w:space="0" w:color="auto"/>
            </w:tcBorders>
            <w:vAlign w:val="bottom"/>
            <w:hideMark/>
          </w:tcPr>
          <w:p w14:paraId="31A2D017" w14:textId="77777777" w:rsidR="007562F0" w:rsidRPr="00CB5456" w:rsidRDefault="007562F0" w:rsidP="002E525E">
            <w:pPr>
              <w:pStyle w:val="Tabletext"/>
              <w:jc w:val="center"/>
            </w:pPr>
            <w:r w:rsidRPr="00CB5456">
              <w:t>100</w:t>
            </w:r>
          </w:p>
        </w:tc>
        <w:tc>
          <w:tcPr>
            <w:tcW w:w="906" w:type="dxa"/>
            <w:tcBorders>
              <w:top w:val="single" w:sz="4" w:space="0" w:color="auto"/>
              <w:left w:val="single" w:sz="4" w:space="0" w:color="auto"/>
              <w:bottom w:val="single" w:sz="4" w:space="0" w:color="auto"/>
              <w:right w:val="single" w:sz="4" w:space="0" w:color="auto"/>
            </w:tcBorders>
            <w:vAlign w:val="bottom"/>
            <w:hideMark/>
          </w:tcPr>
          <w:p w14:paraId="4E15C5B7" w14:textId="77777777" w:rsidR="007562F0" w:rsidRPr="00CB5456" w:rsidRDefault="007562F0" w:rsidP="002E525E">
            <w:pPr>
              <w:pStyle w:val="Tabletext"/>
              <w:jc w:val="center"/>
            </w:pPr>
            <w:r w:rsidRPr="00CB5456">
              <w:t>700</w:t>
            </w:r>
          </w:p>
        </w:tc>
        <w:tc>
          <w:tcPr>
            <w:tcW w:w="905" w:type="dxa"/>
            <w:tcBorders>
              <w:top w:val="single" w:sz="4" w:space="0" w:color="auto"/>
              <w:left w:val="single" w:sz="4" w:space="0" w:color="auto"/>
              <w:bottom w:val="single" w:sz="4" w:space="0" w:color="auto"/>
              <w:right w:val="single" w:sz="4" w:space="0" w:color="auto"/>
            </w:tcBorders>
            <w:noWrap/>
            <w:vAlign w:val="bottom"/>
            <w:hideMark/>
          </w:tcPr>
          <w:p w14:paraId="344EE2A2" w14:textId="77777777" w:rsidR="007562F0" w:rsidRPr="00CB5456" w:rsidRDefault="007562F0" w:rsidP="002E525E">
            <w:pPr>
              <w:pStyle w:val="Tabletext"/>
              <w:jc w:val="center"/>
            </w:pPr>
            <w:r w:rsidRPr="00CB5456">
              <w:t>150</w:t>
            </w:r>
          </w:p>
        </w:tc>
        <w:tc>
          <w:tcPr>
            <w:tcW w:w="906" w:type="dxa"/>
            <w:tcBorders>
              <w:top w:val="single" w:sz="4" w:space="0" w:color="auto"/>
              <w:left w:val="single" w:sz="4" w:space="0" w:color="auto"/>
              <w:bottom w:val="single" w:sz="4" w:space="0" w:color="auto"/>
              <w:right w:val="single" w:sz="4" w:space="0" w:color="auto"/>
            </w:tcBorders>
            <w:noWrap/>
            <w:vAlign w:val="bottom"/>
            <w:hideMark/>
          </w:tcPr>
          <w:p w14:paraId="515942EF" w14:textId="77777777" w:rsidR="007562F0" w:rsidRPr="00CB5456" w:rsidRDefault="007562F0" w:rsidP="002E525E">
            <w:pPr>
              <w:pStyle w:val="Tabletext"/>
              <w:jc w:val="center"/>
            </w:pPr>
            <w:r w:rsidRPr="00CB5456">
              <w:t>8.8</w:t>
            </w:r>
          </w:p>
        </w:tc>
        <w:tc>
          <w:tcPr>
            <w:tcW w:w="696" w:type="dxa"/>
            <w:tcBorders>
              <w:top w:val="single" w:sz="4" w:space="0" w:color="auto"/>
              <w:left w:val="single" w:sz="4" w:space="0" w:color="auto"/>
              <w:bottom w:val="single" w:sz="4" w:space="0" w:color="auto"/>
              <w:right w:val="single" w:sz="4" w:space="0" w:color="auto"/>
            </w:tcBorders>
            <w:noWrap/>
            <w:vAlign w:val="bottom"/>
            <w:hideMark/>
          </w:tcPr>
          <w:p w14:paraId="68699BBF" w14:textId="77777777" w:rsidR="007562F0" w:rsidRPr="00CB5456" w:rsidRDefault="007562F0" w:rsidP="002E525E">
            <w:pPr>
              <w:pStyle w:val="Tabletext"/>
              <w:jc w:val="center"/>
            </w:pPr>
            <w:r w:rsidRPr="00CB5456">
              <w:t>0.23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3688CED2" w14:textId="77777777" w:rsidR="007562F0" w:rsidRPr="00CB5456" w:rsidRDefault="007562F0" w:rsidP="002E525E">
            <w:pPr>
              <w:pStyle w:val="Tabletext"/>
              <w:jc w:val="center"/>
            </w:pPr>
            <w:r w:rsidRPr="00CB5456">
              <w:t>3.25</w:t>
            </w:r>
          </w:p>
        </w:tc>
        <w:tc>
          <w:tcPr>
            <w:tcW w:w="850" w:type="dxa"/>
            <w:tcBorders>
              <w:top w:val="single" w:sz="4" w:space="0" w:color="auto"/>
              <w:left w:val="single" w:sz="4" w:space="0" w:color="auto"/>
              <w:bottom w:val="single" w:sz="4" w:space="0" w:color="auto"/>
              <w:right w:val="single" w:sz="4" w:space="0" w:color="auto"/>
            </w:tcBorders>
            <w:vAlign w:val="bottom"/>
            <w:hideMark/>
          </w:tcPr>
          <w:p w14:paraId="39731F5D" w14:textId="77777777" w:rsidR="007562F0" w:rsidRPr="00CB5456" w:rsidRDefault="007562F0" w:rsidP="002E525E">
            <w:pPr>
              <w:pStyle w:val="Tabletext"/>
              <w:jc w:val="center"/>
            </w:pPr>
            <w:r w:rsidRPr="00CB5456">
              <w:t>0.85</w:t>
            </w:r>
          </w:p>
        </w:tc>
        <w:tc>
          <w:tcPr>
            <w:tcW w:w="1083" w:type="dxa"/>
            <w:tcBorders>
              <w:top w:val="single" w:sz="4" w:space="0" w:color="auto"/>
              <w:left w:val="single" w:sz="4" w:space="0" w:color="auto"/>
              <w:bottom w:val="single" w:sz="4" w:space="0" w:color="auto"/>
              <w:right w:val="single" w:sz="4" w:space="0" w:color="auto"/>
            </w:tcBorders>
            <w:noWrap/>
            <w:vAlign w:val="bottom"/>
            <w:hideMark/>
          </w:tcPr>
          <w:p w14:paraId="1086FACB" w14:textId="28E38BB1" w:rsidR="007562F0" w:rsidRPr="00CB5456" w:rsidRDefault="007562F0" w:rsidP="002E525E">
            <w:pPr>
              <w:pStyle w:val="Tabletext"/>
              <w:jc w:val="center"/>
            </w:pPr>
            <w:r w:rsidRPr="00CB5456">
              <w:t>0.0</w:t>
            </w:r>
            <w:r w:rsidR="00DC534A">
              <w:t>17</w:t>
            </w:r>
          </w:p>
        </w:tc>
      </w:tr>
      <w:tr w:rsidR="007562F0" w14:paraId="5115637E" w14:textId="77777777" w:rsidTr="002E525E">
        <w:trPr>
          <w:trHeight w:val="300"/>
        </w:trPr>
        <w:tc>
          <w:tcPr>
            <w:tcW w:w="1384" w:type="dxa"/>
            <w:vMerge/>
            <w:tcBorders>
              <w:left w:val="single" w:sz="4" w:space="0" w:color="auto"/>
              <w:right w:val="single" w:sz="4" w:space="0" w:color="auto"/>
            </w:tcBorders>
          </w:tcPr>
          <w:p w14:paraId="0A192486" w14:textId="77777777" w:rsidR="007562F0" w:rsidRPr="00CB5456" w:rsidRDefault="007562F0" w:rsidP="00CB5456">
            <w:pPr>
              <w:pStyle w:val="Tabletext"/>
            </w:pPr>
          </w:p>
        </w:tc>
        <w:tc>
          <w:tcPr>
            <w:tcW w:w="885" w:type="dxa"/>
            <w:tcBorders>
              <w:top w:val="single" w:sz="4" w:space="0" w:color="auto"/>
              <w:left w:val="single" w:sz="4" w:space="0" w:color="auto"/>
              <w:bottom w:val="single" w:sz="4" w:space="0" w:color="auto"/>
              <w:right w:val="single" w:sz="4" w:space="0" w:color="auto"/>
            </w:tcBorders>
            <w:noWrap/>
            <w:vAlign w:val="bottom"/>
            <w:hideMark/>
          </w:tcPr>
          <w:p w14:paraId="019AEA79" w14:textId="77777777" w:rsidR="007562F0" w:rsidRPr="00CB5456" w:rsidRDefault="007562F0" w:rsidP="002E525E">
            <w:pPr>
              <w:pStyle w:val="Tabletext"/>
              <w:jc w:val="center"/>
            </w:pPr>
            <w:r w:rsidRPr="00CB5456">
              <w:t>5B</w:t>
            </w:r>
          </w:p>
        </w:tc>
        <w:tc>
          <w:tcPr>
            <w:tcW w:w="926" w:type="dxa"/>
            <w:tcBorders>
              <w:top w:val="single" w:sz="4" w:space="0" w:color="auto"/>
              <w:left w:val="single" w:sz="4" w:space="0" w:color="auto"/>
              <w:bottom w:val="single" w:sz="4" w:space="0" w:color="auto"/>
              <w:right w:val="single" w:sz="4" w:space="0" w:color="auto"/>
            </w:tcBorders>
            <w:vAlign w:val="bottom"/>
            <w:hideMark/>
          </w:tcPr>
          <w:p w14:paraId="2F21C381" w14:textId="77777777" w:rsidR="007562F0" w:rsidRPr="00CB5456" w:rsidRDefault="007562F0" w:rsidP="002E525E">
            <w:pPr>
              <w:pStyle w:val="Tabletext"/>
              <w:jc w:val="center"/>
            </w:pPr>
            <w:r w:rsidRPr="00CB5456">
              <w:t>3.5</w:t>
            </w:r>
          </w:p>
        </w:tc>
        <w:tc>
          <w:tcPr>
            <w:tcW w:w="905" w:type="dxa"/>
            <w:tcBorders>
              <w:top w:val="single" w:sz="4" w:space="0" w:color="auto"/>
              <w:left w:val="single" w:sz="4" w:space="0" w:color="auto"/>
              <w:bottom w:val="single" w:sz="4" w:space="0" w:color="auto"/>
              <w:right w:val="single" w:sz="4" w:space="0" w:color="auto"/>
            </w:tcBorders>
            <w:vAlign w:val="bottom"/>
            <w:hideMark/>
          </w:tcPr>
          <w:p w14:paraId="3D55F166" w14:textId="77777777" w:rsidR="007562F0" w:rsidRPr="00CB5456" w:rsidRDefault="007562F0" w:rsidP="002E525E">
            <w:pPr>
              <w:pStyle w:val="Tabletext"/>
              <w:jc w:val="center"/>
            </w:pPr>
            <w:r w:rsidRPr="00CB5456">
              <w:t>100</w:t>
            </w:r>
          </w:p>
        </w:tc>
        <w:tc>
          <w:tcPr>
            <w:tcW w:w="906" w:type="dxa"/>
            <w:tcBorders>
              <w:top w:val="single" w:sz="4" w:space="0" w:color="auto"/>
              <w:left w:val="single" w:sz="4" w:space="0" w:color="auto"/>
              <w:bottom w:val="single" w:sz="4" w:space="0" w:color="auto"/>
              <w:right w:val="single" w:sz="4" w:space="0" w:color="auto"/>
            </w:tcBorders>
            <w:vAlign w:val="bottom"/>
            <w:hideMark/>
          </w:tcPr>
          <w:p w14:paraId="251AAA9D" w14:textId="77777777" w:rsidR="007562F0" w:rsidRPr="00CB5456" w:rsidRDefault="007562F0" w:rsidP="002E525E">
            <w:pPr>
              <w:pStyle w:val="Tabletext"/>
              <w:jc w:val="center"/>
            </w:pPr>
            <w:r w:rsidRPr="00CB5456">
              <w:t>700</w:t>
            </w:r>
          </w:p>
        </w:tc>
        <w:tc>
          <w:tcPr>
            <w:tcW w:w="905" w:type="dxa"/>
            <w:tcBorders>
              <w:top w:val="single" w:sz="4" w:space="0" w:color="auto"/>
              <w:left w:val="single" w:sz="4" w:space="0" w:color="auto"/>
              <w:bottom w:val="single" w:sz="4" w:space="0" w:color="auto"/>
              <w:right w:val="single" w:sz="4" w:space="0" w:color="auto"/>
            </w:tcBorders>
            <w:noWrap/>
            <w:vAlign w:val="bottom"/>
            <w:hideMark/>
          </w:tcPr>
          <w:p w14:paraId="0B100F06" w14:textId="77777777" w:rsidR="007562F0" w:rsidRPr="00CB5456" w:rsidRDefault="007562F0" w:rsidP="002E525E">
            <w:pPr>
              <w:pStyle w:val="Tabletext"/>
              <w:jc w:val="center"/>
            </w:pPr>
            <w:r w:rsidRPr="00CB5456">
              <w:t>150</w:t>
            </w:r>
          </w:p>
        </w:tc>
        <w:tc>
          <w:tcPr>
            <w:tcW w:w="906" w:type="dxa"/>
            <w:tcBorders>
              <w:top w:val="single" w:sz="4" w:space="0" w:color="auto"/>
              <w:left w:val="single" w:sz="4" w:space="0" w:color="auto"/>
              <w:bottom w:val="single" w:sz="4" w:space="0" w:color="auto"/>
              <w:right w:val="single" w:sz="4" w:space="0" w:color="auto"/>
            </w:tcBorders>
            <w:noWrap/>
            <w:vAlign w:val="bottom"/>
            <w:hideMark/>
          </w:tcPr>
          <w:p w14:paraId="021CFF53" w14:textId="77777777" w:rsidR="007562F0" w:rsidRPr="00CB5456" w:rsidRDefault="007562F0" w:rsidP="002E525E">
            <w:pPr>
              <w:pStyle w:val="Tabletext"/>
              <w:jc w:val="center"/>
            </w:pPr>
            <w:r w:rsidRPr="00CB5456">
              <w:t>8.8</w:t>
            </w:r>
          </w:p>
        </w:tc>
        <w:tc>
          <w:tcPr>
            <w:tcW w:w="696" w:type="dxa"/>
            <w:tcBorders>
              <w:top w:val="single" w:sz="4" w:space="0" w:color="auto"/>
              <w:left w:val="single" w:sz="4" w:space="0" w:color="auto"/>
              <w:bottom w:val="single" w:sz="4" w:space="0" w:color="auto"/>
              <w:right w:val="single" w:sz="4" w:space="0" w:color="auto"/>
            </w:tcBorders>
            <w:noWrap/>
            <w:vAlign w:val="bottom"/>
            <w:hideMark/>
          </w:tcPr>
          <w:p w14:paraId="2D7BB1B9" w14:textId="77777777" w:rsidR="007562F0" w:rsidRPr="00CB5456" w:rsidRDefault="007562F0" w:rsidP="002E525E">
            <w:pPr>
              <w:pStyle w:val="Tabletext"/>
              <w:jc w:val="center"/>
            </w:pPr>
            <w:r w:rsidRPr="00CB5456">
              <w:t>0.23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D5DE43E" w14:textId="77777777" w:rsidR="007562F0" w:rsidRPr="00CB5456" w:rsidRDefault="007562F0" w:rsidP="002E525E">
            <w:pPr>
              <w:pStyle w:val="Tabletext"/>
              <w:jc w:val="center"/>
            </w:pPr>
            <w:r w:rsidRPr="00CB5456">
              <w:t>3.25</w:t>
            </w:r>
          </w:p>
        </w:tc>
        <w:tc>
          <w:tcPr>
            <w:tcW w:w="850" w:type="dxa"/>
            <w:tcBorders>
              <w:top w:val="single" w:sz="4" w:space="0" w:color="auto"/>
              <w:left w:val="single" w:sz="4" w:space="0" w:color="auto"/>
              <w:bottom w:val="single" w:sz="4" w:space="0" w:color="auto"/>
              <w:right w:val="single" w:sz="4" w:space="0" w:color="auto"/>
            </w:tcBorders>
            <w:vAlign w:val="bottom"/>
            <w:hideMark/>
          </w:tcPr>
          <w:p w14:paraId="160A0DCB" w14:textId="77777777" w:rsidR="007562F0" w:rsidRPr="00CB5456" w:rsidRDefault="007562F0" w:rsidP="002E525E">
            <w:pPr>
              <w:pStyle w:val="Tabletext"/>
              <w:jc w:val="center"/>
            </w:pPr>
            <w:r w:rsidRPr="00CB5456">
              <w:t>0.85</w:t>
            </w:r>
          </w:p>
        </w:tc>
        <w:tc>
          <w:tcPr>
            <w:tcW w:w="1083" w:type="dxa"/>
            <w:tcBorders>
              <w:top w:val="single" w:sz="4" w:space="0" w:color="auto"/>
              <w:left w:val="single" w:sz="4" w:space="0" w:color="auto"/>
              <w:bottom w:val="single" w:sz="4" w:space="0" w:color="auto"/>
              <w:right w:val="single" w:sz="4" w:space="0" w:color="auto"/>
            </w:tcBorders>
            <w:noWrap/>
            <w:vAlign w:val="bottom"/>
            <w:hideMark/>
          </w:tcPr>
          <w:p w14:paraId="1ABFF48C" w14:textId="3C72D600" w:rsidR="007562F0" w:rsidRPr="00CB5456" w:rsidRDefault="007562F0" w:rsidP="002E525E">
            <w:pPr>
              <w:pStyle w:val="Tabletext"/>
              <w:jc w:val="center"/>
            </w:pPr>
            <w:r w:rsidRPr="00CB5456">
              <w:t>0.0</w:t>
            </w:r>
            <w:r w:rsidR="00DC534A">
              <w:t>17</w:t>
            </w:r>
          </w:p>
        </w:tc>
      </w:tr>
      <w:tr w:rsidR="007562F0" w14:paraId="41944FF3" w14:textId="77777777" w:rsidTr="002E525E">
        <w:trPr>
          <w:trHeight w:val="300"/>
        </w:trPr>
        <w:tc>
          <w:tcPr>
            <w:tcW w:w="1384" w:type="dxa"/>
            <w:vMerge/>
            <w:tcBorders>
              <w:left w:val="single" w:sz="4" w:space="0" w:color="auto"/>
              <w:bottom w:val="single" w:sz="4" w:space="0" w:color="auto"/>
              <w:right w:val="single" w:sz="4" w:space="0" w:color="auto"/>
            </w:tcBorders>
          </w:tcPr>
          <w:p w14:paraId="3C96C14D" w14:textId="77777777" w:rsidR="007562F0" w:rsidRPr="00CB5456" w:rsidRDefault="007562F0" w:rsidP="00CB5456">
            <w:pPr>
              <w:pStyle w:val="Tabletext"/>
            </w:pPr>
          </w:p>
        </w:tc>
        <w:tc>
          <w:tcPr>
            <w:tcW w:w="885" w:type="dxa"/>
            <w:tcBorders>
              <w:top w:val="single" w:sz="4" w:space="0" w:color="auto"/>
              <w:left w:val="single" w:sz="4" w:space="0" w:color="auto"/>
              <w:bottom w:val="single" w:sz="4" w:space="0" w:color="auto"/>
              <w:right w:val="single" w:sz="4" w:space="0" w:color="auto"/>
            </w:tcBorders>
            <w:noWrap/>
            <w:vAlign w:val="bottom"/>
            <w:hideMark/>
          </w:tcPr>
          <w:p w14:paraId="7E82695B" w14:textId="77777777" w:rsidR="007562F0" w:rsidRPr="00CB5456" w:rsidRDefault="007562F0" w:rsidP="002E525E">
            <w:pPr>
              <w:pStyle w:val="Tabletext"/>
              <w:jc w:val="center"/>
            </w:pPr>
            <w:r w:rsidRPr="00CB5456">
              <w:t>5S</w:t>
            </w:r>
          </w:p>
        </w:tc>
        <w:tc>
          <w:tcPr>
            <w:tcW w:w="926" w:type="dxa"/>
            <w:tcBorders>
              <w:top w:val="single" w:sz="4" w:space="0" w:color="auto"/>
              <w:left w:val="single" w:sz="4" w:space="0" w:color="auto"/>
              <w:bottom w:val="single" w:sz="4" w:space="0" w:color="auto"/>
              <w:right w:val="single" w:sz="4" w:space="0" w:color="auto"/>
            </w:tcBorders>
            <w:vAlign w:val="bottom"/>
            <w:hideMark/>
          </w:tcPr>
          <w:p w14:paraId="6C10C5B6" w14:textId="77777777" w:rsidR="007562F0" w:rsidRPr="00CB5456" w:rsidRDefault="007562F0" w:rsidP="002E525E">
            <w:pPr>
              <w:pStyle w:val="Tabletext"/>
              <w:jc w:val="center"/>
            </w:pPr>
            <w:r w:rsidRPr="00CB5456">
              <w:t>3.5</w:t>
            </w:r>
          </w:p>
        </w:tc>
        <w:tc>
          <w:tcPr>
            <w:tcW w:w="905" w:type="dxa"/>
            <w:tcBorders>
              <w:top w:val="single" w:sz="4" w:space="0" w:color="auto"/>
              <w:left w:val="single" w:sz="4" w:space="0" w:color="auto"/>
              <w:bottom w:val="single" w:sz="4" w:space="0" w:color="auto"/>
              <w:right w:val="single" w:sz="4" w:space="0" w:color="auto"/>
            </w:tcBorders>
            <w:vAlign w:val="bottom"/>
            <w:hideMark/>
          </w:tcPr>
          <w:p w14:paraId="5A7DC87B" w14:textId="77777777" w:rsidR="007562F0" w:rsidRPr="00CB5456" w:rsidRDefault="007562F0" w:rsidP="002E525E">
            <w:pPr>
              <w:pStyle w:val="Tabletext"/>
              <w:jc w:val="center"/>
            </w:pPr>
            <w:r w:rsidRPr="00CB5456">
              <w:t>100</w:t>
            </w:r>
          </w:p>
        </w:tc>
        <w:tc>
          <w:tcPr>
            <w:tcW w:w="906" w:type="dxa"/>
            <w:tcBorders>
              <w:top w:val="single" w:sz="4" w:space="0" w:color="auto"/>
              <w:left w:val="single" w:sz="4" w:space="0" w:color="auto"/>
              <w:bottom w:val="single" w:sz="4" w:space="0" w:color="auto"/>
              <w:right w:val="single" w:sz="4" w:space="0" w:color="auto"/>
            </w:tcBorders>
            <w:vAlign w:val="bottom"/>
            <w:hideMark/>
          </w:tcPr>
          <w:p w14:paraId="26811025" w14:textId="77777777" w:rsidR="007562F0" w:rsidRPr="00CB5456" w:rsidRDefault="007562F0" w:rsidP="002E525E">
            <w:pPr>
              <w:pStyle w:val="Tabletext"/>
              <w:jc w:val="center"/>
            </w:pPr>
            <w:r w:rsidRPr="00CB5456">
              <w:t>700</w:t>
            </w:r>
          </w:p>
        </w:tc>
        <w:tc>
          <w:tcPr>
            <w:tcW w:w="905" w:type="dxa"/>
            <w:tcBorders>
              <w:top w:val="single" w:sz="4" w:space="0" w:color="auto"/>
              <w:left w:val="single" w:sz="4" w:space="0" w:color="auto"/>
              <w:bottom w:val="single" w:sz="4" w:space="0" w:color="auto"/>
              <w:right w:val="single" w:sz="4" w:space="0" w:color="auto"/>
            </w:tcBorders>
            <w:noWrap/>
            <w:vAlign w:val="bottom"/>
            <w:hideMark/>
          </w:tcPr>
          <w:p w14:paraId="40551FC7" w14:textId="77777777" w:rsidR="007562F0" w:rsidRPr="00CB5456" w:rsidRDefault="007562F0" w:rsidP="002E525E">
            <w:pPr>
              <w:pStyle w:val="Tabletext"/>
              <w:jc w:val="center"/>
            </w:pPr>
            <w:r w:rsidRPr="00CB5456">
              <w:t>150</w:t>
            </w:r>
          </w:p>
        </w:tc>
        <w:tc>
          <w:tcPr>
            <w:tcW w:w="906" w:type="dxa"/>
            <w:tcBorders>
              <w:top w:val="single" w:sz="4" w:space="0" w:color="auto"/>
              <w:left w:val="single" w:sz="4" w:space="0" w:color="auto"/>
              <w:bottom w:val="single" w:sz="4" w:space="0" w:color="auto"/>
              <w:right w:val="single" w:sz="4" w:space="0" w:color="auto"/>
            </w:tcBorders>
            <w:noWrap/>
            <w:vAlign w:val="bottom"/>
            <w:hideMark/>
          </w:tcPr>
          <w:p w14:paraId="1CB0E1F2" w14:textId="77777777" w:rsidR="007562F0" w:rsidRPr="00CB5456" w:rsidRDefault="007562F0" w:rsidP="002E525E">
            <w:pPr>
              <w:pStyle w:val="Tabletext"/>
              <w:jc w:val="center"/>
            </w:pPr>
            <w:r w:rsidRPr="00CB5456">
              <w:t>8.8</w:t>
            </w:r>
          </w:p>
        </w:tc>
        <w:tc>
          <w:tcPr>
            <w:tcW w:w="696" w:type="dxa"/>
            <w:tcBorders>
              <w:top w:val="single" w:sz="4" w:space="0" w:color="auto"/>
              <w:left w:val="single" w:sz="4" w:space="0" w:color="auto"/>
              <w:bottom w:val="single" w:sz="4" w:space="0" w:color="auto"/>
              <w:right w:val="single" w:sz="4" w:space="0" w:color="auto"/>
            </w:tcBorders>
            <w:noWrap/>
            <w:vAlign w:val="bottom"/>
            <w:hideMark/>
          </w:tcPr>
          <w:p w14:paraId="48D8D3C9" w14:textId="77777777" w:rsidR="007562F0" w:rsidRPr="00CB5456" w:rsidRDefault="007562F0" w:rsidP="002E525E">
            <w:pPr>
              <w:pStyle w:val="Tabletext"/>
              <w:jc w:val="center"/>
            </w:pPr>
            <w:r w:rsidRPr="00CB5456">
              <w:t>0.23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41419BD0" w14:textId="77777777" w:rsidR="007562F0" w:rsidRPr="00CB5456" w:rsidRDefault="007562F0" w:rsidP="002E525E">
            <w:pPr>
              <w:pStyle w:val="Tabletext"/>
              <w:jc w:val="center"/>
            </w:pPr>
            <w:r w:rsidRPr="00CB5456">
              <w:t>3.25</w:t>
            </w:r>
          </w:p>
        </w:tc>
        <w:tc>
          <w:tcPr>
            <w:tcW w:w="850" w:type="dxa"/>
            <w:tcBorders>
              <w:top w:val="single" w:sz="4" w:space="0" w:color="auto"/>
              <w:left w:val="single" w:sz="4" w:space="0" w:color="auto"/>
              <w:bottom w:val="single" w:sz="4" w:space="0" w:color="auto"/>
              <w:right w:val="single" w:sz="4" w:space="0" w:color="auto"/>
            </w:tcBorders>
            <w:vAlign w:val="bottom"/>
            <w:hideMark/>
          </w:tcPr>
          <w:p w14:paraId="0D035395" w14:textId="77777777" w:rsidR="007562F0" w:rsidRPr="00CB5456" w:rsidRDefault="007562F0" w:rsidP="002E525E">
            <w:pPr>
              <w:pStyle w:val="Tabletext"/>
              <w:jc w:val="center"/>
            </w:pPr>
            <w:r w:rsidRPr="00CB5456">
              <w:t>0.85</w:t>
            </w:r>
          </w:p>
        </w:tc>
        <w:tc>
          <w:tcPr>
            <w:tcW w:w="1083" w:type="dxa"/>
            <w:tcBorders>
              <w:top w:val="single" w:sz="4" w:space="0" w:color="auto"/>
              <w:left w:val="single" w:sz="4" w:space="0" w:color="auto"/>
              <w:bottom w:val="single" w:sz="4" w:space="0" w:color="auto"/>
              <w:right w:val="single" w:sz="4" w:space="0" w:color="auto"/>
            </w:tcBorders>
            <w:noWrap/>
            <w:vAlign w:val="bottom"/>
            <w:hideMark/>
          </w:tcPr>
          <w:p w14:paraId="53AA2683" w14:textId="1C888988" w:rsidR="007562F0" w:rsidRPr="00CB5456" w:rsidRDefault="007562F0" w:rsidP="002E525E">
            <w:pPr>
              <w:pStyle w:val="Tabletext"/>
              <w:jc w:val="center"/>
            </w:pPr>
            <w:r w:rsidRPr="00CB5456">
              <w:t>0.0</w:t>
            </w:r>
            <w:r w:rsidR="00DC534A">
              <w:t>17</w:t>
            </w:r>
          </w:p>
        </w:tc>
      </w:tr>
      <w:tr w:rsidR="007562F0" w14:paraId="5D3C19F3" w14:textId="77777777" w:rsidTr="002E525E">
        <w:trPr>
          <w:trHeight w:val="300"/>
        </w:trPr>
        <w:tc>
          <w:tcPr>
            <w:tcW w:w="1384" w:type="dxa"/>
            <w:tcBorders>
              <w:top w:val="single" w:sz="4" w:space="0" w:color="auto"/>
              <w:left w:val="single" w:sz="4" w:space="0" w:color="auto"/>
              <w:bottom w:val="single" w:sz="4" w:space="0" w:color="auto"/>
              <w:right w:val="single" w:sz="4" w:space="0" w:color="auto"/>
            </w:tcBorders>
            <w:vAlign w:val="bottom"/>
          </w:tcPr>
          <w:p w14:paraId="71CBE761" w14:textId="77777777" w:rsidR="007562F0" w:rsidRPr="00CB5456" w:rsidRDefault="007562F0" w:rsidP="00CB5456">
            <w:pPr>
              <w:pStyle w:val="Tabletext"/>
            </w:pPr>
            <w:r w:rsidRPr="00CB5456">
              <w:t>5.2(c) chest freezer</w:t>
            </w:r>
          </w:p>
        </w:tc>
        <w:tc>
          <w:tcPr>
            <w:tcW w:w="885" w:type="dxa"/>
            <w:tcBorders>
              <w:top w:val="single" w:sz="4" w:space="0" w:color="auto"/>
              <w:left w:val="single" w:sz="4" w:space="0" w:color="auto"/>
              <w:bottom w:val="single" w:sz="4" w:space="0" w:color="auto"/>
              <w:right w:val="single" w:sz="4" w:space="0" w:color="auto"/>
            </w:tcBorders>
            <w:noWrap/>
            <w:vAlign w:val="bottom"/>
            <w:hideMark/>
          </w:tcPr>
          <w:p w14:paraId="367866BB" w14:textId="77777777" w:rsidR="007562F0" w:rsidRPr="00CB5456" w:rsidRDefault="007562F0" w:rsidP="002E525E">
            <w:pPr>
              <w:pStyle w:val="Tabletext"/>
              <w:jc w:val="center"/>
            </w:pPr>
            <w:r w:rsidRPr="00CB5456">
              <w:t>6C</w:t>
            </w:r>
          </w:p>
        </w:tc>
        <w:tc>
          <w:tcPr>
            <w:tcW w:w="926" w:type="dxa"/>
            <w:tcBorders>
              <w:top w:val="single" w:sz="4" w:space="0" w:color="auto"/>
              <w:left w:val="single" w:sz="4" w:space="0" w:color="auto"/>
              <w:bottom w:val="single" w:sz="4" w:space="0" w:color="auto"/>
              <w:right w:val="single" w:sz="4" w:space="0" w:color="auto"/>
            </w:tcBorders>
            <w:vAlign w:val="bottom"/>
            <w:hideMark/>
          </w:tcPr>
          <w:p w14:paraId="4409DC64" w14:textId="77777777" w:rsidR="007562F0" w:rsidRPr="00CB5456" w:rsidRDefault="007562F0" w:rsidP="002E525E">
            <w:pPr>
              <w:pStyle w:val="Tabletext"/>
              <w:jc w:val="center"/>
            </w:pPr>
            <w:r w:rsidRPr="00CB5456">
              <w:t>3.5</w:t>
            </w:r>
          </w:p>
        </w:tc>
        <w:tc>
          <w:tcPr>
            <w:tcW w:w="905" w:type="dxa"/>
            <w:tcBorders>
              <w:top w:val="single" w:sz="4" w:space="0" w:color="auto"/>
              <w:left w:val="single" w:sz="4" w:space="0" w:color="auto"/>
              <w:bottom w:val="single" w:sz="4" w:space="0" w:color="auto"/>
              <w:right w:val="single" w:sz="4" w:space="0" w:color="auto"/>
            </w:tcBorders>
            <w:vAlign w:val="bottom"/>
            <w:hideMark/>
          </w:tcPr>
          <w:p w14:paraId="4958B49B" w14:textId="77777777" w:rsidR="007562F0" w:rsidRPr="00CB5456" w:rsidRDefault="007562F0" w:rsidP="002E525E">
            <w:pPr>
              <w:pStyle w:val="Tabletext"/>
              <w:jc w:val="center"/>
            </w:pPr>
            <w:r w:rsidRPr="00CB5456">
              <w:t>100</w:t>
            </w:r>
          </w:p>
        </w:tc>
        <w:tc>
          <w:tcPr>
            <w:tcW w:w="906" w:type="dxa"/>
            <w:tcBorders>
              <w:top w:val="single" w:sz="4" w:space="0" w:color="auto"/>
              <w:left w:val="single" w:sz="4" w:space="0" w:color="auto"/>
              <w:bottom w:val="single" w:sz="4" w:space="0" w:color="auto"/>
              <w:right w:val="single" w:sz="4" w:space="0" w:color="auto"/>
            </w:tcBorders>
            <w:vAlign w:val="bottom"/>
            <w:hideMark/>
          </w:tcPr>
          <w:p w14:paraId="6B1574B3" w14:textId="77777777" w:rsidR="007562F0" w:rsidRPr="00CB5456" w:rsidRDefault="007562F0" w:rsidP="002E525E">
            <w:pPr>
              <w:pStyle w:val="Tabletext"/>
              <w:jc w:val="center"/>
            </w:pPr>
            <w:r w:rsidRPr="00CB5456">
              <w:t>700</w:t>
            </w:r>
          </w:p>
        </w:tc>
        <w:tc>
          <w:tcPr>
            <w:tcW w:w="905" w:type="dxa"/>
            <w:tcBorders>
              <w:top w:val="single" w:sz="4" w:space="0" w:color="auto"/>
              <w:left w:val="single" w:sz="4" w:space="0" w:color="auto"/>
              <w:bottom w:val="single" w:sz="4" w:space="0" w:color="auto"/>
              <w:right w:val="single" w:sz="4" w:space="0" w:color="auto"/>
            </w:tcBorders>
            <w:noWrap/>
            <w:vAlign w:val="bottom"/>
            <w:hideMark/>
          </w:tcPr>
          <w:p w14:paraId="312AE16D" w14:textId="77777777" w:rsidR="007562F0" w:rsidRPr="00CB5456" w:rsidRDefault="007562F0" w:rsidP="002E525E">
            <w:pPr>
              <w:pStyle w:val="Tabletext"/>
              <w:jc w:val="center"/>
            </w:pPr>
            <w:r w:rsidRPr="00CB5456">
              <w:t>150</w:t>
            </w:r>
          </w:p>
        </w:tc>
        <w:tc>
          <w:tcPr>
            <w:tcW w:w="906" w:type="dxa"/>
            <w:tcBorders>
              <w:top w:val="single" w:sz="4" w:space="0" w:color="auto"/>
              <w:left w:val="single" w:sz="4" w:space="0" w:color="auto"/>
              <w:bottom w:val="single" w:sz="4" w:space="0" w:color="auto"/>
              <w:right w:val="single" w:sz="4" w:space="0" w:color="auto"/>
            </w:tcBorders>
            <w:noWrap/>
            <w:vAlign w:val="bottom"/>
            <w:hideMark/>
          </w:tcPr>
          <w:p w14:paraId="5516E9BD" w14:textId="77777777" w:rsidR="007562F0" w:rsidRPr="00CB5456" w:rsidRDefault="007562F0" w:rsidP="002E525E">
            <w:pPr>
              <w:pStyle w:val="Tabletext"/>
              <w:jc w:val="center"/>
            </w:pPr>
            <w:r w:rsidRPr="00CB5456">
              <w:t>7.5</w:t>
            </w:r>
          </w:p>
        </w:tc>
        <w:tc>
          <w:tcPr>
            <w:tcW w:w="696" w:type="dxa"/>
            <w:tcBorders>
              <w:top w:val="single" w:sz="4" w:space="0" w:color="auto"/>
              <w:left w:val="single" w:sz="4" w:space="0" w:color="auto"/>
              <w:bottom w:val="single" w:sz="4" w:space="0" w:color="auto"/>
              <w:right w:val="single" w:sz="4" w:space="0" w:color="auto"/>
            </w:tcBorders>
            <w:noWrap/>
            <w:vAlign w:val="bottom"/>
            <w:hideMark/>
          </w:tcPr>
          <w:p w14:paraId="6B11DB03" w14:textId="77777777" w:rsidR="007562F0" w:rsidRPr="00CB5456" w:rsidRDefault="007562F0" w:rsidP="002E525E">
            <w:pPr>
              <w:pStyle w:val="Tabletext"/>
              <w:jc w:val="center"/>
            </w:pPr>
            <w:r w:rsidRPr="00CB5456">
              <w:t>0.23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70BFCC0" w14:textId="77777777" w:rsidR="007562F0" w:rsidRPr="00CB5456" w:rsidRDefault="007562F0" w:rsidP="002E525E">
            <w:pPr>
              <w:pStyle w:val="Tabletext"/>
              <w:jc w:val="center"/>
            </w:pPr>
            <w:r w:rsidRPr="00CB5456">
              <w:t>3.27</w:t>
            </w:r>
          </w:p>
        </w:tc>
        <w:tc>
          <w:tcPr>
            <w:tcW w:w="850" w:type="dxa"/>
            <w:tcBorders>
              <w:top w:val="single" w:sz="4" w:space="0" w:color="auto"/>
              <w:left w:val="single" w:sz="4" w:space="0" w:color="auto"/>
              <w:bottom w:val="single" w:sz="4" w:space="0" w:color="auto"/>
              <w:right w:val="single" w:sz="4" w:space="0" w:color="auto"/>
            </w:tcBorders>
            <w:vAlign w:val="bottom"/>
            <w:hideMark/>
          </w:tcPr>
          <w:p w14:paraId="11EC1291" w14:textId="77777777" w:rsidR="007562F0" w:rsidRPr="00CB5456" w:rsidRDefault="007562F0" w:rsidP="002E525E">
            <w:pPr>
              <w:pStyle w:val="Tabletext"/>
              <w:jc w:val="center"/>
            </w:pPr>
            <w:r w:rsidRPr="00CB5456">
              <w:t>0.80</w:t>
            </w:r>
          </w:p>
        </w:tc>
        <w:tc>
          <w:tcPr>
            <w:tcW w:w="1083" w:type="dxa"/>
            <w:tcBorders>
              <w:top w:val="single" w:sz="4" w:space="0" w:color="auto"/>
              <w:left w:val="single" w:sz="4" w:space="0" w:color="auto"/>
              <w:bottom w:val="single" w:sz="4" w:space="0" w:color="auto"/>
              <w:right w:val="single" w:sz="4" w:space="0" w:color="auto"/>
            </w:tcBorders>
            <w:noWrap/>
            <w:vAlign w:val="bottom"/>
            <w:hideMark/>
          </w:tcPr>
          <w:p w14:paraId="2890FCB9" w14:textId="3D10DD7B" w:rsidR="007562F0" w:rsidRPr="00CB5456" w:rsidRDefault="007562F0" w:rsidP="002E525E">
            <w:pPr>
              <w:pStyle w:val="Tabletext"/>
              <w:jc w:val="center"/>
            </w:pPr>
            <w:r w:rsidRPr="00CB5456">
              <w:t>0.0</w:t>
            </w:r>
            <w:r w:rsidR="00DC534A">
              <w:t>21</w:t>
            </w:r>
          </w:p>
        </w:tc>
      </w:tr>
      <w:tr w:rsidR="007562F0" w14:paraId="389CA470" w14:textId="77777777" w:rsidTr="002E525E">
        <w:trPr>
          <w:trHeight w:val="300"/>
        </w:trPr>
        <w:tc>
          <w:tcPr>
            <w:tcW w:w="1384" w:type="dxa"/>
            <w:vMerge w:val="restart"/>
            <w:tcBorders>
              <w:top w:val="single" w:sz="4" w:space="0" w:color="auto"/>
              <w:left w:val="single" w:sz="4" w:space="0" w:color="auto"/>
              <w:right w:val="single" w:sz="4" w:space="0" w:color="auto"/>
            </w:tcBorders>
            <w:vAlign w:val="bottom"/>
          </w:tcPr>
          <w:p w14:paraId="65BC69D3" w14:textId="77777777" w:rsidR="007562F0" w:rsidRPr="00CB5456" w:rsidRDefault="007562F0" w:rsidP="00CB5456">
            <w:pPr>
              <w:pStyle w:val="Tabletext"/>
            </w:pPr>
            <w:r w:rsidRPr="00CB5456">
              <w:t>5.2(d) upright freezer</w:t>
            </w:r>
          </w:p>
        </w:tc>
        <w:tc>
          <w:tcPr>
            <w:tcW w:w="885" w:type="dxa"/>
            <w:tcBorders>
              <w:top w:val="single" w:sz="4" w:space="0" w:color="auto"/>
              <w:left w:val="single" w:sz="4" w:space="0" w:color="auto"/>
              <w:bottom w:val="single" w:sz="4" w:space="0" w:color="auto"/>
              <w:right w:val="single" w:sz="4" w:space="0" w:color="auto"/>
            </w:tcBorders>
            <w:noWrap/>
            <w:vAlign w:val="bottom"/>
            <w:hideMark/>
          </w:tcPr>
          <w:p w14:paraId="0834A8BC" w14:textId="77777777" w:rsidR="007562F0" w:rsidRPr="00CB5456" w:rsidRDefault="007562F0" w:rsidP="002E525E">
            <w:pPr>
              <w:pStyle w:val="Tabletext"/>
              <w:jc w:val="center"/>
            </w:pPr>
            <w:r w:rsidRPr="00CB5456">
              <w:t>6U</w:t>
            </w:r>
          </w:p>
        </w:tc>
        <w:tc>
          <w:tcPr>
            <w:tcW w:w="926" w:type="dxa"/>
            <w:tcBorders>
              <w:top w:val="single" w:sz="4" w:space="0" w:color="auto"/>
              <w:left w:val="single" w:sz="4" w:space="0" w:color="auto"/>
              <w:bottom w:val="single" w:sz="4" w:space="0" w:color="auto"/>
              <w:right w:val="single" w:sz="4" w:space="0" w:color="auto"/>
            </w:tcBorders>
            <w:vAlign w:val="bottom"/>
            <w:hideMark/>
          </w:tcPr>
          <w:p w14:paraId="6739E90B" w14:textId="77777777" w:rsidR="007562F0" w:rsidRPr="00CB5456" w:rsidRDefault="007562F0" w:rsidP="002E525E">
            <w:pPr>
              <w:pStyle w:val="Tabletext"/>
              <w:jc w:val="center"/>
            </w:pPr>
            <w:r w:rsidRPr="00CB5456">
              <w:t>3.0</w:t>
            </w:r>
          </w:p>
        </w:tc>
        <w:tc>
          <w:tcPr>
            <w:tcW w:w="905" w:type="dxa"/>
            <w:tcBorders>
              <w:top w:val="single" w:sz="4" w:space="0" w:color="auto"/>
              <w:left w:val="single" w:sz="4" w:space="0" w:color="auto"/>
              <w:bottom w:val="single" w:sz="4" w:space="0" w:color="auto"/>
              <w:right w:val="single" w:sz="4" w:space="0" w:color="auto"/>
            </w:tcBorders>
            <w:vAlign w:val="bottom"/>
            <w:hideMark/>
          </w:tcPr>
          <w:p w14:paraId="33AE4667" w14:textId="77777777" w:rsidR="007562F0" w:rsidRPr="00CB5456" w:rsidRDefault="007562F0" w:rsidP="002E525E">
            <w:pPr>
              <w:pStyle w:val="Tabletext"/>
              <w:jc w:val="center"/>
            </w:pPr>
            <w:r w:rsidRPr="00CB5456">
              <w:t>100</w:t>
            </w:r>
          </w:p>
        </w:tc>
        <w:tc>
          <w:tcPr>
            <w:tcW w:w="906" w:type="dxa"/>
            <w:tcBorders>
              <w:top w:val="single" w:sz="4" w:space="0" w:color="auto"/>
              <w:left w:val="single" w:sz="4" w:space="0" w:color="auto"/>
              <w:bottom w:val="single" w:sz="4" w:space="0" w:color="auto"/>
              <w:right w:val="single" w:sz="4" w:space="0" w:color="auto"/>
            </w:tcBorders>
            <w:vAlign w:val="bottom"/>
            <w:hideMark/>
          </w:tcPr>
          <w:p w14:paraId="3FCFBD7A" w14:textId="77777777" w:rsidR="007562F0" w:rsidRPr="00CB5456" w:rsidRDefault="007562F0" w:rsidP="002E525E">
            <w:pPr>
              <w:pStyle w:val="Tabletext"/>
              <w:jc w:val="center"/>
            </w:pPr>
            <w:r w:rsidRPr="00CB5456">
              <w:t>700</w:t>
            </w:r>
          </w:p>
        </w:tc>
        <w:tc>
          <w:tcPr>
            <w:tcW w:w="905" w:type="dxa"/>
            <w:tcBorders>
              <w:top w:val="single" w:sz="4" w:space="0" w:color="auto"/>
              <w:left w:val="single" w:sz="4" w:space="0" w:color="auto"/>
              <w:bottom w:val="single" w:sz="4" w:space="0" w:color="auto"/>
              <w:right w:val="single" w:sz="4" w:space="0" w:color="auto"/>
            </w:tcBorders>
            <w:noWrap/>
            <w:vAlign w:val="bottom"/>
            <w:hideMark/>
          </w:tcPr>
          <w:p w14:paraId="1FA4C5EB" w14:textId="77777777" w:rsidR="007562F0" w:rsidRPr="00CB5456" w:rsidRDefault="007562F0" w:rsidP="002E525E">
            <w:pPr>
              <w:pStyle w:val="Tabletext"/>
              <w:jc w:val="center"/>
            </w:pPr>
            <w:r w:rsidRPr="00CB5456">
              <w:t>150</w:t>
            </w:r>
          </w:p>
        </w:tc>
        <w:tc>
          <w:tcPr>
            <w:tcW w:w="906" w:type="dxa"/>
            <w:tcBorders>
              <w:top w:val="single" w:sz="4" w:space="0" w:color="auto"/>
              <w:left w:val="single" w:sz="4" w:space="0" w:color="auto"/>
              <w:bottom w:val="single" w:sz="4" w:space="0" w:color="auto"/>
              <w:right w:val="single" w:sz="4" w:space="0" w:color="auto"/>
            </w:tcBorders>
            <w:noWrap/>
            <w:vAlign w:val="bottom"/>
            <w:hideMark/>
          </w:tcPr>
          <w:p w14:paraId="0F497E9F" w14:textId="77777777" w:rsidR="007562F0" w:rsidRPr="00CB5456" w:rsidRDefault="007562F0" w:rsidP="002E525E">
            <w:pPr>
              <w:pStyle w:val="Tabletext"/>
              <w:jc w:val="center"/>
            </w:pPr>
            <w:r w:rsidRPr="00CB5456">
              <w:t>7.5</w:t>
            </w:r>
          </w:p>
        </w:tc>
        <w:tc>
          <w:tcPr>
            <w:tcW w:w="696" w:type="dxa"/>
            <w:tcBorders>
              <w:top w:val="single" w:sz="4" w:space="0" w:color="auto"/>
              <w:left w:val="single" w:sz="4" w:space="0" w:color="auto"/>
              <w:bottom w:val="single" w:sz="4" w:space="0" w:color="auto"/>
              <w:right w:val="single" w:sz="4" w:space="0" w:color="auto"/>
            </w:tcBorders>
            <w:noWrap/>
            <w:vAlign w:val="bottom"/>
            <w:hideMark/>
          </w:tcPr>
          <w:p w14:paraId="118B60B9" w14:textId="77777777" w:rsidR="007562F0" w:rsidRPr="00CB5456" w:rsidRDefault="007562F0" w:rsidP="002E525E">
            <w:pPr>
              <w:pStyle w:val="Tabletext"/>
              <w:jc w:val="center"/>
            </w:pPr>
            <w:r w:rsidRPr="00CB5456">
              <w:t>0.23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2B0A4D35" w14:textId="77777777" w:rsidR="007562F0" w:rsidRPr="00CB5456" w:rsidRDefault="007562F0" w:rsidP="002E525E">
            <w:pPr>
              <w:pStyle w:val="Tabletext"/>
              <w:jc w:val="center"/>
            </w:pPr>
            <w:r w:rsidRPr="00CB5456">
              <w:t>2.82</w:t>
            </w:r>
          </w:p>
        </w:tc>
        <w:tc>
          <w:tcPr>
            <w:tcW w:w="850" w:type="dxa"/>
            <w:tcBorders>
              <w:top w:val="single" w:sz="4" w:space="0" w:color="auto"/>
              <w:left w:val="single" w:sz="4" w:space="0" w:color="auto"/>
              <w:bottom w:val="single" w:sz="4" w:space="0" w:color="auto"/>
              <w:right w:val="single" w:sz="4" w:space="0" w:color="auto"/>
            </w:tcBorders>
            <w:vAlign w:val="bottom"/>
            <w:hideMark/>
          </w:tcPr>
          <w:p w14:paraId="4540C657" w14:textId="77777777" w:rsidR="007562F0" w:rsidRPr="00CB5456" w:rsidRDefault="007562F0" w:rsidP="002E525E">
            <w:pPr>
              <w:pStyle w:val="Tabletext"/>
              <w:jc w:val="center"/>
            </w:pPr>
            <w:r w:rsidRPr="00CB5456">
              <w:t>0.80</w:t>
            </w:r>
          </w:p>
        </w:tc>
        <w:tc>
          <w:tcPr>
            <w:tcW w:w="1083" w:type="dxa"/>
            <w:tcBorders>
              <w:top w:val="single" w:sz="4" w:space="0" w:color="auto"/>
              <w:left w:val="single" w:sz="4" w:space="0" w:color="auto"/>
              <w:bottom w:val="single" w:sz="4" w:space="0" w:color="auto"/>
              <w:right w:val="single" w:sz="4" w:space="0" w:color="auto"/>
            </w:tcBorders>
            <w:noWrap/>
            <w:vAlign w:val="bottom"/>
            <w:hideMark/>
          </w:tcPr>
          <w:p w14:paraId="6105DA82" w14:textId="4B0D7E91" w:rsidR="007562F0" w:rsidRPr="00CB5456" w:rsidRDefault="007562F0" w:rsidP="002E525E">
            <w:pPr>
              <w:pStyle w:val="Tabletext"/>
              <w:jc w:val="center"/>
            </w:pPr>
            <w:r w:rsidRPr="00CB5456">
              <w:t>0.0</w:t>
            </w:r>
            <w:r w:rsidR="00DC534A">
              <w:t>21</w:t>
            </w:r>
          </w:p>
        </w:tc>
      </w:tr>
      <w:tr w:rsidR="007562F0" w14:paraId="4311FFE8" w14:textId="77777777" w:rsidTr="002E525E">
        <w:trPr>
          <w:trHeight w:val="300"/>
        </w:trPr>
        <w:tc>
          <w:tcPr>
            <w:tcW w:w="1384" w:type="dxa"/>
            <w:vMerge/>
            <w:tcBorders>
              <w:left w:val="single" w:sz="4" w:space="0" w:color="auto"/>
              <w:bottom w:val="single" w:sz="4" w:space="0" w:color="auto"/>
              <w:right w:val="single" w:sz="4" w:space="0" w:color="auto"/>
            </w:tcBorders>
          </w:tcPr>
          <w:p w14:paraId="6C5D3626" w14:textId="77777777" w:rsidR="007562F0" w:rsidRPr="00CB5456" w:rsidRDefault="007562F0" w:rsidP="00CB5456">
            <w:pPr>
              <w:pStyle w:val="Tabletext"/>
            </w:pPr>
          </w:p>
        </w:tc>
        <w:tc>
          <w:tcPr>
            <w:tcW w:w="885" w:type="dxa"/>
            <w:tcBorders>
              <w:top w:val="single" w:sz="4" w:space="0" w:color="auto"/>
              <w:left w:val="single" w:sz="4" w:space="0" w:color="auto"/>
              <w:bottom w:val="single" w:sz="4" w:space="0" w:color="auto"/>
              <w:right w:val="single" w:sz="4" w:space="0" w:color="auto"/>
            </w:tcBorders>
            <w:noWrap/>
            <w:vAlign w:val="bottom"/>
            <w:hideMark/>
          </w:tcPr>
          <w:p w14:paraId="4EF34B5C" w14:textId="77777777" w:rsidR="007562F0" w:rsidRPr="00CB5456" w:rsidRDefault="007562F0" w:rsidP="002E525E">
            <w:pPr>
              <w:pStyle w:val="Tabletext"/>
              <w:jc w:val="center"/>
            </w:pPr>
            <w:r w:rsidRPr="00CB5456">
              <w:t>7</w:t>
            </w:r>
          </w:p>
        </w:tc>
        <w:tc>
          <w:tcPr>
            <w:tcW w:w="926" w:type="dxa"/>
            <w:tcBorders>
              <w:top w:val="single" w:sz="4" w:space="0" w:color="auto"/>
              <w:left w:val="single" w:sz="4" w:space="0" w:color="auto"/>
              <w:bottom w:val="single" w:sz="4" w:space="0" w:color="auto"/>
              <w:right w:val="single" w:sz="4" w:space="0" w:color="auto"/>
            </w:tcBorders>
            <w:vAlign w:val="bottom"/>
            <w:hideMark/>
          </w:tcPr>
          <w:p w14:paraId="669EF67D" w14:textId="77777777" w:rsidR="007562F0" w:rsidRPr="00CB5456" w:rsidRDefault="007562F0" w:rsidP="002E525E">
            <w:pPr>
              <w:pStyle w:val="Tabletext"/>
              <w:jc w:val="center"/>
            </w:pPr>
            <w:r w:rsidRPr="00CB5456">
              <w:t>3.0</w:t>
            </w:r>
          </w:p>
        </w:tc>
        <w:tc>
          <w:tcPr>
            <w:tcW w:w="905" w:type="dxa"/>
            <w:tcBorders>
              <w:top w:val="single" w:sz="4" w:space="0" w:color="auto"/>
              <w:left w:val="single" w:sz="4" w:space="0" w:color="auto"/>
              <w:bottom w:val="single" w:sz="4" w:space="0" w:color="auto"/>
              <w:right w:val="single" w:sz="4" w:space="0" w:color="auto"/>
            </w:tcBorders>
            <w:vAlign w:val="bottom"/>
            <w:hideMark/>
          </w:tcPr>
          <w:p w14:paraId="7B631317" w14:textId="77777777" w:rsidR="007562F0" w:rsidRPr="00CB5456" w:rsidRDefault="007562F0" w:rsidP="002E525E">
            <w:pPr>
              <w:pStyle w:val="Tabletext"/>
              <w:jc w:val="center"/>
            </w:pPr>
            <w:r w:rsidRPr="00CB5456">
              <w:t>100</w:t>
            </w:r>
          </w:p>
        </w:tc>
        <w:tc>
          <w:tcPr>
            <w:tcW w:w="906" w:type="dxa"/>
            <w:tcBorders>
              <w:top w:val="single" w:sz="4" w:space="0" w:color="auto"/>
              <w:left w:val="single" w:sz="4" w:space="0" w:color="auto"/>
              <w:bottom w:val="single" w:sz="4" w:space="0" w:color="auto"/>
              <w:right w:val="single" w:sz="4" w:space="0" w:color="auto"/>
            </w:tcBorders>
            <w:vAlign w:val="bottom"/>
            <w:hideMark/>
          </w:tcPr>
          <w:p w14:paraId="22E058F6" w14:textId="77777777" w:rsidR="007562F0" w:rsidRPr="00CB5456" w:rsidRDefault="007562F0" w:rsidP="002E525E">
            <w:pPr>
              <w:pStyle w:val="Tabletext"/>
              <w:jc w:val="center"/>
            </w:pPr>
            <w:r w:rsidRPr="00CB5456">
              <w:t>700</w:t>
            </w:r>
          </w:p>
        </w:tc>
        <w:tc>
          <w:tcPr>
            <w:tcW w:w="905" w:type="dxa"/>
            <w:tcBorders>
              <w:top w:val="single" w:sz="4" w:space="0" w:color="auto"/>
              <w:left w:val="single" w:sz="4" w:space="0" w:color="auto"/>
              <w:bottom w:val="single" w:sz="4" w:space="0" w:color="auto"/>
              <w:right w:val="single" w:sz="4" w:space="0" w:color="auto"/>
            </w:tcBorders>
            <w:noWrap/>
            <w:vAlign w:val="bottom"/>
            <w:hideMark/>
          </w:tcPr>
          <w:p w14:paraId="13C195BC" w14:textId="77777777" w:rsidR="007562F0" w:rsidRPr="00CB5456" w:rsidRDefault="007562F0" w:rsidP="002E525E">
            <w:pPr>
              <w:pStyle w:val="Tabletext"/>
              <w:jc w:val="center"/>
            </w:pPr>
            <w:r w:rsidRPr="00CB5456">
              <w:t>150</w:t>
            </w:r>
          </w:p>
        </w:tc>
        <w:tc>
          <w:tcPr>
            <w:tcW w:w="906" w:type="dxa"/>
            <w:tcBorders>
              <w:top w:val="single" w:sz="4" w:space="0" w:color="auto"/>
              <w:left w:val="single" w:sz="4" w:space="0" w:color="auto"/>
              <w:bottom w:val="single" w:sz="4" w:space="0" w:color="auto"/>
              <w:right w:val="single" w:sz="4" w:space="0" w:color="auto"/>
            </w:tcBorders>
            <w:noWrap/>
            <w:vAlign w:val="bottom"/>
            <w:hideMark/>
          </w:tcPr>
          <w:p w14:paraId="049A01E7" w14:textId="77777777" w:rsidR="007562F0" w:rsidRPr="00CB5456" w:rsidRDefault="007562F0" w:rsidP="002E525E">
            <w:pPr>
              <w:pStyle w:val="Tabletext"/>
              <w:jc w:val="center"/>
            </w:pPr>
            <w:r w:rsidRPr="00CB5456">
              <w:t>7.5</w:t>
            </w:r>
          </w:p>
        </w:tc>
        <w:tc>
          <w:tcPr>
            <w:tcW w:w="696" w:type="dxa"/>
            <w:tcBorders>
              <w:top w:val="single" w:sz="4" w:space="0" w:color="auto"/>
              <w:left w:val="single" w:sz="4" w:space="0" w:color="auto"/>
              <w:bottom w:val="single" w:sz="4" w:space="0" w:color="auto"/>
              <w:right w:val="single" w:sz="4" w:space="0" w:color="auto"/>
            </w:tcBorders>
            <w:noWrap/>
            <w:vAlign w:val="bottom"/>
            <w:hideMark/>
          </w:tcPr>
          <w:p w14:paraId="23479BAA" w14:textId="77777777" w:rsidR="007562F0" w:rsidRPr="00CB5456" w:rsidRDefault="007562F0" w:rsidP="002E525E">
            <w:pPr>
              <w:pStyle w:val="Tabletext"/>
              <w:jc w:val="center"/>
            </w:pPr>
            <w:r w:rsidRPr="00CB5456">
              <w:t>0.23</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0D2B8AB3" w14:textId="77777777" w:rsidR="007562F0" w:rsidRPr="00CB5456" w:rsidRDefault="007562F0" w:rsidP="002E525E">
            <w:pPr>
              <w:pStyle w:val="Tabletext"/>
              <w:jc w:val="center"/>
            </w:pPr>
            <w:r w:rsidRPr="00CB5456">
              <w:t>2.82</w:t>
            </w:r>
          </w:p>
        </w:tc>
        <w:tc>
          <w:tcPr>
            <w:tcW w:w="850" w:type="dxa"/>
            <w:tcBorders>
              <w:top w:val="single" w:sz="4" w:space="0" w:color="auto"/>
              <w:left w:val="single" w:sz="4" w:space="0" w:color="auto"/>
              <w:bottom w:val="single" w:sz="4" w:space="0" w:color="auto"/>
              <w:right w:val="single" w:sz="4" w:space="0" w:color="auto"/>
            </w:tcBorders>
            <w:vAlign w:val="bottom"/>
            <w:hideMark/>
          </w:tcPr>
          <w:p w14:paraId="5A74A282" w14:textId="77777777" w:rsidR="007562F0" w:rsidRPr="00CB5456" w:rsidRDefault="007562F0" w:rsidP="002E525E">
            <w:pPr>
              <w:pStyle w:val="Tabletext"/>
              <w:jc w:val="center"/>
            </w:pPr>
            <w:r w:rsidRPr="00CB5456">
              <w:t>0.80</w:t>
            </w:r>
          </w:p>
        </w:tc>
        <w:tc>
          <w:tcPr>
            <w:tcW w:w="1083" w:type="dxa"/>
            <w:tcBorders>
              <w:top w:val="single" w:sz="4" w:space="0" w:color="auto"/>
              <w:left w:val="single" w:sz="4" w:space="0" w:color="auto"/>
              <w:bottom w:val="single" w:sz="4" w:space="0" w:color="auto"/>
              <w:right w:val="single" w:sz="4" w:space="0" w:color="auto"/>
            </w:tcBorders>
            <w:noWrap/>
            <w:vAlign w:val="bottom"/>
            <w:hideMark/>
          </w:tcPr>
          <w:p w14:paraId="478B38E2" w14:textId="5FBD5412" w:rsidR="007562F0" w:rsidRPr="00CB5456" w:rsidRDefault="007562F0" w:rsidP="002E525E">
            <w:pPr>
              <w:pStyle w:val="Tabletext"/>
              <w:jc w:val="center"/>
            </w:pPr>
            <w:r w:rsidRPr="00CB5456">
              <w:t>0.0</w:t>
            </w:r>
            <w:r w:rsidR="00DC534A">
              <w:t>21</w:t>
            </w:r>
          </w:p>
        </w:tc>
      </w:tr>
    </w:tbl>
    <w:p w14:paraId="24933DE6" w14:textId="77777777" w:rsidR="008F54B6" w:rsidRPr="00F62E69" w:rsidRDefault="008F54B6" w:rsidP="00F62E69">
      <w:pPr>
        <w:pStyle w:val="TableBullet1"/>
        <w:tabs>
          <w:tab w:val="clear" w:pos="360"/>
        </w:tabs>
        <w:spacing w:before="160" w:after="160" w:line="288" w:lineRule="auto"/>
        <w:ind w:left="0" w:firstLine="0"/>
        <w:rPr>
          <w:color w:val="000000"/>
          <w:sz w:val="20"/>
          <w:szCs w:val="20"/>
        </w:rPr>
      </w:pPr>
    </w:p>
    <w:p w14:paraId="3FBA797F" w14:textId="77777777" w:rsidR="00D936CF" w:rsidRPr="00970AD2" w:rsidRDefault="00F62E69" w:rsidP="00E908BA">
      <w:pPr>
        <w:pStyle w:val="Sectionheading2"/>
      </w:pPr>
      <w:bookmarkStart w:id="340" w:name="_Toc435603243"/>
      <w:bookmarkStart w:id="341" w:name="_Toc454287734"/>
      <w:bookmarkStart w:id="342" w:name="_Toc466535746"/>
      <w:r>
        <w:br w:type="page"/>
      </w:r>
      <w:bookmarkStart w:id="343" w:name="_Toc333417654"/>
      <w:bookmarkStart w:id="344" w:name="_Toc27560567"/>
      <w:r w:rsidR="00D936CF" w:rsidRPr="00970AD2">
        <w:lastRenderedPageBreak/>
        <w:t>Purchase of high efficiency electric clothes dryer</w:t>
      </w:r>
      <w:bookmarkEnd w:id="340"/>
      <w:bookmarkEnd w:id="341"/>
      <w:bookmarkEnd w:id="342"/>
      <w:bookmarkEnd w:id="343"/>
      <w:bookmarkEnd w:id="344"/>
    </w:p>
    <w:p w14:paraId="6FD3C7EA" w14:textId="77777777" w:rsidR="00D936CF" w:rsidRPr="00970AD2" w:rsidRDefault="00D936CF" w:rsidP="00E908BA">
      <w:pPr>
        <w:pStyle w:val="Sectionheading3"/>
      </w:pPr>
      <w:r w:rsidRPr="00970AD2">
        <w:t>Activity definition</w:t>
      </w:r>
    </w:p>
    <w:p w14:paraId="2AA9407D" w14:textId="77777777" w:rsidR="00D936CF" w:rsidRPr="00970AD2" w:rsidRDefault="007357F2" w:rsidP="006C1EF8">
      <w:pPr>
        <w:pStyle w:val="BodytextEEIS"/>
      </w:pPr>
      <w:r w:rsidRPr="00970AD2">
        <w:rPr>
          <w:b/>
        </w:rPr>
        <w:t xml:space="preserve">Activity ID 5.3 </w:t>
      </w:r>
      <w:r w:rsidRPr="00970AD2">
        <w:t xml:space="preserve">– </w:t>
      </w:r>
      <w:r w:rsidR="00B11D6B">
        <w:t>I</w:t>
      </w:r>
      <w:r w:rsidR="00D936CF" w:rsidRPr="00970AD2">
        <w:t>n accordance with the prescribed minimum activity performance specifications, purchase for installation in a premises of a high efficiency clothes dryer.</w:t>
      </w:r>
    </w:p>
    <w:p w14:paraId="3A1BC537" w14:textId="77777777" w:rsidR="00D936CF" w:rsidRPr="00970AD2" w:rsidRDefault="00D936CF" w:rsidP="006C1EF8">
      <w:pPr>
        <w:pStyle w:val="Sectionheading3"/>
      </w:pPr>
      <w:r w:rsidRPr="00970AD2">
        <w:t>Minimum activity performance specifications</w:t>
      </w:r>
    </w:p>
    <w:p w14:paraId="5669A599" w14:textId="77777777" w:rsidR="00D936CF" w:rsidRPr="00970AD2" w:rsidRDefault="00D936CF" w:rsidP="006C1EF8">
      <w:pPr>
        <w:pStyle w:val="BodytextEEIS"/>
        <w:rPr>
          <w:i/>
        </w:rPr>
      </w:pPr>
      <w:r w:rsidRPr="00970AD2">
        <w:t>To be an eligible activity</w:t>
      </w:r>
      <w:r w:rsidRPr="00970AD2">
        <w:rPr>
          <w:bCs/>
        </w:rPr>
        <w:t>—</w:t>
      </w:r>
    </w:p>
    <w:p w14:paraId="2E02B786" w14:textId="77777777" w:rsidR="00D936CF" w:rsidRPr="00970AD2" w:rsidRDefault="00D936CF" w:rsidP="00D633D3">
      <w:pPr>
        <w:pStyle w:val="Subdetailsfirstindent"/>
        <w:numPr>
          <w:ilvl w:val="0"/>
          <w:numId w:val="133"/>
        </w:numPr>
      </w:pPr>
      <w:r w:rsidRPr="00970AD2">
        <w:t xml:space="preserve">the product or products must be purchased by a resident of the ACT for installation and use in a residential or business premises; </w:t>
      </w:r>
    </w:p>
    <w:p w14:paraId="39475A75" w14:textId="77777777" w:rsidR="00D936CF" w:rsidRPr="00970AD2" w:rsidRDefault="00B11D6B" w:rsidP="00D633D3">
      <w:pPr>
        <w:pStyle w:val="Subdetailsfirstindent"/>
        <w:numPr>
          <w:ilvl w:val="0"/>
          <w:numId w:val="133"/>
        </w:numPr>
      </w:pPr>
      <w:r>
        <w:t xml:space="preserve">the activity must </w:t>
      </w:r>
      <w:r w:rsidR="00D936CF" w:rsidRPr="00970AD2">
        <w:t xml:space="preserve">be undertaken using a product or products meeting the installed product requirements in section </w:t>
      </w:r>
      <w:r>
        <w:t>5.3.</w:t>
      </w:r>
      <w:r w:rsidR="00D936CF" w:rsidRPr="00970AD2">
        <w:t xml:space="preserve">3; </w:t>
      </w:r>
    </w:p>
    <w:p w14:paraId="01661EFD" w14:textId="77777777" w:rsidR="00D936CF" w:rsidRPr="00970AD2" w:rsidRDefault="00D936CF" w:rsidP="00D633D3">
      <w:pPr>
        <w:pStyle w:val="Subdetailsfirstindent"/>
        <w:numPr>
          <w:ilvl w:val="0"/>
          <w:numId w:val="133"/>
        </w:numPr>
      </w:pPr>
      <w:r w:rsidRPr="00970AD2">
        <w:t xml:space="preserve">the activity must be completed and certified in accordance with the relevant code of practice and other relevant legislation for the activity; and </w:t>
      </w:r>
    </w:p>
    <w:p w14:paraId="45BF7347" w14:textId="77777777" w:rsidR="00D936CF" w:rsidRPr="00970AD2" w:rsidRDefault="00B11D6B" w:rsidP="00D633D3">
      <w:pPr>
        <w:pStyle w:val="Subdetailsfirstindent"/>
        <w:numPr>
          <w:ilvl w:val="0"/>
          <w:numId w:val="133"/>
        </w:numPr>
      </w:pPr>
      <w:r>
        <w:t xml:space="preserve">it must </w:t>
      </w:r>
      <w:r w:rsidR="00D936CF" w:rsidRPr="00970AD2">
        <w:t xml:space="preserve">be recorded in accordance with any relevant code of practice for the activity. </w:t>
      </w:r>
    </w:p>
    <w:p w14:paraId="5CB63A71" w14:textId="77777777" w:rsidR="00D936CF" w:rsidRPr="00970AD2" w:rsidRDefault="00D936CF" w:rsidP="006C1EF8">
      <w:pPr>
        <w:pStyle w:val="Notesandexamples"/>
      </w:pPr>
      <w:r w:rsidRPr="00970AD2">
        <w:t>Note</w:t>
      </w:r>
      <w:r w:rsidRPr="00970AD2">
        <w:tab/>
      </w:r>
      <w:r w:rsidR="00325C97" w:rsidRPr="00970AD2">
        <w:t>All activities are subject to independent inspection or audit to confirm compliance with prescribed activity requirements.</w:t>
      </w:r>
    </w:p>
    <w:p w14:paraId="55ECE993" w14:textId="77777777" w:rsidR="00D936CF" w:rsidRPr="002B3E3D" w:rsidRDefault="003B19BC" w:rsidP="006C1EF8">
      <w:pPr>
        <w:pStyle w:val="Sectionheading3"/>
      </w:pPr>
      <w:r w:rsidRPr="00F0256F">
        <w:fldChar w:fldCharType="begin"/>
      </w:r>
      <w:r w:rsidRPr="00F0256F">
        <w:instrText xml:space="preserve"> QUOTE </w:instrText>
      </w:r>
      <w:r w:rsidR="00970EB6">
        <w:rPr>
          <w:position w:val="-12"/>
        </w:rPr>
        <w:pict w14:anchorId="70D21F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23.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20&quot;/&gt;&lt;w:drawingGridHorizontalSpacing w:val=&quot;100&quot;/&gt;&lt;w:displayHorizontalDrawingGridEvery w:val=&quot;2&quot;/&gt;&lt;w:punctuationKerning/&gt;&lt;w:characterSpacingControl w:val=&quot;DontCompress&quot;/&gt;&lt;w:optimizeForBrowser/&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90260&quot;/&gt;&lt;wsp:rsid wsp:val=&quot;00005C2F&quot;/&gt;&lt;wsp:rsid wsp:val=&quot;000068F5&quot;/&gt;&lt;wsp:rsid wsp:val=&quot;00011B2C&quot;/&gt;&lt;wsp:rsid wsp:val=&quot;00012471&quot;/&gt;&lt;wsp:rsid wsp:val=&quot;00012757&quot;/&gt;&lt;wsp:rsid wsp:val=&quot;000149EC&quot;/&gt;&lt;wsp:rsid wsp:val=&quot;00016243&quot;/&gt;&lt;wsp:rsid wsp:val=&quot;000170B5&quot;/&gt;&lt;wsp:rsid wsp:val=&quot;00023ED2&quot;/&gt;&lt;wsp:rsid wsp:val=&quot;000240D7&quot;/&gt;&lt;wsp:rsid wsp:val=&quot;000252BC&quot;/&gt;&lt;wsp:rsid wsp:val=&quot;0002706C&quot;/&gt;&lt;wsp:rsid wsp:val=&quot;0002744C&quot;/&gt;&lt;wsp:rsid wsp:val=&quot;00030578&quot;/&gt;&lt;wsp:rsid wsp:val=&quot;0003135F&quot;/&gt;&lt;wsp:rsid wsp:val=&quot;00032599&quot;/&gt;&lt;wsp:rsid wsp:val=&quot;00032FE0&quot;/&gt;&lt;wsp:rsid wsp:val=&quot;00033593&quot;/&gt;&lt;wsp:rsid wsp:val=&quot;00034B3C&quot;/&gt;&lt;wsp:rsid wsp:val=&quot;00034CEB&quot;/&gt;&lt;wsp:rsid wsp:val=&quot;00037DD5&quot;/&gt;&lt;wsp:rsid wsp:val=&quot;00040878&quot;/&gt;&lt;wsp:rsid wsp:val=&quot;0004146B&quot;/&gt;&lt;wsp:rsid wsp:val=&quot;0004174D&quot;/&gt;&lt;wsp:rsid wsp:val=&quot;00043165&quot;/&gt;&lt;wsp:rsid wsp:val=&quot;00044213&quot;/&gt;&lt;wsp:rsid wsp:val=&quot;00044A40&quot;/&gt;&lt;wsp:rsid wsp:val=&quot;00044B3D&quot;/&gt;&lt;wsp:rsid wsp:val=&quot;00044DD6&quot;/&gt;&lt;wsp:rsid wsp:val=&quot;000456E5&quot;/&gt;&lt;wsp:rsid wsp:val=&quot;00045AE2&quot;/&gt;&lt;wsp:rsid wsp:val=&quot;000469E7&quot;/&gt;&lt;wsp:rsid wsp:val=&quot;00047353&quot;/&gt;&lt;wsp:rsid wsp:val=&quot;000502B1&quot;/&gt;&lt;wsp:rsid wsp:val=&quot;00054A19&quot;/&gt;&lt;wsp:rsid wsp:val=&quot;00054FE3&quot;/&gt;&lt;wsp:rsid wsp:val=&quot;00055888&quot;/&gt;&lt;wsp:rsid wsp:val=&quot;00055F96&quot;/&gt;&lt;wsp:rsid wsp:val=&quot;000571D5&quot;/&gt;&lt;wsp:rsid wsp:val=&quot;00060C6F&quot;/&gt;&lt;wsp:rsid wsp:val=&quot;000617EF&quot;/&gt;&lt;wsp:rsid wsp:val=&quot;00061FC3&quot;/&gt;&lt;wsp:rsid wsp:val=&quot;0006228D&quot;/&gt;&lt;wsp:rsid wsp:val=&quot;00062D43&quot;/&gt;&lt;wsp:rsid wsp:val=&quot;00063559&quot;/&gt;&lt;wsp:rsid wsp:val=&quot;00066DB7&quot;/&gt;&lt;wsp:rsid wsp:val=&quot;0006776B&quot;/&gt;&lt;wsp:rsid wsp:val=&quot;00067899&quot;/&gt;&lt;wsp:rsid wsp:val=&quot;000702FF&quot;/&gt;&lt;wsp:rsid wsp:val=&quot;0007037D&quot;/&gt;&lt;wsp:rsid wsp:val=&quot;00070542&quot;/&gt;&lt;wsp:rsid wsp:val=&quot;00070D29&quot;/&gt;&lt;wsp:rsid wsp:val=&quot;00074D66&quot;/&gt;&lt;wsp:rsid wsp:val=&quot;00075F64&quot;/&gt;&lt;wsp:rsid wsp:val=&quot;00076C56&quot;/&gt;&lt;wsp:rsid wsp:val=&quot;00082CE8&quot;/&gt;&lt;wsp:rsid wsp:val=&quot;00084E76&quot;/&gt;&lt;wsp:rsid wsp:val=&quot;00085EBA&quot;/&gt;&lt;wsp:rsid wsp:val=&quot;00090C2A&quot;/&gt;&lt;wsp:rsid wsp:val=&quot;00093476&quot;/&gt;&lt;wsp:rsid wsp:val=&quot;0009569C&quot;/&gt;&lt;wsp:rsid wsp:val=&quot;00096132&quot;/&gt;&lt;wsp:rsid wsp:val=&quot;00096A82&quot;/&gt;&lt;wsp:rsid wsp:val=&quot;000A03C1&quot;/&gt;&lt;wsp:rsid wsp:val=&quot;000A2C8D&quot;/&gt;&lt;wsp:rsid wsp:val=&quot;000A3A02&quot;/&gt;&lt;wsp:rsid wsp:val=&quot;000A534C&quot;/&gt;&lt;wsp:rsid wsp:val=&quot;000A5505&quot;/&gt;&lt;wsp:rsid wsp:val=&quot;000A5673&quot;/&gt;&lt;wsp:rsid wsp:val=&quot;000A5EFA&quot;/&gt;&lt;wsp:rsid wsp:val=&quot;000A66F5&quot;/&gt;&lt;wsp:rsid wsp:val=&quot;000B01E6&quot;/&gt;&lt;wsp:rsid wsp:val=&quot;000B1EAC&quot;/&gt;&lt;wsp:rsid wsp:val=&quot;000B1FF1&quot;/&gt;&lt;wsp:rsid wsp:val=&quot;000B21DB&quot;/&gt;&lt;wsp:rsid wsp:val=&quot;000B4C8D&quot;/&gt;&lt;wsp:rsid wsp:val=&quot;000B6C2D&quot;/&gt;&lt;wsp:rsid wsp:val=&quot;000B75FF&quot;/&gt;&lt;wsp:rsid wsp:val=&quot;000B768D&quot;/&gt;&lt;wsp:rsid wsp:val=&quot;000B785B&quot;/&gt;&lt;wsp:rsid wsp:val=&quot;000C283D&quot;/&gt;&lt;wsp:rsid wsp:val=&quot;000C45B1&quot;/&gt;&lt;wsp:rsid wsp:val=&quot;000C729E&quot;/&gt;&lt;wsp:rsid wsp:val=&quot;000D1A59&quot;/&gt;&lt;wsp:rsid wsp:val=&quot;000D23AF&quot;/&gt;&lt;wsp:rsid wsp:val=&quot;000D26F0&quot;/&gt;&lt;wsp:rsid wsp:val=&quot;000D2ABD&quot;/&gt;&lt;wsp:rsid wsp:val=&quot;000D4EFB&quot;/&gt;&lt;wsp:rsid wsp:val=&quot;000D5545&quot;/&gt;&lt;wsp:rsid wsp:val=&quot;000D71E4&quot;/&gt;&lt;wsp:rsid wsp:val=&quot;000E0B36&quot;/&gt;&lt;wsp:rsid wsp:val=&quot;000E0E0C&quot;/&gt;&lt;wsp:rsid wsp:val=&quot;000E0E15&quot;/&gt;&lt;wsp:rsid wsp:val=&quot;000E0F22&quot;/&gt;&lt;wsp:rsid wsp:val=&quot;000E5B44&quot;/&gt;&lt;wsp:rsid wsp:val=&quot;000F1710&quot;/&gt;&lt;wsp:rsid wsp:val=&quot;000F1F38&quot;/&gt;&lt;wsp:rsid wsp:val=&quot;000F2149&quot;/&gt;&lt;wsp:rsid wsp:val=&quot;000F3384&quot;/&gt;&lt;wsp:rsid wsp:val=&quot;000F6938&quot;/&gt;&lt;wsp:rsid wsp:val=&quot;000F696C&quot;/&gt;&lt;wsp:rsid wsp:val=&quot;00100765&quot;/&gt;&lt;wsp:rsid wsp:val=&quot;00101155&quot;/&gt;&lt;wsp:rsid wsp:val=&quot;00102293&quot;/&gt;&lt;wsp:rsid wsp:val=&quot;001041B8&quot;/&gt;&lt;wsp:rsid wsp:val=&quot;001056DA&quot;/&gt;&lt;wsp:rsid wsp:val=&quot;001064F6&quot;/&gt;&lt;wsp:rsid wsp:val=&quot;001069C8&quot;/&gt;&lt;wsp:rsid wsp:val=&quot;00106A68&quot;/&gt;&lt;wsp:rsid wsp:val=&quot;00110933&quot;/&gt;&lt;wsp:rsid wsp:val=&quot;00110C25&quot;/&gt;&lt;wsp:rsid wsp:val=&quot;00111E44&quot;/&gt;&lt;wsp:rsid wsp:val=&quot;00112ECB&quot;/&gt;&lt;wsp:rsid wsp:val=&quot;00120738&quot;/&gt;&lt;wsp:rsid wsp:val=&quot;00122AD0&quot;/&gt;&lt;wsp:rsid wsp:val=&quot;00124353&quot;/&gt;&lt;wsp:rsid wsp:val=&quot;001257A0&quot;/&gt;&lt;wsp:rsid wsp:val=&quot;00130E2F&quot;/&gt;&lt;wsp:rsid wsp:val=&quot;001365CE&quot;/&gt;&lt;wsp:rsid wsp:val=&quot;00136C87&quot;/&gt;&lt;wsp:rsid wsp:val=&quot;001370E5&quot;/&gt;&lt;wsp:rsid wsp:val=&quot;00140BA8&quot;/&gt;&lt;wsp:rsid wsp:val=&quot;00140F2A&quot;/&gt;&lt;wsp:rsid wsp:val=&quot;0014137D&quot;/&gt;&lt;wsp:rsid wsp:val=&quot;0014205E&quot;/&gt;&lt;wsp:rsid wsp:val=&quot;00142C73&quot;/&gt;&lt;wsp:rsid wsp:val=&quot;00143B74&quot;/&gt;&lt;wsp:rsid wsp:val=&quot;001442F8&quot;/&gt;&lt;wsp:rsid wsp:val=&quot;0014437A&quot;/&gt;&lt;wsp:rsid wsp:val=&quot;00145992&quot;/&gt;&lt;wsp:rsid wsp:val=&quot;00150039&quot;/&gt;&lt;wsp:rsid wsp:val=&quot;00150557&quot;/&gt;&lt;wsp:rsid wsp:val=&quot;00152D61&quot;/&gt;&lt;wsp:rsid wsp:val=&quot;00152FD8&quot;/&gt;&lt;wsp:rsid wsp:val=&quot;00155339&quot;/&gt;&lt;wsp:rsid wsp:val=&quot;00155AB1&quot;/&gt;&lt;wsp:rsid wsp:val=&quot;00157B11&quot;/&gt;&lt;wsp:rsid wsp:val=&quot;00157C1B&quot;/&gt;&lt;wsp:rsid wsp:val=&quot;0016091C&quot;/&gt;&lt;wsp:rsid wsp:val=&quot;00163BE1&quot;/&gt;&lt;wsp:rsid wsp:val=&quot;0016512E&quot;/&gt;&lt;wsp:rsid wsp:val=&quot;00165F06&quot;/&gt;&lt;wsp:rsid wsp:val=&quot;00166DF2&quot;/&gt;&lt;wsp:rsid wsp:val=&quot;00167813&quot;/&gt;&lt;wsp:rsid wsp:val=&quot;001715BD&quot;/&gt;&lt;wsp:rsid wsp:val=&quot;0017318A&quot;/&gt;&lt;wsp:rsid wsp:val=&quot;00173B22&quot;/&gt;&lt;wsp:rsid wsp:val=&quot;00173C6D&quot;/&gt;&lt;wsp:rsid wsp:val=&quot;001770AF&quot;/&gt;&lt;wsp:rsid wsp:val=&quot;00177431&quot;/&gt;&lt;wsp:rsid wsp:val=&quot;00180D6D&quot;/&gt;&lt;wsp:rsid wsp:val=&quot;00183051&quot;/&gt;&lt;wsp:rsid wsp:val=&quot;001830AA&quot;/&gt;&lt;wsp:rsid wsp:val=&quot;0018461A&quot;/&gt;&lt;wsp:rsid wsp:val=&quot;00184F33&quot;/&gt;&lt;wsp:rsid wsp:val=&quot;00185320&quot;/&gt;&lt;wsp:rsid wsp:val=&quot;00186FD2&quot;/&gt;&lt;wsp:rsid wsp:val=&quot;001947BD&quot;/&gt;&lt;wsp:rsid wsp:val=&quot;00197318&quot;/&gt;&lt;wsp:rsid wsp:val=&quot;00197BC5&quot;/&gt;&lt;wsp:rsid wsp:val=&quot;001A08DE&quot;/&gt;&lt;wsp:rsid wsp:val=&quot;001A3EAE&quot;/&gt;&lt;wsp:rsid wsp:val=&quot;001A6C4A&quot;/&gt;&lt;wsp:rsid wsp:val=&quot;001A78F3&quot;/&gt;&lt;wsp:rsid wsp:val=&quot;001A7A93&quot;/&gt;&lt;wsp:rsid wsp:val=&quot;001B07D2&quot;/&gt;&lt;wsp:rsid wsp:val=&quot;001B2232&quot;/&gt;&lt;wsp:rsid wsp:val=&quot;001B29DA&quot;/&gt;&lt;wsp:rsid wsp:val=&quot;001B302B&quot;/&gt;&lt;wsp:rsid wsp:val=&quot;001B50FE&quot;/&gt;&lt;wsp:rsid wsp:val=&quot;001B53B7&quot;/&gt;&lt;wsp:rsid wsp:val=&quot;001B57DF&quot;/&gt;&lt;wsp:rsid wsp:val=&quot;001B696D&quot;/&gt;&lt;wsp:rsid wsp:val=&quot;001B7E90&quot;/&gt;&lt;wsp:rsid wsp:val=&quot;001B7EBE&quot;/&gt;&lt;wsp:rsid wsp:val=&quot;001C2D98&quot;/&gt;&lt;wsp:rsid wsp:val=&quot;001C30A0&quot;/&gt;&lt;wsp:rsid wsp:val=&quot;001C77F2&quot;/&gt;&lt;wsp:rsid wsp:val=&quot;001D21E4&quot;/&gt;&lt;wsp:rsid wsp:val=&quot;001D375F&quot;/&gt;&lt;wsp:rsid wsp:val=&quot;001D386F&quot;/&gt;&lt;wsp:rsid wsp:val=&quot;001D3947&quot;/&gt;&lt;wsp:rsid wsp:val=&quot;001D3AAA&quot;/&gt;&lt;wsp:rsid wsp:val=&quot;001D6738&quot;/&gt;&lt;wsp:rsid wsp:val=&quot;001D71C2&quot;/&gt;&lt;wsp:rsid wsp:val=&quot;001E0381&quot;/&gt;&lt;wsp:rsid wsp:val=&quot;001E35B7&quot;/&gt;&lt;wsp:rsid wsp:val=&quot;001E4CCA&quot;/&gt;&lt;wsp:rsid wsp:val=&quot;001E4DB5&quot;/&gt;&lt;wsp:rsid wsp:val=&quot;001E63F7&quot;/&gt;&lt;wsp:rsid wsp:val=&quot;001E6BF0&quot;/&gt;&lt;wsp:rsid wsp:val=&quot;001F0606&quot;/&gt;&lt;wsp:rsid wsp:val=&quot;001F30FB&quot;/&gt;&lt;wsp:rsid wsp:val=&quot;001F35E3&quot;/&gt;&lt;wsp:rsid wsp:val=&quot;001F3A00&quot;/&gt;&lt;wsp:rsid wsp:val=&quot;001F3FC7&quot;/&gt;&lt;wsp:rsid wsp:val=&quot;001F48AB&quot;/&gt;&lt;wsp:rsid wsp:val=&quot;001F4B3C&quot;/&gt;&lt;wsp:rsid wsp:val=&quot;001F59B3&quot;/&gt;&lt;wsp:rsid wsp:val=&quot;001F624A&quot;/&gt;&lt;wsp:rsid wsp:val=&quot;002002E3&quot;/&gt;&lt;wsp:rsid wsp:val=&quot;0020111E&quot;/&gt;&lt;wsp:rsid wsp:val=&quot;00201EA9&quot;/&gt;&lt;wsp:rsid wsp:val=&quot;00202A1D&quot;/&gt;&lt;wsp:rsid wsp:val=&quot;00203553&quot;/&gt;&lt;wsp:rsid wsp:val=&quot;00203B32&quot;/&gt;&lt;wsp:rsid wsp:val=&quot;0020699D&quot;/&gt;&lt;wsp:rsid wsp:val=&quot;0020750B&quot;/&gt;&lt;wsp:rsid wsp:val=&quot;00207EB0&quot;/&gt;&lt;wsp:rsid wsp:val=&quot;00210EB6&quot;/&gt;&lt;wsp:rsid wsp:val=&quot;00211ABE&quot;/&gt;&lt;wsp:rsid wsp:val=&quot;00212B1F&quot;/&gt;&lt;wsp:rsid wsp:val=&quot;00213A9B&quot;/&gt;&lt;wsp:rsid wsp:val=&quot;002165F8&quot;/&gt;&lt;wsp:rsid wsp:val=&quot;00222C5E&quot;/&gt;&lt;wsp:rsid wsp:val=&quot;00223224&quot;/&gt;&lt;wsp:rsid wsp:val=&quot;002237DB&quot;/&gt;&lt;wsp:rsid wsp:val=&quot;00223901&quot;/&gt;&lt;wsp:rsid wsp:val=&quot;00224144&quot;/&gt;&lt;wsp:rsid wsp:val=&quot;00226B79&quot;/&gt;&lt;wsp:rsid wsp:val=&quot;00227BB6&quot;/&gt;&lt;wsp:rsid wsp:val=&quot;002305D4&quot;/&gt;&lt;wsp:rsid wsp:val=&quot;002318DD&quot;/&gt;&lt;wsp:rsid wsp:val=&quot;00233488&quot;/&gt;&lt;wsp:rsid wsp:val=&quot;00233DCE&quot;/&gt;&lt;wsp:rsid wsp:val=&quot;00234918&quot;/&gt;&lt;wsp:rsid wsp:val=&quot;00235DF3&quot;/&gt;&lt;wsp:rsid wsp:val=&quot;0023764F&quot;/&gt;&lt;wsp:rsid wsp:val=&quot;00237E8A&quot;/&gt;&lt;wsp:rsid wsp:val=&quot;00240D3D&quot;/&gt;&lt;wsp:rsid wsp:val=&quot;002441A6&quot;/&gt;&lt;wsp:rsid wsp:val=&quot;00244872&quot;/&gt;&lt;wsp:rsid wsp:val=&quot;002504CD&quot;/&gt;&lt;wsp:rsid wsp:val=&quot;00250C81&quot;/&gt;&lt;wsp:rsid wsp:val=&quot;002528EA&quot;/&gt;&lt;wsp:rsid wsp:val=&quot;002538B5&quot;/&gt;&lt;wsp:rsid wsp:val=&quot;00253C23&quot;/&gt;&lt;wsp:rsid wsp:val=&quot;00254C0B&quot;/&gt;&lt;wsp:rsid wsp:val=&quot;00255277&quot;/&gt;&lt;wsp:rsid wsp:val=&quot;00257B5F&quot;/&gt;&lt;wsp:rsid wsp:val=&quot;002607A9&quot;/&gt;&lt;wsp:rsid wsp:val=&quot;00263F3C&quot;/&gt;&lt;wsp:rsid wsp:val=&quot;00265A79&quot;/&gt;&lt;wsp:rsid wsp:val=&quot;00265B2B&quot;/&gt;&lt;wsp:rsid wsp:val=&quot;00265CFA&quot;/&gt;&lt;wsp:rsid wsp:val=&quot;00266F66&quot;/&gt;&lt;wsp:rsid wsp:val=&quot;00267DDC&quot;/&gt;&lt;wsp:rsid wsp:val=&quot;00270088&quot;/&gt;&lt;wsp:rsid wsp:val=&quot;0027345C&quot;/&gt;&lt;wsp:rsid wsp:val=&quot;00273775&quot;/&gt;&lt;wsp:rsid wsp:val=&quot;00275F5D&quot;/&gt;&lt;wsp:rsid wsp:val=&quot;002761B9&quot;/&gt;&lt;wsp:rsid wsp:val=&quot;0027771B&quot;/&gt;&lt;wsp:rsid wsp:val=&quot;0028016D&quot;/&gt;&lt;wsp:rsid wsp:val=&quot;00280E6F&quot;/&gt;&lt;wsp:rsid wsp:val=&quot;00281C3D&quot;/&gt;&lt;wsp:rsid wsp:val=&quot;00282BCF&quot;/&gt;&lt;wsp:rsid wsp:val=&quot;0028308E&quot;/&gt;&lt;wsp:rsid wsp:val=&quot;00283294&quot;/&gt;&lt;wsp:rsid wsp:val=&quot;0028430C&quot;/&gt;&lt;wsp:rsid wsp:val=&quot;00285899&quot;/&gt;&lt;wsp:rsid wsp:val=&quot;00286A85&quot;/&gt;&lt;wsp:rsid wsp:val=&quot;002901AF&quot;/&gt;&lt;wsp:rsid wsp:val=&quot;00292F03&quot;/&gt;&lt;wsp:rsid wsp:val=&quot;002940A5&quot;/&gt;&lt;wsp:rsid wsp:val=&quot;00296296&quot;/&gt;&lt;wsp:rsid wsp:val=&quot;00296713&quot;/&gt;&lt;wsp:rsid wsp:val=&quot;00296784&quot;/&gt;&lt;wsp:rsid wsp:val=&quot;00297A36&quot;/&gt;&lt;wsp:rsid wsp:val=&quot;00297BC2&quot;/&gt;&lt;wsp:rsid wsp:val=&quot;002A3ED1&quot;/&gt;&lt;wsp:rsid wsp:val=&quot;002A4B4D&quot;/&gt;&lt;wsp:rsid wsp:val=&quot;002A5126&quot;/&gt;&lt;wsp:rsid wsp:val=&quot;002A56D0&quot;/&gt;&lt;wsp:rsid wsp:val=&quot;002A5FC0&quot;/&gt;&lt;wsp:rsid wsp:val=&quot;002A71DE&quot;/&gt;&lt;wsp:rsid wsp:val=&quot;002B35CB&quot;/&gt;&lt;wsp:rsid wsp:val=&quot;002B3AD6&quot;/&gt;&lt;wsp:rsid wsp:val=&quot;002B55CC&quot;/&gt;&lt;wsp:rsid wsp:val=&quot;002B5C27&quot;/&gt;&lt;wsp:rsid wsp:val=&quot;002B6B21&quot;/&gt;&lt;wsp:rsid wsp:val=&quot;002B7264&quot;/&gt;&lt;wsp:rsid wsp:val=&quot;002C0EE9&quot;/&gt;&lt;wsp:rsid wsp:val=&quot;002C1AE4&quot;/&gt;&lt;wsp:rsid wsp:val=&quot;002C260A&quot;/&gt;&lt;wsp:rsid wsp:val=&quot;002C2B88&quot;/&gt;&lt;wsp:rsid wsp:val=&quot;002C30A4&quot;/&gt;&lt;wsp:rsid wsp:val=&quot;002C3AC9&quot;/&gt;&lt;wsp:rsid wsp:val=&quot;002C3C00&quot;/&gt;&lt;wsp:rsid wsp:val=&quot;002C6C5C&quot;/&gt;&lt;wsp:rsid wsp:val=&quot;002C6E36&quot;/&gt;&lt;wsp:rsid wsp:val=&quot;002D1A9F&quot;/&gt;&lt;wsp:rsid wsp:val=&quot;002D405B&quot;/&gt;&lt;wsp:rsid wsp:val=&quot;002D408B&quot;/&gt;&lt;wsp:rsid wsp:val=&quot;002D616E&quot;/&gt;&lt;wsp:rsid wsp:val=&quot;002E2406&quot;/&gt;&lt;wsp:rsid wsp:val=&quot;002E3ACE&quot;/&gt;&lt;wsp:rsid wsp:val=&quot;002E3C3F&quot;/&gt;&lt;wsp:rsid wsp:val=&quot;002E3D18&quot;/&gt;&lt;wsp:rsid wsp:val=&quot;002E6C5E&quot;/&gt;&lt;wsp:rsid wsp:val=&quot;002E6E52&quot;/&gt;&lt;wsp:rsid wsp:val=&quot;002E7A30&quot;/&gt;&lt;wsp:rsid wsp:val=&quot;002F0741&quot;/&gt;&lt;wsp:rsid wsp:val=&quot;002F2117&quot;/&gt;&lt;wsp:rsid wsp:val=&quot;002F3CF0&quot;/&gt;&lt;wsp:rsid wsp:val=&quot;002F6C2C&quot;/&gt;&lt;wsp:rsid wsp:val=&quot;0030010F&quot;/&gt;&lt;wsp:rsid wsp:val=&quot;00300D20&quot;/&gt;&lt;wsp:rsid wsp:val=&quot;00303D5B&quot;/&gt;&lt;wsp:rsid wsp:val=&quot;00305DB5&quot;/&gt;&lt;wsp:rsid wsp:val=&quot;0030712F&quot;/&gt;&lt;wsp:rsid wsp:val=&quot;00310579&quot;/&gt;&lt;wsp:rsid wsp:val=&quot;00313B42&quot;/&gt;&lt;wsp:rsid wsp:val=&quot;0031544C&quot;/&gt;&lt;wsp:rsid wsp:val=&quot;0032098C&quot;/&gt;&lt;wsp:rsid wsp:val=&quot;00321E73&quot;/&gt;&lt;wsp:rsid wsp:val=&quot;003229CE&quot;/&gt;&lt;wsp:rsid wsp:val=&quot;00322C65&quot;/&gt;&lt;wsp:rsid wsp:val=&quot;0032373E&quot;/&gt;&lt;wsp:rsid wsp:val=&quot;00323D17&quot;/&gt;&lt;wsp:rsid wsp:val=&quot;0032526C&quot;/&gt;&lt;wsp:rsid wsp:val=&quot;00326721&quot;/&gt;&lt;wsp:rsid wsp:val=&quot;00326A68&quot;/&gt;&lt;wsp:rsid wsp:val=&quot;00327AB8&quot;/&gt;&lt;wsp:rsid wsp:val=&quot;00331584&quot;/&gt;&lt;wsp:rsid wsp:val=&quot;00332086&quot;/&gt;&lt;wsp:rsid wsp:val=&quot;003322F5&quot;/&gt;&lt;wsp:rsid wsp:val=&quot;003341BA&quot;/&gt;&lt;wsp:rsid wsp:val=&quot;00334743&quot;/&gt;&lt;wsp:rsid wsp:val=&quot;00335021&quot;/&gt;&lt;wsp:rsid wsp:val=&quot;00335787&quot;/&gt;&lt;wsp:rsid wsp:val=&quot;0033579C&quot;/&gt;&lt;wsp:rsid wsp:val=&quot;00336810&quot;/&gt;&lt;wsp:rsid wsp:val=&quot;00342C55&quot;/&gt;&lt;wsp:rsid wsp:val=&quot;003434BE&quot;/&gt;&lt;wsp:rsid wsp:val=&quot;00344BB3&quot;/&gt;&lt;wsp:rsid wsp:val=&quot;0034740F&quot;/&gt;&lt;wsp:rsid wsp:val=&quot;00347C8F&quot;/&gt;&lt;wsp:rsid wsp:val=&quot;0035210C&quot;/&gt;&lt;wsp:rsid wsp:val=&quot;00352940&quot;/&gt;&lt;wsp:rsid wsp:val=&quot;00352B16&quot;/&gt;&lt;wsp:rsid wsp:val=&quot;00352D55&quot;/&gt;&lt;wsp:rsid wsp:val=&quot;00352FC0&quot;/&gt;&lt;wsp:rsid wsp:val=&quot;003530E6&quot;/&gt;&lt;wsp:rsid wsp:val=&quot;003536B4&quot;/&gt;&lt;wsp:rsid wsp:val=&quot;00355D10&quot;/&gt;&lt;wsp:rsid wsp:val=&quot;003565DB&quot;/&gt;&lt;wsp:rsid wsp:val=&quot;003568CF&quot;/&gt;&lt;wsp:rsid wsp:val=&quot;00361996&quot;/&gt;&lt;wsp:rsid wsp:val=&quot;0036211E&quot;/&gt;&lt;wsp:rsid wsp:val=&quot;00363121&quot;/&gt;&lt;wsp:rsid wsp:val=&quot;003651ED&quot;/&gt;&lt;wsp:rsid wsp:val=&quot;00366108&quot;/&gt;&lt;wsp:rsid wsp:val=&quot;0036678B&quot;/&gt;&lt;wsp:rsid wsp:val=&quot;0036776A&quot;/&gt;&lt;wsp:rsid wsp:val=&quot;00370CCD&quot;/&gt;&lt;wsp:rsid wsp:val=&quot;003718CD&quot;/&gt;&lt;wsp:rsid wsp:val=&quot;00374D44&quot;/&gt;&lt;wsp:rsid wsp:val=&quot;00375D33&quot;/&gt;&lt;wsp:rsid wsp:val=&quot;00381D7F&quot;/&gt;&lt;wsp:rsid wsp:val=&quot;003823CC&quot;/&gt;&lt;wsp:rsid wsp:val=&quot;0038253B&quot;/&gt;&lt;wsp:rsid wsp:val=&quot;00383755&quot;/&gt;&lt;wsp:rsid wsp:val=&quot;00383D8B&quot;/&gt;&lt;wsp:rsid wsp:val=&quot;00383E67&quot;/&gt;&lt;wsp:rsid wsp:val=&quot;0038454F&quot;/&gt;&lt;wsp:rsid wsp:val=&quot;00384AE7&quot;/&gt;&lt;wsp:rsid wsp:val=&quot;003851C7&quot;/&gt;&lt;wsp:rsid wsp:val=&quot;00390260&quot;/&gt;&lt;wsp:rsid wsp:val=&quot;00391D83&quot;/&gt;&lt;wsp:rsid wsp:val=&quot;00392B83&quot;/&gt;&lt;wsp:rsid wsp:val=&quot;00392E46&quot;/&gt;&lt;wsp:rsid wsp:val=&quot;003941E6&quot;/&gt;&lt;wsp:rsid wsp:val=&quot;003952BD&quot;/&gt;&lt;wsp:rsid wsp:val=&quot;0039539D&quot;/&gt;&lt;wsp:rsid wsp:val=&quot;00396BA9&quot;/&gt;&lt;wsp:rsid wsp:val=&quot;003A153D&quot;/&gt;&lt;wsp:rsid wsp:val=&quot;003A24BF&quot;/&gt;&lt;wsp:rsid wsp:val=&quot;003A3BAE&quot;/&gt;&lt;wsp:rsid wsp:val=&quot;003A4CC5&quot;/&gt;&lt;wsp:rsid wsp:val=&quot;003A4EC8&quot;/&gt;&lt;wsp:rsid wsp:val=&quot;003A544D&quot;/&gt;&lt;wsp:rsid wsp:val=&quot;003A5D55&quot;/&gt;&lt;wsp:rsid wsp:val=&quot;003B15DE&quot;/&gt;&lt;wsp:rsid wsp:val=&quot;003B175A&quot;/&gt;&lt;wsp:rsid wsp:val=&quot;003B19BC&quot;/&gt;&lt;wsp:rsid wsp:val=&quot;003B2F56&quot;/&gt;&lt;wsp:rsid wsp:val=&quot;003B3C56&quot;/&gt;&lt;wsp:rsid wsp:val=&quot;003B5DEC&quot;/&gt;&lt;wsp:rsid wsp:val=&quot;003B622C&quot;/&gt;&lt;wsp:rsid wsp:val=&quot;003B6389&quot;/&gt;&lt;wsp:rsid wsp:val=&quot;003B6F8D&quot;/&gt;&lt;wsp:rsid wsp:val=&quot;003B760C&quot;/&gt;&lt;wsp:rsid wsp:val=&quot;003B7EB8&quot;/&gt;&lt;wsp:rsid wsp:val=&quot;003C2A22&quot;/&gt;&lt;wsp:rsid wsp:val=&quot;003D104B&quot;/&gt;&lt;wsp:rsid wsp:val=&quot;003D14F3&quot;/&gt;&lt;wsp:rsid wsp:val=&quot;003D2EF6&quot;/&gt;&lt;wsp:rsid wsp:val=&quot;003D421E&quot;/&gt;&lt;wsp:rsid wsp:val=&quot;003D493D&quot;/&gt;&lt;wsp:rsid wsp:val=&quot;003D54D0&quot;/&gt;&lt;wsp:rsid wsp:val=&quot;003D5895&quot;/&gt;&lt;wsp:rsid wsp:val=&quot;003D5A58&quot;/&gt;&lt;wsp:rsid wsp:val=&quot;003E0610&quot;/&gt;&lt;wsp:rsid wsp:val=&quot;003E5BFE&quot;/&gt;&lt;wsp:rsid wsp:val=&quot;003E6085&quot;/&gt;&lt;wsp:rsid wsp:val=&quot;003E618B&quot;/&gt;&lt;wsp:rsid wsp:val=&quot;003F03F9&quot;/&gt;&lt;wsp:rsid wsp:val=&quot;003F0863&quot;/&gt;&lt;wsp:rsid wsp:val=&quot;003F165B&quot;/&gt;&lt;wsp:rsid wsp:val=&quot;003F69A6&quot;/&gt;&lt;wsp:rsid wsp:val=&quot;003F6A43&quot;/&gt;&lt;wsp:rsid wsp:val=&quot;003F7A84&quot;/&gt;&lt;wsp:rsid wsp:val=&quot;003F7ED7&quot;/&gt;&lt;wsp:rsid wsp:val=&quot;00400033&quot;/&gt;&lt;wsp:rsid wsp:val=&quot;00404032&quot;/&gt;&lt;wsp:rsid wsp:val=&quot;00405695&quot;/&gt;&lt;wsp:rsid wsp:val=&quot;0040674E&quot;/&gt;&lt;wsp:rsid wsp:val=&quot;00406FCB&quot;/&gt;&lt;wsp:rsid wsp:val=&quot;00410750&quot;/&gt;&lt;wsp:rsid wsp:val=&quot;00411820&quot;/&gt;&lt;wsp:rsid wsp:val=&quot;00413B6F&quot;/&gt;&lt;wsp:rsid wsp:val=&quot;00414B73&quot;/&gt;&lt;wsp:rsid wsp:val=&quot;004215C4&quot;/&gt;&lt;wsp:rsid wsp:val=&quot;0042274C&quot;/&gt;&lt;wsp:rsid wsp:val=&quot;00422E68&quot;/&gt;&lt;wsp:rsid wsp:val=&quot;0042383B&quot;/&gt;&lt;wsp:rsid wsp:val=&quot;004253DF&quot;/&gt;&lt;wsp:rsid wsp:val=&quot;00426A72&quot;/&gt;&lt;wsp:rsid wsp:val=&quot;00430E14&quot;/&gt;&lt;wsp:rsid wsp:val=&quot;00431980&quot;/&gt;&lt;wsp:rsid wsp:val=&quot;00433ABF&quot;/&gt;&lt;wsp:rsid wsp:val=&quot;00434394&quot;/&gt;&lt;wsp:rsid wsp:val=&quot;00434FF7&quot;/&gt;&lt;wsp:rsid wsp:val=&quot;00435A0E&quot;/&gt;&lt;wsp:rsid wsp:val=&quot;00437FCD&quot;/&gt;&lt;wsp:rsid wsp:val=&quot;0044094A&quot;/&gt;&lt;wsp:rsid wsp:val=&quot;004427D1&quot;/&gt;&lt;wsp:rsid wsp:val=&quot;00442A05&quot;/&gt;&lt;wsp:rsid wsp:val=&quot;004434DB&quot;/&gt;&lt;wsp:rsid wsp:val=&quot;00444140&quot;/&gt;&lt;wsp:rsid wsp:val=&quot;004442D8&quot;/&gt;&lt;wsp:rsid wsp:val=&quot;0044563C&quot;/&gt;&lt;wsp:rsid wsp:val=&quot;00446E7A&quot;/&gt;&lt;wsp:rsid wsp:val=&quot;0045069B&quot;/&gt;&lt;wsp:rsid wsp:val=&quot;00450FB4&quot;/&gt;&lt;wsp:rsid wsp:val=&quot;00452AAB&quot;/&gt;&lt;wsp:rsid wsp:val=&quot;00453A20&quot;/&gt;&lt;wsp:rsid wsp:val=&quot;00455420&quot;/&gt;&lt;wsp:rsid wsp:val=&quot;004560DA&quot;/&gt;&lt;wsp:rsid wsp:val=&quot;00457D17&quot;/&gt;&lt;wsp:rsid wsp:val=&quot;00463C21&quot;/&gt;&lt;wsp:rsid wsp:val=&quot;00466450&quot;/&gt;&lt;wsp:rsid wsp:val=&quot;0046660D&quot;/&gt;&lt;wsp:rsid wsp:val=&quot;0047277E&quot;/&gt;&lt;wsp:rsid wsp:val=&quot;00474DE4&quot;/&gt;&lt;wsp:rsid wsp:val=&quot;00476CD5&quot;/&gt;&lt;wsp:rsid wsp:val=&quot;00477020&quot;/&gt;&lt;wsp:rsid wsp:val=&quot;004770AB&quot;/&gt;&lt;wsp:rsid wsp:val=&quot;00480441&quot;/&gt;&lt;wsp:rsid wsp:val=&quot;00480B68&quot;/&gt;&lt;wsp:rsid wsp:val=&quot;00480D78&quot;/&gt;&lt;wsp:rsid wsp:val=&quot;00481B1A&quot;/&gt;&lt;wsp:rsid wsp:val=&quot;00481FC5&quot;/&gt;&lt;wsp:rsid wsp:val=&quot;00482B24&quot;/&gt;&lt;wsp:rsid wsp:val=&quot;00484806&quot;/&gt;&lt;wsp:rsid wsp:val=&quot;00487329&quot;/&gt;&lt;wsp:rsid wsp:val=&quot;00490448&quot;/&gt;&lt;wsp:rsid wsp:val=&quot;0049199A&quot;/&gt;&lt;wsp:rsid wsp:val=&quot;00492849&quot;/&gt;&lt;wsp:rsid wsp:val=&quot;00492E7E&quot;/&gt;&lt;wsp:rsid wsp:val=&quot;00493422&quot;/&gt;&lt;wsp:rsid wsp:val=&quot;004938A6&quot;/&gt;&lt;wsp:rsid wsp:val=&quot;00494514&quot;/&gt;&lt;wsp:rsid wsp:val=&quot;00494655&quot;/&gt;&lt;wsp:rsid wsp:val=&quot;00495DB1&quot;/&gt;&lt;wsp:rsid wsp:val=&quot;00496883&quot;/&gt;&lt;wsp:rsid wsp:val=&quot;004A027B&quot;/&gt;&lt;wsp:rsid wsp:val=&quot;004A14A6&quot;/&gt;&lt;wsp:rsid wsp:val=&quot;004A180B&quot;/&gt;&lt;wsp:rsid wsp:val=&quot;004A3FAD&quot;/&gt;&lt;wsp:rsid wsp:val=&quot;004A426B&quot;/&gt;&lt;wsp:rsid wsp:val=&quot;004A43C2&quot;/&gt;&lt;wsp:rsid wsp:val=&quot;004A4FA7&quot;/&gt;&lt;wsp:rsid wsp:val=&quot;004A56C4&quot;/&gt;&lt;wsp:rsid wsp:val=&quot;004A5EFE&quot;/&gt;&lt;wsp:rsid wsp:val=&quot;004A786A&quot;/&gt;&lt;wsp:rsid wsp:val=&quot;004B1B49&quot;/&gt;&lt;wsp:rsid wsp:val=&quot;004B1D7F&quot;/&gt;&lt;wsp:rsid wsp:val=&quot;004B3383&quot;/&gt;&lt;wsp:rsid wsp:val=&quot;004B3E09&quot;/&gt;&lt;wsp:rsid wsp:val=&quot;004B4E76&quot;/&gt;&lt;wsp:rsid wsp:val=&quot;004B572A&quot;/&gt;&lt;wsp:rsid wsp:val=&quot;004B7D6D&quot;/&gt;&lt;wsp:rsid wsp:val=&quot;004C0140&quot;/&gt;&lt;wsp:rsid wsp:val=&quot;004C211E&quot;/&gt;&lt;wsp:rsid wsp:val=&quot;004C2BBC&quot;/&gt;&lt;wsp:rsid wsp:val=&quot;004C40B3&quot;/&gt;&lt;wsp:rsid wsp:val=&quot;004C714E&quot;/&gt;&lt;wsp:rsid wsp:val=&quot;004D1C3F&quot;/&gt;&lt;wsp:rsid wsp:val=&quot;004D2496&quot;/&gt;&lt;wsp:rsid wsp:val=&quot;004D25AE&quot;/&gt;&lt;wsp:rsid wsp:val=&quot;004D3AB5&quot;/&gt;&lt;wsp:rsid wsp:val=&quot;004D4ACA&quot;/&gt;&lt;wsp:rsid wsp:val=&quot;004D4B74&quot;/&gt;&lt;wsp:rsid wsp:val=&quot;004E01F9&quot;/&gt;&lt;wsp:rsid wsp:val=&quot;004E302E&quot;/&gt;&lt;wsp:rsid wsp:val=&quot;004E796D&quot;/&gt;&lt;wsp:rsid wsp:val=&quot;004F0B0F&quot;/&gt;&lt;wsp:rsid wsp:val=&quot;004F1712&quot;/&gt;&lt;wsp:rsid wsp:val=&quot;004F3AFA&quot;/&gt;&lt;wsp:rsid wsp:val=&quot;00500800&quot;/&gt;&lt;wsp:rsid wsp:val=&quot;00500DBB&quot;/&gt;&lt;wsp:rsid wsp:val=&quot;005017E0&quot;/&gt;&lt;wsp:rsid wsp:val=&quot;005025AF&quot;/&gt;&lt;wsp:rsid wsp:val=&quot;00504799&quot;/&gt;&lt;wsp:rsid wsp:val=&quot;00510DA3&quot;/&gt;&lt;wsp:rsid wsp:val=&quot;00511212&quot;/&gt;&lt;wsp:rsid wsp:val=&quot;00511558&quot;/&gt;&lt;wsp:rsid wsp:val=&quot;00512432&quot;/&gt;&lt;wsp:rsid wsp:val=&quot;005133DA&quot;/&gt;&lt;wsp:rsid wsp:val=&quot;00513463&quot;/&gt;&lt;wsp:rsid wsp:val=&quot;00513AE5&quot;/&gt;&lt;wsp:rsid wsp:val=&quot;005140C3&quot;/&gt;&lt;wsp:rsid wsp:val=&quot;00515117&quot;/&gt;&lt;wsp:rsid wsp:val=&quot;005152F6&quot;/&gt;&lt;wsp:rsid wsp:val=&quot;00515AF9&quot;/&gt;&lt;wsp:rsid wsp:val=&quot;005171F6&quot;/&gt;&lt;wsp:rsid wsp:val=&quot;00520F44&quot;/&gt;&lt;wsp:rsid wsp:val=&quot;0052178F&quot;/&gt;&lt;wsp:rsid wsp:val=&quot;005223BC&quot;/&gt;&lt;wsp:rsid wsp:val=&quot;00526326&quot;/&gt;&lt;wsp:rsid wsp:val=&quot;00531523&quot;/&gt;&lt;wsp:rsid wsp:val=&quot;005323BA&quot;/&gt;&lt;wsp:rsid wsp:val=&quot;005346A6&quot;/&gt;&lt;wsp:rsid wsp:val=&quot;00536090&quot;/&gt;&lt;wsp:rsid wsp:val=&quot;00537DD8&quot;/&gt;&lt;wsp:rsid wsp:val=&quot;005408CC&quot;/&gt;&lt;wsp:rsid wsp:val=&quot;00542BF9&quot;/&gt;&lt;wsp:rsid wsp:val=&quot;00546F8D&quot;/&gt;&lt;wsp:rsid wsp:val=&quot;00547EF4&quot;/&gt;&lt;wsp:rsid wsp:val=&quot;00550080&quot;/&gt;&lt;wsp:rsid wsp:val=&quot;00551B8D&quot;/&gt;&lt;wsp:rsid wsp:val=&quot;00552205&quot;/&gt;&lt;wsp:rsid wsp:val=&quot;0055381E&quot;/&gt;&lt;wsp:rsid wsp:val=&quot;005544C8&quot;/&gt;&lt;wsp:rsid wsp:val=&quot;00554856&quot;/&gt;&lt;wsp:rsid wsp:val=&quot;00554B53&quot;/&gt;&lt;wsp:rsid wsp:val=&quot;00554FDA&quot;/&gt;&lt;wsp:rsid wsp:val=&quot;005558CD&quot;/&gt;&lt;wsp:rsid wsp:val=&quot;005560CF&quot;/&gt;&lt;wsp:rsid wsp:val=&quot;00563425&quot;/&gt;&lt;wsp:rsid wsp:val=&quot;00563D8B&quot;/&gt;&lt;wsp:rsid wsp:val=&quot;005659EA&quot;/&gt;&lt;wsp:rsid wsp:val=&quot;005664F2&quot;/&gt;&lt;wsp:rsid wsp:val=&quot;0057209F&quot;/&gt;&lt;wsp:rsid wsp:val=&quot;00573F23&quot;/&gt;&lt;wsp:rsid wsp:val=&quot;005746E4&quot;/&gt;&lt;wsp:rsid wsp:val=&quot;00574D64&quot;/&gt;&lt;wsp:rsid wsp:val=&quot;00576D58&quot;/&gt;&lt;wsp:rsid wsp:val=&quot;00577459&quot;/&gt;&lt;wsp:rsid wsp:val=&quot;005819BB&quot;/&gt;&lt;wsp:rsid wsp:val=&quot;00581CD2&quot;/&gt;&lt;wsp:rsid wsp:val=&quot;00584968&quot;/&gt;&lt;wsp:rsid wsp:val=&quot;00584ADC&quot;/&gt;&lt;wsp:rsid wsp:val=&quot;00585939&quot;/&gt;&lt;wsp:rsid wsp:val=&quot;00586D35&quot;/&gt;&lt;wsp:rsid wsp:val=&quot;00586FD9&quot;/&gt;&lt;wsp:rsid wsp:val=&quot;00590F96&quot;/&gt;&lt;wsp:rsid wsp:val=&quot;0059495F&quot;/&gt;&lt;wsp:rsid wsp:val=&quot;00596226&quot;/&gt;&lt;wsp:rsid wsp:val=&quot;005967EB&quot;/&gt;&lt;wsp:rsid wsp:val=&quot;005A2362&quot;/&gt;&lt;wsp:rsid wsp:val=&quot;005A2B9F&quot;/&gt;&lt;wsp:rsid wsp:val=&quot;005A379F&quot;/&gt;&lt;wsp:rsid wsp:val=&quot;005A4357&quot;/&gt;&lt;wsp:rsid wsp:val=&quot;005A465E&quot;/&gt;&lt;wsp:rsid wsp:val=&quot;005A4C0C&quot;/&gt;&lt;wsp:rsid wsp:val=&quot;005A7235&quot;/&gt;&lt;wsp:rsid wsp:val=&quot;005B08D3&quot;/&gt;&lt;wsp:rsid wsp:val=&quot;005B27BA&quot;/&gt;&lt;wsp:rsid wsp:val=&quot;005B2E76&quot;/&gt;&lt;wsp:rsid wsp:val=&quot;005B3438&quot;/&gt;&lt;wsp:rsid wsp:val=&quot;005B441D&quot;/&gt;&lt;wsp:rsid wsp:val=&quot;005B4B3F&quot;/&gt;&lt;wsp:rsid wsp:val=&quot;005B6D08&quot;/&gt;&lt;wsp:rsid wsp:val=&quot;005B7022&quot;/&gt;&lt;wsp:rsid wsp:val=&quot;005C06A8&quot;/&gt;&lt;wsp:rsid wsp:val=&quot;005C1818&quot;/&gt;&lt;wsp:rsid wsp:val=&quot;005C2502&quot;/&gt;&lt;wsp:rsid wsp:val=&quot;005C30BE&quot;/&gt;&lt;wsp:rsid wsp:val=&quot;005C3965&quot;/&gt;&lt;wsp:rsid wsp:val=&quot;005C4CD3&quot;/&gt;&lt;wsp:rsid wsp:val=&quot;005C5020&quot;/&gt;&lt;wsp:rsid wsp:val=&quot;005C7036&quot;/&gt;&lt;wsp:rsid wsp:val=&quot;005D0F81&quot;/&gt;&lt;wsp:rsid wsp:val=&quot;005D1821&quot;/&gt;&lt;wsp:rsid wsp:val=&quot;005D316B&quot;/&gt;&lt;wsp:rsid wsp:val=&quot;005D4039&quot;/&gt;&lt;wsp:rsid wsp:val=&quot;005D4B6A&quot;/&gt;&lt;wsp:rsid wsp:val=&quot;005D52C9&quot;/&gt;&lt;wsp:rsid wsp:val=&quot;005D6626&quot;/&gt;&lt;wsp:rsid wsp:val=&quot;005E0421&quot;/&gt;&lt;wsp:rsid wsp:val=&quot;005E0675&quot;/&gt;&lt;wsp:rsid wsp:val=&quot;005E0B95&quot;/&gt;&lt;wsp:rsid wsp:val=&quot;005E13F9&quot;/&gt;&lt;wsp:rsid wsp:val=&quot;005E221A&quot;/&gt;&lt;wsp:rsid wsp:val=&quot;005E31FB&quot;/&gt;&lt;wsp:rsid wsp:val=&quot;005E345B&quot;/&gt;&lt;wsp:rsid wsp:val=&quot;005E393F&quot;/&gt;&lt;wsp:rsid wsp:val=&quot;005E4969&quot;/&gt;&lt;wsp:rsid wsp:val=&quot;005F09D2&quot;/&gt;&lt;wsp:rsid wsp:val=&quot;005F21C6&quot;/&gt;&lt;wsp:rsid wsp:val=&quot;005F27B0&quot;/&gt;&lt;wsp:rsid wsp:val=&quot;005F31C8&quot;/&gt;&lt;wsp:rsid wsp:val=&quot;005F428A&quot;/&gt;&lt;wsp:rsid wsp:val=&quot;005F4BDC&quot;/&gt;&lt;wsp:rsid wsp:val=&quot;005F65FA&quot;/&gt;&lt;wsp:rsid wsp:val=&quot;005F773E&quot;/&gt;&lt;wsp:rsid wsp:val=&quot;005F7D9A&quot;/&gt;&lt;wsp:rsid wsp:val=&quot;005F7FCF&quot;/&gt;&lt;wsp:rsid wsp:val=&quot;00605125&quot;/&gt;&lt;wsp:rsid wsp:val=&quot;00605A95&quot;/&gt;&lt;wsp:rsid wsp:val=&quot;006060F8&quot;/&gt;&lt;wsp:rsid wsp:val=&quot;006068CA&quot;/&gt;&lt;wsp:rsid wsp:val=&quot;00607A47&quot;/&gt;&lt;wsp:rsid wsp:val=&quot;00611162&quot;/&gt;&lt;wsp:rsid wsp:val=&quot;00611B04&quot;/&gt;&lt;wsp:rsid wsp:val=&quot;00611EBA&quot;/&gt;&lt;wsp:rsid wsp:val=&quot;006140EB&quot;/&gt;&lt;wsp:rsid wsp:val=&quot;00614413&quot;/&gt;&lt;wsp:rsid wsp:val=&quot;006153FE&quot;/&gt;&lt;wsp:rsid wsp:val=&quot;00620DD1&quot;/&gt;&lt;wsp:rsid wsp:val=&quot;006213C5&quot;/&gt;&lt;wsp:rsid wsp:val=&quot;00622DF6&quot;/&gt;&lt;wsp:rsid wsp:val=&quot;00624CF3&quot;/&gt;&lt;wsp:rsid wsp:val=&quot;006252B3&quot;/&gt;&lt;wsp:rsid wsp:val=&quot;006259C7&quot;/&gt;&lt;wsp:rsid wsp:val=&quot;006264D1&quot;/&gt;&lt;wsp:rsid wsp:val=&quot;0062650F&quot;/&gt;&lt;wsp:rsid wsp:val=&quot;006273EB&quot;/&gt;&lt;wsp:rsid wsp:val=&quot;00627BD6&quot;/&gt;&lt;wsp:rsid wsp:val=&quot;00634640&quot;/&gt;&lt;wsp:rsid wsp:val=&quot;00635870&quot;/&gt;&lt;wsp:rsid wsp:val=&quot;00637BBE&quot;/&gt;&lt;wsp:rsid wsp:val=&quot;00640522&quot;/&gt;&lt;wsp:rsid wsp:val=&quot;00642B8C&quot;/&gt;&lt;wsp:rsid wsp:val=&quot;00643703&quot;/&gt;&lt;wsp:rsid wsp:val=&quot;006437E0&quot;/&gt;&lt;wsp:rsid wsp:val=&quot;006443E2&quot;/&gt;&lt;wsp:rsid wsp:val=&quot;0064584A&quot;/&gt;&lt;wsp:rsid wsp:val=&quot;00645EC9&quot;/&gt;&lt;wsp:rsid wsp:val=&quot;00646F96&quot;/&gt;&lt;wsp:rsid wsp:val=&quot;00651193&quot;/&gt;&lt;wsp:rsid wsp:val=&quot;00651447&quot;/&gt;&lt;wsp:rsid wsp:val=&quot;006529BA&quot;/&gt;&lt;wsp:rsid wsp:val=&quot;00653911&quot;/&gt;&lt;wsp:rsid wsp:val=&quot;006564C0&quot;/&gt;&lt;wsp:rsid wsp:val=&quot;0066081B&quot;/&gt;&lt;wsp:rsid wsp:val=&quot;0066082D&quot;/&gt;&lt;wsp:rsid wsp:val=&quot;0066540D&quot;/&gt;&lt;wsp:rsid wsp:val=&quot;00665BD0&quot;/&gt;&lt;wsp:rsid wsp:val=&quot;00666643&quot;/&gt;&lt;wsp:rsid wsp:val=&quot;00671AD4&quot;/&gt;&lt;wsp:rsid wsp:val=&quot;00674C0D&quot;/&gt;&lt;wsp:rsid wsp:val=&quot;00676036&quot;/&gt;&lt;wsp:rsid wsp:val=&quot;00676FD2&quot;/&gt;&lt;wsp:rsid wsp:val=&quot;0067787B&quot;/&gt;&lt;wsp:rsid wsp:val=&quot;00677D52&quot;/&gt;&lt;wsp:rsid wsp:val=&quot;0068027F&quot;/&gt;&lt;wsp:rsid wsp:val=&quot;00681C4D&quot;/&gt;&lt;wsp:rsid wsp:val=&quot;006851E1&quot;/&gt;&lt;wsp:rsid wsp:val=&quot;006914EA&quot;/&gt;&lt;wsp:rsid wsp:val=&quot;006916EE&quot;/&gt;&lt;wsp:rsid wsp:val=&quot;00691AFD&quot;/&gt;&lt;wsp:rsid wsp:val=&quot;00693EB1&quot;/&gt;&lt;wsp:rsid wsp:val=&quot;00694B2A&quot;/&gt;&lt;wsp:rsid wsp:val=&quot;006950E2&quot;/&gt;&lt;wsp:rsid wsp:val=&quot;00695A76&quot;/&gt;&lt;wsp:rsid wsp:val=&quot;006965A8&quot;/&gt;&lt;wsp:rsid wsp:val=&quot;00697907&quot;/&gt;&lt;wsp:rsid wsp:val=&quot;006A1425&quot;/&gt;&lt;wsp:rsid wsp:val=&quot;006A2A75&quot;/&gt;&lt;wsp:rsid wsp:val=&quot;006A303D&quot;/&gt;&lt;wsp:rsid wsp:val=&quot;006A3DEB&quot;/&gt;&lt;wsp:rsid wsp:val=&quot;006A51DE&quot;/&gt;&lt;wsp:rsid wsp:val=&quot;006A572D&quot;/&gt;&lt;wsp:rsid wsp:val=&quot;006A5946&quot;/&gt;&lt;wsp:rsid wsp:val=&quot;006A618A&quot;/&gt;&lt;wsp:rsid wsp:val=&quot;006A69B9&quot;/&gt;&lt;wsp:rsid wsp:val=&quot;006B1C85&quot;/&gt;&lt;wsp:rsid wsp:val=&quot;006B2850&quot;/&gt;&lt;wsp:rsid wsp:val=&quot;006B2EAD&quot;/&gt;&lt;wsp:rsid wsp:val=&quot;006B3CDB&quot;/&gt;&lt;wsp:rsid wsp:val=&quot;006B6775&quot;/&gt;&lt;wsp:rsid wsp:val=&quot;006C0298&quot;/&gt;&lt;wsp:rsid wsp:val=&quot;006C1F49&quot;/&gt;&lt;wsp:rsid wsp:val=&quot;006C1F76&quot;/&gt;&lt;wsp:rsid wsp:val=&quot;006C200B&quot;/&gt;&lt;wsp:rsid wsp:val=&quot;006C4922&quot;/&gt;&lt;wsp:rsid wsp:val=&quot;006C5545&quot;/&gt;&lt;wsp:rsid wsp:val=&quot;006C5FB1&quot;/&gt;&lt;wsp:rsid wsp:val=&quot;006C7841&quot;/&gt;&lt;wsp:rsid wsp:val=&quot;006C7B7F&quot;/&gt;&lt;wsp:rsid wsp:val=&quot;006D06D4&quot;/&gt;&lt;wsp:rsid wsp:val=&quot;006D0927&quot;/&gt;&lt;wsp:rsid wsp:val=&quot;006D26F5&quot;/&gt;&lt;wsp:rsid wsp:val=&quot;006D2A4E&quot;/&gt;&lt;wsp:rsid wsp:val=&quot;006D460C&quot;/&gt;&lt;wsp:rsid wsp:val=&quot;006D70EF&quot;/&gt;&lt;wsp:rsid wsp:val=&quot;006D729C&quot;/&gt;&lt;wsp:rsid wsp:val=&quot;006E1354&quot;/&gt;&lt;wsp:rsid wsp:val=&quot;006E14CB&quot;/&gt;&lt;wsp:rsid wsp:val=&quot;006E244A&quot;/&gt;&lt;wsp:rsid wsp:val=&quot;006E371D&quot;/&gt;&lt;wsp:rsid wsp:val=&quot;006E5F76&quot;/&gt;&lt;wsp:rsid wsp:val=&quot;006F0326&quot;/&gt;&lt;wsp:rsid wsp:val=&quot;006F176D&quot;/&gt;&lt;wsp:rsid wsp:val=&quot;006F3FD0&quot;/&gt;&lt;wsp:rsid wsp:val=&quot;006F4DF0&quot;/&gt;&lt;wsp:rsid wsp:val=&quot;006F54D2&quot;/&gt;&lt;wsp:rsid wsp:val=&quot;006F5D49&quot;/&gt;&lt;wsp:rsid wsp:val=&quot;006F6816&quot;/&gt;&lt;wsp:rsid wsp:val=&quot;007017B9&quot;/&gt;&lt;wsp:rsid wsp:val=&quot;00703BF9&quot;/&gt;&lt;wsp:rsid wsp:val=&quot;00705BA0&quot;/&gt;&lt;wsp:rsid wsp:val=&quot;0071143F&quot;/&gt;&lt;wsp:rsid wsp:val=&quot;0071198D&quot;/&gt;&lt;wsp:rsid wsp:val=&quot;00711CBB&quot;/&gt;&lt;wsp:rsid wsp:val=&quot;007158E5&quot;/&gt;&lt;wsp:rsid wsp:val=&quot;00720A00&quot;/&gt;&lt;wsp:rsid wsp:val=&quot;00720ADA&quot;/&gt;&lt;wsp:rsid wsp:val=&quot;00721ACB&quot;/&gt;&lt;wsp:rsid wsp:val=&quot;007226D0&quot;/&gt;&lt;wsp:rsid wsp:val=&quot;00724BC9&quot;/&gt;&lt;wsp:rsid wsp:val=&quot;00724E3B&quot;/&gt;&lt;wsp:rsid wsp:val=&quot;00725C48&quot;/&gt;&lt;wsp:rsid wsp:val=&quot;00726C79&quot;/&gt;&lt;wsp:rsid wsp:val=&quot;007272A7&quot;/&gt;&lt;wsp:rsid wsp:val=&quot;00732B01&quot;/&gt;&lt;wsp:rsid wsp:val=&quot;0073362B&quot;/&gt;&lt;wsp:rsid wsp:val=&quot;0073390F&quot;/&gt;&lt;wsp:rsid wsp:val=&quot;007347A1&quot;/&gt;&lt;wsp:rsid wsp:val=&quot;00735227&quot;/&gt;&lt;wsp:rsid wsp:val=&quot;007357F2&quot;/&gt;&lt;wsp:rsid wsp:val=&quot;00737384&quot;/&gt;&lt;wsp:rsid wsp:val=&quot;00737476&quot;/&gt;&lt;wsp:rsid wsp:val=&quot;00737D6E&quot;/&gt;&lt;wsp:rsid wsp:val=&quot;00740182&quot;/&gt;&lt;wsp:rsid wsp:val=&quot;00740B97&quot;/&gt;&lt;wsp:rsid wsp:val=&quot;0074395C&quot;/&gt;&lt;wsp:rsid wsp:val=&quot;00745F03&quot;/&gt;&lt;wsp:rsid wsp:val=&quot;00746C41&quot;/&gt;&lt;wsp:rsid wsp:val=&quot;00746F6F&quot;/&gt;&lt;wsp:rsid wsp:val=&quot;00750A7F&quot;/&gt;&lt;wsp:rsid wsp:val=&quot;007528BD&quot;/&gt;&lt;wsp:rsid wsp:val=&quot;0075297D&quot;/&gt;&lt;wsp:rsid wsp:val=&quot;00752DC0&quot;/&gt;&lt;wsp:rsid wsp:val=&quot;00754607&quot;/&gt;&lt;wsp:rsid wsp:val=&quot;00755B7B&quot;/&gt;&lt;wsp:rsid wsp:val=&quot;00755CBD&quot;/&gt;&lt;wsp:rsid wsp:val=&quot;00762435&quot;/&gt;&lt;wsp:rsid wsp:val=&quot;00762B49&quot;/&gt;&lt;wsp:rsid wsp:val=&quot;00763507&quot;/&gt;&lt;wsp:rsid wsp:val=&quot;00763520&quot;/&gt;&lt;wsp:rsid wsp:val=&quot;00763D2C&quot;/&gt;&lt;wsp:rsid wsp:val=&quot;007655CD&quot;/&gt;&lt;wsp:rsid wsp:val=&quot;007674D0&quot;/&gt;&lt;wsp:rsid wsp:val=&quot;007727AD&quot;/&gt;&lt;wsp:rsid wsp:val=&quot;00772B8D&quot;/&gt;&lt;wsp:rsid wsp:val=&quot;0077396B&quot;/&gt;&lt;wsp:rsid wsp:val=&quot;00775E09&quot;/&gt;&lt;wsp:rsid wsp:val=&quot;007773AC&quot;/&gt;&lt;wsp:rsid wsp:val=&quot;00780177&quot;/&gt;&lt;wsp:rsid wsp:val=&quot;007801F9&quot;/&gt;&lt;wsp:rsid wsp:val=&quot;007839F9&quot;/&gt;&lt;wsp:rsid wsp:val=&quot;007844D9&quot;/&gt;&lt;wsp:rsid wsp:val=&quot;00786691&quot;/&gt;&lt;wsp:rsid wsp:val=&quot;007866C2&quot;/&gt;&lt;wsp:rsid wsp:val=&quot;00787868&quot;/&gt;&lt;wsp:rsid wsp:val=&quot;00790429&quot;/&gt;&lt;wsp:rsid wsp:val=&quot;00794199&quot;/&gt;&lt;wsp:rsid wsp:val=&quot;00795118&quot;/&gt;&lt;wsp:rsid wsp:val=&quot;0079577D&quot;/&gt;&lt;wsp:rsid wsp:val=&quot;0079611A&quot;/&gt;&lt;wsp:rsid wsp:val=&quot;007963C8&quot;/&gt;&lt;wsp:rsid wsp:val=&quot;00796FDC&quot;/&gt;&lt;wsp:rsid wsp:val=&quot;007A0456&quot;/&gt;&lt;wsp:rsid wsp:val=&quot;007A18A4&quot;/&gt;&lt;wsp:rsid wsp:val=&quot;007A1921&quot;/&gt;&lt;wsp:rsid wsp:val=&quot;007A37D9&quot;/&gt;&lt;wsp:rsid wsp:val=&quot;007A5810&quot;/&gt;&lt;wsp:rsid wsp:val=&quot;007A603A&quot;/&gt;&lt;wsp:rsid wsp:val=&quot;007A7E9C&quot;/&gt;&lt;wsp:rsid wsp:val=&quot;007B0197&quot;/&gt;&lt;wsp:rsid wsp:val=&quot;007B07C3&quot;/&gt;&lt;wsp:rsid wsp:val=&quot;007B0FA4&quot;/&gt;&lt;wsp:rsid wsp:val=&quot;007B2074&quot;/&gt;&lt;wsp:rsid wsp:val=&quot;007B28C2&quot;/&gt;&lt;wsp:rsid wsp:val=&quot;007B2F7A&quot;/&gt;&lt;wsp:rsid wsp:val=&quot;007B44B9&quot;/&gt;&lt;wsp:rsid wsp:val=&quot;007B637C&quot;/&gt;&lt;wsp:rsid wsp:val=&quot;007B6EE8&quot;/&gt;&lt;wsp:rsid wsp:val=&quot;007C041C&quot;/&gt;&lt;wsp:rsid wsp:val=&quot;007C1170&quot;/&gt;&lt;wsp:rsid wsp:val=&quot;007C125C&quot;/&gt;&lt;wsp:rsid wsp:val=&quot;007C4F0E&quot;/&gt;&lt;wsp:rsid wsp:val=&quot;007C6B1E&quot;/&gt;&lt;wsp:rsid wsp:val=&quot;007C7410&quot;/&gt;&lt;wsp:rsid wsp:val=&quot;007D1068&quot;/&gt;&lt;wsp:rsid wsp:val=&quot;007D163F&quot;/&gt;&lt;wsp:rsid wsp:val=&quot;007D19E2&quot;/&gt;&lt;wsp:rsid wsp:val=&quot;007D267E&quot;/&gt;&lt;wsp:rsid wsp:val=&quot;007D2852&quot;/&gt;&lt;wsp:rsid wsp:val=&quot;007D4740&quot;/&gt;&lt;wsp:rsid wsp:val=&quot;007D5BAD&quot;/&gt;&lt;wsp:rsid wsp:val=&quot;007D6476&quot;/&gt;&lt;wsp:rsid wsp:val=&quot;007D71CD&quot;/&gt;&lt;wsp:rsid wsp:val=&quot;007E00DF&quot;/&gt;&lt;wsp:rsid wsp:val=&quot;007E0872&quot;/&gt;&lt;wsp:rsid wsp:val=&quot;007E4AA9&quot;/&gt;&lt;wsp:rsid wsp:val=&quot;007E63D4&quot;/&gt;&lt;wsp:rsid wsp:val=&quot;007F20CE&quot;/&gt;&lt;wsp:rsid wsp:val=&quot;007F2CA8&quot;/&gt;&lt;wsp:rsid wsp:val=&quot;007F3B71&quot;/&gt;&lt;wsp:rsid wsp:val=&quot;007F3FD9&quot;/&gt;&lt;wsp:rsid wsp:val=&quot;007F4099&quot;/&gt;&lt;wsp:rsid wsp:val=&quot;007F4674&quot;/&gt;&lt;wsp:rsid wsp:val=&quot;007F471F&quot;/&gt;&lt;wsp:rsid wsp:val=&quot;007F4E3E&quot;/&gt;&lt;wsp:rsid wsp:val=&quot;008026F4&quot;/&gt;&lt;wsp:rsid wsp:val=&quot;00802AE9&quot;/&gt;&lt;wsp:rsid wsp:val=&quot;008046DA&quot;/&gt;&lt;wsp:rsid wsp:val=&quot;00805793&quot;/&gt;&lt;wsp:rsid wsp:val=&quot;00806C50&quot;/&gt;&lt;wsp:rsid wsp:val=&quot;00807236&quot;/&gt;&lt;wsp:rsid wsp:val=&quot;00813C7F&quot;/&gt;&lt;wsp:rsid wsp:val=&quot;008153C9&quot;/&gt;&lt;wsp:rsid wsp:val=&quot;00815FE8&quot;/&gt;&lt;wsp:rsid wsp:val=&quot;0081604D&quot;/&gt;&lt;wsp:rsid wsp:val=&quot;008166F8&quot;/&gt;&lt;wsp:rsid wsp:val=&quot;0082141D&quot;/&gt;&lt;wsp:rsid wsp:val=&quot;00823786&quot;/&gt;&lt;wsp:rsid wsp:val=&quot;0082399C&quot;/&gt;&lt;wsp:rsid wsp:val=&quot;00823B46&quot;/&gt;&lt;wsp:rsid wsp:val=&quot;00824083&quot;/&gt;&lt;wsp:rsid wsp:val=&quot;00825475&quot;/&gt;&lt;wsp:rsid wsp:val=&quot;00826D13&quot;/&gt;&lt;wsp:rsid wsp:val=&quot;00826FE5&quot;/&gt;&lt;wsp:rsid wsp:val=&quot;00830BA7&quot;/&gt;&lt;wsp:rsid wsp:val=&quot;008319F5&quot;/&gt;&lt;wsp:rsid wsp:val=&quot;00831F19&quot;/&gt;&lt;wsp:rsid wsp:val=&quot;008327B4&quot;/&gt;&lt;wsp:rsid wsp:val=&quot;00832DD1&quot;/&gt;&lt;wsp:rsid wsp:val=&quot;00833E43&quot;/&gt;&lt;wsp:rsid wsp:val=&quot;00834A1D&quot;/&gt;&lt;wsp:rsid wsp:val=&quot;00837A9F&quot;/&gt;&lt;wsp:rsid wsp:val=&quot;00840245&quot;/&gt;&lt;wsp:rsid wsp:val=&quot;008410F0&quot;/&gt;&lt;wsp:rsid wsp:val=&quot;00843AE5&quot;/&gt;&lt;wsp:rsid wsp:val=&quot;008467B4&quot;/&gt;&lt;wsp:rsid wsp:val=&quot;00846A6C&quot;/&gt;&lt;wsp:rsid wsp:val=&quot;008472D0&quot;/&gt;&lt;wsp:rsid wsp:val=&quot;00850583&quot;/&gt;&lt;wsp:rsid wsp:val=&quot;00851401&quot;/&gt;&lt;wsp:rsid wsp:val=&quot;008520A2&quot;/&gt;&lt;wsp:rsid wsp:val=&quot;0085266C&quot;/&gt;&lt;wsp:rsid wsp:val=&quot;00853A55&quot;/&gt;&lt;wsp:rsid wsp:val=&quot;00854B0F&quot;/&gt;&lt;wsp:rsid wsp:val=&quot;008570B0&quot;/&gt;&lt;wsp:rsid wsp:val=&quot;008570B7&quot;/&gt;&lt;wsp:rsid wsp:val=&quot;008601D2&quot;/&gt;&lt;wsp:rsid wsp:val=&quot;008606E4&quot;/&gt;&lt;wsp:rsid wsp:val=&quot;00861383&quot;/&gt;&lt;wsp:rsid wsp:val=&quot;00864BD2&quot;/&gt;&lt;wsp:rsid wsp:val=&quot;00865917&quot;/&gt;&lt;wsp:rsid wsp:val=&quot;00866360&quot;/&gt;&lt;wsp:rsid wsp:val=&quot;0086704C&quot;/&gt;&lt;wsp:rsid wsp:val=&quot;00875497&quot;/&gt;&lt;wsp:rsid wsp:val=&quot;008769A7&quot;/&gt;&lt;wsp:rsid wsp:val=&quot;00876C1E&quot;/&gt;&lt;wsp:rsid wsp:val=&quot;00880769&quot;/&gt;&lt;wsp:rsid wsp:val=&quot;00883FB4&quot;/&gt;&lt;wsp:rsid wsp:val=&quot;0088486C&quot;/&gt;&lt;wsp:rsid wsp:val=&quot;00884A3E&quot;/&gt;&lt;wsp:rsid wsp:val=&quot;00885E2E&quot;/&gt;&lt;wsp:rsid wsp:val=&quot;00885FDC&quot;/&gt;&lt;wsp:rsid wsp:val=&quot;0089236E&quot;/&gt;&lt;wsp:rsid wsp:val=&quot;00892436&quot;/&gt;&lt;wsp:rsid wsp:val=&quot;00895D26&quot;/&gt;&lt;wsp:rsid wsp:val=&quot;008970B3&quot;/&gt;&lt;wsp:rsid wsp:val=&quot;00897488&quot;/&gt;&lt;wsp:rsid wsp:val=&quot;00897650&quot;/&gt;&lt;wsp:rsid wsp:val=&quot;00897735&quot;/&gt;&lt;wsp:rsid wsp:val=&quot;008A0C9D&quot;/&gt;&lt;wsp:rsid wsp:val=&quot;008A339B&quot;/&gt;&lt;wsp:rsid wsp:val=&quot;008A4E13&quot;/&gt;&lt;wsp:rsid wsp:val=&quot;008A69CF&quot;/&gt;&lt;wsp:rsid wsp:val=&quot;008A6BF5&quot;/&gt;&lt;wsp:rsid wsp:val=&quot;008A6EEB&quot;/&gt;&lt;wsp:rsid wsp:val=&quot;008A7E28&quot;/&gt;&lt;wsp:rsid wsp:val=&quot;008B004E&quot;/&gt;&lt;wsp:rsid wsp:val=&quot;008B175C&quot;/&gt;&lt;wsp:rsid wsp:val=&quot;008B1897&quot;/&gt;&lt;wsp:rsid wsp:val=&quot;008B4050&quot;/&gt;&lt;wsp:rsid wsp:val=&quot;008B47FA&quot;/&gt;&lt;wsp:rsid wsp:val=&quot;008B76C7&quot;/&gt;&lt;wsp:rsid wsp:val=&quot;008B7715&quot;/&gt;&lt;wsp:rsid wsp:val=&quot;008C0A28&quot;/&gt;&lt;wsp:rsid wsp:val=&quot;008C0C03&quot;/&gt;&lt;wsp:rsid wsp:val=&quot;008C194D&quot;/&gt;&lt;wsp:rsid wsp:val=&quot;008C217A&quot;/&gt;&lt;wsp:rsid wsp:val=&quot;008C2B3D&quot;/&gt;&lt;wsp:rsid wsp:val=&quot;008C3DD9&quot;/&gt;&lt;wsp:rsid wsp:val=&quot;008C5BFA&quot;/&gt;&lt;wsp:rsid wsp:val=&quot;008D330C&quot;/&gt;&lt;wsp:rsid wsp:val=&quot;008D397B&quot;/&gt;&lt;wsp:rsid wsp:val=&quot;008D4B2E&quot;/&gt;&lt;wsp:rsid wsp:val=&quot;008D646C&quot;/&gt;&lt;wsp:rsid wsp:val=&quot;008D6476&quot;/&gt;&lt;wsp:rsid wsp:val=&quot;008D7AE1&quot;/&gt;&lt;wsp:rsid wsp:val=&quot;008E2A0B&quot;/&gt;&lt;wsp:rsid wsp:val=&quot;008E5662&quot;/&gt;&lt;wsp:rsid wsp:val=&quot;008E5691&quot;/&gt;&lt;wsp:rsid wsp:val=&quot;008E5A25&quot;/&gt;&lt;wsp:rsid wsp:val=&quot;008E7696&quot;/&gt;&lt;wsp:rsid wsp:val=&quot;008F0A7B&quot;/&gt;&lt;wsp:rsid wsp:val=&quot;008F2271&quot;/&gt;&lt;wsp:rsid wsp:val=&quot;008F2722&quot;/&gt;&lt;wsp:rsid wsp:val=&quot;008F324B&quot;/&gt;&lt;wsp:rsid wsp:val=&quot;008F463D&quot;/&gt;&lt;wsp:rsid wsp:val=&quot;008F48EC&quot;/&gt;&lt;wsp:rsid wsp:val=&quot;008F54B6&quot;/&gt;&lt;wsp:rsid wsp:val=&quot;008F55FF&quot;/&gt;&lt;wsp:rsid wsp:val=&quot;008F5DD4&quot;/&gt;&lt;wsp:rsid wsp:val=&quot;008F7BD8&quot;/&gt;&lt;wsp:rsid wsp:val=&quot;009022E8&quot;/&gt;&lt;wsp:rsid wsp:val=&quot;00902551&quot;/&gt;&lt;wsp:rsid wsp:val=&quot;00905138&quot;/&gt;&lt;wsp:rsid wsp:val=&quot;00910878&quot;/&gt;&lt;wsp:rsid wsp:val=&quot;00910973&quot;/&gt;&lt;wsp:rsid wsp:val=&quot;00910BC0&quot;/&gt;&lt;wsp:rsid wsp:val=&quot;00916CE2&quot;/&gt;&lt;wsp:rsid wsp:val=&quot;009230D7&quot;/&gt;&lt;wsp:rsid wsp:val=&quot;0092424D&quot;/&gt;&lt;wsp:rsid wsp:val=&quot;00925726&quot;/&gt;&lt;wsp:rsid wsp:val=&quot;009257B6&quot;/&gt;&lt;wsp:rsid wsp:val=&quot;009266FF&quot;/&gt;&lt;wsp:rsid wsp:val=&quot;009275D6&quot;/&gt;&lt;wsp:rsid wsp:val=&quot;00927B0C&quot;/&gt;&lt;wsp:rsid wsp:val=&quot;00927FE5&quot;/&gt;&lt;wsp:rsid wsp:val=&quot;0093013F&quot;/&gt;&lt;wsp:rsid wsp:val=&quot;0093139E&quot;/&gt;&lt;wsp:rsid wsp:val=&quot;00931C54&quot;/&gt;&lt;wsp:rsid wsp:val=&quot;00931E00&quot;/&gt;&lt;wsp:rsid wsp:val=&quot;00933F4E&quot;/&gt;&lt;wsp:rsid wsp:val=&quot;00934326&quot;/&gt;&lt;wsp:rsid wsp:val=&quot;00935D96&quot;/&gt;&lt;wsp:rsid wsp:val=&quot;00936690&quot;/&gt;&lt;wsp:rsid wsp:val=&quot;009401A4&quot;/&gt;&lt;wsp:rsid wsp:val=&quot;00940231&quot;/&gt;&lt;wsp:rsid wsp:val=&quot;009404A1&quot;/&gt;&lt;wsp:rsid wsp:val=&quot;00940A63&quot;/&gt;&lt;wsp:rsid wsp:val=&quot;0094220A&quot;/&gt;&lt;wsp:rsid wsp:val=&quot;00942941&quot;/&gt;&lt;wsp:rsid wsp:val=&quot;00943A2F&quot;/&gt;&lt;wsp:rsid wsp:val=&quot;009449A8&quot;/&gt;&lt;wsp:rsid wsp:val=&quot;00944AC7&quot;/&gt;&lt;wsp:rsid wsp:val=&quot;009451D7&quot;/&gt;&lt;wsp:rsid wsp:val=&quot;00945275&quot;/&gt;&lt;wsp:rsid wsp:val=&quot;00945561&quot;/&gt;&lt;wsp:rsid wsp:val=&quot;00945565&quot;/&gt;&lt;wsp:rsid wsp:val=&quot;00946BC7&quot;/&gt;&lt;wsp:rsid wsp:val=&quot;00946C2E&quot;/&gt;&lt;wsp:rsid wsp:val=&quot;00951C56&quot;/&gt;&lt;wsp:rsid wsp:val=&quot;009544E1&quot;/&gt;&lt;wsp:rsid wsp:val=&quot;00955594&quot;/&gt;&lt;wsp:rsid wsp:val=&quot;00960284&quot;/&gt;&lt;wsp:rsid wsp:val=&quot;00960482&quot;/&gt;&lt;wsp:rsid wsp:val=&quot;0096142A&quot;/&gt;&lt;wsp:rsid wsp:val=&quot;0096347C&quot;/&gt;&lt;wsp:rsid wsp:val=&quot;00964985&quot;/&gt;&lt;wsp:rsid wsp:val=&quot;009649A0&quot;/&gt;&lt;wsp:rsid wsp:val=&quot;00965316&quot;/&gt;&lt;wsp:rsid wsp:val=&quot;00965E67&quot;/&gt;&lt;wsp:rsid wsp:val=&quot;009666A1&quot;/&gt;&lt;wsp:rsid wsp:val=&quot;0096700A&quot;/&gt;&lt;wsp:rsid wsp:val=&quot;00967208&quot;/&gt;&lt;wsp:rsid wsp:val=&quot;00970AD2&quot;/&gt;&lt;wsp:rsid wsp:val=&quot;00970E73&quot;/&gt;&lt;wsp:rsid wsp:val=&quot;00971786&quot;/&gt;&lt;wsp:rsid wsp:val=&quot;00971FFB&quot;/&gt;&lt;wsp:rsid wsp:val=&quot;00973566&quot;/&gt;&lt;wsp:rsid wsp:val=&quot;00974173&quot;/&gt;&lt;wsp:rsid wsp:val=&quot;00974548&quot;/&gt;&lt;wsp:rsid wsp:val=&quot;00976D6B&quot;/&gt;&lt;wsp:rsid wsp:val=&quot;009864FA&quot;/&gt;&lt;wsp:rsid wsp:val=&quot;009903F2&quot;/&gt;&lt;wsp:rsid wsp:val=&quot;00991544&quot;/&gt;&lt;wsp:rsid wsp:val=&quot;009915F1&quot;/&gt;&lt;wsp:rsid wsp:val=&quot;009917FC&quot;/&gt;&lt;wsp:rsid wsp:val=&quot;0099283B&quot;/&gt;&lt;wsp:rsid wsp:val=&quot;00992C4E&quot;/&gt;&lt;wsp:rsid wsp:val=&quot;00993961&quot;/&gt;&lt;wsp:rsid wsp:val=&quot;00993A8A&quot;/&gt;&lt;wsp:rsid wsp:val=&quot;00993B95&quot;/&gt;&lt;wsp:rsid wsp:val=&quot;009940EB&quot;/&gt;&lt;wsp:rsid wsp:val=&quot;009948A4&quot;/&gt;&lt;wsp:rsid wsp:val=&quot;009951AF&quot;/&gt;&lt;wsp:rsid wsp:val=&quot;009951B3&quot;/&gt;&lt;wsp:rsid wsp:val=&quot;009963C4&quot;/&gt;&lt;wsp:rsid wsp:val=&quot;009A075D&quot;/&gt;&lt;wsp:rsid wsp:val=&quot;009A0E17&quot;/&gt;&lt;wsp:rsid wsp:val=&quot;009A0E96&quot;/&gt;&lt;wsp:rsid wsp:val=&quot;009A120A&quot;/&gt;&lt;wsp:rsid wsp:val=&quot;009A23AF&quot;/&gt;&lt;wsp:rsid wsp:val=&quot;009A4B9E&quot;/&gt;&lt;wsp:rsid wsp:val=&quot;009A649A&quot;/&gt;&lt;wsp:rsid wsp:val=&quot;009A6853&quot;/&gt;&lt;wsp:rsid wsp:val=&quot;009A7064&quot;/&gt;&lt;wsp:rsid wsp:val=&quot;009A76F3&quot;/&gt;&lt;wsp:rsid wsp:val=&quot;009B0878&quot;/&gt;&lt;wsp:rsid wsp:val=&quot;009B0DD2&quot;/&gt;&lt;wsp:rsid wsp:val=&quot;009B1A6B&quot;/&gt;&lt;wsp:rsid wsp:val=&quot;009B1D53&quot;/&gt;&lt;wsp:rsid wsp:val=&quot;009B22B4&quot;/&gt;&lt;wsp:rsid wsp:val=&quot;009B303A&quot;/&gt;&lt;wsp:rsid wsp:val=&quot;009B3B9D&quot;/&gt;&lt;wsp:rsid wsp:val=&quot;009B4736&quot;/&gt;&lt;wsp:rsid wsp:val=&quot;009B51F8&quot;/&gt;&lt;wsp:rsid wsp:val=&quot;009B6188&quot;/&gt;&lt;wsp:rsid wsp:val=&quot;009B622C&quot;/&gt;&lt;wsp:rsid wsp:val=&quot;009C153D&quot;/&gt;&lt;wsp:rsid wsp:val=&quot;009C55D2&quot;/&gt;&lt;wsp:rsid wsp:val=&quot;009C5CB3&quot;/&gt;&lt;wsp:rsid wsp:val=&quot;009C66A7&quot;/&gt;&lt;wsp:rsid wsp:val=&quot;009C6EB1&quot;/&gt;&lt;wsp:rsid wsp:val=&quot;009C7BD4&quot;/&gt;&lt;wsp:rsid wsp:val=&quot;009C7DDC&quot;/&gt;&lt;wsp:rsid wsp:val=&quot;009D06AD&quot;/&gt;&lt;wsp:rsid wsp:val=&quot;009D2864&quot;/&gt;&lt;wsp:rsid wsp:val=&quot;009D2D19&quot;/&gt;&lt;wsp:rsid wsp:val=&quot;009D2EA7&quot;/&gt;&lt;wsp:rsid wsp:val=&quot;009D39D9&quot;/&gt;&lt;wsp:rsid wsp:val=&quot;009D4083&quot;/&gt;&lt;wsp:rsid wsp:val=&quot;009D4588&quot;/&gt;&lt;wsp:rsid wsp:val=&quot;009D4C40&quot;/&gt;&lt;wsp:rsid wsp:val=&quot;009D5533&quot;/&gt;&lt;wsp:rsid wsp:val=&quot;009D5EDD&quot;/&gt;&lt;wsp:rsid wsp:val=&quot;009D6458&quot;/&gt;&lt;wsp:rsid wsp:val=&quot;009D77EC&quot;/&gt;&lt;wsp:rsid wsp:val=&quot;009D7A26&quot;/&gt;&lt;wsp:rsid wsp:val=&quot;009E07E5&quot;/&gt;&lt;wsp:rsid wsp:val=&quot;009E3EFA&quot;/&gt;&lt;wsp:rsid wsp:val=&quot;009E52E9&quot;/&gt;&lt;wsp:rsid wsp:val=&quot;009E5366&quot;/&gt;&lt;wsp:rsid wsp:val=&quot;009F1BC7&quot;/&gt;&lt;wsp:rsid wsp:val=&quot;009F2860&quot;/&gt;&lt;wsp:rsid wsp:val=&quot;009F2F6B&quot;/&gt;&lt;wsp:rsid wsp:val=&quot;009F330B&quot;/&gt;&lt;wsp:rsid wsp:val=&quot;009F4505&quot;/&gt;&lt;wsp:rsid wsp:val=&quot;009F6D16&quot;/&gt;&lt;wsp:rsid wsp:val=&quot;00A00A39&quot;/&gt;&lt;wsp:rsid wsp:val=&quot;00A011A7&quot;/&gt;&lt;wsp:rsid wsp:val=&quot;00A01D97&quot;/&gt;&lt;wsp:rsid wsp:val=&quot;00A025E5&quot;/&gt;&lt;wsp:rsid wsp:val=&quot;00A04476&quot;/&gt;&lt;wsp:rsid wsp:val=&quot;00A05743&quot;/&gt;&lt;wsp:rsid wsp:val=&quot;00A05F74&quot;/&gt;&lt;wsp:rsid wsp:val=&quot;00A11DE0&quot;/&gt;&lt;wsp:rsid wsp:val=&quot;00A148CB&quot;/&gt;&lt;wsp:rsid wsp:val=&quot;00A14F45&quot;/&gt;&lt;wsp:rsid wsp:val=&quot;00A15B7B&quot;/&gt;&lt;wsp:rsid wsp:val=&quot;00A16000&quot;/&gt;&lt;wsp:rsid wsp:val=&quot;00A21305&quot;/&gt;&lt;wsp:rsid wsp:val=&quot;00A21726&quot;/&gt;&lt;wsp:rsid wsp:val=&quot;00A22803&quot;/&gt;&lt;wsp:rsid wsp:val=&quot;00A22C2F&quot;/&gt;&lt;wsp:rsid wsp:val=&quot;00A23C32&quot;/&gt;&lt;wsp:rsid wsp:val=&quot;00A24278&quot;/&gt;&lt;wsp:rsid wsp:val=&quot;00A24AFE&quot;/&gt;&lt;wsp:rsid wsp:val=&quot;00A256C0&quot;/&gt;&lt;wsp:rsid wsp:val=&quot;00A25796&quot;/&gt;&lt;wsp:rsid wsp:val=&quot;00A26590&quot;/&gt;&lt;wsp:rsid wsp:val=&quot;00A30001&quot;/&gt;&lt;wsp:rsid wsp:val=&quot;00A31B82&quot;/&gt;&lt;wsp:rsid wsp:val=&quot;00A332D8&quot;/&gt;&lt;wsp:rsid wsp:val=&quot;00A33970&quot;/&gt;&lt;wsp:rsid wsp:val=&quot;00A34534&quot;/&gt;&lt;wsp:rsid wsp:val=&quot;00A3522F&quot;/&gt;&lt;wsp:rsid wsp:val=&quot;00A357C3&quot;/&gt;&lt;wsp:rsid wsp:val=&quot;00A35BB7&quot;/&gt;&lt;wsp:rsid wsp:val=&quot;00A36BE8&quot;/&gt;&lt;wsp:rsid wsp:val=&quot;00A40006&quot;/&gt;&lt;wsp:rsid wsp:val=&quot;00A4015D&quot;/&gt;&lt;wsp:rsid wsp:val=&quot;00A4177C&quot;/&gt;&lt;wsp:rsid wsp:val=&quot;00A41E98&quot;/&gt;&lt;wsp:rsid wsp:val=&quot;00A42B1F&quot;/&gt;&lt;wsp:rsid wsp:val=&quot;00A42BE5&quot;/&gt;&lt;wsp:rsid wsp:val=&quot;00A46A74&quot;/&gt;&lt;wsp:rsid wsp:val=&quot;00A50476&quot;/&gt;&lt;wsp:rsid wsp:val=&quot;00A516A3&quot;/&gt;&lt;wsp:rsid wsp:val=&quot;00A5208E&quot;/&gt;&lt;wsp:rsid wsp:val=&quot;00A540B4&quot;/&gt;&lt;wsp:rsid wsp:val=&quot;00A57269&quot;/&gt;&lt;wsp:rsid wsp:val=&quot;00A57F7A&quot;/&gt;&lt;wsp:rsid wsp:val=&quot;00A60251&quot;/&gt;&lt;wsp:rsid wsp:val=&quot;00A606E6&quot;/&gt;&lt;wsp:rsid wsp:val=&quot;00A608D0&quot;/&gt;&lt;wsp:rsid wsp:val=&quot;00A60FEF&quot;/&gt;&lt;wsp:rsid wsp:val=&quot;00A61264&quot;/&gt;&lt;wsp:rsid wsp:val=&quot;00A61424&quot;/&gt;&lt;wsp:rsid wsp:val=&quot;00A61C2A&quot;/&gt;&lt;wsp:rsid wsp:val=&quot;00A62C9C&quot;/&gt;&lt;wsp:rsid wsp:val=&quot;00A63C84&quot;/&gt;&lt;wsp:rsid wsp:val=&quot;00A657BA&quot;/&gt;&lt;wsp:rsid wsp:val=&quot;00A7000C&quot;/&gt;&lt;wsp:rsid wsp:val=&quot;00A70188&quot;/&gt;&lt;wsp:rsid wsp:val=&quot;00A707FB&quot;/&gt;&lt;wsp:rsid wsp:val=&quot;00A70E74&quot;/&gt;&lt;wsp:rsid wsp:val=&quot;00A70EBF&quot;/&gt;&lt;wsp:rsid wsp:val=&quot;00A71949&quot;/&gt;&lt;wsp:rsid wsp:val=&quot;00A72FEA&quot;/&gt;&lt;wsp:rsid wsp:val=&quot;00A73D67&quot;/&gt;&lt;wsp:rsid wsp:val=&quot;00A811BC&quot;/&gt;&lt;wsp:rsid wsp:val=&quot;00A839ED&quot;/&gt;&lt;wsp:rsid wsp:val=&quot;00A84635&quot;/&gt;&lt;wsp:rsid wsp:val=&quot;00A853E0&quot;/&gt;&lt;wsp:rsid wsp:val=&quot;00A85A25&quot;/&gt;&lt;wsp:rsid wsp:val=&quot;00A86EBD&quot;/&gt;&lt;wsp:rsid wsp:val=&quot;00A87C54&quot;/&gt;&lt;wsp:rsid wsp:val=&quot;00AA1745&quot;/&gt;&lt;wsp:rsid wsp:val=&quot;00AA2B25&quot;/&gt;&lt;wsp:rsid wsp:val=&quot;00AA41B3&quot;/&gt;&lt;wsp:rsid wsp:val=&quot;00AA430E&quot;/&gt;&lt;wsp:rsid wsp:val=&quot;00AA53DF&quot;/&gt;&lt;wsp:rsid wsp:val=&quot;00AA6737&quot;/&gt;&lt;wsp:rsid wsp:val=&quot;00AB059E&quot;/&gt;&lt;wsp:rsid wsp:val=&quot;00AB0A25&quot;/&gt;&lt;wsp:rsid wsp:val=&quot;00AB2241&quot;/&gt;&lt;wsp:rsid wsp:val=&quot;00AB29C7&quot;/&gt;&lt;wsp:rsid wsp:val=&quot;00AB3278&quot;/&gt;&lt;wsp:rsid wsp:val=&quot;00AB613F&quot;/&gt;&lt;wsp:rsid wsp:val=&quot;00AB72E3&quot;/&gt;&lt;wsp:rsid wsp:val=&quot;00AB75FD&quot;/&gt;&lt;wsp:rsid wsp:val=&quot;00AB78A0&quot;/&gt;&lt;wsp:rsid wsp:val=&quot;00AC0182&quot;/&gt;&lt;wsp:rsid wsp:val=&quot;00AC01AD&quot;/&gt;&lt;wsp:rsid wsp:val=&quot;00AC4902&quot;/&gt;&lt;wsp:rsid wsp:val=&quot;00AC4A5D&quot;/&gt;&lt;wsp:rsid wsp:val=&quot;00AC4E26&quot;/&gt;&lt;wsp:rsid wsp:val=&quot;00AC54A0&quot;/&gt;&lt;wsp:rsid wsp:val=&quot;00AC7F2C&quot;/&gt;&lt;wsp:rsid wsp:val=&quot;00AD45DA&quot;/&gt;&lt;wsp:rsid wsp:val=&quot;00AD6398&quot;/&gt;&lt;wsp:rsid wsp:val=&quot;00AE3544&quot;/&gt;&lt;wsp:rsid wsp:val=&quot;00AE41B2&quot;/&gt;&lt;wsp:rsid wsp:val=&quot;00AE4B55&quot;/&gt;&lt;wsp:rsid wsp:val=&quot;00AE5DF6&quot;/&gt;&lt;wsp:rsid wsp:val=&quot;00AE6283&quot;/&gt;&lt;wsp:rsid wsp:val=&quot;00AE64BB&quot;/&gt;&lt;wsp:rsid wsp:val=&quot;00AE7886&quot;/&gt;&lt;wsp:rsid wsp:val=&quot;00AF0C13&quot;/&gt;&lt;wsp:rsid wsp:val=&quot;00AF26C1&quot;/&gt;&lt;wsp:rsid wsp:val=&quot;00AF301F&quot;/&gt;&lt;wsp:rsid wsp:val=&quot;00AF353E&quot;/&gt;&lt;wsp:rsid wsp:val=&quot;00AF42B6&quot;/&gt;&lt;wsp:rsid wsp:val=&quot;00AF6EDD&quot;/&gt;&lt;wsp:rsid wsp:val=&quot;00AF7644&quot;/&gt;&lt;wsp:rsid wsp:val=&quot;00B00CAA&quot;/&gt;&lt;wsp:rsid wsp:val=&quot;00B01424&quot;/&gt;&lt;wsp:rsid wsp:val=&quot;00B02E90&quot;/&gt;&lt;wsp:rsid wsp:val=&quot;00B03F91&quot;/&gt;&lt;wsp:rsid wsp:val=&quot;00B04032&quot;/&gt;&lt;wsp:rsid wsp:val=&quot;00B048E8&quot;/&gt;&lt;wsp:rsid wsp:val=&quot;00B05581&quot;/&gt;&lt;wsp:rsid wsp:val=&quot;00B072A8&quot;/&gt;&lt;wsp:rsid wsp:val=&quot;00B10353&quot;/&gt;&lt;wsp:rsid wsp:val=&quot;00B14DED&quot;/&gt;&lt;wsp:rsid wsp:val=&quot;00B161B1&quot;/&gt;&lt;wsp:rsid wsp:val=&quot;00B16B27&quot;/&gt;&lt;wsp:rsid wsp:val=&quot;00B206B0&quot;/&gt;&lt;wsp:rsid wsp:val=&quot;00B20BD4&quot;/&gt;&lt;wsp:rsid wsp:val=&quot;00B216AB&quot;/&gt;&lt;wsp:rsid wsp:val=&quot;00B23DEB&quot;/&gt;&lt;wsp:rsid wsp:val=&quot;00B23FAD&quot;/&gt;&lt;wsp:rsid wsp:val=&quot;00B2503D&quot;/&gt;&lt;wsp:rsid wsp:val=&quot;00B26F6E&quot;/&gt;&lt;wsp:rsid wsp:val=&quot;00B27F26&quot;/&gt;&lt;wsp:rsid wsp:val=&quot;00B3081D&quot;/&gt;&lt;wsp:rsid wsp:val=&quot;00B3298F&quot;/&gt;&lt;wsp:rsid wsp:val=&quot;00B32C18&quot;/&gt;&lt;wsp:rsid wsp:val=&quot;00B33CA5&quot;/&gt;&lt;wsp:rsid wsp:val=&quot;00B352C7&quot;/&gt;&lt;wsp:rsid wsp:val=&quot;00B36ACB&quot;/&gt;&lt;wsp:rsid wsp:val=&quot;00B36BEC&quot;/&gt;&lt;wsp:rsid wsp:val=&quot;00B37B40&quot;/&gt;&lt;wsp:rsid wsp:val=&quot;00B41683&quot;/&gt;&lt;wsp:rsid wsp:val=&quot;00B42741&quot;/&gt;&lt;wsp:rsid wsp:val=&quot;00B42EF6&quot;/&gt;&lt;wsp:rsid wsp:val=&quot;00B44CDE&quot;/&gt;&lt;wsp:rsid wsp:val=&quot;00B46598&quot;/&gt;&lt;wsp:rsid wsp:val=&quot;00B465AA&quot;/&gt;&lt;wsp:rsid wsp:val=&quot;00B465E7&quot;/&gt;&lt;wsp:rsid wsp:val=&quot;00B50A09&quot;/&gt;&lt;wsp:rsid wsp:val=&quot;00B52F22&quot;/&gt;&lt;wsp:rsid wsp:val=&quot;00B54BD0&quot;/&gt;&lt;wsp:rsid wsp:val=&quot;00B550FF&quot;/&gt;&lt;wsp:rsid wsp:val=&quot;00B55EEE&quot;/&gt;&lt;wsp:rsid wsp:val=&quot;00B607FB&quot;/&gt;&lt;wsp:rsid wsp:val=&quot;00B6102E&quot;/&gt;&lt;wsp:rsid wsp:val=&quot;00B66A26&quot;/&gt;&lt;wsp:rsid wsp:val=&quot;00B675B8&quot;/&gt;&lt;wsp:rsid wsp:val=&quot;00B717C8&quot;/&gt;&lt;wsp:rsid wsp:val=&quot;00B75D20&quot;/&gt;&lt;wsp:rsid wsp:val=&quot;00B77038&quot;/&gt;&lt;wsp:rsid wsp:val=&quot;00B8136E&quot;/&gt;&lt;wsp:rsid wsp:val=&quot;00B8225E&quot;/&gt;&lt;wsp:rsid wsp:val=&quot;00B83B3B&quot;/&gt;&lt;wsp:rsid wsp:val=&quot;00B83C80&quot;/&gt;&lt;wsp:rsid wsp:val=&quot;00B849A1&quot;/&gt;&lt;wsp:rsid wsp:val=&quot;00B8614C&quot;/&gt;&lt;wsp:rsid wsp:val=&quot;00B86C19&quot;/&gt;&lt;wsp:rsid wsp:val=&quot;00B91B41&quot;/&gt;&lt;wsp:rsid wsp:val=&quot;00B92A10&quot;/&gt;&lt;wsp:rsid wsp:val=&quot;00B94217&quot;/&gt;&lt;wsp:rsid wsp:val=&quot;00B94E0D&quot;/&gt;&lt;wsp:rsid wsp:val=&quot;00B94FBD&quot;/&gt;&lt;wsp:rsid wsp:val=&quot;00B950A6&quot;/&gt;&lt;wsp:rsid wsp:val=&quot;00B9600E&quot;/&gt;&lt;wsp:rsid wsp:val=&quot;00B97983&quot;/&gt;&lt;wsp:rsid wsp:val=&quot;00BA0A6D&quot;/&gt;&lt;wsp:rsid wsp:val=&quot;00BA1CC4&quot;/&gt;&lt;wsp:rsid wsp:val=&quot;00BA58C0&quot;/&gt;&lt;wsp:rsid wsp:val=&quot;00BA5AC2&quot;/&gt;&lt;wsp:rsid wsp:val=&quot;00BA6CDA&quot;/&gt;&lt;wsp:rsid wsp:val=&quot;00BA7AA5&quot;/&gt;&lt;wsp:rsid wsp:val=&quot;00BB2DA6&quot;/&gt;&lt;wsp:rsid wsp:val=&quot;00BB34F2&quot;/&gt;&lt;wsp:rsid wsp:val=&quot;00BB4D4D&quot;/&gt;&lt;wsp:rsid wsp:val=&quot;00BB7AFF&quot;/&gt;&lt;wsp:rsid wsp:val=&quot;00BC0385&quot;/&gt;&lt;wsp:rsid wsp:val=&quot;00BC1201&quot;/&gt;&lt;wsp:rsid wsp:val=&quot;00BC213D&quot;/&gt;&lt;wsp:rsid wsp:val=&quot;00BC7264&quot;/&gt;&lt;wsp:rsid wsp:val=&quot;00BC731A&quot;/&gt;&lt;wsp:rsid wsp:val=&quot;00BD422E&quot;/&gt;&lt;wsp:rsid wsp:val=&quot;00BD5C0C&quot;/&gt;&lt;wsp:rsid wsp:val=&quot;00BD708E&quot;/&gt;&lt;wsp:rsid wsp:val=&quot;00BE0D4E&quot;/&gt;&lt;wsp:rsid wsp:val=&quot;00BE38FF&quot;/&gt;&lt;wsp:rsid wsp:val=&quot;00BE46EB&quot;/&gt;&lt;wsp:rsid wsp:val=&quot;00BE5727&quot;/&gt;&lt;wsp:rsid wsp:val=&quot;00BE5FE1&quot;/&gt;&lt;wsp:rsid wsp:val=&quot;00BE69DF&quot;/&gt;&lt;wsp:rsid wsp:val=&quot;00BE7517&quot;/&gt;&lt;wsp:rsid wsp:val=&quot;00BE7AAD&quot;/&gt;&lt;wsp:rsid wsp:val=&quot;00BF0AE5&quot;/&gt;&lt;wsp:rsid wsp:val=&quot;00BF1CE7&quot;/&gt;&lt;wsp:rsid wsp:val=&quot;00BF5C1B&quot;/&gt;&lt;wsp:rsid wsp:val=&quot;00BF7E80&quot;/&gt;&lt;wsp:rsid wsp:val=&quot;00C010BB&quot;/&gt;&lt;wsp:rsid wsp:val=&quot;00C04813&quot;/&gt;&lt;wsp:rsid wsp:val=&quot;00C062CF&quot;/&gt;&lt;wsp:rsid wsp:val=&quot;00C10655&quot;/&gt;&lt;wsp:rsid wsp:val=&quot;00C10687&quot;/&gt;&lt;wsp:rsid wsp:val=&quot;00C121AE&quot;/&gt;&lt;wsp:rsid wsp:val=&quot;00C122FC&quot;/&gt;&lt;wsp:rsid wsp:val=&quot;00C1261B&quot;/&gt;&lt;wsp:rsid wsp:val=&quot;00C14982&quot;/&gt;&lt;wsp:rsid wsp:val=&quot;00C15DF1&quot;/&gt;&lt;wsp:rsid wsp:val=&quot;00C228EA&quot;/&gt;&lt;wsp:rsid wsp:val=&quot;00C22C45&quot;/&gt;&lt;wsp:rsid wsp:val=&quot;00C244A2&quot;/&gt;&lt;wsp:rsid wsp:val=&quot;00C25690&quot;/&gt;&lt;wsp:rsid wsp:val=&quot;00C26B59&quot;/&gt;&lt;wsp:rsid wsp:val=&quot;00C27D0E&quot;/&gt;&lt;wsp:rsid wsp:val=&quot;00C311FA&quot;/&gt;&lt;wsp:rsid wsp:val=&quot;00C31861&quot;/&gt;&lt;wsp:rsid wsp:val=&quot;00C337B1&quot;/&gt;&lt;wsp:rsid wsp:val=&quot;00C35486&quot;/&gt;&lt;wsp:rsid wsp:val=&quot;00C35A15&quot;/&gt;&lt;wsp:rsid wsp:val=&quot;00C35A65&quot;/&gt;&lt;wsp:rsid wsp:val=&quot;00C3668E&quot;/&gt;&lt;wsp:rsid wsp:val=&quot;00C37131&quot;/&gt;&lt;wsp:rsid wsp:val=&quot;00C379B2&quot;/&gt;&lt;wsp:rsid wsp:val=&quot;00C413D8&quot;/&gt;&lt;wsp:rsid wsp:val=&quot;00C42E33&quot;/&gt;&lt;wsp:rsid wsp:val=&quot;00C448F5&quot;/&gt;&lt;wsp:rsid wsp:val=&quot;00C458F9&quot;/&gt;&lt;wsp:rsid wsp:val=&quot;00C4619D&quot;/&gt;&lt;wsp:rsid wsp:val=&quot;00C468B8&quot;/&gt;&lt;wsp:rsid wsp:val=&quot;00C47783&quot;/&gt;&lt;wsp:rsid wsp:val=&quot;00C51C90&quot;/&gt;&lt;wsp:rsid wsp:val=&quot;00C530D8&quot;/&gt;&lt;wsp:rsid wsp:val=&quot;00C575B0&quot;/&gt;&lt;wsp:rsid wsp:val=&quot;00C606B4&quot;/&gt;&lt;wsp:rsid wsp:val=&quot;00C607AF&quot;/&gt;&lt;wsp:rsid wsp:val=&quot;00C60D95&quot;/&gt;&lt;wsp:rsid wsp:val=&quot;00C60FF3&quot;/&gt;&lt;wsp:rsid wsp:val=&quot;00C631F1&quot;/&gt;&lt;wsp:rsid wsp:val=&quot;00C661CA&quot;/&gt;&lt;wsp:rsid wsp:val=&quot;00C66286&quot;/&gt;&lt;wsp:rsid wsp:val=&quot;00C72C2F&quot;/&gt;&lt;wsp:rsid wsp:val=&quot;00C72D05&quot;/&gt;&lt;wsp:rsid wsp:val=&quot;00C743D1&quot;/&gt;&lt;wsp:rsid wsp:val=&quot;00C74FAD&quot;/&gt;&lt;wsp:rsid wsp:val=&quot;00C75E3D&quot;/&gt;&lt;wsp:rsid wsp:val=&quot;00C763D2&quot;/&gt;&lt;wsp:rsid wsp:val=&quot;00C775F3&quot;/&gt;&lt;wsp:rsid wsp:val=&quot;00C779FE&quot;/&gt;&lt;wsp:rsid wsp:val=&quot;00C82663&quot;/&gt;&lt;wsp:rsid wsp:val=&quot;00C82E43&quot;/&gt;&lt;wsp:rsid wsp:val=&quot;00C82EC2&quot;/&gt;&lt;wsp:rsid wsp:val=&quot;00C846D3&quot;/&gt;&lt;wsp:rsid wsp:val=&quot;00C84965&quot;/&gt;&lt;wsp:rsid wsp:val=&quot;00C84E10&quot;/&gt;&lt;wsp:rsid wsp:val=&quot;00C85644&quot;/&gt;&lt;wsp:rsid wsp:val=&quot;00C863EC&quot;/&gt;&lt;wsp:rsid wsp:val=&quot;00C86EFB&quot;/&gt;&lt;wsp:rsid wsp:val=&quot;00C87A39&quot;/&gt;&lt;wsp:rsid wsp:val=&quot;00C92076&quot;/&gt;&lt;wsp:rsid wsp:val=&quot;00C92179&quot;/&gt;&lt;wsp:rsid wsp:val=&quot;00C95583&quot;/&gt;&lt;wsp:rsid wsp:val=&quot;00C97533&quot;/&gt;&lt;wsp:rsid wsp:val=&quot;00C976DC&quot;/&gt;&lt;wsp:rsid wsp:val=&quot;00CA2474&quot;/&gt;&lt;wsp:rsid wsp:val=&quot;00CA3E9F&quot;/&gt;&lt;wsp:rsid wsp:val=&quot;00CA46BD&quot;/&gt;&lt;wsp:rsid wsp:val=&quot;00CA6A17&quot;/&gt;&lt;wsp:rsid wsp:val=&quot;00CB06E5&quot;/&gt;&lt;wsp:rsid wsp:val=&quot;00CB156F&quot;/&gt;&lt;wsp:rsid wsp:val=&quot;00CB15B9&quot;/&gt;&lt;wsp:rsid wsp:val=&quot;00CB1FA5&quot;/&gt;&lt;wsp:rsid wsp:val=&quot;00CB2DA7&quot;/&gt;&lt;wsp:rsid wsp:val=&quot;00CB3198&quot;/&gt;&lt;wsp:rsid wsp:val=&quot;00CB3546&quot;/&gt;&lt;wsp:rsid wsp:val=&quot;00CB3BCF&quot;/&gt;&lt;wsp:rsid wsp:val=&quot;00CB4600&quot;/&gt;&lt;wsp:rsid wsp:val=&quot;00CB48C9&quot;/&gt;&lt;wsp:rsid wsp:val=&quot;00CB7548&quot;/&gt;&lt;wsp:rsid wsp:val=&quot;00CB764A&quot;/&gt;&lt;wsp:rsid wsp:val=&quot;00CC0950&quot;/&gt;&lt;wsp:rsid wsp:val=&quot;00CC1664&quot;/&gt;&lt;wsp:rsid wsp:val=&quot;00CC1A41&quot;/&gt;&lt;wsp:rsid wsp:val=&quot;00CC5703&quot;/&gt;&lt;wsp:rsid wsp:val=&quot;00CC6350&quot;/&gt;&lt;wsp:rsid wsp:val=&quot;00CC64AB&quot;/&gt;&lt;wsp:rsid wsp:val=&quot;00CC6BF6&quot;/&gt;&lt;wsp:rsid wsp:val=&quot;00CC7414&quot;/&gt;&lt;wsp:rsid wsp:val=&quot;00CD0DF9&quot;/&gt;&lt;wsp:rsid wsp:val=&quot;00CD11A9&quot;/&gt;&lt;wsp:rsid wsp:val=&quot;00CD2BDE&quot;/&gt;&lt;wsp:rsid wsp:val=&quot;00CD31A9&quot;/&gt;&lt;wsp:rsid wsp:val=&quot;00CD5466&quot;/&gt;&lt;wsp:rsid wsp:val=&quot;00CD59C5&quot;/&gt;&lt;wsp:rsid wsp:val=&quot;00CD6262&quot;/&gt;&lt;wsp:rsid wsp:val=&quot;00CD7778&quot;/&gt;&lt;wsp:rsid wsp:val=&quot;00CD7AFF&quot;/&gt;&lt;wsp:rsid wsp:val=&quot;00CE3136&quot;/&gt;&lt;wsp:rsid wsp:val=&quot;00CE34BB&quot;/&gt;&lt;wsp:rsid wsp:val=&quot;00CE4490&quot;/&gt;&lt;wsp:rsid wsp:val=&quot;00CE4F16&quot;/&gt;&lt;wsp:rsid wsp:val=&quot;00CE64CC&quot;/&gt;&lt;wsp:rsid wsp:val=&quot;00CF00E1&quot;/&gt;&lt;wsp:rsid wsp:val=&quot;00CF18CA&quot;/&gt;&lt;wsp:rsid wsp:val=&quot;00CF2D13&quot;/&gt;&lt;wsp:rsid wsp:val=&quot;00CF3DB4&quot;/&gt;&lt;wsp:rsid wsp:val=&quot;00CF6C90&quot;/&gt;&lt;wsp:rsid wsp:val=&quot;00CF7DC9&quot;/&gt;&lt;wsp:rsid wsp:val=&quot;00D01749&quot;/&gt;&lt;wsp:rsid wsp:val=&quot;00D01A18&quot;/&gt;&lt;wsp:rsid wsp:val=&quot;00D02677&quot;/&gt;&lt;wsp:rsid wsp:val=&quot;00D02D37&quot;/&gt;&lt;wsp:rsid wsp:val=&quot;00D03156&quot;/&gt;&lt;wsp:rsid wsp:val=&quot;00D0711D&quot;/&gt;&lt;wsp:rsid wsp:val=&quot;00D101BB&quot;/&gt;&lt;wsp:rsid wsp:val=&quot;00D10E19&quot;/&gt;&lt;wsp:rsid wsp:val=&quot;00D12298&quot;/&gt;&lt;wsp:rsid wsp:val=&quot;00D12764&quot;/&gt;&lt;wsp:rsid wsp:val=&quot;00D12D21&quot;/&gt;&lt;wsp:rsid wsp:val=&quot;00D14653&quot;/&gt;&lt;wsp:rsid wsp:val=&quot;00D22342&quot;/&gt;&lt;wsp:rsid wsp:val=&quot;00D2345B&quot;/&gt;&lt;wsp:rsid wsp:val=&quot;00D237C4&quot;/&gt;&lt;wsp:rsid wsp:val=&quot;00D24FC6&quot;/&gt;&lt;wsp:rsid wsp:val=&quot;00D26774&quot;/&gt;&lt;wsp:rsid wsp:val=&quot;00D27008&quot;/&gt;&lt;wsp:rsid wsp:val=&quot;00D277C5&quot;/&gt;&lt;wsp:rsid wsp:val=&quot;00D27EDD&quot;/&gt;&lt;wsp:rsid wsp:val=&quot;00D31278&quot;/&gt;&lt;wsp:rsid wsp:val=&quot;00D32A7B&quot;/&gt;&lt;wsp:rsid wsp:val=&quot;00D36A46&quot;/&gt;&lt;wsp:rsid wsp:val=&quot;00D37212&quot;/&gt;&lt;wsp:rsid wsp:val=&quot;00D40257&quot;/&gt;&lt;wsp:rsid wsp:val=&quot;00D405D3&quot;/&gt;&lt;wsp:rsid wsp:val=&quot;00D43264&quot;/&gt;&lt;wsp:rsid wsp:val=&quot;00D46557&quot;/&gt;&lt;wsp:rsid wsp:val=&quot;00D468DF&quot;/&gt;&lt;wsp:rsid wsp:val=&quot;00D471E6&quot;/&gt;&lt;wsp:rsid wsp:val=&quot;00D47800&quot;/&gt;&lt;wsp:rsid wsp:val=&quot;00D47B07&quot;/&gt;&lt;wsp:rsid wsp:val=&quot;00D50454&quot;/&gt;&lt;wsp:rsid wsp:val=&quot;00D510D8&quot;/&gt;&lt;wsp:rsid wsp:val=&quot;00D5599B&quot;/&gt;&lt;wsp:rsid wsp:val=&quot;00D56FCA&quot;/&gt;&lt;wsp:rsid wsp:val=&quot;00D60DFF&quot;/&gt;&lt;wsp:rsid wsp:val=&quot;00D61926&quot;/&gt;&lt;wsp:rsid wsp:val=&quot;00D61F74&quot;/&gt;&lt;wsp:rsid wsp:val=&quot;00D634B6&quot;/&gt;&lt;wsp:rsid wsp:val=&quot;00D64762&quot;/&gt;&lt;wsp:rsid wsp:val=&quot;00D651EC&quot;/&gt;&lt;wsp:rsid wsp:val=&quot;00D65FC1&quot;/&gt;&lt;wsp:rsid wsp:val=&quot;00D71A31&quot;/&gt;&lt;wsp:rsid wsp:val=&quot;00D71BA2&quot;/&gt;&lt;wsp:rsid wsp:val=&quot;00D7250F&quot;/&gt;&lt;wsp:rsid wsp:val=&quot;00D74BA8&quot;/&gt;&lt;wsp:rsid wsp:val=&quot;00D81437&quot;/&gt;&lt;wsp:rsid wsp:val=&quot;00D825A4&quot;/&gt;&lt;wsp:rsid wsp:val=&quot;00D838F5&quot;/&gt;&lt;wsp:rsid wsp:val=&quot;00D83FBD&quot;/&gt;&lt;wsp:rsid wsp:val=&quot;00D850C9&quot;/&gt;&lt;wsp:rsid wsp:val=&quot;00D85C7F&quot;/&gt;&lt;wsp:rsid wsp:val=&quot;00D91D07&quot;/&gt;&lt;wsp:rsid wsp:val=&quot;00D924B9&quot;/&gt;&lt;wsp:rsid wsp:val=&quot;00D936CF&quot;/&gt;&lt;wsp:rsid wsp:val=&quot;00D93A54&quot;/&gt;&lt;wsp:rsid wsp:val=&quot;00D952A1&quot;/&gt;&lt;wsp:rsid wsp:val=&quot;00D96840&quot;/&gt;&lt;wsp:rsid wsp:val=&quot;00D96DE3&quot;/&gt;&lt;wsp:rsid wsp:val=&quot;00D97C78&quot;/&gt;&lt;wsp:rsid wsp:val=&quot;00DA6090&quot;/&gt;&lt;wsp:rsid wsp:val=&quot;00DA7E3D&quot;/&gt;&lt;wsp:rsid wsp:val=&quot;00DB09FA&quot;/&gt;&lt;wsp:rsid wsp:val=&quot;00DB104D&quot;/&gt;&lt;wsp:rsid wsp:val=&quot;00DB2AE5&quot;/&gt;&lt;wsp:rsid wsp:val=&quot;00DB5F82&quot;/&gt;&lt;wsp:rsid wsp:val=&quot;00DC3332&quot;/&gt;&lt;wsp:rsid wsp:val=&quot;00DC3DBD&quot;/&gt;&lt;wsp:rsid wsp:val=&quot;00DC5579&quot;/&gt;&lt;wsp:rsid wsp:val=&quot;00DC5D71&quot;/&gt;&lt;wsp:rsid wsp:val=&quot;00DC6420&quot;/&gt;&lt;wsp:rsid wsp:val=&quot;00DD16F7&quot;/&gt;&lt;wsp:rsid wsp:val=&quot;00DD2420&quot;/&gt;&lt;wsp:rsid wsp:val=&quot;00DD30CE&quot;/&gt;&lt;wsp:rsid wsp:val=&quot;00DD372B&quot;/&gt;&lt;wsp:rsid wsp:val=&quot;00DD3963&quot;/&gt;&lt;wsp:rsid wsp:val=&quot;00DD4011&quot;/&gt;&lt;wsp:rsid wsp:val=&quot;00DD5470&quot;/&gt;&lt;wsp:rsid wsp:val=&quot;00DD7F48&quot;/&gt;&lt;wsp:rsid wsp:val=&quot;00DE0889&quot;/&gt;&lt;wsp:rsid wsp:val=&quot;00DE147A&quot;/&gt;&lt;wsp:rsid wsp:val=&quot;00DE41AB&quot;/&gt;&lt;wsp:rsid wsp:val=&quot;00DE5294&quot;/&gt;&lt;wsp:rsid wsp:val=&quot;00DE7C6E&quot;/&gt;&lt;wsp:rsid wsp:val=&quot;00DF2225&quot;/&gt;&lt;wsp:rsid wsp:val=&quot;00DF270B&quot;/&gt;&lt;wsp:rsid wsp:val=&quot;00E008AD&quot;/&gt;&lt;wsp:rsid wsp:val=&quot;00E01E3D&quot;/&gt;&lt;wsp:rsid wsp:val=&quot;00E040D0&quot;/&gt;&lt;wsp:rsid wsp:val=&quot;00E04BFD&quot;/&gt;&lt;wsp:rsid wsp:val=&quot;00E05DC3&quot;/&gt;&lt;wsp:rsid wsp:val=&quot;00E06A78&quot;/&gt;&lt;wsp:rsid wsp:val=&quot;00E07DD0&quot;/&gt;&lt;wsp:rsid wsp:val=&quot;00E13588&quot;/&gt;&lt;wsp:rsid wsp:val=&quot;00E13C54&quot;/&gt;&lt;wsp:rsid wsp:val=&quot;00E13CE3&quot;/&gt;&lt;wsp:rsid wsp:val=&quot;00E1455A&quot;/&gt;&lt;wsp:rsid wsp:val=&quot;00E15940&quot;/&gt;&lt;wsp:rsid wsp:val=&quot;00E15ADA&quot;/&gt;&lt;wsp:rsid wsp:val=&quot;00E16FFE&quot;/&gt;&lt;wsp:rsid wsp:val=&quot;00E170E4&quot;/&gt;&lt;wsp:rsid wsp:val=&quot;00E1796B&quot;/&gt;&lt;wsp:rsid wsp:val=&quot;00E20897&quot;/&gt;&lt;wsp:rsid wsp:val=&quot;00E22FB9&quot;/&gt;&lt;wsp:rsid wsp:val=&quot;00E236EA&quot;/&gt;&lt;wsp:rsid wsp:val=&quot;00E242C6&quot;/&gt;&lt;wsp:rsid wsp:val=&quot;00E265CC&quot;/&gt;&lt;wsp:rsid wsp:val=&quot;00E27EE3&quot;/&gt;&lt;wsp:rsid wsp:val=&quot;00E300F3&quot;/&gt;&lt;wsp:rsid wsp:val=&quot;00E318FF&quot;/&gt;&lt;wsp:rsid wsp:val=&quot;00E33562&quot;/&gt;&lt;wsp:rsid wsp:val=&quot;00E3689E&quot;/&gt;&lt;wsp:rsid wsp:val=&quot;00E36C12&quot;/&gt;&lt;wsp:rsid wsp:val=&quot;00E4183D&quot;/&gt;&lt;wsp:rsid wsp:val=&quot;00E437EA&quot;/&gt;&lt;wsp:rsid wsp:val=&quot;00E4449C&quot;/&gt;&lt;wsp:rsid wsp:val=&quot;00E464B7&quot;/&gt;&lt;wsp:rsid wsp:val=&quot;00E52C2B&quot;/&gt;&lt;wsp:rsid wsp:val=&quot;00E53210&quot;/&gt;&lt;wsp:rsid wsp:val=&quot;00E551E0&quot;/&gt;&lt;wsp:rsid wsp:val=&quot;00E55271&quot;/&gt;&lt;wsp:rsid wsp:val=&quot;00E552B1&quot;/&gt;&lt;wsp:rsid wsp:val=&quot;00E55447&quot;/&gt;&lt;wsp:rsid wsp:val=&quot;00E56CF0&quot;/&gt;&lt;wsp:rsid wsp:val=&quot;00E578ED&quot;/&gt;&lt;wsp:rsid wsp:val=&quot;00E61309&quot;/&gt;&lt;wsp:rsid wsp:val=&quot;00E63BFB&quot;/&gt;&lt;wsp:rsid wsp:val=&quot;00E6425E&quot;/&gt;&lt;wsp:rsid wsp:val=&quot;00E65704&quot;/&gt;&lt;wsp:rsid wsp:val=&quot;00E67D67&quot;/&gt;&lt;wsp:rsid wsp:val=&quot;00E703C3&quot;/&gt;&lt;wsp:rsid wsp:val=&quot;00E724E3&quot;/&gt;&lt;wsp:rsid wsp:val=&quot;00E73D95&quot;/&gt;&lt;wsp:rsid wsp:val=&quot;00E74C55&quot;/&gt;&lt;wsp:rsid wsp:val=&quot;00E75F75&quot;/&gt;&lt;wsp:rsid wsp:val=&quot;00E7649D&quot;/&gt;&lt;wsp:rsid wsp:val=&quot;00E76809&quot;/&gt;&lt;wsp:rsid wsp:val=&quot;00E77371&quot;/&gt;&lt;wsp:rsid wsp:val=&quot;00E82AC2&quot;/&gt;&lt;wsp:rsid wsp:val=&quot;00E84509&quot;/&gt;&lt;wsp:rsid wsp:val=&quot;00E846F6&quot;/&gt;&lt;wsp:rsid wsp:val=&quot;00E854F9&quot;/&gt;&lt;wsp:rsid wsp:val=&quot;00E86558&quot;/&gt;&lt;wsp:rsid wsp:val=&quot;00E9212F&quot;/&gt;&lt;wsp:rsid wsp:val=&quot;00E92609&quot;/&gt;&lt;wsp:rsid wsp:val=&quot;00E953D2&quot;/&gt;&lt;wsp:rsid wsp:val=&quot;00E954E6&quot;/&gt;&lt;wsp:rsid wsp:val=&quot;00E955B8&quot;/&gt;&lt;wsp:rsid wsp:val=&quot;00E95827&quot;/&gt;&lt;wsp:rsid wsp:val=&quot;00E95A1F&quot;/&gt;&lt;wsp:rsid wsp:val=&quot;00EA018E&quot;/&gt;&lt;wsp:rsid wsp:val=&quot;00EA297E&quot;/&gt;&lt;wsp:rsid wsp:val=&quot;00EA373A&quot;/&gt;&lt;wsp:rsid wsp:val=&quot;00EA4A01&quot;/&gt;&lt;wsp:rsid wsp:val=&quot;00EA50C7&quot;/&gt;&lt;wsp:rsid wsp:val=&quot;00EA5907&quot;/&gt;&lt;wsp:rsid wsp:val=&quot;00EA5B6F&quot;/&gt;&lt;wsp:rsid wsp:val=&quot;00EA5C44&quot;/&gt;&lt;wsp:rsid wsp:val=&quot;00EA78FA&quot;/&gt;&lt;wsp:rsid wsp:val=&quot;00EB067F&quot;/&gt;&lt;wsp:rsid wsp:val=&quot;00EB17D9&quot;/&gt;&lt;wsp:rsid wsp:val=&quot;00EB25AF&quot;/&gt;&lt;wsp:rsid wsp:val=&quot;00EC131A&quot;/&gt;&lt;wsp:rsid wsp:val=&quot;00EC262F&quot;/&gt;&lt;wsp:rsid wsp:val=&quot;00EC3EA5&quot;/&gt;&lt;wsp:rsid wsp:val=&quot;00EC42B1&quot;/&gt;&lt;wsp:rsid wsp:val=&quot;00EC51BD&quot;/&gt;&lt;wsp:rsid wsp:val=&quot;00EC57F6&quot;/&gt;&lt;wsp:rsid wsp:val=&quot;00EC6DC0&quot;/&gt;&lt;wsp:rsid wsp:val=&quot;00ED02A0&quot;/&gt;&lt;wsp:rsid wsp:val=&quot;00ED0E90&quot;/&gt;&lt;wsp:rsid wsp:val=&quot;00ED4CCA&quot;/&gt;&lt;wsp:rsid wsp:val=&quot;00ED54C5&quot;/&gt;&lt;wsp:rsid wsp:val=&quot;00ED68FB&quot;/&gt;&lt;wsp:rsid wsp:val=&quot;00ED7299&quot;/&gt;&lt;wsp:rsid wsp:val=&quot;00EE0761&quot;/&gt;&lt;wsp:rsid wsp:val=&quot;00EF14AD&quot;/&gt;&lt;wsp:rsid wsp:val=&quot;00EF3340&quot;/&gt;&lt;wsp:rsid wsp:val=&quot;00EF33C2&quot;/&gt;&lt;wsp:rsid wsp:val=&quot;00EF34A4&quot;/&gt;&lt;wsp:rsid wsp:val=&quot;00EF561D&quot;/&gt;&lt;wsp:rsid wsp:val=&quot;00EF5D5B&quot;/&gt;&lt;wsp:rsid wsp:val=&quot;00EF5EFA&quot;/&gt;&lt;wsp:rsid wsp:val=&quot;00EF6FD4&quot;/&gt;&lt;wsp:rsid wsp:val=&quot;00EF7410&quot;/&gt;&lt;wsp:rsid wsp:val=&quot;00EF7DE2&quot;/&gt;&lt;wsp:rsid wsp:val=&quot;00F00147&quot;/&gt;&lt;wsp:rsid wsp:val=&quot;00F00977&quot;/&gt;&lt;wsp:rsid wsp:val=&quot;00F03BCD&quot;/&gt;&lt;wsp:rsid wsp:val=&quot;00F0426F&quot;/&gt;&lt;wsp:rsid wsp:val=&quot;00F05226&quot;/&gt;&lt;wsp:rsid wsp:val=&quot;00F0548E&quot;/&gt;&lt;wsp:rsid wsp:val=&quot;00F1140F&quot;/&gt;&lt;wsp:rsid wsp:val=&quot;00F12250&quot;/&gt;&lt;wsp:rsid wsp:val=&quot;00F2100F&quot;/&gt;&lt;wsp:rsid wsp:val=&quot;00F2156E&quot;/&gt;&lt;wsp:rsid wsp:val=&quot;00F22398&quot;/&gt;&lt;wsp:rsid wsp:val=&quot;00F228CE&quot;/&gt;&lt;wsp:rsid wsp:val=&quot;00F231EB&quot;/&gt;&lt;wsp:rsid wsp:val=&quot;00F23DD5&quot;/&gt;&lt;wsp:rsid wsp:val=&quot;00F25176&quot;/&gt;&lt;wsp:rsid wsp:val=&quot;00F255AC&quot;/&gt;&lt;wsp:rsid wsp:val=&quot;00F259B8&quot;/&gt;&lt;wsp:rsid wsp:val=&quot;00F25FDF&quot;/&gt;&lt;wsp:rsid wsp:val=&quot;00F26B06&quot;/&gt;&lt;wsp:rsid wsp:val=&quot;00F270C6&quot;/&gt;&lt;wsp:rsid wsp:val=&quot;00F31970&quot;/&gt;&lt;wsp:rsid wsp:val=&quot;00F323F9&quot;/&gt;&lt;wsp:rsid wsp:val=&quot;00F3299E&quot;/&gt;&lt;wsp:rsid wsp:val=&quot;00F32AC8&quot;/&gt;&lt;wsp:rsid wsp:val=&quot;00F330C3&quot;/&gt;&lt;wsp:rsid wsp:val=&quot;00F3365C&quot;/&gt;&lt;wsp:rsid wsp:val=&quot;00F35F9B&quot;/&gt;&lt;wsp:rsid wsp:val=&quot;00F35FF4&quot;/&gt;&lt;wsp:rsid wsp:val=&quot;00F42814&quot;/&gt;&lt;wsp:rsid wsp:val=&quot;00F43756&quot;/&gt;&lt;wsp:rsid wsp:val=&quot;00F462B5&quot;/&gt;&lt;wsp:rsid wsp:val=&quot;00F46CBD&quot;/&gt;&lt;wsp:rsid wsp:val=&quot;00F46DFE&quot;/&gt;&lt;wsp:rsid wsp:val=&quot;00F5190C&quot;/&gt;&lt;wsp:rsid wsp:val=&quot;00F51A3E&quot;/&gt;&lt;wsp:rsid wsp:val=&quot;00F554CB&quot;/&gt;&lt;wsp:rsid wsp:val=&quot;00F60E69&quot;/&gt;&lt;wsp:rsid wsp:val=&quot;00F65671&quot;/&gt;&lt;wsp:rsid wsp:val=&quot;00F666EB&quot;/&gt;&lt;wsp:rsid wsp:val=&quot;00F66D8D&quot;/&gt;&lt;wsp:rsid wsp:val=&quot;00F709C5&quot;/&gt;&lt;wsp:rsid wsp:val=&quot;00F70E42&quot;/&gt;&lt;wsp:rsid wsp:val=&quot;00F71EBF&quot;/&gt;&lt;wsp:rsid wsp:val=&quot;00F72A9C&quot;/&gt;&lt;wsp:rsid wsp:val=&quot;00F72C02&quot;/&gt;&lt;wsp:rsid wsp:val=&quot;00F73F6E&quot;/&gt;&lt;wsp:rsid wsp:val=&quot;00F75050&quot;/&gt;&lt;wsp:rsid wsp:val=&quot;00F80F3B&quot;/&gt;&lt;wsp:rsid wsp:val=&quot;00F8199C&quot;/&gt;&lt;wsp:rsid wsp:val=&quot;00F81EB6&quot;/&gt;&lt;wsp:rsid wsp:val=&quot;00F81FEC&quot;/&gt;&lt;wsp:rsid wsp:val=&quot;00F821EF&quot;/&gt;&lt;wsp:rsid wsp:val=&quot;00F84416&quot;/&gt;&lt;wsp:rsid wsp:val=&quot;00F848C2&quot;/&gt;&lt;wsp:rsid wsp:val=&quot;00F8616D&quot;/&gt;&lt;wsp:rsid wsp:val=&quot;00F8768B&quot;/&gt;&lt;wsp:rsid wsp:val=&quot;00F876F8&quot;/&gt;&lt;wsp:rsid wsp:val=&quot;00F879DD&quot;/&gt;&lt;wsp:rsid wsp:val=&quot;00F90710&quot;/&gt;&lt;wsp:rsid wsp:val=&quot;00F930E0&quot;/&gt;&lt;wsp:rsid wsp:val=&quot;00F93653&quot;/&gt;&lt;wsp:rsid wsp:val=&quot;00F9391B&quot;/&gt;&lt;wsp:rsid wsp:val=&quot;00F95AD4&quot;/&gt;&lt;wsp:rsid wsp:val=&quot;00F97122&quot;/&gt;&lt;wsp:rsid wsp:val=&quot;00F9737C&quot;/&gt;&lt;wsp:rsid wsp:val=&quot;00FA1D3B&quot;/&gt;&lt;wsp:rsid wsp:val=&quot;00FA2ED2&quot;/&gt;&lt;wsp:rsid wsp:val=&quot;00FA4A07&quot;/&gt;&lt;wsp:rsid wsp:val=&quot;00FA616C&quot;/&gt;&lt;wsp:rsid wsp:val=&quot;00FA72B4&quot;/&gt;&lt;wsp:rsid wsp:val=&quot;00FA7C7A&quot;/&gt;&lt;wsp:rsid wsp:val=&quot;00FB0F58&quot;/&gt;&lt;wsp:rsid wsp:val=&quot;00FB2035&quot;/&gt;&lt;wsp:rsid wsp:val=&quot;00FB4DCD&quot;/&gt;&lt;wsp:rsid wsp:val=&quot;00FB4FAE&quot;/&gt;&lt;wsp:rsid wsp:val=&quot;00FC3991&quot;/&gt;&lt;wsp:rsid wsp:val=&quot;00FC5150&quot;/&gt;&lt;wsp:rsid wsp:val=&quot;00FC5C72&quot;/&gt;&lt;wsp:rsid wsp:val=&quot;00FC7544&quot;/&gt;&lt;wsp:rsid wsp:val=&quot;00FC7DC6&quot;/&gt;&lt;wsp:rsid wsp:val=&quot;00FD2636&quot;/&gt;&lt;wsp:rsid wsp:val=&quot;00FD2E66&quot;/&gt;&lt;wsp:rsid wsp:val=&quot;00FD3488&quot;/&gt;&lt;wsp:rsid wsp:val=&quot;00FD3C3E&quot;/&gt;&lt;wsp:rsid wsp:val=&quot;00FD661C&quot;/&gt;&lt;wsp:rsid wsp:val=&quot;00FE1004&quot;/&gt;&lt;wsp:rsid wsp:val=&quot;00FE1EA3&quot;/&gt;&lt;wsp:rsid wsp:val=&quot;00FE1EA7&quot;/&gt;&lt;wsp:rsid wsp:val=&quot;00FE4463&quot;/&gt;&lt;wsp:rsid wsp:val=&quot;00FE56A6&quot;/&gt;&lt;wsp:rsid wsp:val=&quot;00FE570C&quot;/&gt;&lt;wsp:rsid wsp:val=&quot;00FE576D&quot;/&gt;&lt;wsp:rsid wsp:val=&quot;00FE5DFB&quot;/&gt;&lt;wsp:rsid wsp:val=&quot;00FE5E7F&quot;/&gt;&lt;wsp:rsid wsp:val=&quot;00FE685A&quot;/&gt;&lt;wsp:rsid wsp:val=&quot;00FE7789&quot;/&gt;&lt;wsp:rsid wsp:val=&quot;00FF1AE3&quot;/&gt;&lt;wsp:rsid wsp:val=&quot;00FF31A0&quot;/&gt;&lt;wsp:rsid wsp:val=&quot;00FF3443&quot;/&gt;&lt;/wsp:rsids&gt;&lt;/w:docPr&gt;&lt;w:body&gt;&lt;wx:sect&gt;&lt;w:p wsp:rsidR=&quot;00000000&quot; wsp:rsidRDefault=&quot;00C413D8&quot; wsp:rsidP=&quot;00C413D8&quot;&gt;&lt;m:oMathPara&gt;&lt;m:oMath&gt;&lt;m:r&gt;&lt;aml:annotation aml:id=&quot;0&quot; w:type=&quot;Word.Insertion&quot; aml:author=&quot;Smith, MichaelH&quot; aml:createdate=&quot;2018-11-19T15:37:00Z&quot;&gt;&lt;aml:content&gt;&lt;w:rPr&gt;&lt;w:rFonts w:ascii=&quot;Cambria Math&quot; w:h-ansi=&quot;Cambria Math&quot;/&gt;&lt;wx:font wx:val=&quot;Cambria Math&quot;/&gt;&lt;w:i/&gt;&lt;w:color w:val=&quot;000000&quot;/&gt;&lt;w:sz w:val=&quot;24&quot;/&gt;&lt;w:sz-cs w:val=&quot;24&quot;/&gt;&lt;/w:rPr&gt;&lt;m:t&gt;Abatement factor &lt;/m:t&gt;&lt;/aml:content&gt;&lt;/aml:annotation&gt;&lt;/m:r&gt;&lt;m:d&gt;&lt;m:dPr&gt;&lt;m:ctrlPr&gt;&lt;aml:annotation aml:id=&quot;1&quot; w:type=&quot;Word.Insertion&quot; aml:author=&quot;Smith, MichaelH&quot; aml:createdate=&quot;2018-11-19T15:37:00Z&quot;&gt;&lt;aml:content&gt;&lt;w:rPr&gt;&lt;w:rFonts w:ascii=&quot;Cambria Math&quot; w:h-ansi=&quot;Cambria Math&quot;/&gt;&lt;wx:font wx:val=&quot;Cambria Math&quot;/&gt;&lt;w:i/&gt;&lt;w:color w:val=&quot;000000&quot;/&gt;&lt;w:sz w:val=&quot;24&quot;/&gt;&lt;w:sz-cs w:val=&quot;24&quot;/&gt;&lt;w:lang w:fareast=&quot;EN-US&quot;/&gt;&lt;/w:rPr&gt;&lt;/aml:content&gt;&lt;/aml:annotation&gt;&lt;/m:ctrlPr&gt;&lt;/m:dPr&gt;&lt;m:e&gt;&lt;m:sSub&gt;&lt;m:sSubPr&gt;&lt;m:ctrlPr&gt;&lt;aml:annotation aml:id=&quot;2&quot; w:type=&quot;Word.Insertion&quot; aml:author=&quot;Smith, MichaelH&quot; aml:createdate=&quot;2018-11-19T15:37:00Z&quot;&gt;&lt;aml:content&gt;&lt;w:rPr&gt;&lt;w:rFonts w:ascii=&quot;Cambria Math&quot; w:h-ansi=&quot;Cambria Math&quot;/&gt;&lt;wx:font wx:val=&quot;Cambria Math&quot;/&gt;&lt;w:i/&gt;&lt;w:color w:val=&quot;000000&quot;/&gt;&lt;w:sz w:val=&quot;24&quot;/&gt;&lt;w:sz-cs w:val=&quot;24&quot;/&gt;&lt;w:lang w:fareast=&quot;EN-US&quot;/&gt;&lt;/w:rPr&gt;&lt;/aml:content&gt;&lt;/aml:annotation&gt;&lt;/m:ctrlPr&gt;&lt;/m:sSubPr&gt;&lt;m:e&gt;&lt;m:r&gt;&lt;aml:annotation aml:id=&quot;3&quot; w:type=&quot;Word.Insertion&quot; aml:author=&quot;Smith, MichaelH&quot; aml:createdate=&quot;2018-11-19T15:37:00Z&quot;&gt;&lt;aml:content&gt;&lt;w:rPr&gt;&lt;w:rFonts w:ascii=&quot;Cambria Math&quot; w:h-ansi=&quot;Cambria Math&quot;/&gt;&lt;wx:font wx:val=&quot;Cambria Math&quot;/&gt;&lt;w:i/&gt;&lt;w:color w:val=&quot;000000&quot;/&gt;&lt;w:sz w:val=&quot;24&quot;/&gt;&lt;w:sz-cs w:val=&quot;24&quot;/&gt;&lt;/w:rPr&gt;&lt;m:t&gt;tCO&lt;/m:t&gt;&lt;/aml:content&gt;&lt;/aml:annotation&gt;&lt;/m:r&gt;&lt;/m:e&gt;&lt;m:sub&gt;&lt;m:r&gt;&lt;aml:annotation aml:id=&quot;4&quot; w:type=&quot;Word.Insertion&quot; aml:author=&quot;Smith, MichaelH&quot; aml:createdate=&quot;2018-11-19T15:37:00Z&quot;&gt;&lt;aml:content&gt;&lt;w:rPr&gt;&lt;w:rFonts w:ascii=&quot;Cambria Math&quot; w:h-ansi=&quot;Cambria Math&quot;/&gt;&lt;wx:font wx:val=&quot;Cambria Math&quot;/&gt;&lt;w:i/&gt;&lt;w:color w:val=&quot;000000&quot;/&gt;&lt;w:sz w:val=&quot;24&quot;/&gt;&lt;w:sz-cs w:val=&quot;24&quot;/&gt;&lt;/w:rPr&gt;&lt;m:t&gt;2&lt;/m:t&gt;&lt;/aml:content&gt;&lt;/aml:annotation&gt;&lt;/m:r&gt;&lt;/m:sub&gt;&lt;/m:sSub&gt;&lt;m:r&gt;&lt;aml:annotation aml:id=&quot;5&quot; w:type=&quot;Word.Insertion&quot; aml:author=&quot;Smith, MichaelH&quot; aml:createdate=&quot;2018-11-19T15:37:00Z&quot;&gt;&lt;aml:content&gt;&lt;w:rPr&gt;&lt;w:rFonts w:ascii=&quot;Cambria Math&quot; w:h-ansi=&quot;Cambria Math&quot;/&gt;&lt;wx:font wx:val=&quot;Cambria Math&quot;/&gt;&lt;w:i/&gt;&lt;w:color w:val=&quot;000000&quot;/&gt;&lt;w:sz w:val=&quot;24&quot;/&gt;&lt;w:sz-cs w:val=&quot;24&quot;/&gt;&lt;/w:rPr&gt;&lt;m:t&gt;-e&lt;/m:t&gt;&lt;/aml:content&gt;&lt;/aml:annotation&gt;&lt;/m:r&gt;&lt;/m:e&gt;&lt;/m:d&gt;&lt;m:r&gt;&lt;aml:annotation aml:id=&quot;6&quot; w:type=&quot;Word.Insertion&quot; aml:author=&quot;Smith, MichaelH&quot; aml:createdate=&quot;2018-11-19T15:37:00Z&quot;&gt;&lt;aml:content&gt;&lt;w:rPr&gt;&lt;w:rFonts w:ascii=&quot;Cambria Math&quot; w:h-ansi=&quot;Cambria Math&quot;/&gt;&lt;wx:font wx:val=&quot;Cambria Math&quot;/&gt;&lt;w:i/&gt;&lt;w:color w:val=&quot;000000&quot;/&gt;&lt;w:sz w:val=&quot;24&quot;/&gt;&lt;w:sz-cs w:val=&quot;24&quot;/&gt;&lt;/w:rPr&gt;&lt;m:t&gt;= &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Pr="00F0256F">
        <w:instrText xml:space="preserve"> </w:instrText>
      </w:r>
      <w:r w:rsidRPr="00F0256F">
        <w:fldChar w:fldCharType="end"/>
      </w:r>
      <w:r w:rsidR="00D936CF" w:rsidRPr="002B3E3D">
        <w:t>Installed product requirements</w:t>
      </w:r>
    </w:p>
    <w:p w14:paraId="7CC99526" w14:textId="77777777" w:rsidR="007562F0" w:rsidRPr="00F0256F" w:rsidRDefault="007562F0" w:rsidP="006C1EF8">
      <w:pPr>
        <w:pStyle w:val="BodytextEEIS"/>
      </w:pPr>
      <w:r w:rsidRPr="00F0256F">
        <w:t xml:space="preserve">A product purchased for installation must be an electric clothes dryer or combination washer-dryer with heat pump dryer that— </w:t>
      </w:r>
    </w:p>
    <w:p w14:paraId="5C6BD075" w14:textId="77777777" w:rsidR="007562F0" w:rsidRPr="00F0256F" w:rsidRDefault="007562F0" w:rsidP="00D633D3">
      <w:pPr>
        <w:pStyle w:val="Subdetailsfirstindent"/>
        <w:numPr>
          <w:ilvl w:val="0"/>
          <w:numId w:val="134"/>
        </w:numPr>
      </w:pPr>
      <w:r w:rsidRPr="00F0256F">
        <w:t>has valid registration with an Australian or New Zealand energy regulator for energy</w:t>
      </w:r>
      <w:r w:rsidR="00745BA6">
        <w:t xml:space="preserve"> </w:t>
      </w:r>
      <w:r w:rsidRPr="00F0256F">
        <w:t xml:space="preserve">labelling in accordance with AS/NZS 2442 and has a registration status of “Approved” at the time of sale; </w:t>
      </w:r>
    </w:p>
    <w:p w14:paraId="2F2909DF" w14:textId="77777777" w:rsidR="007562F0" w:rsidRPr="00F0256F" w:rsidRDefault="007562F0" w:rsidP="00D633D3">
      <w:pPr>
        <w:pStyle w:val="Subdetailsfirstindent"/>
        <w:numPr>
          <w:ilvl w:val="0"/>
          <w:numId w:val="134"/>
        </w:numPr>
      </w:pPr>
      <w:r w:rsidRPr="00F0256F">
        <w:t>in the case of a stand-alone dryer, achieves a minimum energy efficiency rating of 7</w:t>
      </w:r>
      <w:r w:rsidR="00745BA6">
        <w:t xml:space="preserve"> </w:t>
      </w:r>
      <w:r w:rsidRPr="00F0256F">
        <w:t xml:space="preserve">stars when tested in accordance with AS/NZS 2442; </w:t>
      </w:r>
    </w:p>
    <w:p w14:paraId="546C8308" w14:textId="77777777" w:rsidR="007562F0" w:rsidRPr="00F0256F" w:rsidRDefault="007562F0" w:rsidP="00D633D3">
      <w:pPr>
        <w:pStyle w:val="Subdetailsfirstindent"/>
        <w:numPr>
          <w:ilvl w:val="0"/>
          <w:numId w:val="134"/>
        </w:numPr>
      </w:pPr>
      <w:r w:rsidRPr="00F0256F">
        <w:t>in the case of a combination washer-dryer, uses heat pump technology for drying the clothes and achieves a minimum energy efficiency rating of</w:t>
      </w:r>
      <w:r>
        <w:t xml:space="preserve"> </w:t>
      </w:r>
      <w:r w:rsidRPr="00F0256F">
        <w:t xml:space="preserve">6.5 stars when tested in accordance with AS/NZS 2442; </w:t>
      </w:r>
    </w:p>
    <w:p w14:paraId="61EBADA2" w14:textId="77777777" w:rsidR="007562F0" w:rsidRPr="00F0256F" w:rsidRDefault="007562F0" w:rsidP="00D633D3">
      <w:pPr>
        <w:pStyle w:val="Subdetailsfirstindent"/>
        <w:numPr>
          <w:ilvl w:val="0"/>
          <w:numId w:val="134"/>
        </w:numPr>
      </w:pPr>
      <w:r w:rsidRPr="00F0256F">
        <w:t xml:space="preserve">is listed in the register of eligible products for the activity; and </w:t>
      </w:r>
    </w:p>
    <w:p w14:paraId="297116FD" w14:textId="77777777" w:rsidR="0052178F" w:rsidRDefault="007562F0" w:rsidP="00D633D3">
      <w:pPr>
        <w:pStyle w:val="Subdetailsfirstindent"/>
        <w:numPr>
          <w:ilvl w:val="0"/>
          <w:numId w:val="134"/>
        </w:numPr>
      </w:pPr>
      <w:r w:rsidRPr="00F0256F">
        <w:t>complies with any product safety or other product performance requirement prescribed in a relevant code of practice or other relevant legislation applying to the activity.</w:t>
      </w:r>
    </w:p>
    <w:p w14:paraId="728BBA67" w14:textId="77777777" w:rsidR="00D936CF" w:rsidRPr="002B3E3D" w:rsidRDefault="00D936CF" w:rsidP="006C1EF8">
      <w:pPr>
        <w:pStyle w:val="Sectionheading3"/>
        <w:rPr>
          <w:u w:val="single"/>
        </w:rPr>
      </w:pPr>
      <w:r w:rsidRPr="002B3E3D">
        <w:t>Time the activity is taken to be completed</w:t>
      </w:r>
    </w:p>
    <w:p w14:paraId="757B0118" w14:textId="77777777" w:rsidR="00D936CF" w:rsidRDefault="00D936CF" w:rsidP="006C1EF8">
      <w:pPr>
        <w:pStyle w:val="BodytextEEIS"/>
      </w:pPr>
      <w:r w:rsidRPr="00FB7ABF">
        <w:t>The activity is taken to be completed on the day all applicable prescribed activity requirements are completed.</w:t>
      </w:r>
    </w:p>
    <w:p w14:paraId="0AE5E358" w14:textId="7D4F16BE" w:rsidR="00D936CF" w:rsidRPr="002B3E3D" w:rsidRDefault="00D936CF" w:rsidP="006C1EF8">
      <w:pPr>
        <w:pStyle w:val="Sectionheading3"/>
      </w:pPr>
      <w:r w:rsidRPr="002B3E3D">
        <w:t xml:space="preserve">Calculation of </w:t>
      </w:r>
      <w:r w:rsidR="008E78DC">
        <w:t>energy savings</w:t>
      </w:r>
      <w:r w:rsidRPr="002B3E3D">
        <w:t xml:space="preserve"> factor</w:t>
      </w:r>
    </w:p>
    <w:p w14:paraId="304F508E" w14:textId="759521BB" w:rsidR="000D7830" w:rsidRPr="00F0256F" w:rsidRDefault="000D7830" w:rsidP="001B0B03">
      <w:pPr>
        <w:pStyle w:val="BodytextEEIS"/>
      </w:pPr>
      <w:r w:rsidRPr="00F0256F">
        <w:t xml:space="preserve">The </w:t>
      </w:r>
      <w:r w:rsidR="008E78DC">
        <w:t>energy savings</w:t>
      </w:r>
      <w:r w:rsidRPr="00F0256F">
        <w:t xml:space="preserve"> factor in </w:t>
      </w:r>
      <w:r w:rsidR="00880CB1">
        <w:t>Megawatt-hours</w:t>
      </w:r>
      <w:r w:rsidR="00DC534A">
        <w:t xml:space="preserve"> (MWh)</w:t>
      </w:r>
      <w:r w:rsidRPr="00F0256F">
        <w:t xml:space="preserve"> saved in a premises must be determined by using the equation prescribed in this section.</w:t>
      </w:r>
    </w:p>
    <w:p w14:paraId="6DD22A28" w14:textId="753BF665" w:rsidR="000D7830" w:rsidRPr="006C1EF8" w:rsidRDefault="000D7830" w:rsidP="00D633D3">
      <w:pPr>
        <w:pStyle w:val="Subdetailsfirstindent"/>
        <w:numPr>
          <w:ilvl w:val="0"/>
          <w:numId w:val="135"/>
        </w:numPr>
        <w:rPr>
          <w:b/>
          <w:u w:val="single"/>
        </w:rPr>
      </w:pPr>
      <w:r w:rsidRPr="00F0256F">
        <w:t xml:space="preserve">The </w:t>
      </w:r>
      <w:r w:rsidR="008E78DC">
        <w:t>energy savings</w:t>
      </w:r>
      <w:r w:rsidRPr="00F0256F">
        <w:t xml:space="preserve"> factor for the activity is calculated by</w:t>
      </w:r>
      <w:r w:rsidRPr="006C1EF8">
        <w:rPr>
          <w:bCs/>
        </w:rPr>
        <w:t>—</w:t>
      </w:r>
    </w:p>
    <w:p w14:paraId="32A820D1" w14:textId="730749F5" w:rsidR="00270F3A" w:rsidRPr="00270F3A" w:rsidRDefault="008E78DC" w:rsidP="00270F3A">
      <w:pPr>
        <w:pStyle w:val="Formula"/>
      </w:pPr>
      <w:r>
        <w:lastRenderedPageBreak/>
        <w:t>Energy savings</w:t>
      </w:r>
      <w:r w:rsidR="00270F3A">
        <w:t xml:space="preserve"> factor (</w:t>
      </w:r>
      <w:r w:rsidR="00DC534A">
        <w:t>MWh</w:t>
      </w:r>
      <w:r w:rsidR="00270F3A">
        <w:t>) = [(Rated</w:t>
      </w:r>
      <w:r w:rsidR="00FA6823">
        <w:t xml:space="preserve"> </w:t>
      </w:r>
      <w:r w:rsidR="00270F3A">
        <w:t>Capacity x 53) x (1 – ERF)</w:t>
      </w:r>
      <w:r w:rsidR="00270F3A" w:rsidRPr="00270F3A">
        <w:rPr>
          <w:vertAlign w:val="superscript"/>
        </w:rPr>
        <w:t>(SRIbaseline – 1)</w:t>
      </w:r>
      <w:r w:rsidR="00270F3A">
        <w:t xml:space="preserve"> – CEC] x Usage x </w:t>
      </w:r>
      <w:r>
        <w:t>ESF</w:t>
      </w:r>
    </w:p>
    <w:p w14:paraId="76FFB522" w14:textId="77777777" w:rsidR="000D7830" w:rsidRPr="00F0256F" w:rsidRDefault="000D7830" w:rsidP="006C1EF8">
      <w:pPr>
        <w:pStyle w:val="BodytextEEIS"/>
      </w:pPr>
      <w:r w:rsidRPr="00F0256F">
        <w:t>Where</w:t>
      </w:r>
      <w:r w:rsidRPr="00F0256F">
        <w:rPr>
          <w:bCs/>
        </w:rPr>
        <w:t>—</w:t>
      </w:r>
    </w:p>
    <w:p w14:paraId="4AD4D6EE" w14:textId="77777777" w:rsidR="000D7830" w:rsidRPr="00F0256F" w:rsidRDefault="000D7830" w:rsidP="00D633D3">
      <w:pPr>
        <w:pStyle w:val="Subdetailssecondindent"/>
        <w:numPr>
          <w:ilvl w:val="0"/>
          <w:numId w:val="136"/>
        </w:numPr>
      </w:pPr>
      <w:r w:rsidRPr="001B0B03">
        <w:rPr>
          <w:i/>
          <w:iCs/>
        </w:rPr>
        <w:t>RatedCapacity</w:t>
      </w:r>
      <w:r w:rsidRPr="00F0256F">
        <w:t xml:space="preserve"> is measured in kilograms and defined by AS/NZS 2442;</w:t>
      </w:r>
    </w:p>
    <w:p w14:paraId="624652C8" w14:textId="77777777" w:rsidR="000D7830" w:rsidRPr="00F0256F" w:rsidRDefault="000D7830" w:rsidP="00D633D3">
      <w:pPr>
        <w:pStyle w:val="Subdetailssecondindent"/>
        <w:numPr>
          <w:ilvl w:val="0"/>
          <w:numId w:val="136"/>
        </w:numPr>
      </w:pPr>
      <w:r w:rsidRPr="001B0B03">
        <w:rPr>
          <w:i/>
          <w:iCs/>
        </w:rPr>
        <w:t>ERF</w:t>
      </w:r>
      <w:r w:rsidRPr="00F0256F">
        <w:t xml:space="preserve"> is the energy reduction factor and is equal to 0.15 for dryers;</w:t>
      </w:r>
    </w:p>
    <w:p w14:paraId="3EE2B931" w14:textId="77777777" w:rsidR="000D7830" w:rsidRPr="00F0256F" w:rsidRDefault="000D7830" w:rsidP="00D633D3">
      <w:pPr>
        <w:pStyle w:val="Subdetailssecondindent"/>
        <w:numPr>
          <w:ilvl w:val="0"/>
          <w:numId w:val="136"/>
        </w:numPr>
      </w:pPr>
      <w:r w:rsidRPr="001B0B03">
        <w:rPr>
          <w:i/>
          <w:iCs/>
        </w:rPr>
        <w:t>CEC</w:t>
      </w:r>
      <w:r w:rsidRPr="00F0256F">
        <w:t xml:space="preserve"> is the comparative energy consumption and is measured in kilowatt hours per year (kWh/y) specified on the energy rating label as defined by AS/NZS 2442;</w:t>
      </w:r>
    </w:p>
    <w:p w14:paraId="1AE77448" w14:textId="77777777" w:rsidR="000D7830" w:rsidRPr="00F0256F" w:rsidRDefault="000D7830" w:rsidP="00D633D3">
      <w:pPr>
        <w:pStyle w:val="Subdetailssecondindent"/>
        <w:numPr>
          <w:ilvl w:val="0"/>
          <w:numId w:val="136"/>
        </w:numPr>
      </w:pPr>
      <w:r w:rsidRPr="00F0256F">
        <w:t>SRI</w:t>
      </w:r>
      <w:r w:rsidRPr="001B0B03">
        <w:rPr>
          <w:vertAlign w:val="subscript"/>
        </w:rPr>
        <w:t>baseline</w:t>
      </w:r>
      <w:r w:rsidRPr="00F0256F">
        <w:t xml:space="preserve"> is the baseline star rating index for dryers and is equal to a value of 2.53;</w:t>
      </w:r>
    </w:p>
    <w:p w14:paraId="3C649BB7" w14:textId="77777777" w:rsidR="000D7830" w:rsidRPr="00F0256F" w:rsidRDefault="000D7830" w:rsidP="00D633D3">
      <w:pPr>
        <w:pStyle w:val="Subdetailssecondindent"/>
        <w:numPr>
          <w:ilvl w:val="0"/>
          <w:numId w:val="136"/>
        </w:numPr>
      </w:pPr>
      <w:r w:rsidRPr="001B0B03">
        <w:rPr>
          <w:i/>
          <w:iCs/>
        </w:rPr>
        <w:t>Usage</w:t>
      </w:r>
      <w:r w:rsidRPr="00F0256F">
        <w:t xml:space="preserve"> is the usage factor for the usage and loading of dryers and is equal to a value of 1.192; and</w:t>
      </w:r>
    </w:p>
    <w:p w14:paraId="7AB67FBD" w14:textId="3B5F28E7" w:rsidR="000D7830" w:rsidRPr="00F0256F" w:rsidRDefault="008E78DC" w:rsidP="00D633D3">
      <w:pPr>
        <w:pStyle w:val="Subdetailssecondindent"/>
        <w:numPr>
          <w:ilvl w:val="0"/>
          <w:numId w:val="136"/>
        </w:numPr>
      </w:pPr>
      <w:r>
        <w:rPr>
          <w:i/>
          <w:iCs/>
        </w:rPr>
        <w:t>ESF</w:t>
      </w:r>
      <w:r w:rsidR="000D7830" w:rsidRPr="00F0256F">
        <w:t xml:space="preserve"> is the e</w:t>
      </w:r>
      <w:r w:rsidR="00DC534A">
        <w:t>nergy savings</w:t>
      </w:r>
      <w:r w:rsidR="000D7830" w:rsidRPr="00F0256F">
        <w:t xml:space="preserve"> factor for electricity and the specific lifetime for the dryer and is equal to a value of 0.0</w:t>
      </w:r>
      <w:r w:rsidR="00DC534A">
        <w:t>12</w:t>
      </w:r>
      <w:r w:rsidR="000D7830" w:rsidRPr="00F0256F">
        <w:t>.</w:t>
      </w:r>
    </w:p>
    <w:p w14:paraId="464F61B5" w14:textId="77777777" w:rsidR="00D936CF" w:rsidRPr="00F62E69" w:rsidRDefault="00F62E69" w:rsidP="006C1EF8">
      <w:pPr>
        <w:pStyle w:val="Sectionheading2"/>
      </w:pPr>
      <w:r>
        <w:rPr>
          <w:color w:val="000000"/>
          <w:sz w:val="22"/>
        </w:rPr>
        <w:br w:type="page"/>
      </w:r>
      <w:bookmarkStart w:id="345" w:name="_Toc328140156"/>
      <w:bookmarkStart w:id="346" w:name="_Ref331773380"/>
      <w:bookmarkStart w:id="347" w:name="_Toc332272791"/>
      <w:bookmarkStart w:id="348" w:name="_Toc332287298"/>
      <w:bookmarkStart w:id="349" w:name="_Toc435603245"/>
      <w:bookmarkStart w:id="350" w:name="_Toc454287736"/>
      <w:bookmarkStart w:id="351" w:name="_Toc466535748"/>
      <w:bookmarkStart w:id="352" w:name="_Toc333417656"/>
      <w:bookmarkStart w:id="353" w:name="_Toc27560568"/>
      <w:r w:rsidR="00D936CF" w:rsidRPr="00970AD2">
        <w:lastRenderedPageBreak/>
        <w:t>Purchase of a high efficiency television</w:t>
      </w:r>
      <w:bookmarkEnd w:id="345"/>
      <w:bookmarkEnd w:id="346"/>
      <w:bookmarkEnd w:id="347"/>
      <w:bookmarkEnd w:id="348"/>
      <w:bookmarkEnd w:id="349"/>
      <w:bookmarkEnd w:id="350"/>
      <w:bookmarkEnd w:id="351"/>
      <w:bookmarkEnd w:id="352"/>
      <w:bookmarkEnd w:id="353"/>
    </w:p>
    <w:p w14:paraId="6E6433E5" w14:textId="77777777" w:rsidR="00D936CF" w:rsidRPr="00970AD2" w:rsidRDefault="00D936CF" w:rsidP="006C1EF8">
      <w:pPr>
        <w:pStyle w:val="Sectionheading3"/>
      </w:pPr>
      <w:r w:rsidRPr="00970AD2">
        <w:t>Activity definition</w:t>
      </w:r>
    </w:p>
    <w:p w14:paraId="1527BB8D" w14:textId="77777777" w:rsidR="00D936CF" w:rsidRPr="00970AD2" w:rsidRDefault="007357F2" w:rsidP="006C1EF8">
      <w:pPr>
        <w:pStyle w:val="BodytextEEIS"/>
      </w:pPr>
      <w:r w:rsidRPr="00970AD2">
        <w:rPr>
          <w:b/>
        </w:rPr>
        <w:t>Activity ID 5.</w:t>
      </w:r>
      <w:r w:rsidR="00ED4057">
        <w:rPr>
          <w:b/>
        </w:rPr>
        <w:t>4</w:t>
      </w:r>
      <w:r w:rsidRPr="00970AD2">
        <w:t xml:space="preserve"> – </w:t>
      </w:r>
      <w:r w:rsidR="00212D21">
        <w:t>I</w:t>
      </w:r>
      <w:r w:rsidR="00D936CF" w:rsidRPr="00970AD2">
        <w:t>n accordance with the prescribed minimum activity performance specifications, purchase for installation in a premises a high efficiency television.</w:t>
      </w:r>
    </w:p>
    <w:p w14:paraId="3052BE4E" w14:textId="77777777" w:rsidR="00D936CF" w:rsidRPr="00970AD2" w:rsidRDefault="00D936CF" w:rsidP="006C1EF8">
      <w:pPr>
        <w:pStyle w:val="Sectionheading3"/>
      </w:pPr>
      <w:r w:rsidRPr="00970AD2">
        <w:t>Minimum activity performance specifications</w:t>
      </w:r>
    </w:p>
    <w:p w14:paraId="715B8502" w14:textId="77777777" w:rsidR="00D936CF" w:rsidRPr="00970AD2" w:rsidRDefault="00D936CF" w:rsidP="006C1EF8">
      <w:pPr>
        <w:pStyle w:val="BodytextEEIS"/>
        <w:rPr>
          <w:i/>
        </w:rPr>
      </w:pPr>
      <w:r w:rsidRPr="00970AD2">
        <w:t>To be an eligible activity</w:t>
      </w:r>
      <w:r w:rsidRPr="00970AD2">
        <w:rPr>
          <w:bCs/>
        </w:rPr>
        <w:t>—</w:t>
      </w:r>
    </w:p>
    <w:p w14:paraId="5F0A934A" w14:textId="77777777" w:rsidR="00D936CF" w:rsidRPr="00970AD2" w:rsidRDefault="00D936CF" w:rsidP="00D633D3">
      <w:pPr>
        <w:pStyle w:val="Subdetailsfirstindent"/>
        <w:numPr>
          <w:ilvl w:val="0"/>
          <w:numId w:val="137"/>
        </w:numPr>
      </w:pPr>
      <w:r w:rsidRPr="00970AD2">
        <w:t xml:space="preserve">the activity must be undertaken using a product or products meeting the installed product requirements in section </w:t>
      </w:r>
      <w:r w:rsidR="00325C97">
        <w:t>5.4.</w:t>
      </w:r>
      <w:r w:rsidRPr="00970AD2">
        <w:t xml:space="preserve">3; </w:t>
      </w:r>
    </w:p>
    <w:p w14:paraId="33C15793" w14:textId="77777777" w:rsidR="00D936CF" w:rsidRPr="00970AD2" w:rsidRDefault="00D936CF" w:rsidP="00D633D3">
      <w:pPr>
        <w:pStyle w:val="Subdetailsfirstindent"/>
        <w:numPr>
          <w:ilvl w:val="0"/>
          <w:numId w:val="137"/>
        </w:numPr>
      </w:pPr>
      <w:r w:rsidRPr="00970AD2">
        <w:t>the product or products must be purchased by a resident of the ACT for installation and use in a residential or business premises;</w:t>
      </w:r>
    </w:p>
    <w:p w14:paraId="1B496624" w14:textId="77777777" w:rsidR="00D936CF" w:rsidRPr="00970AD2" w:rsidRDefault="00D936CF" w:rsidP="00D633D3">
      <w:pPr>
        <w:pStyle w:val="Subdetailsfirstindent"/>
        <w:numPr>
          <w:ilvl w:val="0"/>
          <w:numId w:val="137"/>
        </w:numPr>
      </w:pPr>
      <w:r w:rsidRPr="00970AD2">
        <w:t xml:space="preserve">the activity must be completed and certified in accordance with the relevant code of practice and other relevant legislation for the activity; and </w:t>
      </w:r>
    </w:p>
    <w:p w14:paraId="69E02E58" w14:textId="77777777" w:rsidR="00D936CF" w:rsidRPr="00970AD2" w:rsidRDefault="00325C97" w:rsidP="00D633D3">
      <w:pPr>
        <w:pStyle w:val="Subdetailsfirstindent"/>
        <w:numPr>
          <w:ilvl w:val="0"/>
          <w:numId w:val="137"/>
        </w:numPr>
      </w:pPr>
      <w:r>
        <w:t xml:space="preserve">it must </w:t>
      </w:r>
      <w:r w:rsidR="00D936CF" w:rsidRPr="00970AD2">
        <w:t xml:space="preserve">be recorded in accordance with any relevant code of practice for the activity. </w:t>
      </w:r>
    </w:p>
    <w:p w14:paraId="585ED9CF" w14:textId="77777777" w:rsidR="00D936CF" w:rsidRPr="00970AD2" w:rsidRDefault="00D936CF" w:rsidP="006C1EF8">
      <w:pPr>
        <w:pStyle w:val="Notesandexamples"/>
      </w:pPr>
      <w:r w:rsidRPr="00970AD2">
        <w:t>Note</w:t>
      </w:r>
      <w:r w:rsidRPr="00970AD2">
        <w:tab/>
      </w:r>
      <w:r w:rsidR="00325C97" w:rsidRPr="00970AD2">
        <w:t>All activities are subject to independent inspection or audit to confirm compliance with prescribed activity requirements.</w:t>
      </w:r>
    </w:p>
    <w:p w14:paraId="49D6ACFF" w14:textId="77777777" w:rsidR="00D936CF" w:rsidRPr="00970AD2" w:rsidRDefault="00D936CF" w:rsidP="006C1EF8">
      <w:pPr>
        <w:pStyle w:val="Sectionheading3"/>
      </w:pPr>
      <w:r w:rsidRPr="00970AD2">
        <w:t>Installed product requirements</w:t>
      </w:r>
    </w:p>
    <w:p w14:paraId="4BB78176" w14:textId="77777777" w:rsidR="00D936CF" w:rsidRPr="00970AD2" w:rsidRDefault="00D936CF" w:rsidP="006C1EF8">
      <w:pPr>
        <w:pStyle w:val="BodytextEEIS"/>
      </w:pPr>
      <w:r w:rsidRPr="00970AD2">
        <w:t>An installed product must be a television that—</w:t>
      </w:r>
    </w:p>
    <w:p w14:paraId="59EE6900" w14:textId="77777777" w:rsidR="00D936CF" w:rsidRPr="00970AD2" w:rsidRDefault="00D936CF" w:rsidP="00D633D3">
      <w:pPr>
        <w:pStyle w:val="Subdetailsfirstindent"/>
        <w:numPr>
          <w:ilvl w:val="0"/>
          <w:numId w:val="138"/>
        </w:numPr>
      </w:pPr>
      <w:r w:rsidRPr="00970AD2">
        <w:t xml:space="preserve">is registered for energy labelling in accordance with AS/NZS 62087; and </w:t>
      </w:r>
    </w:p>
    <w:p w14:paraId="2A3F1CBD" w14:textId="77777777" w:rsidR="00D936CF" w:rsidRPr="00970AD2" w:rsidRDefault="00D936CF" w:rsidP="00D633D3">
      <w:pPr>
        <w:pStyle w:val="Subdetailsfirstindent"/>
        <w:numPr>
          <w:ilvl w:val="0"/>
          <w:numId w:val="138"/>
        </w:numPr>
      </w:pPr>
      <w:r w:rsidRPr="00970AD2">
        <w:t xml:space="preserve">has a minimum star rating of </w:t>
      </w:r>
      <w:r w:rsidR="00F35F9B" w:rsidRPr="00970AD2">
        <w:t>7</w:t>
      </w:r>
      <w:r w:rsidRPr="00970AD2">
        <w:t xml:space="preserve"> stars as determined in accordance with AS/NZS 62087</w:t>
      </w:r>
      <w:r w:rsidR="001A6C4A" w:rsidRPr="00970AD2">
        <w:t xml:space="preserve"> (2013 algorithm)</w:t>
      </w:r>
      <w:r w:rsidR="00325C97">
        <w:t>.</w:t>
      </w:r>
    </w:p>
    <w:p w14:paraId="523E3C2D" w14:textId="77777777" w:rsidR="00D936CF" w:rsidRPr="00970AD2" w:rsidRDefault="00D936CF" w:rsidP="006C1EF8">
      <w:pPr>
        <w:pStyle w:val="Sectionheading3"/>
        <w:rPr>
          <w:u w:val="single"/>
        </w:rPr>
      </w:pPr>
      <w:r w:rsidRPr="00970AD2">
        <w:t>Time the activity is taken to be completed</w:t>
      </w:r>
    </w:p>
    <w:p w14:paraId="3897690F" w14:textId="77777777" w:rsidR="00D936CF" w:rsidRPr="00970AD2" w:rsidRDefault="00D936CF" w:rsidP="006C1EF8">
      <w:pPr>
        <w:pStyle w:val="BodytextEEIS"/>
        <w:rPr>
          <w:i/>
        </w:rPr>
      </w:pPr>
      <w:r w:rsidRPr="00970AD2">
        <w:t>The activity is taken to be completed on the day all applicable prescribed activity requirements are completed</w:t>
      </w:r>
      <w:r w:rsidRPr="00970AD2">
        <w:rPr>
          <w:i/>
        </w:rPr>
        <w:t>.</w:t>
      </w:r>
    </w:p>
    <w:p w14:paraId="23A62EB5" w14:textId="4CB0F9B1" w:rsidR="00D936CF" w:rsidRPr="00970AD2" w:rsidRDefault="00D936CF" w:rsidP="006C1EF8">
      <w:pPr>
        <w:pStyle w:val="Sectionheading3"/>
        <w:rPr>
          <w:u w:val="single"/>
        </w:rPr>
      </w:pPr>
      <w:r w:rsidRPr="00970AD2">
        <w:t xml:space="preserve">Calculation of </w:t>
      </w:r>
      <w:r w:rsidR="008E78DC">
        <w:t>energy savings</w:t>
      </w:r>
      <w:r w:rsidRPr="00970AD2">
        <w:t xml:space="preserve"> factor</w:t>
      </w:r>
    </w:p>
    <w:p w14:paraId="395A8975" w14:textId="2E51E5BD" w:rsidR="00D936CF" w:rsidRPr="00970AD2" w:rsidRDefault="00D936CF" w:rsidP="001B0B03">
      <w:pPr>
        <w:pStyle w:val="BodytextEEIS"/>
      </w:pPr>
      <w:r w:rsidRPr="00970AD2">
        <w:t xml:space="preserve">The total </w:t>
      </w:r>
      <w:r w:rsidR="008E78DC">
        <w:t>energy savings</w:t>
      </w:r>
      <w:r w:rsidRPr="00970AD2">
        <w:t xml:space="preserve"> factor in </w:t>
      </w:r>
      <w:r w:rsidR="00880CB1">
        <w:t>Megawatt-hours</w:t>
      </w:r>
      <w:r w:rsidR="00BA31EE">
        <w:t xml:space="preserve"> (MWh)</w:t>
      </w:r>
      <w:r w:rsidRPr="00970AD2">
        <w:t xml:space="preserve"> saved in a premises must be determined by using the equation prescribed in this section.</w:t>
      </w:r>
    </w:p>
    <w:p w14:paraId="61580DB7" w14:textId="16E75F73" w:rsidR="00D936CF" w:rsidRPr="001B0B03" w:rsidRDefault="00D936CF" w:rsidP="00D633D3">
      <w:pPr>
        <w:pStyle w:val="Subdetailsfirstindent"/>
        <w:numPr>
          <w:ilvl w:val="0"/>
          <w:numId w:val="139"/>
        </w:numPr>
        <w:rPr>
          <w:b/>
          <w:u w:val="single"/>
        </w:rPr>
      </w:pPr>
      <w:r w:rsidRPr="00970AD2">
        <w:t xml:space="preserve">The </w:t>
      </w:r>
      <w:r w:rsidR="008E78DC">
        <w:t>energy savings</w:t>
      </w:r>
      <w:r w:rsidRPr="00970AD2">
        <w:t xml:space="preserve"> factor for the activity is calculated by</w:t>
      </w:r>
      <w:r w:rsidRPr="001B0B03">
        <w:rPr>
          <w:bCs/>
        </w:rPr>
        <w:t>—</w:t>
      </w:r>
    </w:p>
    <w:p w14:paraId="0A1318E0" w14:textId="77777777" w:rsidR="00D952A1" w:rsidRPr="00970AD2" w:rsidRDefault="00D952A1" w:rsidP="00D633D3">
      <w:pPr>
        <w:pStyle w:val="Subdetailssecondindent"/>
        <w:numPr>
          <w:ilvl w:val="0"/>
          <w:numId w:val="140"/>
        </w:numPr>
      </w:pPr>
      <w:r w:rsidRPr="00970AD2">
        <w:t>for televisions with a registered screen area of not more than 7221cm2</w:t>
      </w:r>
      <w:r w:rsidR="00325C97">
        <w:t>:</w:t>
      </w:r>
    </w:p>
    <w:p w14:paraId="19ADF25D" w14:textId="78018DA1" w:rsidR="00942A3D" w:rsidRDefault="008E78DC" w:rsidP="001453C7">
      <w:pPr>
        <w:pStyle w:val="Formula"/>
        <w:ind w:left="1854"/>
      </w:pPr>
      <w:r>
        <w:t>Energy savings</w:t>
      </w:r>
      <w:r w:rsidR="00942A3D" w:rsidRPr="00970AD2">
        <w:t xml:space="preserve"> factor (</w:t>
      </w:r>
      <w:r w:rsidR="000B13D7">
        <w:t>MWh</w:t>
      </w:r>
      <w:r w:rsidR="00942A3D" w:rsidRPr="00970AD2">
        <w:t xml:space="preserve">) = </w:t>
      </w:r>
      <w:r w:rsidR="00942A3D" w:rsidRPr="006142A4">
        <w:t>(</w:t>
      </w:r>
      <w:r w:rsidR="006142A4" w:rsidRPr="006142A4">
        <w:t>0.36636 x [SA x 0.09344 + 65.408] – CEC) x 0.00</w:t>
      </w:r>
      <w:r w:rsidR="00633E80">
        <w:t>55</w:t>
      </w:r>
    </w:p>
    <w:p w14:paraId="41379AF9" w14:textId="77777777" w:rsidR="00D952A1" w:rsidRPr="00970AD2" w:rsidRDefault="00D952A1" w:rsidP="006C1EF8">
      <w:pPr>
        <w:pStyle w:val="Subdetailssecondindent"/>
      </w:pPr>
      <w:r w:rsidRPr="00970AD2">
        <w:t>for televisions with a registered screen area of greater that 7221cm2</w:t>
      </w:r>
      <w:r w:rsidR="00325C97">
        <w:t>:</w:t>
      </w:r>
    </w:p>
    <w:p w14:paraId="0D411D59" w14:textId="632C1359" w:rsidR="001453C7" w:rsidRDefault="008E78DC" w:rsidP="001453C7">
      <w:pPr>
        <w:pStyle w:val="Formula"/>
        <w:ind w:left="1854"/>
      </w:pPr>
      <w:r>
        <w:t>Energy savings</w:t>
      </w:r>
      <w:r w:rsidR="001453C7" w:rsidRPr="00970AD2">
        <w:t xml:space="preserve"> factor (</w:t>
      </w:r>
      <w:r w:rsidR="000B13D7">
        <w:t>MWh</w:t>
      </w:r>
      <w:r w:rsidR="001453C7" w:rsidRPr="00970AD2">
        <w:t xml:space="preserve">) = </w:t>
      </w:r>
      <w:r w:rsidR="001453C7" w:rsidRPr="006142A4">
        <w:t>(</w:t>
      </w:r>
      <w:r w:rsidR="001453C7">
        <w:t>270</w:t>
      </w:r>
      <w:r w:rsidR="001453C7" w:rsidRPr="006142A4">
        <w:t xml:space="preserve"> – CEC) x 0.00</w:t>
      </w:r>
      <w:r w:rsidR="00F77EF8">
        <w:t>6</w:t>
      </w:r>
    </w:p>
    <w:p w14:paraId="160F9F79" w14:textId="77777777" w:rsidR="00D936CF" w:rsidRPr="00970AD2" w:rsidRDefault="00D936CF" w:rsidP="001B0B03">
      <w:pPr>
        <w:pStyle w:val="BodytextEEIS"/>
        <w:ind w:left="1440"/>
      </w:pPr>
      <w:r w:rsidRPr="00970AD2">
        <w:t>Where</w:t>
      </w:r>
      <w:r w:rsidRPr="00970AD2">
        <w:rPr>
          <w:bCs/>
        </w:rPr>
        <w:t>—</w:t>
      </w:r>
    </w:p>
    <w:p w14:paraId="7065AB03" w14:textId="77777777" w:rsidR="00D936CF" w:rsidRPr="00970AD2" w:rsidRDefault="00D936CF" w:rsidP="00D633D3">
      <w:pPr>
        <w:pStyle w:val="Subdetailsthirdindent"/>
        <w:numPr>
          <w:ilvl w:val="0"/>
          <w:numId w:val="141"/>
        </w:numPr>
      </w:pPr>
      <w:r w:rsidRPr="001B0B03">
        <w:rPr>
          <w:i/>
          <w:iCs/>
        </w:rPr>
        <w:t>SA</w:t>
      </w:r>
      <w:r w:rsidRPr="00970AD2">
        <w:t xml:space="preserve"> is the area of the screen in square centimetres as defined in AS/NZS 62087; and</w:t>
      </w:r>
    </w:p>
    <w:p w14:paraId="075E8BED" w14:textId="77777777" w:rsidR="00D936CF" w:rsidRPr="00970AD2" w:rsidRDefault="00D936CF" w:rsidP="00D633D3">
      <w:pPr>
        <w:pStyle w:val="Subdetailsthirdindent"/>
        <w:numPr>
          <w:ilvl w:val="0"/>
          <w:numId w:val="141"/>
        </w:numPr>
      </w:pPr>
      <w:r w:rsidRPr="001B0B03">
        <w:rPr>
          <w:i/>
          <w:iCs/>
        </w:rPr>
        <w:lastRenderedPageBreak/>
        <w:t>CEC</w:t>
      </w:r>
      <w:r w:rsidRPr="00970AD2">
        <w:t xml:space="preserve"> is the comparative energy consumption in kWh/y specified on the energy rating label as defined by AS/NZS 62087.</w:t>
      </w:r>
    </w:p>
    <w:p w14:paraId="512AC40F" w14:textId="77777777" w:rsidR="00520F44" w:rsidRPr="00970AD2" w:rsidRDefault="00520F44" w:rsidP="00520F44">
      <w:pPr>
        <w:pStyle w:val="TableBullet1"/>
        <w:tabs>
          <w:tab w:val="clear" w:pos="360"/>
        </w:tabs>
        <w:ind w:left="425" w:hanging="425"/>
        <w:rPr>
          <w:color w:val="000000"/>
          <w:sz w:val="20"/>
          <w:szCs w:val="20"/>
        </w:rPr>
      </w:pPr>
    </w:p>
    <w:p w14:paraId="70B05FCB" w14:textId="77777777" w:rsidR="00EF401B" w:rsidRDefault="00520F44" w:rsidP="006C1EF8">
      <w:pPr>
        <w:pStyle w:val="Sectionheading2"/>
      </w:pPr>
      <w:r w:rsidRPr="00970AD2">
        <w:br w:type="page"/>
      </w:r>
      <w:bookmarkStart w:id="354" w:name="_Toc435603244"/>
      <w:bookmarkStart w:id="355" w:name="_Toc466535747"/>
      <w:bookmarkStart w:id="356" w:name="_Toc496273835"/>
      <w:bookmarkStart w:id="357" w:name="_Toc27560569"/>
      <w:r w:rsidR="000B6254">
        <w:lastRenderedPageBreak/>
        <w:t>Install a standby power controller</w:t>
      </w:r>
      <w:r w:rsidR="003C1630">
        <w:t xml:space="preserve"> (</w:t>
      </w:r>
      <w:r w:rsidR="00745BA6">
        <w:rPr>
          <w:i/>
        </w:rPr>
        <w:t>Revoked</w:t>
      </w:r>
      <w:r w:rsidR="003C1630">
        <w:t>)</w:t>
      </w:r>
      <w:bookmarkEnd w:id="354"/>
      <w:bookmarkEnd w:id="355"/>
      <w:bookmarkEnd w:id="356"/>
      <w:bookmarkEnd w:id="357"/>
    </w:p>
    <w:p w14:paraId="3957E19D" w14:textId="77777777" w:rsidR="00520F44" w:rsidRPr="00970AD2" w:rsidRDefault="002200DF" w:rsidP="006C1EF8">
      <w:pPr>
        <w:pStyle w:val="Sectionheading2"/>
      </w:pPr>
      <w:bookmarkStart w:id="358" w:name="_Toc435603246"/>
      <w:bookmarkStart w:id="359" w:name="_Toc466535749"/>
      <w:r>
        <w:br w:type="page"/>
      </w:r>
      <w:bookmarkStart w:id="360" w:name="_Toc328140157"/>
      <w:bookmarkStart w:id="361" w:name="_Ref331773385"/>
      <w:bookmarkStart w:id="362" w:name="_Toc332272792"/>
      <w:bookmarkStart w:id="363" w:name="_Toc332287299"/>
      <w:bookmarkStart w:id="364" w:name="_Toc333417657"/>
      <w:bookmarkStart w:id="365" w:name="_Toc27560570"/>
      <w:r w:rsidR="00520F44" w:rsidRPr="00970AD2">
        <w:lastRenderedPageBreak/>
        <w:t>Install a high efficiency swimming pool pump</w:t>
      </w:r>
      <w:bookmarkEnd w:id="358"/>
      <w:bookmarkEnd w:id="359"/>
      <w:bookmarkEnd w:id="360"/>
      <w:bookmarkEnd w:id="361"/>
      <w:bookmarkEnd w:id="362"/>
      <w:bookmarkEnd w:id="363"/>
      <w:bookmarkEnd w:id="364"/>
      <w:bookmarkEnd w:id="365"/>
    </w:p>
    <w:p w14:paraId="7B77090A" w14:textId="77777777" w:rsidR="00520F44" w:rsidRPr="00970AD2" w:rsidRDefault="00520F44" w:rsidP="006C1EF8">
      <w:pPr>
        <w:pStyle w:val="Sectionheading3"/>
      </w:pPr>
      <w:r w:rsidRPr="00970AD2">
        <w:t>Activity definition</w:t>
      </w:r>
    </w:p>
    <w:p w14:paraId="20A2D000" w14:textId="77777777" w:rsidR="003B19BC" w:rsidRPr="00970AD2" w:rsidRDefault="007357F2" w:rsidP="006C1EF8">
      <w:pPr>
        <w:pStyle w:val="BodytextEEIS"/>
      </w:pPr>
      <w:r w:rsidRPr="00970AD2">
        <w:rPr>
          <w:b/>
        </w:rPr>
        <w:t>Activity ID 5.6</w:t>
      </w:r>
      <w:r w:rsidRPr="00970AD2">
        <w:t xml:space="preserve"> – </w:t>
      </w:r>
      <w:r w:rsidR="00325C97">
        <w:t>I</w:t>
      </w:r>
      <w:r w:rsidR="00520F44" w:rsidRPr="00970AD2">
        <w:t>n accordance with the prescribed minimum activity performance specifications, install a high efficiency pool pump with a minimum energy efficiency rating (</w:t>
      </w:r>
      <w:r w:rsidR="00520F44" w:rsidRPr="00970AD2">
        <w:rPr>
          <w:b/>
          <w:i/>
        </w:rPr>
        <w:t>star rating</w:t>
      </w:r>
      <w:r w:rsidR="00520F44" w:rsidRPr="00970AD2">
        <w:t xml:space="preserve">) of </w:t>
      </w:r>
      <w:r w:rsidR="00EF401B">
        <w:t>7</w:t>
      </w:r>
      <w:r w:rsidR="00520F44" w:rsidRPr="00970AD2">
        <w:t xml:space="preserve"> to a swimming pool or spa in a residential or an eligible business premises.</w:t>
      </w:r>
    </w:p>
    <w:p w14:paraId="21126426" w14:textId="77777777" w:rsidR="00520F44" w:rsidRPr="00970AD2" w:rsidRDefault="00520F44" w:rsidP="006C1EF8">
      <w:pPr>
        <w:pStyle w:val="Sectionheading3"/>
      </w:pPr>
      <w:r w:rsidRPr="00970AD2">
        <w:t>Minimum activity performance specifications</w:t>
      </w:r>
    </w:p>
    <w:p w14:paraId="5998B89B" w14:textId="77777777" w:rsidR="00520F44" w:rsidRPr="00970AD2" w:rsidRDefault="00520F44" w:rsidP="006C1EF8">
      <w:pPr>
        <w:pStyle w:val="BodytextEEIS"/>
        <w:rPr>
          <w:i/>
        </w:rPr>
      </w:pPr>
      <w:r w:rsidRPr="00970AD2">
        <w:t>To be an eligible activity, the activity must</w:t>
      </w:r>
      <w:r w:rsidRPr="00970AD2">
        <w:rPr>
          <w:bCs/>
        </w:rPr>
        <w:t>—</w:t>
      </w:r>
    </w:p>
    <w:p w14:paraId="52EEF1FE" w14:textId="77777777" w:rsidR="00831F19" w:rsidRPr="00970AD2" w:rsidRDefault="00520F44" w:rsidP="00D633D3">
      <w:pPr>
        <w:pStyle w:val="Subdetailsfirstindent"/>
        <w:numPr>
          <w:ilvl w:val="0"/>
          <w:numId w:val="142"/>
        </w:numPr>
      </w:pPr>
      <w:r w:rsidRPr="00970AD2">
        <w:t xml:space="preserve">be undertaken at an eligible residential or business premises; </w:t>
      </w:r>
    </w:p>
    <w:p w14:paraId="33C67564" w14:textId="77777777" w:rsidR="00831F19" w:rsidRPr="00970AD2" w:rsidRDefault="00520F44" w:rsidP="00D633D3">
      <w:pPr>
        <w:pStyle w:val="Subdetailsfirstindent"/>
        <w:numPr>
          <w:ilvl w:val="0"/>
          <w:numId w:val="142"/>
        </w:numPr>
      </w:pPr>
      <w:r w:rsidRPr="00970AD2">
        <w:t xml:space="preserve">be undertaken using a product meeting the installed product requirements in section </w:t>
      </w:r>
      <w:r w:rsidR="006C17DA">
        <w:t>5.6.</w:t>
      </w:r>
      <w:r w:rsidRPr="00970AD2">
        <w:t xml:space="preserve">3; </w:t>
      </w:r>
    </w:p>
    <w:p w14:paraId="5F92482E" w14:textId="77777777" w:rsidR="00831F19" w:rsidRPr="00970AD2" w:rsidRDefault="00520F44" w:rsidP="00D633D3">
      <w:pPr>
        <w:pStyle w:val="Subdetailsfirstindent"/>
        <w:numPr>
          <w:ilvl w:val="0"/>
          <w:numId w:val="142"/>
        </w:numPr>
      </w:pPr>
      <w:r w:rsidRPr="00970AD2">
        <w:t xml:space="preserve">be completed and certified in accordance with the relevant code or codes of practice and other relevant legislation applying to the activity, including any licensing, registration, statutory approval, activity certification, health, safety, environmental or waste disposal requirements; and </w:t>
      </w:r>
    </w:p>
    <w:p w14:paraId="09E7F829" w14:textId="77777777" w:rsidR="00831F19" w:rsidRPr="00970AD2" w:rsidRDefault="00520F44" w:rsidP="00D633D3">
      <w:pPr>
        <w:pStyle w:val="Subdetailsfirstindent"/>
        <w:numPr>
          <w:ilvl w:val="0"/>
          <w:numId w:val="142"/>
        </w:numPr>
      </w:pPr>
      <w:r w:rsidRPr="00970AD2">
        <w:t>be recorded in accordance with any relevant code of practice for the activity.</w:t>
      </w:r>
    </w:p>
    <w:p w14:paraId="23280281" w14:textId="77777777" w:rsidR="00EF401B" w:rsidRPr="00EF401B" w:rsidRDefault="00520F44" w:rsidP="006C1EF8">
      <w:pPr>
        <w:pStyle w:val="Notesandexamples"/>
        <w:rPr>
          <w:b/>
          <w:sz w:val="22"/>
          <w:szCs w:val="22"/>
        </w:rPr>
      </w:pPr>
      <w:r w:rsidRPr="00970AD2">
        <w:t>Note</w:t>
      </w:r>
      <w:r w:rsidRPr="00970AD2">
        <w:tab/>
      </w:r>
      <w:r w:rsidR="00325C97" w:rsidRPr="00970AD2">
        <w:t>All activities are subject to independent inspection or audit to confirm compliance with prescribed activity requirements.</w:t>
      </w:r>
    </w:p>
    <w:p w14:paraId="50F4DEE3" w14:textId="77777777" w:rsidR="00520F44" w:rsidRPr="00970AD2" w:rsidRDefault="00520F44" w:rsidP="006C1EF8">
      <w:pPr>
        <w:pStyle w:val="Sectionheading3"/>
      </w:pPr>
      <w:r w:rsidRPr="00970AD2">
        <w:t>Installed product requirements</w:t>
      </w:r>
    </w:p>
    <w:p w14:paraId="5D178401" w14:textId="77777777" w:rsidR="00B515FB" w:rsidRDefault="00B515FB" w:rsidP="00B515FB">
      <w:pPr>
        <w:pStyle w:val="Sectionheading4"/>
      </w:pPr>
      <w:r>
        <w:t>Pool pump</w:t>
      </w:r>
    </w:p>
    <w:p w14:paraId="6A2FF686" w14:textId="77777777" w:rsidR="00520F44" w:rsidRPr="00970AD2" w:rsidRDefault="00520F44" w:rsidP="006C1EF8">
      <w:pPr>
        <w:pStyle w:val="BodytextEEIS"/>
      </w:pPr>
      <w:r w:rsidRPr="00970AD2">
        <w:t xml:space="preserve">An installed product must be </w:t>
      </w:r>
      <w:r w:rsidR="006C17DA">
        <w:t xml:space="preserve">a </w:t>
      </w:r>
      <w:r w:rsidRPr="00970AD2">
        <w:t>pool pump for use with a domestic pool or spa that is</w:t>
      </w:r>
      <w:r w:rsidRPr="00970AD2">
        <w:rPr>
          <w:bCs/>
        </w:rPr>
        <w:t>—</w:t>
      </w:r>
      <w:r w:rsidRPr="00970AD2">
        <w:t xml:space="preserve"> </w:t>
      </w:r>
    </w:p>
    <w:p w14:paraId="4D115C8E" w14:textId="77777777" w:rsidR="00831F19" w:rsidRPr="00970AD2" w:rsidRDefault="00520F44" w:rsidP="00D633D3">
      <w:pPr>
        <w:pStyle w:val="Subdetailsfirstindent"/>
        <w:numPr>
          <w:ilvl w:val="0"/>
          <w:numId w:val="143"/>
        </w:numPr>
      </w:pPr>
      <w:r w:rsidRPr="00970AD2">
        <w:t>a single phase, single speed, dual speed, multiple speed or variable speed pump unit with an input power of not less than 100W and not more than 1500W when tested in accordance with AS 5102; and</w:t>
      </w:r>
      <w:r w:rsidR="00BA58C0" w:rsidRPr="00970AD2">
        <w:t>/or</w:t>
      </w:r>
      <w:r w:rsidRPr="00970AD2">
        <w:t xml:space="preserve"> </w:t>
      </w:r>
    </w:p>
    <w:p w14:paraId="2E188050" w14:textId="77777777" w:rsidR="00E82AC2" w:rsidRDefault="006C17DA" w:rsidP="00D633D3">
      <w:pPr>
        <w:pStyle w:val="Subdetailsfirstindent"/>
        <w:numPr>
          <w:ilvl w:val="0"/>
          <w:numId w:val="143"/>
        </w:numPr>
      </w:pPr>
      <w:r>
        <w:t>f</w:t>
      </w:r>
      <w:r w:rsidR="001A6C4A" w:rsidRPr="00970AD2">
        <w:t xml:space="preserve">or pool pumps installed from calendar year 2018, pool pump controllers </w:t>
      </w:r>
      <w:r>
        <w:t>that</w:t>
      </w:r>
      <w:r w:rsidRPr="00970AD2">
        <w:t xml:space="preserve"> </w:t>
      </w:r>
      <w:r w:rsidR="001A6C4A" w:rsidRPr="00970AD2">
        <w:t xml:space="preserve">comply with AS/NZS 4755 </w:t>
      </w:r>
      <w:r w:rsidR="001A6C4A" w:rsidRPr="001B0B03">
        <w:rPr>
          <w:i/>
          <w:iCs/>
        </w:rPr>
        <w:t>Demand response capabilities and supporting technologies for electrical products - Interaction of demand response enabling devices and electrical products - Operational instructions and connections for devices controlling swimming pool pump-units</w:t>
      </w:r>
      <w:r w:rsidR="001A6C4A" w:rsidRPr="00970AD2">
        <w:t xml:space="preserve">; </w:t>
      </w:r>
    </w:p>
    <w:p w14:paraId="7CFF56E6" w14:textId="77777777" w:rsidR="00B515FB" w:rsidRDefault="00B515FB" w:rsidP="00B515FB">
      <w:pPr>
        <w:pStyle w:val="Sectionheading4"/>
      </w:pPr>
      <w:r>
        <w:t>Other requirements</w:t>
      </w:r>
    </w:p>
    <w:p w14:paraId="6AB5AD96" w14:textId="77777777" w:rsidR="00B515FB" w:rsidRPr="00970AD2" w:rsidRDefault="00B515FB" w:rsidP="00B515FB">
      <w:pPr>
        <w:pStyle w:val="BodytextEEIS"/>
      </w:pPr>
      <w:r w:rsidRPr="00970AD2">
        <w:t xml:space="preserve">An installed product must </w:t>
      </w:r>
      <w:r>
        <w:t>also be</w:t>
      </w:r>
      <w:r w:rsidRPr="00970AD2">
        <w:rPr>
          <w:bCs/>
        </w:rPr>
        <w:t>—</w:t>
      </w:r>
      <w:r w:rsidRPr="00970AD2">
        <w:t xml:space="preserve"> </w:t>
      </w:r>
    </w:p>
    <w:p w14:paraId="56D15365" w14:textId="77777777" w:rsidR="00E82AC2" w:rsidRPr="00970AD2" w:rsidRDefault="00520F44" w:rsidP="00D633D3">
      <w:pPr>
        <w:pStyle w:val="Subdetailsfirstindent"/>
        <w:numPr>
          <w:ilvl w:val="0"/>
          <w:numId w:val="228"/>
        </w:numPr>
      </w:pPr>
      <w:r w:rsidRPr="00970AD2">
        <w:t xml:space="preserve">listed as part of a labelling scheme determined in accordance with the Equipment Energy Efficiency (E3) Committee's </w:t>
      </w:r>
      <w:r w:rsidRPr="00B515FB">
        <w:rPr>
          <w:i/>
          <w:iCs/>
        </w:rPr>
        <w:t>Voluntary Energy Rating Labelling Program for Swimming Pool Pump-units: Rules for Participation, April 2010</w:t>
      </w:r>
      <w:r w:rsidRPr="00970AD2">
        <w:t xml:space="preserve"> and achieves a minimum energy efficiency rating of </w:t>
      </w:r>
      <w:r w:rsidR="0041563D">
        <w:t>7</w:t>
      </w:r>
      <w:r w:rsidRPr="00970AD2">
        <w:t xml:space="preserve"> stars when determined in accordance with AS 5102; or</w:t>
      </w:r>
    </w:p>
    <w:p w14:paraId="377925DB" w14:textId="77777777" w:rsidR="00E82AC2" w:rsidRDefault="00520F44" w:rsidP="00D633D3">
      <w:pPr>
        <w:pStyle w:val="Subdetailsfirstindent"/>
        <w:numPr>
          <w:ilvl w:val="0"/>
          <w:numId w:val="143"/>
        </w:numPr>
      </w:pPr>
      <w:r w:rsidRPr="00970AD2">
        <w:t>registered for energy labelling and achieves a minimum</w:t>
      </w:r>
      <w:r w:rsidR="006C17DA">
        <w:t xml:space="preserve"> rating of</w:t>
      </w:r>
      <w:r w:rsidRPr="00970AD2">
        <w:t xml:space="preserve"> </w:t>
      </w:r>
      <w:r w:rsidR="0041563D">
        <w:t>7</w:t>
      </w:r>
      <w:r w:rsidRPr="00970AD2">
        <w:t xml:space="preserve"> star</w:t>
      </w:r>
      <w:r w:rsidR="006C17DA">
        <w:t>s</w:t>
      </w:r>
      <w:r w:rsidRPr="00970AD2">
        <w:t xml:space="preserve"> hen determined in accordance with AS 5102.</w:t>
      </w:r>
    </w:p>
    <w:p w14:paraId="3DAE0612" w14:textId="77777777" w:rsidR="00520F44" w:rsidRPr="00970AD2" w:rsidRDefault="00520F44" w:rsidP="006C1EF8">
      <w:pPr>
        <w:pStyle w:val="Sectionheading3"/>
        <w:rPr>
          <w:u w:val="single"/>
        </w:rPr>
      </w:pPr>
      <w:r w:rsidRPr="00970AD2">
        <w:t>Time the activity is taken to be completed</w:t>
      </w:r>
    </w:p>
    <w:p w14:paraId="582BAD44" w14:textId="77777777" w:rsidR="00520F44" w:rsidRPr="00970AD2" w:rsidRDefault="00520F44" w:rsidP="006C1EF8">
      <w:pPr>
        <w:pStyle w:val="BodytextEEIS"/>
        <w:rPr>
          <w:i/>
        </w:rPr>
      </w:pPr>
      <w:r w:rsidRPr="00970AD2">
        <w:t>The activity is taken to be completed on the day all applicable prescribed activity requirements are completed</w:t>
      </w:r>
      <w:r w:rsidRPr="00970AD2">
        <w:rPr>
          <w:i/>
        </w:rPr>
        <w:t>.</w:t>
      </w:r>
    </w:p>
    <w:p w14:paraId="1EA2E38B" w14:textId="2CEF160C" w:rsidR="00520F44" w:rsidRPr="00970AD2" w:rsidRDefault="00520F44" w:rsidP="006C1EF8">
      <w:pPr>
        <w:pStyle w:val="Sectionheading3"/>
        <w:rPr>
          <w:u w:val="single"/>
        </w:rPr>
      </w:pPr>
      <w:r w:rsidRPr="00970AD2">
        <w:lastRenderedPageBreak/>
        <w:t xml:space="preserve">Calculation of </w:t>
      </w:r>
      <w:r w:rsidR="008E78DC">
        <w:t>energy savings</w:t>
      </w:r>
      <w:r w:rsidRPr="00970AD2">
        <w:t xml:space="preserve"> factor</w:t>
      </w:r>
    </w:p>
    <w:p w14:paraId="6A001D2A" w14:textId="779708AF" w:rsidR="00831F19" w:rsidRPr="00970AD2" w:rsidRDefault="00520F44" w:rsidP="001B0B03">
      <w:pPr>
        <w:pStyle w:val="BodytextEEIS"/>
      </w:pPr>
      <w:r w:rsidRPr="00970AD2">
        <w:t xml:space="preserve">The total </w:t>
      </w:r>
      <w:r w:rsidR="008E78DC">
        <w:t>energy savings</w:t>
      </w:r>
      <w:r w:rsidRPr="00970AD2">
        <w:t xml:space="preserve"> factor in </w:t>
      </w:r>
      <w:r w:rsidR="00880CB1">
        <w:t>Megawatt-hours</w:t>
      </w:r>
      <w:r w:rsidR="00BA31EE">
        <w:t xml:space="preserve"> (MWh)</w:t>
      </w:r>
      <w:r w:rsidRPr="00970AD2">
        <w:t xml:space="preserve"> saved in a premises must be determined by using the equation prescribed in this section.</w:t>
      </w:r>
    </w:p>
    <w:p w14:paraId="216BD403" w14:textId="78352658" w:rsidR="00831F19" w:rsidRPr="001B0B03" w:rsidRDefault="00520F44" w:rsidP="00D633D3">
      <w:pPr>
        <w:pStyle w:val="Subdetailsfirstindent"/>
        <w:numPr>
          <w:ilvl w:val="0"/>
          <w:numId w:val="144"/>
        </w:numPr>
        <w:rPr>
          <w:b/>
          <w:u w:val="single"/>
        </w:rPr>
      </w:pPr>
      <w:r w:rsidRPr="00970AD2">
        <w:t xml:space="preserve">The </w:t>
      </w:r>
      <w:r w:rsidR="008E78DC">
        <w:t>energy savings</w:t>
      </w:r>
      <w:r w:rsidRPr="00970AD2">
        <w:t xml:space="preserve"> factor for the activity is calculated by</w:t>
      </w:r>
      <w:r w:rsidRPr="001B0B03">
        <w:rPr>
          <w:bCs/>
        </w:rPr>
        <w:t>—</w:t>
      </w:r>
    </w:p>
    <w:p w14:paraId="40B14551" w14:textId="6B469FBA" w:rsidR="001453C7" w:rsidRDefault="008E78DC" w:rsidP="001453C7">
      <w:pPr>
        <w:pStyle w:val="Formula"/>
      </w:pPr>
      <w:r>
        <w:t>Energy savings</w:t>
      </w:r>
      <w:r w:rsidR="001453C7">
        <w:t xml:space="preserve"> factor (</w:t>
      </w:r>
      <w:r w:rsidR="00633E80">
        <w:t>MWh</w:t>
      </w:r>
      <w:r w:rsidR="001453C7">
        <w:t>) = (1160.8 – PAEC) x 0.00</w:t>
      </w:r>
      <w:r w:rsidR="008F007C">
        <w:t>7</w:t>
      </w:r>
    </w:p>
    <w:p w14:paraId="6BBD002D" w14:textId="77777777" w:rsidR="006C1EF8" w:rsidRDefault="00520F44" w:rsidP="006C1EF8">
      <w:pPr>
        <w:pStyle w:val="BodytextEEIS"/>
      </w:pPr>
      <w:r w:rsidRPr="00970AD2">
        <w:t>Where</w:t>
      </w:r>
      <w:r w:rsidR="006C17DA">
        <w:t>—</w:t>
      </w:r>
    </w:p>
    <w:p w14:paraId="4CBCB0B0" w14:textId="77777777" w:rsidR="00520F44" w:rsidRPr="006C1EF8" w:rsidRDefault="00520F44" w:rsidP="00D633D3">
      <w:pPr>
        <w:pStyle w:val="Subdetailssecondindent"/>
        <w:numPr>
          <w:ilvl w:val="0"/>
          <w:numId w:val="145"/>
        </w:numPr>
        <w:rPr>
          <w:i/>
        </w:rPr>
      </w:pPr>
      <w:r w:rsidRPr="001B0B03">
        <w:rPr>
          <w:i/>
          <w:iCs/>
        </w:rPr>
        <w:t>PAEC</w:t>
      </w:r>
      <w:r w:rsidRPr="00970AD2">
        <w:t xml:space="preserve"> is the projected annual energy consumption in kWh/y listed on the energy rating label.</w:t>
      </w:r>
      <w:r w:rsidRPr="006C1EF8">
        <w:rPr>
          <w:i/>
        </w:rPr>
        <w:t xml:space="preserve"> </w:t>
      </w:r>
    </w:p>
    <w:p w14:paraId="7DD330F7" w14:textId="77777777" w:rsidR="001365CE" w:rsidRPr="00970AD2" w:rsidRDefault="001C50FA" w:rsidP="006C1EF8">
      <w:pPr>
        <w:pStyle w:val="Sectionheading2"/>
      </w:pPr>
      <w:bookmarkStart w:id="366" w:name="_Toc466535750"/>
      <w:r>
        <w:br w:type="page"/>
      </w:r>
      <w:bookmarkStart w:id="367" w:name="_Toc27560571"/>
      <w:r w:rsidR="001365CE" w:rsidRPr="00970AD2">
        <w:lastRenderedPageBreak/>
        <w:t xml:space="preserve">High </w:t>
      </w:r>
      <w:r w:rsidR="006C17DA">
        <w:t>e</w:t>
      </w:r>
      <w:r w:rsidR="001365CE" w:rsidRPr="00970AD2">
        <w:t xml:space="preserve">fficiency </w:t>
      </w:r>
      <w:r w:rsidR="006C17DA">
        <w:t>r</w:t>
      </w:r>
      <w:r w:rsidR="001365CE" w:rsidRPr="00970AD2">
        <w:t xml:space="preserve">efrigerated </w:t>
      </w:r>
      <w:r w:rsidR="006C17DA">
        <w:t>d</w:t>
      </w:r>
      <w:r w:rsidR="001365CE" w:rsidRPr="00970AD2">
        <w:t xml:space="preserve">isplay </w:t>
      </w:r>
      <w:r w:rsidR="006C17DA">
        <w:t>c</w:t>
      </w:r>
      <w:r w:rsidR="001365CE" w:rsidRPr="00970AD2">
        <w:t xml:space="preserve">abinet </w:t>
      </w:r>
      <w:r w:rsidR="006C17DA">
        <w:t>a</w:t>
      </w:r>
      <w:r w:rsidR="001365CE" w:rsidRPr="00970AD2">
        <w:t>ctivities</w:t>
      </w:r>
      <w:bookmarkEnd w:id="366"/>
      <w:bookmarkEnd w:id="367"/>
    </w:p>
    <w:p w14:paraId="2A0A7C8D" w14:textId="77777777" w:rsidR="00831F19" w:rsidRPr="00970AD2" w:rsidRDefault="001365CE" w:rsidP="006C1EF8">
      <w:pPr>
        <w:pStyle w:val="Sectionheading3"/>
      </w:pPr>
      <w:r w:rsidRPr="00970AD2">
        <w:t>Activity description</w:t>
      </w:r>
    </w:p>
    <w:p w14:paraId="6F58FAC5" w14:textId="77777777" w:rsidR="001365CE" w:rsidRPr="00970AD2" w:rsidRDefault="007357F2" w:rsidP="00E032C6">
      <w:pPr>
        <w:pStyle w:val="BodytextEEIS"/>
      </w:pPr>
      <w:r w:rsidRPr="00970AD2">
        <w:rPr>
          <w:b/>
        </w:rPr>
        <w:t>Activity ID 5.7</w:t>
      </w:r>
      <w:r w:rsidRPr="00970AD2">
        <w:t xml:space="preserve"> – </w:t>
      </w:r>
      <w:r w:rsidR="001365CE" w:rsidRPr="00970AD2">
        <w:t>Installing a refrigerated display cabinet that is rated as 'high efficiency' within the meaning of the AS 1731 series of standards.</w:t>
      </w:r>
    </w:p>
    <w:p w14:paraId="439957B2" w14:textId="77777777" w:rsidR="00831F19" w:rsidRPr="00970AD2" w:rsidRDefault="001365CE" w:rsidP="00E032C6">
      <w:pPr>
        <w:pStyle w:val="Sectionheading3"/>
      </w:pPr>
      <w:r w:rsidRPr="00970AD2">
        <w:t>Minimum activity performance specifications</w:t>
      </w:r>
    </w:p>
    <w:p w14:paraId="6CC61284" w14:textId="77777777" w:rsidR="001365CE" w:rsidRPr="00970AD2" w:rsidRDefault="001365CE" w:rsidP="00E032C6">
      <w:pPr>
        <w:pStyle w:val="BodytextEEIS"/>
      </w:pPr>
      <w:r w:rsidRPr="00970AD2">
        <w:t>To be an eligible activity—</w:t>
      </w:r>
    </w:p>
    <w:p w14:paraId="05C13D67" w14:textId="77777777" w:rsidR="00831F19" w:rsidRPr="00970AD2" w:rsidRDefault="001365CE" w:rsidP="00D633D3">
      <w:pPr>
        <w:pStyle w:val="Subdetailsfirstindent"/>
        <w:numPr>
          <w:ilvl w:val="0"/>
          <w:numId w:val="146"/>
        </w:numPr>
      </w:pPr>
      <w:r w:rsidRPr="00970AD2">
        <w:t xml:space="preserve">the product or products must be for installation and use in a business premises within the ACT; </w:t>
      </w:r>
    </w:p>
    <w:p w14:paraId="615D5E2D" w14:textId="77777777" w:rsidR="00831F19" w:rsidRPr="00970AD2" w:rsidRDefault="006C17DA" w:rsidP="00D633D3">
      <w:pPr>
        <w:pStyle w:val="Subdetailsfirstindent"/>
        <w:numPr>
          <w:ilvl w:val="0"/>
          <w:numId w:val="146"/>
        </w:numPr>
      </w:pPr>
      <w:r>
        <w:t xml:space="preserve">the activity must </w:t>
      </w:r>
      <w:r w:rsidR="001365CE" w:rsidRPr="00970AD2">
        <w:t xml:space="preserve">be undertaken using a product or products meeting the installed product requirements in section </w:t>
      </w:r>
      <w:r>
        <w:t>5.7.</w:t>
      </w:r>
      <w:r w:rsidR="001365CE" w:rsidRPr="00970AD2">
        <w:t>3; and</w:t>
      </w:r>
    </w:p>
    <w:p w14:paraId="55F2C24F" w14:textId="77777777" w:rsidR="00831F19" w:rsidRPr="00970AD2" w:rsidRDefault="008970B3" w:rsidP="00D633D3">
      <w:pPr>
        <w:pStyle w:val="Subdetailsfirstindent"/>
        <w:numPr>
          <w:ilvl w:val="0"/>
          <w:numId w:val="146"/>
        </w:numPr>
      </w:pPr>
      <w:r w:rsidRPr="00970AD2">
        <w:t xml:space="preserve">the </w:t>
      </w:r>
      <w:r w:rsidR="001365CE" w:rsidRPr="00970AD2">
        <w:t>activity must be—</w:t>
      </w:r>
    </w:p>
    <w:p w14:paraId="5D1521FF" w14:textId="77777777" w:rsidR="00831F19" w:rsidRPr="00970AD2" w:rsidRDefault="001365CE" w:rsidP="00D633D3">
      <w:pPr>
        <w:pStyle w:val="Subdetailssecondindent"/>
        <w:numPr>
          <w:ilvl w:val="0"/>
          <w:numId w:val="147"/>
        </w:numPr>
      </w:pPr>
      <w:r w:rsidRPr="00970AD2">
        <w:t xml:space="preserve">conducted in accordance with any relevant code or code of practice, including health, safety, environmental or waste disposal requirements; and </w:t>
      </w:r>
    </w:p>
    <w:p w14:paraId="0EC6108D" w14:textId="77777777" w:rsidR="00831F19" w:rsidRPr="00970AD2" w:rsidRDefault="001365CE" w:rsidP="00D633D3">
      <w:pPr>
        <w:pStyle w:val="Subdetailssecondindent"/>
        <w:numPr>
          <w:ilvl w:val="0"/>
          <w:numId w:val="147"/>
        </w:numPr>
      </w:pPr>
      <w:r w:rsidRPr="00970AD2">
        <w:t>recorded in accordance with any relevant code of practice for the activity.</w:t>
      </w:r>
    </w:p>
    <w:p w14:paraId="5F75ADB0" w14:textId="77777777" w:rsidR="00831F19" w:rsidRPr="00970AD2" w:rsidRDefault="001365CE" w:rsidP="00E032C6">
      <w:pPr>
        <w:pStyle w:val="Sectionheading3"/>
      </w:pPr>
      <w:r w:rsidRPr="00970AD2">
        <w:t>Installed product requirements</w:t>
      </w:r>
    </w:p>
    <w:p w14:paraId="4095292E" w14:textId="77777777" w:rsidR="00831F19" w:rsidRPr="00970AD2" w:rsidRDefault="001365CE" w:rsidP="00D633D3">
      <w:pPr>
        <w:pStyle w:val="Subdetailsfirstindent"/>
        <w:numPr>
          <w:ilvl w:val="0"/>
          <w:numId w:val="148"/>
        </w:numPr>
      </w:pPr>
      <w:r w:rsidRPr="00970AD2">
        <w:t>The product or products must be</w:t>
      </w:r>
      <w:r w:rsidR="008970B3" w:rsidRPr="00970AD2">
        <w:t>—</w:t>
      </w:r>
    </w:p>
    <w:p w14:paraId="3559A74C" w14:textId="77777777" w:rsidR="00831F19" w:rsidRPr="00970AD2" w:rsidRDefault="001365CE" w:rsidP="00D633D3">
      <w:pPr>
        <w:pStyle w:val="Subdetailssecondindent"/>
        <w:numPr>
          <w:ilvl w:val="0"/>
          <w:numId w:val="149"/>
        </w:numPr>
      </w:pPr>
      <w:r w:rsidRPr="00970AD2">
        <w:t>rated as 'high efficiency' within the meaning of the AS 1731 series of standards when tested in accordance with the AS 1731 series of standards as applicable</w:t>
      </w:r>
      <w:r w:rsidR="00EA4A01" w:rsidRPr="00970AD2">
        <w:t>; and</w:t>
      </w:r>
    </w:p>
    <w:p w14:paraId="4B73E36E" w14:textId="77777777" w:rsidR="00831F19" w:rsidRPr="00970AD2" w:rsidRDefault="001365CE" w:rsidP="00D633D3">
      <w:pPr>
        <w:pStyle w:val="Subdetailssecondindent"/>
        <w:numPr>
          <w:ilvl w:val="0"/>
          <w:numId w:val="149"/>
        </w:numPr>
      </w:pPr>
      <w:r w:rsidRPr="00970AD2">
        <w:t>listed in the register of products for the activity</w:t>
      </w:r>
      <w:r w:rsidR="00EA4A01" w:rsidRPr="00970AD2">
        <w:t>.</w:t>
      </w:r>
      <w:r w:rsidRPr="00970AD2">
        <w:t xml:space="preserve"> </w:t>
      </w:r>
    </w:p>
    <w:p w14:paraId="37E8BE1D" w14:textId="77777777" w:rsidR="00831F19" w:rsidRPr="00970AD2" w:rsidRDefault="0020750B" w:rsidP="00E032C6">
      <w:pPr>
        <w:pStyle w:val="Subdetailsfirstindent"/>
      </w:pPr>
      <w:r w:rsidRPr="00970AD2">
        <w:t>The product or products must not—</w:t>
      </w:r>
    </w:p>
    <w:p w14:paraId="76D23F7D" w14:textId="77777777" w:rsidR="00831F19" w:rsidRPr="00970AD2" w:rsidRDefault="0020750B" w:rsidP="00D633D3">
      <w:pPr>
        <w:pStyle w:val="Subdetailssecondindent"/>
        <w:numPr>
          <w:ilvl w:val="0"/>
          <w:numId w:val="150"/>
        </w:numPr>
      </w:pPr>
      <w:r w:rsidRPr="00970AD2">
        <w:t>include retrofitting of existing refrigeration equipment, unless the components are compliant with the equipment manufacturer</w:t>
      </w:r>
      <w:r w:rsidR="00ED68FB" w:rsidRPr="00970AD2">
        <w:t>’s</w:t>
      </w:r>
      <w:r w:rsidRPr="00970AD2">
        <w:t xml:space="preserve"> specification.</w:t>
      </w:r>
    </w:p>
    <w:p w14:paraId="7ADAA042" w14:textId="77777777" w:rsidR="00831F19" w:rsidRPr="00970AD2" w:rsidRDefault="001365CE" w:rsidP="00E032C6">
      <w:pPr>
        <w:pStyle w:val="Sectionheading3"/>
        <w:rPr>
          <w:u w:val="single"/>
        </w:rPr>
      </w:pPr>
      <w:r w:rsidRPr="00970AD2">
        <w:t>Time the activity is taken to be completed</w:t>
      </w:r>
    </w:p>
    <w:p w14:paraId="3042FBF0" w14:textId="77777777" w:rsidR="001365CE" w:rsidRDefault="001365CE" w:rsidP="00E032C6">
      <w:pPr>
        <w:pStyle w:val="BodytextEEIS"/>
      </w:pPr>
      <w:r w:rsidRPr="00970AD2">
        <w:t xml:space="preserve">The activity is taken to be completed on the day all applicable prescribed activity requirements are completed. </w:t>
      </w:r>
    </w:p>
    <w:p w14:paraId="14C7F8B0" w14:textId="0F6AA579" w:rsidR="00831F19" w:rsidRPr="00970AD2" w:rsidRDefault="001365CE" w:rsidP="00E032C6">
      <w:pPr>
        <w:pStyle w:val="Sectionheading3"/>
      </w:pPr>
      <w:r w:rsidRPr="00970AD2">
        <w:t xml:space="preserve">Calculation of </w:t>
      </w:r>
      <w:r w:rsidR="008E78DC">
        <w:t>energy savings</w:t>
      </w:r>
      <w:r w:rsidRPr="00970AD2">
        <w:t xml:space="preserve"> factor</w:t>
      </w:r>
    </w:p>
    <w:p w14:paraId="569C2AE3" w14:textId="2FF37FF1" w:rsidR="001365CE" w:rsidRPr="00970AD2" w:rsidRDefault="001365CE" w:rsidP="00D633D3">
      <w:pPr>
        <w:pStyle w:val="Subdetailsfirstindent"/>
        <w:numPr>
          <w:ilvl w:val="0"/>
          <w:numId w:val="220"/>
        </w:numPr>
      </w:pPr>
      <w:r w:rsidRPr="00970AD2">
        <w:t xml:space="preserve">The total </w:t>
      </w:r>
      <w:r w:rsidR="008E78DC">
        <w:t>energy savings</w:t>
      </w:r>
      <w:r w:rsidRPr="00970AD2">
        <w:t xml:space="preserve"> factor in </w:t>
      </w:r>
      <w:r w:rsidR="00880CB1">
        <w:t>Megawatt-hours</w:t>
      </w:r>
      <w:r w:rsidR="00DE665D">
        <w:t xml:space="preserve"> (MWh) </w:t>
      </w:r>
      <w:r w:rsidRPr="00970AD2">
        <w:t xml:space="preserve"> saved for the activity is calculated as</w:t>
      </w:r>
      <w:r w:rsidRPr="006741CB">
        <w:rPr>
          <w:bCs/>
        </w:rPr>
        <w:t>—</w:t>
      </w:r>
      <w:r w:rsidRPr="00970AD2">
        <w:t xml:space="preserve">  </w:t>
      </w:r>
    </w:p>
    <w:p w14:paraId="40263416" w14:textId="0CE42152" w:rsidR="001453C7" w:rsidRDefault="008E78DC" w:rsidP="001453C7">
      <w:pPr>
        <w:pStyle w:val="Formula"/>
      </w:pPr>
      <w:r>
        <w:t>Energy savings</w:t>
      </w:r>
      <w:r w:rsidR="001453C7">
        <w:t xml:space="preserve"> factor (</w:t>
      </w:r>
      <w:r w:rsidR="00DE665D">
        <w:t>MWh</w:t>
      </w:r>
      <w:r w:rsidR="001453C7">
        <w:t xml:space="preserve">) = </w:t>
      </w:r>
      <w:r>
        <w:t>ESF</w:t>
      </w:r>
      <w:r w:rsidR="001453C7">
        <w:t xml:space="preserve"> x TDA</w:t>
      </w:r>
    </w:p>
    <w:p w14:paraId="14A8FFDE" w14:textId="77777777" w:rsidR="001365CE" w:rsidRPr="00970AD2" w:rsidRDefault="001365CE" w:rsidP="00E032C6">
      <w:pPr>
        <w:pStyle w:val="BodytextEEIS"/>
        <w:rPr>
          <w:bCs/>
        </w:rPr>
      </w:pPr>
      <w:r w:rsidRPr="00970AD2">
        <w:t>Where</w:t>
      </w:r>
      <w:r w:rsidRPr="00970AD2">
        <w:rPr>
          <w:bCs/>
        </w:rPr>
        <w:t>—</w:t>
      </w:r>
    </w:p>
    <w:p w14:paraId="326CB341" w14:textId="56AEEC48" w:rsidR="00831F19" w:rsidRPr="00970AD2" w:rsidRDefault="008E78DC" w:rsidP="00D633D3">
      <w:pPr>
        <w:pStyle w:val="Subdetailssecondindent"/>
        <w:numPr>
          <w:ilvl w:val="0"/>
          <w:numId w:val="151"/>
        </w:numPr>
      </w:pPr>
      <w:r>
        <w:rPr>
          <w:i/>
          <w:iCs/>
        </w:rPr>
        <w:t>ESF</w:t>
      </w:r>
      <w:r w:rsidR="001365CE" w:rsidRPr="00970AD2">
        <w:t xml:space="preserve"> is the relevant activity </w:t>
      </w:r>
      <w:r>
        <w:t>energy savings</w:t>
      </w:r>
      <w:r w:rsidR="001365CE" w:rsidRPr="00970AD2">
        <w:t xml:space="preserve"> value as prescribed in </w:t>
      </w:r>
      <w:r w:rsidR="006C17DA">
        <w:t>t</w:t>
      </w:r>
      <w:r w:rsidR="001365CE" w:rsidRPr="00970AD2">
        <w:t>able 3</w:t>
      </w:r>
      <w:r w:rsidR="006C17DA">
        <w:t>5</w:t>
      </w:r>
      <w:r w:rsidR="001365CE" w:rsidRPr="00970AD2">
        <w:t xml:space="preserve"> for the particular refrigerated display cabinet type as defined in the AS 1731 series of standards; and </w:t>
      </w:r>
    </w:p>
    <w:p w14:paraId="0F2582A8" w14:textId="77777777" w:rsidR="00831F19" w:rsidRPr="00970AD2" w:rsidRDefault="001365CE" w:rsidP="00D633D3">
      <w:pPr>
        <w:pStyle w:val="Subdetailssecondindent"/>
        <w:numPr>
          <w:ilvl w:val="0"/>
          <w:numId w:val="151"/>
        </w:numPr>
      </w:pPr>
      <w:r w:rsidRPr="001B0B03">
        <w:rPr>
          <w:i/>
          <w:iCs/>
        </w:rPr>
        <w:t>TDA</w:t>
      </w:r>
      <w:r w:rsidRPr="00970AD2">
        <w:t xml:space="preserve"> is the Total Display Area of the Refrigerated Display Cabinet as defined in the AS 1731 series of standards.</w:t>
      </w:r>
    </w:p>
    <w:p w14:paraId="2D1229CB" w14:textId="0FAB7A60" w:rsidR="001365CE" w:rsidRPr="00970AD2" w:rsidRDefault="001365CE" w:rsidP="006C17DA">
      <w:pPr>
        <w:pStyle w:val="Caption"/>
      </w:pPr>
      <w:bookmarkStart w:id="368" w:name="_Toc21868140"/>
      <w:bookmarkStart w:id="369" w:name="_Toc21868272"/>
      <w:bookmarkStart w:id="370" w:name="_Toc37945719"/>
      <w:r w:rsidRPr="00970AD2">
        <w:lastRenderedPageBreak/>
        <w:t xml:space="preserve">Table </w:t>
      </w:r>
      <w:r w:rsidR="004A0156">
        <w:rPr>
          <w:noProof/>
        </w:rPr>
        <w:fldChar w:fldCharType="begin"/>
      </w:r>
      <w:r w:rsidR="004A0156">
        <w:rPr>
          <w:noProof/>
        </w:rPr>
        <w:instrText xml:space="preserve"> SEQ Table \* ARABIC </w:instrText>
      </w:r>
      <w:r w:rsidR="004A0156">
        <w:rPr>
          <w:noProof/>
        </w:rPr>
        <w:fldChar w:fldCharType="separate"/>
      </w:r>
      <w:r w:rsidR="00880CB1">
        <w:rPr>
          <w:noProof/>
        </w:rPr>
        <w:t>35</w:t>
      </w:r>
      <w:r w:rsidR="004A0156">
        <w:rPr>
          <w:noProof/>
        </w:rPr>
        <w:fldChar w:fldCharType="end"/>
      </w:r>
      <w:r w:rsidRPr="00970AD2">
        <w:t xml:space="preserve"> </w:t>
      </w:r>
      <w:r w:rsidR="009E6E7F">
        <w:tab/>
      </w:r>
      <w:r w:rsidR="001453C7">
        <w:t xml:space="preserve">Activity </w:t>
      </w:r>
      <w:r w:rsidR="00D85CB2">
        <w:t xml:space="preserve">ID </w:t>
      </w:r>
      <w:r w:rsidR="001453C7">
        <w:t>5.7</w:t>
      </w:r>
      <w:r w:rsidRPr="00970AD2">
        <w:t xml:space="preserve"> </w:t>
      </w:r>
      <w:r w:rsidR="008E78DC">
        <w:t>energy savings</w:t>
      </w:r>
      <w:r w:rsidRPr="00970AD2">
        <w:t xml:space="preserve"> values by type of refrigerated display cabinets</w:t>
      </w:r>
      <w:bookmarkEnd w:id="368"/>
      <w:bookmarkEnd w:id="369"/>
      <w:bookmarkEnd w:id="370"/>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786"/>
        <w:gridCol w:w="3796"/>
      </w:tblGrid>
      <w:tr w:rsidR="009B51F8" w:rsidRPr="00C121AE" w14:paraId="3E31E01B" w14:textId="77777777" w:rsidTr="00055888">
        <w:trPr>
          <w:cantSplit/>
          <w:trHeight w:val="329"/>
          <w:tblHeader/>
        </w:trPr>
        <w:tc>
          <w:tcPr>
            <w:tcW w:w="2552" w:type="dxa"/>
          </w:tcPr>
          <w:p w14:paraId="2CDA2484" w14:textId="77777777" w:rsidR="009B51F8" w:rsidRPr="00970AD2" w:rsidRDefault="009B51F8" w:rsidP="00E032C6">
            <w:pPr>
              <w:pStyle w:val="Tableheader"/>
            </w:pPr>
            <w:r w:rsidRPr="00970AD2">
              <w:t>Activity ID</w:t>
            </w:r>
          </w:p>
        </w:tc>
        <w:tc>
          <w:tcPr>
            <w:tcW w:w="2786" w:type="dxa"/>
            <w:noWrap/>
            <w:hideMark/>
          </w:tcPr>
          <w:p w14:paraId="47B7B8A4" w14:textId="77777777" w:rsidR="009B51F8" w:rsidRPr="00970AD2" w:rsidRDefault="009B51F8" w:rsidP="00E032C6">
            <w:pPr>
              <w:pStyle w:val="Tableheader"/>
            </w:pPr>
            <w:r w:rsidRPr="00970AD2">
              <w:t xml:space="preserve">Refrigerated display cabinet type </w:t>
            </w:r>
            <w:r w:rsidRPr="00970AD2">
              <w:br/>
              <w:t>and sub-class</w:t>
            </w:r>
          </w:p>
        </w:tc>
        <w:tc>
          <w:tcPr>
            <w:tcW w:w="3796" w:type="dxa"/>
            <w:noWrap/>
            <w:hideMark/>
          </w:tcPr>
          <w:p w14:paraId="6E333980" w14:textId="223444A2" w:rsidR="009B51F8" w:rsidRPr="00970AD2" w:rsidRDefault="009B51F8" w:rsidP="00E032C6">
            <w:pPr>
              <w:pStyle w:val="Tableheader"/>
            </w:pPr>
            <w:r w:rsidRPr="00970AD2">
              <w:t xml:space="preserve">Activity </w:t>
            </w:r>
            <w:r w:rsidR="008E78DC">
              <w:t>Energy savings</w:t>
            </w:r>
            <w:r w:rsidRPr="00970AD2">
              <w:t xml:space="preserve"> Value (</w:t>
            </w:r>
            <w:r w:rsidR="008E78DC">
              <w:t>MWh</w:t>
            </w:r>
            <w:r w:rsidRPr="00970AD2">
              <w:t>)</w:t>
            </w:r>
          </w:p>
        </w:tc>
      </w:tr>
      <w:tr w:rsidR="00DE665D" w:rsidRPr="00C121AE" w14:paraId="6F508F24" w14:textId="77777777" w:rsidTr="0064760C">
        <w:trPr>
          <w:cantSplit/>
          <w:trHeight w:val="329"/>
        </w:trPr>
        <w:tc>
          <w:tcPr>
            <w:tcW w:w="2552" w:type="dxa"/>
          </w:tcPr>
          <w:p w14:paraId="1A6F4859" w14:textId="77777777" w:rsidR="00DE665D" w:rsidRPr="00970AD2" w:rsidRDefault="00DE665D" w:rsidP="00DE665D">
            <w:pPr>
              <w:pStyle w:val="Tabletext"/>
            </w:pPr>
            <w:r w:rsidRPr="00970AD2">
              <w:t xml:space="preserve">5.7(RS1 </w:t>
            </w:r>
            <w:r>
              <w:t>–</w:t>
            </w:r>
            <w:r w:rsidRPr="00970AD2">
              <w:t xml:space="preserve"> Unlit shelves)</w:t>
            </w:r>
          </w:p>
        </w:tc>
        <w:tc>
          <w:tcPr>
            <w:tcW w:w="2786" w:type="dxa"/>
            <w:noWrap/>
            <w:hideMark/>
          </w:tcPr>
          <w:p w14:paraId="3A373E52" w14:textId="77777777" w:rsidR="00DE665D" w:rsidRPr="00970AD2" w:rsidRDefault="00DE665D" w:rsidP="00DE665D">
            <w:pPr>
              <w:pStyle w:val="Tabletext"/>
            </w:pPr>
            <w:r w:rsidRPr="00970AD2">
              <w:t xml:space="preserve">RS1 </w:t>
            </w:r>
            <w:r>
              <w:t>–</w:t>
            </w:r>
            <w:r w:rsidRPr="00970AD2">
              <w:t xml:space="preserve"> Unlit shelves</w:t>
            </w:r>
          </w:p>
        </w:tc>
        <w:tc>
          <w:tcPr>
            <w:tcW w:w="3796" w:type="dxa"/>
            <w:noWrap/>
            <w:vAlign w:val="bottom"/>
            <w:hideMark/>
          </w:tcPr>
          <w:p w14:paraId="745EAE45" w14:textId="4A39C388" w:rsidR="00DE665D" w:rsidRPr="00970AD2" w:rsidRDefault="00DE665D" w:rsidP="00DE665D">
            <w:pPr>
              <w:pStyle w:val="Tabletext"/>
              <w:jc w:val="center"/>
            </w:pPr>
            <w:r>
              <w:rPr>
                <w:rFonts w:ascii="Calibri" w:hAnsi="Calibri" w:cs="Calibri"/>
                <w:color w:val="000000"/>
                <w:sz w:val="22"/>
                <w:szCs w:val="22"/>
              </w:rPr>
              <w:t>9.764</w:t>
            </w:r>
          </w:p>
        </w:tc>
      </w:tr>
      <w:tr w:rsidR="00DE665D" w:rsidRPr="00C121AE" w14:paraId="4109E49C" w14:textId="77777777" w:rsidTr="0064760C">
        <w:trPr>
          <w:cantSplit/>
          <w:trHeight w:val="329"/>
        </w:trPr>
        <w:tc>
          <w:tcPr>
            <w:tcW w:w="2552" w:type="dxa"/>
          </w:tcPr>
          <w:p w14:paraId="00903E82" w14:textId="77777777" w:rsidR="00DE665D" w:rsidRPr="00970AD2" w:rsidRDefault="00DE665D" w:rsidP="00DE665D">
            <w:pPr>
              <w:pStyle w:val="Tabletext"/>
            </w:pPr>
            <w:r w:rsidRPr="00970AD2">
              <w:t xml:space="preserve">5.7(RS1 </w:t>
            </w:r>
            <w:r>
              <w:t>–</w:t>
            </w:r>
            <w:r w:rsidRPr="00970AD2">
              <w:t xml:space="preserve"> Lit shelves)</w:t>
            </w:r>
          </w:p>
        </w:tc>
        <w:tc>
          <w:tcPr>
            <w:tcW w:w="2786" w:type="dxa"/>
            <w:noWrap/>
            <w:hideMark/>
          </w:tcPr>
          <w:p w14:paraId="38BAC064" w14:textId="77777777" w:rsidR="00DE665D" w:rsidRPr="00970AD2" w:rsidRDefault="00DE665D" w:rsidP="00DE665D">
            <w:pPr>
              <w:pStyle w:val="Tabletext"/>
            </w:pPr>
            <w:r w:rsidRPr="00970AD2">
              <w:t xml:space="preserve">RS1 </w:t>
            </w:r>
            <w:r>
              <w:t>–</w:t>
            </w:r>
            <w:r w:rsidRPr="00970AD2">
              <w:t xml:space="preserve"> Lit shelves</w:t>
            </w:r>
          </w:p>
        </w:tc>
        <w:tc>
          <w:tcPr>
            <w:tcW w:w="3796" w:type="dxa"/>
            <w:noWrap/>
            <w:vAlign w:val="bottom"/>
            <w:hideMark/>
          </w:tcPr>
          <w:p w14:paraId="6F739AE3" w14:textId="250F1997" w:rsidR="00DE665D" w:rsidRPr="00970AD2" w:rsidRDefault="00DE665D" w:rsidP="00DE665D">
            <w:pPr>
              <w:pStyle w:val="Tabletext"/>
              <w:jc w:val="center"/>
            </w:pPr>
            <w:r>
              <w:rPr>
                <w:rFonts w:ascii="Calibri" w:hAnsi="Calibri" w:cs="Calibri"/>
                <w:color w:val="000000"/>
                <w:sz w:val="22"/>
                <w:szCs w:val="22"/>
              </w:rPr>
              <w:t>16.586</w:t>
            </w:r>
          </w:p>
        </w:tc>
      </w:tr>
      <w:tr w:rsidR="00DE665D" w:rsidRPr="00C121AE" w14:paraId="37C35DC8" w14:textId="77777777" w:rsidTr="0064760C">
        <w:trPr>
          <w:cantSplit/>
          <w:trHeight w:val="329"/>
        </w:trPr>
        <w:tc>
          <w:tcPr>
            <w:tcW w:w="2552" w:type="dxa"/>
          </w:tcPr>
          <w:p w14:paraId="33940F1D" w14:textId="77777777" w:rsidR="00DE665D" w:rsidRPr="00970AD2" w:rsidRDefault="00DE665D" w:rsidP="00DE665D">
            <w:pPr>
              <w:pStyle w:val="Tabletext"/>
            </w:pPr>
            <w:r w:rsidRPr="00970AD2">
              <w:t xml:space="preserve">5.7(RS2 </w:t>
            </w:r>
            <w:r>
              <w:t>–</w:t>
            </w:r>
            <w:r w:rsidRPr="00970AD2">
              <w:t xml:space="preserve"> Unlit shelves)</w:t>
            </w:r>
          </w:p>
        </w:tc>
        <w:tc>
          <w:tcPr>
            <w:tcW w:w="2786" w:type="dxa"/>
            <w:noWrap/>
          </w:tcPr>
          <w:p w14:paraId="5214883A" w14:textId="77777777" w:rsidR="00DE665D" w:rsidRPr="00970AD2" w:rsidRDefault="00DE665D" w:rsidP="00DE665D">
            <w:pPr>
              <w:pStyle w:val="Tabletext"/>
            </w:pPr>
            <w:r w:rsidRPr="00970AD2">
              <w:t xml:space="preserve">RS2 </w:t>
            </w:r>
            <w:r>
              <w:t>–</w:t>
            </w:r>
            <w:r w:rsidRPr="00970AD2">
              <w:t xml:space="preserve"> Unlit shelves</w:t>
            </w:r>
          </w:p>
        </w:tc>
        <w:tc>
          <w:tcPr>
            <w:tcW w:w="3796" w:type="dxa"/>
            <w:noWrap/>
            <w:vAlign w:val="bottom"/>
          </w:tcPr>
          <w:p w14:paraId="78BAF7DA" w14:textId="4F557FE2" w:rsidR="00DE665D" w:rsidRPr="00970AD2" w:rsidRDefault="00DE665D" w:rsidP="00DE665D">
            <w:pPr>
              <w:pStyle w:val="Tabletext"/>
              <w:jc w:val="center"/>
            </w:pPr>
            <w:r>
              <w:rPr>
                <w:rFonts w:ascii="Calibri" w:hAnsi="Calibri" w:cs="Calibri"/>
                <w:color w:val="000000"/>
                <w:sz w:val="22"/>
                <w:szCs w:val="22"/>
              </w:rPr>
              <w:t>9.905</w:t>
            </w:r>
          </w:p>
        </w:tc>
      </w:tr>
      <w:tr w:rsidR="00DE665D" w:rsidRPr="00C121AE" w14:paraId="5A8D3289" w14:textId="77777777" w:rsidTr="0064760C">
        <w:trPr>
          <w:cantSplit/>
          <w:trHeight w:val="329"/>
        </w:trPr>
        <w:tc>
          <w:tcPr>
            <w:tcW w:w="2552" w:type="dxa"/>
          </w:tcPr>
          <w:p w14:paraId="5CF19799" w14:textId="77777777" w:rsidR="00DE665D" w:rsidRPr="00970AD2" w:rsidRDefault="00DE665D" w:rsidP="00DE665D">
            <w:pPr>
              <w:pStyle w:val="Tabletext"/>
            </w:pPr>
            <w:r w:rsidRPr="00970AD2">
              <w:t xml:space="preserve">5.7(RS2 </w:t>
            </w:r>
            <w:r>
              <w:t>–</w:t>
            </w:r>
            <w:r w:rsidRPr="00970AD2">
              <w:t xml:space="preserve"> Lit shelves)</w:t>
            </w:r>
          </w:p>
        </w:tc>
        <w:tc>
          <w:tcPr>
            <w:tcW w:w="2786" w:type="dxa"/>
            <w:noWrap/>
          </w:tcPr>
          <w:p w14:paraId="3B51AF89" w14:textId="77777777" w:rsidR="00DE665D" w:rsidRPr="00970AD2" w:rsidRDefault="00DE665D" w:rsidP="00DE665D">
            <w:pPr>
              <w:pStyle w:val="Tabletext"/>
            </w:pPr>
            <w:r w:rsidRPr="00970AD2">
              <w:t xml:space="preserve">RS2 </w:t>
            </w:r>
            <w:r>
              <w:t>–</w:t>
            </w:r>
            <w:r w:rsidRPr="00970AD2">
              <w:t xml:space="preserve"> Lit shelves</w:t>
            </w:r>
          </w:p>
        </w:tc>
        <w:tc>
          <w:tcPr>
            <w:tcW w:w="3796" w:type="dxa"/>
            <w:noWrap/>
            <w:vAlign w:val="bottom"/>
          </w:tcPr>
          <w:p w14:paraId="47C7E446" w14:textId="1E17ECA0" w:rsidR="00DE665D" w:rsidRPr="00970AD2" w:rsidRDefault="00DE665D" w:rsidP="00DE665D">
            <w:pPr>
              <w:pStyle w:val="Tabletext"/>
              <w:jc w:val="center"/>
            </w:pPr>
            <w:r>
              <w:rPr>
                <w:rFonts w:ascii="Calibri" w:hAnsi="Calibri" w:cs="Calibri"/>
                <w:color w:val="000000"/>
                <w:sz w:val="22"/>
                <w:szCs w:val="22"/>
              </w:rPr>
              <w:t>13.222</w:t>
            </w:r>
          </w:p>
        </w:tc>
      </w:tr>
      <w:tr w:rsidR="00DE665D" w:rsidRPr="00C121AE" w14:paraId="6014BF90" w14:textId="77777777" w:rsidTr="0064760C">
        <w:trPr>
          <w:cantSplit/>
          <w:trHeight w:val="329"/>
        </w:trPr>
        <w:tc>
          <w:tcPr>
            <w:tcW w:w="2552" w:type="dxa"/>
          </w:tcPr>
          <w:p w14:paraId="75D89B31" w14:textId="77777777" w:rsidR="00DE665D" w:rsidRPr="00970AD2" w:rsidRDefault="00DE665D" w:rsidP="00DE665D">
            <w:pPr>
              <w:pStyle w:val="Tabletext"/>
            </w:pPr>
            <w:r w:rsidRPr="00970AD2">
              <w:t xml:space="preserve">5.7(RS3 </w:t>
            </w:r>
            <w:r>
              <w:t>–</w:t>
            </w:r>
            <w:r w:rsidRPr="00970AD2">
              <w:t xml:space="preserve"> Unlit shelves)</w:t>
            </w:r>
          </w:p>
        </w:tc>
        <w:tc>
          <w:tcPr>
            <w:tcW w:w="2786" w:type="dxa"/>
            <w:noWrap/>
          </w:tcPr>
          <w:p w14:paraId="11C69672" w14:textId="77777777" w:rsidR="00DE665D" w:rsidRPr="00970AD2" w:rsidRDefault="00DE665D" w:rsidP="00DE665D">
            <w:pPr>
              <w:pStyle w:val="Tabletext"/>
            </w:pPr>
            <w:r w:rsidRPr="00970AD2">
              <w:t xml:space="preserve">RS3 </w:t>
            </w:r>
            <w:r>
              <w:t>–</w:t>
            </w:r>
            <w:r w:rsidRPr="00970AD2">
              <w:t xml:space="preserve"> Unlit shelves</w:t>
            </w:r>
          </w:p>
        </w:tc>
        <w:tc>
          <w:tcPr>
            <w:tcW w:w="3796" w:type="dxa"/>
            <w:noWrap/>
            <w:vAlign w:val="bottom"/>
          </w:tcPr>
          <w:p w14:paraId="0A865FC5" w14:textId="4AEBFF4B" w:rsidR="00DE665D" w:rsidRPr="00970AD2" w:rsidRDefault="00DE665D" w:rsidP="00DE665D">
            <w:pPr>
              <w:pStyle w:val="Tabletext"/>
              <w:jc w:val="center"/>
            </w:pPr>
            <w:r>
              <w:rPr>
                <w:rFonts w:ascii="Calibri" w:hAnsi="Calibri" w:cs="Calibri"/>
                <w:color w:val="000000"/>
                <w:sz w:val="22"/>
                <w:szCs w:val="22"/>
              </w:rPr>
              <w:t>10.559</w:t>
            </w:r>
          </w:p>
        </w:tc>
      </w:tr>
      <w:tr w:rsidR="00DE665D" w:rsidRPr="00C121AE" w14:paraId="2F51CB06" w14:textId="77777777" w:rsidTr="0064760C">
        <w:trPr>
          <w:cantSplit/>
          <w:trHeight w:val="329"/>
        </w:trPr>
        <w:tc>
          <w:tcPr>
            <w:tcW w:w="2552" w:type="dxa"/>
          </w:tcPr>
          <w:p w14:paraId="1705DD98" w14:textId="77777777" w:rsidR="00DE665D" w:rsidRPr="00970AD2" w:rsidRDefault="00DE665D" w:rsidP="00DE665D">
            <w:pPr>
              <w:pStyle w:val="Tabletext"/>
            </w:pPr>
            <w:r w:rsidRPr="00970AD2">
              <w:t xml:space="preserve">5.7(RS3 </w:t>
            </w:r>
            <w:r>
              <w:t>–</w:t>
            </w:r>
            <w:r w:rsidRPr="00970AD2">
              <w:t xml:space="preserve"> Lit shelves)</w:t>
            </w:r>
          </w:p>
        </w:tc>
        <w:tc>
          <w:tcPr>
            <w:tcW w:w="2786" w:type="dxa"/>
            <w:noWrap/>
          </w:tcPr>
          <w:p w14:paraId="5712C15F" w14:textId="77777777" w:rsidR="00DE665D" w:rsidRPr="00970AD2" w:rsidRDefault="00DE665D" w:rsidP="00DE665D">
            <w:pPr>
              <w:pStyle w:val="Tabletext"/>
            </w:pPr>
            <w:r w:rsidRPr="00970AD2">
              <w:t xml:space="preserve">RS3 </w:t>
            </w:r>
            <w:r>
              <w:t>–</w:t>
            </w:r>
            <w:r w:rsidRPr="00970AD2">
              <w:t xml:space="preserve"> Lit shelves</w:t>
            </w:r>
          </w:p>
        </w:tc>
        <w:tc>
          <w:tcPr>
            <w:tcW w:w="3796" w:type="dxa"/>
            <w:noWrap/>
            <w:vAlign w:val="bottom"/>
          </w:tcPr>
          <w:p w14:paraId="05913959" w14:textId="5AADBA29" w:rsidR="00DE665D" w:rsidRPr="00970AD2" w:rsidRDefault="00DE665D" w:rsidP="00DE665D">
            <w:pPr>
              <w:pStyle w:val="Tabletext"/>
              <w:jc w:val="center"/>
            </w:pPr>
            <w:r>
              <w:rPr>
                <w:rFonts w:ascii="Calibri" w:hAnsi="Calibri" w:cs="Calibri"/>
                <w:color w:val="000000"/>
                <w:sz w:val="22"/>
                <w:szCs w:val="22"/>
              </w:rPr>
              <w:t>14.320</w:t>
            </w:r>
          </w:p>
        </w:tc>
      </w:tr>
      <w:tr w:rsidR="00DE665D" w:rsidRPr="00C121AE" w14:paraId="079F7FEB" w14:textId="77777777" w:rsidTr="0064760C">
        <w:trPr>
          <w:cantSplit/>
          <w:trHeight w:val="329"/>
        </w:trPr>
        <w:tc>
          <w:tcPr>
            <w:tcW w:w="2552" w:type="dxa"/>
          </w:tcPr>
          <w:p w14:paraId="6FE667CA" w14:textId="77777777" w:rsidR="00DE665D" w:rsidRPr="00970AD2" w:rsidRDefault="00DE665D" w:rsidP="00DE665D">
            <w:pPr>
              <w:pStyle w:val="Tabletext"/>
            </w:pPr>
            <w:r w:rsidRPr="00970AD2">
              <w:t xml:space="preserve">5.7(RS4 </w:t>
            </w:r>
            <w:r>
              <w:t>–</w:t>
            </w:r>
            <w:r w:rsidRPr="00970AD2">
              <w:t xml:space="preserve"> Glass door)</w:t>
            </w:r>
          </w:p>
        </w:tc>
        <w:tc>
          <w:tcPr>
            <w:tcW w:w="2786" w:type="dxa"/>
            <w:noWrap/>
          </w:tcPr>
          <w:p w14:paraId="75289C94" w14:textId="77777777" w:rsidR="00DE665D" w:rsidRPr="00970AD2" w:rsidRDefault="00DE665D" w:rsidP="00DE665D">
            <w:pPr>
              <w:pStyle w:val="Tabletext"/>
            </w:pPr>
            <w:r w:rsidRPr="00970AD2">
              <w:t xml:space="preserve">RS4 </w:t>
            </w:r>
            <w:r>
              <w:t>–</w:t>
            </w:r>
            <w:r w:rsidRPr="00970AD2">
              <w:t xml:space="preserve"> Glass door</w:t>
            </w:r>
          </w:p>
        </w:tc>
        <w:tc>
          <w:tcPr>
            <w:tcW w:w="3796" w:type="dxa"/>
            <w:noWrap/>
            <w:vAlign w:val="bottom"/>
          </w:tcPr>
          <w:p w14:paraId="320BBEB2" w14:textId="55CB8F89" w:rsidR="00DE665D" w:rsidRPr="00970AD2" w:rsidRDefault="00DE665D" w:rsidP="00DE665D">
            <w:pPr>
              <w:pStyle w:val="Tabletext"/>
              <w:jc w:val="center"/>
            </w:pPr>
            <w:r>
              <w:rPr>
                <w:rFonts w:ascii="Calibri" w:hAnsi="Calibri" w:cs="Calibri"/>
                <w:color w:val="000000"/>
                <w:sz w:val="22"/>
                <w:szCs w:val="22"/>
              </w:rPr>
              <w:t>6.915</w:t>
            </w:r>
          </w:p>
        </w:tc>
      </w:tr>
      <w:tr w:rsidR="00DE665D" w:rsidRPr="00C121AE" w14:paraId="1A309507" w14:textId="77777777" w:rsidTr="0064760C">
        <w:trPr>
          <w:cantSplit/>
          <w:trHeight w:val="329"/>
        </w:trPr>
        <w:tc>
          <w:tcPr>
            <w:tcW w:w="2552" w:type="dxa"/>
          </w:tcPr>
          <w:p w14:paraId="0CFB1844" w14:textId="77777777" w:rsidR="00DE665D" w:rsidRPr="00970AD2" w:rsidRDefault="00DE665D" w:rsidP="00DE665D">
            <w:pPr>
              <w:pStyle w:val="Tabletext"/>
            </w:pPr>
            <w:r w:rsidRPr="00970AD2">
              <w:t xml:space="preserve">5.7(RS6 </w:t>
            </w:r>
            <w:r>
              <w:t>–</w:t>
            </w:r>
            <w:r w:rsidRPr="00970AD2">
              <w:t xml:space="preserve"> Gravity coil)</w:t>
            </w:r>
          </w:p>
        </w:tc>
        <w:tc>
          <w:tcPr>
            <w:tcW w:w="2786" w:type="dxa"/>
            <w:noWrap/>
          </w:tcPr>
          <w:p w14:paraId="17DE9D88" w14:textId="77777777" w:rsidR="00DE665D" w:rsidRPr="00970AD2" w:rsidRDefault="00DE665D" w:rsidP="00DE665D">
            <w:pPr>
              <w:pStyle w:val="Tabletext"/>
            </w:pPr>
            <w:r w:rsidRPr="00970AD2">
              <w:t xml:space="preserve">RS6 </w:t>
            </w:r>
            <w:r>
              <w:t>–</w:t>
            </w:r>
            <w:r w:rsidRPr="00970AD2">
              <w:t xml:space="preserve"> Gravity coil</w:t>
            </w:r>
          </w:p>
        </w:tc>
        <w:tc>
          <w:tcPr>
            <w:tcW w:w="3796" w:type="dxa"/>
            <w:noWrap/>
            <w:vAlign w:val="bottom"/>
          </w:tcPr>
          <w:p w14:paraId="524E200E" w14:textId="7D4E5009" w:rsidR="00DE665D" w:rsidRPr="00970AD2" w:rsidRDefault="00DE665D" w:rsidP="00DE665D">
            <w:pPr>
              <w:pStyle w:val="Tabletext"/>
              <w:jc w:val="center"/>
            </w:pPr>
            <w:r>
              <w:rPr>
                <w:rFonts w:ascii="Calibri" w:hAnsi="Calibri" w:cs="Calibri"/>
                <w:color w:val="000000"/>
                <w:sz w:val="22"/>
                <w:szCs w:val="22"/>
              </w:rPr>
              <w:t>10.115</w:t>
            </w:r>
          </w:p>
        </w:tc>
      </w:tr>
      <w:tr w:rsidR="00DE665D" w:rsidRPr="00C121AE" w14:paraId="52D12B84" w14:textId="77777777" w:rsidTr="0064760C">
        <w:trPr>
          <w:cantSplit/>
          <w:trHeight w:val="329"/>
        </w:trPr>
        <w:tc>
          <w:tcPr>
            <w:tcW w:w="2552" w:type="dxa"/>
          </w:tcPr>
          <w:p w14:paraId="54D1DC26" w14:textId="77777777" w:rsidR="00DE665D" w:rsidRPr="00970AD2" w:rsidRDefault="00DE665D" w:rsidP="00DE665D">
            <w:pPr>
              <w:pStyle w:val="Tabletext"/>
            </w:pPr>
            <w:r w:rsidRPr="00970AD2">
              <w:t xml:space="preserve">5.7(RS6 </w:t>
            </w:r>
            <w:r>
              <w:t>–</w:t>
            </w:r>
            <w:r w:rsidRPr="00970AD2">
              <w:t xml:space="preserve"> Fan coil)</w:t>
            </w:r>
          </w:p>
        </w:tc>
        <w:tc>
          <w:tcPr>
            <w:tcW w:w="2786" w:type="dxa"/>
            <w:noWrap/>
          </w:tcPr>
          <w:p w14:paraId="11F776E6" w14:textId="77777777" w:rsidR="00DE665D" w:rsidRPr="00970AD2" w:rsidRDefault="00DE665D" w:rsidP="00DE665D">
            <w:pPr>
              <w:pStyle w:val="Tabletext"/>
            </w:pPr>
            <w:r w:rsidRPr="00970AD2">
              <w:t xml:space="preserve">RS6 </w:t>
            </w:r>
            <w:r>
              <w:t>–</w:t>
            </w:r>
            <w:r w:rsidRPr="00970AD2">
              <w:t xml:space="preserve"> Fan coil</w:t>
            </w:r>
          </w:p>
        </w:tc>
        <w:tc>
          <w:tcPr>
            <w:tcW w:w="3796" w:type="dxa"/>
            <w:noWrap/>
            <w:vAlign w:val="bottom"/>
          </w:tcPr>
          <w:p w14:paraId="5D9907E8" w14:textId="40615E3C" w:rsidR="00DE665D" w:rsidRPr="00970AD2" w:rsidRDefault="00DE665D" w:rsidP="00DE665D">
            <w:pPr>
              <w:pStyle w:val="Tabletext"/>
              <w:jc w:val="center"/>
            </w:pPr>
            <w:r>
              <w:rPr>
                <w:rFonts w:ascii="Calibri" w:hAnsi="Calibri" w:cs="Calibri"/>
                <w:color w:val="000000"/>
                <w:sz w:val="22"/>
                <w:szCs w:val="22"/>
              </w:rPr>
              <w:t>10.068</w:t>
            </w:r>
          </w:p>
        </w:tc>
      </w:tr>
      <w:tr w:rsidR="00DE665D" w:rsidRPr="00C121AE" w14:paraId="541D45D0" w14:textId="77777777" w:rsidTr="0064760C">
        <w:trPr>
          <w:cantSplit/>
          <w:trHeight w:val="329"/>
        </w:trPr>
        <w:tc>
          <w:tcPr>
            <w:tcW w:w="2552" w:type="dxa"/>
          </w:tcPr>
          <w:p w14:paraId="3D7F57CC" w14:textId="77777777" w:rsidR="00DE665D" w:rsidRPr="00970AD2" w:rsidRDefault="00DE665D" w:rsidP="00DE665D">
            <w:pPr>
              <w:pStyle w:val="Tabletext"/>
            </w:pPr>
            <w:r w:rsidRPr="00970AD2">
              <w:t xml:space="preserve">5.7(RS7 </w:t>
            </w:r>
            <w:r>
              <w:t>–</w:t>
            </w:r>
            <w:r w:rsidRPr="00970AD2">
              <w:t xml:space="preserve"> Fan coil)</w:t>
            </w:r>
          </w:p>
        </w:tc>
        <w:tc>
          <w:tcPr>
            <w:tcW w:w="2786" w:type="dxa"/>
            <w:noWrap/>
          </w:tcPr>
          <w:p w14:paraId="5957F5B7" w14:textId="77777777" w:rsidR="00DE665D" w:rsidRPr="00970AD2" w:rsidRDefault="00DE665D" w:rsidP="00DE665D">
            <w:pPr>
              <w:pStyle w:val="Tabletext"/>
            </w:pPr>
            <w:r w:rsidRPr="00970AD2">
              <w:t xml:space="preserve">RS7 </w:t>
            </w:r>
            <w:r>
              <w:t>–</w:t>
            </w:r>
            <w:r w:rsidRPr="00970AD2">
              <w:t xml:space="preserve"> Fan coil</w:t>
            </w:r>
          </w:p>
        </w:tc>
        <w:tc>
          <w:tcPr>
            <w:tcW w:w="3796" w:type="dxa"/>
            <w:noWrap/>
            <w:vAlign w:val="bottom"/>
          </w:tcPr>
          <w:p w14:paraId="1E7A47B2" w14:textId="3E368626" w:rsidR="00DE665D" w:rsidRPr="00970AD2" w:rsidRDefault="00DE665D" w:rsidP="00DE665D">
            <w:pPr>
              <w:pStyle w:val="Tabletext"/>
              <w:jc w:val="center"/>
            </w:pPr>
            <w:r>
              <w:rPr>
                <w:rFonts w:ascii="Calibri" w:hAnsi="Calibri" w:cs="Calibri"/>
                <w:color w:val="000000"/>
                <w:sz w:val="22"/>
                <w:szCs w:val="22"/>
              </w:rPr>
              <w:t>11.516</w:t>
            </w:r>
          </w:p>
        </w:tc>
      </w:tr>
      <w:tr w:rsidR="00DE665D" w:rsidRPr="00C121AE" w14:paraId="16AB9975" w14:textId="77777777" w:rsidTr="0064760C">
        <w:trPr>
          <w:cantSplit/>
          <w:trHeight w:val="329"/>
        </w:trPr>
        <w:tc>
          <w:tcPr>
            <w:tcW w:w="2552" w:type="dxa"/>
          </w:tcPr>
          <w:p w14:paraId="020C27B7" w14:textId="77777777" w:rsidR="00DE665D" w:rsidRPr="00970AD2" w:rsidRDefault="00DE665D" w:rsidP="00DE665D">
            <w:pPr>
              <w:pStyle w:val="Tabletext"/>
            </w:pPr>
            <w:r w:rsidRPr="00970AD2">
              <w:t xml:space="preserve">5.7(RS8 </w:t>
            </w:r>
            <w:r>
              <w:t>–</w:t>
            </w:r>
            <w:r w:rsidRPr="00970AD2">
              <w:t xml:space="preserve"> Gravity coil)</w:t>
            </w:r>
          </w:p>
        </w:tc>
        <w:tc>
          <w:tcPr>
            <w:tcW w:w="2786" w:type="dxa"/>
            <w:noWrap/>
          </w:tcPr>
          <w:p w14:paraId="275C4138" w14:textId="77777777" w:rsidR="00DE665D" w:rsidRPr="00970AD2" w:rsidRDefault="00DE665D" w:rsidP="00DE665D">
            <w:pPr>
              <w:pStyle w:val="Tabletext"/>
            </w:pPr>
            <w:r w:rsidRPr="00970AD2">
              <w:t xml:space="preserve">RS8 </w:t>
            </w:r>
            <w:r>
              <w:t>–</w:t>
            </w:r>
            <w:r w:rsidRPr="00970AD2">
              <w:t xml:space="preserve"> Gravity coil</w:t>
            </w:r>
          </w:p>
        </w:tc>
        <w:tc>
          <w:tcPr>
            <w:tcW w:w="3796" w:type="dxa"/>
            <w:noWrap/>
            <w:vAlign w:val="bottom"/>
          </w:tcPr>
          <w:p w14:paraId="193EBB7E" w14:textId="4CC53E70" w:rsidR="00DE665D" w:rsidRPr="00970AD2" w:rsidRDefault="00DE665D" w:rsidP="00DE665D">
            <w:pPr>
              <w:pStyle w:val="Tabletext"/>
              <w:jc w:val="center"/>
            </w:pPr>
            <w:r>
              <w:rPr>
                <w:rFonts w:ascii="Calibri" w:hAnsi="Calibri" w:cs="Calibri"/>
                <w:color w:val="000000"/>
                <w:sz w:val="22"/>
                <w:szCs w:val="22"/>
              </w:rPr>
              <w:t>8.713</w:t>
            </w:r>
          </w:p>
        </w:tc>
      </w:tr>
      <w:tr w:rsidR="00DE665D" w:rsidRPr="00C121AE" w14:paraId="205F1C60" w14:textId="77777777" w:rsidTr="0064760C">
        <w:trPr>
          <w:cantSplit/>
          <w:trHeight w:val="329"/>
        </w:trPr>
        <w:tc>
          <w:tcPr>
            <w:tcW w:w="2552" w:type="dxa"/>
          </w:tcPr>
          <w:p w14:paraId="502AD852" w14:textId="77777777" w:rsidR="00DE665D" w:rsidRPr="00970AD2" w:rsidRDefault="00DE665D" w:rsidP="00DE665D">
            <w:pPr>
              <w:pStyle w:val="Tabletext"/>
            </w:pPr>
            <w:r w:rsidRPr="00970AD2">
              <w:t xml:space="preserve">5.7(RS8 </w:t>
            </w:r>
            <w:r>
              <w:t>–</w:t>
            </w:r>
            <w:r w:rsidRPr="00970AD2">
              <w:t xml:space="preserve"> Fan coil)</w:t>
            </w:r>
          </w:p>
        </w:tc>
        <w:tc>
          <w:tcPr>
            <w:tcW w:w="2786" w:type="dxa"/>
            <w:noWrap/>
          </w:tcPr>
          <w:p w14:paraId="16B9B22F" w14:textId="77777777" w:rsidR="00DE665D" w:rsidRPr="00970AD2" w:rsidRDefault="00DE665D" w:rsidP="00DE665D">
            <w:pPr>
              <w:pStyle w:val="Tabletext"/>
            </w:pPr>
            <w:r w:rsidRPr="00970AD2">
              <w:t xml:space="preserve">RS8 </w:t>
            </w:r>
            <w:r>
              <w:t>–</w:t>
            </w:r>
            <w:r w:rsidRPr="00970AD2">
              <w:t xml:space="preserve"> Fan coil</w:t>
            </w:r>
          </w:p>
        </w:tc>
        <w:tc>
          <w:tcPr>
            <w:tcW w:w="3796" w:type="dxa"/>
            <w:noWrap/>
            <w:vAlign w:val="bottom"/>
          </w:tcPr>
          <w:p w14:paraId="6CF57A3B" w14:textId="45F93856" w:rsidR="00DE665D" w:rsidRPr="00970AD2" w:rsidRDefault="00DE665D" w:rsidP="00DE665D">
            <w:pPr>
              <w:pStyle w:val="Tabletext"/>
              <w:jc w:val="center"/>
            </w:pPr>
            <w:r>
              <w:rPr>
                <w:rFonts w:ascii="Calibri" w:hAnsi="Calibri" w:cs="Calibri"/>
                <w:color w:val="000000"/>
                <w:sz w:val="22"/>
                <w:szCs w:val="22"/>
              </w:rPr>
              <w:t>9.391</w:t>
            </w:r>
          </w:p>
        </w:tc>
      </w:tr>
      <w:tr w:rsidR="00DE665D" w:rsidRPr="00C121AE" w14:paraId="170F599D" w14:textId="77777777" w:rsidTr="0064760C">
        <w:trPr>
          <w:cantSplit/>
          <w:trHeight w:val="329"/>
        </w:trPr>
        <w:tc>
          <w:tcPr>
            <w:tcW w:w="2552" w:type="dxa"/>
          </w:tcPr>
          <w:p w14:paraId="7BD05AED" w14:textId="77777777" w:rsidR="00DE665D" w:rsidRPr="00970AD2" w:rsidRDefault="00DE665D" w:rsidP="00DE665D">
            <w:pPr>
              <w:pStyle w:val="Tabletext"/>
            </w:pPr>
            <w:r w:rsidRPr="00970AD2">
              <w:t xml:space="preserve">5.7(RS9 </w:t>
            </w:r>
            <w:r>
              <w:t>–</w:t>
            </w:r>
            <w:r w:rsidRPr="00970AD2">
              <w:t xml:space="preserve"> Fan coil)</w:t>
            </w:r>
          </w:p>
        </w:tc>
        <w:tc>
          <w:tcPr>
            <w:tcW w:w="2786" w:type="dxa"/>
            <w:noWrap/>
          </w:tcPr>
          <w:p w14:paraId="033D1DF4" w14:textId="77777777" w:rsidR="00DE665D" w:rsidRPr="00970AD2" w:rsidRDefault="00DE665D" w:rsidP="00DE665D">
            <w:pPr>
              <w:pStyle w:val="Tabletext"/>
            </w:pPr>
            <w:r w:rsidRPr="00970AD2">
              <w:t xml:space="preserve">RS9 </w:t>
            </w:r>
            <w:r>
              <w:t>–</w:t>
            </w:r>
            <w:r w:rsidRPr="00970AD2">
              <w:t xml:space="preserve"> Fan coil</w:t>
            </w:r>
          </w:p>
        </w:tc>
        <w:tc>
          <w:tcPr>
            <w:tcW w:w="3796" w:type="dxa"/>
            <w:noWrap/>
            <w:vAlign w:val="bottom"/>
          </w:tcPr>
          <w:p w14:paraId="5AB2C3D3" w14:textId="04F3196E" w:rsidR="00DE665D" w:rsidRPr="00970AD2" w:rsidRDefault="00DE665D" w:rsidP="00DE665D">
            <w:pPr>
              <w:pStyle w:val="Tabletext"/>
              <w:jc w:val="center"/>
            </w:pPr>
            <w:r>
              <w:rPr>
                <w:rFonts w:ascii="Calibri" w:hAnsi="Calibri" w:cs="Calibri"/>
                <w:color w:val="000000"/>
                <w:sz w:val="22"/>
                <w:szCs w:val="22"/>
              </w:rPr>
              <w:t>9.414</w:t>
            </w:r>
          </w:p>
        </w:tc>
      </w:tr>
      <w:tr w:rsidR="00DE665D" w:rsidRPr="00C121AE" w14:paraId="0EE5A7A2" w14:textId="77777777" w:rsidTr="0064760C">
        <w:trPr>
          <w:cantSplit/>
          <w:trHeight w:val="329"/>
        </w:trPr>
        <w:tc>
          <w:tcPr>
            <w:tcW w:w="2552" w:type="dxa"/>
          </w:tcPr>
          <w:p w14:paraId="42ED8BFD" w14:textId="77777777" w:rsidR="00DE665D" w:rsidRPr="00970AD2" w:rsidRDefault="00DE665D" w:rsidP="00DE665D">
            <w:pPr>
              <w:pStyle w:val="Tabletext"/>
            </w:pPr>
            <w:r w:rsidRPr="00970AD2">
              <w:t>5.7(RS10 – Low)</w:t>
            </w:r>
          </w:p>
        </w:tc>
        <w:tc>
          <w:tcPr>
            <w:tcW w:w="2786" w:type="dxa"/>
            <w:noWrap/>
          </w:tcPr>
          <w:p w14:paraId="2E204C57" w14:textId="77777777" w:rsidR="00DE665D" w:rsidRPr="00970AD2" w:rsidRDefault="00DE665D" w:rsidP="00DE665D">
            <w:pPr>
              <w:pStyle w:val="Tabletext"/>
            </w:pPr>
            <w:r w:rsidRPr="00970AD2">
              <w:t xml:space="preserve">RS10 </w:t>
            </w:r>
            <w:r>
              <w:t>–</w:t>
            </w:r>
            <w:r w:rsidRPr="00970AD2">
              <w:t xml:space="preserve"> Low</w:t>
            </w:r>
          </w:p>
        </w:tc>
        <w:tc>
          <w:tcPr>
            <w:tcW w:w="3796" w:type="dxa"/>
            <w:noWrap/>
            <w:vAlign w:val="bottom"/>
          </w:tcPr>
          <w:p w14:paraId="281D80DF" w14:textId="7D2350CC" w:rsidR="00DE665D" w:rsidRPr="00970AD2" w:rsidRDefault="00DE665D" w:rsidP="00DE665D">
            <w:pPr>
              <w:pStyle w:val="Tabletext"/>
              <w:jc w:val="center"/>
            </w:pPr>
            <w:r>
              <w:rPr>
                <w:rFonts w:ascii="Calibri" w:hAnsi="Calibri" w:cs="Calibri"/>
                <w:color w:val="000000"/>
                <w:sz w:val="22"/>
                <w:szCs w:val="22"/>
              </w:rPr>
              <w:t>13.268</w:t>
            </w:r>
          </w:p>
        </w:tc>
      </w:tr>
      <w:tr w:rsidR="00DE665D" w:rsidRPr="00D936CF" w14:paraId="1B55A0C5" w14:textId="77777777" w:rsidTr="0064760C">
        <w:trPr>
          <w:cantSplit/>
          <w:trHeight w:val="329"/>
        </w:trPr>
        <w:tc>
          <w:tcPr>
            <w:tcW w:w="2552" w:type="dxa"/>
          </w:tcPr>
          <w:p w14:paraId="1B5CA34F" w14:textId="77777777" w:rsidR="00DE665D" w:rsidRPr="00970AD2" w:rsidRDefault="00DE665D" w:rsidP="00DE665D">
            <w:pPr>
              <w:pStyle w:val="Tabletext"/>
            </w:pPr>
            <w:r w:rsidRPr="00970AD2">
              <w:t>5.7(RS11)</w:t>
            </w:r>
          </w:p>
        </w:tc>
        <w:tc>
          <w:tcPr>
            <w:tcW w:w="2786" w:type="dxa"/>
            <w:noWrap/>
          </w:tcPr>
          <w:p w14:paraId="4BF1BCAE" w14:textId="77777777" w:rsidR="00DE665D" w:rsidRPr="00970AD2" w:rsidRDefault="00DE665D" w:rsidP="00DE665D">
            <w:pPr>
              <w:pStyle w:val="Tabletext"/>
            </w:pPr>
            <w:r w:rsidRPr="00970AD2">
              <w:t>RS11</w:t>
            </w:r>
          </w:p>
        </w:tc>
        <w:tc>
          <w:tcPr>
            <w:tcW w:w="3796" w:type="dxa"/>
            <w:noWrap/>
            <w:vAlign w:val="bottom"/>
          </w:tcPr>
          <w:p w14:paraId="13E034C8" w14:textId="4EDF9905" w:rsidR="00DE665D" w:rsidRPr="00970AD2" w:rsidRDefault="00DE665D" w:rsidP="00DE665D">
            <w:pPr>
              <w:pStyle w:val="Tabletext"/>
              <w:jc w:val="center"/>
            </w:pPr>
            <w:r>
              <w:rPr>
                <w:rFonts w:ascii="Calibri" w:hAnsi="Calibri" w:cs="Calibri"/>
                <w:color w:val="000000"/>
                <w:sz w:val="22"/>
                <w:szCs w:val="22"/>
              </w:rPr>
              <w:t>27.121</w:t>
            </w:r>
          </w:p>
        </w:tc>
      </w:tr>
      <w:tr w:rsidR="00DE665D" w:rsidRPr="00C121AE" w14:paraId="62E76C5F" w14:textId="77777777" w:rsidTr="0064760C">
        <w:trPr>
          <w:cantSplit/>
          <w:trHeight w:val="329"/>
        </w:trPr>
        <w:tc>
          <w:tcPr>
            <w:tcW w:w="2552" w:type="dxa"/>
          </w:tcPr>
          <w:p w14:paraId="3F055D50" w14:textId="77777777" w:rsidR="00DE665D" w:rsidRPr="00970AD2" w:rsidRDefault="00DE665D" w:rsidP="00DE665D">
            <w:pPr>
              <w:pStyle w:val="Tabletext"/>
            </w:pPr>
            <w:r w:rsidRPr="00970AD2">
              <w:t>5.7(RS12)</w:t>
            </w:r>
          </w:p>
        </w:tc>
        <w:tc>
          <w:tcPr>
            <w:tcW w:w="2786" w:type="dxa"/>
            <w:noWrap/>
          </w:tcPr>
          <w:p w14:paraId="4BD9A54C" w14:textId="77777777" w:rsidR="00DE665D" w:rsidRPr="00970AD2" w:rsidRDefault="00DE665D" w:rsidP="00DE665D">
            <w:pPr>
              <w:pStyle w:val="Tabletext"/>
            </w:pPr>
            <w:r w:rsidRPr="00970AD2">
              <w:t>RS12</w:t>
            </w:r>
          </w:p>
        </w:tc>
        <w:tc>
          <w:tcPr>
            <w:tcW w:w="3796" w:type="dxa"/>
            <w:noWrap/>
            <w:vAlign w:val="bottom"/>
          </w:tcPr>
          <w:p w14:paraId="77A72946" w14:textId="72FE38D8" w:rsidR="00DE665D" w:rsidRPr="00970AD2" w:rsidRDefault="00DE665D" w:rsidP="00DE665D">
            <w:pPr>
              <w:pStyle w:val="Tabletext"/>
              <w:jc w:val="center"/>
            </w:pPr>
            <w:r>
              <w:rPr>
                <w:rFonts w:ascii="Calibri" w:hAnsi="Calibri" w:cs="Calibri"/>
                <w:color w:val="000000"/>
                <w:sz w:val="22"/>
                <w:szCs w:val="22"/>
              </w:rPr>
              <w:t>47.164</w:t>
            </w:r>
          </w:p>
        </w:tc>
      </w:tr>
      <w:tr w:rsidR="00DE665D" w:rsidRPr="00C121AE" w14:paraId="2E24B121" w14:textId="77777777" w:rsidTr="0064760C">
        <w:trPr>
          <w:cantSplit/>
          <w:trHeight w:val="329"/>
        </w:trPr>
        <w:tc>
          <w:tcPr>
            <w:tcW w:w="2552" w:type="dxa"/>
          </w:tcPr>
          <w:p w14:paraId="633561C9" w14:textId="77777777" w:rsidR="00DE665D" w:rsidRPr="00970AD2" w:rsidRDefault="00DE665D" w:rsidP="00DE665D">
            <w:pPr>
              <w:pStyle w:val="Tabletext"/>
            </w:pPr>
            <w:r w:rsidRPr="00970AD2">
              <w:t xml:space="preserve">5.7(RS13 </w:t>
            </w:r>
            <w:r>
              <w:t>–</w:t>
            </w:r>
            <w:r w:rsidRPr="00970AD2">
              <w:t xml:space="preserve"> Solid sided)</w:t>
            </w:r>
          </w:p>
        </w:tc>
        <w:tc>
          <w:tcPr>
            <w:tcW w:w="2786" w:type="dxa"/>
            <w:noWrap/>
          </w:tcPr>
          <w:p w14:paraId="11F53DBB" w14:textId="77777777" w:rsidR="00DE665D" w:rsidRPr="00970AD2" w:rsidRDefault="00DE665D" w:rsidP="00DE665D">
            <w:pPr>
              <w:pStyle w:val="Tabletext"/>
            </w:pPr>
            <w:r w:rsidRPr="00970AD2">
              <w:t xml:space="preserve">RS13 </w:t>
            </w:r>
            <w:r>
              <w:t>–</w:t>
            </w:r>
            <w:r w:rsidRPr="00970AD2">
              <w:t xml:space="preserve"> Solid sided</w:t>
            </w:r>
          </w:p>
        </w:tc>
        <w:tc>
          <w:tcPr>
            <w:tcW w:w="3796" w:type="dxa"/>
            <w:noWrap/>
            <w:vAlign w:val="bottom"/>
          </w:tcPr>
          <w:p w14:paraId="084DDD05" w14:textId="1DD7A31E" w:rsidR="00DE665D" w:rsidRPr="00970AD2" w:rsidRDefault="00DE665D" w:rsidP="00DE665D">
            <w:pPr>
              <w:pStyle w:val="Tabletext"/>
              <w:jc w:val="center"/>
            </w:pPr>
            <w:r>
              <w:rPr>
                <w:rFonts w:ascii="Calibri" w:hAnsi="Calibri" w:cs="Calibri"/>
                <w:color w:val="000000"/>
                <w:sz w:val="22"/>
                <w:szCs w:val="22"/>
              </w:rPr>
              <w:t>15.161</w:t>
            </w:r>
          </w:p>
        </w:tc>
      </w:tr>
      <w:tr w:rsidR="00DE665D" w:rsidRPr="00C121AE" w14:paraId="6F56DB05" w14:textId="77777777" w:rsidTr="0064760C">
        <w:trPr>
          <w:cantSplit/>
          <w:trHeight w:val="329"/>
        </w:trPr>
        <w:tc>
          <w:tcPr>
            <w:tcW w:w="2552" w:type="dxa"/>
          </w:tcPr>
          <w:p w14:paraId="50AC0E30" w14:textId="77777777" w:rsidR="00DE665D" w:rsidRPr="00970AD2" w:rsidRDefault="00DE665D" w:rsidP="00DE665D">
            <w:pPr>
              <w:pStyle w:val="Tabletext"/>
            </w:pPr>
            <w:r w:rsidRPr="00970AD2">
              <w:t xml:space="preserve">5.7(RS13 </w:t>
            </w:r>
            <w:r>
              <w:t>–</w:t>
            </w:r>
            <w:r w:rsidRPr="00970AD2">
              <w:t xml:space="preserve"> Glass sided)</w:t>
            </w:r>
          </w:p>
        </w:tc>
        <w:tc>
          <w:tcPr>
            <w:tcW w:w="2786" w:type="dxa"/>
            <w:noWrap/>
          </w:tcPr>
          <w:p w14:paraId="73A9210D" w14:textId="77777777" w:rsidR="00DE665D" w:rsidRPr="00970AD2" w:rsidRDefault="00DE665D" w:rsidP="00DE665D">
            <w:pPr>
              <w:pStyle w:val="Tabletext"/>
            </w:pPr>
            <w:r w:rsidRPr="00970AD2">
              <w:t xml:space="preserve">RS13 </w:t>
            </w:r>
            <w:r>
              <w:t>–</w:t>
            </w:r>
            <w:r w:rsidRPr="00970AD2">
              <w:t xml:space="preserve"> Glass sided</w:t>
            </w:r>
          </w:p>
        </w:tc>
        <w:tc>
          <w:tcPr>
            <w:tcW w:w="3796" w:type="dxa"/>
            <w:noWrap/>
            <w:vAlign w:val="bottom"/>
          </w:tcPr>
          <w:p w14:paraId="3A65D2DA" w14:textId="7499780F" w:rsidR="00DE665D" w:rsidRPr="00970AD2" w:rsidRDefault="00DE665D" w:rsidP="00DE665D">
            <w:pPr>
              <w:pStyle w:val="Tabletext"/>
              <w:jc w:val="center"/>
            </w:pPr>
            <w:r>
              <w:rPr>
                <w:rFonts w:ascii="Calibri" w:hAnsi="Calibri" w:cs="Calibri"/>
                <w:color w:val="000000"/>
                <w:sz w:val="22"/>
                <w:szCs w:val="22"/>
              </w:rPr>
              <w:t>13.923</w:t>
            </w:r>
          </w:p>
        </w:tc>
      </w:tr>
      <w:tr w:rsidR="00DE665D" w:rsidRPr="00C121AE" w14:paraId="323642BD" w14:textId="77777777" w:rsidTr="0064760C">
        <w:trPr>
          <w:cantSplit/>
          <w:trHeight w:val="329"/>
        </w:trPr>
        <w:tc>
          <w:tcPr>
            <w:tcW w:w="2552" w:type="dxa"/>
          </w:tcPr>
          <w:p w14:paraId="721D493F" w14:textId="77777777" w:rsidR="00DE665D" w:rsidRPr="00970AD2" w:rsidRDefault="00DE665D" w:rsidP="00DE665D">
            <w:pPr>
              <w:pStyle w:val="Tabletext"/>
            </w:pPr>
            <w:r w:rsidRPr="00970AD2">
              <w:t xml:space="preserve">5.7(RS14 </w:t>
            </w:r>
            <w:r>
              <w:t>–</w:t>
            </w:r>
            <w:r w:rsidRPr="00970AD2">
              <w:t xml:space="preserve"> Solid sided)</w:t>
            </w:r>
          </w:p>
        </w:tc>
        <w:tc>
          <w:tcPr>
            <w:tcW w:w="2786" w:type="dxa"/>
            <w:noWrap/>
          </w:tcPr>
          <w:p w14:paraId="688FEE98" w14:textId="77777777" w:rsidR="00DE665D" w:rsidRPr="00970AD2" w:rsidRDefault="00DE665D" w:rsidP="00DE665D">
            <w:pPr>
              <w:pStyle w:val="Tabletext"/>
            </w:pPr>
            <w:r w:rsidRPr="00970AD2">
              <w:t xml:space="preserve">RS14 </w:t>
            </w:r>
            <w:r>
              <w:t>–</w:t>
            </w:r>
            <w:r w:rsidRPr="00970AD2">
              <w:t xml:space="preserve"> Solid sided</w:t>
            </w:r>
          </w:p>
        </w:tc>
        <w:tc>
          <w:tcPr>
            <w:tcW w:w="3796" w:type="dxa"/>
            <w:noWrap/>
            <w:vAlign w:val="bottom"/>
          </w:tcPr>
          <w:p w14:paraId="74C12F08" w14:textId="3E9FC033" w:rsidR="00DE665D" w:rsidRPr="00970AD2" w:rsidRDefault="00DE665D" w:rsidP="00DE665D">
            <w:pPr>
              <w:pStyle w:val="Tabletext"/>
              <w:jc w:val="center"/>
            </w:pPr>
            <w:r>
              <w:rPr>
                <w:rFonts w:ascii="Calibri" w:hAnsi="Calibri" w:cs="Calibri"/>
                <w:color w:val="000000"/>
                <w:sz w:val="22"/>
                <w:szCs w:val="22"/>
              </w:rPr>
              <w:t>9.437</w:t>
            </w:r>
          </w:p>
        </w:tc>
      </w:tr>
      <w:tr w:rsidR="00DE665D" w:rsidRPr="00C121AE" w14:paraId="42AB945C" w14:textId="77777777" w:rsidTr="0064760C">
        <w:trPr>
          <w:cantSplit/>
          <w:trHeight w:val="329"/>
        </w:trPr>
        <w:tc>
          <w:tcPr>
            <w:tcW w:w="2552" w:type="dxa"/>
          </w:tcPr>
          <w:p w14:paraId="66AB17D0" w14:textId="77777777" w:rsidR="00DE665D" w:rsidRPr="00970AD2" w:rsidRDefault="00DE665D" w:rsidP="00DE665D">
            <w:pPr>
              <w:pStyle w:val="Tabletext"/>
            </w:pPr>
            <w:r w:rsidRPr="00970AD2">
              <w:t xml:space="preserve">5.7(RS14 </w:t>
            </w:r>
            <w:r>
              <w:t>–</w:t>
            </w:r>
            <w:r w:rsidRPr="00970AD2">
              <w:t xml:space="preserve"> Glass sided)</w:t>
            </w:r>
          </w:p>
        </w:tc>
        <w:tc>
          <w:tcPr>
            <w:tcW w:w="2786" w:type="dxa"/>
            <w:noWrap/>
          </w:tcPr>
          <w:p w14:paraId="4CBD6785" w14:textId="77777777" w:rsidR="00DE665D" w:rsidRPr="00970AD2" w:rsidRDefault="00DE665D" w:rsidP="00DE665D">
            <w:pPr>
              <w:pStyle w:val="Tabletext"/>
            </w:pPr>
            <w:r w:rsidRPr="00970AD2">
              <w:t xml:space="preserve">RS14 </w:t>
            </w:r>
            <w:r>
              <w:t>–</w:t>
            </w:r>
            <w:r w:rsidRPr="00970AD2">
              <w:t xml:space="preserve"> Glass sided</w:t>
            </w:r>
          </w:p>
        </w:tc>
        <w:tc>
          <w:tcPr>
            <w:tcW w:w="3796" w:type="dxa"/>
            <w:noWrap/>
            <w:vAlign w:val="bottom"/>
          </w:tcPr>
          <w:p w14:paraId="193934CE" w14:textId="119D3BF9" w:rsidR="00DE665D" w:rsidRPr="00970AD2" w:rsidRDefault="00DE665D" w:rsidP="00DE665D">
            <w:pPr>
              <w:pStyle w:val="Tabletext"/>
              <w:jc w:val="center"/>
            </w:pPr>
            <w:r>
              <w:rPr>
                <w:rFonts w:ascii="Calibri" w:hAnsi="Calibri" w:cs="Calibri"/>
                <w:color w:val="000000"/>
                <w:sz w:val="22"/>
                <w:szCs w:val="22"/>
              </w:rPr>
              <w:t>56.578</w:t>
            </w:r>
          </w:p>
        </w:tc>
      </w:tr>
      <w:tr w:rsidR="00DE665D" w:rsidRPr="00C121AE" w14:paraId="5EDB70FA" w14:textId="77777777" w:rsidTr="0064760C">
        <w:trPr>
          <w:cantSplit/>
          <w:trHeight w:val="329"/>
        </w:trPr>
        <w:tc>
          <w:tcPr>
            <w:tcW w:w="2552" w:type="dxa"/>
          </w:tcPr>
          <w:p w14:paraId="4B6758E0" w14:textId="77777777" w:rsidR="00DE665D" w:rsidRPr="00970AD2" w:rsidRDefault="00DE665D" w:rsidP="00DE665D">
            <w:pPr>
              <w:pStyle w:val="Tabletext"/>
            </w:pPr>
            <w:r w:rsidRPr="00970AD2">
              <w:t xml:space="preserve">5.7(RS15 </w:t>
            </w:r>
            <w:r>
              <w:t>–</w:t>
            </w:r>
            <w:r w:rsidRPr="00970AD2">
              <w:t xml:space="preserve"> Glass door)</w:t>
            </w:r>
          </w:p>
        </w:tc>
        <w:tc>
          <w:tcPr>
            <w:tcW w:w="2786" w:type="dxa"/>
            <w:noWrap/>
          </w:tcPr>
          <w:p w14:paraId="56C95FD7" w14:textId="77777777" w:rsidR="00DE665D" w:rsidRPr="00970AD2" w:rsidRDefault="00DE665D" w:rsidP="00DE665D">
            <w:pPr>
              <w:pStyle w:val="Tabletext"/>
            </w:pPr>
            <w:r w:rsidRPr="00970AD2">
              <w:t xml:space="preserve">RS15 </w:t>
            </w:r>
            <w:r>
              <w:t>–</w:t>
            </w:r>
            <w:r w:rsidRPr="00970AD2">
              <w:t xml:space="preserve"> Glass door</w:t>
            </w:r>
          </w:p>
        </w:tc>
        <w:tc>
          <w:tcPr>
            <w:tcW w:w="3796" w:type="dxa"/>
            <w:noWrap/>
            <w:vAlign w:val="bottom"/>
          </w:tcPr>
          <w:p w14:paraId="066EAC7A" w14:textId="581271F5" w:rsidR="00DE665D" w:rsidRPr="00970AD2" w:rsidRDefault="00DE665D" w:rsidP="00DE665D">
            <w:pPr>
              <w:pStyle w:val="Tabletext"/>
              <w:jc w:val="center"/>
            </w:pPr>
            <w:r>
              <w:rPr>
                <w:rFonts w:ascii="Calibri" w:hAnsi="Calibri" w:cs="Calibri"/>
                <w:color w:val="000000"/>
                <w:sz w:val="22"/>
                <w:szCs w:val="22"/>
              </w:rPr>
              <w:t>22.589</w:t>
            </w:r>
          </w:p>
        </w:tc>
      </w:tr>
      <w:tr w:rsidR="00DE665D" w:rsidRPr="00C121AE" w14:paraId="0307A1AC" w14:textId="77777777" w:rsidTr="0064760C">
        <w:trPr>
          <w:cantSplit/>
          <w:trHeight w:val="329"/>
        </w:trPr>
        <w:tc>
          <w:tcPr>
            <w:tcW w:w="2552" w:type="dxa"/>
          </w:tcPr>
          <w:p w14:paraId="238A0A8D" w14:textId="77777777" w:rsidR="00DE665D" w:rsidRPr="00970AD2" w:rsidRDefault="00DE665D" w:rsidP="00DE665D">
            <w:pPr>
              <w:pStyle w:val="Tabletext"/>
            </w:pPr>
            <w:r w:rsidRPr="00970AD2">
              <w:t xml:space="preserve">5.7(RS16 </w:t>
            </w:r>
            <w:r>
              <w:t>–</w:t>
            </w:r>
            <w:r w:rsidRPr="00970AD2">
              <w:t xml:space="preserve"> Glass door)</w:t>
            </w:r>
          </w:p>
        </w:tc>
        <w:tc>
          <w:tcPr>
            <w:tcW w:w="2786" w:type="dxa"/>
            <w:noWrap/>
          </w:tcPr>
          <w:p w14:paraId="01C39400" w14:textId="77777777" w:rsidR="00DE665D" w:rsidRPr="00970AD2" w:rsidRDefault="00DE665D" w:rsidP="00DE665D">
            <w:pPr>
              <w:pStyle w:val="Tabletext"/>
            </w:pPr>
            <w:r w:rsidRPr="00970AD2">
              <w:t xml:space="preserve">RS16 </w:t>
            </w:r>
            <w:r>
              <w:t>–</w:t>
            </w:r>
            <w:r w:rsidRPr="00970AD2">
              <w:t xml:space="preserve"> Glass door</w:t>
            </w:r>
          </w:p>
        </w:tc>
        <w:tc>
          <w:tcPr>
            <w:tcW w:w="3796" w:type="dxa"/>
            <w:noWrap/>
            <w:vAlign w:val="bottom"/>
          </w:tcPr>
          <w:p w14:paraId="47117022" w14:textId="56AAAE2D" w:rsidR="00DE665D" w:rsidRPr="00970AD2" w:rsidRDefault="00DE665D" w:rsidP="00DE665D">
            <w:pPr>
              <w:pStyle w:val="Tabletext"/>
              <w:jc w:val="center"/>
            </w:pPr>
            <w:r>
              <w:rPr>
                <w:rFonts w:ascii="Calibri" w:hAnsi="Calibri" w:cs="Calibri"/>
                <w:color w:val="000000"/>
                <w:sz w:val="22"/>
                <w:szCs w:val="22"/>
              </w:rPr>
              <w:t>24.715</w:t>
            </w:r>
          </w:p>
        </w:tc>
      </w:tr>
      <w:tr w:rsidR="00DE665D" w:rsidRPr="00C121AE" w14:paraId="6C0232AA" w14:textId="77777777" w:rsidTr="0064760C">
        <w:trPr>
          <w:cantSplit/>
          <w:trHeight w:val="329"/>
        </w:trPr>
        <w:tc>
          <w:tcPr>
            <w:tcW w:w="2552" w:type="dxa"/>
          </w:tcPr>
          <w:p w14:paraId="56D1FB61" w14:textId="77777777" w:rsidR="00DE665D" w:rsidRPr="00970AD2" w:rsidRDefault="00DE665D" w:rsidP="00DE665D">
            <w:pPr>
              <w:pStyle w:val="Tabletext"/>
            </w:pPr>
            <w:r w:rsidRPr="00970AD2">
              <w:lastRenderedPageBreak/>
              <w:t>5.7(RS18)</w:t>
            </w:r>
          </w:p>
        </w:tc>
        <w:tc>
          <w:tcPr>
            <w:tcW w:w="2786" w:type="dxa"/>
            <w:noWrap/>
          </w:tcPr>
          <w:p w14:paraId="50A5A569" w14:textId="77777777" w:rsidR="00DE665D" w:rsidRPr="00970AD2" w:rsidRDefault="00DE665D" w:rsidP="00DE665D">
            <w:pPr>
              <w:pStyle w:val="Tabletext"/>
            </w:pPr>
            <w:r w:rsidRPr="00970AD2">
              <w:t>RS18</w:t>
            </w:r>
          </w:p>
        </w:tc>
        <w:tc>
          <w:tcPr>
            <w:tcW w:w="3796" w:type="dxa"/>
            <w:noWrap/>
            <w:vAlign w:val="bottom"/>
          </w:tcPr>
          <w:p w14:paraId="7DC79092" w14:textId="6CE8DCF2" w:rsidR="00DE665D" w:rsidRPr="00970AD2" w:rsidRDefault="00DE665D" w:rsidP="00DE665D">
            <w:pPr>
              <w:pStyle w:val="Tabletext"/>
              <w:jc w:val="center"/>
            </w:pPr>
            <w:r>
              <w:rPr>
                <w:rFonts w:ascii="Calibri" w:hAnsi="Calibri" w:cs="Calibri"/>
                <w:color w:val="000000"/>
                <w:sz w:val="22"/>
                <w:szCs w:val="22"/>
              </w:rPr>
              <w:t>20.627</w:t>
            </w:r>
          </w:p>
        </w:tc>
      </w:tr>
      <w:tr w:rsidR="00DE665D" w:rsidRPr="00D936CF" w14:paraId="397D7A9F" w14:textId="77777777" w:rsidTr="0064760C">
        <w:trPr>
          <w:cantSplit/>
          <w:trHeight w:val="329"/>
        </w:trPr>
        <w:tc>
          <w:tcPr>
            <w:tcW w:w="2552" w:type="dxa"/>
          </w:tcPr>
          <w:p w14:paraId="2B5E86E4" w14:textId="77777777" w:rsidR="00DE665D" w:rsidRPr="00970AD2" w:rsidRDefault="00DE665D" w:rsidP="00DE665D">
            <w:pPr>
              <w:pStyle w:val="Tabletext"/>
            </w:pPr>
            <w:r w:rsidRPr="00970AD2">
              <w:t>5.7(RS19)</w:t>
            </w:r>
          </w:p>
        </w:tc>
        <w:tc>
          <w:tcPr>
            <w:tcW w:w="2786" w:type="dxa"/>
            <w:noWrap/>
          </w:tcPr>
          <w:p w14:paraId="6469984A" w14:textId="77777777" w:rsidR="00DE665D" w:rsidRPr="00970AD2" w:rsidRDefault="00DE665D" w:rsidP="00DE665D">
            <w:pPr>
              <w:pStyle w:val="Tabletext"/>
            </w:pPr>
            <w:r w:rsidRPr="00970AD2">
              <w:t>RS19</w:t>
            </w:r>
          </w:p>
        </w:tc>
        <w:tc>
          <w:tcPr>
            <w:tcW w:w="3796" w:type="dxa"/>
            <w:noWrap/>
            <w:vAlign w:val="bottom"/>
          </w:tcPr>
          <w:p w14:paraId="42044951" w14:textId="3C711FA2" w:rsidR="00DE665D" w:rsidRPr="00970AD2" w:rsidRDefault="00DE665D" w:rsidP="00DE665D">
            <w:pPr>
              <w:pStyle w:val="Tabletext"/>
              <w:jc w:val="center"/>
            </w:pPr>
            <w:r>
              <w:rPr>
                <w:rFonts w:ascii="Calibri" w:hAnsi="Calibri" w:cs="Calibri"/>
                <w:color w:val="000000"/>
                <w:sz w:val="22"/>
                <w:szCs w:val="22"/>
              </w:rPr>
              <w:t>15.371</w:t>
            </w:r>
          </w:p>
        </w:tc>
      </w:tr>
      <w:tr w:rsidR="009B51F8" w:rsidRPr="00D936CF" w14:paraId="4109F23F" w14:textId="77777777" w:rsidTr="00970AD2">
        <w:trPr>
          <w:cantSplit/>
          <w:trHeight w:val="329"/>
        </w:trPr>
        <w:tc>
          <w:tcPr>
            <w:tcW w:w="2552" w:type="dxa"/>
            <w:shd w:val="clear" w:color="auto" w:fill="000000"/>
          </w:tcPr>
          <w:p w14:paraId="1DD60992" w14:textId="77777777" w:rsidR="009B51F8" w:rsidRPr="00970AD2" w:rsidRDefault="009B51F8" w:rsidP="00E032C6">
            <w:pPr>
              <w:pStyle w:val="Tabletext"/>
              <w:rPr>
                <w:highlight w:val="cyan"/>
              </w:rPr>
            </w:pPr>
          </w:p>
        </w:tc>
        <w:tc>
          <w:tcPr>
            <w:tcW w:w="6582" w:type="dxa"/>
            <w:gridSpan w:val="2"/>
            <w:shd w:val="clear" w:color="auto" w:fill="000000"/>
            <w:noWrap/>
          </w:tcPr>
          <w:p w14:paraId="3739D76B" w14:textId="77777777" w:rsidR="009B51F8" w:rsidRPr="00970AD2" w:rsidRDefault="009B51F8" w:rsidP="006C17DA">
            <w:pPr>
              <w:pStyle w:val="Tabletext"/>
            </w:pPr>
            <w:r w:rsidRPr="00970AD2">
              <w:t>Self-contained type refrigerated display cabinets</w:t>
            </w:r>
            <w:r w:rsidRPr="00970AD2">
              <w:rPr>
                <w:vertAlign w:val="superscript"/>
              </w:rPr>
              <w:t xml:space="preserve"> 1</w:t>
            </w:r>
          </w:p>
        </w:tc>
      </w:tr>
      <w:tr w:rsidR="00DE665D" w:rsidRPr="00C121AE" w14:paraId="6A2FF2D3" w14:textId="77777777" w:rsidTr="0064760C">
        <w:trPr>
          <w:cantSplit/>
          <w:trHeight w:val="329"/>
        </w:trPr>
        <w:tc>
          <w:tcPr>
            <w:tcW w:w="2552" w:type="dxa"/>
          </w:tcPr>
          <w:p w14:paraId="359F3494" w14:textId="77777777" w:rsidR="00DE665D" w:rsidRPr="00970AD2" w:rsidRDefault="00DE665D" w:rsidP="00DE665D">
            <w:pPr>
              <w:pStyle w:val="Tabletext"/>
            </w:pPr>
            <w:r w:rsidRPr="00970AD2">
              <w:t>5.7(HC1)</w:t>
            </w:r>
          </w:p>
        </w:tc>
        <w:tc>
          <w:tcPr>
            <w:tcW w:w="2786" w:type="dxa"/>
            <w:noWrap/>
          </w:tcPr>
          <w:p w14:paraId="37B0D580" w14:textId="77777777" w:rsidR="00DE665D" w:rsidRPr="00970AD2" w:rsidRDefault="00DE665D" w:rsidP="00DE665D">
            <w:pPr>
              <w:pStyle w:val="Tabletext"/>
            </w:pPr>
            <w:r w:rsidRPr="00970AD2">
              <w:t>HC1</w:t>
            </w:r>
          </w:p>
        </w:tc>
        <w:tc>
          <w:tcPr>
            <w:tcW w:w="3796" w:type="dxa"/>
            <w:noWrap/>
          </w:tcPr>
          <w:p w14:paraId="15FB7122" w14:textId="5AD75D18" w:rsidR="00DE665D" w:rsidRPr="00970AD2" w:rsidRDefault="00DE665D" w:rsidP="00DE665D">
            <w:pPr>
              <w:pStyle w:val="Tabletext"/>
              <w:jc w:val="center"/>
            </w:pPr>
            <w:r>
              <w:rPr>
                <w:rFonts w:ascii="Calibri" w:hAnsi="Calibri" w:cs="Calibri"/>
                <w:color w:val="000000"/>
                <w:sz w:val="22"/>
                <w:szCs w:val="22"/>
              </w:rPr>
              <w:t>7.008</w:t>
            </w:r>
          </w:p>
        </w:tc>
      </w:tr>
      <w:tr w:rsidR="00DE665D" w:rsidRPr="00C121AE" w14:paraId="72258CE4" w14:textId="77777777" w:rsidTr="0064760C">
        <w:trPr>
          <w:cantSplit/>
          <w:trHeight w:val="329"/>
        </w:trPr>
        <w:tc>
          <w:tcPr>
            <w:tcW w:w="2552" w:type="dxa"/>
          </w:tcPr>
          <w:p w14:paraId="4C8381D0" w14:textId="77777777" w:rsidR="00DE665D" w:rsidRPr="00970AD2" w:rsidRDefault="00DE665D" w:rsidP="00DE665D">
            <w:pPr>
              <w:pStyle w:val="Tabletext"/>
            </w:pPr>
            <w:r w:rsidRPr="00970AD2">
              <w:t>5.7(HC4)</w:t>
            </w:r>
          </w:p>
        </w:tc>
        <w:tc>
          <w:tcPr>
            <w:tcW w:w="2786" w:type="dxa"/>
            <w:noWrap/>
          </w:tcPr>
          <w:p w14:paraId="6C17D762" w14:textId="77777777" w:rsidR="00DE665D" w:rsidRPr="00970AD2" w:rsidRDefault="00DE665D" w:rsidP="00DE665D">
            <w:pPr>
              <w:pStyle w:val="Tabletext"/>
            </w:pPr>
            <w:r w:rsidRPr="00970AD2">
              <w:t>HC4</w:t>
            </w:r>
          </w:p>
        </w:tc>
        <w:tc>
          <w:tcPr>
            <w:tcW w:w="3796" w:type="dxa"/>
            <w:noWrap/>
          </w:tcPr>
          <w:p w14:paraId="69AECE19" w14:textId="131B5A5B" w:rsidR="00DE665D" w:rsidRPr="00970AD2" w:rsidRDefault="00DE665D" w:rsidP="00DE665D">
            <w:pPr>
              <w:pStyle w:val="Tabletext"/>
              <w:jc w:val="center"/>
            </w:pPr>
            <w:r>
              <w:rPr>
                <w:rFonts w:ascii="Calibri" w:hAnsi="Calibri" w:cs="Calibri"/>
                <w:color w:val="000000"/>
                <w:sz w:val="22"/>
                <w:szCs w:val="22"/>
              </w:rPr>
              <w:t>9.578</w:t>
            </w:r>
          </w:p>
        </w:tc>
      </w:tr>
      <w:tr w:rsidR="00DE665D" w:rsidRPr="00C121AE" w14:paraId="0BE228C1" w14:textId="77777777" w:rsidTr="0064760C">
        <w:trPr>
          <w:cantSplit/>
          <w:trHeight w:val="329"/>
        </w:trPr>
        <w:tc>
          <w:tcPr>
            <w:tcW w:w="2552" w:type="dxa"/>
          </w:tcPr>
          <w:p w14:paraId="259AF1AE" w14:textId="77777777" w:rsidR="00DE665D" w:rsidRPr="00970AD2" w:rsidRDefault="00DE665D" w:rsidP="00DE665D">
            <w:pPr>
              <w:pStyle w:val="Tabletext"/>
            </w:pPr>
            <w:r w:rsidRPr="00970AD2">
              <w:t>5.7(VC1)</w:t>
            </w:r>
          </w:p>
        </w:tc>
        <w:tc>
          <w:tcPr>
            <w:tcW w:w="2786" w:type="dxa"/>
            <w:noWrap/>
          </w:tcPr>
          <w:p w14:paraId="44365496" w14:textId="77777777" w:rsidR="00DE665D" w:rsidRPr="00970AD2" w:rsidRDefault="00DE665D" w:rsidP="00DE665D">
            <w:pPr>
              <w:pStyle w:val="Tabletext"/>
            </w:pPr>
            <w:r w:rsidRPr="00970AD2">
              <w:t>VC1</w:t>
            </w:r>
          </w:p>
        </w:tc>
        <w:tc>
          <w:tcPr>
            <w:tcW w:w="3796" w:type="dxa"/>
            <w:noWrap/>
          </w:tcPr>
          <w:p w14:paraId="7357D70E" w14:textId="1B661978" w:rsidR="00DE665D" w:rsidRPr="00970AD2" w:rsidRDefault="00DE665D" w:rsidP="00DE665D">
            <w:pPr>
              <w:pStyle w:val="Tabletext"/>
              <w:jc w:val="center"/>
            </w:pPr>
            <w:r>
              <w:rPr>
                <w:rFonts w:ascii="Calibri" w:hAnsi="Calibri" w:cs="Calibri"/>
                <w:color w:val="000000"/>
                <w:sz w:val="22"/>
                <w:szCs w:val="22"/>
              </w:rPr>
              <w:t>20.206</w:t>
            </w:r>
          </w:p>
        </w:tc>
      </w:tr>
      <w:tr w:rsidR="00DE665D" w:rsidRPr="00C121AE" w14:paraId="7BD5867C" w14:textId="77777777" w:rsidTr="0064760C">
        <w:trPr>
          <w:cantSplit/>
          <w:trHeight w:val="329"/>
        </w:trPr>
        <w:tc>
          <w:tcPr>
            <w:tcW w:w="2552" w:type="dxa"/>
          </w:tcPr>
          <w:p w14:paraId="7E42208B" w14:textId="77777777" w:rsidR="00DE665D" w:rsidRPr="00970AD2" w:rsidRDefault="00DE665D" w:rsidP="00DE665D">
            <w:pPr>
              <w:pStyle w:val="Tabletext"/>
            </w:pPr>
            <w:r w:rsidRPr="00970AD2">
              <w:t>5.7(VC2)</w:t>
            </w:r>
          </w:p>
        </w:tc>
        <w:tc>
          <w:tcPr>
            <w:tcW w:w="2786" w:type="dxa"/>
            <w:noWrap/>
          </w:tcPr>
          <w:p w14:paraId="49E769AF" w14:textId="77777777" w:rsidR="00DE665D" w:rsidRPr="00970AD2" w:rsidRDefault="00DE665D" w:rsidP="00DE665D">
            <w:pPr>
              <w:pStyle w:val="Tabletext"/>
            </w:pPr>
            <w:r w:rsidRPr="00970AD2">
              <w:t>VC2</w:t>
            </w:r>
          </w:p>
        </w:tc>
        <w:tc>
          <w:tcPr>
            <w:tcW w:w="3796" w:type="dxa"/>
            <w:noWrap/>
          </w:tcPr>
          <w:p w14:paraId="4DCE3BB6" w14:textId="36EBE437" w:rsidR="00DE665D" w:rsidRPr="00970AD2" w:rsidRDefault="00DE665D" w:rsidP="00DE665D">
            <w:pPr>
              <w:pStyle w:val="Tabletext"/>
              <w:jc w:val="center"/>
            </w:pPr>
            <w:r>
              <w:rPr>
                <w:rFonts w:ascii="Calibri" w:hAnsi="Calibri" w:cs="Calibri"/>
                <w:color w:val="000000"/>
                <w:sz w:val="22"/>
                <w:szCs w:val="22"/>
              </w:rPr>
              <w:t>16.118</w:t>
            </w:r>
          </w:p>
        </w:tc>
      </w:tr>
      <w:tr w:rsidR="00DE665D" w:rsidRPr="00C121AE" w14:paraId="7899F0E9" w14:textId="77777777" w:rsidTr="0064760C">
        <w:trPr>
          <w:cantSplit/>
          <w:trHeight w:val="329"/>
        </w:trPr>
        <w:tc>
          <w:tcPr>
            <w:tcW w:w="2552" w:type="dxa"/>
          </w:tcPr>
          <w:p w14:paraId="49954D4A" w14:textId="77777777" w:rsidR="00DE665D" w:rsidRPr="00970AD2" w:rsidRDefault="00DE665D" w:rsidP="00DE665D">
            <w:pPr>
              <w:pStyle w:val="Tabletext"/>
            </w:pPr>
            <w:r w:rsidRPr="00970AD2">
              <w:t xml:space="preserve">5.7(VC4 </w:t>
            </w:r>
            <w:r>
              <w:t>–</w:t>
            </w:r>
            <w:r w:rsidRPr="00970AD2">
              <w:t xml:space="preserve"> solid door)</w:t>
            </w:r>
          </w:p>
        </w:tc>
        <w:tc>
          <w:tcPr>
            <w:tcW w:w="2786" w:type="dxa"/>
            <w:noWrap/>
          </w:tcPr>
          <w:p w14:paraId="7FC2EEAA" w14:textId="77777777" w:rsidR="00DE665D" w:rsidRPr="00970AD2" w:rsidRDefault="00DE665D" w:rsidP="00DE665D">
            <w:pPr>
              <w:pStyle w:val="Tabletext"/>
            </w:pPr>
            <w:r w:rsidRPr="00970AD2">
              <w:t xml:space="preserve">VC4 </w:t>
            </w:r>
            <w:r>
              <w:t>–</w:t>
            </w:r>
            <w:r w:rsidRPr="00970AD2">
              <w:t xml:space="preserve"> solid door</w:t>
            </w:r>
          </w:p>
        </w:tc>
        <w:tc>
          <w:tcPr>
            <w:tcW w:w="3796" w:type="dxa"/>
            <w:noWrap/>
          </w:tcPr>
          <w:p w14:paraId="744AE757" w14:textId="129EE0BC" w:rsidR="00DE665D" w:rsidRPr="00970AD2" w:rsidRDefault="00DE665D" w:rsidP="00DE665D">
            <w:pPr>
              <w:pStyle w:val="Tabletext"/>
              <w:jc w:val="center"/>
            </w:pPr>
            <w:r>
              <w:rPr>
                <w:rFonts w:ascii="Calibri" w:hAnsi="Calibri" w:cs="Calibri"/>
                <w:color w:val="000000"/>
                <w:sz w:val="22"/>
                <w:szCs w:val="22"/>
              </w:rPr>
              <w:t>23.243</w:t>
            </w:r>
          </w:p>
        </w:tc>
      </w:tr>
      <w:tr w:rsidR="00DE665D" w:rsidRPr="00C121AE" w14:paraId="09CB6FC1" w14:textId="77777777" w:rsidTr="0064760C">
        <w:trPr>
          <w:cantSplit/>
          <w:trHeight w:val="329"/>
        </w:trPr>
        <w:tc>
          <w:tcPr>
            <w:tcW w:w="2552" w:type="dxa"/>
          </w:tcPr>
          <w:p w14:paraId="44BC01AC" w14:textId="77777777" w:rsidR="00DE665D" w:rsidRPr="00970AD2" w:rsidRDefault="00DE665D" w:rsidP="00DE665D">
            <w:pPr>
              <w:pStyle w:val="Tabletext"/>
            </w:pPr>
            <w:r w:rsidRPr="00970AD2">
              <w:t xml:space="preserve">5.7(VC4 </w:t>
            </w:r>
            <w:r>
              <w:t>–</w:t>
            </w:r>
            <w:r w:rsidRPr="00970AD2">
              <w:t xml:space="preserve"> glass door)</w:t>
            </w:r>
          </w:p>
        </w:tc>
        <w:tc>
          <w:tcPr>
            <w:tcW w:w="2786" w:type="dxa"/>
            <w:noWrap/>
          </w:tcPr>
          <w:p w14:paraId="7B98F407" w14:textId="77777777" w:rsidR="00DE665D" w:rsidRPr="00970AD2" w:rsidRDefault="00DE665D" w:rsidP="00DE665D">
            <w:pPr>
              <w:pStyle w:val="Tabletext"/>
            </w:pPr>
            <w:r w:rsidRPr="00970AD2">
              <w:t xml:space="preserve">VC4 </w:t>
            </w:r>
            <w:r>
              <w:t>–</w:t>
            </w:r>
            <w:r w:rsidRPr="00970AD2">
              <w:t xml:space="preserve"> glass door</w:t>
            </w:r>
          </w:p>
        </w:tc>
        <w:tc>
          <w:tcPr>
            <w:tcW w:w="3796" w:type="dxa"/>
            <w:noWrap/>
          </w:tcPr>
          <w:p w14:paraId="35D6BADD" w14:textId="74203C19" w:rsidR="00DE665D" w:rsidRPr="00970AD2" w:rsidRDefault="00DE665D" w:rsidP="00DE665D">
            <w:pPr>
              <w:pStyle w:val="Tabletext"/>
              <w:jc w:val="center"/>
            </w:pPr>
            <w:r>
              <w:rPr>
                <w:rFonts w:ascii="Calibri" w:hAnsi="Calibri" w:cs="Calibri"/>
                <w:color w:val="000000"/>
                <w:sz w:val="22"/>
                <w:szCs w:val="22"/>
              </w:rPr>
              <w:t>15.301</w:t>
            </w:r>
          </w:p>
        </w:tc>
      </w:tr>
      <w:tr w:rsidR="00DE665D" w:rsidRPr="00C121AE" w14:paraId="3AEAD0F0" w14:textId="77777777" w:rsidTr="0064760C">
        <w:trPr>
          <w:cantSplit/>
          <w:trHeight w:val="329"/>
        </w:trPr>
        <w:tc>
          <w:tcPr>
            <w:tcW w:w="2552" w:type="dxa"/>
          </w:tcPr>
          <w:p w14:paraId="5C8AECD1" w14:textId="77777777" w:rsidR="00DE665D" w:rsidRPr="00970AD2" w:rsidRDefault="00DE665D" w:rsidP="00DE665D">
            <w:pPr>
              <w:pStyle w:val="Tabletext"/>
            </w:pPr>
            <w:r w:rsidRPr="00970AD2">
              <w:t>5.7(HF4)</w:t>
            </w:r>
          </w:p>
        </w:tc>
        <w:tc>
          <w:tcPr>
            <w:tcW w:w="2786" w:type="dxa"/>
            <w:noWrap/>
          </w:tcPr>
          <w:p w14:paraId="58AC067C" w14:textId="77777777" w:rsidR="00DE665D" w:rsidRPr="00970AD2" w:rsidRDefault="00DE665D" w:rsidP="00DE665D">
            <w:pPr>
              <w:pStyle w:val="Tabletext"/>
            </w:pPr>
            <w:r w:rsidRPr="00970AD2">
              <w:t>HF4</w:t>
            </w:r>
          </w:p>
        </w:tc>
        <w:tc>
          <w:tcPr>
            <w:tcW w:w="3796" w:type="dxa"/>
            <w:noWrap/>
          </w:tcPr>
          <w:p w14:paraId="5A81A6DA" w14:textId="13AE86F1" w:rsidR="00DE665D" w:rsidRPr="00970AD2" w:rsidRDefault="00DE665D" w:rsidP="00DE665D">
            <w:pPr>
              <w:pStyle w:val="Tabletext"/>
              <w:jc w:val="center"/>
            </w:pPr>
            <w:r>
              <w:rPr>
                <w:rFonts w:ascii="Calibri" w:hAnsi="Calibri" w:cs="Calibri"/>
                <w:color w:val="000000"/>
                <w:sz w:val="22"/>
                <w:szCs w:val="22"/>
              </w:rPr>
              <w:t>16.352</w:t>
            </w:r>
          </w:p>
        </w:tc>
      </w:tr>
      <w:tr w:rsidR="00DE665D" w:rsidRPr="00C121AE" w14:paraId="38FBA9B7" w14:textId="77777777" w:rsidTr="0064760C">
        <w:trPr>
          <w:cantSplit/>
          <w:trHeight w:val="329"/>
        </w:trPr>
        <w:tc>
          <w:tcPr>
            <w:tcW w:w="2552" w:type="dxa"/>
          </w:tcPr>
          <w:p w14:paraId="5D5E5590" w14:textId="77777777" w:rsidR="00DE665D" w:rsidRPr="00970AD2" w:rsidRDefault="00DE665D" w:rsidP="00DE665D">
            <w:pPr>
              <w:pStyle w:val="Tabletext"/>
            </w:pPr>
            <w:r w:rsidRPr="00970AD2">
              <w:t>5.7(HF6)</w:t>
            </w:r>
          </w:p>
        </w:tc>
        <w:tc>
          <w:tcPr>
            <w:tcW w:w="2786" w:type="dxa"/>
            <w:noWrap/>
          </w:tcPr>
          <w:p w14:paraId="07054F01" w14:textId="77777777" w:rsidR="00DE665D" w:rsidRPr="00970AD2" w:rsidRDefault="00DE665D" w:rsidP="00DE665D">
            <w:pPr>
              <w:pStyle w:val="Tabletext"/>
            </w:pPr>
            <w:r w:rsidRPr="00970AD2">
              <w:t>HF6</w:t>
            </w:r>
          </w:p>
        </w:tc>
        <w:tc>
          <w:tcPr>
            <w:tcW w:w="3796" w:type="dxa"/>
            <w:noWrap/>
          </w:tcPr>
          <w:p w14:paraId="71B49D19" w14:textId="297B88C5" w:rsidR="00DE665D" w:rsidRPr="00970AD2" w:rsidRDefault="00DE665D" w:rsidP="00DE665D">
            <w:pPr>
              <w:pStyle w:val="Tabletext"/>
              <w:jc w:val="center"/>
            </w:pPr>
            <w:r>
              <w:rPr>
                <w:rFonts w:ascii="Calibri" w:hAnsi="Calibri" w:cs="Calibri"/>
                <w:color w:val="000000"/>
                <w:sz w:val="22"/>
                <w:szCs w:val="22"/>
              </w:rPr>
              <w:t>4.906</w:t>
            </w:r>
          </w:p>
        </w:tc>
      </w:tr>
      <w:tr w:rsidR="00DE665D" w:rsidRPr="00C121AE" w14:paraId="6C0D42F2" w14:textId="77777777" w:rsidTr="0064760C">
        <w:trPr>
          <w:cantSplit/>
          <w:trHeight w:val="329"/>
        </w:trPr>
        <w:tc>
          <w:tcPr>
            <w:tcW w:w="2552" w:type="dxa"/>
          </w:tcPr>
          <w:p w14:paraId="29AA9F08" w14:textId="77777777" w:rsidR="00DE665D" w:rsidRPr="00970AD2" w:rsidRDefault="00DE665D" w:rsidP="00DE665D">
            <w:pPr>
              <w:pStyle w:val="Tabletext"/>
            </w:pPr>
            <w:r w:rsidRPr="00970AD2">
              <w:t xml:space="preserve">5.7(VF4 </w:t>
            </w:r>
            <w:r>
              <w:t>–</w:t>
            </w:r>
            <w:r w:rsidRPr="00970AD2">
              <w:t xml:space="preserve"> solid door)</w:t>
            </w:r>
          </w:p>
        </w:tc>
        <w:tc>
          <w:tcPr>
            <w:tcW w:w="2786" w:type="dxa"/>
            <w:noWrap/>
          </w:tcPr>
          <w:p w14:paraId="11A3CFAC" w14:textId="77777777" w:rsidR="00DE665D" w:rsidRPr="00970AD2" w:rsidRDefault="00DE665D" w:rsidP="00DE665D">
            <w:pPr>
              <w:pStyle w:val="Tabletext"/>
            </w:pPr>
            <w:r w:rsidRPr="00970AD2">
              <w:t xml:space="preserve">VF4 </w:t>
            </w:r>
            <w:r>
              <w:t>–</w:t>
            </w:r>
            <w:r w:rsidRPr="00970AD2">
              <w:t xml:space="preserve"> solid door</w:t>
            </w:r>
          </w:p>
        </w:tc>
        <w:tc>
          <w:tcPr>
            <w:tcW w:w="3796" w:type="dxa"/>
            <w:noWrap/>
          </w:tcPr>
          <w:p w14:paraId="5462C430" w14:textId="033AB068" w:rsidR="00DE665D" w:rsidRPr="00970AD2" w:rsidRDefault="00DE665D" w:rsidP="00DE665D">
            <w:pPr>
              <w:pStyle w:val="Tabletext"/>
              <w:jc w:val="center"/>
            </w:pPr>
            <w:r>
              <w:rPr>
                <w:rFonts w:ascii="Calibri" w:hAnsi="Calibri" w:cs="Calibri"/>
                <w:color w:val="000000"/>
                <w:sz w:val="22"/>
                <w:szCs w:val="22"/>
              </w:rPr>
              <w:t>25.579</w:t>
            </w:r>
          </w:p>
        </w:tc>
      </w:tr>
      <w:tr w:rsidR="00DE665D" w:rsidRPr="00D936CF" w14:paraId="130A2BA3" w14:textId="77777777" w:rsidTr="0064760C">
        <w:trPr>
          <w:cantSplit/>
          <w:trHeight w:val="329"/>
        </w:trPr>
        <w:tc>
          <w:tcPr>
            <w:tcW w:w="2552" w:type="dxa"/>
          </w:tcPr>
          <w:p w14:paraId="53CE3221" w14:textId="77777777" w:rsidR="00DE665D" w:rsidRPr="00970AD2" w:rsidRDefault="00DE665D" w:rsidP="00DE665D">
            <w:pPr>
              <w:pStyle w:val="Tabletext"/>
            </w:pPr>
            <w:r w:rsidRPr="00970AD2">
              <w:t xml:space="preserve">5.7(VF4 </w:t>
            </w:r>
            <w:r>
              <w:t>–</w:t>
            </w:r>
            <w:r w:rsidRPr="00970AD2">
              <w:t xml:space="preserve"> glass door)</w:t>
            </w:r>
          </w:p>
        </w:tc>
        <w:tc>
          <w:tcPr>
            <w:tcW w:w="2786" w:type="dxa"/>
            <w:noWrap/>
          </w:tcPr>
          <w:p w14:paraId="2865EB57" w14:textId="77777777" w:rsidR="00DE665D" w:rsidRPr="00970AD2" w:rsidRDefault="00DE665D" w:rsidP="00DE665D">
            <w:pPr>
              <w:pStyle w:val="Tabletext"/>
            </w:pPr>
            <w:r w:rsidRPr="00970AD2">
              <w:t xml:space="preserve">VF4 </w:t>
            </w:r>
            <w:r>
              <w:t>–</w:t>
            </w:r>
            <w:r w:rsidRPr="00970AD2">
              <w:t xml:space="preserve"> glass door</w:t>
            </w:r>
          </w:p>
        </w:tc>
        <w:tc>
          <w:tcPr>
            <w:tcW w:w="3796" w:type="dxa"/>
            <w:noWrap/>
          </w:tcPr>
          <w:p w14:paraId="690229CA" w14:textId="7D8E3A27" w:rsidR="00DE665D" w:rsidRPr="00970AD2" w:rsidRDefault="00DE665D" w:rsidP="00DE665D">
            <w:pPr>
              <w:pStyle w:val="Tabletext"/>
              <w:jc w:val="center"/>
            </w:pPr>
            <w:r>
              <w:rPr>
                <w:rFonts w:ascii="Calibri" w:hAnsi="Calibri" w:cs="Calibri"/>
                <w:color w:val="000000"/>
                <w:sz w:val="22"/>
                <w:szCs w:val="22"/>
              </w:rPr>
              <w:t>25.579</w:t>
            </w:r>
          </w:p>
        </w:tc>
      </w:tr>
    </w:tbl>
    <w:p w14:paraId="0838CC5B" w14:textId="77777777" w:rsidR="00381D7F" w:rsidRPr="001C50FA" w:rsidRDefault="001365CE" w:rsidP="002A1516">
      <w:pPr>
        <w:pStyle w:val="Notesandexamples"/>
      </w:pPr>
      <w:r w:rsidRPr="00970AD2">
        <w:t xml:space="preserve">Note </w:t>
      </w:r>
      <w:r w:rsidR="0071198D" w:rsidRPr="00970AD2">
        <w:tab/>
      </w:r>
      <w:r w:rsidRPr="00970AD2">
        <w:t>This activity applies only to M-</w:t>
      </w:r>
      <w:r w:rsidRPr="002A1516">
        <w:t>package</w:t>
      </w:r>
      <w:r w:rsidRPr="00970AD2">
        <w:t xml:space="preserve"> temperature classes M1, M2, L1 and L2 (as applicable) as defined in </w:t>
      </w:r>
      <w:bookmarkStart w:id="371" w:name="_Toc333417628"/>
      <w:r w:rsidR="001C50FA">
        <w:t>the AS 1731 series of standards</w:t>
      </w:r>
      <w:r w:rsidR="006C17DA">
        <w:t>.</w:t>
      </w:r>
    </w:p>
    <w:p w14:paraId="0604851F" w14:textId="77777777" w:rsidR="00E07DD0" w:rsidRPr="00970AD2" w:rsidRDefault="001C50FA" w:rsidP="00E032C6">
      <w:pPr>
        <w:pStyle w:val="SectionHeading1"/>
      </w:pPr>
      <w:bookmarkStart w:id="372" w:name="_Toc466535751"/>
      <w:r>
        <w:br w:type="page"/>
      </w:r>
      <w:bookmarkStart w:id="373" w:name="_Toc27560572"/>
      <w:bookmarkEnd w:id="371"/>
      <w:r w:rsidR="00D61926" w:rsidRPr="00970AD2">
        <w:lastRenderedPageBreak/>
        <w:t>Dictionary</w:t>
      </w:r>
      <w:bookmarkEnd w:id="372"/>
      <w:bookmarkEnd w:id="373"/>
      <w:r w:rsidR="00D61926" w:rsidRPr="00970AD2">
        <w:t xml:space="preserve"> </w:t>
      </w:r>
    </w:p>
    <w:p w14:paraId="7673A35E" w14:textId="77777777" w:rsidR="009951B3" w:rsidRPr="00970AD2" w:rsidRDefault="009951B3" w:rsidP="00E032C6">
      <w:pPr>
        <w:pStyle w:val="Notesandexamples"/>
      </w:pPr>
      <w:r w:rsidRPr="00970AD2">
        <w:t>Note 1</w:t>
      </w:r>
      <w:r w:rsidR="00834A1D" w:rsidRPr="00970AD2">
        <w:t xml:space="preserve"> </w:t>
      </w:r>
      <w:r w:rsidR="00834A1D" w:rsidRPr="00970AD2">
        <w:tab/>
      </w:r>
      <w:r w:rsidRPr="00970AD2">
        <w:t xml:space="preserve">This dictionary should be used for the interpretation of provisions for eligible activities described in </w:t>
      </w:r>
      <w:r w:rsidR="002A1516">
        <w:t>this instrument.</w:t>
      </w:r>
    </w:p>
    <w:p w14:paraId="4D4F3453" w14:textId="77777777" w:rsidR="00BA5AC2" w:rsidRPr="00970AD2" w:rsidRDefault="009951B3" w:rsidP="00E032C6">
      <w:pPr>
        <w:pStyle w:val="Notesandexamples"/>
      </w:pPr>
      <w:r w:rsidRPr="00970AD2">
        <w:t>Note 2</w:t>
      </w:r>
      <w:r w:rsidRPr="00970AD2">
        <w:tab/>
        <w:t xml:space="preserve">Other terms may apply to this instrument. Terms not defined in this </w:t>
      </w:r>
      <w:r w:rsidR="00EA0605">
        <w:t>dictionary</w:t>
      </w:r>
      <w:r w:rsidR="00EA0605" w:rsidRPr="00970AD2">
        <w:t xml:space="preserve"> </w:t>
      </w:r>
      <w:r w:rsidRPr="00970AD2">
        <w:t>but defined in associated legislation have the same meaning as that legislation unless it is evident a contrary meaning is intended.</w:t>
      </w:r>
    </w:p>
    <w:p w14:paraId="729732A2" w14:textId="77777777" w:rsidR="00B75D20" w:rsidRPr="00970AD2" w:rsidRDefault="00C72D05" w:rsidP="001C24E1">
      <w:pPr>
        <w:pStyle w:val="Dictionary"/>
      </w:pPr>
      <w:r w:rsidRPr="00970AD2">
        <w:rPr>
          <w:b/>
          <w:i/>
        </w:rPr>
        <w:t>a</w:t>
      </w:r>
      <w:r w:rsidR="001A78F3" w:rsidRPr="00970AD2">
        <w:rPr>
          <w:b/>
          <w:i/>
        </w:rPr>
        <w:t xml:space="preserve">ccredited </w:t>
      </w:r>
      <w:r w:rsidRPr="00970AD2">
        <w:rPr>
          <w:b/>
          <w:i/>
        </w:rPr>
        <w:t>b</w:t>
      </w:r>
      <w:r w:rsidR="001A78F3" w:rsidRPr="00970AD2">
        <w:rPr>
          <w:b/>
          <w:i/>
        </w:rPr>
        <w:t>ody</w:t>
      </w:r>
      <w:r w:rsidR="009951B3" w:rsidRPr="00970AD2">
        <w:t xml:space="preserve">, in </w:t>
      </w:r>
      <w:r w:rsidR="001A78F3" w:rsidRPr="00970AD2">
        <w:t xml:space="preserve">relation to a product, means a conformity assessment body or other body accredited under </w:t>
      </w:r>
      <w:r w:rsidR="0003135F" w:rsidRPr="00970AD2">
        <w:t xml:space="preserve">Territory </w:t>
      </w:r>
      <w:r w:rsidR="001A78F3" w:rsidRPr="00970AD2">
        <w:t>law or the Joint Accreditation System of Australia and New Zealand to give product certification or component certification of certain products.</w:t>
      </w:r>
    </w:p>
    <w:p w14:paraId="2D7E72EE" w14:textId="77777777" w:rsidR="00B75D20" w:rsidRPr="00970AD2" w:rsidRDefault="00C72D05" w:rsidP="002566B1">
      <w:pPr>
        <w:pStyle w:val="Dictionary"/>
      </w:pPr>
      <w:r w:rsidRPr="00970AD2">
        <w:rPr>
          <w:b/>
          <w:bCs/>
          <w:i/>
          <w:iCs/>
        </w:rPr>
        <w:t>A</w:t>
      </w:r>
      <w:r w:rsidR="001A78F3" w:rsidRPr="00970AD2">
        <w:rPr>
          <w:b/>
          <w:bCs/>
          <w:i/>
          <w:iCs/>
        </w:rPr>
        <w:t xml:space="preserve">ctive </w:t>
      </w:r>
      <w:r w:rsidRPr="00970AD2">
        <w:rPr>
          <w:b/>
          <w:bCs/>
          <w:i/>
          <w:iCs/>
        </w:rPr>
        <w:t>S</w:t>
      </w:r>
      <w:r w:rsidR="001A78F3" w:rsidRPr="00970AD2">
        <w:rPr>
          <w:b/>
          <w:bCs/>
          <w:i/>
          <w:iCs/>
        </w:rPr>
        <w:t>tate</w:t>
      </w:r>
      <w:r w:rsidR="001A78F3" w:rsidRPr="00970AD2">
        <w:t xml:space="preserve">, in relation to a computer, means a state in which the computer is carrying out useful work in response to prior or concurrent— </w:t>
      </w:r>
    </w:p>
    <w:p w14:paraId="670BD486" w14:textId="77777777" w:rsidR="00B75D20" w:rsidRPr="00970AD2" w:rsidRDefault="001A78F3" w:rsidP="00D633D3">
      <w:pPr>
        <w:pStyle w:val="Subdetailsfirstindent"/>
        <w:numPr>
          <w:ilvl w:val="0"/>
          <w:numId w:val="152"/>
        </w:numPr>
        <w:ind w:left="1701" w:hanging="425"/>
      </w:pPr>
      <w:r w:rsidRPr="00970AD2">
        <w:t xml:space="preserve">user input; or </w:t>
      </w:r>
    </w:p>
    <w:p w14:paraId="4BE4FE22" w14:textId="77777777" w:rsidR="00B75D20" w:rsidRPr="00970AD2" w:rsidRDefault="001A78F3" w:rsidP="00D633D3">
      <w:pPr>
        <w:pStyle w:val="Subdetailsfirstindent"/>
        <w:numPr>
          <w:ilvl w:val="0"/>
          <w:numId w:val="152"/>
        </w:numPr>
        <w:ind w:left="1701" w:hanging="425"/>
      </w:pPr>
      <w:r w:rsidRPr="00970AD2">
        <w:t>instruction over a network</w:t>
      </w:r>
      <w:r w:rsidR="004B572A" w:rsidRPr="00970AD2">
        <w:t>.</w:t>
      </w:r>
    </w:p>
    <w:p w14:paraId="2AF635F2" w14:textId="77777777" w:rsidR="00B75D20" w:rsidRPr="00970AD2" w:rsidRDefault="00C72D05" w:rsidP="002566B1">
      <w:pPr>
        <w:pStyle w:val="Dictionary"/>
      </w:pPr>
      <w:r w:rsidRPr="00970AD2">
        <w:rPr>
          <w:b/>
          <w:i/>
        </w:rPr>
        <w:t>a</w:t>
      </w:r>
      <w:r w:rsidR="001A78F3" w:rsidRPr="00970AD2">
        <w:rPr>
          <w:b/>
          <w:i/>
        </w:rPr>
        <w:t>ctivity certification</w:t>
      </w:r>
      <w:r w:rsidRPr="00970AD2">
        <w:rPr>
          <w:b/>
        </w:rPr>
        <w:t xml:space="preserve"> </w:t>
      </w:r>
      <w:r w:rsidR="001A78F3" w:rsidRPr="00970AD2">
        <w:t xml:space="preserve">means the certification prepared by a person or people involved in carrying out an activity declaring compliance with </w:t>
      </w:r>
      <w:r w:rsidR="0003135F" w:rsidRPr="00970AD2">
        <w:t xml:space="preserve">relevant activity </w:t>
      </w:r>
      <w:r w:rsidR="001A78F3" w:rsidRPr="00970AD2">
        <w:t xml:space="preserve">eligibility requirements and </w:t>
      </w:r>
      <w:r w:rsidR="0003135F" w:rsidRPr="00970AD2">
        <w:t>includes any statutory certifications required under another law of the Territory.</w:t>
      </w:r>
    </w:p>
    <w:p w14:paraId="4280455A" w14:textId="77777777" w:rsidR="00B75D20" w:rsidRPr="00970AD2" w:rsidRDefault="00C72D05" w:rsidP="002566B1">
      <w:pPr>
        <w:pStyle w:val="Dictionary"/>
        <w:rPr>
          <w:b/>
        </w:rPr>
      </w:pPr>
      <w:r w:rsidRPr="00970AD2">
        <w:rPr>
          <w:b/>
          <w:i/>
        </w:rPr>
        <w:t>a</w:t>
      </w:r>
      <w:r w:rsidR="001A78F3" w:rsidRPr="00970AD2">
        <w:rPr>
          <w:b/>
          <w:i/>
        </w:rPr>
        <w:t>ir sealing</w:t>
      </w:r>
      <w:r w:rsidRPr="00970AD2">
        <w:rPr>
          <w:b/>
        </w:rPr>
        <w:t xml:space="preserve"> </w:t>
      </w:r>
      <w:r w:rsidR="001A78F3" w:rsidRPr="00970AD2">
        <w:t>means</w:t>
      </w:r>
      <w:r w:rsidR="009D2D19" w:rsidRPr="00970AD2">
        <w:t xml:space="preserve"> sealing of openings between </w:t>
      </w:r>
      <w:r w:rsidR="0003135F" w:rsidRPr="00970AD2">
        <w:t>materials</w:t>
      </w:r>
      <w:r w:rsidR="009D2D19" w:rsidRPr="00970AD2">
        <w:t xml:space="preserve"> in a building to minimise air leakage from and air infiltration between rooms in a building, but not necessarily to exclude rain or other </w:t>
      </w:r>
      <w:r w:rsidR="0003135F" w:rsidRPr="00970AD2">
        <w:t>effects of weather</w:t>
      </w:r>
      <w:r w:rsidR="009D2D19" w:rsidRPr="00970AD2">
        <w:t xml:space="preserve">. </w:t>
      </w:r>
      <w:r w:rsidRPr="00970AD2">
        <w:rPr>
          <w:b/>
        </w:rPr>
        <w:t xml:space="preserve"> </w:t>
      </w:r>
    </w:p>
    <w:p w14:paraId="4DF16FA0" w14:textId="77777777" w:rsidR="00B75D20" w:rsidRPr="00970AD2" w:rsidRDefault="0003135F" w:rsidP="002566B1">
      <w:pPr>
        <w:pStyle w:val="Dictionary"/>
        <w:rPr>
          <w:rFonts w:eastAsia="Times New Roman"/>
        </w:rPr>
      </w:pPr>
      <w:r w:rsidRPr="00970AD2">
        <w:rPr>
          <w:rFonts w:eastAsia="Times New Roman"/>
          <w:b/>
          <w:i/>
        </w:rPr>
        <w:t>ANSI A100</w:t>
      </w:r>
      <w:r w:rsidRPr="00970AD2">
        <w:rPr>
          <w:rFonts w:eastAsia="Times New Roman"/>
        </w:rPr>
        <w:t xml:space="preserve"> means the </w:t>
      </w:r>
      <w:r w:rsidRPr="00970AD2">
        <w:rPr>
          <w:rFonts w:eastAsia="Times New Roman"/>
          <w:i/>
        </w:rPr>
        <w:t>American National Standard for Safety of Corded Window Covering Products</w:t>
      </w:r>
      <w:r w:rsidRPr="00970AD2">
        <w:rPr>
          <w:rFonts w:eastAsia="Times New Roman"/>
        </w:rPr>
        <w:t xml:space="preserve"> as in </w:t>
      </w:r>
      <w:r w:rsidRPr="00970AD2">
        <w:t>force</w:t>
      </w:r>
      <w:r w:rsidRPr="00970AD2">
        <w:rPr>
          <w:rFonts w:eastAsia="Times New Roman"/>
        </w:rPr>
        <w:t xml:space="preserve"> from time to time. </w:t>
      </w:r>
    </w:p>
    <w:p w14:paraId="42543679" w14:textId="77777777" w:rsidR="00B75D20" w:rsidRPr="00970AD2" w:rsidRDefault="001A78F3" w:rsidP="002566B1">
      <w:pPr>
        <w:pStyle w:val="Dictionary"/>
      </w:pPr>
      <w:r w:rsidRPr="00970AD2">
        <w:rPr>
          <w:b/>
          <w:bCs/>
          <w:i/>
          <w:iCs/>
        </w:rPr>
        <w:t xml:space="preserve">approved laboratory </w:t>
      </w:r>
      <w:r w:rsidRPr="00970AD2">
        <w:t>means a laboratory that is accredited by the National Association of Testing Authorities or registered by an authority recognised by the National Association of Testing Authorities under</w:t>
      </w:r>
      <w:r w:rsidR="0003135F" w:rsidRPr="00970AD2">
        <w:t xml:space="preserve"> a mutual recognition agreement.</w:t>
      </w:r>
    </w:p>
    <w:p w14:paraId="33BAA8A2" w14:textId="77777777" w:rsidR="00B75D20" w:rsidRPr="00970AD2" w:rsidRDefault="0003135F" w:rsidP="002566B1">
      <w:pPr>
        <w:pStyle w:val="Dictionary"/>
      </w:pPr>
      <w:r w:rsidRPr="00970AD2">
        <w:rPr>
          <w:b/>
          <w:i/>
        </w:rPr>
        <w:t>AS 1288</w:t>
      </w:r>
      <w:r w:rsidRPr="00970AD2">
        <w:t xml:space="preserve"> </w:t>
      </w:r>
      <w:r w:rsidR="00A61264" w:rsidRPr="00970AD2">
        <w:t xml:space="preserve">means </w:t>
      </w:r>
      <w:r w:rsidR="00681C4D" w:rsidRPr="00970AD2">
        <w:t xml:space="preserve">the relevant parts of </w:t>
      </w:r>
      <w:r w:rsidR="00A61264" w:rsidRPr="00970AD2">
        <w:t xml:space="preserve">Australian Standard </w:t>
      </w:r>
      <w:r w:rsidRPr="00970AD2">
        <w:t>1288</w:t>
      </w:r>
      <w:r w:rsidR="0014137D" w:rsidRPr="00970AD2">
        <w:t xml:space="preserve"> as in force from time to time</w:t>
      </w:r>
      <w:r w:rsidR="00A61264" w:rsidRPr="00970AD2">
        <w:t>.</w:t>
      </w:r>
      <w:r w:rsidRPr="00970AD2">
        <w:t xml:space="preserve"> </w:t>
      </w:r>
    </w:p>
    <w:p w14:paraId="1AE41F2D" w14:textId="77777777" w:rsidR="00EC11BA" w:rsidRDefault="00EC11BA" w:rsidP="002566B1">
      <w:pPr>
        <w:pStyle w:val="Dictionary"/>
        <w:rPr>
          <w:b/>
          <w:i/>
        </w:rPr>
      </w:pPr>
      <w:r w:rsidRPr="00EC11BA">
        <w:rPr>
          <w:b/>
          <w:i/>
        </w:rPr>
        <w:t>AS</w:t>
      </w:r>
      <w:r>
        <w:rPr>
          <w:b/>
          <w:i/>
        </w:rPr>
        <w:t xml:space="preserve"> </w:t>
      </w:r>
      <w:r w:rsidRPr="00EC11BA">
        <w:rPr>
          <w:b/>
          <w:i/>
        </w:rPr>
        <w:t>1530</w:t>
      </w:r>
      <w:r>
        <w:rPr>
          <w:b/>
          <w:i/>
        </w:rPr>
        <w:t xml:space="preserve"> </w:t>
      </w:r>
      <w:r w:rsidRPr="00EC11BA">
        <w:t>means the relevant parts of Australian Standard 1530 as in force from time to time.</w:t>
      </w:r>
    </w:p>
    <w:p w14:paraId="3C8CD066" w14:textId="77777777" w:rsidR="001F4B3C" w:rsidRPr="00970AD2" w:rsidRDefault="001F4B3C" w:rsidP="002566B1">
      <w:pPr>
        <w:pStyle w:val="Dictionary"/>
        <w:rPr>
          <w:i/>
        </w:rPr>
      </w:pPr>
      <w:r w:rsidRPr="00970AD2">
        <w:rPr>
          <w:b/>
          <w:i/>
        </w:rPr>
        <w:t>AS 1731</w:t>
      </w:r>
      <w:r w:rsidRPr="00970AD2">
        <w:rPr>
          <w:i/>
        </w:rPr>
        <w:t xml:space="preserve"> </w:t>
      </w:r>
      <w:r w:rsidRPr="00970AD2">
        <w:t xml:space="preserve">means </w:t>
      </w:r>
      <w:r w:rsidR="00681C4D" w:rsidRPr="00970AD2">
        <w:t xml:space="preserve">the relevant parts of </w:t>
      </w:r>
      <w:r w:rsidRPr="00970AD2">
        <w:t>Australian Standard 1731 as in force from time to time.</w:t>
      </w:r>
    </w:p>
    <w:p w14:paraId="0123A4BD" w14:textId="77777777" w:rsidR="00B75D20" w:rsidRPr="00970AD2" w:rsidRDefault="0003135F" w:rsidP="002566B1">
      <w:pPr>
        <w:pStyle w:val="Dictionary"/>
      </w:pPr>
      <w:r w:rsidRPr="00970AD2">
        <w:rPr>
          <w:b/>
          <w:i/>
        </w:rPr>
        <w:t>AS 2047</w:t>
      </w:r>
      <w:r w:rsidRPr="00970AD2">
        <w:t xml:space="preserve"> </w:t>
      </w:r>
      <w:r w:rsidR="00A61264" w:rsidRPr="00970AD2">
        <w:t xml:space="preserve">means </w:t>
      </w:r>
      <w:r w:rsidR="00681C4D" w:rsidRPr="00970AD2">
        <w:t xml:space="preserve">the relevant parts of </w:t>
      </w:r>
      <w:r w:rsidR="00A61264" w:rsidRPr="00970AD2">
        <w:t xml:space="preserve">Australian Standard </w:t>
      </w:r>
      <w:r w:rsidRPr="00970AD2">
        <w:t>2047</w:t>
      </w:r>
      <w:r w:rsidR="0014137D" w:rsidRPr="00970AD2">
        <w:t xml:space="preserve"> as in force from time to time</w:t>
      </w:r>
      <w:r w:rsidR="00A61264" w:rsidRPr="00970AD2">
        <w:t>.</w:t>
      </w:r>
      <w:r w:rsidRPr="00970AD2">
        <w:t xml:space="preserve"> </w:t>
      </w:r>
    </w:p>
    <w:p w14:paraId="4F73854E" w14:textId="77777777" w:rsidR="0014137D" w:rsidRPr="00970AD2" w:rsidRDefault="0014137D" w:rsidP="002566B1">
      <w:pPr>
        <w:pStyle w:val="Dictionary"/>
      </w:pPr>
      <w:r w:rsidRPr="00970AD2">
        <w:rPr>
          <w:b/>
          <w:i/>
        </w:rPr>
        <w:t>AS 3662</w:t>
      </w:r>
      <w:r w:rsidRPr="00970AD2">
        <w:t xml:space="preserve"> means </w:t>
      </w:r>
      <w:r w:rsidR="00681C4D" w:rsidRPr="00970AD2">
        <w:t xml:space="preserve">the relevant parts of </w:t>
      </w:r>
      <w:r w:rsidRPr="00970AD2">
        <w:t xml:space="preserve">Australian Standard 3662 as in force from time to time. </w:t>
      </w:r>
    </w:p>
    <w:p w14:paraId="1DCDE658" w14:textId="77777777" w:rsidR="00C95583" w:rsidRDefault="004B572A" w:rsidP="002566B1">
      <w:pPr>
        <w:pStyle w:val="Dictionary"/>
      </w:pPr>
      <w:r w:rsidRPr="00970AD2">
        <w:rPr>
          <w:b/>
          <w:i/>
        </w:rPr>
        <w:t>AS 3823</w:t>
      </w:r>
      <w:r w:rsidRPr="00970AD2">
        <w:t xml:space="preserve"> means the relevant parts of Australian Standard 3823 as in force from time to time.</w:t>
      </w:r>
    </w:p>
    <w:p w14:paraId="7F0A7736" w14:textId="77777777" w:rsidR="004B572A" w:rsidRPr="00970AD2" w:rsidRDefault="00C95583" w:rsidP="002566B1">
      <w:pPr>
        <w:pStyle w:val="Dictionary"/>
      </w:pPr>
      <w:r>
        <w:rPr>
          <w:b/>
          <w:i/>
        </w:rPr>
        <w:t xml:space="preserve">AS 3999 </w:t>
      </w:r>
      <w:r w:rsidRPr="00F0256F">
        <w:t>means</w:t>
      </w:r>
      <w:r>
        <w:t xml:space="preserve"> the relevant parts of Australian Standard 3999 as in force from time to time.</w:t>
      </w:r>
      <w:r w:rsidR="004B572A" w:rsidRPr="00C95583">
        <w:t xml:space="preserve"> </w:t>
      </w:r>
    </w:p>
    <w:p w14:paraId="4F8C4A21" w14:textId="77777777" w:rsidR="004B572A" w:rsidRPr="00970AD2" w:rsidRDefault="004B572A" w:rsidP="002566B1">
      <w:pPr>
        <w:pStyle w:val="Dictionary"/>
      </w:pPr>
      <w:r w:rsidRPr="00970AD2">
        <w:rPr>
          <w:b/>
          <w:i/>
        </w:rPr>
        <w:t>AS 4234</w:t>
      </w:r>
      <w:r w:rsidRPr="00970AD2">
        <w:t xml:space="preserve"> means the relevant parts of Australian Standard 4234 as in force from time to time. </w:t>
      </w:r>
    </w:p>
    <w:p w14:paraId="5404A309" w14:textId="77777777" w:rsidR="00CE64CC" w:rsidRPr="00970AD2" w:rsidRDefault="0003135F" w:rsidP="002566B1">
      <w:pPr>
        <w:pStyle w:val="Dictionary"/>
      </w:pPr>
      <w:r w:rsidRPr="00970AD2">
        <w:rPr>
          <w:b/>
          <w:i/>
        </w:rPr>
        <w:t>AS 4254</w:t>
      </w:r>
      <w:r w:rsidRPr="00970AD2">
        <w:t xml:space="preserve"> </w:t>
      </w:r>
      <w:r w:rsidR="00A61264" w:rsidRPr="00970AD2">
        <w:t xml:space="preserve">means </w:t>
      </w:r>
      <w:r w:rsidR="005A7235" w:rsidRPr="00970AD2">
        <w:t xml:space="preserve">the relevant parts of </w:t>
      </w:r>
      <w:r w:rsidR="00A61264" w:rsidRPr="00970AD2">
        <w:t xml:space="preserve">Australian Standard </w:t>
      </w:r>
      <w:r w:rsidRPr="00970AD2">
        <w:t>4254</w:t>
      </w:r>
      <w:r w:rsidR="0014137D" w:rsidRPr="00970AD2">
        <w:t xml:space="preserve"> as in force from time to time</w:t>
      </w:r>
      <w:r w:rsidR="00A61264" w:rsidRPr="00970AD2">
        <w:t>.</w:t>
      </w:r>
      <w:r w:rsidRPr="00970AD2">
        <w:t xml:space="preserve"> </w:t>
      </w:r>
    </w:p>
    <w:p w14:paraId="50EF824F" w14:textId="77777777" w:rsidR="00712099" w:rsidRPr="00712099" w:rsidRDefault="00712099" w:rsidP="002566B1">
      <w:pPr>
        <w:pStyle w:val="Dictionary"/>
      </w:pPr>
      <w:r w:rsidRPr="00712099">
        <w:rPr>
          <w:b/>
          <w:i/>
        </w:rPr>
        <w:t>AS 4755</w:t>
      </w:r>
      <w:r>
        <w:rPr>
          <w:b/>
          <w:i/>
        </w:rPr>
        <w:t xml:space="preserve"> </w:t>
      </w:r>
      <w:r>
        <w:t>means the relevant parts of Australian Standard 4755 as in force from time to time.</w:t>
      </w:r>
    </w:p>
    <w:p w14:paraId="0F66FC13" w14:textId="77777777" w:rsidR="00265CFA" w:rsidRPr="00970AD2" w:rsidRDefault="00265CFA" w:rsidP="002566B1">
      <w:pPr>
        <w:pStyle w:val="Dictionary"/>
      </w:pPr>
      <w:r w:rsidRPr="00970AD2">
        <w:rPr>
          <w:b/>
          <w:i/>
        </w:rPr>
        <w:t>AS 5102</w:t>
      </w:r>
      <w:r w:rsidRPr="00970AD2">
        <w:t xml:space="preserve"> means the relevant parts of Australian Standard 5102 as in force from time to time. </w:t>
      </w:r>
    </w:p>
    <w:p w14:paraId="7CE1238A" w14:textId="77777777" w:rsidR="00265CFA" w:rsidRPr="00970AD2" w:rsidRDefault="00265CFA" w:rsidP="002566B1">
      <w:pPr>
        <w:pStyle w:val="Dictionary"/>
      </w:pPr>
      <w:r w:rsidRPr="00970AD2">
        <w:rPr>
          <w:b/>
          <w:i/>
        </w:rPr>
        <w:t>AS 5263</w:t>
      </w:r>
      <w:r w:rsidRPr="00970AD2">
        <w:t xml:space="preserve"> means the relevant parts of Australian/New Zealand Standard 5263 as in force from time to time. </w:t>
      </w:r>
    </w:p>
    <w:p w14:paraId="641D5FA4" w14:textId="77777777" w:rsidR="00265CFA" w:rsidRPr="00970AD2" w:rsidRDefault="00265CFA" w:rsidP="002566B1">
      <w:pPr>
        <w:pStyle w:val="Dictionary"/>
      </w:pPr>
      <w:r w:rsidRPr="00970AD2">
        <w:rPr>
          <w:b/>
          <w:i/>
        </w:rPr>
        <w:t>AS/NZS 2442</w:t>
      </w:r>
      <w:r w:rsidRPr="00970AD2">
        <w:t xml:space="preserve"> means the relevant parts of Australian/New Zealand Standard 2442 as in force from time to time. </w:t>
      </w:r>
    </w:p>
    <w:p w14:paraId="55EAEFD1" w14:textId="77777777" w:rsidR="00265CFA" w:rsidRPr="00970AD2" w:rsidRDefault="00265CFA" w:rsidP="002566B1">
      <w:pPr>
        <w:pStyle w:val="Dictionary"/>
      </w:pPr>
      <w:r w:rsidRPr="00970AD2">
        <w:rPr>
          <w:b/>
          <w:i/>
        </w:rPr>
        <w:t>AS/NZS 2712</w:t>
      </w:r>
      <w:r w:rsidRPr="00970AD2">
        <w:t xml:space="preserve"> means the relevant parts of Australian/New Zealand Standard 2712 as in force from time to time.</w:t>
      </w:r>
    </w:p>
    <w:p w14:paraId="30FF0B94" w14:textId="77777777" w:rsidR="00EC11BA" w:rsidRDefault="00EC11BA" w:rsidP="002566B1">
      <w:pPr>
        <w:pStyle w:val="Dictionary"/>
        <w:rPr>
          <w:b/>
          <w:i/>
        </w:rPr>
      </w:pPr>
      <w:r>
        <w:rPr>
          <w:b/>
          <w:i/>
        </w:rPr>
        <w:lastRenderedPageBreak/>
        <w:t>AS/NZS 3</w:t>
      </w:r>
      <w:r w:rsidR="00963F9B">
        <w:rPr>
          <w:b/>
          <w:i/>
        </w:rPr>
        <w:t>823</w:t>
      </w:r>
      <w:r>
        <w:rPr>
          <w:b/>
          <w:i/>
        </w:rPr>
        <w:t xml:space="preserve"> </w:t>
      </w:r>
      <w:r w:rsidRPr="00EC11BA">
        <w:t>means the relevant parts of Australian/New Zealand Standard 3823 as in force from time to time.</w:t>
      </w:r>
    </w:p>
    <w:p w14:paraId="436C00C3" w14:textId="77777777" w:rsidR="0014137D" w:rsidRPr="00970AD2" w:rsidRDefault="0014137D" w:rsidP="002566B1">
      <w:pPr>
        <w:pStyle w:val="Dictionary"/>
      </w:pPr>
      <w:r w:rsidRPr="00970AD2">
        <w:rPr>
          <w:b/>
          <w:i/>
        </w:rPr>
        <w:t>AS</w:t>
      </w:r>
      <w:r w:rsidR="005A7235" w:rsidRPr="00970AD2">
        <w:rPr>
          <w:b/>
          <w:i/>
        </w:rPr>
        <w:t>/NZS</w:t>
      </w:r>
      <w:r w:rsidRPr="00970AD2">
        <w:rPr>
          <w:b/>
          <w:i/>
        </w:rPr>
        <w:t xml:space="preserve"> 4474</w:t>
      </w:r>
      <w:r w:rsidRPr="00970AD2">
        <w:t xml:space="preserve"> means </w:t>
      </w:r>
      <w:r w:rsidR="005A7235" w:rsidRPr="00970AD2">
        <w:t xml:space="preserve">the relevant parts of </w:t>
      </w:r>
      <w:r w:rsidRPr="00970AD2">
        <w:t xml:space="preserve">Australian/New Zealand Standard 4474 as in force from time to time. </w:t>
      </w:r>
    </w:p>
    <w:p w14:paraId="21660412" w14:textId="77777777" w:rsidR="0014137D" w:rsidRPr="00970AD2" w:rsidRDefault="0014137D" w:rsidP="002566B1">
      <w:pPr>
        <w:pStyle w:val="Dictionary"/>
      </w:pPr>
      <w:r w:rsidRPr="00970AD2">
        <w:rPr>
          <w:b/>
          <w:i/>
        </w:rPr>
        <w:t>AS</w:t>
      </w:r>
      <w:r w:rsidR="005A7235" w:rsidRPr="00970AD2">
        <w:rPr>
          <w:b/>
          <w:i/>
        </w:rPr>
        <w:t>/NZS</w:t>
      </w:r>
      <w:r w:rsidRPr="00970AD2">
        <w:rPr>
          <w:b/>
          <w:i/>
        </w:rPr>
        <w:t xml:space="preserve"> 4847</w:t>
      </w:r>
      <w:r w:rsidRPr="00970AD2">
        <w:t xml:space="preserve"> means </w:t>
      </w:r>
      <w:r w:rsidR="005A7235" w:rsidRPr="00970AD2">
        <w:t xml:space="preserve">the relevant parts of </w:t>
      </w:r>
      <w:r w:rsidRPr="00970AD2">
        <w:t xml:space="preserve">Australian/New Zealand Standard 4847 as in force from time to time. </w:t>
      </w:r>
    </w:p>
    <w:p w14:paraId="61B6E819" w14:textId="77777777" w:rsidR="0014137D" w:rsidRPr="00970AD2" w:rsidRDefault="0014137D" w:rsidP="002566B1">
      <w:pPr>
        <w:pStyle w:val="Dictionary"/>
      </w:pPr>
      <w:r w:rsidRPr="00970AD2">
        <w:rPr>
          <w:b/>
          <w:i/>
        </w:rPr>
        <w:t>AS</w:t>
      </w:r>
      <w:r w:rsidR="005A7235" w:rsidRPr="00970AD2">
        <w:rPr>
          <w:b/>
          <w:i/>
        </w:rPr>
        <w:t>/NZS</w:t>
      </w:r>
      <w:r w:rsidRPr="00970AD2">
        <w:rPr>
          <w:b/>
          <w:i/>
        </w:rPr>
        <w:t xml:space="preserve"> 4859</w:t>
      </w:r>
      <w:r w:rsidRPr="00970AD2">
        <w:t xml:space="preserve"> means </w:t>
      </w:r>
      <w:r w:rsidR="005A7235" w:rsidRPr="00970AD2">
        <w:t xml:space="preserve">the relevant parts of </w:t>
      </w:r>
      <w:r w:rsidRPr="00970AD2">
        <w:t xml:space="preserve">Australian/New Zealand Standard 4859 as in force from time to time. </w:t>
      </w:r>
    </w:p>
    <w:p w14:paraId="40F304D0" w14:textId="77777777" w:rsidR="0014137D" w:rsidRPr="00970AD2" w:rsidRDefault="0014137D" w:rsidP="002566B1">
      <w:pPr>
        <w:pStyle w:val="Dictionary"/>
      </w:pPr>
      <w:r w:rsidRPr="00970AD2">
        <w:rPr>
          <w:b/>
          <w:i/>
        </w:rPr>
        <w:t>AS</w:t>
      </w:r>
      <w:r w:rsidR="005A7235" w:rsidRPr="00970AD2">
        <w:rPr>
          <w:b/>
          <w:i/>
        </w:rPr>
        <w:t>/NZS</w:t>
      </w:r>
      <w:r w:rsidRPr="00970AD2">
        <w:rPr>
          <w:b/>
          <w:i/>
        </w:rPr>
        <w:t xml:space="preserve"> 6400</w:t>
      </w:r>
      <w:r w:rsidRPr="00970AD2">
        <w:t xml:space="preserve"> means </w:t>
      </w:r>
      <w:r w:rsidR="00040878" w:rsidRPr="00970AD2">
        <w:t xml:space="preserve">the relevant parts of </w:t>
      </w:r>
      <w:r w:rsidRPr="00970AD2">
        <w:t xml:space="preserve">Australian/New Zealand Standard 6400 as in force from time to time. </w:t>
      </w:r>
    </w:p>
    <w:p w14:paraId="460C7176" w14:textId="77777777" w:rsidR="00C607AF" w:rsidRPr="00970AD2" w:rsidRDefault="008F463D" w:rsidP="002566B1">
      <w:pPr>
        <w:pStyle w:val="Dictionary"/>
      </w:pPr>
      <w:r w:rsidRPr="00970AD2">
        <w:rPr>
          <w:b/>
          <w:i/>
        </w:rPr>
        <w:t>AS</w:t>
      </w:r>
      <w:r w:rsidR="005A7235" w:rsidRPr="00970AD2">
        <w:rPr>
          <w:b/>
          <w:i/>
        </w:rPr>
        <w:t>/NZS</w:t>
      </w:r>
      <w:r w:rsidR="0003135F" w:rsidRPr="00970AD2">
        <w:rPr>
          <w:b/>
          <w:i/>
        </w:rPr>
        <w:t xml:space="preserve"> 62087</w:t>
      </w:r>
      <w:r w:rsidR="0003135F" w:rsidRPr="00970AD2">
        <w:t xml:space="preserve"> </w:t>
      </w:r>
      <w:r w:rsidR="00A61264" w:rsidRPr="00970AD2">
        <w:t xml:space="preserve">means </w:t>
      </w:r>
      <w:r w:rsidR="005A7235" w:rsidRPr="00970AD2">
        <w:t xml:space="preserve">the relevant parts of </w:t>
      </w:r>
      <w:r w:rsidR="00A61264" w:rsidRPr="00970AD2">
        <w:t xml:space="preserve">Australian/New Zealand Standard </w:t>
      </w:r>
      <w:r w:rsidR="0003135F" w:rsidRPr="00970AD2">
        <w:t>62087</w:t>
      </w:r>
      <w:r w:rsidR="0014137D" w:rsidRPr="00970AD2">
        <w:t xml:space="preserve"> as in force from time to time</w:t>
      </w:r>
      <w:r w:rsidR="00A61264" w:rsidRPr="00970AD2">
        <w:t>.</w:t>
      </w:r>
      <w:r w:rsidR="0003135F" w:rsidRPr="00970AD2">
        <w:t xml:space="preserve"> </w:t>
      </w:r>
    </w:p>
    <w:p w14:paraId="666983CC" w14:textId="77777777" w:rsidR="001E0381" w:rsidRPr="00970AD2" w:rsidRDefault="00C72D05" w:rsidP="002566B1">
      <w:pPr>
        <w:pStyle w:val="Dictionary"/>
      </w:pPr>
      <w:r w:rsidRPr="00970AD2">
        <w:rPr>
          <w:b/>
          <w:i/>
        </w:rPr>
        <w:t>b</w:t>
      </w:r>
      <w:r w:rsidR="001A78F3" w:rsidRPr="00970AD2">
        <w:rPr>
          <w:b/>
          <w:i/>
        </w:rPr>
        <w:t>uilding code</w:t>
      </w:r>
      <w:r w:rsidRPr="00970AD2">
        <w:rPr>
          <w:b/>
        </w:rPr>
        <w:t xml:space="preserve"> </w:t>
      </w:r>
      <w:r w:rsidR="001A78F3" w:rsidRPr="00970AD2">
        <w:t xml:space="preserve">means the ACT building code, which is comprised of Volumes 1 and 2 of the National Construction Code </w:t>
      </w:r>
      <w:r w:rsidR="0003135F" w:rsidRPr="00970AD2">
        <w:t xml:space="preserve">published by the Australian Building Codes Board </w:t>
      </w:r>
      <w:r w:rsidR="001A78F3" w:rsidRPr="00970AD2">
        <w:t xml:space="preserve">and the ACT Appendix </w:t>
      </w:r>
      <w:r w:rsidR="0003135F" w:rsidRPr="00970AD2">
        <w:t xml:space="preserve">to the building code </w:t>
      </w:r>
      <w:r w:rsidR="001A78F3" w:rsidRPr="00970AD2">
        <w:t>as determined by the responsible Minister.</w:t>
      </w:r>
    </w:p>
    <w:p w14:paraId="78F21155" w14:textId="77777777" w:rsidR="00B75D20" w:rsidRPr="00970AD2" w:rsidRDefault="001E0381" w:rsidP="002566B1">
      <w:pPr>
        <w:pStyle w:val="Dictionary"/>
        <w:rPr>
          <w:rFonts w:eastAsia="Times New Roman"/>
          <w:lang w:eastAsia="en-US"/>
        </w:rPr>
      </w:pPr>
      <w:r w:rsidRPr="00970AD2">
        <w:rPr>
          <w:rFonts w:eastAsia="Times New Roman"/>
          <w:b/>
          <w:i/>
          <w:lang w:eastAsia="en-US"/>
        </w:rPr>
        <w:t>building l</w:t>
      </w:r>
      <w:r w:rsidR="00392E46" w:rsidRPr="00970AD2">
        <w:rPr>
          <w:rFonts w:eastAsia="Times New Roman"/>
          <w:b/>
          <w:i/>
          <w:lang w:eastAsia="en-US"/>
        </w:rPr>
        <w:t>ighting</w:t>
      </w:r>
      <w:r w:rsidR="00392E46" w:rsidRPr="00970AD2">
        <w:rPr>
          <w:rFonts w:eastAsia="Times New Roman"/>
          <w:lang w:eastAsia="en-US"/>
        </w:rPr>
        <w:t xml:space="preserve"> has the same </w:t>
      </w:r>
      <w:r w:rsidR="00392E46" w:rsidRPr="00970AD2">
        <w:t>meaning</w:t>
      </w:r>
      <w:r w:rsidR="00392E46" w:rsidRPr="00970AD2">
        <w:rPr>
          <w:rFonts w:eastAsia="Times New Roman"/>
          <w:lang w:eastAsia="en-US"/>
        </w:rPr>
        <w:t xml:space="preserve"> as in the ESS Rule Section 10.</w:t>
      </w:r>
    </w:p>
    <w:p w14:paraId="798FDD1E" w14:textId="77777777" w:rsidR="008C3DD9" w:rsidRPr="00C121AE" w:rsidRDefault="008C3DD9" w:rsidP="002566B1">
      <w:pPr>
        <w:pStyle w:val="Dictionary"/>
        <w:rPr>
          <w:lang w:eastAsia="en-AU"/>
        </w:rPr>
      </w:pPr>
      <w:r w:rsidRPr="00C121AE">
        <w:rPr>
          <w:b/>
          <w:bCs/>
          <w:i/>
          <w:iCs/>
        </w:rPr>
        <w:t xml:space="preserve">business premises </w:t>
      </w:r>
      <w:r w:rsidRPr="00C121AE">
        <w:t>means an existing commercial premises that—</w:t>
      </w:r>
    </w:p>
    <w:p w14:paraId="1F22AFD4" w14:textId="77777777" w:rsidR="008C3DD9" w:rsidRPr="00C121AE" w:rsidRDefault="008C3DD9" w:rsidP="00D633D3">
      <w:pPr>
        <w:pStyle w:val="Subdetailsfirstindent"/>
        <w:numPr>
          <w:ilvl w:val="0"/>
          <w:numId w:val="221"/>
        </w:numPr>
        <w:ind w:left="1701" w:hanging="425"/>
      </w:pPr>
      <w:r w:rsidRPr="00C121AE">
        <w:t>is not a residential premises; and</w:t>
      </w:r>
    </w:p>
    <w:p w14:paraId="10C00919" w14:textId="77777777" w:rsidR="00E953D2" w:rsidRPr="00C121AE" w:rsidRDefault="00EA0605" w:rsidP="00D633D3">
      <w:pPr>
        <w:pStyle w:val="Subdetailsfirstindent"/>
        <w:numPr>
          <w:ilvl w:val="0"/>
          <w:numId w:val="152"/>
        </w:numPr>
        <w:ind w:left="1701" w:hanging="425"/>
      </w:pPr>
      <w:r>
        <w:t>q</w:t>
      </w:r>
      <w:r w:rsidR="008C3DD9" w:rsidRPr="00C121AE">
        <w:t xml:space="preserve">ualifies as a </w:t>
      </w:r>
      <w:r w:rsidR="003B175A" w:rsidRPr="00C121AE">
        <w:t xml:space="preserve">National Construction Code </w:t>
      </w:r>
      <w:r w:rsidR="008C3DD9" w:rsidRPr="00C121AE">
        <w:t xml:space="preserve">class </w:t>
      </w:r>
      <w:r w:rsidR="003B175A" w:rsidRPr="00C121AE">
        <w:t>3, 5, 6, 7, 8, 9, 10</w:t>
      </w:r>
      <w:r w:rsidR="005C30BE" w:rsidRPr="00C121AE">
        <w:t xml:space="preserve"> </w:t>
      </w:r>
      <w:r w:rsidR="008C3DD9" w:rsidRPr="00C121AE">
        <w:t xml:space="preserve">or the </w:t>
      </w:r>
      <w:r w:rsidR="009D5533" w:rsidRPr="00C121AE">
        <w:t>c</w:t>
      </w:r>
      <w:r w:rsidR="008C3DD9" w:rsidRPr="00C121AE">
        <w:t xml:space="preserve">ommon </w:t>
      </w:r>
      <w:r w:rsidR="009D5533" w:rsidRPr="00C121AE">
        <w:t>a</w:t>
      </w:r>
      <w:r w:rsidR="008C3DD9" w:rsidRPr="00C121AE">
        <w:t xml:space="preserve">reas of </w:t>
      </w:r>
      <w:r w:rsidR="003B175A" w:rsidRPr="00C121AE">
        <w:t>c</w:t>
      </w:r>
      <w:r w:rsidR="008C3DD9" w:rsidRPr="00C121AE">
        <w:t>lass 2</w:t>
      </w:r>
      <w:r>
        <w:t>.</w:t>
      </w:r>
    </w:p>
    <w:p w14:paraId="3229B696" w14:textId="77777777" w:rsidR="00B072A8" w:rsidRPr="00E032C6" w:rsidRDefault="005C30BE" w:rsidP="00E032C6">
      <w:pPr>
        <w:pStyle w:val="Notesandexamples"/>
      </w:pPr>
      <w:r w:rsidRPr="00E032C6">
        <w:tab/>
      </w:r>
      <w:r w:rsidR="00B072A8" w:rsidRPr="00E032C6">
        <w:t>Note</w:t>
      </w:r>
      <w:r w:rsidR="00ED7299" w:rsidRPr="00E032C6">
        <w:t xml:space="preserve"> 1</w:t>
      </w:r>
      <w:r w:rsidRPr="00E032C6">
        <w:tab/>
      </w:r>
      <w:r w:rsidR="00054FE3" w:rsidRPr="00E032C6">
        <w:t>A business premises may be occupied by a business, not-for-profit organisation or other enterprise.</w:t>
      </w:r>
    </w:p>
    <w:p w14:paraId="054E5C4E" w14:textId="77777777" w:rsidR="00D12D21" w:rsidRPr="00E032C6" w:rsidRDefault="00E032C6" w:rsidP="00E032C6">
      <w:pPr>
        <w:pStyle w:val="Notesandexamples"/>
      </w:pPr>
      <w:r>
        <w:tab/>
      </w:r>
      <w:r w:rsidR="00ED7299" w:rsidRPr="00E032C6">
        <w:t>Note 2</w:t>
      </w:r>
      <w:r w:rsidR="00ED7299" w:rsidRPr="00E032C6">
        <w:tab/>
        <w:t>A business premises may represent part of a larger building</w:t>
      </w:r>
      <w:r w:rsidR="00ED4CCA" w:rsidRPr="00E032C6">
        <w:t>.</w:t>
      </w:r>
    </w:p>
    <w:p w14:paraId="2A37DE93" w14:textId="77777777" w:rsidR="00B75D20" w:rsidRDefault="001A78F3" w:rsidP="002566B1">
      <w:pPr>
        <w:pStyle w:val="Dictionary"/>
        <w:rPr>
          <w:rFonts w:eastAsia="Times New Roman"/>
          <w:lang w:eastAsia="en-US"/>
        </w:rPr>
      </w:pPr>
      <w:r w:rsidRPr="00970AD2">
        <w:rPr>
          <w:b/>
          <w:i/>
        </w:rPr>
        <w:t>code of practice</w:t>
      </w:r>
      <w:r w:rsidR="00C72D05" w:rsidRPr="00970AD2">
        <w:rPr>
          <w:b/>
        </w:rPr>
        <w:t xml:space="preserve"> </w:t>
      </w:r>
      <w:r w:rsidRPr="00970AD2">
        <w:t>means a</w:t>
      </w:r>
      <w:r w:rsidR="00C72D05" w:rsidRPr="00970AD2">
        <w:rPr>
          <w:b/>
        </w:rPr>
        <w:t xml:space="preserve"> </w:t>
      </w:r>
      <w:r w:rsidRPr="00970AD2">
        <w:t xml:space="preserve">code of practice made by the administrator under section 25 (Codes of practice) of the </w:t>
      </w:r>
      <w:r w:rsidRPr="00970AD2">
        <w:rPr>
          <w:i/>
        </w:rPr>
        <w:t>Energy Efficiency (Cost of Living) Improvement Act 2012</w:t>
      </w:r>
      <w:r w:rsidR="009D2D19" w:rsidRPr="00970AD2">
        <w:t xml:space="preserve"> that may address </w:t>
      </w:r>
      <w:r w:rsidRPr="00970AD2">
        <w:t>consumer protection obligations</w:t>
      </w:r>
      <w:r w:rsidR="009D2D19" w:rsidRPr="00970AD2">
        <w:t>,</w:t>
      </w:r>
      <w:r w:rsidRPr="00970AD2">
        <w:t xml:space="preserve"> quality, health, safety and environmental requirements</w:t>
      </w:r>
      <w:r w:rsidR="009D2D19" w:rsidRPr="00970AD2">
        <w:t>,</w:t>
      </w:r>
      <w:r w:rsidRPr="00970AD2">
        <w:t xml:space="preserve"> record keeping requirements</w:t>
      </w:r>
      <w:r w:rsidR="009D2D19" w:rsidRPr="00970AD2">
        <w:t xml:space="preserve"> </w:t>
      </w:r>
      <w:r w:rsidRPr="00970AD2">
        <w:t xml:space="preserve">and reporting requirements </w:t>
      </w:r>
      <w:r w:rsidR="009D2D19" w:rsidRPr="00970AD2">
        <w:t>for</w:t>
      </w:r>
      <w:r w:rsidRPr="00970AD2">
        <w:t xml:space="preserve"> eligible activities</w:t>
      </w:r>
      <w:r w:rsidRPr="00970AD2">
        <w:rPr>
          <w:rFonts w:eastAsia="Times New Roman"/>
          <w:lang w:eastAsia="en-US"/>
        </w:rPr>
        <w:t>.</w:t>
      </w:r>
    </w:p>
    <w:p w14:paraId="3C6276C2" w14:textId="77777777" w:rsidR="009A571B" w:rsidRPr="00F0256F" w:rsidRDefault="009A571B" w:rsidP="002566B1">
      <w:pPr>
        <w:pStyle w:val="Dictionary"/>
      </w:pPr>
      <w:r w:rsidRPr="009A571B">
        <w:rPr>
          <w:b/>
          <w:i/>
        </w:rPr>
        <w:t>c</w:t>
      </w:r>
      <w:r w:rsidRPr="00F0256F">
        <w:rPr>
          <w:b/>
          <w:i/>
        </w:rPr>
        <w:t xml:space="preserve">ombustible – </w:t>
      </w:r>
      <w:r w:rsidRPr="00F0256F">
        <w:t xml:space="preserve">applied to a material – means combustible under AS 1530 </w:t>
      </w:r>
      <w:r w:rsidRPr="006B6E04">
        <w:rPr>
          <w:i/>
          <w:iCs/>
        </w:rPr>
        <w:t>Methods for fire tests on building materials, components and structures</w:t>
      </w:r>
      <w:r w:rsidRPr="00F0256F">
        <w:t>, as per the definition in the NCC Building Code of Australia – Volume 2 Part 1.1.</w:t>
      </w:r>
    </w:p>
    <w:p w14:paraId="2872C3A6" w14:textId="77777777" w:rsidR="00DE5294" w:rsidRPr="00970AD2" w:rsidRDefault="0017318A" w:rsidP="002566B1">
      <w:pPr>
        <w:pStyle w:val="Dictionary"/>
        <w:rPr>
          <w:i/>
        </w:rPr>
      </w:pPr>
      <w:r w:rsidRPr="00970AD2">
        <w:rPr>
          <w:b/>
          <w:i/>
          <w:iCs/>
        </w:rPr>
        <w:t>c</w:t>
      </w:r>
      <w:r w:rsidR="00DE5294" w:rsidRPr="00970AD2">
        <w:rPr>
          <w:b/>
          <w:i/>
          <w:iCs/>
        </w:rPr>
        <w:t xml:space="preserve">ommercial </w:t>
      </w:r>
      <w:r w:rsidRPr="00970AD2">
        <w:rPr>
          <w:b/>
          <w:i/>
          <w:iCs/>
        </w:rPr>
        <w:t>l</w:t>
      </w:r>
      <w:r w:rsidR="00DE5294" w:rsidRPr="00970AD2">
        <w:rPr>
          <w:b/>
          <w:i/>
          <w:iCs/>
        </w:rPr>
        <w:t xml:space="preserve">ighting </w:t>
      </w:r>
      <w:r w:rsidRPr="00970AD2">
        <w:rPr>
          <w:b/>
          <w:i/>
          <w:iCs/>
        </w:rPr>
        <w:t>e</w:t>
      </w:r>
      <w:r w:rsidR="00DE5294" w:rsidRPr="00970AD2">
        <w:rPr>
          <w:b/>
          <w:i/>
          <w:iCs/>
        </w:rPr>
        <w:t xml:space="preserve">nergy </w:t>
      </w:r>
      <w:r w:rsidRPr="00970AD2">
        <w:rPr>
          <w:b/>
          <w:i/>
          <w:iCs/>
        </w:rPr>
        <w:t>s</w:t>
      </w:r>
      <w:r w:rsidR="00DE5294" w:rsidRPr="00970AD2">
        <w:rPr>
          <w:b/>
          <w:i/>
          <w:iCs/>
        </w:rPr>
        <w:t xml:space="preserve">avings </w:t>
      </w:r>
      <w:r w:rsidRPr="00970AD2">
        <w:rPr>
          <w:b/>
          <w:i/>
          <w:iCs/>
        </w:rPr>
        <w:t>f</w:t>
      </w:r>
      <w:r w:rsidR="00DE5294" w:rsidRPr="00970AD2">
        <w:rPr>
          <w:b/>
          <w:i/>
          <w:iCs/>
        </w:rPr>
        <w:t xml:space="preserve">ormula </w:t>
      </w:r>
      <w:r w:rsidR="00F84416" w:rsidRPr="00970AD2">
        <w:rPr>
          <w:b/>
          <w:i/>
          <w:iCs/>
        </w:rPr>
        <w:t>method</w:t>
      </w:r>
      <w:r w:rsidR="00DE5294" w:rsidRPr="00970AD2">
        <w:rPr>
          <w:i/>
          <w:iCs/>
        </w:rPr>
        <w:t xml:space="preserve"> </w:t>
      </w:r>
      <w:r w:rsidR="00DE5294" w:rsidRPr="00970AD2">
        <w:t>means</w:t>
      </w:r>
      <w:r w:rsidR="00F84416" w:rsidRPr="00970AD2">
        <w:t xml:space="preserve"> </w:t>
      </w:r>
      <w:r w:rsidRPr="00970AD2">
        <w:t xml:space="preserve">the use of </w:t>
      </w:r>
      <w:r w:rsidR="00F84416" w:rsidRPr="00970AD2">
        <w:t>clause 9.4 of the Energy Savings Scheme Rule to calculate the number of Energy Savings Certificates arising from the activity</w:t>
      </w:r>
      <w:r w:rsidR="00ED4CCA" w:rsidRPr="00970AD2">
        <w:t>.</w:t>
      </w:r>
    </w:p>
    <w:p w14:paraId="55C8829B" w14:textId="77777777" w:rsidR="00AF6EDD" w:rsidRPr="00970AD2" w:rsidRDefault="00AF6EDD" w:rsidP="002566B1">
      <w:pPr>
        <w:pStyle w:val="Dictionary"/>
      </w:pPr>
      <w:r w:rsidRPr="00970AD2">
        <w:rPr>
          <w:b/>
          <w:i/>
        </w:rPr>
        <w:t xml:space="preserve">conditioned space </w:t>
      </w:r>
      <w:r w:rsidRPr="00970AD2">
        <w:t xml:space="preserve">means a space within a building where the environment is likely, by the intended use of the space, to have its temperature controlled.  </w:t>
      </w:r>
    </w:p>
    <w:p w14:paraId="08476335" w14:textId="77777777" w:rsidR="00B75D20" w:rsidRPr="00970AD2" w:rsidRDefault="001A78F3" w:rsidP="002566B1">
      <w:pPr>
        <w:pStyle w:val="Dictionary"/>
      </w:pPr>
      <w:r w:rsidRPr="00970AD2">
        <w:rPr>
          <w:b/>
          <w:i/>
        </w:rPr>
        <w:t>conditioned zone</w:t>
      </w:r>
      <w:r w:rsidR="00C72D05" w:rsidRPr="00970AD2">
        <w:rPr>
          <w:b/>
        </w:rPr>
        <w:t xml:space="preserve"> </w:t>
      </w:r>
      <w:r w:rsidRPr="00970AD2">
        <w:t xml:space="preserve">means a </w:t>
      </w:r>
      <w:r w:rsidR="009A7064" w:rsidRPr="00970AD2">
        <w:t>room or rooms</w:t>
      </w:r>
      <w:r w:rsidRPr="00970AD2">
        <w:t xml:space="preserve"> in a residential premises that </w:t>
      </w:r>
      <w:r w:rsidR="009A7064" w:rsidRPr="00970AD2">
        <w:t xml:space="preserve">due to their use </w:t>
      </w:r>
      <w:r w:rsidRPr="00970AD2">
        <w:t>is capable of being fully enclosed and is likely to be artificially heated and/or cooled. Conditioned zones include, but are not limited to</w:t>
      </w:r>
      <w:r w:rsidR="00EA0605">
        <w:t>,</w:t>
      </w:r>
      <w:r w:rsidRPr="00970AD2">
        <w:t xml:space="preserve"> </w:t>
      </w:r>
      <w:r w:rsidR="009A7064" w:rsidRPr="00970AD2">
        <w:t xml:space="preserve">habitable rooms, </w:t>
      </w:r>
      <w:r w:rsidRPr="00970AD2">
        <w:t xml:space="preserve">internal corridors and utility rooms without direct natural ventilation to the room </w:t>
      </w:r>
      <w:r w:rsidR="009A7064" w:rsidRPr="00970AD2">
        <w:t>such as</w:t>
      </w:r>
      <w:r w:rsidRPr="00970AD2">
        <w:t xml:space="preserve"> an ensuite bathroom</w:t>
      </w:r>
      <w:r w:rsidR="009A7064" w:rsidRPr="00970AD2">
        <w:t>.</w:t>
      </w:r>
      <w:r w:rsidRPr="00970AD2">
        <w:t xml:space="preserve"> </w:t>
      </w:r>
    </w:p>
    <w:p w14:paraId="35B59523" w14:textId="77777777" w:rsidR="002A3ED1" w:rsidRPr="00970AD2" w:rsidRDefault="002A3ED1" w:rsidP="002566B1">
      <w:pPr>
        <w:pStyle w:val="Dictionary"/>
      </w:pPr>
      <w:r w:rsidRPr="00970AD2">
        <w:rPr>
          <w:b/>
          <w:i/>
        </w:rPr>
        <w:t xml:space="preserve">control gear </w:t>
      </w:r>
      <w:r w:rsidRPr="00970AD2">
        <w:t>means lighting ballasts, transformers or drivers.</w:t>
      </w:r>
    </w:p>
    <w:p w14:paraId="122731FD" w14:textId="77777777" w:rsidR="00B75D20" w:rsidRPr="00970AD2" w:rsidRDefault="00C72D05" w:rsidP="002566B1">
      <w:pPr>
        <w:pStyle w:val="Dictionary"/>
      </w:pPr>
      <w:r w:rsidRPr="00970AD2">
        <w:rPr>
          <w:b/>
          <w:i/>
        </w:rPr>
        <w:t>d</w:t>
      </w:r>
      <w:r w:rsidR="001A78F3" w:rsidRPr="00970AD2">
        <w:rPr>
          <w:b/>
          <w:i/>
        </w:rPr>
        <w:t>ecommission</w:t>
      </w:r>
      <w:r w:rsidR="001A78F3" w:rsidRPr="00970AD2">
        <w:rPr>
          <w:b/>
        </w:rPr>
        <w:t xml:space="preserve"> </w:t>
      </w:r>
      <w:r w:rsidR="009A7064" w:rsidRPr="00970AD2">
        <w:t>means di</w:t>
      </w:r>
      <w:r w:rsidR="001A78F3" w:rsidRPr="00970AD2">
        <w:t>sable and render permanently unusable</w:t>
      </w:r>
      <w:r w:rsidR="002002E3" w:rsidRPr="00970AD2">
        <w:t>.</w:t>
      </w:r>
    </w:p>
    <w:p w14:paraId="04B57B53" w14:textId="77777777" w:rsidR="00B75D20" w:rsidRPr="00970AD2" w:rsidRDefault="00C72D05" w:rsidP="002566B1">
      <w:pPr>
        <w:pStyle w:val="Dictionary"/>
      </w:pPr>
      <w:r w:rsidRPr="00970AD2">
        <w:rPr>
          <w:b/>
          <w:i/>
        </w:rPr>
        <w:t>d</w:t>
      </w:r>
      <w:r w:rsidR="001A78F3" w:rsidRPr="00970AD2">
        <w:rPr>
          <w:b/>
          <w:i/>
        </w:rPr>
        <w:t>ra</w:t>
      </w:r>
      <w:r w:rsidR="007A603A" w:rsidRPr="00970AD2">
        <w:rPr>
          <w:b/>
          <w:i/>
        </w:rPr>
        <w:t>ugh</w:t>
      </w:r>
      <w:r w:rsidR="001A78F3" w:rsidRPr="00970AD2">
        <w:rPr>
          <w:b/>
          <w:i/>
        </w:rPr>
        <w:t>t protection device</w:t>
      </w:r>
      <w:r w:rsidRPr="00970AD2">
        <w:rPr>
          <w:b/>
        </w:rPr>
        <w:t xml:space="preserve"> </w:t>
      </w:r>
      <w:r w:rsidR="004A56C4" w:rsidRPr="00970AD2">
        <w:t>means</w:t>
      </w:r>
      <w:r w:rsidR="004A56C4" w:rsidRPr="00970AD2">
        <w:rPr>
          <w:b/>
        </w:rPr>
        <w:t xml:space="preserve"> </w:t>
      </w:r>
      <w:r w:rsidR="009A7064" w:rsidRPr="00970AD2">
        <w:t>a permanently fixed device designed to fit to the bottom of a door to prevent air leakage from or air infiltration from a room or building.</w:t>
      </w:r>
    </w:p>
    <w:p w14:paraId="4148CC69" w14:textId="77777777" w:rsidR="00B75D20" w:rsidRPr="00970AD2" w:rsidRDefault="000D71E4" w:rsidP="002566B1">
      <w:pPr>
        <w:pStyle w:val="Dictionary"/>
      </w:pPr>
      <w:r w:rsidRPr="00970AD2">
        <w:rPr>
          <w:b/>
          <w:i/>
        </w:rPr>
        <w:lastRenderedPageBreak/>
        <w:t>electrical work</w:t>
      </w:r>
      <w:r w:rsidRPr="00970AD2">
        <w:t xml:space="preserve"> see </w:t>
      </w:r>
      <w:r w:rsidR="00676036" w:rsidRPr="00970AD2">
        <w:rPr>
          <w:i/>
        </w:rPr>
        <w:t>electrical wiring work</w:t>
      </w:r>
      <w:r w:rsidRPr="00970AD2">
        <w:t xml:space="preserve"> </w:t>
      </w:r>
      <w:r w:rsidR="00676036" w:rsidRPr="00970AD2">
        <w:t xml:space="preserve">as defined in the </w:t>
      </w:r>
      <w:r w:rsidR="00EA0605">
        <w:t>d</w:t>
      </w:r>
      <w:r w:rsidR="00676036" w:rsidRPr="00970AD2">
        <w:t xml:space="preserve">ictionary </w:t>
      </w:r>
      <w:r w:rsidRPr="00970AD2">
        <w:t xml:space="preserve">of the </w:t>
      </w:r>
      <w:r w:rsidRPr="00970AD2">
        <w:rPr>
          <w:i/>
        </w:rPr>
        <w:t xml:space="preserve">Electricity Safety Act </w:t>
      </w:r>
      <w:r w:rsidR="007E4AA9" w:rsidRPr="00970AD2">
        <w:rPr>
          <w:i/>
        </w:rPr>
        <w:t>1971</w:t>
      </w:r>
      <w:r w:rsidR="00676036" w:rsidRPr="00970AD2">
        <w:rPr>
          <w:i/>
        </w:rPr>
        <w:t>.</w:t>
      </w:r>
    </w:p>
    <w:p w14:paraId="20D6A6E5" w14:textId="77777777" w:rsidR="005C30BE" w:rsidRPr="00D405D3" w:rsidRDefault="005C30BE" w:rsidP="002566B1">
      <w:pPr>
        <w:pStyle w:val="Dictionary"/>
        <w:rPr>
          <w:lang w:eastAsia="en-AU"/>
        </w:rPr>
      </w:pPr>
      <w:r w:rsidRPr="00C121AE">
        <w:rPr>
          <w:b/>
          <w:bCs/>
          <w:i/>
          <w:iCs/>
        </w:rPr>
        <w:t xml:space="preserve">eligible business premises </w:t>
      </w:r>
      <w:r w:rsidRPr="00C121AE">
        <w:t>means an existing business premises—</w:t>
      </w:r>
    </w:p>
    <w:p w14:paraId="65CD755B" w14:textId="77777777" w:rsidR="005C30BE" w:rsidRPr="00970AD2" w:rsidRDefault="005C30BE" w:rsidP="00D633D3">
      <w:pPr>
        <w:pStyle w:val="Subdetailsfirstindent"/>
        <w:numPr>
          <w:ilvl w:val="0"/>
          <w:numId w:val="222"/>
        </w:numPr>
        <w:ind w:left="1701" w:hanging="425"/>
      </w:pPr>
      <w:r w:rsidRPr="00970AD2">
        <w:t>for which the energy consumption is not included in a reporting obligation under of any of the following</w:t>
      </w:r>
      <w:r w:rsidR="00EA0605">
        <w:t>:</w:t>
      </w:r>
    </w:p>
    <w:p w14:paraId="161C1FEB" w14:textId="77777777" w:rsidR="005C30BE" w:rsidRPr="00D405D3" w:rsidRDefault="005C30BE" w:rsidP="00D633D3">
      <w:pPr>
        <w:pStyle w:val="Subdetailssecondindent"/>
        <w:numPr>
          <w:ilvl w:val="0"/>
          <w:numId w:val="153"/>
        </w:numPr>
      </w:pPr>
      <w:r w:rsidRPr="00D405D3">
        <w:t xml:space="preserve">the </w:t>
      </w:r>
      <w:r w:rsidRPr="006B6E04">
        <w:rPr>
          <w:i/>
          <w:iCs/>
        </w:rPr>
        <w:t>National Greenhouse and Energy Reporting Act 2007</w:t>
      </w:r>
      <w:r w:rsidRPr="00D405D3">
        <w:t xml:space="preserve"> (Commonwealth); </w:t>
      </w:r>
    </w:p>
    <w:p w14:paraId="50013783" w14:textId="77777777" w:rsidR="005C30BE" w:rsidRPr="00D405D3" w:rsidRDefault="005C30BE" w:rsidP="00D633D3">
      <w:pPr>
        <w:pStyle w:val="Subdetailssecondindent"/>
        <w:numPr>
          <w:ilvl w:val="0"/>
          <w:numId w:val="153"/>
        </w:numPr>
      </w:pPr>
      <w:r w:rsidRPr="00D405D3">
        <w:t xml:space="preserve">the Australian Government’s Energy Efficiency in Government Operations Policy; or </w:t>
      </w:r>
    </w:p>
    <w:p w14:paraId="59BB7ED2" w14:textId="77777777" w:rsidR="005C30BE" w:rsidRPr="00E032C6" w:rsidRDefault="005C30BE" w:rsidP="00D633D3">
      <w:pPr>
        <w:pStyle w:val="Subdetailssecondindent"/>
        <w:numPr>
          <w:ilvl w:val="0"/>
          <w:numId w:val="153"/>
        </w:numPr>
        <w:rPr>
          <w:i/>
        </w:rPr>
      </w:pPr>
      <w:r w:rsidRPr="00D405D3">
        <w:t xml:space="preserve">the Carbon Neutral ACT Government Framework; and </w:t>
      </w:r>
    </w:p>
    <w:p w14:paraId="08FD1D27" w14:textId="77777777" w:rsidR="005C30BE" w:rsidRPr="00970AD2" w:rsidRDefault="005C30BE" w:rsidP="00D633D3">
      <w:pPr>
        <w:pStyle w:val="Subdetailsfirstindent"/>
        <w:numPr>
          <w:ilvl w:val="0"/>
          <w:numId w:val="221"/>
        </w:numPr>
        <w:ind w:left="1701" w:hanging="425"/>
      </w:pPr>
      <w:r w:rsidRPr="00970AD2">
        <w:t xml:space="preserve">not undergoing development or refurbishment under an existing development approval under the </w:t>
      </w:r>
      <w:r w:rsidRPr="006B6E04">
        <w:rPr>
          <w:i/>
          <w:iCs/>
        </w:rPr>
        <w:t>ACT Planning and Development Act 2007</w:t>
      </w:r>
      <w:r w:rsidR="007D71CD" w:rsidRPr="00970AD2">
        <w:t xml:space="preserve">. The exception is when a development approval is required for undertaking an eligible activity in an existing building. </w:t>
      </w:r>
    </w:p>
    <w:p w14:paraId="715412FE" w14:textId="77777777" w:rsidR="00197318" w:rsidRPr="00970AD2" w:rsidRDefault="00C72D05" w:rsidP="002566B1">
      <w:pPr>
        <w:pStyle w:val="Dictionary"/>
      </w:pPr>
      <w:r w:rsidRPr="00970AD2">
        <w:rPr>
          <w:b/>
          <w:i/>
        </w:rPr>
        <w:t>e</w:t>
      </w:r>
      <w:r w:rsidR="001A78F3" w:rsidRPr="00970AD2">
        <w:rPr>
          <w:b/>
          <w:i/>
        </w:rPr>
        <w:t>ligible residential premises</w:t>
      </w:r>
      <w:r w:rsidR="009D2D19" w:rsidRPr="00970AD2">
        <w:rPr>
          <w:b/>
        </w:rPr>
        <w:t xml:space="preserve"> </w:t>
      </w:r>
      <w:r w:rsidR="009D2D19" w:rsidRPr="00970AD2">
        <w:t xml:space="preserve">means </w:t>
      </w:r>
      <w:r w:rsidR="00197318" w:rsidRPr="00970AD2">
        <w:t>an existing residential premises</w:t>
      </w:r>
      <w:r w:rsidR="00EF55C0" w:rsidRPr="00970AD2">
        <w:t>—</w:t>
      </w:r>
    </w:p>
    <w:p w14:paraId="41699275" w14:textId="77777777" w:rsidR="00197318" w:rsidRPr="00970AD2" w:rsidRDefault="00A61264" w:rsidP="00D633D3">
      <w:pPr>
        <w:pStyle w:val="Subdetailsfirstindent"/>
        <w:numPr>
          <w:ilvl w:val="0"/>
          <w:numId w:val="223"/>
        </w:numPr>
        <w:ind w:left="1701" w:hanging="425"/>
      </w:pPr>
      <w:r w:rsidRPr="00970AD2">
        <w:t xml:space="preserve">located in the Territory </w:t>
      </w:r>
      <w:r w:rsidR="009D2D19" w:rsidRPr="00970AD2">
        <w:t>that</w:t>
      </w:r>
      <w:r w:rsidR="001A78F3" w:rsidRPr="00970AD2">
        <w:t xml:space="preserve"> meets all </w:t>
      </w:r>
      <w:r w:rsidR="009A7064" w:rsidRPr="00970AD2">
        <w:t>criteria</w:t>
      </w:r>
      <w:r w:rsidR="001A78F3" w:rsidRPr="00970AD2">
        <w:t xml:space="preserve"> </w:t>
      </w:r>
      <w:r w:rsidR="009D2D19" w:rsidRPr="00970AD2">
        <w:t xml:space="preserve">for </w:t>
      </w:r>
      <w:r w:rsidR="009A7064" w:rsidRPr="00970AD2">
        <w:t>an eligible activity</w:t>
      </w:r>
      <w:r w:rsidR="001A78F3" w:rsidRPr="00970AD2">
        <w:t xml:space="preserve"> and is not excluded </w:t>
      </w:r>
      <w:r w:rsidR="009D2D19" w:rsidRPr="00970AD2">
        <w:t>by another law of the Territory</w:t>
      </w:r>
      <w:r w:rsidR="009A7064" w:rsidRPr="00970AD2">
        <w:t>, or by the failure to obtain a required approval for any part of the activity,</w:t>
      </w:r>
      <w:r w:rsidR="009D2D19" w:rsidRPr="00970AD2">
        <w:t xml:space="preserve"> from the activity being undertaken at the premises</w:t>
      </w:r>
      <w:r w:rsidR="00197318" w:rsidRPr="00970AD2">
        <w:t xml:space="preserve">; and </w:t>
      </w:r>
    </w:p>
    <w:p w14:paraId="0A2479D5" w14:textId="77777777" w:rsidR="00197318" w:rsidRPr="00970AD2" w:rsidRDefault="00197318" w:rsidP="00D633D3">
      <w:pPr>
        <w:pStyle w:val="Subdetailsfirstindent"/>
        <w:numPr>
          <w:ilvl w:val="0"/>
          <w:numId w:val="222"/>
        </w:numPr>
        <w:ind w:left="1701" w:hanging="425"/>
      </w:pPr>
      <w:r w:rsidRPr="00970AD2">
        <w:t xml:space="preserve">is not undergoing development or refurbishment under an existing development approval under the </w:t>
      </w:r>
      <w:r w:rsidRPr="006B6E04">
        <w:rPr>
          <w:i/>
          <w:iCs/>
        </w:rPr>
        <w:t>ACT Planning and Development Act 2007</w:t>
      </w:r>
      <w:r w:rsidR="007D71CD" w:rsidRPr="00970AD2">
        <w:t xml:space="preserve">. The exception is when a development approval is required for undertaking an eligible activity in an existing building. </w:t>
      </w:r>
    </w:p>
    <w:p w14:paraId="3462A65D" w14:textId="77777777" w:rsidR="00D01749" w:rsidRPr="00970AD2" w:rsidRDefault="001E0381" w:rsidP="002566B1">
      <w:pPr>
        <w:pStyle w:val="Dictionary"/>
        <w:rPr>
          <w:lang w:eastAsia="en-US"/>
        </w:rPr>
      </w:pPr>
      <w:r w:rsidRPr="00970AD2">
        <w:rPr>
          <w:b/>
          <w:i/>
          <w:lang w:eastAsia="en-US"/>
        </w:rPr>
        <w:t>Energy Savings Scheme</w:t>
      </w:r>
      <w:r w:rsidRPr="00970AD2">
        <w:rPr>
          <w:lang w:eastAsia="en-US"/>
        </w:rPr>
        <w:t xml:space="preserve"> refers to the NSW Government’s energy efficiency obligation scheme. Specifically</w:t>
      </w:r>
      <w:r w:rsidR="00EA0605">
        <w:rPr>
          <w:lang w:eastAsia="en-US"/>
        </w:rPr>
        <w:t>,</w:t>
      </w:r>
      <w:r w:rsidRPr="00970AD2">
        <w:rPr>
          <w:lang w:eastAsia="en-US"/>
        </w:rPr>
        <w:t xml:space="preserve"> it is </w:t>
      </w:r>
      <w:r w:rsidRPr="00970AD2">
        <w:t>defined</w:t>
      </w:r>
      <w:r w:rsidRPr="00970AD2">
        <w:rPr>
          <w:lang w:eastAsia="en-US"/>
        </w:rPr>
        <w:t xml:space="preserve"> and has the same meaning as </w:t>
      </w:r>
      <w:r w:rsidR="00FC1DF8">
        <w:rPr>
          <w:lang w:eastAsia="en-US"/>
        </w:rPr>
        <w:t>written in</w:t>
      </w:r>
      <w:r w:rsidR="00FC1DF8" w:rsidRPr="00970AD2">
        <w:rPr>
          <w:lang w:eastAsia="en-US"/>
        </w:rPr>
        <w:t xml:space="preserve"> </w:t>
      </w:r>
      <w:r w:rsidRPr="00970AD2">
        <w:rPr>
          <w:lang w:eastAsia="en-US"/>
        </w:rPr>
        <w:t xml:space="preserve">Part 9 of the </w:t>
      </w:r>
      <w:r w:rsidRPr="00970AD2">
        <w:rPr>
          <w:i/>
          <w:lang w:eastAsia="en-US"/>
        </w:rPr>
        <w:t>Electricity Supply Act 1995 (NSW)</w:t>
      </w:r>
      <w:r w:rsidRPr="00970AD2">
        <w:rPr>
          <w:lang w:eastAsia="en-US"/>
        </w:rPr>
        <w:t>.</w:t>
      </w:r>
    </w:p>
    <w:p w14:paraId="47950A49" w14:textId="77777777" w:rsidR="00D01749" w:rsidRPr="00970AD2" w:rsidRDefault="00D01749" w:rsidP="002566B1">
      <w:pPr>
        <w:pStyle w:val="Dictionary"/>
        <w:rPr>
          <w:lang w:eastAsia="en-US"/>
        </w:rPr>
      </w:pPr>
      <w:r w:rsidRPr="00970AD2">
        <w:rPr>
          <w:b/>
          <w:i/>
          <w:lang w:eastAsia="en-US"/>
        </w:rPr>
        <w:t xml:space="preserve">ESS Administrator </w:t>
      </w:r>
      <w:r w:rsidRPr="00970AD2">
        <w:rPr>
          <w:lang w:eastAsia="en-US"/>
        </w:rPr>
        <w:t xml:space="preserve">has the </w:t>
      </w:r>
      <w:r w:rsidRPr="00970AD2">
        <w:t>same</w:t>
      </w:r>
      <w:r w:rsidRPr="00970AD2">
        <w:rPr>
          <w:lang w:eastAsia="en-US"/>
        </w:rPr>
        <w:t xml:space="preserve"> meaning as </w:t>
      </w:r>
      <w:r w:rsidRPr="00970AD2">
        <w:t>Scheme</w:t>
      </w:r>
      <w:r w:rsidRPr="00970AD2">
        <w:rPr>
          <w:lang w:eastAsia="en-US"/>
        </w:rPr>
        <w:t xml:space="preserve"> Administrator in Part 9 of the </w:t>
      </w:r>
      <w:r w:rsidRPr="00970AD2">
        <w:rPr>
          <w:i/>
          <w:lang w:eastAsia="en-US"/>
        </w:rPr>
        <w:t>Electricity Supply Act 1995 (NSW)</w:t>
      </w:r>
      <w:r w:rsidRPr="00970AD2">
        <w:rPr>
          <w:lang w:eastAsia="en-US"/>
        </w:rPr>
        <w:t>.</w:t>
      </w:r>
    </w:p>
    <w:p w14:paraId="3BB87DD1" w14:textId="77777777" w:rsidR="00D01749" w:rsidRPr="00970AD2" w:rsidRDefault="00D01749" w:rsidP="002566B1">
      <w:pPr>
        <w:pStyle w:val="Dictionary"/>
        <w:rPr>
          <w:lang w:eastAsia="en-US"/>
        </w:rPr>
      </w:pPr>
      <w:r w:rsidRPr="00970AD2">
        <w:rPr>
          <w:b/>
          <w:i/>
          <w:lang w:eastAsia="en-US"/>
        </w:rPr>
        <w:t xml:space="preserve">ESS Rule </w:t>
      </w:r>
      <w:r w:rsidRPr="00970AD2">
        <w:rPr>
          <w:lang w:eastAsia="en-US"/>
        </w:rPr>
        <w:t xml:space="preserve">has the same </w:t>
      </w:r>
      <w:r w:rsidRPr="00970AD2">
        <w:t>meaning</w:t>
      </w:r>
      <w:r w:rsidRPr="00970AD2">
        <w:rPr>
          <w:lang w:eastAsia="en-US"/>
        </w:rPr>
        <w:t xml:space="preserve"> as </w:t>
      </w:r>
      <w:r w:rsidRPr="00970AD2">
        <w:t>Scheme</w:t>
      </w:r>
      <w:r w:rsidRPr="00970AD2">
        <w:rPr>
          <w:lang w:eastAsia="en-US"/>
        </w:rPr>
        <w:t xml:space="preserve"> Rule in Part 9 of the </w:t>
      </w:r>
      <w:r w:rsidRPr="00970AD2">
        <w:rPr>
          <w:i/>
          <w:lang w:eastAsia="en-US"/>
        </w:rPr>
        <w:t>Electricity Supply Act 1995 (NSW)</w:t>
      </w:r>
      <w:r w:rsidRPr="00970AD2">
        <w:rPr>
          <w:lang w:eastAsia="en-US"/>
        </w:rPr>
        <w:t>.</w:t>
      </w:r>
    </w:p>
    <w:p w14:paraId="2FBF98F6" w14:textId="77777777" w:rsidR="001E0381" w:rsidRPr="00970AD2" w:rsidRDefault="000D71E4" w:rsidP="002566B1">
      <w:pPr>
        <w:pStyle w:val="Dictionary"/>
      </w:pPr>
      <w:r w:rsidRPr="00970AD2">
        <w:rPr>
          <w:b/>
          <w:bCs/>
          <w:i/>
          <w:iCs/>
        </w:rPr>
        <w:t xml:space="preserve">Equipment Energy Efficiency (E3) Committee </w:t>
      </w:r>
      <w:r w:rsidRPr="00970AD2">
        <w:t>means the committee responsible for managing the joint Australian, State and Territory Equipment Energy Efficiency Program.</w:t>
      </w:r>
    </w:p>
    <w:p w14:paraId="645BEDA1" w14:textId="77777777" w:rsidR="002A3ED1" w:rsidRPr="00970AD2" w:rsidRDefault="002A3ED1" w:rsidP="002566B1">
      <w:pPr>
        <w:pStyle w:val="Dictionary"/>
      </w:pPr>
      <w:r w:rsidRPr="00970AD2">
        <w:rPr>
          <w:b/>
          <w:i/>
        </w:rPr>
        <w:t xml:space="preserve">existing lighting equipment </w:t>
      </w:r>
      <w:r w:rsidRPr="00970AD2">
        <w:t>means the equipment that provides artificial lighting services that was already installed and in working order at the time of implementation of the activity, including luminaires and/or lamps, control gear, and lighting control systems.</w:t>
      </w:r>
    </w:p>
    <w:p w14:paraId="35B838A4" w14:textId="77777777" w:rsidR="00B75D20" w:rsidRPr="00970AD2" w:rsidRDefault="008410F0" w:rsidP="002566B1">
      <w:pPr>
        <w:pStyle w:val="Dictionary"/>
      </w:pPr>
      <w:r w:rsidRPr="00970AD2">
        <w:rPr>
          <w:b/>
          <w:i/>
        </w:rPr>
        <w:t>e</w:t>
      </w:r>
      <w:r w:rsidR="00167813" w:rsidRPr="00970AD2">
        <w:rPr>
          <w:b/>
          <w:i/>
        </w:rPr>
        <w:t xml:space="preserve">xternal wall </w:t>
      </w:r>
      <w:r w:rsidR="00167813" w:rsidRPr="00970AD2">
        <w:t xml:space="preserve">means an outer wall of a building other than a wall separating </w:t>
      </w:r>
      <w:r w:rsidRPr="00970AD2">
        <w:t>or common to adjoining buildings</w:t>
      </w:r>
      <w:r w:rsidR="002002E3" w:rsidRPr="00970AD2">
        <w:t>.</w:t>
      </w:r>
    </w:p>
    <w:p w14:paraId="7761CEC8" w14:textId="77777777" w:rsidR="00B75D20" w:rsidRPr="00970AD2" w:rsidRDefault="009D2D19" w:rsidP="002566B1">
      <w:pPr>
        <w:pStyle w:val="Dictionary"/>
      </w:pPr>
      <w:r w:rsidRPr="00970AD2">
        <w:rPr>
          <w:b/>
          <w:i/>
        </w:rPr>
        <w:t>g</w:t>
      </w:r>
      <w:r w:rsidR="001A78F3" w:rsidRPr="00970AD2">
        <w:rPr>
          <w:b/>
          <w:i/>
        </w:rPr>
        <w:t xml:space="preserve">lazing </w:t>
      </w:r>
      <w:r w:rsidRPr="00970AD2">
        <w:t>means a transparent or translucent element and its supporting frame located in an external wall of a building and includes a window other than a roof light.</w:t>
      </w:r>
    </w:p>
    <w:p w14:paraId="7E46BB60" w14:textId="77777777" w:rsidR="00B75D20" w:rsidRPr="00970AD2" w:rsidRDefault="001B29DA" w:rsidP="002566B1">
      <w:pPr>
        <w:pStyle w:val="Dictionary"/>
        <w:rPr>
          <w:iCs/>
        </w:rPr>
      </w:pPr>
      <w:r w:rsidRPr="00970AD2">
        <w:rPr>
          <w:b/>
          <w:i/>
          <w:iCs/>
        </w:rPr>
        <w:t>habitable room</w:t>
      </w:r>
      <w:r w:rsidRPr="00970AD2">
        <w:rPr>
          <w:iCs/>
        </w:rPr>
        <w:t xml:space="preserve"> see section 1.1.1 </w:t>
      </w:r>
      <w:r w:rsidRPr="00970AD2">
        <w:t>Definitions</w:t>
      </w:r>
      <w:r w:rsidRPr="00970AD2">
        <w:rPr>
          <w:iCs/>
        </w:rPr>
        <w:t xml:space="preserve"> in Volume 2 </w:t>
      </w:r>
      <w:r w:rsidR="003B175A" w:rsidRPr="00970AD2">
        <w:rPr>
          <w:i/>
          <w:iCs/>
        </w:rPr>
        <w:t>National Construction Code</w:t>
      </w:r>
      <w:r w:rsidRPr="00970AD2">
        <w:rPr>
          <w:i/>
          <w:iCs/>
        </w:rPr>
        <w:t xml:space="preserve"> Class 1 and Class 10 Buildings</w:t>
      </w:r>
      <w:r w:rsidRPr="00970AD2">
        <w:rPr>
          <w:iCs/>
        </w:rPr>
        <w:t xml:space="preserve"> of the National Construction Code Series.</w:t>
      </w:r>
    </w:p>
    <w:p w14:paraId="7A8F414A" w14:textId="77777777" w:rsidR="00CE64CC" w:rsidRPr="00970AD2" w:rsidRDefault="00396BA9" w:rsidP="002566B1">
      <w:pPr>
        <w:pStyle w:val="Dictionary"/>
      </w:pPr>
      <w:r w:rsidRPr="00970AD2">
        <w:rPr>
          <w:b/>
          <w:i/>
        </w:rPr>
        <w:t xml:space="preserve">high efficiency refrigerated </w:t>
      </w:r>
      <w:r w:rsidR="001F4B3C" w:rsidRPr="00970AD2">
        <w:rPr>
          <w:b/>
          <w:i/>
        </w:rPr>
        <w:t xml:space="preserve">display </w:t>
      </w:r>
      <w:r w:rsidRPr="00970AD2">
        <w:rPr>
          <w:b/>
          <w:i/>
        </w:rPr>
        <w:t>cabinet</w:t>
      </w:r>
      <w:r w:rsidRPr="00970AD2">
        <w:t xml:space="preserve"> </w:t>
      </w:r>
      <w:r w:rsidR="001F4B3C" w:rsidRPr="00970AD2">
        <w:t>means a Refrigerated Display Cabinet that meets the 'high efficiency' standard prescribed within AS 1731.</w:t>
      </w:r>
    </w:p>
    <w:p w14:paraId="64C8B7FB" w14:textId="77777777" w:rsidR="00B75D20" w:rsidRPr="00970AD2" w:rsidRDefault="000D71E4" w:rsidP="002566B1">
      <w:pPr>
        <w:pStyle w:val="Dictionary"/>
      </w:pPr>
      <w:r w:rsidRPr="00970AD2">
        <w:rPr>
          <w:b/>
          <w:i/>
        </w:rPr>
        <w:t>IEC/TR 61341 Edition 2.0</w:t>
      </w:r>
      <w:r w:rsidRPr="00970AD2">
        <w:t xml:space="preserve"> means the </w:t>
      </w:r>
      <w:r w:rsidRPr="006B6E04">
        <w:rPr>
          <w:i/>
          <w:iCs/>
        </w:rPr>
        <w:t>Method of measurement of centre beam intensity and beam angle(s) of reflector lamps Edition 2.0 2010</w:t>
      </w:r>
      <w:r w:rsidR="00FC1DF8">
        <w:rPr>
          <w:i/>
          <w:iCs/>
        </w:rPr>
        <w:t>–</w:t>
      </w:r>
      <w:r w:rsidRPr="006B6E04">
        <w:rPr>
          <w:i/>
          <w:iCs/>
        </w:rPr>
        <w:t>02</w:t>
      </w:r>
      <w:r w:rsidRPr="00970AD2">
        <w:t>, published by the International Electrotechnical Commission on 18</w:t>
      </w:r>
      <w:r w:rsidR="004A56C4" w:rsidRPr="00970AD2">
        <w:t> </w:t>
      </w:r>
      <w:r w:rsidRPr="00970AD2">
        <w:t>February</w:t>
      </w:r>
      <w:r w:rsidR="004A56C4" w:rsidRPr="00970AD2">
        <w:t> </w:t>
      </w:r>
      <w:r w:rsidRPr="00970AD2">
        <w:t>2010.</w:t>
      </w:r>
    </w:p>
    <w:p w14:paraId="0346FB05" w14:textId="77777777" w:rsidR="00B75D20" w:rsidRPr="00970AD2" w:rsidRDefault="009D2D19" w:rsidP="002566B1">
      <w:pPr>
        <w:pStyle w:val="Dictionary"/>
      </w:pPr>
      <w:r w:rsidRPr="00970AD2">
        <w:rPr>
          <w:b/>
          <w:i/>
        </w:rPr>
        <w:lastRenderedPageBreak/>
        <w:t>in association</w:t>
      </w:r>
      <w:r w:rsidRPr="00970AD2">
        <w:t xml:space="preserve">, in relation to work </w:t>
      </w:r>
      <w:r w:rsidR="000D71E4" w:rsidRPr="00970AD2">
        <w:t>or other eligible activities undertaken in a premises</w:t>
      </w:r>
      <w:r w:rsidRPr="00970AD2">
        <w:t xml:space="preserve">, includes at the same time </w:t>
      </w:r>
      <w:r w:rsidR="000D71E4" w:rsidRPr="00970AD2">
        <w:t xml:space="preserve">as, </w:t>
      </w:r>
      <w:r w:rsidRPr="00970AD2">
        <w:t>or subsequent to</w:t>
      </w:r>
      <w:r w:rsidR="00396BA9" w:rsidRPr="00970AD2">
        <w:t>,</w:t>
      </w:r>
      <w:r w:rsidRPr="00970AD2">
        <w:t xml:space="preserve"> alterations and additions to a premises, or part of a premises, or as a result of an eligible activity, or as part of the same contract with a lessee or </w:t>
      </w:r>
      <w:r w:rsidR="00431980" w:rsidRPr="00970AD2">
        <w:t>occupier</w:t>
      </w:r>
      <w:r w:rsidRPr="00970AD2">
        <w:t xml:space="preserve"> of a premises.</w:t>
      </w:r>
    </w:p>
    <w:p w14:paraId="55189255" w14:textId="77777777" w:rsidR="00B75D20" w:rsidRPr="00970AD2" w:rsidRDefault="000D71E4" w:rsidP="002566B1">
      <w:pPr>
        <w:pStyle w:val="Dictionary"/>
      </w:pPr>
      <w:r w:rsidRPr="00970AD2">
        <w:rPr>
          <w:b/>
          <w:i/>
        </w:rPr>
        <w:t>i</w:t>
      </w:r>
      <w:r w:rsidR="001A78F3" w:rsidRPr="00970AD2">
        <w:rPr>
          <w:b/>
          <w:i/>
        </w:rPr>
        <w:t xml:space="preserve">nstall </w:t>
      </w:r>
      <w:r w:rsidR="001A78F3" w:rsidRPr="00970AD2">
        <w:t>includes modify or replace</w:t>
      </w:r>
      <w:r w:rsidRPr="00970AD2">
        <w:t xml:space="preserve"> to achieve compliance with eligible activity criteria.</w:t>
      </w:r>
      <w:r w:rsidR="001A78F3" w:rsidRPr="00970AD2">
        <w:t xml:space="preserve"> </w:t>
      </w:r>
    </w:p>
    <w:p w14:paraId="2AB2A478" w14:textId="77777777" w:rsidR="00B75D20" w:rsidRPr="00970AD2" w:rsidRDefault="001B29DA" w:rsidP="002566B1">
      <w:pPr>
        <w:pStyle w:val="Dictionary"/>
      </w:pPr>
      <w:r w:rsidRPr="00970AD2">
        <w:rPr>
          <w:b/>
          <w:i/>
        </w:rPr>
        <w:t>K</w:t>
      </w:r>
      <w:r w:rsidRPr="00970AD2">
        <w:t xml:space="preserve"> </w:t>
      </w:r>
      <w:r w:rsidR="00E95A1F" w:rsidRPr="00970AD2">
        <w:t xml:space="preserve">means </w:t>
      </w:r>
      <w:r w:rsidRPr="00970AD2">
        <w:t xml:space="preserve">Kelvin. </w:t>
      </w:r>
    </w:p>
    <w:p w14:paraId="225C550E" w14:textId="77777777" w:rsidR="00B75D20" w:rsidRPr="00970AD2" w:rsidRDefault="001B29DA" w:rsidP="002566B1">
      <w:pPr>
        <w:pStyle w:val="Dictionary"/>
      </w:pPr>
      <w:r w:rsidRPr="00970AD2">
        <w:rPr>
          <w:b/>
          <w:i/>
        </w:rPr>
        <w:t>kW</w:t>
      </w:r>
      <w:r w:rsidRPr="00970AD2">
        <w:t xml:space="preserve"> means kilowatt.</w:t>
      </w:r>
    </w:p>
    <w:p w14:paraId="4B37BC2C" w14:textId="77777777" w:rsidR="002A3ED1" w:rsidRPr="00970AD2" w:rsidRDefault="002A3ED1" w:rsidP="002566B1">
      <w:pPr>
        <w:pStyle w:val="Dictionary"/>
      </w:pPr>
      <w:r w:rsidRPr="00970AD2">
        <w:rPr>
          <w:b/>
          <w:i/>
        </w:rPr>
        <w:t xml:space="preserve">large electricity customer </w:t>
      </w:r>
      <w:r w:rsidRPr="00970AD2">
        <w:t xml:space="preserve">means a business </w:t>
      </w:r>
      <w:r w:rsidR="00FC1DF8">
        <w:t>that</w:t>
      </w:r>
      <w:r w:rsidR="00FC1DF8" w:rsidRPr="00970AD2">
        <w:t xml:space="preserve"> </w:t>
      </w:r>
      <w:r w:rsidRPr="00970AD2">
        <w:t xml:space="preserve">consumes electricity at or above the upper consumption threshold for electricity, as defined in the </w:t>
      </w:r>
      <w:r w:rsidRPr="00970AD2">
        <w:rPr>
          <w:i/>
        </w:rPr>
        <w:t>National Energy Retail Regulations</w:t>
      </w:r>
      <w:r w:rsidRPr="00970AD2">
        <w:t>.</w:t>
      </w:r>
    </w:p>
    <w:p w14:paraId="343AC5C4" w14:textId="77777777" w:rsidR="002A3ED1" w:rsidRPr="00970AD2" w:rsidRDefault="00F5190C" w:rsidP="00E032C6">
      <w:pPr>
        <w:pStyle w:val="Notesandexamples"/>
        <w:rPr>
          <w:sz w:val="19"/>
          <w:szCs w:val="19"/>
        </w:rPr>
      </w:pPr>
      <w:r w:rsidRPr="00970AD2">
        <w:rPr>
          <w:rFonts w:cs="Times New Roman"/>
        </w:rPr>
        <w:t>Note</w:t>
      </w:r>
      <w:r w:rsidRPr="00970AD2">
        <w:t xml:space="preserve"> </w:t>
      </w:r>
      <w:r w:rsidRPr="00970AD2">
        <w:tab/>
        <w:t>The upper consumption threshold for large electricity customers is more than 160 MWh per annum per National Meter Identifier in the 12 months prior to upgrade.</w:t>
      </w:r>
    </w:p>
    <w:p w14:paraId="4DC1CB9D" w14:textId="77777777" w:rsidR="00B75D20" w:rsidRPr="00970AD2" w:rsidRDefault="001A78F3" w:rsidP="002566B1">
      <w:pPr>
        <w:pStyle w:val="Dictionary"/>
      </w:pPr>
      <w:r w:rsidRPr="00E032C6">
        <w:rPr>
          <w:b/>
          <w:i/>
          <w:iCs/>
        </w:rPr>
        <w:t>lessee</w:t>
      </w:r>
      <w:r w:rsidRPr="00970AD2">
        <w:rPr>
          <w:b/>
        </w:rPr>
        <w:t xml:space="preserve"> </w:t>
      </w:r>
      <w:r w:rsidRPr="00970AD2">
        <w:t xml:space="preserve">see section 234 of the </w:t>
      </w:r>
      <w:r w:rsidR="00FC1DF8" w:rsidRPr="006B6E04">
        <w:rPr>
          <w:i/>
          <w:iCs/>
        </w:rPr>
        <w:t xml:space="preserve">ACT </w:t>
      </w:r>
      <w:r w:rsidRPr="006B6E04">
        <w:rPr>
          <w:i/>
          <w:iCs/>
        </w:rPr>
        <w:t xml:space="preserve">Planning and Development Act </w:t>
      </w:r>
      <w:r w:rsidR="007E4AA9" w:rsidRPr="006B6E04">
        <w:rPr>
          <w:i/>
          <w:iCs/>
        </w:rPr>
        <w:t>2007</w:t>
      </w:r>
      <w:r w:rsidR="004A56C4" w:rsidRPr="00970AD2">
        <w:t>.</w:t>
      </w:r>
      <w:r w:rsidRPr="00970AD2">
        <w:t xml:space="preserve"> </w:t>
      </w:r>
    </w:p>
    <w:p w14:paraId="1EAD36F4" w14:textId="77777777" w:rsidR="00B75D20" w:rsidRDefault="001A78F3" w:rsidP="002566B1">
      <w:pPr>
        <w:pStyle w:val="Dictionary"/>
      </w:pPr>
      <w:r w:rsidRPr="00E032C6">
        <w:rPr>
          <w:b/>
          <w:bCs/>
          <w:i/>
        </w:rPr>
        <w:t>lighting source efficacy</w:t>
      </w:r>
      <w:r w:rsidRPr="00970AD2">
        <w:rPr>
          <w:b/>
          <w:bCs/>
          <w:iCs/>
        </w:rPr>
        <w:t xml:space="preserve"> </w:t>
      </w:r>
      <w:r w:rsidRPr="00970AD2">
        <w:t>means the initial luminous flux of a lamp or the total radiant flux in the visible spectrum weighted by the spectral response of the eye, divided by the electric power that will be consumed by the lamp but excluding ballas</w:t>
      </w:r>
      <w:r w:rsidR="001B29DA" w:rsidRPr="00970AD2">
        <w:t>t and control gear power losses.</w:t>
      </w:r>
      <w:r w:rsidRPr="00970AD2">
        <w:t xml:space="preserve"> </w:t>
      </w:r>
    </w:p>
    <w:p w14:paraId="7621FE36" w14:textId="77777777" w:rsidR="00E21494" w:rsidRPr="00E21494" w:rsidRDefault="00E21494" w:rsidP="002566B1">
      <w:pPr>
        <w:pStyle w:val="Dictionary"/>
      </w:pPr>
      <w:r>
        <w:rPr>
          <w:b/>
          <w:bCs/>
          <w:i/>
        </w:rPr>
        <w:t>lm/W</w:t>
      </w:r>
      <w:r>
        <w:rPr>
          <w:b/>
          <w:bCs/>
          <w:i/>
        </w:rPr>
        <w:tab/>
      </w:r>
      <w:r>
        <w:rPr>
          <w:i/>
        </w:rPr>
        <w:t>means lumens per watt.</w:t>
      </w:r>
    </w:p>
    <w:p w14:paraId="11225A14" w14:textId="77777777" w:rsidR="00B75D20" w:rsidRPr="00970AD2" w:rsidRDefault="001A78F3" w:rsidP="002566B1">
      <w:pPr>
        <w:pStyle w:val="Dictionary"/>
      </w:pPr>
      <w:r w:rsidRPr="00E032C6">
        <w:rPr>
          <w:b/>
          <w:bCs/>
          <w:i/>
        </w:rPr>
        <w:t>mains power switching device</w:t>
      </w:r>
      <w:r w:rsidRPr="00970AD2">
        <w:rPr>
          <w:b/>
          <w:bCs/>
          <w:iCs/>
        </w:rPr>
        <w:t xml:space="preserve"> </w:t>
      </w:r>
      <w:r w:rsidRPr="00970AD2">
        <w:t xml:space="preserve">means a relay or other device that switches the power to the </w:t>
      </w:r>
      <w:r w:rsidR="001B29DA" w:rsidRPr="00970AD2">
        <w:t>controlled appliances on or off.</w:t>
      </w:r>
    </w:p>
    <w:p w14:paraId="6DE65980" w14:textId="77777777" w:rsidR="00B75D20" w:rsidRPr="00970AD2" w:rsidRDefault="001A78F3" w:rsidP="002566B1">
      <w:pPr>
        <w:pStyle w:val="Dictionary"/>
      </w:pPr>
      <w:r w:rsidRPr="00E032C6">
        <w:rPr>
          <w:b/>
          <w:bCs/>
          <w:i/>
        </w:rPr>
        <w:t>manual dimmer</w:t>
      </w:r>
      <w:r w:rsidRPr="00970AD2">
        <w:rPr>
          <w:b/>
          <w:bCs/>
          <w:iCs/>
        </w:rPr>
        <w:t xml:space="preserve"> </w:t>
      </w:r>
      <w:r w:rsidRPr="00970AD2">
        <w:t>means a product that enables manual control of a light fitting's light output by a dial, slider or other mechanism</w:t>
      </w:r>
      <w:r w:rsidR="001B29DA" w:rsidRPr="00970AD2">
        <w:t>.</w:t>
      </w:r>
      <w:r w:rsidRPr="00970AD2">
        <w:t xml:space="preserve"> </w:t>
      </w:r>
    </w:p>
    <w:p w14:paraId="39047218" w14:textId="77777777" w:rsidR="00B75D20" w:rsidRPr="00970AD2" w:rsidRDefault="001A78F3" w:rsidP="002566B1">
      <w:pPr>
        <w:pStyle w:val="Dictionary"/>
      </w:pPr>
      <w:r w:rsidRPr="00E032C6">
        <w:rPr>
          <w:b/>
          <w:bCs/>
          <w:i/>
        </w:rPr>
        <w:t>master/slave arrangement</w:t>
      </w:r>
      <w:r w:rsidRPr="00970AD2">
        <w:t>, in relation to a standby power controller, means an arrangement where the standby power controller is connected to an uncontrolled master appliance, whose current or power is solely used to control the electrical input to controlled appliances connected to the standby power controller</w:t>
      </w:r>
      <w:r w:rsidR="002002E3" w:rsidRPr="00970AD2">
        <w:t>.</w:t>
      </w:r>
    </w:p>
    <w:p w14:paraId="7A99E073" w14:textId="77777777" w:rsidR="00B75D20" w:rsidRPr="00970AD2" w:rsidRDefault="001A78F3" w:rsidP="002566B1">
      <w:pPr>
        <w:pStyle w:val="Dictionary"/>
      </w:pPr>
      <w:r w:rsidRPr="00E032C6">
        <w:rPr>
          <w:b/>
          <w:bCs/>
          <w:i/>
        </w:rPr>
        <w:t>MEPS</w:t>
      </w:r>
      <w:r w:rsidRPr="00970AD2">
        <w:rPr>
          <w:b/>
          <w:bCs/>
          <w:iCs/>
        </w:rPr>
        <w:t xml:space="preserve"> </w:t>
      </w:r>
      <w:r w:rsidRPr="00970AD2">
        <w:t xml:space="preserve">means </w:t>
      </w:r>
      <w:r w:rsidR="00C72D05" w:rsidRPr="00970AD2">
        <w:t xml:space="preserve">a </w:t>
      </w:r>
      <w:r w:rsidRPr="00970AD2">
        <w:t>minimum energy performance standard</w:t>
      </w:r>
      <w:r w:rsidR="00C72D05" w:rsidRPr="00970AD2">
        <w:t>.</w:t>
      </w:r>
    </w:p>
    <w:p w14:paraId="7C44A4E5" w14:textId="77777777" w:rsidR="00B75D20" w:rsidRPr="00970AD2" w:rsidRDefault="000D71E4" w:rsidP="002566B1">
      <w:pPr>
        <w:pStyle w:val="Dictionary"/>
      </w:pPr>
      <w:r w:rsidRPr="00E032C6">
        <w:rPr>
          <w:b/>
          <w:i/>
          <w:iCs/>
        </w:rPr>
        <w:t>MJ</w:t>
      </w:r>
      <w:r w:rsidRPr="00970AD2">
        <w:t xml:space="preserve"> means megajoules.</w:t>
      </w:r>
    </w:p>
    <w:p w14:paraId="7076CE9D" w14:textId="77777777" w:rsidR="00CF6C90" w:rsidRPr="00970AD2" w:rsidRDefault="00CF6C90" w:rsidP="002566B1">
      <w:pPr>
        <w:pStyle w:val="Dictionary"/>
      </w:pPr>
      <w:r w:rsidRPr="00E032C6">
        <w:rPr>
          <w:b/>
          <w:i/>
          <w:iCs/>
        </w:rPr>
        <w:t>modified light emitting diode installation</w:t>
      </w:r>
      <w:r w:rsidR="000170B5" w:rsidRPr="00970AD2">
        <w:rPr>
          <w:b/>
        </w:rPr>
        <w:t xml:space="preserve"> </w:t>
      </w:r>
      <w:r w:rsidR="000170B5" w:rsidRPr="00970AD2">
        <w:t xml:space="preserve">means </w:t>
      </w:r>
      <w:r w:rsidRPr="00970AD2">
        <w:t>modification style installations where the existing linear fluorescent lamp is replaced with a linear LED lamp, the original starter is replaced with a fuse as supplied with the LED lamp (in accordance with instructions provided with the LED lamp), and the original fluorescent lamp control gear – including both the ballast and capacitor where fitted – is rendered inoperable by removal and destruction of the whole item.</w:t>
      </w:r>
    </w:p>
    <w:p w14:paraId="18E14CC2" w14:textId="77777777" w:rsidR="00CE64CC" w:rsidRPr="00970AD2" w:rsidRDefault="001F4B3C" w:rsidP="002566B1">
      <w:pPr>
        <w:pStyle w:val="Dictionary"/>
      </w:pPr>
      <w:r w:rsidRPr="00E032C6">
        <w:rPr>
          <w:b/>
          <w:i/>
          <w:iCs/>
        </w:rPr>
        <w:t>M-package temperature class</w:t>
      </w:r>
      <w:r w:rsidRPr="00970AD2">
        <w:t xml:space="preserve"> means the operational temperature range for the refrigerated display cabinet as defined in </w:t>
      </w:r>
      <w:r w:rsidR="00F84416" w:rsidRPr="00970AD2">
        <w:t>AS 1731</w:t>
      </w:r>
      <w:r w:rsidR="009E3B6A">
        <w:t>.</w:t>
      </w:r>
    </w:p>
    <w:p w14:paraId="164A5B5D" w14:textId="77777777" w:rsidR="001E0381" w:rsidRPr="00970AD2" w:rsidRDefault="00737D6E" w:rsidP="002566B1">
      <w:pPr>
        <w:pStyle w:val="Dictionary"/>
      </w:pPr>
      <w:r w:rsidRPr="00970AD2">
        <w:rPr>
          <w:b/>
          <w:i/>
        </w:rPr>
        <w:t>National Construction</w:t>
      </w:r>
      <w:r w:rsidRPr="00737D6E">
        <w:rPr>
          <w:rFonts w:ascii="Times New Roman" w:hAnsi="Times New Roman" w:cs="Times New Roman"/>
          <w:b/>
          <w:i/>
          <w:sz w:val="24"/>
          <w:szCs w:val="24"/>
          <w:lang w:eastAsia="en-US"/>
        </w:rPr>
        <w:t xml:space="preserve"> </w:t>
      </w:r>
      <w:r w:rsidRPr="00970AD2">
        <w:rPr>
          <w:b/>
          <w:i/>
          <w:lang w:eastAsia="en-AU"/>
        </w:rPr>
        <w:t>Code</w:t>
      </w:r>
      <w:r w:rsidRPr="00970AD2">
        <w:rPr>
          <w:lang w:eastAsia="en-AU"/>
        </w:rPr>
        <w:t xml:space="preserve"> means Volumes 1 and 2 of the National Construction Code published by the Australian Building Codes Board and the ACT Appendix to the building code as determined by the responsible Minister.</w:t>
      </w:r>
    </w:p>
    <w:p w14:paraId="3D9FAAB2" w14:textId="77777777" w:rsidR="00B75D20" w:rsidRPr="00970AD2" w:rsidRDefault="00834A1D" w:rsidP="002566B1">
      <w:pPr>
        <w:pStyle w:val="Dictionary"/>
      </w:pPr>
      <w:r w:rsidRPr="00970AD2">
        <w:rPr>
          <w:b/>
          <w:i/>
        </w:rPr>
        <w:t>o</w:t>
      </w:r>
      <w:r w:rsidR="00431980" w:rsidRPr="00970AD2">
        <w:rPr>
          <w:b/>
          <w:i/>
        </w:rPr>
        <w:t>ccupier</w:t>
      </w:r>
      <w:r w:rsidR="00431980" w:rsidRPr="00970AD2">
        <w:t xml:space="preserve"> </w:t>
      </w:r>
      <w:r w:rsidR="00431980" w:rsidRPr="00970AD2">
        <w:rPr>
          <w:lang w:eastAsia="en-AU"/>
        </w:rPr>
        <w:t xml:space="preserve">of premises, </w:t>
      </w:r>
      <w:r w:rsidR="00431980" w:rsidRPr="00970AD2">
        <w:t>includes</w:t>
      </w:r>
      <w:r w:rsidR="009022E8" w:rsidRPr="00970AD2">
        <w:t>—</w:t>
      </w:r>
    </w:p>
    <w:p w14:paraId="31643313" w14:textId="77777777" w:rsidR="00831F19" w:rsidRPr="00970AD2" w:rsidRDefault="00145992" w:rsidP="00D633D3">
      <w:pPr>
        <w:pStyle w:val="Subdetailsfirstindent"/>
        <w:numPr>
          <w:ilvl w:val="0"/>
          <w:numId w:val="224"/>
        </w:numPr>
        <w:ind w:left="1701" w:hanging="425"/>
      </w:pPr>
      <w:r w:rsidRPr="00970AD2">
        <w:t>a person believed, on reasonable grounds, to be an occupier of</w:t>
      </w:r>
      <w:r w:rsidR="002002E3" w:rsidRPr="00970AD2">
        <w:t xml:space="preserve"> </w:t>
      </w:r>
      <w:r w:rsidRPr="00970AD2">
        <w:t xml:space="preserve">the premises; </w:t>
      </w:r>
    </w:p>
    <w:p w14:paraId="6C083385" w14:textId="77777777" w:rsidR="00831F19" w:rsidRPr="00970AD2" w:rsidRDefault="00431980" w:rsidP="00D633D3">
      <w:pPr>
        <w:pStyle w:val="Subdetailsfirstindent"/>
        <w:numPr>
          <w:ilvl w:val="0"/>
          <w:numId w:val="223"/>
        </w:numPr>
        <w:ind w:left="1701" w:hanging="425"/>
      </w:pPr>
      <w:r w:rsidRPr="00970AD2">
        <w:t>a person apparently in charge of the premises</w:t>
      </w:r>
      <w:r w:rsidR="00370CCD" w:rsidRPr="00970AD2">
        <w:t xml:space="preserve">; </w:t>
      </w:r>
      <w:r w:rsidR="00616F87">
        <w:t>or</w:t>
      </w:r>
      <w:r w:rsidR="00616F87" w:rsidRPr="00970AD2">
        <w:t xml:space="preserve"> </w:t>
      </w:r>
    </w:p>
    <w:p w14:paraId="11AD6A6F" w14:textId="77777777" w:rsidR="00831F19" w:rsidRPr="00970AD2" w:rsidRDefault="00370CCD" w:rsidP="00D633D3">
      <w:pPr>
        <w:pStyle w:val="Subdetailsfirstindent"/>
        <w:numPr>
          <w:ilvl w:val="0"/>
          <w:numId w:val="223"/>
        </w:numPr>
        <w:ind w:left="1701" w:hanging="425"/>
      </w:pPr>
      <w:r w:rsidRPr="00970AD2">
        <w:t>a person authorised to enter into an arrangement for work for the premises</w:t>
      </w:r>
      <w:r w:rsidR="00431980" w:rsidRPr="00970AD2">
        <w:t>.</w:t>
      </w:r>
    </w:p>
    <w:p w14:paraId="44D8D434" w14:textId="77777777" w:rsidR="00B75D20" w:rsidRPr="00970AD2" w:rsidRDefault="00C72D05" w:rsidP="002566B1">
      <w:pPr>
        <w:pStyle w:val="Dictionary"/>
      </w:pPr>
      <w:r w:rsidRPr="00970AD2">
        <w:rPr>
          <w:b/>
          <w:bCs/>
          <w:i/>
          <w:iCs/>
        </w:rPr>
        <w:t>O</w:t>
      </w:r>
      <w:r w:rsidR="001A78F3" w:rsidRPr="00970AD2">
        <w:rPr>
          <w:b/>
          <w:bCs/>
          <w:i/>
          <w:iCs/>
        </w:rPr>
        <w:t xml:space="preserve">ff </w:t>
      </w:r>
      <w:r w:rsidRPr="00970AD2">
        <w:rPr>
          <w:b/>
          <w:bCs/>
          <w:i/>
          <w:iCs/>
        </w:rPr>
        <w:t>M</w:t>
      </w:r>
      <w:r w:rsidR="001A78F3" w:rsidRPr="00970AD2">
        <w:rPr>
          <w:b/>
          <w:bCs/>
          <w:i/>
          <w:iCs/>
        </w:rPr>
        <w:t>ode</w:t>
      </w:r>
      <w:r w:rsidR="001A78F3" w:rsidRPr="00970AD2">
        <w:t>, in relation to a computer, means the lowest power state of the computer when the computer is switched off by the user, but does not include Sleep Mode</w:t>
      </w:r>
      <w:r w:rsidR="001257A0" w:rsidRPr="00970AD2">
        <w:t>.</w:t>
      </w:r>
      <w:r w:rsidR="001A78F3" w:rsidRPr="00970AD2">
        <w:t xml:space="preserve"> </w:t>
      </w:r>
    </w:p>
    <w:p w14:paraId="4D51AB5A" w14:textId="77777777" w:rsidR="00B75D20" w:rsidRPr="00970AD2" w:rsidRDefault="001A78F3" w:rsidP="002566B1">
      <w:pPr>
        <w:pStyle w:val="Dictionary"/>
      </w:pPr>
      <w:r w:rsidRPr="00970AD2">
        <w:rPr>
          <w:b/>
          <w:bCs/>
          <w:i/>
          <w:iCs/>
        </w:rPr>
        <w:lastRenderedPageBreak/>
        <w:t xml:space="preserve">product </w:t>
      </w:r>
      <w:r w:rsidRPr="00970AD2">
        <w:t xml:space="preserve">includes appliance, </w:t>
      </w:r>
      <w:r w:rsidRPr="00970AD2">
        <w:rPr>
          <w:rFonts w:eastAsia="Times New Roman"/>
          <w:lang w:eastAsia="en-AU"/>
        </w:rPr>
        <w:t>equipment</w:t>
      </w:r>
      <w:r w:rsidRPr="00970AD2">
        <w:t xml:space="preserve"> and material</w:t>
      </w:r>
      <w:r w:rsidR="001257A0" w:rsidRPr="00970AD2">
        <w:t>.</w:t>
      </w:r>
    </w:p>
    <w:p w14:paraId="51277B14" w14:textId="77777777" w:rsidR="00B75D20" w:rsidRPr="00970AD2" w:rsidRDefault="00A60251" w:rsidP="002566B1">
      <w:pPr>
        <w:pStyle w:val="Dictionary"/>
      </w:pPr>
      <w:r w:rsidRPr="00970AD2">
        <w:rPr>
          <w:b/>
          <w:bCs/>
          <w:i/>
          <w:iCs/>
        </w:rPr>
        <w:t xml:space="preserve">purchase </w:t>
      </w:r>
      <w:r w:rsidRPr="00970AD2">
        <w:rPr>
          <w:bCs/>
          <w:iCs/>
        </w:rPr>
        <w:t xml:space="preserve">does not include </w:t>
      </w:r>
      <w:r w:rsidRPr="00970AD2">
        <w:rPr>
          <w:rFonts w:eastAsia="Times New Roman"/>
          <w:lang w:eastAsia="en-AU"/>
        </w:rPr>
        <w:t>by</w:t>
      </w:r>
      <w:r w:rsidRPr="00970AD2">
        <w:rPr>
          <w:bCs/>
          <w:iCs/>
        </w:rPr>
        <w:t xml:space="preserve"> private sale</w:t>
      </w:r>
      <w:r w:rsidR="00616F87">
        <w:rPr>
          <w:bCs/>
          <w:iCs/>
        </w:rPr>
        <w:t>.</w:t>
      </w:r>
    </w:p>
    <w:p w14:paraId="72A990DE" w14:textId="77777777" w:rsidR="00834A1D" w:rsidRPr="00970AD2" w:rsidRDefault="00834A1D" w:rsidP="002566B1">
      <w:pPr>
        <w:pStyle w:val="Dictionary"/>
      </w:pPr>
      <w:r w:rsidRPr="00970AD2">
        <w:rPr>
          <w:b/>
          <w:i/>
        </w:rPr>
        <w:t>record</w:t>
      </w:r>
      <w:r w:rsidRPr="00970AD2">
        <w:rPr>
          <w:b/>
        </w:rPr>
        <w:t xml:space="preserve"> </w:t>
      </w:r>
      <w:r w:rsidRPr="00970AD2">
        <w:t xml:space="preserve">includes report on all </w:t>
      </w:r>
      <w:r w:rsidRPr="00970AD2">
        <w:rPr>
          <w:rFonts w:eastAsia="Times New Roman"/>
          <w:lang w:eastAsia="en-AU"/>
        </w:rPr>
        <w:t>or</w:t>
      </w:r>
      <w:r w:rsidRPr="00970AD2">
        <w:t xml:space="preserve"> certain criteria of an eligible activity where an obligation to report exists.</w:t>
      </w:r>
    </w:p>
    <w:p w14:paraId="6E279659" w14:textId="77777777" w:rsidR="00B75D20" w:rsidRPr="00970AD2" w:rsidRDefault="00C72D05" w:rsidP="002566B1">
      <w:pPr>
        <w:pStyle w:val="Dictionary"/>
      </w:pPr>
      <w:r w:rsidRPr="00970AD2">
        <w:rPr>
          <w:b/>
          <w:i/>
        </w:rPr>
        <w:t>r</w:t>
      </w:r>
      <w:r w:rsidR="001A78F3" w:rsidRPr="00970AD2">
        <w:rPr>
          <w:b/>
          <w:i/>
        </w:rPr>
        <w:t>egister of products</w:t>
      </w:r>
      <w:r w:rsidR="001257A0" w:rsidRPr="006B6E04">
        <w:rPr>
          <w:bCs/>
        </w:rPr>
        <w:t>,</w:t>
      </w:r>
      <w:r w:rsidR="001257A0" w:rsidRPr="00970AD2">
        <w:rPr>
          <w:b/>
        </w:rPr>
        <w:t xml:space="preserve"> </w:t>
      </w:r>
      <w:r w:rsidR="001257A0" w:rsidRPr="00970AD2">
        <w:t>in relation to an eligible activity</w:t>
      </w:r>
      <w:r w:rsidR="00396BA9" w:rsidRPr="00970AD2">
        <w:t>,</w:t>
      </w:r>
      <w:r w:rsidR="001257A0" w:rsidRPr="00970AD2">
        <w:t xml:space="preserve"> means a register of products that meet one or more of the installed product requirements </w:t>
      </w:r>
      <w:r w:rsidR="009022E8" w:rsidRPr="00970AD2">
        <w:t xml:space="preserve">and product testing criteria </w:t>
      </w:r>
      <w:r w:rsidR="001257A0" w:rsidRPr="00970AD2">
        <w:t xml:space="preserve">for the activity that is prescribed by the administrator </w:t>
      </w:r>
      <w:r w:rsidR="009022E8" w:rsidRPr="00970AD2">
        <w:t xml:space="preserve">under a relevant code of </w:t>
      </w:r>
      <w:r w:rsidR="009022E8" w:rsidRPr="00970AD2">
        <w:rPr>
          <w:rFonts w:eastAsia="Times New Roman"/>
          <w:lang w:eastAsia="en-AU"/>
        </w:rPr>
        <w:t>practice</w:t>
      </w:r>
      <w:r w:rsidR="009022E8" w:rsidRPr="00970AD2">
        <w:t xml:space="preserve"> and provided to NERL retailers with an energy savings obligation under the Act.</w:t>
      </w:r>
      <w:r w:rsidR="00484806" w:rsidRPr="00970AD2">
        <w:t xml:space="preserve"> </w:t>
      </w:r>
      <w:r w:rsidR="00D47B07" w:rsidRPr="00970AD2">
        <w:t xml:space="preserve">The </w:t>
      </w:r>
      <w:r w:rsidR="00484806" w:rsidRPr="00970AD2">
        <w:t>register of products include</w:t>
      </w:r>
      <w:r w:rsidR="00D47B07" w:rsidRPr="00970AD2">
        <w:t>s</w:t>
      </w:r>
      <w:r w:rsidR="00484806" w:rsidRPr="00970AD2">
        <w:t xml:space="preserve"> those</w:t>
      </w:r>
      <w:r w:rsidR="00D47B07" w:rsidRPr="00970AD2">
        <w:t xml:space="preserve"> available under the Victorian Energy Efficiency Target (VEET)</w:t>
      </w:r>
      <w:r w:rsidR="00695A76" w:rsidRPr="00970AD2">
        <w:t>,</w:t>
      </w:r>
      <w:r w:rsidR="00D47B07" w:rsidRPr="00970AD2">
        <w:t xml:space="preserve"> </w:t>
      </w:r>
      <w:r w:rsidR="00645EC9" w:rsidRPr="00970AD2">
        <w:t>or</w:t>
      </w:r>
      <w:r w:rsidR="00D47B07" w:rsidRPr="00970AD2">
        <w:t xml:space="preserve"> the NSW Energy Savings Scheme (ESS)</w:t>
      </w:r>
      <w:r w:rsidR="00695A76" w:rsidRPr="00970AD2">
        <w:t>,</w:t>
      </w:r>
      <w:r w:rsidR="00645EC9" w:rsidRPr="00970AD2">
        <w:t xml:space="preserve"> or</w:t>
      </w:r>
      <w:r w:rsidR="00695A76" w:rsidRPr="00970AD2">
        <w:t xml:space="preserve"> </w:t>
      </w:r>
      <w:r w:rsidR="0046660D" w:rsidRPr="00970AD2">
        <w:t>in the</w:t>
      </w:r>
      <w:r w:rsidR="00695A76" w:rsidRPr="00970AD2">
        <w:t xml:space="preserve"> </w:t>
      </w:r>
      <w:r w:rsidR="0046660D" w:rsidRPr="006B6E04">
        <w:rPr>
          <w:i/>
          <w:iCs/>
        </w:rPr>
        <w:t xml:space="preserve">Greenhouse and Energy Minimum Standards Act 2012 </w:t>
      </w:r>
      <w:r w:rsidR="0046660D" w:rsidRPr="00970AD2">
        <w:t>(</w:t>
      </w:r>
      <w:r w:rsidR="00695A76" w:rsidRPr="00970AD2">
        <w:t>GEMS</w:t>
      </w:r>
      <w:r w:rsidR="0046660D" w:rsidRPr="00970AD2">
        <w:t>)</w:t>
      </w:r>
      <w:r w:rsidR="00D47B07" w:rsidRPr="00970AD2">
        <w:t>.</w:t>
      </w:r>
      <w:r w:rsidR="00645EC9" w:rsidRPr="00970AD2">
        <w:t xml:space="preserve"> If a product is suspended by </w:t>
      </w:r>
      <w:r w:rsidR="0046660D" w:rsidRPr="00970AD2">
        <w:t xml:space="preserve">GEMS, </w:t>
      </w:r>
      <w:r w:rsidR="00645EC9" w:rsidRPr="00970AD2">
        <w:t xml:space="preserve">the VEET or </w:t>
      </w:r>
      <w:r w:rsidR="0046660D" w:rsidRPr="00970AD2">
        <w:t xml:space="preserve">ESS </w:t>
      </w:r>
      <w:r w:rsidR="00645EC9" w:rsidRPr="00970AD2">
        <w:t>scheme then that product is no</w:t>
      </w:r>
      <w:r w:rsidR="00695A76" w:rsidRPr="00970AD2">
        <w:t xml:space="preserve"> </w:t>
      </w:r>
      <w:r w:rsidR="00645EC9" w:rsidRPr="00970AD2">
        <w:t>longer eligible to be used in the Energy Efficiency Improvement Scheme (EEIS).</w:t>
      </w:r>
    </w:p>
    <w:p w14:paraId="7FBFBE5A" w14:textId="77777777" w:rsidR="00B75D20" w:rsidRPr="00970AD2" w:rsidRDefault="00C72D05" w:rsidP="002566B1">
      <w:pPr>
        <w:pStyle w:val="Dictionary"/>
      </w:pPr>
      <w:r w:rsidRPr="00970AD2">
        <w:rPr>
          <w:b/>
        </w:rPr>
        <w:t>r</w:t>
      </w:r>
      <w:r w:rsidR="001A78F3" w:rsidRPr="00970AD2">
        <w:rPr>
          <w:b/>
        </w:rPr>
        <w:t>elevant legislation</w:t>
      </w:r>
      <w:r w:rsidR="009022E8" w:rsidRPr="00970AD2">
        <w:rPr>
          <w:b/>
        </w:rPr>
        <w:t xml:space="preserve"> </w:t>
      </w:r>
      <w:r w:rsidR="009022E8" w:rsidRPr="00970AD2">
        <w:t>m</w:t>
      </w:r>
      <w:r w:rsidR="001A78F3" w:rsidRPr="00970AD2">
        <w:t xml:space="preserve">eans of </w:t>
      </w:r>
      <w:r w:rsidR="001A78F3" w:rsidRPr="00970AD2">
        <w:rPr>
          <w:rFonts w:eastAsia="Times New Roman"/>
          <w:lang w:eastAsia="en-AU"/>
        </w:rPr>
        <w:t>law</w:t>
      </w:r>
      <w:r w:rsidR="001A78F3" w:rsidRPr="00970AD2">
        <w:t xml:space="preserve"> of the </w:t>
      </w:r>
      <w:r w:rsidR="009022E8" w:rsidRPr="00970AD2">
        <w:t xml:space="preserve">Territory </w:t>
      </w:r>
      <w:r w:rsidR="001A78F3" w:rsidRPr="00970AD2">
        <w:t xml:space="preserve">or another </w:t>
      </w:r>
      <w:r w:rsidR="009022E8" w:rsidRPr="00970AD2">
        <w:t>jurisdiction</w:t>
      </w:r>
      <w:r w:rsidR="001A78F3" w:rsidRPr="00970AD2">
        <w:t xml:space="preserve"> that applies to all or part of the activity being undertaken, i</w:t>
      </w:r>
      <w:r w:rsidR="009022E8" w:rsidRPr="00970AD2">
        <w:t>ncluding but not limited to the—</w:t>
      </w:r>
    </w:p>
    <w:p w14:paraId="79F683CB" w14:textId="77777777" w:rsidR="00831F19" w:rsidRPr="004D7850" w:rsidRDefault="001A78F3" w:rsidP="00D633D3">
      <w:pPr>
        <w:pStyle w:val="BodytextEEIS"/>
        <w:numPr>
          <w:ilvl w:val="0"/>
          <w:numId w:val="154"/>
        </w:numPr>
        <w:ind w:left="1701" w:hanging="425"/>
        <w:rPr>
          <w:i/>
          <w:iCs/>
        </w:rPr>
      </w:pPr>
      <w:r w:rsidRPr="004D7850">
        <w:rPr>
          <w:i/>
          <w:iCs/>
        </w:rPr>
        <w:t>Building Act 2004</w:t>
      </w:r>
    </w:p>
    <w:p w14:paraId="012B01C1" w14:textId="77777777" w:rsidR="00831F19" w:rsidRPr="004D7850" w:rsidRDefault="001A78F3" w:rsidP="00D633D3">
      <w:pPr>
        <w:pStyle w:val="BodytextEEIS"/>
        <w:numPr>
          <w:ilvl w:val="0"/>
          <w:numId w:val="154"/>
        </w:numPr>
        <w:ind w:left="1701" w:hanging="425"/>
        <w:rPr>
          <w:i/>
          <w:iCs/>
        </w:rPr>
      </w:pPr>
      <w:r w:rsidRPr="004D7850">
        <w:rPr>
          <w:i/>
          <w:iCs/>
        </w:rPr>
        <w:t xml:space="preserve">Gas Safety Act </w:t>
      </w:r>
      <w:r w:rsidR="009022E8" w:rsidRPr="004D7850">
        <w:rPr>
          <w:i/>
          <w:iCs/>
        </w:rPr>
        <w:t>2000</w:t>
      </w:r>
    </w:p>
    <w:p w14:paraId="69EEF817" w14:textId="77777777" w:rsidR="00831F19" w:rsidRPr="004D7850" w:rsidRDefault="001A78F3" w:rsidP="00D633D3">
      <w:pPr>
        <w:pStyle w:val="BodytextEEIS"/>
        <w:numPr>
          <w:ilvl w:val="0"/>
          <w:numId w:val="154"/>
        </w:numPr>
        <w:ind w:left="1701" w:hanging="425"/>
        <w:rPr>
          <w:i/>
          <w:iCs/>
        </w:rPr>
      </w:pPr>
      <w:r w:rsidRPr="004D7850">
        <w:rPr>
          <w:i/>
          <w:iCs/>
        </w:rPr>
        <w:t>Electricity Safety Act</w:t>
      </w:r>
      <w:r w:rsidR="009022E8" w:rsidRPr="004D7850">
        <w:rPr>
          <w:i/>
          <w:iCs/>
        </w:rPr>
        <w:t xml:space="preserve"> </w:t>
      </w:r>
      <w:r w:rsidR="00A60251" w:rsidRPr="004D7850">
        <w:rPr>
          <w:i/>
          <w:iCs/>
        </w:rPr>
        <w:t>1971</w:t>
      </w:r>
    </w:p>
    <w:p w14:paraId="0FB0864B" w14:textId="77777777" w:rsidR="00831F19" w:rsidRPr="004D7850" w:rsidRDefault="001A78F3" w:rsidP="00D633D3">
      <w:pPr>
        <w:pStyle w:val="BodytextEEIS"/>
        <w:numPr>
          <w:ilvl w:val="0"/>
          <w:numId w:val="154"/>
        </w:numPr>
        <w:ind w:left="1701" w:hanging="425"/>
        <w:rPr>
          <w:i/>
          <w:iCs/>
        </w:rPr>
      </w:pPr>
      <w:r w:rsidRPr="004D7850">
        <w:rPr>
          <w:i/>
          <w:iCs/>
        </w:rPr>
        <w:t>Water and Sewerage Act</w:t>
      </w:r>
      <w:r w:rsidR="006564C0" w:rsidRPr="004D7850">
        <w:rPr>
          <w:i/>
          <w:iCs/>
        </w:rPr>
        <w:t xml:space="preserve"> 2000</w:t>
      </w:r>
    </w:p>
    <w:p w14:paraId="021C9476" w14:textId="77777777" w:rsidR="00831F19" w:rsidRPr="004D7850" w:rsidRDefault="006564C0" w:rsidP="00D633D3">
      <w:pPr>
        <w:pStyle w:val="BodytextEEIS"/>
        <w:numPr>
          <w:ilvl w:val="0"/>
          <w:numId w:val="154"/>
        </w:numPr>
        <w:ind w:left="1701" w:hanging="425"/>
        <w:rPr>
          <w:i/>
          <w:iCs/>
        </w:rPr>
      </w:pPr>
      <w:r w:rsidRPr="004D7850">
        <w:rPr>
          <w:i/>
          <w:iCs/>
        </w:rPr>
        <w:t>Dangerous Substances Act 2004</w:t>
      </w:r>
    </w:p>
    <w:p w14:paraId="1D782299" w14:textId="77777777" w:rsidR="00831F19" w:rsidRPr="004D7850" w:rsidRDefault="006564C0" w:rsidP="00D633D3">
      <w:pPr>
        <w:pStyle w:val="BodytextEEIS"/>
        <w:numPr>
          <w:ilvl w:val="0"/>
          <w:numId w:val="154"/>
        </w:numPr>
        <w:ind w:left="1701" w:hanging="425"/>
        <w:rPr>
          <w:i/>
          <w:iCs/>
        </w:rPr>
      </w:pPr>
      <w:r w:rsidRPr="004D7850">
        <w:rPr>
          <w:i/>
          <w:iCs/>
        </w:rPr>
        <w:t>Work Health and Safety Act 20</w:t>
      </w:r>
      <w:r w:rsidR="00E63BFB" w:rsidRPr="004D7850">
        <w:rPr>
          <w:i/>
          <w:iCs/>
        </w:rPr>
        <w:t>1</w:t>
      </w:r>
      <w:r w:rsidRPr="004D7850">
        <w:rPr>
          <w:i/>
          <w:iCs/>
        </w:rPr>
        <w:t>1</w:t>
      </w:r>
    </w:p>
    <w:p w14:paraId="24D4161C" w14:textId="77777777" w:rsidR="00831F19" w:rsidRPr="004D7850" w:rsidRDefault="006564C0" w:rsidP="00D633D3">
      <w:pPr>
        <w:pStyle w:val="BodytextEEIS"/>
        <w:numPr>
          <w:ilvl w:val="0"/>
          <w:numId w:val="154"/>
        </w:numPr>
        <w:ind w:left="1701" w:hanging="425"/>
        <w:rPr>
          <w:i/>
          <w:iCs/>
        </w:rPr>
      </w:pPr>
      <w:r w:rsidRPr="004D7850">
        <w:rPr>
          <w:i/>
          <w:iCs/>
        </w:rPr>
        <w:t>Unit Titles Act 2001</w:t>
      </w:r>
    </w:p>
    <w:p w14:paraId="7761086F" w14:textId="77777777" w:rsidR="00831F19" w:rsidRPr="004D7850" w:rsidRDefault="006564C0" w:rsidP="00D633D3">
      <w:pPr>
        <w:pStyle w:val="BodytextEEIS"/>
        <w:numPr>
          <w:ilvl w:val="0"/>
          <w:numId w:val="154"/>
        </w:numPr>
        <w:ind w:left="1701" w:hanging="425"/>
        <w:rPr>
          <w:i/>
          <w:iCs/>
        </w:rPr>
      </w:pPr>
      <w:r w:rsidRPr="004D7850">
        <w:rPr>
          <w:i/>
          <w:iCs/>
        </w:rPr>
        <w:t xml:space="preserve">Fair Trading Act (Australia Consumer Law) Act 1992 </w:t>
      </w:r>
    </w:p>
    <w:p w14:paraId="608D897A" w14:textId="77777777" w:rsidR="00831F19" w:rsidRPr="004D7850" w:rsidRDefault="001A78F3" w:rsidP="00D633D3">
      <w:pPr>
        <w:pStyle w:val="BodytextEEIS"/>
        <w:numPr>
          <w:ilvl w:val="0"/>
          <w:numId w:val="154"/>
        </w:numPr>
        <w:ind w:left="1701" w:hanging="425"/>
        <w:rPr>
          <w:i/>
          <w:iCs/>
        </w:rPr>
      </w:pPr>
      <w:r w:rsidRPr="004D7850">
        <w:rPr>
          <w:i/>
          <w:iCs/>
        </w:rPr>
        <w:t xml:space="preserve">Environment Protection Act </w:t>
      </w:r>
      <w:r w:rsidR="006564C0" w:rsidRPr="004D7850">
        <w:rPr>
          <w:i/>
          <w:iCs/>
        </w:rPr>
        <w:t>1997</w:t>
      </w:r>
    </w:p>
    <w:p w14:paraId="30DFF09A" w14:textId="77777777" w:rsidR="00831F19" w:rsidRPr="004D7850" w:rsidRDefault="001A78F3" w:rsidP="00D633D3">
      <w:pPr>
        <w:pStyle w:val="BodytextEEIS"/>
        <w:numPr>
          <w:ilvl w:val="0"/>
          <w:numId w:val="154"/>
        </w:numPr>
        <w:ind w:left="1701" w:hanging="425"/>
        <w:rPr>
          <w:i/>
          <w:iCs/>
        </w:rPr>
      </w:pPr>
      <w:r w:rsidRPr="004D7850">
        <w:rPr>
          <w:i/>
          <w:iCs/>
        </w:rPr>
        <w:t>Construction Occupations (Licensing) Act 2004</w:t>
      </w:r>
    </w:p>
    <w:p w14:paraId="1A1E1146" w14:textId="77777777" w:rsidR="00831F19" w:rsidRPr="004D7850" w:rsidRDefault="001A78F3" w:rsidP="00D633D3">
      <w:pPr>
        <w:pStyle w:val="BodytextEEIS"/>
        <w:numPr>
          <w:ilvl w:val="0"/>
          <w:numId w:val="154"/>
        </w:numPr>
        <w:ind w:left="1701" w:hanging="425"/>
        <w:rPr>
          <w:i/>
          <w:iCs/>
        </w:rPr>
      </w:pPr>
      <w:r w:rsidRPr="004D7850">
        <w:rPr>
          <w:i/>
          <w:iCs/>
        </w:rPr>
        <w:t xml:space="preserve">Ozone </w:t>
      </w:r>
      <w:r w:rsidR="009022E8" w:rsidRPr="004D7850">
        <w:rPr>
          <w:i/>
          <w:iCs/>
        </w:rPr>
        <w:t>Protection and Synthetic Greenhouse Gas Management Act 1989</w:t>
      </w:r>
      <w:r w:rsidRPr="004D7850">
        <w:rPr>
          <w:i/>
          <w:iCs/>
        </w:rPr>
        <w:t xml:space="preserve"> </w:t>
      </w:r>
      <w:r w:rsidRPr="004D7850">
        <w:t>(Commonwealth)</w:t>
      </w:r>
      <w:r w:rsidRPr="004D7850">
        <w:rPr>
          <w:i/>
          <w:iCs/>
        </w:rPr>
        <w:t xml:space="preserve"> </w:t>
      </w:r>
    </w:p>
    <w:p w14:paraId="0E896F4B" w14:textId="77777777" w:rsidR="00831F19" w:rsidRPr="004D7850" w:rsidRDefault="009022E8" w:rsidP="00D633D3">
      <w:pPr>
        <w:pStyle w:val="BodytextEEIS"/>
        <w:numPr>
          <w:ilvl w:val="0"/>
          <w:numId w:val="154"/>
        </w:numPr>
        <w:ind w:left="1701" w:hanging="425"/>
        <w:rPr>
          <w:i/>
          <w:iCs/>
        </w:rPr>
      </w:pPr>
      <w:r w:rsidRPr="004D7850">
        <w:rPr>
          <w:i/>
          <w:iCs/>
        </w:rPr>
        <w:t>Trade Practices Act</w:t>
      </w:r>
      <w:r w:rsidR="006564C0" w:rsidRPr="004D7850">
        <w:rPr>
          <w:i/>
          <w:iCs/>
        </w:rPr>
        <w:t xml:space="preserve"> 1974 </w:t>
      </w:r>
      <w:r w:rsidR="006564C0" w:rsidRPr="004D7850">
        <w:t>(Commonwealth)</w:t>
      </w:r>
      <w:r w:rsidR="00616F87">
        <w:t>.</w:t>
      </w:r>
    </w:p>
    <w:p w14:paraId="497F40F3" w14:textId="77777777" w:rsidR="00B75D20" w:rsidRPr="00970AD2" w:rsidRDefault="00C72D05" w:rsidP="002566B1">
      <w:pPr>
        <w:pStyle w:val="Dictionary"/>
      </w:pPr>
      <w:r w:rsidRPr="00970AD2">
        <w:rPr>
          <w:b/>
          <w:i/>
        </w:rPr>
        <w:t>r</w:t>
      </w:r>
      <w:r w:rsidR="001A78F3" w:rsidRPr="00970AD2">
        <w:rPr>
          <w:b/>
          <w:i/>
        </w:rPr>
        <w:t>esidential premises</w:t>
      </w:r>
      <w:r w:rsidR="00D838F5" w:rsidRPr="00970AD2">
        <w:rPr>
          <w:b/>
        </w:rPr>
        <w:t xml:space="preserve"> </w:t>
      </w:r>
      <w:r w:rsidR="00D838F5" w:rsidRPr="00970AD2">
        <w:t xml:space="preserve">means </w:t>
      </w:r>
      <w:r w:rsidR="001A78F3" w:rsidRPr="00970AD2">
        <w:t xml:space="preserve">a building </w:t>
      </w:r>
      <w:r w:rsidR="00D838F5" w:rsidRPr="00970AD2">
        <w:t xml:space="preserve">or part of building located in the Territory and </w:t>
      </w:r>
      <w:r w:rsidR="001A78F3" w:rsidRPr="00970AD2">
        <w:t xml:space="preserve">classified under Part A3 of the </w:t>
      </w:r>
      <w:r w:rsidR="003B175A" w:rsidRPr="00970AD2">
        <w:rPr>
          <w:i/>
        </w:rPr>
        <w:t>National Construction Code</w:t>
      </w:r>
      <w:r w:rsidR="001A78F3" w:rsidRPr="00970AD2">
        <w:t xml:space="preserve"> as </w:t>
      </w:r>
      <w:r w:rsidR="00D838F5" w:rsidRPr="00970AD2">
        <w:t>a c</w:t>
      </w:r>
      <w:r w:rsidR="001A78F3" w:rsidRPr="00970AD2">
        <w:t>lass 1</w:t>
      </w:r>
      <w:r w:rsidR="00D838F5" w:rsidRPr="00970AD2">
        <w:t xml:space="preserve"> building</w:t>
      </w:r>
      <w:r w:rsidR="00834A1D" w:rsidRPr="00970AD2">
        <w:t xml:space="preserve">, a class 10a building </w:t>
      </w:r>
      <w:r w:rsidR="00140BA8" w:rsidRPr="00970AD2">
        <w:t xml:space="preserve">attached to </w:t>
      </w:r>
      <w:r w:rsidR="00834A1D" w:rsidRPr="00970AD2">
        <w:t xml:space="preserve">a class 1 building, </w:t>
      </w:r>
      <w:r w:rsidR="00D838F5" w:rsidRPr="00970AD2">
        <w:t xml:space="preserve">a sole occupancy unit in a class </w:t>
      </w:r>
      <w:r w:rsidR="001A78F3" w:rsidRPr="00970AD2">
        <w:t xml:space="preserve">2 </w:t>
      </w:r>
      <w:r w:rsidR="00D838F5" w:rsidRPr="00970AD2">
        <w:t xml:space="preserve">building, </w:t>
      </w:r>
      <w:r w:rsidR="001A78F3" w:rsidRPr="00970AD2">
        <w:t xml:space="preserve">or </w:t>
      </w:r>
      <w:r w:rsidR="00D838F5" w:rsidRPr="00970AD2">
        <w:t xml:space="preserve">a class </w:t>
      </w:r>
      <w:r w:rsidR="001A78F3" w:rsidRPr="00970AD2">
        <w:t xml:space="preserve">4 </w:t>
      </w:r>
      <w:r w:rsidR="00D838F5" w:rsidRPr="00970AD2">
        <w:t>b</w:t>
      </w:r>
      <w:r w:rsidR="001A78F3" w:rsidRPr="00970AD2">
        <w:t>uilding</w:t>
      </w:r>
      <w:r w:rsidR="00D838F5" w:rsidRPr="00970AD2">
        <w:t xml:space="preserve">, or is a transportable home or </w:t>
      </w:r>
      <w:r w:rsidR="00D838F5" w:rsidRPr="00970AD2">
        <w:rPr>
          <w:rFonts w:eastAsia="Times New Roman"/>
          <w:lang w:eastAsia="en-AU"/>
        </w:rPr>
        <w:t>vehicle</w:t>
      </w:r>
      <w:r w:rsidR="00D838F5" w:rsidRPr="00970AD2">
        <w:t xml:space="preserve"> designed for habitation that is not used for short-stay or holiday accommodation</w:t>
      </w:r>
      <w:r w:rsidR="00197318" w:rsidRPr="00970AD2">
        <w:t>.</w:t>
      </w:r>
    </w:p>
    <w:p w14:paraId="31EB86AA" w14:textId="77777777" w:rsidR="00B75D20" w:rsidRPr="00970AD2" w:rsidRDefault="001A78F3" w:rsidP="002566B1">
      <w:pPr>
        <w:pStyle w:val="Dictionary"/>
      </w:pPr>
      <w:r w:rsidRPr="00970AD2">
        <w:rPr>
          <w:b/>
          <w:bCs/>
          <w:i/>
          <w:iCs/>
        </w:rPr>
        <w:t xml:space="preserve">R-value </w:t>
      </w:r>
      <w:r w:rsidRPr="00970AD2">
        <w:t xml:space="preserve">means the thermal </w:t>
      </w:r>
      <w:r w:rsidRPr="00970AD2">
        <w:rPr>
          <w:rFonts w:eastAsia="Times New Roman"/>
          <w:lang w:eastAsia="en-AU"/>
        </w:rPr>
        <w:t>resistance</w:t>
      </w:r>
      <w:r w:rsidRPr="00970AD2">
        <w:t xml:space="preserve"> </w:t>
      </w:r>
      <w:r w:rsidR="00E95A1F" w:rsidRPr="00970AD2">
        <w:t xml:space="preserve">in </w:t>
      </w:r>
      <w:r w:rsidRPr="00970AD2">
        <w:t>m</w:t>
      </w:r>
      <w:r w:rsidRPr="00970AD2">
        <w:rPr>
          <w:vertAlign w:val="superscript"/>
        </w:rPr>
        <w:t>2</w:t>
      </w:r>
      <w:r w:rsidRPr="00970AD2">
        <w:t>K/W of a component calculated by dividing its thickness by its thermal conductivity</w:t>
      </w:r>
      <w:r w:rsidR="004A56C4" w:rsidRPr="00970AD2">
        <w:t>.</w:t>
      </w:r>
    </w:p>
    <w:p w14:paraId="339A002D" w14:textId="77777777" w:rsidR="00B75D20" w:rsidRPr="00970AD2" w:rsidRDefault="001A78F3" w:rsidP="002566B1">
      <w:pPr>
        <w:pStyle w:val="Dictionary"/>
      </w:pPr>
      <w:r w:rsidRPr="00970AD2">
        <w:rPr>
          <w:b/>
          <w:bCs/>
          <w:i/>
          <w:iCs/>
        </w:rPr>
        <w:t>Sleep Mode</w:t>
      </w:r>
      <w:r w:rsidRPr="00970AD2">
        <w:t xml:space="preserve">, in relation to a computer, means a low power state that the computer is capable of </w:t>
      </w:r>
      <w:r w:rsidRPr="00970AD2">
        <w:rPr>
          <w:rFonts w:eastAsia="Times New Roman"/>
          <w:lang w:eastAsia="en-AU"/>
        </w:rPr>
        <w:t>entering</w:t>
      </w:r>
      <w:r w:rsidRPr="00970AD2">
        <w:t xml:space="preserve"> automatically after a period of inactivity or by manual selection</w:t>
      </w:r>
      <w:r w:rsidR="00D838F5" w:rsidRPr="00970AD2">
        <w:t>.</w:t>
      </w:r>
    </w:p>
    <w:p w14:paraId="36057EB6" w14:textId="77777777" w:rsidR="002A3ED1" w:rsidRPr="00970AD2" w:rsidRDefault="002A3ED1" w:rsidP="002566B1">
      <w:pPr>
        <w:pStyle w:val="Dictionary"/>
      </w:pPr>
      <w:r w:rsidRPr="00970AD2">
        <w:rPr>
          <w:b/>
          <w:i/>
        </w:rPr>
        <w:t xml:space="preserve">small electricity customer </w:t>
      </w:r>
      <w:r w:rsidRPr="00970AD2">
        <w:t xml:space="preserve">means a business </w:t>
      </w:r>
      <w:r w:rsidR="00616F87">
        <w:t>that</w:t>
      </w:r>
      <w:r w:rsidR="00616F87" w:rsidRPr="00970AD2">
        <w:t xml:space="preserve"> </w:t>
      </w:r>
      <w:r w:rsidRPr="00970AD2">
        <w:t xml:space="preserve">consumes electricity below the upper consumption threshold for electricity, as defined in the </w:t>
      </w:r>
      <w:r w:rsidRPr="00970AD2">
        <w:rPr>
          <w:i/>
        </w:rPr>
        <w:t>National Energy Retail Regulations</w:t>
      </w:r>
      <w:r w:rsidRPr="00970AD2">
        <w:t>.</w:t>
      </w:r>
    </w:p>
    <w:p w14:paraId="0BDAE715" w14:textId="77777777" w:rsidR="002A3ED1" w:rsidRPr="00970AD2" w:rsidRDefault="00F5190C" w:rsidP="00E032C6">
      <w:pPr>
        <w:pStyle w:val="Notesandexamples"/>
        <w:rPr>
          <w:sz w:val="19"/>
          <w:szCs w:val="19"/>
        </w:rPr>
      </w:pPr>
      <w:r w:rsidRPr="00970AD2">
        <w:t xml:space="preserve">Note </w:t>
      </w:r>
      <w:r w:rsidRPr="00970AD2">
        <w:tab/>
        <w:t>A small electricity customer uses less than 160 MWh per annum per National Meter Identifier in the 12 months prior to upgrade.</w:t>
      </w:r>
    </w:p>
    <w:p w14:paraId="67DFD7BC" w14:textId="77777777" w:rsidR="00B75D20" w:rsidRPr="00970AD2" w:rsidRDefault="00D96840" w:rsidP="002566B1">
      <w:pPr>
        <w:pStyle w:val="Dictionary"/>
        <w:rPr>
          <w:b/>
          <w:i/>
        </w:rPr>
      </w:pPr>
      <w:r w:rsidRPr="00970AD2">
        <w:rPr>
          <w:b/>
          <w:i/>
        </w:rPr>
        <w:t>thermal efficiency performance</w:t>
      </w:r>
      <w:r w:rsidRPr="00970AD2">
        <w:t>, in relation to a window or glazing</w:t>
      </w:r>
      <w:r w:rsidR="00257B5F" w:rsidRPr="00970AD2">
        <w:t>,</w:t>
      </w:r>
      <w:r w:rsidRPr="00970AD2">
        <w:t xml:space="preserve"> means the capacity of the product to resist undesirable heat transfers across the material, specific to the </w:t>
      </w:r>
      <w:r w:rsidRPr="00970AD2">
        <w:lastRenderedPageBreak/>
        <w:t xml:space="preserve">predominant </w:t>
      </w:r>
      <w:r w:rsidRPr="00970AD2">
        <w:rPr>
          <w:rFonts w:eastAsia="Times New Roman"/>
          <w:lang w:eastAsia="en-AU"/>
        </w:rPr>
        <w:t>climatic</w:t>
      </w:r>
      <w:r w:rsidRPr="00970AD2">
        <w:t xml:space="preserve"> conditions in the Territory and the location and orientation of the product </w:t>
      </w:r>
      <w:r w:rsidR="00212B1F" w:rsidRPr="00970AD2">
        <w:t xml:space="preserve">when installed </w:t>
      </w:r>
      <w:r w:rsidRPr="00970AD2">
        <w:t xml:space="preserve">in </w:t>
      </w:r>
      <w:r w:rsidR="00212B1F" w:rsidRPr="00970AD2">
        <w:t>a</w:t>
      </w:r>
      <w:r w:rsidRPr="00970AD2">
        <w:t xml:space="preserve"> building.</w:t>
      </w:r>
      <w:r w:rsidRPr="00970AD2">
        <w:rPr>
          <w:b/>
          <w:i/>
        </w:rPr>
        <w:t xml:space="preserve"> </w:t>
      </w:r>
    </w:p>
    <w:p w14:paraId="11642F9A" w14:textId="77777777" w:rsidR="001F4B3C" w:rsidRPr="00970AD2" w:rsidRDefault="00F84416" w:rsidP="002566B1">
      <w:pPr>
        <w:pStyle w:val="Dictionary"/>
      </w:pPr>
      <w:r w:rsidRPr="00970AD2">
        <w:rPr>
          <w:b/>
          <w:i/>
        </w:rPr>
        <w:t>Total Display Area (TDA)</w:t>
      </w:r>
      <w:r w:rsidRPr="00970AD2">
        <w:t xml:space="preserve"> is the area as defined in AS 1731 and AS</w:t>
      </w:r>
      <w:r w:rsidR="00D93A54" w:rsidRPr="00970AD2">
        <w:t> </w:t>
      </w:r>
      <w:r w:rsidRPr="00970AD2">
        <w:t>1731, Appendix D</w:t>
      </w:r>
      <w:r w:rsidR="00616F87">
        <w:t>.</w:t>
      </w:r>
    </w:p>
    <w:p w14:paraId="4B82D46D" w14:textId="77777777" w:rsidR="00B75D20" w:rsidRPr="00970AD2" w:rsidRDefault="00D838F5" w:rsidP="002566B1">
      <w:pPr>
        <w:pStyle w:val="Dictionary"/>
      </w:pPr>
      <w:r w:rsidRPr="00970AD2">
        <w:rPr>
          <w:b/>
          <w:i/>
        </w:rPr>
        <w:t xml:space="preserve">total U-Value </w:t>
      </w:r>
      <w:r w:rsidRPr="00970AD2">
        <w:t>means the thermal transmittance in W/m</w:t>
      </w:r>
      <w:r w:rsidR="00136C87" w:rsidRPr="00970AD2">
        <w:rPr>
          <w:vertAlign w:val="superscript"/>
        </w:rPr>
        <w:t>2</w:t>
      </w:r>
      <w:r w:rsidRPr="00970AD2">
        <w:t xml:space="preserve">K of the composite element allowing for the effect of any </w:t>
      </w:r>
      <w:r w:rsidRPr="00970AD2">
        <w:rPr>
          <w:rFonts w:eastAsia="Times New Roman"/>
          <w:lang w:eastAsia="en-AU"/>
        </w:rPr>
        <w:t>airspace</w:t>
      </w:r>
      <w:r w:rsidRPr="00970AD2">
        <w:t xml:space="preserve"> and associated surface resistances.</w:t>
      </w:r>
    </w:p>
    <w:p w14:paraId="751C3D40" w14:textId="77777777" w:rsidR="00B75D20" w:rsidRPr="00970AD2" w:rsidRDefault="00D96840" w:rsidP="002566B1">
      <w:pPr>
        <w:pStyle w:val="Dictionary"/>
      </w:pPr>
      <w:r w:rsidRPr="00970AD2">
        <w:rPr>
          <w:b/>
          <w:i/>
        </w:rPr>
        <w:t>u</w:t>
      </w:r>
      <w:r w:rsidR="00DF2225" w:rsidRPr="00970AD2">
        <w:rPr>
          <w:b/>
          <w:i/>
        </w:rPr>
        <w:t xml:space="preserve">nconditioned zone </w:t>
      </w:r>
      <w:r w:rsidR="00DF2225" w:rsidRPr="00970AD2">
        <w:t>means a room or rooms in a premises that is not a conditioned zone</w:t>
      </w:r>
      <w:r w:rsidRPr="00970AD2">
        <w:t>.</w:t>
      </w:r>
    </w:p>
    <w:p w14:paraId="5766B06B" w14:textId="77777777" w:rsidR="00B75D20" w:rsidRPr="00970AD2" w:rsidRDefault="009D2D19" w:rsidP="002566B1">
      <w:pPr>
        <w:pStyle w:val="Dictionary"/>
      </w:pPr>
      <w:r w:rsidRPr="00970AD2">
        <w:rPr>
          <w:b/>
          <w:i/>
        </w:rPr>
        <w:t>u</w:t>
      </w:r>
      <w:r w:rsidR="001A78F3" w:rsidRPr="00970AD2">
        <w:rPr>
          <w:b/>
          <w:i/>
        </w:rPr>
        <w:t>nsealed</w:t>
      </w:r>
      <w:r w:rsidRPr="006B6E04">
        <w:rPr>
          <w:bCs/>
        </w:rPr>
        <w:t>,</w:t>
      </w:r>
      <w:r w:rsidRPr="00970AD2">
        <w:rPr>
          <w:b/>
        </w:rPr>
        <w:t xml:space="preserve"> </w:t>
      </w:r>
      <w:r w:rsidRPr="00970AD2">
        <w:t xml:space="preserve">in relation to a door, door </w:t>
      </w:r>
      <w:r w:rsidRPr="00970AD2">
        <w:rPr>
          <w:rFonts w:eastAsia="Times New Roman"/>
          <w:lang w:eastAsia="en-AU"/>
        </w:rPr>
        <w:t>frame</w:t>
      </w:r>
      <w:r w:rsidRPr="00970AD2">
        <w:t xml:space="preserve">, window, window frame, exhaust fan or chimney or flue to a solid fuel burning appliance, means not sealed in accordance with the relevant building sealing provisions of the building code for the class of building, and may include partially sealed frames and/or sealing that is in a condition that renders the sealing ineffective.  </w:t>
      </w:r>
    </w:p>
    <w:p w14:paraId="198ACF91" w14:textId="77777777" w:rsidR="00B75D20" w:rsidRPr="00970AD2" w:rsidRDefault="00D96840" w:rsidP="002566B1">
      <w:pPr>
        <w:pStyle w:val="Dictionary"/>
      </w:pPr>
      <w:r w:rsidRPr="00970AD2">
        <w:rPr>
          <w:b/>
          <w:i/>
        </w:rPr>
        <w:t>U value</w:t>
      </w:r>
      <w:r w:rsidRPr="00970AD2">
        <w:t xml:space="preserve"> means the thermal </w:t>
      </w:r>
      <w:r w:rsidRPr="00970AD2">
        <w:rPr>
          <w:rFonts w:eastAsia="Times New Roman"/>
          <w:lang w:eastAsia="en-AU"/>
        </w:rPr>
        <w:t>transmittance</w:t>
      </w:r>
      <w:r w:rsidRPr="00970AD2">
        <w:t xml:space="preserve"> in W/m</w:t>
      </w:r>
      <w:r w:rsidR="00136C87" w:rsidRPr="00970AD2">
        <w:rPr>
          <w:vertAlign w:val="superscript"/>
        </w:rPr>
        <w:t>2</w:t>
      </w:r>
      <w:r w:rsidRPr="00970AD2">
        <w:t>K of a material or product</w:t>
      </w:r>
      <w:r w:rsidR="00824824">
        <w:t>.</w:t>
      </w:r>
    </w:p>
    <w:p w14:paraId="7D49A738" w14:textId="77777777" w:rsidR="00B75D20" w:rsidRPr="00970AD2" w:rsidRDefault="00DF2225" w:rsidP="002566B1">
      <w:pPr>
        <w:pStyle w:val="Dictionary"/>
      </w:pPr>
      <w:r w:rsidRPr="00970AD2">
        <w:rPr>
          <w:b/>
          <w:i/>
        </w:rPr>
        <w:t>ventilation opening</w:t>
      </w:r>
      <w:r w:rsidRPr="00970AD2">
        <w:t xml:space="preserve"> means an opening in the external wall, floor, or roof of a building designed to allow air </w:t>
      </w:r>
      <w:r w:rsidRPr="00970AD2">
        <w:rPr>
          <w:rFonts w:eastAsia="Times New Roman"/>
          <w:lang w:eastAsia="en-AU"/>
        </w:rPr>
        <w:t>movement</w:t>
      </w:r>
      <w:r w:rsidRPr="00970AD2">
        <w:t xml:space="preserve"> into or out of a building by natural means including a permanent opening or other device that can be held open but does not include an openable part of a window or a door. </w:t>
      </w:r>
    </w:p>
    <w:p w14:paraId="0DA0FC5E" w14:textId="77777777" w:rsidR="00B75D20" w:rsidRPr="00970AD2" w:rsidRDefault="00C72D05" w:rsidP="002566B1">
      <w:pPr>
        <w:pStyle w:val="Dictionary"/>
        <w:rPr>
          <w:b/>
        </w:rPr>
      </w:pPr>
      <w:r w:rsidRPr="00970AD2">
        <w:rPr>
          <w:b/>
          <w:i/>
        </w:rPr>
        <w:t>w</w:t>
      </w:r>
      <w:r w:rsidR="001A78F3" w:rsidRPr="00970AD2">
        <w:rPr>
          <w:b/>
          <w:i/>
        </w:rPr>
        <w:t xml:space="preserve">eather </w:t>
      </w:r>
      <w:r w:rsidR="009D2D19" w:rsidRPr="00970AD2">
        <w:rPr>
          <w:b/>
          <w:i/>
        </w:rPr>
        <w:t>s</w:t>
      </w:r>
      <w:r w:rsidR="001A78F3" w:rsidRPr="00970AD2">
        <w:rPr>
          <w:b/>
          <w:i/>
        </w:rPr>
        <w:t>ealing</w:t>
      </w:r>
      <w:r w:rsidR="009D2D19" w:rsidRPr="00970AD2">
        <w:t xml:space="preserve"> means sealing of openings between elements in a building to minimise air leakage from and air infiltration from the outside of a buildi</w:t>
      </w:r>
      <w:r w:rsidR="00DF2225" w:rsidRPr="00970AD2">
        <w:t>ng and the inside of a building and to weatherproof the building to prevent the ingress of precipitation.</w:t>
      </w:r>
      <w:r w:rsidR="001A78F3" w:rsidRPr="00970AD2">
        <w:rPr>
          <w:b/>
        </w:rPr>
        <w:t xml:space="preserve"> </w:t>
      </w:r>
    </w:p>
    <w:p w14:paraId="73FE60B6" w14:textId="77777777" w:rsidR="00B75D20" w:rsidRPr="00970AD2" w:rsidRDefault="001A78F3" w:rsidP="002566B1">
      <w:pPr>
        <w:pStyle w:val="Dictionary"/>
      </w:pPr>
      <w:r w:rsidRPr="00970AD2">
        <w:rPr>
          <w:b/>
          <w:i/>
        </w:rPr>
        <w:t xml:space="preserve">WERS </w:t>
      </w:r>
      <w:r w:rsidRPr="00970AD2">
        <w:t xml:space="preserve">means the Window Energy Rating Scheme managed by the Australian Window </w:t>
      </w:r>
      <w:r w:rsidRPr="00970AD2">
        <w:rPr>
          <w:rFonts w:eastAsia="Times New Roman"/>
          <w:lang w:eastAsia="en-AU"/>
        </w:rPr>
        <w:t>Association</w:t>
      </w:r>
      <w:r w:rsidR="00DF2225" w:rsidRPr="00970AD2">
        <w:t>.</w:t>
      </w:r>
    </w:p>
    <w:p w14:paraId="00D119A9" w14:textId="77777777" w:rsidR="00ED0E90" w:rsidRPr="00970AD2" w:rsidRDefault="001A78F3" w:rsidP="002566B1">
      <w:pPr>
        <w:pStyle w:val="Dictionary"/>
        <w:rPr>
          <w:b/>
        </w:rPr>
      </w:pPr>
      <w:r w:rsidRPr="00970AD2">
        <w:rPr>
          <w:b/>
          <w:i/>
        </w:rPr>
        <w:t xml:space="preserve">window </w:t>
      </w:r>
      <w:r w:rsidRPr="00970AD2">
        <w:t xml:space="preserve">includes </w:t>
      </w:r>
      <w:r w:rsidR="009D2D19" w:rsidRPr="00970AD2">
        <w:t>a</w:t>
      </w:r>
      <w:r w:rsidRPr="00970AD2">
        <w:t xml:space="preserve"> glass panel, glass block, glass brick, glazed sash, </w:t>
      </w:r>
      <w:r w:rsidR="00DF2225" w:rsidRPr="00970AD2">
        <w:t xml:space="preserve">or </w:t>
      </w:r>
      <w:r w:rsidRPr="00970AD2">
        <w:t>similar gla</w:t>
      </w:r>
      <w:r w:rsidR="00DF2225" w:rsidRPr="00970AD2">
        <w:t>zing</w:t>
      </w:r>
      <w:r w:rsidRPr="00970AD2">
        <w:t xml:space="preserve"> product that, when closed, transmits natural light </w:t>
      </w:r>
      <w:r w:rsidR="009D2D19" w:rsidRPr="00970AD2">
        <w:t xml:space="preserve">directly </w:t>
      </w:r>
      <w:r w:rsidRPr="00970AD2">
        <w:t xml:space="preserve">from outside </w:t>
      </w:r>
      <w:r w:rsidR="009D2D19" w:rsidRPr="00970AD2">
        <w:t xml:space="preserve">a </w:t>
      </w:r>
      <w:r w:rsidRPr="00970AD2">
        <w:t xml:space="preserve">premises to the inside </w:t>
      </w:r>
      <w:r w:rsidR="009D2D19" w:rsidRPr="00970AD2">
        <w:t>of the premises</w:t>
      </w:r>
      <w:r w:rsidR="00DF2225" w:rsidRPr="00970AD2">
        <w:t>,</w:t>
      </w:r>
      <w:r w:rsidR="009D2D19" w:rsidRPr="00970AD2">
        <w:t xml:space="preserve"> </w:t>
      </w:r>
      <w:r w:rsidR="00DF2225" w:rsidRPr="00970AD2">
        <w:t xml:space="preserve">but does not include a </w:t>
      </w:r>
      <w:r w:rsidR="00D405D3" w:rsidRPr="00970AD2">
        <w:t>louvered</w:t>
      </w:r>
      <w:r w:rsidR="00DF2225" w:rsidRPr="00970AD2">
        <w:t xml:space="preserve"> product, and includes a door in an external wall that has a glazing pane or panes that comprise 60 per cent or more of the door</w:t>
      </w:r>
      <w:r w:rsidRPr="00970AD2">
        <w:t>.</w:t>
      </w:r>
      <w:r w:rsidR="00B3081D" w:rsidRPr="00970AD2">
        <w:t xml:space="preserve"> </w:t>
      </w:r>
    </w:p>
    <w:sectPr w:rsidR="00ED0E90" w:rsidRPr="00970AD2" w:rsidSect="003F0863">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D2C5F" w14:textId="77777777" w:rsidR="00C579D9" w:rsidRDefault="00C579D9" w:rsidP="00A73D67">
      <w:pPr>
        <w:spacing w:before="0" w:after="0" w:line="240" w:lineRule="auto"/>
      </w:pPr>
      <w:r>
        <w:separator/>
      </w:r>
    </w:p>
  </w:endnote>
  <w:endnote w:type="continuationSeparator" w:id="0">
    <w:p w14:paraId="2B488DA7" w14:textId="77777777" w:rsidR="00C579D9" w:rsidRDefault="00C579D9" w:rsidP="00A73D6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C STKaiti">
    <w:altName w:val="MS Mincho"/>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inionPro-Regular">
    <w:altName w:val="Arial"/>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7C4EB" w14:textId="77777777" w:rsidR="00691DCB" w:rsidRDefault="00691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2C51D" w14:textId="30D3EA06" w:rsidR="00981367" w:rsidRDefault="00981367">
    <w:pPr>
      <w:pStyle w:val="Footer"/>
      <w:jc w:val="center"/>
    </w:pPr>
    <w:r>
      <w:t xml:space="preserve">Page </w:t>
    </w:r>
    <w:r>
      <w:fldChar w:fldCharType="begin"/>
    </w:r>
    <w:r>
      <w:instrText xml:space="preserve"> PAGE   \* MERGEFORMAT </w:instrText>
    </w:r>
    <w:r>
      <w:fldChar w:fldCharType="separate"/>
    </w:r>
    <w:r>
      <w:rPr>
        <w:noProof/>
      </w:rPr>
      <w:t>23</w:t>
    </w:r>
    <w:r>
      <w:fldChar w:fldCharType="end"/>
    </w:r>
  </w:p>
  <w:p w14:paraId="4CC5BD26" w14:textId="58F633E5" w:rsidR="00691DCB" w:rsidRPr="00691DCB" w:rsidRDefault="00691DCB" w:rsidP="00691DCB">
    <w:pPr>
      <w:pStyle w:val="Footer"/>
      <w:jc w:val="center"/>
      <w:rPr>
        <w:sz w:val="14"/>
      </w:rPr>
    </w:pPr>
    <w:r w:rsidRPr="00691DCB">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C7CE2" w14:textId="31FF790E" w:rsidR="00981367" w:rsidRPr="00691DCB" w:rsidRDefault="00691DCB" w:rsidP="00691DCB">
    <w:pPr>
      <w:pStyle w:val="Footer"/>
      <w:jc w:val="center"/>
      <w:rPr>
        <w:sz w:val="14"/>
      </w:rPr>
    </w:pPr>
    <w:r w:rsidRPr="00691DCB">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6E16C" w14:textId="77777777" w:rsidR="00C579D9" w:rsidRDefault="00C579D9" w:rsidP="00A73D67">
      <w:pPr>
        <w:spacing w:before="0" w:after="0" w:line="240" w:lineRule="auto"/>
      </w:pPr>
      <w:r>
        <w:separator/>
      </w:r>
    </w:p>
  </w:footnote>
  <w:footnote w:type="continuationSeparator" w:id="0">
    <w:p w14:paraId="60A17354" w14:textId="77777777" w:rsidR="00C579D9" w:rsidRDefault="00C579D9" w:rsidP="00A73D6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20E8" w14:textId="77777777" w:rsidR="00691DCB" w:rsidRDefault="00691D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72A83" w14:textId="77777777" w:rsidR="00691DCB" w:rsidRDefault="00691D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DCA86" w14:textId="77777777" w:rsidR="00691DCB" w:rsidRDefault="00691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D58"/>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C94978"/>
    <w:multiLevelType w:val="hybridMultilevel"/>
    <w:tmpl w:val="130031D8"/>
    <w:name w:val="Basic14"/>
    <w:lvl w:ilvl="0" w:tplc="C804E1B2">
      <w:start w:val="89"/>
      <w:numFmt w:val="decimal"/>
      <w:lvlText w:val="%1"/>
      <w:lvlJc w:val="left"/>
      <w:pPr>
        <w:tabs>
          <w:tab w:val="num" w:pos="1146"/>
        </w:tabs>
        <w:ind w:left="1146" w:hanging="720"/>
      </w:pPr>
      <w:rPr>
        <w:rFonts w:cs="Times New Roman" w:hint="default"/>
        <w:i w:val="0"/>
        <w:sz w:val="24"/>
        <w:szCs w:val="24"/>
      </w:rPr>
    </w:lvl>
    <w:lvl w:ilvl="1" w:tplc="F4AAB796">
      <w:start w:val="1"/>
      <w:numFmt w:val="decimal"/>
      <w:lvlText w:val="(%2)"/>
      <w:lvlJc w:val="left"/>
      <w:pPr>
        <w:ind w:left="1440" w:hanging="360"/>
      </w:pPr>
      <w:rPr>
        <w:rFonts w:ascii="Times New Roman" w:eastAsia="Times New Roman" w:hAnsi="Times New Roman" w:cs="Times New Roman"/>
        <w:b w:val="0"/>
        <w:i w:val="0"/>
        <w:sz w:val="24"/>
        <w:szCs w:val="24"/>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7E3E18"/>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69085D"/>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923D68"/>
    <w:multiLevelType w:val="multilevel"/>
    <w:tmpl w:val="BD5AAABA"/>
    <w:lvl w:ilvl="0">
      <w:start w:val="1"/>
      <w:numFmt w:val="decimal"/>
      <w:pStyle w:val="EEISHeading1"/>
      <w:lvlText w:val="%1."/>
      <w:lvlJc w:val="left"/>
      <w:pPr>
        <w:ind w:left="567" w:hanging="567"/>
      </w:pPr>
      <w:rPr>
        <w:rFonts w:ascii="Arial" w:eastAsia="SimSun" w:hAnsi="Arial" w:cs="Arial"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 w15:restartNumberingAfterBreak="0">
    <w:nsid w:val="171C421F"/>
    <w:multiLevelType w:val="multilevel"/>
    <w:tmpl w:val="32F2CE92"/>
    <w:lvl w:ilvl="0">
      <w:start w:val="1"/>
      <w:numFmt w:val="decimal"/>
      <w:lvlText w:val="1.%1."/>
      <w:lvlJc w:val="left"/>
      <w:pPr>
        <w:ind w:left="720" w:hanging="360"/>
      </w:pPr>
      <w:rPr>
        <w:rFonts w:ascii="Arial" w:eastAsia="SimSun" w:hAnsi="Arial" w:cs="Arial" w:hint="default"/>
      </w:rPr>
    </w:lvl>
    <w:lvl w:ilvl="1">
      <w:start w:val="1"/>
      <w:numFmt w:val="decimal"/>
      <w:pStyle w:val="EEISHeading2"/>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91E39BB"/>
    <w:multiLevelType w:val="hybridMultilevel"/>
    <w:tmpl w:val="4AA6511C"/>
    <w:lvl w:ilvl="0" w:tplc="AD4473C8">
      <w:start w:val="1"/>
      <w:numFmt w:val="decimal"/>
      <w:pStyle w:val="Heading2"/>
      <w:lvlText w:val="1.%1."/>
      <w:lvlJc w:val="left"/>
      <w:pPr>
        <w:ind w:left="36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224BDE"/>
    <w:multiLevelType w:val="hybridMultilevel"/>
    <w:tmpl w:val="70D070D8"/>
    <w:lvl w:ilvl="0" w:tplc="0C090001">
      <w:start w:val="1"/>
      <w:numFmt w:val="bullet"/>
      <w:lvlText w:val=""/>
      <w:lvlJc w:val="left"/>
      <w:pPr>
        <w:ind w:left="1309" w:hanging="360"/>
      </w:pPr>
      <w:rPr>
        <w:rFonts w:ascii="Symbol" w:hAnsi="Symbol" w:hint="default"/>
      </w:rPr>
    </w:lvl>
    <w:lvl w:ilvl="1" w:tplc="0C090003" w:tentative="1">
      <w:start w:val="1"/>
      <w:numFmt w:val="bullet"/>
      <w:lvlText w:val="o"/>
      <w:lvlJc w:val="left"/>
      <w:pPr>
        <w:ind w:left="2029" w:hanging="360"/>
      </w:pPr>
      <w:rPr>
        <w:rFonts w:ascii="Courier New" w:hAnsi="Courier New" w:cs="Courier New" w:hint="default"/>
      </w:rPr>
    </w:lvl>
    <w:lvl w:ilvl="2" w:tplc="0C090005" w:tentative="1">
      <w:start w:val="1"/>
      <w:numFmt w:val="bullet"/>
      <w:lvlText w:val=""/>
      <w:lvlJc w:val="left"/>
      <w:pPr>
        <w:ind w:left="2749" w:hanging="360"/>
      </w:pPr>
      <w:rPr>
        <w:rFonts w:ascii="Wingdings" w:hAnsi="Wingdings" w:hint="default"/>
      </w:rPr>
    </w:lvl>
    <w:lvl w:ilvl="3" w:tplc="0C090001" w:tentative="1">
      <w:start w:val="1"/>
      <w:numFmt w:val="bullet"/>
      <w:lvlText w:val=""/>
      <w:lvlJc w:val="left"/>
      <w:pPr>
        <w:ind w:left="3469" w:hanging="360"/>
      </w:pPr>
      <w:rPr>
        <w:rFonts w:ascii="Symbol" w:hAnsi="Symbol" w:hint="default"/>
      </w:rPr>
    </w:lvl>
    <w:lvl w:ilvl="4" w:tplc="0C090003" w:tentative="1">
      <w:start w:val="1"/>
      <w:numFmt w:val="bullet"/>
      <w:lvlText w:val="o"/>
      <w:lvlJc w:val="left"/>
      <w:pPr>
        <w:ind w:left="4189" w:hanging="360"/>
      </w:pPr>
      <w:rPr>
        <w:rFonts w:ascii="Courier New" w:hAnsi="Courier New" w:cs="Courier New" w:hint="default"/>
      </w:rPr>
    </w:lvl>
    <w:lvl w:ilvl="5" w:tplc="0C090005" w:tentative="1">
      <w:start w:val="1"/>
      <w:numFmt w:val="bullet"/>
      <w:lvlText w:val=""/>
      <w:lvlJc w:val="left"/>
      <w:pPr>
        <w:ind w:left="4909" w:hanging="360"/>
      </w:pPr>
      <w:rPr>
        <w:rFonts w:ascii="Wingdings" w:hAnsi="Wingdings" w:hint="default"/>
      </w:rPr>
    </w:lvl>
    <w:lvl w:ilvl="6" w:tplc="0C090001" w:tentative="1">
      <w:start w:val="1"/>
      <w:numFmt w:val="bullet"/>
      <w:lvlText w:val=""/>
      <w:lvlJc w:val="left"/>
      <w:pPr>
        <w:ind w:left="5629" w:hanging="360"/>
      </w:pPr>
      <w:rPr>
        <w:rFonts w:ascii="Symbol" w:hAnsi="Symbol" w:hint="default"/>
      </w:rPr>
    </w:lvl>
    <w:lvl w:ilvl="7" w:tplc="0C090003" w:tentative="1">
      <w:start w:val="1"/>
      <w:numFmt w:val="bullet"/>
      <w:lvlText w:val="o"/>
      <w:lvlJc w:val="left"/>
      <w:pPr>
        <w:ind w:left="6349" w:hanging="360"/>
      </w:pPr>
      <w:rPr>
        <w:rFonts w:ascii="Courier New" w:hAnsi="Courier New" w:cs="Courier New" w:hint="default"/>
      </w:rPr>
    </w:lvl>
    <w:lvl w:ilvl="8" w:tplc="0C090005" w:tentative="1">
      <w:start w:val="1"/>
      <w:numFmt w:val="bullet"/>
      <w:lvlText w:val=""/>
      <w:lvlJc w:val="left"/>
      <w:pPr>
        <w:ind w:left="7069" w:hanging="360"/>
      </w:pPr>
      <w:rPr>
        <w:rFonts w:ascii="Wingdings" w:hAnsi="Wingdings" w:hint="default"/>
      </w:rPr>
    </w:lvl>
  </w:abstractNum>
  <w:abstractNum w:abstractNumId="8" w15:restartNumberingAfterBreak="0">
    <w:nsid w:val="1E572E90"/>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086079"/>
    <w:multiLevelType w:val="hybridMultilevel"/>
    <w:tmpl w:val="5CC80294"/>
    <w:lvl w:ilvl="0" w:tplc="71F43C52">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575101"/>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3B0A38"/>
    <w:multiLevelType w:val="hybridMultilevel"/>
    <w:tmpl w:val="F086C602"/>
    <w:lvl w:ilvl="0" w:tplc="B944DEE6">
      <w:start w:val="1"/>
      <w:numFmt w:val="bullet"/>
      <w:lvlText w:val=""/>
      <w:lvlJc w:val="left"/>
      <w:pPr>
        <w:ind w:left="2007" w:hanging="360"/>
      </w:pPr>
      <w:rPr>
        <w:rFonts w:ascii="Symbol" w:hAnsi="Symbol" w:hint="default"/>
        <w:color w:val="auto"/>
      </w:rPr>
    </w:lvl>
    <w:lvl w:ilvl="1" w:tplc="0C090003" w:tentative="1">
      <w:start w:val="1"/>
      <w:numFmt w:val="bullet"/>
      <w:lvlText w:val="o"/>
      <w:lvlJc w:val="left"/>
      <w:pPr>
        <w:ind w:left="2727" w:hanging="360"/>
      </w:pPr>
      <w:rPr>
        <w:rFonts w:ascii="Courier New" w:hAnsi="Courier New" w:cs="Courier New" w:hint="default"/>
      </w:rPr>
    </w:lvl>
    <w:lvl w:ilvl="2" w:tplc="0C090005" w:tentative="1">
      <w:start w:val="1"/>
      <w:numFmt w:val="bullet"/>
      <w:lvlText w:val=""/>
      <w:lvlJc w:val="left"/>
      <w:pPr>
        <w:ind w:left="3447" w:hanging="360"/>
      </w:pPr>
      <w:rPr>
        <w:rFonts w:ascii="Wingdings" w:hAnsi="Wingdings" w:hint="default"/>
      </w:rPr>
    </w:lvl>
    <w:lvl w:ilvl="3" w:tplc="0C090001" w:tentative="1">
      <w:start w:val="1"/>
      <w:numFmt w:val="bullet"/>
      <w:lvlText w:val=""/>
      <w:lvlJc w:val="left"/>
      <w:pPr>
        <w:ind w:left="4167" w:hanging="360"/>
      </w:pPr>
      <w:rPr>
        <w:rFonts w:ascii="Symbol" w:hAnsi="Symbol" w:hint="default"/>
      </w:rPr>
    </w:lvl>
    <w:lvl w:ilvl="4" w:tplc="0C090003" w:tentative="1">
      <w:start w:val="1"/>
      <w:numFmt w:val="bullet"/>
      <w:lvlText w:val="o"/>
      <w:lvlJc w:val="left"/>
      <w:pPr>
        <w:ind w:left="4887" w:hanging="360"/>
      </w:pPr>
      <w:rPr>
        <w:rFonts w:ascii="Courier New" w:hAnsi="Courier New" w:cs="Courier New" w:hint="default"/>
      </w:rPr>
    </w:lvl>
    <w:lvl w:ilvl="5" w:tplc="0C090005" w:tentative="1">
      <w:start w:val="1"/>
      <w:numFmt w:val="bullet"/>
      <w:lvlText w:val=""/>
      <w:lvlJc w:val="left"/>
      <w:pPr>
        <w:ind w:left="5607" w:hanging="360"/>
      </w:pPr>
      <w:rPr>
        <w:rFonts w:ascii="Wingdings" w:hAnsi="Wingdings" w:hint="default"/>
      </w:rPr>
    </w:lvl>
    <w:lvl w:ilvl="6" w:tplc="0C090001" w:tentative="1">
      <w:start w:val="1"/>
      <w:numFmt w:val="bullet"/>
      <w:lvlText w:val=""/>
      <w:lvlJc w:val="left"/>
      <w:pPr>
        <w:ind w:left="6327" w:hanging="360"/>
      </w:pPr>
      <w:rPr>
        <w:rFonts w:ascii="Symbol" w:hAnsi="Symbol" w:hint="default"/>
      </w:rPr>
    </w:lvl>
    <w:lvl w:ilvl="7" w:tplc="0C090003" w:tentative="1">
      <w:start w:val="1"/>
      <w:numFmt w:val="bullet"/>
      <w:lvlText w:val="o"/>
      <w:lvlJc w:val="left"/>
      <w:pPr>
        <w:ind w:left="7047" w:hanging="360"/>
      </w:pPr>
      <w:rPr>
        <w:rFonts w:ascii="Courier New" w:hAnsi="Courier New" w:cs="Courier New" w:hint="default"/>
      </w:rPr>
    </w:lvl>
    <w:lvl w:ilvl="8" w:tplc="0C090005" w:tentative="1">
      <w:start w:val="1"/>
      <w:numFmt w:val="bullet"/>
      <w:lvlText w:val=""/>
      <w:lvlJc w:val="left"/>
      <w:pPr>
        <w:ind w:left="7767" w:hanging="360"/>
      </w:pPr>
      <w:rPr>
        <w:rFonts w:ascii="Wingdings" w:hAnsi="Wingdings" w:hint="default"/>
      </w:rPr>
    </w:lvl>
  </w:abstractNum>
  <w:abstractNum w:abstractNumId="12" w15:restartNumberingAfterBreak="0">
    <w:nsid w:val="2688654B"/>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474AAA"/>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AD5FF2"/>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797510"/>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DC65E1"/>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29D7606"/>
    <w:multiLevelType w:val="hybridMultilevel"/>
    <w:tmpl w:val="5CC80294"/>
    <w:lvl w:ilvl="0" w:tplc="71F43C52">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2DC71B1"/>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3ED420A"/>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401480E"/>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132C3A"/>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A6B6778"/>
    <w:multiLevelType w:val="hybridMultilevel"/>
    <w:tmpl w:val="57249450"/>
    <w:lvl w:ilvl="0" w:tplc="9CDAC650">
      <w:start w:val="1"/>
      <w:numFmt w:val="decimal"/>
      <w:pStyle w:val="Subdetailsthirdindent"/>
      <w:lvlText w:val="(%1)"/>
      <w:lvlJc w:val="left"/>
      <w:pPr>
        <w:ind w:left="2160" w:hanging="360"/>
      </w:pPr>
      <w:rPr>
        <w:rFonts w:cs="Times New Roman"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3" w15:restartNumberingAfterBreak="0">
    <w:nsid w:val="3BE0528D"/>
    <w:multiLevelType w:val="multilevel"/>
    <w:tmpl w:val="E84672D2"/>
    <w:lvl w:ilvl="0">
      <w:start w:val="1"/>
      <w:numFmt w:val="decimal"/>
      <w:pStyle w:val="EEISSectionheading3"/>
      <w:lvlText w:val="1.%1"/>
      <w:lvlJc w:val="left"/>
      <w:pPr>
        <w:ind w:left="360" w:hanging="360"/>
      </w:pPr>
      <w:rPr>
        <w:rFonts w:hint="default"/>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4" w15:restartNumberingAfterBreak="0">
    <w:nsid w:val="461A1238"/>
    <w:multiLevelType w:val="hybridMultilevel"/>
    <w:tmpl w:val="5CC80294"/>
    <w:lvl w:ilvl="0" w:tplc="71F43C52">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A8D3B91"/>
    <w:multiLevelType w:val="hybridMultilevel"/>
    <w:tmpl w:val="CCAC7778"/>
    <w:lvl w:ilvl="0" w:tplc="AEF45538">
      <w:start w:val="1"/>
      <w:numFmt w:val="bullet"/>
      <w:pStyle w:val="BulletsEEI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A52DEC"/>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D916618"/>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D917C82"/>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DC11917"/>
    <w:multiLevelType w:val="hybridMultilevel"/>
    <w:tmpl w:val="3AE6EE50"/>
    <w:lvl w:ilvl="0" w:tplc="4B160146">
      <w:start w:val="1"/>
      <w:numFmt w:val="lowerLetter"/>
      <w:pStyle w:val="Subdetailsfirstindent"/>
      <w:lvlText w:val="(%1)"/>
      <w:lvlJc w:val="left"/>
      <w:pPr>
        <w:ind w:left="927"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E153A1D"/>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05B0AF3"/>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13074DA"/>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4C003A9"/>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A814A50"/>
    <w:multiLevelType w:val="hybridMultilevel"/>
    <w:tmpl w:val="5CC80294"/>
    <w:lvl w:ilvl="0" w:tplc="71F43C52">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BDC5FAA"/>
    <w:multiLevelType w:val="hybridMultilevel"/>
    <w:tmpl w:val="7D00D4EE"/>
    <w:lvl w:ilvl="0" w:tplc="41C448B2">
      <w:start w:val="1"/>
      <w:numFmt w:val="lowerRoman"/>
      <w:pStyle w:val="Subdetailssecondindent"/>
      <w:lvlText w:val="%1."/>
      <w:lvlJc w:val="right"/>
      <w:pPr>
        <w:ind w:left="1854" w:hanging="360"/>
      </w:pPr>
      <w:rPr>
        <w:b w:val="0"/>
        <w:bCs/>
        <w:i w:val="0"/>
        <w:iCs/>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6" w15:restartNumberingAfterBreak="0">
    <w:nsid w:val="5DDC0F17"/>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0626B51"/>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10E2103"/>
    <w:multiLevelType w:val="hybridMultilevel"/>
    <w:tmpl w:val="5CC80294"/>
    <w:lvl w:ilvl="0" w:tplc="71F43C52">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2A361F8"/>
    <w:multiLevelType w:val="hybridMultilevel"/>
    <w:tmpl w:val="27CE8A88"/>
    <w:lvl w:ilvl="0" w:tplc="60CCF7BA">
      <w:start w:val="1"/>
      <w:numFmt w:val="decimal"/>
      <w:pStyle w:val="EEISsectionheading4"/>
      <w:lvlText w:val="1.3.%1"/>
      <w:lvlJc w:val="right"/>
      <w:pPr>
        <w:ind w:left="927" w:hanging="360"/>
      </w:pPr>
      <w:rPr>
        <w:rFonts w:ascii="Arial" w:eastAsia="SimSun" w:hAnsi="Arial" w:cs="Aria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62D9762C"/>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3BB433F"/>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8E8489C"/>
    <w:multiLevelType w:val="multilevel"/>
    <w:tmpl w:val="0C09001D"/>
    <w:styleLink w:val="EEISbodysubdetails"/>
    <w:lvl w:ilvl="0">
      <w:start w:val="1"/>
      <w:numFmt w:val="lowerLetter"/>
      <w:lvlText w:val="%1)"/>
      <w:lvlJc w:val="left"/>
      <w:pPr>
        <w:ind w:left="108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9593B0B"/>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A7A1750"/>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C183322"/>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D71504D"/>
    <w:multiLevelType w:val="hybridMultilevel"/>
    <w:tmpl w:val="E73CA95C"/>
    <w:lvl w:ilvl="0" w:tplc="850CB9CE">
      <w:start w:val="1"/>
      <w:numFmt w:val="lowerLetter"/>
      <w:lvlText w:val="(%1)"/>
      <w:lvlJc w:val="left"/>
      <w:pPr>
        <w:ind w:left="720" w:hanging="360"/>
      </w:pPr>
      <w:rPr>
        <w:rFonts w:ascii="Arial" w:eastAsia="SimSu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FBE197B"/>
    <w:multiLevelType w:val="multilevel"/>
    <w:tmpl w:val="68F6FEB0"/>
    <w:lvl w:ilvl="0">
      <w:start w:val="1"/>
      <w:numFmt w:val="decimal"/>
      <w:pStyle w:val="SectionHeading1"/>
      <w:lvlText w:val="%1."/>
      <w:lvlJc w:val="left"/>
      <w:pPr>
        <w:ind w:left="567" w:hanging="567"/>
      </w:pPr>
      <w:rPr>
        <w:rFonts w:hint="default"/>
      </w:rPr>
    </w:lvl>
    <w:lvl w:ilvl="1">
      <w:start w:val="1"/>
      <w:numFmt w:val="decimal"/>
      <w:pStyle w:val="Sectionheading2"/>
      <w:lvlText w:val="%1.%2."/>
      <w:lvlJc w:val="left"/>
      <w:pPr>
        <w:ind w:left="792" w:hanging="225"/>
      </w:pPr>
      <w:rPr>
        <w:rFonts w:hint="default"/>
      </w:rPr>
    </w:lvl>
    <w:lvl w:ilvl="2">
      <w:start w:val="1"/>
      <w:numFmt w:val="decimal"/>
      <w:pStyle w:val="Sectionheading3"/>
      <w:lvlText w:val="%1.%2.%3."/>
      <w:lvlJc w:val="left"/>
      <w:pPr>
        <w:ind w:left="1701" w:hanging="907"/>
      </w:pPr>
      <w:rPr>
        <w:rFonts w:hint="default"/>
      </w:rPr>
    </w:lvl>
    <w:lvl w:ilvl="3">
      <w:start w:val="1"/>
      <w:numFmt w:val="decimal"/>
      <w:pStyle w:val="Sectionheading4"/>
      <w:lvlText w:val="%1.%2.%3.%4."/>
      <w:lvlJc w:val="left"/>
      <w:pPr>
        <w:ind w:left="1728" w:hanging="648"/>
      </w:pPr>
      <w:rPr>
        <w:rFonts w:hint="default"/>
      </w:rPr>
    </w:lvl>
    <w:lvl w:ilvl="4">
      <w:start w:val="1"/>
      <w:numFmt w:val="decimal"/>
      <w:pStyle w:val="Section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06D4266"/>
    <w:multiLevelType w:val="hybridMultilevel"/>
    <w:tmpl w:val="F0407D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85060C5"/>
    <w:multiLevelType w:val="hybridMultilevel"/>
    <w:tmpl w:val="755E23CE"/>
    <w:lvl w:ilvl="0" w:tplc="8F22B6E4">
      <w:start w:val="1"/>
      <w:numFmt w:val="lowerRoman"/>
      <w:pStyle w:val="Subdetailsfourthindent"/>
      <w:lvlText w:val="(%1)"/>
      <w:lvlJc w:val="left"/>
      <w:pPr>
        <w:ind w:left="3240" w:hanging="360"/>
      </w:pPr>
      <w:rPr>
        <w:rFonts w:cs="Times New Roman" w:hint="default"/>
        <w:b w:val="0"/>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50" w15:restartNumberingAfterBreak="0">
    <w:nsid w:val="7CE76E70"/>
    <w:multiLevelType w:val="hybridMultilevel"/>
    <w:tmpl w:val="5CC80294"/>
    <w:lvl w:ilvl="0" w:tplc="71F43C52">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E155048"/>
    <w:multiLevelType w:val="multilevel"/>
    <w:tmpl w:val="E508EAF2"/>
    <w:lvl w:ilvl="0">
      <w:start w:val="1"/>
      <w:numFmt w:val="bullet"/>
      <w:pStyle w:val="ListBullet"/>
      <w:lvlText w:val=""/>
      <w:lvlJc w:val="left"/>
      <w:pPr>
        <w:tabs>
          <w:tab w:val="num" w:pos="851"/>
        </w:tabs>
        <w:ind w:left="851" w:hanging="567"/>
      </w:pPr>
      <w:rPr>
        <w:rFonts w:ascii="Symbol" w:hAnsi="Symbol" w:hint="default"/>
        <w:color w:val="3E3A39"/>
        <w:sz w:val="16"/>
      </w:rPr>
    </w:lvl>
    <w:lvl w:ilvl="1">
      <w:start w:val="1"/>
      <w:numFmt w:val="bullet"/>
      <w:pStyle w:val="ListBullet2"/>
      <w:lvlText w:val=""/>
      <w:lvlJc w:val="left"/>
      <w:pPr>
        <w:tabs>
          <w:tab w:val="num" w:pos="1418"/>
        </w:tabs>
        <w:ind w:left="1418" w:hanging="567"/>
      </w:pPr>
      <w:rPr>
        <w:rFonts w:ascii="Symbol" w:hAnsi="Symbol" w:hint="default"/>
        <w:color w:val="3E3A39"/>
        <w:sz w:val="16"/>
      </w:rPr>
    </w:lvl>
    <w:lvl w:ilvl="2">
      <w:start w:val="1"/>
      <w:numFmt w:val="bullet"/>
      <w:pStyle w:val="ListBullet3"/>
      <w:lvlText w:val=""/>
      <w:lvlJc w:val="left"/>
      <w:pPr>
        <w:tabs>
          <w:tab w:val="num" w:pos="1985"/>
        </w:tabs>
        <w:ind w:left="1985" w:hanging="567"/>
      </w:pPr>
      <w:rPr>
        <w:rFonts w:ascii="Symbol" w:hAnsi="Symbol" w:hint="default"/>
        <w:color w:val="3E3A39"/>
        <w:sz w:val="16"/>
      </w:rPr>
    </w:lvl>
    <w:lvl w:ilvl="3">
      <w:start w:val="1"/>
      <w:numFmt w:val="bullet"/>
      <w:pStyle w:val="ListBullet4"/>
      <w:lvlText w:val=""/>
      <w:lvlJc w:val="left"/>
      <w:pPr>
        <w:tabs>
          <w:tab w:val="num" w:pos="2552"/>
        </w:tabs>
        <w:ind w:left="2552" w:hanging="567"/>
      </w:pPr>
      <w:rPr>
        <w:rFonts w:ascii="Symbol" w:hAnsi="Symbol" w:hint="default"/>
        <w:color w:val="3E3A39"/>
        <w:sz w:val="16"/>
      </w:rPr>
    </w:lvl>
    <w:lvl w:ilvl="4">
      <w:start w:val="1"/>
      <w:numFmt w:val="bullet"/>
      <w:pStyle w:val="ListBullet5"/>
      <w:lvlText w:val=""/>
      <w:lvlJc w:val="left"/>
      <w:pPr>
        <w:tabs>
          <w:tab w:val="num" w:pos="3119"/>
        </w:tabs>
        <w:ind w:left="3119" w:hanging="567"/>
      </w:pPr>
      <w:rPr>
        <w:rFonts w:ascii="Symbol" w:hAnsi="Symbol" w:hint="default"/>
        <w:sz w:val="16"/>
      </w:rPr>
    </w:lvl>
    <w:lvl w:ilvl="5">
      <w:start w:val="1"/>
      <w:numFmt w:val="bullet"/>
      <w:lvlText w:val=""/>
      <w:lvlJc w:val="left"/>
      <w:pPr>
        <w:tabs>
          <w:tab w:val="num" w:pos="3686"/>
        </w:tabs>
        <w:ind w:left="3686" w:hanging="567"/>
      </w:pPr>
      <w:rPr>
        <w:rFonts w:ascii="Symbol" w:hAnsi="Symbol" w:hint="default"/>
        <w:sz w:val="16"/>
      </w:rPr>
    </w:lvl>
    <w:lvl w:ilvl="6">
      <w:start w:val="1"/>
      <w:numFmt w:val="bullet"/>
      <w:lvlText w:val=""/>
      <w:lvlJc w:val="left"/>
      <w:pPr>
        <w:tabs>
          <w:tab w:val="num" w:pos="4253"/>
        </w:tabs>
        <w:ind w:left="4253" w:hanging="567"/>
      </w:pPr>
      <w:rPr>
        <w:rFonts w:ascii="Symbol" w:hAnsi="Symbol" w:hint="default"/>
        <w:sz w:val="16"/>
      </w:rPr>
    </w:lvl>
    <w:lvl w:ilvl="7">
      <w:start w:val="1"/>
      <w:numFmt w:val="bullet"/>
      <w:lvlText w:val=""/>
      <w:lvlJc w:val="left"/>
      <w:pPr>
        <w:tabs>
          <w:tab w:val="num" w:pos="4820"/>
        </w:tabs>
        <w:ind w:left="4820" w:hanging="567"/>
      </w:pPr>
      <w:rPr>
        <w:rFonts w:ascii="Symbol" w:hAnsi="Symbol" w:hint="default"/>
        <w:sz w:val="16"/>
      </w:rPr>
    </w:lvl>
    <w:lvl w:ilvl="8">
      <w:start w:val="1"/>
      <w:numFmt w:val="bullet"/>
      <w:lvlText w:val=""/>
      <w:lvlJc w:val="left"/>
      <w:pPr>
        <w:tabs>
          <w:tab w:val="num" w:pos="5387"/>
        </w:tabs>
        <w:ind w:left="5387" w:hanging="567"/>
      </w:pPr>
      <w:rPr>
        <w:rFonts w:ascii="Symbol" w:hAnsi="Symbol" w:hint="default"/>
        <w:sz w:val="16"/>
      </w:rPr>
    </w:lvl>
  </w:abstractNum>
  <w:num w:numId="1">
    <w:abstractNumId w:val="23"/>
  </w:num>
  <w:num w:numId="2">
    <w:abstractNumId w:val="51"/>
  </w:num>
  <w:num w:numId="3">
    <w:abstractNumId w:val="39"/>
  </w:num>
  <w:num w:numId="4">
    <w:abstractNumId w:val="6"/>
  </w:num>
  <w:num w:numId="5">
    <w:abstractNumId w:val="4"/>
  </w:num>
  <w:num w:numId="6">
    <w:abstractNumId w:val="42"/>
  </w:num>
  <w:num w:numId="7">
    <w:abstractNumId w:val="29"/>
    <w:lvlOverride w:ilvl="0">
      <w:startOverride w:val="1"/>
    </w:lvlOverride>
  </w:num>
  <w:num w:numId="8">
    <w:abstractNumId w:val="29"/>
    <w:lvlOverride w:ilvl="0">
      <w:startOverride w:val="1"/>
    </w:lvlOverride>
  </w:num>
  <w:num w:numId="9">
    <w:abstractNumId w:val="5"/>
  </w:num>
  <w:num w:numId="10">
    <w:abstractNumId w:val="47"/>
  </w:num>
  <w:num w:numId="11">
    <w:abstractNumId w:val="29"/>
    <w:lvlOverride w:ilvl="0">
      <w:startOverride w:val="1"/>
    </w:lvlOverride>
  </w:num>
  <w:num w:numId="12">
    <w:abstractNumId w:val="29"/>
    <w:lvlOverride w:ilvl="0">
      <w:startOverride w:val="1"/>
    </w:lvlOverride>
  </w:num>
  <w:num w:numId="13">
    <w:abstractNumId w:val="35"/>
    <w:lvlOverride w:ilvl="0">
      <w:startOverride w:val="1"/>
    </w:lvlOverride>
  </w:num>
  <w:num w:numId="14">
    <w:abstractNumId w:val="35"/>
    <w:lvlOverride w:ilvl="0">
      <w:startOverride w:val="1"/>
    </w:lvlOverride>
  </w:num>
  <w:num w:numId="15">
    <w:abstractNumId w:val="29"/>
    <w:lvlOverride w:ilvl="0">
      <w:startOverride w:val="1"/>
    </w:lvlOverride>
  </w:num>
  <w:num w:numId="16">
    <w:abstractNumId w:val="29"/>
    <w:lvlOverride w:ilvl="0">
      <w:startOverride w:val="1"/>
    </w:lvlOverride>
  </w:num>
  <w:num w:numId="17">
    <w:abstractNumId w:val="29"/>
    <w:lvlOverride w:ilvl="0">
      <w:startOverride w:val="1"/>
    </w:lvlOverride>
  </w:num>
  <w:num w:numId="18">
    <w:abstractNumId w:val="29"/>
    <w:lvlOverride w:ilvl="0">
      <w:startOverride w:val="1"/>
    </w:lvlOverride>
  </w:num>
  <w:num w:numId="19">
    <w:abstractNumId w:val="29"/>
    <w:lvlOverride w:ilvl="0">
      <w:startOverride w:val="1"/>
    </w:lvlOverride>
  </w:num>
  <w:num w:numId="20">
    <w:abstractNumId w:val="35"/>
    <w:lvlOverride w:ilvl="0">
      <w:startOverride w:val="1"/>
    </w:lvlOverride>
  </w:num>
  <w:num w:numId="21">
    <w:abstractNumId w:val="29"/>
    <w:lvlOverride w:ilvl="0">
      <w:startOverride w:val="1"/>
    </w:lvlOverride>
  </w:num>
  <w:num w:numId="22">
    <w:abstractNumId w:val="29"/>
    <w:lvlOverride w:ilvl="0">
      <w:startOverride w:val="1"/>
    </w:lvlOverride>
  </w:num>
  <w:num w:numId="23">
    <w:abstractNumId w:val="35"/>
    <w:lvlOverride w:ilvl="0">
      <w:startOverride w:val="1"/>
    </w:lvlOverride>
  </w:num>
  <w:num w:numId="24">
    <w:abstractNumId w:val="29"/>
    <w:lvlOverride w:ilvl="0">
      <w:startOverride w:val="1"/>
    </w:lvlOverride>
  </w:num>
  <w:num w:numId="25">
    <w:abstractNumId w:val="35"/>
    <w:lvlOverride w:ilvl="0">
      <w:startOverride w:val="1"/>
    </w:lvlOverride>
  </w:num>
  <w:num w:numId="26">
    <w:abstractNumId w:val="29"/>
    <w:lvlOverride w:ilvl="0">
      <w:startOverride w:val="1"/>
    </w:lvlOverride>
  </w:num>
  <w:num w:numId="27">
    <w:abstractNumId w:val="29"/>
    <w:lvlOverride w:ilvl="0">
      <w:startOverride w:val="1"/>
    </w:lvlOverride>
  </w:num>
  <w:num w:numId="28">
    <w:abstractNumId w:val="35"/>
    <w:lvlOverride w:ilvl="0">
      <w:startOverride w:val="1"/>
    </w:lvlOverride>
  </w:num>
  <w:num w:numId="29">
    <w:abstractNumId w:val="29"/>
    <w:lvlOverride w:ilvl="0">
      <w:startOverride w:val="1"/>
    </w:lvlOverride>
  </w:num>
  <w:num w:numId="30">
    <w:abstractNumId w:val="29"/>
    <w:lvlOverride w:ilvl="0">
      <w:startOverride w:val="1"/>
    </w:lvlOverride>
  </w:num>
  <w:num w:numId="31">
    <w:abstractNumId w:val="35"/>
    <w:lvlOverride w:ilvl="0">
      <w:startOverride w:val="1"/>
    </w:lvlOverride>
  </w:num>
  <w:num w:numId="32">
    <w:abstractNumId w:val="29"/>
    <w:lvlOverride w:ilvl="0">
      <w:startOverride w:val="1"/>
    </w:lvlOverride>
  </w:num>
  <w:num w:numId="33">
    <w:abstractNumId w:val="29"/>
    <w:lvlOverride w:ilvl="0">
      <w:startOverride w:val="1"/>
    </w:lvlOverride>
  </w:num>
  <w:num w:numId="34">
    <w:abstractNumId w:val="29"/>
    <w:lvlOverride w:ilvl="0">
      <w:startOverride w:val="1"/>
    </w:lvlOverride>
  </w:num>
  <w:num w:numId="35">
    <w:abstractNumId w:val="29"/>
    <w:lvlOverride w:ilvl="0">
      <w:startOverride w:val="1"/>
    </w:lvlOverride>
  </w:num>
  <w:num w:numId="36">
    <w:abstractNumId w:val="29"/>
    <w:lvlOverride w:ilvl="0">
      <w:startOverride w:val="1"/>
    </w:lvlOverride>
  </w:num>
  <w:num w:numId="37">
    <w:abstractNumId w:val="35"/>
    <w:lvlOverride w:ilvl="0">
      <w:startOverride w:val="1"/>
    </w:lvlOverride>
  </w:num>
  <w:num w:numId="38">
    <w:abstractNumId w:val="29"/>
    <w:lvlOverride w:ilvl="0">
      <w:startOverride w:val="1"/>
    </w:lvlOverride>
  </w:num>
  <w:num w:numId="39">
    <w:abstractNumId w:val="35"/>
    <w:lvlOverride w:ilvl="0">
      <w:startOverride w:val="1"/>
    </w:lvlOverride>
  </w:num>
  <w:num w:numId="40">
    <w:abstractNumId w:val="29"/>
    <w:lvlOverride w:ilvl="0">
      <w:startOverride w:val="1"/>
    </w:lvlOverride>
  </w:num>
  <w:num w:numId="41">
    <w:abstractNumId w:val="29"/>
    <w:lvlOverride w:ilvl="0">
      <w:startOverride w:val="1"/>
    </w:lvlOverride>
  </w:num>
  <w:num w:numId="42">
    <w:abstractNumId w:val="35"/>
    <w:lvlOverride w:ilvl="0">
      <w:startOverride w:val="1"/>
    </w:lvlOverride>
  </w:num>
  <w:num w:numId="43">
    <w:abstractNumId w:val="29"/>
  </w:num>
  <w:num w:numId="44">
    <w:abstractNumId w:val="35"/>
    <w:lvlOverride w:ilvl="0">
      <w:startOverride w:val="1"/>
    </w:lvlOverride>
  </w:num>
  <w:num w:numId="45">
    <w:abstractNumId w:val="29"/>
    <w:lvlOverride w:ilvl="0">
      <w:startOverride w:val="1"/>
    </w:lvlOverride>
  </w:num>
  <w:num w:numId="46">
    <w:abstractNumId w:val="29"/>
    <w:lvlOverride w:ilvl="0">
      <w:startOverride w:val="1"/>
    </w:lvlOverride>
  </w:num>
  <w:num w:numId="47">
    <w:abstractNumId w:val="29"/>
    <w:lvlOverride w:ilvl="0">
      <w:startOverride w:val="1"/>
    </w:lvlOverride>
  </w:num>
  <w:num w:numId="48">
    <w:abstractNumId w:val="29"/>
    <w:lvlOverride w:ilvl="0">
      <w:startOverride w:val="1"/>
    </w:lvlOverride>
  </w:num>
  <w:num w:numId="49">
    <w:abstractNumId w:val="35"/>
    <w:lvlOverride w:ilvl="0">
      <w:startOverride w:val="1"/>
    </w:lvlOverride>
  </w:num>
  <w:num w:numId="50">
    <w:abstractNumId w:val="35"/>
    <w:lvlOverride w:ilvl="0">
      <w:startOverride w:val="1"/>
    </w:lvlOverride>
  </w:num>
  <w:num w:numId="51">
    <w:abstractNumId w:val="49"/>
  </w:num>
  <w:num w:numId="52">
    <w:abstractNumId w:val="22"/>
    <w:lvlOverride w:ilvl="0">
      <w:startOverride w:val="1"/>
    </w:lvlOverride>
  </w:num>
  <w:num w:numId="53">
    <w:abstractNumId w:val="49"/>
    <w:lvlOverride w:ilvl="0">
      <w:startOverride w:val="1"/>
    </w:lvlOverride>
  </w:num>
  <w:num w:numId="54">
    <w:abstractNumId w:val="35"/>
    <w:lvlOverride w:ilvl="0">
      <w:startOverride w:val="1"/>
    </w:lvlOverride>
  </w:num>
  <w:num w:numId="55">
    <w:abstractNumId w:val="22"/>
    <w:lvlOverride w:ilvl="0">
      <w:startOverride w:val="1"/>
    </w:lvlOverride>
  </w:num>
  <w:num w:numId="56">
    <w:abstractNumId w:val="22"/>
    <w:lvlOverride w:ilvl="0">
      <w:startOverride w:val="1"/>
    </w:lvlOverride>
  </w:num>
  <w:num w:numId="57">
    <w:abstractNumId w:val="25"/>
  </w:num>
  <w:num w:numId="58">
    <w:abstractNumId w:val="29"/>
    <w:lvlOverride w:ilvl="0">
      <w:startOverride w:val="1"/>
    </w:lvlOverride>
  </w:num>
  <w:num w:numId="59">
    <w:abstractNumId w:val="35"/>
    <w:lvlOverride w:ilvl="0">
      <w:startOverride w:val="1"/>
    </w:lvlOverride>
  </w:num>
  <w:num w:numId="60">
    <w:abstractNumId w:val="29"/>
    <w:lvlOverride w:ilvl="0">
      <w:startOverride w:val="1"/>
    </w:lvlOverride>
  </w:num>
  <w:num w:numId="61">
    <w:abstractNumId w:val="29"/>
    <w:lvlOverride w:ilvl="0">
      <w:startOverride w:val="1"/>
    </w:lvlOverride>
  </w:num>
  <w:num w:numId="62">
    <w:abstractNumId w:val="29"/>
    <w:lvlOverride w:ilvl="0">
      <w:startOverride w:val="1"/>
    </w:lvlOverride>
  </w:num>
  <w:num w:numId="63">
    <w:abstractNumId w:val="29"/>
    <w:lvlOverride w:ilvl="0">
      <w:startOverride w:val="1"/>
    </w:lvlOverride>
  </w:num>
  <w:num w:numId="64">
    <w:abstractNumId w:val="35"/>
    <w:lvlOverride w:ilvl="0">
      <w:startOverride w:val="1"/>
    </w:lvlOverride>
  </w:num>
  <w:num w:numId="65">
    <w:abstractNumId w:val="22"/>
    <w:lvlOverride w:ilvl="0">
      <w:startOverride w:val="1"/>
    </w:lvlOverride>
  </w:num>
  <w:num w:numId="66">
    <w:abstractNumId w:val="35"/>
    <w:lvlOverride w:ilvl="0">
      <w:startOverride w:val="1"/>
    </w:lvlOverride>
  </w:num>
  <w:num w:numId="67">
    <w:abstractNumId w:val="22"/>
    <w:lvlOverride w:ilvl="0">
      <w:startOverride w:val="1"/>
    </w:lvlOverride>
  </w:num>
  <w:num w:numId="68">
    <w:abstractNumId w:val="29"/>
    <w:lvlOverride w:ilvl="0">
      <w:startOverride w:val="1"/>
    </w:lvlOverride>
  </w:num>
  <w:num w:numId="69">
    <w:abstractNumId w:val="29"/>
    <w:lvlOverride w:ilvl="0">
      <w:startOverride w:val="1"/>
    </w:lvlOverride>
  </w:num>
  <w:num w:numId="70">
    <w:abstractNumId w:val="35"/>
    <w:lvlOverride w:ilvl="0">
      <w:startOverride w:val="1"/>
    </w:lvlOverride>
  </w:num>
  <w:num w:numId="71">
    <w:abstractNumId w:val="35"/>
    <w:lvlOverride w:ilvl="0">
      <w:startOverride w:val="1"/>
    </w:lvlOverride>
  </w:num>
  <w:num w:numId="72">
    <w:abstractNumId w:val="35"/>
    <w:lvlOverride w:ilvl="0">
      <w:startOverride w:val="1"/>
    </w:lvlOverride>
  </w:num>
  <w:num w:numId="73">
    <w:abstractNumId w:val="29"/>
    <w:lvlOverride w:ilvl="0">
      <w:startOverride w:val="1"/>
    </w:lvlOverride>
  </w:num>
  <w:num w:numId="74">
    <w:abstractNumId w:val="35"/>
    <w:lvlOverride w:ilvl="0">
      <w:startOverride w:val="1"/>
    </w:lvlOverride>
  </w:num>
  <w:num w:numId="75">
    <w:abstractNumId w:val="29"/>
    <w:lvlOverride w:ilvl="0">
      <w:startOverride w:val="1"/>
    </w:lvlOverride>
  </w:num>
  <w:num w:numId="76">
    <w:abstractNumId w:val="35"/>
    <w:lvlOverride w:ilvl="0">
      <w:startOverride w:val="1"/>
    </w:lvlOverride>
  </w:num>
  <w:num w:numId="77">
    <w:abstractNumId w:val="29"/>
    <w:lvlOverride w:ilvl="0">
      <w:startOverride w:val="1"/>
    </w:lvlOverride>
  </w:num>
  <w:num w:numId="78">
    <w:abstractNumId w:val="29"/>
    <w:lvlOverride w:ilvl="0">
      <w:startOverride w:val="1"/>
    </w:lvlOverride>
  </w:num>
  <w:num w:numId="79">
    <w:abstractNumId w:val="29"/>
    <w:lvlOverride w:ilvl="0">
      <w:startOverride w:val="1"/>
    </w:lvlOverride>
  </w:num>
  <w:num w:numId="80">
    <w:abstractNumId w:val="29"/>
    <w:lvlOverride w:ilvl="0">
      <w:startOverride w:val="1"/>
    </w:lvlOverride>
  </w:num>
  <w:num w:numId="81">
    <w:abstractNumId w:val="35"/>
    <w:lvlOverride w:ilvl="0">
      <w:startOverride w:val="1"/>
    </w:lvlOverride>
  </w:num>
  <w:num w:numId="82">
    <w:abstractNumId w:val="22"/>
  </w:num>
  <w:num w:numId="83">
    <w:abstractNumId w:val="49"/>
    <w:lvlOverride w:ilvl="0">
      <w:startOverride w:val="1"/>
    </w:lvlOverride>
  </w:num>
  <w:num w:numId="84">
    <w:abstractNumId w:val="35"/>
    <w:lvlOverride w:ilvl="0">
      <w:startOverride w:val="1"/>
    </w:lvlOverride>
  </w:num>
  <w:num w:numId="85">
    <w:abstractNumId w:val="22"/>
    <w:lvlOverride w:ilvl="0">
      <w:startOverride w:val="1"/>
    </w:lvlOverride>
  </w:num>
  <w:num w:numId="86">
    <w:abstractNumId w:val="49"/>
    <w:lvlOverride w:ilvl="0">
      <w:startOverride w:val="1"/>
    </w:lvlOverride>
  </w:num>
  <w:num w:numId="87">
    <w:abstractNumId w:val="29"/>
    <w:lvlOverride w:ilvl="0">
      <w:startOverride w:val="1"/>
    </w:lvlOverride>
  </w:num>
  <w:num w:numId="88">
    <w:abstractNumId w:val="35"/>
    <w:lvlOverride w:ilvl="0">
      <w:startOverride w:val="1"/>
    </w:lvlOverride>
  </w:num>
  <w:num w:numId="89">
    <w:abstractNumId w:val="22"/>
    <w:lvlOverride w:ilvl="0">
      <w:startOverride w:val="1"/>
    </w:lvlOverride>
  </w:num>
  <w:num w:numId="90">
    <w:abstractNumId w:val="22"/>
    <w:lvlOverride w:ilvl="0">
      <w:startOverride w:val="1"/>
    </w:lvlOverride>
  </w:num>
  <w:num w:numId="91">
    <w:abstractNumId w:val="29"/>
    <w:lvlOverride w:ilvl="0">
      <w:startOverride w:val="1"/>
    </w:lvlOverride>
  </w:num>
  <w:num w:numId="92">
    <w:abstractNumId w:val="35"/>
    <w:lvlOverride w:ilvl="0">
      <w:startOverride w:val="1"/>
    </w:lvlOverride>
  </w:num>
  <w:num w:numId="93">
    <w:abstractNumId w:val="29"/>
    <w:lvlOverride w:ilvl="0">
      <w:startOverride w:val="1"/>
    </w:lvlOverride>
  </w:num>
  <w:num w:numId="94">
    <w:abstractNumId w:val="29"/>
    <w:lvlOverride w:ilvl="0">
      <w:startOverride w:val="1"/>
    </w:lvlOverride>
  </w:num>
  <w:num w:numId="95">
    <w:abstractNumId w:val="29"/>
    <w:lvlOverride w:ilvl="0">
      <w:startOverride w:val="1"/>
    </w:lvlOverride>
  </w:num>
  <w:num w:numId="96">
    <w:abstractNumId w:val="29"/>
    <w:lvlOverride w:ilvl="0">
      <w:startOverride w:val="1"/>
    </w:lvlOverride>
  </w:num>
  <w:num w:numId="97">
    <w:abstractNumId w:val="35"/>
    <w:lvlOverride w:ilvl="0">
      <w:startOverride w:val="1"/>
    </w:lvlOverride>
  </w:num>
  <w:num w:numId="98">
    <w:abstractNumId w:val="22"/>
    <w:lvlOverride w:ilvl="0">
      <w:startOverride w:val="1"/>
    </w:lvlOverride>
  </w:num>
  <w:num w:numId="99">
    <w:abstractNumId w:val="29"/>
    <w:lvlOverride w:ilvl="0">
      <w:startOverride w:val="1"/>
    </w:lvlOverride>
  </w:num>
  <w:num w:numId="100">
    <w:abstractNumId w:val="35"/>
    <w:lvlOverride w:ilvl="0">
      <w:startOverride w:val="1"/>
    </w:lvlOverride>
  </w:num>
  <w:num w:numId="101">
    <w:abstractNumId w:val="22"/>
    <w:lvlOverride w:ilvl="0">
      <w:startOverride w:val="1"/>
    </w:lvlOverride>
  </w:num>
  <w:num w:numId="102">
    <w:abstractNumId w:val="29"/>
    <w:lvlOverride w:ilvl="0">
      <w:startOverride w:val="1"/>
    </w:lvlOverride>
  </w:num>
  <w:num w:numId="103">
    <w:abstractNumId w:val="29"/>
    <w:lvlOverride w:ilvl="0">
      <w:startOverride w:val="1"/>
    </w:lvlOverride>
  </w:num>
  <w:num w:numId="104">
    <w:abstractNumId w:val="35"/>
    <w:lvlOverride w:ilvl="0">
      <w:startOverride w:val="1"/>
    </w:lvlOverride>
  </w:num>
  <w:num w:numId="105">
    <w:abstractNumId w:val="35"/>
    <w:lvlOverride w:ilvl="0">
      <w:startOverride w:val="1"/>
    </w:lvlOverride>
  </w:num>
  <w:num w:numId="106">
    <w:abstractNumId w:val="35"/>
    <w:lvlOverride w:ilvl="0">
      <w:startOverride w:val="1"/>
    </w:lvlOverride>
  </w:num>
  <w:num w:numId="107">
    <w:abstractNumId w:val="29"/>
    <w:lvlOverride w:ilvl="0">
      <w:startOverride w:val="1"/>
    </w:lvlOverride>
  </w:num>
  <w:num w:numId="108">
    <w:abstractNumId w:val="29"/>
    <w:lvlOverride w:ilvl="0">
      <w:startOverride w:val="1"/>
    </w:lvlOverride>
  </w:num>
  <w:num w:numId="109">
    <w:abstractNumId w:val="35"/>
    <w:lvlOverride w:ilvl="0">
      <w:startOverride w:val="1"/>
    </w:lvlOverride>
  </w:num>
  <w:num w:numId="110">
    <w:abstractNumId w:val="35"/>
    <w:lvlOverride w:ilvl="0">
      <w:startOverride w:val="1"/>
    </w:lvlOverride>
  </w:num>
  <w:num w:numId="111">
    <w:abstractNumId w:val="29"/>
    <w:lvlOverride w:ilvl="0">
      <w:startOverride w:val="1"/>
    </w:lvlOverride>
  </w:num>
  <w:num w:numId="112">
    <w:abstractNumId w:val="35"/>
    <w:lvlOverride w:ilvl="0">
      <w:startOverride w:val="1"/>
    </w:lvlOverride>
  </w:num>
  <w:num w:numId="113">
    <w:abstractNumId w:val="29"/>
    <w:lvlOverride w:ilvl="0">
      <w:startOverride w:val="1"/>
    </w:lvlOverride>
  </w:num>
  <w:num w:numId="114">
    <w:abstractNumId w:val="29"/>
    <w:lvlOverride w:ilvl="0">
      <w:startOverride w:val="1"/>
    </w:lvlOverride>
  </w:num>
  <w:num w:numId="115">
    <w:abstractNumId w:val="29"/>
    <w:lvlOverride w:ilvl="0">
      <w:startOverride w:val="1"/>
    </w:lvlOverride>
  </w:num>
  <w:num w:numId="116">
    <w:abstractNumId w:val="35"/>
    <w:lvlOverride w:ilvl="0">
      <w:startOverride w:val="1"/>
    </w:lvlOverride>
  </w:num>
  <w:num w:numId="117">
    <w:abstractNumId w:val="29"/>
    <w:lvlOverride w:ilvl="0">
      <w:startOverride w:val="1"/>
    </w:lvlOverride>
  </w:num>
  <w:num w:numId="118">
    <w:abstractNumId w:val="29"/>
    <w:lvlOverride w:ilvl="0">
      <w:startOverride w:val="1"/>
    </w:lvlOverride>
  </w:num>
  <w:num w:numId="119">
    <w:abstractNumId w:val="29"/>
    <w:lvlOverride w:ilvl="0">
      <w:startOverride w:val="1"/>
    </w:lvlOverride>
  </w:num>
  <w:num w:numId="120">
    <w:abstractNumId w:val="35"/>
    <w:lvlOverride w:ilvl="0">
      <w:startOverride w:val="1"/>
    </w:lvlOverride>
  </w:num>
  <w:num w:numId="121">
    <w:abstractNumId w:val="29"/>
    <w:lvlOverride w:ilvl="0">
      <w:startOverride w:val="1"/>
    </w:lvlOverride>
  </w:num>
  <w:num w:numId="122">
    <w:abstractNumId w:val="29"/>
    <w:lvlOverride w:ilvl="0">
      <w:startOverride w:val="1"/>
    </w:lvlOverride>
  </w:num>
  <w:num w:numId="123">
    <w:abstractNumId w:val="35"/>
    <w:lvlOverride w:ilvl="0">
      <w:startOverride w:val="1"/>
    </w:lvlOverride>
  </w:num>
  <w:num w:numId="124">
    <w:abstractNumId w:val="29"/>
    <w:lvlOverride w:ilvl="0">
      <w:startOverride w:val="1"/>
    </w:lvlOverride>
  </w:num>
  <w:num w:numId="125">
    <w:abstractNumId w:val="29"/>
    <w:lvlOverride w:ilvl="0">
      <w:startOverride w:val="1"/>
    </w:lvlOverride>
  </w:num>
  <w:num w:numId="126">
    <w:abstractNumId w:val="35"/>
    <w:lvlOverride w:ilvl="0">
      <w:startOverride w:val="1"/>
    </w:lvlOverride>
  </w:num>
  <w:num w:numId="127">
    <w:abstractNumId w:val="29"/>
    <w:lvlOverride w:ilvl="0">
      <w:startOverride w:val="1"/>
    </w:lvlOverride>
  </w:num>
  <w:num w:numId="128">
    <w:abstractNumId w:val="29"/>
    <w:lvlOverride w:ilvl="0">
      <w:startOverride w:val="1"/>
    </w:lvlOverride>
  </w:num>
  <w:num w:numId="129">
    <w:abstractNumId w:val="29"/>
    <w:lvlOverride w:ilvl="0">
      <w:startOverride w:val="1"/>
    </w:lvlOverride>
  </w:num>
  <w:num w:numId="130">
    <w:abstractNumId w:val="29"/>
    <w:lvlOverride w:ilvl="0">
      <w:startOverride w:val="1"/>
    </w:lvlOverride>
  </w:num>
  <w:num w:numId="131">
    <w:abstractNumId w:val="29"/>
    <w:lvlOverride w:ilvl="0">
      <w:startOverride w:val="1"/>
    </w:lvlOverride>
  </w:num>
  <w:num w:numId="132">
    <w:abstractNumId w:val="35"/>
    <w:lvlOverride w:ilvl="0">
      <w:startOverride w:val="1"/>
    </w:lvlOverride>
  </w:num>
  <w:num w:numId="133">
    <w:abstractNumId w:val="29"/>
    <w:lvlOverride w:ilvl="0">
      <w:startOverride w:val="1"/>
    </w:lvlOverride>
  </w:num>
  <w:num w:numId="134">
    <w:abstractNumId w:val="29"/>
    <w:lvlOverride w:ilvl="0">
      <w:startOverride w:val="1"/>
    </w:lvlOverride>
  </w:num>
  <w:num w:numId="135">
    <w:abstractNumId w:val="29"/>
    <w:lvlOverride w:ilvl="0">
      <w:startOverride w:val="1"/>
    </w:lvlOverride>
  </w:num>
  <w:num w:numId="136">
    <w:abstractNumId w:val="35"/>
    <w:lvlOverride w:ilvl="0">
      <w:startOverride w:val="1"/>
    </w:lvlOverride>
  </w:num>
  <w:num w:numId="137">
    <w:abstractNumId w:val="29"/>
    <w:lvlOverride w:ilvl="0">
      <w:startOverride w:val="1"/>
    </w:lvlOverride>
  </w:num>
  <w:num w:numId="138">
    <w:abstractNumId w:val="29"/>
    <w:lvlOverride w:ilvl="0">
      <w:startOverride w:val="1"/>
    </w:lvlOverride>
  </w:num>
  <w:num w:numId="139">
    <w:abstractNumId w:val="29"/>
    <w:lvlOverride w:ilvl="0">
      <w:startOverride w:val="1"/>
    </w:lvlOverride>
  </w:num>
  <w:num w:numId="140">
    <w:abstractNumId w:val="35"/>
    <w:lvlOverride w:ilvl="0">
      <w:startOverride w:val="1"/>
    </w:lvlOverride>
  </w:num>
  <w:num w:numId="141">
    <w:abstractNumId w:val="22"/>
    <w:lvlOverride w:ilvl="0">
      <w:startOverride w:val="1"/>
    </w:lvlOverride>
  </w:num>
  <w:num w:numId="142">
    <w:abstractNumId w:val="29"/>
    <w:lvlOverride w:ilvl="0">
      <w:startOverride w:val="1"/>
    </w:lvlOverride>
  </w:num>
  <w:num w:numId="143">
    <w:abstractNumId w:val="29"/>
    <w:lvlOverride w:ilvl="0">
      <w:startOverride w:val="1"/>
    </w:lvlOverride>
  </w:num>
  <w:num w:numId="144">
    <w:abstractNumId w:val="29"/>
    <w:lvlOverride w:ilvl="0">
      <w:startOverride w:val="1"/>
    </w:lvlOverride>
  </w:num>
  <w:num w:numId="145">
    <w:abstractNumId w:val="35"/>
    <w:lvlOverride w:ilvl="0">
      <w:startOverride w:val="1"/>
    </w:lvlOverride>
  </w:num>
  <w:num w:numId="146">
    <w:abstractNumId w:val="29"/>
    <w:lvlOverride w:ilvl="0">
      <w:startOverride w:val="1"/>
    </w:lvlOverride>
  </w:num>
  <w:num w:numId="147">
    <w:abstractNumId w:val="35"/>
    <w:lvlOverride w:ilvl="0">
      <w:startOverride w:val="1"/>
    </w:lvlOverride>
  </w:num>
  <w:num w:numId="148">
    <w:abstractNumId w:val="29"/>
    <w:lvlOverride w:ilvl="0">
      <w:startOverride w:val="1"/>
    </w:lvlOverride>
  </w:num>
  <w:num w:numId="149">
    <w:abstractNumId w:val="35"/>
    <w:lvlOverride w:ilvl="0">
      <w:startOverride w:val="1"/>
    </w:lvlOverride>
  </w:num>
  <w:num w:numId="150">
    <w:abstractNumId w:val="35"/>
    <w:lvlOverride w:ilvl="0">
      <w:startOverride w:val="1"/>
    </w:lvlOverride>
  </w:num>
  <w:num w:numId="151">
    <w:abstractNumId w:val="35"/>
    <w:lvlOverride w:ilvl="0">
      <w:startOverride w:val="1"/>
    </w:lvlOverride>
  </w:num>
  <w:num w:numId="152">
    <w:abstractNumId w:val="29"/>
    <w:lvlOverride w:ilvl="0">
      <w:startOverride w:val="1"/>
    </w:lvlOverride>
  </w:num>
  <w:num w:numId="153">
    <w:abstractNumId w:val="35"/>
    <w:lvlOverride w:ilvl="0">
      <w:startOverride w:val="1"/>
    </w:lvlOverride>
  </w:num>
  <w:num w:numId="154">
    <w:abstractNumId w:val="7"/>
  </w:num>
  <w:num w:numId="155">
    <w:abstractNumId w:val="35"/>
    <w:lvlOverride w:ilvl="0">
      <w:startOverride w:val="1"/>
    </w:lvlOverride>
  </w:num>
  <w:num w:numId="156">
    <w:abstractNumId w:val="35"/>
    <w:lvlOverride w:ilvl="0">
      <w:startOverride w:val="1"/>
    </w:lvlOverride>
  </w:num>
  <w:num w:numId="157">
    <w:abstractNumId w:val="29"/>
    <w:lvlOverride w:ilvl="0">
      <w:startOverride w:val="1"/>
    </w:lvlOverride>
  </w:num>
  <w:num w:numId="158">
    <w:abstractNumId w:val="11"/>
  </w:num>
  <w:num w:numId="159">
    <w:abstractNumId w:val="48"/>
  </w:num>
  <w:num w:numId="160">
    <w:abstractNumId w:val="38"/>
  </w:num>
  <w:num w:numId="161">
    <w:abstractNumId w:val="20"/>
  </w:num>
  <w:num w:numId="162">
    <w:abstractNumId w:val="45"/>
  </w:num>
  <w:num w:numId="163">
    <w:abstractNumId w:val="31"/>
  </w:num>
  <w:num w:numId="164">
    <w:abstractNumId w:val="3"/>
  </w:num>
  <w:num w:numId="165">
    <w:abstractNumId w:val="46"/>
  </w:num>
  <w:num w:numId="166">
    <w:abstractNumId w:val="34"/>
  </w:num>
  <w:num w:numId="167">
    <w:abstractNumId w:val="40"/>
  </w:num>
  <w:num w:numId="168">
    <w:abstractNumId w:val="33"/>
  </w:num>
  <w:num w:numId="169">
    <w:abstractNumId w:val="14"/>
  </w:num>
  <w:num w:numId="170">
    <w:abstractNumId w:val="0"/>
  </w:num>
  <w:num w:numId="171">
    <w:abstractNumId w:val="19"/>
  </w:num>
  <w:num w:numId="172">
    <w:abstractNumId w:val="30"/>
  </w:num>
  <w:num w:numId="173">
    <w:abstractNumId w:val="21"/>
  </w:num>
  <w:num w:numId="174">
    <w:abstractNumId w:val="36"/>
  </w:num>
  <w:num w:numId="175">
    <w:abstractNumId w:val="17"/>
  </w:num>
  <w:num w:numId="176">
    <w:abstractNumId w:val="9"/>
  </w:num>
  <w:num w:numId="177">
    <w:abstractNumId w:val="10"/>
  </w:num>
  <w:num w:numId="178">
    <w:abstractNumId w:val="26"/>
  </w:num>
  <w:num w:numId="179">
    <w:abstractNumId w:val="44"/>
  </w:num>
  <w:num w:numId="180">
    <w:abstractNumId w:val="13"/>
  </w:num>
  <w:num w:numId="181">
    <w:abstractNumId w:val="24"/>
  </w:num>
  <w:num w:numId="182">
    <w:abstractNumId w:val="43"/>
  </w:num>
  <w:num w:numId="183">
    <w:abstractNumId w:val="28"/>
  </w:num>
  <w:num w:numId="184">
    <w:abstractNumId w:val="41"/>
  </w:num>
  <w:num w:numId="185">
    <w:abstractNumId w:val="50"/>
  </w:num>
  <w:num w:numId="186">
    <w:abstractNumId w:val="8"/>
  </w:num>
  <w:num w:numId="187">
    <w:abstractNumId w:val="2"/>
  </w:num>
  <w:num w:numId="188">
    <w:abstractNumId w:val="37"/>
  </w:num>
  <w:num w:numId="189">
    <w:abstractNumId w:val="29"/>
    <w:lvlOverride w:ilvl="0">
      <w:startOverride w:val="1"/>
    </w:lvlOverride>
  </w:num>
  <w:num w:numId="190">
    <w:abstractNumId w:val="29"/>
    <w:lvlOverride w:ilvl="0">
      <w:startOverride w:val="1"/>
    </w:lvlOverride>
  </w:num>
  <w:num w:numId="191">
    <w:abstractNumId w:val="29"/>
    <w:lvlOverride w:ilvl="0">
      <w:startOverride w:val="1"/>
    </w:lvlOverride>
  </w:num>
  <w:num w:numId="192">
    <w:abstractNumId w:val="29"/>
    <w:lvlOverride w:ilvl="0">
      <w:startOverride w:val="1"/>
    </w:lvlOverride>
  </w:num>
  <w:num w:numId="193">
    <w:abstractNumId w:val="29"/>
    <w:lvlOverride w:ilvl="0">
      <w:startOverride w:val="1"/>
    </w:lvlOverride>
  </w:num>
  <w:num w:numId="194">
    <w:abstractNumId w:val="29"/>
    <w:lvlOverride w:ilvl="0">
      <w:startOverride w:val="1"/>
    </w:lvlOverride>
  </w:num>
  <w:num w:numId="195">
    <w:abstractNumId w:val="29"/>
    <w:lvlOverride w:ilvl="0">
      <w:startOverride w:val="1"/>
    </w:lvlOverride>
  </w:num>
  <w:num w:numId="196">
    <w:abstractNumId w:val="29"/>
    <w:lvlOverride w:ilvl="0">
      <w:startOverride w:val="1"/>
    </w:lvlOverride>
  </w:num>
  <w:num w:numId="197">
    <w:abstractNumId w:val="29"/>
    <w:lvlOverride w:ilvl="0">
      <w:startOverride w:val="1"/>
    </w:lvlOverride>
  </w:num>
  <w:num w:numId="198">
    <w:abstractNumId w:val="29"/>
    <w:lvlOverride w:ilvl="0">
      <w:startOverride w:val="1"/>
    </w:lvlOverride>
  </w:num>
  <w:num w:numId="199">
    <w:abstractNumId w:val="22"/>
    <w:lvlOverride w:ilvl="0">
      <w:startOverride w:val="1"/>
    </w:lvlOverride>
  </w:num>
  <w:num w:numId="200">
    <w:abstractNumId w:val="32"/>
  </w:num>
  <w:num w:numId="201">
    <w:abstractNumId w:val="12"/>
  </w:num>
  <w:num w:numId="202">
    <w:abstractNumId w:val="15"/>
  </w:num>
  <w:num w:numId="203">
    <w:abstractNumId w:val="18"/>
  </w:num>
  <w:num w:numId="204">
    <w:abstractNumId w:val="27"/>
  </w:num>
  <w:num w:numId="205">
    <w:abstractNumId w:val="16"/>
  </w:num>
  <w:num w:numId="206">
    <w:abstractNumId w:val="29"/>
    <w:lvlOverride w:ilvl="0">
      <w:startOverride w:val="1"/>
    </w:lvlOverride>
  </w:num>
  <w:num w:numId="207">
    <w:abstractNumId w:val="35"/>
    <w:lvlOverride w:ilvl="0">
      <w:startOverride w:val="1"/>
    </w:lvlOverride>
  </w:num>
  <w:num w:numId="208">
    <w:abstractNumId w:val="29"/>
    <w:lvlOverride w:ilvl="0">
      <w:startOverride w:val="1"/>
    </w:lvlOverride>
  </w:num>
  <w:num w:numId="209">
    <w:abstractNumId w:val="35"/>
    <w:lvlOverride w:ilvl="0">
      <w:startOverride w:val="1"/>
    </w:lvlOverride>
  </w:num>
  <w:num w:numId="210">
    <w:abstractNumId w:val="22"/>
    <w:lvlOverride w:ilvl="0">
      <w:startOverride w:val="1"/>
    </w:lvlOverride>
  </w:num>
  <w:num w:numId="211">
    <w:abstractNumId w:val="22"/>
    <w:lvlOverride w:ilvl="0">
      <w:startOverride w:val="1"/>
    </w:lvlOverride>
  </w:num>
  <w:num w:numId="212">
    <w:abstractNumId w:val="35"/>
    <w:lvlOverride w:ilvl="0">
      <w:startOverride w:val="1"/>
    </w:lvlOverride>
  </w:num>
  <w:num w:numId="213">
    <w:abstractNumId w:val="22"/>
    <w:lvlOverride w:ilvl="0">
      <w:startOverride w:val="1"/>
    </w:lvlOverride>
  </w:num>
  <w:num w:numId="214">
    <w:abstractNumId w:val="35"/>
    <w:lvlOverride w:ilvl="0">
      <w:startOverride w:val="1"/>
    </w:lvlOverride>
  </w:num>
  <w:num w:numId="215">
    <w:abstractNumId w:val="22"/>
    <w:lvlOverride w:ilvl="0">
      <w:startOverride w:val="1"/>
    </w:lvlOverride>
  </w:num>
  <w:num w:numId="216">
    <w:abstractNumId w:val="35"/>
    <w:lvlOverride w:ilvl="0">
      <w:startOverride w:val="1"/>
    </w:lvlOverride>
  </w:num>
  <w:num w:numId="217">
    <w:abstractNumId w:val="22"/>
    <w:lvlOverride w:ilvl="0">
      <w:startOverride w:val="1"/>
    </w:lvlOverride>
  </w:num>
  <w:num w:numId="218">
    <w:abstractNumId w:val="35"/>
    <w:lvlOverride w:ilvl="0">
      <w:startOverride w:val="1"/>
    </w:lvlOverride>
  </w:num>
  <w:num w:numId="219">
    <w:abstractNumId w:val="22"/>
    <w:lvlOverride w:ilvl="0">
      <w:startOverride w:val="1"/>
    </w:lvlOverride>
  </w:num>
  <w:num w:numId="220">
    <w:abstractNumId w:val="29"/>
    <w:lvlOverride w:ilvl="0">
      <w:startOverride w:val="1"/>
    </w:lvlOverride>
  </w:num>
  <w:num w:numId="221">
    <w:abstractNumId w:val="29"/>
    <w:lvlOverride w:ilvl="0">
      <w:startOverride w:val="1"/>
    </w:lvlOverride>
  </w:num>
  <w:num w:numId="222">
    <w:abstractNumId w:val="29"/>
    <w:lvlOverride w:ilvl="0">
      <w:startOverride w:val="1"/>
    </w:lvlOverride>
  </w:num>
  <w:num w:numId="223">
    <w:abstractNumId w:val="29"/>
    <w:lvlOverride w:ilvl="0">
      <w:startOverride w:val="1"/>
    </w:lvlOverride>
  </w:num>
  <w:num w:numId="224">
    <w:abstractNumId w:val="29"/>
    <w:lvlOverride w:ilvl="0">
      <w:startOverride w:val="1"/>
    </w:lvlOverride>
  </w:num>
  <w:num w:numId="225">
    <w:abstractNumId w:val="29"/>
    <w:lvlOverride w:ilvl="0">
      <w:startOverride w:val="1"/>
    </w:lvlOverride>
  </w:num>
  <w:num w:numId="226">
    <w:abstractNumId w:val="29"/>
    <w:lvlOverride w:ilvl="0">
      <w:startOverride w:val="1"/>
    </w:lvlOverride>
  </w:num>
  <w:num w:numId="227">
    <w:abstractNumId w:val="29"/>
    <w:lvlOverride w:ilvl="0">
      <w:startOverride w:val="1"/>
    </w:lvlOverride>
  </w:num>
  <w:num w:numId="228">
    <w:abstractNumId w:val="29"/>
    <w:lvlOverride w:ilvl="0">
      <w:startOverride w:val="1"/>
    </w:lvlOverride>
  </w:num>
  <w:num w:numId="229">
    <w:abstractNumId w:val="29"/>
    <w:lvlOverride w:ilvl="0">
      <w:startOverride w:val="1"/>
    </w:lvlOverride>
  </w:num>
  <w:num w:numId="230">
    <w:abstractNumId w:val="29"/>
    <w:lvlOverride w:ilvl="0">
      <w:startOverride w:val="1"/>
    </w:lvlOverride>
  </w:num>
  <w:num w:numId="231">
    <w:abstractNumId w:val="29"/>
    <w:lvlOverride w:ilvl="0">
      <w:startOverride w:val="1"/>
    </w:lvlOverride>
  </w:num>
  <w:num w:numId="232">
    <w:abstractNumId w:val="29"/>
    <w:lvlOverride w:ilvl="0">
      <w:startOverride w:val="1"/>
    </w:lvlOverride>
  </w:num>
  <w:num w:numId="233">
    <w:abstractNumId w:val="35"/>
  </w:num>
  <w:num w:numId="234">
    <w:abstractNumId w:val="35"/>
    <w:lvlOverride w:ilvl="0">
      <w:startOverride w:val="1"/>
    </w:lvlOverride>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NotTrackMoves/>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0260"/>
    <w:rsid w:val="00002E97"/>
    <w:rsid w:val="00005C2F"/>
    <w:rsid w:val="000068F5"/>
    <w:rsid w:val="00011B2C"/>
    <w:rsid w:val="00012471"/>
    <w:rsid w:val="00012574"/>
    <w:rsid w:val="00012757"/>
    <w:rsid w:val="00014611"/>
    <w:rsid w:val="000149EC"/>
    <w:rsid w:val="00014F5E"/>
    <w:rsid w:val="00016243"/>
    <w:rsid w:val="000170B5"/>
    <w:rsid w:val="00020BF8"/>
    <w:rsid w:val="00023ED2"/>
    <w:rsid w:val="000240D7"/>
    <w:rsid w:val="000252BC"/>
    <w:rsid w:val="0002677D"/>
    <w:rsid w:val="0002706C"/>
    <w:rsid w:val="0002744C"/>
    <w:rsid w:val="00030578"/>
    <w:rsid w:val="00030AC2"/>
    <w:rsid w:val="0003135F"/>
    <w:rsid w:val="00032599"/>
    <w:rsid w:val="00032FE0"/>
    <w:rsid w:val="0003303A"/>
    <w:rsid w:val="00033593"/>
    <w:rsid w:val="000349ED"/>
    <w:rsid w:val="00034B3C"/>
    <w:rsid w:val="00034CEB"/>
    <w:rsid w:val="00037DD5"/>
    <w:rsid w:val="00040878"/>
    <w:rsid w:val="0004146B"/>
    <w:rsid w:val="0004174D"/>
    <w:rsid w:val="00043165"/>
    <w:rsid w:val="000438E8"/>
    <w:rsid w:val="00044213"/>
    <w:rsid w:val="00044A40"/>
    <w:rsid w:val="00044B3D"/>
    <w:rsid w:val="00044DD6"/>
    <w:rsid w:val="000456E5"/>
    <w:rsid w:val="00045AE2"/>
    <w:rsid w:val="000469E7"/>
    <w:rsid w:val="00047353"/>
    <w:rsid w:val="000502B1"/>
    <w:rsid w:val="00052FCA"/>
    <w:rsid w:val="00054A19"/>
    <w:rsid w:val="00054EB1"/>
    <w:rsid w:val="00054FE3"/>
    <w:rsid w:val="00055888"/>
    <w:rsid w:val="00055F96"/>
    <w:rsid w:val="000571D5"/>
    <w:rsid w:val="00060169"/>
    <w:rsid w:val="00060C6F"/>
    <w:rsid w:val="000617EF"/>
    <w:rsid w:val="00061FC3"/>
    <w:rsid w:val="0006228D"/>
    <w:rsid w:val="0006261D"/>
    <w:rsid w:val="00062694"/>
    <w:rsid w:val="00062982"/>
    <w:rsid w:val="00062D43"/>
    <w:rsid w:val="00063559"/>
    <w:rsid w:val="000639ED"/>
    <w:rsid w:val="0006657B"/>
    <w:rsid w:val="00066DB7"/>
    <w:rsid w:val="0006776B"/>
    <w:rsid w:val="00067899"/>
    <w:rsid w:val="000702FF"/>
    <w:rsid w:val="0007037D"/>
    <w:rsid w:val="00070542"/>
    <w:rsid w:val="00070D29"/>
    <w:rsid w:val="00071B51"/>
    <w:rsid w:val="00071BDC"/>
    <w:rsid w:val="0007340F"/>
    <w:rsid w:val="00074D66"/>
    <w:rsid w:val="00075F64"/>
    <w:rsid w:val="00076C56"/>
    <w:rsid w:val="000775D9"/>
    <w:rsid w:val="0008236B"/>
    <w:rsid w:val="00082CE8"/>
    <w:rsid w:val="00084E76"/>
    <w:rsid w:val="00085EBA"/>
    <w:rsid w:val="00090C2A"/>
    <w:rsid w:val="00093476"/>
    <w:rsid w:val="0009569C"/>
    <w:rsid w:val="00095E20"/>
    <w:rsid w:val="00096132"/>
    <w:rsid w:val="00096333"/>
    <w:rsid w:val="00096A82"/>
    <w:rsid w:val="000973E1"/>
    <w:rsid w:val="000977A2"/>
    <w:rsid w:val="00097F08"/>
    <w:rsid w:val="000A01CA"/>
    <w:rsid w:val="000A03C1"/>
    <w:rsid w:val="000A0DDE"/>
    <w:rsid w:val="000A1860"/>
    <w:rsid w:val="000A2C8D"/>
    <w:rsid w:val="000A2FF3"/>
    <w:rsid w:val="000A3A02"/>
    <w:rsid w:val="000A3CB9"/>
    <w:rsid w:val="000A534C"/>
    <w:rsid w:val="000A5505"/>
    <w:rsid w:val="000A5673"/>
    <w:rsid w:val="000A5EFA"/>
    <w:rsid w:val="000A66F5"/>
    <w:rsid w:val="000A6FEA"/>
    <w:rsid w:val="000B01E6"/>
    <w:rsid w:val="000B13D7"/>
    <w:rsid w:val="000B1EAC"/>
    <w:rsid w:val="000B1FF1"/>
    <w:rsid w:val="000B21DB"/>
    <w:rsid w:val="000B3BF4"/>
    <w:rsid w:val="000B4C8D"/>
    <w:rsid w:val="000B4E69"/>
    <w:rsid w:val="000B6254"/>
    <w:rsid w:val="000B6991"/>
    <w:rsid w:val="000B6C2D"/>
    <w:rsid w:val="000B73F2"/>
    <w:rsid w:val="000B75FF"/>
    <w:rsid w:val="000B768D"/>
    <w:rsid w:val="000B785B"/>
    <w:rsid w:val="000B79D8"/>
    <w:rsid w:val="000C1A78"/>
    <w:rsid w:val="000C27E5"/>
    <w:rsid w:val="000C283D"/>
    <w:rsid w:val="000C2859"/>
    <w:rsid w:val="000C3A88"/>
    <w:rsid w:val="000C45B1"/>
    <w:rsid w:val="000C729E"/>
    <w:rsid w:val="000D17D1"/>
    <w:rsid w:val="000D1A59"/>
    <w:rsid w:val="000D23AF"/>
    <w:rsid w:val="000D26F0"/>
    <w:rsid w:val="000D2ABD"/>
    <w:rsid w:val="000D2B0B"/>
    <w:rsid w:val="000D499D"/>
    <w:rsid w:val="000D4EFB"/>
    <w:rsid w:val="000D5545"/>
    <w:rsid w:val="000D6D58"/>
    <w:rsid w:val="000D71E4"/>
    <w:rsid w:val="000D726D"/>
    <w:rsid w:val="000D7830"/>
    <w:rsid w:val="000E0B36"/>
    <w:rsid w:val="000E0E0C"/>
    <w:rsid w:val="000E0E15"/>
    <w:rsid w:val="000E0F22"/>
    <w:rsid w:val="000E2D35"/>
    <w:rsid w:val="000E323D"/>
    <w:rsid w:val="000E3586"/>
    <w:rsid w:val="000E472D"/>
    <w:rsid w:val="000E539E"/>
    <w:rsid w:val="000E5B44"/>
    <w:rsid w:val="000F1710"/>
    <w:rsid w:val="000F1A48"/>
    <w:rsid w:val="000F1F38"/>
    <w:rsid w:val="000F2149"/>
    <w:rsid w:val="000F3384"/>
    <w:rsid w:val="000F6938"/>
    <w:rsid w:val="000F696C"/>
    <w:rsid w:val="00100765"/>
    <w:rsid w:val="00101155"/>
    <w:rsid w:val="00102293"/>
    <w:rsid w:val="001041B8"/>
    <w:rsid w:val="001043C4"/>
    <w:rsid w:val="001055C8"/>
    <w:rsid w:val="001056DA"/>
    <w:rsid w:val="001064F6"/>
    <w:rsid w:val="001069C8"/>
    <w:rsid w:val="00106A68"/>
    <w:rsid w:val="00110933"/>
    <w:rsid w:val="00110C25"/>
    <w:rsid w:val="00111E44"/>
    <w:rsid w:val="00112BED"/>
    <w:rsid w:val="00112ECB"/>
    <w:rsid w:val="0011441B"/>
    <w:rsid w:val="001169A3"/>
    <w:rsid w:val="00120738"/>
    <w:rsid w:val="001207E7"/>
    <w:rsid w:val="00120C55"/>
    <w:rsid w:val="00122AD0"/>
    <w:rsid w:val="00124353"/>
    <w:rsid w:val="001257A0"/>
    <w:rsid w:val="00126C80"/>
    <w:rsid w:val="00127974"/>
    <w:rsid w:val="0012799D"/>
    <w:rsid w:val="00130E2F"/>
    <w:rsid w:val="00133799"/>
    <w:rsid w:val="001345A6"/>
    <w:rsid w:val="001353F2"/>
    <w:rsid w:val="001365CE"/>
    <w:rsid w:val="00136C87"/>
    <w:rsid w:val="001370E5"/>
    <w:rsid w:val="0013753F"/>
    <w:rsid w:val="00140BA8"/>
    <w:rsid w:val="00140F2A"/>
    <w:rsid w:val="0014137D"/>
    <w:rsid w:val="0014205E"/>
    <w:rsid w:val="00142C73"/>
    <w:rsid w:val="001430A1"/>
    <w:rsid w:val="00143B74"/>
    <w:rsid w:val="001442F8"/>
    <w:rsid w:val="0014437A"/>
    <w:rsid w:val="001453C7"/>
    <w:rsid w:val="00145992"/>
    <w:rsid w:val="00150039"/>
    <w:rsid w:val="00150557"/>
    <w:rsid w:val="00150F59"/>
    <w:rsid w:val="00151778"/>
    <w:rsid w:val="00152D61"/>
    <w:rsid w:val="00152E0F"/>
    <w:rsid w:val="00152FD8"/>
    <w:rsid w:val="001534BD"/>
    <w:rsid w:val="00155339"/>
    <w:rsid w:val="00155AB1"/>
    <w:rsid w:val="001568B0"/>
    <w:rsid w:val="00157B11"/>
    <w:rsid w:val="00157C1B"/>
    <w:rsid w:val="0016091C"/>
    <w:rsid w:val="00163BE1"/>
    <w:rsid w:val="00164643"/>
    <w:rsid w:val="0016512E"/>
    <w:rsid w:val="00165F06"/>
    <w:rsid w:val="00166A25"/>
    <w:rsid w:val="00166C60"/>
    <w:rsid w:val="00166DF2"/>
    <w:rsid w:val="00167813"/>
    <w:rsid w:val="001715BD"/>
    <w:rsid w:val="0017318A"/>
    <w:rsid w:val="0017320C"/>
    <w:rsid w:val="00173708"/>
    <w:rsid w:val="00173AAE"/>
    <w:rsid w:val="00173B22"/>
    <w:rsid w:val="00173C6D"/>
    <w:rsid w:val="0017491D"/>
    <w:rsid w:val="001758DF"/>
    <w:rsid w:val="00176D38"/>
    <w:rsid w:val="001770AF"/>
    <w:rsid w:val="00177431"/>
    <w:rsid w:val="00180386"/>
    <w:rsid w:val="00180D6D"/>
    <w:rsid w:val="00183051"/>
    <w:rsid w:val="001830AA"/>
    <w:rsid w:val="0018461A"/>
    <w:rsid w:val="00184F33"/>
    <w:rsid w:val="00185320"/>
    <w:rsid w:val="0018556A"/>
    <w:rsid w:val="00186FD2"/>
    <w:rsid w:val="00191C3F"/>
    <w:rsid w:val="001947BD"/>
    <w:rsid w:val="00197318"/>
    <w:rsid w:val="00197BC5"/>
    <w:rsid w:val="001A08DE"/>
    <w:rsid w:val="001A25DD"/>
    <w:rsid w:val="001A32E3"/>
    <w:rsid w:val="001A3EAE"/>
    <w:rsid w:val="001A6C4A"/>
    <w:rsid w:val="001A768A"/>
    <w:rsid w:val="001A78F3"/>
    <w:rsid w:val="001A7A93"/>
    <w:rsid w:val="001B07D2"/>
    <w:rsid w:val="001B0B03"/>
    <w:rsid w:val="001B2232"/>
    <w:rsid w:val="001B29DA"/>
    <w:rsid w:val="001B2C76"/>
    <w:rsid w:val="001B302B"/>
    <w:rsid w:val="001B3696"/>
    <w:rsid w:val="001B4BD0"/>
    <w:rsid w:val="001B4BDA"/>
    <w:rsid w:val="001B50FE"/>
    <w:rsid w:val="001B53B7"/>
    <w:rsid w:val="001B57DF"/>
    <w:rsid w:val="001B696D"/>
    <w:rsid w:val="001B766F"/>
    <w:rsid w:val="001B7E90"/>
    <w:rsid w:val="001B7EBE"/>
    <w:rsid w:val="001C24E1"/>
    <w:rsid w:val="001C2D98"/>
    <w:rsid w:val="001C30A0"/>
    <w:rsid w:val="001C46F8"/>
    <w:rsid w:val="001C50FA"/>
    <w:rsid w:val="001C77B2"/>
    <w:rsid w:val="001C77F2"/>
    <w:rsid w:val="001C7D6E"/>
    <w:rsid w:val="001D21E4"/>
    <w:rsid w:val="001D375F"/>
    <w:rsid w:val="001D386F"/>
    <w:rsid w:val="001D3947"/>
    <w:rsid w:val="001D3AAA"/>
    <w:rsid w:val="001D6738"/>
    <w:rsid w:val="001D71C2"/>
    <w:rsid w:val="001E01B2"/>
    <w:rsid w:val="001E0381"/>
    <w:rsid w:val="001E1649"/>
    <w:rsid w:val="001E1E57"/>
    <w:rsid w:val="001E35B7"/>
    <w:rsid w:val="001E4CCA"/>
    <w:rsid w:val="001E4DB5"/>
    <w:rsid w:val="001E56C2"/>
    <w:rsid w:val="001E63F7"/>
    <w:rsid w:val="001E6BF0"/>
    <w:rsid w:val="001F0606"/>
    <w:rsid w:val="001F1223"/>
    <w:rsid w:val="001F2398"/>
    <w:rsid w:val="001F27C6"/>
    <w:rsid w:val="001F30FB"/>
    <w:rsid w:val="001F35E3"/>
    <w:rsid w:val="001F3A00"/>
    <w:rsid w:val="001F3FC7"/>
    <w:rsid w:val="001F48AB"/>
    <w:rsid w:val="001F4B3C"/>
    <w:rsid w:val="001F59B3"/>
    <w:rsid w:val="001F5F05"/>
    <w:rsid w:val="001F624A"/>
    <w:rsid w:val="002002E3"/>
    <w:rsid w:val="00200D76"/>
    <w:rsid w:val="0020111E"/>
    <w:rsid w:val="00201EA9"/>
    <w:rsid w:val="00202A1D"/>
    <w:rsid w:val="00203553"/>
    <w:rsid w:val="00203B32"/>
    <w:rsid w:val="0020699D"/>
    <w:rsid w:val="0020750B"/>
    <w:rsid w:val="00207EB0"/>
    <w:rsid w:val="00210EB6"/>
    <w:rsid w:val="00211ABE"/>
    <w:rsid w:val="0021240C"/>
    <w:rsid w:val="00212B1F"/>
    <w:rsid w:val="00212D21"/>
    <w:rsid w:val="00213A9B"/>
    <w:rsid w:val="00214203"/>
    <w:rsid w:val="00214542"/>
    <w:rsid w:val="00214C6A"/>
    <w:rsid w:val="002165F8"/>
    <w:rsid w:val="002200DF"/>
    <w:rsid w:val="00222C5E"/>
    <w:rsid w:val="00223224"/>
    <w:rsid w:val="002237DB"/>
    <w:rsid w:val="00223901"/>
    <w:rsid w:val="00224144"/>
    <w:rsid w:val="00224B7E"/>
    <w:rsid w:val="00226B79"/>
    <w:rsid w:val="00227BB6"/>
    <w:rsid w:val="002305D4"/>
    <w:rsid w:val="002315CB"/>
    <w:rsid w:val="002315E5"/>
    <w:rsid w:val="002318DD"/>
    <w:rsid w:val="002322E0"/>
    <w:rsid w:val="00233488"/>
    <w:rsid w:val="00233DCE"/>
    <w:rsid w:val="002340EE"/>
    <w:rsid w:val="00234918"/>
    <w:rsid w:val="00235DF3"/>
    <w:rsid w:val="00236277"/>
    <w:rsid w:val="00236FFF"/>
    <w:rsid w:val="0023764F"/>
    <w:rsid w:val="00237E8A"/>
    <w:rsid w:val="00237FBD"/>
    <w:rsid w:val="00240D3D"/>
    <w:rsid w:val="002413EC"/>
    <w:rsid w:val="00243A9C"/>
    <w:rsid w:val="002441A6"/>
    <w:rsid w:val="00244872"/>
    <w:rsid w:val="002448AF"/>
    <w:rsid w:val="00244EBF"/>
    <w:rsid w:val="00245F22"/>
    <w:rsid w:val="0024735F"/>
    <w:rsid w:val="002504CD"/>
    <w:rsid w:val="00250C81"/>
    <w:rsid w:val="002528EA"/>
    <w:rsid w:val="002538B5"/>
    <w:rsid w:val="00253C23"/>
    <w:rsid w:val="00254A35"/>
    <w:rsid w:val="00254C0B"/>
    <w:rsid w:val="00255277"/>
    <w:rsid w:val="00255F8A"/>
    <w:rsid w:val="002566B1"/>
    <w:rsid w:val="002578E2"/>
    <w:rsid w:val="00257B5F"/>
    <w:rsid w:val="002607A9"/>
    <w:rsid w:val="00260CC5"/>
    <w:rsid w:val="00261E0D"/>
    <w:rsid w:val="00263F3C"/>
    <w:rsid w:val="00265A79"/>
    <w:rsid w:val="00265B2B"/>
    <w:rsid w:val="00265CFA"/>
    <w:rsid w:val="00265F43"/>
    <w:rsid w:val="00266F66"/>
    <w:rsid w:val="002676B1"/>
    <w:rsid w:val="00267DDC"/>
    <w:rsid w:val="00270076"/>
    <w:rsid w:val="00270088"/>
    <w:rsid w:val="00270B86"/>
    <w:rsid w:val="00270F3A"/>
    <w:rsid w:val="0027345C"/>
    <w:rsid w:val="00273775"/>
    <w:rsid w:val="00274FF5"/>
    <w:rsid w:val="00275F5D"/>
    <w:rsid w:val="002761B9"/>
    <w:rsid w:val="00276A95"/>
    <w:rsid w:val="0027771B"/>
    <w:rsid w:val="0028016D"/>
    <w:rsid w:val="00280E6F"/>
    <w:rsid w:val="00281C3D"/>
    <w:rsid w:val="0028251F"/>
    <w:rsid w:val="002827E8"/>
    <w:rsid w:val="00282BCF"/>
    <w:rsid w:val="0028308E"/>
    <w:rsid w:val="00283294"/>
    <w:rsid w:val="0028430C"/>
    <w:rsid w:val="00284BB5"/>
    <w:rsid w:val="00285899"/>
    <w:rsid w:val="002866BB"/>
    <w:rsid w:val="00286A85"/>
    <w:rsid w:val="002901AF"/>
    <w:rsid w:val="0029090D"/>
    <w:rsid w:val="00291D4B"/>
    <w:rsid w:val="00292F03"/>
    <w:rsid w:val="002940A5"/>
    <w:rsid w:val="002959F0"/>
    <w:rsid w:val="00296296"/>
    <w:rsid w:val="00296713"/>
    <w:rsid w:val="00296784"/>
    <w:rsid w:val="00297A36"/>
    <w:rsid w:val="00297BC2"/>
    <w:rsid w:val="002A0325"/>
    <w:rsid w:val="002A1516"/>
    <w:rsid w:val="002A3ED1"/>
    <w:rsid w:val="002A4B4D"/>
    <w:rsid w:val="002A5126"/>
    <w:rsid w:val="002A56D0"/>
    <w:rsid w:val="002A5FC0"/>
    <w:rsid w:val="002A680E"/>
    <w:rsid w:val="002A71DE"/>
    <w:rsid w:val="002A7BA8"/>
    <w:rsid w:val="002B001E"/>
    <w:rsid w:val="002B0B4A"/>
    <w:rsid w:val="002B2351"/>
    <w:rsid w:val="002B35CB"/>
    <w:rsid w:val="002B3AD6"/>
    <w:rsid w:val="002B3E3D"/>
    <w:rsid w:val="002B55CC"/>
    <w:rsid w:val="002B5C27"/>
    <w:rsid w:val="002B6B21"/>
    <w:rsid w:val="002B7264"/>
    <w:rsid w:val="002C0EE9"/>
    <w:rsid w:val="002C1AE4"/>
    <w:rsid w:val="002C260A"/>
    <w:rsid w:val="002C2B88"/>
    <w:rsid w:val="002C30A4"/>
    <w:rsid w:val="002C3AC9"/>
    <w:rsid w:val="002C3C00"/>
    <w:rsid w:val="002C5217"/>
    <w:rsid w:val="002C6C5C"/>
    <w:rsid w:val="002C6E36"/>
    <w:rsid w:val="002D0A57"/>
    <w:rsid w:val="002D0C2D"/>
    <w:rsid w:val="002D1A9F"/>
    <w:rsid w:val="002D2F92"/>
    <w:rsid w:val="002D3A48"/>
    <w:rsid w:val="002D405B"/>
    <w:rsid w:val="002D408B"/>
    <w:rsid w:val="002D4770"/>
    <w:rsid w:val="002D616E"/>
    <w:rsid w:val="002E2406"/>
    <w:rsid w:val="002E3A43"/>
    <w:rsid w:val="002E3ACE"/>
    <w:rsid w:val="002E3C3F"/>
    <w:rsid w:val="002E3D18"/>
    <w:rsid w:val="002E4295"/>
    <w:rsid w:val="002E525E"/>
    <w:rsid w:val="002E5DE3"/>
    <w:rsid w:val="002E67C2"/>
    <w:rsid w:val="002E6C5E"/>
    <w:rsid w:val="002E6E52"/>
    <w:rsid w:val="002E7A30"/>
    <w:rsid w:val="002F073E"/>
    <w:rsid w:val="002F0741"/>
    <w:rsid w:val="002F2117"/>
    <w:rsid w:val="002F270C"/>
    <w:rsid w:val="002F37F4"/>
    <w:rsid w:val="002F3CF0"/>
    <w:rsid w:val="002F4BFE"/>
    <w:rsid w:val="002F61C1"/>
    <w:rsid w:val="002F6C2C"/>
    <w:rsid w:val="0030010F"/>
    <w:rsid w:val="00300D20"/>
    <w:rsid w:val="00302D58"/>
    <w:rsid w:val="00303D5B"/>
    <w:rsid w:val="00305D8B"/>
    <w:rsid w:val="00305DB5"/>
    <w:rsid w:val="0030712F"/>
    <w:rsid w:val="003074DE"/>
    <w:rsid w:val="00310579"/>
    <w:rsid w:val="0031118E"/>
    <w:rsid w:val="00312BC1"/>
    <w:rsid w:val="0031330C"/>
    <w:rsid w:val="00313B42"/>
    <w:rsid w:val="003140A3"/>
    <w:rsid w:val="0031443B"/>
    <w:rsid w:val="0031544C"/>
    <w:rsid w:val="00316962"/>
    <w:rsid w:val="003171D1"/>
    <w:rsid w:val="003206A3"/>
    <w:rsid w:val="0032098C"/>
    <w:rsid w:val="00321E73"/>
    <w:rsid w:val="00322092"/>
    <w:rsid w:val="003229CE"/>
    <w:rsid w:val="00322C65"/>
    <w:rsid w:val="0032312F"/>
    <w:rsid w:val="0032373E"/>
    <w:rsid w:val="00323D17"/>
    <w:rsid w:val="00324D28"/>
    <w:rsid w:val="0032526C"/>
    <w:rsid w:val="00325C97"/>
    <w:rsid w:val="00326504"/>
    <w:rsid w:val="00326721"/>
    <w:rsid w:val="00326A68"/>
    <w:rsid w:val="00327AB8"/>
    <w:rsid w:val="00331584"/>
    <w:rsid w:val="00332086"/>
    <w:rsid w:val="003322F5"/>
    <w:rsid w:val="00333768"/>
    <w:rsid w:val="003341BA"/>
    <w:rsid w:val="00334743"/>
    <w:rsid w:val="00335021"/>
    <w:rsid w:val="00335787"/>
    <w:rsid w:val="0033579C"/>
    <w:rsid w:val="003363B5"/>
    <w:rsid w:val="00336810"/>
    <w:rsid w:val="00341FBF"/>
    <w:rsid w:val="00342043"/>
    <w:rsid w:val="00342C55"/>
    <w:rsid w:val="003434BE"/>
    <w:rsid w:val="00344BB3"/>
    <w:rsid w:val="0034740F"/>
    <w:rsid w:val="00347C8F"/>
    <w:rsid w:val="00351E2F"/>
    <w:rsid w:val="0035210C"/>
    <w:rsid w:val="00352940"/>
    <w:rsid w:val="00352B16"/>
    <w:rsid w:val="00352D55"/>
    <w:rsid w:val="00352FC0"/>
    <w:rsid w:val="003530E6"/>
    <w:rsid w:val="003536B4"/>
    <w:rsid w:val="00355D10"/>
    <w:rsid w:val="003565DB"/>
    <w:rsid w:val="003568CF"/>
    <w:rsid w:val="003571E7"/>
    <w:rsid w:val="00357C5C"/>
    <w:rsid w:val="00361996"/>
    <w:rsid w:val="0036211E"/>
    <w:rsid w:val="00363121"/>
    <w:rsid w:val="00364843"/>
    <w:rsid w:val="003651ED"/>
    <w:rsid w:val="00366108"/>
    <w:rsid w:val="0036678B"/>
    <w:rsid w:val="0036776A"/>
    <w:rsid w:val="00370CCD"/>
    <w:rsid w:val="003718CD"/>
    <w:rsid w:val="003726AC"/>
    <w:rsid w:val="003740EA"/>
    <w:rsid w:val="00374D44"/>
    <w:rsid w:val="00375849"/>
    <w:rsid w:val="00375D33"/>
    <w:rsid w:val="00381D7F"/>
    <w:rsid w:val="003823CC"/>
    <w:rsid w:val="0038253B"/>
    <w:rsid w:val="00382800"/>
    <w:rsid w:val="00382CB7"/>
    <w:rsid w:val="00383755"/>
    <w:rsid w:val="00383D8B"/>
    <w:rsid w:val="00383E67"/>
    <w:rsid w:val="0038454F"/>
    <w:rsid w:val="00384AE7"/>
    <w:rsid w:val="003851C7"/>
    <w:rsid w:val="00387A6C"/>
    <w:rsid w:val="00390260"/>
    <w:rsid w:val="00391D83"/>
    <w:rsid w:val="003924EB"/>
    <w:rsid w:val="00392B83"/>
    <w:rsid w:val="00392E46"/>
    <w:rsid w:val="003941E6"/>
    <w:rsid w:val="003952BD"/>
    <w:rsid w:val="0039539D"/>
    <w:rsid w:val="00395766"/>
    <w:rsid w:val="00396BA9"/>
    <w:rsid w:val="00397653"/>
    <w:rsid w:val="003A153D"/>
    <w:rsid w:val="003A1AEE"/>
    <w:rsid w:val="003A1FDF"/>
    <w:rsid w:val="003A20C7"/>
    <w:rsid w:val="003A24BF"/>
    <w:rsid w:val="003A35DD"/>
    <w:rsid w:val="003A376B"/>
    <w:rsid w:val="003A3BAE"/>
    <w:rsid w:val="003A4AC7"/>
    <w:rsid w:val="003A4CC5"/>
    <w:rsid w:val="003A4EC8"/>
    <w:rsid w:val="003A544D"/>
    <w:rsid w:val="003A5D55"/>
    <w:rsid w:val="003B0238"/>
    <w:rsid w:val="003B15DE"/>
    <w:rsid w:val="003B175A"/>
    <w:rsid w:val="003B19BC"/>
    <w:rsid w:val="003B2F56"/>
    <w:rsid w:val="003B3C56"/>
    <w:rsid w:val="003B5C89"/>
    <w:rsid w:val="003B5DEC"/>
    <w:rsid w:val="003B622C"/>
    <w:rsid w:val="003B6389"/>
    <w:rsid w:val="003B6F8D"/>
    <w:rsid w:val="003B760C"/>
    <w:rsid w:val="003B7EB8"/>
    <w:rsid w:val="003C1630"/>
    <w:rsid w:val="003C2A22"/>
    <w:rsid w:val="003C5860"/>
    <w:rsid w:val="003D104B"/>
    <w:rsid w:val="003D14F3"/>
    <w:rsid w:val="003D1983"/>
    <w:rsid w:val="003D2955"/>
    <w:rsid w:val="003D297E"/>
    <w:rsid w:val="003D2EF6"/>
    <w:rsid w:val="003D3925"/>
    <w:rsid w:val="003D421E"/>
    <w:rsid w:val="003D493D"/>
    <w:rsid w:val="003D54D0"/>
    <w:rsid w:val="003D5895"/>
    <w:rsid w:val="003D5A58"/>
    <w:rsid w:val="003D678B"/>
    <w:rsid w:val="003E0115"/>
    <w:rsid w:val="003E05DF"/>
    <w:rsid w:val="003E0610"/>
    <w:rsid w:val="003E452D"/>
    <w:rsid w:val="003E53A8"/>
    <w:rsid w:val="003E57DE"/>
    <w:rsid w:val="003E5BFE"/>
    <w:rsid w:val="003E6085"/>
    <w:rsid w:val="003E618B"/>
    <w:rsid w:val="003F03F9"/>
    <w:rsid w:val="003F0863"/>
    <w:rsid w:val="003F165B"/>
    <w:rsid w:val="003F3104"/>
    <w:rsid w:val="003F493B"/>
    <w:rsid w:val="003F69A6"/>
    <w:rsid w:val="003F6A43"/>
    <w:rsid w:val="003F7A84"/>
    <w:rsid w:val="003F7ED7"/>
    <w:rsid w:val="00400033"/>
    <w:rsid w:val="00400A85"/>
    <w:rsid w:val="00401708"/>
    <w:rsid w:val="004034E8"/>
    <w:rsid w:val="00404032"/>
    <w:rsid w:val="00405695"/>
    <w:rsid w:val="0040674E"/>
    <w:rsid w:val="00406FCB"/>
    <w:rsid w:val="0041055C"/>
    <w:rsid w:val="00410750"/>
    <w:rsid w:val="004115A7"/>
    <w:rsid w:val="00411820"/>
    <w:rsid w:val="00411DA6"/>
    <w:rsid w:val="004124BF"/>
    <w:rsid w:val="00412B6C"/>
    <w:rsid w:val="0041325F"/>
    <w:rsid w:val="00413B6F"/>
    <w:rsid w:val="00414A21"/>
    <w:rsid w:val="00414B73"/>
    <w:rsid w:val="0041563D"/>
    <w:rsid w:val="00416863"/>
    <w:rsid w:val="004215C4"/>
    <w:rsid w:val="00421943"/>
    <w:rsid w:val="0042274C"/>
    <w:rsid w:val="00422E68"/>
    <w:rsid w:val="0042383B"/>
    <w:rsid w:val="004253DF"/>
    <w:rsid w:val="00426A72"/>
    <w:rsid w:val="00430839"/>
    <w:rsid w:val="00430E14"/>
    <w:rsid w:val="00431980"/>
    <w:rsid w:val="0043352E"/>
    <w:rsid w:val="00433ABF"/>
    <w:rsid w:val="00434394"/>
    <w:rsid w:val="00434FF7"/>
    <w:rsid w:val="00435A0E"/>
    <w:rsid w:val="00436F93"/>
    <w:rsid w:val="00437C49"/>
    <w:rsid w:val="00437FCD"/>
    <w:rsid w:val="0044094A"/>
    <w:rsid w:val="00442535"/>
    <w:rsid w:val="004427D1"/>
    <w:rsid w:val="00442A05"/>
    <w:rsid w:val="004434DB"/>
    <w:rsid w:val="00443EA3"/>
    <w:rsid w:val="00444140"/>
    <w:rsid w:val="004442D8"/>
    <w:rsid w:val="00444594"/>
    <w:rsid w:val="004455EC"/>
    <w:rsid w:val="0044563C"/>
    <w:rsid w:val="00446E7A"/>
    <w:rsid w:val="0045069B"/>
    <w:rsid w:val="00450FB4"/>
    <w:rsid w:val="00452942"/>
    <w:rsid w:val="00452AAB"/>
    <w:rsid w:val="00452B20"/>
    <w:rsid w:val="00453A20"/>
    <w:rsid w:val="00454F85"/>
    <w:rsid w:val="00455420"/>
    <w:rsid w:val="00455485"/>
    <w:rsid w:val="004557F9"/>
    <w:rsid w:val="004560DA"/>
    <w:rsid w:val="00456A8A"/>
    <w:rsid w:val="00457D17"/>
    <w:rsid w:val="00457FE5"/>
    <w:rsid w:val="0046288F"/>
    <w:rsid w:val="00462AA0"/>
    <w:rsid w:val="00463C21"/>
    <w:rsid w:val="004658CE"/>
    <w:rsid w:val="00466450"/>
    <w:rsid w:val="0046660D"/>
    <w:rsid w:val="0047277E"/>
    <w:rsid w:val="004741C1"/>
    <w:rsid w:val="004742A9"/>
    <w:rsid w:val="00474DE4"/>
    <w:rsid w:val="00476CD5"/>
    <w:rsid w:val="00477020"/>
    <w:rsid w:val="004770AB"/>
    <w:rsid w:val="004801B9"/>
    <w:rsid w:val="00480441"/>
    <w:rsid w:val="00480B68"/>
    <w:rsid w:val="00480D78"/>
    <w:rsid w:val="00481B1A"/>
    <w:rsid w:val="00481FC5"/>
    <w:rsid w:val="00482526"/>
    <w:rsid w:val="00482B24"/>
    <w:rsid w:val="004838CE"/>
    <w:rsid w:val="00483A34"/>
    <w:rsid w:val="00484806"/>
    <w:rsid w:val="0048551D"/>
    <w:rsid w:val="00487329"/>
    <w:rsid w:val="00490448"/>
    <w:rsid w:val="0049199A"/>
    <w:rsid w:val="004923F3"/>
    <w:rsid w:val="00492849"/>
    <w:rsid w:val="00492E7E"/>
    <w:rsid w:val="00493422"/>
    <w:rsid w:val="004938A6"/>
    <w:rsid w:val="00494514"/>
    <w:rsid w:val="00494655"/>
    <w:rsid w:val="00495DB1"/>
    <w:rsid w:val="00496883"/>
    <w:rsid w:val="004A0156"/>
    <w:rsid w:val="004A027B"/>
    <w:rsid w:val="004A0FDE"/>
    <w:rsid w:val="004A14A6"/>
    <w:rsid w:val="004A16E0"/>
    <w:rsid w:val="004A180B"/>
    <w:rsid w:val="004A3FAD"/>
    <w:rsid w:val="004A426B"/>
    <w:rsid w:val="004A43C2"/>
    <w:rsid w:val="004A4FA7"/>
    <w:rsid w:val="004A56C4"/>
    <w:rsid w:val="004A5EFE"/>
    <w:rsid w:val="004A786A"/>
    <w:rsid w:val="004B1B49"/>
    <w:rsid w:val="004B1D7F"/>
    <w:rsid w:val="004B331D"/>
    <w:rsid w:val="004B3383"/>
    <w:rsid w:val="004B3E09"/>
    <w:rsid w:val="004B4608"/>
    <w:rsid w:val="004B4E76"/>
    <w:rsid w:val="004B572A"/>
    <w:rsid w:val="004B7D6D"/>
    <w:rsid w:val="004C0140"/>
    <w:rsid w:val="004C0DA3"/>
    <w:rsid w:val="004C0DC1"/>
    <w:rsid w:val="004C211E"/>
    <w:rsid w:val="004C2BBC"/>
    <w:rsid w:val="004C40B3"/>
    <w:rsid w:val="004C714E"/>
    <w:rsid w:val="004D11D1"/>
    <w:rsid w:val="004D1C3F"/>
    <w:rsid w:val="004D2496"/>
    <w:rsid w:val="004D25AE"/>
    <w:rsid w:val="004D3AB5"/>
    <w:rsid w:val="004D4ACA"/>
    <w:rsid w:val="004D4B74"/>
    <w:rsid w:val="004D5929"/>
    <w:rsid w:val="004D611F"/>
    <w:rsid w:val="004D771B"/>
    <w:rsid w:val="004D7850"/>
    <w:rsid w:val="004E01F9"/>
    <w:rsid w:val="004E212C"/>
    <w:rsid w:val="004E302E"/>
    <w:rsid w:val="004E4B8B"/>
    <w:rsid w:val="004E576A"/>
    <w:rsid w:val="004E6867"/>
    <w:rsid w:val="004E773E"/>
    <w:rsid w:val="004E796D"/>
    <w:rsid w:val="004F0B0F"/>
    <w:rsid w:val="004F1712"/>
    <w:rsid w:val="004F1B8F"/>
    <w:rsid w:val="004F30AA"/>
    <w:rsid w:val="004F3480"/>
    <w:rsid w:val="004F3864"/>
    <w:rsid w:val="004F3AFA"/>
    <w:rsid w:val="004F6B1D"/>
    <w:rsid w:val="00500800"/>
    <w:rsid w:val="005009AB"/>
    <w:rsid w:val="00500DBB"/>
    <w:rsid w:val="005017E0"/>
    <w:rsid w:val="005025AF"/>
    <w:rsid w:val="00502EBB"/>
    <w:rsid w:val="0050403C"/>
    <w:rsid w:val="00504799"/>
    <w:rsid w:val="00510DA3"/>
    <w:rsid w:val="00511212"/>
    <w:rsid w:val="00511558"/>
    <w:rsid w:val="00511830"/>
    <w:rsid w:val="00512432"/>
    <w:rsid w:val="005133DA"/>
    <w:rsid w:val="00513463"/>
    <w:rsid w:val="00513AE5"/>
    <w:rsid w:val="00513D23"/>
    <w:rsid w:val="005140C3"/>
    <w:rsid w:val="00515117"/>
    <w:rsid w:val="005152F6"/>
    <w:rsid w:val="00515AF9"/>
    <w:rsid w:val="00515E81"/>
    <w:rsid w:val="00516BA5"/>
    <w:rsid w:val="005171F6"/>
    <w:rsid w:val="00520F44"/>
    <w:rsid w:val="0052178F"/>
    <w:rsid w:val="00521830"/>
    <w:rsid w:val="005223BC"/>
    <w:rsid w:val="00523325"/>
    <w:rsid w:val="00525B32"/>
    <w:rsid w:val="00526326"/>
    <w:rsid w:val="00527928"/>
    <w:rsid w:val="0053142F"/>
    <w:rsid w:val="00531523"/>
    <w:rsid w:val="005323BA"/>
    <w:rsid w:val="005346A6"/>
    <w:rsid w:val="00535849"/>
    <w:rsid w:val="00536090"/>
    <w:rsid w:val="00536872"/>
    <w:rsid w:val="00537DD8"/>
    <w:rsid w:val="005408CC"/>
    <w:rsid w:val="00542458"/>
    <w:rsid w:val="00542BF9"/>
    <w:rsid w:val="00543C1A"/>
    <w:rsid w:val="00544C93"/>
    <w:rsid w:val="00546F8D"/>
    <w:rsid w:val="00547B99"/>
    <w:rsid w:val="00547EF4"/>
    <w:rsid w:val="00550080"/>
    <w:rsid w:val="00551B8D"/>
    <w:rsid w:val="00552205"/>
    <w:rsid w:val="0055381E"/>
    <w:rsid w:val="005544C8"/>
    <w:rsid w:val="00554756"/>
    <w:rsid w:val="00554856"/>
    <w:rsid w:val="00554B53"/>
    <w:rsid w:val="00554FDA"/>
    <w:rsid w:val="005555DF"/>
    <w:rsid w:val="005558CD"/>
    <w:rsid w:val="005560CF"/>
    <w:rsid w:val="0056004B"/>
    <w:rsid w:val="00560210"/>
    <w:rsid w:val="00562098"/>
    <w:rsid w:val="00562193"/>
    <w:rsid w:val="00563425"/>
    <w:rsid w:val="00563459"/>
    <w:rsid w:val="00563B50"/>
    <w:rsid w:val="00563D8B"/>
    <w:rsid w:val="005659EA"/>
    <w:rsid w:val="005664F2"/>
    <w:rsid w:val="00566D80"/>
    <w:rsid w:val="0056783D"/>
    <w:rsid w:val="0057209F"/>
    <w:rsid w:val="00573F23"/>
    <w:rsid w:val="005746E4"/>
    <w:rsid w:val="00574D64"/>
    <w:rsid w:val="00576D58"/>
    <w:rsid w:val="0057710F"/>
    <w:rsid w:val="00577459"/>
    <w:rsid w:val="00577F52"/>
    <w:rsid w:val="0058001A"/>
    <w:rsid w:val="005804FD"/>
    <w:rsid w:val="005819BB"/>
    <w:rsid w:val="00581CD2"/>
    <w:rsid w:val="005820BF"/>
    <w:rsid w:val="00583925"/>
    <w:rsid w:val="00584968"/>
    <w:rsid w:val="00584ADC"/>
    <w:rsid w:val="00585069"/>
    <w:rsid w:val="00585939"/>
    <w:rsid w:val="005861A9"/>
    <w:rsid w:val="00586884"/>
    <w:rsid w:val="00586D35"/>
    <w:rsid w:val="00586FD9"/>
    <w:rsid w:val="00587934"/>
    <w:rsid w:val="00590361"/>
    <w:rsid w:val="00590F96"/>
    <w:rsid w:val="0059495F"/>
    <w:rsid w:val="00596226"/>
    <w:rsid w:val="00596759"/>
    <w:rsid w:val="005967EB"/>
    <w:rsid w:val="005A2362"/>
    <w:rsid w:val="005A2B9F"/>
    <w:rsid w:val="005A2E73"/>
    <w:rsid w:val="005A379F"/>
    <w:rsid w:val="005A4357"/>
    <w:rsid w:val="005A465E"/>
    <w:rsid w:val="005A4C0C"/>
    <w:rsid w:val="005A6348"/>
    <w:rsid w:val="005A6C6C"/>
    <w:rsid w:val="005A7235"/>
    <w:rsid w:val="005A7AFE"/>
    <w:rsid w:val="005B08D3"/>
    <w:rsid w:val="005B27BA"/>
    <w:rsid w:val="005B2E76"/>
    <w:rsid w:val="005B3438"/>
    <w:rsid w:val="005B441D"/>
    <w:rsid w:val="005B4B3F"/>
    <w:rsid w:val="005B61DE"/>
    <w:rsid w:val="005B6D08"/>
    <w:rsid w:val="005B7022"/>
    <w:rsid w:val="005C06A8"/>
    <w:rsid w:val="005C1818"/>
    <w:rsid w:val="005C1C8B"/>
    <w:rsid w:val="005C2502"/>
    <w:rsid w:val="005C30BE"/>
    <w:rsid w:val="005C3965"/>
    <w:rsid w:val="005C4CD3"/>
    <w:rsid w:val="005C5020"/>
    <w:rsid w:val="005C5E1A"/>
    <w:rsid w:val="005C7036"/>
    <w:rsid w:val="005D0F81"/>
    <w:rsid w:val="005D1821"/>
    <w:rsid w:val="005D2539"/>
    <w:rsid w:val="005D316B"/>
    <w:rsid w:val="005D4039"/>
    <w:rsid w:val="005D4B6A"/>
    <w:rsid w:val="005D52C9"/>
    <w:rsid w:val="005D5E4E"/>
    <w:rsid w:val="005D6626"/>
    <w:rsid w:val="005E0421"/>
    <w:rsid w:val="005E0675"/>
    <w:rsid w:val="005E0B95"/>
    <w:rsid w:val="005E0D09"/>
    <w:rsid w:val="005E13F9"/>
    <w:rsid w:val="005E1B98"/>
    <w:rsid w:val="005E1D29"/>
    <w:rsid w:val="005E221A"/>
    <w:rsid w:val="005E31FB"/>
    <w:rsid w:val="005E345B"/>
    <w:rsid w:val="005E393F"/>
    <w:rsid w:val="005E4969"/>
    <w:rsid w:val="005E5169"/>
    <w:rsid w:val="005E75B9"/>
    <w:rsid w:val="005F09D2"/>
    <w:rsid w:val="005F21C6"/>
    <w:rsid w:val="005F27B0"/>
    <w:rsid w:val="005F31C8"/>
    <w:rsid w:val="005F428A"/>
    <w:rsid w:val="005F4BDC"/>
    <w:rsid w:val="005F65FA"/>
    <w:rsid w:val="005F773E"/>
    <w:rsid w:val="005F7D9A"/>
    <w:rsid w:val="005F7FCF"/>
    <w:rsid w:val="00601A1B"/>
    <w:rsid w:val="006031D6"/>
    <w:rsid w:val="00603E74"/>
    <w:rsid w:val="00605125"/>
    <w:rsid w:val="00605A95"/>
    <w:rsid w:val="006060F8"/>
    <w:rsid w:val="006068CA"/>
    <w:rsid w:val="00607A47"/>
    <w:rsid w:val="00611162"/>
    <w:rsid w:val="00611377"/>
    <w:rsid w:val="0061165E"/>
    <w:rsid w:val="00611708"/>
    <w:rsid w:val="00611B04"/>
    <w:rsid w:val="00611EBA"/>
    <w:rsid w:val="006140EB"/>
    <w:rsid w:val="006142A4"/>
    <w:rsid w:val="00614413"/>
    <w:rsid w:val="006153FE"/>
    <w:rsid w:val="00616F87"/>
    <w:rsid w:val="00620573"/>
    <w:rsid w:val="0062067B"/>
    <w:rsid w:val="00620DD1"/>
    <w:rsid w:val="006213C5"/>
    <w:rsid w:val="00622DF6"/>
    <w:rsid w:val="00624CF3"/>
    <w:rsid w:val="006252B3"/>
    <w:rsid w:val="006259C7"/>
    <w:rsid w:val="00626197"/>
    <w:rsid w:val="006264D1"/>
    <w:rsid w:val="0062650F"/>
    <w:rsid w:val="006273EB"/>
    <w:rsid w:val="00627BD6"/>
    <w:rsid w:val="006331E7"/>
    <w:rsid w:val="006332DD"/>
    <w:rsid w:val="006337C1"/>
    <w:rsid w:val="00633E80"/>
    <w:rsid w:val="00634640"/>
    <w:rsid w:val="00635773"/>
    <w:rsid w:val="00635870"/>
    <w:rsid w:val="00637BBE"/>
    <w:rsid w:val="00640522"/>
    <w:rsid w:val="00640F22"/>
    <w:rsid w:val="0064167B"/>
    <w:rsid w:val="00642B8C"/>
    <w:rsid w:val="00643703"/>
    <w:rsid w:val="006437E0"/>
    <w:rsid w:val="006443E2"/>
    <w:rsid w:val="006444A0"/>
    <w:rsid w:val="0064584A"/>
    <w:rsid w:val="00645EC9"/>
    <w:rsid w:val="00646F96"/>
    <w:rsid w:val="0064760C"/>
    <w:rsid w:val="00651193"/>
    <w:rsid w:val="00651447"/>
    <w:rsid w:val="0065244E"/>
    <w:rsid w:val="006529BA"/>
    <w:rsid w:val="006533D4"/>
    <w:rsid w:val="00653911"/>
    <w:rsid w:val="00653E2C"/>
    <w:rsid w:val="006564C0"/>
    <w:rsid w:val="00656943"/>
    <w:rsid w:val="00656ACD"/>
    <w:rsid w:val="006577BC"/>
    <w:rsid w:val="00657952"/>
    <w:rsid w:val="0066081B"/>
    <w:rsid w:val="0066082D"/>
    <w:rsid w:val="00660BDC"/>
    <w:rsid w:val="0066449F"/>
    <w:rsid w:val="00664577"/>
    <w:rsid w:val="00664BC3"/>
    <w:rsid w:val="0066540D"/>
    <w:rsid w:val="00665BD0"/>
    <w:rsid w:val="00666643"/>
    <w:rsid w:val="00670E92"/>
    <w:rsid w:val="00671AD4"/>
    <w:rsid w:val="006741CB"/>
    <w:rsid w:val="00674C0D"/>
    <w:rsid w:val="00675DFC"/>
    <w:rsid w:val="00676036"/>
    <w:rsid w:val="00676FD2"/>
    <w:rsid w:val="0067787B"/>
    <w:rsid w:val="00677D52"/>
    <w:rsid w:val="0068027F"/>
    <w:rsid w:val="00680A96"/>
    <w:rsid w:val="00680FEA"/>
    <w:rsid w:val="00681C4D"/>
    <w:rsid w:val="00684DA6"/>
    <w:rsid w:val="006851E1"/>
    <w:rsid w:val="00685451"/>
    <w:rsid w:val="00687B9D"/>
    <w:rsid w:val="006904CC"/>
    <w:rsid w:val="006914EA"/>
    <w:rsid w:val="006916EE"/>
    <w:rsid w:val="00691AFD"/>
    <w:rsid w:val="00691DCB"/>
    <w:rsid w:val="006936D3"/>
    <w:rsid w:val="006938E4"/>
    <w:rsid w:val="00693EB1"/>
    <w:rsid w:val="00694B2A"/>
    <w:rsid w:val="006950E2"/>
    <w:rsid w:val="00695A76"/>
    <w:rsid w:val="006965A8"/>
    <w:rsid w:val="00697907"/>
    <w:rsid w:val="006A1425"/>
    <w:rsid w:val="006A2A75"/>
    <w:rsid w:val="006A303D"/>
    <w:rsid w:val="006A3DEB"/>
    <w:rsid w:val="006A51DE"/>
    <w:rsid w:val="006A572D"/>
    <w:rsid w:val="006A5946"/>
    <w:rsid w:val="006A5D94"/>
    <w:rsid w:val="006A618A"/>
    <w:rsid w:val="006A69B9"/>
    <w:rsid w:val="006B1C85"/>
    <w:rsid w:val="006B2850"/>
    <w:rsid w:val="006B2EAD"/>
    <w:rsid w:val="006B35C8"/>
    <w:rsid w:val="006B3CDB"/>
    <w:rsid w:val="006B4724"/>
    <w:rsid w:val="006B6775"/>
    <w:rsid w:val="006B6E04"/>
    <w:rsid w:val="006C0095"/>
    <w:rsid w:val="006C0298"/>
    <w:rsid w:val="006C17DA"/>
    <w:rsid w:val="006C1EF8"/>
    <w:rsid w:val="006C1F49"/>
    <w:rsid w:val="006C1F76"/>
    <w:rsid w:val="006C200B"/>
    <w:rsid w:val="006C2A04"/>
    <w:rsid w:val="006C2D59"/>
    <w:rsid w:val="006C4922"/>
    <w:rsid w:val="006C553E"/>
    <w:rsid w:val="006C5545"/>
    <w:rsid w:val="006C5FB1"/>
    <w:rsid w:val="006C7841"/>
    <w:rsid w:val="006C7B7F"/>
    <w:rsid w:val="006D06D4"/>
    <w:rsid w:val="006D0927"/>
    <w:rsid w:val="006D26F5"/>
    <w:rsid w:val="006D27E9"/>
    <w:rsid w:val="006D2A4E"/>
    <w:rsid w:val="006D460C"/>
    <w:rsid w:val="006D47E6"/>
    <w:rsid w:val="006D5B9A"/>
    <w:rsid w:val="006D70EF"/>
    <w:rsid w:val="006D729C"/>
    <w:rsid w:val="006E1354"/>
    <w:rsid w:val="006E14CB"/>
    <w:rsid w:val="006E1522"/>
    <w:rsid w:val="006E244A"/>
    <w:rsid w:val="006E371D"/>
    <w:rsid w:val="006E5F76"/>
    <w:rsid w:val="006F0326"/>
    <w:rsid w:val="006F05ED"/>
    <w:rsid w:val="006F06B0"/>
    <w:rsid w:val="006F16BF"/>
    <w:rsid w:val="006F176D"/>
    <w:rsid w:val="006F2FFC"/>
    <w:rsid w:val="006F3FD0"/>
    <w:rsid w:val="006F4947"/>
    <w:rsid w:val="006F4DF0"/>
    <w:rsid w:val="006F54D2"/>
    <w:rsid w:val="006F5D49"/>
    <w:rsid w:val="006F636D"/>
    <w:rsid w:val="006F65CC"/>
    <w:rsid w:val="006F6816"/>
    <w:rsid w:val="00700D1D"/>
    <w:rsid w:val="007017B9"/>
    <w:rsid w:val="00701DCE"/>
    <w:rsid w:val="00703BF9"/>
    <w:rsid w:val="00705BA0"/>
    <w:rsid w:val="00707468"/>
    <w:rsid w:val="0071143F"/>
    <w:rsid w:val="0071198D"/>
    <w:rsid w:val="00711CBB"/>
    <w:rsid w:val="00712099"/>
    <w:rsid w:val="007135AB"/>
    <w:rsid w:val="007158E5"/>
    <w:rsid w:val="00717A27"/>
    <w:rsid w:val="00720A00"/>
    <w:rsid w:val="00720ADA"/>
    <w:rsid w:val="0072191F"/>
    <w:rsid w:val="00721ACB"/>
    <w:rsid w:val="007226D0"/>
    <w:rsid w:val="00724BC9"/>
    <w:rsid w:val="00724E3B"/>
    <w:rsid w:val="00725C48"/>
    <w:rsid w:val="00726C79"/>
    <w:rsid w:val="007272A7"/>
    <w:rsid w:val="00730531"/>
    <w:rsid w:val="00732B01"/>
    <w:rsid w:val="0073362B"/>
    <w:rsid w:val="0073390F"/>
    <w:rsid w:val="007347A1"/>
    <w:rsid w:val="00735093"/>
    <w:rsid w:val="00735227"/>
    <w:rsid w:val="007357F2"/>
    <w:rsid w:val="00737384"/>
    <w:rsid w:val="00737476"/>
    <w:rsid w:val="00737D6E"/>
    <w:rsid w:val="00740182"/>
    <w:rsid w:val="00740B97"/>
    <w:rsid w:val="00741998"/>
    <w:rsid w:val="007429B7"/>
    <w:rsid w:val="0074395C"/>
    <w:rsid w:val="00744466"/>
    <w:rsid w:val="00745BA6"/>
    <w:rsid w:val="00745F03"/>
    <w:rsid w:val="00746C41"/>
    <w:rsid w:val="00746F6F"/>
    <w:rsid w:val="00750A7F"/>
    <w:rsid w:val="007528BD"/>
    <w:rsid w:val="0075297D"/>
    <w:rsid w:val="00752DC0"/>
    <w:rsid w:val="00754607"/>
    <w:rsid w:val="00754CAB"/>
    <w:rsid w:val="00755B7B"/>
    <w:rsid w:val="00755CBD"/>
    <w:rsid w:val="007562F0"/>
    <w:rsid w:val="00756F18"/>
    <w:rsid w:val="00760C85"/>
    <w:rsid w:val="00760F44"/>
    <w:rsid w:val="00762435"/>
    <w:rsid w:val="00762A56"/>
    <w:rsid w:val="00762B49"/>
    <w:rsid w:val="00763507"/>
    <w:rsid w:val="00763520"/>
    <w:rsid w:val="00763A11"/>
    <w:rsid w:val="00763D2C"/>
    <w:rsid w:val="0076532D"/>
    <w:rsid w:val="00765345"/>
    <w:rsid w:val="007655CD"/>
    <w:rsid w:val="00766091"/>
    <w:rsid w:val="007674D0"/>
    <w:rsid w:val="00767C4E"/>
    <w:rsid w:val="007727AD"/>
    <w:rsid w:val="00772B8D"/>
    <w:rsid w:val="0077396B"/>
    <w:rsid w:val="00773A0A"/>
    <w:rsid w:val="00775E09"/>
    <w:rsid w:val="00775EC3"/>
    <w:rsid w:val="007773AC"/>
    <w:rsid w:val="00777633"/>
    <w:rsid w:val="00777815"/>
    <w:rsid w:val="00780177"/>
    <w:rsid w:val="007801F9"/>
    <w:rsid w:val="007805BD"/>
    <w:rsid w:val="007839F9"/>
    <w:rsid w:val="00783ED9"/>
    <w:rsid w:val="007844D9"/>
    <w:rsid w:val="007846DC"/>
    <w:rsid w:val="00786691"/>
    <w:rsid w:val="007866C2"/>
    <w:rsid w:val="00786C39"/>
    <w:rsid w:val="00787868"/>
    <w:rsid w:val="00790429"/>
    <w:rsid w:val="00794199"/>
    <w:rsid w:val="00795118"/>
    <w:rsid w:val="0079577D"/>
    <w:rsid w:val="0079611A"/>
    <w:rsid w:val="007963C8"/>
    <w:rsid w:val="00796FDC"/>
    <w:rsid w:val="007970CE"/>
    <w:rsid w:val="00797E59"/>
    <w:rsid w:val="007A0456"/>
    <w:rsid w:val="007A18A4"/>
    <w:rsid w:val="007A1921"/>
    <w:rsid w:val="007A37D9"/>
    <w:rsid w:val="007A5810"/>
    <w:rsid w:val="007A603A"/>
    <w:rsid w:val="007A7E9C"/>
    <w:rsid w:val="007B0197"/>
    <w:rsid w:val="007B07C3"/>
    <w:rsid w:val="007B0FA4"/>
    <w:rsid w:val="007B2074"/>
    <w:rsid w:val="007B28C2"/>
    <w:rsid w:val="007B2F7A"/>
    <w:rsid w:val="007B44B9"/>
    <w:rsid w:val="007B637C"/>
    <w:rsid w:val="007B6EE8"/>
    <w:rsid w:val="007C041C"/>
    <w:rsid w:val="007C0783"/>
    <w:rsid w:val="007C1170"/>
    <w:rsid w:val="007C125C"/>
    <w:rsid w:val="007C27A0"/>
    <w:rsid w:val="007C2DB8"/>
    <w:rsid w:val="007C4F0E"/>
    <w:rsid w:val="007C6B1E"/>
    <w:rsid w:val="007C7410"/>
    <w:rsid w:val="007D1068"/>
    <w:rsid w:val="007D1160"/>
    <w:rsid w:val="007D163F"/>
    <w:rsid w:val="007D19E2"/>
    <w:rsid w:val="007D267E"/>
    <w:rsid w:val="007D2852"/>
    <w:rsid w:val="007D4740"/>
    <w:rsid w:val="007D56A7"/>
    <w:rsid w:val="007D5BAD"/>
    <w:rsid w:val="007D61DE"/>
    <w:rsid w:val="007D6476"/>
    <w:rsid w:val="007D6F8B"/>
    <w:rsid w:val="007D71CD"/>
    <w:rsid w:val="007E00DF"/>
    <w:rsid w:val="007E03D3"/>
    <w:rsid w:val="007E0872"/>
    <w:rsid w:val="007E1D01"/>
    <w:rsid w:val="007E3AF7"/>
    <w:rsid w:val="007E4A38"/>
    <w:rsid w:val="007E4AA9"/>
    <w:rsid w:val="007E523A"/>
    <w:rsid w:val="007E63D4"/>
    <w:rsid w:val="007F0774"/>
    <w:rsid w:val="007F20CE"/>
    <w:rsid w:val="007F2CA8"/>
    <w:rsid w:val="007F3B71"/>
    <w:rsid w:val="007F3FD9"/>
    <w:rsid w:val="007F4099"/>
    <w:rsid w:val="007F4674"/>
    <w:rsid w:val="007F471F"/>
    <w:rsid w:val="007F4E3E"/>
    <w:rsid w:val="007F72BD"/>
    <w:rsid w:val="00801B9D"/>
    <w:rsid w:val="008026F4"/>
    <w:rsid w:val="00802732"/>
    <w:rsid w:val="00802AE9"/>
    <w:rsid w:val="008046DA"/>
    <w:rsid w:val="00805793"/>
    <w:rsid w:val="00805FC1"/>
    <w:rsid w:val="00806C50"/>
    <w:rsid w:val="00807236"/>
    <w:rsid w:val="00810F43"/>
    <w:rsid w:val="00812690"/>
    <w:rsid w:val="00813C7F"/>
    <w:rsid w:val="008153C9"/>
    <w:rsid w:val="00815FE8"/>
    <w:rsid w:val="0081604D"/>
    <w:rsid w:val="008166F8"/>
    <w:rsid w:val="008171E4"/>
    <w:rsid w:val="0082141D"/>
    <w:rsid w:val="00821C05"/>
    <w:rsid w:val="008231FF"/>
    <w:rsid w:val="00823786"/>
    <w:rsid w:val="0082399C"/>
    <w:rsid w:val="00823AAF"/>
    <w:rsid w:val="00823B46"/>
    <w:rsid w:val="00823E0D"/>
    <w:rsid w:val="00824083"/>
    <w:rsid w:val="00824824"/>
    <w:rsid w:val="00825475"/>
    <w:rsid w:val="00826D13"/>
    <w:rsid w:val="00826FE5"/>
    <w:rsid w:val="00827433"/>
    <w:rsid w:val="00830BA7"/>
    <w:rsid w:val="008318D2"/>
    <w:rsid w:val="008319F5"/>
    <w:rsid w:val="00831F19"/>
    <w:rsid w:val="008327B4"/>
    <w:rsid w:val="00832DD1"/>
    <w:rsid w:val="00833E43"/>
    <w:rsid w:val="00834944"/>
    <w:rsid w:val="00834A1D"/>
    <w:rsid w:val="00834BE4"/>
    <w:rsid w:val="00837A9F"/>
    <w:rsid w:val="00840245"/>
    <w:rsid w:val="008410F0"/>
    <w:rsid w:val="00843AE5"/>
    <w:rsid w:val="008467B4"/>
    <w:rsid w:val="00846A6C"/>
    <w:rsid w:val="008472D0"/>
    <w:rsid w:val="00850583"/>
    <w:rsid w:val="00850D28"/>
    <w:rsid w:val="00851401"/>
    <w:rsid w:val="008520A2"/>
    <w:rsid w:val="0085266C"/>
    <w:rsid w:val="00852F0D"/>
    <w:rsid w:val="00853A55"/>
    <w:rsid w:val="00853B9F"/>
    <w:rsid w:val="00854B0F"/>
    <w:rsid w:val="00855351"/>
    <w:rsid w:val="0085585A"/>
    <w:rsid w:val="008570B0"/>
    <w:rsid w:val="008570B7"/>
    <w:rsid w:val="008600EA"/>
    <w:rsid w:val="008601D2"/>
    <w:rsid w:val="008606E4"/>
    <w:rsid w:val="008608BA"/>
    <w:rsid w:val="00861383"/>
    <w:rsid w:val="00863BCA"/>
    <w:rsid w:val="00864A11"/>
    <w:rsid w:val="00864BD2"/>
    <w:rsid w:val="00865917"/>
    <w:rsid w:val="00865C4D"/>
    <w:rsid w:val="00866360"/>
    <w:rsid w:val="0086704C"/>
    <w:rsid w:val="00867A67"/>
    <w:rsid w:val="00867B79"/>
    <w:rsid w:val="008703AD"/>
    <w:rsid w:val="00874BC3"/>
    <w:rsid w:val="00875497"/>
    <w:rsid w:val="00876379"/>
    <w:rsid w:val="008769A7"/>
    <w:rsid w:val="00876C1E"/>
    <w:rsid w:val="00877679"/>
    <w:rsid w:val="00880769"/>
    <w:rsid w:val="00880CB1"/>
    <w:rsid w:val="00882308"/>
    <w:rsid w:val="00883050"/>
    <w:rsid w:val="00883FB4"/>
    <w:rsid w:val="0088486C"/>
    <w:rsid w:val="00884A3E"/>
    <w:rsid w:val="00885E2E"/>
    <w:rsid w:val="00885FDC"/>
    <w:rsid w:val="0089236E"/>
    <w:rsid w:val="00892436"/>
    <w:rsid w:val="00895D26"/>
    <w:rsid w:val="00895D91"/>
    <w:rsid w:val="00896360"/>
    <w:rsid w:val="008970B3"/>
    <w:rsid w:val="00897488"/>
    <w:rsid w:val="00897650"/>
    <w:rsid w:val="00897735"/>
    <w:rsid w:val="008A0C9D"/>
    <w:rsid w:val="008A339B"/>
    <w:rsid w:val="008A3EDB"/>
    <w:rsid w:val="008A4E13"/>
    <w:rsid w:val="008A69CF"/>
    <w:rsid w:val="008A6BF5"/>
    <w:rsid w:val="008A6EEB"/>
    <w:rsid w:val="008A7E28"/>
    <w:rsid w:val="008B004E"/>
    <w:rsid w:val="008B175C"/>
    <w:rsid w:val="008B1897"/>
    <w:rsid w:val="008B1A35"/>
    <w:rsid w:val="008B3EB3"/>
    <w:rsid w:val="008B4050"/>
    <w:rsid w:val="008B47FA"/>
    <w:rsid w:val="008B49C2"/>
    <w:rsid w:val="008B4C3B"/>
    <w:rsid w:val="008B76C7"/>
    <w:rsid w:val="008B7715"/>
    <w:rsid w:val="008C0A28"/>
    <w:rsid w:val="008C0C03"/>
    <w:rsid w:val="008C194D"/>
    <w:rsid w:val="008C217A"/>
    <w:rsid w:val="008C2B3D"/>
    <w:rsid w:val="008C38A6"/>
    <w:rsid w:val="008C3DD9"/>
    <w:rsid w:val="008C5BFA"/>
    <w:rsid w:val="008C5F09"/>
    <w:rsid w:val="008C7506"/>
    <w:rsid w:val="008D1BAD"/>
    <w:rsid w:val="008D25BD"/>
    <w:rsid w:val="008D330C"/>
    <w:rsid w:val="008D397B"/>
    <w:rsid w:val="008D4B2E"/>
    <w:rsid w:val="008D4BA0"/>
    <w:rsid w:val="008D646C"/>
    <w:rsid w:val="008D6476"/>
    <w:rsid w:val="008D68C9"/>
    <w:rsid w:val="008D7AE1"/>
    <w:rsid w:val="008D7B2E"/>
    <w:rsid w:val="008E1E63"/>
    <w:rsid w:val="008E23DF"/>
    <w:rsid w:val="008E2A0B"/>
    <w:rsid w:val="008E2E08"/>
    <w:rsid w:val="008E2F00"/>
    <w:rsid w:val="008E436A"/>
    <w:rsid w:val="008E5662"/>
    <w:rsid w:val="008E5691"/>
    <w:rsid w:val="008E5A25"/>
    <w:rsid w:val="008E7696"/>
    <w:rsid w:val="008E78DC"/>
    <w:rsid w:val="008E7933"/>
    <w:rsid w:val="008F007C"/>
    <w:rsid w:val="008F00EC"/>
    <w:rsid w:val="008F0A7B"/>
    <w:rsid w:val="008F2271"/>
    <w:rsid w:val="008F245A"/>
    <w:rsid w:val="008F2722"/>
    <w:rsid w:val="008F324B"/>
    <w:rsid w:val="008F463D"/>
    <w:rsid w:val="008F48EC"/>
    <w:rsid w:val="008F54B6"/>
    <w:rsid w:val="008F55FF"/>
    <w:rsid w:val="008F5DD4"/>
    <w:rsid w:val="008F7BD8"/>
    <w:rsid w:val="00900CE7"/>
    <w:rsid w:val="00901283"/>
    <w:rsid w:val="00901970"/>
    <w:rsid w:val="009022E8"/>
    <w:rsid w:val="00902551"/>
    <w:rsid w:val="00904078"/>
    <w:rsid w:val="00905138"/>
    <w:rsid w:val="009052E4"/>
    <w:rsid w:val="0090585D"/>
    <w:rsid w:val="00907593"/>
    <w:rsid w:val="00910878"/>
    <w:rsid w:val="00910973"/>
    <w:rsid w:val="00910BC0"/>
    <w:rsid w:val="009124C2"/>
    <w:rsid w:val="009155C1"/>
    <w:rsid w:val="009168A1"/>
    <w:rsid w:val="00916CE2"/>
    <w:rsid w:val="00917F8B"/>
    <w:rsid w:val="009230D7"/>
    <w:rsid w:val="0092424D"/>
    <w:rsid w:val="0092427E"/>
    <w:rsid w:val="00925726"/>
    <w:rsid w:val="009257B6"/>
    <w:rsid w:val="009261A0"/>
    <w:rsid w:val="00926678"/>
    <w:rsid w:val="009266FF"/>
    <w:rsid w:val="009267C0"/>
    <w:rsid w:val="009275D6"/>
    <w:rsid w:val="00927B0C"/>
    <w:rsid w:val="00927FE5"/>
    <w:rsid w:val="0093013F"/>
    <w:rsid w:val="0093139E"/>
    <w:rsid w:val="00931C54"/>
    <w:rsid w:val="00931E00"/>
    <w:rsid w:val="00933F4E"/>
    <w:rsid w:val="00934192"/>
    <w:rsid w:val="00934326"/>
    <w:rsid w:val="00935793"/>
    <w:rsid w:val="00935829"/>
    <w:rsid w:val="00935D96"/>
    <w:rsid w:val="00936690"/>
    <w:rsid w:val="009401A4"/>
    <w:rsid w:val="00940231"/>
    <w:rsid w:val="009404A1"/>
    <w:rsid w:val="00940A63"/>
    <w:rsid w:val="0094220A"/>
    <w:rsid w:val="00942941"/>
    <w:rsid w:val="00942A3D"/>
    <w:rsid w:val="00943A2F"/>
    <w:rsid w:val="009449A8"/>
    <w:rsid w:val="00944AC7"/>
    <w:rsid w:val="009451D7"/>
    <w:rsid w:val="00945275"/>
    <w:rsid w:val="00945561"/>
    <w:rsid w:val="00945565"/>
    <w:rsid w:val="00945CAE"/>
    <w:rsid w:val="00946BC7"/>
    <w:rsid w:val="00946C2E"/>
    <w:rsid w:val="00946E16"/>
    <w:rsid w:val="00946EBE"/>
    <w:rsid w:val="00947C07"/>
    <w:rsid w:val="00951C56"/>
    <w:rsid w:val="009544E1"/>
    <w:rsid w:val="009554BA"/>
    <w:rsid w:val="00955594"/>
    <w:rsid w:val="00960284"/>
    <w:rsid w:val="00960482"/>
    <w:rsid w:val="0096142A"/>
    <w:rsid w:val="00962194"/>
    <w:rsid w:val="00962EF6"/>
    <w:rsid w:val="0096347C"/>
    <w:rsid w:val="00963F9B"/>
    <w:rsid w:val="00964985"/>
    <w:rsid w:val="009649A0"/>
    <w:rsid w:val="00965316"/>
    <w:rsid w:val="00965E67"/>
    <w:rsid w:val="009666A1"/>
    <w:rsid w:val="0096700A"/>
    <w:rsid w:val="00967208"/>
    <w:rsid w:val="00970AD2"/>
    <w:rsid w:val="00970E73"/>
    <w:rsid w:val="00970EB6"/>
    <w:rsid w:val="009715A8"/>
    <w:rsid w:val="0097160C"/>
    <w:rsid w:val="00971786"/>
    <w:rsid w:val="00971D13"/>
    <w:rsid w:val="00971FFB"/>
    <w:rsid w:val="00973566"/>
    <w:rsid w:val="00974173"/>
    <w:rsid w:val="00974548"/>
    <w:rsid w:val="00975415"/>
    <w:rsid w:val="00975943"/>
    <w:rsid w:val="00975D74"/>
    <w:rsid w:val="009764FB"/>
    <w:rsid w:val="00976D6B"/>
    <w:rsid w:val="00976D9F"/>
    <w:rsid w:val="009770AA"/>
    <w:rsid w:val="00977303"/>
    <w:rsid w:val="00980767"/>
    <w:rsid w:val="00981367"/>
    <w:rsid w:val="009864FA"/>
    <w:rsid w:val="00987E3D"/>
    <w:rsid w:val="009903F2"/>
    <w:rsid w:val="00990DEE"/>
    <w:rsid w:val="00991544"/>
    <w:rsid w:val="009915F1"/>
    <w:rsid w:val="009917FC"/>
    <w:rsid w:val="0099283B"/>
    <w:rsid w:val="00992C4E"/>
    <w:rsid w:val="00992CC6"/>
    <w:rsid w:val="00993178"/>
    <w:rsid w:val="00993961"/>
    <w:rsid w:val="00993A8A"/>
    <w:rsid w:val="00993B95"/>
    <w:rsid w:val="009940EB"/>
    <w:rsid w:val="009948A4"/>
    <w:rsid w:val="009951AF"/>
    <w:rsid w:val="009951B3"/>
    <w:rsid w:val="00995E5B"/>
    <w:rsid w:val="009963C4"/>
    <w:rsid w:val="00996E8E"/>
    <w:rsid w:val="009A075D"/>
    <w:rsid w:val="009A0E17"/>
    <w:rsid w:val="009A0E96"/>
    <w:rsid w:val="009A11EB"/>
    <w:rsid w:val="009A120A"/>
    <w:rsid w:val="009A23AF"/>
    <w:rsid w:val="009A2732"/>
    <w:rsid w:val="009A4B9E"/>
    <w:rsid w:val="009A52AA"/>
    <w:rsid w:val="009A571B"/>
    <w:rsid w:val="009A649A"/>
    <w:rsid w:val="009A6853"/>
    <w:rsid w:val="009A7064"/>
    <w:rsid w:val="009A76F3"/>
    <w:rsid w:val="009B01B1"/>
    <w:rsid w:val="009B0878"/>
    <w:rsid w:val="009B0DD2"/>
    <w:rsid w:val="009B1165"/>
    <w:rsid w:val="009B1A6B"/>
    <w:rsid w:val="009B1D53"/>
    <w:rsid w:val="009B22B4"/>
    <w:rsid w:val="009B303A"/>
    <w:rsid w:val="009B3B9D"/>
    <w:rsid w:val="009B4736"/>
    <w:rsid w:val="009B51F8"/>
    <w:rsid w:val="009B6188"/>
    <w:rsid w:val="009B622C"/>
    <w:rsid w:val="009B79A6"/>
    <w:rsid w:val="009B7A94"/>
    <w:rsid w:val="009C153D"/>
    <w:rsid w:val="009C55D2"/>
    <w:rsid w:val="009C5CB3"/>
    <w:rsid w:val="009C66A7"/>
    <w:rsid w:val="009C6EB1"/>
    <w:rsid w:val="009C6F8C"/>
    <w:rsid w:val="009C7BD4"/>
    <w:rsid w:val="009C7DDC"/>
    <w:rsid w:val="009D04A5"/>
    <w:rsid w:val="009D06AD"/>
    <w:rsid w:val="009D0DEA"/>
    <w:rsid w:val="009D1ED4"/>
    <w:rsid w:val="009D2864"/>
    <w:rsid w:val="009D2D19"/>
    <w:rsid w:val="009D2EA7"/>
    <w:rsid w:val="009D2EDF"/>
    <w:rsid w:val="009D39D9"/>
    <w:rsid w:val="009D3E5C"/>
    <w:rsid w:val="009D4083"/>
    <w:rsid w:val="009D421C"/>
    <w:rsid w:val="009D4588"/>
    <w:rsid w:val="009D4C40"/>
    <w:rsid w:val="009D5533"/>
    <w:rsid w:val="009D5EDD"/>
    <w:rsid w:val="009D6458"/>
    <w:rsid w:val="009D77EC"/>
    <w:rsid w:val="009D7A26"/>
    <w:rsid w:val="009E076B"/>
    <w:rsid w:val="009E07E5"/>
    <w:rsid w:val="009E205F"/>
    <w:rsid w:val="009E2B6A"/>
    <w:rsid w:val="009E2BEB"/>
    <w:rsid w:val="009E3B6A"/>
    <w:rsid w:val="009E3EFA"/>
    <w:rsid w:val="009E52E9"/>
    <w:rsid w:val="009E5332"/>
    <w:rsid w:val="009E5366"/>
    <w:rsid w:val="009E6200"/>
    <w:rsid w:val="009E6E7F"/>
    <w:rsid w:val="009F01FC"/>
    <w:rsid w:val="009F1BC7"/>
    <w:rsid w:val="009F26BC"/>
    <w:rsid w:val="009F2860"/>
    <w:rsid w:val="009F2F6B"/>
    <w:rsid w:val="009F330B"/>
    <w:rsid w:val="009F4505"/>
    <w:rsid w:val="009F5286"/>
    <w:rsid w:val="009F5E8F"/>
    <w:rsid w:val="009F6D16"/>
    <w:rsid w:val="00A00A39"/>
    <w:rsid w:val="00A011A7"/>
    <w:rsid w:val="00A01D97"/>
    <w:rsid w:val="00A025E5"/>
    <w:rsid w:val="00A04476"/>
    <w:rsid w:val="00A04F09"/>
    <w:rsid w:val="00A0525A"/>
    <w:rsid w:val="00A05743"/>
    <w:rsid w:val="00A05F74"/>
    <w:rsid w:val="00A11DE0"/>
    <w:rsid w:val="00A148CB"/>
    <w:rsid w:val="00A14CCE"/>
    <w:rsid w:val="00A14F45"/>
    <w:rsid w:val="00A15B7B"/>
    <w:rsid w:val="00A16000"/>
    <w:rsid w:val="00A16E34"/>
    <w:rsid w:val="00A17900"/>
    <w:rsid w:val="00A21305"/>
    <w:rsid w:val="00A21726"/>
    <w:rsid w:val="00A225CE"/>
    <w:rsid w:val="00A22803"/>
    <w:rsid w:val="00A22C2F"/>
    <w:rsid w:val="00A22D37"/>
    <w:rsid w:val="00A23C32"/>
    <w:rsid w:val="00A24083"/>
    <w:rsid w:val="00A24278"/>
    <w:rsid w:val="00A24AFE"/>
    <w:rsid w:val="00A256C0"/>
    <w:rsid w:val="00A25796"/>
    <w:rsid w:val="00A26590"/>
    <w:rsid w:val="00A27A3A"/>
    <w:rsid w:val="00A27FAD"/>
    <w:rsid w:val="00A30001"/>
    <w:rsid w:val="00A31B82"/>
    <w:rsid w:val="00A332D8"/>
    <w:rsid w:val="00A33970"/>
    <w:rsid w:val="00A34534"/>
    <w:rsid w:val="00A3522F"/>
    <w:rsid w:val="00A357C3"/>
    <w:rsid w:val="00A35BB7"/>
    <w:rsid w:val="00A36493"/>
    <w:rsid w:val="00A36BE8"/>
    <w:rsid w:val="00A37502"/>
    <w:rsid w:val="00A37912"/>
    <w:rsid w:val="00A40006"/>
    <w:rsid w:val="00A4015D"/>
    <w:rsid w:val="00A4177C"/>
    <w:rsid w:val="00A41E98"/>
    <w:rsid w:val="00A42B1F"/>
    <w:rsid w:val="00A42BE5"/>
    <w:rsid w:val="00A437BE"/>
    <w:rsid w:val="00A439E8"/>
    <w:rsid w:val="00A46A74"/>
    <w:rsid w:val="00A50476"/>
    <w:rsid w:val="00A516A3"/>
    <w:rsid w:val="00A5208E"/>
    <w:rsid w:val="00A5222E"/>
    <w:rsid w:val="00A540B4"/>
    <w:rsid w:val="00A54DFD"/>
    <w:rsid w:val="00A553E5"/>
    <w:rsid w:val="00A561E0"/>
    <w:rsid w:val="00A57269"/>
    <w:rsid w:val="00A57E6F"/>
    <w:rsid w:val="00A57F7A"/>
    <w:rsid w:val="00A60251"/>
    <w:rsid w:val="00A606E6"/>
    <w:rsid w:val="00A608D0"/>
    <w:rsid w:val="00A60FEF"/>
    <w:rsid w:val="00A61264"/>
    <w:rsid w:val="00A61326"/>
    <w:rsid w:val="00A61424"/>
    <w:rsid w:val="00A61C2A"/>
    <w:rsid w:val="00A62C9C"/>
    <w:rsid w:val="00A634A8"/>
    <w:rsid w:val="00A63C84"/>
    <w:rsid w:val="00A6554D"/>
    <w:rsid w:val="00A657BA"/>
    <w:rsid w:val="00A65E30"/>
    <w:rsid w:val="00A66750"/>
    <w:rsid w:val="00A67F97"/>
    <w:rsid w:val="00A7000C"/>
    <w:rsid w:val="00A70188"/>
    <w:rsid w:val="00A70290"/>
    <w:rsid w:val="00A707FB"/>
    <w:rsid w:val="00A70E74"/>
    <w:rsid w:val="00A70EBF"/>
    <w:rsid w:val="00A71949"/>
    <w:rsid w:val="00A72FEA"/>
    <w:rsid w:val="00A73D67"/>
    <w:rsid w:val="00A811BC"/>
    <w:rsid w:val="00A839ED"/>
    <w:rsid w:val="00A84635"/>
    <w:rsid w:val="00A853E0"/>
    <w:rsid w:val="00A85A25"/>
    <w:rsid w:val="00A86082"/>
    <w:rsid w:val="00A86EBD"/>
    <w:rsid w:val="00A87C54"/>
    <w:rsid w:val="00A9320D"/>
    <w:rsid w:val="00A95988"/>
    <w:rsid w:val="00A962D4"/>
    <w:rsid w:val="00AA1745"/>
    <w:rsid w:val="00AA2297"/>
    <w:rsid w:val="00AA2B25"/>
    <w:rsid w:val="00AA3CB1"/>
    <w:rsid w:val="00AA41B3"/>
    <w:rsid w:val="00AA430E"/>
    <w:rsid w:val="00AA53DF"/>
    <w:rsid w:val="00AA6737"/>
    <w:rsid w:val="00AB059E"/>
    <w:rsid w:val="00AB0A25"/>
    <w:rsid w:val="00AB13B5"/>
    <w:rsid w:val="00AB2241"/>
    <w:rsid w:val="00AB29C7"/>
    <w:rsid w:val="00AB3278"/>
    <w:rsid w:val="00AB406F"/>
    <w:rsid w:val="00AB48FF"/>
    <w:rsid w:val="00AB5C02"/>
    <w:rsid w:val="00AB6056"/>
    <w:rsid w:val="00AB613F"/>
    <w:rsid w:val="00AB72E3"/>
    <w:rsid w:val="00AB75FD"/>
    <w:rsid w:val="00AB78A0"/>
    <w:rsid w:val="00AC0182"/>
    <w:rsid w:val="00AC01AD"/>
    <w:rsid w:val="00AC027F"/>
    <w:rsid w:val="00AC150C"/>
    <w:rsid w:val="00AC24C1"/>
    <w:rsid w:val="00AC2B6F"/>
    <w:rsid w:val="00AC4902"/>
    <w:rsid w:val="00AC4A5D"/>
    <w:rsid w:val="00AC4E26"/>
    <w:rsid w:val="00AC54A0"/>
    <w:rsid w:val="00AC7F2C"/>
    <w:rsid w:val="00AD1176"/>
    <w:rsid w:val="00AD1C93"/>
    <w:rsid w:val="00AD24B1"/>
    <w:rsid w:val="00AD31E9"/>
    <w:rsid w:val="00AD45DA"/>
    <w:rsid w:val="00AD6398"/>
    <w:rsid w:val="00AD77D8"/>
    <w:rsid w:val="00AE06A7"/>
    <w:rsid w:val="00AE0AF8"/>
    <w:rsid w:val="00AE3544"/>
    <w:rsid w:val="00AE41B2"/>
    <w:rsid w:val="00AE4B55"/>
    <w:rsid w:val="00AE5DF6"/>
    <w:rsid w:val="00AE6283"/>
    <w:rsid w:val="00AE64BB"/>
    <w:rsid w:val="00AE7569"/>
    <w:rsid w:val="00AE7886"/>
    <w:rsid w:val="00AF010E"/>
    <w:rsid w:val="00AF0804"/>
    <w:rsid w:val="00AF0C13"/>
    <w:rsid w:val="00AF26C1"/>
    <w:rsid w:val="00AF301F"/>
    <w:rsid w:val="00AF3515"/>
    <w:rsid w:val="00AF353E"/>
    <w:rsid w:val="00AF42B6"/>
    <w:rsid w:val="00AF69B3"/>
    <w:rsid w:val="00AF6EDD"/>
    <w:rsid w:val="00AF7644"/>
    <w:rsid w:val="00B00CAA"/>
    <w:rsid w:val="00B01424"/>
    <w:rsid w:val="00B02E90"/>
    <w:rsid w:val="00B03181"/>
    <w:rsid w:val="00B03F91"/>
    <w:rsid w:val="00B04032"/>
    <w:rsid w:val="00B048E8"/>
    <w:rsid w:val="00B05581"/>
    <w:rsid w:val="00B057CC"/>
    <w:rsid w:val="00B072A8"/>
    <w:rsid w:val="00B07E0C"/>
    <w:rsid w:val="00B10353"/>
    <w:rsid w:val="00B11D6B"/>
    <w:rsid w:val="00B1446A"/>
    <w:rsid w:val="00B14DED"/>
    <w:rsid w:val="00B15B04"/>
    <w:rsid w:val="00B161B1"/>
    <w:rsid w:val="00B16B27"/>
    <w:rsid w:val="00B176F6"/>
    <w:rsid w:val="00B206B0"/>
    <w:rsid w:val="00B20BD4"/>
    <w:rsid w:val="00B216AB"/>
    <w:rsid w:val="00B222B7"/>
    <w:rsid w:val="00B23DEB"/>
    <w:rsid w:val="00B23FAD"/>
    <w:rsid w:val="00B24CDF"/>
    <w:rsid w:val="00B2503D"/>
    <w:rsid w:val="00B2528F"/>
    <w:rsid w:val="00B26F6E"/>
    <w:rsid w:val="00B27CA6"/>
    <w:rsid w:val="00B27CCF"/>
    <w:rsid w:val="00B27F26"/>
    <w:rsid w:val="00B3081D"/>
    <w:rsid w:val="00B31F04"/>
    <w:rsid w:val="00B32336"/>
    <w:rsid w:val="00B3298F"/>
    <w:rsid w:val="00B32C18"/>
    <w:rsid w:val="00B33CA5"/>
    <w:rsid w:val="00B33F06"/>
    <w:rsid w:val="00B34C69"/>
    <w:rsid w:val="00B352C7"/>
    <w:rsid w:val="00B36ACB"/>
    <w:rsid w:val="00B36BEC"/>
    <w:rsid w:val="00B37B40"/>
    <w:rsid w:val="00B37B9D"/>
    <w:rsid w:val="00B41163"/>
    <w:rsid w:val="00B41683"/>
    <w:rsid w:val="00B42741"/>
    <w:rsid w:val="00B42EF6"/>
    <w:rsid w:val="00B43D49"/>
    <w:rsid w:val="00B44CDE"/>
    <w:rsid w:val="00B46598"/>
    <w:rsid w:val="00B465AA"/>
    <w:rsid w:val="00B465E7"/>
    <w:rsid w:val="00B50A09"/>
    <w:rsid w:val="00B515FB"/>
    <w:rsid w:val="00B52F22"/>
    <w:rsid w:val="00B547F2"/>
    <w:rsid w:val="00B54BD0"/>
    <w:rsid w:val="00B550FF"/>
    <w:rsid w:val="00B55247"/>
    <w:rsid w:val="00B55EEE"/>
    <w:rsid w:val="00B607FB"/>
    <w:rsid w:val="00B6102E"/>
    <w:rsid w:val="00B62F22"/>
    <w:rsid w:val="00B6462E"/>
    <w:rsid w:val="00B66A26"/>
    <w:rsid w:val="00B66C45"/>
    <w:rsid w:val="00B675B8"/>
    <w:rsid w:val="00B717C8"/>
    <w:rsid w:val="00B75D20"/>
    <w:rsid w:val="00B77038"/>
    <w:rsid w:val="00B77CFD"/>
    <w:rsid w:val="00B77FA1"/>
    <w:rsid w:val="00B80D0A"/>
    <w:rsid w:val="00B8136E"/>
    <w:rsid w:val="00B8225E"/>
    <w:rsid w:val="00B8345C"/>
    <w:rsid w:val="00B83B3B"/>
    <w:rsid w:val="00B83C80"/>
    <w:rsid w:val="00B849A1"/>
    <w:rsid w:val="00B8614C"/>
    <w:rsid w:val="00B8630C"/>
    <w:rsid w:val="00B86C19"/>
    <w:rsid w:val="00B91B41"/>
    <w:rsid w:val="00B92A10"/>
    <w:rsid w:val="00B92B9A"/>
    <w:rsid w:val="00B93C4C"/>
    <w:rsid w:val="00B94217"/>
    <w:rsid w:val="00B94E0D"/>
    <w:rsid w:val="00B94FBD"/>
    <w:rsid w:val="00B950A6"/>
    <w:rsid w:val="00B956E9"/>
    <w:rsid w:val="00B95EEB"/>
    <w:rsid w:val="00B9600E"/>
    <w:rsid w:val="00B97004"/>
    <w:rsid w:val="00B97983"/>
    <w:rsid w:val="00BA0A6D"/>
    <w:rsid w:val="00BA0AA5"/>
    <w:rsid w:val="00BA1CC4"/>
    <w:rsid w:val="00BA31EE"/>
    <w:rsid w:val="00BA40AB"/>
    <w:rsid w:val="00BA41EE"/>
    <w:rsid w:val="00BA53C9"/>
    <w:rsid w:val="00BA58C0"/>
    <w:rsid w:val="00BA5AC2"/>
    <w:rsid w:val="00BA6CDA"/>
    <w:rsid w:val="00BA6E4D"/>
    <w:rsid w:val="00BA7196"/>
    <w:rsid w:val="00BA7AA5"/>
    <w:rsid w:val="00BB1D43"/>
    <w:rsid w:val="00BB2DA6"/>
    <w:rsid w:val="00BB34F2"/>
    <w:rsid w:val="00BB4D4D"/>
    <w:rsid w:val="00BB6085"/>
    <w:rsid w:val="00BB61A5"/>
    <w:rsid w:val="00BB74E9"/>
    <w:rsid w:val="00BB7AFF"/>
    <w:rsid w:val="00BC0385"/>
    <w:rsid w:val="00BC076B"/>
    <w:rsid w:val="00BC1201"/>
    <w:rsid w:val="00BC213D"/>
    <w:rsid w:val="00BC7264"/>
    <w:rsid w:val="00BC731A"/>
    <w:rsid w:val="00BD422E"/>
    <w:rsid w:val="00BD5C0C"/>
    <w:rsid w:val="00BD5DF1"/>
    <w:rsid w:val="00BD6934"/>
    <w:rsid w:val="00BD708E"/>
    <w:rsid w:val="00BE0D4E"/>
    <w:rsid w:val="00BE2474"/>
    <w:rsid w:val="00BE25CD"/>
    <w:rsid w:val="00BE38FF"/>
    <w:rsid w:val="00BE3BB9"/>
    <w:rsid w:val="00BE46EB"/>
    <w:rsid w:val="00BE5727"/>
    <w:rsid w:val="00BE5FE1"/>
    <w:rsid w:val="00BE656D"/>
    <w:rsid w:val="00BE69DF"/>
    <w:rsid w:val="00BE6D91"/>
    <w:rsid w:val="00BE7517"/>
    <w:rsid w:val="00BE7AAD"/>
    <w:rsid w:val="00BE7B79"/>
    <w:rsid w:val="00BF0660"/>
    <w:rsid w:val="00BF0AE5"/>
    <w:rsid w:val="00BF1CE7"/>
    <w:rsid w:val="00BF5C1B"/>
    <w:rsid w:val="00BF7E80"/>
    <w:rsid w:val="00C010BB"/>
    <w:rsid w:val="00C02276"/>
    <w:rsid w:val="00C02A93"/>
    <w:rsid w:val="00C04813"/>
    <w:rsid w:val="00C062CF"/>
    <w:rsid w:val="00C10091"/>
    <w:rsid w:val="00C10655"/>
    <w:rsid w:val="00C10687"/>
    <w:rsid w:val="00C121AE"/>
    <w:rsid w:val="00C122FC"/>
    <w:rsid w:val="00C1261B"/>
    <w:rsid w:val="00C14982"/>
    <w:rsid w:val="00C15DF1"/>
    <w:rsid w:val="00C15E1F"/>
    <w:rsid w:val="00C20DC7"/>
    <w:rsid w:val="00C228EA"/>
    <w:rsid w:val="00C22C45"/>
    <w:rsid w:val="00C24170"/>
    <w:rsid w:val="00C244A2"/>
    <w:rsid w:val="00C25690"/>
    <w:rsid w:val="00C26B59"/>
    <w:rsid w:val="00C27D0E"/>
    <w:rsid w:val="00C311FA"/>
    <w:rsid w:val="00C31861"/>
    <w:rsid w:val="00C32837"/>
    <w:rsid w:val="00C337B1"/>
    <w:rsid w:val="00C33C70"/>
    <w:rsid w:val="00C35486"/>
    <w:rsid w:val="00C356F3"/>
    <w:rsid w:val="00C358AC"/>
    <w:rsid w:val="00C35A15"/>
    <w:rsid w:val="00C35A65"/>
    <w:rsid w:val="00C3668E"/>
    <w:rsid w:val="00C37131"/>
    <w:rsid w:val="00C379B2"/>
    <w:rsid w:val="00C42E33"/>
    <w:rsid w:val="00C43E67"/>
    <w:rsid w:val="00C4476A"/>
    <w:rsid w:val="00C448F5"/>
    <w:rsid w:val="00C458F9"/>
    <w:rsid w:val="00C4619D"/>
    <w:rsid w:val="00C468B8"/>
    <w:rsid w:val="00C46B01"/>
    <w:rsid w:val="00C47783"/>
    <w:rsid w:val="00C512FD"/>
    <w:rsid w:val="00C51C90"/>
    <w:rsid w:val="00C530D8"/>
    <w:rsid w:val="00C546C1"/>
    <w:rsid w:val="00C56A01"/>
    <w:rsid w:val="00C575B0"/>
    <w:rsid w:val="00C579D9"/>
    <w:rsid w:val="00C606B4"/>
    <w:rsid w:val="00C607AF"/>
    <w:rsid w:val="00C60A36"/>
    <w:rsid w:val="00C60ACA"/>
    <w:rsid w:val="00C60D95"/>
    <w:rsid w:val="00C60FF3"/>
    <w:rsid w:val="00C631F1"/>
    <w:rsid w:val="00C661CA"/>
    <w:rsid w:val="00C66286"/>
    <w:rsid w:val="00C66B7C"/>
    <w:rsid w:val="00C66E92"/>
    <w:rsid w:val="00C72C2F"/>
    <w:rsid w:val="00C72D05"/>
    <w:rsid w:val="00C743D1"/>
    <w:rsid w:val="00C74FAD"/>
    <w:rsid w:val="00C75908"/>
    <w:rsid w:val="00C75E3D"/>
    <w:rsid w:val="00C763D2"/>
    <w:rsid w:val="00C775F3"/>
    <w:rsid w:val="00C779FE"/>
    <w:rsid w:val="00C80FDF"/>
    <w:rsid w:val="00C82663"/>
    <w:rsid w:val="00C82E43"/>
    <w:rsid w:val="00C82EC2"/>
    <w:rsid w:val="00C846D3"/>
    <w:rsid w:val="00C84833"/>
    <w:rsid w:val="00C84965"/>
    <w:rsid w:val="00C84B71"/>
    <w:rsid w:val="00C84E10"/>
    <w:rsid w:val="00C85399"/>
    <w:rsid w:val="00C85644"/>
    <w:rsid w:val="00C862AD"/>
    <w:rsid w:val="00C863EC"/>
    <w:rsid w:val="00C86461"/>
    <w:rsid w:val="00C86EFB"/>
    <w:rsid w:val="00C8719E"/>
    <w:rsid w:val="00C87A39"/>
    <w:rsid w:val="00C87CF4"/>
    <w:rsid w:val="00C91DA5"/>
    <w:rsid w:val="00C92076"/>
    <w:rsid w:val="00C92179"/>
    <w:rsid w:val="00C9308B"/>
    <w:rsid w:val="00C933D0"/>
    <w:rsid w:val="00C95583"/>
    <w:rsid w:val="00C95832"/>
    <w:rsid w:val="00C97533"/>
    <w:rsid w:val="00C976DC"/>
    <w:rsid w:val="00CA11D6"/>
    <w:rsid w:val="00CA20A7"/>
    <w:rsid w:val="00CA2474"/>
    <w:rsid w:val="00CA2587"/>
    <w:rsid w:val="00CA3958"/>
    <w:rsid w:val="00CA3E9F"/>
    <w:rsid w:val="00CA4375"/>
    <w:rsid w:val="00CA46BD"/>
    <w:rsid w:val="00CA6223"/>
    <w:rsid w:val="00CA646A"/>
    <w:rsid w:val="00CA6A17"/>
    <w:rsid w:val="00CB06E5"/>
    <w:rsid w:val="00CB093D"/>
    <w:rsid w:val="00CB1276"/>
    <w:rsid w:val="00CB156F"/>
    <w:rsid w:val="00CB15B9"/>
    <w:rsid w:val="00CB1FA5"/>
    <w:rsid w:val="00CB2DA7"/>
    <w:rsid w:val="00CB2E9C"/>
    <w:rsid w:val="00CB3198"/>
    <w:rsid w:val="00CB3546"/>
    <w:rsid w:val="00CB3BCF"/>
    <w:rsid w:val="00CB4600"/>
    <w:rsid w:val="00CB48C9"/>
    <w:rsid w:val="00CB5456"/>
    <w:rsid w:val="00CB6D89"/>
    <w:rsid w:val="00CB6DAB"/>
    <w:rsid w:val="00CB7548"/>
    <w:rsid w:val="00CB764A"/>
    <w:rsid w:val="00CC0950"/>
    <w:rsid w:val="00CC1664"/>
    <w:rsid w:val="00CC1A41"/>
    <w:rsid w:val="00CC2D45"/>
    <w:rsid w:val="00CC33D2"/>
    <w:rsid w:val="00CC3ED7"/>
    <w:rsid w:val="00CC5703"/>
    <w:rsid w:val="00CC5BCC"/>
    <w:rsid w:val="00CC6350"/>
    <w:rsid w:val="00CC64AB"/>
    <w:rsid w:val="00CC6BF6"/>
    <w:rsid w:val="00CC7414"/>
    <w:rsid w:val="00CC7D64"/>
    <w:rsid w:val="00CD0DF9"/>
    <w:rsid w:val="00CD11A9"/>
    <w:rsid w:val="00CD28EA"/>
    <w:rsid w:val="00CD2BDE"/>
    <w:rsid w:val="00CD31A9"/>
    <w:rsid w:val="00CD5466"/>
    <w:rsid w:val="00CD59C5"/>
    <w:rsid w:val="00CD6262"/>
    <w:rsid w:val="00CD6D3F"/>
    <w:rsid w:val="00CD7778"/>
    <w:rsid w:val="00CD7AFF"/>
    <w:rsid w:val="00CE2C3A"/>
    <w:rsid w:val="00CE3136"/>
    <w:rsid w:val="00CE34BB"/>
    <w:rsid w:val="00CE4330"/>
    <w:rsid w:val="00CE4490"/>
    <w:rsid w:val="00CE4F16"/>
    <w:rsid w:val="00CE64CC"/>
    <w:rsid w:val="00CE695F"/>
    <w:rsid w:val="00CF00E1"/>
    <w:rsid w:val="00CF18CA"/>
    <w:rsid w:val="00CF1E90"/>
    <w:rsid w:val="00CF2A36"/>
    <w:rsid w:val="00CF2D13"/>
    <w:rsid w:val="00CF3856"/>
    <w:rsid w:val="00CF3DB4"/>
    <w:rsid w:val="00CF5A99"/>
    <w:rsid w:val="00CF6C90"/>
    <w:rsid w:val="00CF7DC9"/>
    <w:rsid w:val="00D01749"/>
    <w:rsid w:val="00D01A18"/>
    <w:rsid w:val="00D01BD4"/>
    <w:rsid w:val="00D02470"/>
    <w:rsid w:val="00D02677"/>
    <w:rsid w:val="00D02D37"/>
    <w:rsid w:val="00D03156"/>
    <w:rsid w:val="00D03237"/>
    <w:rsid w:val="00D0459C"/>
    <w:rsid w:val="00D04CB0"/>
    <w:rsid w:val="00D0545B"/>
    <w:rsid w:val="00D0711D"/>
    <w:rsid w:val="00D101BB"/>
    <w:rsid w:val="00D10E19"/>
    <w:rsid w:val="00D12298"/>
    <w:rsid w:val="00D12764"/>
    <w:rsid w:val="00D12D21"/>
    <w:rsid w:val="00D14653"/>
    <w:rsid w:val="00D22342"/>
    <w:rsid w:val="00D22F9B"/>
    <w:rsid w:val="00D2345B"/>
    <w:rsid w:val="00D237C4"/>
    <w:rsid w:val="00D238CB"/>
    <w:rsid w:val="00D24BF9"/>
    <w:rsid w:val="00D24FC6"/>
    <w:rsid w:val="00D25BEC"/>
    <w:rsid w:val="00D25CD5"/>
    <w:rsid w:val="00D26774"/>
    <w:rsid w:val="00D27008"/>
    <w:rsid w:val="00D27055"/>
    <w:rsid w:val="00D277C5"/>
    <w:rsid w:val="00D277CA"/>
    <w:rsid w:val="00D27EDD"/>
    <w:rsid w:val="00D31278"/>
    <w:rsid w:val="00D32A7B"/>
    <w:rsid w:val="00D348E7"/>
    <w:rsid w:val="00D36A46"/>
    <w:rsid w:val="00D37212"/>
    <w:rsid w:val="00D37FE8"/>
    <w:rsid w:val="00D40257"/>
    <w:rsid w:val="00D405D3"/>
    <w:rsid w:val="00D42823"/>
    <w:rsid w:val="00D43264"/>
    <w:rsid w:val="00D45BB3"/>
    <w:rsid w:val="00D46557"/>
    <w:rsid w:val="00D468DF"/>
    <w:rsid w:val="00D471E6"/>
    <w:rsid w:val="00D47251"/>
    <w:rsid w:val="00D4734F"/>
    <w:rsid w:val="00D47800"/>
    <w:rsid w:val="00D47B07"/>
    <w:rsid w:val="00D50454"/>
    <w:rsid w:val="00D510D8"/>
    <w:rsid w:val="00D51458"/>
    <w:rsid w:val="00D5263C"/>
    <w:rsid w:val="00D5599B"/>
    <w:rsid w:val="00D565C1"/>
    <w:rsid w:val="00D56A98"/>
    <w:rsid w:val="00D56FCA"/>
    <w:rsid w:val="00D6037A"/>
    <w:rsid w:val="00D60DFF"/>
    <w:rsid w:val="00D613C8"/>
    <w:rsid w:val="00D61926"/>
    <w:rsid w:val="00D61F74"/>
    <w:rsid w:val="00D633D3"/>
    <w:rsid w:val="00D634B6"/>
    <w:rsid w:val="00D64762"/>
    <w:rsid w:val="00D64B6A"/>
    <w:rsid w:val="00D651EC"/>
    <w:rsid w:val="00D65FC1"/>
    <w:rsid w:val="00D660FD"/>
    <w:rsid w:val="00D66FE2"/>
    <w:rsid w:val="00D71A31"/>
    <w:rsid w:val="00D71BA2"/>
    <w:rsid w:val="00D7250F"/>
    <w:rsid w:val="00D73C55"/>
    <w:rsid w:val="00D74BA8"/>
    <w:rsid w:val="00D80B11"/>
    <w:rsid w:val="00D81437"/>
    <w:rsid w:val="00D825A4"/>
    <w:rsid w:val="00D838F5"/>
    <w:rsid w:val="00D83FBD"/>
    <w:rsid w:val="00D850C9"/>
    <w:rsid w:val="00D85178"/>
    <w:rsid w:val="00D85C7F"/>
    <w:rsid w:val="00D85CB2"/>
    <w:rsid w:val="00D85EE3"/>
    <w:rsid w:val="00D86DC7"/>
    <w:rsid w:val="00D87314"/>
    <w:rsid w:val="00D91D07"/>
    <w:rsid w:val="00D924B9"/>
    <w:rsid w:val="00D92A45"/>
    <w:rsid w:val="00D936CF"/>
    <w:rsid w:val="00D93A54"/>
    <w:rsid w:val="00D93B67"/>
    <w:rsid w:val="00D93CE8"/>
    <w:rsid w:val="00D9491B"/>
    <w:rsid w:val="00D952A1"/>
    <w:rsid w:val="00D96840"/>
    <w:rsid w:val="00D96DE3"/>
    <w:rsid w:val="00D97C78"/>
    <w:rsid w:val="00D97D31"/>
    <w:rsid w:val="00DA1950"/>
    <w:rsid w:val="00DA214C"/>
    <w:rsid w:val="00DA24CE"/>
    <w:rsid w:val="00DA6090"/>
    <w:rsid w:val="00DA7475"/>
    <w:rsid w:val="00DA7A6C"/>
    <w:rsid w:val="00DA7E3D"/>
    <w:rsid w:val="00DB09FA"/>
    <w:rsid w:val="00DB0B00"/>
    <w:rsid w:val="00DB104D"/>
    <w:rsid w:val="00DB158F"/>
    <w:rsid w:val="00DB2AE5"/>
    <w:rsid w:val="00DB360D"/>
    <w:rsid w:val="00DB37AC"/>
    <w:rsid w:val="00DB47F5"/>
    <w:rsid w:val="00DB5F82"/>
    <w:rsid w:val="00DB63AE"/>
    <w:rsid w:val="00DB75B9"/>
    <w:rsid w:val="00DC3332"/>
    <w:rsid w:val="00DC3DBD"/>
    <w:rsid w:val="00DC534A"/>
    <w:rsid w:val="00DC5579"/>
    <w:rsid w:val="00DC575D"/>
    <w:rsid w:val="00DC5D71"/>
    <w:rsid w:val="00DC6420"/>
    <w:rsid w:val="00DC7205"/>
    <w:rsid w:val="00DC7F78"/>
    <w:rsid w:val="00DD02C9"/>
    <w:rsid w:val="00DD16F7"/>
    <w:rsid w:val="00DD2420"/>
    <w:rsid w:val="00DD30CE"/>
    <w:rsid w:val="00DD372B"/>
    <w:rsid w:val="00DD3963"/>
    <w:rsid w:val="00DD4011"/>
    <w:rsid w:val="00DD44A9"/>
    <w:rsid w:val="00DD4756"/>
    <w:rsid w:val="00DD5470"/>
    <w:rsid w:val="00DD78FA"/>
    <w:rsid w:val="00DD7F48"/>
    <w:rsid w:val="00DE0889"/>
    <w:rsid w:val="00DE147A"/>
    <w:rsid w:val="00DE41AB"/>
    <w:rsid w:val="00DE4AB4"/>
    <w:rsid w:val="00DE4E9B"/>
    <w:rsid w:val="00DE5294"/>
    <w:rsid w:val="00DE620F"/>
    <w:rsid w:val="00DE665D"/>
    <w:rsid w:val="00DE7C6E"/>
    <w:rsid w:val="00DF2225"/>
    <w:rsid w:val="00DF270B"/>
    <w:rsid w:val="00DF343C"/>
    <w:rsid w:val="00DF3BD3"/>
    <w:rsid w:val="00DF3F65"/>
    <w:rsid w:val="00E008AD"/>
    <w:rsid w:val="00E00B08"/>
    <w:rsid w:val="00E01E3D"/>
    <w:rsid w:val="00E02E87"/>
    <w:rsid w:val="00E02F27"/>
    <w:rsid w:val="00E032C6"/>
    <w:rsid w:val="00E03CBD"/>
    <w:rsid w:val="00E040D0"/>
    <w:rsid w:val="00E0491D"/>
    <w:rsid w:val="00E04BFD"/>
    <w:rsid w:val="00E052BC"/>
    <w:rsid w:val="00E05DC3"/>
    <w:rsid w:val="00E06A78"/>
    <w:rsid w:val="00E07DD0"/>
    <w:rsid w:val="00E104BC"/>
    <w:rsid w:val="00E1157A"/>
    <w:rsid w:val="00E13588"/>
    <w:rsid w:val="00E13A4F"/>
    <w:rsid w:val="00E13C54"/>
    <w:rsid w:val="00E13CE3"/>
    <w:rsid w:val="00E1415F"/>
    <w:rsid w:val="00E1455A"/>
    <w:rsid w:val="00E14866"/>
    <w:rsid w:val="00E14D23"/>
    <w:rsid w:val="00E15940"/>
    <w:rsid w:val="00E15ADA"/>
    <w:rsid w:val="00E16FFE"/>
    <w:rsid w:val="00E170E4"/>
    <w:rsid w:val="00E1796B"/>
    <w:rsid w:val="00E2048E"/>
    <w:rsid w:val="00E20897"/>
    <w:rsid w:val="00E21494"/>
    <w:rsid w:val="00E22FB9"/>
    <w:rsid w:val="00E236EA"/>
    <w:rsid w:val="00E242C6"/>
    <w:rsid w:val="00E265CC"/>
    <w:rsid w:val="00E27EE3"/>
    <w:rsid w:val="00E300F3"/>
    <w:rsid w:val="00E318FF"/>
    <w:rsid w:val="00E33562"/>
    <w:rsid w:val="00E34BB6"/>
    <w:rsid w:val="00E3689E"/>
    <w:rsid w:val="00E36C12"/>
    <w:rsid w:val="00E4183D"/>
    <w:rsid w:val="00E437EA"/>
    <w:rsid w:val="00E4449C"/>
    <w:rsid w:val="00E464B7"/>
    <w:rsid w:val="00E52C2B"/>
    <w:rsid w:val="00E53210"/>
    <w:rsid w:val="00E551E0"/>
    <w:rsid w:val="00E55271"/>
    <w:rsid w:val="00E552B1"/>
    <w:rsid w:val="00E55447"/>
    <w:rsid w:val="00E56CF0"/>
    <w:rsid w:val="00E578ED"/>
    <w:rsid w:val="00E6010F"/>
    <w:rsid w:val="00E6091A"/>
    <w:rsid w:val="00E61309"/>
    <w:rsid w:val="00E63BFB"/>
    <w:rsid w:val="00E6425E"/>
    <w:rsid w:val="00E64DAA"/>
    <w:rsid w:val="00E651D3"/>
    <w:rsid w:val="00E65704"/>
    <w:rsid w:val="00E67D67"/>
    <w:rsid w:val="00E703C3"/>
    <w:rsid w:val="00E724E3"/>
    <w:rsid w:val="00E725D2"/>
    <w:rsid w:val="00E72633"/>
    <w:rsid w:val="00E73D95"/>
    <w:rsid w:val="00E74C55"/>
    <w:rsid w:val="00E755FA"/>
    <w:rsid w:val="00E75F75"/>
    <w:rsid w:val="00E7649D"/>
    <w:rsid w:val="00E76809"/>
    <w:rsid w:val="00E77371"/>
    <w:rsid w:val="00E82AC2"/>
    <w:rsid w:val="00E836DB"/>
    <w:rsid w:val="00E84509"/>
    <w:rsid w:val="00E846F6"/>
    <w:rsid w:val="00E8521C"/>
    <w:rsid w:val="00E854F9"/>
    <w:rsid w:val="00E86558"/>
    <w:rsid w:val="00E905C5"/>
    <w:rsid w:val="00E908BA"/>
    <w:rsid w:val="00E910FD"/>
    <w:rsid w:val="00E9212F"/>
    <w:rsid w:val="00E92609"/>
    <w:rsid w:val="00E9376B"/>
    <w:rsid w:val="00E93E37"/>
    <w:rsid w:val="00E94ABE"/>
    <w:rsid w:val="00E953D2"/>
    <w:rsid w:val="00E954E6"/>
    <w:rsid w:val="00E955B8"/>
    <w:rsid w:val="00E95827"/>
    <w:rsid w:val="00E95A1F"/>
    <w:rsid w:val="00EA018E"/>
    <w:rsid w:val="00EA0605"/>
    <w:rsid w:val="00EA297E"/>
    <w:rsid w:val="00EA373A"/>
    <w:rsid w:val="00EA4A01"/>
    <w:rsid w:val="00EA50C7"/>
    <w:rsid w:val="00EA5907"/>
    <w:rsid w:val="00EA5B6F"/>
    <w:rsid w:val="00EA5C44"/>
    <w:rsid w:val="00EA78FA"/>
    <w:rsid w:val="00EB067F"/>
    <w:rsid w:val="00EB17D9"/>
    <w:rsid w:val="00EB2462"/>
    <w:rsid w:val="00EB25AF"/>
    <w:rsid w:val="00EB3285"/>
    <w:rsid w:val="00EB5A9D"/>
    <w:rsid w:val="00EC06E9"/>
    <w:rsid w:val="00EC0971"/>
    <w:rsid w:val="00EC11BA"/>
    <w:rsid w:val="00EC131A"/>
    <w:rsid w:val="00EC262F"/>
    <w:rsid w:val="00EC3DC4"/>
    <w:rsid w:val="00EC3EA5"/>
    <w:rsid w:val="00EC42B1"/>
    <w:rsid w:val="00EC51BD"/>
    <w:rsid w:val="00EC53C5"/>
    <w:rsid w:val="00EC57F6"/>
    <w:rsid w:val="00EC6DC0"/>
    <w:rsid w:val="00ED02A0"/>
    <w:rsid w:val="00ED0E90"/>
    <w:rsid w:val="00ED221E"/>
    <w:rsid w:val="00ED4057"/>
    <w:rsid w:val="00ED4CCA"/>
    <w:rsid w:val="00ED54C5"/>
    <w:rsid w:val="00ED68FB"/>
    <w:rsid w:val="00ED7299"/>
    <w:rsid w:val="00EE0761"/>
    <w:rsid w:val="00EE186F"/>
    <w:rsid w:val="00EE39FE"/>
    <w:rsid w:val="00EE4E29"/>
    <w:rsid w:val="00EE56A7"/>
    <w:rsid w:val="00EE5E8D"/>
    <w:rsid w:val="00EE79B9"/>
    <w:rsid w:val="00EF01D1"/>
    <w:rsid w:val="00EF14AD"/>
    <w:rsid w:val="00EF2900"/>
    <w:rsid w:val="00EF3340"/>
    <w:rsid w:val="00EF33C2"/>
    <w:rsid w:val="00EF34A4"/>
    <w:rsid w:val="00EF401B"/>
    <w:rsid w:val="00EF4A04"/>
    <w:rsid w:val="00EF55C0"/>
    <w:rsid w:val="00EF561D"/>
    <w:rsid w:val="00EF5D5B"/>
    <w:rsid w:val="00EF5EFA"/>
    <w:rsid w:val="00EF6FD4"/>
    <w:rsid w:val="00EF7410"/>
    <w:rsid w:val="00EF7DE2"/>
    <w:rsid w:val="00F00147"/>
    <w:rsid w:val="00F00977"/>
    <w:rsid w:val="00F0256F"/>
    <w:rsid w:val="00F03BCD"/>
    <w:rsid w:val="00F03CEE"/>
    <w:rsid w:val="00F0426F"/>
    <w:rsid w:val="00F04954"/>
    <w:rsid w:val="00F05226"/>
    <w:rsid w:val="00F0548E"/>
    <w:rsid w:val="00F1140F"/>
    <w:rsid w:val="00F12250"/>
    <w:rsid w:val="00F12EDE"/>
    <w:rsid w:val="00F16074"/>
    <w:rsid w:val="00F1767D"/>
    <w:rsid w:val="00F2100F"/>
    <w:rsid w:val="00F2156E"/>
    <w:rsid w:val="00F22398"/>
    <w:rsid w:val="00F228CE"/>
    <w:rsid w:val="00F231EB"/>
    <w:rsid w:val="00F23DD5"/>
    <w:rsid w:val="00F23E18"/>
    <w:rsid w:val="00F24CCC"/>
    <w:rsid w:val="00F25176"/>
    <w:rsid w:val="00F255AC"/>
    <w:rsid w:val="00F259B8"/>
    <w:rsid w:val="00F25FDF"/>
    <w:rsid w:val="00F26B06"/>
    <w:rsid w:val="00F270C6"/>
    <w:rsid w:val="00F317A5"/>
    <w:rsid w:val="00F31970"/>
    <w:rsid w:val="00F323F9"/>
    <w:rsid w:val="00F3299E"/>
    <w:rsid w:val="00F32AC8"/>
    <w:rsid w:val="00F330C3"/>
    <w:rsid w:val="00F3365C"/>
    <w:rsid w:val="00F35110"/>
    <w:rsid w:val="00F35F9B"/>
    <w:rsid w:val="00F35FF4"/>
    <w:rsid w:val="00F42814"/>
    <w:rsid w:val="00F43756"/>
    <w:rsid w:val="00F439AA"/>
    <w:rsid w:val="00F43AD5"/>
    <w:rsid w:val="00F462B5"/>
    <w:rsid w:val="00F46CBD"/>
    <w:rsid w:val="00F46DFE"/>
    <w:rsid w:val="00F5190C"/>
    <w:rsid w:val="00F51A3E"/>
    <w:rsid w:val="00F54389"/>
    <w:rsid w:val="00F554CB"/>
    <w:rsid w:val="00F56244"/>
    <w:rsid w:val="00F60E69"/>
    <w:rsid w:val="00F62E69"/>
    <w:rsid w:val="00F65671"/>
    <w:rsid w:val="00F666EB"/>
    <w:rsid w:val="00F66D8D"/>
    <w:rsid w:val="00F6740E"/>
    <w:rsid w:val="00F675B8"/>
    <w:rsid w:val="00F70013"/>
    <w:rsid w:val="00F7019D"/>
    <w:rsid w:val="00F709C5"/>
    <w:rsid w:val="00F70E42"/>
    <w:rsid w:val="00F71EBF"/>
    <w:rsid w:val="00F72A9C"/>
    <w:rsid w:val="00F72C02"/>
    <w:rsid w:val="00F73F6E"/>
    <w:rsid w:val="00F75050"/>
    <w:rsid w:val="00F76A4A"/>
    <w:rsid w:val="00F77EF8"/>
    <w:rsid w:val="00F80F3B"/>
    <w:rsid w:val="00F8199C"/>
    <w:rsid w:val="00F81EB6"/>
    <w:rsid w:val="00F81FEC"/>
    <w:rsid w:val="00F821EF"/>
    <w:rsid w:val="00F84416"/>
    <w:rsid w:val="00F84587"/>
    <w:rsid w:val="00F848C2"/>
    <w:rsid w:val="00F8616D"/>
    <w:rsid w:val="00F875E3"/>
    <w:rsid w:val="00F8768B"/>
    <w:rsid w:val="00F876F8"/>
    <w:rsid w:val="00F879DD"/>
    <w:rsid w:val="00F90710"/>
    <w:rsid w:val="00F90774"/>
    <w:rsid w:val="00F92E9E"/>
    <w:rsid w:val="00F930E0"/>
    <w:rsid w:val="00F93653"/>
    <w:rsid w:val="00F9391B"/>
    <w:rsid w:val="00F94041"/>
    <w:rsid w:val="00F95AD4"/>
    <w:rsid w:val="00F97122"/>
    <w:rsid w:val="00F9737C"/>
    <w:rsid w:val="00F97F02"/>
    <w:rsid w:val="00FA0FC9"/>
    <w:rsid w:val="00FA1D3B"/>
    <w:rsid w:val="00FA2ED2"/>
    <w:rsid w:val="00FA4A07"/>
    <w:rsid w:val="00FA4F2D"/>
    <w:rsid w:val="00FA616C"/>
    <w:rsid w:val="00FA6666"/>
    <w:rsid w:val="00FA6823"/>
    <w:rsid w:val="00FA72B4"/>
    <w:rsid w:val="00FA7C7A"/>
    <w:rsid w:val="00FB0202"/>
    <w:rsid w:val="00FB0F58"/>
    <w:rsid w:val="00FB2035"/>
    <w:rsid w:val="00FB2729"/>
    <w:rsid w:val="00FB2E05"/>
    <w:rsid w:val="00FB32BB"/>
    <w:rsid w:val="00FB3641"/>
    <w:rsid w:val="00FB4DCD"/>
    <w:rsid w:val="00FB4FAE"/>
    <w:rsid w:val="00FB7ABF"/>
    <w:rsid w:val="00FC0097"/>
    <w:rsid w:val="00FC1DF8"/>
    <w:rsid w:val="00FC2932"/>
    <w:rsid w:val="00FC3991"/>
    <w:rsid w:val="00FC5150"/>
    <w:rsid w:val="00FC58D0"/>
    <w:rsid w:val="00FC5C72"/>
    <w:rsid w:val="00FC619C"/>
    <w:rsid w:val="00FC7544"/>
    <w:rsid w:val="00FC7DC6"/>
    <w:rsid w:val="00FD0F54"/>
    <w:rsid w:val="00FD2636"/>
    <w:rsid w:val="00FD2BAE"/>
    <w:rsid w:val="00FD2E66"/>
    <w:rsid w:val="00FD3488"/>
    <w:rsid w:val="00FD3C3E"/>
    <w:rsid w:val="00FD46A3"/>
    <w:rsid w:val="00FD661C"/>
    <w:rsid w:val="00FD6892"/>
    <w:rsid w:val="00FD6D1B"/>
    <w:rsid w:val="00FE05F8"/>
    <w:rsid w:val="00FE1004"/>
    <w:rsid w:val="00FE1EA3"/>
    <w:rsid w:val="00FE1EA7"/>
    <w:rsid w:val="00FE4463"/>
    <w:rsid w:val="00FE56A6"/>
    <w:rsid w:val="00FE570C"/>
    <w:rsid w:val="00FE576D"/>
    <w:rsid w:val="00FE5DFB"/>
    <w:rsid w:val="00FE5E7F"/>
    <w:rsid w:val="00FE685A"/>
    <w:rsid w:val="00FE7789"/>
    <w:rsid w:val="00FE7F87"/>
    <w:rsid w:val="00FF1AE3"/>
    <w:rsid w:val="00FF31A0"/>
    <w:rsid w:val="00FF3443"/>
    <w:rsid w:val="00FF48ED"/>
    <w:rsid w:val="00FF5D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3D769A"/>
  <w14:defaultImageDpi w14:val="96"/>
  <w15:docId w15:val="{FCE333D7-B8F4-4789-B163-6F73A102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caption" w:semiHidden="1" w:uiPriority="35" w:unhideWhenUsed="1" w:qFormat="1"/>
    <w:lsdException w:name="footnote reference" w:semiHidden="1" w:unhideWhenUsed="1"/>
    <w:lsdException w:name="List Number"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Title" w:uiPriority="10"/>
    <w:lsdException w:name="Default Paragraph Font" w:semiHidden="1" w:uiPriority="1" w:unhideWhenUsed="1"/>
    <w:lsdException w:name="Body Text" w:semiHidden="1" w:unhideWhenUsed="1" w:qFormat="1"/>
    <w:lsdException w:name="List Continue 5" w:semiHidden="1" w:unhideWhenUsed="1"/>
    <w:lsdException w:name="Subtitle" w:uiPriority="11"/>
    <w:lsdException w:name="Salutation" w:semiHidden="1" w:unhideWhenUsed="1"/>
    <w:lsdException w:name="Date" w:semiHidden="1" w:unhideWhenUsed="1"/>
    <w:lsdException w:name="Body Text First Indent" w:semiHidden="1" w:unhideWhenUsed="1"/>
    <w:lsdException w:name="Strong" w:uiPriority="22"/>
    <w:lsdException w:name="Emphasis" w:uiPriority="20"/>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2474"/>
    <w:pPr>
      <w:spacing w:before="120" w:after="120" w:line="264" w:lineRule="auto"/>
    </w:pPr>
    <w:rPr>
      <w:rFonts w:ascii="Arial" w:eastAsia="SimSun" w:hAnsi="Arial" w:cs="Arial"/>
      <w:lang w:eastAsia="zh-CN"/>
    </w:rPr>
  </w:style>
  <w:style w:type="paragraph" w:styleId="Heading1">
    <w:name w:val="heading 1"/>
    <w:aliases w:val="EEIS Section heading 1"/>
    <w:basedOn w:val="Normal"/>
    <w:next w:val="Normal"/>
    <w:link w:val="Heading1Char"/>
    <w:autoRedefine/>
    <w:uiPriority w:val="9"/>
    <w:rsid w:val="0029090D"/>
    <w:pPr>
      <w:spacing w:before="240" w:after="240" w:line="240" w:lineRule="auto"/>
      <w:ind w:left="567" w:hanging="567"/>
      <w:outlineLvl w:val="0"/>
    </w:pPr>
    <w:rPr>
      <w:b/>
      <w:bCs/>
      <w:sz w:val="30"/>
      <w:szCs w:val="28"/>
    </w:rPr>
  </w:style>
  <w:style w:type="paragraph" w:styleId="Heading2">
    <w:name w:val="heading 2"/>
    <w:aliases w:val="EEIS Section heading 2"/>
    <w:basedOn w:val="Normal"/>
    <w:next w:val="Normal"/>
    <w:link w:val="Heading2Char"/>
    <w:autoRedefine/>
    <w:uiPriority w:val="9"/>
    <w:unhideWhenUsed/>
    <w:rsid w:val="000D726D"/>
    <w:pPr>
      <w:keepNext/>
      <w:numPr>
        <w:numId w:val="4"/>
      </w:numPr>
      <w:spacing w:before="0" w:line="240" w:lineRule="auto"/>
      <w:outlineLvl w:val="1"/>
    </w:pPr>
    <w:rPr>
      <w:rFonts w:eastAsia="Times New Roman"/>
      <w:b/>
      <w:bCs/>
      <w:iCs/>
      <w:sz w:val="28"/>
      <w:szCs w:val="22"/>
    </w:rPr>
  </w:style>
  <w:style w:type="paragraph" w:styleId="Heading3">
    <w:name w:val="heading 3"/>
    <w:basedOn w:val="Normal"/>
    <w:next w:val="Normal"/>
    <w:link w:val="Heading3Char"/>
    <w:autoRedefine/>
    <w:uiPriority w:val="9"/>
    <w:unhideWhenUsed/>
    <w:rsid w:val="00A7000C"/>
    <w:pPr>
      <w:keepNext/>
      <w:spacing w:before="240" w:after="60"/>
      <w:outlineLvl w:val="2"/>
    </w:pPr>
    <w:rPr>
      <w:rFonts w:eastAsia="Times New Roman" w:cs="Times New Roman"/>
      <w:b/>
      <w:bCs/>
      <w:sz w:val="26"/>
      <w:szCs w:val="26"/>
    </w:rPr>
  </w:style>
  <w:style w:type="paragraph" w:styleId="Heading4">
    <w:name w:val="heading 4"/>
    <w:basedOn w:val="Heading3"/>
    <w:next w:val="Normal"/>
    <w:link w:val="Heading4Char"/>
    <w:uiPriority w:val="9"/>
    <w:rsid w:val="00390260"/>
    <w:pPr>
      <w:tabs>
        <w:tab w:val="num" w:pos="0"/>
      </w:tabs>
      <w:spacing w:after="240"/>
      <w:jc w:val="both"/>
      <w:outlineLvl w:val="3"/>
    </w:pPr>
    <w:rPr>
      <w:rFonts w:ascii="Times New Roman" w:eastAsia="SC STKaiti" w:hAnsi="Times New Roman"/>
      <w:b w:val="0"/>
      <w:bCs w:val="0"/>
      <w:color w:val="DD6225"/>
      <w:sz w:val="24"/>
      <w:szCs w:val="40"/>
    </w:rPr>
  </w:style>
  <w:style w:type="paragraph" w:styleId="Heading5">
    <w:name w:val="heading 5"/>
    <w:basedOn w:val="Heading4"/>
    <w:next w:val="Normal"/>
    <w:link w:val="Heading5Char"/>
    <w:uiPriority w:val="9"/>
    <w:rsid w:val="00390260"/>
    <w:pPr>
      <w:outlineLvl w:val="4"/>
    </w:pPr>
    <w:rPr>
      <w:bCs/>
      <w:i/>
      <w:iCs/>
      <w:szCs w:val="24"/>
    </w:rPr>
  </w:style>
  <w:style w:type="paragraph" w:styleId="Heading6">
    <w:name w:val="heading 6"/>
    <w:basedOn w:val="Heading5"/>
    <w:next w:val="Normal"/>
    <w:link w:val="Heading6Char"/>
    <w:uiPriority w:val="9"/>
    <w:rsid w:val="00390260"/>
    <w:pPr>
      <w:outlineLvl w:val="5"/>
    </w:pPr>
    <w:rPr>
      <w:b/>
      <w:bCs w:val="0"/>
      <w:sz w:val="20"/>
      <w:szCs w:val="20"/>
    </w:rPr>
  </w:style>
  <w:style w:type="paragraph" w:styleId="Heading7">
    <w:name w:val="heading 7"/>
    <w:aliases w:val="Letter Heading"/>
    <w:basedOn w:val="Heading6"/>
    <w:next w:val="Normal"/>
    <w:link w:val="Heading7Char"/>
    <w:uiPriority w:val="9"/>
    <w:rsid w:val="00390260"/>
    <w:pPr>
      <w:outlineLvl w:val="6"/>
    </w:pPr>
    <w:rPr>
      <w:i w:val="0"/>
      <w:sz w:val="24"/>
      <w:szCs w:val="24"/>
    </w:rPr>
  </w:style>
  <w:style w:type="paragraph" w:styleId="Heading8">
    <w:name w:val="heading 8"/>
    <w:basedOn w:val="Normal"/>
    <w:next w:val="Normal"/>
    <w:link w:val="Heading8Char"/>
    <w:uiPriority w:val="9"/>
    <w:semiHidden/>
    <w:unhideWhenUsed/>
    <w:rsid w:val="009451D7"/>
    <w:pPr>
      <w:tabs>
        <w:tab w:val="num" w:pos="5760"/>
      </w:tabs>
      <w:spacing w:before="240" w:after="60" w:line="240" w:lineRule="auto"/>
      <w:ind w:left="5760" w:hanging="720"/>
      <w:outlineLvl w:val="7"/>
    </w:pPr>
    <w:rPr>
      <w:rFonts w:ascii="Calibri" w:eastAsia="Times New Roman" w:hAnsi="Calibri" w:cs="Times New Roman"/>
      <w:i/>
      <w:iCs/>
      <w:sz w:val="24"/>
      <w:szCs w:val="24"/>
      <w:lang w:val="en-US" w:eastAsia="en-US"/>
    </w:rPr>
  </w:style>
  <w:style w:type="paragraph" w:styleId="Heading9">
    <w:name w:val="heading 9"/>
    <w:basedOn w:val="Normal"/>
    <w:next w:val="Normal"/>
    <w:link w:val="Heading9Char"/>
    <w:uiPriority w:val="9"/>
    <w:semiHidden/>
    <w:unhideWhenUsed/>
    <w:qFormat/>
    <w:rsid w:val="009451D7"/>
    <w:pPr>
      <w:tabs>
        <w:tab w:val="num" w:pos="6480"/>
      </w:tabs>
      <w:spacing w:before="240" w:after="60" w:line="240" w:lineRule="auto"/>
      <w:ind w:left="6480" w:hanging="720"/>
      <w:outlineLvl w:val="8"/>
    </w:pPr>
    <w:rPr>
      <w:rFonts w:ascii="Cambria" w:eastAsia="Times New Roman" w:hAnsi="Cambria"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EIS Section heading 1 Char"/>
    <w:link w:val="Heading1"/>
    <w:uiPriority w:val="9"/>
    <w:locked/>
    <w:rsid w:val="0029090D"/>
    <w:rPr>
      <w:rFonts w:ascii="Arial" w:eastAsia="SimSun" w:hAnsi="Arial" w:cs="Arial"/>
      <w:b/>
      <w:bCs/>
      <w:sz w:val="30"/>
      <w:szCs w:val="28"/>
      <w:lang w:eastAsia="zh-CN"/>
    </w:rPr>
  </w:style>
  <w:style w:type="character" w:customStyle="1" w:styleId="Heading2Char">
    <w:name w:val="Heading 2 Char"/>
    <w:aliases w:val="EEIS Section heading 2 Char"/>
    <w:link w:val="Heading2"/>
    <w:uiPriority w:val="9"/>
    <w:locked/>
    <w:rsid w:val="00AD1176"/>
    <w:rPr>
      <w:rFonts w:ascii="Arial" w:hAnsi="Arial" w:cs="Arial"/>
      <w:b/>
      <w:bCs/>
      <w:iCs/>
      <w:sz w:val="28"/>
      <w:szCs w:val="22"/>
      <w:lang w:eastAsia="zh-CN"/>
    </w:rPr>
  </w:style>
  <w:style w:type="character" w:customStyle="1" w:styleId="Heading3Char">
    <w:name w:val="Heading 3 Char"/>
    <w:link w:val="Heading3"/>
    <w:uiPriority w:val="9"/>
    <w:semiHidden/>
    <w:locked/>
    <w:rsid w:val="00A7000C"/>
    <w:rPr>
      <w:rFonts w:ascii="Calibri" w:hAnsi="Calibri" w:cs="Times New Roman"/>
      <w:b/>
      <w:bCs/>
      <w:sz w:val="26"/>
      <w:szCs w:val="26"/>
      <w:lang w:val="x-none" w:eastAsia="en-US"/>
    </w:rPr>
  </w:style>
  <w:style w:type="character" w:customStyle="1" w:styleId="Heading4Char">
    <w:name w:val="Heading 4 Char"/>
    <w:link w:val="Heading4"/>
    <w:uiPriority w:val="9"/>
    <w:locked/>
    <w:rsid w:val="00390260"/>
    <w:rPr>
      <w:rFonts w:ascii="Times New Roman" w:eastAsia="SC STKaiti" w:hAnsi="Times New Roman" w:cs="Times New Roman"/>
      <w:color w:val="DD6225"/>
      <w:sz w:val="40"/>
      <w:szCs w:val="40"/>
      <w:lang w:val="x-none" w:eastAsia="zh-CN"/>
    </w:rPr>
  </w:style>
  <w:style w:type="character" w:customStyle="1" w:styleId="Heading5Char">
    <w:name w:val="Heading 5 Char"/>
    <w:link w:val="Heading5"/>
    <w:uiPriority w:val="9"/>
    <w:locked/>
    <w:rsid w:val="00390260"/>
    <w:rPr>
      <w:rFonts w:ascii="Times New Roman" w:eastAsia="SC STKaiti" w:hAnsi="Times New Roman" w:cs="Times New Roman"/>
      <w:bCs/>
      <w:i/>
      <w:iCs/>
      <w:color w:val="DD6225"/>
      <w:sz w:val="24"/>
      <w:szCs w:val="24"/>
      <w:lang w:val="x-none" w:eastAsia="zh-CN"/>
    </w:rPr>
  </w:style>
  <w:style w:type="character" w:customStyle="1" w:styleId="Heading6Char">
    <w:name w:val="Heading 6 Char"/>
    <w:link w:val="Heading6"/>
    <w:uiPriority w:val="9"/>
    <w:locked/>
    <w:rsid w:val="00390260"/>
    <w:rPr>
      <w:rFonts w:ascii="Times New Roman" w:eastAsia="SC STKaiti" w:hAnsi="Times New Roman" w:cs="Times New Roman"/>
      <w:b/>
      <w:i/>
      <w:iCs/>
      <w:color w:val="DD6225"/>
      <w:sz w:val="20"/>
      <w:szCs w:val="20"/>
      <w:lang w:val="x-none" w:eastAsia="zh-CN"/>
    </w:rPr>
  </w:style>
  <w:style w:type="character" w:customStyle="1" w:styleId="Heading7Char">
    <w:name w:val="Heading 7 Char"/>
    <w:aliases w:val="Letter Heading Char"/>
    <w:link w:val="Heading7"/>
    <w:uiPriority w:val="9"/>
    <w:locked/>
    <w:rsid w:val="00390260"/>
    <w:rPr>
      <w:rFonts w:ascii="Times New Roman" w:eastAsia="SC STKaiti" w:hAnsi="Times New Roman" w:cs="Times New Roman"/>
      <w:b/>
      <w:iCs/>
      <w:color w:val="DD6225"/>
      <w:sz w:val="24"/>
      <w:szCs w:val="24"/>
      <w:lang w:val="x-none" w:eastAsia="zh-CN"/>
    </w:rPr>
  </w:style>
  <w:style w:type="character" w:customStyle="1" w:styleId="Heading8Char">
    <w:name w:val="Heading 8 Char"/>
    <w:link w:val="Heading8"/>
    <w:uiPriority w:val="9"/>
    <w:semiHidden/>
    <w:locked/>
    <w:rsid w:val="009451D7"/>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locked/>
    <w:rsid w:val="009451D7"/>
    <w:rPr>
      <w:rFonts w:ascii="Cambria" w:eastAsia="Times New Roman" w:hAnsi="Cambria" w:cs="Times New Roman"/>
      <w:sz w:val="22"/>
      <w:szCs w:val="22"/>
      <w:lang w:val="en-US" w:eastAsia="en-US"/>
    </w:rPr>
  </w:style>
  <w:style w:type="paragraph" w:styleId="Title">
    <w:name w:val="Title"/>
    <w:basedOn w:val="Normal"/>
    <w:next w:val="Normal"/>
    <w:link w:val="TitleChar"/>
    <w:autoRedefine/>
    <w:uiPriority w:val="10"/>
    <w:rsid w:val="0018461A"/>
    <w:pPr>
      <w:spacing w:before="480" w:after="720"/>
      <w:jc w:val="center"/>
      <w:outlineLvl w:val="0"/>
    </w:pPr>
    <w:rPr>
      <w:rFonts w:eastAsia="Times New Roman" w:cs="Times New Roman"/>
      <w:b/>
      <w:bCs/>
      <w:kern w:val="28"/>
      <w:sz w:val="32"/>
      <w:szCs w:val="32"/>
    </w:rPr>
  </w:style>
  <w:style w:type="character" w:customStyle="1" w:styleId="TitleChar">
    <w:name w:val="Title Char"/>
    <w:link w:val="Title"/>
    <w:uiPriority w:val="10"/>
    <w:locked/>
    <w:rsid w:val="0018461A"/>
    <w:rPr>
      <w:rFonts w:ascii="Arial" w:hAnsi="Arial" w:cs="Times New Roman"/>
      <w:b/>
      <w:bCs/>
      <w:kern w:val="28"/>
      <w:sz w:val="32"/>
      <w:szCs w:val="32"/>
      <w:lang w:val="x-none" w:eastAsia="zh-CN"/>
    </w:rPr>
  </w:style>
  <w:style w:type="paragraph" w:styleId="TOC1">
    <w:name w:val="toc 1"/>
    <w:basedOn w:val="Normal"/>
    <w:next w:val="Normal"/>
    <w:autoRedefine/>
    <w:uiPriority w:val="39"/>
    <w:unhideWhenUsed/>
    <w:qFormat/>
    <w:rsid w:val="00A04F09"/>
    <w:pPr>
      <w:tabs>
        <w:tab w:val="left" w:pos="601"/>
        <w:tab w:val="right" w:pos="9185"/>
      </w:tabs>
      <w:spacing w:before="180" w:after="180"/>
      <w:ind w:left="567" w:right="-142" w:hanging="567"/>
    </w:pPr>
    <w:rPr>
      <w:rFonts w:cs="Calibri Light"/>
      <w:b/>
      <w:bCs/>
      <w:caps/>
      <w:sz w:val="24"/>
      <w:szCs w:val="24"/>
    </w:rPr>
  </w:style>
  <w:style w:type="numbering" w:customStyle="1" w:styleId="EEISbodysubdetails">
    <w:name w:val="EEIS body subdetails"/>
    <w:basedOn w:val="NoList"/>
    <w:uiPriority w:val="99"/>
    <w:rsid w:val="00AC027F"/>
    <w:pPr>
      <w:numPr>
        <w:numId w:val="6"/>
      </w:numPr>
    </w:pPr>
  </w:style>
  <w:style w:type="paragraph" w:customStyle="1" w:styleId="Subdetailsfirstindent">
    <w:name w:val="Subdetails first indent"/>
    <w:link w:val="SubdetailsfirstindentChar"/>
    <w:qFormat/>
    <w:rsid w:val="00B03181"/>
    <w:pPr>
      <w:numPr>
        <w:numId w:val="43"/>
      </w:numPr>
      <w:spacing w:before="160" w:after="160"/>
    </w:pPr>
    <w:rPr>
      <w:rFonts w:ascii="Arial" w:eastAsia="SimSun" w:hAnsi="Arial" w:cs="Arial"/>
      <w:lang w:eastAsia="zh-CN"/>
    </w:rPr>
  </w:style>
  <w:style w:type="paragraph" w:customStyle="1" w:styleId="Billname">
    <w:name w:val="Billname"/>
    <w:basedOn w:val="Normal"/>
    <w:uiPriority w:val="99"/>
    <w:rsid w:val="00390260"/>
    <w:pPr>
      <w:tabs>
        <w:tab w:val="left" w:pos="2400"/>
        <w:tab w:val="left" w:pos="2880"/>
      </w:tabs>
      <w:spacing w:before="1220" w:after="100" w:line="240" w:lineRule="auto"/>
    </w:pPr>
    <w:rPr>
      <w:rFonts w:eastAsia="Times New Roman" w:cs="Times New Roman"/>
      <w:b/>
      <w:sz w:val="40"/>
      <w:lang w:eastAsia="en-US"/>
    </w:rPr>
  </w:style>
  <w:style w:type="paragraph" w:customStyle="1" w:styleId="N-line3">
    <w:name w:val="N-line3"/>
    <w:basedOn w:val="Normal"/>
    <w:next w:val="Normal"/>
    <w:uiPriority w:val="99"/>
    <w:rsid w:val="00390260"/>
    <w:pPr>
      <w:pBdr>
        <w:bottom w:val="single" w:sz="12" w:space="1" w:color="auto"/>
      </w:pBdr>
      <w:spacing w:before="0" w:after="0" w:line="240" w:lineRule="auto"/>
      <w:jc w:val="both"/>
    </w:pPr>
    <w:rPr>
      <w:rFonts w:ascii="Times New Roman" w:eastAsia="Times New Roman" w:hAnsi="Times New Roman" w:cs="Times New Roman"/>
      <w:sz w:val="24"/>
      <w:lang w:eastAsia="en-US"/>
    </w:rPr>
  </w:style>
  <w:style w:type="paragraph" w:customStyle="1" w:styleId="madeunder">
    <w:name w:val="made under"/>
    <w:basedOn w:val="Normal"/>
    <w:uiPriority w:val="99"/>
    <w:rsid w:val="00EE79B9"/>
    <w:pPr>
      <w:spacing w:before="240" w:line="240" w:lineRule="auto"/>
    </w:pPr>
    <w:rPr>
      <w:rFonts w:ascii="Times New Roman" w:eastAsia="Times New Roman" w:hAnsi="Times New Roman" w:cs="Times New Roman"/>
      <w:color w:val="000000"/>
      <w:sz w:val="24"/>
      <w:szCs w:val="24"/>
      <w:lang w:eastAsia="en-US"/>
    </w:rPr>
  </w:style>
  <w:style w:type="paragraph" w:customStyle="1" w:styleId="CoverActName">
    <w:name w:val="CoverActName"/>
    <w:basedOn w:val="Normal"/>
    <w:rsid w:val="00390260"/>
    <w:pPr>
      <w:tabs>
        <w:tab w:val="left" w:pos="2600"/>
      </w:tabs>
      <w:spacing w:before="200" w:after="60" w:line="240" w:lineRule="auto"/>
      <w:jc w:val="both"/>
    </w:pPr>
    <w:rPr>
      <w:rFonts w:eastAsia="Times New Roman" w:cs="Times New Roman"/>
      <w:b/>
      <w:sz w:val="24"/>
      <w:lang w:eastAsia="en-US"/>
    </w:rPr>
  </w:style>
  <w:style w:type="table" w:customStyle="1" w:styleId="EPLTableStandard">
    <w:name w:val="EPL_Table_Standard"/>
    <w:basedOn w:val="TableNormal"/>
    <w:rsid w:val="00390260"/>
    <w:rPr>
      <w:rFonts w:ascii="Arial" w:hAnsi="Arial" w:cs="Times New Roman"/>
      <w:sz w:val="18"/>
      <w:szCs w:val="18"/>
      <w:lang w:eastAsia="ja-JP"/>
    </w:rPr>
    <w:tblPr>
      <w:tblStyleRowBandSize w:val="1"/>
      <w:tblBorders>
        <w:top w:val="single" w:sz="2" w:space="0" w:color="C0C0C0"/>
        <w:left w:val="single" w:sz="2" w:space="0" w:color="FFFFFF"/>
        <w:bottom w:val="single" w:sz="2" w:space="0" w:color="C0C0C0"/>
        <w:right w:val="single" w:sz="2" w:space="0" w:color="FFFFFF"/>
        <w:insideH w:val="single" w:sz="2" w:space="0" w:color="FFFFFF"/>
        <w:insideV w:val="single" w:sz="2" w:space="0" w:color="FFFFFF"/>
      </w:tblBorders>
    </w:tblPr>
    <w:trPr>
      <w:cantSplit/>
    </w:trPr>
    <w:tblStylePr w:type="firstRow">
      <w:rPr>
        <w:rFonts w:ascii="MinionPro-Regular" w:hAnsi="MinionPro-Regular" w:cs="Times New Roman"/>
        <w:b/>
        <w:i w:val="0"/>
        <w:color w:val="FFFFFF"/>
        <w:sz w:val="18"/>
        <w:szCs w:val="18"/>
      </w:rPr>
      <w:tblPr/>
      <w:trPr>
        <w:tblHeader/>
      </w:trPr>
      <w:tcPr>
        <w:tcBorders>
          <w:top w:val="single" w:sz="2" w:space="0" w:color="C0C0C0"/>
          <w:left w:val="single" w:sz="2" w:space="0" w:color="FFFFFF"/>
          <w:bottom w:val="single" w:sz="2" w:space="0" w:color="C0C0C0"/>
          <w:right w:val="single" w:sz="2" w:space="0" w:color="FFFFFF"/>
          <w:insideH w:val="nil"/>
          <w:insideV w:val="single" w:sz="2" w:space="0" w:color="FFFFFF"/>
          <w:tl2br w:val="nil"/>
          <w:tr2bl w:val="nil"/>
        </w:tcBorders>
        <w:shd w:val="clear" w:color="auto" w:fill="DD6225"/>
      </w:tcPr>
    </w:tblStylePr>
    <w:tblStylePr w:type="band1Horz">
      <w:rPr>
        <w:rFonts w:cs="Times New Roman"/>
        <w:sz w:val="18"/>
      </w:rPr>
      <w:tblPr/>
      <w:tcPr>
        <w:tcBorders>
          <w:top w:val="single" w:sz="2" w:space="0" w:color="C0C0C0"/>
          <w:left w:val="single" w:sz="2" w:space="0" w:color="FFFFFF"/>
          <w:bottom w:val="single" w:sz="2" w:space="0" w:color="C0C0C0"/>
          <w:right w:val="single" w:sz="2" w:space="0" w:color="FFFFFF"/>
          <w:insideH w:val="nil"/>
          <w:insideV w:val="single" w:sz="2" w:space="0" w:color="FFFFFF"/>
          <w:tl2br w:val="nil"/>
          <w:tr2bl w:val="nil"/>
        </w:tcBorders>
        <w:shd w:val="clear" w:color="auto" w:fill="F3F3F3"/>
      </w:tcPr>
    </w:tblStylePr>
    <w:tblStylePr w:type="band2Horz">
      <w:rPr>
        <w:rFonts w:cs="Times New Roman"/>
        <w:sz w:val="18"/>
      </w:rPr>
      <w:tblPr/>
      <w:tcPr>
        <w:tcBorders>
          <w:top w:val="nil"/>
          <w:left w:val="single" w:sz="2" w:space="0" w:color="FFFFFF"/>
          <w:bottom w:val="nil"/>
          <w:right w:val="single" w:sz="2" w:space="0" w:color="FFFFFF"/>
          <w:insideH w:val="nil"/>
          <w:insideV w:val="single" w:sz="2" w:space="0" w:color="FFFFFF"/>
          <w:tl2br w:val="nil"/>
          <w:tr2bl w:val="nil"/>
        </w:tcBorders>
        <w:shd w:val="clear" w:color="auto" w:fill="DDDDDD"/>
      </w:tcPr>
    </w:tblStylePr>
  </w:style>
  <w:style w:type="paragraph" w:customStyle="1" w:styleId="TableMain">
    <w:name w:val="Table Main"/>
    <w:rsid w:val="00390260"/>
    <w:pPr>
      <w:spacing w:before="120" w:after="120"/>
    </w:pPr>
    <w:rPr>
      <w:rFonts w:ascii="Arial" w:eastAsia="SC STKaiti" w:hAnsi="Arial" w:cs="Arial"/>
      <w:sz w:val="18"/>
      <w:szCs w:val="18"/>
      <w:lang w:eastAsia="zh-CN"/>
    </w:rPr>
  </w:style>
  <w:style w:type="paragraph" w:customStyle="1" w:styleId="TableBullet1">
    <w:name w:val="Table Bullet 1"/>
    <w:basedOn w:val="TableMain"/>
    <w:rsid w:val="00390260"/>
    <w:pPr>
      <w:tabs>
        <w:tab w:val="num" w:pos="360"/>
      </w:tabs>
      <w:ind w:left="360" w:right="142" w:hanging="360"/>
    </w:pPr>
  </w:style>
  <w:style w:type="paragraph" w:customStyle="1" w:styleId="TableBullet2">
    <w:name w:val="Table Bullet 2"/>
    <w:basedOn w:val="TableBullet1"/>
    <w:rsid w:val="00390260"/>
    <w:pPr>
      <w:numPr>
        <w:ilvl w:val="1"/>
      </w:numPr>
      <w:tabs>
        <w:tab w:val="num" w:pos="360"/>
        <w:tab w:val="num" w:pos="1276"/>
      </w:tabs>
      <w:ind w:left="1276" w:right="125" w:hanging="426"/>
    </w:pPr>
    <w:rPr>
      <w:szCs w:val="24"/>
    </w:rPr>
  </w:style>
  <w:style w:type="paragraph" w:customStyle="1" w:styleId="TableBullet3">
    <w:name w:val="Table Bullet 3"/>
    <w:basedOn w:val="TableBullet2"/>
    <w:rsid w:val="00390260"/>
    <w:pPr>
      <w:numPr>
        <w:ilvl w:val="2"/>
      </w:numPr>
      <w:tabs>
        <w:tab w:val="num" w:pos="360"/>
        <w:tab w:val="num" w:pos="1701"/>
      </w:tabs>
      <w:ind w:left="1701" w:hanging="425"/>
    </w:pPr>
  </w:style>
  <w:style w:type="paragraph" w:styleId="BalloonText">
    <w:name w:val="Balloon Text"/>
    <w:basedOn w:val="Normal"/>
    <w:link w:val="BalloonTextChar"/>
    <w:uiPriority w:val="99"/>
    <w:semiHidden/>
    <w:unhideWhenUsed/>
    <w:rsid w:val="0039026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90260"/>
    <w:rPr>
      <w:rFonts w:ascii="Tahoma" w:eastAsia="SimSun" w:hAnsi="Tahoma" w:cs="Tahoma"/>
      <w:sz w:val="16"/>
      <w:szCs w:val="16"/>
      <w:lang w:val="x-none" w:eastAsia="zh-CN"/>
    </w:rPr>
  </w:style>
  <w:style w:type="character" w:styleId="PlaceholderText">
    <w:name w:val="Placeholder Text"/>
    <w:uiPriority w:val="99"/>
    <w:semiHidden/>
    <w:rsid w:val="001F3A00"/>
    <w:rPr>
      <w:rFonts w:cs="Times New Roman"/>
      <w:color w:val="808080"/>
    </w:rPr>
  </w:style>
  <w:style w:type="paragraph" w:styleId="ListBullet">
    <w:name w:val="List Bullet"/>
    <w:basedOn w:val="Normal"/>
    <w:uiPriority w:val="99"/>
    <w:rsid w:val="00AC027F"/>
    <w:pPr>
      <w:numPr>
        <w:numId w:val="2"/>
      </w:numPr>
      <w:spacing w:before="160" w:after="160" w:line="288" w:lineRule="auto"/>
      <w:jc w:val="both"/>
    </w:pPr>
    <w:rPr>
      <w:rFonts w:eastAsia="SC STKaiti"/>
      <w:szCs w:val="18"/>
      <w:lang w:eastAsia="en-AU"/>
    </w:rPr>
  </w:style>
  <w:style w:type="paragraph" w:styleId="ListBullet2">
    <w:name w:val="List Bullet 2"/>
    <w:basedOn w:val="Normal"/>
    <w:uiPriority w:val="99"/>
    <w:rsid w:val="00AC027F"/>
    <w:pPr>
      <w:numPr>
        <w:ilvl w:val="1"/>
        <w:numId w:val="2"/>
      </w:numPr>
      <w:spacing w:before="160" w:after="160" w:line="288" w:lineRule="auto"/>
      <w:jc w:val="both"/>
    </w:pPr>
    <w:rPr>
      <w:rFonts w:eastAsia="SC STKaiti"/>
      <w:szCs w:val="24"/>
    </w:rPr>
  </w:style>
  <w:style w:type="paragraph" w:styleId="ListBullet3">
    <w:name w:val="List Bullet 3"/>
    <w:basedOn w:val="Normal"/>
    <w:uiPriority w:val="99"/>
    <w:rsid w:val="00AC027F"/>
    <w:pPr>
      <w:numPr>
        <w:ilvl w:val="2"/>
        <w:numId w:val="2"/>
      </w:numPr>
      <w:spacing w:before="160" w:after="160" w:line="288" w:lineRule="auto"/>
      <w:jc w:val="both"/>
    </w:pPr>
    <w:rPr>
      <w:rFonts w:eastAsia="SC STKaiti"/>
      <w:szCs w:val="24"/>
    </w:rPr>
  </w:style>
  <w:style w:type="paragraph" w:styleId="ListBullet4">
    <w:name w:val="List Bullet 4"/>
    <w:basedOn w:val="Normal"/>
    <w:autoRedefine/>
    <w:uiPriority w:val="99"/>
    <w:rsid w:val="00AC027F"/>
    <w:pPr>
      <w:numPr>
        <w:ilvl w:val="3"/>
        <w:numId w:val="2"/>
      </w:numPr>
      <w:spacing w:before="160" w:after="160" w:line="288" w:lineRule="auto"/>
      <w:jc w:val="both"/>
    </w:pPr>
  </w:style>
  <w:style w:type="paragraph" w:styleId="ListBullet5">
    <w:name w:val="List Bullet 5"/>
    <w:basedOn w:val="Normal"/>
    <w:autoRedefine/>
    <w:uiPriority w:val="99"/>
    <w:rsid w:val="00AC027F"/>
    <w:pPr>
      <w:numPr>
        <w:ilvl w:val="4"/>
        <w:numId w:val="2"/>
      </w:numPr>
      <w:spacing w:before="160" w:after="160" w:line="288" w:lineRule="auto"/>
      <w:jc w:val="both"/>
    </w:pPr>
  </w:style>
  <w:style w:type="paragraph" w:styleId="ListParagraph">
    <w:name w:val="List Paragraph"/>
    <w:aliases w:val="Bullet Point List"/>
    <w:basedOn w:val="Normal"/>
    <w:link w:val="ListParagraphChar"/>
    <w:uiPriority w:val="34"/>
    <w:rsid w:val="00495DB1"/>
    <w:pPr>
      <w:spacing w:before="0" w:after="200" w:line="276" w:lineRule="auto"/>
      <w:ind w:left="720"/>
      <w:contextualSpacing/>
    </w:pPr>
    <w:rPr>
      <w:rFonts w:ascii="Calibri" w:eastAsia="Times New Roman" w:hAnsi="Calibri" w:cs="Times New Roman"/>
      <w:sz w:val="22"/>
      <w:szCs w:val="22"/>
      <w:lang w:eastAsia="en-US"/>
    </w:rPr>
  </w:style>
  <w:style w:type="character" w:customStyle="1" w:styleId="ListParagraphChar">
    <w:name w:val="List Paragraph Char"/>
    <w:aliases w:val="Bullet Point List Char"/>
    <w:link w:val="ListParagraph"/>
    <w:uiPriority w:val="34"/>
    <w:qFormat/>
    <w:locked/>
    <w:rsid w:val="00495DB1"/>
    <w:rPr>
      <w:rFonts w:ascii="Calibri" w:hAnsi="Calibri" w:cs="Times New Roman"/>
    </w:rPr>
  </w:style>
  <w:style w:type="character" w:styleId="Hyperlink">
    <w:name w:val="Hyperlink"/>
    <w:uiPriority w:val="99"/>
    <w:rsid w:val="00BA7AA5"/>
    <w:rPr>
      <w:rFonts w:cs="Times New Roman"/>
      <w:color w:val="9D520E"/>
      <w:u w:val="single"/>
    </w:rPr>
  </w:style>
  <w:style w:type="paragraph" w:styleId="Header">
    <w:name w:val="header"/>
    <w:basedOn w:val="Normal"/>
    <w:link w:val="HeaderChar"/>
    <w:uiPriority w:val="99"/>
    <w:unhideWhenUsed/>
    <w:rsid w:val="00A73D67"/>
    <w:pPr>
      <w:tabs>
        <w:tab w:val="center" w:pos="4513"/>
        <w:tab w:val="right" w:pos="9026"/>
      </w:tabs>
      <w:spacing w:before="0" w:after="0" w:line="240" w:lineRule="auto"/>
    </w:pPr>
  </w:style>
  <w:style w:type="character" w:customStyle="1" w:styleId="HeaderChar">
    <w:name w:val="Header Char"/>
    <w:link w:val="Header"/>
    <w:uiPriority w:val="99"/>
    <w:locked/>
    <w:rsid w:val="00A73D67"/>
    <w:rPr>
      <w:rFonts w:ascii="Arial" w:eastAsia="SimSun" w:hAnsi="Arial" w:cs="Arial"/>
      <w:lang w:val="x-none" w:eastAsia="zh-CN"/>
    </w:rPr>
  </w:style>
  <w:style w:type="paragraph" w:styleId="Footer">
    <w:name w:val="footer"/>
    <w:basedOn w:val="Normal"/>
    <w:link w:val="FooterChar"/>
    <w:uiPriority w:val="99"/>
    <w:unhideWhenUsed/>
    <w:rsid w:val="00A73D67"/>
    <w:pPr>
      <w:tabs>
        <w:tab w:val="center" w:pos="4513"/>
        <w:tab w:val="right" w:pos="9026"/>
      </w:tabs>
      <w:spacing w:before="0" w:after="0" w:line="240" w:lineRule="auto"/>
    </w:pPr>
  </w:style>
  <w:style w:type="character" w:customStyle="1" w:styleId="FooterChar">
    <w:name w:val="Footer Char"/>
    <w:link w:val="Footer"/>
    <w:uiPriority w:val="99"/>
    <w:locked/>
    <w:rsid w:val="00A73D67"/>
    <w:rPr>
      <w:rFonts w:ascii="Arial" w:eastAsia="SimSun" w:hAnsi="Arial" w:cs="Arial"/>
      <w:lang w:val="x-none" w:eastAsia="zh-CN"/>
    </w:rPr>
  </w:style>
  <w:style w:type="paragraph" w:styleId="TOCHeading">
    <w:name w:val="TOC Heading"/>
    <w:basedOn w:val="Heading1"/>
    <w:next w:val="Normal"/>
    <w:uiPriority w:val="39"/>
    <w:unhideWhenUsed/>
    <w:rsid w:val="00A73D67"/>
    <w:pPr>
      <w:spacing w:after="0" w:line="276" w:lineRule="auto"/>
      <w:outlineLvl w:val="9"/>
    </w:pPr>
    <w:rPr>
      <w:rFonts w:ascii="Cambria" w:eastAsia="Times New Roman" w:hAnsi="Cambria" w:cs="Times New Roman"/>
      <w:color w:val="365F91"/>
      <w:lang w:val="en-US" w:eastAsia="en-US"/>
    </w:rPr>
  </w:style>
  <w:style w:type="paragraph" w:styleId="TOC2">
    <w:name w:val="toc 2"/>
    <w:basedOn w:val="Normal"/>
    <w:next w:val="Normal"/>
    <w:autoRedefine/>
    <w:uiPriority w:val="39"/>
    <w:unhideWhenUsed/>
    <w:qFormat/>
    <w:rsid w:val="009D2EDF"/>
    <w:pPr>
      <w:tabs>
        <w:tab w:val="left" w:pos="600"/>
        <w:tab w:val="right" w:pos="9185"/>
      </w:tabs>
      <w:spacing w:before="80" w:after="80"/>
      <w:ind w:left="1135" w:right="170" w:hanging="851"/>
    </w:pPr>
    <w:rPr>
      <w:rFonts w:cs="Calibri"/>
      <w:bCs/>
    </w:rPr>
  </w:style>
  <w:style w:type="paragraph" w:styleId="TOC3">
    <w:name w:val="toc 3"/>
    <w:basedOn w:val="Normal"/>
    <w:next w:val="Normal"/>
    <w:autoRedefine/>
    <w:uiPriority w:val="39"/>
    <w:unhideWhenUsed/>
    <w:rsid w:val="00A73D67"/>
    <w:pPr>
      <w:spacing w:before="0" w:after="0"/>
      <w:ind w:left="200"/>
    </w:pPr>
    <w:rPr>
      <w:rFonts w:ascii="Calibri" w:hAnsi="Calibri" w:cs="Calibri"/>
    </w:rPr>
  </w:style>
  <w:style w:type="character" w:styleId="CommentReference">
    <w:name w:val="annotation reference"/>
    <w:uiPriority w:val="99"/>
    <w:unhideWhenUsed/>
    <w:rsid w:val="00B849A1"/>
    <w:rPr>
      <w:rFonts w:cs="Times New Roman"/>
      <w:sz w:val="16"/>
      <w:szCs w:val="16"/>
    </w:rPr>
  </w:style>
  <w:style w:type="paragraph" w:styleId="CommentText">
    <w:name w:val="annotation text"/>
    <w:basedOn w:val="Normal"/>
    <w:link w:val="CommentTextChar"/>
    <w:uiPriority w:val="99"/>
    <w:unhideWhenUsed/>
    <w:rsid w:val="00B849A1"/>
    <w:pPr>
      <w:spacing w:line="240" w:lineRule="auto"/>
    </w:pPr>
  </w:style>
  <w:style w:type="character" w:customStyle="1" w:styleId="CommentTextChar">
    <w:name w:val="Comment Text Char"/>
    <w:link w:val="CommentText"/>
    <w:uiPriority w:val="99"/>
    <w:locked/>
    <w:rsid w:val="00B849A1"/>
    <w:rPr>
      <w:rFonts w:ascii="Arial" w:eastAsia="SimSun" w:hAnsi="Arial" w:cs="Arial"/>
      <w:lang w:val="x-none" w:eastAsia="zh-CN"/>
    </w:rPr>
  </w:style>
  <w:style w:type="paragraph" w:styleId="CommentSubject">
    <w:name w:val="annotation subject"/>
    <w:basedOn w:val="CommentText"/>
    <w:next w:val="CommentText"/>
    <w:link w:val="CommentSubjectChar"/>
    <w:uiPriority w:val="99"/>
    <w:semiHidden/>
    <w:unhideWhenUsed/>
    <w:rsid w:val="00B849A1"/>
    <w:rPr>
      <w:b/>
      <w:bCs/>
    </w:rPr>
  </w:style>
  <w:style w:type="character" w:customStyle="1" w:styleId="CommentSubjectChar">
    <w:name w:val="Comment Subject Char"/>
    <w:link w:val="CommentSubject"/>
    <w:uiPriority w:val="99"/>
    <w:semiHidden/>
    <w:locked/>
    <w:rsid w:val="00B849A1"/>
    <w:rPr>
      <w:rFonts w:ascii="Arial" w:eastAsia="SimSun" w:hAnsi="Arial" w:cs="Arial"/>
      <w:b/>
      <w:bCs/>
      <w:lang w:val="x-none" w:eastAsia="zh-CN"/>
    </w:rPr>
  </w:style>
  <w:style w:type="paragraph" w:styleId="Revision">
    <w:name w:val="Revision"/>
    <w:hidden/>
    <w:uiPriority w:val="99"/>
    <w:semiHidden/>
    <w:rsid w:val="00070D29"/>
    <w:rPr>
      <w:rFonts w:ascii="Arial" w:eastAsia="SimSun" w:hAnsi="Arial" w:cs="Arial"/>
      <w:lang w:eastAsia="zh-CN"/>
    </w:rPr>
  </w:style>
  <w:style w:type="paragraph" w:customStyle="1" w:styleId="Default">
    <w:name w:val="Default"/>
    <w:rsid w:val="007F20CE"/>
    <w:pPr>
      <w:autoSpaceDE w:val="0"/>
      <w:autoSpaceDN w:val="0"/>
      <w:adjustRightInd w:val="0"/>
    </w:pPr>
    <w:rPr>
      <w:rFonts w:ascii="Times New Roman" w:hAnsi="Times New Roman" w:cs="Times New Roman"/>
      <w:color w:val="000000"/>
      <w:sz w:val="24"/>
      <w:szCs w:val="24"/>
    </w:rPr>
  </w:style>
  <w:style w:type="character" w:customStyle="1" w:styleId="highlight1">
    <w:name w:val="highlight1"/>
    <w:rsid w:val="001257A0"/>
    <w:rPr>
      <w:rFonts w:cs="Times New Roman"/>
      <w:shd w:val="clear" w:color="auto" w:fill="FFFF00"/>
    </w:rPr>
  </w:style>
  <w:style w:type="table" w:styleId="TableGrid">
    <w:name w:val="Table Grid"/>
    <w:basedOn w:val="TableNormal"/>
    <w:uiPriority w:val="59"/>
    <w:rsid w:val="00DD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D0E90"/>
    <w:pPr>
      <w:spacing w:before="60" w:after="60" w:line="240" w:lineRule="auto"/>
    </w:pPr>
    <w:rPr>
      <w:rFonts w:ascii="Cambria" w:eastAsia="Times New Roman" w:hAnsi="Cambria" w:cs="Times New Roman"/>
      <w:sz w:val="22"/>
      <w:lang w:eastAsia="en-US"/>
    </w:rPr>
  </w:style>
  <w:style w:type="character" w:customStyle="1" w:styleId="FootnoteTextChar">
    <w:name w:val="Footnote Text Char"/>
    <w:link w:val="FootnoteText"/>
    <w:uiPriority w:val="99"/>
    <w:locked/>
    <w:rsid w:val="00ED0E90"/>
    <w:rPr>
      <w:rFonts w:ascii="Cambria" w:hAnsi="Cambria" w:cs="Times New Roman"/>
      <w:sz w:val="22"/>
      <w:lang w:val="x-none" w:eastAsia="en-US"/>
    </w:rPr>
  </w:style>
  <w:style w:type="character" w:styleId="FootnoteReference">
    <w:name w:val="footnote reference"/>
    <w:aliases w:val="(NECG) Footnote Reference"/>
    <w:uiPriority w:val="99"/>
    <w:rsid w:val="00ED0E90"/>
    <w:rPr>
      <w:rFonts w:cs="Times New Roman"/>
      <w:vertAlign w:val="superscript"/>
    </w:rPr>
  </w:style>
  <w:style w:type="paragraph" w:styleId="Caption">
    <w:name w:val="caption"/>
    <w:aliases w:val="Caption to label tables"/>
    <w:basedOn w:val="Normal"/>
    <w:next w:val="Normal"/>
    <w:uiPriority w:val="35"/>
    <w:unhideWhenUsed/>
    <w:qFormat/>
    <w:rsid w:val="009E6E7F"/>
    <w:pPr>
      <w:keepNext/>
      <w:tabs>
        <w:tab w:val="left" w:pos="851"/>
      </w:tabs>
      <w:spacing w:before="240" w:after="200" w:line="240" w:lineRule="auto"/>
      <w:ind w:left="851" w:hanging="851"/>
    </w:pPr>
    <w:rPr>
      <w:i/>
      <w:iCs/>
      <w:sz w:val="18"/>
      <w:szCs w:val="18"/>
    </w:rPr>
  </w:style>
  <w:style w:type="paragraph" w:styleId="PlainText">
    <w:name w:val="Plain Text"/>
    <w:basedOn w:val="Normal"/>
    <w:link w:val="PlainTextChar"/>
    <w:uiPriority w:val="99"/>
    <w:semiHidden/>
    <w:unhideWhenUsed/>
    <w:rsid w:val="009B0878"/>
    <w:pPr>
      <w:spacing w:before="0" w:after="0" w:line="240" w:lineRule="auto"/>
    </w:pPr>
    <w:rPr>
      <w:rFonts w:ascii="Consolas" w:eastAsia="Times New Roman" w:hAnsi="Consolas" w:cs="Consolas"/>
      <w:sz w:val="21"/>
      <w:szCs w:val="21"/>
      <w:lang w:eastAsia="en-US"/>
    </w:rPr>
  </w:style>
  <w:style w:type="character" w:customStyle="1" w:styleId="PlainTextChar">
    <w:name w:val="Plain Text Char"/>
    <w:link w:val="PlainText"/>
    <w:uiPriority w:val="99"/>
    <w:semiHidden/>
    <w:locked/>
    <w:rsid w:val="009B0878"/>
    <w:rPr>
      <w:rFonts w:ascii="Consolas" w:hAnsi="Consolas" w:cs="Consolas"/>
      <w:sz w:val="21"/>
      <w:szCs w:val="21"/>
      <w:lang w:val="x-none" w:eastAsia="en-US"/>
    </w:rPr>
  </w:style>
  <w:style w:type="character" w:styleId="FollowedHyperlink">
    <w:name w:val="FollowedHyperlink"/>
    <w:uiPriority w:val="99"/>
    <w:rsid w:val="00CF2D13"/>
    <w:rPr>
      <w:rFonts w:cs="Times New Roman"/>
      <w:color w:val="800080"/>
      <w:u w:val="single"/>
    </w:rPr>
  </w:style>
  <w:style w:type="paragraph" w:customStyle="1" w:styleId="TableParagraph">
    <w:name w:val="Table Paragraph"/>
    <w:basedOn w:val="Normal"/>
    <w:uiPriority w:val="1"/>
    <w:rsid w:val="00605125"/>
    <w:pPr>
      <w:widowControl w:val="0"/>
      <w:autoSpaceDE w:val="0"/>
      <w:autoSpaceDN w:val="0"/>
      <w:adjustRightInd w:val="0"/>
      <w:spacing w:before="0" w:after="0" w:line="240" w:lineRule="auto"/>
    </w:pPr>
    <w:rPr>
      <w:rFonts w:eastAsia="Times New Roman"/>
      <w:sz w:val="24"/>
      <w:szCs w:val="24"/>
      <w:lang w:eastAsia="en-AU"/>
    </w:rPr>
  </w:style>
  <w:style w:type="paragraph" w:customStyle="1" w:styleId="EEISSectionheading3">
    <w:name w:val="EEIS Section heading 3"/>
    <w:basedOn w:val="Normal"/>
    <w:next w:val="Normal"/>
    <w:rsid w:val="00AC027F"/>
    <w:pPr>
      <w:keepNext/>
      <w:numPr>
        <w:numId w:val="1"/>
      </w:numPr>
      <w:tabs>
        <w:tab w:val="left" w:pos="567"/>
      </w:tabs>
      <w:spacing w:before="160" w:after="160" w:line="288" w:lineRule="auto"/>
    </w:pPr>
    <w:rPr>
      <w:b/>
      <w:color w:val="000000"/>
      <w:sz w:val="22"/>
      <w:szCs w:val="22"/>
    </w:rPr>
  </w:style>
  <w:style w:type="paragraph" w:customStyle="1" w:styleId="Notesandexamples">
    <w:name w:val="Notes and examples"/>
    <w:next w:val="BodytextEEIS"/>
    <w:qFormat/>
    <w:rsid w:val="00B03181"/>
    <w:pPr>
      <w:spacing w:before="120" w:after="120"/>
      <w:ind w:left="1287" w:hanging="720"/>
    </w:pPr>
    <w:rPr>
      <w:rFonts w:ascii="Arial" w:eastAsia="SimSun" w:hAnsi="Arial" w:cs="Arial"/>
      <w:i/>
      <w:sz w:val="16"/>
      <w:lang w:eastAsia="zh-CN"/>
    </w:rPr>
  </w:style>
  <w:style w:type="paragraph" w:customStyle="1" w:styleId="Style1">
    <w:name w:val="Style1"/>
    <w:basedOn w:val="Normal"/>
    <w:rsid w:val="00AC027F"/>
    <w:pPr>
      <w:spacing w:before="160" w:after="160" w:line="288" w:lineRule="auto"/>
      <w:ind w:left="1134" w:hanging="567"/>
      <w:jc w:val="both"/>
    </w:pPr>
    <w:rPr>
      <w:i/>
      <w:sz w:val="18"/>
    </w:rPr>
  </w:style>
  <w:style w:type="paragraph" w:customStyle="1" w:styleId="EEISsectionheading4">
    <w:name w:val="EEIS section heading 4"/>
    <w:basedOn w:val="EEISSectionheading3"/>
    <w:rsid w:val="0013753F"/>
    <w:pPr>
      <w:numPr>
        <w:numId w:val="3"/>
      </w:numPr>
      <w:tabs>
        <w:tab w:val="clear" w:pos="567"/>
      </w:tabs>
    </w:pPr>
    <w:rPr>
      <w:sz w:val="20"/>
    </w:rPr>
  </w:style>
  <w:style w:type="paragraph" w:customStyle="1" w:styleId="EEISSectionHeading">
    <w:name w:val="EEIS Section Heading"/>
    <w:next w:val="Normal"/>
    <w:rsid w:val="005C5E1A"/>
    <w:pPr>
      <w:spacing w:before="240" w:after="240"/>
      <w:ind w:left="567" w:hanging="567"/>
    </w:pPr>
    <w:rPr>
      <w:rFonts w:ascii="Arial" w:eastAsia="SimSun" w:hAnsi="Arial" w:cs="Arial"/>
      <w:b/>
      <w:sz w:val="34"/>
      <w:lang w:eastAsia="zh-CN"/>
    </w:rPr>
  </w:style>
  <w:style w:type="paragraph" w:customStyle="1" w:styleId="EEISHeading1">
    <w:name w:val="EEIS Heading 1"/>
    <w:basedOn w:val="Normal"/>
    <w:next w:val="EEISHeading2"/>
    <w:link w:val="EEISHeading1Char"/>
    <w:rsid w:val="00AC027F"/>
    <w:pPr>
      <w:numPr>
        <w:numId w:val="5"/>
      </w:numPr>
      <w:spacing w:line="240" w:lineRule="auto"/>
    </w:pPr>
    <w:rPr>
      <w:b/>
      <w:sz w:val="28"/>
    </w:rPr>
  </w:style>
  <w:style w:type="paragraph" w:customStyle="1" w:styleId="EEISHeading2">
    <w:name w:val="EEIS Heading 2"/>
    <w:basedOn w:val="EEISHeading1"/>
    <w:next w:val="BodytextEEIS"/>
    <w:link w:val="EEISHeading2Char"/>
    <w:rsid w:val="00F875E3"/>
    <w:pPr>
      <w:numPr>
        <w:ilvl w:val="1"/>
        <w:numId w:val="9"/>
      </w:numPr>
      <w:spacing w:before="160" w:after="160"/>
    </w:pPr>
    <w:rPr>
      <w:sz w:val="22"/>
    </w:rPr>
  </w:style>
  <w:style w:type="paragraph" w:customStyle="1" w:styleId="BodytextEEIS">
    <w:name w:val="Body text EEIS"/>
    <w:basedOn w:val="Normal"/>
    <w:qFormat/>
    <w:rsid w:val="00AC027F"/>
    <w:pPr>
      <w:ind w:left="567"/>
    </w:pPr>
  </w:style>
  <w:style w:type="character" w:customStyle="1" w:styleId="EEISHeading1Char">
    <w:name w:val="EEIS Heading 1 Char"/>
    <w:link w:val="EEISHeading1"/>
    <w:rsid w:val="000D726D"/>
    <w:rPr>
      <w:rFonts w:ascii="Arial" w:eastAsia="SimSun" w:hAnsi="Arial" w:cs="Arial"/>
      <w:b/>
      <w:sz w:val="28"/>
      <w:lang w:eastAsia="zh-CN"/>
    </w:rPr>
  </w:style>
  <w:style w:type="character" w:customStyle="1" w:styleId="EEISHeading2Char">
    <w:name w:val="EEIS Heading 2 Char"/>
    <w:link w:val="EEISHeading2"/>
    <w:rsid w:val="006B4724"/>
    <w:rPr>
      <w:rFonts w:ascii="Arial" w:eastAsia="SimSun" w:hAnsi="Arial" w:cs="Arial"/>
      <w:b/>
      <w:sz w:val="22"/>
      <w:lang w:eastAsia="zh-CN"/>
    </w:rPr>
  </w:style>
  <w:style w:type="character" w:customStyle="1" w:styleId="SubdetailsfirstindentChar">
    <w:name w:val="Subdetails first indent Char"/>
    <w:link w:val="Subdetailsfirstindent"/>
    <w:rsid w:val="00B03181"/>
    <w:rPr>
      <w:rFonts w:ascii="Arial" w:eastAsia="SimSun" w:hAnsi="Arial" w:cs="Arial"/>
      <w:lang w:eastAsia="zh-CN"/>
    </w:rPr>
  </w:style>
  <w:style w:type="paragraph" w:customStyle="1" w:styleId="EEISheading3">
    <w:name w:val="EEIS heading 3"/>
    <w:basedOn w:val="EEISHeading2"/>
    <w:next w:val="BodytextEEIS"/>
    <w:link w:val="EEISheading3Char"/>
    <w:rsid w:val="006B4724"/>
    <w:pPr>
      <w:numPr>
        <w:ilvl w:val="0"/>
        <w:numId w:val="0"/>
      </w:numPr>
    </w:pPr>
  </w:style>
  <w:style w:type="paragraph" w:customStyle="1" w:styleId="SectionHeading1">
    <w:name w:val="Section Heading 1"/>
    <w:basedOn w:val="Normal"/>
    <w:link w:val="SectionHeading1Char"/>
    <w:qFormat/>
    <w:rsid w:val="004838CE"/>
    <w:pPr>
      <w:keepNext/>
      <w:numPr>
        <w:numId w:val="10"/>
      </w:numPr>
      <w:spacing w:before="320" w:after="240"/>
      <w:outlineLvl w:val="0"/>
    </w:pPr>
    <w:rPr>
      <w:b/>
      <w:sz w:val="34"/>
    </w:rPr>
  </w:style>
  <w:style w:type="character" w:customStyle="1" w:styleId="EEISheading3Char">
    <w:name w:val="EEIS heading 3 Char"/>
    <w:link w:val="EEISheading3"/>
    <w:rsid w:val="006B4724"/>
    <w:rPr>
      <w:rFonts w:ascii="Arial" w:eastAsia="SimSun" w:hAnsi="Arial" w:cs="Arial"/>
      <w:b/>
      <w:sz w:val="22"/>
      <w:lang w:eastAsia="zh-CN"/>
    </w:rPr>
  </w:style>
  <w:style w:type="paragraph" w:customStyle="1" w:styleId="Sectionheading2">
    <w:name w:val="Section heading 2"/>
    <w:basedOn w:val="Normal"/>
    <w:link w:val="Sectionheading2Char"/>
    <w:qFormat/>
    <w:rsid w:val="004838CE"/>
    <w:pPr>
      <w:keepNext/>
      <w:numPr>
        <w:ilvl w:val="1"/>
        <w:numId w:val="10"/>
      </w:numPr>
      <w:tabs>
        <w:tab w:val="left" w:pos="567"/>
      </w:tabs>
      <w:spacing w:before="320"/>
      <w:ind w:left="567" w:hanging="567"/>
      <w:outlineLvl w:val="1"/>
    </w:pPr>
    <w:rPr>
      <w:b/>
      <w:sz w:val="28"/>
    </w:rPr>
  </w:style>
  <w:style w:type="character" w:customStyle="1" w:styleId="SectionHeading1Char">
    <w:name w:val="Section Heading 1 Char"/>
    <w:link w:val="SectionHeading1"/>
    <w:rsid w:val="004838CE"/>
    <w:rPr>
      <w:rFonts w:ascii="Arial" w:eastAsia="SimSun" w:hAnsi="Arial" w:cs="Arial"/>
      <w:b/>
      <w:sz w:val="34"/>
      <w:lang w:eastAsia="zh-CN"/>
    </w:rPr>
  </w:style>
  <w:style w:type="paragraph" w:customStyle="1" w:styleId="Sectionheading3">
    <w:name w:val="Section heading 3"/>
    <w:basedOn w:val="Normal"/>
    <w:link w:val="Sectionheading3Char"/>
    <w:qFormat/>
    <w:rsid w:val="004838CE"/>
    <w:pPr>
      <w:keepNext/>
      <w:numPr>
        <w:ilvl w:val="2"/>
        <w:numId w:val="10"/>
      </w:numPr>
      <w:spacing w:before="320"/>
      <w:ind w:left="1418" w:hanging="851"/>
      <w:outlineLvl w:val="2"/>
    </w:pPr>
    <w:rPr>
      <w:b/>
      <w:sz w:val="26"/>
    </w:rPr>
  </w:style>
  <w:style w:type="character" w:customStyle="1" w:styleId="Sectionheading2Char">
    <w:name w:val="Section heading 2 Char"/>
    <w:link w:val="Sectionheading2"/>
    <w:rsid w:val="004838CE"/>
    <w:rPr>
      <w:rFonts w:ascii="Arial" w:eastAsia="SimSun" w:hAnsi="Arial" w:cs="Arial"/>
      <w:b/>
      <w:sz w:val="28"/>
      <w:lang w:eastAsia="zh-CN"/>
    </w:rPr>
  </w:style>
  <w:style w:type="paragraph" w:customStyle="1" w:styleId="Sectionheading4">
    <w:name w:val="Section heading 4"/>
    <w:basedOn w:val="Normal"/>
    <w:link w:val="Sectionheading4Char"/>
    <w:qFormat/>
    <w:rsid w:val="004838CE"/>
    <w:pPr>
      <w:keepNext/>
      <w:numPr>
        <w:ilvl w:val="3"/>
        <w:numId w:val="10"/>
      </w:numPr>
      <w:spacing w:before="320"/>
      <w:ind w:left="1213" w:hanging="646"/>
      <w:outlineLvl w:val="3"/>
    </w:pPr>
    <w:rPr>
      <w:b/>
      <w:sz w:val="22"/>
    </w:rPr>
  </w:style>
  <w:style w:type="character" w:customStyle="1" w:styleId="Sectionheading3Char">
    <w:name w:val="Section heading 3 Char"/>
    <w:link w:val="Sectionheading3"/>
    <w:rsid w:val="004838CE"/>
    <w:rPr>
      <w:rFonts w:ascii="Arial" w:eastAsia="SimSun" w:hAnsi="Arial" w:cs="Arial"/>
      <w:b/>
      <w:sz w:val="26"/>
      <w:lang w:eastAsia="zh-CN"/>
    </w:rPr>
  </w:style>
  <w:style w:type="paragraph" w:customStyle="1" w:styleId="Sectionheading5">
    <w:name w:val="Section heading 5"/>
    <w:basedOn w:val="Normal"/>
    <w:link w:val="Sectionheading5Char"/>
    <w:qFormat/>
    <w:rsid w:val="00B057CC"/>
    <w:pPr>
      <w:keepNext/>
      <w:numPr>
        <w:ilvl w:val="4"/>
        <w:numId w:val="10"/>
      </w:numPr>
      <w:spacing w:before="360"/>
      <w:ind w:left="2234" w:hanging="794"/>
      <w:outlineLvl w:val="4"/>
    </w:pPr>
    <w:rPr>
      <w:b/>
    </w:rPr>
  </w:style>
  <w:style w:type="character" w:customStyle="1" w:styleId="Sectionheading4Char">
    <w:name w:val="Section heading 4 Char"/>
    <w:link w:val="Sectionheading4"/>
    <w:rsid w:val="004838CE"/>
    <w:rPr>
      <w:rFonts w:ascii="Arial" w:eastAsia="SimSun" w:hAnsi="Arial" w:cs="Arial"/>
      <w:b/>
      <w:sz w:val="22"/>
      <w:lang w:eastAsia="zh-CN"/>
    </w:rPr>
  </w:style>
  <w:style w:type="paragraph" w:customStyle="1" w:styleId="Subdetailssecondindent">
    <w:name w:val="Subdetails second indent"/>
    <w:basedOn w:val="Normal"/>
    <w:qFormat/>
    <w:rsid w:val="000977A2"/>
    <w:pPr>
      <w:numPr>
        <w:numId w:val="233"/>
      </w:numPr>
    </w:pPr>
  </w:style>
  <w:style w:type="character" w:customStyle="1" w:styleId="Sectionheading5Char">
    <w:name w:val="Section heading 5 Char"/>
    <w:link w:val="Sectionheading5"/>
    <w:rsid w:val="00B057CC"/>
    <w:rPr>
      <w:rFonts w:ascii="Arial" w:eastAsia="SimSun" w:hAnsi="Arial" w:cs="Arial"/>
      <w:b/>
      <w:lang w:eastAsia="zh-CN"/>
    </w:rPr>
  </w:style>
  <w:style w:type="paragraph" w:customStyle="1" w:styleId="Tabletitle">
    <w:name w:val="Table title"/>
    <w:basedOn w:val="Normal"/>
    <w:link w:val="TabletitleChar"/>
    <w:rsid w:val="000977A2"/>
    <w:rPr>
      <w:b/>
      <w:sz w:val="18"/>
    </w:rPr>
  </w:style>
  <w:style w:type="paragraph" w:customStyle="1" w:styleId="Tableheader">
    <w:name w:val="Table header"/>
    <w:basedOn w:val="Normal"/>
    <w:qFormat/>
    <w:rsid w:val="00333768"/>
    <w:rPr>
      <w:b/>
      <w:bCs/>
    </w:rPr>
  </w:style>
  <w:style w:type="character" w:customStyle="1" w:styleId="TabletitleChar">
    <w:name w:val="Table title Char"/>
    <w:link w:val="Tabletitle"/>
    <w:rsid w:val="000977A2"/>
    <w:rPr>
      <w:rFonts w:ascii="Arial" w:eastAsia="SimSun" w:hAnsi="Arial" w:cs="Arial"/>
      <w:b/>
      <w:sz w:val="18"/>
      <w:lang w:eastAsia="zh-CN"/>
    </w:rPr>
  </w:style>
  <w:style w:type="paragraph" w:customStyle="1" w:styleId="Tabletext">
    <w:name w:val="Table text"/>
    <w:basedOn w:val="Normal"/>
    <w:qFormat/>
    <w:rsid w:val="00333768"/>
  </w:style>
  <w:style w:type="paragraph" w:styleId="TOC4">
    <w:name w:val="toc 4"/>
    <w:basedOn w:val="Normal"/>
    <w:next w:val="Normal"/>
    <w:autoRedefine/>
    <w:uiPriority w:val="39"/>
    <w:unhideWhenUsed/>
    <w:rsid w:val="000B6991"/>
    <w:pPr>
      <w:spacing w:before="0" w:after="0"/>
      <w:ind w:left="400"/>
    </w:pPr>
    <w:rPr>
      <w:rFonts w:ascii="Calibri" w:hAnsi="Calibri" w:cs="Calibri"/>
    </w:rPr>
  </w:style>
  <w:style w:type="paragraph" w:styleId="TOC5">
    <w:name w:val="toc 5"/>
    <w:basedOn w:val="Normal"/>
    <w:next w:val="Normal"/>
    <w:autoRedefine/>
    <w:uiPriority w:val="39"/>
    <w:unhideWhenUsed/>
    <w:rsid w:val="000B6991"/>
    <w:pPr>
      <w:spacing w:before="0" w:after="0"/>
      <w:ind w:left="600"/>
    </w:pPr>
    <w:rPr>
      <w:rFonts w:ascii="Calibri" w:hAnsi="Calibri" w:cs="Calibri"/>
    </w:rPr>
  </w:style>
  <w:style w:type="paragraph" w:styleId="TOC6">
    <w:name w:val="toc 6"/>
    <w:basedOn w:val="Normal"/>
    <w:next w:val="Normal"/>
    <w:autoRedefine/>
    <w:uiPriority w:val="39"/>
    <w:unhideWhenUsed/>
    <w:rsid w:val="000B6991"/>
    <w:pPr>
      <w:spacing w:before="0" w:after="0"/>
      <w:ind w:left="800"/>
    </w:pPr>
    <w:rPr>
      <w:rFonts w:ascii="Calibri" w:hAnsi="Calibri" w:cs="Calibri"/>
    </w:rPr>
  </w:style>
  <w:style w:type="paragraph" w:styleId="TOC7">
    <w:name w:val="toc 7"/>
    <w:basedOn w:val="Normal"/>
    <w:next w:val="Normal"/>
    <w:autoRedefine/>
    <w:uiPriority w:val="39"/>
    <w:unhideWhenUsed/>
    <w:rsid w:val="000B6991"/>
    <w:pPr>
      <w:spacing w:before="0" w:after="0"/>
      <w:ind w:left="1000"/>
    </w:pPr>
    <w:rPr>
      <w:rFonts w:ascii="Calibri" w:hAnsi="Calibri" w:cs="Calibri"/>
    </w:rPr>
  </w:style>
  <w:style w:type="paragraph" w:styleId="TOC8">
    <w:name w:val="toc 8"/>
    <w:basedOn w:val="Normal"/>
    <w:next w:val="Normal"/>
    <w:autoRedefine/>
    <w:uiPriority w:val="39"/>
    <w:unhideWhenUsed/>
    <w:rsid w:val="000B6991"/>
    <w:pPr>
      <w:spacing w:before="0" w:after="0"/>
      <w:ind w:left="1200"/>
    </w:pPr>
    <w:rPr>
      <w:rFonts w:ascii="Calibri" w:hAnsi="Calibri" w:cs="Calibri"/>
    </w:rPr>
  </w:style>
  <w:style w:type="paragraph" w:styleId="TOC9">
    <w:name w:val="toc 9"/>
    <w:basedOn w:val="Normal"/>
    <w:next w:val="Normal"/>
    <w:autoRedefine/>
    <w:uiPriority w:val="39"/>
    <w:unhideWhenUsed/>
    <w:rsid w:val="000B6991"/>
    <w:pPr>
      <w:spacing w:before="0" w:after="0"/>
      <w:ind w:left="1400"/>
    </w:pPr>
    <w:rPr>
      <w:rFonts w:ascii="Calibri" w:hAnsi="Calibri" w:cs="Calibri"/>
    </w:rPr>
  </w:style>
  <w:style w:type="paragraph" w:customStyle="1" w:styleId="Subdetailsthirdindent">
    <w:name w:val="Subdetails third indent"/>
    <w:basedOn w:val="Normal"/>
    <w:qFormat/>
    <w:rsid w:val="00611708"/>
    <w:pPr>
      <w:numPr>
        <w:numId w:val="82"/>
      </w:numPr>
    </w:pPr>
  </w:style>
  <w:style w:type="paragraph" w:customStyle="1" w:styleId="Subdetailsfourthindent">
    <w:name w:val="Subdetails fourth indent"/>
    <w:basedOn w:val="Normal"/>
    <w:qFormat/>
    <w:rsid w:val="00611708"/>
    <w:pPr>
      <w:numPr>
        <w:numId w:val="51"/>
      </w:numPr>
    </w:pPr>
  </w:style>
  <w:style w:type="paragraph" w:customStyle="1" w:styleId="BulletsEEIS">
    <w:name w:val="Bullets EEIS"/>
    <w:basedOn w:val="Tabletext"/>
    <w:qFormat/>
    <w:rsid w:val="00265F43"/>
    <w:pPr>
      <w:numPr>
        <w:numId w:val="57"/>
      </w:numPr>
    </w:pPr>
  </w:style>
  <w:style w:type="character" w:customStyle="1" w:styleId="UnresolvedMention1">
    <w:name w:val="Unresolved Mention1"/>
    <w:uiPriority w:val="99"/>
    <w:semiHidden/>
    <w:unhideWhenUsed/>
    <w:rsid w:val="00D0545B"/>
    <w:rPr>
      <w:color w:val="605E5C"/>
      <w:shd w:val="clear" w:color="auto" w:fill="E1DFDD"/>
    </w:rPr>
  </w:style>
  <w:style w:type="paragraph" w:customStyle="1" w:styleId="Dictionary">
    <w:name w:val="Dictionary"/>
    <w:basedOn w:val="BodytextEEIS"/>
    <w:qFormat/>
    <w:rsid w:val="002566B1"/>
    <w:pPr>
      <w:ind w:left="1287" w:hanging="720"/>
    </w:pPr>
  </w:style>
  <w:style w:type="paragraph" w:styleId="TableofFigures">
    <w:name w:val="table of figures"/>
    <w:aliases w:val="Tables"/>
    <w:basedOn w:val="Normal"/>
    <w:next w:val="Normal"/>
    <w:uiPriority w:val="99"/>
    <w:rsid w:val="00270B86"/>
    <w:pPr>
      <w:tabs>
        <w:tab w:val="left" w:pos="964"/>
        <w:tab w:val="right" w:pos="9185"/>
      </w:tabs>
      <w:spacing w:before="60" w:after="60" w:line="240" w:lineRule="auto"/>
      <w:ind w:left="964" w:right="567" w:hanging="964"/>
    </w:pPr>
  </w:style>
  <w:style w:type="paragraph" w:customStyle="1" w:styleId="Formula">
    <w:name w:val="Formula"/>
    <w:basedOn w:val="BodytextEEIS"/>
    <w:qFormat/>
    <w:rsid w:val="006D27E9"/>
    <w:pPr>
      <w:spacing w:before="160" w:after="160"/>
    </w:pPr>
    <w:rPr>
      <w:rFonts w:ascii="Calibri Light" w:hAnsi="Calibri Light" w:cs="Calibri Light"/>
      <w:i/>
      <w:iCs/>
      <w:sz w:val="26"/>
      <w:szCs w:val="28"/>
    </w:rPr>
  </w:style>
  <w:style w:type="paragraph" w:customStyle="1" w:styleId="TableTOC">
    <w:name w:val="Table TOC"/>
    <w:basedOn w:val="TableofFigures"/>
    <w:rsid w:val="00270B86"/>
    <w:rPr>
      <w:noProof/>
    </w:rPr>
  </w:style>
  <w:style w:type="character" w:styleId="UnresolvedMention">
    <w:name w:val="Unresolved Mention"/>
    <w:uiPriority w:val="99"/>
    <w:semiHidden/>
    <w:unhideWhenUsed/>
    <w:rsid w:val="006F0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837857">
      <w:bodyDiv w:val="1"/>
      <w:marLeft w:val="0"/>
      <w:marRight w:val="0"/>
      <w:marTop w:val="0"/>
      <w:marBottom w:val="0"/>
      <w:divBdr>
        <w:top w:val="none" w:sz="0" w:space="0" w:color="auto"/>
        <w:left w:val="none" w:sz="0" w:space="0" w:color="auto"/>
        <w:bottom w:val="none" w:sz="0" w:space="0" w:color="auto"/>
        <w:right w:val="none" w:sz="0" w:space="0" w:color="auto"/>
      </w:divBdr>
    </w:div>
    <w:div w:id="1467700982">
      <w:marLeft w:val="0"/>
      <w:marRight w:val="0"/>
      <w:marTop w:val="0"/>
      <w:marBottom w:val="0"/>
      <w:divBdr>
        <w:top w:val="none" w:sz="0" w:space="0" w:color="auto"/>
        <w:left w:val="none" w:sz="0" w:space="0" w:color="auto"/>
        <w:bottom w:val="none" w:sz="0" w:space="0" w:color="auto"/>
        <w:right w:val="none" w:sz="0" w:space="0" w:color="auto"/>
      </w:divBdr>
    </w:div>
    <w:div w:id="1467700983">
      <w:marLeft w:val="0"/>
      <w:marRight w:val="0"/>
      <w:marTop w:val="0"/>
      <w:marBottom w:val="0"/>
      <w:divBdr>
        <w:top w:val="none" w:sz="0" w:space="0" w:color="auto"/>
        <w:left w:val="none" w:sz="0" w:space="0" w:color="auto"/>
        <w:bottom w:val="none" w:sz="0" w:space="0" w:color="auto"/>
        <w:right w:val="none" w:sz="0" w:space="0" w:color="auto"/>
      </w:divBdr>
    </w:div>
    <w:div w:id="1816265093">
      <w:bodyDiv w:val="1"/>
      <w:marLeft w:val="0"/>
      <w:marRight w:val="0"/>
      <w:marTop w:val="0"/>
      <w:marBottom w:val="0"/>
      <w:divBdr>
        <w:top w:val="none" w:sz="0" w:space="0" w:color="auto"/>
        <w:left w:val="none" w:sz="0" w:space="0" w:color="auto"/>
        <w:bottom w:val="none" w:sz="0" w:space="0" w:color="auto"/>
        <w:right w:val="none" w:sz="0" w:space="0" w:color="auto"/>
      </w:divBdr>
    </w:div>
    <w:div w:id="1843470401">
      <w:bodyDiv w:val="1"/>
      <w:marLeft w:val="0"/>
      <w:marRight w:val="0"/>
      <w:marTop w:val="0"/>
      <w:marBottom w:val="0"/>
      <w:divBdr>
        <w:top w:val="none" w:sz="0" w:space="0" w:color="auto"/>
        <w:left w:val="none" w:sz="0" w:space="0" w:color="auto"/>
        <w:bottom w:val="none" w:sz="0" w:space="0" w:color="auto"/>
        <w:right w:val="none" w:sz="0" w:space="0" w:color="auto"/>
      </w:divBdr>
    </w:div>
    <w:div w:id="214527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tandards.org.au" TargetMode="External"/><Relationship Id="rId13" Type="http://schemas.openxmlformats.org/officeDocument/2006/relationships/hyperlink" Target="http://www.ahrinet.org" TargetMode="External"/><Relationship Id="rId18" Type="http://schemas.openxmlformats.org/officeDocument/2006/relationships/hyperlink" Target="http://www.ess.nsw.gov.au/Methods_for_calculating_energy_savings/Commercial_Lightin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hrinet.org" TargetMode="External"/><Relationship Id="rId17" Type="http://schemas.openxmlformats.org/officeDocument/2006/relationships/hyperlink" Target="http://www.ess.nsw.gov.au/Projects_and_equipment/Lighting_Technologies/Using_Lighting_Technologies_for_Commercial_Lightin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urovent-certification.com"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rinet.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hrinet.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data.gov.au/dataset/energy-rating-for-household-appliances/resource/0973a476-eb0c-45e6-9a18-054f74307843" TargetMode="External"/><Relationship Id="rId19" Type="http://schemas.openxmlformats.org/officeDocument/2006/relationships/hyperlink" Target="http://www.energyrating.gov.au/products-themes/refrigeration/domestic-refrigeration/meps/" TargetMode="External"/><Relationship Id="rId4" Type="http://schemas.openxmlformats.org/officeDocument/2006/relationships/settings" Target="settings.xml"/><Relationship Id="rId9" Type="http://schemas.openxmlformats.org/officeDocument/2006/relationships/hyperlink" Target="http://www.abcb.gov.au" TargetMode="External"/><Relationship Id="rId14" Type="http://schemas.openxmlformats.org/officeDocument/2006/relationships/hyperlink" Target="https://data.gov.au/dataset/energy-rating-for-household-appliances/resource/0973a476-eb0c-45e6-9a18-054f74307843"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82ED1-44D9-4142-A275-7B736F286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25715</Words>
  <Characters>136583</Characters>
  <Application>Microsoft Office Word</Application>
  <DocSecurity>0</DocSecurity>
  <Lines>3865</Lines>
  <Paragraphs>2375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160813</CharactersWithSpaces>
  <SharedDoc>false</SharedDoc>
  <HLinks>
    <vt:vector size="66" baseType="variant">
      <vt:variant>
        <vt:i4>1769488</vt:i4>
      </vt:variant>
      <vt:variant>
        <vt:i4>339</vt:i4>
      </vt:variant>
      <vt:variant>
        <vt:i4>0</vt:i4>
      </vt:variant>
      <vt:variant>
        <vt:i4>5</vt:i4>
      </vt:variant>
      <vt:variant>
        <vt:lpwstr>http://www.energyrating.gov.au/products-themes/refrigeration/domestic-refrigeration/meps/</vt:lpwstr>
      </vt:variant>
      <vt:variant>
        <vt:lpwstr/>
      </vt:variant>
      <vt:variant>
        <vt:i4>1179772</vt:i4>
      </vt:variant>
      <vt:variant>
        <vt:i4>333</vt:i4>
      </vt:variant>
      <vt:variant>
        <vt:i4>0</vt:i4>
      </vt:variant>
      <vt:variant>
        <vt:i4>5</vt:i4>
      </vt:variant>
      <vt:variant>
        <vt:lpwstr>http://www.ess.nsw.gov.au/Methods_for_calculating_energy_savings/Commercial_Lighting</vt:lpwstr>
      </vt:variant>
      <vt:variant>
        <vt:lpwstr/>
      </vt:variant>
      <vt:variant>
        <vt:i4>5308502</vt:i4>
      </vt:variant>
      <vt:variant>
        <vt:i4>330</vt:i4>
      </vt:variant>
      <vt:variant>
        <vt:i4>0</vt:i4>
      </vt:variant>
      <vt:variant>
        <vt:i4>5</vt:i4>
      </vt:variant>
      <vt:variant>
        <vt:lpwstr>http://www.ess.nsw.gov.au/Projects_and_equipment/Lighting_Technologies/Using_Lighting_Technologies_for_Commercial_Lighting</vt:lpwstr>
      </vt:variant>
      <vt:variant>
        <vt:lpwstr/>
      </vt:variant>
      <vt:variant>
        <vt:i4>6815778</vt:i4>
      </vt:variant>
      <vt:variant>
        <vt:i4>291</vt:i4>
      </vt:variant>
      <vt:variant>
        <vt:i4>0</vt:i4>
      </vt:variant>
      <vt:variant>
        <vt:i4>5</vt:i4>
      </vt:variant>
      <vt:variant>
        <vt:lpwstr>http://www.eurovent-certification.com/</vt:lpwstr>
      </vt:variant>
      <vt:variant>
        <vt:lpwstr/>
      </vt:variant>
      <vt:variant>
        <vt:i4>2752616</vt:i4>
      </vt:variant>
      <vt:variant>
        <vt:i4>288</vt:i4>
      </vt:variant>
      <vt:variant>
        <vt:i4>0</vt:i4>
      </vt:variant>
      <vt:variant>
        <vt:i4>5</vt:i4>
      </vt:variant>
      <vt:variant>
        <vt:lpwstr>http://www.ahrinet.org/</vt:lpwstr>
      </vt:variant>
      <vt:variant>
        <vt:lpwstr/>
      </vt:variant>
      <vt:variant>
        <vt:i4>786437</vt:i4>
      </vt:variant>
      <vt:variant>
        <vt:i4>285</vt:i4>
      </vt:variant>
      <vt:variant>
        <vt:i4>0</vt:i4>
      </vt:variant>
      <vt:variant>
        <vt:i4>5</vt:i4>
      </vt:variant>
      <vt:variant>
        <vt:lpwstr>https://data.gov.au/dataset/energy-rating-for-household-appliances/resource/0973a476-eb0c-45e6-9a18-054f74307843</vt:lpwstr>
      </vt:variant>
      <vt:variant>
        <vt:lpwstr/>
      </vt:variant>
      <vt:variant>
        <vt:i4>2752616</vt:i4>
      </vt:variant>
      <vt:variant>
        <vt:i4>270</vt:i4>
      </vt:variant>
      <vt:variant>
        <vt:i4>0</vt:i4>
      </vt:variant>
      <vt:variant>
        <vt:i4>5</vt:i4>
      </vt:variant>
      <vt:variant>
        <vt:lpwstr>http://www.ahrinet.org/</vt:lpwstr>
      </vt:variant>
      <vt:variant>
        <vt:lpwstr/>
      </vt:variant>
      <vt:variant>
        <vt:i4>2752616</vt:i4>
      </vt:variant>
      <vt:variant>
        <vt:i4>249</vt:i4>
      </vt:variant>
      <vt:variant>
        <vt:i4>0</vt:i4>
      </vt:variant>
      <vt:variant>
        <vt:i4>5</vt:i4>
      </vt:variant>
      <vt:variant>
        <vt:lpwstr>http://www.ahrinet.org/</vt:lpwstr>
      </vt:variant>
      <vt:variant>
        <vt:lpwstr/>
      </vt:variant>
      <vt:variant>
        <vt:i4>2752616</vt:i4>
      </vt:variant>
      <vt:variant>
        <vt:i4>231</vt:i4>
      </vt:variant>
      <vt:variant>
        <vt:i4>0</vt:i4>
      </vt:variant>
      <vt:variant>
        <vt:i4>5</vt:i4>
      </vt:variant>
      <vt:variant>
        <vt:lpwstr>http://www.ahrinet.org/</vt:lpwstr>
      </vt:variant>
      <vt:variant>
        <vt:lpwstr/>
      </vt:variant>
      <vt:variant>
        <vt:i4>786437</vt:i4>
      </vt:variant>
      <vt:variant>
        <vt:i4>228</vt:i4>
      </vt:variant>
      <vt:variant>
        <vt:i4>0</vt:i4>
      </vt:variant>
      <vt:variant>
        <vt:i4>5</vt:i4>
      </vt:variant>
      <vt:variant>
        <vt:lpwstr>https://data.gov.au/dataset/energy-rating-for-household-appliances/resource/0973a476-eb0c-45e6-9a18-054f74307843</vt:lpwstr>
      </vt:variant>
      <vt:variant>
        <vt:lpwstr/>
      </vt:variant>
      <vt:variant>
        <vt:i4>1704008</vt:i4>
      </vt:variant>
      <vt:variant>
        <vt:i4>0</vt:i4>
      </vt:variant>
      <vt:variant>
        <vt:i4>0</vt:i4>
      </vt:variant>
      <vt:variant>
        <vt:i4>5</vt:i4>
      </vt:variant>
      <vt:variant>
        <vt:lpwstr>http://www.standards.org.au/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2020-04-30T02:19:00Z</cp:lastPrinted>
  <dcterms:created xsi:type="dcterms:W3CDTF">2020-07-24T02:47:00Z</dcterms:created>
  <dcterms:modified xsi:type="dcterms:W3CDTF">2020-07-24T02:47:00Z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A25661483</vt:lpwstr>
  </property>
  <property fmtid="{D5CDD505-2E9C-101B-9397-08002B2CF9AE}" pid="4" name="Objective-Title">
    <vt:lpwstr>Att A - EEIS (Eligible Activities) DI</vt:lpwstr>
  </property>
  <property fmtid="{D5CDD505-2E9C-101B-9397-08002B2CF9AE}" pid="5" name="Objective-Comment">
    <vt:lpwstr/>
  </property>
  <property fmtid="{D5CDD505-2E9C-101B-9397-08002B2CF9AE}" pid="6" name="Objective-CreationStamp">
    <vt:filetime>2020-05-27T08:23:30Z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2020-07-19T23:53:12Z</vt:filetime>
  </property>
  <property fmtid="{D5CDD505-2E9C-101B-9397-08002B2CF9AE}" pid="10" name="Objective-ModificationStamp">
    <vt:filetime>2020-07-19T23:53:12Z</vt:filetime>
  </property>
  <property fmtid="{D5CDD505-2E9C-101B-9397-08002B2CF9AE}" pid="11" name="Objective-Owner">
    <vt:lpwstr>Anne Pentony</vt:lpwstr>
  </property>
  <property fmtid="{D5CDD505-2E9C-101B-9397-08002B2CF9AE}" pid="12" name="Objective-Path">
    <vt:lpwstr>Whole of ACT Government:EPSDD - Environment Planning and Sustainable Development Directorate:07. Ministerial, Cabinet and Government Relations:06. Ministerials:2020 - Ministerial and Chief Ministerial Briefs / Correspondence:Climate Change &amp; Sustainabilit</vt:lpwstr>
  </property>
  <property fmtid="{D5CDD505-2E9C-101B-9397-08002B2CF9AE}" pid="13" name="Objective-Parent">
    <vt:lpwstr>20/16403 Ministerial-Information Brief - Instruments for notification for the Energy Efficiency Improvement Scheme</vt:lpwstr>
  </property>
  <property fmtid="{D5CDD505-2E9C-101B-9397-08002B2CF9AE}" pid="14" name="Objective-State">
    <vt:lpwstr>Published</vt:lpwstr>
  </property>
  <property fmtid="{D5CDD505-2E9C-101B-9397-08002B2CF9AE}" pid="15" name="Objective-Version">
    <vt:lpwstr>18.0</vt:lpwstr>
  </property>
  <property fmtid="{D5CDD505-2E9C-101B-9397-08002B2CF9AE}" pid="16" name="Objective-VersionNumber">
    <vt:r8>30</vt:r8>
  </property>
  <property fmtid="{D5CDD505-2E9C-101B-9397-08002B2CF9AE}" pid="17" name="Objective-VersionComment">
    <vt:lpwstr/>
  </property>
  <property fmtid="{D5CDD505-2E9C-101B-9397-08002B2CF9AE}" pid="18" name="Objective-FileNumber">
    <vt:lpwstr>1-2020/16403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Add Place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ies>
</file>