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28D6" w14:textId="77777777" w:rsidR="000C0068" w:rsidRDefault="000C0068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3B2F6CFD" w14:textId="77777777" w:rsidR="000C0068" w:rsidRDefault="000C0068" w:rsidP="00307AC4">
      <w:pPr>
        <w:spacing w:before="700" w:after="100"/>
        <w:ind w:right="-334"/>
        <w:rPr>
          <w:rFonts w:ascii="Arial" w:hAnsi="Arial" w:cs="Arial"/>
          <w:b/>
          <w:bCs/>
          <w:sz w:val="40"/>
          <w:szCs w:val="40"/>
        </w:rPr>
      </w:pPr>
      <w:bookmarkStart w:id="1" w:name="Citation"/>
      <w:r>
        <w:rPr>
          <w:rFonts w:ascii="Arial" w:hAnsi="Arial" w:cs="Arial"/>
          <w:b/>
          <w:bCs/>
          <w:sz w:val="40"/>
          <w:szCs w:val="40"/>
        </w:rPr>
        <w:t xml:space="preserve">Legislative Assembly (Members’ Staff) Deemed Date Of Termination Of Employment Of Members’ Staff </w:t>
      </w:r>
      <w:r w:rsidR="00F76519">
        <w:rPr>
          <w:rFonts w:ascii="Arial" w:hAnsi="Arial" w:cs="Arial"/>
          <w:b/>
          <w:bCs/>
          <w:sz w:val="40"/>
          <w:szCs w:val="40"/>
        </w:rPr>
        <w:t xml:space="preserve">Direction </w:t>
      </w:r>
      <w:r w:rsidRPr="00BE3A32">
        <w:rPr>
          <w:rFonts w:ascii="Arial" w:hAnsi="Arial" w:cs="Arial"/>
          <w:b/>
          <w:bCs/>
          <w:sz w:val="40"/>
          <w:szCs w:val="40"/>
        </w:rPr>
        <w:t>20</w:t>
      </w:r>
      <w:bookmarkEnd w:id="1"/>
      <w:r w:rsidR="008F6837" w:rsidRPr="00BE3A32">
        <w:rPr>
          <w:rFonts w:ascii="Arial" w:hAnsi="Arial" w:cs="Arial"/>
          <w:b/>
          <w:bCs/>
          <w:sz w:val="40"/>
          <w:szCs w:val="40"/>
        </w:rPr>
        <w:t>20 (No 1)</w:t>
      </w:r>
    </w:p>
    <w:p w14:paraId="2574F82F" w14:textId="77777777" w:rsidR="000C0068" w:rsidRDefault="000C0068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460F1A">
        <w:rPr>
          <w:rFonts w:ascii="Arial" w:hAnsi="Arial" w:cs="Arial"/>
          <w:b/>
          <w:bCs/>
        </w:rPr>
        <w:t>DI</w:t>
      </w:r>
      <w:r w:rsidR="00B505C8" w:rsidRPr="00BE3A32">
        <w:rPr>
          <w:rFonts w:ascii="Arial" w:hAnsi="Arial" w:cs="Arial"/>
          <w:b/>
          <w:bCs/>
        </w:rPr>
        <w:t>20</w:t>
      </w:r>
      <w:r w:rsidR="008F6837" w:rsidRPr="00BE3A32">
        <w:rPr>
          <w:rFonts w:ascii="Arial" w:hAnsi="Arial" w:cs="Arial"/>
          <w:b/>
          <w:bCs/>
        </w:rPr>
        <w:t>20</w:t>
      </w:r>
      <w:r w:rsidR="00B505C8">
        <w:rPr>
          <w:rFonts w:ascii="Arial" w:hAnsi="Arial" w:cs="Arial"/>
          <w:b/>
          <w:bCs/>
        </w:rPr>
        <w:t>-</w:t>
      </w:r>
      <w:r w:rsidR="00881B7F">
        <w:rPr>
          <w:rFonts w:ascii="Arial" w:hAnsi="Arial" w:cs="Arial"/>
          <w:b/>
          <w:bCs/>
        </w:rPr>
        <w:t>251</w:t>
      </w:r>
    </w:p>
    <w:p w14:paraId="1361E77D" w14:textId="77777777" w:rsidR="000C0068" w:rsidRDefault="000C0068">
      <w:pPr>
        <w:spacing w:before="240" w:after="120"/>
      </w:pPr>
      <w:r>
        <w:t>made under the</w:t>
      </w:r>
    </w:p>
    <w:p w14:paraId="2DFA53AB" w14:textId="77777777" w:rsidR="000C0068" w:rsidRDefault="000C0068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Legislative Assembly (Members’ Staff) Act 1989, s 13 (5) (Termination of employment)</w:t>
      </w:r>
    </w:p>
    <w:p w14:paraId="776895DE" w14:textId="77777777" w:rsidR="000C0068" w:rsidRDefault="000C0068">
      <w:pPr>
        <w:pStyle w:val="N-line3"/>
        <w:pBdr>
          <w:bottom w:val="none" w:sz="0" w:space="0" w:color="auto"/>
        </w:pBdr>
      </w:pPr>
    </w:p>
    <w:p w14:paraId="024A622F" w14:textId="77777777" w:rsidR="000C0068" w:rsidRDefault="000C0068">
      <w:pPr>
        <w:pStyle w:val="N-line3"/>
        <w:pBdr>
          <w:top w:val="single" w:sz="12" w:space="1" w:color="auto"/>
          <w:bottom w:val="none" w:sz="0" w:space="0" w:color="auto"/>
        </w:pBdr>
      </w:pPr>
    </w:p>
    <w:p w14:paraId="7AA5545A" w14:textId="77777777" w:rsidR="000C0068" w:rsidRDefault="000C0068">
      <w:pPr>
        <w:pStyle w:val="AH5Sec"/>
      </w:pPr>
      <w:r>
        <w:rPr>
          <w:rStyle w:val="CharSectNo"/>
          <w:rFonts w:cs="Arial"/>
        </w:rPr>
        <w:t>1</w:t>
      </w:r>
      <w:r>
        <w:tab/>
        <w:t>Name of instrument</w:t>
      </w:r>
    </w:p>
    <w:p w14:paraId="33A1F224" w14:textId="77777777" w:rsidR="000C0068" w:rsidRDefault="000C0068">
      <w:pPr>
        <w:pStyle w:val="Amainreturn"/>
      </w:pPr>
      <w:r>
        <w:t xml:space="preserve">This instrument is the </w:t>
      </w:r>
      <w:r>
        <w:rPr>
          <w:rStyle w:val="charItals"/>
        </w:rPr>
        <w:t xml:space="preserve">Legislative Assembly (Members’ Staff) Deemed Date of Termination of Employment of Members’ Staff </w:t>
      </w:r>
      <w:r w:rsidR="00FA2622">
        <w:rPr>
          <w:rStyle w:val="charItals"/>
        </w:rPr>
        <w:t xml:space="preserve">Direction </w:t>
      </w:r>
      <w:r w:rsidRPr="00BE3A32">
        <w:rPr>
          <w:rStyle w:val="charItals"/>
        </w:rPr>
        <w:t>20</w:t>
      </w:r>
      <w:r w:rsidR="008F6837" w:rsidRPr="00BE3A32">
        <w:rPr>
          <w:rStyle w:val="charItals"/>
        </w:rPr>
        <w:t>20 (No 1)</w:t>
      </w:r>
      <w:r w:rsidRPr="00BE3A32">
        <w:t>.</w:t>
      </w:r>
    </w:p>
    <w:p w14:paraId="66D319C8" w14:textId="77777777" w:rsidR="000C0068" w:rsidRDefault="000C0068">
      <w:pPr>
        <w:pStyle w:val="AH5Sec"/>
      </w:pPr>
      <w:r>
        <w:rPr>
          <w:rStyle w:val="CharSectNo"/>
          <w:rFonts w:cs="Arial"/>
        </w:rPr>
        <w:t>2</w:t>
      </w:r>
      <w:r>
        <w:tab/>
        <w:t>Commencement</w:t>
      </w:r>
    </w:p>
    <w:p w14:paraId="4B90EB2B" w14:textId="77777777" w:rsidR="000C0068" w:rsidRDefault="000C0068">
      <w:pPr>
        <w:pStyle w:val="Amainreturn"/>
      </w:pPr>
      <w:r>
        <w:t>This instrument commences on the day after its notification day.</w:t>
      </w:r>
    </w:p>
    <w:p w14:paraId="119A9E7A" w14:textId="77777777" w:rsidR="000C0068" w:rsidRDefault="000C0068">
      <w:pPr>
        <w:pStyle w:val="AH5Sec"/>
      </w:pPr>
      <w:r>
        <w:rPr>
          <w:rStyle w:val="CharSectNo"/>
          <w:rFonts w:cs="Arial"/>
        </w:rPr>
        <w:t>3</w:t>
      </w:r>
      <w:r>
        <w:tab/>
        <w:t>Notes</w:t>
      </w:r>
    </w:p>
    <w:p w14:paraId="73BE573A" w14:textId="77777777" w:rsidR="000C0068" w:rsidRDefault="000C0068" w:rsidP="00307AC4">
      <w:pPr>
        <w:pStyle w:val="Amainreturn"/>
        <w:keepNext/>
        <w:ind w:right="-334"/>
        <w:jc w:val="left"/>
        <w:rPr>
          <w:rFonts w:ascii="Arial" w:hAnsi="Arial" w:cs="Arial"/>
        </w:rPr>
      </w:pPr>
      <w:r>
        <w:t>A note included in this instrument is explanatory and is not part of this instrument.</w:t>
      </w:r>
    </w:p>
    <w:p w14:paraId="68255304" w14:textId="77777777" w:rsidR="000C0068" w:rsidRDefault="000C0068">
      <w:pPr>
        <w:pStyle w:val="aNote"/>
      </w:pPr>
      <w:r>
        <w:rPr>
          <w:rStyle w:val="charItals"/>
        </w:rPr>
        <w:t>Note</w:t>
      </w:r>
      <w:r>
        <w:rPr>
          <w:rStyle w:val="charItals"/>
        </w:rPr>
        <w:tab/>
      </w:r>
      <w:r>
        <w:t>See Legislation Act, s 127 (1), (4) and (5) for the legal status of notes.</w:t>
      </w:r>
    </w:p>
    <w:p w14:paraId="7AEE9F89" w14:textId="77777777" w:rsidR="000C0068" w:rsidRDefault="000C0068">
      <w:pPr>
        <w:pStyle w:val="AH5Sec"/>
        <w:rPr>
          <w:rStyle w:val="charItals"/>
          <w:rFonts w:cs="Arial"/>
        </w:rPr>
      </w:pPr>
      <w:r>
        <w:rPr>
          <w:rStyle w:val="CharSectNo"/>
          <w:rFonts w:cs="Arial"/>
        </w:rPr>
        <w:t>4</w:t>
      </w:r>
      <w:r>
        <w:tab/>
        <w:t>Definition</w:t>
      </w:r>
    </w:p>
    <w:p w14:paraId="2F6B37DE" w14:textId="77777777" w:rsidR="000C0068" w:rsidRDefault="000C0068">
      <w:pPr>
        <w:pStyle w:val="Amainreturn"/>
        <w:keepNext/>
      </w:pPr>
      <w:r>
        <w:t>In this instrument:</w:t>
      </w:r>
    </w:p>
    <w:p w14:paraId="3F4B051B" w14:textId="77777777" w:rsidR="00B82858" w:rsidRPr="00B82858" w:rsidRDefault="00B82858" w:rsidP="00535F69">
      <w:pPr>
        <w:pStyle w:val="aDef"/>
        <w:ind w:right="-618"/>
        <w:rPr>
          <w:rStyle w:val="charBoldItals"/>
          <w:b w:val="0"/>
          <w:i w:val="0"/>
        </w:rPr>
      </w:pPr>
      <w:r>
        <w:rPr>
          <w:rStyle w:val="charBoldItals"/>
        </w:rPr>
        <w:t>Act</w:t>
      </w:r>
      <w:r>
        <w:rPr>
          <w:rStyle w:val="charBoldItals"/>
          <w:b w:val="0"/>
          <w:i w:val="0"/>
        </w:rPr>
        <w:t xml:space="preserve"> means </w:t>
      </w:r>
      <w:r>
        <w:rPr>
          <w:lang w:eastAsia="en-AU"/>
        </w:rPr>
        <w:t xml:space="preserve">the </w:t>
      </w:r>
      <w:r w:rsidRPr="00751AFA">
        <w:rPr>
          <w:i/>
          <w:lang w:eastAsia="en-AU"/>
        </w:rPr>
        <w:t>Legislative Assembly (Members’ Staff) Act 1989</w:t>
      </w:r>
      <w:r>
        <w:rPr>
          <w:lang w:eastAsia="en-AU"/>
        </w:rPr>
        <w:t>.</w:t>
      </w:r>
    </w:p>
    <w:p w14:paraId="3C0FC542" w14:textId="77777777" w:rsidR="000C0068" w:rsidRDefault="000C0068" w:rsidP="00535F69">
      <w:pPr>
        <w:pStyle w:val="aDef"/>
        <w:ind w:right="-618"/>
      </w:pPr>
      <w:r>
        <w:rPr>
          <w:rStyle w:val="charBoldItals"/>
        </w:rPr>
        <w:t xml:space="preserve">member </w:t>
      </w:r>
      <w:r>
        <w:t xml:space="preserve">means a member of the </w:t>
      </w:r>
      <w:r w:rsidR="00535F69">
        <w:t xml:space="preserve">Legislative </w:t>
      </w:r>
      <w:r>
        <w:t>Assembly other than an office-holder.</w:t>
      </w:r>
    </w:p>
    <w:p w14:paraId="440F56C2" w14:textId="77777777" w:rsidR="00BE7E12" w:rsidRDefault="00BE7E12" w:rsidP="003E4AE1">
      <w:pPr>
        <w:pStyle w:val="aDef"/>
        <w:spacing w:before="18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1B802BE4" w14:textId="77777777" w:rsidR="00BE7E12" w:rsidRDefault="00BE7E12" w:rsidP="00BE7E12">
      <w:pPr>
        <w:pStyle w:val="aDef"/>
        <w:ind w:left="0"/>
        <w:rPr>
          <w:bCs/>
        </w:rPr>
      </w:pPr>
      <w:r>
        <w:rPr>
          <w:rFonts w:ascii="Arial" w:hAnsi="Arial" w:cs="Arial"/>
          <w:b/>
          <w:bCs/>
        </w:rPr>
        <w:tab/>
      </w:r>
      <w:r w:rsidR="008F6837" w:rsidRPr="00BE3A32">
        <w:rPr>
          <w:bCs/>
        </w:rPr>
        <w:t>DI2015-76</w:t>
      </w:r>
      <w:r w:rsidR="004243AB" w:rsidRPr="00BE3A32">
        <w:rPr>
          <w:bCs/>
        </w:rPr>
        <w:t xml:space="preserve"> is revoked</w:t>
      </w:r>
      <w:r w:rsidR="004243AB">
        <w:rPr>
          <w:bCs/>
        </w:rPr>
        <w:t>.</w:t>
      </w:r>
    </w:p>
    <w:p w14:paraId="1F209462" w14:textId="77777777" w:rsidR="000C0068" w:rsidRDefault="000C0068">
      <w:pPr>
        <w:pStyle w:val="AH5Sec"/>
      </w:pPr>
      <w:r>
        <w:rPr>
          <w:rStyle w:val="CharSectNo"/>
          <w:rFonts w:cs="Arial"/>
        </w:rPr>
        <w:t>6</w:t>
      </w:r>
      <w:r>
        <w:tab/>
        <w:t>Approval for Act, s 13</w:t>
      </w:r>
    </w:p>
    <w:p w14:paraId="3FE9432D" w14:textId="77777777" w:rsidR="000C0068" w:rsidRDefault="000C0068">
      <w:pPr>
        <w:pStyle w:val="Amainreturn"/>
      </w:pPr>
      <w:r>
        <w:t>This instrument directs that the employment of part 3 employees under the Act is deemed not to have been terminated and to have continued, or to continue, until a specified date, section 13.</w:t>
      </w:r>
    </w:p>
    <w:p w14:paraId="72C2EB70" w14:textId="77777777" w:rsidR="000C0068" w:rsidRDefault="000C0068">
      <w:pPr>
        <w:pStyle w:val="Amainreturn"/>
        <w:ind w:left="1254" w:hanging="513"/>
        <w:rPr>
          <w:sz w:val="20"/>
          <w:szCs w:val="20"/>
        </w:rPr>
      </w:pPr>
      <w:r>
        <w:rPr>
          <w:rStyle w:val="charItals"/>
          <w:sz w:val="20"/>
          <w:szCs w:val="20"/>
        </w:rPr>
        <w:t>Note</w:t>
      </w:r>
      <w:r>
        <w:rPr>
          <w:rStyle w:val="charItals"/>
          <w:sz w:val="20"/>
          <w:szCs w:val="20"/>
        </w:rPr>
        <w:tab/>
      </w:r>
      <w:r>
        <w:rPr>
          <w:sz w:val="20"/>
          <w:szCs w:val="20"/>
        </w:rPr>
        <w:t>Staff are also employed subject to terms of employm</w:t>
      </w:r>
      <w:r w:rsidR="0095030C">
        <w:rPr>
          <w:sz w:val="20"/>
          <w:szCs w:val="20"/>
        </w:rPr>
        <w:t>e</w:t>
      </w:r>
      <w:r w:rsidR="00B505C8">
        <w:rPr>
          <w:sz w:val="20"/>
          <w:szCs w:val="20"/>
        </w:rPr>
        <w:t>nt under any award or enterprise</w:t>
      </w:r>
      <w:r>
        <w:rPr>
          <w:sz w:val="20"/>
          <w:szCs w:val="20"/>
        </w:rPr>
        <w:t xml:space="preserve"> agreement under the </w:t>
      </w:r>
      <w:r w:rsidR="00B505C8">
        <w:rPr>
          <w:rStyle w:val="charItals"/>
          <w:sz w:val="20"/>
          <w:szCs w:val="20"/>
        </w:rPr>
        <w:t>Fair Work Act 2009</w:t>
      </w:r>
      <w:r>
        <w:rPr>
          <w:rStyle w:val="charItals"/>
          <w:sz w:val="20"/>
          <w:szCs w:val="20"/>
        </w:rPr>
        <w:t xml:space="preserve"> </w:t>
      </w:r>
      <w:r w:rsidR="00AC59A5">
        <w:rPr>
          <w:sz w:val="20"/>
          <w:szCs w:val="20"/>
        </w:rPr>
        <w:t>(</w:t>
      </w:r>
      <w:proofErr w:type="spellStart"/>
      <w:r w:rsidR="00AC59A5">
        <w:rPr>
          <w:sz w:val="20"/>
          <w:szCs w:val="20"/>
        </w:rPr>
        <w:t>C</w:t>
      </w:r>
      <w:r>
        <w:rPr>
          <w:sz w:val="20"/>
          <w:szCs w:val="20"/>
        </w:rPr>
        <w:t>th</w:t>
      </w:r>
      <w:proofErr w:type="spellEnd"/>
      <w:r>
        <w:rPr>
          <w:sz w:val="20"/>
          <w:szCs w:val="20"/>
        </w:rPr>
        <w:t>) that applies to members’ staff.</w:t>
      </w:r>
    </w:p>
    <w:p w14:paraId="3ACF1C94" w14:textId="77777777" w:rsidR="000C0068" w:rsidRDefault="000C0068">
      <w:pPr>
        <w:pStyle w:val="AH5Sec"/>
      </w:pPr>
      <w:r>
        <w:rPr>
          <w:rStyle w:val="CharSectNo"/>
          <w:rFonts w:cs="Arial"/>
        </w:rPr>
        <w:t>7</w:t>
      </w:r>
      <w:r>
        <w:tab/>
        <w:t>Class of persons to whom this direction applies</w:t>
      </w:r>
    </w:p>
    <w:p w14:paraId="36881B07" w14:textId="77777777" w:rsidR="000C0068" w:rsidRDefault="000C0068">
      <w:pPr>
        <w:pStyle w:val="Amainreturn"/>
        <w:ind w:left="743"/>
      </w:pPr>
      <w:r>
        <w:t>This direction applies to the class of persons whose employment</w:t>
      </w:r>
      <w:r w:rsidR="0066408C">
        <w:t xml:space="preserve"> ceased, or</w:t>
      </w:r>
      <w:r>
        <w:t xml:space="preserve"> would have ceased</w:t>
      </w:r>
      <w:r w:rsidR="0066408C">
        <w:t>,</w:t>
      </w:r>
      <w:r>
        <w:t xml:space="preserve"> by </w:t>
      </w:r>
      <w:r w:rsidR="0066408C">
        <w:t xml:space="preserve">the </w:t>
      </w:r>
      <w:r>
        <w:t>operation of subsection 13(1) of the Act.</w:t>
      </w:r>
    </w:p>
    <w:p w14:paraId="1E81BD67" w14:textId="77777777" w:rsidR="000C0068" w:rsidRDefault="000C0068">
      <w:pPr>
        <w:pStyle w:val="AH5Sec"/>
      </w:pPr>
      <w:r>
        <w:rPr>
          <w:rStyle w:val="CharSectNo"/>
          <w:rFonts w:cs="Arial"/>
        </w:rPr>
        <w:lastRenderedPageBreak/>
        <w:t>8</w:t>
      </w:r>
      <w:r>
        <w:tab/>
        <w:t>Termination of employment</w:t>
      </w:r>
    </w:p>
    <w:p w14:paraId="724BD46F" w14:textId="77777777" w:rsidR="000C0068" w:rsidRDefault="000C0068" w:rsidP="003D7E55">
      <w:pPr>
        <w:pStyle w:val="Amain"/>
      </w:pPr>
      <w:r>
        <w:tab/>
        <w:t>(1)</w:t>
      </w:r>
      <w:r>
        <w:tab/>
        <w:t>The class of persons to whom this direction applies are deemed to continue in employment until the date of the declaration of the poll or the date that is</w:t>
      </w:r>
      <w:r w:rsidR="00BE4AFC">
        <w:t xml:space="preserve"> four weeks</w:t>
      </w:r>
      <w:r>
        <w:t xml:space="preserve"> after polling day, whichever date is later, where a member—</w:t>
      </w:r>
    </w:p>
    <w:p w14:paraId="6221931E" w14:textId="77777777" w:rsidR="000C0068" w:rsidRDefault="000C0068" w:rsidP="003D7E55">
      <w:pPr>
        <w:pStyle w:val="Amain"/>
        <w:numPr>
          <w:ilvl w:val="0"/>
          <w:numId w:val="2"/>
        </w:numPr>
        <w:tabs>
          <w:tab w:val="clear" w:pos="500"/>
          <w:tab w:val="clear" w:pos="700"/>
          <w:tab w:val="clear" w:pos="1101"/>
          <w:tab w:val="right" w:pos="741"/>
          <w:tab w:val="num" w:pos="1254"/>
        </w:tabs>
        <w:ind w:left="1254" w:hanging="513"/>
      </w:pPr>
      <w:r>
        <w:t xml:space="preserve">ceases to be a member on the polling day for a general election by virtue of section 10 of the </w:t>
      </w:r>
      <w:r>
        <w:rPr>
          <w:i/>
          <w:iCs/>
        </w:rPr>
        <w:t>Australian Capital Territory (Self-Government) Act 1988</w:t>
      </w:r>
      <w:r>
        <w:t>; and</w:t>
      </w:r>
    </w:p>
    <w:p w14:paraId="3D15DC36" w14:textId="77777777" w:rsidR="000C0068" w:rsidRDefault="000C0068" w:rsidP="003D7E55">
      <w:pPr>
        <w:pStyle w:val="Amain"/>
        <w:numPr>
          <w:ilvl w:val="0"/>
          <w:numId w:val="2"/>
        </w:numPr>
        <w:tabs>
          <w:tab w:val="clear" w:pos="500"/>
          <w:tab w:val="clear" w:pos="700"/>
          <w:tab w:val="clear" w:pos="1101"/>
          <w:tab w:val="right" w:pos="741"/>
          <w:tab w:val="num" w:pos="1254"/>
        </w:tabs>
        <w:ind w:left="1254" w:hanging="513"/>
      </w:pPr>
      <w:r>
        <w:t>has nominated for re-election at that general election.</w:t>
      </w:r>
    </w:p>
    <w:p w14:paraId="0AADD631" w14:textId="77777777" w:rsidR="004243AB" w:rsidRPr="00BE3A32" w:rsidRDefault="004243AB" w:rsidP="003D7E55">
      <w:pPr>
        <w:pStyle w:val="Amain"/>
      </w:pPr>
      <w:r>
        <w:tab/>
      </w:r>
      <w:r w:rsidRPr="00BE3A32">
        <w:t>(2)</w:t>
      </w:r>
      <w:r w:rsidRPr="00BE3A32">
        <w:tab/>
        <w:t>The class of persons to whom this direction applies are deemed to be on leave without pay until the date of the declaration of the poll, where—</w:t>
      </w:r>
    </w:p>
    <w:p w14:paraId="49FECFB8" w14:textId="77777777" w:rsidR="004243AB" w:rsidRPr="00BE3A32" w:rsidRDefault="004243AB" w:rsidP="003D7E55">
      <w:pPr>
        <w:pStyle w:val="Amain"/>
        <w:numPr>
          <w:ilvl w:val="0"/>
          <w:numId w:val="4"/>
        </w:numPr>
        <w:tabs>
          <w:tab w:val="clear" w:pos="500"/>
          <w:tab w:val="clear" w:pos="700"/>
          <w:tab w:val="clear" w:pos="1101"/>
          <w:tab w:val="right" w:pos="741"/>
          <w:tab w:val="num" w:pos="1276"/>
        </w:tabs>
        <w:ind w:left="1276" w:hanging="567"/>
      </w:pPr>
      <w:r w:rsidRPr="00BE3A32">
        <w:t xml:space="preserve">their employing member ceases to be a member on the polling day for a general election by virtue of section 10 of the </w:t>
      </w:r>
      <w:r w:rsidRPr="00BE3A32">
        <w:rPr>
          <w:i/>
          <w:iCs/>
        </w:rPr>
        <w:t>Australian Capital Territory (Self-Government) Act 1988</w:t>
      </w:r>
      <w:r w:rsidRPr="00BE3A32">
        <w:t xml:space="preserve"> and has not nominated for re-election at that general election; and</w:t>
      </w:r>
    </w:p>
    <w:p w14:paraId="4F73AF58" w14:textId="77777777" w:rsidR="004243AB" w:rsidRPr="00BE3A32" w:rsidRDefault="004243AB" w:rsidP="003D7E55">
      <w:pPr>
        <w:pStyle w:val="Amain"/>
        <w:numPr>
          <w:ilvl w:val="0"/>
          <w:numId w:val="4"/>
        </w:numPr>
        <w:tabs>
          <w:tab w:val="clear" w:pos="500"/>
          <w:tab w:val="clear" w:pos="700"/>
          <w:tab w:val="clear" w:pos="1101"/>
          <w:tab w:val="right" w:pos="741"/>
          <w:tab w:val="num" w:pos="1276"/>
        </w:tabs>
        <w:ind w:left="1254" w:hanging="513"/>
      </w:pPr>
      <w:r w:rsidRPr="00BE3A32">
        <w:t xml:space="preserve">the </w:t>
      </w:r>
      <w:r w:rsidR="00307AC4" w:rsidRPr="00BE3A32">
        <w:t>person</w:t>
      </w:r>
      <w:r w:rsidRPr="00BE3A32">
        <w:t xml:space="preserve"> </w:t>
      </w:r>
      <w:r w:rsidR="00BE3A32" w:rsidRPr="00BE3A32">
        <w:t xml:space="preserve">has an entitlement to a termination payment under the applicable enterprise agreement and </w:t>
      </w:r>
      <w:r w:rsidRPr="00BE3A32">
        <w:t xml:space="preserve">has elected in writing to defer </w:t>
      </w:r>
      <w:r w:rsidR="00307AC4" w:rsidRPr="00BE3A32">
        <w:t xml:space="preserve">the payment of </w:t>
      </w:r>
      <w:r w:rsidRPr="00BE3A32">
        <w:t>their termination payment.</w:t>
      </w:r>
    </w:p>
    <w:p w14:paraId="241A9338" w14:textId="77777777" w:rsidR="000C0068" w:rsidRDefault="000C0068" w:rsidP="003D7E55">
      <w:pPr>
        <w:pStyle w:val="Amain"/>
        <w:tabs>
          <w:tab w:val="clear" w:pos="700"/>
        </w:tabs>
        <w:spacing w:before="180"/>
        <w:ind w:left="709" w:hanging="425"/>
      </w:pPr>
      <w:r w:rsidRPr="00BE3A32">
        <w:t>(</w:t>
      </w:r>
      <w:r w:rsidR="004243AB" w:rsidRPr="00BE3A32">
        <w:t>3</w:t>
      </w:r>
      <w:r w:rsidRPr="00BE3A32">
        <w:t>)</w:t>
      </w:r>
      <w:r>
        <w:tab/>
        <w:t xml:space="preserve">The class of persons to whom this direction applies are deemed to continue in employment until the date that is two weeks after </w:t>
      </w:r>
      <w:r w:rsidR="00312816">
        <w:t xml:space="preserve">the date on which </w:t>
      </w:r>
      <w:r>
        <w:t xml:space="preserve">the employment </w:t>
      </w:r>
      <w:r w:rsidR="00312816">
        <w:t xml:space="preserve">would </w:t>
      </w:r>
      <w:r>
        <w:t>otherwise have terminated, where a member—</w:t>
      </w:r>
    </w:p>
    <w:p w14:paraId="2A8E936D" w14:textId="77777777" w:rsidR="000C0068" w:rsidRDefault="000C0068" w:rsidP="003D7E55">
      <w:pPr>
        <w:pStyle w:val="Amain"/>
        <w:numPr>
          <w:ilvl w:val="0"/>
          <w:numId w:val="3"/>
        </w:numPr>
        <w:tabs>
          <w:tab w:val="clear" w:pos="500"/>
          <w:tab w:val="clear" w:pos="700"/>
          <w:tab w:val="right" w:pos="741"/>
        </w:tabs>
      </w:pPr>
      <w:r>
        <w:t>dies; or</w:t>
      </w:r>
    </w:p>
    <w:p w14:paraId="3ABA8C66" w14:textId="77777777" w:rsidR="000C0068" w:rsidRDefault="000C0068" w:rsidP="003D7E55">
      <w:pPr>
        <w:pStyle w:val="Amain"/>
        <w:numPr>
          <w:ilvl w:val="0"/>
          <w:numId w:val="3"/>
        </w:numPr>
        <w:tabs>
          <w:tab w:val="clear" w:pos="500"/>
          <w:tab w:val="clear" w:pos="700"/>
          <w:tab w:val="right" w:pos="741"/>
        </w:tabs>
      </w:pPr>
      <w:r>
        <w:t xml:space="preserve">ceases to be a member in circumstances other than those set out in paragraph (1) </w:t>
      </w:r>
      <w:r w:rsidR="004A2145" w:rsidRPr="00BE3A32">
        <w:t>or paragraph (2)</w:t>
      </w:r>
      <w:r w:rsidR="004A2145">
        <w:t xml:space="preserve"> </w:t>
      </w:r>
      <w:r>
        <w:t>above.</w:t>
      </w:r>
    </w:p>
    <w:p w14:paraId="21A8E9B1" w14:textId="77777777" w:rsidR="009C6EE3" w:rsidRDefault="009C6EE3" w:rsidP="003D7E55">
      <w:pPr>
        <w:pStyle w:val="Amain"/>
        <w:tabs>
          <w:tab w:val="clear" w:pos="500"/>
          <w:tab w:val="clear" w:pos="700"/>
          <w:tab w:val="left" w:pos="228"/>
          <w:tab w:val="right" w:pos="741"/>
        </w:tabs>
        <w:spacing w:before="180"/>
        <w:ind w:left="697" w:hanging="697"/>
      </w:pPr>
      <w:r w:rsidRPr="008606BB">
        <w:tab/>
      </w:r>
      <w:r w:rsidRPr="00BE3A32">
        <w:t>(</w:t>
      </w:r>
      <w:r w:rsidR="004B6CF9" w:rsidRPr="00BE3A32">
        <w:t>4</w:t>
      </w:r>
      <w:r w:rsidRPr="00BE3A32">
        <w:t>)</w:t>
      </w:r>
      <w:r w:rsidRPr="008606BB">
        <w:tab/>
        <w:t>The period of deemed continued employment set out</w:t>
      </w:r>
      <w:r w:rsidR="004A2145">
        <w:t>:</w:t>
      </w:r>
      <w:r w:rsidRPr="008606BB">
        <w:t xml:space="preserve"> </w:t>
      </w:r>
    </w:p>
    <w:p w14:paraId="6819ED76" w14:textId="77777777" w:rsidR="004A2145" w:rsidRDefault="004A2145" w:rsidP="003D7E55">
      <w:pPr>
        <w:pStyle w:val="Amain"/>
        <w:tabs>
          <w:tab w:val="clear" w:pos="500"/>
          <w:tab w:val="clear" w:pos="700"/>
          <w:tab w:val="left" w:pos="228"/>
        </w:tabs>
        <w:spacing w:before="180"/>
        <w:ind w:left="1418" w:hanging="697"/>
      </w:pPr>
      <w:r>
        <w:t>(a)</w:t>
      </w:r>
      <w:r>
        <w:tab/>
      </w:r>
      <w:r w:rsidRPr="008606BB">
        <w:t>in paragraph</w:t>
      </w:r>
      <w:r>
        <w:t>s</w:t>
      </w:r>
      <w:r w:rsidRPr="008606BB">
        <w:t xml:space="preserve"> (1) </w:t>
      </w:r>
      <w:r>
        <w:t xml:space="preserve">and </w:t>
      </w:r>
      <w:r w:rsidRPr="00BE3A32">
        <w:t>(3)</w:t>
      </w:r>
      <w:r>
        <w:t xml:space="preserve"> above constitute</w:t>
      </w:r>
      <w:r w:rsidRPr="008606BB">
        <w:t xml:space="preserve"> notice for the purposes of the </w:t>
      </w:r>
      <w:r>
        <w:rPr>
          <w:i/>
        </w:rPr>
        <w:t>Fair Work</w:t>
      </w:r>
      <w:r w:rsidRPr="008606BB">
        <w:rPr>
          <w:i/>
        </w:rPr>
        <w:t xml:space="preserve"> Act </w:t>
      </w:r>
      <w:r>
        <w:rPr>
          <w:i/>
        </w:rPr>
        <w:t>2009</w:t>
      </w:r>
      <w:r w:rsidRPr="008606BB">
        <w:t xml:space="preserve"> and </w:t>
      </w:r>
      <w:r>
        <w:t xml:space="preserve">payment </w:t>
      </w:r>
      <w:r w:rsidRPr="008606BB">
        <w:t xml:space="preserve">for </w:t>
      </w:r>
      <w:r>
        <w:t xml:space="preserve">the purpose of </w:t>
      </w:r>
      <w:r w:rsidRPr="008606BB">
        <w:t>any termination payments made pursuant to the applicable</w:t>
      </w:r>
      <w:r>
        <w:t xml:space="preserve"> enterprise</w:t>
      </w:r>
      <w:r w:rsidRPr="008606BB">
        <w:t xml:space="preserve"> agreement</w:t>
      </w:r>
      <w:r>
        <w:t>, in respect to part 3 employees who are not subsequently re-employed</w:t>
      </w:r>
      <w:r w:rsidRPr="008606BB">
        <w:t>.</w:t>
      </w:r>
    </w:p>
    <w:p w14:paraId="45B7B09E" w14:textId="77777777" w:rsidR="004A2145" w:rsidRDefault="004A2145" w:rsidP="003D7E55">
      <w:pPr>
        <w:pStyle w:val="Amain"/>
        <w:tabs>
          <w:tab w:val="clear" w:pos="500"/>
          <w:tab w:val="clear" w:pos="700"/>
          <w:tab w:val="left" w:pos="228"/>
        </w:tabs>
        <w:spacing w:before="180"/>
        <w:ind w:left="1418" w:hanging="697"/>
      </w:pPr>
      <w:r w:rsidRPr="00BE3A32">
        <w:t>(b)</w:t>
      </w:r>
      <w:r w:rsidRPr="00BE3A32">
        <w:tab/>
        <w:t>in paragraph (2) above will not count as service for the purpose of the accrual of any leave entitlements or any termination payment made pursuant to the applicable enterprise agreement</w:t>
      </w:r>
      <w:r w:rsidR="00A3272B" w:rsidRPr="00BE3A32">
        <w:t xml:space="preserve"> but will not break the continuity of a part 3 employee’s employment</w:t>
      </w:r>
      <w:r w:rsidRPr="00BE3A32">
        <w:t>.</w:t>
      </w:r>
    </w:p>
    <w:p w14:paraId="32FF74B1" w14:textId="77777777" w:rsidR="005C04B6" w:rsidRPr="0077081D" w:rsidRDefault="005C04B6" w:rsidP="003D7E55">
      <w:pPr>
        <w:pStyle w:val="Amain"/>
        <w:tabs>
          <w:tab w:val="clear" w:pos="500"/>
          <w:tab w:val="clear" w:pos="700"/>
          <w:tab w:val="left" w:pos="228"/>
          <w:tab w:val="right" w:pos="741"/>
        </w:tabs>
        <w:spacing w:before="180"/>
        <w:ind w:left="697" w:hanging="697"/>
      </w:pPr>
      <w:r w:rsidRPr="0077081D">
        <w:tab/>
      </w:r>
      <w:r w:rsidRPr="00BE3A32">
        <w:t>(</w:t>
      </w:r>
      <w:r w:rsidR="004B6CF9" w:rsidRPr="00BE3A32">
        <w:t>5</w:t>
      </w:r>
      <w:r w:rsidRPr="00BE3A32">
        <w:t>)</w:t>
      </w:r>
      <w:r w:rsidRPr="0077081D">
        <w:tab/>
      </w:r>
      <w:r w:rsidR="0077081D" w:rsidRPr="0077081D">
        <w:t xml:space="preserve">Notwithstanding the </w:t>
      </w:r>
      <w:proofErr w:type="spellStart"/>
      <w:r w:rsidR="0077081D" w:rsidRPr="0077081D">
        <w:t>aforegoing</w:t>
      </w:r>
      <w:proofErr w:type="spellEnd"/>
      <w:r w:rsidR="0077081D" w:rsidRPr="0077081D">
        <w:t>, the period of deemed continued employment referred to above shall end if, during that period, a part 3 employee resigns in accordance with subsection 13(4) of the Act.</w:t>
      </w:r>
    </w:p>
    <w:p w14:paraId="0D2C753C" w14:textId="77777777" w:rsidR="005C04B6" w:rsidRPr="0056021F" w:rsidRDefault="005C04B6">
      <w:pPr>
        <w:pStyle w:val="BodyText"/>
        <w:tabs>
          <w:tab w:val="left" w:pos="4536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9A247B" w14:textId="77777777" w:rsidR="002F3F27" w:rsidRDefault="00AC59A5" w:rsidP="00AC59A5">
      <w:pPr>
        <w:pStyle w:val="BodyText"/>
        <w:tabs>
          <w:tab w:val="left" w:pos="3261"/>
          <w:tab w:val="left" w:pos="5103"/>
        </w:tabs>
        <w:ind w:left="3261" w:hanging="326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Dated</w:t>
      </w:r>
      <w:r w:rsidR="007F12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81B7F">
        <w:rPr>
          <w:rFonts w:ascii="Times New Roman" w:hAnsi="Times New Roman" w:cs="Times New Roman"/>
          <w:b w:val="0"/>
          <w:bCs w:val="0"/>
          <w:sz w:val="24"/>
          <w:szCs w:val="24"/>
        </w:rPr>
        <w:t>17 August</w:t>
      </w:r>
      <w:r w:rsidR="004A2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A2145" w:rsidRPr="00BE3A32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</w:p>
    <w:p w14:paraId="1D7690E6" w14:textId="77777777" w:rsidR="000C0068" w:rsidRPr="00BE3A32" w:rsidRDefault="000C0068">
      <w:pPr>
        <w:jc w:val="both"/>
        <w:rPr>
          <w:sz w:val="20"/>
          <w:szCs w:val="20"/>
        </w:rPr>
      </w:pPr>
    </w:p>
    <w:p w14:paraId="68A1981A" w14:textId="77777777" w:rsidR="000C0068" w:rsidRPr="00BE3A32" w:rsidRDefault="000C0068">
      <w:pPr>
        <w:jc w:val="both"/>
        <w:rPr>
          <w:sz w:val="20"/>
          <w:szCs w:val="20"/>
        </w:rPr>
      </w:pPr>
    </w:p>
    <w:p w14:paraId="1A550167" w14:textId="77777777" w:rsidR="000C0068" w:rsidRDefault="00B505C8">
      <w:pPr>
        <w:jc w:val="both"/>
      </w:pPr>
      <w:r>
        <w:t>Andrew Barr</w:t>
      </w:r>
    </w:p>
    <w:p w14:paraId="4A238BBB" w14:textId="77777777" w:rsidR="000C0068" w:rsidRDefault="000C0068">
      <w:pPr>
        <w:spacing w:before="40"/>
      </w:pPr>
      <w:r>
        <w:rPr>
          <w:rStyle w:val="charItals"/>
        </w:rPr>
        <w:t>Chief Minister</w:t>
      </w:r>
    </w:p>
    <w:sectPr w:rsidR="000C0068" w:rsidSect="00CC3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47" w:right="1797" w:bottom="1135" w:left="1797" w:header="720" w:footer="292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8D33A" w14:textId="77777777" w:rsidR="005E2171" w:rsidRDefault="005E2171">
      <w:r>
        <w:separator/>
      </w:r>
    </w:p>
  </w:endnote>
  <w:endnote w:type="continuationSeparator" w:id="0">
    <w:p w14:paraId="567E100A" w14:textId="77777777" w:rsidR="005E2171" w:rsidRDefault="005E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5A18" w14:textId="77777777" w:rsidR="000F71BA" w:rsidRDefault="000F71BA">
    <w:pPr>
      <w:pStyle w:val="Footer"/>
      <w:tabs>
        <w:tab w:val="left" w:pos="1995"/>
        <w:tab w:val="left" w:pos="7353"/>
      </w:tabs>
      <w:spacing w:after="0"/>
    </w:pPr>
    <w:r>
      <w:t>page 2</w:t>
    </w:r>
    <w:r>
      <w:tab/>
      <w:t>Legislative Assembly (Members’ Staff) Deemed Date Of</w:t>
    </w:r>
    <w:r>
      <w:tab/>
      <w:t>DI</w:t>
    </w:r>
    <w:r w:rsidRPr="00BE3A32">
      <w:t>20</w:t>
    </w:r>
    <w:r w:rsidR="004A2145" w:rsidRPr="00BE3A32">
      <w:t>20</w:t>
    </w:r>
    <w:r>
      <w:t>-</w:t>
    </w:r>
    <w:r w:rsidR="00881B7F">
      <w:t>251</w:t>
    </w:r>
  </w:p>
  <w:p w14:paraId="57C41CFD" w14:textId="77777777" w:rsidR="000A6B6A" w:rsidRDefault="000F71BA">
    <w:pPr>
      <w:pStyle w:val="Footer"/>
      <w:tabs>
        <w:tab w:val="left" w:pos="2052"/>
        <w:tab w:val="left" w:pos="7068"/>
      </w:tabs>
      <w:spacing w:before="0"/>
    </w:pPr>
    <w:r>
      <w:tab/>
      <w:t xml:space="preserve"> Termination Of Employment Of Members’ Staff </w:t>
    </w:r>
    <w:r w:rsidRPr="00BE3A32">
      <w:t>20</w:t>
    </w:r>
    <w:r w:rsidR="004A2145" w:rsidRPr="00BE3A32">
      <w:t>20 (No 1)</w:t>
    </w:r>
  </w:p>
  <w:p w14:paraId="199900B0" w14:textId="77777777" w:rsidR="00CC307E" w:rsidRPr="00BA024F" w:rsidRDefault="00BA024F" w:rsidP="00BA024F">
    <w:pPr>
      <w:pStyle w:val="Footer"/>
      <w:tabs>
        <w:tab w:val="left" w:pos="2052"/>
        <w:tab w:val="left" w:pos="7068"/>
      </w:tabs>
      <w:spacing w:before="0"/>
      <w:jc w:val="center"/>
      <w:rPr>
        <w:sz w:val="14"/>
        <w:szCs w:val="14"/>
      </w:rPr>
    </w:pPr>
    <w:r w:rsidRPr="00BA024F">
      <w:rPr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4527"/>
      <w:gridCol w:w="1553"/>
    </w:tblGrid>
    <w:tr w:rsidR="000F71BA" w14:paraId="7EC9FA9B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5305EA" w14:textId="77777777" w:rsidR="000F71BA" w:rsidRDefault="000F71BA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16B82D" w14:textId="77777777" w:rsidR="000F71BA" w:rsidRDefault="000F71BA">
          <w:pPr>
            <w:pStyle w:val="Footer"/>
            <w:jc w:val="center"/>
          </w:pPr>
          <w:fldSimple w:instr=" REF Citation *\charformat  \* MERGEFORMAT ">
            <w:r w:rsidRPr="000F71BA">
              <w:t>Legislative Assembly (Members’ Staff) Deemed Date Of Termination Of Employment Of</w:t>
            </w:r>
            <w:r>
              <w:rPr>
                <w:b/>
                <w:bCs/>
                <w:sz w:val="40"/>
                <w:szCs w:val="40"/>
              </w:rPr>
              <w:t xml:space="preserve"> Members’ Staff Direction 20</w:t>
            </w:r>
          </w:fldSimple>
          <w:r>
            <w:br/>
          </w:r>
          <w:fldSimple w:instr=" DOCPROPERTY &quot;Eff&quot;  ">
            <w:r>
              <w:t xml:space="preserve"> </w:t>
            </w:r>
          </w:fldSimple>
          <w:fldSimple w:instr=" DOCPROPERTY &quot;StartDt&quot;   ">
            <w:r>
              <w:t xml:space="preserve">  </w:t>
            </w:r>
          </w:fldSimple>
          <w:fldSimple w:instr=" DOCPROPERTY &quot;EndDt&quot;  ">
            <w:r>
              <w:t xml:space="preserve">  </w:t>
            </w:r>
          </w:fldSimple>
        </w:p>
      </w:tc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A46BD7" w14:textId="77777777" w:rsidR="000F71BA" w:rsidRDefault="000F71BA">
          <w:pPr>
            <w:pStyle w:val="Footer"/>
            <w:jc w:val="right"/>
          </w:pPr>
          <w:r>
            <w:t>DI2004-</w:t>
          </w:r>
          <w:r>
            <w:br/>
          </w:r>
          <w:fldSimple w:instr=" DOCPROPERTY &quot;RepubDt&quot;  ">
            <w:r>
              <w:t xml:space="preserve">  </w:t>
            </w:r>
          </w:fldSimple>
        </w:p>
      </w:tc>
    </w:tr>
  </w:tbl>
  <w:p w14:paraId="25A014E8" w14:textId="77777777" w:rsidR="000F71BA" w:rsidRDefault="000F71BA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094EC0DB" w14:textId="77777777" w:rsidR="000A6B6A" w:rsidRDefault="000F71BA" w:rsidP="0083208C">
    <w:pPr>
      <w:pStyle w:val="Footer"/>
      <w:jc w:val="center"/>
      <w:rPr>
        <w:sz w:val="14"/>
        <w:szCs w:val="14"/>
      </w:rPr>
    </w:pPr>
    <w:r w:rsidRPr="0083208C">
      <w:rPr>
        <w:sz w:val="14"/>
        <w:szCs w:val="14"/>
      </w:rPr>
      <w:t>Unauthorised version prepared by ACT Parliamentary Counsel’s Office</w:t>
    </w:r>
  </w:p>
  <w:p w14:paraId="2D494A5B" w14:textId="77777777" w:rsidR="000F71BA" w:rsidRPr="000A6B6A" w:rsidRDefault="000A6B6A" w:rsidP="000A6B6A">
    <w:pPr>
      <w:pStyle w:val="Footer"/>
      <w:jc w:val="center"/>
      <w:rPr>
        <w:sz w:val="14"/>
        <w:szCs w:val="14"/>
      </w:rPr>
    </w:pPr>
    <w:r w:rsidRPr="000A6B6A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053E" w14:textId="77777777" w:rsidR="000A6B6A" w:rsidRPr="00BA024F" w:rsidRDefault="00BA024F" w:rsidP="00BA024F">
    <w:pPr>
      <w:pStyle w:val="Footer"/>
      <w:jc w:val="center"/>
      <w:rPr>
        <w:sz w:val="14"/>
      </w:rPr>
    </w:pPr>
    <w:r w:rsidRPr="00BA024F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716E" w14:textId="77777777" w:rsidR="005E2171" w:rsidRDefault="005E2171">
      <w:r>
        <w:separator/>
      </w:r>
    </w:p>
  </w:footnote>
  <w:footnote w:type="continuationSeparator" w:id="0">
    <w:p w14:paraId="33A2231C" w14:textId="77777777" w:rsidR="005E2171" w:rsidRDefault="005E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7296"/>
    </w:tblGrid>
    <w:tr w:rsidR="000F71BA" w14:paraId="4C420DBB" w14:textId="77777777" w:rsidTr="000F71B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296" w:type="dxa"/>
          <w:tcBorders>
            <w:bottom w:val="single" w:sz="4" w:space="0" w:color="auto"/>
          </w:tcBorders>
        </w:tcPr>
        <w:p w14:paraId="7EA2F29B" w14:textId="7FFE1355" w:rsidR="000F71BA" w:rsidRDefault="000F71BA" w:rsidP="000F71BA">
          <w:pPr>
            <w:pStyle w:val="HeaderEven6"/>
          </w:pPr>
          <w:r>
            <w:t xml:space="preserve">Clause </w:t>
          </w:r>
          <w:fldSimple w:instr=" STYLEREF CharSectNo \*charformat ">
            <w:r w:rsidR="003D7E55">
              <w:rPr>
                <w:noProof/>
              </w:rPr>
              <w:t>8</w:t>
            </w:r>
          </w:fldSimple>
        </w:p>
      </w:tc>
    </w:tr>
  </w:tbl>
  <w:p w14:paraId="1D15AEA7" w14:textId="77777777" w:rsidR="000F71BA" w:rsidRDefault="000F71BA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7669" w14:textId="77777777" w:rsidR="00BA024F" w:rsidRDefault="00BA0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C42D" w14:textId="77777777" w:rsidR="00BA024F" w:rsidRDefault="00BA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D577A"/>
    <w:multiLevelType w:val="hybridMultilevel"/>
    <w:tmpl w:val="4CC2353C"/>
    <w:lvl w:ilvl="0" w:tplc="4C388088">
      <w:start w:val="1"/>
      <w:numFmt w:val="lowerLetter"/>
      <w:lvlText w:val="(%1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2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9432B35"/>
    <w:multiLevelType w:val="hybridMultilevel"/>
    <w:tmpl w:val="4CC2353C"/>
    <w:lvl w:ilvl="0" w:tplc="4C388088">
      <w:start w:val="1"/>
      <w:numFmt w:val="lowerLetter"/>
      <w:lvlText w:val="(%1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458C4AE2"/>
    <w:multiLevelType w:val="hybridMultilevel"/>
    <w:tmpl w:val="E3D85206"/>
    <w:lvl w:ilvl="0" w:tplc="9D2627A2">
      <w:start w:val="1"/>
      <w:numFmt w:val="lowerLetter"/>
      <w:lvlText w:val="(%1)"/>
      <w:lvlJc w:val="left"/>
      <w:pPr>
        <w:tabs>
          <w:tab w:val="num" w:pos="1446"/>
        </w:tabs>
        <w:ind w:left="1446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57"/>
  <w:drawingGridVerticalSpacing w:val="39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0068"/>
    <w:rsid w:val="00004B24"/>
    <w:rsid w:val="0003533A"/>
    <w:rsid w:val="0008796E"/>
    <w:rsid w:val="000A6B6A"/>
    <w:rsid w:val="000B1859"/>
    <w:rsid w:val="000C0068"/>
    <w:rsid w:val="000D6D2A"/>
    <w:rsid w:val="000F71BA"/>
    <w:rsid w:val="001179B6"/>
    <w:rsid w:val="001445A2"/>
    <w:rsid w:val="001550F9"/>
    <w:rsid w:val="0026455E"/>
    <w:rsid w:val="00276990"/>
    <w:rsid w:val="00292028"/>
    <w:rsid w:val="002E7289"/>
    <w:rsid w:val="002F3F27"/>
    <w:rsid w:val="00302C07"/>
    <w:rsid w:val="00307AC4"/>
    <w:rsid w:val="00312816"/>
    <w:rsid w:val="00312949"/>
    <w:rsid w:val="00343156"/>
    <w:rsid w:val="003963B7"/>
    <w:rsid w:val="003D7E55"/>
    <w:rsid w:val="003E4AE1"/>
    <w:rsid w:val="004243AB"/>
    <w:rsid w:val="00436C73"/>
    <w:rsid w:val="00460B62"/>
    <w:rsid w:val="00460F1A"/>
    <w:rsid w:val="004A2145"/>
    <w:rsid w:val="004B6CF9"/>
    <w:rsid w:val="004E2558"/>
    <w:rsid w:val="005052BD"/>
    <w:rsid w:val="00535F69"/>
    <w:rsid w:val="005377B7"/>
    <w:rsid w:val="0056021F"/>
    <w:rsid w:val="00575167"/>
    <w:rsid w:val="005B592E"/>
    <w:rsid w:val="005C04B6"/>
    <w:rsid w:val="005D0604"/>
    <w:rsid w:val="005E2171"/>
    <w:rsid w:val="006168D8"/>
    <w:rsid w:val="006326F7"/>
    <w:rsid w:val="006569BD"/>
    <w:rsid w:val="0066408C"/>
    <w:rsid w:val="006B259D"/>
    <w:rsid w:val="006C5893"/>
    <w:rsid w:val="006D73A3"/>
    <w:rsid w:val="007368F7"/>
    <w:rsid w:val="00745D61"/>
    <w:rsid w:val="007472E7"/>
    <w:rsid w:val="00751AFA"/>
    <w:rsid w:val="00752413"/>
    <w:rsid w:val="00757231"/>
    <w:rsid w:val="0077081D"/>
    <w:rsid w:val="007D6B42"/>
    <w:rsid w:val="007F12AD"/>
    <w:rsid w:val="0083208C"/>
    <w:rsid w:val="008606BB"/>
    <w:rsid w:val="00881B7F"/>
    <w:rsid w:val="008C72CC"/>
    <w:rsid w:val="008F159C"/>
    <w:rsid w:val="008F6837"/>
    <w:rsid w:val="0095030C"/>
    <w:rsid w:val="00950CEE"/>
    <w:rsid w:val="00956265"/>
    <w:rsid w:val="00991A87"/>
    <w:rsid w:val="009C6EE3"/>
    <w:rsid w:val="009D05DA"/>
    <w:rsid w:val="00A101CC"/>
    <w:rsid w:val="00A3272B"/>
    <w:rsid w:val="00AC59A5"/>
    <w:rsid w:val="00AE5B6F"/>
    <w:rsid w:val="00B464DB"/>
    <w:rsid w:val="00B505C8"/>
    <w:rsid w:val="00B5466C"/>
    <w:rsid w:val="00B57B66"/>
    <w:rsid w:val="00B65B01"/>
    <w:rsid w:val="00B82858"/>
    <w:rsid w:val="00BA024F"/>
    <w:rsid w:val="00BC3BC9"/>
    <w:rsid w:val="00BE3A32"/>
    <w:rsid w:val="00BE47C4"/>
    <w:rsid w:val="00BE4AFC"/>
    <w:rsid w:val="00BE7E12"/>
    <w:rsid w:val="00C06EE7"/>
    <w:rsid w:val="00C20137"/>
    <w:rsid w:val="00CC307E"/>
    <w:rsid w:val="00CE3116"/>
    <w:rsid w:val="00E3690C"/>
    <w:rsid w:val="00E96DED"/>
    <w:rsid w:val="00EC33D8"/>
    <w:rsid w:val="00F76519"/>
    <w:rsid w:val="00FA2622"/>
    <w:rsid w:val="00FC6D3B"/>
    <w:rsid w:val="00FD1400"/>
    <w:rsid w:val="00FD2A62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4382BC"/>
  <w14:defaultImageDpi w14:val="0"/>
  <w15:docId w15:val="{AEC4A72C-FF4B-4C1C-B7ED-082C656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ind w:left="2160" w:hanging="2160"/>
    </w:pPr>
    <w:rPr>
      <w:rFonts w:ascii="Arial" w:hAnsi="Arial" w:cs="Arial"/>
      <w:b/>
      <w:bCs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BillBasic">
    <w:name w:val="BillBasic"/>
    <w:uiPriority w:val="99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customStyle="1" w:styleId="Apara">
    <w:name w:val="A para"/>
    <w:basedOn w:val="BillBasic"/>
    <w:uiPriority w:val="99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main">
    <w:name w:val="A main"/>
    <w:basedOn w:val="BillBasic"/>
    <w:uiPriority w:val="99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character" w:customStyle="1" w:styleId="charItals">
    <w:name w:val="charItals"/>
    <w:basedOn w:val="DefaultParagraphFont"/>
    <w:uiPriority w:val="99"/>
    <w:rPr>
      <w:rFonts w:cs="Times New Roman"/>
      <w:i/>
      <w:iCs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styleId="TOC7">
    <w:name w:val="toc 7"/>
    <w:basedOn w:val="TOC2"/>
    <w:next w:val="Normal"/>
    <w:autoRedefine/>
    <w:uiPriority w:val="99"/>
    <w:pPr>
      <w:keepNext w:val="0"/>
      <w:spacing w:before="12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customStyle="1" w:styleId="Endnote1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320" w:after="60"/>
    </w:pPr>
    <w:rPr>
      <w:rFonts w:ascii="Arial" w:hAnsi="Arial" w:cs="Arial"/>
      <w:b/>
      <w:bCs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H4SubDiv">
    <w:name w:val="I H4 SubDiv"/>
    <w:basedOn w:val="BillBasicHeading"/>
    <w:next w:val="IH5Sec"/>
    <w:uiPriority w:val="99"/>
    <w:pPr>
      <w:keepNext/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keepNext/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  <w:basedOn w:val="DefaultParagraphFont"/>
    <w:uiPriority w:val="99"/>
    <w:rPr>
      <w:rFonts w:cs="Times New Roman"/>
    </w:rPr>
  </w:style>
  <w:style w:type="character" w:customStyle="1" w:styleId="CharDivNo">
    <w:name w:val="CharDivNo"/>
    <w:basedOn w:val="DefaultParagraphFont"/>
    <w:uiPriority w:val="99"/>
    <w:rPr>
      <w:rFonts w:cs="Times New Roman"/>
    </w:rPr>
  </w:style>
  <w:style w:type="character" w:customStyle="1" w:styleId="CharDivText">
    <w:name w:val="CharDivText"/>
    <w:basedOn w:val="DefaultParagraphFont"/>
    <w:uiPriority w:val="99"/>
    <w:rPr>
      <w:rFonts w:cs="Times New Roman"/>
    </w:rPr>
  </w:style>
  <w:style w:type="character" w:customStyle="1" w:styleId="CharPartNo">
    <w:name w:val="CharPartNo"/>
    <w:basedOn w:val="DefaultParagraphFont"/>
    <w:uiPriority w:val="99"/>
    <w:rPr>
      <w:rFonts w:cs="Times New Roman"/>
    </w:rPr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CharChapNo">
    <w:name w:val="CharChapNo"/>
    <w:basedOn w:val="DefaultParagraphFont"/>
    <w:uiPriority w:val="99"/>
    <w:rPr>
      <w:rFonts w:cs="Times New Roman"/>
    </w:rPr>
  </w:style>
  <w:style w:type="character" w:customStyle="1" w:styleId="CharChapText">
    <w:name w:val="CharChapText"/>
    <w:basedOn w:val="DefaultParagraphFont"/>
    <w:uiPriority w:val="99"/>
    <w:rPr>
      <w:rFonts w:cs="Times New Roman"/>
    </w:rPr>
  </w:style>
  <w:style w:type="character" w:customStyle="1" w:styleId="CharPartText">
    <w:name w:val="CharPartText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140"/>
        <w:tab w:val="right" w:pos="7695"/>
      </w:tabs>
      <w:spacing w:before="240" w:after="20"/>
      <w:ind w:left="579" w:right="601" w:hanging="6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pPr>
      <w:keepNext w:val="0"/>
    </w:pPr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spacing w:before="0" w:after="40"/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keepNext/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spacing w:before="0" w:after="40"/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spacing w:before="0" w:after="40"/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spacing w:after="40"/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character" w:customStyle="1" w:styleId="charBold">
    <w:name w:val="charBold"/>
    <w:basedOn w:val="DefaultParagraphFont"/>
    <w:uiPriority w:val="99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Pr>
      <w:rFonts w:cs="Times New Roman"/>
      <w:b/>
      <w:bCs/>
      <w:i/>
      <w:iCs/>
    </w:rPr>
  </w:style>
  <w:style w:type="character" w:customStyle="1" w:styleId="charUnderline">
    <w:name w:val="charUnderline"/>
    <w:basedOn w:val="DefaultParagraphFont"/>
    <w:uiPriority w:val="99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right" w:pos="960"/>
      </w:tabs>
      <w:spacing w:after="40"/>
      <w:ind w:left="1200" w:hanging="1200"/>
      <w:jc w:val="both"/>
    </w:pPr>
  </w:style>
  <w:style w:type="paragraph" w:customStyle="1" w:styleId="tablepara">
    <w:name w:val="table para"/>
    <w:basedOn w:val="Normal"/>
    <w:uiPriority w:val="99"/>
    <w:pPr>
      <w:tabs>
        <w:tab w:val="right" w:pos="400"/>
        <w:tab w:val="left" w:pos="700"/>
      </w:tabs>
      <w:spacing w:before="80" w:after="60"/>
      <w:ind w:left="700" w:hanging="700"/>
    </w:pPr>
  </w:style>
  <w:style w:type="paragraph" w:customStyle="1" w:styleId="tablesubpara">
    <w:name w:val="table subpara"/>
    <w:basedOn w:val="Normal"/>
    <w:uiPriority w:val="99"/>
    <w:pPr>
      <w:tabs>
        <w:tab w:val="right" w:pos="1100"/>
        <w:tab w:val="left" w:pos="1400"/>
      </w:tabs>
      <w:spacing w:before="80" w:after="60"/>
      <w:ind w:left="1400" w:hanging="1400"/>
    </w:pPr>
  </w:style>
  <w:style w:type="paragraph" w:customStyle="1" w:styleId="TableText">
    <w:name w:val="TableText"/>
    <w:basedOn w:val="Normal"/>
    <w:uiPriority w:val="99"/>
    <w:pPr>
      <w:spacing w:before="60" w:after="60"/>
    </w:pPr>
  </w:style>
  <w:style w:type="paragraph" w:customStyle="1" w:styleId="IshadedH5Sec">
    <w:name w:val="I shaded H5 Sec"/>
    <w:basedOn w:val="AH5Sec"/>
    <w:uiPriority w:val="99"/>
    <w:pPr>
      <w:shd w:val="pct15" w:color="auto" w:fill="auto"/>
      <w:outlineLvl w:val="9"/>
    </w:pPr>
  </w:style>
  <w:style w:type="paragraph" w:customStyle="1" w:styleId="IshadedSchClause">
    <w:name w:val="I shaded Sch Clause"/>
    <w:basedOn w:val="ShadedSchClause"/>
    <w:uiPriority w:val="99"/>
    <w:pPr>
      <w:outlineLvl w:val="9"/>
    </w:pPr>
  </w:style>
  <w:style w:type="paragraph" w:customStyle="1" w:styleId="Penalty">
    <w:name w:val="Penalty"/>
    <w:basedOn w:val="Amainreturn"/>
    <w:uiPriority w:val="99"/>
  </w:style>
  <w:style w:type="paragraph" w:customStyle="1" w:styleId="aNoteText">
    <w:name w:val="aNoteText"/>
    <w:basedOn w:val="aNote"/>
    <w:uiPriority w:val="99"/>
    <w:pPr>
      <w:spacing w:before="20"/>
      <w:ind w:firstLine="0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600"/>
    </w:pPr>
    <w:rPr>
      <w:b/>
      <w:bCs/>
      <w:sz w:val="26"/>
      <w:szCs w:val="26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CoverInForce">
    <w:name w:val="CoverInForce"/>
    <w:basedOn w:val="BillBasicHeading"/>
    <w:uiPriority w:val="99"/>
    <w:pPr>
      <w:spacing w:before="200"/>
      <w:jc w:val="left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Asamby">
    <w:name w:val="As am by"/>
    <w:basedOn w:val="Normal"/>
    <w:next w:val="NewAct"/>
    <w:uiPriority w:val="99"/>
    <w:pPr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EndNoteTextEPS">
    <w:name w:val="EndNoteTextEPS"/>
    <w:basedOn w:val="Normal"/>
    <w:uiPriority w:val="99"/>
    <w:pPr>
      <w:spacing w:after="40"/>
      <w:ind w:left="700"/>
      <w:jc w:val="both"/>
    </w:pPr>
    <w:rPr>
      <w:sz w:val="20"/>
      <w:szCs w:val="20"/>
    </w:r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left" w:pos="700"/>
      </w:tabs>
      <w:spacing w:before="280"/>
      <w:ind w:left="700" w:hanging="7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basedOn w:val="DefaultParagraphFont"/>
    <w:uiPriority w:val="99"/>
    <w:rPr>
      <w:rFonts w:cs="Times New Roman"/>
    </w:rPr>
  </w:style>
  <w:style w:type="character" w:customStyle="1" w:styleId="charTableText">
    <w:name w:val="charTableText"/>
    <w:basedOn w:val="DefaultParagraphFont"/>
    <w:uiPriority w:val="99"/>
    <w:rPr>
      <w:rFonts w:cs="Times New Roman"/>
    </w:rPr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styleId="TOC9">
    <w:name w:val="toc 9"/>
    <w:basedOn w:val="Normal"/>
    <w:next w:val="Normal"/>
    <w:autoRedefine/>
    <w:uiPriority w:val="99"/>
    <w:pPr>
      <w:ind w:left="1920" w:right="600"/>
    </w:p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spacing w:before="60"/>
      <w:ind w:left="2300" w:hanging="1300"/>
    </w:pPr>
    <w:rPr>
      <w:sz w:val="18"/>
      <w:szCs w:val="18"/>
    </w:r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EarlierRepubHdg">
    <w:name w:val="EarlierRepubHdg"/>
    <w:basedOn w:val="Normal"/>
    <w:uiPriority w:val="99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RenumProvHdg">
    <w:name w:val="RenumProvHdg"/>
    <w:basedOn w:val="Normal"/>
    <w:uiPriority w:val="99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uiPriority w:val="99"/>
    <w:rPr>
      <w:rFonts w:ascii="Arial" w:hAnsi="Arial" w:cs="Arial"/>
      <w:b/>
      <w:bCs/>
      <w:sz w:val="22"/>
      <w:szCs w:val="22"/>
    </w:rPr>
  </w:style>
  <w:style w:type="paragraph" w:customStyle="1" w:styleId="RenumTableHdg">
    <w:name w:val="RenumTableHdg"/>
    <w:basedOn w:val="Normal"/>
    <w:uiPriority w:val="99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EPSCoverTop">
    <w:name w:val="EPSCoverTop"/>
    <w:basedOn w:val="Normal"/>
    <w:uiPriority w:val="99"/>
    <w:pPr>
      <w:jc w:val="right"/>
    </w:pPr>
    <w:rPr>
      <w:rFonts w:ascii="Arial" w:hAnsi="Arial" w:cs="Arial"/>
      <w:sz w:val="20"/>
      <w:szCs w:val="20"/>
    </w:rPr>
  </w:style>
  <w:style w:type="paragraph" w:customStyle="1" w:styleId="AmainSymb">
    <w:name w:val="A main Symb"/>
    <w:basedOn w:val="Amain"/>
    <w:uiPriority w:val="99"/>
    <w:pPr>
      <w:tabs>
        <w:tab w:val="clear" w:pos="500"/>
        <w:tab w:val="left" w:pos="0"/>
        <w:tab w:val="right" w:pos="480"/>
      </w:tabs>
      <w:ind w:left="720" w:hanging="1200"/>
    </w:pPr>
  </w:style>
  <w:style w:type="paragraph" w:customStyle="1" w:styleId="AparaSymb">
    <w:name w:val="A para Symb"/>
    <w:basedOn w:val="Apara"/>
    <w:uiPriority w:val="99"/>
    <w:pPr>
      <w:tabs>
        <w:tab w:val="left" w:pos="0"/>
      </w:tabs>
      <w:ind w:hanging="1680"/>
    </w:pPr>
  </w:style>
  <w:style w:type="paragraph" w:customStyle="1" w:styleId="AsubparaSymb">
    <w:name w:val="A subpara Symb"/>
    <w:basedOn w:val="Asubpara"/>
    <w:uiPriority w:val="99"/>
    <w:pPr>
      <w:tabs>
        <w:tab w:val="left" w:pos="0"/>
      </w:tabs>
      <w:ind w:left="1704" w:hanging="2184"/>
    </w:pPr>
  </w:style>
  <w:style w:type="paragraph" w:customStyle="1" w:styleId="RenumProvSubsectEntries">
    <w:name w:val="RenumProvSubsectEntries"/>
    <w:basedOn w:val="RenumProvEntries"/>
    <w:uiPriority w:val="99"/>
    <w:pPr>
      <w:ind w:left="252"/>
    </w:pPr>
  </w:style>
  <w:style w:type="paragraph" w:customStyle="1" w:styleId="Endnote4">
    <w:name w:val="Endnote4"/>
    <w:basedOn w:val="Endnote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0" w:hanging="700"/>
    </w:pPr>
  </w:style>
  <w:style w:type="paragraph" w:customStyle="1" w:styleId="Assectheading">
    <w:name w:val="A ssect heading"/>
    <w:basedOn w:val="Amain"/>
    <w:uiPriority w:val="99"/>
    <w:pPr>
      <w:keepNext/>
      <w:tabs>
        <w:tab w:val="clear" w:pos="500"/>
        <w:tab w:val="clear" w:pos="700"/>
      </w:tabs>
      <w:spacing w:before="240"/>
      <w:ind w:firstLine="0"/>
      <w:outlineLvl w:val="9"/>
    </w:pPr>
    <w:rPr>
      <w:i/>
      <w:iCs/>
    </w:rPr>
  </w:style>
  <w:style w:type="paragraph" w:customStyle="1" w:styleId="LongTitleSymb">
    <w:name w:val="LongTitleSymb"/>
    <w:basedOn w:val="LongTitle"/>
    <w:uiPriority w:val="99"/>
    <w:pPr>
      <w:ind w:hanging="480"/>
    </w:pPr>
  </w:style>
  <w:style w:type="paragraph" w:customStyle="1" w:styleId="EffectiveDate">
    <w:name w:val="EffectiveDate"/>
    <w:basedOn w:val="Normal"/>
    <w:uiPriority w:val="99"/>
    <w:pPr>
      <w:spacing w:before="40" w:after="200"/>
    </w:pPr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276" w:hanging="56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18" w:hanging="709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3089</Characters>
  <Application>Microsoft Office Word</Application>
  <DocSecurity>0</DocSecurity>
  <Lines>73</Lines>
  <Paragraphs>47</Paragraphs>
  <ScaleCrop>false</ScaleCrop>
  <Company>ACT Government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02</cp:keywords>
  <dc:description>2003 184S-1</dc:description>
  <cp:lastModifiedBy>Moxon, KarenL</cp:lastModifiedBy>
  <cp:revision>2</cp:revision>
  <cp:lastPrinted>2015-05-07T01:50:00Z</cp:lastPrinted>
  <dcterms:created xsi:type="dcterms:W3CDTF">2020-08-25T02:04:00Z</dcterms:created>
  <dcterms:modified xsi:type="dcterms:W3CDTF">2020-08-25T02:04:00Z</dcterms:modified>
  <cp:category>DI2003-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Eff">
    <vt:lpwstr> </vt:lpwstr>
  </property>
  <property fmtid="{D5CDD505-2E9C-101B-9397-08002B2CF9AE}" pid="4" name="EndDt">
    <vt:lpwstr>  </vt:lpwstr>
  </property>
  <property fmtid="{D5CDD505-2E9C-101B-9397-08002B2CF9AE}" pid="5" name="RepubDt">
    <vt:lpwstr>  </vt:lpwstr>
  </property>
  <property fmtid="{D5CDD505-2E9C-101B-9397-08002B2CF9AE}" pid="6" name="StartDt">
    <vt:lpwstr>  </vt:lpwstr>
  </property>
</Properties>
</file>