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5232"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71B9F81E" w14:textId="321D9C31" w:rsidR="00F10CB2" w:rsidRPr="005C2604" w:rsidRDefault="001C737C">
      <w:pPr>
        <w:pStyle w:val="Billname"/>
        <w:spacing w:before="700"/>
      </w:pPr>
      <w:r>
        <w:t>Public Place Names</w:t>
      </w:r>
      <w:r w:rsidR="00F10CB2">
        <w:t xml:space="preserve"> (</w:t>
      </w:r>
      <w:r w:rsidR="00B67925">
        <w:t>Taylor</w:t>
      </w:r>
      <w:r w:rsidR="00F10CB2">
        <w:t xml:space="preserve">) </w:t>
      </w:r>
      <w:r>
        <w:t>Determination</w:t>
      </w:r>
      <w:r w:rsidR="00B30B9A">
        <w:t xml:space="preserve"> </w:t>
      </w:r>
      <w:r w:rsidR="00B67925">
        <w:t>2020</w:t>
      </w:r>
      <w:r w:rsidR="00896379">
        <w:t xml:space="preserve"> </w:t>
      </w:r>
      <w:r w:rsidR="00F10CB2">
        <w:t xml:space="preserve">(No </w:t>
      </w:r>
      <w:r w:rsidR="00AE424D" w:rsidRPr="005C2604">
        <w:t>3</w:t>
      </w:r>
      <w:r w:rsidR="00F10CB2" w:rsidRPr="005C2604">
        <w:t>)</w:t>
      </w:r>
      <w:r w:rsidR="001F1298" w:rsidRPr="005C2604">
        <w:t xml:space="preserve"> </w:t>
      </w:r>
    </w:p>
    <w:p w14:paraId="06707A55" w14:textId="05692CE0" w:rsidR="00F10CB2" w:rsidRDefault="00F10CB2" w:rsidP="00D47F13">
      <w:pPr>
        <w:spacing w:before="340"/>
        <w:rPr>
          <w:rFonts w:ascii="Arial" w:hAnsi="Arial" w:cs="Arial"/>
          <w:b/>
          <w:bCs/>
        </w:rPr>
      </w:pPr>
      <w:r>
        <w:rPr>
          <w:rFonts w:ascii="Arial" w:hAnsi="Arial" w:cs="Arial"/>
          <w:b/>
          <w:bCs/>
        </w:rPr>
        <w:t>Disallowable instrument DI</w:t>
      </w:r>
      <w:r w:rsidR="00B67925">
        <w:rPr>
          <w:rFonts w:ascii="Arial" w:hAnsi="Arial" w:cs="Arial"/>
          <w:b/>
          <w:bCs/>
          <w:iCs/>
        </w:rPr>
        <w:t>2020</w:t>
      </w:r>
      <w:r>
        <w:rPr>
          <w:rFonts w:ascii="Arial" w:hAnsi="Arial" w:cs="Arial"/>
          <w:b/>
          <w:bCs/>
        </w:rPr>
        <w:t>–</w:t>
      </w:r>
      <w:r w:rsidR="00981C26">
        <w:rPr>
          <w:rFonts w:ascii="Arial" w:hAnsi="Arial" w:cs="Arial"/>
          <w:b/>
          <w:bCs/>
        </w:rPr>
        <w:t>54</w:t>
      </w:r>
    </w:p>
    <w:p w14:paraId="2411C3DB" w14:textId="493B996D" w:rsidR="00F10CB2" w:rsidRDefault="00F10CB2" w:rsidP="00CD4E55">
      <w:pPr>
        <w:pStyle w:val="madeunder"/>
        <w:spacing w:before="300" w:after="0"/>
      </w:pPr>
      <w:r>
        <w:t>made under the</w:t>
      </w:r>
    </w:p>
    <w:p w14:paraId="58936C25"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2AA89B23" w14:textId="77777777" w:rsidR="00F10CB2" w:rsidRDefault="00F10CB2" w:rsidP="00CD4E55">
      <w:pPr>
        <w:pStyle w:val="N-line3"/>
        <w:pBdr>
          <w:bottom w:val="none" w:sz="0" w:space="0" w:color="auto"/>
        </w:pBdr>
        <w:spacing w:before="60"/>
      </w:pPr>
    </w:p>
    <w:p w14:paraId="2154636F" w14:textId="77777777" w:rsidR="00F10CB2" w:rsidRDefault="00F10CB2">
      <w:pPr>
        <w:pStyle w:val="N-line3"/>
        <w:pBdr>
          <w:top w:val="single" w:sz="12" w:space="1" w:color="auto"/>
          <w:bottom w:val="none" w:sz="0" w:space="0" w:color="auto"/>
        </w:pBdr>
      </w:pPr>
    </w:p>
    <w:p w14:paraId="3D776B5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95EF162" w14:textId="4EE33C24" w:rsidR="00F10CB2" w:rsidRPr="005C2604" w:rsidRDefault="00F10CB2" w:rsidP="00D47F13">
      <w:pPr>
        <w:spacing w:before="140"/>
        <w:ind w:left="720"/>
      </w:pPr>
      <w:r>
        <w:t>This instrument is the</w:t>
      </w:r>
      <w:r w:rsidR="00896379">
        <w:t xml:space="preserve"> </w:t>
      </w:r>
      <w:r w:rsidR="00896379" w:rsidRPr="00896379">
        <w:rPr>
          <w:i/>
          <w:iCs/>
        </w:rPr>
        <w:t>Public Place Names (Taylor) Determination</w:t>
      </w:r>
      <w:r w:rsidR="00A77B79">
        <w:rPr>
          <w:i/>
          <w:iCs/>
        </w:rPr>
        <w:t xml:space="preserve"> </w:t>
      </w:r>
      <w:r w:rsidR="00AE424D">
        <w:rPr>
          <w:i/>
          <w:iCs/>
        </w:rPr>
        <w:t>2020</w:t>
      </w:r>
      <w:r w:rsidR="00A77B79">
        <w:rPr>
          <w:i/>
          <w:iCs/>
        </w:rPr>
        <w:br w:type="textWrapping" w:clear="all"/>
      </w:r>
      <w:r w:rsidR="00AE424D">
        <w:rPr>
          <w:i/>
          <w:iCs/>
        </w:rPr>
        <w:t>(</w:t>
      </w:r>
      <w:r w:rsidR="00AE424D" w:rsidRPr="005C2604">
        <w:rPr>
          <w:i/>
          <w:iCs/>
        </w:rPr>
        <w:t>No 3</w:t>
      </w:r>
      <w:r w:rsidR="00896379" w:rsidRPr="005C2604">
        <w:rPr>
          <w:i/>
          <w:iCs/>
        </w:rPr>
        <w:t>)</w:t>
      </w:r>
      <w:r w:rsidRPr="005C2604">
        <w:rPr>
          <w:bCs/>
          <w:iCs/>
        </w:rPr>
        <w:t>.</w:t>
      </w:r>
    </w:p>
    <w:p w14:paraId="3A5EF639"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818B655" w14:textId="77777777" w:rsidR="00F10CB2" w:rsidRPr="00B67925" w:rsidRDefault="00F10CB2" w:rsidP="00D47F13">
      <w:pPr>
        <w:spacing w:before="140"/>
        <w:ind w:left="720"/>
      </w:pPr>
      <w:r>
        <w:t xml:space="preserve">This instrument commences on </w:t>
      </w:r>
      <w:r w:rsidR="00492788">
        <w:t xml:space="preserve">the day </w:t>
      </w:r>
      <w:r w:rsidR="00492788" w:rsidRPr="00B67925">
        <w:t xml:space="preserve">after </w:t>
      </w:r>
      <w:r w:rsidR="000C501D" w:rsidRPr="00B67925">
        <w:t xml:space="preserve">its </w:t>
      </w:r>
      <w:r w:rsidR="00492788" w:rsidRPr="00B67925">
        <w:t>notification</w:t>
      </w:r>
      <w:r w:rsidR="000C501D" w:rsidRPr="00B67925">
        <w:t xml:space="preserve"> day</w:t>
      </w:r>
      <w:r w:rsidRPr="00B67925">
        <w:t xml:space="preserve">. </w:t>
      </w:r>
    </w:p>
    <w:p w14:paraId="1717BB9D"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04853C9F"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0673574A" w14:textId="77777777" w:rsidR="00D47F13" w:rsidRDefault="00F236C5" w:rsidP="00232478">
      <w:pPr>
        <w:tabs>
          <w:tab w:val="left" w:pos="4320"/>
        </w:tabs>
        <w:spacing w:before="720"/>
      </w:pPr>
      <w:r>
        <w:t>Ben Ponton</w:t>
      </w:r>
    </w:p>
    <w:p w14:paraId="11E855DA" w14:textId="73076211" w:rsidR="00F10CB2" w:rsidRPr="00007411" w:rsidRDefault="001C737C" w:rsidP="00D47F13">
      <w:pPr>
        <w:tabs>
          <w:tab w:val="left" w:pos="4320"/>
        </w:tabs>
      </w:pPr>
      <w:r>
        <w:t>Delegate of the Minister</w:t>
      </w:r>
      <w:r w:rsidR="008F060D">
        <w:t xml:space="preserve"> for Planning and Land Management </w:t>
      </w:r>
    </w:p>
    <w:bookmarkEnd w:id="0"/>
    <w:p w14:paraId="193246DE" w14:textId="2A79DEA5" w:rsidR="00F10CB2" w:rsidRDefault="00981C26" w:rsidP="00232478">
      <w:pPr>
        <w:tabs>
          <w:tab w:val="left" w:pos="4320"/>
        </w:tabs>
      </w:pPr>
      <w:r>
        <w:t>22</w:t>
      </w:r>
      <w:r w:rsidR="00B67925">
        <w:t xml:space="preserve"> April 2020</w:t>
      </w:r>
    </w:p>
    <w:p w14:paraId="38D56EBE" w14:textId="77777777" w:rsidR="001F1298" w:rsidRDefault="001F1298" w:rsidP="00232478">
      <w:pPr>
        <w:tabs>
          <w:tab w:val="left" w:pos="4320"/>
        </w:tabs>
      </w:pPr>
    </w:p>
    <w:p w14:paraId="6F063C6C" w14:textId="77777777" w:rsidR="001F1298" w:rsidRDefault="001F1298" w:rsidP="00232478">
      <w:pPr>
        <w:tabs>
          <w:tab w:val="left" w:pos="4320"/>
        </w:tabs>
      </w:pPr>
    </w:p>
    <w:p w14:paraId="5D48ED6C" w14:textId="77777777" w:rsidR="001F1298" w:rsidRDefault="001F1298" w:rsidP="00232478">
      <w:pPr>
        <w:tabs>
          <w:tab w:val="left" w:pos="4320"/>
        </w:tabs>
      </w:pPr>
    </w:p>
    <w:p w14:paraId="46001C30" w14:textId="77777777"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14:paraId="0D463961" w14:textId="77777777" w:rsidR="003D7174" w:rsidRPr="00513572" w:rsidRDefault="002A039C" w:rsidP="002A039C">
      <w:pPr>
        <w:rPr>
          <w:b/>
          <w:bCs/>
          <w:szCs w:val="28"/>
        </w:rPr>
      </w:pPr>
      <w:r w:rsidRPr="00513572">
        <w:rPr>
          <w:b/>
          <w:bCs/>
          <w:szCs w:val="28"/>
        </w:rPr>
        <w:lastRenderedPageBreak/>
        <w:t>SCHEDULE</w:t>
      </w:r>
    </w:p>
    <w:p w14:paraId="5A13ECD8" w14:textId="77777777" w:rsidR="008A3808" w:rsidRPr="00007411"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894148" w:rsidRPr="00007411">
        <w:rPr>
          <w:rFonts w:ascii="Times New Roman" w:hAnsi="Times New Roman" w:cs="Times New Roman"/>
          <w:sz w:val="24"/>
          <w:szCs w:val="24"/>
        </w:rPr>
        <w:t xml:space="preserve"> </w:t>
      </w:r>
    </w:p>
    <w:p w14:paraId="4971F38F" w14:textId="77777777" w:rsidR="002A039C" w:rsidRDefault="002A039C" w:rsidP="002A039C"/>
    <w:p w14:paraId="33998DAA" w14:textId="77777777" w:rsidR="003D7174" w:rsidRPr="002A039C" w:rsidRDefault="003D7174" w:rsidP="002A039C"/>
    <w:p w14:paraId="24DC8EFF" w14:textId="6088B7DC" w:rsidR="00B63A10" w:rsidRPr="00B63A10" w:rsidRDefault="00AA02C9" w:rsidP="00AA02C9">
      <w:pPr>
        <w:spacing w:before="120" w:after="120"/>
        <w:rPr>
          <w:b/>
          <w:bCs/>
          <w:noProof/>
          <w:szCs w:val="24"/>
        </w:rPr>
      </w:pPr>
      <w:r w:rsidRPr="00AA02C9">
        <w:rPr>
          <w:b/>
          <w:bCs/>
          <w:szCs w:val="24"/>
        </w:rPr>
        <w:t>Division of</w:t>
      </w:r>
      <w:r w:rsidR="00B67925">
        <w:rPr>
          <w:b/>
          <w:bCs/>
          <w:szCs w:val="24"/>
        </w:rPr>
        <w:t xml:space="preserve"> Taylor</w:t>
      </w:r>
      <w:r w:rsidRPr="00AA02C9">
        <w:rPr>
          <w:b/>
          <w:bCs/>
          <w:noProof/>
          <w:szCs w:val="24"/>
        </w:rPr>
        <w:t xml:space="preserve"> – </w:t>
      </w:r>
      <w:r w:rsidR="00B67925">
        <w:rPr>
          <w:b/>
          <w:bCs/>
          <w:noProof/>
          <w:szCs w:val="24"/>
        </w:rPr>
        <w:t>Architecture, town planning and urban design</w:t>
      </w:r>
    </w:p>
    <w:p w14:paraId="2A8FE1DE" w14:textId="442108B0" w:rsidR="002B19A1" w:rsidRPr="002B19A1" w:rsidRDefault="00B63A10" w:rsidP="002B19A1">
      <w:pPr>
        <w:rPr>
          <w:bCs/>
          <w:noProof/>
        </w:rPr>
      </w:pPr>
      <w:r w:rsidRPr="00B63A10">
        <w:rPr>
          <w:bCs/>
          <w:noProof/>
        </w:rPr>
        <w:t>The location of the public place</w:t>
      </w:r>
      <w:r w:rsidR="00C517D4">
        <w:rPr>
          <w:bCs/>
          <w:noProof/>
        </w:rPr>
        <w:t>s</w:t>
      </w:r>
      <w:r w:rsidRPr="00B63A10">
        <w:rPr>
          <w:bCs/>
          <w:noProof/>
        </w:rPr>
        <w:t xml:space="preserve"> </w:t>
      </w:r>
      <w:r w:rsidR="008B556F">
        <w:rPr>
          <w:bCs/>
          <w:noProof/>
        </w:rPr>
        <w:t>with the following name</w:t>
      </w:r>
      <w:r w:rsidR="00C517D4">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951"/>
        <w:gridCol w:w="2552"/>
        <w:gridCol w:w="4394"/>
      </w:tblGrid>
      <w:tr w:rsidR="002B19A1" w14:paraId="0B8D6B2A" w14:textId="77777777" w:rsidTr="009E50D0">
        <w:trPr>
          <w:cantSplit/>
        </w:trPr>
        <w:tc>
          <w:tcPr>
            <w:tcW w:w="1951" w:type="dxa"/>
            <w:tcBorders>
              <w:top w:val="nil"/>
              <w:left w:val="nil"/>
              <w:bottom w:val="nil"/>
              <w:right w:val="nil"/>
            </w:tcBorders>
          </w:tcPr>
          <w:p w14:paraId="6CD8DAE3" w14:textId="77777777" w:rsidR="002B19A1" w:rsidRPr="00CE3399" w:rsidRDefault="002B19A1" w:rsidP="00C35F73">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552" w:type="dxa"/>
            <w:tcBorders>
              <w:top w:val="nil"/>
              <w:left w:val="nil"/>
              <w:bottom w:val="nil"/>
              <w:right w:val="nil"/>
            </w:tcBorders>
          </w:tcPr>
          <w:p w14:paraId="56521D1E" w14:textId="77777777" w:rsidR="002B19A1" w:rsidRPr="002929A6" w:rsidRDefault="002B19A1" w:rsidP="00C35F73">
            <w:pPr>
              <w:spacing w:before="120" w:after="120"/>
              <w:rPr>
                <w:szCs w:val="24"/>
              </w:rPr>
            </w:pPr>
            <w:r w:rsidRPr="002929A6">
              <w:rPr>
                <w:b/>
                <w:bCs/>
                <w:szCs w:val="24"/>
              </w:rPr>
              <w:t>ORIGIN</w:t>
            </w:r>
          </w:p>
        </w:tc>
        <w:tc>
          <w:tcPr>
            <w:tcW w:w="4394" w:type="dxa"/>
            <w:tcBorders>
              <w:top w:val="nil"/>
              <w:left w:val="nil"/>
              <w:bottom w:val="nil"/>
              <w:right w:val="nil"/>
            </w:tcBorders>
          </w:tcPr>
          <w:p w14:paraId="2733DC0B" w14:textId="77777777" w:rsidR="002B19A1" w:rsidRPr="002929A6" w:rsidRDefault="002B19A1" w:rsidP="00C35F73">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2B19A1" w14:paraId="715DF284" w14:textId="77777777" w:rsidTr="009E50D0">
        <w:trPr>
          <w:cantSplit/>
        </w:trPr>
        <w:tc>
          <w:tcPr>
            <w:tcW w:w="1951" w:type="dxa"/>
            <w:tcBorders>
              <w:top w:val="nil"/>
              <w:left w:val="nil"/>
              <w:bottom w:val="nil"/>
              <w:right w:val="nil"/>
            </w:tcBorders>
          </w:tcPr>
          <w:p w14:paraId="0ED58D26" w14:textId="77777777" w:rsidR="002B19A1" w:rsidRPr="002B19A1" w:rsidRDefault="002B19A1" w:rsidP="002B19A1">
            <w:pPr>
              <w:rPr>
                <w:bCs/>
                <w:sz w:val="8"/>
                <w:szCs w:val="8"/>
                <w:lang w:val="en-GB"/>
              </w:rPr>
            </w:pPr>
          </w:p>
          <w:p w14:paraId="0E347B5A" w14:textId="75DBDDB6" w:rsidR="002B19A1" w:rsidRDefault="002B19A1" w:rsidP="002B19A1">
            <w:pPr>
              <w:rPr>
                <w:b/>
                <w:bCs/>
                <w:noProof/>
                <w:szCs w:val="24"/>
              </w:rPr>
            </w:pPr>
            <w:r>
              <w:rPr>
                <w:b/>
                <w:bCs/>
                <w:noProof/>
                <w:szCs w:val="24"/>
              </w:rPr>
              <w:t xml:space="preserve">Don Gazzard </w:t>
            </w:r>
          </w:p>
          <w:p w14:paraId="0E6CEED6" w14:textId="5F3971D6" w:rsidR="002B19A1" w:rsidRDefault="002B19A1" w:rsidP="002B19A1">
            <w:pPr>
              <w:rPr>
                <w:b/>
                <w:bCs/>
                <w:noProof/>
                <w:szCs w:val="24"/>
              </w:rPr>
            </w:pPr>
            <w:r>
              <w:rPr>
                <w:b/>
                <w:bCs/>
                <w:noProof/>
                <w:szCs w:val="24"/>
              </w:rPr>
              <w:t>View</w:t>
            </w:r>
          </w:p>
          <w:p w14:paraId="3105BB16" w14:textId="77777777" w:rsidR="002B19A1" w:rsidRPr="002B19A1" w:rsidRDefault="002B19A1" w:rsidP="002B19A1"/>
        </w:tc>
        <w:tc>
          <w:tcPr>
            <w:tcW w:w="2552" w:type="dxa"/>
            <w:tcBorders>
              <w:top w:val="nil"/>
              <w:left w:val="nil"/>
              <w:bottom w:val="nil"/>
              <w:right w:val="nil"/>
            </w:tcBorders>
          </w:tcPr>
          <w:p w14:paraId="1FC29F41" w14:textId="77777777" w:rsidR="002B19A1" w:rsidRPr="00AF3C39" w:rsidRDefault="002B19A1" w:rsidP="002B19A1">
            <w:pPr>
              <w:pStyle w:val="CoverActName"/>
              <w:tabs>
                <w:tab w:val="clear" w:pos="2600"/>
              </w:tabs>
              <w:spacing w:before="120" w:after="120"/>
              <w:jc w:val="left"/>
              <w:rPr>
                <w:rFonts w:ascii="Times New Roman" w:hAnsi="Times New Roman"/>
                <w:b w:val="0"/>
                <w:bCs/>
                <w:szCs w:val="24"/>
                <w:lang w:val="en-GB"/>
              </w:rPr>
            </w:pPr>
            <w:r w:rsidRPr="00AF3C39">
              <w:rPr>
                <w:rFonts w:ascii="Times New Roman" w:hAnsi="Times New Roman"/>
                <w:b w:val="0"/>
                <w:bCs/>
                <w:szCs w:val="24"/>
                <w:lang w:val="en-GB"/>
              </w:rPr>
              <w:t>Donald</w:t>
            </w:r>
            <w:r>
              <w:rPr>
                <w:rFonts w:ascii="Times New Roman" w:hAnsi="Times New Roman"/>
                <w:b w:val="0"/>
                <w:bCs/>
                <w:szCs w:val="24"/>
                <w:lang w:val="en-GB"/>
              </w:rPr>
              <w:t xml:space="preserve"> </w:t>
            </w:r>
            <w:proofErr w:type="spellStart"/>
            <w:r w:rsidRPr="00AF3C39">
              <w:rPr>
                <w:rFonts w:ascii="Times New Roman" w:hAnsi="Times New Roman"/>
                <w:b w:val="0"/>
                <w:bCs/>
                <w:szCs w:val="24"/>
                <w:lang w:val="en-GB"/>
              </w:rPr>
              <w:t>Gazzard</w:t>
            </w:r>
            <w:proofErr w:type="spellEnd"/>
            <w:r w:rsidRPr="00AF3C39">
              <w:rPr>
                <w:rFonts w:ascii="Times New Roman" w:hAnsi="Times New Roman"/>
                <w:b w:val="0"/>
                <w:bCs/>
                <w:szCs w:val="24"/>
                <w:lang w:val="en-GB"/>
              </w:rPr>
              <w:t xml:space="preserve"> </w:t>
            </w:r>
          </w:p>
          <w:p w14:paraId="0864470D" w14:textId="77777777" w:rsidR="002B19A1" w:rsidRPr="005C2604" w:rsidRDefault="002B19A1" w:rsidP="002B19A1">
            <w:pPr>
              <w:spacing w:line="276" w:lineRule="auto"/>
              <w:rPr>
                <w:szCs w:val="24"/>
              </w:rPr>
            </w:pPr>
            <w:r w:rsidRPr="005C2604">
              <w:rPr>
                <w:szCs w:val="24"/>
              </w:rPr>
              <w:t>(1929 – 2017)</w:t>
            </w:r>
          </w:p>
          <w:p w14:paraId="43E6F716" w14:textId="77777777" w:rsidR="002B19A1" w:rsidRPr="002929A6" w:rsidRDefault="002B19A1" w:rsidP="00C35F73">
            <w:pPr>
              <w:spacing w:before="120" w:after="120"/>
              <w:rPr>
                <w:b/>
                <w:bCs/>
                <w:szCs w:val="24"/>
              </w:rPr>
            </w:pPr>
          </w:p>
        </w:tc>
        <w:tc>
          <w:tcPr>
            <w:tcW w:w="4394" w:type="dxa"/>
            <w:tcBorders>
              <w:top w:val="nil"/>
              <w:left w:val="nil"/>
              <w:bottom w:val="nil"/>
              <w:right w:val="nil"/>
            </w:tcBorders>
          </w:tcPr>
          <w:p w14:paraId="596F87B0" w14:textId="77777777" w:rsidR="002B19A1" w:rsidRPr="002B19A1" w:rsidRDefault="002B19A1" w:rsidP="002B19A1">
            <w:pPr>
              <w:pStyle w:val="CoverActName"/>
              <w:tabs>
                <w:tab w:val="clear" w:pos="2600"/>
              </w:tabs>
              <w:spacing w:before="120" w:after="120"/>
              <w:rPr>
                <w:rFonts w:ascii="Times New Roman" w:hAnsi="Times New Roman"/>
                <w:b w:val="0"/>
                <w:bCs/>
                <w:szCs w:val="24"/>
                <w:lang w:val="en-GB"/>
              </w:rPr>
            </w:pPr>
            <w:r w:rsidRPr="002B19A1">
              <w:rPr>
                <w:rFonts w:ascii="Times New Roman" w:hAnsi="Times New Roman"/>
                <w:b w:val="0"/>
                <w:bCs/>
                <w:szCs w:val="24"/>
                <w:lang w:val="en-GB"/>
              </w:rPr>
              <w:t>Architect, writer</w:t>
            </w:r>
          </w:p>
          <w:p w14:paraId="0EA1D465" w14:textId="041331A2" w:rsidR="002B19A1" w:rsidRPr="002929A6" w:rsidRDefault="002B19A1" w:rsidP="002B19A1">
            <w:pPr>
              <w:pStyle w:val="CoverActName"/>
              <w:tabs>
                <w:tab w:val="clear" w:pos="2600"/>
              </w:tabs>
              <w:spacing w:before="120" w:after="120"/>
              <w:jc w:val="left"/>
              <w:rPr>
                <w:rFonts w:ascii="Times New Roman" w:hAnsi="Times New Roman"/>
                <w:szCs w:val="24"/>
                <w:lang w:val="en-GB"/>
              </w:rPr>
            </w:pPr>
            <w:r w:rsidRPr="002B19A1">
              <w:rPr>
                <w:rFonts w:ascii="Times New Roman" w:hAnsi="Times New Roman"/>
                <w:b w:val="0"/>
              </w:rPr>
              <w:t xml:space="preserve">Training in the office of Harry Seidler in the early 1950s, Don </w:t>
            </w:r>
            <w:proofErr w:type="spellStart"/>
            <w:r w:rsidRPr="002B19A1">
              <w:rPr>
                <w:rFonts w:ascii="Times New Roman" w:hAnsi="Times New Roman"/>
                <w:b w:val="0"/>
              </w:rPr>
              <w:t>Gazzard</w:t>
            </w:r>
            <w:proofErr w:type="spellEnd"/>
            <w:r w:rsidRPr="002B19A1">
              <w:rPr>
                <w:rFonts w:ascii="Times New Roman" w:hAnsi="Times New Roman"/>
                <w:b w:val="0"/>
              </w:rPr>
              <w:t xml:space="preserve"> subsequently worked overseas, returning to Australia in 1960. Together with George Clarke, he established Clarke, </w:t>
            </w:r>
            <w:proofErr w:type="spellStart"/>
            <w:r w:rsidRPr="002B19A1">
              <w:rPr>
                <w:rFonts w:ascii="Times New Roman" w:hAnsi="Times New Roman"/>
                <w:b w:val="0"/>
              </w:rPr>
              <w:t>Gazzard</w:t>
            </w:r>
            <w:proofErr w:type="spellEnd"/>
            <w:r w:rsidRPr="002B19A1">
              <w:rPr>
                <w:rFonts w:ascii="Times New Roman" w:hAnsi="Times New Roman"/>
                <w:b w:val="0"/>
              </w:rPr>
              <w:t xml:space="preserve"> and Partners, an architectural, city planning and urban design firm. Following expansion, Clarke and </w:t>
            </w:r>
            <w:proofErr w:type="spellStart"/>
            <w:r w:rsidRPr="002B19A1">
              <w:rPr>
                <w:rFonts w:ascii="Times New Roman" w:hAnsi="Times New Roman"/>
                <w:b w:val="0"/>
              </w:rPr>
              <w:t>Gazzard</w:t>
            </w:r>
            <w:proofErr w:type="spellEnd"/>
            <w:r w:rsidRPr="002B19A1">
              <w:rPr>
                <w:rFonts w:ascii="Times New Roman" w:hAnsi="Times New Roman"/>
                <w:b w:val="0"/>
              </w:rPr>
              <w:t xml:space="preserve"> founded Urban Systems Corporation (c.1970), incorporating the firm.</w:t>
            </w:r>
            <w:r w:rsidRPr="002B19A1">
              <w:rPr>
                <w:rFonts w:ascii="Times New Roman" w:hAnsi="Times New Roman"/>
                <w:b w:val="0"/>
                <w:szCs w:val="24"/>
              </w:rPr>
              <w:t xml:space="preserve"> </w:t>
            </w:r>
            <w:proofErr w:type="spellStart"/>
            <w:r w:rsidRPr="002B19A1">
              <w:rPr>
                <w:rFonts w:ascii="Times New Roman" w:hAnsi="Times New Roman"/>
                <w:b w:val="0"/>
              </w:rPr>
              <w:t>Gazzard</w:t>
            </w:r>
            <w:proofErr w:type="spellEnd"/>
            <w:r w:rsidRPr="002B19A1">
              <w:rPr>
                <w:rFonts w:ascii="Times New Roman" w:hAnsi="Times New Roman"/>
                <w:b w:val="0"/>
              </w:rPr>
              <w:t xml:space="preserve"> received the first Royal Australian Institute of Architects (RAIA) NSW Chapter Wilkinson Award for domestic architecture for the Herbert House, Hunters Hill (1961). Subsequent projects include designs for project houses for Carlingford’s Kingsdene Estate (1960-62), Wentworth Memorial Church, Vaucluse (1965) and the Sydney TAA Terminal (c.1974). His book </w:t>
            </w:r>
            <w:r w:rsidRPr="002B19A1">
              <w:rPr>
                <w:rFonts w:ascii="Times New Roman" w:hAnsi="Times New Roman"/>
                <w:b w:val="0"/>
                <w:i/>
              </w:rPr>
              <w:t>‘Australian Outrage: the decay of a visual environment’</w:t>
            </w:r>
            <w:r w:rsidRPr="002B19A1">
              <w:rPr>
                <w:rFonts w:ascii="Times New Roman" w:hAnsi="Times New Roman"/>
                <w:b w:val="0"/>
              </w:rPr>
              <w:t xml:space="preserve"> (1966) originated from the 1964 exhibition he mounted for the RAIA by the same title. The preservation of Paddington’s built heritage and development of Sydney’s Martin Place as an open space pedestrian precinct are significant legacies of campaigns by </w:t>
            </w:r>
            <w:proofErr w:type="spellStart"/>
            <w:r w:rsidRPr="002B19A1">
              <w:rPr>
                <w:rFonts w:ascii="Times New Roman" w:hAnsi="Times New Roman"/>
                <w:b w:val="0"/>
              </w:rPr>
              <w:t>Gazzard</w:t>
            </w:r>
            <w:proofErr w:type="spellEnd"/>
            <w:r w:rsidRPr="002B19A1">
              <w:rPr>
                <w:rFonts w:ascii="Times New Roman" w:hAnsi="Times New Roman"/>
                <w:b w:val="0"/>
              </w:rPr>
              <w:t xml:space="preserve"> in the 1960s and 1970s. In 1975 he commenced working in solo practice, later operating in partnership</w:t>
            </w:r>
            <w:r w:rsidRPr="002B19A1">
              <w:rPr>
                <w:rFonts w:ascii="Times New Roman" w:hAnsi="Times New Roman"/>
              </w:rPr>
              <w:t xml:space="preserve"> </w:t>
            </w:r>
            <w:r w:rsidRPr="002B19A1">
              <w:rPr>
                <w:rFonts w:ascii="Times New Roman" w:hAnsi="Times New Roman"/>
                <w:b w:val="0"/>
              </w:rPr>
              <w:t xml:space="preserve">with Mark Sheldon (1985-95). </w:t>
            </w:r>
            <w:proofErr w:type="spellStart"/>
            <w:r w:rsidRPr="002B19A1">
              <w:rPr>
                <w:rFonts w:ascii="Times New Roman" w:hAnsi="Times New Roman"/>
                <w:b w:val="0"/>
              </w:rPr>
              <w:t>Gazzard</w:t>
            </w:r>
            <w:proofErr w:type="spellEnd"/>
            <w:r w:rsidRPr="002B19A1">
              <w:rPr>
                <w:rFonts w:ascii="Times New Roman" w:hAnsi="Times New Roman"/>
                <w:b w:val="0"/>
              </w:rPr>
              <w:t xml:space="preserve"> was appointed Life Fellow of the RAIA in 1970. He was awarded the RAIA NSW Chapter Special Jury Prize in 2007 for his “foresight, and tireless pursuit of urbanity”</w:t>
            </w:r>
            <w:r>
              <w:rPr>
                <w:rFonts w:ascii="Times New Roman" w:hAnsi="Times New Roman"/>
                <w:b w:val="0"/>
              </w:rPr>
              <w:t>.</w:t>
            </w:r>
          </w:p>
        </w:tc>
      </w:tr>
    </w:tbl>
    <w:p w14:paraId="1D9EB2F6" w14:textId="2EA38587" w:rsidR="006355D9" w:rsidRDefault="006355D9" w:rsidP="002B19A1">
      <w:pPr>
        <w:tabs>
          <w:tab w:val="left" w:pos="4253"/>
        </w:tabs>
      </w:pPr>
    </w:p>
    <w:tbl>
      <w:tblPr>
        <w:tblW w:w="8897" w:type="dxa"/>
        <w:tblLayout w:type="fixed"/>
        <w:tblLook w:val="0000" w:firstRow="0" w:lastRow="0" w:firstColumn="0" w:lastColumn="0" w:noHBand="0" w:noVBand="0"/>
      </w:tblPr>
      <w:tblGrid>
        <w:gridCol w:w="2093"/>
        <w:gridCol w:w="2410"/>
        <w:gridCol w:w="4394"/>
      </w:tblGrid>
      <w:tr w:rsidR="00CE3399" w14:paraId="04489C27" w14:textId="77777777" w:rsidTr="002A039C">
        <w:trPr>
          <w:cantSplit/>
        </w:trPr>
        <w:tc>
          <w:tcPr>
            <w:tcW w:w="2093" w:type="dxa"/>
            <w:tcBorders>
              <w:top w:val="nil"/>
              <w:left w:val="nil"/>
              <w:bottom w:val="nil"/>
              <w:right w:val="nil"/>
            </w:tcBorders>
          </w:tcPr>
          <w:p w14:paraId="51AE1821" w14:textId="77777777" w:rsidR="004569A0" w:rsidRDefault="004569A0" w:rsidP="004569A0">
            <w:pPr>
              <w:rPr>
                <w:b/>
                <w:bCs/>
                <w:noProof/>
                <w:szCs w:val="24"/>
              </w:rPr>
            </w:pPr>
            <w:r>
              <w:rPr>
                <w:b/>
                <w:bCs/>
                <w:noProof/>
                <w:szCs w:val="24"/>
              </w:rPr>
              <w:lastRenderedPageBreak/>
              <w:t>Edwin Oribin Street</w:t>
            </w:r>
          </w:p>
          <w:p w14:paraId="1EE095F6" w14:textId="19AE2670" w:rsidR="00E825C8" w:rsidRPr="00007411" w:rsidRDefault="00E825C8" w:rsidP="00E825C8"/>
        </w:tc>
        <w:tc>
          <w:tcPr>
            <w:tcW w:w="2410" w:type="dxa"/>
            <w:tcBorders>
              <w:top w:val="nil"/>
              <w:left w:val="nil"/>
              <w:bottom w:val="nil"/>
              <w:right w:val="nil"/>
            </w:tcBorders>
          </w:tcPr>
          <w:p w14:paraId="28E5CE64" w14:textId="08C65601" w:rsidR="004569A0" w:rsidRDefault="004569A0" w:rsidP="004569A0">
            <w:pPr>
              <w:rPr>
                <w:szCs w:val="24"/>
              </w:rPr>
            </w:pPr>
            <w:r>
              <w:rPr>
                <w:szCs w:val="24"/>
              </w:rPr>
              <w:t xml:space="preserve">Edwin Henry </w:t>
            </w:r>
            <w:proofErr w:type="spellStart"/>
            <w:r>
              <w:rPr>
                <w:szCs w:val="24"/>
              </w:rPr>
              <w:t>Oribin</w:t>
            </w:r>
            <w:proofErr w:type="spellEnd"/>
          </w:p>
          <w:p w14:paraId="4B55F1EE" w14:textId="77777777" w:rsidR="00AE424D" w:rsidRDefault="00AE424D" w:rsidP="004569A0">
            <w:pPr>
              <w:rPr>
                <w:szCs w:val="24"/>
              </w:rPr>
            </w:pPr>
          </w:p>
          <w:p w14:paraId="132BABDF" w14:textId="16DD8DB5" w:rsidR="004569A0" w:rsidRPr="00214B60" w:rsidRDefault="00AE424D" w:rsidP="004569A0">
            <w:pPr>
              <w:rPr>
                <w:szCs w:val="24"/>
              </w:rPr>
            </w:pPr>
            <w:r w:rsidRPr="00214B60">
              <w:rPr>
                <w:szCs w:val="24"/>
              </w:rPr>
              <w:t>(1927</w:t>
            </w:r>
            <w:r w:rsidR="0080551B" w:rsidRPr="00214B60">
              <w:rPr>
                <w:szCs w:val="24"/>
              </w:rPr>
              <w:t xml:space="preserve"> </w:t>
            </w:r>
            <w:r w:rsidRPr="00214B60">
              <w:rPr>
                <w:szCs w:val="24"/>
              </w:rPr>
              <w:t>–</w:t>
            </w:r>
            <w:r w:rsidR="0080551B" w:rsidRPr="00214B60">
              <w:rPr>
                <w:szCs w:val="24"/>
              </w:rPr>
              <w:t xml:space="preserve"> </w:t>
            </w:r>
            <w:r w:rsidR="004569A0" w:rsidRPr="00214B60">
              <w:rPr>
                <w:szCs w:val="24"/>
              </w:rPr>
              <w:t>2016</w:t>
            </w:r>
            <w:r w:rsidRPr="00214B60">
              <w:rPr>
                <w:szCs w:val="24"/>
              </w:rPr>
              <w:t>)</w:t>
            </w:r>
          </w:p>
          <w:p w14:paraId="2398E17E" w14:textId="77777777" w:rsidR="00AE424D" w:rsidRPr="003F5E75" w:rsidRDefault="00AE424D" w:rsidP="004569A0">
            <w:pPr>
              <w:rPr>
                <w:b/>
                <w:bCs/>
                <w:noProof/>
                <w:szCs w:val="24"/>
              </w:rPr>
            </w:pPr>
          </w:p>
          <w:p w14:paraId="32C8EFA1" w14:textId="1908064B" w:rsidR="00414723" w:rsidRPr="00007411" w:rsidRDefault="00414723" w:rsidP="00A2164F">
            <w:pPr>
              <w:spacing w:before="120" w:after="120"/>
              <w:rPr>
                <w:b/>
                <w:bCs/>
                <w:szCs w:val="24"/>
              </w:rPr>
            </w:pPr>
          </w:p>
        </w:tc>
        <w:tc>
          <w:tcPr>
            <w:tcW w:w="4394" w:type="dxa"/>
            <w:tcBorders>
              <w:top w:val="nil"/>
              <w:left w:val="nil"/>
              <w:right w:val="nil"/>
            </w:tcBorders>
          </w:tcPr>
          <w:p w14:paraId="619DCD53" w14:textId="7671299B" w:rsidR="00CE3399" w:rsidRDefault="004569A0" w:rsidP="004569A0">
            <w:pPr>
              <w:pStyle w:val="CoverActName"/>
              <w:tabs>
                <w:tab w:val="clear" w:pos="2600"/>
              </w:tabs>
              <w:spacing w:before="0" w:after="0"/>
              <w:rPr>
                <w:rFonts w:ascii="Times New Roman" w:hAnsi="Times New Roman"/>
                <w:b w:val="0"/>
                <w:szCs w:val="24"/>
                <w:lang w:val="en-GB"/>
              </w:rPr>
            </w:pPr>
            <w:r w:rsidRPr="004569A0">
              <w:rPr>
                <w:rFonts w:ascii="Times New Roman" w:hAnsi="Times New Roman"/>
                <w:b w:val="0"/>
                <w:szCs w:val="24"/>
                <w:lang w:val="en-GB"/>
              </w:rPr>
              <w:t>Architec</w:t>
            </w:r>
            <w:r w:rsidR="006405ED">
              <w:rPr>
                <w:rFonts w:ascii="Times New Roman" w:hAnsi="Times New Roman"/>
                <w:b w:val="0"/>
                <w:szCs w:val="24"/>
                <w:lang w:val="en-GB"/>
              </w:rPr>
              <w:t>t</w:t>
            </w:r>
          </w:p>
          <w:p w14:paraId="7DDAE12F" w14:textId="77777777" w:rsidR="004569A0" w:rsidRDefault="004569A0" w:rsidP="004569A0">
            <w:pPr>
              <w:pStyle w:val="CoverActName"/>
              <w:tabs>
                <w:tab w:val="clear" w:pos="2600"/>
              </w:tabs>
              <w:spacing w:before="0" w:after="0"/>
              <w:rPr>
                <w:rFonts w:ascii="Times New Roman" w:hAnsi="Times New Roman"/>
                <w:b w:val="0"/>
                <w:szCs w:val="24"/>
                <w:lang w:val="en-GB"/>
              </w:rPr>
            </w:pPr>
          </w:p>
          <w:p w14:paraId="32E7DE51" w14:textId="46789FB9" w:rsidR="004569A0" w:rsidRPr="004569A0" w:rsidRDefault="00124F6F" w:rsidP="00045E39">
            <w:pPr>
              <w:rPr>
                <w:b/>
                <w:szCs w:val="24"/>
                <w:lang w:val="en-GB"/>
              </w:rPr>
            </w:pPr>
            <w:r w:rsidRPr="00F105C9">
              <w:t>Edwin</w:t>
            </w:r>
            <w:r w:rsidR="006355D9">
              <w:t xml:space="preserve"> </w:t>
            </w:r>
            <w:proofErr w:type="spellStart"/>
            <w:r w:rsidRPr="00F105C9">
              <w:t>Oribin</w:t>
            </w:r>
            <w:proofErr w:type="spellEnd"/>
            <w:r w:rsidR="006355D9">
              <w:t xml:space="preserve"> </w:t>
            </w:r>
            <w:r w:rsidRPr="00F105C9">
              <w:t xml:space="preserve">commenced his architectural training in Cairns in 1944 as an articled pupil indentured to S.G. Barnes, head of North Queensland’s Allied Works Council. Relocating to Brisbane, between 1950 and 1952 he worked for the Commonwealth Department of Works and briefly for Rockhampton architect E.A. </w:t>
            </w:r>
            <w:proofErr w:type="spellStart"/>
            <w:r w:rsidRPr="00214B60">
              <w:t>He</w:t>
            </w:r>
            <w:r w:rsidR="00214B60" w:rsidRPr="00214B60">
              <w:t>gv</w:t>
            </w:r>
            <w:r w:rsidRPr="00214B60">
              <w:t>old</w:t>
            </w:r>
            <w:proofErr w:type="spellEnd"/>
            <w:r w:rsidRPr="00214B60">
              <w:t>.</w:t>
            </w:r>
            <w:r w:rsidRPr="00F105C9">
              <w:t xml:space="preserve"> Registering as an architect in 1953, he</w:t>
            </w:r>
            <w:r>
              <w:t xml:space="preserve"> </w:t>
            </w:r>
            <w:r w:rsidRPr="00F105C9">
              <w:t xml:space="preserve">entered into partnership with Barnes, forming S.G. Barnes and </w:t>
            </w:r>
            <w:proofErr w:type="spellStart"/>
            <w:r w:rsidRPr="00F105C9">
              <w:t>Oribin</w:t>
            </w:r>
            <w:proofErr w:type="spellEnd"/>
            <w:r w:rsidRPr="00F105C9">
              <w:t xml:space="preserve">. Following Barnes’ death, from 1959 to 1973 he operated in sole practice, designing residential, public and church buildings. Notable examples include </w:t>
            </w:r>
            <w:proofErr w:type="spellStart"/>
            <w:r w:rsidRPr="00F105C9">
              <w:t>Oribin</w:t>
            </w:r>
            <w:proofErr w:type="spellEnd"/>
            <w:r w:rsidRPr="00F105C9">
              <w:t xml:space="preserve"> House (1956-58) and Studio (1960), Cairns; St Paul’s Anglican</w:t>
            </w:r>
            <w:r>
              <w:t xml:space="preserve"> Church</w:t>
            </w:r>
            <w:r w:rsidRPr="00F105C9">
              <w:t>,</w:t>
            </w:r>
            <w:r w:rsidR="00214B60">
              <w:t xml:space="preserve"> Proserpine </w:t>
            </w:r>
            <w:r w:rsidRPr="00F105C9">
              <w:t xml:space="preserve">(1959); Methodist Church, Mareeba (1960); and St Andrew’s Presbyterian Church, Innisfail (1961). His experiments in prefabricated housing led him to develop the </w:t>
            </w:r>
            <w:proofErr w:type="spellStart"/>
            <w:r w:rsidRPr="00F105C9">
              <w:t>Goorawin</w:t>
            </w:r>
            <w:proofErr w:type="spellEnd"/>
            <w:r w:rsidRPr="00F105C9">
              <w:t xml:space="preserve"> Shelter, commissioned in the 1970s by the Aboriginal and Torres Strait Islander Housing Panel, for use in remote Indigenous communities. The </w:t>
            </w:r>
            <w:proofErr w:type="spellStart"/>
            <w:r w:rsidRPr="00F105C9">
              <w:t>Oribin</w:t>
            </w:r>
            <w:proofErr w:type="spellEnd"/>
            <w:r w:rsidRPr="00F105C9">
              <w:t xml:space="preserve"> House and Studio received the Australian Institute of Architects Queensland Chapter 2013 Enduring Architecture Award. The ‘Eddie </w:t>
            </w:r>
            <w:proofErr w:type="spellStart"/>
            <w:r w:rsidRPr="00F105C9">
              <w:t>Oribin</w:t>
            </w:r>
            <w:proofErr w:type="spellEnd"/>
            <w:r w:rsidRPr="00F105C9">
              <w:t xml:space="preserve"> Award for Building of the Year’, Far North Queensland Region is awarded by the Chapter in recognition of </w:t>
            </w:r>
            <w:proofErr w:type="spellStart"/>
            <w:r w:rsidRPr="00F105C9">
              <w:t>Oribin’s</w:t>
            </w:r>
            <w:proofErr w:type="spellEnd"/>
            <w:r w:rsidRPr="00F105C9">
              <w:t xml:space="preserve"> contribution to Queensland architecture.</w:t>
            </w:r>
          </w:p>
        </w:tc>
      </w:tr>
      <w:tr w:rsidR="00F154A0" w14:paraId="5341EAC8" w14:textId="77777777" w:rsidTr="00112B37">
        <w:trPr>
          <w:cantSplit/>
        </w:trPr>
        <w:tc>
          <w:tcPr>
            <w:tcW w:w="2093" w:type="dxa"/>
            <w:tcBorders>
              <w:top w:val="nil"/>
              <w:left w:val="nil"/>
              <w:bottom w:val="nil"/>
              <w:right w:val="nil"/>
            </w:tcBorders>
          </w:tcPr>
          <w:p w14:paraId="6E721148" w14:textId="77777777" w:rsidR="00F154A0" w:rsidRDefault="00F154A0" w:rsidP="00E37917">
            <w:pPr>
              <w:rPr>
                <w:b/>
                <w:bCs/>
                <w:noProof/>
                <w:szCs w:val="24"/>
              </w:rPr>
            </w:pPr>
            <w:r>
              <w:rPr>
                <w:b/>
                <w:bCs/>
                <w:noProof/>
                <w:szCs w:val="24"/>
              </w:rPr>
              <w:lastRenderedPageBreak/>
              <w:t>Ellis Stones Terrace</w:t>
            </w:r>
          </w:p>
          <w:p w14:paraId="290DEBE5" w14:textId="7093339A" w:rsidR="00B7604A" w:rsidRPr="00007411" w:rsidRDefault="00B7604A" w:rsidP="00E825C8"/>
        </w:tc>
        <w:tc>
          <w:tcPr>
            <w:tcW w:w="2410" w:type="dxa"/>
            <w:tcBorders>
              <w:top w:val="nil"/>
              <w:left w:val="nil"/>
              <w:bottom w:val="nil"/>
              <w:right w:val="nil"/>
            </w:tcBorders>
          </w:tcPr>
          <w:p w14:paraId="161F8A09" w14:textId="7331F6FE" w:rsidR="00F154A0" w:rsidRDefault="00AF30FA" w:rsidP="00AF30FA">
            <w:pPr>
              <w:rPr>
                <w:szCs w:val="24"/>
              </w:rPr>
            </w:pPr>
            <w:r w:rsidRPr="00FD72EA">
              <w:rPr>
                <w:szCs w:val="24"/>
              </w:rPr>
              <w:t>Ellis</w:t>
            </w:r>
            <w:r w:rsidR="00FD72EA" w:rsidRPr="00FD72EA">
              <w:rPr>
                <w:szCs w:val="24"/>
              </w:rPr>
              <w:t xml:space="preserve"> Andrew</w:t>
            </w:r>
            <w:r w:rsidRPr="00FD72EA">
              <w:rPr>
                <w:szCs w:val="24"/>
              </w:rPr>
              <w:t xml:space="preserve"> Stones</w:t>
            </w:r>
          </w:p>
          <w:p w14:paraId="3B2F0B75" w14:textId="77777777" w:rsidR="00AE424D" w:rsidRPr="00FD72EA" w:rsidRDefault="00AE424D" w:rsidP="00AF30FA">
            <w:pPr>
              <w:rPr>
                <w:szCs w:val="24"/>
              </w:rPr>
            </w:pPr>
          </w:p>
          <w:p w14:paraId="62619F1F" w14:textId="77777777" w:rsidR="00705498" w:rsidRPr="00214B60" w:rsidRDefault="00AE424D" w:rsidP="00CF1DD9">
            <w:pPr>
              <w:rPr>
                <w:szCs w:val="24"/>
              </w:rPr>
            </w:pPr>
            <w:r w:rsidRPr="00214B60">
              <w:rPr>
                <w:szCs w:val="24"/>
              </w:rPr>
              <w:t>(</w:t>
            </w:r>
            <w:r w:rsidR="00AF30FA" w:rsidRPr="00214B60">
              <w:rPr>
                <w:szCs w:val="24"/>
              </w:rPr>
              <w:t xml:space="preserve">1895 </w:t>
            </w:r>
            <w:r w:rsidRPr="00214B60">
              <w:rPr>
                <w:szCs w:val="24"/>
              </w:rPr>
              <w:t>–</w:t>
            </w:r>
            <w:r w:rsidR="00AF30FA" w:rsidRPr="00214B60">
              <w:rPr>
                <w:szCs w:val="24"/>
              </w:rPr>
              <w:t xml:space="preserve"> 1975</w:t>
            </w:r>
            <w:r w:rsidRPr="00214B60">
              <w:rPr>
                <w:szCs w:val="24"/>
              </w:rPr>
              <w:t>)</w:t>
            </w:r>
          </w:p>
          <w:p w14:paraId="52FF2694" w14:textId="011CAD7D" w:rsidR="00AF30FA" w:rsidRPr="00007411" w:rsidRDefault="00AF30FA" w:rsidP="009D29F4">
            <w:pPr>
              <w:rPr>
                <w:szCs w:val="24"/>
              </w:rPr>
            </w:pPr>
          </w:p>
        </w:tc>
        <w:tc>
          <w:tcPr>
            <w:tcW w:w="4394" w:type="dxa"/>
            <w:tcBorders>
              <w:top w:val="nil"/>
              <w:left w:val="nil"/>
              <w:bottom w:val="nil"/>
              <w:right w:val="nil"/>
            </w:tcBorders>
          </w:tcPr>
          <w:p w14:paraId="2177D528" w14:textId="5BE088F3" w:rsidR="00F154A0" w:rsidRDefault="00AF30FA" w:rsidP="00F154A0">
            <w:pPr>
              <w:pStyle w:val="CoverActName"/>
              <w:tabs>
                <w:tab w:val="clear" w:pos="2600"/>
              </w:tabs>
              <w:spacing w:before="0" w:after="0"/>
              <w:rPr>
                <w:rFonts w:ascii="Times New Roman" w:hAnsi="Times New Roman"/>
                <w:b w:val="0"/>
                <w:szCs w:val="24"/>
                <w:lang w:val="en-GB"/>
              </w:rPr>
            </w:pPr>
            <w:r>
              <w:rPr>
                <w:rFonts w:ascii="Times New Roman" w:hAnsi="Times New Roman"/>
                <w:b w:val="0"/>
                <w:szCs w:val="24"/>
                <w:lang w:val="en-GB"/>
              </w:rPr>
              <w:t xml:space="preserve">Landscape </w:t>
            </w:r>
            <w:r w:rsidR="00124F6F">
              <w:rPr>
                <w:rFonts w:ascii="Times New Roman" w:hAnsi="Times New Roman"/>
                <w:b w:val="0"/>
                <w:szCs w:val="24"/>
                <w:lang w:val="en-GB"/>
              </w:rPr>
              <w:t>architect, writer</w:t>
            </w:r>
          </w:p>
          <w:p w14:paraId="0D392DC3" w14:textId="77777777" w:rsidR="00AF30FA" w:rsidRDefault="00AF30FA" w:rsidP="00F154A0">
            <w:pPr>
              <w:pStyle w:val="CoverActName"/>
              <w:tabs>
                <w:tab w:val="clear" w:pos="2600"/>
              </w:tabs>
              <w:spacing w:before="0" w:after="0"/>
              <w:rPr>
                <w:rFonts w:ascii="Times New Roman" w:hAnsi="Times New Roman"/>
                <w:b w:val="0"/>
                <w:szCs w:val="24"/>
                <w:lang w:val="en-GB"/>
              </w:rPr>
            </w:pPr>
          </w:p>
          <w:p w14:paraId="1B9F8F1C" w14:textId="4BF9C0C8" w:rsidR="00F154A0" w:rsidRPr="002929A6" w:rsidRDefault="00FD72EA" w:rsidP="00112B37">
            <w:pPr>
              <w:rPr>
                <w:szCs w:val="24"/>
                <w:lang w:val="en-GB"/>
              </w:rPr>
            </w:pPr>
            <w:r w:rsidRPr="00E03720">
              <w:t>Initially working as a trained carpenter, encouraged by Edna Walling’s regard for his stone masonry skills, Ellis Stones began his own business as a rock garden constructor in Victoria (c.1935). A pioneer of the use of native plant species with a</w:t>
            </w:r>
            <w:r w:rsidR="00634F0B">
              <w:t xml:space="preserve"> flair for </w:t>
            </w:r>
            <w:r w:rsidRPr="00E03720">
              <w:t>naturalistic design, he established a reputation for his craftsmanship and became a leading Australian landscape designer. Together with his wife Olive Stones, between 1952 and 1954 he operated a plant nursery. In 1965 Merchant Builders Pty Ltd appointed Stones as the firm’s landscape architect</w:t>
            </w:r>
            <w:r w:rsidR="00792200">
              <w:t>.</w:t>
            </w:r>
            <w:r w:rsidR="00634F0B">
              <w:t xml:space="preserve"> H</w:t>
            </w:r>
            <w:r w:rsidR="002E5212">
              <w:t>is work from this period</w:t>
            </w:r>
            <w:r w:rsidR="00CF71DA">
              <w:t xml:space="preserve"> </w:t>
            </w:r>
            <w:r w:rsidR="002E5212">
              <w:t>is</w:t>
            </w:r>
            <w:r w:rsidR="00214B60">
              <w:t xml:space="preserve"> widely acclaimed</w:t>
            </w:r>
            <w:r w:rsidR="00CF71DA">
              <w:t xml:space="preserve">. </w:t>
            </w:r>
            <w:r w:rsidRPr="00E03720">
              <w:t xml:space="preserve">During the 1960s he lectured in landscape design at the Royal Melbourne Institute of Technology and was an advisor to the Town and Country Planning Board, later writing </w:t>
            </w:r>
            <w:r w:rsidRPr="00E03720">
              <w:rPr>
                <w:i/>
                <w:iCs/>
              </w:rPr>
              <w:t>Australian Garden Design</w:t>
            </w:r>
            <w:r w:rsidRPr="00E03720">
              <w:t xml:space="preserve"> (1971). The Elliston estate in Rosanna, Victoria is named after Stones. A founding member of the Australian Institute of Landscape Architects (AILA), he was appointed Fellow in 1975. He was posthumously awarded the Robin Boyd Environmental Award (1975) by the Victorian Chapter of the Australian Institute of Architects. The Ellis Stones Memorial Award for Research in Landscape Architecture is conferred by the Ellis Stones Trust, University of Melbourne.</w:t>
            </w:r>
            <w:r w:rsidR="00CF1DD9">
              <w:rPr>
                <w:color w:val="FF0000"/>
              </w:rPr>
              <w:t xml:space="preserve"> </w:t>
            </w:r>
          </w:p>
        </w:tc>
      </w:tr>
      <w:tr w:rsidR="00112B37" w14:paraId="0EA865D4" w14:textId="77777777" w:rsidTr="00F154A0">
        <w:trPr>
          <w:cantSplit/>
        </w:trPr>
        <w:tc>
          <w:tcPr>
            <w:tcW w:w="2093" w:type="dxa"/>
            <w:tcBorders>
              <w:top w:val="nil"/>
              <w:left w:val="nil"/>
              <w:bottom w:val="nil"/>
              <w:right w:val="nil"/>
            </w:tcBorders>
          </w:tcPr>
          <w:p w14:paraId="435AD7C3" w14:textId="77777777" w:rsidR="00112B37" w:rsidRDefault="00112B37" w:rsidP="00E37917">
            <w:pPr>
              <w:rPr>
                <w:b/>
                <w:bCs/>
                <w:noProof/>
                <w:szCs w:val="24"/>
              </w:rPr>
            </w:pPr>
          </w:p>
          <w:p w14:paraId="7C2402DD" w14:textId="77777777" w:rsidR="00CF71DA" w:rsidRDefault="00CF71DA" w:rsidP="00E37917">
            <w:pPr>
              <w:rPr>
                <w:b/>
                <w:bCs/>
                <w:noProof/>
                <w:szCs w:val="24"/>
              </w:rPr>
            </w:pPr>
          </w:p>
          <w:p w14:paraId="7C29E849" w14:textId="219F6CF7" w:rsidR="00CF71DA" w:rsidRDefault="00CF71DA" w:rsidP="00E37917">
            <w:pPr>
              <w:rPr>
                <w:b/>
                <w:bCs/>
                <w:noProof/>
                <w:szCs w:val="24"/>
              </w:rPr>
            </w:pPr>
          </w:p>
        </w:tc>
        <w:tc>
          <w:tcPr>
            <w:tcW w:w="2410" w:type="dxa"/>
            <w:tcBorders>
              <w:top w:val="nil"/>
              <w:left w:val="nil"/>
              <w:bottom w:val="nil"/>
              <w:right w:val="nil"/>
            </w:tcBorders>
          </w:tcPr>
          <w:p w14:paraId="6EC13C51" w14:textId="77777777" w:rsidR="00112B37" w:rsidRPr="00FD72EA" w:rsidRDefault="00112B37" w:rsidP="00AF30FA">
            <w:pPr>
              <w:rPr>
                <w:szCs w:val="24"/>
              </w:rPr>
            </w:pPr>
          </w:p>
        </w:tc>
        <w:tc>
          <w:tcPr>
            <w:tcW w:w="4394" w:type="dxa"/>
            <w:tcBorders>
              <w:top w:val="nil"/>
              <w:left w:val="nil"/>
              <w:right w:val="nil"/>
            </w:tcBorders>
          </w:tcPr>
          <w:p w14:paraId="0633DCC0" w14:textId="77777777" w:rsidR="00112B37" w:rsidRDefault="00112B37" w:rsidP="00F154A0">
            <w:pPr>
              <w:pStyle w:val="CoverActName"/>
              <w:tabs>
                <w:tab w:val="clear" w:pos="2600"/>
              </w:tabs>
              <w:spacing w:before="0" w:after="0"/>
              <w:rPr>
                <w:rFonts w:ascii="Times New Roman" w:hAnsi="Times New Roman"/>
                <w:b w:val="0"/>
                <w:szCs w:val="24"/>
                <w:lang w:val="en-GB"/>
              </w:rPr>
            </w:pPr>
          </w:p>
        </w:tc>
      </w:tr>
      <w:tr w:rsidR="00F154A0" w14:paraId="011B1359" w14:textId="77777777" w:rsidTr="0011613B">
        <w:trPr>
          <w:cantSplit/>
        </w:trPr>
        <w:tc>
          <w:tcPr>
            <w:tcW w:w="2093" w:type="dxa"/>
            <w:tcBorders>
              <w:top w:val="nil"/>
              <w:left w:val="nil"/>
              <w:bottom w:val="nil"/>
              <w:right w:val="nil"/>
            </w:tcBorders>
          </w:tcPr>
          <w:p w14:paraId="1C05EC82" w14:textId="77777777" w:rsidR="00F154A0" w:rsidRDefault="00DB4CAF" w:rsidP="00E37917">
            <w:pPr>
              <w:rPr>
                <w:b/>
                <w:bCs/>
                <w:noProof/>
                <w:szCs w:val="24"/>
              </w:rPr>
            </w:pPr>
            <w:r>
              <w:rPr>
                <w:b/>
                <w:bCs/>
                <w:noProof/>
                <w:szCs w:val="24"/>
              </w:rPr>
              <w:lastRenderedPageBreak/>
              <w:t>Kitty Henry Rise</w:t>
            </w:r>
          </w:p>
          <w:p w14:paraId="644C1986" w14:textId="77777777" w:rsidR="00F154A0" w:rsidRDefault="00F154A0" w:rsidP="00E825C8">
            <w:pPr>
              <w:pStyle w:val="Heading2"/>
              <w:spacing w:before="120" w:after="120"/>
              <w:jc w:val="left"/>
              <w:rPr>
                <w:rFonts w:ascii="Times New Roman" w:hAnsi="Times New Roman" w:cs="Times New Roman"/>
                <w:b/>
                <w:i w:val="0"/>
                <w:sz w:val="24"/>
                <w:szCs w:val="24"/>
              </w:rPr>
            </w:pPr>
          </w:p>
          <w:p w14:paraId="6BB1615C" w14:textId="77777777" w:rsidR="00E825C8" w:rsidRDefault="00E825C8" w:rsidP="00E825C8"/>
          <w:p w14:paraId="583415CF" w14:textId="77777777" w:rsidR="00E825C8" w:rsidRDefault="00E825C8" w:rsidP="00E825C8"/>
          <w:p w14:paraId="2A4EF006" w14:textId="08C53472" w:rsidR="00E825C8" w:rsidRPr="00007411" w:rsidRDefault="00E825C8" w:rsidP="00E825C8">
            <w:pPr>
              <w:rPr>
                <w:sz w:val="20"/>
              </w:rPr>
            </w:pPr>
          </w:p>
        </w:tc>
        <w:tc>
          <w:tcPr>
            <w:tcW w:w="2410" w:type="dxa"/>
            <w:tcBorders>
              <w:top w:val="nil"/>
              <w:left w:val="nil"/>
              <w:bottom w:val="nil"/>
              <w:right w:val="nil"/>
            </w:tcBorders>
          </w:tcPr>
          <w:p w14:paraId="3B6C41BB" w14:textId="77777777" w:rsidR="006E64F4" w:rsidRDefault="006E64F4" w:rsidP="006E64F4">
            <w:pPr>
              <w:rPr>
                <w:szCs w:val="24"/>
              </w:rPr>
            </w:pPr>
            <w:r>
              <w:rPr>
                <w:szCs w:val="24"/>
              </w:rPr>
              <w:t>Kathleen (Kitty) Vivian Henry</w:t>
            </w:r>
          </w:p>
          <w:p w14:paraId="0ADC5AE4" w14:textId="77777777" w:rsidR="00A2164F" w:rsidRDefault="00A2164F" w:rsidP="006E64F4">
            <w:pPr>
              <w:rPr>
                <w:szCs w:val="24"/>
              </w:rPr>
            </w:pPr>
          </w:p>
          <w:p w14:paraId="43227BB9" w14:textId="5D6F58A7" w:rsidR="006E64F4" w:rsidRPr="0015494C" w:rsidRDefault="00AE424D" w:rsidP="006E64F4">
            <w:pPr>
              <w:rPr>
                <w:b/>
                <w:bCs/>
                <w:noProof/>
                <w:szCs w:val="24"/>
              </w:rPr>
            </w:pPr>
            <w:r w:rsidRPr="0015494C">
              <w:rPr>
                <w:szCs w:val="24"/>
              </w:rPr>
              <w:t>(</w:t>
            </w:r>
            <w:r w:rsidR="006E64F4" w:rsidRPr="0015494C">
              <w:rPr>
                <w:szCs w:val="24"/>
              </w:rPr>
              <w:t>1904 – 1966</w:t>
            </w:r>
            <w:r w:rsidRPr="0015494C">
              <w:rPr>
                <w:szCs w:val="24"/>
              </w:rPr>
              <w:t>)</w:t>
            </w:r>
          </w:p>
          <w:p w14:paraId="315AE3E2" w14:textId="77777777" w:rsidR="00F154A0" w:rsidRDefault="00F154A0" w:rsidP="00E37917">
            <w:pPr>
              <w:spacing w:before="120" w:after="120"/>
              <w:rPr>
                <w:b/>
                <w:bCs/>
                <w:szCs w:val="24"/>
              </w:rPr>
            </w:pPr>
          </w:p>
          <w:p w14:paraId="06E51671" w14:textId="77777777" w:rsidR="000361FC" w:rsidRDefault="000361FC" w:rsidP="00E37917">
            <w:pPr>
              <w:spacing w:before="120" w:after="120"/>
              <w:rPr>
                <w:b/>
                <w:bCs/>
                <w:szCs w:val="24"/>
              </w:rPr>
            </w:pPr>
          </w:p>
          <w:p w14:paraId="1D9AAF84" w14:textId="1E4C0528" w:rsidR="000361FC" w:rsidRPr="00007411" w:rsidRDefault="000361FC" w:rsidP="00E37917">
            <w:pPr>
              <w:spacing w:before="120" w:after="120"/>
              <w:rPr>
                <w:b/>
                <w:bCs/>
                <w:szCs w:val="24"/>
              </w:rPr>
            </w:pPr>
          </w:p>
        </w:tc>
        <w:tc>
          <w:tcPr>
            <w:tcW w:w="4394" w:type="dxa"/>
            <w:tcBorders>
              <w:top w:val="nil"/>
              <w:left w:val="nil"/>
              <w:bottom w:val="nil"/>
              <w:right w:val="nil"/>
            </w:tcBorders>
          </w:tcPr>
          <w:p w14:paraId="524C12D9" w14:textId="2C05E1E5" w:rsidR="00F154A0" w:rsidRPr="000361FC" w:rsidRDefault="000361FC" w:rsidP="00E37917">
            <w:pPr>
              <w:pStyle w:val="CoverActName"/>
              <w:tabs>
                <w:tab w:val="clear" w:pos="2600"/>
              </w:tabs>
              <w:spacing w:before="0" w:after="0"/>
              <w:rPr>
                <w:rFonts w:ascii="Times New Roman" w:hAnsi="Times New Roman"/>
                <w:b w:val="0"/>
                <w:szCs w:val="24"/>
                <w:lang w:val="en-GB"/>
              </w:rPr>
            </w:pPr>
            <w:r w:rsidRPr="000361FC">
              <w:rPr>
                <w:rFonts w:ascii="Times New Roman" w:hAnsi="Times New Roman"/>
                <w:b w:val="0"/>
                <w:szCs w:val="24"/>
                <w:lang w:val="en-GB"/>
              </w:rPr>
              <w:t>Garden design</w:t>
            </w:r>
            <w:r w:rsidR="00FD72EA">
              <w:rPr>
                <w:rFonts w:ascii="Times New Roman" w:hAnsi="Times New Roman"/>
                <w:b w:val="0"/>
                <w:szCs w:val="24"/>
                <w:lang w:val="en-GB"/>
              </w:rPr>
              <w:t>er</w:t>
            </w:r>
          </w:p>
          <w:p w14:paraId="4B7BFC01" w14:textId="77777777" w:rsidR="00F154A0" w:rsidRPr="000361FC" w:rsidRDefault="00F154A0" w:rsidP="00E37917">
            <w:pPr>
              <w:pStyle w:val="CoverActName"/>
              <w:tabs>
                <w:tab w:val="clear" w:pos="2600"/>
              </w:tabs>
              <w:spacing w:before="0" w:after="0"/>
              <w:rPr>
                <w:rFonts w:ascii="Times New Roman" w:hAnsi="Times New Roman"/>
                <w:b w:val="0"/>
                <w:szCs w:val="24"/>
                <w:lang w:val="en-GB"/>
              </w:rPr>
            </w:pPr>
          </w:p>
          <w:p w14:paraId="748CFC91" w14:textId="77777777" w:rsidR="00F154A0" w:rsidRDefault="00714B9C" w:rsidP="0011613B">
            <w:pPr>
              <w:rPr>
                <w:lang w:val="en-US"/>
              </w:rPr>
            </w:pPr>
            <w:r>
              <w:rPr>
                <w:lang w:val="en-US"/>
              </w:rPr>
              <w:t>Self-taught, Kitty Henry began designing and making gardens in the late 1920s. Much of her work was in Sandy Bay, Hobart, but she also worked on large country gardens. Continuing in her occupation, she served in the Land Army during World War II. A gifted florist, post war she expanded the floristry arm of her business and was highly sought after for her flower bouquets. During the 1950s, as well as working on private gardens, she undertook planting schemes for institutional buildings. Henry was a member of the Royal Horticultural Society, England and the Hobart Horticulture Society, and a founding member of the National Rose Society. Additionally, she advised the National Trust on the gardens of its Hobart and Launceston properties, lectured at the Victoria League and provided instruction in flower arrangement and gardening for the Adult Education Board. A memorial in Queens Domain, Hobart commemorates her prominent role in establishing the University of Tasmania’s Rose Gardens.</w:t>
            </w:r>
          </w:p>
          <w:p w14:paraId="5654750B" w14:textId="62EE8C65" w:rsidR="00F708B1" w:rsidRPr="004569A0" w:rsidRDefault="00F708B1" w:rsidP="0011613B">
            <w:pPr>
              <w:rPr>
                <w:b/>
                <w:szCs w:val="24"/>
                <w:lang w:val="en-GB"/>
              </w:rPr>
            </w:pPr>
          </w:p>
        </w:tc>
      </w:tr>
      <w:tr w:rsidR="0011613B" w14:paraId="46ACF5A0" w14:textId="77777777" w:rsidTr="0011613B">
        <w:trPr>
          <w:cantSplit/>
        </w:trPr>
        <w:tc>
          <w:tcPr>
            <w:tcW w:w="2093" w:type="dxa"/>
            <w:tcBorders>
              <w:top w:val="nil"/>
              <w:left w:val="nil"/>
              <w:bottom w:val="nil"/>
              <w:right w:val="nil"/>
            </w:tcBorders>
          </w:tcPr>
          <w:p w14:paraId="26144BEC" w14:textId="77777777" w:rsidR="0011613B" w:rsidRDefault="0011613B" w:rsidP="00E37917">
            <w:pPr>
              <w:rPr>
                <w:b/>
                <w:bCs/>
                <w:noProof/>
                <w:szCs w:val="24"/>
              </w:rPr>
            </w:pPr>
          </w:p>
        </w:tc>
        <w:tc>
          <w:tcPr>
            <w:tcW w:w="2410" w:type="dxa"/>
            <w:tcBorders>
              <w:top w:val="nil"/>
              <w:left w:val="nil"/>
              <w:bottom w:val="nil"/>
              <w:right w:val="nil"/>
            </w:tcBorders>
          </w:tcPr>
          <w:p w14:paraId="73B16B7B" w14:textId="77777777" w:rsidR="0011613B" w:rsidRDefault="0011613B" w:rsidP="006E64F4">
            <w:pPr>
              <w:rPr>
                <w:szCs w:val="24"/>
              </w:rPr>
            </w:pPr>
          </w:p>
        </w:tc>
        <w:tc>
          <w:tcPr>
            <w:tcW w:w="4394" w:type="dxa"/>
            <w:tcBorders>
              <w:top w:val="nil"/>
              <w:left w:val="nil"/>
              <w:bottom w:val="nil"/>
              <w:right w:val="nil"/>
            </w:tcBorders>
          </w:tcPr>
          <w:p w14:paraId="78754A36" w14:textId="77777777" w:rsidR="0011613B" w:rsidRPr="000361FC" w:rsidRDefault="0011613B" w:rsidP="00E37917">
            <w:pPr>
              <w:pStyle w:val="CoverActName"/>
              <w:tabs>
                <w:tab w:val="clear" w:pos="2600"/>
              </w:tabs>
              <w:spacing w:before="0" w:after="0"/>
              <w:rPr>
                <w:rFonts w:ascii="Times New Roman" w:hAnsi="Times New Roman"/>
                <w:b w:val="0"/>
                <w:szCs w:val="24"/>
                <w:lang w:val="en-GB"/>
              </w:rPr>
            </w:pPr>
          </w:p>
        </w:tc>
      </w:tr>
      <w:tr w:rsidR="0011613B" w14:paraId="2F2114D5" w14:textId="77777777" w:rsidTr="00E37917">
        <w:trPr>
          <w:cantSplit/>
        </w:trPr>
        <w:tc>
          <w:tcPr>
            <w:tcW w:w="2093" w:type="dxa"/>
            <w:tcBorders>
              <w:top w:val="nil"/>
              <w:left w:val="nil"/>
              <w:bottom w:val="nil"/>
              <w:right w:val="nil"/>
            </w:tcBorders>
          </w:tcPr>
          <w:p w14:paraId="3736F27F" w14:textId="77777777" w:rsidR="0011613B" w:rsidRDefault="0011613B" w:rsidP="0011613B">
            <w:pPr>
              <w:rPr>
                <w:b/>
                <w:bCs/>
                <w:noProof/>
                <w:szCs w:val="24"/>
              </w:rPr>
            </w:pPr>
            <w:r>
              <w:rPr>
                <w:b/>
                <w:bCs/>
                <w:noProof/>
                <w:szCs w:val="24"/>
              </w:rPr>
              <w:t>Radburn Street</w:t>
            </w:r>
          </w:p>
          <w:p w14:paraId="4F72B46C" w14:textId="07E19DAC" w:rsidR="0011613B" w:rsidRPr="00007411" w:rsidRDefault="0011613B" w:rsidP="0011613B">
            <w:pPr>
              <w:rPr>
                <w:bCs/>
                <w:i/>
                <w:noProof/>
                <w:sz w:val="20"/>
              </w:rPr>
            </w:pPr>
          </w:p>
        </w:tc>
        <w:tc>
          <w:tcPr>
            <w:tcW w:w="2410" w:type="dxa"/>
            <w:tcBorders>
              <w:top w:val="nil"/>
              <w:left w:val="nil"/>
              <w:bottom w:val="nil"/>
              <w:right w:val="nil"/>
            </w:tcBorders>
          </w:tcPr>
          <w:p w14:paraId="7F3F0DBF" w14:textId="77777777" w:rsidR="0011613B" w:rsidRDefault="0011613B" w:rsidP="006E64F4">
            <w:pPr>
              <w:rPr>
                <w:szCs w:val="24"/>
              </w:rPr>
            </w:pPr>
            <w:r w:rsidRPr="00797A5D">
              <w:rPr>
                <w:szCs w:val="24"/>
              </w:rPr>
              <w:t>Experimental urban design model (</w:t>
            </w:r>
            <w:proofErr w:type="spellStart"/>
            <w:r w:rsidRPr="00797A5D">
              <w:rPr>
                <w:szCs w:val="24"/>
              </w:rPr>
              <w:t>Radburn</w:t>
            </w:r>
            <w:proofErr w:type="spellEnd"/>
            <w:r w:rsidRPr="00797A5D">
              <w:rPr>
                <w:szCs w:val="24"/>
              </w:rPr>
              <w:t>) tested in Australia</w:t>
            </w:r>
            <w:r>
              <w:rPr>
                <w:szCs w:val="24"/>
              </w:rPr>
              <w:t>, including Canberra.</w:t>
            </w:r>
          </w:p>
          <w:p w14:paraId="30FF5119" w14:textId="77777777" w:rsidR="00705498" w:rsidRDefault="00705498" w:rsidP="006E64F4">
            <w:pPr>
              <w:rPr>
                <w:szCs w:val="24"/>
              </w:rPr>
            </w:pPr>
          </w:p>
          <w:p w14:paraId="4DD6F789" w14:textId="77777777" w:rsidR="00705498" w:rsidRDefault="00705498" w:rsidP="006E64F4">
            <w:pPr>
              <w:rPr>
                <w:szCs w:val="24"/>
              </w:rPr>
            </w:pPr>
          </w:p>
          <w:p w14:paraId="4AE3193D" w14:textId="77777777" w:rsidR="00705498" w:rsidRDefault="00705498" w:rsidP="006E64F4">
            <w:pPr>
              <w:rPr>
                <w:szCs w:val="24"/>
              </w:rPr>
            </w:pPr>
          </w:p>
          <w:p w14:paraId="054C042B" w14:textId="77777777" w:rsidR="00705498" w:rsidRDefault="00705498" w:rsidP="006E64F4">
            <w:pPr>
              <w:rPr>
                <w:szCs w:val="24"/>
              </w:rPr>
            </w:pPr>
          </w:p>
          <w:p w14:paraId="50489247" w14:textId="77777777" w:rsidR="00705498" w:rsidRDefault="00705498" w:rsidP="006E64F4">
            <w:pPr>
              <w:rPr>
                <w:szCs w:val="24"/>
              </w:rPr>
            </w:pPr>
          </w:p>
          <w:p w14:paraId="0B209187" w14:textId="77777777" w:rsidR="00705498" w:rsidRDefault="00705498" w:rsidP="006E64F4">
            <w:pPr>
              <w:rPr>
                <w:szCs w:val="24"/>
              </w:rPr>
            </w:pPr>
          </w:p>
          <w:p w14:paraId="7B7B9273" w14:textId="77777777" w:rsidR="00705498" w:rsidRDefault="00705498" w:rsidP="006E64F4">
            <w:pPr>
              <w:rPr>
                <w:szCs w:val="24"/>
              </w:rPr>
            </w:pPr>
          </w:p>
          <w:p w14:paraId="4EAE3EA3" w14:textId="77777777" w:rsidR="00705498" w:rsidRDefault="00705498" w:rsidP="006E64F4">
            <w:pPr>
              <w:rPr>
                <w:szCs w:val="24"/>
              </w:rPr>
            </w:pPr>
          </w:p>
          <w:p w14:paraId="0DA5CC9C" w14:textId="77777777" w:rsidR="00705498" w:rsidRDefault="00705498" w:rsidP="006E64F4">
            <w:pPr>
              <w:rPr>
                <w:szCs w:val="24"/>
              </w:rPr>
            </w:pPr>
          </w:p>
          <w:p w14:paraId="2CA72489" w14:textId="77777777" w:rsidR="00705498" w:rsidRDefault="00705498" w:rsidP="006E64F4">
            <w:pPr>
              <w:rPr>
                <w:szCs w:val="24"/>
              </w:rPr>
            </w:pPr>
          </w:p>
          <w:p w14:paraId="7E807CCE" w14:textId="629DEF74" w:rsidR="00705498" w:rsidRPr="00007411" w:rsidRDefault="00705498" w:rsidP="00E15137">
            <w:pPr>
              <w:rPr>
                <w:sz w:val="20"/>
              </w:rPr>
            </w:pPr>
          </w:p>
        </w:tc>
        <w:tc>
          <w:tcPr>
            <w:tcW w:w="4394" w:type="dxa"/>
            <w:tcBorders>
              <w:top w:val="nil"/>
              <w:left w:val="nil"/>
              <w:right w:val="nil"/>
            </w:tcBorders>
          </w:tcPr>
          <w:p w14:paraId="6E51BC16" w14:textId="77777777" w:rsidR="0011613B" w:rsidRDefault="0011613B" w:rsidP="0011613B">
            <w:pPr>
              <w:pStyle w:val="CoverActName"/>
              <w:tabs>
                <w:tab w:val="clear" w:pos="2600"/>
              </w:tabs>
              <w:spacing w:before="0" w:after="0"/>
              <w:rPr>
                <w:rFonts w:ascii="Times New Roman" w:hAnsi="Times New Roman"/>
                <w:b w:val="0"/>
                <w:szCs w:val="24"/>
                <w:lang w:val="en-GB"/>
              </w:rPr>
            </w:pPr>
            <w:r>
              <w:rPr>
                <w:rFonts w:ascii="Times New Roman" w:hAnsi="Times New Roman"/>
                <w:b w:val="0"/>
                <w:szCs w:val="24"/>
                <w:lang w:val="en-GB"/>
              </w:rPr>
              <w:t>Town planning, urban design</w:t>
            </w:r>
          </w:p>
          <w:p w14:paraId="50A97E32" w14:textId="77777777" w:rsidR="0011613B" w:rsidRDefault="0011613B" w:rsidP="0011613B">
            <w:pPr>
              <w:pStyle w:val="CoverActName"/>
              <w:tabs>
                <w:tab w:val="clear" w:pos="2600"/>
              </w:tabs>
              <w:spacing w:before="0" w:after="0"/>
              <w:rPr>
                <w:rFonts w:ascii="Times New Roman" w:hAnsi="Times New Roman"/>
                <w:b w:val="0"/>
                <w:szCs w:val="24"/>
                <w:lang w:val="en-GB"/>
              </w:rPr>
            </w:pPr>
          </w:p>
          <w:p w14:paraId="2240E86B" w14:textId="680C0845" w:rsidR="0011613B" w:rsidRPr="000361FC" w:rsidRDefault="0011613B" w:rsidP="0011613B">
            <w:pPr>
              <w:rPr>
                <w:b/>
                <w:szCs w:val="24"/>
                <w:lang w:val="en-GB"/>
              </w:rPr>
            </w:pPr>
            <w:r w:rsidRPr="00507550">
              <w:t xml:space="preserve">The </w:t>
            </w:r>
            <w:proofErr w:type="spellStart"/>
            <w:r w:rsidRPr="00507550">
              <w:t>Radburn</w:t>
            </w:r>
            <w:proofErr w:type="spellEnd"/>
            <w:r w:rsidRPr="00507550">
              <w:t xml:space="preserve"> design concept</w:t>
            </w:r>
            <w:r>
              <w:t xml:space="preserve"> </w:t>
            </w:r>
            <w:r w:rsidRPr="00507550">
              <w:t>deriv</w:t>
            </w:r>
            <w:r>
              <w:t>es</w:t>
            </w:r>
            <w:r w:rsidRPr="00507550">
              <w:t xml:space="preserve"> from a </w:t>
            </w:r>
            <w:r>
              <w:t xml:space="preserve">planning </w:t>
            </w:r>
            <w:r w:rsidRPr="00507550">
              <w:t>model</w:t>
            </w:r>
            <w:r>
              <w:t xml:space="preserve"> developed for </w:t>
            </w:r>
            <w:proofErr w:type="spellStart"/>
            <w:r w:rsidRPr="00507550">
              <w:t>Radburn</w:t>
            </w:r>
            <w:proofErr w:type="spellEnd"/>
            <w:r w:rsidRPr="00507550">
              <w:t>, New Jersey, USA in the late 1920s.</w:t>
            </w:r>
            <w:r>
              <w:t xml:space="preserve"> It segregates </w:t>
            </w:r>
            <w:r w:rsidRPr="00507550">
              <w:t>pedestrian activity</w:t>
            </w:r>
            <w:r>
              <w:t xml:space="preserve"> from vehicle traffic</w:t>
            </w:r>
            <w:r w:rsidRPr="00507550">
              <w:t xml:space="preserve">, directing pedestrian access to neighbourhood facilities via </w:t>
            </w:r>
            <w:r>
              <w:t>communal open green space</w:t>
            </w:r>
            <w:r w:rsidRPr="00507550">
              <w:t>.</w:t>
            </w:r>
            <w:r>
              <w:t xml:space="preserve"> </w:t>
            </w:r>
            <w:proofErr w:type="spellStart"/>
            <w:r>
              <w:t>Radburn</w:t>
            </w:r>
            <w:proofErr w:type="spellEnd"/>
            <w:r>
              <w:t xml:space="preserve"> planning is characterised by the orientation of h</w:t>
            </w:r>
            <w:r w:rsidRPr="00507550">
              <w:t>ouse</w:t>
            </w:r>
            <w:r>
              <w:t xml:space="preserve"> frontages </w:t>
            </w:r>
            <w:r w:rsidRPr="00507550">
              <w:t>to</w:t>
            </w:r>
            <w:r>
              <w:t xml:space="preserve"> neighbourhood parkland with addressing and vehicle access to the rear of properties via service streets. </w:t>
            </w:r>
            <w:r w:rsidRPr="00507550">
              <w:t xml:space="preserve">The </w:t>
            </w:r>
            <w:r>
              <w:t>planning model</w:t>
            </w:r>
            <w:r w:rsidRPr="00507550">
              <w:t xml:space="preserve"> has been applied in several Australian capital cities including Canberra, Melbourne, Perth, and Sydney. In Canberra,</w:t>
            </w:r>
            <w:r>
              <w:t xml:space="preserve"> the model </w:t>
            </w:r>
            <w:r w:rsidRPr="00507550">
              <w:t>was tested in the suburbs of</w:t>
            </w:r>
            <w:r w:rsidR="00E51D6B">
              <w:t xml:space="preserve"> Hughes, </w:t>
            </w:r>
            <w:r w:rsidRPr="00507550">
              <w:t>Garran,</w:t>
            </w:r>
            <w:r w:rsidR="00E51D6B">
              <w:t xml:space="preserve"> Curtin, Fisher, and Charnwood</w:t>
            </w:r>
            <w:r w:rsidR="0042687E">
              <w:t xml:space="preserve"> during the 1960s and 1970s</w:t>
            </w:r>
            <w:r w:rsidRPr="00507550">
              <w:t xml:space="preserve">. </w:t>
            </w:r>
          </w:p>
        </w:tc>
      </w:tr>
    </w:tbl>
    <w:p w14:paraId="1D63B16D" w14:textId="75B53A30" w:rsidR="00970517" w:rsidRPr="00007411" w:rsidRDefault="00697A6A" w:rsidP="00970517">
      <w:pPr>
        <w:tabs>
          <w:tab w:val="left" w:pos="4320"/>
        </w:tabs>
        <w:ind w:firstLine="1276"/>
        <w:rPr>
          <w:rFonts w:asciiTheme="minorHAnsi" w:hAnsiTheme="minorHAnsi" w:cstheme="minorBidi"/>
        </w:rPr>
      </w:pPr>
      <w:r>
        <w:rPr>
          <w:noProof/>
          <w:lang w:eastAsia="en-AU"/>
        </w:rPr>
        <w:lastRenderedPageBreak/>
        <w:drawing>
          <wp:anchor distT="0" distB="0" distL="114300" distR="114300" simplePos="0" relativeHeight="251658240" behindDoc="0" locked="0" layoutInCell="1" allowOverlap="1" wp14:anchorId="15C02EFA" wp14:editId="75C857E5">
            <wp:simplePos x="1952625" y="914400"/>
            <wp:positionH relativeFrom="margin">
              <wp:align>center</wp:align>
            </wp:positionH>
            <wp:positionV relativeFrom="margin">
              <wp:align>top</wp:align>
            </wp:positionV>
            <wp:extent cx="5274945" cy="7460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945" cy="7460615"/>
                    </a:xfrm>
                    <a:prstGeom prst="rect">
                      <a:avLst/>
                    </a:prstGeom>
                    <a:noFill/>
                    <a:ln>
                      <a:noFill/>
                    </a:ln>
                  </pic:spPr>
                </pic:pic>
              </a:graphicData>
            </a:graphic>
          </wp:anchor>
        </w:drawing>
      </w:r>
    </w:p>
    <w:p w14:paraId="149A685C" w14:textId="5E83AA47" w:rsidR="001056A5" w:rsidRPr="00007411" w:rsidRDefault="001056A5" w:rsidP="00970517">
      <w:pPr>
        <w:tabs>
          <w:tab w:val="left" w:pos="4320"/>
        </w:tabs>
        <w:ind w:firstLine="1276"/>
        <w:rPr>
          <w:rFonts w:asciiTheme="minorHAnsi" w:hAnsiTheme="minorHAnsi" w:cstheme="minorBidi"/>
        </w:rPr>
      </w:pPr>
    </w:p>
    <w:sectPr w:rsidR="001056A5" w:rsidRPr="00007411" w:rsidSect="002A6245">
      <w:footerReference w:type="defaul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B9EA" w14:textId="77777777" w:rsidR="001D0AB7" w:rsidRDefault="001D0AB7" w:rsidP="00F10CB2">
      <w:r>
        <w:separator/>
      </w:r>
    </w:p>
  </w:endnote>
  <w:endnote w:type="continuationSeparator" w:id="0">
    <w:p w14:paraId="324A6AD6" w14:textId="77777777" w:rsidR="001D0AB7" w:rsidRDefault="001D0AB7"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2D00" w14:textId="77777777" w:rsidR="002A6245" w:rsidRDefault="002A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251" w14:textId="5B37B6D5" w:rsidR="002A039C" w:rsidRPr="00A15C69" w:rsidRDefault="00007411" w:rsidP="00A15C69">
    <w:pPr>
      <w:pStyle w:val="Footer"/>
      <w:tabs>
        <w:tab w:val="clear" w:pos="2880"/>
      </w:tabs>
      <w:jc w:val="center"/>
      <w:rPr>
        <w:rFonts w:ascii="Arial" w:hAnsi="Arial" w:cs="Arial"/>
        <w:sz w:val="14"/>
      </w:rPr>
    </w:pPr>
    <w:sdt>
      <w:sdtPr>
        <w:rPr>
          <w:rFonts w:ascii="Arial" w:hAnsi="Arial" w:cs="Arial"/>
          <w:sz w:val="14"/>
        </w:rPr>
        <w:id w:val="325054357"/>
        <w:docPartObj>
          <w:docPartGallery w:val="Page Numbers (Top of Page)"/>
          <w:docPartUnique/>
        </w:docPartObj>
      </w:sdtPr>
      <w:sdtEndPr/>
      <w:sdtContent>
        <w:sdt>
          <w:sdtPr>
            <w:rPr>
              <w:rFonts w:ascii="Arial" w:hAnsi="Arial" w:cs="Arial"/>
              <w:sz w:val="14"/>
            </w:rPr>
            <w:id w:val="325054361"/>
            <w:docPartObj>
              <w:docPartGallery w:val="Page Numbers (Top of Page)"/>
              <w:docPartUnique/>
            </w:docPartObj>
          </w:sdtPr>
          <w:sdtEndPr/>
          <w:sdtContent/>
        </w:sdt>
      </w:sdtContent>
    </w:sdt>
    <w:r w:rsidR="00A15C69" w:rsidRPr="00A15C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35FFE229" w14:textId="15B01C9C"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9E50D0">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2A6245">
              <w:rPr>
                <w:noProof/>
              </w:rPr>
              <w:t>5</w:t>
            </w:r>
            <w:r w:rsidR="008036F7">
              <w:rPr>
                <w:noProof/>
              </w:rPr>
              <w:fldChar w:fldCharType="end"/>
            </w:r>
          </w:p>
          <w:p w14:paraId="34941750" w14:textId="77777777" w:rsidR="002A039C" w:rsidRPr="00AA02C9" w:rsidRDefault="00007411"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color w:val="000000" w:themeColor="text1"/>
        <w:sz w:val="14"/>
        <w:szCs w:val="18"/>
      </w:rPr>
    </w:sdtEndPr>
    <w:sdtContent>
      <w:sdt>
        <w:sdtPr>
          <w:id w:val="325054371"/>
          <w:docPartObj>
            <w:docPartGallery w:val="Page Numbers (Top of Page)"/>
            <w:docPartUnique/>
          </w:docPartObj>
        </w:sdtPr>
        <w:sdtEndPr>
          <w:rPr>
            <w:color w:val="000000" w:themeColor="text1"/>
            <w:sz w:val="14"/>
            <w:szCs w:val="18"/>
          </w:rPr>
        </w:sdtEndPr>
        <w:sdtContent>
          <w:sdt>
            <w:sdtPr>
              <w:id w:val="325054372"/>
              <w:docPartObj>
                <w:docPartGallery w:val="Page Numbers (Top of Page)"/>
                <w:docPartUnique/>
              </w:docPartObj>
            </w:sdtPr>
            <w:sdtEndPr>
              <w:rPr>
                <w:color w:val="000000" w:themeColor="text1"/>
                <w:sz w:val="14"/>
                <w:szCs w:val="18"/>
              </w:rPr>
            </w:sdtEndPr>
            <w:sdtContent>
              <w:p w14:paraId="1946DD4E" w14:textId="5EAFA077" w:rsidR="00F43630"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9E50D0">
                  <w:rPr>
                    <w:noProof/>
                  </w:rPr>
                  <w:t>2</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007411">
                  <w:rPr>
                    <w:noProof/>
                  </w:rPr>
                  <w:t>5</w:t>
                </w:r>
                <w:r w:rsidR="008036F7">
                  <w:rPr>
                    <w:noProof/>
                  </w:rPr>
                  <w:fldChar w:fldCharType="end"/>
                </w:r>
              </w:p>
              <w:p w14:paraId="42449542" w14:textId="77777777" w:rsidR="00A15C69" w:rsidRDefault="00007411" w:rsidP="001056A5">
                <w:pPr>
                  <w:pStyle w:val="Footer"/>
                  <w:tabs>
                    <w:tab w:val="clear" w:pos="2880"/>
                  </w:tabs>
                  <w:rPr>
                    <w:color w:val="000000" w:themeColor="text1"/>
                    <w:sz w:val="14"/>
                    <w:szCs w:val="18"/>
                  </w:rPr>
                </w:pPr>
              </w:p>
            </w:sdtContent>
          </w:sdt>
        </w:sdtContent>
      </w:sdt>
    </w:sdtContent>
  </w:sdt>
  <w:p w14:paraId="6568E88F" w14:textId="5C1ED29A" w:rsidR="001056A5" w:rsidRPr="00A15C69" w:rsidRDefault="00A15C69" w:rsidP="00A15C69">
    <w:pPr>
      <w:pStyle w:val="Footer"/>
      <w:tabs>
        <w:tab w:val="clear" w:pos="2880"/>
      </w:tabs>
      <w:jc w:val="center"/>
      <w:rPr>
        <w:rFonts w:ascii="Arial" w:hAnsi="Arial" w:cs="Arial"/>
        <w:color w:val="000000" w:themeColor="text1"/>
        <w:sz w:val="14"/>
        <w:szCs w:val="18"/>
      </w:rPr>
    </w:pPr>
    <w:r w:rsidRPr="00A15C69">
      <w:rPr>
        <w:rFonts w:ascii="Arial" w:hAnsi="Arial" w:cs="Arial"/>
        <w:color w:val="000000" w:themeColor="text1"/>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02820"/>
      <w:docPartObj>
        <w:docPartGallery w:val="Page Numbers (Bottom of Page)"/>
        <w:docPartUnique/>
      </w:docPartObj>
    </w:sdtPr>
    <w:sdtEndPr>
      <w:rPr>
        <w:color w:val="000000" w:themeColor="text1"/>
        <w:sz w:val="14"/>
        <w:szCs w:val="18"/>
      </w:rPr>
    </w:sdtEndPr>
    <w:sdtContent>
      <w:sdt>
        <w:sdtPr>
          <w:id w:val="664905702"/>
          <w:docPartObj>
            <w:docPartGallery w:val="Page Numbers (Top of Page)"/>
            <w:docPartUnique/>
          </w:docPartObj>
        </w:sdtPr>
        <w:sdtEndPr>
          <w:rPr>
            <w:color w:val="000000" w:themeColor="text1"/>
            <w:sz w:val="14"/>
            <w:szCs w:val="18"/>
          </w:rPr>
        </w:sdtEndPr>
        <w:sdtContent>
          <w:p w14:paraId="3FAC5314" w14:textId="0FB5D348" w:rsidR="002A6245" w:rsidRPr="00AF1C0D" w:rsidRDefault="002A6245"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007411">
              <w:rPr>
                <w:noProof/>
              </w:rPr>
              <w:t>5</w:t>
            </w:r>
            <w:r>
              <w:rPr>
                <w:noProof/>
              </w:rPr>
              <w:fldChar w:fldCharType="end"/>
            </w:r>
          </w:p>
          <w:p w14:paraId="1A3F1539" w14:textId="77777777" w:rsidR="00A15C69" w:rsidRDefault="00007411" w:rsidP="00AA02C9">
            <w:pPr>
              <w:pStyle w:val="Footer"/>
              <w:rPr>
                <w:color w:val="000000" w:themeColor="text1"/>
                <w:sz w:val="14"/>
                <w:szCs w:val="18"/>
              </w:rPr>
            </w:pPr>
          </w:p>
        </w:sdtContent>
      </w:sdt>
    </w:sdtContent>
  </w:sdt>
  <w:p w14:paraId="50FC0C8B" w14:textId="011DEFBF" w:rsidR="002A6245" w:rsidRPr="00A15C69" w:rsidRDefault="00A15C69" w:rsidP="00A15C69">
    <w:pPr>
      <w:pStyle w:val="Footer"/>
      <w:jc w:val="center"/>
      <w:rPr>
        <w:rFonts w:ascii="Arial" w:hAnsi="Arial" w:cs="Arial"/>
        <w:color w:val="000000" w:themeColor="text1"/>
        <w:sz w:val="14"/>
        <w:szCs w:val="18"/>
      </w:rPr>
    </w:pPr>
    <w:r w:rsidRPr="00A15C69">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C11D" w14:textId="77777777" w:rsidR="001D0AB7" w:rsidRDefault="001D0AB7" w:rsidP="00F10CB2">
      <w:r>
        <w:separator/>
      </w:r>
    </w:p>
  </w:footnote>
  <w:footnote w:type="continuationSeparator" w:id="0">
    <w:p w14:paraId="40A91C6D" w14:textId="77777777" w:rsidR="001D0AB7" w:rsidRDefault="001D0AB7"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D1F1" w14:textId="77777777" w:rsidR="002A6245" w:rsidRDefault="002A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F7ED" w14:textId="77777777" w:rsidR="002A6245" w:rsidRDefault="002A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D998" w14:textId="77777777" w:rsidR="002A6245" w:rsidRDefault="002A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07411"/>
    <w:rsid w:val="00022B16"/>
    <w:rsid w:val="000361FC"/>
    <w:rsid w:val="0004515E"/>
    <w:rsid w:val="00045E39"/>
    <w:rsid w:val="00046944"/>
    <w:rsid w:val="000A1A69"/>
    <w:rsid w:val="000A292D"/>
    <w:rsid w:val="000C501D"/>
    <w:rsid w:val="000D163D"/>
    <w:rsid w:val="001012E0"/>
    <w:rsid w:val="001056A5"/>
    <w:rsid w:val="00111262"/>
    <w:rsid w:val="00112B37"/>
    <w:rsid w:val="0011613B"/>
    <w:rsid w:val="00124F6F"/>
    <w:rsid w:val="00134786"/>
    <w:rsid w:val="0015494C"/>
    <w:rsid w:val="00160AC3"/>
    <w:rsid w:val="00180ED8"/>
    <w:rsid w:val="0018690F"/>
    <w:rsid w:val="00194AC7"/>
    <w:rsid w:val="0019756F"/>
    <w:rsid w:val="001A1753"/>
    <w:rsid w:val="001C404F"/>
    <w:rsid w:val="001C737C"/>
    <w:rsid w:val="001D0AB7"/>
    <w:rsid w:val="001E1DFE"/>
    <w:rsid w:val="001F1298"/>
    <w:rsid w:val="00205E99"/>
    <w:rsid w:val="00207E87"/>
    <w:rsid w:val="00214B60"/>
    <w:rsid w:val="0021591F"/>
    <w:rsid w:val="00232478"/>
    <w:rsid w:val="00253E6A"/>
    <w:rsid w:val="00267FC1"/>
    <w:rsid w:val="00290989"/>
    <w:rsid w:val="002A039C"/>
    <w:rsid w:val="002A6245"/>
    <w:rsid w:val="002B19A1"/>
    <w:rsid w:val="002E3B8B"/>
    <w:rsid w:val="002E5212"/>
    <w:rsid w:val="003048D1"/>
    <w:rsid w:val="00346177"/>
    <w:rsid w:val="00373830"/>
    <w:rsid w:val="003C330F"/>
    <w:rsid w:val="003D7174"/>
    <w:rsid w:val="00414723"/>
    <w:rsid w:val="0042687E"/>
    <w:rsid w:val="00435CA6"/>
    <w:rsid w:val="00445322"/>
    <w:rsid w:val="00452269"/>
    <w:rsid w:val="004569A0"/>
    <w:rsid w:val="00462E46"/>
    <w:rsid w:val="00481934"/>
    <w:rsid w:val="00492788"/>
    <w:rsid w:val="004B0312"/>
    <w:rsid w:val="004C2EB9"/>
    <w:rsid w:val="004E2D8B"/>
    <w:rsid w:val="004F086C"/>
    <w:rsid w:val="00513572"/>
    <w:rsid w:val="00517E47"/>
    <w:rsid w:val="00522381"/>
    <w:rsid w:val="0054274A"/>
    <w:rsid w:val="00580D29"/>
    <w:rsid w:val="005961A3"/>
    <w:rsid w:val="005C25A7"/>
    <w:rsid w:val="005C2604"/>
    <w:rsid w:val="005D55E0"/>
    <w:rsid w:val="005D68B8"/>
    <w:rsid w:val="005F75A1"/>
    <w:rsid w:val="00607816"/>
    <w:rsid w:val="00620DBB"/>
    <w:rsid w:val="00627F0C"/>
    <w:rsid w:val="00634F0B"/>
    <w:rsid w:val="006355D9"/>
    <w:rsid w:val="006405ED"/>
    <w:rsid w:val="006668F6"/>
    <w:rsid w:val="00667281"/>
    <w:rsid w:val="00685113"/>
    <w:rsid w:val="00697A6A"/>
    <w:rsid w:val="006A3A2F"/>
    <w:rsid w:val="006D356E"/>
    <w:rsid w:val="006E64F4"/>
    <w:rsid w:val="00704DC3"/>
    <w:rsid w:val="00705498"/>
    <w:rsid w:val="00714B9C"/>
    <w:rsid w:val="0072003E"/>
    <w:rsid w:val="007333B3"/>
    <w:rsid w:val="0077162F"/>
    <w:rsid w:val="0077280A"/>
    <w:rsid w:val="00784B87"/>
    <w:rsid w:val="00792200"/>
    <w:rsid w:val="00797A5D"/>
    <w:rsid w:val="007A3299"/>
    <w:rsid w:val="007B2E24"/>
    <w:rsid w:val="007C3B22"/>
    <w:rsid w:val="007D06D8"/>
    <w:rsid w:val="008028F8"/>
    <w:rsid w:val="008036F7"/>
    <w:rsid w:val="0080551B"/>
    <w:rsid w:val="00824EB1"/>
    <w:rsid w:val="00827DA5"/>
    <w:rsid w:val="00894148"/>
    <w:rsid w:val="00896379"/>
    <w:rsid w:val="008A1D96"/>
    <w:rsid w:val="008A3808"/>
    <w:rsid w:val="008B556F"/>
    <w:rsid w:val="008C10DE"/>
    <w:rsid w:val="008E4A39"/>
    <w:rsid w:val="008F060D"/>
    <w:rsid w:val="008F60A5"/>
    <w:rsid w:val="009070F7"/>
    <w:rsid w:val="00970517"/>
    <w:rsid w:val="00981C26"/>
    <w:rsid w:val="00985DC1"/>
    <w:rsid w:val="009876DB"/>
    <w:rsid w:val="009D29F4"/>
    <w:rsid w:val="009E03A4"/>
    <w:rsid w:val="009E3F84"/>
    <w:rsid w:val="009E50D0"/>
    <w:rsid w:val="00A0585C"/>
    <w:rsid w:val="00A07BFA"/>
    <w:rsid w:val="00A15C69"/>
    <w:rsid w:val="00A2164F"/>
    <w:rsid w:val="00A32B99"/>
    <w:rsid w:val="00A43FE7"/>
    <w:rsid w:val="00A502EA"/>
    <w:rsid w:val="00A74247"/>
    <w:rsid w:val="00A77B79"/>
    <w:rsid w:val="00A9655D"/>
    <w:rsid w:val="00AA02C9"/>
    <w:rsid w:val="00AA7557"/>
    <w:rsid w:val="00AE424D"/>
    <w:rsid w:val="00AF30FA"/>
    <w:rsid w:val="00AF3C39"/>
    <w:rsid w:val="00B021A5"/>
    <w:rsid w:val="00B1549F"/>
    <w:rsid w:val="00B16049"/>
    <w:rsid w:val="00B213DA"/>
    <w:rsid w:val="00B30B9A"/>
    <w:rsid w:val="00B4673D"/>
    <w:rsid w:val="00B63A10"/>
    <w:rsid w:val="00B6603C"/>
    <w:rsid w:val="00B67925"/>
    <w:rsid w:val="00B7604A"/>
    <w:rsid w:val="00B96911"/>
    <w:rsid w:val="00BA52F5"/>
    <w:rsid w:val="00BB241F"/>
    <w:rsid w:val="00BD02C6"/>
    <w:rsid w:val="00C41B1B"/>
    <w:rsid w:val="00C517D4"/>
    <w:rsid w:val="00C56F36"/>
    <w:rsid w:val="00C65523"/>
    <w:rsid w:val="00C82F88"/>
    <w:rsid w:val="00C84CE7"/>
    <w:rsid w:val="00CA0758"/>
    <w:rsid w:val="00CD4E55"/>
    <w:rsid w:val="00CE3399"/>
    <w:rsid w:val="00CE61EB"/>
    <w:rsid w:val="00CF1DD9"/>
    <w:rsid w:val="00CF28EB"/>
    <w:rsid w:val="00CF71DA"/>
    <w:rsid w:val="00D36CFC"/>
    <w:rsid w:val="00D47F13"/>
    <w:rsid w:val="00D9612A"/>
    <w:rsid w:val="00DA6F15"/>
    <w:rsid w:val="00DB1051"/>
    <w:rsid w:val="00DB4CAF"/>
    <w:rsid w:val="00DF1D10"/>
    <w:rsid w:val="00E04E4A"/>
    <w:rsid w:val="00E1113F"/>
    <w:rsid w:val="00E15137"/>
    <w:rsid w:val="00E358BC"/>
    <w:rsid w:val="00E51D6B"/>
    <w:rsid w:val="00E73C6D"/>
    <w:rsid w:val="00E825C8"/>
    <w:rsid w:val="00EA7B8E"/>
    <w:rsid w:val="00F0488B"/>
    <w:rsid w:val="00F10CB2"/>
    <w:rsid w:val="00F154A0"/>
    <w:rsid w:val="00F15AC3"/>
    <w:rsid w:val="00F236C5"/>
    <w:rsid w:val="00F43630"/>
    <w:rsid w:val="00F56AED"/>
    <w:rsid w:val="00F708B1"/>
    <w:rsid w:val="00FB1491"/>
    <w:rsid w:val="00FB4806"/>
    <w:rsid w:val="00FD72EA"/>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83EFAC"/>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E1113F"/>
    <w:rPr>
      <w:i/>
      <w:iCs/>
    </w:rPr>
  </w:style>
  <w:style w:type="character" w:customStyle="1" w:styleId="Heading2Char">
    <w:name w:val="Heading 2 Char"/>
    <w:basedOn w:val="DefaultParagraphFont"/>
    <w:link w:val="Heading2"/>
    <w:rsid w:val="002B19A1"/>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0150">
      <w:bodyDiv w:val="1"/>
      <w:marLeft w:val="0"/>
      <w:marRight w:val="0"/>
      <w:marTop w:val="0"/>
      <w:marBottom w:val="0"/>
      <w:divBdr>
        <w:top w:val="none" w:sz="0" w:space="0" w:color="auto"/>
        <w:left w:val="none" w:sz="0" w:space="0" w:color="auto"/>
        <w:bottom w:val="none" w:sz="0" w:space="0" w:color="auto"/>
        <w:right w:val="none" w:sz="0" w:space="0" w:color="auto"/>
      </w:divBdr>
    </w:div>
    <w:div w:id="283075523">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1093</Words>
  <Characters>5709</Characters>
  <Application>Microsoft Office Word</Application>
  <DocSecurity>0</DocSecurity>
  <Lines>142</Lines>
  <Paragraphs>55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2004-04-05T00:37:00Z</cp:lastPrinted>
  <dcterms:created xsi:type="dcterms:W3CDTF">2020-04-23T23:39:00Z</dcterms:created>
  <dcterms:modified xsi:type="dcterms:W3CDTF">2020-04-24T01:04:00Z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A24649554</vt:lpwstr>
  </property>
  <property fmtid="{D5CDD505-2E9C-101B-9397-08002B2CF9AE}" pid="4" name="Objective-Title">
    <vt:lpwstr>02. 2020 Public Place Names (Taylor) Determination 2020 (No 3)</vt:lpwstr>
  </property>
  <property fmtid="{D5CDD505-2E9C-101B-9397-08002B2CF9AE}" pid="5" name="Objective-Comment">
    <vt:lpwstr/>
  </property>
  <property fmtid="{D5CDD505-2E9C-101B-9397-08002B2CF9AE}" pid="6" name="Objective-CreationStamp">
    <vt:filetime>2020-02-03T00:34:48Z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2020-04-16T11:50:27Z</vt:filetime>
  </property>
  <property fmtid="{D5CDD505-2E9C-101B-9397-08002B2CF9AE}" pid="10" name="Objective-ModificationStamp">
    <vt:filetime>2020-04-20T21:38:13Z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20/05550 - Public Place Names (Taylor) Determination 2020 (No 3)</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Edit, Palm (add to dictionary to remove red line, add space before Radburn)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