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39F57" w14:textId="44F807C6" w:rsidR="00B457BA" w:rsidRPr="00611FD0" w:rsidRDefault="00B457BA" w:rsidP="00BD1285">
      <w:pPr>
        <w:spacing w:before="120" w:after="0" w:line="240" w:lineRule="auto"/>
        <w:ind w:left="0"/>
        <w:rPr>
          <w:rFonts w:ascii="Arial" w:hAnsi="Arial" w:cs="Arial"/>
          <w:color w:val="auto"/>
          <w:sz w:val="24"/>
          <w:szCs w:val="24"/>
        </w:rPr>
      </w:pPr>
      <w:bookmarkStart w:id="0" w:name="_Toc44738651"/>
      <w:bookmarkStart w:id="1" w:name="_Toc442595646"/>
      <w:bookmarkStart w:id="2" w:name="_GoBack"/>
      <w:bookmarkEnd w:id="2"/>
      <w:r w:rsidRPr="00611FD0">
        <w:rPr>
          <w:rFonts w:ascii="Arial" w:hAnsi="Arial" w:cs="Arial"/>
          <w:color w:val="auto"/>
          <w:sz w:val="24"/>
          <w:szCs w:val="24"/>
        </w:rPr>
        <w:t>Australian Capital Territory</w:t>
      </w:r>
    </w:p>
    <w:p w14:paraId="6EE49B47" w14:textId="6DB7359A" w:rsidR="00B457BA" w:rsidRPr="00611FD0" w:rsidRDefault="00B457BA" w:rsidP="00BD1285">
      <w:pPr>
        <w:tabs>
          <w:tab w:val="left" w:pos="2400"/>
          <w:tab w:val="left" w:pos="2880"/>
        </w:tabs>
        <w:spacing w:before="700" w:after="100" w:line="240" w:lineRule="auto"/>
        <w:ind w:left="0"/>
        <w:rPr>
          <w:rFonts w:ascii="Arial" w:hAnsi="Arial" w:cs="Arial"/>
          <w:b/>
          <w:bCs/>
          <w:color w:val="auto"/>
          <w:sz w:val="40"/>
          <w:szCs w:val="40"/>
        </w:rPr>
      </w:pPr>
      <w:r w:rsidRPr="00611FD0">
        <w:rPr>
          <w:rFonts w:ascii="Arial" w:hAnsi="Arial" w:cs="Arial"/>
          <w:b/>
          <w:bCs/>
          <w:color w:val="auto"/>
          <w:sz w:val="40"/>
          <w:szCs w:val="40"/>
        </w:rPr>
        <w:t xml:space="preserve">Utilities (Electricity </w:t>
      </w:r>
      <w:r w:rsidR="002453EC">
        <w:rPr>
          <w:rFonts w:ascii="Arial" w:hAnsi="Arial" w:cs="Arial"/>
          <w:b/>
          <w:bCs/>
          <w:color w:val="auto"/>
          <w:sz w:val="40"/>
          <w:szCs w:val="40"/>
        </w:rPr>
        <w:t xml:space="preserve">Feed-in Code) Determination </w:t>
      </w:r>
      <w:r w:rsidR="002941DA">
        <w:rPr>
          <w:rFonts w:ascii="Arial" w:hAnsi="Arial" w:cs="Arial"/>
          <w:b/>
          <w:bCs/>
          <w:color w:val="auto"/>
          <w:sz w:val="40"/>
          <w:szCs w:val="40"/>
        </w:rPr>
        <w:t>2020</w:t>
      </w:r>
      <w:r w:rsidR="002941DA" w:rsidRPr="00611FD0">
        <w:rPr>
          <w:rFonts w:ascii="Arial" w:hAnsi="Arial" w:cs="Arial"/>
          <w:b/>
          <w:bCs/>
          <w:color w:val="auto"/>
          <w:sz w:val="40"/>
          <w:szCs w:val="40"/>
        </w:rPr>
        <w:t xml:space="preserve"> </w:t>
      </w:r>
    </w:p>
    <w:p w14:paraId="5325E85B" w14:textId="4E77A48E" w:rsidR="00B457BA" w:rsidRPr="00611FD0" w:rsidRDefault="002453EC" w:rsidP="00BD1285">
      <w:pPr>
        <w:spacing w:before="240" w:after="60" w:line="240" w:lineRule="auto"/>
        <w:ind w:left="0"/>
        <w:rPr>
          <w:rFonts w:ascii="Arial" w:hAnsi="Arial" w:cs="Arial"/>
          <w:b/>
          <w:bCs/>
          <w:color w:val="auto"/>
          <w:sz w:val="22"/>
          <w:szCs w:val="22"/>
          <w:vertAlign w:val="superscript"/>
        </w:rPr>
      </w:pPr>
      <w:r>
        <w:rPr>
          <w:rFonts w:ascii="Arial" w:hAnsi="Arial" w:cs="Arial"/>
          <w:b/>
          <w:bCs/>
          <w:color w:val="auto"/>
          <w:sz w:val="24"/>
          <w:szCs w:val="24"/>
        </w:rPr>
        <w:t xml:space="preserve">Disallowable instrument </w:t>
      </w:r>
      <w:r w:rsidR="002941DA">
        <w:rPr>
          <w:rFonts w:ascii="Arial" w:hAnsi="Arial" w:cs="Arial"/>
          <w:b/>
          <w:bCs/>
          <w:color w:val="auto"/>
          <w:sz w:val="24"/>
          <w:szCs w:val="24"/>
        </w:rPr>
        <w:t>DI2020</w:t>
      </w:r>
      <w:r w:rsidR="00B457BA" w:rsidRPr="00611FD0">
        <w:rPr>
          <w:rFonts w:ascii="Arial" w:hAnsi="Arial" w:cs="Arial"/>
          <w:b/>
          <w:bCs/>
          <w:color w:val="auto"/>
          <w:sz w:val="24"/>
          <w:szCs w:val="24"/>
        </w:rPr>
        <w:t>–</w:t>
      </w:r>
      <w:r w:rsidR="00B80CAC">
        <w:rPr>
          <w:rFonts w:ascii="Arial" w:hAnsi="Arial" w:cs="Arial"/>
          <w:b/>
          <w:bCs/>
          <w:color w:val="auto"/>
          <w:sz w:val="24"/>
          <w:szCs w:val="24"/>
        </w:rPr>
        <w:t>86</w:t>
      </w:r>
    </w:p>
    <w:p w14:paraId="704FC4BF" w14:textId="77777777" w:rsidR="00B457BA" w:rsidRPr="00611FD0" w:rsidRDefault="00B457BA" w:rsidP="00BD1285">
      <w:pPr>
        <w:spacing w:before="240" w:after="120" w:line="240" w:lineRule="auto"/>
        <w:ind w:left="0"/>
        <w:jc w:val="both"/>
        <w:rPr>
          <w:rFonts w:ascii="Arial" w:hAnsi="Arial" w:cs="Arial"/>
          <w:color w:val="auto"/>
          <w:sz w:val="24"/>
          <w:szCs w:val="24"/>
        </w:rPr>
      </w:pPr>
      <w:r w:rsidRPr="00611FD0">
        <w:rPr>
          <w:rFonts w:ascii="Arial" w:hAnsi="Arial" w:cs="Arial"/>
          <w:color w:val="auto"/>
          <w:sz w:val="24"/>
          <w:szCs w:val="24"/>
        </w:rPr>
        <w:t xml:space="preserve">made under the  </w:t>
      </w:r>
    </w:p>
    <w:p w14:paraId="3F3BBD7C" w14:textId="51377B30" w:rsidR="00B457BA" w:rsidRPr="00611FD0" w:rsidRDefault="00B457BA" w:rsidP="00BD1285">
      <w:pPr>
        <w:tabs>
          <w:tab w:val="left" w:pos="2600"/>
        </w:tabs>
        <w:spacing w:before="200" w:after="60" w:line="240" w:lineRule="auto"/>
        <w:ind w:left="0"/>
        <w:jc w:val="both"/>
        <w:rPr>
          <w:rFonts w:ascii="Arial" w:hAnsi="Arial" w:cs="Arial"/>
          <w:b/>
          <w:bCs/>
          <w:color w:val="auto"/>
          <w:sz w:val="24"/>
          <w:szCs w:val="24"/>
        </w:rPr>
      </w:pPr>
      <w:r w:rsidRPr="001D5F01">
        <w:rPr>
          <w:rFonts w:ascii="Arial" w:hAnsi="Arial" w:cs="Arial"/>
          <w:b/>
          <w:bCs/>
          <w:i/>
          <w:color w:val="auto"/>
          <w:sz w:val="24"/>
        </w:rPr>
        <w:t>Utilities Act</w:t>
      </w:r>
      <w:r w:rsidR="001F6879">
        <w:rPr>
          <w:rFonts w:ascii="Arial" w:hAnsi="Arial" w:cs="Arial"/>
          <w:b/>
          <w:bCs/>
          <w:color w:val="auto"/>
          <w:sz w:val="24"/>
        </w:rPr>
        <w:t xml:space="preserve"> 2000 </w:t>
      </w:r>
      <w:r w:rsidR="0066216B" w:rsidRPr="00611FD0">
        <w:rPr>
          <w:rFonts w:ascii="Arial" w:hAnsi="Arial" w:cs="Arial"/>
          <w:b/>
          <w:bCs/>
          <w:color w:val="auto"/>
          <w:sz w:val="24"/>
        </w:rPr>
        <w:t>s</w:t>
      </w:r>
      <w:r w:rsidR="0066216B">
        <w:rPr>
          <w:rFonts w:ascii="Arial" w:hAnsi="Arial" w:cs="Arial"/>
          <w:b/>
          <w:bCs/>
          <w:color w:val="auto"/>
          <w:sz w:val="24"/>
        </w:rPr>
        <w:t>59</w:t>
      </w:r>
      <w:r w:rsidR="0066216B" w:rsidRPr="00611FD0">
        <w:rPr>
          <w:rFonts w:ascii="Arial" w:hAnsi="Arial" w:cs="Arial"/>
          <w:b/>
          <w:bCs/>
          <w:color w:val="auto"/>
          <w:sz w:val="24"/>
        </w:rPr>
        <w:t xml:space="preserve"> </w:t>
      </w:r>
      <w:r w:rsidRPr="00611FD0">
        <w:rPr>
          <w:rFonts w:ascii="Arial" w:hAnsi="Arial" w:cs="Arial"/>
          <w:b/>
          <w:bCs/>
          <w:color w:val="auto"/>
          <w:sz w:val="24"/>
        </w:rPr>
        <w:t>(</w:t>
      </w:r>
      <w:r w:rsidR="0066216B">
        <w:rPr>
          <w:rFonts w:ascii="Arial" w:hAnsi="Arial" w:cs="Arial"/>
          <w:b/>
          <w:bCs/>
          <w:color w:val="auto"/>
          <w:sz w:val="24"/>
        </w:rPr>
        <w:t>Determined codes</w:t>
      </w:r>
      <w:r w:rsidR="001F6879">
        <w:rPr>
          <w:rFonts w:ascii="Arial" w:hAnsi="Arial" w:cs="Arial"/>
          <w:b/>
          <w:bCs/>
          <w:color w:val="auto"/>
          <w:sz w:val="24"/>
        </w:rPr>
        <w:t xml:space="preserve">), </w:t>
      </w:r>
      <w:r w:rsidRPr="00611FD0">
        <w:rPr>
          <w:rFonts w:ascii="Arial" w:hAnsi="Arial" w:cs="Arial"/>
          <w:b/>
          <w:bCs/>
          <w:color w:val="auto"/>
          <w:sz w:val="24"/>
        </w:rPr>
        <w:t>s63 (Public access)</w:t>
      </w:r>
      <w:r w:rsidR="001F6879">
        <w:rPr>
          <w:rFonts w:ascii="Arial" w:hAnsi="Arial" w:cs="Arial"/>
          <w:b/>
          <w:bCs/>
          <w:color w:val="auto"/>
          <w:sz w:val="24"/>
        </w:rPr>
        <w:t xml:space="preserve"> and</w:t>
      </w:r>
      <w:r w:rsidR="001D5F01">
        <w:rPr>
          <w:rFonts w:ascii="Arial" w:hAnsi="Arial" w:cs="Arial"/>
          <w:b/>
          <w:bCs/>
          <w:color w:val="auto"/>
          <w:sz w:val="24"/>
        </w:rPr>
        <w:t xml:space="preserve"> </w:t>
      </w:r>
      <w:r w:rsidR="001D5F01" w:rsidRPr="001D5F01">
        <w:rPr>
          <w:rFonts w:ascii="Arial" w:hAnsi="Arial" w:cs="Arial"/>
          <w:b/>
          <w:bCs/>
          <w:i/>
          <w:color w:val="auto"/>
          <w:sz w:val="24"/>
        </w:rPr>
        <w:t xml:space="preserve">Legislation Act </w:t>
      </w:r>
      <w:r w:rsidR="001D5F01" w:rsidRPr="00EF4D23">
        <w:rPr>
          <w:rFonts w:ascii="Arial" w:hAnsi="Arial" w:cs="Arial"/>
          <w:b/>
          <w:bCs/>
          <w:color w:val="auto"/>
          <w:sz w:val="24"/>
        </w:rPr>
        <w:t>2001</w:t>
      </w:r>
      <w:r w:rsidR="001F6879" w:rsidRPr="00EF4D23">
        <w:rPr>
          <w:rFonts w:ascii="Arial" w:hAnsi="Arial" w:cs="Arial"/>
          <w:b/>
          <w:bCs/>
          <w:color w:val="auto"/>
          <w:sz w:val="24"/>
        </w:rPr>
        <w:t xml:space="preserve"> </w:t>
      </w:r>
      <w:r w:rsidR="001D5F01">
        <w:rPr>
          <w:rFonts w:ascii="Arial" w:hAnsi="Arial" w:cs="Arial"/>
          <w:b/>
          <w:bCs/>
          <w:color w:val="auto"/>
          <w:sz w:val="24"/>
        </w:rPr>
        <w:t>s46.</w:t>
      </w:r>
    </w:p>
    <w:p w14:paraId="71E11FAD" w14:textId="77777777" w:rsidR="00B457BA" w:rsidRPr="00611FD0" w:rsidRDefault="00B457BA" w:rsidP="00BD1285">
      <w:pPr>
        <w:spacing w:after="0" w:line="240" w:lineRule="auto"/>
        <w:ind w:left="0"/>
        <w:jc w:val="both"/>
        <w:rPr>
          <w:rFonts w:ascii="Arial" w:hAnsi="Arial" w:cs="Arial"/>
          <w:color w:val="auto"/>
          <w:sz w:val="24"/>
          <w:szCs w:val="24"/>
        </w:rPr>
      </w:pPr>
    </w:p>
    <w:p w14:paraId="648923AF" w14:textId="77777777" w:rsidR="00B457BA" w:rsidRPr="00611FD0" w:rsidRDefault="00B457BA" w:rsidP="00BD1285">
      <w:pPr>
        <w:pBdr>
          <w:top w:val="single" w:sz="12" w:space="1" w:color="auto"/>
        </w:pBdr>
        <w:spacing w:after="0" w:line="240" w:lineRule="auto"/>
        <w:ind w:left="0"/>
        <w:jc w:val="both"/>
        <w:rPr>
          <w:rFonts w:ascii="Arial" w:hAnsi="Arial" w:cs="Arial"/>
          <w:color w:val="auto"/>
          <w:sz w:val="24"/>
          <w:szCs w:val="24"/>
        </w:rPr>
      </w:pPr>
    </w:p>
    <w:p w14:paraId="7C2AE9E1" w14:textId="77777777" w:rsidR="00B457BA" w:rsidRPr="000E4915" w:rsidRDefault="00B457BA" w:rsidP="00BD1285">
      <w:pPr>
        <w:spacing w:before="60" w:after="60" w:line="240" w:lineRule="auto"/>
        <w:ind w:hanging="720"/>
        <w:rPr>
          <w:rFonts w:ascii="Arial" w:hAnsi="Arial" w:cs="Arial"/>
          <w:b/>
          <w:bCs/>
          <w:color w:val="auto"/>
          <w:sz w:val="23"/>
          <w:szCs w:val="23"/>
        </w:rPr>
      </w:pPr>
      <w:r w:rsidRPr="000E4915">
        <w:rPr>
          <w:rFonts w:ascii="Arial" w:hAnsi="Arial" w:cs="Arial"/>
          <w:b/>
          <w:bCs/>
          <w:color w:val="auto"/>
          <w:sz w:val="23"/>
          <w:szCs w:val="23"/>
        </w:rPr>
        <w:t>1</w:t>
      </w:r>
      <w:r w:rsidRPr="000E4915">
        <w:rPr>
          <w:rFonts w:ascii="Arial" w:hAnsi="Arial" w:cs="Arial"/>
          <w:b/>
          <w:bCs/>
          <w:color w:val="auto"/>
          <w:sz w:val="23"/>
          <w:szCs w:val="23"/>
        </w:rPr>
        <w:tab/>
        <w:t>Name of instrument</w:t>
      </w:r>
    </w:p>
    <w:p w14:paraId="155B5FDE" w14:textId="6B2C1E48" w:rsidR="00B457BA" w:rsidRPr="000E4915" w:rsidRDefault="00B457BA" w:rsidP="00BD1285">
      <w:pPr>
        <w:spacing w:before="80" w:after="60" w:line="240" w:lineRule="auto"/>
        <w:rPr>
          <w:rFonts w:ascii="Arial" w:hAnsi="Arial" w:cs="Arial"/>
          <w:color w:val="auto"/>
          <w:sz w:val="23"/>
          <w:szCs w:val="23"/>
        </w:rPr>
      </w:pPr>
      <w:r w:rsidRPr="000E4915">
        <w:rPr>
          <w:rFonts w:ascii="Arial" w:hAnsi="Arial" w:cs="Arial"/>
          <w:color w:val="auto"/>
          <w:sz w:val="23"/>
          <w:szCs w:val="23"/>
        </w:rPr>
        <w:t xml:space="preserve">This instrument is the </w:t>
      </w:r>
      <w:r w:rsidRPr="000E4915">
        <w:rPr>
          <w:rFonts w:ascii="Arial" w:hAnsi="Arial" w:cs="Arial"/>
          <w:i/>
          <w:iCs/>
          <w:color w:val="auto"/>
          <w:sz w:val="23"/>
          <w:szCs w:val="23"/>
        </w:rPr>
        <w:t>Utilities (</w:t>
      </w:r>
      <w:r w:rsidR="007D482D" w:rsidRPr="000E4915">
        <w:rPr>
          <w:rFonts w:ascii="Arial" w:hAnsi="Arial" w:cs="Arial"/>
          <w:i/>
          <w:color w:val="auto"/>
          <w:sz w:val="23"/>
          <w:szCs w:val="23"/>
        </w:rPr>
        <w:t>Electricity Feed-in Code</w:t>
      </w:r>
      <w:r w:rsidRPr="000E4915">
        <w:rPr>
          <w:rFonts w:ascii="Arial" w:hAnsi="Arial" w:cs="Arial"/>
          <w:i/>
          <w:iCs/>
          <w:color w:val="auto"/>
          <w:sz w:val="23"/>
          <w:szCs w:val="23"/>
        </w:rPr>
        <w:t xml:space="preserve">) Determination </w:t>
      </w:r>
      <w:r w:rsidR="002941DA" w:rsidRPr="000E4915">
        <w:rPr>
          <w:rFonts w:ascii="Arial" w:hAnsi="Arial" w:cs="Arial"/>
          <w:i/>
          <w:iCs/>
          <w:color w:val="auto"/>
          <w:sz w:val="23"/>
          <w:szCs w:val="23"/>
        </w:rPr>
        <w:t>20</w:t>
      </w:r>
      <w:r w:rsidR="002941DA">
        <w:rPr>
          <w:rFonts w:ascii="Arial" w:hAnsi="Arial" w:cs="Arial"/>
          <w:i/>
          <w:iCs/>
          <w:color w:val="auto"/>
          <w:sz w:val="23"/>
          <w:szCs w:val="23"/>
        </w:rPr>
        <w:t>20</w:t>
      </w:r>
      <w:r w:rsidRPr="000E4915">
        <w:rPr>
          <w:rFonts w:ascii="Arial" w:hAnsi="Arial" w:cs="Arial"/>
          <w:color w:val="auto"/>
          <w:sz w:val="23"/>
          <w:szCs w:val="23"/>
        </w:rPr>
        <w:t>.</w:t>
      </w:r>
    </w:p>
    <w:p w14:paraId="6D797654" w14:textId="77777777" w:rsidR="00B457BA" w:rsidRPr="000E4915" w:rsidRDefault="00B457BA" w:rsidP="00BD1285">
      <w:pPr>
        <w:spacing w:before="240" w:after="60" w:line="240" w:lineRule="auto"/>
        <w:ind w:hanging="720"/>
        <w:rPr>
          <w:rFonts w:ascii="Arial" w:hAnsi="Arial" w:cs="Arial"/>
          <w:b/>
          <w:bCs/>
          <w:color w:val="auto"/>
          <w:sz w:val="23"/>
          <w:szCs w:val="23"/>
        </w:rPr>
      </w:pPr>
      <w:r w:rsidRPr="000E4915">
        <w:rPr>
          <w:rFonts w:ascii="Arial" w:hAnsi="Arial" w:cs="Arial"/>
          <w:b/>
          <w:bCs/>
          <w:color w:val="auto"/>
          <w:sz w:val="23"/>
          <w:szCs w:val="23"/>
        </w:rPr>
        <w:t>2</w:t>
      </w:r>
      <w:r w:rsidRPr="000E4915">
        <w:rPr>
          <w:rFonts w:ascii="Arial" w:hAnsi="Arial" w:cs="Arial"/>
          <w:b/>
          <w:bCs/>
          <w:color w:val="auto"/>
          <w:sz w:val="23"/>
          <w:szCs w:val="23"/>
        </w:rPr>
        <w:tab/>
        <w:t xml:space="preserve">Commencement </w:t>
      </w:r>
    </w:p>
    <w:p w14:paraId="67BD5492" w14:textId="169297DC" w:rsidR="00B457BA" w:rsidRPr="000E4915" w:rsidRDefault="00B457BA" w:rsidP="00BD1285">
      <w:pPr>
        <w:spacing w:before="80" w:after="60" w:line="240" w:lineRule="auto"/>
        <w:rPr>
          <w:rFonts w:ascii="Arial" w:hAnsi="Arial" w:cs="Arial"/>
          <w:color w:val="auto"/>
          <w:sz w:val="23"/>
          <w:szCs w:val="23"/>
        </w:rPr>
      </w:pPr>
      <w:r w:rsidRPr="000E4915">
        <w:rPr>
          <w:rFonts w:ascii="Arial" w:hAnsi="Arial" w:cs="Arial"/>
          <w:color w:val="auto"/>
          <w:sz w:val="23"/>
          <w:szCs w:val="23"/>
        </w:rPr>
        <w:t xml:space="preserve">This instrument </w:t>
      </w:r>
      <w:r w:rsidRPr="00086302">
        <w:rPr>
          <w:rFonts w:ascii="Arial" w:hAnsi="Arial" w:cs="Arial"/>
          <w:color w:val="auto"/>
          <w:sz w:val="23"/>
          <w:szCs w:val="23"/>
        </w:rPr>
        <w:t xml:space="preserve">commences </w:t>
      </w:r>
      <w:r w:rsidR="00370D59" w:rsidRPr="00086302">
        <w:rPr>
          <w:rFonts w:ascii="Arial" w:hAnsi="Arial" w:cs="Arial"/>
          <w:color w:val="auto"/>
          <w:sz w:val="23"/>
          <w:szCs w:val="23"/>
        </w:rPr>
        <w:t xml:space="preserve">on </w:t>
      </w:r>
      <w:r w:rsidR="009724B1" w:rsidRPr="00086302">
        <w:rPr>
          <w:rFonts w:ascii="Arial" w:hAnsi="Arial" w:cs="Arial"/>
          <w:color w:val="auto"/>
          <w:sz w:val="23"/>
          <w:szCs w:val="23"/>
        </w:rPr>
        <w:t>1 July 2020</w:t>
      </w:r>
      <w:r w:rsidRPr="000E4915">
        <w:rPr>
          <w:rFonts w:ascii="Arial" w:hAnsi="Arial" w:cs="Arial"/>
          <w:color w:val="auto"/>
          <w:sz w:val="23"/>
          <w:szCs w:val="23"/>
        </w:rPr>
        <w:t>.</w:t>
      </w:r>
    </w:p>
    <w:p w14:paraId="2182853F" w14:textId="17CF60E5" w:rsidR="000D2E01" w:rsidRPr="000E4915" w:rsidRDefault="000D2E01" w:rsidP="000D2E01">
      <w:pPr>
        <w:spacing w:before="240" w:after="60" w:line="240" w:lineRule="auto"/>
        <w:ind w:hanging="720"/>
        <w:rPr>
          <w:rFonts w:ascii="Arial" w:hAnsi="Arial" w:cs="Arial"/>
          <w:b/>
          <w:bCs/>
          <w:color w:val="auto"/>
          <w:sz w:val="23"/>
          <w:szCs w:val="23"/>
        </w:rPr>
      </w:pPr>
      <w:r>
        <w:rPr>
          <w:rFonts w:ascii="Arial" w:hAnsi="Arial" w:cs="Arial"/>
          <w:b/>
          <w:bCs/>
          <w:color w:val="auto"/>
          <w:sz w:val="23"/>
          <w:szCs w:val="23"/>
        </w:rPr>
        <w:t>3</w:t>
      </w:r>
      <w:r w:rsidRPr="000E4915">
        <w:rPr>
          <w:rFonts w:ascii="Arial" w:hAnsi="Arial" w:cs="Arial"/>
          <w:b/>
          <w:bCs/>
          <w:color w:val="auto"/>
          <w:sz w:val="23"/>
          <w:szCs w:val="23"/>
        </w:rPr>
        <w:tab/>
        <w:t>Revocation of code</w:t>
      </w:r>
    </w:p>
    <w:p w14:paraId="273E8B3E" w14:textId="392B07B7" w:rsidR="000D2E01" w:rsidRPr="000E4915" w:rsidRDefault="000D2E01" w:rsidP="000D2E01">
      <w:pPr>
        <w:spacing w:before="80" w:after="60" w:line="240" w:lineRule="auto"/>
        <w:rPr>
          <w:rFonts w:ascii="Arial" w:hAnsi="Arial" w:cs="Arial"/>
          <w:iCs/>
          <w:color w:val="auto"/>
          <w:sz w:val="23"/>
          <w:szCs w:val="23"/>
        </w:rPr>
      </w:pPr>
      <w:r w:rsidRPr="000E4915">
        <w:rPr>
          <w:rFonts w:ascii="Arial" w:hAnsi="Arial" w:cs="Arial"/>
          <w:color w:val="auto"/>
          <w:sz w:val="23"/>
          <w:szCs w:val="23"/>
        </w:rPr>
        <w:t xml:space="preserve">The Commission revokes </w:t>
      </w:r>
      <w:r>
        <w:rPr>
          <w:rFonts w:ascii="Arial" w:hAnsi="Arial" w:cs="Arial"/>
          <w:color w:val="auto"/>
          <w:sz w:val="23"/>
          <w:szCs w:val="23"/>
        </w:rPr>
        <w:t xml:space="preserve">the </w:t>
      </w:r>
      <w:r w:rsidRPr="000D2E01">
        <w:rPr>
          <w:rFonts w:ascii="Arial" w:hAnsi="Arial" w:cs="Arial"/>
          <w:i/>
          <w:iCs/>
          <w:color w:val="auto"/>
          <w:sz w:val="23"/>
          <w:szCs w:val="23"/>
        </w:rPr>
        <w:t>Utilities (Electricity Feed-in Code) Determination 2015</w:t>
      </w:r>
      <w:r>
        <w:rPr>
          <w:rFonts w:ascii="Arial" w:hAnsi="Arial" w:cs="Arial"/>
          <w:color w:val="auto"/>
          <w:sz w:val="23"/>
          <w:szCs w:val="23"/>
        </w:rPr>
        <w:t xml:space="preserve">, </w:t>
      </w:r>
      <w:r w:rsidRPr="000E4915">
        <w:rPr>
          <w:rFonts w:ascii="Arial" w:hAnsi="Arial" w:cs="Arial"/>
          <w:color w:val="auto"/>
          <w:sz w:val="23"/>
          <w:szCs w:val="23"/>
        </w:rPr>
        <w:t>DI201</w:t>
      </w:r>
      <w:r>
        <w:rPr>
          <w:rFonts w:ascii="Arial" w:hAnsi="Arial" w:cs="Arial"/>
          <w:color w:val="auto"/>
          <w:sz w:val="23"/>
          <w:szCs w:val="23"/>
        </w:rPr>
        <w:t>5</w:t>
      </w:r>
      <w:r w:rsidRPr="000E4915">
        <w:rPr>
          <w:rFonts w:ascii="Arial" w:hAnsi="Arial" w:cs="Arial"/>
          <w:color w:val="auto"/>
          <w:sz w:val="23"/>
          <w:szCs w:val="23"/>
        </w:rPr>
        <w:t>-</w:t>
      </w:r>
      <w:r>
        <w:rPr>
          <w:rFonts w:ascii="Arial" w:hAnsi="Arial" w:cs="Arial"/>
          <w:color w:val="auto"/>
          <w:sz w:val="23"/>
          <w:szCs w:val="23"/>
        </w:rPr>
        <w:t>256</w:t>
      </w:r>
      <w:r w:rsidRPr="000E4915">
        <w:rPr>
          <w:rFonts w:ascii="Arial" w:hAnsi="Arial" w:cs="Arial"/>
          <w:iCs/>
          <w:color w:val="auto"/>
          <w:sz w:val="23"/>
          <w:szCs w:val="23"/>
        </w:rPr>
        <w:t xml:space="preserve">. </w:t>
      </w:r>
    </w:p>
    <w:p w14:paraId="65626025" w14:textId="42D3D1C5" w:rsidR="00370D59" w:rsidRPr="009724B1" w:rsidRDefault="000D2E01" w:rsidP="00370D59">
      <w:pPr>
        <w:spacing w:before="240" w:after="60" w:line="240" w:lineRule="auto"/>
        <w:ind w:hanging="720"/>
        <w:rPr>
          <w:rFonts w:ascii="Arial" w:hAnsi="Arial" w:cs="Arial"/>
          <w:b/>
          <w:bCs/>
          <w:color w:val="auto"/>
          <w:sz w:val="23"/>
          <w:szCs w:val="23"/>
        </w:rPr>
      </w:pPr>
      <w:r>
        <w:rPr>
          <w:rFonts w:ascii="Arial" w:hAnsi="Arial" w:cs="Arial"/>
          <w:b/>
          <w:bCs/>
          <w:color w:val="auto"/>
          <w:sz w:val="23"/>
          <w:szCs w:val="23"/>
        </w:rPr>
        <w:t>4</w:t>
      </w:r>
      <w:r w:rsidR="00370D59" w:rsidRPr="009724B1">
        <w:rPr>
          <w:rFonts w:ascii="Arial" w:hAnsi="Arial" w:cs="Arial"/>
          <w:b/>
          <w:bCs/>
          <w:color w:val="auto"/>
          <w:sz w:val="23"/>
          <w:szCs w:val="23"/>
        </w:rPr>
        <w:tab/>
      </w:r>
      <w:r w:rsidR="0066216B" w:rsidRPr="009724B1">
        <w:rPr>
          <w:rFonts w:ascii="Arial" w:hAnsi="Arial" w:cs="Arial"/>
          <w:b/>
          <w:bCs/>
          <w:color w:val="auto"/>
          <w:sz w:val="23"/>
          <w:szCs w:val="23"/>
        </w:rPr>
        <w:t xml:space="preserve">Determination </w:t>
      </w:r>
      <w:r w:rsidR="00370D59" w:rsidRPr="009724B1">
        <w:rPr>
          <w:rFonts w:ascii="Arial" w:hAnsi="Arial" w:cs="Arial"/>
          <w:b/>
          <w:bCs/>
          <w:color w:val="auto"/>
          <w:sz w:val="23"/>
          <w:szCs w:val="23"/>
        </w:rPr>
        <w:t>of code</w:t>
      </w:r>
    </w:p>
    <w:p w14:paraId="0A0F55FE" w14:textId="07C1721C" w:rsidR="00370D59" w:rsidRPr="000E4915" w:rsidRDefault="00370D59" w:rsidP="00370D59">
      <w:pPr>
        <w:spacing w:before="80" w:after="60" w:line="240" w:lineRule="auto"/>
        <w:rPr>
          <w:rFonts w:ascii="Arial" w:hAnsi="Arial" w:cs="Arial"/>
          <w:color w:val="auto"/>
          <w:sz w:val="23"/>
          <w:szCs w:val="23"/>
        </w:rPr>
      </w:pPr>
      <w:r w:rsidRPr="009724B1">
        <w:rPr>
          <w:rFonts w:ascii="Arial" w:hAnsi="Arial" w:cs="Arial"/>
          <w:color w:val="auto"/>
          <w:sz w:val="23"/>
          <w:szCs w:val="23"/>
        </w:rPr>
        <w:t xml:space="preserve">The Commission </w:t>
      </w:r>
      <w:r w:rsidR="000D2E01">
        <w:rPr>
          <w:rFonts w:ascii="Arial" w:hAnsi="Arial" w:cs="Arial"/>
          <w:color w:val="auto"/>
          <w:sz w:val="23"/>
          <w:szCs w:val="23"/>
        </w:rPr>
        <w:t xml:space="preserve">determines the attached Electricity Feed-in Code </w:t>
      </w:r>
      <w:r w:rsidR="0039725E" w:rsidRPr="009724B1">
        <w:rPr>
          <w:rFonts w:ascii="Arial" w:hAnsi="Arial" w:cs="Arial"/>
          <w:color w:val="auto"/>
          <w:sz w:val="23"/>
          <w:szCs w:val="23"/>
        </w:rPr>
        <w:t xml:space="preserve">under section </w:t>
      </w:r>
      <w:r w:rsidR="0066216B" w:rsidRPr="009724B1">
        <w:rPr>
          <w:rFonts w:ascii="Arial" w:hAnsi="Arial" w:cs="Arial"/>
          <w:color w:val="auto"/>
          <w:sz w:val="23"/>
          <w:szCs w:val="23"/>
        </w:rPr>
        <w:t xml:space="preserve">59 </w:t>
      </w:r>
      <w:r w:rsidR="0039725E" w:rsidRPr="009724B1">
        <w:rPr>
          <w:rFonts w:ascii="Arial" w:hAnsi="Arial" w:cs="Arial"/>
          <w:color w:val="auto"/>
          <w:sz w:val="23"/>
          <w:szCs w:val="23"/>
        </w:rPr>
        <w:t xml:space="preserve">of the </w:t>
      </w:r>
      <w:r w:rsidR="0039725E" w:rsidRPr="009724B1">
        <w:rPr>
          <w:rFonts w:ascii="Arial" w:hAnsi="Arial" w:cs="Arial"/>
          <w:i/>
          <w:color w:val="auto"/>
          <w:sz w:val="23"/>
          <w:szCs w:val="23"/>
        </w:rPr>
        <w:t>Utilities Act</w:t>
      </w:r>
      <w:r w:rsidR="0039725E" w:rsidRPr="009724B1">
        <w:rPr>
          <w:rFonts w:ascii="Arial" w:hAnsi="Arial" w:cs="Arial"/>
          <w:color w:val="auto"/>
          <w:sz w:val="23"/>
          <w:szCs w:val="23"/>
        </w:rPr>
        <w:t xml:space="preserve"> 2000</w:t>
      </w:r>
      <w:r w:rsidR="001F6879" w:rsidRPr="009724B1">
        <w:rPr>
          <w:rFonts w:ascii="Arial" w:hAnsi="Arial" w:cs="Arial"/>
          <w:color w:val="auto"/>
          <w:sz w:val="23"/>
          <w:szCs w:val="23"/>
        </w:rPr>
        <w:t xml:space="preserve">. </w:t>
      </w:r>
    </w:p>
    <w:p w14:paraId="506BB339" w14:textId="77777777" w:rsidR="00B457BA" w:rsidRPr="000E4915" w:rsidRDefault="00B457BA" w:rsidP="00BD1285">
      <w:pPr>
        <w:spacing w:before="240" w:after="60" w:line="240" w:lineRule="auto"/>
        <w:ind w:hanging="720"/>
        <w:rPr>
          <w:rFonts w:ascii="Arial" w:hAnsi="Arial" w:cs="Arial"/>
          <w:b/>
          <w:bCs/>
          <w:color w:val="auto"/>
          <w:sz w:val="23"/>
          <w:szCs w:val="23"/>
        </w:rPr>
      </w:pPr>
      <w:r w:rsidRPr="000E4915">
        <w:rPr>
          <w:rFonts w:ascii="Arial" w:hAnsi="Arial" w:cs="Arial"/>
          <w:b/>
          <w:bCs/>
          <w:color w:val="auto"/>
          <w:sz w:val="23"/>
          <w:szCs w:val="23"/>
        </w:rPr>
        <w:t>5</w:t>
      </w:r>
      <w:r w:rsidRPr="000E4915">
        <w:rPr>
          <w:rFonts w:ascii="Arial" w:hAnsi="Arial" w:cs="Arial"/>
          <w:b/>
          <w:bCs/>
          <w:color w:val="auto"/>
          <w:sz w:val="23"/>
          <w:szCs w:val="23"/>
        </w:rPr>
        <w:tab/>
        <w:t>Public access to documents</w:t>
      </w:r>
    </w:p>
    <w:p w14:paraId="4EC771C4" w14:textId="52FE40CF" w:rsidR="00B457BA" w:rsidRDefault="00B457BA" w:rsidP="007233E2">
      <w:pPr>
        <w:spacing w:before="80" w:after="60" w:line="240" w:lineRule="auto"/>
        <w:rPr>
          <w:rFonts w:ascii="Arial" w:hAnsi="Arial" w:cs="Arial"/>
          <w:color w:val="auto"/>
          <w:sz w:val="23"/>
          <w:szCs w:val="23"/>
        </w:rPr>
      </w:pPr>
      <w:r w:rsidRPr="000E4915">
        <w:rPr>
          <w:rFonts w:ascii="Arial" w:hAnsi="Arial" w:cs="Arial"/>
          <w:color w:val="auto"/>
          <w:sz w:val="23"/>
          <w:szCs w:val="23"/>
        </w:rPr>
        <w:t>Copies of the Electricity Feed-in Code are available for inspection by members of the public between 9:00 am and 5:00 pm, Monday to Friday, at the Commission’s offices at Level 8, 221 London Circuit, Canberra City ACT and on the Commission’s website (www.icrc.act.gov.au). Copies of these documents can be made at the Commission’s offices. Electronic copies are available on request. No charge will apply.</w:t>
      </w:r>
    </w:p>
    <w:p w14:paraId="3D420CC1" w14:textId="14C32B37" w:rsidR="004269EA" w:rsidRDefault="004269EA" w:rsidP="004269EA">
      <w:pPr>
        <w:pStyle w:val="ListParagraph"/>
        <w:kinsoku w:val="0"/>
        <w:overflowPunct w:val="0"/>
        <w:ind w:left="109"/>
        <w:rPr>
          <w:rFonts w:ascii="Arial" w:hAnsi="Arial" w:cs="Arial"/>
          <w:sz w:val="23"/>
          <w:szCs w:val="23"/>
        </w:rPr>
      </w:pPr>
    </w:p>
    <w:p w14:paraId="79652110" w14:textId="2EFEFE37" w:rsidR="004269EA" w:rsidRDefault="004269EA" w:rsidP="004269EA">
      <w:pPr>
        <w:pStyle w:val="ListParagraph"/>
        <w:kinsoku w:val="0"/>
        <w:overflowPunct w:val="0"/>
        <w:ind w:left="109"/>
        <w:rPr>
          <w:rFonts w:ascii="Arial" w:hAnsi="Arial" w:cs="Arial"/>
          <w:sz w:val="23"/>
          <w:szCs w:val="23"/>
        </w:rPr>
      </w:pPr>
      <w:r>
        <w:rPr>
          <w:rFonts w:ascii="Arial" w:hAnsi="Arial" w:cs="Arial"/>
          <w:sz w:val="23"/>
          <w:szCs w:val="23"/>
        </w:rPr>
        <w:br/>
      </w:r>
    </w:p>
    <w:p w14:paraId="51B2C071" w14:textId="77777777" w:rsidR="004269EA" w:rsidRDefault="004269EA" w:rsidP="004269EA">
      <w:pPr>
        <w:pStyle w:val="ListParagraph"/>
        <w:kinsoku w:val="0"/>
        <w:overflowPunct w:val="0"/>
        <w:ind w:left="109"/>
        <w:rPr>
          <w:rFonts w:ascii="Arial" w:hAnsi="Arial" w:cs="Arial"/>
          <w:sz w:val="23"/>
          <w:szCs w:val="23"/>
        </w:rPr>
      </w:pPr>
    </w:p>
    <w:p w14:paraId="546440CC" w14:textId="790E271A" w:rsidR="00B457BA" w:rsidRPr="000E4915" w:rsidRDefault="002941DA" w:rsidP="004269EA">
      <w:pPr>
        <w:pStyle w:val="ListParagraph"/>
        <w:kinsoku w:val="0"/>
        <w:overflowPunct w:val="0"/>
        <w:ind w:left="109"/>
        <w:rPr>
          <w:sz w:val="23"/>
          <w:szCs w:val="23"/>
        </w:rPr>
        <w:sectPr w:rsidR="00B457BA" w:rsidRPr="000E4915" w:rsidSect="0005182C">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871" w:header="578" w:footer="578" w:gutter="0"/>
          <w:pgNumType w:fmt="lowerRoman"/>
          <w:cols w:space="720"/>
          <w:rtlGutter/>
        </w:sectPr>
      </w:pPr>
      <w:r>
        <w:rPr>
          <w:rFonts w:ascii="Arial" w:hAnsi="Arial" w:cs="Arial"/>
          <w:sz w:val="23"/>
          <w:szCs w:val="23"/>
        </w:rPr>
        <w:t>Joe Dimasi</w:t>
      </w:r>
      <w:r w:rsidR="00B457BA" w:rsidRPr="000E4915">
        <w:rPr>
          <w:rFonts w:ascii="Arial" w:hAnsi="Arial" w:cs="Arial"/>
          <w:sz w:val="23"/>
          <w:szCs w:val="23"/>
        </w:rPr>
        <w:br/>
        <w:t>Senior Commissioner</w:t>
      </w:r>
      <w:r w:rsidR="00B457BA" w:rsidRPr="000E4915">
        <w:rPr>
          <w:rFonts w:ascii="Arial" w:hAnsi="Arial" w:cs="Arial"/>
          <w:sz w:val="23"/>
          <w:szCs w:val="23"/>
        </w:rPr>
        <w:br/>
        <w:t>Independent Competition and Regulatory Commission</w:t>
      </w:r>
      <w:r w:rsidR="00B457BA" w:rsidRPr="000E4915">
        <w:rPr>
          <w:rFonts w:ascii="Arial" w:hAnsi="Arial" w:cs="Arial"/>
          <w:sz w:val="23"/>
          <w:szCs w:val="23"/>
        </w:rPr>
        <w:br/>
      </w:r>
      <w:bookmarkEnd w:id="0"/>
      <w:bookmarkEnd w:id="1"/>
      <w:r w:rsidR="004269EA">
        <w:rPr>
          <w:rFonts w:ascii="Arial" w:hAnsi="Arial" w:cs="Arial"/>
          <w:sz w:val="23"/>
          <w:szCs w:val="23"/>
        </w:rPr>
        <w:t>30 April 20</w:t>
      </w:r>
      <w:r w:rsidR="006B5DAB">
        <w:rPr>
          <w:rFonts w:ascii="Arial" w:hAnsi="Arial" w:cs="Arial"/>
          <w:sz w:val="23"/>
          <w:szCs w:val="23"/>
        </w:rPr>
        <w:t>20</w:t>
      </w:r>
    </w:p>
    <w:p w14:paraId="2516AEB9" w14:textId="77777777" w:rsidR="00B457BA" w:rsidRPr="00556FBD" w:rsidRDefault="00B457BA" w:rsidP="001B4742">
      <w:pPr>
        <w:spacing w:before="120" w:after="0" w:line="240" w:lineRule="auto"/>
        <w:ind w:left="0"/>
        <w:rPr>
          <w:rFonts w:ascii="Arial" w:hAnsi="Arial" w:cs="Arial"/>
          <w:color w:val="auto"/>
          <w:sz w:val="24"/>
          <w:szCs w:val="24"/>
        </w:rPr>
      </w:pPr>
      <w:r w:rsidRPr="00556FBD">
        <w:rPr>
          <w:rFonts w:ascii="Arial" w:hAnsi="Arial" w:cs="Arial"/>
          <w:color w:val="auto"/>
          <w:sz w:val="24"/>
          <w:szCs w:val="24"/>
        </w:rPr>
        <w:lastRenderedPageBreak/>
        <w:t>Australian Capital Territory</w:t>
      </w:r>
    </w:p>
    <w:tbl>
      <w:tblPr>
        <w:tblW w:w="0" w:type="auto"/>
        <w:tblLayout w:type="fixed"/>
        <w:tblCellMar>
          <w:left w:w="115" w:type="dxa"/>
          <w:right w:w="115" w:type="dxa"/>
        </w:tblCellMar>
        <w:tblLook w:val="0000" w:firstRow="0" w:lastRow="0" w:firstColumn="0" w:lastColumn="0" w:noHBand="0" w:noVBand="0"/>
      </w:tblPr>
      <w:tblGrid>
        <w:gridCol w:w="1366"/>
        <w:gridCol w:w="5387"/>
      </w:tblGrid>
      <w:tr w:rsidR="00B457BA" w:rsidRPr="00917B9D" w14:paraId="3C2A557B" w14:textId="77777777" w:rsidTr="00137E67">
        <w:trPr>
          <w:cantSplit/>
          <w:trHeight w:hRule="exact" w:val="2268"/>
        </w:trPr>
        <w:tc>
          <w:tcPr>
            <w:tcW w:w="6753" w:type="dxa"/>
            <w:gridSpan w:val="2"/>
          </w:tcPr>
          <w:p w14:paraId="7239B629" w14:textId="77777777" w:rsidR="00B457BA" w:rsidRPr="00917B9D" w:rsidRDefault="00E012DF" w:rsidP="00137E67">
            <w:pPr>
              <w:ind w:left="0"/>
              <w:rPr>
                <w:b/>
                <w:bCs/>
              </w:rPr>
            </w:pPr>
            <w:r w:rsidRPr="00E012DF">
              <w:rPr>
                <w:noProof/>
                <w:sz w:val="18"/>
                <w:lang w:eastAsia="en-AU"/>
              </w:rPr>
              <w:drawing>
                <wp:inline distT="0" distB="0" distL="0" distR="0" wp14:anchorId="7CD8C9DA" wp14:editId="23C49B0C">
                  <wp:extent cx="77152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inline>
              </w:drawing>
            </w:r>
            <w:r w:rsidR="00B457BA" w:rsidRPr="00917B9D">
              <w:rPr>
                <w:b/>
                <w:bCs/>
                <w:sz w:val="18"/>
              </w:rPr>
              <w:t xml:space="preserve"> </w:t>
            </w:r>
            <w:smartTag w:uri="urn:schemas-microsoft-com:office:smarttags" w:element="PersonName">
              <w:r w:rsidR="00B457BA" w:rsidRPr="00917B9D">
                <w:rPr>
                  <w:b/>
                  <w:bCs/>
                  <w:sz w:val="32"/>
                </w:rPr>
                <w:t>ICRC</w:t>
              </w:r>
            </w:smartTag>
          </w:p>
          <w:p w14:paraId="2B0E439F" w14:textId="77777777" w:rsidR="00B457BA" w:rsidRPr="00CF7D5E" w:rsidRDefault="00B457BA" w:rsidP="00137E67">
            <w:pPr>
              <w:ind w:left="0"/>
            </w:pPr>
            <w:r w:rsidRPr="00CF7D5E">
              <w:rPr>
                <w:color w:val="5F5F5F"/>
              </w:rPr>
              <w:t>Independent Competition and Regulatory Commission</w:t>
            </w:r>
          </w:p>
          <w:p w14:paraId="5D4506FF" w14:textId="77777777" w:rsidR="00B457BA" w:rsidRPr="00A97484" w:rsidRDefault="00B457BA" w:rsidP="00137E67"/>
        </w:tc>
      </w:tr>
      <w:tr w:rsidR="00B457BA" w:rsidRPr="00917B9D" w14:paraId="27B3EDBA" w14:textId="77777777" w:rsidTr="00137E67">
        <w:trPr>
          <w:cantSplit/>
          <w:trHeight w:hRule="exact" w:val="2835"/>
        </w:trPr>
        <w:tc>
          <w:tcPr>
            <w:tcW w:w="1366" w:type="dxa"/>
          </w:tcPr>
          <w:p w14:paraId="3F1E184A" w14:textId="77777777" w:rsidR="00B457BA" w:rsidRPr="003E55EB" w:rsidRDefault="00B457BA" w:rsidP="00137E67"/>
        </w:tc>
        <w:tc>
          <w:tcPr>
            <w:tcW w:w="5387" w:type="dxa"/>
            <w:vAlign w:val="center"/>
          </w:tcPr>
          <w:p w14:paraId="0096A91A" w14:textId="77777777" w:rsidR="00B457BA" w:rsidRPr="001C2CC7" w:rsidRDefault="00B457BA" w:rsidP="00137E67">
            <w:pPr>
              <w:pStyle w:val="ReportTitle"/>
              <w:spacing w:before="400"/>
            </w:pPr>
            <w:r w:rsidRPr="003E55EB">
              <w:t>ELECTRICITY FEED-</w:t>
            </w:r>
            <w:r w:rsidRPr="001C2CC7">
              <w:t>IN CODE</w:t>
            </w:r>
            <w:r w:rsidR="002941DA">
              <w:t xml:space="preserve"> 2020</w:t>
            </w:r>
          </w:p>
          <w:p w14:paraId="2EE1F23C" w14:textId="77777777" w:rsidR="00B457BA" w:rsidRPr="00ED23F0" w:rsidRDefault="00B457BA" w:rsidP="00137E67">
            <w:pPr>
              <w:ind w:left="0"/>
              <w:jc w:val="center"/>
            </w:pPr>
          </w:p>
          <w:p w14:paraId="2D16AC95" w14:textId="6207A07E" w:rsidR="00B457BA" w:rsidRPr="00611FD0" w:rsidRDefault="00B457BA" w:rsidP="00CA5899">
            <w:pPr>
              <w:tabs>
                <w:tab w:val="center" w:pos="4513"/>
                <w:tab w:val="right" w:pos="9026"/>
              </w:tabs>
              <w:spacing w:after="220" w:line="280" w:lineRule="atLeast"/>
              <w:ind w:left="0"/>
              <w:jc w:val="center"/>
              <w:rPr>
                <w:rFonts w:ascii="Times New Roman" w:hAnsi="Times New Roman"/>
                <w:b/>
                <w:color w:val="auto"/>
                <w:sz w:val="24"/>
                <w:szCs w:val="24"/>
                <w:lang w:val="en-GB"/>
              </w:rPr>
            </w:pPr>
          </w:p>
          <w:p w14:paraId="59E7ABBA" w14:textId="77777777" w:rsidR="00B457BA" w:rsidRPr="00917B9D" w:rsidRDefault="00B457BA" w:rsidP="00137E67">
            <w:pPr>
              <w:ind w:left="0"/>
              <w:jc w:val="center"/>
              <w:rPr>
                <w:strike/>
              </w:rPr>
            </w:pPr>
          </w:p>
        </w:tc>
      </w:tr>
    </w:tbl>
    <w:p w14:paraId="3CB3D0FC" w14:textId="77777777" w:rsidR="00B457BA" w:rsidRPr="00917B9D" w:rsidRDefault="00B457BA" w:rsidP="00F61457"/>
    <w:p w14:paraId="59653A46" w14:textId="77777777" w:rsidR="00B457BA" w:rsidRPr="00917B9D" w:rsidRDefault="00B457BA" w:rsidP="00F61457">
      <w:pPr>
        <w:sectPr w:rsidR="00B457BA" w:rsidRPr="00917B9D" w:rsidSect="006B09A2">
          <w:headerReference w:type="even" r:id="rId15"/>
          <w:headerReference w:type="default" r:id="rId16"/>
          <w:footerReference w:type="even" r:id="rId17"/>
          <w:footerReference w:type="default" r:id="rId18"/>
          <w:pgSz w:w="11909" w:h="16834" w:code="9"/>
          <w:pgMar w:top="1440" w:right="1440" w:bottom="1440" w:left="1871" w:header="578" w:footer="578" w:gutter="0"/>
          <w:pgNumType w:fmt="lowerRoman" w:start="1"/>
          <w:cols w:space="720"/>
          <w:rtlGutter/>
        </w:sectPr>
      </w:pPr>
    </w:p>
    <w:p w14:paraId="1B796A65" w14:textId="77777777" w:rsidR="00B457BA" w:rsidRPr="00917B9D" w:rsidRDefault="00B457BA" w:rsidP="00F61457">
      <w:pPr>
        <w:pStyle w:val="Heading1a"/>
      </w:pPr>
      <w:r w:rsidRPr="00917B9D">
        <w:lastRenderedPageBreak/>
        <w:t>Contents</w:t>
      </w:r>
    </w:p>
    <w:p w14:paraId="1BF36BCD" w14:textId="2D80BF2F" w:rsidR="00CE5240" w:rsidRDefault="00B457BA">
      <w:pPr>
        <w:pStyle w:val="TOC1"/>
        <w:rPr>
          <w:rFonts w:asciiTheme="minorHAnsi" w:eastAsiaTheme="minorEastAsia" w:hAnsiTheme="minorHAnsi" w:cstheme="minorBidi"/>
          <w:b w:val="0"/>
          <w:bCs w:val="0"/>
          <w:color w:val="auto"/>
          <w:sz w:val="22"/>
          <w:szCs w:val="22"/>
          <w:lang w:eastAsia="en-AU"/>
        </w:rPr>
      </w:pPr>
      <w:r w:rsidRPr="00917B9D">
        <w:rPr>
          <w:snapToGrid w:val="0"/>
        </w:rPr>
        <w:fldChar w:fldCharType="begin"/>
      </w:r>
      <w:r w:rsidRPr="00917B9D">
        <w:rPr>
          <w:snapToGrid w:val="0"/>
        </w:rPr>
        <w:instrText xml:space="preserve"> TOC \o "1-3" \h \z </w:instrText>
      </w:r>
      <w:r w:rsidRPr="00917B9D">
        <w:rPr>
          <w:snapToGrid w:val="0"/>
        </w:rPr>
        <w:fldChar w:fldCharType="separate"/>
      </w:r>
      <w:hyperlink w:anchor="_Toc29202069" w:history="1">
        <w:r w:rsidR="00CE5240" w:rsidRPr="00D335D8">
          <w:rPr>
            <w:rStyle w:val="Hyperlink"/>
          </w:rPr>
          <w:t>1.</w:t>
        </w:r>
        <w:r w:rsidR="00CE5240">
          <w:rPr>
            <w:rFonts w:asciiTheme="minorHAnsi" w:eastAsiaTheme="minorEastAsia" w:hAnsiTheme="minorHAnsi" w:cstheme="minorBidi"/>
            <w:b w:val="0"/>
            <w:bCs w:val="0"/>
            <w:color w:val="auto"/>
            <w:sz w:val="22"/>
            <w:szCs w:val="22"/>
            <w:lang w:eastAsia="en-AU"/>
          </w:rPr>
          <w:tab/>
        </w:r>
        <w:r w:rsidR="00CE5240" w:rsidRPr="00D335D8">
          <w:rPr>
            <w:rStyle w:val="Hyperlink"/>
          </w:rPr>
          <w:t>INTRODUCTION</w:t>
        </w:r>
        <w:r w:rsidR="00CE5240">
          <w:rPr>
            <w:webHidden/>
          </w:rPr>
          <w:tab/>
        </w:r>
        <w:r w:rsidR="00CE5240">
          <w:rPr>
            <w:webHidden/>
          </w:rPr>
          <w:fldChar w:fldCharType="begin"/>
        </w:r>
        <w:r w:rsidR="00CE5240">
          <w:rPr>
            <w:webHidden/>
          </w:rPr>
          <w:instrText xml:space="preserve"> PAGEREF _Toc29202069 \h </w:instrText>
        </w:r>
        <w:r w:rsidR="00CE5240">
          <w:rPr>
            <w:webHidden/>
          </w:rPr>
        </w:r>
        <w:r w:rsidR="00CE5240">
          <w:rPr>
            <w:webHidden/>
          </w:rPr>
          <w:fldChar w:fldCharType="separate"/>
        </w:r>
        <w:r w:rsidR="00D62AB5">
          <w:rPr>
            <w:webHidden/>
          </w:rPr>
          <w:t>1</w:t>
        </w:r>
        <w:r w:rsidR="00CE5240">
          <w:rPr>
            <w:webHidden/>
          </w:rPr>
          <w:fldChar w:fldCharType="end"/>
        </w:r>
      </w:hyperlink>
    </w:p>
    <w:p w14:paraId="647B5968" w14:textId="4274FD87" w:rsidR="00CE5240" w:rsidRDefault="00857833">
      <w:pPr>
        <w:pStyle w:val="TOC2"/>
        <w:rPr>
          <w:rFonts w:asciiTheme="minorHAnsi" w:eastAsiaTheme="minorEastAsia" w:hAnsiTheme="minorHAnsi" w:cstheme="minorBidi"/>
          <w:color w:val="auto"/>
          <w:sz w:val="22"/>
          <w:lang w:eastAsia="en-AU"/>
        </w:rPr>
      </w:pPr>
      <w:hyperlink w:anchor="_Toc29202070" w:history="1">
        <w:r w:rsidR="00CE5240" w:rsidRPr="00D335D8">
          <w:rPr>
            <w:rStyle w:val="Hyperlink"/>
          </w:rPr>
          <w:t>1.1</w:t>
        </w:r>
        <w:r w:rsidR="00CE5240">
          <w:rPr>
            <w:rFonts w:asciiTheme="minorHAnsi" w:eastAsiaTheme="minorEastAsia" w:hAnsiTheme="minorHAnsi" w:cstheme="minorBidi"/>
            <w:color w:val="auto"/>
            <w:sz w:val="22"/>
            <w:lang w:eastAsia="en-AU"/>
          </w:rPr>
          <w:tab/>
        </w:r>
        <w:r w:rsidR="00CE5240" w:rsidRPr="00D335D8">
          <w:rPr>
            <w:rStyle w:val="Hyperlink"/>
          </w:rPr>
          <w:t>Industry codes</w:t>
        </w:r>
        <w:r w:rsidR="00CE5240">
          <w:rPr>
            <w:webHidden/>
          </w:rPr>
          <w:tab/>
        </w:r>
        <w:r w:rsidR="00CE5240">
          <w:rPr>
            <w:webHidden/>
          </w:rPr>
          <w:fldChar w:fldCharType="begin"/>
        </w:r>
        <w:r w:rsidR="00CE5240">
          <w:rPr>
            <w:webHidden/>
          </w:rPr>
          <w:instrText xml:space="preserve"> PAGEREF _Toc29202070 \h </w:instrText>
        </w:r>
        <w:r w:rsidR="00CE5240">
          <w:rPr>
            <w:webHidden/>
          </w:rPr>
        </w:r>
        <w:r w:rsidR="00CE5240">
          <w:rPr>
            <w:webHidden/>
          </w:rPr>
          <w:fldChar w:fldCharType="separate"/>
        </w:r>
        <w:r w:rsidR="00D62AB5">
          <w:rPr>
            <w:webHidden/>
          </w:rPr>
          <w:t>1</w:t>
        </w:r>
        <w:r w:rsidR="00CE5240">
          <w:rPr>
            <w:webHidden/>
          </w:rPr>
          <w:fldChar w:fldCharType="end"/>
        </w:r>
      </w:hyperlink>
    </w:p>
    <w:p w14:paraId="6B21E4FD" w14:textId="3F0D0FF5" w:rsidR="00CE5240" w:rsidRDefault="00857833">
      <w:pPr>
        <w:pStyle w:val="TOC2"/>
        <w:rPr>
          <w:rFonts w:asciiTheme="minorHAnsi" w:eastAsiaTheme="minorEastAsia" w:hAnsiTheme="minorHAnsi" w:cstheme="minorBidi"/>
          <w:color w:val="auto"/>
          <w:sz w:val="22"/>
          <w:lang w:eastAsia="en-AU"/>
        </w:rPr>
      </w:pPr>
      <w:hyperlink w:anchor="_Toc29202071" w:history="1">
        <w:r w:rsidR="00CE5240" w:rsidRPr="00D335D8">
          <w:rPr>
            <w:rStyle w:val="Hyperlink"/>
          </w:rPr>
          <w:t>1.2</w:t>
        </w:r>
        <w:r w:rsidR="00CE5240">
          <w:rPr>
            <w:rFonts w:asciiTheme="minorHAnsi" w:eastAsiaTheme="minorEastAsia" w:hAnsiTheme="minorHAnsi" w:cstheme="minorBidi"/>
            <w:color w:val="auto"/>
            <w:sz w:val="22"/>
            <w:lang w:eastAsia="en-AU"/>
          </w:rPr>
          <w:tab/>
        </w:r>
        <w:r w:rsidR="00CE5240" w:rsidRPr="00D335D8">
          <w:rPr>
            <w:rStyle w:val="Hyperlink"/>
          </w:rPr>
          <w:t>Utility / NERL retailers to comply with industry codes</w:t>
        </w:r>
        <w:r w:rsidR="00CE5240">
          <w:rPr>
            <w:webHidden/>
          </w:rPr>
          <w:tab/>
        </w:r>
        <w:r w:rsidR="00CE5240">
          <w:rPr>
            <w:webHidden/>
          </w:rPr>
          <w:fldChar w:fldCharType="begin"/>
        </w:r>
        <w:r w:rsidR="00CE5240">
          <w:rPr>
            <w:webHidden/>
          </w:rPr>
          <w:instrText xml:space="preserve"> PAGEREF _Toc29202071 \h </w:instrText>
        </w:r>
        <w:r w:rsidR="00CE5240">
          <w:rPr>
            <w:webHidden/>
          </w:rPr>
        </w:r>
        <w:r w:rsidR="00CE5240">
          <w:rPr>
            <w:webHidden/>
          </w:rPr>
          <w:fldChar w:fldCharType="separate"/>
        </w:r>
        <w:r w:rsidR="00D62AB5">
          <w:rPr>
            <w:webHidden/>
          </w:rPr>
          <w:t>1</w:t>
        </w:r>
        <w:r w:rsidR="00CE5240">
          <w:rPr>
            <w:webHidden/>
          </w:rPr>
          <w:fldChar w:fldCharType="end"/>
        </w:r>
      </w:hyperlink>
    </w:p>
    <w:p w14:paraId="0E5AA191" w14:textId="7E5C519E" w:rsidR="00CE5240" w:rsidRDefault="00857833">
      <w:pPr>
        <w:pStyle w:val="TOC2"/>
        <w:rPr>
          <w:rFonts w:asciiTheme="minorHAnsi" w:eastAsiaTheme="minorEastAsia" w:hAnsiTheme="minorHAnsi" w:cstheme="minorBidi"/>
          <w:color w:val="auto"/>
          <w:sz w:val="22"/>
          <w:lang w:eastAsia="en-AU"/>
        </w:rPr>
      </w:pPr>
      <w:hyperlink w:anchor="_Toc29202072" w:history="1">
        <w:r w:rsidR="00CE5240" w:rsidRPr="00D335D8">
          <w:rPr>
            <w:rStyle w:val="Hyperlink"/>
          </w:rPr>
          <w:t>1.3</w:t>
        </w:r>
        <w:r w:rsidR="00CE5240">
          <w:rPr>
            <w:rFonts w:asciiTheme="minorHAnsi" w:eastAsiaTheme="minorEastAsia" w:hAnsiTheme="minorHAnsi" w:cstheme="minorBidi"/>
            <w:color w:val="auto"/>
            <w:sz w:val="22"/>
            <w:lang w:eastAsia="en-AU"/>
          </w:rPr>
          <w:tab/>
        </w:r>
        <w:r w:rsidR="00CE5240" w:rsidRPr="00D335D8">
          <w:rPr>
            <w:rStyle w:val="Hyperlink"/>
          </w:rPr>
          <w:t>Effect of inconsistency of industry codes</w:t>
        </w:r>
        <w:r w:rsidR="00CE5240">
          <w:rPr>
            <w:webHidden/>
          </w:rPr>
          <w:tab/>
        </w:r>
        <w:r w:rsidR="00CE5240">
          <w:rPr>
            <w:webHidden/>
          </w:rPr>
          <w:fldChar w:fldCharType="begin"/>
        </w:r>
        <w:r w:rsidR="00CE5240">
          <w:rPr>
            <w:webHidden/>
          </w:rPr>
          <w:instrText xml:space="preserve"> PAGEREF _Toc29202072 \h </w:instrText>
        </w:r>
        <w:r w:rsidR="00CE5240">
          <w:rPr>
            <w:webHidden/>
          </w:rPr>
        </w:r>
        <w:r w:rsidR="00CE5240">
          <w:rPr>
            <w:webHidden/>
          </w:rPr>
          <w:fldChar w:fldCharType="separate"/>
        </w:r>
        <w:r w:rsidR="00D62AB5">
          <w:rPr>
            <w:webHidden/>
          </w:rPr>
          <w:t>1</w:t>
        </w:r>
        <w:r w:rsidR="00CE5240">
          <w:rPr>
            <w:webHidden/>
          </w:rPr>
          <w:fldChar w:fldCharType="end"/>
        </w:r>
      </w:hyperlink>
    </w:p>
    <w:p w14:paraId="45F501A1" w14:textId="0BBBF546" w:rsidR="00CE5240" w:rsidRDefault="00857833">
      <w:pPr>
        <w:pStyle w:val="TOC2"/>
        <w:rPr>
          <w:rFonts w:asciiTheme="minorHAnsi" w:eastAsiaTheme="minorEastAsia" w:hAnsiTheme="minorHAnsi" w:cstheme="minorBidi"/>
          <w:color w:val="auto"/>
          <w:sz w:val="22"/>
          <w:lang w:eastAsia="en-AU"/>
        </w:rPr>
      </w:pPr>
      <w:hyperlink w:anchor="_Toc29202073" w:history="1">
        <w:r w:rsidR="00CE5240" w:rsidRPr="00D335D8">
          <w:rPr>
            <w:rStyle w:val="Hyperlink"/>
          </w:rPr>
          <w:t>1.4</w:t>
        </w:r>
        <w:r w:rsidR="00CE5240">
          <w:rPr>
            <w:rFonts w:asciiTheme="minorHAnsi" w:eastAsiaTheme="minorEastAsia" w:hAnsiTheme="minorHAnsi" w:cstheme="minorBidi"/>
            <w:color w:val="auto"/>
            <w:sz w:val="22"/>
            <w:lang w:eastAsia="en-AU"/>
          </w:rPr>
          <w:tab/>
        </w:r>
        <w:r w:rsidR="00CE5240" w:rsidRPr="00D335D8">
          <w:rPr>
            <w:rStyle w:val="Hyperlink"/>
          </w:rPr>
          <w:t>Electricity Feed-in Scheme</w:t>
        </w:r>
        <w:r w:rsidR="00CE5240">
          <w:rPr>
            <w:webHidden/>
          </w:rPr>
          <w:tab/>
        </w:r>
        <w:r w:rsidR="00CE5240">
          <w:rPr>
            <w:webHidden/>
          </w:rPr>
          <w:fldChar w:fldCharType="begin"/>
        </w:r>
        <w:r w:rsidR="00CE5240">
          <w:rPr>
            <w:webHidden/>
          </w:rPr>
          <w:instrText xml:space="preserve"> PAGEREF _Toc29202073 \h </w:instrText>
        </w:r>
        <w:r w:rsidR="00CE5240">
          <w:rPr>
            <w:webHidden/>
          </w:rPr>
        </w:r>
        <w:r w:rsidR="00CE5240">
          <w:rPr>
            <w:webHidden/>
          </w:rPr>
          <w:fldChar w:fldCharType="separate"/>
        </w:r>
        <w:r w:rsidR="00D62AB5">
          <w:rPr>
            <w:webHidden/>
          </w:rPr>
          <w:t>1</w:t>
        </w:r>
        <w:r w:rsidR="00CE5240">
          <w:rPr>
            <w:webHidden/>
          </w:rPr>
          <w:fldChar w:fldCharType="end"/>
        </w:r>
      </w:hyperlink>
    </w:p>
    <w:p w14:paraId="634C620A" w14:textId="3C4501B0" w:rsidR="00CE5240" w:rsidRDefault="00857833">
      <w:pPr>
        <w:pStyle w:val="TOC1"/>
        <w:rPr>
          <w:rFonts w:asciiTheme="minorHAnsi" w:eastAsiaTheme="minorEastAsia" w:hAnsiTheme="minorHAnsi" w:cstheme="minorBidi"/>
          <w:b w:val="0"/>
          <w:bCs w:val="0"/>
          <w:color w:val="auto"/>
          <w:sz w:val="22"/>
          <w:szCs w:val="22"/>
          <w:lang w:eastAsia="en-AU"/>
        </w:rPr>
      </w:pPr>
      <w:hyperlink w:anchor="_Toc29202074" w:history="1">
        <w:r w:rsidR="00CE5240" w:rsidRPr="00D335D8">
          <w:rPr>
            <w:rStyle w:val="Hyperlink"/>
          </w:rPr>
          <w:t>2.</w:t>
        </w:r>
        <w:r w:rsidR="00CE5240">
          <w:rPr>
            <w:rFonts w:asciiTheme="minorHAnsi" w:eastAsiaTheme="minorEastAsia" w:hAnsiTheme="minorHAnsi" w:cstheme="minorBidi"/>
            <w:b w:val="0"/>
            <w:bCs w:val="0"/>
            <w:color w:val="auto"/>
            <w:sz w:val="22"/>
            <w:szCs w:val="22"/>
            <w:lang w:eastAsia="en-AU"/>
          </w:rPr>
          <w:tab/>
        </w:r>
        <w:r w:rsidR="00CE5240" w:rsidRPr="00D335D8">
          <w:rPr>
            <w:rStyle w:val="Hyperlink"/>
          </w:rPr>
          <w:t>PURPOSE AND APPLICATION OF THIS CODE</w:t>
        </w:r>
        <w:r w:rsidR="00CE5240">
          <w:rPr>
            <w:webHidden/>
          </w:rPr>
          <w:tab/>
        </w:r>
        <w:r w:rsidR="00CE5240">
          <w:rPr>
            <w:webHidden/>
          </w:rPr>
          <w:fldChar w:fldCharType="begin"/>
        </w:r>
        <w:r w:rsidR="00CE5240">
          <w:rPr>
            <w:webHidden/>
          </w:rPr>
          <w:instrText xml:space="preserve"> PAGEREF _Toc29202074 \h </w:instrText>
        </w:r>
        <w:r w:rsidR="00CE5240">
          <w:rPr>
            <w:webHidden/>
          </w:rPr>
        </w:r>
        <w:r w:rsidR="00CE5240">
          <w:rPr>
            <w:webHidden/>
          </w:rPr>
          <w:fldChar w:fldCharType="separate"/>
        </w:r>
        <w:r w:rsidR="00D62AB5">
          <w:rPr>
            <w:webHidden/>
          </w:rPr>
          <w:t>2</w:t>
        </w:r>
        <w:r w:rsidR="00CE5240">
          <w:rPr>
            <w:webHidden/>
          </w:rPr>
          <w:fldChar w:fldCharType="end"/>
        </w:r>
      </w:hyperlink>
    </w:p>
    <w:p w14:paraId="045A10B3" w14:textId="2C04B15C" w:rsidR="00CE5240" w:rsidRDefault="00857833">
      <w:pPr>
        <w:pStyle w:val="TOC2"/>
        <w:rPr>
          <w:rFonts w:asciiTheme="minorHAnsi" w:eastAsiaTheme="minorEastAsia" w:hAnsiTheme="minorHAnsi" w:cstheme="minorBidi"/>
          <w:color w:val="auto"/>
          <w:sz w:val="22"/>
          <w:lang w:eastAsia="en-AU"/>
        </w:rPr>
      </w:pPr>
      <w:hyperlink w:anchor="_Toc29202075" w:history="1">
        <w:r w:rsidR="00CE5240" w:rsidRPr="00D335D8">
          <w:rPr>
            <w:rStyle w:val="Hyperlink"/>
          </w:rPr>
          <w:t>2.1</w:t>
        </w:r>
        <w:r w:rsidR="00CE5240">
          <w:rPr>
            <w:rFonts w:asciiTheme="minorHAnsi" w:eastAsiaTheme="minorEastAsia" w:hAnsiTheme="minorHAnsi" w:cstheme="minorBidi"/>
            <w:color w:val="auto"/>
            <w:sz w:val="22"/>
            <w:lang w:eastAsia="en-AU"/>
          </w:rPr>
          <w:tab/>
        </w:r>
        <w:r w:rsidR="00CE5240" w:rsidRPr="00D335D8">
          <w:rPr>
            <w:rStyle w:val="Hyperlink"/>
          </w:rPr>
          <w:t>Purpose</w:t>
        </w:r>
        <w:r w:rsidR="00CE5240">
          <w:rPr>
            <w:webHidden/>
          </w:rPr>
          <w:tab/>
        </w:r>
        <w:r w:rsidR="00CE5240">
          <w:rPr>
            <w:webHidden/>
          </w:rPr>
          <w:fldChar w:fldCharType="begin"/>
        </w:r>
        <w:r w:rsidR="00CE5240">
          <w:rPr>
            <w:webHidden/>
          </w:rPr>
          <w:instrText xml:space="preserve"> PAGEREF _Toc29202075 \h </w:instrText>
        </w:r>
        <w:r w:rsidR="00CE5240">
          <w:rPr>
            <w:webHidden/>
          </w:rPr>
        </w:r>
        <w:r w:rsidR="00CE5240">
          <w:rPr>
            <w:webHidden/>
          </w:rPr>
          <w:fldChar w:fldCharType="separate"/>
        </w:r>
        <w:r w:rsidR="00D62AB5">
          <w:rPr>
            <w:webHidden/>
          </w:rPr>
          <w:t>2</w:t>
        </w:r>
        <w:r w:rsidR="00CE5240">
          <w:rPr>
            <w:webHidden/>
          </w:rPr>
          <w:fldChar w:fldCharType="end"/>
        </w:r>
      </w:hyperlink>
    </w:p>
    <w:p w14:paraId="0E3F4832" w14:textId="41D6F79B" w:rsidR="00CE5240" w:rsidRDefault="00857833">
      <w:pPr>
        <w:pStyle w:val="TOC2"/>
        <w:rPr>
          <w:rFonts w:asciiTheme="minorHAnsi" w:eastAsiaTheme="minorEastAsia" w:hAnsiTheme="minorHAnsi" w:cstheme="minorBidi"/>
          <w:color w:val="auto"/>
          <w:sz w:val="22"/>
          <w:lang w:eastAsia="en-AU"/>
        </w:rPr>
      </w:pPr>
      <w:hyperlink w:anchor="_Toc29202076" w:history="1">
        <w:r w:rsidR="00CE5240" w:rsidRPr="00D335D8">
          <w:rPr>
            <w:rStyle w:val="Hyperlink"/>
          </w:rPr>
          <w:t>2.2</w:t>
        </w:r>
        <w:r w:rsidR="00CE5240">
          <w:rPr>
            <w:rFonts w:asciiTheme="minorHAnsi" w:eastAsiaTheme="minorEastAsia" w:hAnsiTheme="minorHAnsi" w:cstheme="minorBidi"/>
            <w:color w:val="auto"/>
            <w:sz w:val="22"/>
            <w:lang w:eastAsia="en-AU"/>
          </w:rPr>
          <w:tab/>
        </w:r>
        <w:r w:rsidR="00CE5240" w:rsidRPr="00D335D8">
          <w:rPr>
            <w:rStyle w:val="Hyperlink"/>
          </w:rPr>
          <w:t>Application</w:t>
        </w:r>
        <w:r w:rsidR="00CE5240">
          <w:rPr>
            <w:webHidden/>
          </w:rPr>
          <w:tab/>
        </w:r>
        <w:r w:rsidR="00CE5240">
          <w:rPr>
            <w:webHidden/>
          </w:rPr>
          <w:fldChar w:fldCharType="begin"/>
        </w:r>
        <w:r w:rsidR="00CE5240">
          <w:rPr>
            <w:webHidden/>
          </w:rPr>
          <w:instrText xml:space="preserve"> PAGEREF _Toc29202076 \h </w:instrText>
        </w:r>
        <w:r w:rsidR="00CE5240">
          <w:rPr>
            <w:webHidden/>
          </w:rPr>
        </w:r>
        <w:r w:rsidR="00CE5240">
          <w:rPr>
            <w:webHidden/>
          </w:rPr>
          <w:fldChar w:fldCharType="separate"/>
        </w:r>
        <w:r w:rsidR="00D62AB5">
          <w:rPr>
            <w:webHidden/>
          </w:rPr>
          <w:t>2</w:t>
        </w:r>
        <w:r w:rsidR="00CE5240">
          <w:rPr>
            <w:webHidden/>
          </w:rPr>
          <w:fldChar w:fldCharType="end"/>
        </w:r>
      </w:hyperlink>
    </w:p>
    <w:p w14:paraId="2CC15D3D" w14:textId="4232182D" w:rsidR="00CE5240" w:rsidRDefault="00857833">
      <w:pPr>
        <w:pStyle w:val="TOC2"/>
        <w:rPr>
          <w:rFonts w:asciiTheme="minorHAnsi" w:eastAsiaTheme="minorEastAsia" w:hAnsiTheme="minorHAnsi" w:cstheme="minorBidi"/>
          <w:color w:val="auto"/>
          <w:sz w:val="22"/>
          <w:lang w:eastAsia="en-AU"/>
        </w:rPr>
      </w:pPr>
      <w:hyperlink w:anchor="_Toc29202077" w:history="1">
        <w:r w:rsidR="00CE5240" w:rsidRPr="00D335D8">
          <w:rPr>
            <w:rStyle w:val="Hyperlink"/>
            <w:snapToGrid w:val="0"/>
          </w:rPr>
          <w:t>2.3</w:t>
        </w:r>
        <w:r w:rsidR="00CE5240">
          <w:rPr>
            <w:rFonts w:asciiTheme="minorHAnsi" w:eastAsiaTheme="minorEastAsia" w:hAnsiTheme="minorHAnsi" w:cstheme="minorBidi"/>
            <w:color w:val="auto"/>
            <w:sz w:val="22"/>
            <w:lang w:eastAsia="en-AU"/>
          </w:rPr>
          <w:tab/>
        </w:r>
        <w:r w:rsidR="00CE5240" w:rsidRPr="00D335D8">
          <w:rPr>
            <w:rStyle w:val="Hyperlink"/>
            <w:snapToGrid w:val="0"/>
          </w:rPr>
          <w:t xml:space="preserve">Other applicable </w:t>
        </w:r>
        <w:r w:rsidR="00CE5240" w:rsidRPr="00D335D8">
          <w:rPr>
            <w:rStyle w:val="Hyperlink"/>
          </w:rPr>
          <w:t>laws</w:t>
        </w:r>
        <w:r w:rsidR="00CE5240">
          <w:rPr>
            <w:webHidden/>
          </w:rPr>
          <w:tab/>
        </w:r>
        <w:r w:rsidR="00CE5240">
          <w:rPr>
            <w:webHidden/>
          </w:rPr>
          <w:fldChar w:fldCharType="begin"/>
        </w:r>
        <w:r w:rsidR="00CE5240">
          <w:rPr>
            <w:webHidden/>
          </w:rPr>
          <w:instrText xml:space="preserve"> PAGEREF _Toc29202077 \h </w:instrText>
        </w:r>
        <w:r w:rsidR="00CE5240">
          <w:rPr>
            <w:webHidden/>
          </w:rPr>
        </w:r>
        <w:r w:rsidR="00CE5240">
          <w:rPr>
            <w:webHidden/>
          </w:rPr>
          <w:fldChar w:fldCharType="separate"/>
        </w:r>
        <w:r w:rsidR="00D62AB5">
          <w:rPr>
            <w:webHidden/>
          </w:rPr>
          <w:t>2</w:t>
        </w:r>
        <w:r w:rsidR="00CE5240">
          <w:rPr>
            <w:webHidden/>
          </w:rPr>
          <w:fldChar w:fldCharType="end"/>
        </w:r>
      </w:hyperlink>
    </w:p>
    <w:p w14:paraId="1122B40C" w14:textId="029A9FEE" w:rsidR="00CE5240" w:rsidRDefault="00857833">
      <w:pPr>
        <w:pStyle w:val="TOC1"/>
        <w:rPr>
          <w:rFonts w:asciiTheme="minorHAnsi" w:eastAsiaTheme="minorEastAsia" w:hAnsiTheme="minorHAnsi" w:cstheme="minorBidi"/>
          <w:b w:val="0"/>
          <w:bCs w:val="0"/>
          <w:color w:val="auto"/>
          <w:sz w:val="22"/>
          <w:szCs w:val="22"/>
          <w:lang w:eastAsia="en-AU"/>
        </w:rPr>
      </w:pPr>
      <w:hyperlink w:anchor="_Toc29202078" w:history="1">
        <w:r w:rsidR="00CE5240" w:rsidRPr="00D335D8">
          <w:rPr>
            <w:rStyle w:val="Hyperlink"/>
          </w:rPr>
          <w:t>3.</w:t>
        </w:r>
        <w:r w:rsidR="00CE5240">
          <w:rPr>
            <w:rFonts w:asciiTheme="minorHAnsi" w:eastAsiaTheme="minorEastAsia" w:hAnsiTheme="minorHAnsi" w:cstheme="minorBidi"/>
            <w:b w:val="0"/>
            <w:bCs w:val="0"/>
            <w:color w:val="auto"/>
            <w:sz w:val="22"/>
            <w:szCs w:val="22"/>
            <w:lang w:eastAsia="en-AU"/>
          </w:rPr>
          <w:tab/>
        </w:r>
        <w:r w:rsidR="00CE5240" w:rsidRPr="00D335D8">
          <w:rPr>
            <w:rStyle w:val="Hyperlink"/>
          </w:rPr>
          <w:t>DICTIONARY</w:t>
        </w:r>
        <w:r w:rsidR="00CE5240">
          <w:rPr>
            <w:webHidden/>
          </w:rPr>
          <w:tab/>
        </w:r>
        <w:r w:rsidR="00CE5240">
          <w:rPr>
            <w:webHidden/>
          </w:rPr>
          <w:fldChar w:fldCharType="begin"/>
        </w:r>
        <w:r w:rsidR="00CE5240">
          <w:rPr>
            <w:webHidden/>
          </w:rPr>
          <w:instrText xml:space="preserve"> PAGEREF _Toc29202078 \h </w:instrText>
        </w:r>
        <w:r w:rsidR="00CE5240">
          <w:rPr>
            <w:webHidden/>
          </w:rPr>
        </w:r>
        <w:r w:rsidR="00CE5240">
          <w:rPr>
            <w:webHidden/>
          </w:rPr>
          <w:fldChar w:fldCharType="separate"/>
        </w:r>
        <w:r w:rsidR="00D62AB5">
          <w:rPr>
            <w:webHidden/>
          </w:rPr>
          <w:t>2</w:t>
        </w:r>
        <w:r w:rsidR="00CE5240">
          <w:rPr>
            <w:webHidden/>
          </w:rPr>
          <w:fldChar w:fldCharType="end"/>
        </w:r>
      </w:hyperlink>
    </w:p>
    <w:p w14:paraId="7B61DD63" w14:textId="226D80A2" w:rsidR="00CE5240" w:rsidRDefault="00857833">
      <w:pPr>
        <w:pStyle w:val="TOC2"/>
        <w:rPr>
          <w:rFonts w:asciiTheme="minorHAnsi" w:eastAsiaTheme="minorEastAsia" w:hAnsiTheme="minorHAnsi" w:cstheme="minorBidi"/>
          <w:color w:val="auto"/>
          <w:sz w:val="22"/>
          <w:lang w:eastAsia="en-AU"/>
        </w:rPr>
      </w:pPr>
      <w:hyperlink w:anchor="_Toc29202079" w:history="1">
        <w:r w:rsidR="00CE5240" w:rsidRPr="00D335D8">
          <w:rPr>
            <w:rStyle w:val="Hyperlink"/>
            <w:snapToGrid w:val="0"/>
          </w:rPr>
          <w:t>3.1</w:t>
        </w:r>
        <w:r w:rsidR="00CE5240">
          <w:rPr>
            <w:rFonts w:asciiTheme="minorHAnsi" w:eastAsiaTheme="minorEastAsia" w:hAnsiTheme="minorHAnsi" w:cstheme="minorBidi"/>
            <w:color w:val="auto"/>
            <w:sz w:val="22"/>
            <w:lang w:eastAsia="en-AU"/>
          </w:rPr>
          <w:tab/>
        </w:r>
        <w:r w:rsidR="00CE5240" w:rsidRPr="00D335D8">
          <w:rPr>
            <w:rStyle w:val="Hyperlink"/>
            <w:snapToGrid w:val="0"/>
          </w:rPr>
          <w:t>Dictionary attached</w:t>
        </w:r>
        <w:r w:rsidR="00CE5240">
          <w:rPr>
            <w:webHidden/>
          </w:rPr>
          <w:tab/>
        </w:r>
        <w:r w:rsidR="00CE5240">
          <w:rPr>
            <w:webHidden/>
          </w:rPr>
          <w:fldChar w:fldCharType="begin"/>
        </w:r>
        <w:r w:rsidR="00CE5240">
          <w:rPr>
            <w:webHidden/>
          </w:rPr>
          <w:instrText xml:space="preserve"> PAGEREF _Toc29202079 \h </w:instrText>
        </w:r>
        <w:r w:rsidR="00CE5240">
          <w:rPr>
            <w:webHidden/>
          </w:rPr>
        </w:r>
        <w:r w:rsidR="00CE5240">
          <w:rPr>
            <w:webHidden/>
          </w:rPr>
          <w:fldChar w:fldCharType="separate"/>
        </w:r>
        <w:r w:rsidR="00D62AB5">
          <w:rPr>
            <w:webHidden/>
          </w:rPr>
          <w:t>2</w:t>
        </w:r>
        <w:r w:rsidR="00CE5240">
          <w:rPr>
            <w:webHidden/>
          </w:rPr>
          <w:fldChar w:fldCharType="end"/>
        </w:r>
      </w:hyperlink>
    </w:p>
    <w:p w14:paraId="74772588" w14:textId="57C1628F" w:rsidR="00CE5240" w:rsidRDefault="00857833">
      <w:pPr>
        <w:pStyle w:val="TOC1"/>
        <w:rPr>
          <w:rFonts w:asciiTheme="minorHAnsi" w:eastAsiaTheme="minorEastAsia" w:hAnsiTheme="minorHAnsi" w:cstheme="minorBidi"/>
          <w:b w:val="0"/>
          <w:bCs w:val="0"/>
          <w:color w:val="auto"/>
          <w:sz w:val="22"/>
          <w:szCs w:val="22"/>
          <w:lang w:eastAsia="en-AU"/>
        </w:rPr>
      </w:pPr>
      <w:hyperlink w:anchor="_Toc29202080" w:history="1">
        <w:r w:rsidR="00CE5240" w:rsidRPr="00D335D8">
          <w:rPr>
            <w:rStyle w:val="Hyperlink"/>
          </w:rPr>
          <w:t>4.</w:t>
        </w:r>
        <w:r w:rsidR="00CE5240">
          <w:rPr>
            <w:rFonts w:asciiTheme="minorHAnsi" w:eastAsiaTheme="minorEastAsia" w:hAnsiTheme="minorHAnsi" w:cstheme="minorBidi"/>
            <w:b w:val="0"/>
            <w:bCs w:val="0"/>
            <w:color w:val="auto"/>
            <w:sz w:val="22"/>
            <w:szCs w:val="22"/>
            <w:lang w:eastAsia="en-AU"/>
          </w:rPr>
          <w:tab/>
        </w:r>
        <w:r w:rsidR="00CE5240" w:rsidRPr="00D335D8">
          <w:rPr>
            <w:rStyle w:val="Hyperlink"/>
          </w:rPr>
          <w:t>DISTRIBUTOR OBLIGATIONS</w:t>
        </w:r>
        <w:r w:rsidR="00CE5240">
          <w:rPr>
            <w:webHidden/>
          </w:rPr>
          <w:tab/>
        </w:r>
        <w:r w:rsidR="00CE5240">
          <w:rPr>
            <w:webHidden/>
          </w:rPr>
          <w:fldChar w:fldCharType="begin"/>
        </w:r>
        <w:r w:rsidR="00CE5240">
          <w:rPr>
            <w:webHidden/>
          </w:rPr>
          <w:instrText xml:space="preserve"> PAGEREF _Toc29202080 \h </w:instrText>
        </w:r>
        <w:r w:rsidR="00CE5240">
          <w:rPr>
            <w:webHidden/>
          </w:rPr>
        </w:r>
        <w:r w:rsidR="00CE5240">
          <w:rPr>
            <w:webHidden/>
          </w:rPr>
          <w:fldChar w:fldCharType="separate"/>
        </w:r>
        <w:r w:rsidR="00D62AB5">
          <w:rPr>
            <w:webHidden/>
          </w:rPr>
          <w:t>2</w:t>
        </w:r>
        <w:r w:rsidR="00CE5240">
          <w:rPr>
            <w:webHidden/>
          </w:rPr>
          <w:fldChar w:fldCharType="end"/>
        </w:r>
      </w:hyperlink>
    </w:p>
    <w:p w14:paraId="19E7DB4E" w14:textId="70065E06" w:rsidR="00CE5240" w:rsidRDefault="00857833">
      <w:pPr>
        <w:pStyle w:val="TOC2"/>
        <w:rPr>
          <w:rFonts w:asciiTheme="minorHAnsi" w:eastAsiaTheme="minorEastAsia" w:hAnsiTheme="minorHAnsi" w:cstheme="minorBidi"/>
          <w:color w:val="auto"/>
          <w:sz w:val="22"/>
          <w:lang w:eastAsia="en-AU"/>
        </w:rPr>
      </w:pPr>
      <w:hyperlink w:anchor="_Toc29202081" w:history="1">
        <w:r w:rsidR="00CE5240" w:rsidRPr="00D335D8">
          <w:rPr>
            <w:rStyle w:val="Hyperlink"/>
            <w:snapToGrid w:val="0"/>
          </w:rPr>
          <w:t>4.1</w:t>
        </w:r>
        <w:r w:rsidR="00CE5240">
          <w:rPr>
            <w:rFonts w:asciiTheme="minorHAnsi" w:eastAsiaTheme="minorEastAsia" w:hAnsiTheme="minorHAnsi" w:cstheme="minorBidi"/>
            <w:color w:val="auto"/>
            <w:sz w:val="22"/>
            <w:lang w:eastAsia="en-AU"/>
          </w:rPr>
          <w:tab/>
        </w:r>
        <w:r w:rsidR="00CE5240" w:rsidRPr="00D335D8">
          <w:rPr>
            <w:rStyle w:val="Hyperlink"/>
            <w:snapToGrid w:val="0"/>
          </w:rPr>
          <w:t>Distributor to detail arrangements to NERL retailer</w:t>
        </w:r>
        <w:r w:rsidR="00CE5240">
          <w:rPr>
            <w:webHidden/>
          </w:rPr>
          <w:tab/>
        </w:r>
        <w:r w:rsidR="00CE5240">
          <w:rPr>
            <w:webHidden/>
          </w:rPr>
          <w:fldChar w:fldCharType="begin"/>
        </w:r>
        <w:r w:rsidR="00CE5240">
          <w:rPr>
            <w:webHidden/>
          </w:rPr>
          <w:instrText xml:space="preserve"> PAGEREF _Toc29202081 \h </w:instrText>
        </w:r>
        <w:r w:rsidR="00CE5240">
          <w:rPr>
            <w:webHidden/>
          </w:rPr>
        </w:r>
        <w:r w:rsidR="00CE5240">
          <w:rPr>
            <w:webHidden/>
          </w:rPr>
          <w:fldChar w:fldCharType="separate"/>
        </w:r>
        <w:r w:rsidR="00D62AB5">
          <w:rPr>
            <w:webHidden/>
          </w:rPr>
          <w:t>2</w:t>
        </w:r>
        <w:r w:rsidR="00CE5240">
          <w:rPr>
            <w:webHidden/>
          </w:rPr>
          <w:fldChar w:fldCharType="end"/>
        </w:r>
      </w:hyperlink>
    </w:p>
    <w:p w14:paraId="6ED4ED6A" w14:textId="0933A05E" w:rsidR="00CE5240" w:rsidRDefault="00857833">
      <w:pPr>
        <w:pStyle w:val="TOC2"/>
        <w:rPr>
          <w:rFonts w:asciiTheme="minorHAnsi" w:eastAsiaTheme="minorEastAsia" w:hAnsiTheme="minorHAnsi" w:cstheme="minorBidi"/>
          <w:color w:val="auto"/>
          <w:sz w:val="22"/>
          <w:lang w:eastAsia="en-AU"/>
        </w:rPr>
      </w:pPr>
      <w:hyperlink w:anchor="_Toc29202082" w:history="1">
        <w:r w:rsidR="00CE5240" w:rsidRPr="00D335D8">
          <w:rPr>
            <w:rStyle w:val="Hyperlink"/>
            <w:snapToGrid w:val="0"/>
          </w:rPr>
          <w:t>4.2</w:t>
        </w:r>
        <w:r w:rsidR="00CE5240">
          <w:rPr>
            <w:rFonts w:asciiTheme="minorHAnsi" w:eastAsiaTheme="minorEastAsia" w:hAnsiTheme="minorHAnsi" w:cstheme="minorBidi"/>
            <w:color w:val="auto"/>
            <w:sz w:val="22"/>
            <w:lang w:eastAsia="en-AU"/>
          </w:rPr>
          <w:tab/>
        </w:r>
        <w:r w:rsidR="00CE5240" w:rsidRPr="00D335D8">
          <w:rPr>
            <w:rStyle w:val="Hyperlink"/>
            <w:snapToGrid w:val="0"/>
          </w:rPr>
          <w:t>Distributor to alert NERL retailer and Occupier of start dates</w:t>
        </w:r>
        <w:r w:rsidR="00CE5240">
          <w:rPr>
            <w:webHidden/>
          </w:rPr>
          <w:tab/>
        </w:r>
        <w:r w:rsidR="00CE5240">
          <w:rPr>
            <w:webHidden/>
          </w:rPr>
          <w:fldChar w:fldCharType="begin"/>
        </w:r>
        <w:r w:rsidR="00CE5240">
          <w:rPr>
            <w:webHidden/>
          </w:rPr>
          <w:instrText xml:space="preserve"> PAGEREF _Toc29202082 \h </w:instrText>
        </w:r>
        <w:r w:rsidR="00CE5240">
          <w:rPr>
            <w:webHidden/>
          </w:rPr>
        </w:r>
        <w:r w:rsidR="00CE5240">
          <w:rPr>
            <w:webHidden/>
          </w:rPr>
          <w:fldChar w:fldCharType="separate"/>
        </w:r>
        <w:r w:rsidR="00D62AB5">
          <w:rPr>
            <w:webHidden/>
          </w:rPr>
          <w:t>2</w:t>
        </w:r>
        <w:r w:rsidR="00CE5240">
          <w:rPr>
            <w:webHidden/>
          </w:rPr>
          <w:fldChar w:fldCharType="end"/>
        </w:r>
      </w:hyperlink>
    </w:p>
    <w:p w14:paraId="79A4F08B" w14:textId="5C0D01E7" w:rsidR="00CE5240" w:rsidRDefault="00857833">
      <w:pPr>
        <w:pStyle w:val="TOC2"/>
        <w:rPr>
          <w:rFonts w:asciiTheme="minorHAnsi" w:eastAsiaTheme="minorEastAsia" w:hAnsiTheme="minorHAnsi" w:cstheme="minorBidi"/>
          <w:color w:val="auto"/>
          <w:sz w:val="22"/>
          <w:lang w:eastAsia="en-AU"/>
        </w:rPr>
      </w:pPr>
      <w:hyperlink w:anchor="_Toc29202083" w:history="1">
        <w:r w:rsidR="00CE5240" w:rsidRPr="00D335D8">
          <w:rPr>
            <w:rStyle w:val="Hyperlink"/>
            <w:snapToGrid w:val="0"/>
          </w:rPr>
          <w:t>4.3</w:t>
        </w:r>
        <w:r w:rsidR="00CE5240">
          <w:rPr>
            <w:rFonts w:asciiTheme="minorHAnsi" w:eastAsiaTheme="minorEastAsia" w:hAnsiTheme="minorHAnsi" w:cstheme="minorBidi"/>
            <w:color w:val="auto"/>
            <w:sz w:val="22"/>
            <w:lang w:eastAsia="en-AU"/>
          </w:rPr>
          <w:tab/>
        </w:r>
        <w:r w:rsidR="00CE5240" w:rsidRPr="00D335D8">
          <w:rPr>
            <w:rStyle w:val="Hyperlink"/>
            <w:snapToGrid w:val="0"/>
          </w:rPr>
          <w:t xml:space="preserve">Dispute resolution—NERL retailer </w:t>
        </w:r>
        <w:r w:rsidR="00CE5240" w:rsidRPr="00D335D8">
          <w:rPr>
            <w:rStyle w:val="Hyperlink"/>
          </w:rPr>
          <w:t>disputes</w:t>
        </w:r>
        <w:r w:rsidR="00CE5240">
          <w:rPr>
            <w:webHidden/>
          </w:rPr>
          <w:tab/>
        </w:r>
        <w:r w:rsidR="00CE5240">
          <w:rPr>
            <w:webHidden/>
          </w:rPr>
          <w:fldChar w:fldCharType="begin"/>
        </w:r>
        <w:r w:rsidR="00CE5240">
          <w:rPr>
            <w:webHidden/>
          </w:rPr>
          <w:instrText xml:space="preserve"> PAGEREF _Toc29202083 \h </w:instrText>
        </w:r>
        <w:r w:rsidR="00CE5240">
          <w:rPr>
            <w:webHidden/>
          </w:rPr>
        </w:r>
        <w:r w:rsidR="00CE5240">
          <w:rPr>
            <w:webHidden/>
          </w:rPr>
          <w:fldChar w:fldCharType="separate"/>
        </w:r>
        <w:r w:rsidR="00D62AB5">
          <w:rPr>
            <w:webHidden/>
          </w:rPr>
          <w:t>2</w:t>
        </w:r>
        <w:r w:rsidR="00CE5240">
          <w:rPr>
            <w:webHidden/>
          </w:rPr>
          <w:fldChar w:fldCharType="end"/>
        </w:r>
      </w:hyperlink>
    </w:p>
    <w:p w14:paraId="47ACFA35" w14:textId="0B3AFE44" w:rsidR="00CE5240" w:rsidRDefault="00857833">
      <w:pPr>
        <w:pStyle w:val="TOC2"/>
        <w:rPr>
          <w:rFonts w:asciiTheme="minorHAnsi" w:eastAsiaTheme="minorEastAsia" w:hAnsiTheme="minorHAnsi" w:cstheme="minorBidi"/>
          <w:color w:val="auto"/>
          <w:sz w:val="22"/>
          <w:lang w:eastAsia="en-AU"/>
        </w:rPr>
      </w:pPr>
      <w:hyperlink w:anchor="_Toc29202084" w:history="1">
        <w:r w:rsidR="00CE5240" w:rsidRPr="00D335D8">
          <w:rPr>
            <w:rStyle w:val="Hyperlink"/>
            <w:snapToGrid w:val="0"/>
          </w:rPr>
          <w:t>4.4</w:t>
        </w:r>
        <w:r w:rsidR="00CE5240">
          <w:rPr>
            <w:rFonts w:asciiTheme="minorHAnsi" w:eastAsiaTheme="minorEastAsia" w:hAnsiTheme="minorHAnsi" w:cstheme="minorBidi"/>
            <w:color w:val="auto"/>
            <w:sz w:val="22"/>
            <w:lang w:eastAsia="en-AU"/>
          </w:rPr>
          <w:tab/>
        </w:r>
        <w:r w:rsidR="00CE5240" w:rsidRPr="00D335D8">
          <w:rPr>
            <w:rStyle w:val="Hyperlink"/>
            <w:snapToGrid w:val="0"/>
          </w:rPr>
          <w:t xml:space="preserve">Dispute resolution—Occupier </w:t>
        </w:r>
        <w:r w:rsidR="00CE5240" w:rsidRPr="00D335D8">
          <w:rPr>
            <w:rStyle w:val="Hyperlink"/>
          </w:rPr>
          <w:t>disputes</w:t>
        </w:r>
        <w:r w:rsidR="00CE5240">
          <w:rPr>
            <w:webHidden/>
          </w:rPr>
          <w:tab/>
        </w:r>
        <w:r w:rsidR="00CE5240">
          <w:rPr>
            <w:webHidden/>
          </w:rPr>
          <w:fldChar w:fldCharType="begin"/>
        </w:r>
        <w:r w:rsidR="00CE5240">
          <w:rPr>
            <w:webHidden/>
          </w:rPr>
          <w:instrText xml:space="preserve"> PAGEREF _Toc29202084 \h </w:instrText>
        </w:r>
        <w:r w:rsidR="00CE5240">
          <w:rPr>
            <w:webHidden/>
          </w:rPr>
        </w:r>
        <w:r w:rsidR="00CE5240">
          <w:rPr>
            <w:webHidden/>
          </w:rPr>
          <w:fldChar w:fldCharType="separate"/>
        </w:r>
        <w:r w:rsidR="00D62AB5">
          <w:rPr>
            <w:webHidden/>
          </w:rPr>
          <w:t>3</w:t>
        </w:r>
        <w:r w:rsidR="00CE5240">
          <w:rPr>
            <w:webHidden/>
          </w:rPr>
          <w:fldChar w:fldCharType="end"/>
        </w:r>
      </w:hyperlink>
    </w:p>
    <w:p w14:paraId="5207AAE1" w14:textId="7D2842C5" w:rsidR="00CE5240" w:rsidRDefault="00857833">
      <w:pPr>
        <w:pStyle w:val="TOC1"/>
        <w:rPr>
          <w:rFonts w:asciiTheme="minorHAnsi" w:eastAsiaTheme="minorEastAsia" w:hAnsiTheme="minorHAnsi" w:cstheme="minorBidi"/>
          <w:b w:val="0"/>
          <w:bCs w:val="0"/>
          <w:color w:val="auto"/>
          <w:sz w:val="22"/>
          <w:szCs w:val="22"/>
          <w:lang w:eastAsia="en-AU"/>
        </w:rPr>
      </w:pPr>
      <w:hyperlink w:anchor="_Toc29202085" w:history="1">
        <w:r w:rsidR="00CE5240" w:rsidRPr="00D335D8">
          <w:rPr>
            <w:rStyle w:val="Hyperlink"/>
          </w:rPr>
          <w:t>5.</w:t>
        </w:r>
        <w:r w:rsidR="00CE5240">
          <w:rPr>
            <w:rFonts w:asciiTheme="minorHAnsi" w:eastAsiaTheme="minorEastAsia" w:hAnsiTheme="minorHAnsi" w:cstheme="minorBidi"/>
            <w:b w:val="0"/>
            <w:bCs w:val="0"/>
            <w:color w:val="auto"/>
            <w:sz w:val="22"/>
            <w:szCs w:val="22"/>
            <w:lang w:eastAsia="en-AU"/>
          </w:rPr>
          <w:tab/>
        </w:r>
        <w:r w:rsidR="00CE5240" w:rsidRPr="00D335D8">
          <w:rPr>
            <w:rStyle w:val="Hyperlink"/>
          </w:rPr>
          <w:t>NERL RETAILER OBLIGATIONS</w:t>
        </w:r>
        <w:r w:rsidR="00CE5240">
          <w:rPr>
            <w:webHidden/>
          </w:rPr>
          <w:tab/>
        </w:r>
        <w:r w:rsidR="00CE5240">
          <w:rPr>
            <w:webHidden/>
          </w:rPr>
          <w:fldChar w:fldCharType="begin"/>
        </w:r>
        <w:r w:rsidR="00CE5240">
          <w:rPr>
            <w:webHidden/>
          </w:rPr>
          <w:instrText xml:space="preserve"> PAGEREF _Toc29202085 \h </w:instrText>
        </w:r>
        <w:r w:rsidR="00CE5240">
          <w:rPr>
            <w:webHidden/>
          </w:rPr>
        </w:r>
        <w:r w:rsidR="00CE5240">
          <w:rPr>
            <w:webHidden/>
          </w:rPr>
          <w:fldChar w:fldCharType="separate"/>
        </w:r>
        <w:r w:rsidR="00D62AB5">
          <w:rPr>
            <w:webHidden/>
          </w:rPr>
          <w:t>4</w:t>
        </w:r>
        <w:r w:rsidR="00CE5240">
          <w:rPr>
            <w:webHidden/>
          </w:rPr>
          <w:fldChar w:fldCharType="end"/>
        </w:r>
      </w:hyperlink>
    </w:p>
    <w:p w14:paraId="0B335B99" w14:textId="2A5CCA99" w:rsidR="00CE5240" w:rsidRDefault="00857833">
      <w:pPr>
        <w:pStyle w:val="TOC2"/>
        <w:rPr>
          <w:rFonts w:asciiTheme="minorHAnsi" w:eastAsiaTheme="minorEastAsia" w:hAnsiTheme="minorHAnsi" w:cstheme="minorBidi"/>
          <w:color w:val="auto"/>
          <w:sz w:val="22"/>
          <w:lang w:eastAsia="en-AU"/>
        </w:rPr>
      </w:pPr>
      <w:hyperlink w:anchor="_Toc29202086" w:history="1">
        <w:r w:rsidR="00CE5240" w:rsidRPr="00D335D8">
          <w:rPr>
            <w:rStyle w:val="Hyperlink"/>
            <w:snapToGrid w:val="0"/>
          </w:rPr>
          <w:t>5.1</w:t>
        </w:r>
        <w:r w:rsidR="00CE5240">
          <w:rPr>
            <w:rFonts w:asciiTheme="minorHAnsi" w:eastAsiaTheme="minorEastAsia" w:hAnsiTheme="minorHAnsi" w:cstheme="minorBidi"/>
            <w:color w:val="auto"/>
            <w:sz w:val="22"/>
            <w:lang w:eastAsia="en-AU"/>
          </w:rPr>
          <w:tab/>
        </w:r>
        <w:r w:rsidR="00CE5240" w:rsidRPr="00D335D8">
          <w:rPr>
            <w:rStyle w:val="Hyperlink"/>
            <w:snapToGrid w:val="0"/>
          </w:rPr>
          <w:t xml:space="preserve">NERL retailer to detail arrangements to </w:t>
        </w:r>
        <w:r w:rsidR="00CE5240" w:rsidRPr="00D335D8">
          <w:rPr>
            <w:rStyle w:val="Hyperlink"/>
          </w:rPr>
          <w:t>Occupiers</w:t>
        </w:r>
        <w:r w:rsidR="00CE5240">
          <w:rPr>
            <w:webHidden/>
          </w:rPr>
          <w:tab/>
        </w:r>
        <w:r w:rsidR="00CE5240">
          <w:rPr>
            <w:webHidden/>
          </w:rPr>
          <w:fldChar w:fldCharType="begin"/>
        </w:r>
        <w:r w:rsidR="00CE5240">
          <w:rPr>
            <w:webHidden/>
          </w:rPr>
          <w:instrText xml:space="preserve"> PAGEREF _Toc29202086 \h </w:instrText>
        </w:r>
        <w:r w:rsidR="00CE5240">
          <w:rPr>
            <w:webHidden/>
          </w:rPr>
        </w:r>
        <w:r w:rsidR="00CE5240">
          <w:rPr>
            <w:webHidden/>
          </w:rPr>
          <w:fldChar w:fldCharType="separate"/>
        </w:r>
        <w:r w:rsidR="00D62AB5">
          <w:rPr>
            <w:webHidden/>
          </w:rPr>
          <w:t>4</w:t>
        </w:r>
        <w:r w:rsidR="00CE5240">
          <w:rPr>
            <w:webHidden/>
          </w:rPr>
          <w:fldChar w:fldCharType="end"/>
        </w:r>
      </w:hyperlink>
    </w:p>
    <w:p w14:paraId="4C4DB899" w14:textId="2052313F" w:rsidR="00CE5240" w:rsidRDefault="00857833">
      <w:pPr>
        <w:pStyle w:val="TOC2"/>
        <w:rPr>
          <w:rFonts w:asciiTheme="minorHAnsi" w:eastAsiaTheme="minorEastAsia" w:hAnsiTheme="minorHAnsi" w:cstheme="minorBidi"/>
          <w:color w:val="auto"/>
          <w:sz w:val="22"/>
          <w:lang w:eastAsia="en-AU"/>
        </w:rPr>
      </w:pPr>
      <w:hyperlink w:anchor="_Toc29202087" w:history="1">
        <w:r w:rsidR="00CE5240" w:rsidRPr="00D335D8">
          <w:rPr>
            <w:rStyle w:val="Hyperlink"/>
            <w:snapToGrid w:val="0"/>
          </w:rPr>
          <w:t>5.2</w:t>
        </w:r>
        <w:r w:rsidR="00CE5240">
          <w:rPr>
            <w:rFonts w:asciiTheme="minorHAnsi" w:eastAsiaTheme="minorEastAsia" w:hAnsiTheme="minorHAnsi" w:cstheme="minorBidi"/>
            <w:color w:val="auto"/>
            <w:sz w:val="22"/>
            <w:lang w:eastAsia="en-AU"/>
          </w:rPr>
          <w:tab/>
        </w:r>
        <w:r w:rsidR="00CE5240" w:rsidRPr="00D335D8">
          <w:rPr>
            <w:rStyle w:val="Hyperlink"/>
            <w:snapToGrid w:val="0"/>
          </w:rPr>
          <w:t>Dispute resolution—</w:t>
        </w:r>
        <w:r w:rsidR="00CE5240" w:rsidRPr="00D335D8">
          <w:rPr>
            <w:rStyle w:val="Hyperlink"/>
          </w:rPr>
          <w:t>distributor</w:t>
        </w:r>
        <w:r w:rsidR="00CE5240" w:rsidRPr="00D335D8">
          <w:rPr>
            <w:rStyle w:val="Hyperlink"/>
            <w:snapToGrid w:val="0"/>
          </w:rPr>
          <w:t xml:space="preserve"> disputes</w:t>
        </w:r>
        <w:r w:rsidR="00CE5240">
          <w:rPr>
            <w:webHidden/>
          </w:rPr>
          <w:tab/>
        </w:r>
        <w:r w:rsidR="00CE5240">
          <w:rPr>
            <w:webHidden/>
          </w:rPr>
          <w:fldChar w:fldCharType="begin"/>
        </w:r>
        <w:r w:rsidR="00CE5240">
          <w:rPr>
            <w:webHidden/>
          </w:rPr>
          <w:instrText xml:space="preserve"> PAGEREF _Toc29202087 \h </w:instrText>
        </w:r>
        <w:r w:rsidR="00CE5240">
          <w:rPr>
            <w:webHidden/>
          </w:rPr>
        </w:r>
        <w:r w:rsidR="00CE5240">
          <w:rPr>
            <w:webHidden/>
          </w:rPr>
          <w:fldChar w:fldCharType="separate"/>
        </w:r>
        <w:r w:rsidR="00D62AB5">
          <w:rPr>
            <w:webHidden/>
          </w:rPr>
          <w:t>4</w:t>
        </w:r>
        <w:r w:rsidR="00CE5240">
          <w:rPr>
            <w:webHidden/>
          </w:rPr>
          <w:fldChar w:fldCharType="end"/>
        </w:r>
      </w:hyperlink>
    </w:p>
    <w:p w14:paraId="5CAFB260" w14:textId="0C37FC01" w:rsidR="00CE5240" w:rsidRDefault="00857833">
      <w:pPr>
        <w:pStyle w:val="TOC2"/>
        <w:rPr>
          <w:rFonts w:asciiTheme="minorHAnsi" w:eastAsiaTheme="minorEastAsia" w:hAnsiTheme="minorHAnsi" w:cstheme="minorBidi"/>
          <w:color w:val="auto"/>
          <w:sz w:val="22"/>
          <w:lang w:eastAsia="en-AU"/>
        </w:rPr>
      </w:pPr>
      <w:hyperlink w:anchor="_Toc29202088" w:history="1">
        <w:r w:rsidR="00CE5240" w:rsidRPr="00D335D8">
          <w:rPr>
            <w:rStyle w:val="Hyperlink"/>
            <w:snapToGrid w:val="0"/>
          </w:rPr>
          <w:t>5.3</w:t>
        </w:r>
        <w:r w:rsidR="00CE5240">
          <w:rPr>
            <w:rFonts w:asciiTheme="minorHAnsi" w:eastAsiaTheme="minorEastAsia" w:hAnsiTheme="minorHAnsi" w:cstheme="minorBidi"/>
            <w:color w:val="auto"/>
            <w:sz w:val="22"/>
            <w:lang w:eastAsia="en-AU"/>
          </w:rPr>
          <w:tab/>
        </w:r>
        <w:r w:rsidR="00CE5240" w:rsidRPr="00D335D8">
          <w:rPr>
            <w:rStyle w:val="Hyperlink"/>
            <w:snapToGrid w:val="0"/>
          </w:rPr>
          <w:t xml:space="preserve">Dispute resolution—Occupier </w:t>
        </w:r>
        <w:r w:rsidR="00CE5240" w:rsidRPr="00D335D8">
          <w:rPr>
            <w:rStyle w:val="Hyperlink"/>
          </w:rPr>
          <w:t>disputes</w:t>
        </w:r>
        <w:r w:rsidR="00CE5240">
          <w:rPr>
            <w:webHidden/>
          </w:rPr>
          <w:tab/>
        </w:r>
        <w:r w:rsidR="00CE5240">
          <w:rPr>
            <w:webHidden/>
          </w:rPr>
          <w:fldChar w:fldCharType="begin"/>
        </w:r>
        <w:r w:rsidR="00CE5240">
          <w:rPr>
            <w:webHidden/>
          </w:rPr>
          <w:instrText xml:space="preserve"> PAGEREF _Toc29202088 \h </w:instrText>
        </w:r>
        <w:r w:rsidR="00CE5240">
          <w:rPr>
            <w:webHidden/>
          </w:rPr>
        </w:r>
        <w:r w:rsidR="00CE5240">
          <w:rPr>
            <w:webHidden/>
          </w:rPr>
          <w:fldChar w:fldCharType="separate"/>
        </w:r>
        <w:r w:rsidR="00D62AB5">
          <w:rPr>
            <w:webHidden/>
          </w:rPr>
          <w:t>4</w:t>
        </w:r>
        <w:r w:rsidR="00CE5240">
          <w:rPr>
            <w:webHidden/>
          </w:rPr>
          <w:fldChar w:fldCharType="end"/>
        </w:r>
      </w:hyperlink>
    </w:p>
    <w:p w14:paraId="5B5B032F" w14:textId="5ACB7C17" w:rsidR="00CE5240" w:rsidRDefault="00857833">
      <w:pPr>
        <w:pStyle w:val="TOC1"/>
        <w:rPr>
          <w:rFonts w:asciiTheme="minorHAnsi" w:eastAsiaTheme="minorEastAsia" w:hAnsiTheme="minorHAnsi" w:cstheme="minorBidi"/>
          <w:b w:val="0"/>
          <w:bCs w:val="0"/>
          <w:color w:val="auto"/>
          <w:sz w:val="22"/>
          <w:szCs w:val="22"/>
          <w:lang w:eastAsia="en-AU"/>
        </w:rPr>
      </w:pPr>
      <w:hyperlink w:anchor="_Toc29202089" w:history="1">
        <w:r w:rsidR="00CE5240" w:rsidRPr="00D335D8">
          <w:rPr>
            <w:rStyle w:val="Hyperlink"/>
          </w:rPr>
          <w:t>6.</w:t>
        </w:r>
        <w:r w:rsidR="00CE5240">
          <w:rPr>
            <w:rFonts w:asciiTheme="minorHAnsi" w:eastAsiaTheme="minorEastAsia" w:hAnsiTheme="minorHAnsi" w:cstheme="minorBidi"/>
            <w:b w:val="0"/>
            <w:bCs w:val="0"/>
            <w:color w:val="auto"/>
            <w:sz w:val="22"/>
            <w:szCs w:val="22"/>
            <w:lang w:eastAsia="en-AU"/>
          </w:rPr>
          <w:tab/>
        </w:r>
        <w:r w:rsidR="00CE5240" w:rsidRPr="00D335D8">
          <w:rPr>
            <w:rStyle w:val="Hyperlink"/>
          </w:rPr>
          <w:t>OCCUPIER PROTECTIONS AND OBLIGATIONS</w:t>
        </w:r>
        <w:r w:rsidR="00CE5240">
          <w:rPr>
            <w:webHidden/>
          </w:rPr>
          <w:tab/>
        </w:r>
        <w:r w:rsidR="00CE5240">
          <w:rPr>
            <w:webHidden/>
          </w:rPr>
          <w:fldChar w:fldCharType="begin"/>
        </w:r>
        <w:r w:rsidR="00CE5240">
          <w:rPr>
            <w:webHidden/>
          </w:rPr>
          <w:instrText xml:space="preserve"> PAGEREF _Toc29202089 \h </w:instrText>
        </w:r>
        <w:r w:rsidR="00CE5240">
          <w:rPr>
            <w:webHidden/>
          </w:rPr>
        </w:r>
        <w:r w:rsidR="00CE5240">
          <w:rPr>
            <w:webHidden/>
          </w:rPr>
          <w:fldChar w:fldCharType="separate"/>
        </w:r>
        <w:r w:rsidR="00D62AB5">
          <w:rPr>
            <w:webHidden/>
          </w:rPr>
          <w:t>4</w:t>
        </w:r>
        <w:r w:rsidR="00CE5240">
          <w:rPr>
            <w:webHidden/>
          </w:rPr>
          <w:fldChar w:fldCharType="end"/>
        </w:r>
      </w:hyperlink>
    </w:p>
    <w:p w14:paraId="4D961B02" w14:textId="4B64745E" w:rsidR="00CE5240" w:rsidRDefault="00857833">
      <w:pPr>
        <w:pStyle w:val="TOC2"/>
        <w:rPr>
          <w:rFonts w:asciiTheme="minorHAnsi" w:eastAsiaTheme="minorEastAsia" w:hAnsiTheme="minorHAnsi" w:cstheme="minorBidi"/>
          <w:color w:val="auto"/>
          <w:sz w:val="22"/>
          <w:lang w:eastAsia="en-AU"/>
        </w:rPr>
      </w:pPr>
      <w:hyperlink w:anchor="_Toc29202090" w:history="1">
        <w:r w:rsidR="00CE5240" w:rsidRPr="00D335D8">
          <w:rPr>
            <w:rStyle w:val="Hyperlink"/>
            <w:snapToGrid w:val="0"/>
          </w:rPr>
          <w:t>6.1</w:t>
        </w:r>
        <w:r w:rsidR="00CE5240">
          <w:rPr>
            <w:rFonts w:asciiTheme="minorHAnsi" w:eastAsiaTheme="minorEastAsia" w:hAnsiTheme="minorHAnsi" w:cstheme="minorBidi"/>
            <w:color w:val="auto"/>
            <w:sz w:val="22"/>
            <w:lang w:eastAsia="en-AU"/>
          </w:rPr>
          <w:tab/>
        </w:r>
        <w:r w:rsidR="00CE5240" w:rsidRPr="00D335D8">
          <w:rPr>
            <w:rStyle w:val="Hyperlink"/>
            <w:snapToGrid w:val="0"/>
          </w:rPr>
          <w:t xml:space="preserve">Applicability of Consumer Protection Code </w:t>
        </w:r>
        <w:r w:rsidR="00CE5240" w:rsidRPr="00D335D8">
          <w:rPr>
            <w:rStyle w:val="Hyperlink"/>
          </w:rPr>
          <w:t>provisions</w:t>
        </w:r>
        <w:r w:rsidR="00CE5240">
          <w:rPr>
            <w:webHidden/>
          </w:rPr>
          <w:tab/>
        </w:r>
        <w:r w:rsidR="00CE5240">
          <w:rPr>
            <w:webHidden/>
          </w:rPr>
          <w:fldChar w:fldCharType="begin"/>
        </w:r>
        <w:r w:rsidR="00CE5240">
          <w:rPr>
            <w:webHidden/>
          </w:rPr>
          <w:instrText xml:space="preserve"> PAGEREF _Toc29202090 \h </w:instrText>
        </w:r>
        <w:r w:rsidR="00CE5240">
          <w:rPr>
            <w:webHidden/>
          </w:rPr>
        </w:r>
        <w:r w:rsidR="00CE5240">
          <w:rPr>
            <w:webHidden/>
          </w:rPr>
          <w:fldChar w:fldCharType="separate"/>
        </w:r>
        <w:r w:rsidR="00D62AB5">
          <w:rPr>
            <w:webHidden/>
          </w:rPr>
          <w:t>4</w:t>
        </w:r>
        <w:r w:rsidR="00CE5240">
          <w:rPr>
            <w:webHidden/>
          </w:rPr>
          <w:fldChar w:fldCharType="end"/>
        </w:r>
      </w:hyperlink>
    </w:p>
    <w:p w14:paraId="1296FC03" w14:textId="67D11735" w:rsidR="00CE5240" w:rsidRDefault="00857833">
      <w:pPr>
        <w:pStyle w:val="TOC2"/>
        <w:rPr>
          <w:rFonts w:asciiTheme="minorHAnsi" w:eastAsiaTheme="minorEastAsia" w:hAnsiTheme="minorHAnsi" w:cstheme="minorBidi"/>
          <w:color w:val="auto"/>
          <w:sz w:val="22"/>
          <w:lang w:eastAsia="en-AU"/>
        </w:rPr>
      </w:pPr>
      <w:hyperlink w:anchor="_Toc29202091" w:history="1">
        <w:r w:rsidR="00CE5240" w:rsidRPr="00D335D8">
          <w:rPr>
            <w:rStyle w:val="Hyperlink"/>
            <w:snapToGrid w:val="0"/>
          </w:rPr>
          <w:t>6.2</w:t>
        </w:r>
        <w:r w:rsidR="00CE5240">
          <w:rPr>
            <w:rFonts w:asciiTheme="minorHAnsi" w:eastAsiaTheme="minorEastAsia" w:hAnsiTheme="minorHAnsi" w:cstheme="minorBidi"/>
            <w:color w:val="auto"/>
            <w:sz w:val="22"/>
            <w:lang w:eastAsia="en-AU"/>
          </w:rPr>
          <w:tab/>
        </w:r>
        <w:r w:rsidR="00CE5240" w:rsidRPr="00D335D8">
          <w:rPr>
            <w:rStyle w:val="Hyperlink"/>
            <w:snapToGrid w:val="0"/>
          </w:rPr>
          <w:t xml:space="preserve">Extended definition of ‘utility </w:t>
        </w:r>
        <w:r w:rsidR="00CE5240" w:rsidRPr="00D335D8">
          <w:rPr>
            <w:rStyle w:val="Hyperlink"/>
          </w:rPr>
          <w:t>service’</w:t>
        </w:r>
        <w:r w:rsidR="00CE5240">
          <w:rPr>
            <w:webHidden/>
          </w:rPr>
          <w:tab/>
        </w:r>
        <w:r w:rsidR="00CE5240">
          <w:rPr>
            <w:webHidden/>
          </w:rPr>
          <w:fldChar w:fldCharType="begin"/>
        </w:r>
        <w:r w:rsidR="00CE5240">
          <w:rPr>
            <w:webHidden/>
          </w:rPr>
          <w:instrText xml:space="preserve"> PAGEREF _Toc29202091 \h </w:instrText>
        </w:r>
        <w:r w:rsidR="00CE5240">
          <w:rPr>
            <w:webHidden/>
          </w:rPr>
        </w:r>
        <w:r w:rsidR="00CE5240">
          <w:rPr>
            <w:webHidden/>
          </w:rPr>
          <w:fldChar w:fldCharType="separate"/>
        </w:r>
        <w:r w:rsidR="00D62AB5">
          <w:rPr>
            <w:webHidden/>
          </w:rPr>
          <w:t>4</w:t>
        </w:r>
        <w:r w:rsidR="00CE5240">
          <w:rPr>
            <w:webHidden/>
          </w:rPr>
          <w:fldChar w:fldCharType="end"/>
        </w:r>
      </w:hyperlink>
    </w:p>
    <w:p w14:paraId="454EC23A" w14:textId="5B743D05" w:rsidR="00CE5240" w:rsidRDefault="00857833">
      <w:pPr>
        <w:pStyle w:val="TOC2"/>
        <w:rPr>
          <w:rFonts w:asciiTheme="minorHAnsi" w:eastAsiaTheme="minorEastAsia" w:hAnsiTheme="minorHAnsi" w:cstheme="minorBidi"/>
          <w:color w:val="auto"/>
          <w:sz w:val="22"/>
          <w:lang w:eastAsia="en-AU"/>
        </w:rPr>
      </w:pPr>
      <w:hyperlink w:anchor="_Toc29202092" w:history="1">
        <w:r w:rsidR="00CE5240" w:rsidRPr="00D335D8">
          <w:rPr>
            <w:rStyle w:val="Hyperlink"/>
            <w:snapToGrid w:val="0"/>
          </w:rPr>
          <w:t>6.3</w:t>
        </w:r>
        <w:r w:rsidR="00CE5240">
          <w:rPr>
            <w:rFonts w:asciiTheme="minorHAnsi" w:eastAsiaTheme="minorEastAsia" w:hAnsiTheme="minorHAnsi" w:cstheme="minorBidi"/>
            <w:color w:val="auto"/>
            <w:sz w:val="22"/>
            <w:lang w:eastAsia="en-AU"/>
          </w:rPr>
          <w:tab/>
        </w:r>
        <w:r w:rsidR="00CE5240" w:rsidRPr="00D335D8">
          <w:rPr>
            <w:rStyle w:val="Hyperlink"/>
            <w:snapToGrid w:val="0"/>
          </w:rPr>
          <w:t xml:space="preserve">Electricity supply debts and </w:t>
        </w:r>
        <w:r w:rsidR="00CE5240" w:rsidRPr="00D335D8">
          <w:rPr>
            <w:rStyle w:val="Hyperlink"/>
          </w:rPr>
          <w:t>hardship</w:t>
        </w:r>
        <w:r w:rsidR="00CE5240" w:rsidRPr="00D335D8">
          <w:rPr>
            <w:rStyle w:val="Hyperlink"/>
            <w:snapToGrid w:val="0"/>
          </w:rPr>
          <w:t xml:space="preserve"> provisions</w:t>
        </w:r>
        <w:r w:rsidR="00CE5240">
          <w:rPr>
            <w:webHidden/>
          </w:rPr>
          <w:tab/>
        </w:r>
        <w:r w:rsidR="00CE5240">
          <w:rPr>
            <w:webHidden/>
          </w:rPr>
          <w:fldChar w:fldCharType="begin"/>
        </w:r>
        <w:r w:rsidR="00CE5240">
          <w:rPr>
            <w:webHidden/>
          </w:rPr>
          <w:instrText xml:space="preserve"> PAGEREF _Toc29202092 \h </w:instrText>
        </w:r>
        <w:r w:rsidR="00CE5240">
          <w:rPr>
            <w:webHidden/>
          </w:rPr>
        </w:r>
        <w:r w:rsidR="00CE5240">
          <w:rPr>
            <w:webHidden/>
          </w:rPr>
          <w:fldChar w:fldCharType="separate"/>
        </w:r>
        <w:r w:rsidR="00D62AB5">
          <w:rPr>
            <w:webHidden/>
          </w:rPr>
          <w:t>4</w:t>
        </w:r>
        <w:r w:rsidR="00CE5240">
          <w:rPr>
            <w:webHidden/>
          </w:rPr>
          <w:fldChar w:fldCharType="end"/>
        </w:r>
      </w:hyperlink>
    </w:p>
    <w:p w14:paraId="797DFB51" w14:textId="1555D0D2" w:rsidR="00CE5240" w:rsidRDefault="00857833">
      <w:pPr>
        <w:pStyle w:val="TOC2"/>
        <w:rPr>
          <w:rFonts w:asciiTheme="minorHAnsi" w:eastAsiaTheme="minorEastAsia" w:hAnsiTheme="minorHAnsi" w:cstheme="minorBidi"/>
          <w:color w:val="auto"/>
          <w:sz w:val="22"/>
          <w:lang w:eastAsia="en-AU"/>
        </w:rPr>
      </w:pPr>
      <w:hyperlink w:anchor="_Toc29202093" w:history="1">
        <w:r w:rsidR="00CE5240" w:rsidRPr="00D335D8">
          <w:rPr>
            <w:rStyle w:val="Hyperlink"/>
            <w:snapToGrid w:val="0"/>
          </w:rPr>
          <w:t>6.4</w:t>
        </w:r>
        <w:r w:rsidR="00CE5240">
          <w:rPr>
            <w:rFonts w:asciiTheme="minorHAnsi" w:eastAsiaTheme="minorEastAsia" w:hAnsiTheme="minorHAnsi" w:cstheme="minorBidi"/>
            <w:color w:val="auto"/>
            <w:sz w:val="22"/>
            <w:lang w:eastAsia="en-AU"/>
          </w:rPr>
          <w:tab/>
        </w:r>
        <w:r w:rsidR="00CE5240" w:rsidRPr="00D335D8">
          <w:rPr>
            <w:rStyle w:val="Hyperlink"/>
            <w:snapToGrid w:val="0"/>
          </w:rPr>
          <w:t xml:space="preserve">Requirement for Occupier </w:t>
        </w:r>
        <w:r w:rsidR="00CE5240" w:rsidRPr="00D335D8">
          <w:rPr>
            <w:rStyle w:val="Hyperlink"/>
          </w:rPr>
          <w:t>application</w:t>
        </w:r>
        <w:r w:rsidR="00CE5240">
          <w:rPr>
            <w:webHidden/>
          </w:rPr>
          <w:tab/>
        </w:r>
        <w:r w:rsidR="00CE5240">
          <w:rPr>
            <w:webHidden/>
          </w:rPr>
          <w:fldChar w:fldCharType="begin"/>
        </w:r>
        <w:r w:rsidR="00CE5240">
          <w:rPr>
            <w:webHidden/>
          </w:rPr>
          <w:instrText xml:space="preserve"> PAGEREF _Toc29202093 \h </w:instrText>
        </w:r>
        <w:r w:rsidR="00CE5240">
          <w:rPr>
            <w:webHidden/>
          </w:rPr>
        </w:r>
        <w:r w:rsidR="00CE5240">
          <w:rPr>
            <w:webHidden/>
          </w:rPr>
          <w:fldChar w:fldCharType="separate"/>
        </w:r>
        <w:r w:rsidR="00D62AB5">
          <w:rPr>
            <w:webHidden/>
          </w:rPr>
          <w:t>5</w:t>
        </w:r>
        <w:r w:rsidR="00CE5240">
          <w:rPr>
            <w:webHidden/>
          </w:rPr>
          <w:fldChar w:fldCharType="end"/>
        </w:r>
      </w:hyperlink>
    </w:p>
    <w:p w14:paraId="711F40DE" w14:textId="1838C043" w:rsidR="00CE5240" w:rsidRDefault="00857833">
      <w:pPr>
        <w:pStyle w:val="TOC1"/>
        <w:rPr>
          <w:rFonts w:asciiTheme="minorHAnsi" w:eastAsiaTheme="minorEastAsia" w:hAnsiTheme="minorHAnsi" w:cstheme="minorBidi"/>
          <w:b w:val="0"/>
          <w:bCs w:val="0"/>
          <w:color w:val="auto"/>
          <w:sz w:val="22"/>
          <w:szCs w:val="22"/>
          <w:lang w:eastAsia="en-AU"/>
        </w:rPr>
      </w:pPr>
      <w:hyperlink w:anchor="_Toc29202094" w:history="1">
        <w:r w:rsidR="00CE5240" w:rsidRPr="00D335D8">
          <w:rPr>
            <w:rStyle w:val="Hyperlink"/>
          </w:rPr>
          <w:t>DICTIONARY</w:t>
        </w:r>
        <w:r w:rsidR="00CE5240">
          <w:rPr>
            <w:webHidden/>
          </w:rPr>
          <w:tab/>
        </w:r>
        <w:r w:rsidR="00CE5240">
          <w:rPr>
            <w:webHidden/>
          </w:rPr>
          <w:fldChar w:fldCharType="begin"/>
        </w:r>
        <w:r w:rsidR="00CE5240">
          <w:rPr>
            <w:webHidden/>
          </w:rPr>
          <w:instrText xml:space="preserve"> PAGEREF _Toc29202094 \h </w:instrText>
        </w:r>
        <w:r w:rsidR="00CE5240">
          <w:rPr>
            <w:webHidden/>
          </w:rPr>
        </w:r>
        <w:r w:rsidR="00CE5240">
          <w:rPr>
            <w:webHidden/>
          </w:rPr>
          <w:fldChar w:fldCharType="separate"/>
        </w:r>
        <w:r w:rsidR="00D62AB5">
          <w:rPr>
            <w:webHidden/>
          </w:rPr>
          <w:t>6</w:t>
        </w:r>
        <w:r w:rsidR="00CE5240">
          <w:rPr>
            <w:webHidden/>
          </w:rPr>
          <w:fldChar w:fldCharType="end"/>
        </w:r>
      </w:hyperlink>
    </w:p>
    <w:p w14:paraId="57087AF6" w14:textId="5434981D" w:rsidR="00CE5240" w:rsidRDefault="00857833">
      <w:pPr>
        <w:pStyle w:val="TOC1"/>
        <w:rPr>
          <w:rFonts w:asciiTheme="minorHAnsi" w:eastAsiaTheme="minorEastAsia" w:hAnsiTheme="minorHAnsi" w:cstheme="minorBidi"/>
          <w:b w:val="0"/>
          <w:bCs w:val="0"/>
          <w:color w:val="auto"/>
          <w:sz w:val="22"/>
          <w:szCs w:val="22"/>
          <w:lang w:eastAsia="en-AU"/>
        </w:rPr>
      </w:pPr>
      <w:hyperlink w:anchor="_Toc29202095" w:history="1">
        <w:r w:rsidR="00CE5240" w:rsidRPr="00D335D8">
          <w:rPr>
            <w:rStyle w:val="Hyperlink"/>
          </w:rPr>
          <w:t>Schedule 1: Dispute resolution procedure - Expert Resolution (non-National Electricity Rules disputes)</w:t>
        </w:r>
        <w:r w:rsidR="00CE5240">
          <w:rPr>
            <w:webHidden/>
          </w:rPr>
          <w:tab/>
        </w:r>
        <w:r w:rsidR="00CE5240">
          <w:rPr>
            <w:webHidden/>
          </w:rPr>
          <w:fldChar w:fldCharType="begin"/>
        </w:r>
        <w:r w:rsidR="00CE5240">
          <w:rPr>
            <w:webHidden/>
          </w:rPr>
          <w:instrText xml:space="preserve"> PAGEREF _Toc29202095 \h </w:instrText>
        </w:r>
        <w:r w:rsidR="00CE5240">
          <w:rPr>
            <w:webHidden/>
          </w:rPr>
        </w:r>
        <w:r w:rsidR="00CE5240">
          <w:rPr>
            <w:webHidden/>
          </w:rPr>
          <w:fldChar w:fldCharType="separate"/>
        </w:r>
        <w:r w:rsidR="00D62AB5">
          <w:rPr>
            <w:webHidden/>
          </w:rPr>
          <w:t>7</w:t>
        </w:r>
        <w:r w:rsidR="00CE5240">
          <w:rPr>
            <w:webHidden/>
          </w:rPr>
          <w:fldChar w:fldCharType="end"/>
        </w:r>
      </w:hyperlink>
    </w:p>
    <w:p w14:paraId="7B620203" w14:textId="00BC7F35" w:rsidR="00CE5240" w:rsidRDefault="00857833">
      <w:pPr>
        <w:pStyle w:val="TOC1"/>
        <w:rPr>
          <w:rFonts w:asciiTheme="minorHAnsi" w:eastAsiaTheme="minorEastAsia" w:hAnsiTheme="minorHAnsi" w:cstheme="minorBidi"/>
          <w:b w:val="0"/>
          <w:bCs w:val="0"/>
          <w:color w:val="auto"/>
          <w:sz w:val="22"/>
          <w:szCs w:val="22"/>
          <w:lang w:eastAsia="en-AU"/>
        </w:rPr>
      </w:pPr>
      <w:hyperlink w:anchor="_Toc29202096" w:history="1">
        <w:r w:rsidR="00CE5240" w:rsidRPr="00D335D8">
          <w:rPr>
            <w:rStyle w:val="Hyperlink"/>
          </w:rPr>
          <w:t>Schedule 2: Dispute resolution procedure - mediation (non-National Electricity Rules disputes)</w:t>
        </w:r>
        <w:r w:rsidR="00CE5240">
          <w:rPr>
            <w:webHidden/>
          </w:rPr>
          <w:tab/>
        </w:r>
        <w:r w:rsidR="00CE5240">
          <w:rPr>
            <w:webHidden/>
          </w:rPr>
          <w:fldChar w:fldCharType="begin"/>
        </w:r>
        <w:r w:rsidR="00CE5240">
          <w:rPr>
            <w:webHidden/>
          </w:rPr>
          <w:instrText xml:space="preserve"> PAGEREF _Toc29202096 \h </w:instrText>
        </w:r>
        <w:r w:rsidR="00CE5240">
          <w:rPr>
            <w:webHidden/>
          </w:rPr>
        </w:r>
        <w:r w:rsidR="00CE5240">
          <w:rPr>
            <w:webHidden/>
          </w:rPr>
          <w:fldChar w:fldCharType="separate"/>
        </w:r>
        <w:r w:rsidR="00D62AB5">
          <w:rPr>
            <w:webHidden/>
          </w:rPr>
          <w:t>9</w:t>
        </w:r>
        <w:r w:rsidR="00CE5240">
          <w:rPr>
            <w:webHidden/>
          </w:rPr>
          <w:fldChar w:fldCharType="end"/>
        </w:r>
      </w:hyperlink>
    </w:p>
    <w:p w14:paraId="79F41456" w14:textId="5A68D298" w:rsidR="00CE5240" w:rsidRDefault="00857833">
      <w:pPr>
        <w:pStyle w:val="TOC1"/>
        <w:rPr>
          <w:rFonts w:asciiTheme="minorHAnsi" w:eastAsiaTheme="minorEastAsia" w:hAnsiTheme="minorHAnsi" w:cstheme="minorBidi"/>
          <w:b w:val="0"/>
          <w:bCs w:val="0"/>
          <w:color w:val="auto"/>
          <w:sz w:val="22"/>
          <w:szCs w:val="22"/>
          <w:lang w:eastAsia="en-AU"/>
        </w:rPr>
      </w:pPr>
      <w:hyperlink w:anchor="_Toc29202097" w:history="1">
        <w:r w:rsidR="00CE5240" w:rsidRPr="00D335D8">
          <w:rPr>
            <w:rStyle w:val="Hyperlink"/>
          </w:rPr>
          <w:t xml:space="preserve">Schedule </w:t>
        </w:r>
        <w:r w:rsidR="00CE5240">
          <w:rPr>
            <w:rStyle w:val="Hyperlink"/>
          </w:rPr>
          <w:t>3</w:t>
        </w:r>
        <w:r w:rsidR="00CE5240" w:rsidRPr="00D335D8">
          <w:rPr>
            <w:rStyle w:val="Hyperlink"/>
          </w:rPr>
          <w:t>: Code amendment history</w:t>
        </w:r>
        <w:r w:rsidR="00CE5240">
          <w:rPr>
            <w:webHidden/>
          </w:rPr>
          <w:tab/>
        </w:r>
        <w:r w:rsidR="00CE5240">
          <w:rPr>
            <w:webHidden/>
          </w:rPr>
          <w:fldChar w:fldCharType="begin"/>
        </w:r>
        <w:r w:rsidR="00CE5240">
          <w:rPr>
            <w:webHidden/>
          </w:rPr>
          <w:instrText xml:space="preserve"> PAGEREF _Toc29202097 \h </w:instrText>
        </w:r>
        <w:r w:rsidR="00CE5240">
          <w:rPr>
            <w:webHidden/>
          </w:rPr>
        </w:r>
        <w:r w:rsidR="00CE5240">
          <w:rPr>
            <w:webHidden/>
          </w:rPr>
          <w:fldChar w:fldCharType="separate"/>
        </w:r>
        <w:r w:rsidR="00D62AB5">
          <w:rPr>
            <w:webHidden/>
          </w:rPr>
          <w:t>10</w:t>
        </w:r>
        <w:r w:rsidR="00CE5240">
          <w:rPr>
            <w:webHidden/>
          </w:rPr>
          <w:fldChar w:fldCharType="end"/>
        </w:r>
      </w:hyperlink>
    </w:p>
    <w:p w14:paraId="23BD3323" w14:textId="77777777" w:rsidR="00B457BA" w:rsidRPr="00917B9D" w:rsidRDefault="00B457BA" w:rsidP="00F61457">
      <w:r w:rsidRPr="00917B9D">
        <w:rPr>
          <w:snapToGrid w:val="0"/>
        </w:rPr>
        <w:fldChar w:fldCharType="end"/>
      </w:r>
    </w:p>
    <w:p w14:paraId="2C5F7DFD" w14:textId="77777777" w:rsidR="00B457BA" w:rsidRPr="00917B9D" w:rsidRDefault="00B457BA" w:rsidP="00F61457">
      <w:pPr>
        <w:sectPr w:rsidR="00B457BA" w:rsidRPr="00917B9D">
          <w:headerReference w:type="even" r:id="rId19"/>
          <w:headerReference w:type="default" r:id="rId20"/>
          <w:footerReference w:type="default" r:id="rId21"/>
          <w:headerReference w:type="first" r:id="rId22"/>
          <w:type w:val="oddPage"/>
          <w:pgSz w:w="11909" w:h="16834" w:code="9"/>
          <w:pgMar w:top="1440" w:right="1440" w:bottom="1440" w:left="1872" w:header="576" w:footer="576" w:gutter="0"/>
          <w:pgNumType w:fmt="lowerRoman"/>
          <w:cols w:space="720"/>
        </w:sectPr>
      </w:pPr>
    </w:p>
    <w:p w14:paraId="66711632" w14:textId="77777777" w:rsidR="00B457BA" w:rsidRPr="00917B9D" w:rsidRDefault="00B457BA" w:rsidP="00F61457">
      <w:pPr>
        <w:pStyle w:val="Heading1"/>
      </w:pPr>
      <w:bookmarkStart w:id="3" w:name="_Toc29202069"/>
      <w:bookmarkStart w:id="4" w:name="_Toc220383506"/>
      <w:r w:rsidRPr="00917B9D">
        <w:lastRenderedPageBreak/>
        <w:t>1.</w:t>
      </w:r>
      <w:r w:rsidRPr="00917B9D">
        <w:tab/>
        <w:t>INTRODUCTION</w:t>
      </w:r>
      <w:bookmarkEnd w:id="3"/>
    </w:p>
    <w:p w14:paraId="1B6D5A5A" w14:textId="77777777" w:rsidR="00B457BA" w:rsidRPr="00917B9D" w:rsidRDefault="00B457BA" w:rsidP="00F61457">
      <w:pPr>
        <w:pStyle w:val="Heading2"/>
      </w:pPr>
      <w:bookmarkStart w:id="5" w:name="_Toc29202070"/>
      <w:r w:rsidRPr="00917B9D">
        <w:t>1.1</w:t>
      </w:r>
      <w:r w:rsidRPr="00917B9D">
        <w:tab/>
        <w:t>Industry codes</w:t>
      </w:r>
      <w:bookmarkEnd w:id="5"/>
    </w:p>
    <w:p w14:paraId="4D2FEE89" w14:textId="77777777" w:rsidR="00B457BA" w:rsidRPr="00917B9D" w:rsidRDefault="00B457BA" w:rsidP="00F61457">
      <w:pPr>
        <w:rPr>
          <w:snapToGrid w:val="0"/>
        </w:rPr>
      </w:pPr>
      <w:r w:rsidRPr="00917B9D">
        <w:rPr>
          <w:snapToGrid w:val="0"/>
        </w:rPr>
        <w:t xml:space="preserve">The Electricity Feed-in Code is an industry code under Part 4 of the </w:t>
      </w:r>
      <w:r w:rsidRPr="00917B9D">
        <w:rPr>
          <w:i/>
          <w:snapToGrid w:val="0"/>
        </w:rPr>
        <w:t>Utilities Act 2000</w:t>
      </w:r>
      <w:r w:rsidRPr="00917B9D">
        <w:rPr>
          <w:snapToGrid w:val="0"/>
        </w:rPr>
        <w:t xml:space="preserve"> (the </w:t>
      </w:r>
      <w:r w:rsidRPr="00917B9D">
        <w:rPr>
          <w:b/>
          <w:snapToGrid w:val="0"/>
        </w:rPr>
        <w:t>Utilities Act</w:t>
      </w:r>
      <w:r w:rsidRPr="00917B9D">
        <w:rPr>
          <w:snapToGrid w:val="0"/>
        </w:rPr>
        <w:t>) that has been determined by the Independent Competition and Regulatory Commission (the</w:t>
      </w:r>
      <w:r w:rsidRPr="00917B9D">
        <w:rPr>
          <w:b/>
          <w:snapToGrid w:val="0"/>
        </w:rPr>
        <w:t xml:space="preserve"> Commission</w:t>
      </w:r>
      <w:r w:rsidRPr="00917B9D">
        <w:rPr>
          <w:snapToGrid w:val="0"/>
        </w:rPr>
        <w:t xml:space="preserve">). </w:t>
      </w:r>
    </w:p>
    <w:p w14:paraId="42DECE51" w14:textId="77777777" w:rsidR="00B457BA" w:rsidRPr="00917B9D" w:rsidRDefault="00B457BA" w:rsidP="00F61457">
      <w:pPr>
        <w:rPr>
          <w:snapToGrid w:val="0"/>
        </w:rPr>
      </w:pPr>
      <w:r w:rsidRPr="00917B9D">
        <w:rPr>
          <w:snapToGrid w:val="0"/>
        </w:rPr>
        <w:t xml:space="preserve">Section 55(1) of the </w:t>
      </w:r>
      <w:r w:rsidRPr="00917B9D">
        <w:rPr>
          <w:b/>
          <w:snapToGrid w:val="0"/>
        </w:rPr>
        <w:t>Utilities Act</w:t>
      </w:r>
      <w:r w:rsidRPr="00917B9D">
        <w:rPr>
          <w:snapToGrid w:val="0"/>
        </w:rPr>
        <w:t xml:space="preserve"> provides that ‘an industry code may set out practices, standards and other matters about the provision of a utility service’. </w:t>
      </w:r>
    </w:p>
    <w:p w14:paraId="789DDD61" w14:textId="77777777" w:rsidR="00B457BA" w:rsidRPr="00917B9D" w:rsidRDefault="00B457BA" w:rsidP="00F61457">
      <w:pPr>
        <w:rPr>
          <w:snapToGrid w:val="0"/>
        </w:rPr>
      </w:pPr>
      <w:r w:rsidRPr="00917B9D">
        <w:rPr>
          <w:snapToGrid w:val="0"/>
        </w:rPr>
        <w:t xml:space="preserve">Section 56(1) of the </w:t>
      </w:r>
      <w:r w:rsidRPr="00917B9D">
        <w:rPr>
          <w:b/>
          <w:snapToGrid w:val="0"/>
        </w:rPr>
        <w:t>Utilities Act</w:t>
      </w:r>
      <w:r w:rsidRPr="00917B9D">
        <w:rPr>
          <w:snapToGrid w:val="0"/>
        </w:rPr>
        <w:t xml:space="preserve"> states that ‘for this Act, an industry code applies to a utility if it applies to the provision of utility services of a kind that the utility is licensed to provide.’ </w:t>
      </w:r>
    </w:p>
    <w:p w14:paraId="5B42B7EA" w14:textId="77777777" w:rsidR="00B457BA" w:rsidRPr="00917B9D" w:rsidRDefault="00B457BA" w:rsidP="00837206">
      <w:pPr>
        <w:rPr>
          <w:snapToGrid w:val="0"/>
        </w:rPr>
      </w:pPr>
      <w:r w:rsidRPr="00917B9D">
        <w:rPr>
          <w:snapToGrid w:val="0"/>
        </w:rPr>
        <w:t xml:space="preserve">The circumstances under which the Commission may determine an industry code and the processes to be followed are detailed in sections 59 and 60 of the </w:t>
      </w:r>
      <w:r w:rsidRPr="00917B9D">
        <w:rPr>
          <w:b/>
          <w:snapToGrid w:val="0"/>
        </w:rPr>
        <w:t>Utilities Act</w:t>
      </w:r>
      <w:r w:rsidRPr="00917B9D">
        <w:rPr>
          <w:snapToGrid w:val="0"/>
        </w:rPr>
        <w:t>.</w:t>
      </w:r>
    </w:p>
    <w:p w14:paraId="29967895" w14:textId="77777777" w:rsidR="00B457BA" w:rsidRPr="00917B9D" w:rsidRDefault="00B457BA" w:rsidP="00F61457">
      <w:pPr>
        <w:pStyle w:val="Heading2"/>
      </w:pPr>
      <w:bookmarkStart w:id="6" w:name="_Toc29202071"/>
      <w:r w:rsidRPr="00917B9D">
        <w:t>1.2</w:t>
      </w:r>
      <w:r w:rsidRPr="00917B9D">
        <w:tab/>
        <w:t xml:space="preserve">Utility </w:t>
      </w:r>
      <w:r w:rsidR="008A3667">
        <w:t xml:space="preserve">/ NERL retailers </w:t>
      </w:r>
      <w:r w:rsidRPr="00917B9D">
        <w:t>to comply with industry codes</w:t>
      </w:r>
      <w:bookmarkEnd w:id="6"/>
    </w:p>
    <w:p w14:paraId="0C9CA72D" w14:textId="77777777" w:rsidR="00B457BA" w:rsidRPr="00917B9D" w:rsidRDefault="00B457BA" w:rsidP="00F61457">
      <w:pPr>
        <w:rPr>
          <w:snapToGrid w:val="0"/>
        </w:rPr>
      </w:pPr>
      <w:r w:rsidRPr="00917B9D">
        <w:rPr>
          <w:snapToGrid w:val="0"/>
        </w:rPr>
        <w:t xml:space="preserve">The </w:t>
      </w:r>
      <w:r w:rsidRPr="00917B9D">
        <w:rPr>
          <w:b/>
          <w:snapToGrid w:val="0"/>
        </w:rPr>
        <w:t>Utilities Act</w:t>
      </w:r>
      <w:r w:rsidRPr="00917B9D">
        <w:rPr>
          <w:snapToGrid w:val="0"/>
        </w:rPr>
        <w:t xml:space="preserve"> provides, in section 25(2)(iii) that a utility licence is subject to the condition that the utility comply with each industry code that applies to the utility. </w:t>
      </w:r>
    </w:p>
    <w:p w14:paraId="70C621EA" w14:textId="77777777" w:rsidR="008A3667" w:rsidRPr="00917B9D" w:rsidRDefault="008A3667" w:rsidP="008A3667">
      <w:pPr>
        <w:rPr>
          <w:snapToGrid w:val="0"/>
        </w:rPr>
      </w:pPr>
      <w:r>
        <w:rPr>
          <w:snapToGrid w:val="0"/>
        </w:rPr>
        <w:t>S</w:t>
      </w:r>
      <w:r w:rsidRPr="00917B9D">
        <w:rPr>
          <w:snapToGrid w:val="0"/>
        </w:rPr>
        <w:t xml:space="preserve">ection 56A </w:t>
      </w:r>
      <w:r>
        <w:rPr>
          <w:snapToGrid w:val="0"/>
        </w:rPr>
        <w:t xml:space="preserve">of the </w:t>
      </w:r>
      <w:r w:rsidRPr="00BF3C6F">
        <w:rPr>
          <w:b/>
          <w:snapToGrid w:val="0"/>
        </w:rPr>
        <w:t>Utilities</w:t>
      </w:r>
      <w:r>
        <w:rPr>
          <w:snapToGrid w:val="0"/>
        </w:rPr>
        <w:t xml:space="preserve"> </w:t>
      </w:r>
      <w:r w:rsidRPr="00BF3C6F">
        <w:rPr>
          <w:b/>
          <w:snapToGrid w:val="0"/>
        </w:rPr>
        <w:t>Act</w:t>
      </w:r>
      <w:r>
        <w:rPr>
          <w:snapToGrid w:val="0"/>
        </w:rPr>
        <w:t xml:space="preserve"> </w:t>
      </w:r>
      <w:r w:rsidRPr="00917B9D">
        <w:rPr>
          <w:snapToGrid w:val="0"/>
        </w:rPr>
        <w:t xml:space="preserve">allows the </w:t>
      </w:r>
      <w:r w:rsidRPr="00917B9D">
        <w:rPr>
          <w:b/>
          <w:snapToGrid w:val="0"/>
        </w:rPr>
        <w:t>Commission</w:t>
      </w:r>
      <w:r w:rsidRPr="00917B9D">
        <w:rPr>
          <w:snapToGrid w:val="0"/>
        </w:rPr>
        <w:t xml:space="preserve"> to determine that an industry code applies to a </w:t>
      </w:r>
      <w:r w:rsidRPr="00917B9D">
        <w:rPr>
          <w:b/>
          <w:snapToGrid w:val="0"/>
        </w:rPr>
        <w:t>NERL retailer</w:t>
      </w:r>
      <w:r w:rsidRPr="00917B9D">
        <w:rPr>
          <w:snapToGrid w:val="0"/>
        </w:rPr>
        <w:t xml:space="preserve"> if the </w:t>
      </w:r>
      <w:r w:rsidRPr="00917B9D">
        <w:rPr>
          <w:b/>
          <w:snapToGrid w:val="0"/>
        </w:rPr>
        <w:t>Commission</w:t>
      </w:r>
      <w:r w:rsidRPr="00917B9D">
        <w:rPr>
          <w:snapToGrid w:val="0"/>
        </w:rPr>
        <w:t xml:space="preserve"> is satisfied on reasonable grounds that it is appropriate for the code to apply to the retailer.</w:t>
      </w:r>
    </w:p>
    <w:p w14:paraId="7C101387" w14:textId="77777777" w:rsidR="008A3667" w:rsidRPr="00917B9D" w:rsidRDefault="008A3667" w:rsidP="008A3667">
      <w:pPr>
        <w:rPr>
          <w:snapToGrid w:val="0"/>
        </w:rPr>
      </w:pPr>
      <w:r w:rsidRPr="00917B9D">
        <w:rPr>
          <w:snapToGrid w:val="0"/>
        </w:rPr>
        <w:t xml:space="preserve">The </w:t>
      </w:r>
      <w:r w:rsidRPr="00917B9D">
        <w:rPr>
          <w:b/>
          <w:snapToGrid w:val="0"/>
        </w:rPr>
        <w:t>Commission</w:t>
      </w:r>
      <w:r w:rsidRPr="00917B9D">
        <w:rPr>
          <w:snapToGrid w:val="0"/>
        </w:rPr>
        <w:t xml:space="preserve"> has determined that the </w:t>
      </w:r>
      <w:r w:rsidRPr="00917B9D">
        <w:t xml:space="preserve">Electricity Feed-in Code applies to </w:t>
      </w:r>
      <w:r w:rsidRPr="00917B9D">
        <w:rPr>
          <w:b/>
          <w:snapToGrid w:val="0"/>
        </w:rPr>
        <w:t>NERL retailers</w:t>
      </w:r>
      <w:r w:rsidRPr="00917B9D">
        <w:rPr>
          <w:snapToGrid w:val="0"/>
        </w:rPr>
        <w:t xml:space="preserve"> authorised to supply electricity.</w:t>
      </w:r>
    </w:p>
    <w:p w14:paraId="0FCA1643" w14:textId="77777777" w:rsidR="00B457BA" w:rsidRPr="00917B9D" w:rsidRDefault="00B457BA" w:rsidP="00F61457">
      <w:pPr>
        <w:rPr>
          <w:snapToGrid w:val="0"/>
        </w:rPr>
      </w:pPr>
      <w:r w:rsidRPr="00917B9D">
        <w:rPr>
          <w:snapToGrid w:val="0"/>
        </w:rPr>
        <w:t xml:space="preserve">The </w:t>
      </w:r>
      <w:r w:rsidRPr="00917B9D">
        <w:rPr>
          <w:b/>
          <w:snapToGrid w:val="0"/>
        </w:rPr>
        <w:t>Utilities Act</w:t>
      </w:r>
      <w:r w:rsidRPr="00917B9D">
        <w:rPr>
          <w:snapToGrid w:val="0"/>
        </w:rPr>
        <w:t xml:space="preserve"> provides, in section 75</w:t>
      </w:r>
      <w:r w:rsidR="00556FBD">
        <w:rPr>
          <w:snapToGrid w:val="0"/>
        </w:rPr>
        <w:t>H</w:t>
      </w:r>
      <w:r w:rsidRPr="00917B9D">
        <w:rPr>
          <w:snapToGrid w:val="0"/>
        </w:rPr>
        <w:t xml:space="preserve">(1)(a) that a </w:t>
      </w:r>
      <w:r w:rsidRPr="00917B9D">
        <w:rPr>
          <w:b/>
          <w:snapToGrid w:val="0"/>
        </w:rPr>
        <w:t>NERL retailer</w:t>
      </w:r>
      <w:r w:rsidRPr="00917B9D">
        <w:rPr>
          <w:snapToGrid w:val="0"/>
        </w:rPr>
        <w:t xml:space="preserve"> commits an offence if the retailer contravenes an industry code that applies to the retailer.</w:t>
      </w:r>
    </w:p>
    <w:p w14:paraId="56C4B153" w14:textId="77777777" w:rsidR="00B457BA" w:rsidRPr="00917B9D" w:rsidRDefault="00B457BA" w:rsidP="00F61457">
      <w:pPr>
        <w:pStyle w:val="Heading2"/>
      </w:pPr>
      <w:bookmarkStart w:id="7" w:name="_Toc29202072"/>
      <w:r w:rsidRPr="00917B9D">
        <w:t>1.3</w:t>
      </w:r>
      <w:r w:rsidRPr="00917B9D">
        <w:tab/>
        <w:t>Effect of inconsistency of industry codes</w:t>
      </w:r>
      <w:bookmarkEnd w:id="7"/>
      <w:r w:rsidRPr="00917B9D">
        <w:t xml:space="preserve"> </w:t>
      </w:r>
    </w:p>
    <w:p w14:paraId="52D3A4B4" w14:textId="77777777" w:rsidR="00B457BA" w:rsidRPr="00917B9D" w:rsidRDefault="00B457BA" w:rsidP="00F61457">
      <w:pPr>
        <w:rPr>
          <w:snapToGrid w:val="0"/>
        </w:rPr>
      </w:pPr>
      <w:r w:rsidRPr="00917B9D">
        <w:rPr>
          <w:snapToGrid w:val="0"/>
        </w:rPr>
        <w:t xml:space="preserve">Under section 56(3) of the </w:t>
      </w:r>
      <w:r w:rsidRPr="00917B9D">
        <w:rPr>
          <w:b/>
          <w:snapToGrid w:val="0"/>
        </w:rPr>
        <w:t xml:space="preserve">Utilities Act, </w:t>
      </w:r>
      <w:r w:rsidRPr="00917B9D">
        <w:rPr>
          <w:snapToGrid w:val="0"/>
        </w:rPr>
        <w:t>‘an industry code has no effect to the extent of any inconsistency with this Act, a related law or a technical code’.</w:t>
      </w:r>
    </w:p>
    <w:p w14:paraId="1C626848" w14:textId="77777777" w:rsidR="00B457BA" w:rsidRPr="00917B9D" w:rsidRDefault="00B457BA" w:rsidP="00F61457">
      <w:pPr>
        <w:pStyle w:val="Heading2"/>
      </w:pPr>
      <w:bookmarkStart w:id="8" w:name="_Toc29202073"/>
      <w:r w:rsidRPr="00917B9D">
        <w:t>1.4</w:t>
      </w:r>
      <w:r w:rsidRPr="00917B9D">
        <w:tab/>
        <w:t>Electricity Feed-in Scheme</w:t>
      </w:r>
      <w:bookmarkEnd w:id="8"/>
    </w:p>
    <w:p w14:paraId="0647524C" w14:textId="77777777" w:rsidR="00B457BA" w:rsidRPr="00917B9D" w:rsidRDefault="00B457BA" w:rsidP="00F61457">
      <w:pPr>
        <w:rPr>
          <w:snapToGrid w:val="0"/>
        </w:rPr>
      </w:pPr>
      <w:r w:rsidRPr="00917B9D">
        <w:rPr>
          <w:snapToGrid w:val="0"/>
        </w:rPr>
        <w:t xml:space="preserve">A scheme (the </w:t>
      </w:r>
      <w:r w:rsidRPr="00917B9D">
        <w:rPr>
          <w:b/>
          <w:snapToGrid w:val="0"/>
        </w:rPr>
        <w:t>Electricity Feed-in Scheme</w:t>
      </w:r>
      <w:r w:rsidRPr="00917B9D">
        <w:rPr>
          <w:snapToGrid w:val="0"/>
        </w:rPr>
        <w:t xml:space="preserve">) for feed-in from renewable energy generators to the electricity network is established under the </w:t>
      </w:r>
      <w:r w:rsidRPr="00917B9D">
        <w:rPr>
          <w:i/>
          <w:snapToGrid w:val="0"/>
        </w:rPr>
        <w:t xml:space="preserve">Electricity Feed-in (Renewable Energy Premium) Act 2008 </w:t>
      </w:r>
      <w:r w:rsidRPr="00917B9D">
        <w:rPr>
          <w:snapToGrid w:val="0"/>
        </w:rPr>
        <w:t xml:space="preserve">(the </w:t>
      </w:r>
      <w:r w:rsidRPr="00917B9D">
        <w:rPr>
          <w:b/>
          <w:snapToGrid w:val="0"/>
        </w:rPr>
        <w:t>Electricity Feed-in Act</w:t>
      </w:r>
      <w:r w:rsidRPr="00917B9D">
        <w:rPr>
          <w:snapToGrid w:val="0"/>
        </w:rPr>
        <w:t xml:space="preserve">). </w:t>
      </w:r>
    </w:p>
    <w:p w14:paraId="792CF3AA" w14:textId="77777777" w:rsidR="00B457BA" w:rsidRPr="00917B9D" w:rsidRDefault="00B457BA" w:rsidP="00556FBD">
      <w:pPr>
        <w:rPr>
          <w:snapToGrid w:val="0"/>
        </w:rPr>
      </w:pPr>
      <w:r w:rsidRPr="00917B9D">
        <w:rPr>
          <w:snapToGrid w:val="0"/>
        </w:rPr>
        <w:t xml:space="preserve">The </w:t>
      </w:r>
      <w:r w:rsidRPr="00917B9D">
        <w:rPr>
          <w:b/>
          <w:snapToGrid w:val="0"/>
        </w:rPr>
        <w:t xml:space="preserve">Electricity Feed-in Act </w:t>
      </w:r>
      <w:r w:rsidRPr="00917B9D">
        <w:rPr>
          <w:snapToGrid w:val="0"/>
        </w:rPr>
        <w:t xml:space="preserve">provides in section 6(2) for a range of actions required of </w:t>
      </w:r>
      <w:r w:rsidR="00837206" w:rsidRPr="00837206">
        <w:rPr>
          <w:b/>
          <w:snapToGrid w:val="0"/>
        </w:rPr>
        <w:t>Electricity distributor</w:t>
      </w:r>
      <w:r w:rsidR="007D482D" w:rsidRPr="007D482D">
        <w:rPr>
          <w:b/>
          <w:snapToGrid w:val="0"/>
        </w:rPr>
        <w:t>s</w:t>
      </w:r>
      <w:r w:rsidRPr="00917B9D">
        <w:rPr>
          <w:snapToGrid w:val="0"/>
        </w:rPr>
        <w:t xml:space="preserve">, including connecting a renewable generator to the distributor’s network (the </w:t>
      </w:r>
      <w:r w:rsidRPr="00917B9D">
        <w:rPr>
          <w:b/>
          <w:snapToGrid w:val="0"/>
        </w:rPr>
        <w:t>distributor actions</w:t>
      </w:r>
      <w:r w:rsidRPr="00917B9D">
        <w:rPr>
          <w:snapToGrid w:val="0"/>
        </w:rPr>
        <w:t xml:space="preserve">) and in section 6(3) for actions required of a </w:t>
      </w:r>
      <w:r w:rsidRPr="00917B9D">
        <w:rPr>
          <w:b/>
          <w:snapToGrid w:val="0"/>
        </w:rPr>
        <w:t>NERL retailer</w:t>
      </w:r>
      <w:r w:rsidRPr="00917B9D">
        <w:rPr>
          <w:snapToGrid w:val="0"/>
        </w:rPr>
        <w:t xml:space="preserve"> (the </w:t>
      </w:r>
      <w:r w:rsidRPr="00917B9D">
        <w:rPr>
          <w:b/>
          <w:snapToGrid w:val="0"/>
        </w:rPr>
        <w:t>supplier actions</w:t>
      </w:r>
      <w:r w:rsidRPr="00917B9D">
        <w:rPr>
          <w:snapToGrid w:val="0"/>
        </w:rPr>
        <w:t xml:space="preserve">). Section 7 of the </w:t>
      </w:r>
      <w:r w:rsidRPr="00917B9D">
        <w:rPr>
          <w:b/>
          <w:snapToGrid w:val="0"/>
        </w:rPr>
        <w:t>Electricity Feed-in Act</w:t>
      </w:r>
      <w:r w:rsidRPr="00917B9D">
        <w:rPr>
          <w:snapToGrid w:val="0"/>
        </w:rPr>
        <w:t xml:space="preserve"> provides that the </w:t>
      </w:r>
      <w:r w:rsidRPr="00917B9D">
        <w:rPr>
          <w:b/>
          <w:snapToGrid w:val="0"/>
        </w:rPr>
        <w:t xml:space="preserve">distributor actions </w:t>
      </w:r>
      <w:r w:rsidR="007D482D" w:rsidRPr="007D482D">
        <w:rPr>
          <w:snapToGrid w:val="0"/>
        </w:rPr>
        <w:t>are</w:t>
      </w:r>
      <w:r w:rsidRPr="00FC2D96">
        <w:rPr>
          <w:snapToGrid w:val="0"/>
        </w:rPr>
        <w:t xml:space="preserve"> </w:t>
      </w:r>
      <w:r w:rsidRPr="00917B9D">
        <w:rPr>
          <w:snapToGrid w:val="0"/>
        </w:rPr>
        <w:t xml:space="preserve">a utility service. </w:t>
      </w:r>
    </w:p>
    <w:p w14:paraId="4C8CBA97" w14:textId="77777777" w:rsidR="00B457BA" w:rsidRPr="00917B9D" w:rsidRDefault="00B457BA" w:rsidP="007F697D">
      <w:pPr>
        <w:pStyle w:val="Heading1"/>
      </w:pPr>
      <w:bookmarkStart w:id="9" w:name="_Toc29202074"/>
      <w:r w:rsidRPr="00917B9D">
        <w:lastRenderedPageBreak/>
        <w:t>2.</w:t>
      </w:r>
      <w:r w:rsidRPr="00917B9D">
        <w:tab/>
        <w:t xml:space="preserve">PURPOSE AND </w:t>
      </w:r>
      <w:bookmarkStart w:id="10" w:name="_Toc530068753"/>
      <w:r w:rsidRPr="00917B9D">
        <w:t>APPLICATI</w:t>
      </w:r>
      <w:bookmarkEnd w:id="10"/>
      <w:r w:rsidRPr="00917B9D">
        <w:t>ON OF THIS CODE</w:t>
      </w:r>
      <w:bookmarkEnd w:id="9"/>
    </w:p>
    <w:p w14:paraId="4DDF1A2E" w14:textId="77777777" w:rsidR="00B457BA" w:rsidRPr="00917B9D" w:rsidRDefault="00B457BA" w:rsidP="007F697D">
      <w:pPr>
        <w:pStyle w:val="Heading2"/>
        <w:rPr>
          <w:snapToGrid w:val="0"/>
        </w:rPr>
      </w:pPr>
      <w:bookmarkStart w:id="11" w:name="_Toc29202075"/>
      <w:r w:rsidRPr="00917B9D">
        <w:t>2.1</w:t>
      </w:r>
      <w:r w:rsidRPr="00917B9D">
        <w:tab/>
        <w:t>Purpose</w:t>
      </w:r>
      <w:bookmarkEnd w:id="11"/>
    </w:p>
    <w:p w14:paraId="02FC4310" w14:textId="77777777" w:rsidR="00B457BA" w:rsidRPr="00917B9D" w:rsidRDefault="00B457BA" w:rsidP="007F697D">
      <w:pPr>
        <w:rPr>
          <w:snapToGrid w:val="0"/>
        </w:rPr>
      </w:pPr>
      <w:r w:rsidRPr="00917B9D">
        <w:rPr>
          <w:snapToGrid w:val="0"/>
        </w:rPr>
        <w:t xml:space="preserve">The purpose of this Code is to set out practices and standards for the operation of the scheme for feed-in from renewable energy generators to the electricity network established under the </w:t>
      </w:r>
      <w:r w:rsidRPr="00917B9D">
        <w:rPr>
          <w:b/>
          <w:snapToGrid w:val="0"/>
        </w:rPr>
        <w:t>Electricity Feed-in Act</w:t>
      </w:r>
      <w:r w:rsidRPr="00917B9D">
        <w:rPr>
          <w:snapToGrid w:val="0"/>
        </w:rPr>
        <w:t xml:space="preserve">.  </w:t>
      </w:r>
    </w:p>
    <w:p w14:paraId="22A562F4" w14:textId="77777777" w:rsidR="00B457BA" w:rsidRPr="00917B9D" w:rsidRDefault="00B457BA" w:rsidP="007F697D">
      <w:pPr>
        <w:pStyle w:val="Heading2"/>
        <w:rPr>
          <w:snapToGrid w:val="0"/>
        </w:rPr>
      </w:pPr>
      <w:bookmarkStart w:id="12" w:name="_Toc530068756"/>
      <w:bookmarkStart w:id="13" w:name="_Toc29202076"/>
      <w:bookmarkStart w:id="14" w:name="_Toc530068754"/>
      <w:r w:rsidRPr="00917B9D">
        <w:t>2.2</w:t>
      </w:r>
      <w:r w:rsidRPr="00917B9D">
        <w:tab/>
        <w:t>Application</w:t>
      </w:r>
      <w:bookmarkEnd w:id="12"/>
      <w:bookmarkEnd w:id="13"/>
    </w:p>
    <w:bookmarkEnd w:id="14"/>
    <w:p w14:paraId="3DD1EF94" w14:textId="77777777" w:rsidR="00B457BA" w:rsidRPr="00917B9D" w:rsidRDefault="00B457BA" w:rsidP="007F697D">
      <w:r w:rsidRPr="00917B9D">
        <w:t>This Code applies to:</w:t>
      </w:r>
    </w:p>
    <w:p w14:paraId="39E0CF71" w14:textId="77777777" w:rsidR="00B457BA" w:rsidRPr="00917B9D" w:rsidRDefault="00837206" w:rsidP="007F697D">
      <w:pPr>
        <w:numPr>
          <w:ilvl w:val="0"/>
          <w:numId w:val="7"/>
        </w:numPr>
        <w:tabs>
          <w:tab w:val="clear" w:pos="360"/>
        </w:tabs>
        <w:ind w:left="1418" w:hanging="709"/>
        <w:rPr>
          <w:rFonts w:cs="Arial"/>
          <w:snapToGrid w:val="0"/>
        </w:rPr>
      </w:pPr>
      <w:r w:rsidRPr="00837206">
        <w:rPr>
          <w:rFonts w:cs="Arial"/>
          <w:b/>
          <w:bCs/>
          <w:snapToGrid w:val="0"/>
        </w:rPr>
        <w:t>Electricity distributor</w:t>
      </w:r>
      <w:r w:rsidR="00B457BA" w:rsidRPr="00917B9D">
        <w:rPr>
          <w:rFonts w:cs="Arial"/>
          <w:b/>
          <w:bCs/>
          <w:snapToGrid w:val="0"/>
        </w:rPr>
        <w:t>s</w:t>
      </w:r>
    </w:p>
    <w:p w14:paraId="0082F141" w14:textId="77777777" w:rsidR="00B457BA" w:rsidRPr="00917B9D" w:rsidRDefault="00B457BA" w:rsidP="007F697D">
      <w:pPr>
        <w:numPr>
          <w:ilvl w:val="0"/>
          <w:numId w:val="7"/>
        </w:numPr>
        <w:tabs>
          <w:tab w:val="clear" w:pos="360"/>
        </w:tabs>
        <w:spacing w:after="60"/>
        <w:ind w:left="720" w:firstLine="0"/>
        <w:rPr>
          <w:rFonts w:cs="Arial"/>
          <w:snapToGrid w:val="0"/>
        </w:rPr>
      </w:pPr>
      <w:r w:rsidRPr="00917B9D">
        <w:rPr>
          <w:rFonts w:cs="Arial"/>
          <w:b/>
          <w:bCs/>
          <w:snapToGrid w:val="0"/>
        </w:rPr>
        <w:t>NERL retailers</w:t>
      </w:r>
      <w:r w:rsidRPr="00917B9D">
        <w:rPr>
          <w:rFonts w:cs="Arial"/>
          <w:snapToGrid w:val="0"/>
        </w:rPr>
        <w:t>.</w:t>
      </w:r>
    </w:p>
    <w:p w14:paraId="3A6DFDDD" w14:textId="77777777" w:rsidR="00B457BA" w:rsidRPr="00917B9D" w:rsidRDefault="00B457BA" w:rsidP="007F697D">
      <w:pPr>
        <w:pStyle w:val="Heading2"/>
        <w:rPr>
          <w:snapToGrid w:val="0"/>
        </w:rPr>
      </w:pPr>
      <w:bookmarkStart w:id="15" w:name="_Toc29202077"/>
      <w:bookmarkStart w:id="16" w:name="_Toc530068758"/>
      <w:r w:rsidRPr="00917B9D">
        <w:rPr>
          <w:snapToGrid w:val="0"/>
        </w:rPr>
        <w:t>2.3</w:t>
      </w:r>
      <w:r w:rsidRPr="00917B9D">
        <w:rPr>
          <w:snapToGrid w:val="0"/>
        </w:rPr>
        <w:tab/>
        <w:t xml:space="preserve">Other applicable </w:t>
      </w:r>
      <w:r w:rsidRPr="00917B9D">
        <w:t>laws</w:t>
      </w:r>
      <w:bookmarkEnd w:id="15"/>
      <w:r w:rsidRPr="00917B9D">
        <w:rPr>
          <w:snapToGrid w:val="0"/>
        </w:rPr>
        <w:t xml:space="preserve"> </w:t>
      </w:r>
      <w:bookmarkEnd w:id="16"/>
    </w:p>
    <w:p w14:paraId="28B0EA6B" w14:textId="77777777" w:rsidR="00B457BA" w:rsidRPr="00917B9D" w:rsidRDefault="00B457BA" w:rsidP="007F697D">
      <w:pPr>
        <w:rPr>
          <w:snapToGrid w:val="0"/>
        </w:rPr>
      </w:pPr>
      <w:r w:rsidRPr="00917B9D">
        <w:rPr>
          <w:snapToGrid w:val="0"/>
        </w:rPr>
        <w:t xml:space="preserve">This Code is in addition to, and does not limit, the rights and obligations of </w:t>
      </w:r>
      <w:r w:rsidR="00837206" w:rsidRPr="00837206">
        <w:rPr>
          <w:b/>
          <w:bCs/>
          <w:snapToGrid w:val="0"/>
        </w:rPr>
        <w:t>Electricity distributor</w:t>
      </w:r>
      <w:r w:rsidRPr="00917B9D">
        <w:rPr>
          <w:b/>
          <w:bCs/>
          <w:snapToGrid w:val="0"/>
        </w:rPr>
        <w:t>s</w:t>
      </w:r>
      <w:r w:rsidRPr="00917B9D">
        <w:rPr>
          <w:snapToGrid w:val="0"/>
        </w:rPr>
        <w:t xml:space="preserve"> and </w:t>
      </w:r>
      <w:r w:rsidRPr="00917B9D">
        <w:rPr>
          <w:b/>
          <w:snapToGrid w:val="0"/>
        </w:rPr>
        <w:t>NERL retailers</w:t>
      </w:r>
      <w:r w:rsidR="00FC2D96">
        <w:rPr>
          <w:snapToGrid w:val="0"/>
          <w:u w:val="single"/>
        </w:rPr>
        <w:t xml:space="preserve"> </w:t>
      </w:r>
      <w:r w:rsidRPr="00917B9D">
        <w:rPr>
          <w:snapToGrid w:val="0"/>
        </w:rPr>
        <w:t xml:space="preserve">under the </w:t>
      </w:r>
      <w:r w:rsidRPr="00917B9D">
        <w:rPr>
          <w:b/>
          <w:snapToGrid w:val="0"/>
        </w:rPr>
        <w:t xml:space="preserve">Utilities </w:t>
      </w:r>
      <w:r w:rsidRPr="00917B9D">
        <w:rPr>
          <w:b/>
          <w:bCs/>
          <w:snapToGrid w:val="0"/>
        </w:rPr>
        <w:t>Act</w:t>
      </w:r>
      <w:r w:rsidRPr="00917B9D">
        <w:rPr>
          <w:bCs/>
          <w:snapToGrid w:val="0"/>
        </w:rPr>
        <w:t xml:space="preserve">, the </w:t>
      </w:r>
      <w:r w:rsidRPr="00917B9D">
        <w:rPr>
          <w:b/>
          <w:bCs/>
          <w:snapToGrid w:val="0"/>
        </w:rPr>
        <w:t>Electricity Feed-in Act</w:t>
      </w:r>
      <w:r w:rsidRPr="00917B9D">
        <w:rPr>
          <w:snapToGrid w:val="0"/>
        </w:rPr>
        <w:t xml:space="preserve"> and any other applicable </w:t>
      </w:r>
      <w:r w:rsidRPr="00917B9D">
        <w:rPr>
          <w:b/>
          <w:snapToGrid w:val="0"/>
        </w:rPr>
        <w:t>law</w:t>
      </w:r>
      <w:r w:rsidRPr="00917B9D">
        <w:rPr>
          <w:snapToGrid w:val="0"/>
        </w:rPr>
        <w:t xml:space="preserve">.   </w:t>
      </w:r>
    </w:p>
    <w:p w14:paraId="261DD5BA" w14:textId="77777777" w:rsidR="00B457BA" w:rsidRPr="00917B9D" w:rsidRDefault="00B457BA" w:rsidP="007F697D">
      <w:pPr>
        <w:pStyle w:val="Heading1"/>
      </w:pPr>
      <w:bookmarkStart w:id="17" w:name="_Toc29202078"/>
      <w:r w:rsidRPr="00917B9D">
        <w:t>3.</w:t>
      </w:r>
      <w:r w:rsidRPr="00917B9D">
        <w:tab/>
        <w:t>DICTIONARY</w:t>
      </w:r>
      <w:bookmarkEnd w:id="17"/>
    </w:p>
    <w:p w14:paraId="619D05A7" w14:textId="77777777" w:rsidR="00B457BA" w:rsidRPr="00917B9D" w:rsidRDefault="00B457BA" w:rsidP="007F697D">
      <w:pPr>
        <w:pStyle w:val="Heading2"/>
        <w:rPr>
          <w:snapToGrid w:val="0"/>
        </w:rPr>
      </w:pPr>
      <w:bookmarkStart w:id="18" w:name="_Toc29202079"/>
      <w:r w:rsidRPr="00917B9D">
        <w:rPr>
          <w:snapToGrid w:val="0"/>
        </w:rPr>
        <w:t>3.1</w:t>
      </w:r>
      <w:r w:rsidRPr="00917B9D">
        <w:rPr>
          <w:snapToGrid w:val="0"/>
        </w:rPr>
        <w:tab/>
        <w:t>Dictionary attached</w:t>
      </w:r>
      <w:bookmarkEnd w:id="18"/>
    </w:p>
    <w:p w14:paraId="5FEEC3A3" w14:textId="77777777" w:rsidR="00B457BA" w:rsidRPr="00917B9D" w:rsidRDefault="00B457BA" w:rsidP="007F697D">
      <w:r w:rsidRPr="00917B9D">
        <w:t xml:space="preserve">The Dictionary at the end of the Electricity Feed-in Code is part of this Code. </w:t>
      </w:r>
    </w:p>
    <w:p w14:paraId="65D43A99" w14:textId="77777777" w:rsidR="00B457BA" w:rsidRPr="00917B9D" w:rsidRDefault="00B457BA" w:rsidP="007F697D">
      <w:pPr>
        <w:pStyle w:val="Heading1"/>
      </w:pPr>
      <w:bookmarkStart w:id="19" w:name="_Toc29202080"/>
      <w:r w:rsidRPr="00917B9D">
        <w:t>4.</w:t>
      </w:r>
      <w:r w:rsidRPr="00917B9D">
        <w:tab/>
        <w:t>DISTRIBUTOR OBLIGATIONS</w:t>
      </w:r>
      <w:bookmarkEnd w:id="19"/>
    </w:p>
    <w:p w14:paraId="19D8FF7D" w14:textId="77777777" w:rsidR="00B457BA" w:rsidRPr="00917B9D" w:rsidRDefault="00B457BA" w:rsidP="007F697D">
      <w:pPr>
        <w:pStyle w:val="Heading2"/>
        <w:rPr>
          <w:snapToGrid w:val="0"/>
        </w:rPr>
      </w:pPr>
      <w:bookmarkStart w:id="20" w:name="_Toc29202081"/>
      <w:r w:rsidRPr="00917B9D">
        <w:rPr>
          <w:snapToGrid w:val="0"/>
        </w:rPr>
        <w:t>4.1</w:t>
      </w:r>
      <w:r w:rsidRPr="00917B9D">
        <w:rPr>
          <w:snapToGrid w:val="0"/>
        </w:rPr>
        <w:tab/>
        <w:t>Distributor to detail arrangements to NERL retailer</w:t>
      </w:r>
      <w:bookmarkEnd w:id="20"/>
    </w:p>
    <w:p w14:paraId="34CE1436" w14:textId="77777777" w:rsidR="00B457BA" w:rsidRPr="00917B9D" w:rsidRDefault="00B457BA" w:rsidP="007F697D">
      <w:r w:rsidRPr="00917B9D">
        <w:rPr>
          <w:rFonts w:cs="Arial"/>
        </w:rPr>
        <w:t xml:space="preserve">The </w:t>
      </w:r>
      <w:r w:rsidR="00837206" w:rsidRPr="00837206">
        <w:rPr>
          <w:rFonts w:cs="Arial"/>
          <w:b/>
        </w:rPr>
        <w:t>Electricity distributor</w:t>
      </w:r>
      <w:r w:rsidRPr="00917B9D">
        <w:rPr>
          <w:rFonts w:cs="Arial"/>
        </w:rPr>
        <w:t xml:space="preserve"> must,</w:t>
      </w:r>
    </w:p>
    <w:p w14:paraId="60EA1F20" w14:textId="77777777" w:rsidR="00B457BA" w:rsidRPr="00917B9D" w:rsidRDefault="00B457BA" w:rsidP="007F697D">
      <w:pPr>
        <w:numPr>
          <w:ilvl w:val="0"/>
          <w:numId w:val="8"/>
        </w:numPr>
        <w:tabs>
          <w:tab w:val="clear" w:pos="915"/>
        </w:tabs>
        <w:ind w:left="1418" w:hanging="720"/>
        <w:rPr>
          <w:rFonts w:cs="Arial"/>
        </w:rPr>
      </w:pPr>
      <w:r w:rsidRPr="00917B9D">
        <w:rPr>
          <w:rFonts w:cs="Arial"/>
        </w:rPr>
        <w:t>upon request, provide to</w:t>
      </w:r>
      <w:r w:rsidRPr="00FC2D96">
        <w:rPr>
          <w:rFonts w:cs="Arial"/>
        </w:rPr>
        <w:t xml:space="preserve"> </w:t>
      </w:r>
      <w:r w:rsidR="007D482D" w:rsidRPr="007D482D">
        <w:rPr>
          <w:rFonts w:cs="Arial"/>
        </w:rPr>
        <w:t xml:space="preserve">a </w:t>
      </w:r>
      <w:r w:rsidRPr="00917B9D">
        <w:rPr>
          <w:rFonts w:cs="Arial"/>
          <w:b/>
          <w:bCs/>
          <w:snapToGrid w:val="0"/>
        </w:rPr>
        <w:t>NERL retailer</w:t>
      </w:r>
      <w:r w:rsidRPr="00917B9D">
        <w:rPr>
          <w:rFonts w:cs="Arial"/>
          <w:color w:val="auto"/>
        </w:rPr>
        <w:t xml:space="preserve"> </w:t>
      </w:r>
      <w:r w:rsidRPr="00917B9D">
        <w:rPr>
          <w:rFonts w:cs="Arial"/>
        </w:rPr>
        <w:t xml:space="preserve">a statement of the terms on which it will provide the relevant </w:t>
      </w:r>
      <w:r w:rsidRPr="00917B9D">
        <w:rPr>
          <w:rFonts w:cs="Arial"/>
          <w:b/>
        </w:rPr>
        <w:t>distributor actions</w:t>
      </w:r>
      <w:r w:rsidR="00FC2D96">
        <w:rPr>
          <w:rFonts w:cs="Arial"/>
          <w:b/>
        </w:rPr>
        <w:t xml:space="preserve"> </w:t>
      </w:r>
      <w:r w:rsidR="007D482D" w:rsidRPr="007D482D">
        <w:rPr>
          <w:rFonts w:cs="Arial"/>
        </w:rPr>
        <w:t xml:space="preserve">to the </w:t>
      </w:r>
      <w:r w:rsidR="00837206" w:rsidRPr="00837206">
        <w:rPr>
          <w:rFonts w:cs="Arial"/>
          <w:b/>
        </w:rPr>
        <w:t>Occupier</w:t>
      </w:r>
      <w:r w:rsidRPr="00917B9D">
        <w:rPr>
          <w:rFonts w:cs="Arial"/>
          <w:b/>
        </w:rPr>
        <w:t>.</w:t>
      </w:r>
      <w:r w:rsidRPr="00917B9D">
        <w:rPr>
          <w:rFonts w:cs="Arial"/>
        </w:rPr>
        <w:t xml:space="preserve">  The </w:t>
      </w:r>
      <w:r w:rsidRPr="00917B9D">
        <w:rPr>
          <w:rFonts w:cs="Arial"/>
          <w:b/>
        </w:rPr>
        <w:t>Network Use of System Agreement</w:t>
      </w:r>
      <w:r w:rsidRPr="00917B9D">
        <w:rPr>
          <w:rFonts w:cs="Arial"/>
        </w:rPr>
        <w:t>, if any,</w:t>
      </w:r>
      <w:r w:rsidRPr="00917B9D">
        <w:rPr>
          <w:rFonts w:cs="Arial"/>
          <w:b/>
        </w:rPr>
        <w:t xml:space="preserve"> </w:t>
      </w:r>
      <w:r w:rsidRPr="00917B9D">
        <w:rPr>
          <w:rFonts w:cs="Arial"/>
        </w:rPr>
        <w:t xml:space="preserve">will apply to the </w:t>
      </w:r>
      <w:r w:rsidRPr="00917B9D">
        <w:rPr>
          <w:rFonts w:cs="Arial"/>
          <w:b/>
        </w:rPr>
        <w:t>distributor actions</w:t>
      </w:r>
      <w:r w:rsidRPr="00917B9D">
        <w:rPr>
          <w:rFonts w:cs="Arial"/>
        </w:rPr>
        <w:t xml:space="preserve"> so far as relevant.</w:t>
      </w:r>
    </w:p>
    <w:p w14:paraId="10B901B8" w14:textId="090A6706" w:rsidR="00B457BA" w:rsidRPr="00917B9D" w:rsidRDefault="00B457BA" w:rsidP="007F697D">
      <w:pPr>
        <w:numPr>
          <w:ilvl w:val="0"/>
          <w:numId w:val="8"/>
        </w:numPr>
        <w:tabs>
          <w:tab w:val="clear" w:pos="915"/>
        </w:tabs>
        <w:ind w:left="1418" w:hanging="720"/>
        <w:rPr>
          <w:rFonts w:cs="Arial"/>
        </w:rPr>
      </w:pPr>
      <w:r w:rsidRPr="00917B9D">
        <w:rPr>
          <w:rFonts w:cs="Arial"/>
        </w:rPr>
        <w:t xml:space="preserve">upon application from an </w:t>
      </w:r>
      <w:r w:rsidR="00837206" w:rsidRPr="00837206">
        <w:rPr>
          <w:rFonts w:cs="Arial"/>
          <w:b/>
        </w:rPr>
        <w:t>Occupier</w:t>
      </w:r>
      <w:r w:rsidRPr="00917B9D">
        <w:rPr>
          <w:rFonts w:cs="Arial"/>
        </w:rPr>
        <w:t xml:space="preserve">, which may be received via the </w:t>
      </w:r>
      <w:r w:rsidR="00837206" w:rsidRPr="00837206">
        <w:rPr>
          <w:rFonts w:cs="Arial"/>
          <w:b/>
        </w:rPr>
        <w:t>Occupier</w:t>
      </w:r>
      <w:r w:rsidRPr="00917B9D">
        <w:rPr>
          <w:rFonts w:cs="Arial"/>
        </w:rPr>
        <w:t xml:space="preserve">’s chosen </w:t>
      </w:r>
      <w:r w:rsidRPr="00917B9D">
        <w:rPr>
          <w:rFonts w:cs="Arial"/>
          <w:b/>
          <w:bCs/>
          <w:snapToGrid w:val="0"/>
        </w:rPr>
        <w:t>NERL retailer</w:t>
      </w:r>
      <w:r w:rsidRPr="00917B9D">
        <w:rPr>
          <w:rFonts w:cs="Arial"/>
          <w:b/>
        </w:rPr>
        <w:t xml:space="preserve">, </w:t>
      </w:r>
      <w:r w:rsidRPr="00917B9D">
        <w:rPr>
          <w:rFonts w:cs="Arial"/>
        </w:rPr>
        <w:t xml:space="preserve">provide the relevant </w:t>
      </w:r>
      <w:r w:rsidRPr="00917B9D">
        <w:rPr>
          <w:rFonts w:cs="Arial"/>
          <w:b/>
        </w:rPr>
        <w:t>distributor actions</w:t>
      </w:r>
      <w:r w:rsidRPr="00917B9D">
        <w:rPr>
          <w:rFonts w:cs="Arial"/>
        </w:rPr>
        <w:t xml:space="preserve"> in accordance with a contract with the </w:t>
      </w:r>
      <w:r w:rsidR="00837206" w:rsidRPr="00837206">
        <w:rPr>
          <w:rFonts w:cs="Arial"/>
          <w:b/>
        </w:rPr>
        <w:t>Occupier</w:t>
      </w:r>
      <w:r w:rsidRPr="00917B9D">
        <w:rPr>
          <w:rFonts w:cs="Arial"/>
          <w:b/>
        </w:rPr>
        <w:t xml:space="preserve"> </w:t>
      </w:r>
      <w:r w:rsidRPr="00917B9D">
        <w:rPr>
          <w:rFonts w:cs="Arial"/>
        </w:rPr>
        <w:t xml:space="preserve">either directly or via the </w:t>
      </w:r>
      <w:r w:rsidRPr="00917B9D">
        <w:rPr>
          <w:rFonts w:cs="Arial"/>
          <w:b/>
          <w:bCs/>
          <w:snapToGrid w:val="0"/>
        </w:rPr>
        <w:t>NERL retailer</w:t>
      </w:r>
      <w:r w:rsidRPr="00917B9D">
        <w:rPr>
          <w:rFonts w:cs="Arial"/>
        </w:rPr>
        <w:t xml:space="preserve"> as agent of the </w:t>
      </w:r>
      <w:r w:rsidR="00837206" w:rsidRPr="00837206">
        <w:rPr>
          <w:rFonts w:cs="Arial"/>
          <w:b/>
        </w:rPr>
        <w:t>Electricity distributor</w:t>
      </w:r>
      <w:r w:rsidRPr="00917B9D">
        <w:rPr>
          <w:rFonts w:cs="Arial"/>
        </w:rPr>
        <w:t xml:space="preserve"> for that purpose.</w:t>
      </w:r>
    </w:p>
    <w:p w14:paraId="2483A352" w14:textId="77777777" w:rsidR="00B457BA" w:rsidRPr="00917B9D" w:rsidRDefault="00B457BA" w:rsidP="007F697D">
      <w:pPr>
        <w:pStyle w:val="Heading2"/>
        <w:rPr>
          <w:snapToGrid w:val="0"/>
        </w:rPr>
      </w:pPr>
      <w:bookmarkStart w:id="21" w:name="_Toc29202082"/>
      <w:r w:rsidRPr="00917B9D">
        <w:rPr>
          <w:snapToGrid w:val="0"/>
        </w:rPr>
        <w:t>4.2</w:t>
      </w:r>
      <w:r w:rsidRPr="00917B9D">
        <w:rPr>
          <w:snapToGrid w:val="0"/>
        </w:rPr>
        <w:tab/>
        <w:t xml:space="preserve">Distributor to alert NERL retailer and </w:t>
      </w:r>
      <w:r w:rsidR="00837206" w:rsidRPr="00837206">
        <w:rPr>
          <w:snapToGrid w:val="0"/>
        </w:rPr>
        <w:t>Occupier</w:t>
      </w:r>
      <w:r w:rsidRPr="00917B9D">
        <w:rPr>
          <w:snapToGrid w:val="0"/>
        </w:rPr>
        <w:t xml:space="preserve"> of start dates</w:t>
      </w:r>
      <w:bookmarkEnd w:id="21"/>
    </w:p>
    <w:p w14:paraId="691D5275" w14:textId="77777777" w:rsidR="00B457BA" w:rsidRPr="00917B9D" w:rsidRDefault="00B457BA" w:rsidP="007F697D">
      <w:r w:rsidRPr="00917B9D">
        <w:t xml:space="preserve">The </w:t>
      </w:r>
      <w:r w:rsidR="00837206" w:rsidRPr="00837206">
        <w:rPr>
          <w:b/>
        </w:rPr>
        <w:t>Electricity distributor</w:t>
      </w:r>
      <w:r w:rsidRPr="00917B9D">
        <w:rPr>
          <w:b/>
        </w:rPr>
        <w:t xml:space="preserve"> </w:t>
      </w:r>
      <w:r w:rsidRPr="00917B9D">
        <w:t xml:space="preserve">must, as part of its response to an application for </w:t>
      </w:r>
      <w:r w:rsidRPr="00917B9D">
        <w:rPr>
          <w:b/>
        </w:rPr>
        <w:t>distributor actions</w:t>
      </w:r>
      <w:r w:rsidRPr="00917B9D">
        <w:t xml:space="preserve">, inform the </w:t>
      </w:r>
      <w:r w:rsidRPr="00917B9D">
        <w:rPr>
          <w:rFonts w:cs="Arial"/>
          <w:b/>
          <w:bCs/>
          <w:snapToGrid w:val="0"/>
        </w:rPr>
        <w:t>NERL retailer</w:t>
      </w:r>
      <w:r w:rsidRPr="00917B9D">
        <w:t xml:space="preserve"> and the </w:t>
      </w:r>
      <w:r w:rsidRPr="00917B9D">
        <w:rPr>
          <w:rFonts w:cs="Arial"/>
          <w:b/>
          <w:bCs/>
          <w:snapToGrid w:val="0"/>
        </w:rPr>
        <w:t>NERL retailer</w:t>
      </w:r>
      <w:r w:rsidRPr="00917B9D">
        <w:t xml:space="preserve"> must inform the </w:t>
      </w:r>
      <w:r w:rsidR="00837206" w:rsidRPr="00837206">
        <w:rPr>
          <w:b/>
        </w:rPr>
        <w:t>Occupier</w:t>
      </w:r>
      <w:r w:rsidRPr="00917B9D">
        <w:rPr>
          <w:b/>
        </w:rPr>
        <w:t xml:space="preserve"> </w:t>
      </w:r>
      <w:r w:rsidRPr="00917B9D">
        <w:t xml:space="preserve">of the date from which the 20-year period for the payment of a premium rate as provided for in section 11 of the </w:t>
      </w:r>
      <w:r w:rsidRPr="00917B9D">
        <w:rPr>
          <w:b/>
        </w:rPr>
        <w:t>Electricity Feed-in Act</w:t>
      </w:r>
      <w:r w:rsidRPr="00917B9D">
        <w:t xml:space="preserve"> commenced. </w:t>
      </w:r>
    </w:p>
    <w:p w14:paraId="24F15242" w14:textId="77777777" w:rsidR="00B457BA" w:rsidRPr="00917B9D" w:rsidRDefault="00B457BA" w:rsidP="00F61457">
      <w:pPr>
        <w:pStyle w:val="Heading2"/>
        <w:rPr>
          <w:snapToGrid w:val="0"/>
        </w:rPr>
      </w:pPr>
      <w:bookmarkStart w:id="22" w:name="_Toc29202083"/>
      <w:r w:rsidRPr="00917B9D">
        <w:rPr>
          <w:snapToGrid w:val="0"/>
        </w:rPr>
        <w:t>4.3</w:t>
      </w:r>
      <w:r w:rsidRPr="00917B9D">
        <w:rPr>
          <w:snapToGrid w:val="0"/>
        </w:rPr>
        <w:tab/>
        <w:t xml:space="preserve">Dispute resolution—NERL retailer </w:t>
      </w:r>
      <w:r w:rsidRPr="00917B9D">
        <w:t>disputes</w:t>
      </w:r>
      <w:bookmarkEnd w:id="22"/>
    </w:p>
    <w:p w14:paraId="58ED7C33" w14:textId="77777777" w:rsidR="00B457BA" w:rsidRPr="00917B9D" w:rsidRDefault="00B457BA" w:rsidP="004309E4">
      <w:r w:rsidRPr="00917B9D">
        <w:t xml:space="preserve">Disputes between </w:t>
      </w:r>
      <w:r w:rsidR="00837206" w:rsidRPr="00837206">
        <w:rPr>
          <w:b/>
        </w:rPr>
        <w:t>Electricity distributor</w:t>
      </w:r>
      <w:r w:rsidRPr="00917B9D">
        <w:rPr>
          <w:b/>
        </w:rPr>
        <w:t>s</w:t>
      </w:r>
      <w:r w:rsidRPr="00917B9D">
        <w:t xml:space="preserve"> and </w:t>
      </w:r>
      <w:r w:rsidRPr="00917B9D">
        <w:rPr>
          <w:rFonts w:cs="Arial"/>
          <w:b/>
          <w:bCs/>
          <w:snapToGrid w:val="0"/>
        </w:rPr>
        <w:t>NERL retailers</w:t>
      </w:r>
      <w:r w:rsidRPr="00917B9D">
        <w:t xml:space="preserve"> in relation to the </w:t>
      </w:r>
      <w:r w:rsidRPr="00917B9D">
        <w:rPr>
          <w:b/>
        </w:rPr>
        <w:t xml:space="preserve">Electricity Feed-in Scheme </w:t>
      </w:r>
      <w:r w:rsidRPr="00917B9D">
        <w:t xml:space="preserve">will be resolved in accordance with the arrangements set out in the </w:t>
      </w:r>
      <w:r w:rsidRPr="00917B9D">
        <w:rPr>
          <w:b/>
        </w:rPr>
        <w:t>Network Use of System Agreement</w:t>
      </w:r>
      <w:r w:rsidRPr="00917B9D">
        <w:t xml:space="preserve"> in place between the parties, if any. </w:t>
      </w:r>
    </w:p>
    <w:p w14:paraId="29C2A2A5" w14:textId="77777777" w:rsidR="00B457BA" w:rsidRPr="00917B9D" w:rsidRDefault="00B457BA" w:rsidP="005C1826">
      <w:pPr>
        <w:ind w:left="709"/>
      </w:pPr>
      <w:r w:rsidRPr="00917B9D">
        <w:lastRenderedPageBreak/>
        <w:t xml:space="preserve">If no </w:t>
      </w:r>
      <w:r w:rsidRPr="00917B9D">
        <w:rPr>
          <w:b/>
        </w:rPr>
        <w:t xml:space="preserve">Network Use of System Agreement </w:t>
      </w:r>
      <w:r w:rsidRPr="00917B9D">
        <w:t>exists and either party gives the other a notice of dispute under this agreement, the following procedure will apply:</w:t>
      </w:r>
    </w:p>
    <w:p w14:paraId="2AE65FEC" w14:textId="77777777" w:rsidR="007B1E41" w:rsidRDefault="00B457BA" w:rsidP="00FE019B">
      <w:pPr>
        <w:numPr>
          <w:ilvl w:val="0"/>
          <w:numId w:val="16"/>
        </w:numPr>
        <w:ind w:left="2160" w:hanging="720"/>
      </w:pPr>
      <w:r w:rsidRPr="00917B9D">
        <w:t xml:space="preserve">if the dispute comes within clause 8.2 of the </w:t>
      </w:r>
      <w:r w:rsidRPr="003F635B">
        <w:rPr>
          <w:i/>
          <w:iCs/>
        </w:rPr>
        <w:t>National Electricity Rules</w:t>
      </w:r>
      <w:r w:rsidRPr="00917B9D">
        <w:t xml:space="preserve"> - the dispute resolution procedure in th</w:t>
      </w:r>
      <w:r w:rsidR="00FC2D96">
        <w:t xml:space="preserve">ose rules </w:t>
      </w:r>
      <w:r w:rsidRPr="00917B9D">
        <w:t>will apply; or</w:t>
      </w:r>
    </w:p>
    <w:p w14:paraId="62FA9B40" w14:textId="77777777" w:rsidR="007B1E41" w:rsidRDefault="00B457BA" w:rsidP="00FE019B">
      <w:pPr>
        <w:numPr>
          <w:ilvl w:val="0"/>
          <w:numId w:val="16"/>
        </w:numPr>
        <w:ind w:left="2160" w:hanging="720"/>
      </w:pPr>
      <w:r w:rsidRPr="003F635B">
        <w:t xml:space="preserve">if the dispute is over a technical matter or in relation to </w:t>
      </w:r>
      <w:r w:rsidR="00F2714D">
        <w:t xml:space="preserve">a matter dealt with under </w:t>
      </w:r>
      <w:r w:rsidRPr="003F635B">
        <w:t xml:space="preserve">clause 8.11 </w:t>
      </w:r>
      <w:r w:rsidR="00FC2D96" w:rsidRPr="00917B9D">
        <w:t xml:space="preserve">of the </w:t>
      </w:r>
      <w:r w:rsidR="00FC2D96" w:rsidRPr="003F635B">
        <w:rPr>
          <w:i/>
          <w:iCs/>
        </w:rPr>
        <w:t>National Electricity Rules</w:t>
      </w:r>
      <w:r w:rsidR="00FC2D96" w:rsidRPr="003F635B">
        <w:t xml:space="preserve"> </w:t>
      </w:r>
      <w:r w:rsidRPr="003F635B">
        <w:t xml:space="preserve">- the </w:t>
      </w:r>
      <w:r w:rsidRPr="00917B9D">
        <w:t>procedure in Schedule 1 (Expert Resolution)</w:t>
      </w:r>
      <w:r w:rsidR="00FC2D96">
        <w:t xml:space="preserve"> of this Code</w:t>
      </w:r>
      <w:r w:rsidRPr="00917B9D">
        <w:t xml:space="preserve"> will apply; or</w:t>
      </w:r>
    </w:p>
    <w:p w14:paraId="4322E122" w14:textId="77777777" w:rsidR="007B1E41" w:rsidRDefault="00B457BA" w:rsidP="00FE019B">
      <w:pPr>
        <w:numPr>
          <w:ilvl w:val="0"/>
          <w:numId w:val="16"/>
        </w:numPr>
        <w:ind w:left="2160" w:hanging="720"/>
      </w:pPr>
      <w:r w:rsidRPr="00917B9D">
        <w:t xml:space="preserve">otherwise - the procedure in Schedule 2 (Mediation) </w:t>
      </w:r>
      <w:r w:rsidR="00FC2D96">
        <w:t xml:space="preserve">of this Code </w:t>
      </w:r>
      <w:r w:rsidRPr="00917B9D">
        <w:t>will apply.</w:t>
      </w:r>
    </w:p>
    <w:p w14:paraId="2C23AAFF" w14:textId="77777777" w:rsidR="007B1E41" w:rsidRDefault="00B457BA">
      <w:r w:rsidRPr="00917B9D">
        <w:t>If there is a dispute over whether a matter is a technical matter or not, then the matter will be referred in accordance with the procedure in Schedule 1 for the relevant independent expert to determine whether the matter should be determined in accordance with Schedule 1 (Independent Expert) or Schedule 2 (Mediation).</w:t>
      </w:r>
    </w:p>
    <w:p w14:paraId="6F63C3B6" w14:textId="77777777" w:rsidR="007B1E41" w:rsidRDefault="00B457BA">
      <w:r w:rsidRPr="00917B9D">
        <w:t xml:space="preserve">No party may have recourse to litigation without first having complied with this </w:t>
      </w:r>
      <w:r w:rsidR="005C7692">
        <w:t>clause</w:t>
      </w:r>
      <w:r w:rsidR="005C7692" w:rsidRPr="00917B9D">
        <w:t xml:space="preserve"> </w:t>
      </w:r>
      <w:r w:rsidRPr="00917B9D">
        <w:t>4.3.</w:t>
      </w:r>
    </w:p>
    <w:p w14:paraId="61581D78" w14:textId="77777777" w:rsidR="007B1E41" w:rsidRDefault="00B457BA">
      <w:r w:rsidRPr="00917B9D">
        <w:t>This clause does not prevent a party seeking an urgent interlocutory injunction from a court of competent jurisdiction.</w:t>
      </w:r>
    </w:p>
    <w:p w14:paraId="0C6F6448" w14:textId="77777777" w:rsidR="007B1E41" w:rsidRDefault="00B457BA">
      <w:r w:rsidRPr="00917B9D">
        <w:t xml:space="preserve">All notices issued under this </w:t>
      </w:r>
      <w:r w:rsidR="005C7692">
        <w:t>clause</w:t>
      </w:r>
      <w:r w:rsidR="005C7692" w:rsidRPr="00917B9D">
        <w:t xml:space="preserve"> </w:t>
      </w:r>
      <w:r w:rsidRPr="00917B9D">
        <w:t>must be sent to the address of the relevant party notified in writing by the relevant party.</w:t>
      </w:r>
    </w:p>
    <w:p w14:paraId="2866CFE9" w14:textId="77777777" w:rsidR="007B1E41" w:rsidRDefault="00B457BA">
      <w:pPr>
        <w:ind w:left="709"/>
      </w:pPr>
      <w:r w:rsidRPr="00917B9D">
        <w:t>Notices are deemed to be received:</w:t>
      </w:r>
    </w:p>
    <w:p w14:paraId="0B42E880" w14:textId="77777777" w:rsidR="007B1E41" w:rsidRDefault="00B457BA" w:rsidP="00FE019B">
      <w:pPr>
        <w:numPr>
          <w:ilvl w:val="0"/>
          <w:numId w:val="16"/>
        </w:numPr>
        <w:ind w:left="2160" w:hanging="720"/>
      </w:pPr>
      <w:r w:rsidRPr="003F635B">
        <w:t xml:space="preserve">in the case of delivery by post, 2 </w:t>
      </w:r>
      <w:r w:rsidRPr="003F635B">
        <w:rPr>
          <w:i/>
          <w:iCs/>
        </w:rPr>
        <w:t>business days</w:t>
      </w:r>
      <w:r w:rsidRPr="003F635B">
        <w:t xml:space="preserve"> after the date of posting;</w:t>
      </w:r>
    </w:p>
    <w:p w14:paraId="20DE3B96" w14:textId="77777777" w:rsidR="007B1E41" w:rsidRDefault="00B457BA" w:rsidP="00FE019B">
      <w:pPr>
        <w:numPr>
          <w:ilvl w:val="0"/>
          <w:numId w:val="16"/>
        </w:numPr>
        <w:ind w:left="2160" w:hanging="720"/>
      </w:pPr>
      <w:r w:rsidRPr="00917B9D">
        <w:t>in the case of fax, on receipt by the sender of a transmission report from the dispatching machine showing the relevant number of pages and the correct destination fax machine number and indicating that the transmission has been made without error, unless the recipient notifies the sender within 24 hours of the fax being sent that the fax was not received in its entirety in legible form; or</w:t>
      </w:r>
    </w:p>
    <w:p w14:paraId="08A0AF1B" w14:textId="77777777" w:rsidR="007B1E41" w:rsidRDefault="00B457BA" w:rsidP="00FE019B">
      <w:pPr>
        <w:numPr>
          <w:ilvl w:val="0"/>
          <w:numId w:val="16"/>
        </w:numPr>
        <w:ind w:left="2160" w:hanging="720"/>
      </w:pPr>
      <w:r w:rsidRPr="00917B9D">
        <w:t xml:space="preserve">in the case of email, </w:t>
      </w:r>
      <w:r w:rsidR="00837206" w:rsidRPr="006547A7">
        <w:t xml:space="preserve">when </w:t>
      </w:r>
      <w:r w:rsidR="00837206">
        <w:t>the email is</w:t>
      </w:r>
      <w:r w:rsidR="00837206" w:rsidRPr="006547A7">
        <w:t xml:space="preserve"> capable of being retrieved by the recipient</w:t>
      </w:r>
      <w:r w:rsidR="00837206">
        <w:t xml:space="preserve"> at the address notified by the recipient to the </w:t>
      </w:r>
      <w:r w:rsidR="007D482D" w:rsidRPr="007D482D">
        <w:t>sender</w:t>
      </w:r>
      <w:r w:rsidR="00837206" w:rsidRPr="00917B9D" w:rsidDel="00837206">
        <w:t xml:space="preserve"> </w:t>
      </w:r>
    </w:p>
    <w:p w14:paraId="176A4879" w14:textId="77777777" w:rsidR="00B457BA" w:rsidRPr="00917B9D" w:rsidRDefault="00B457BA" w:rsidP="00D37328">
      <w:r w:rsidRPr="00917B9D">
        <w:t xml:space="preserve">If a notice is received on a day which is not a </w:t>
      </w:r>
      <w:r w:rsidRPr="00917B9D">
        <w:rPr>
          <w:i/>
          <w:iCs/>
        </w:rPr>
        <w:t xml:space="preserve">business day </w:t>
      </w:r>
      <w:r w:rsidRPr="00917B9D">
        <w:t xml:space="preserve">or after 5.00 pm on a </w:t>
      </w:r>
      <w:r w:rsidRPr="00917B9D">
        <w:rPr>
          <w:i/>
          <w:iCs/>
        </w:rPr>
        <w:t>business day</w:t>
      </w:r>
      <w:r w:rsidRPr="00917B9D">
        <w:t xml:space="preserve">, it is taken to be received on the next </w:t>
      </w:r>
      <w:r w:rsidRPr="00917B9D">
        <w:rPr>
          <w:i/>
          <w:iCs/>
        </w:rPr>
        <w:t>business day</w:t>
      </w:r>
      <w:r w:rsidRPr="00917B9D">
        <w:t>.</w:t>
      </w:r>
    </w:p>
    <w:p w14:paraId="636AFD22" w14:textId="77777777" w:rsidR="00B457BA" w:rsidRPr="00917B9D" w:rsidRDefault="00B457BA" w:rsidP="00F61457">
      <w:pPr>
        <w:pStyle w:val="Heading2"/>
        <w:rPr>
          <w:snapToGrid w:val="0"/>
        </w:rPr>
      </w:pPr>
      <w:bookmarkStart w:id="23" w:name="_Toc29202084"/>
      <w:r w:rsidRPr="00917B9D">
        <w:rPr>
          <w:snapToGrid w:val="0"/>
        </w:rPr>
        <w:t>4.4</w:t>
      </w:r>
      <w:r w:rsidRPr="00917B9D">
        <w:rPr>
          <w:snapToGrid w:val="0"/>
        </w:rPr>
        <w:tab/>
        <w:t>Dispute resolution—</w:t>
      </w:r>
      <w:r w:rsidR="00837206" w:rsidRPr="00837206">
        <w:rPr>
          <w:snapToGrid w:val="0"/>
        </w:rPr>
        <w:t>Occupier</w:t>
      </w:r>
      <w:r w:rsidRPr="00917B9D">
        <w:rPr>
          <w:snapToGrid w:val="0"/>
        </w:rPr>
        <w:t xml:space="preserve"> </w:t>
      </w:r>
      <w:r w:rsidRPr="00917B9D">
        <w:t>disputes</w:t>
      </w:r>
      <w:bookmarkEnd w:id="23"/>
    </w:p>
    <w:p w14:paraId="1A7DDD84" w14:textId="44AD9C97" w:rsidR="00B457BA" w:rsidRPr="00086302" w:rsidRDefault="00B457BA" w:rsidP="00035437">
      <w:pPr>
        <w:pStyle w:val="Note"/>
        <w:tabs>
          <w:tab w:val="clear" w:pos="1712"/>
        </w:tabs>
        <w:ind w:left="1276" w:right="232" w:hanging="567"/>
        <w:rPr>
          <w:rFonts w:ascii="Verdana" w:hAnsi="Verdana"/>
          <w:u w:val="single"/>
        </w:rPr>
      </w:pPr>
      <w:r w:rsidRPr="00D127EC">
        <w:rPr>
          <w:rFonts w:ascii="Verdana" w:hAnsi="Verdana"/>
        </w:rPr>
        <w:t xml:space="preserve">Disputes between </w:t>
      </w:r>
      <w:r w:rsidR="00837206" w:rsidRPr="00D127EC">
        <w:rPr>
          <w:rFonts w:ascii="Verdana" w:hAnsi="Verdana"/>
          <w:b/>
        </w:rPr>
        <w:t>Electricity distributor</w:t>
      </w:r>
      <w:r w:rsidRPr="00D127EC">
        <w:rPr>
          <w:rFonts w:ascii="Verdana" w:hAnsi="Verdana"/>
          <w:b/>
        </w:rPr>
        <w:t>s</w:t>
      </w:r>
      <w:r w:rsidRPr="00D127EC">
        <w:rPr>
          <w:rFonts w:ascii="Verdana" w:hAnsi="Verdana"/>
        </w:rPr>
        <w:t xml:space="preserve"> and </w:t>
      </w:r>
      <w:r w:rsidR="00837206" w:rsidRPr="00D127EC">
        <w:rPr>
          <w:rFonts w:ascii="Verdana" w:hAnsi="Verdana"/>
          <w:b/>
        </w:rPr>
        <w:t>Occupier</w:t>
      </w:r>
      <w:r w:rsidRPr="00D127EC">
        <w:rPr>
          <w:rFonts w:ascii="Verdana" w:hAnsi="Verdana"/>
          <w:b/>
        </w:rPr>
        <w:t>s</w:t>
      </w:r>
      <w:r w:rsidRPr="00D127EC">
        <w:rPr>
          <w:rFonts w:ascii="Verdana" w:hAnsi="Verdana"/>
        </w:rPr>
        <w:t xml:space="preserve"> of premises in relation to the </w:t>
      </w:r>
      <w:r w:rsidRPr="00D127EC">
        <w:rPr>
          <w:rFonts w:ascii="Verdana" w:hAnsi="Verdana"/>
          <w:b/>
        </w:rPr>
        <w:t>Electricity Feed-in Scheme</w:t>
      </w:r>
      <w:r w:rsidRPr="00D127EC">
        <w:rPr>
          <w:rFonts w:ascii="Verdana" w:hAnsi="Verdana"/>
        </w:rPr>
        <w:t xml:space="preserve"> will be resolved in accordance with the </w:t>
      </w:r>
      <w:r w:rsidRPr="00D127EC">
        <w:rPr>
          <w:rFonts w:ascii="Verdana" w:hAnsi="Verdana"/>
          <w:b/>
          <w:snapToGrid w:val="0"/>
        </w:rPr>
        <w:t xml:space="preserve">Utilities </w:t>
      </w:r>
      <w:r w:rsidRPr="00D127EC">
        <w:rPr>
          <w:rFonts w:ascii="Verdana" w:hAnsi="Verdana"/>
          <w:b/>
        </w:rPr>
        <w:t xml:space="preserve">Act </w:t>
      </w:r>
      <w:r w:rsidRPr="00D127EC">
        <w:rPr>
          <w:rFonts w:ascii="Verdana" w:hAnsi="Verdana"/>
        </w:rPr>
        <w:t xml:space="preserve">and </w:t>
      </w:r>
      <w:r w:rsidR="0066216B" w:rsidRPr="00D127EC">
        <w:rPr>
          <w:rFonts w:ascii="Verdana" w:hAnsi="Verdana"/>
          <w:bCs/>
        </w:rPr>
        <w:t>c</w:t>
      </w:r>
      <w:r w:rsidRPr="00D127EC">
        <w:rPr>
          <w:rFonts w:ascii="Verdana" w:hAnsi="Verdana"/>
          <w:bCs/>
        </w:rPr>
        <w:t>omplaints</w:t>
      </w:r>
      <w:r w:rsidRPr="00D127EC">
        <w:rPr>
          <w:rFonts w:ascii="Verdana" w:hAnsi="Verdana"/>
        </w:rPr>
        <w:t xml:space="preserve"> procedures developed by the </w:t>
      </w:r>
      <w:r w:rsidR="00837206" w:rsidRPr="00D127EC">
        <w:rPr>
          <w:rFonts w:ascii="Verdana" w:hAnsi="Verdana"/>
          <w:b/>
        </w:rPr>
        <w:t>Electricity distributor</w:t>
      </w:r>
      <w:r w:rsidR="00035437" w:rsidRPr="00D127EC">
        <w:rPr>
          <w:rFonts w:ascii="Verdana" w:hAnsi="Verdana"/>
          <w:b/>
        </w:rPr>
        <w:t xml:space="preserve"> </w:t>
      </w:r>
      <w:r w:rsidR="00035437" w:rsidRPr="00D127EC">
        <w:rPr>
          <w:rFonts w:ascii="Verdana" w:hAnsi="Verdana"/>
          <w:bCs/>
        </w:rPr>
        <w:t xml:space="preserve">in accordance with the </w:t>
      </w:r>
      <w:r w:rsidR="00035437" w:rsidRPr="00D127EC">
        <w:rPr>
          <w:rFonts w:ascii="Verdana" w:hAnsi="Verdana"/>
          <w:b/>
        </w:rPr>
        <w:t>Consumer Protection Code</w:t>
      </w:r>
      <w:r w:rsidRPr="00D127EC">
        <w:rPr>
          <w:rFonts w:ascii="Verdana" w:hAnsi="Verdana"/>
        </w:rPr>
        <w:t>.</w:t>
      </w:r>
    </w:p>
    <w:p w14:paraId="04B6C566" w14:textId="2883A4CB" w:rsidR="00B457BA" w:rsidRPr="00D945B5" w:rsidRDefault="00E43975" w:rsidP="00086302">
      <w:pPr>
        <w:pStyle w:val="Note"/>
        <w:numPr>
          <w:ilvl w:val="0"/>
          <w:numId w:val="0"/>
        </w:numPr>
        <w:ind w:left="1418" w:right="232" w:hanging="720"/>
      </w:pPr>
      <w:r w:rsidRPr="00086302">
        <w:rPr>
          <w:rFonts w:cs="Arial"/>
          <w:i/>
          <w:iCs/>
        </w:rPr>
        <w:lastRenderedPageBreak/>
        <w:t>Note:</w:t>
      </w:r>
      <w:r w:rsidRPr="00086302">
        <w:rPr>
          <w:rFonts w:cs="Arial"/>
          <w:i/>
          <w:iCs/>
        </w:rPr>
        <w:tab/>
        <w:t xml:space="preserve">An </w:t>
      </w:r>
      <w:r w:rsidRPr="00086302">
        <w:rPr>
          <w:rFonts w:cs="Arial"/>
          <w:b/>
          <w:bCs/>
          <w:i/>
          <w:iCs/>
        </w:rPr>
        <w:t>Occupier</w:t>
      </w:r>
      <w:r w:rsidRPr="00086302">
        <w:rPr>
          <w:rFonts w:cs="Arial"/>
          <w:i/>
          <w:iCs/>
        </w:rPr>
        <w:t xml:space="preserve"> may have rights </w:t>
      </w:r>
      <w:r w:rsidR="00A356D9" w:rsidRPr="0092231A">
        <w:rPr>
          <w:rFonts w:cs="Arial"/>
          <w:i/>
          <w:iCs/>
        </w:rPr>
        <w:t>to refer</w:t>
      </w:r>
      <w:r w:rsidR="00A356D9">
        <w:rPr>
          <w:rFonts w:cs="Arial"/>
          <w:i/>
          <w:iCs/>
        </w:rPr>
        <w:t xml:space="preserve"> a dispute to</w:t>
      </w:r>
      <w:r w:rsidR="00A356D9" w:rsidRPr="0092231A">
        <w:rPr>
          <w:rFonts w:cs="Arial"/>
          <w:i/>
          <w:iCs/>
        </w:rPr>
        <w:t xml:space="preserve"> </w:t>
      </w:r>
      <w:r w:rsidRPr="00086302">
        <w:rPr>
          <w:rFonts w:cs="Arial"/>
          <w:i/>
          <w:iCs/>
        </w:rPr>
        <w:t xml:space="preserve">the </w:t>
      </w:r>
      <w:r w:rsidRPr="00086302">
        <w:rPr>
          <w:rFonts w:cs="Arial"/>
          <w:b/>
          <w:bCs/>
          <w:i/>
          <w:iCs/>
        </w:rPr>
        <w:t>ACAT</w:t>
      </w:r>
      <w:r w:rsidRPr="00086302">
        <w:rPr>
          <w:rFonts w:cs="Arial"/>
          <w:i/>
          <w:iCs/>
        </w:rPr>
        <w:t xml:space="preserve"> under Part 12 of the </w:t>
      </w:r>
      <w:r w:rsidRPr="00086302">
        <w:rPr>
          <w:rFonts w:cs="Arial"/>
          <w:b/>
          <w:bCs/>
          <w:i/>
          <w:iCs/>
        </w:rPr>
        <w:t>Utilities Act</w:t>
      </w:r>
      <w:r w:rsidRPr="00086302">
        <w:rPr>
          <w:rFonts w:cs="Arial"/>
          <w:i/>
          <w:iCs/>
        </w:rPr>
        <w:t xml:space="preserve"> (Complaints to ACAT about Utilities)</w:t>
      </w:r>
    </w:p>
    <w:p w14:paraId="72BF9C4A" w14:textId="77777777" w:rsidR="00B457BA" w:rsidRPr="00917B9D" w:rsidRDefault="00B457BA" w:rsidP="00F61457">
      <w:pPr>
        <w:pStyle w:val="Heading1"/>
      </w:pPr>
      <w:bookmarkStart w:id="24" w:name="_Toc29202085"/>
      <w:bookmarkStart w:id="25" w:name="_Toc220383511"/>
      <w:bookmarkEnd w:id="4"/>
      <w:r w:rsidRPr="00917B9D">
        <w:t>5.</w:t>
      </w:r>
      <w:r w:rsidRPr="00917B9D">
        <w:tab/>
        <w:t>NERL RETAILER OBLIGATIONS</w:t>
      </w:r>
      <w:bookmarkEnd w:id="24"/>
    </w:p>
    <w:p w14:paraId="3BDBB29A" w14:textId="77777777" w:rsidR="00B457BA" w:rsidRPr="00917B9D" w:rsidRDefault="00B457BA" w:rsidP="00F61457">
      <w:pPr>
        <w:pStyle w:val="Heading2"/>
        <w:rPr>
          <w:snapToGrid w:val="0"/>
        </w:rPr>
      </w:pPr>
      <w:bookmarkStart w:id="26" w:name="_Toc29202086"/>
      <w:r w:rsidRPr="00917B9D">
        <w:rPr>
          <w:snapToGrid w:val="0"/>
        </w:rPr>
        <w:t>5.1</w:t>
      </w:r>
      <w:r w:rsidRPr="00917B9D">
        <w:rPr>
          <w:snapToGrid w:val="0"/>
        </w:rPr>
        <w:tab/>
        <w:t xml:space="preserve">NERL retailer to detail arrangements to </w:t>
      </w:r>
      <w:r w:rsidR="00837206" w:rsidRPr="00837206">
        <w:t>Occupier</w:t>
      </w:r>
      <w:r w:rsidRPr="00917B9D">
        <w:t>s</w:t>
      </w:r>
      <w:bookmarkEnd w:id="26"/>
    </w:p>
    <w:p w14:paraId="765F9130" w14:textId="7653367C" w:rsidR="00B457BA" w:rsidRPr="00917B9D" w:rsidRDefault="00B457BA" w:rsidP="00F61457">
      <w:r w:rsidRPr="00917B9D">
        <w:t xml:space="preserve">The </w:t>
      </w:r>
      <w:r w:rsidRPr="00917B9D">
        <w:rPr>
          <w:rFonts w:cs="Arial"/>
          <w:b/>
          <w:bCs/>
          <w:snapToGrid w:val="0"/>
        </w:rPr>
        <w:t>NERL retailer</w:t>
      </w:r>
      <w:r w:rsidRPr="00917B9D">
        <w:t xml:space="preserve"> must</w:t>
      </w:r>
      <w:r w:rsidR="00EF1670">
        <w:t xml:space="preserve"> </w:t>
      </w:r>
      <w:r w:rsidRPr="00917B9D">
        <w:t xml:space="preserve">provide a statement of the terms on which it will provide the </w:t>
      </w:r>
      <w:r w:rsidRPr="00917B9D">
        <w:rPr>
          <w:b/>
        </w:rPr>
        <w:t xml:space="preserve">supplier actions </w:t>
      </w:r>
      <w:r w:rsidRPr="00917B9D">
        <w:t xml:space="preserve">to an </w:t>
      </w:r>
      <w:r w:rsidR="00837206" w:rsidRPr="00837206">
        <w:rPr>
          <w:b/>
        </w:rPr>
        <w:t>Occupier</w:t>
      </w:r>
      <w:r w:rsidRPr="00917B9D">
        <w:t xml:space="preserve"> from whom an application has been received. Items (a) to (c) are the minimum requirements for inclusion:</w:t>
      </w:r>
    </w:p>
    <w:p w14:paraId="4B51D712" w14:textId="77777777" w:rsidR="00B457BA" w:rsidRPr="00917B9D" w:rsidRDefault="00B457BA" w:rsidP="00976DC6">
      <w:pPr>
        <w:numPr>
          <w:ilvl w:val="0"/>
          <w:numId w:val="9"/>
        </w:numPr>
        <w:tabs>
          <w:tab w:val="clear" w:pos="360"/>
        </w:tabs>
        <w:ind w:left="1417" w:hanging="720"/>
        <w:rPr>
          <w:rFonts w:cs="Arial"/>
          <w:snapToGrid w:val="0"/>
        </w:rPr>
      </w:pPr>
      <w:r w:rsidRPr="00917B9D">
        <w:rPr>
          <w:rFonts w:cs="Arial"/>
          <w:snapToGrid w:val="0"/>
        </w:rPr>
        <w:t xml:space="preserve">the information that will be provided to </w:t>
      </w:r>
      <w:r w:rsidR="00837206" w:rsidRPr="00837206">
        <w:rPr>
          <w:rFonts w:cs="Arial"/>
          <w:b/>
          <w:snapToGrid w:val="0"/>
        </w:rPr>
        <w:t>Occupier</w:t>
      </w:r>
      <w:r w:rsidRPr="00917B9D">
        <w:rPr>
          <w:rFonts w:cs="Arial"/>
          <w:b/>
          <w:snapToGrid w:val="0"/>
        </w:rPr>
        <w:t xml:space="preserve">s </w:t>
      </w:r>
      <w:r w:rsidRPr="00917B9D">
        <w:rPr>
          <w:rFonts w:cs="Arial"/>
          <w:snapToGrid w:val="0"/>
        </w:rPr>
        <w:t xml:space="preserve">when a payment for renewable </w:t>
      </w:r>
      <w:r w:rsidRPr="00917B9D">
        <w:rPr>
          <w:rFonts w:cs="Arial"/>
        </w:rPr>
        <w:t>energy</w:t>
      </w:r>
      <w:r w:rsidRPr="00917B9D">
        <w:rPr>
          <w:rFonts w:cs="Arial"/>
          <w:snapToGrid w:val="0"/>
        </w:rPr>
        <w:t xml:space="preserve"> </w:t>
      </w:r>
      <w:r w:rsidRPr="00917B9D">
        <w:rPr>
          <w:rFonts w:cs="Arial"/>
        </w:rPr>
        <w:t>is</w:t>
      </w:r>
      <w:r w:rsidRPr="00917B9D">
        <w:rPr>
          <w:rFonts w:cs="Arial"/>
          <w:snapToGrid w:val="0"/>
        </w:rPr>
        <w:t xml:space="preserve"> made, including the amount and value of any energy generated from the premises</w:t>
      </w:r>
    </w:p>
    <w:p w14:paraId="1DB4B877" w14:textId="77777777" w:rsidR="00B457BA" w:rsidRPr="00917B9D" w:rsidRDefault="00B457BA" w:rsidP="00976DC6">
      <w:pPr>
        <w:numPr>
          <w:ilvl w:val="0"/>
          <w:numId w:val="9"/>
        </w:numPr>
        <w:tabs>
          <w:tab w:val="clear" w:pos="360"/>
        </w:tabs>
        <w:ind w:left="1418" w:hanging="709"/>
        <w:rPr>
          <w:rFonts w:cs="Arial"/>
          <w:snapToGrid w:val="0"/>
        </w:rPr>
      </w:pPr>
      <w:r w:rsidRPr="00917B9D">
        <w:rPr>
          <w:rFonts w:cs="Arial"/>
          <w:snapToGrid w:val="0"/>
        </w:rPr>
        <w:t>the frequency of payments</w:t>
      </w:r>
    </w:p>
    <w:p w14:paraId="3915686D" w14:textId="77777777" w:rsidR="00B457BA" w:rsidRPr="00917B9D" w:rsidRDefault="00B457BA" w:rsidP="00976DC6">
      <w:pPr>
        <w:numPr>
          <w:ilvl w:val="0"/>
          <w:numId w:val="9"/>
        </w:numPr>
        <w:tabs>
          <w:tab w:val="clear" w:pos="360"/>
        </w:tabs>
        <w:spacing w:after="60"/>
        <w:ind w:left="1418" w:hanging="709"/>
        <w:rPr>
          <w:rFonts w:cs="Arial"/>
          <w:snapToGrid w:val="0"/>
        </w:rPr>
      </w:pPr>
      <w:r w:rsidRPr="00917B9D">
        <w:rPr>
          <w:rFonts w:cs="Arial"/>
          <w:snapToGrid w:val="0"/>
        </w:rPr>
        <w:t xml:space="preserve">the method and circumstances of payment to </w:t>
      </w:r>
      <w:r w:rsidR="00837206" w:rsidRPr="00837206">
        <w:rPr>
          <w:rFonts w:cs="Arial"/>
          <w:b/>
          <w:snapToGrid w:val="0"/>
        </w:rPr>
        <w:t>Occupier</w:t>
      </w:r>
      <w:r w:rsidRPr="00917B9D">
        <w:rPr>
          <w:rFonts w:cs="Arial"/>
          <w:b/>
          <w:snapToGrid w:val="0"/>
        </w:rPr>
        <w:t>s.</w:t>
      </w:r>
      <w:r w:rsidRPr="00917B9D">
        <w:rPr>
          <w:rFonts w:cs="Arial"/>
          <w:snapToGrid w:val="0"/>
        </w:rPr>
        <w:t xml:space="preserve"> </w:t>
      </w:r>
    </w:p>
    <w:p w14:paraId="0553E41C" w14:textId="715E1F3E" w:rsidR="00B457BA" w:rsidRPr="00917B9D" w:rsidRDefault="00EF1670" w:rsidP="00F61457">
      <w:pPr>
        <w:spacing w:before="180" w:after="60"/>
        <w:ind w:left="709"/>
        <w:rPr>
          <w:rFonts w:cs="Arial"/>
          <w:snapToGrid w:val="0"/>
        </w:rPr>
      </w:pPr>
      <w:r>
        <w:rPr>
          <w:rFonts w:cs="Arial"/>
          <w:snapToGrid w:val="0"/>
        </w:rPr>
        <w:t xml:space="preserve">The terms </w:t>
      </w:r>
      <w:r w:rsidR="00B457BA" w:rsidRPr="00917B9D">
        <w:rPr>
          <w:rFonts w:cs="Arial"/>
          <w:snapToGrid w:val="0"/>
        </w:rPr>
        <w:t xml:space="preserve">may provide that payments can be by way of an offset against the </w:t>
      </w:r>
      <w:r w:rsidR="00837206" w:rsidRPr="00837206">
        <w:rPr>
          <w:rFonts w:cs="Arial"/>
          <w:b/>
          <w:snapToGrid w:val="0"/>
        </w:rPr>
        <w:t>Occupier</w:t>
      </w:r>
      <w:r w:rsidR="00B457BA" w:rsidRPr="00917B9D">
        <w:rPr>
          <w:rFonts w:cs="Arial"/>
          <w:snapToGrid w:val="0"/>
        </w:rPr>
        <w:t xml:space="preserve">’s electricity account. </w:t>
      </w:r>
    </w:p>
    <w:p w14:paraId="7E62B6B9" w14:textId="77777777" w:rsidR="00B457BA" w:rsidRPr="00917B9D" w:rsidRDefault="00B457BA" w:rsidP="00F61457">
      <w:pPr>
        <w:pStyle w:val="Heading2"/>
        <w:rPr>
          <w:snapToGrid w:val="0"/>
        </w:rPr>
      </w:pPr>
      <w:bookmarkStart w:id="27" w:name="_Toc29202087"/>
      <w:r w:rsidRPr="00917B9D">
        <w:rPr>
          <w:snapToGrid w:val="0"/>
        </w:rPr>
        <w:t>5.2</w:t>
      </w:r>
      <w:r w:rsidRPr="00917B9D">
        <w:rPr>
          <w:snapToGrid w:val="0"/>
        </w:rPr>
        <w:tab/>
        <w:t>Dispute resolution—</w:t>
      </w:r>
      <w:r w:rsidRPr="00917B9D">
        <w:t>distributor</w:t>
      </w:r>
      <w:r w:rsidRPr="00917B9D">
        <w:rPr>
          <w:snapToGrid w:val="0"/>
        </w:rPr>
        <w:t xml:space="preserve"> disputes</w:t>
      </w:r>
      <w:bookmarkEnd w:id="27"/>
    </w:p>
    <w:p w14:paraId="2C08CC06" w14:textId="77777777" w:rsidR="00B457BA" w:rsidRPr="00A97484" w:rsidRDefault="00B457BA" w:rsidP="00D606EF">
      <w:pPr>
        <w:ind w:left="709"/>
      </w:pPr>
      <w:r w:rsidRPr="00917B9D">
        <w:t>Disputes between</w:t>
      </w:r>
      <w:r w:rsidRPr="00917B9D">
        <w:rPr>
          <w:rFonts w:cs="Arial"/>
          <w:b/>
          <w:bCs/>
          <w:snapToGrid w:val="0"/>
        </w:rPr>
        <w:t xml:space="preserve"> NERL retailers</w:t>
      </w:r>
      <w:r w:rsidRPr="00917B9D">
        <w:t xml:space="preserve"> and </w:t>
      </w:r>
      <w:r w:rsidR="00837206" w:rsidRPr="00837206">
        <w:rPr>
          <w:b/>
        </w:rPr>
        <w:t>Electricity distributor</w:t>
      </w:r>
      <w:r w:rsidRPr="00917B9D">
        <w:rPr>
          <w:b/>
        </w:rPr>
        <w:t>s</w:t>
      </w:r>
      <w:r w:rsidRPr="00917B9D">
        <w:t xml:space="preserve"> in relation to the </w:t>
      </w:r>
      <w:r w:rsidRPr="00917B9D">
        <w:rPr>
          <w:b/>
        </w:rPr>
        <w:t xml:space="preserve">Electricity Feed-in Scheme </w:t>
      </w:r>
      <w:r w:rsidRPr="00917B9D">
        <w:t xml:space="preserve">will be resolved in accordance </w:t>
      </w:r>
      <w:r w:rsidR="00AC60E7">
        <w:t>with the procedure in clause 4.3.</w:t>
      </w:r>
    </w:p>
    <w:p w14:paraId="6887BC8C" w14:textId="77777777" w:rsidR="00B457BA" w:rsidRPr="00A97484" w:rsidRDefault="00B457BA" w:rsidP="00F61457">
      <w:pPr>
        <w:pStyle w:val="Heading2"/>
        <w:rPr>
          <w:snapToGrid w:val="0"/>
        </w:rPr>
      </w:pPr>
      <w:bookmarkStart w:id="28" w:name="_Toc29202088"/>
      <w:r w:rsidRPr="00A97484">
        <w:rPr>
          <w:snapToGrid w:val="0"/>
        </w:rPr>
        <w:t>5.3</w:t>
      </w:r>
      <w:r w:rsidRPr="00A97484">
        <w:rPr>
          <w:snapToGrid w:val="0"/>
        </w:rPr>
        <w:tab/>
        <w:t>Dispute resolution—</w:t>
      </w:r>
      <w:r w:rsidR="00837206" w:rsidRPr="00837206">
        <w:rPr>
          <w:snapToGrid w:val="0"/>
        </w:rPr>
        <w:t>Occupier</w:t>
      </w:r>
      <w:r w:rsidRPr="00A97484">
        <w:rPr>
          <w:snapToGrid w:val="0"/>
        </w:rPr>
        <w:t xml:space="preserve"> </w:t>
      </w:r>
      <w:r w:rsidRPr="00A97484">
        <w:t>disputes</w:t>
      </w:r>
      <w:bookmarkEnd w:id="28"/>
    </w:p>
    <w:p w14:paraId="3A5933CE" w14:textId="42E17274" w:rsidR="00B457BA" w:rsidRPr="00D332AA" w:rsidRDefault="00B457BA" w:rsidP="00EF1670">
      <w:pPr>
        <w:pStyle w:val="Note"/>
        <w:numPr>
          <w:ilvl w:val="0"/>
          <w:numId w:val="37"/>
        </w:numPr>
        <w:tabs>
          <w:tab w:val="clear" w:pos="1712"/>
          <w:tab w:val="num" w:pos="1440"/>
        </w:tabs>
        <w:ind w:left="1440" w:right="232"/>
        <w:rPr>
          <w:rFonts w:ascii="Verdana" w:hAnsi="Verdana"/>
        </w:rPr>
      </w:pPr>
      <w:r w:rsidRPr="00EF1670">
        <w:rPr>
          <w:rFonts w:ascii="Verdana" w:hAnsi="Verdana"/>
        </w:rPr>
        <w:t xml:space="preserve">Disputes between </w:t>
      </w:r>
      <w:r w:rsidRPr="00EF1670">
        <w:rPr>
          <w:rFonts w:ascii="Verdana" w:hAnsi="Verdana" w:cs="Arial"/>
          <w:b/>
          <w:bCs/>
          <w:snapToGrid w:val="0"/>
        </w:rPr>
        <w:t>NERL retailers</w:t>
      </w:r>
      <w:r w:rsidRPr="00EF1670">
        <w:rPr>
          <w:rFonts w:ascii="Verdana" w:hAnsi="Verdana"/>
        </w:rPr>
        <w:t xml:space="preserve"> and </w:t>
      </w:r>
      <w:r w:rsidR="00837206" w:rsidRPr="00EF1670">
        <w:rPr>
          <w:rFonts w:ascii="Verdana" w:hAnsi="Verdana"/>
          <w:b/>
        </w:rPr>
        <w:t>Occupier</w:t>
      </w:r>
      <w:r w:rsidRPr="00EF1670">
        <w:rPr>
          <w:rFonts w:ascii="Verdana" w:hAnsi="Verdana"/>
          <w:b/>
        </w:rPr>
        <w:t>s</w:t>
      </w:r>
      <w:r w:rsidRPr="00EF1670">
        <w:rPr>
          <w:rFonts w:ascii="Verdana" w:hAnsi="Verdana"/>
        </w:rPr>
        <w:t xml:space="preserve"> of premises in </w:t>
      </w:r>
      <w:r w:rsidRPr="00D332AA">
        <w:rPr>
          <w:rFonts w:ascii="Verdana" w:hAnsi="Verdana"/>
        </w:rPr>
        <w:t xml:space="preserve">relation to the </w:t>
      </w:r>
      <w:r w:rsidRPr="00D332AA">
        <w:rPr>
          <w:rFonts w:ascii="Verdana" w:hAnsi="Verdana"/>
          <w:b/>
        </w:rPr>
        <w:t>Electricity Feed-in Scheme</w:t>
      </w:r>
      <w:r w:rsidRPr="00D332AA">
        <w:rPr>
          <w:rFonts w:ascii="Verdana" w:hAnsi="Verdana"/>
        </w:rPr>
        <w:t xml:space="preserve"> will be resolved in accordance with the </w:t>
      </w:r>
      <w:r w:rsidRPr="00D332AA">
        <w:rPr>
          <w:rFonts w:ascii="Verdana" w:hAnsi="Verdana"/>
          <w:b/>
          <w:snapToGrid w:val="0"/>
        </w:rPr>
        <w:t xml:space="preserve">Utilities </w:t>
      </w:r>
      <w:r w:rsidRPr="00D332AA">
        <w:rPr>
          <w:rFonts w:ascii="Verdana" w:hAnsi="Verdana"/>
          <w:b/>
        </w:rPr>
        <w:t xml:space="preserve">Act </w:t>
      </w:r>
      <w:r w:rsidRPr="00D332AA">
        <w:rPr>
          <w:rFonts w:ascii="Verdana" w:hAnsi="Verdana"/>
        </w:rPr>
        <w:t xml:space="preserve">and </w:t>
      </w:r>
      <w:r w:rsidR="00EF1670" w:rsidRPr="00D332AA">
        <w:rPr>
          <w:rFonts w:ascii="Verdana" w:hAnsi="Verdana"/>
          <w:bCs/>
        </w:rPr>
        <w:t>c</w:t>
      </w:r>
      <w:r w:rsidRPr="00D332AA">
        <w:rPr>
          <w:rFonts w:ascii="Verdana" w:hAnsi="Verdana"/>
          <w:bCs/>
        </w:rPr>
        <w:t>omplaints</w:t>
      </w:r>
      <w:r w:rsidRPr="00D332AA">
        <w:rPr>
          <w:rFonts w:ascii="Verdana" w:hAnsi="Verdana"/>
        </w:rPr>
        <w:t xml:space="preserve"> procedures developed by the</w:t>
      </w:r>
      <w:r w:rsidRPr="00D332AA">
        <w:rPr>
          <w:rFonts w:ascii="Verdana" w:hAnsi="Verdana" w:cs="Arial"/>
          <w:b/>
          <w:bCs/>
          <w:snapToGrid w:val="0"/>
        </w:rPr>
        <w:t xml:space="preserve"> NERL retailer</w:t>
      </w:r>
      <w:r w:rsidR="00EF1670" w:rsidRPr="00D332AA">
        <w:rPr>
          <w:rFonts w:ascii="Verdana" w:hAnsi="Verdana" w:cs="Arial"/>
          <w:b/>
          <w:bCs/>
          <w:snapToGrid w:val="0"/>
        </w:rPr>
        <w:t xml:space="preserve"> </w:t>
      </w:r>
      <w:r w:rsidR="00EF1670" w:rsidRPr="00D332AA">
        <w:rPr>
          <w:rFonts w:ascii="Verdana" w:hAnsi="Verdana" w:cs="Arial"/>
          <w:snapToGrid w:val="0"/>
        </w:rPr>
        <w:t>in accordance with the</w:t>
      </w:r>
      <w:r w:rsidR="00EF1670" w:rsidRPr="00D332AA">
        <w:rPr>
          <w:rFonts w:ascii="Verdana" w:hAnsi="Verdana" w:cs="Arial"/>
          <w:b/>
          <w:bCs/>
          <w:snapToGrid w:val="0"/>
        </w:rPr>
        <w:t xml:space="preserve"> Consumer Protection Code</w:t>
      </w:r>
      <w:r w:rsidRPr="00D332AA">
        <w:rPr>
          <w:rFonts w:ascii="Verdana" w:hAnsi="Verdana"/>
        </w:rPr>
        <w:t>.</w:t>
      </w:r>
    </w:p>
    <w:p w14:paraId="1DF7005B" w14:textId="676AB7B3" w:rsidR="00055843" w:rsidRPr="0092231A" w:rsidRDefault="00055843" w:rsidP="00086302">
      <w:pPr>
        <w:pStyle w:val="Note"/>
        <w:numPr>
          <w:ilvl w:val="0"/>
          <w:numId w:val="0"/>
        </w:numPr>
        <w:ind w:left="1560" w:right="232" w:hanging="708"/>
        <w:rPr>
          <w:rFonts w:cs="Arial"/>
          <w:i/>
          <w:iCs/>
          <w:u w:val="single"/>
        </w:rPr>
      </w:pPr>
      <w:bookmarkStart w:id="29" w:name="_Hlk37254594"/>
      <w:r w:rsidRPr="0092231A">
        <w:rPr>
          <w:rFonts w:cs="Arial"/>
          <w:i/>
          <w:iCs/>
        </w:rPr>
        <w:t>Note:</w:t>
      </w:r>
      <w:r w:rsidRPr="0092231A">
        <w:rPr>
          <w:rFonts w:cs="Arial"/>
          <w:i/>
          <w:iCs/>
        </w:rPr>
        <w:tab/>
        <w:t xml:space="preserve">An </w:t>
      </w:r>
      <w:r w:rsidRPr="0092231A">
        <w:rPr>
          <w:rFonts w:cs="Arial"/>
          <w:b/>
          <w:bCs/>
          <w:i/>
          <w:iCs/>
        </w:rPr>
        <w:t>Occupier</w:t>
      </w:r>
      <w:r w:rsidRPr="0092231A">
        <w:rPr>
          <w:rFonts w:cs="Arial"/>
          <w:i/>
          <w:iCs/>
        </w:rPr>
        <w:t xml:space="preserve"> may have rights to refer</w:t>
      </w:r>
      <w:r w:rsidR="00A356D9">
        <w:rPr>
          <w:rFonts w:cs="Arial"/>
          <w:i/>
          <w:iCs/>
        </w:rPr>
        <w:t xml:space="preserve"> a dispute to</w:t>
      </w:r>
      <w:r w:rsidRPr="0092231A">
        <w:rPr>
          <w:rFonts w:cs="Arial"/>
          <w:i/>
          <w:iCs/>
        </w:rPr>
        <w:t xml:space="preserve"> </w:t>
      </w:r>
      <w:r w:rsidRPr="0092231A">
        <w:rPr>
          <w:rFonts w:cs="Arial"/>
          <w:b/>
          <w:bCs/>
          <w:i/>
          <w:iCs/>
        </w:rPr>
        <w:t>ACAT</w:t>
      </w:r>
      <w:r w:rsidRPr="0092231A">
        <w:rPr>
          <w:rFonts w:cs="Arial"/>
          <w:i/>
          <w:iCs/>
        </w:rPr>
        <w:t xml:space="preserve"> under Part 12 of the </w:t>
      </w:r>
      <w:r w:rsidRPr="0092231A">
        <w:rPr>
          <w:rFonts w:cs="Arial"/>
          <w:b/>
          <w:bCs/>
          <w:i/>
          <w:iCs/>
        </w:rPr>
        <w:t>Utilities Act</w:t>
      </w:r>
      <w:r w:rsidRPr="0092231A">
        <w:rPr>
          <w:rFonts w:cs="Arial"/>
          <w:i/>
          <w:iCs/>
        </w:rPr>
        <w:t xml:space="preserve"> (Complaints to ACAT about Utilities)</w:t>
      </w:r>
    </w:p>
    <w:p w14:paraId="03C31131" w14:textId="77777777" w:rsidR="00B457BA" w:rsidRPr="00917B9D" w:rsidRDefault="00B457BA" w:rsidP="00F61457">
      <w:pPr>
        <w:pStyle w:val="Heading1"/>
      </w:pPr>
      <w:bookmarkStart w:id="30" w:name="_Toc530068765"/>
      <w:bookmarkStart w:id="31" w:name="_Toc29202089"/>
      <w:bookmarkEnd w:id="29"/>
      <w:r w:rsidRPr="00917B9D">
        <w:t>6.</w:t>
      </w:r>
      <w:r w:rsidRPr="00917B9D">
        <w:tab/>
        <w:t xml:space="preserve">OCCUPIER PROTECTIONS </w:t>
      </w:r>
      <w:bookmarkEnd w:id="30"/>
      <w:r w:rsidRPr="00917B9D">
        <w:t>AND OBLIGATIONS</w:t>
      </w:r>
      <w:bookmarkEnd w:id="31"/>
    </w:p>
    <w:p w14:paraId="6D773859" w14:textId="77777777" w:rsidR="00B457BA" w:rsidRPr="00917B9D" w:rsidRDefault="00B457BA" w:rsidP="00F61457">
      <w:pPr>
        <w:pStyle w:val="Heading2"/>
        <w:rPr>
          <w:snapToGrid w:val="0"/>
        </w:rPr>
      </w:pPr>
      <w:bookmarkStart w:id="32" w:name="_Toc29202090"/>
      <w:r w:rsidRPr="00917B9D">
        <w:rPr>
          <w:snapToGrid w:val="0"/>
        </w:rPr>
        <w:t>6.1</w:t>
      </w:r>
      <w:r w:rsidRPr="00917B9D">
        <w:rPr>
          <w:snapToGrid w:val="0"/>
        </w:rPr>
        <w:tab/>
        <w:t xml:space="preserve">Applicability of Consumer Protection Code </w:t>
      </w:r>
      <w:r w:rsidRPr="00917B9D">
        <w:t>provisions</w:t>
      </w:r>
      <w:bookmarkEnd w:id="32"/>
      <w:r w:rsidRPr="00917B9D">
        <w:rPr>
          <w:u w:val="single"/>
        </w:rPr>
        <w:t xml:space="preserve"> </w:t>
      </w:r>
    </w:p>
    <w:p w14:paraId="11B9AD57" w14:textId="20A79720" w:rsidR="00B457BA" w:rsidRPr="00917B9D" w:rsidRDefault="00B457BA" w:rsidP="00F61457">
      <w:pPr>
        <w:pStyle w:val="NormalWeb"/>
        <w:ind w:left="720"/>
        <w:rPr>
          <w:b/>
          <w:snapToGrid w:val="0"/>
        </w:rPr>
      </w:pPr>
      <w:r w:rsidRPr="00917B9D">
        <w:rPr>
          <w:b/>
        </w:rPr>
        <w:t xml:space="preserve">Electricity distributors </w:t>
      </w:r>
      <w:r w:rsidRPr="00917B9D">
        <w:t>and</w:t>
      </w:r>
      <w:r w:rsidRPr="00917B9D">
        <w:rPr>
          <w:b/>
        </w:rPr>
        <w:t xml:space="preserve"> </w:t>
      </w:r>
      <w:r w:rsidRPr="00917B9D">
        <w:rPr>
          <w:b/>
          <w:snapToGrid w:val="0"/>
        </w:rPr>
        <w:t xml:space="preserve">NERL retailers </w:t>
      </w:r>
      <w:r w:rsidRPr="00917B9D">
        <w:rPr>
          <w:snapToGrid w:val="0"/>
        </w:rPr>
        <w:t>must comply with the</w:t>
      </w:r>
      <w:r w:rsidRPr="00917B9D">
        <w:rPr>
          <w:b/>
          <w:snapToGrid w:val="0"/>
        </w:rPr>
        <w:t xml:space="preserve"> </w:t>
      </w:r>
      <w:r w:rsidR="007D482D" w:rsidRPr="007D482D">
        <w:rPr>
          <w:b/>
          <w:snapToGrid w:val="0"/>
        </w:rPr>
        <w:t>Consumer Protection Code</w:t>
      </w:r>
      <w:r w:rsidRPr="00917B9D">
        <w:rPr>
          <w:snapToGrid w:val="0"/>
        </w:rPr>
        <w:t>.</w:t>
      </w:r>
    </w:p>
    <w:p w14:paraId="1B3B9197" w14:textId="77777777" w:rsidR="00B457BA" w:rsidRPr="00917B9D" w:rsidRDefault="00B457BA" w:rsidP="00F61457">
      <w:pPr>
        <w:pStyle w:val="Heading2"/>
        <w:rPr>
          <w:snapToGrid w:val="0"/>
        </w:rPr>
      </w:pPr>
      <w:bookmarkStart w:id="33" w:name="_Toc29202091"/>
      <w:r w:rsidRPr="00917B9D">
        <w:rPr>
          <w:snapToGrid w:val="0"/>
        </w:rPr>
        <w:t>6.2</w:t>
      </w:r>
      <w:r w:rsidRPr="00917B9D">
        <w:rPr>
          <w:snapToGrid w:val="0"/>
        </w:rPr>
        <w:tab/>
        <w:t xml:space="preserve">Extended definition of ‘utility </w:t>
      </w:r>
      <w:r w:rsidRPr="00917B9D">
        <w:t>service’</w:t>
      </w:r>
      <w:bookmarkEnd w:id="33"/>
    </w:p>
    <w:p w14:paraId="574CFD0F" w14:textId="6C6A3CBA" w:rsidR="00B457BA" w:rsidRPr="00917B9D" w:rsidRDefault="00B457BA" w:rsidP="00F61457">
      <w:r w:rsidRPr="00917B9D">
        <w:t>For the purpose of this Code, the definition of ‘utility service’ in the</w:t>
      </w:r>
      <w:r w:rsidRPr="00917B9D">
        <w:rPr>
          <w:b/>
          <w:snapToGrid w:val="0"/>
        </w:rPr>
        <w:t xml:space="preserve"> </w:t>
      </w:r>
      <w:r w:rsidR="007D482D" w:rsidRPr="007D482D">
        <w:rPr>
          <w:b/>
          <w:snapToGrid w:val="0"/>
        </w:rPr>
        <w:t>Consumer Protection Code</w:t>
      </w:r>
      <w:r w:rsidR="007A45D5">
        <w:rPr>
          <w:snapToGrid w:val="0"/>
        </w:rPr>
        <w:t xml:space="preserve"> </w:t>
      </w:r>
      <w:r w:rsidRPr="00917B9D">
        <w:t xml:space="preserve">is to be read to include the </w:t>
      </w:r>
      <w:r w:rsidRPr="00917B9D">
        <w:rPr>
          <w:b/>
        </w:rPr>
        <w:t>distributor actions</w:t>
      </w:r>
      <w:r w:rsidRPr="00917B9D">
        <w:t xml:space="preserve"> and/or </w:t>
      </w:r>
      <w:r w:rsidRPr="00917B9D">
        <w:rPr>
          <w:b/>
        </w:rPr>
        <w:t>supplier actions</w:t>
      </w:r>
      <w:r w:rsidRPr="00917B9D">
        <w:t xml:space="preserve">. </w:t>
      </w:r>
    </w:p>
    <w:p w14:paraId="3F9512EC" w14:textId="77777777" w:rsidR="00B457BA" w:rsidRPr="00917B9D" w:rsidRDefault="00B457BA" w:rsidP="00F61457">
      <w:pPr>
        <w:pStyle w:val="Heading2"/>
        <w:ind w:left="720" w:hanging="720"/>
        <w:rPr>
          <w:snapToGrid w:val="0"/>
        </w:rPr>
      </w:pPr>
      <w:bookmarkStart w:id="34" w:name="_Toc29202092"/>
      <w:r w:rsidRPr="00917B9D">
        <w:rPr>
          <w:snapToGrid w:val="0"/>
        </w:rPr>
        <w:t>6.3</w:t>
      </w:r>
      <w:r w:rsidRPr="00917B9D">
        <w:rPr>
          <w:snapToGrid w:val="0"/>
        </w:rPr>
        <w:tab/>
        <w:t xml:space="preserve">Electricity supply debts and </w:t>
      </w:r>
      <w:r w:rsidRPr="00917B9D">
        <w:t>hardship</w:t>
      </w:r>
      <w:r w:rsidRPr="00917B9D">
        <w:rPr>
          <w:snapToGrid w:val="0"/>
        </w:rPr>
        <w:t xml:space="preserve"> provisions</w:t>
      </w:r>
      <w:bookmarkEnd w:id="34"/>
      <w:r w:rsidRPr="00917B9D">
        <w:rPr>
          <w:snapToGrid w:val="0"/>
        </w:rPr>
        <w:t xml:space="preserve"> </w:t>
      </w:r>
    </w:p>
    <w:p w14:paraId="5503C5D8" w14:textId="77777777" w:rsidR="00B457BA" w:rsidRPr="00917B9D" w:rsidRDefault="00B457BA" w:rsidP="00F61457">
      <w:r w:rsidRPr="00917B9D">
        <w:t xml:space="preserve">Despite clause </w:t>
      </w:r>
      <w:r w:rsidR="001C2CC7">
        <w:t>6</w:t>
      </w:r>
      <w:r w:rsidRPr="001C2CC7">
        <w:t>.1,</w:t>
      </w:r>
      <w:r w:rsidR="007D482D" w:rsidRPr="007D482D">
        <w:rPr>
          <w:b/>
        </w:rPr>
        <w:t xml:space="preserve"> </w:t>
      </w:r>
      <w:r w:rsidR="007D482D" w:rsidRPr="007D482D">
        <w:t>a</w:t>
      </w:r>
      <w:r w:rsidR="006A4FC7" w:rsidRPr="006A4FC7">
        <w:rPr>
          <w:b/>
        </w:rPr>
        <w:t xml:space="preserve"> NERL</w:t>
      </w:r>
      <w:r w:rsidR="006A4FC7">
        <w:rPr>
          <w:b/>
        </w:rPr>
        <w:t xml:space="preserve"> </w:t>
      </w:r>
      <w:r w:rsidRPr="001C2CC7">
        <w:rPr>
          <w:rFonts w:cs="Arial"/>
          <w:b/>
          <w:bCs/>
          <w:snapToGrid w:val="0"/>
        </w:rPr>
        <w:t>retailer</w:t>
      </w:r>
      <w:r w:rsidRPr="001C2CC7">
        <w:t xml:space="preserve"> must not set terms that would require a payment owing to an </w:t>
      </w:r>
      <w:r w:rsidR="00837206" w:rsidRPr="00837206">
        <w:rPr>
          <w:b/>
        </w:rPr>
        <w:t>Occupier</w:t>
      </w:r>
      <w:r w:rsidRPr="00ED23F0">
        <w:t xml:space="preserve"> under the </w:t>
      </w:r>
      <w:r w:rsidRPr="00F85AF5">
        <w:rPr>
          <w:b/>
        </w:rPr>
        <w:t>supplier actions</w:t>
      </w:r>
      <w:r w:rsidRPr="00F85AF5">
        <w:t xml:space="preserve"> to be used (without the approval of th</w:t>
      </w:r>
      <w:r w:rsidRPr="003F635B">
        <w:t xml:space="preserve">e </w:t>
      </w:r>
      <w:r w:rsidR="00837206" w:rsidRPr="00837206">
        <w:rPr>
          <w:b/>
        </w:rPr>
        <w:t>Occupier</w:t>
      </w:r>
      <w:r w:rsidRPr="00917B9D">
        <w:t xml:space="preserve">) to recover an </w:t>
      </w:r>
      <w:r w:rsidRPr="00917B9D">
        <w:rPr>
          <w:b/>
        </w:rPr>
        <w:t>electricity supply</w:t>
      </w:r>
      <w:r w:rsidRPr="00917B9D">
        <w:t xml:space="preserve"> debt:</w:t>
      </w:r>
    </w:p>
    <w:p w14:paraId="0CC9CEB5" w14:textId="77777777" w:rsidR="007B1E41" w:rsidRPr="00D127EC" w:rsidRDefault="007D482D" w:rsidP="00FE019B">
      <w:pPr>
        <w:pStyle w:val="aparagraphs"/>
        <w:numPr>
          <w:ilvl w:val="0"/>
          <w:numId w:val="17"/>
        </w:numPr>
        <w:ind w:right="232"/>
        <w:rPr>
          <w:rFonts w:ascii="Verdana" w:hAnsi="Verdana"/>
          <w:sz w:val="20"/>
          <w:szCs w:val="20"/>
        </w:rPr>
      </w:pPr>
      <w:r w:rsidRPr="00D127EC">
        <w:rPr>
          <w:rFonts w:ascii="Verdana" w:hAnsi="Verdana"/>
          <w:sz w:val="20"/>
          <w:szCs w:val="20"/>
        </w:rPr>
        <w:t xml:space="preserve">which is the subject of a hardship provisions under Part 2, Division 6 of the </w:t>
      </w:r>
      <w:r w:rsidRPr="00D127EC">
        <w:rPr>
          <w:rFonts w:ascii="Verdana" w:hAnsi="Verdana"/>
          <w:i/>
          <w:sz w:val="20"/>
          <w:szCs w:val="20"/>
        </w:rPr>
        <w:t>National Energy Retail Law (ACT)</w:t>
      </w:r>
      <w:r w:rsidRPr="00D127EC">
        <w:rPr>
          <w:rFonts w:ascii="Verdana" w:hAnsi="Verdana"/>
          <w:sz w:val="20"/>
          <w:szCs w:val="20"/>
        </w:rPr>
        <w:t xml:space="preserve">;  </w:t>
      </w:r>
    </w:p>
    <w:p w14:paraId="350BA410" w14:textId="77777777" w:rsidR="007B1E41" w:rsidRPr="00D127EC" w:rsidRDefault="00B457BA" w:rsidP="00FE019B">
      <w:pPr>
        <w:pStyle w:val="aparagraphs"/>
        <w:numPr>
          <w:ilvl w:val="0"/>
          <w:numId w:val="17"/>
        </w:numPr>
        <w:ind w:right="232"/>
        <w:rPr>
          <w:rFonts w:ascii="Verdana" w:hAnsi="Verdana"/>
          <w:sz w:val="20"/>
          <w:szCs w:val="20"/>
        </w:rPr>
      </w:pPr>
      <w:r w:rsidRPr="00D127EC">
        <w:rPr>
          <w:rFonts w:ascii="Verdana" w:hAnsi="Verdana"/>
          <w:sz w:val="20"/>
          <w:szCs w:val="20"/>
        </w:rPr>
        <w:lastRenderedPageBreak/>
        <w:t xml:space="preserve">contrary to a direction of the ACT Civil and Administrative Tribunal under Part 12 of the </w:t>
      </w:r>
      <w:r w:rsidRPr="00D127EC">
        <w:rPr>
          <w:rFonts w:ascii="Verdana" w:hAnsi="Verdana"/>
          <w:b/>
          <w:sz w:val="20"/>
          <w:szCs w:val="20"/>
        </w:rPr>
        <w:t>Utilities</w:t>
      </w:r>
      <w:r w:rsidR="007D482D" w:rsidRPr="00D127EC">
        <w:rPr>
          <w:rFonts w:ascii="Verdana" w:hAnsi="Verdana"/>
          <w:sz w:val="20"/>
          <w:szCs w:val="20"/>
        </w:rPr>
        <w:t xml:space="preserve"> </w:t>
      </w:r>
      <w:r w:rsidRPr="00D127EC">
        <w:rPr>
          <w:rFonts w:ascii="Verdana" w:hAnsi="Verdana"/>
          <w:b/>
          <w:sz w:val="20"/>
          <w:szCs w:val="20"/>
        </w:rPr>
        <w:t>Act</w:t>
      </w:r>
      <w:r w:rsidR="007D482D" w:rsidRPr="00D127EC">
        <w:rPr>
          <w:rFonts w:ascii="Verdana" w:hAnsi="Verdana"/>
          <w:sz w:val="20"/>
          <w:szCs w:val="20"/>
        </w:rPr>
        <w:t>; or</w:t>
      </w:r>
    </w:p>
    <w:p w14:paraId="1AA1B708" w14:textId="77777777" w:rsidR="007B1E41" w:rsidRPr="00D127EC" w:rsidRDefault="007D482D" w:rsidP="00FE019B">
      <w:pPr>
        <w:pStyle w:val="aparagraphs"/>
        <w:numPr>
          <w:ilvl w:val="0"/>
          <w:numId w:val="17"/>
        </w:numPr>
        <w:ind w:right="232"/>
        <w:rPr>
          <w:rFonts w:ascii="Verdana" w:hAnsi="Verdana"/>
          <w:sz w:val="20"/>
          <w:szCs w:val="20"/>
        </w:rPr>
      </w:pPr>
      <w:r w:rsidRPr="00D127EC">
        <w:rPr>
          <w:rFonts w:ascii="Verdana" w:hAnsi="Verdana"/>
          <w:sz w:val="20"/>
          <w:szCs w:val="20"/>
        </w:rPr>
        <w:t xml:space="preserve">contrary to an arrangement for the repayment of an electricity supply debt agreed by the </w:t>
      </w:r>
      <w:r w:rsidR="00837206" w:rsidRPr="00D127EC">
        <w:rPr>
          <w:rFonts w:ascii="Verdana" w:hAnsi="Verdana"/>
          <w:b/>
          <w:sz w:val="20"/>
          <w:szCs w:val="20"/>
        </w:rPr>
        <w:t>Occupier</w:t>
      </w:r>
      <w:r w:rsidRPr="00D127EC">
        <w:rPr>
          <w:rFonts w:ascii="Verdana" w:hAnsi="Verdana"/>
          <w:sz w:val="20"/>
          <w:szCs w:val="20"/>
        </w:rPr>
        <w:t xml:space="preserve"> and </w:t>
      </w:r>
      <w:r w:rsidRPr="00D127EC">
        <w:rPr>
          <w:rFonts w:ascii="Verdana" w:hAnsi="Verdana"/>
          <w:b/>
          <w:sz w:val="20"/>
          <w:szCs w:val="20"/>
        </w:rPr>
        <w:t>NERL</w:t>
      </w:r>
      <w:r w:rsidRPr="00D127EC">
        <w:rPr>
          <w:rFonts w:ascii="Verdana" w:hAnsi="Verdana"/>
          <w:sz w:val="20"/>
          <w:szCs w:val="20"/>
        </w:rPr>
        <w:t xml:space="preserve"> </w:t>
      </w:r>
      <w:r w:rsidRPr="00D127EC">
        <w:rPr>
          <w:rFonts w:ascii="Verdana" w:hAnsi="Verdana"/>
          <w:b/>
          <w:sz w:val="20"/>
          <w:szCs w:val="20"/>
        </w:rPr>
        <w:t>retailer</w:t>
      </w:r>
      <w:r w:rsidRPr="00D127EC">
        <w:rPr>
          <w:rFonts w:ascii="Verdana" w:hAnsi="Verdana"/>
          <w:sz w:val="20"/>
          <w:szCs w:val="20"/>
        </w:rPr>
        <w:t>.</w:t>
      </w:r>
    </w:p>
    <w:p w14:paraId="48F770BE" w14:textId="77777777" w:rsidR="00B457BA" w:rsidRPr="00917B9D" w:rsidRDefault="00B457BA" w:rsidP="00F61457">
      <w:pPr>
        <w:pStyle w:val="Heading2"/>
        <w:rPr>
          <w:snapToGrid w:val="0"/>
        </w:rPr>
      </w:pPr>
      <w:bookmarkStart w:id="35" w:name="_Toc29202093"/>
      <w:r w:rsidRPr="00917B9D">
        <w:rPr>
          <w:snapToGrid w:val="0"/>
        </w:rPr>
        <w:t>6.4</w:t>
      </w:r>
      <w:r w:rsidRPr="00917B9D">
        <w:rPr>
          <w:snapToGrid w:val="0"/>
        </w:rPr>
        <w:tab/>
        <w:t xml:space="preserve">Requirement for </w:t>
      </w:r>
      <w:r w:rsidR="00837206" w:rsidRPr="00837206">
        <w:rPr>
          <w:snapToGrid w:val="0"/>
        </w:rPr>
        <w:t>Occupier</w:t>
      </w:r>
      <w:r w:rsidRPr="00917B9D">
        <w:rPr>
          <w:snapToGrid w:val="0"/>
        </w:rPr>
        <w:t xml:space="preserve"> </w:t>
      </w:r>
      <w:r w:rsidRPr="00917B9D">
        <w:t>application</w:t>
      </w:r>
      <w:bookmarkEnd w:id="35"/>
    </w:p>
    <w:p w14:paraId="57AD03C3" w14:textId="77777777" w:rsidR="00B457BA" w:rsidRPr="00917B9D" w:rsidRDefault="00B457BA" w:rsidP="00F61457">
      <w:r w:rsidRPr="00917B9D">
        <w:t xml:space="preserve">The </w:t>
      </w:r>
      <w:r w:rsidRPr="00917B9D">
        <w:rPr>
          <w:b/>
        </w:rPr>
        <w:t>distributor actions</w:t>
      </w:r>
      <w:r w:rsidRPr="00917B9D">
        <w:t xml:space="preserve"> and </w:t>
      </w:r>
      <w:r w:rsidRPr="00917B9D">
        <w:rPr>
          <w:b/>
        </w:rPr>
        <w:t>supplier actions</w:t>
      </w:r>
      <w:r w:rsidRPr="00917B9D">
        <w:t xml:space="preserve"> cannot be provided in the absence of an application from an </w:t>
      </w:r>
      <w:r w:rsidR="00837206" w:rsidRPr="00837206">
        <w:rPr>
          <w:b/>
        </w:rPr>
        <w:t>Occupier</w:t>
      </w:r>
      <w:r w:rsidRPr="00917B9D">
        <w:t xml:space="preserve"> of premises for such services. A person taking up occupancy of premises with an installed generation capacity is required to apply to the </w:t>
      </w:r>
      <w:r w:rsidRPr="00917B9D">
        <w:rPr>
          <w:rFonts w:cs="Arial"/>
          <w:b/>
          <w:bCs/>
          <w:snapToGrid w:val="0"/>
        </w:rPr>
        <w:t>NERL retailer</w:t>
      </w:r>
      <w:r w:rsidRPr="00917B9D">
        <w:t xml:space="preserve"> to participate in the</w:t>
      </w:r>
      <w:r w:rsidRPr="00917B9D">
        <w:rPr>
          <w:b/>
        </w:rPr>
        <w:t xml:space="preserve"> Electricity Feed-In Scheme.</w:t>
      </w:r>
    </w:p>
    <w:p w14:paraId="23762868" w14:textId="77777777" w:rsidR="00B457BA" w:rsidRPr="00917B9D" w:rsidRDefault="00B457BA" w:rsidP="00F61457">
      <w:pPr>
        <w:pStyle w:val="Heading1"/>
      </w:pPr>
      <w:bookmarkStart w:id="36" w:name="_Toc530068769"/>
      <w:r w:rsidRPr="00917B9D">
        <w:br w:type="page"/>
      </w:r>
      <w:bookmarkStart w:id="37" w:name="_Toc29202094"/>
      <w:bookmarkEnd w:id="25"/>
      <w:bookmarkEnd w:id="36"/>
      <w:r w:rsidRPr="00917B9D">
        <w:lastRenderedPageBreak/>
        <w:t>DICTIONARY</w:t>
      </w:r>
      <w:bookmarkEnd w:id="37"/>
    </w:p>
    <w:p w14:paraId="409C54FB" w14:textId="59C2C1BA" w:rsidR="00055843" w:rsidRPr="00086302" w:rsidRDefault="00055843" w:rsidP="00976DC6">
      <w:pPr>
        <w:numPr>
          <w:ilvl w:val="0"/>
          <w:numId w:val="10"/>
        </w:numPr>
        <w:tabs>
          <w:tab w:val="clear" w:pos="720"/>
          <w:tab w:val="num" w:pos="567"/>
        </w:tabs>
        <w:spacing w:after="160"/>
        <w:rPr>
          <w:rFonts w:cs="Arial"/>
          <w:snapToGrid w:val="0"/>
        </w:rPr>
      </w:pPr>
      <w:r>
        <w:rPr>
          <w:rFonts w:cs="Arial"/>
          <w:snapToGrid w:val="0"/>
        </w:rPr>
        <w:t>‘</w:t>
      </w:r>
      <w:r w:rsidRPr="00086302">
        <w:rPr>
          <w:rFonts w:cs="Arial"/>
          <w:b/>
          <w:bCs/>
          <w:snapToGrid w:val="0"/>
        </w:rPr>
        <w:t>ACAT</w:t>
      </w:r>
      <w:r>
        <w:rPr>
          <w:rFonts w:cs="Arial"/>
          <w:snapToGrid w:val="0"/>
        </w:rPr>
        <w:t xml:space="preserve">’ means the ACT Civil and Administrative Tribunal established under the </w:t>
      </w:r>
      <w:r w:rsidRPr="00086302">
        <w:rPr>
          <w:rFonts w:cs="Arial"/>
          <w:i/>
          <w:iCs/>
          <w:snapToGrid w:val="0"/>
        </w:rPr>
        <w:t>ACT Civil and Administrative Tribunal Act 2008</w:t>
      </w:r>
      <w:r>
        <w:rPr>
          <w:rFonts w:cs="Arial"/>
          <w:snapToGrid w:val="0"/>
        </w:rPr>
        <w:t xml:space="preserve"> (ACT)</w:t>
      </w:r>
    </w:p>
    <w:p w14:paraId="06F8EC16" w14:textId="26B67467" w:rsidR="00B457BA" w:rsidRPr="00917B9D" w:rsidRDefault="00B457BA" w:rsidP="00976DC6">
      <w:pPr>
        <w:numPr>
          <w:ilvl w:val="0"/>
          <w:numId w:val="10"/>
        </w:numPr>
        <w:tabs>
          <w:tab w:val="clear" w:pos="720"/>
          <w:tab w:val="num" w:pos="567"/>
        </w:tabs>
        <w:spacing w:after="160"/>
        <w:rPr>
          <w:rFonts w:cs="Arial"/>
          <w:snapToGrid w:val="0"/>
        </w:rPr>
      </w:pPr>
      <w:r w:rsidRPr="00917B9D">
        <w:rPr>
          <w:rFonts w:cs="Arial"/>
          <w:b/>
          <w:bCs/>
          <w:lang w:val="en-US"/>
        </w:rPr>
        <w:t>‘Commission’</w:t>
      </w:r>
      <w:r w:rsidRPr="00917B9D">
        <w:rPr>
          <w:rFonts w:cs="Arial"/>
          <w:bCs/>
          <w:lang w:val="en-US"/>
        </w:rPr>
        <w:t xml:space="preserve"> means the Independent Competition and Regulatory Commission.</w:t>
      </w:r>
    </w:p>
    <w:p w14:paraId="1685B45A" w14:textId="24504D54" w:rsidR="00B457BA" w:rsidRPr="00917B9D" w:rsidRDefault="00B457BA" w:rsidP="00976DC6">
      <w:pPr>
        <w:numPr>
          <w:ilvl w:val="0"/>
          <w:numId w:val="10"/>
        </w:numPr>
        <w:tabs>
          <w:tab w:val="clear" w:pos="720"/>
          <w:tab w:val="num" w:pos="567"/>
        </w:tabs>
        <w:spacing w:after="160"/>
        <w:rPr>
          <w:rFonts w:cs="Arial"/>
          <w:snapToGrid w:val="0"/>
        </w:rPr>
      </w:pPr>
      <w:r w:rsidRPr="00917B9D">
        <w:rPr>
          <w:rFonts w:cs="Arial"/>
          <w:b/>
          <w:bCs/>
          <w:lang w:val="en-US"/>
        </w:rPr>
        <w:t xml:space="preserve">‘Consumer Protection Code’ </w:t>
      </w:r>
      <w:r w:rsidRPr="00917B9D">
        <w:rPr>
          <w:rFonts w:cs="Arial"/>
          <w:snapToGrid w:val="0"/>
        </w:rPr>
        <w:t xml:space="preserve">means the </w:t>
      </w:r>
      <w:r w:rsidRPr="00917B9D">
        <w:rPr>
          <w:rFonts w:cs="Arial"/>
          <w:b/>
          <w:bCs/>
          <w:lang w:val="en-US"/>
        </w:rPr>
        <w:t>Consumer Protection Code</w:t>
      </w:r>
      <w:r w:rsidRPr="00917B9D">
        <w:rPr>
          <w:rFonts w:cs="Arial"/>
          <w:snapToGrid w:val="0"/>
        </w:rPr>
        <w:t xml:space="preserve"> approved as </w:t>
      </w:r>
      <w:r w:rsidR="007D482D" w:rsidRPr="007D482D">
        <w:rPr>
          <w:rFonts w:cs="Arial"/>
          <w:i/>
          <w:snapToGrid w:val="0"/>
        </w:rPr>
        <w:t xml:space="preserve">Utilities (Consumer Protection Code) Determination </w:t>
      </w:r>
      <w:r w:rsidR="00CE5240">
        <w:rPr>
          <w:rFonts w:cs="Arial"/>
          <w:i/>
          <w:snapToGrid w:val="0"/>
        </w:rPr>
        <w:t>2020</w:t>
      </w:r>
      <w:r w:rsidR="00CE5240" w:rsidRPr="00917B9D">
        <w:t xml:space="preserve"> </w:t>
      </w:r>
      <w:r w:rsidRPr="00917B9D">
        <w:rPr>
          <w:rFonts w:cs="Arial"/>
          <w:snapToGrid w:val="0"/>
        </w:rPr>
        <w:t xml:space="preserve">under Part 4 of the </w:t>
      </w:r>
      <w:r w:rsidRPr="00917B9D">
        <w:rPr>
          <w:rFonts w:cs="Arial"/>
          <w:b/>
          <w:snapToGrid w:val="0"/>
        </w:rPr>
        <w:t>Utilities</w:t>
      </w:r>
      <w:r w:rsidRPr="00917B9D">
        <w:rPr>
          <w:rFonts w:cs="Arial"/>
          <w:snapToGrid w:val="0"/>
        </w:rPr>
        <w:t xml:space="preserve"> </w:t>
      </w:r>
      <w:r w:rsidRPr="00917B9D">
        <w:rPr>
          <w:rFonts w:cs="Arial"/>
          <w:b/>
          <w:bCs/>
          <w:snapToGrid w:val="0"/>
        </w:rPr>
        <w:t>Act</w:t>
      </w:r>
      <w:r w:rsidRPr="00917B9D">
        <w:rPr>
          <w:rFonts w:cs="Arial"/>
          <w:snapToGrid w:val="0"/>
        </w:rPr>
        <w:t>.</w:t>
      </w:r>
    </w:p>
    <w:p w14:paraId="2264A88E" w14:textId="77777777" w:rsidR="00B457BA" w:rsidRPr="00917B9D" w:rsidRDefault="00B457BA" w:rsidP="00976DC6">
      <w:pPr>
        <w:numPr>
          <w:ilvl w:val="0"/>
          <w:numId w:val="10"/>
        </w:numPr>
        <w:tabs>
          <w:tab w:val="clear" w:pos="720"/>
          <w:tab w:val="num" w:pos="567"/>
        </w:tabs>
        <w:spacing w:after="160"/>
        <w:rPr>
          <w:rFonts w:cs="Arial"/>
          <w:snapToGrid w:val="0"/>
        </w:rPr>
      </w:pPr>
      <w:r w:rsidRPr="00917B9D" w:rsidDel="00AD1145">
        <w:rPr>
          <w:rFonts w:cs="Arial"/>
          <w:b/>
          <w:bCs/>
          <w:snapToGrid w:val="0"/>
        </w:rPr>
        <w:t xml:space="preserve"> </w:t>
      </w:r>
      <w:r w:rsidRPr="00917B9D">
        <w:rPr>
          <w:rFonts w:cs="Arial"/>
          <w:b/>
          <w:bCs/>
          <w:snapToGrid w:val="0"/>
        </w:rPr>
        <w:t xml:space="preserve">‘Distributor actions’ </w:t>
      </w:r>
      <w:r w:rsidRPr="00917B9D">
        <w:rPr>
          <w:rFonts w:cs="Arial"/>
          <w:bCs/>
          <w:snapToGrid w:val="0"/>
        </w:rPr>
        <w:t xml:space="preserve">are the actions required by an </w:t>
      </w:r>
      <w:r w:rsidR="00837206" w:rsidRPr="00837206">
        <w:rPr>
          <w:rFonts w:cs="Arial"/>
          <w:b/>
          <w:bCs/>
          <w:snapToGrid w:val="0"/>
        </w:rPr>
        <w:t>Electricity distributor</w:t>
      </w:r>
      <w:r w:rsidRPr="00917B9D">
        <w:rPr>
          <w:rFonts w:cs="Arial"/>
          <w:bCs/>
          <w:snapToGrid w:val="0"/>
        </w:rPr>
        <w:t xml:space="preserve"> under section 6(2) of the </w:t>
      </w:r>
      <w:r w:rsidRPr="00917B9D">
        <w:rPr>
          <w:rFonts w:cs="Arial"/>
          <w:b/>
          <w:bCs/>
          <w:snapToGrid w:val="0"/>
        </w:rPr>
        <w:t>Electricity Feed-in Act</w:t>
      </w:r>
      <w:r w:rsidRPr="00917B9D">
        <w:rPr>
          <w:rFonts w:cs="Arial"/>
          <w:bCs/>
          <w:snapToGrid w:val="0"/>
        </w:rPr>
        <w:t>.</w:t>
      </w:r>
    </w:p>
    <w:p w14:paraId="0AA30A7C" w14:textId="77777777" w:rsidR="00B457BA" w:rsidRPr="00917B9D" w:rsidRDefault="00B457BA" w:rsidP="00976DC6">
      <w:pPr>
        <w:numPr>
          <w:ilvl w:val="0"/>
          <w:numId w:val="10"/>
        </w:numPr>
        <w:tabs>
          <w:tab w:val="clear" w:pos="720"/>
          <w:tab w:val="num" w:pos="567"/>
        </w:tabs>
        <w:spacing w:after="160"/>
        <w:rPr>
          <w:rFonts w:cs="Arial"/>
          <w:snapToGrid w:val="0"/>
        </w:rPr>
      </w:pPr>
      <w:r w:rsidRPr="00917B9D">
        <w:rPr>
          <w:rFonts w:cs="Arial"/>
          <w:b/>
          <w:bCs/>
          <w:snapToGrid w:val="0"/>
        </w:rPr>
        <w:t xml:space="preserve">‘Electricity distributor’ </w:t>
      </w:r>
      <w:r w:rsidRPr="00917B9D">
        <w:rPr>
          <w:rFonts w:cs="Arial"/>
          <w:snapToGrid w:val="0"/>
        </w:rPr>
        <w:t xml:space="preserve">means a person who holds a licence to distribute electricity under Part 3 of the </w:t>
      </w:r>
      <w:r w:rsidRPr="00917B9D">
        <w:rPr>
          <w:rFonts w:cs="Arial"/>
          <w:b/>
          <w:snapToGrid w:val="0"/>
        </w:rPr>
        <w:t xml:space="preserve">Utilities </w:t>
      </w:r>
      <w:r w:rsidRPr="00917B9D">
        <w:rPr>
          <w:rFonts w:cs="Arial"/>
          <w:b/>
          <w:bCs/>
          <w:snapToGrid w:val="0"/>
        </w:rPr>
        <w:t>Act</w:t>
      </w:r>
      <w:r w:rsidRPr="00917B9D">
        <w:rPr>
          <w:rFonts w:cs="Arial"/>
          <w:snapToGrid w:val="0"/>
        </w:rPr>
        <w:t>.</w:t>
      </w:r>
    </w:p>
    <w:p w14:paraId="2BD5E1AF" w14:textId="77777777" w:rsidR="00B457BA" w:rsidRPr="00917B9D" w:rsidRDefault="00B457BA" w:rsidP="00976DC6">
      <w:pPr>
        <w:numPr>
          <w:ilvl w:val="0"/>
          <w:numId w:val="10"/>
        </w:numPr>
        <w:tabs>
          <w:tab w:val="clear" w:pos="720"/>
          <w:tab w:val="num" w:pos="567"/>
        </w:tabs>
        <w:spacing w:after="160"/>
        <w:rPr>
          <w:rFonts w:cs="Arial"/>
          <w:snapToGrid w:val="0"/>
        </w:rPr>
      </w:pPr>
      <w:r w:rsidRPr="00917B9D">
        <w:rPr>
          <w:rFonts w:cs="Arial"/>
          <w:b/>
          <w:snapToGrid w:val="0"/>
        </w:rPr>
        <w:t xml:space="preserve">‘Electricity Feed-in Act’ </w:t>
      </w:r>
      <w:r w:rsidRPr="00917B9D">
        <w:rPr>
          <w:rFonts w:cs="Arial"/>
          <w:snapToGrid w:val="0"/>
        </w:rPr>
        <w:t xml:space="preserve">means the </w:t>
      </w:r>
      <w:r w:rsidRPr="00917B9D">
        <w:rPr>
          <w:rFonts w:cs="Arial"/>
          <w:i/>
          <w:snapToGrid w:val="0"/>
        </w:rPr>
        <w:t>Electricity Feed-in (Renewable Energy Premium) Act 2008</w:t>
      </w:r>
      <w:r w:rsidRPr="00917B9D">
        <w:rPr>
          <w:rFonts w:cs="Arial"/>
          <w:snapToGrid w:val="0"/>
        </w:rPr>
        <w:t>.</w:t>
      </w:r>
    </w:p>
    <w:p w14:paraId="473FB79D" w14:textId="77777777" w:rsidR="00B457BA" w:rsidRPr="00917B9D" w:rsidRDefault="00B457BA" w:rsidP="00976DC6">
      <w:pPr>
        <w:numPr>
          <w:ilvl w:val="0"/>
          <w:numId w:val="10"/>
        </w:numPr>
        <w:tabs>
          <w:tab w:val="clear" w:pos="720"/>
          <w:tab w:val="num" w:pos="567"/>
        </w:tabs>
        <w:spacing w:after="160"/>
        <w:rPr>
          <w:rFonts w:cs="Arial"/>
          <w:snapToGrid w:val="0"/>
        </w:rPr>
      </w:pPr>
      <w:r w:rsidRPr="00917B9D">
        <w:rPr>
          <w:rFonts w:cs="Arial"/>
          <w:snapToGrid w:val="0"/>
        </w:rPr>
        <w:t xml:space="preserve"> </w:t>
      </w:r>
      <w:r w:rsidRPr="00917B9D">
        <w:rPr>
          <w:rFonts w:cs="Arial"/>
          <w:b/>
          <w:snapToGrid w:val="0"/>
        </w:rPr>
        <w:t>‘Electricity</w:t>
      </w:r>
      <w:r w:rsidRPr="00917B9D">
        <w:rPr>
          <w:rFonts w:cs="Arial"/>
          <w:snapToGrid w:val="0"/>
        </w:rPr>
        <w:t xml:space="preserve"> </w:t>
      </w:r>
      <w:r w:rsidRPr="00917B9D">
        <w:rPr>
          <w:rFonts w:cs="Arial"/>
          <w:b/>
          <w:snapToGrid w:val="0"/>
        </w:rPr>
        <w:t>Feed-in Scheme’</w:t>
      </w:r>
      <w:r w:rsidRPr="00917B9D">
        <w:rPr>
          <w:rFonts w:cs="Arial"/>
          <w:snapToGrid w:val="0"/>
        </w:rPr>
        <w:t xml:space="preserve"> means the scheme for the feed-in from renewable energy generators to the electricity network that is established under the </w:t>
      </w:r>
      <w:r w:rsidRPr="00917B9D">
        <w:rPr>
          <w:rFonts w:cs="Arial"/>
          <w:b/>
          <w:snapToGrid w:val="0"/>
        </w:rPr>
        <w:t>Electricity Feed-in Act</w:t>
      </w:r>
      <w:r w:rsidRPr="00917B9D">
        <w:rPr>
          <w:rFonts w:cs="Arial"/>
          <w:snapToGrid w:val="0"/>
        </w:rPr>
        <w:t>.</w:t>
      </w:r>
    </w:p>
    <w:p w14:paraId="7273CEFC" w14:textId="77777777" w:rsidR="00B457BA" w:rsidRPr="00917B9D" w:rsidRDefault="00B457BA" w:rsidP="00976DC6">
      <w:pPr>
        <w:numPr>
          <w:ilvl w:val="0"/>
          <w:numId w:val="10"/>
        </w:numPr>
        <w:tabs>
          <w:tab w:val="clear" w:pos="720"/>
          <w:tab w:val="num" w:pos="567"/>
        </w:tabs>
        <w:spacing w:after="160"/>
        <w:rPr>
          <w:rFonts w:cs="Arial"/>
          <w:snapToGrid w:val="0"/>
        </w:rPr>
      </w:pPr>
      <w:r w:rsidRPr="00917B9D">
        <w:rPr>
          <w:rFonts w:cs="Arial"/>
          <w:b/>
          <w:bCs/>
          <w:snapToGrid w:val="0"/>
        </w:rPr>
        <w:t xml:space="preserve"> ‘Electricity supply’ </w:t>
      </w:r>
      <w:r w:rsidRPr="00917B9D">
        <w:rPr>
          <w:rFonts w:cs="Arial"/>
          <w:snapToGrid w:val="0"/>
        </w:rPr>
        <w:t>means the supply of electricity from an electricity network to premises for consumption.</w:t>
      </w:r>
    </w:p>
    <w:p w14:paraId="5FD8884A" w14:textId="77777777" w:rsidR="00B457BA" w:rsidRPr="00917B9D" w:rsidRDefault="00B457BA" w:rsidP="00976DC6">
      <w:pPr>
        <w:numPr>
          <w:ilvl w:val="0"/>
          <w:numId w:val="10"/>
        </w:numPr>
        <w:tabs>
          <w:tab w:val="clear" w:pos="720"/>
          <w:tab w:val="num" w:pos="567"/>
        </w:tabs>
        <w:spacing w:after="120"/>
        <w:rPr>
          <w:rFonts w:cs="Arial"/>
          <w:bCs/>
          <w:snapToGrid w:val="0"/>
        </w:rPr>
      </w:pPr>
      <w:r w:rsidRPr="00917B9D">
        <w:rPr>
          <w:rFonts w:cs="Arial"/>
          <w:b/>
          <w:bCs/>
          <w:snapToGrid w:val="0"/>
        </w:rPr>
        <w:t>‘Law’</w:t>
      </w:r>
      <w:r w:rsidRPr="00917B9D">
        <w:rPr>
          <w:rFonts w:cs="Arial"/>
          <w:bCs/>
          <w:snapToGrid w:val="0"/>
        </w:rPr>
        <w:t xml:space="preserve"> means:</w:t>
      </w:r>
    </w:p>
    <w:p w14:paraId="10F16AB5" w14:textId="77777777" w:rsidR="00B457BA" w:rsidRPr="00917B9D" w:rsidRDefault="00B457BA" w:rsidP="00F61457">
      <w:pPr>
        <w:spacing w:after="120"/>
        <w:ind w:left="1418" w:hanging="698"/>
        <w:rPr>
          <w:rFonts w:cs="Arial"/>
          <w:bCs/>
          <w:snapToGrid w:val="0"/>
        </w:rPr>
      </w:pPr>
      <w:r w:rsidRPr="00917B9D">
        <w:rPr>
          <w:rFonts w:cs="Arial"/>
          <w:bCs/>
          <w:snapToGrid w:val="0"/>
        </w:rPr>
        <w:t>(a)</w:t>
      </w:r>
      <w:r w:rsidRPr="00917B9D">
        <w:rPr>
          <w:rFonts w:cs="Arial"/>
          <w:bCs/>
          <w:snapToGrid w:val="0"/>
        </w:rPr>
        <w:tab/>
        <w:t>an Act</w:t>
      </w:r>
    </w:p>
    <w:p w14:paraId="189763D8" w14:textId="77777777" w:rsidR="00B457BA" w:rsidRPr="00917B9D" w:rsidRDefault="00B457BA" w:rsidP="00F61457">
      <w:pPr>
        <w:spacing w:after="120"/>
        <w:ind w:left="1418" w:hanging="698"/>
        <w:rPr>
          <w:rFonts w:cs="Arial"/>
          <w:bCs/>
          <w:snapToGrid w:val="0"/>
        </w:rPr>
      </w:pPr>
      <w:r w:rsidRPr="00917B9D">
        <w:rPr>
          <w:rFonts w:cs="Arial"/>
          <w:bCs/>
          <w:snapToGrid w:val="0"/>
        </w:rPr>
        <w:t>(b)</w:t>
      </w:r>
      <w:r w:rsidRPr="00917B9D">
        <w:rPr>
          <w:rFonts w:cs="Arial"/>
          <w:bCs/>
          <w:snapToGrid w:val="0"/>
        </w:rPr>
        <w:tab/>
        <w:t>a subordinate law</w:t>
      </w:r>
    </w:p>
    <w:p w14:paraId="02DE10E4" w14:textId="77777777" w:rsidR="00B457BA" w:rsidRPr="00917B9D" w:rsidRDefault="00B457BA" w:rsidP="00F61457">
      <w:pPr>
        <w:spacing w:after="120"/>
        <w:ind w:left="1418" w:hanging="698"/>
        <w:rPr>
          <w:rFonts w:cs="Arial"/>
          <w:bCs/>
          <w:snapToGrid w:val="0"/>
        </w:rPr>
      </w:pPr>
      <w:r w:rsidRPr="00917B9D">
        <w:rPr>
          <w:rFonts w:cs="Arial"/>
          <w:bCs/>
          <w:snapToGrid w:val="0"/>
        </w:rPr>
        <w:t>(c)</w:t>
      </w:r>
      <w:r w:rsidRPr="00917B9D">
        <w:rPr>
          <w:rFonts w:cs="Arial"/>
          <w:bCs/>
          <w:snapToGrid w:val="0"/>
        </w:rPr>
        <w:tab/>
        <w:t>any other statutory instrument of a legislative nature</w:t>
      </w:r>
    </w:p>
    <w:p w14:paraId="1C3AAFE1" w14:textId="77777777" w:rsidR="00B457BA" w:rsidRPr="00917B9D" w:rsidRDefault="00B457BA" w:rsidP="00F61457">
      <w:pPr>
        <w:spacing w:after="120"/>
        <w:ind w:left="1418" w:hanging="698"/>
        <w:rPr>
          <w:rFonts w:cs="Arial"/>
          <w:bCs/>
          <w:snapToGrid w:val="0"/>
        </w:rPr>
      </w:pPr>
      <w:r w:rsidRPr="00917B9D">
        <w:rPr>
          <w:rFonts w:cs="Arial"/>
          <w:bCs/>
          <w:snapToGrid w:val="0"/>
        </w:rPr>
        <w:t>(d)</w:t>
      </w:r>
      <w:r w:rsidRPr="00917B9D">
        <w:rPr>
          <w:rFonts w:cs="Arial"/>
          <w:bCs/>
          <w:snapToGrid w:val="0"/>
        </w:rPr>
        <w:tab/>
        <w:t>the common law.</w:t>
      </w:r>
    </w:p>
    <w:p w14:paraId="127A154C" w14:textId="77777777" w:rsidR="00B457BA" w:rsidRPr="00917B9D" w:rsidRDefault="00B457BA" w:rsidP="00976DC6">
      <w:pPr>
        <w:numPr>
          <w:ilvl w:val="0"/>
          <w:numId w:val="10"/>
        </w:numPr>
        <w:spacing w:after="160"/>
        <w:rPr>
          <w:rFonts w:cs="Arial"/>
          <w:snapToGrid w:val="0"/>
        </w:rPr>
      </w:pPr>
      <w:r w:rsidRPr="00917B9D">
        <w:rPr>
          <w:rFonts w:cs="Arial"/>
          <w:b/>
          <w:snapToGrid w:val="0"/>
        </w:rPr>
        <w:t>‘NERL retailer’</w:t>
      </w:r>
      <w:r w:rsidRPr="00917B9D">
        <w:rPr>
          <w:rFonts w:cs="Arial"/>
          <w:snapToGrid w:val="0"/>
        </w:rPr>
        <w:t xml:space="preserve"> means a person who holds a retailer authorisation under the </w:t>
      </w:r>
      <w:r w:rsidR="007D482D" w:rsidRPr="007D482D">
        <w:rPr>
          <w:rFonts w:cs="Arial"/>
          <w:i/>
          <w:snapToGrid w:val="0"/>
        </w:rPr>
        <w:t>National Energy Retail Law (ACT)</w:t>
      </w:r>
      <w:r w:rsidRPr="00917B9D">
        <w:rPr>
          <w:rFonts w:cs="Arial"/>
          <w:snapToGrid w:val="0"/>
        </w:rPr>
        <w:t>.</w:t>
      </w:r>
    </w:p>
    <w:p w14:paraId="708FC4D2" w14:textId="77777777" w:rsidR="00B457BA" w:rsidRPr="00917B9D" w:rsidRDefault="00B457BA" w:rsidP="00976DC6">
      <w:pPr>
        <w:numPr>
          <w:ilvl w:val="0"/>
          <w:numId w:val="10"/>
        </w:numPr>
        <w:spacing w:after="160"/>
        <w:rPr>
          <w:rFonts w:cs="Arial"/>
          <w:snapToGrid w:val="0"/>
        </w:rPr>
      </w:pPr>
      <w:r w:rsidRPr="00917B9D">
        <w:rPr>
          <w:rFonts w:cs="Arial"/>
          <w:b/>
          <w:snapToGrid w:val="0"/>
        </w:rPr>
        <w:t>‘Network Use of System Agreement’</w:t>
      </w:r>
      <w:r w:rsidRPr="00917B9D">
        <w:rPr>
          <w:rFonts w:cs="Arial"/>
          <w:snapToGrid w:val="0"/>
        </w:rPr>
        <w:t xml:space="preserve"> is the default or negotiated contract in place between an </w:t>
      </w:r>
      <w:r w:rsidRPr="00917B9D">
        <w:rPr>
          <w:rFonts w:cs="Arial"/>
          <w:b/>
          <w:snapToGrid w:val="0"/>
        </w:rPr>
        <w:t xml:space="preserve">Electricity distributor </w:t>
      </w:r>
      <w:r w:rsidRPr="00917B9D">
        <w:rPr>
          <w:rFonts w:cs="Arial"/>
          <w:snapToGrid w:val="0"/>
        </w:rPr>
        <w:t xml:space="preserve">and </w:t>
      </w:r>
      <w:r w:rsidRPr="00917B9D">
        <w:rPr>
          <w:rFonts w:cs="Arial"/>
          <w:b/>
          <w:snapToGrid w:val="0"/>
        </w:rPr>
        <w:t xml:space="preserve">NERL retailer </w:t>
      </w:r>
      <w:r w:rsidRPr="00917B9D">
        <w:rPr>
          <w:rFonts w:cs="Arial"/>
          <w:snapToGrid w:val="0"/>
        </w:rPr>
        <w:t xml:space="preserve">in accordance with the </w:t>
      </w:r>
      <w:r w:rsidR="00890CBE">
        <w:rPr>
          <w:rFonts w:cs="Arial"/>
          <w:snapToGrid w:val="0"/>
        </w:rPr>
        <w:t xml:space="preserve">now revoked </w:t>
      </w:r>
      <w:r w:rsidRPr="00917B9D">
        <w:rPr>
          <w:rFonts w:cs="Arial"/>
          <w:snapToGrid w:val="0"/>
        </w:rPr>
        <w:t>Electricity Network Use of System Code.</w:t>
      </w:r>
      <w:r w:rsidR="00890CBE">
        <w:rPr>
          <w:rFonts w:cs="Arial"/>
          <w:snapToGrid w:val="0"/>
        </w:rPr>
        <w:t xml:space="preserve">  </w:t>
      </w:r>
    </w:p>
    <w:p w14:paraId="567E9FAD" w14:textId="37B34D7C" w:rsidR="00B457BA" w:rsidRPr="00917B9D" w:rsidRDefault="00B457BA" w:rsidP="00976DC6">
      <w:pPr>
        <w:numPr>
          <w:ilvl w:val="0"/>
          <w:numId w:val="10"/>
        </w:numPr>
        <w:spacing w:after="160"/>
        <w:rPr>
          <w:rFonts w:cs="Arial"/>
          <w:snapToGrid w:val="0"/>
        </w:rPr>
      </w:pPr>
      <w:r w:rsidRPr="00917B9D">
        <w:rPr>
          <w:rFonts w:cs="Arial"/>
          <w:b/>
          <w:bCs/>
          <w:snapToGrid w:val="0"/>
        </w:rPr>
        <w:t xml:space="preserve">‘Occupier’ </w:t>
      </w:r>
      <w:r w:rsidRPr="00917B9D">
        <w:rPr>
          <w:rFonts w:cs="Arial"/>
          <w:bCs/>
          <w:snapToGrid w:val="0"/>
        </w:rPr>
        <w:t>in relation to premises</w:t>
      </w:r>
      <w:r w:rsidRPr="00917B9D">
        <w:rPr>
          <w:rFonts w:cs="Arial"/>
          <w:b/>
          <w:bCs/>
          <w:snapToGrid w:val="0"/>
        </w:rPr>
        <w:t xml:space="preserve"> </w:t>
      </w:r>
      <w:r w:rsidRPr="00917B9D">
        <w:rPr>
          <w:rFonts w:cs="Arial"/>
          <w:bCs/>
          <w:snapToGrid w:val="0"/>
        </w:rPr>
        <w:t xml:space="preserve">has the same meaning as in the </w:t>
      </w:r>
      <w:r w:rsidRPr="00917B9D">
        <w:rPr>
          <w:rFonts w:cs="Arial"/>
          <w:b/>
          <w:bCs/>
          <w:snapToGrid w:val="0"/>
        </w:rPr>
        <w:t>Electricity Feed-in Act</w:t>
      </w:r>
      <w:r w:rsidRPr="00917B9D">
        <w:rPr>
          <w:rFonts w:cs="Arial"/>
          <w:bCs/>
          <w:snapToGrid w:val="0"/>
        </w:rPr>
        <w:t>. It does not have the meaning of ‘</w:t>
      </w:r>
      <w:r w:rsidR="00837206" w:rsidRPr="00837206">
        <w:rPr>
          <w:rFonts w:cs="Arial"/>
          <w:b/>
          <w:bCs/>
          <w:snapToGrid w:val="0"/>
        </w:rPr>
        <w:t>Occupier</w:t>
      </w:r>
      <w:r w:rsidRPr="00917B9D">
        <w:rPr>
          <w:rFonts w:cs="Arial"/>
          <w:bCs/>
          <w:snapToGrid w:val="0"/>
        </w:rPr>
        <w:t xml:space="preserve">’ in the </w:t>
      </w:r>
      <w:r w:rsidRPr="00917B9D">
        <w:rPr>
          <w:rFonts w:cs="Arial"/>
          <w:b/>
          <w:bCs/>
          <w:snapToGrid w:val="0"/>
        </w:rPr>
        <w:t>Consumer Protection Code</w:t>
      </w:r>
      <w:r w:rsidRPr="00917B9D">
        <w:rPr>
          <w:rFonts w:cs="Arial"/>
          <w:bCs/>
          <w:snapToGrid w:val="0"/>
        </w:rPr>
        <w:t>.</w:t>
      </w:r>
    </w:p>
    <w:p w14:paraId="52C0A58F" w14:textId="77777777" w:rsidR="00B457BA" w:rsidRPr="00917B9D" w:rsidRDefault="00B457BA" w:rsidP="00976DC6">
      <w:pPr>
        <w:numPr>
          <w:ilvl w:val="0"/>
          <w:numId w:val="10"/>
        </w:numPr>
        <w:spacing w:after="160"/>
        <w:rPr>
          <w:rFonts w:cs="Arial"/>
          <w:snapToGrid w:val="0"/>
        </w:rPr>
      </w:pPr>
      <w:r w:rsidRPr="00917B9D">
        <w:rPr>
          <w:rFonts w:cs="Arial"/>
          <w:b/>
          <w:bCs/>
          <w:snapToGrid w:val="0"/>
        </w:rPr>
        <w:t xml:space="preserve">‘Supplier actions’ </w:t>
      </w:r>
      <w:r w:rsidRPr="00917B9D">
        <w:rPr>
          <w:rFonts w:cs="Arial"/>
          <w:bCs/>
          <w:snapToGrid w:val="0"/>
        </w:rPr>
        <w:t xml:space="preserve">are the actions required by </w:t>
      </w:r>
      <w:r w:rsidR="007D482D" w:rsidRPr="007D482D">
        <w:rPr>
          <w:rFonts w:cs="Arial"/>
          <w:bCs/>
          <w:snapToGrid w:val="0"/>
        </w:rPr>
        <w:t>a</w:t>
      </w:r>
      <w:r w:rsidR="006A4FC7" w:rsidRPr="006A4FC7">
        <w:rPr>
          <w:rFonts w:cs="Arial"/>
          <w:b/>
          <w:bCs/>
          <w:snapToGrid w:val="0"/>
        </w:rPr>
        <w:t xml:space="preserve"> NERL </w:t>
      </w:r>
      <w:r w:rsidRPr="00917B9D">
        <w:rPr>
          <w:rFonts w:cs="Arial"/>
          <w:b/>
          <w:bCs/>
          <w:snapToGrid w:val="0"/>
        </w:rPr>
        <w:t>retailer</w:t>
      </w:r>
      <w:r w:rsidRPr="00917B9D">
        <w:rPr>
          <w:rFonts w:cs="Arial"/>
          <w:bCs/>
          <w:snapToGrid w:val="0"/>
        </w:rPr>
        <w:t xml:space="preserve"> under section 6(3) of the </w:t>
      </w:r>
      <w:r w:rsidRPr="00917B9D">
        <w:rPr>
          <w:rFonts w:cs="Arial"/>
          <w:b/>
          <w:bCs/>
          <w:snapToGrid w:val="0"/>
        </w:rPr>
        <w:t>Electricity Feed-in Act</w:t>
      </w:r>
      <w:r w:rsidRPr="00917B9D">
        <w:rPr>
          <w:rFonts w:cs="Arial"/>
          <w:bCs/>
          <w:snapToGrid w:val="0"/>
        </w:rPr>
        <w:t>.</w:t>
      </w:r>
    </w:p>
    <w:p w14:paraId="439C4680" w14:textId="77777777" w:rsidR="002A2B8E" w:rsidRDefault="00B457BA" w:rsidP="00976DC6">
      <w:pPr>
        <w:numPr>
          <w:ilvl w:val="0"/>
          <w:numId w:val="10"/>
        </w:numPr>
        <w:spacing w:after="240"/>
        <w:rPr>
          <w:rFonts w:cs="Arial"/>
          <w:snapToGrid w:val="0"/>
        </w:rPr>
      </w:pPr>
      <w:r w:rsidRPr="00917B9D">
        <w:rPr>
          <w:rFonts w:cs="Arial"/>
          <w:b/>
          <w:bCs/>
          <w:snapToGrid w:val="0"/>
        </w:rPr>
        <w:t xml:space="preserve">‘Utilities Act’ </w:t>
      </w:r>
      <w:r w:rsidRPr="00917B9D">
        <w:rPr>
          <w:rFonts w:cs="Arial"/>
          <w:snapToGrid w:val="0"/>
        </w:rPr>
        <w:t xml:space="preserve">means the </w:t>
      </w:r>
      <w:r w:rsidRPr="00917B9D">
        <w:rPr>
          <w:rFonts w:cs="Arial"/>
          <w:i/>
          <w:iCs/>
          <w:snapToGrid w:val="0"/>
        </w:rPr>
        <w:t xml:space="preserve">Utilities Act 2000 </w:t>
      </w:r>
      <w:r w:rsidRPr="00917B9D">
        <w:rPr>
          <w:rFonts w:cs="Arial"/>
          <w:iCs/>
          <w:snapToGrid w:val="0"/>
        </w:rPr>
        <w:t>(ACT)</w:t>
      </w:r>
      <w:r w:rsidRPr="00917B9D">
        <w:rPr>
          <w:rFonts w:cs="Arial"/>
          <w:snapToGrid w:val="0"/>
        </w:rPr>
        <w:t>.</w:t>
      </w:r>
    </w:p>
    <w:p w14:paraId="5D497763" w14:textId="77777777" w:rsidR="002A2B8E" w:rsidRDefault="002A2B8E">
      <w:pPr>
        <w:spacing w:after="0" w:line="240" w:lineRule="auto"/>
        <w:ind w:left="0"/>
        <w:rPr>
          <w:rFonts w:cs="Arial"/>
          <w:snapToGrid w:val="0"/>
        </w:rPr>
      </w:pPr>
      <w:r>
        <w:rPr>
          <w:rFonts w:cs="Arial"/>
          <w:snapToGrid w:val="0"/>
        </w:rPr>
        <w:br w:type="page"/>
      </w:r>
    </w:p>
    <w:p w14:paraId="6675F777" w14:textId="77777777" w:rsidR="00B457BA" w:rsidRDefault="002A2B8E" w:rsidP="002A2B8E">
      <w:pPr>
        <w:pStyle w:val="Heading1"/>
      </w:pPr>
      <w:bookmarkStart w:id="38" w:name="_Toc29202095"/>
      <w:r w:rsidRPr="00917B9D">
        <w:lastRenderedPageBreak/>
        <w:t xml:space="preserve">Schedule 1: Dispute resolution procedure - </w:t>
      </w:r>
      <w:r>
        <w:t>E</w:t>
      </w:r>
      <w:r w:rsidRPr="00D945B5">
        <w:t xml:space="preserve">xpert </w:t>
      </w:r>
      <w:r>
        <w:t>R</w:t>
      </w:r>
      <w:r w:rsidRPr="00D945B5">
        <w:t>esolution (non-National Electricity Rules disputes)</w:t>
      </w:r>
      <w:bookmarkEnd w:id="38"/>
    </w:p>
    <w:p w14:paraId="56A37CA7" w14:textId="77777777" w:rsidR="002A2B8E" w:rsidRDefault="002A2B8E" w:rsidP="002A2B8E">
      <w:pPr>
        <w:pStyle w:val="NoSpacing"/>
        <w:ind w:left="0"/>
      </w:pPr>
    </w:p>
    <w:p w14:paraId="58F1E623" w14:textId="77777777" w:rsidR="003A3ED9" w:rsidRPr="00ED23F0" w:rsidRDefault="003A3ED9" w:rsidP="003A3ED9">
      <w:pPr>
        <w:ind w:left="1440" w:hanging="720"/>
        <w:rPr>
          <w:b/>
        </w:rPr>
      </w:pPr>
      <w:r w:rsidRPr="00ED23F0">
        <w:rPr>
          <w:b/>
        </w:rPr>
        <w:t>A.</w:t>
      </w:r>
      <w:r w:rsidRPr="00ED23F0">
        <w:rPr>
          <w:b/>
        </w:rPr>
        <w:tab/>
        <w:t>First stage dispute resolution</w:t>
      </w:r>
    </w:p>
    <w:p w14:paraId="5316B3E4" w14:textId="77777777" w:rsidR="003A3ED9" w:rsidRPr="00D945B5" w:rsidRDefault="003A3ED9" w:rsidP="003A3ED9">
      <w:pPr>
        <w:ind w:left="1440" w:hanging="720"/>
      </w:pPr>
      <w:r w:rsidRPr="00F85AF5">
        <w:t>A.1</w:t>
      </w:r>
      <w:r w:rsidRPr="00F85AF5">
        <w:tab/>
        <w:t xml:space="preserve">This Schedule applies to a dispute </w:t>
      </w:r>
      <w:r>
        <w:t xml:space="preserve">between an </w:t>
      </w:r>
      <w:r w:rsidRPr="00837206">
        <w:rPr>
          <w:b/>
        </w:rPr>
        <w:t>Electricity distributor</w:t>
      </w:r>
      <w:r>
        <w:t xml:space="preserve"> and </w:t>
      </w:r>
      <w:r w:rsidRPr="007D482D">
        <w:t>a</w:t>
      </w:r>
      <w:r w:rsidRPr="006A4FC7">
        <w:rPr>
          <w:b/>
        </w:rPr>
        <w:t xml:space="preserve"> NERL </w:t>
      </w:r>
      <w:r w:rsidRPr="007D482D">
        <w:rPr>
          <w:b/>
        </w:rPr>
        <w:t>retailer</w:t>
      </w:r>
      <w:r>
        <w:t>.</w:t>
      </w:r>
      <w:r w:rsidRPr="00D945B5">
        <w:t>.</w:t>
      </w:r>
    </w:p>
    <w:p w14:paraId="2900103D" w14:textId="77777777" w:rsidR="003A3ED9" w:rsidRPr="00D945B5" w:rsidRDefault="003A3ED9" w:rsidP="003A3ED9">
      <w:pPr>
        <w:ind w:left="1440" w:hanging="720"/>
      </w:pPr>
      <w:r w:rsidRPr="00ED23F0">
        <w:t>A.2</w:t>
      </w:r>
      <w:r w:rsidRPr="00ED23F0">
        <w:tab/>
        <w:t xml:space="preserve">The parties will use their reasonable endeavours to resolve the dispute within a period of 20 </w:t>
      </w:r>
      <w:r w:rsidRPr="00ED23F0">
        <w:rPr>
          <w:i/>
          <w:iCs/>
        </w:rPr>
        <w:t>business days</w:t>
      </w:r>
      <w:r w:rsidRPr="00F85AF5">
        <w:t xml:space="preserve"> after a notice is give</w:t>
      </w:r>
      <w:r w:rsidRPr="00916877">
        <w:t xml:space="preserve">n under </w:t>
      </w:r>
      <w:r>
        <w:t>clause</w:t>
      </w:r>
      <w:r w:rsidRPr="005C7692">
        <w:t xml:space="preserve"> 4.3.</w:t>
      </w:r>
    </w:p>
    <w:p w14:paraId="027BC8E8" w14:textId="77777777" w:rsidR="003A3ED9" w:rsidRPr="00ED23F0" w:rsidRDefault="003A3ED9" w:rsidP="003A3ED9">
      <w:pPr>
        <w:ind w:left="1440" w:hanging="720"/>
      </w:pPr>
      <w:r w:rsidRPr="00ED23F0">
        <w:t>A.3</w:t>
      </w:r>
      <w:r w:rsidRPr="00ED23F0">
        <w:tab/>
        <w:t>If the dispute remains unresolved at the end of the period referred to in clause A.2 then either party may require that the dispute be determined under clause B of this schedule.</w:t>
      </w:r>
    </w:p>
    <w:p w14:paraId="61D73077" w14:textId="77777777" w:rsidR="003A3ED9" w:rsidRPr="00F85AF5" w:rsidRDefault="003A3ED9" w:rsidP="003A3ED9">
      <w:pPr>
        <w:ind w:left="1440" w:hanging="720"/>
        <w:rPr>
          <w:b/>
        </w:rPr>
      </w:pPr>
      <w:r w:rsidRPr="00ED23F0">
        <w:rPr>
          <w:b/>
        </w:rPr>
        <w:t>B.</w:t>
      </w:r>
      <w:r w:rsidRPr="00ED23F0">
        <w:rPr>
          <w:b/>
        </w:rPr>
        <w:tab/>
        <w:t>Reference to and appointment of In</w:t>
      </w:r>
      <w:r w:rsidRPr="00F85AF5">
        <w:rPr>
          <w:b/>
        </w:rPr>
        <w:t>dependent Expert</w:t>
      </w:r>
    </w:p>
    <w:p w14:paraId="176B2A50" w14:textId="77777777" w:rsidR="003A3ED9" w:rsidRPr="00917B9D" w:rsidRDefault="003A3ED9" w:rsidP="003A3ED9">
      <w:pPr>
        <w:ind w:left="1440" w:hanging="720"/>
      </w:pPr>
      <w:r w:rsidRPr="00917B9D">
        <w:t>B.1</w:t>
      </w:r>
      <w:r w:rsidRPr="00917B9D">
        <w:tab/>
        <w:t>Where clause A.3 applies, either party may require that the dispute be determined by an independent expert appointed in accordance with clause B.2 of this schedule (“</w:t>
      </w:r>
      <w:r w:rsidRPr="00917B9D">
        <w:rPr>
          <w:b/>
          <w:bCs/>
        </w:rPr>
        <w:t>Independent Expert</w:t>
      </w:r>
      <w:r w:rsidRPr="00917B9D">
        <w:t>”).</w:t>
      </w:r>
    </w:p>
    <w:p w14:paraId="05430AD2" w14:textId="77777777" w:rsidR="003A3ED9" w:rsidRPr="00917B9D" w:rsidRDefault="003A3ED9" w:rsidP="003A3ED9">
      <w:pPr>
        <w:ind w:left="1440" w:hanging="720"/>
      </w:pPr>
      <w:r w:rsidRPr="00917B9D">
        <w:t>B.2</w:t>
      </w:r>
      <w:r w:rsidRPr="00917B9D">
        <w:tab/>
        <w:t xml:space="preserve">The party wishing to have the dispute determined by an Independent Expert will give written notice to that effect to the other party specifying the nature of the dispute. The parties will meet and use all reasonable endeavours to agree upon the identity of the Independent Expert, but if they are unable to agree within 5 </w:t>
      </w:r>
      <w:r w:rsidRPr="00917B9D">
        <w:rPr>
          <w:i/>
          <w:iCs/>
        </w:rPr>
        <w:t>business days</w:t>
      </w:r>
      <w:r w:rsidRPr="00917B9D">
        <w:t xml:space="preserve"> of the date of receipt of the notice, then either party may refer the matter to the President for the time being of the Law Society of the Australian Capital Territory (or, if that body no longer exists, then to the President for the time being of such successor body or association as is then performing the function formerly carried out by the Law Society of the Australian Capital Territory), to nominate a suitably qualified person to act as the Independent Expert to determine the dispute.</w:t>
      </w:r>
    </w:p>
    <w:p w14:paraId="7802BFE6" w14:textId="77777777" w:rsidR="003A3ED9" w:rsidRPr="00917B9D" w:rsidRDefault="003A3ED9" w:rsidP="003A3ED9">
      <w:pPr>
        <w:ind w:left="1440" w:hanging="720"/>
        <w:rPr>
          <w:b/>
        </w:rPr>
      </w:pPr>
      <w:r w:rsidRPr="00917B9D">
        <w:rPr>
          <w:b/>
        </w:rPr>
        <w:t>C.</w:t>
      </w:r>
      <w:r w:rsidRPr="00917B9D">
        <w:rPr>
          <w:b/>
        </w:rPr>
        <w:tab/>
        <w:t>Role of Independent Expert</w:t>
      </w:r>
    </w:p>
    <w:p w14:paraId="1C88E1CE" w14:textId="77777777" w:rsidR="003A3ED9" w:rsidRPr="00917B9D" w:rsidRDefault="003A3ED9" w:rsidP="003A3ED9">
      <w:pPr>
        <w:ind w:left="2160" w:hanging="720"/>
      </w:pPr>
      <w:r w:rsidRPr="00917B9D">
        <w:t>The Independent Expert will:</w:t>
      </w:r>
    </w:p>
    <w:p w14:paraId="4A4B4A11" w14:textId="77777777" w:rsidR="003A3ED9" w:rsidRPr="00917B9D" w:rsidRDefault="003A3ED9" w:rsidP="003A3ED9">
      <w:pPr>
        <w:ind w:left="2160" w:hanging="720"/>
        <w:rPr>
          <w:lang w:val="en-GB"/>
        </w:rPr>
      </w:pPr>
      <w:r w:rsidRPr="00917B9D">
        <w:t>a)</w:t>
      </w:r>
      <w:r w:rsidRPr="00917B9D">
        <w:tab/>
        <w:t>act as an expert and not as an arbitrator;</w:t>
      </w:r>
    </w:p>
    <w:p w14:paraId="45654ACA" w14:textId="77777777" w:rsidR="003A3ED9" w:rsidRPr="00917B9D" w:rsidRDefault="003A3ED9" w:rsidP="003A3ED9">
      <w:pPr>
        <w:ind w:left="2160" w:hanging="720"/>
      </w:pPr>
      <w:r w:rsidRPr="00917B9D">
        <w:t>b)</w:t>
      </w:r>
      <w:r w:rsidRPr="00917B9D">
        <w:tab/>
        <w:t>have no interest or duty which conflicts, or which may conflict, with his or her function as the Independent Expert;</w:t>
      </w:r>
    </w:p>
    <w:p w14:paraId="59F2EE57" w14:textId="77777777" w:rsidR="003A3ED9" w:rsidRPr="00917B9D" w:rsidRDefault="003A3ED9" w:rsidP="003A3ED9">
      <w:pPr>
        <w:ind w:left="2160" w:hanging="720"/>
        <w:rPr>
          <w:lang w:val="en-GB"/>
        </w:rPr>
      </w:pPr>
      <w:r w:rsidRPr="00917B9D">
        <w:t>c)</w:t>
      </w:r>
      <w:r w:rsidRPr="00917B9D">
        <w:tab/>
        <w:t>not be a former or current employee or representative of either party or of a related body corporate of either of them; and</w:t>
      </w:r>
    </w:p>
    <w:p w14:paraId="57AE59F8" w14:textId="77777777" w:rsidR="003A3ED9" w:rsidRPr="00917B9D" w:rsidRDefault="003A3ED9" w:rsidP="003A3ED9">
      <w:pPr>
        <w:ind w:left="2160" w:hanging="720"/>
        <w:rPr>
          <w:lang w:val="en-GB"/>
        </w:rPr>
      </w:pPr>
      <w:r w:rsidRPr="00917B9D">
        <w:t>d)</w:t>
      </w:r>
      <w:r w:rsidRPr="00917B9D">
        <w:tab/>
        <w:t>disclose fully to the parties, before being appointed, any interest or duty which may conflict with his or her position.</w:t>
      </w:r>
    </w:p>
    <w:p w14:paraId="56BE5B2E" w14:textId="77777777" w:rsidR="003A3ED9" w:rsidRPr="00917B9D" w:rsidRDefault="003A3ED9" w:rsidP="003A3ED9">
      <w:pPr>
        <w:rPr>
          <w:b/>
        </w:rPr>
      </w:pPr>
      <w:r w:rsidRPr="00917B9D">
        <w:rPr>
          <w:b/>
        </w:rPr>
        <w:t>D.</w:t>
      </w:r>
      <w:r w:rsidRPr="00917B9D">
        <w:rPr>
          <w:b/>
        </w:rPr>
        <w:tab/>
        <w:t>Representation and evidence</w:t>
      </w:r>
    </w:p>
    <w:p w14:paraId="5FBCD69D" w14:textId="77777777" w:rsidR="003A3ED9" w:rsidRPr="00917B9D" w:rsidRDefault="003A3ED9" w:rsidP="003A3ED9">
      <w:pPr>
        <w:ind w:left="1440"/>
      </w:pPr>
      <w:r w:rsidRPr="00917B9D">
        <w:t>Each party:</w:t>
      </w:r>
    </w:p>
    <w:p w14:paraId="6A823C3E" w14:textId="77777777" w:rsidR="003A3ED9" w:rsidRPr="00917B9D" w:rsidRDefault="003A3ED9" w:rsidP="003A3ED9">
      <w:pPr>
        <w:ind w:left="2160" w:hanging="720"/>
        <w:rPr>
          <w:lang w:val="en-GB"/>
        </w:rPr>
      </w:pPr>
      <w:r w:rsidRPr="00917B9D">
        <w:t>a)</w:t>
      </w:r>
      <w:r w:rsidRPr="00917B9D">
        <w:tab/>
        <w:t>may be legally represented at any hearing before the Independent Expert;</w:t>
      </w:r>
    </w:p>
    <w:p w14:paraId="214E165A" w14:textId="77777777" w:rsidR="003A3ED9" w:rsidRPr="00917B9D" w:rsidRDefault="003A3ED9" w:rsidP="003A3ED9">
      <w:pPr>
        <w:ind w:left="2160" w:hanging="720"/>
        <w:rPr>
          <w:lang w:val="en-GB"/>
        </w:rPr>
      </w:pPr>
      <w:r w:rsidRPr="00917B9D">
        <w:lastRenderedPageBreak/>
        <w:t>b)</w:t>
      </w:r>
      <w:r w:rsidRPr="00917B9D">
        <w:tab/>
        <w:t>will be entitled to produce to the Independent Expert any materials or evidence which that party believes is relevant to the dispute; and</w:t>
      </w:r>
    </w:p>
    <w:p w14:paraId="4BBC4FE3" w14:textId="77777777" w:rsidR="003A3ED9" w:rsidRPr="00917B9D" w:rsidRDefault="003A3ED9" w:rsidP="003A3ED9">
      <w:pPr>
        <w:ind w:left="2160" w:hanging="720"/>
        <w:rPr>
          <w:lang w:val="en-GB"/>
        </w:rPr>
      </w:pPr>
      <w:r w:rsidRPr="00917B9D">
        <w:t>c)</w:t>
      </w:r>
      <w:r w:rsidRPr="00917B9D">
        <w:tab/>
        <w:t>will make available to the Independent Expert all materials requested by him or her and all other materials which are relevant to his or her determination.</w:t>
      </w:r>
    </w:p>
    <w:p w14:paraId="1251A576" w14:textId="77777777" w:rsidR="003A3ED9" w:rsidRPr="00917B9D" w:rsidRDefault="003A3ED9" w:rsidP="003A3ED9">
      <w:pPr>
        <w:rPr>
          <w:b/>
        </w:rPr>
      </w:pPr>
      <w:r w:rsidRPr="00917B9D">
        <w:rPr>
          <w:b/>
        </w:rPr>
        <w:t>E.</w:t>
      </w:r>
      <w:r w:rsidRPr="00917B9D">
        <w:rPr>
          <w:b/>
        </w:rPr>
        <w:tab/>
        <w:t>Rules of evidence</w:t>
      </w:r>
    </w:p>
    <w:p w14:paraId="61456C38" w14:textId="77777777" w:rsidR="003A3ED9" w:rsidRPr="00917B9D" w:rsidRDefault="003A3ED9" w:rsidP="003A3ED9">
      <w:pPr>
        <w:ind w:left="1440"/>
      </w:pPr>
      <w:r w:rsidRPr="00917B9D">
        <w:t>The Independent Expert will not be bound by the rules of evidence.</w:t>
      </w:r>
    </w:p>
    <w:p w14:paraId="3F557DB4" w14:textId="77777777" w:rsidR="003A3ED9" w:rsidRPr="00917B9D" w:rsidRDefault="003A3ED9" w:rsidP="003A3ED9">
      <w:pPr>
        <w:rPr>
          <w:b/>
        </w:rPr>
      </w:pPr>
      <w:r w:rsidRPr="00917B9D">
        <w:rPr>
          <w:b/>
        </w:rPr>
        <w:t>F.</w:t>
      </w:r>
      <w:r w:rsidRPr="00917B9D">
        <w:rPr>
          <w:b/>
        </w:rPr>
        <w:tab/>
        <w:t>Power of Independent Expert</w:t>
      </w:r>
    </w:p>
    <w:p w14:paraId="4DC448AB" w14:textId="77777777" w:rsidR="003A3ED9" w:rsidRPr="00917B9D" w:rsidRDefault="003A3ED9" w:rsidP="003A3ED9">
      <w:pPr>
        <w:ind w:left="1440"/>
      </w:pPr>
      <w:r w:rsidRPr="00917B9D">
        <w:t>The Independent Expert will have the power to inform himself or herself independently as to the facts to which the dispute relates and to take such measures as he or she thinks fit to expedite the determination of the dispute.</w:t>
      </w:r>
    </w:p>
    <w:p w14:paraId="7E249FA2" w14:textId="77777777" w:rsidR="003A3ED9" w:rsidRPr="00917B9D" w:rsidRDefault="003A3ED9" w:rsidP="003A3ED9">
      <w:pPr>
        <w:rPr>
          <w:b/>
        </w:rPr>
      </w:pPr>
      <w:r w:rsidRPr="00917B9D">
        <w:rPr>
          <w:b/>
        </w:rPr>
        <w:t>G.</w:t>
      </w:r>
      <w:r w:rsidRPr="00917B9D">
        <w:rPr>
          <w:b/>
        </w:rPr>
        <w:tab/>
        <w:t>Determination</w:t>
      </w:r>
    </w:p>
    <w:p w14:paraId="5E0D100C" w14:textId="77777777" w:rsidR="003A3ED9" w:rsidRPr="00917B9D" w:rsidRDefault="003A3ED9" w:rsidP="003A3ED9">
      <w:pPr>
        <w:ind w:left="1440" w:hanging="720"/>
      </w:pPr>
      <w:r w:rsidRPr="00917B9D">
        <w:t>G.1</w:t>
      </w:r>
      <w:r w:rsidRPr="00917B9D">
        <w:tab/>
        <w:t>The Independent Expert will make a determination on the dispute and:</w:t>
      </w:r>
    </w:p>
    <w:p w14:paraId="362D827D" w14:textId="77777777" w:rsidR="003A3ED9" w:rsidRPr="00917B9D" w:rsidRDefault="003A3ED9" w:rsidP="003A3ED9">
      <w:pPr>
        <w:ind w:left="2160" w:hanging="720"/>
      </w:pPr>
      <w:r w:rsidRPr="00917B9D">
        <w:t>a)</w:t>
      </w:r>
      <w:r w:rsidRPr="00917B9D">
        <w:tab/>
        <w:t>will determine what, if any, adjustments may be necessary between the parties; or</w:t>
      </w:r>
    </w:p>
    <w:p w14:paraId="0AF3BEFE" w14:textId="77777777" w:rsidR="003A3ED9" w:rsidRPr="00917B9D" w:rsidRDefault="003A3ED9" w:rsidP="003A3ED9">
      <w:pPr>
        <w:ind w:left="2160" w:hanging="720"/>
      </w:pPr>
      <w:r w:rsidRPr="00917B9D">
        <w:t>b)</w:t>
      </w:r>
      <w:r w:rsidRPr="00917B9D">
        <w:tab/>
        <w:t>if relevant, determine the amendments required to the terms of this agreement.</w:t>
      </w:r>
    </w:p>
    <w:p w14:paraId="43F2D7FC" w14:textId="77777777" w:rsidR="003A3ED9" w:rsidRPr="00917B9D" w:rsidRDefault="003A3ED9" w:rsidP="003A3ED9">
      <w:pPr>
        <w:ind w:left="1440" w:hanging="720"/>
      </w:pPr>
      <w:r w:rsidRPr="00917B9D">
        <w:t>G.2</w:t>
      </w:r>
      <w:r w:rsidRPr="00917B9D">
        <w:tab/>
        <w:t>The determination of the Independent Expert will be, in the absence of bias or manifest error, final and binding upon the parties.</w:t>
      </w:r>
    </w:p>
    <w:p w14:paraId="5654C3D9" w14:textId="77777777" w:rsidR="003A3ED9" w:rsidRPr="00917B9D" w:rsidRDefault="003A3ED9" w:rsidP="003A3ED9">
      <w:pPr>
        <w:ind w:left="1440" w:hanging="720"/>
        <w:rPr>
          <w:b/>
        </w:rPr>
      </w:pPr>
      <w:r w:rsidRPr="00917B9D">
        <w:rPr>
          <w:b/>
        </w:rPr>
        <w:t>H.</w:t>
      </w:r>
      <w:r w:rsidRPr="00917B9D">
        <w:rPr>
          <w:b/>
        </w:rPr>
        <w:tab/>
        <w:t>Costs</w:t>
      </w:r>
    </w:p>
    <w:p w14:paraId="0CEA4BDA" w14:textId="77777777" w:rsidR="003A3ED9" w:rsidRPr="00917B9D" w:rsidRDefault="003A3ED9" w:rsidP="003A3ED9">
      <w:pPr>
        <w:ind w:left="1440"/>
      </w:pPr>
      <w:r w:rsidRPr="00917B9D">
        <w:t>The costs in relation to a determination by the Independent Expert will be dealt with as follows:</w:t>
      </w:r>
    </w:p>
    <w:p w14:paraId="136CB2E1" w14:textId="77777777" w:rsidR="003A3ED9" w:rsidRPr="00917B9D" w:rsidRDefault="003A3ED9" w:rsidP="003A3ED9">
      <w:pPr>
        <w:ind w:left="2160" w:hanging="720"/>
      </w:pPr>
      <w:r w:rsidRPr="00917B9D">
        <w:t>a)</w:t>
      </w:r>
      <w:r w:rsidRPr="00917B9D">
        <w:tab/>
        <w:t>the remuneration of the Independent Expert will be agreed by the parties;</w:t>
      </w:r>
    </w:p>
    <w:p w14:paraId="4C171C8E" w14:textId="77777777" w:rsidR="003A3ED9" w:rsidRPr="00917B9D" w:rsidRDefault="003A3ED9" w:rsidP="003A3ED9">
      <w:pPr>
        <w:ind w:left="2160" w:hanging="720"/>
      </w:pPr>
      <w:r w:rsidRPr="00917B9D">
        <w:t>b)</w:t>
      </w:r>
      <w:r w:rsidRPr="00917B9D">
        <w:tab/>
        <w:t>unless the parties otherwise agree, the Independent Expert will determine which party will bear the costs of the determination and in what proportion, having regard to the degree to which he or she considers that party was at fault or unreasonable in failing to agree to the matter under reference, and that party will bear those costs accordingly; and</w:t>
      </w:r>
    </w:p>
    <w:p w14:paraId="2DAF63FB" w14:textId="77777777" w:rsidR="00B457BA" w:rsidRPr="00917B9D" w:rsidRDefault="003A3ED9" w:rsidP="003A3ED9">
      <w:pPr>
        <w:pStyle w:val="NoSpacing"/>
        <w:ind w:left="2160" w:hanging="720"/>
      </w:pPr>
      <w:r w:rsidRPr="00917B9D">
        <w:t>c)</w:t>
      </w:r>
      <w:r w:rsidRPr="00917B9D">
        <w:tab/>
        <w:t>the parties will bear their own costs incurred in the preparation and presentation of any submissions or evidence to the Independent Expert</w:t>
      </w:r>
    </w:p>
    <w:p w14:paraId="3C9B5958" w14:textId="77777777" w:rsidR="00A9172A" w:rsidRDefault="00A9172A">
      <w:pPr>
        <w:spacing w:after="0" w:line="240" w:lineRule="auto"/>
        <w:ind w:left="0"/>
      </w:pPr>
      <w:r>
        <w:br w:type="page"/>
      </w:r>
    </w:p>
    <w:p w14:paraId="2EBF518C" w14:textId="77777777" w:rsidR="00A9172A" w:rsidRDefault="00A9172A" w:rsidP="00A9172A">
      <w:pPr>
        <w:pStyle w:val="Heading1"/>
      </w:pPr>
      <w:bookmarkStart w:id="39" w:name="_Toc29202096"/>
      <w:r>
        <w:lastRenderedPageBreak/>
        <w:t>Schedule 2</w:t>
      </w:r>
      <w:r w:rsidRPr="00917B9D">
        <w:t xml:space="preserve">: Dispute resolution procedure - </w:t>
      </w:r>
      <w:r>
        <w:t>mediation</w:t>
      </w:r>
      <w:r w:rsidRPr="00D945B5">
        <w:t xml:space="preserve"> (non-National Electricity Rules disputes)</w:t>
      </w:r>
      <w:bookmarkEnd w:id="39"/>
    </w:p>
    <w:p w14:paraId="7CA833C2" w14:textId="77777777" w:rsidR="00A9172A" w:rsidRDefault="00A9172A" w:rsidP="00A9172A">
      <w:pPr>
        <w:pStyle w:val="NoSpacing"/>
        <w:ind w:left="0"/>
      </w:pPr>
    </w:p>
    <w:p w14:paraId="5BD699C1" w14:textId="77777777" w:rsidR="006E3039" w:rsidRPr="00D945B5" w:rsidRDefault="006E3039" w:rsidP="006E3039">
      <w:pPr>
        <w:ind w:left="1440" w:hanging="720"/>
      </w:pPr>
      <w:r w:rsidRPr="00917B9D">
        <w:t>1.1</w:t>
      </w:r>
      <w:r w:rsidRPr="00917B9D">
        <w:tab/>
        <w:t xml:space="preserve">This Schedule applies to a dispute </w:t>
      </w:r>
      <w:r>
        <w:t xml:space="preserve">between an </w:t>
      </w:r>
      <w:r w:rsidRPr="00837206">
        <w:rPr>
          <w:b/>
        </w:rPr>
        <w:t>Electricity distributor</w:t>
      </w:r>
      <w:r>
        <w:t xml:space="preserve"> and a </w:t>
      </w:r>
      <w:r w:rsidRPr="00002234">
        <w:rPr>
          <w:b/>
        </w:rPr>
        <w:t>NERL</w:t>
      </w:r>
      <w:r>
        <w:t xml:space="preserve"> </w:t>
      </w:r>
      <w:r w:rsidRPr="00002234">
        <w:rPr>
          <w:b/>
        </w:rPr>
        <w:t>retailer</w:t>
      </w:r>
    </w:p>
    <w:p w14:paraId="52D559C1" w14:textId="77777777" w:rsidR="006E3039" w:rsidRPr="00ED23F0" w:rsidRDefault="006E3039" w:rsidP="006E3039">
      <w:pPr>
        <w:ind w:left="1440" w:hanging="720"/>
      </w:pPr>
      <w:r w:rsidRPr="00ED23F0">
        <w:t>1.2</w:t>
      </w:r>
      <w:r w:rsidRPr="00ED23F0">
        <w:tab/>
        <w:t xml:space="preserve">If the dispute is not resolved within 10 </w:t>
      </w:r>
      <w:r w:rsidRPr="00F85AF5">
        <w:rPr>
          <w:i/>
          <w:iCs/>
        </w:rPr>
        <w:t>business days</w:t>
      </w:r>
      <w:r w:rsidRPr="00F85AF5">
        <w:t xml:space="preserve"> after a notice of dispute is given under </w:t>
      </w:r>
      <w:r w:rsidRPr="005C7692">
        <w:t xml:space="preserve">section 4.3 </w:t>
      </w:r>
      <w:r w:rsidRPr="00D945B5">
        <w:t>(“</w:t>
      </w:r>
      <w:r w:rsidRPr="00D945B5">
        <w:rPr>
          <w:b/>
          <w:bCs/>
        </w:rPr>
        <w:t>Notice Period</w:t>
      </w:r>
      <w:r w:rsidRPr="00ED23F0">
        <w:t>”), the dispute is by this clause submitted to mediation. The mediation must be conducted in Canberra. The Institute of Arbitrators Australia Rules for the Mediation of Commercial Disputes (in force as at the date of the notice) apply to the mediation, except to the extent they conflict with this Schedule.</w:t>
      </w:r>
    </w:p>
    <w:p w14:paraId="5DE11661" w14:textId="77777777" w:rsidR="006E3039" w:rsidRPr="00ED23F0" w:rsidRDefault="006E3039" w:rsidP="006E3039">
      <w:pPr>
        <w:ind w:left="1440" w:hanging="720"/>
      </w:pPr>
      <w:r w:rsidRPr="00917B9D">
        <w:t>1.3</w:t>
      </w:r>
      <w:r w:rsidRPr="00917B9D">
        <w:tab/>
        <w:t>If the parties have not agreed on the mediator and the mediator’s remuneration within 7 days after the Notice Period, the mediator will be appointed by the President of the Australian Capital Territory Law Society or the President’s nominee, at the request of either party, and that person will also determine the amou</w:t>
      </w:r>
      <w:r w:rsidRPr="00D945B5">
        <w:t>nt or rate of the med</w:t>
      </w:r>
      <w:r w:rsidRPr="00ED23F0">
        <w:t>iator’s remuneration.</w:t>
      </w:r>
    </w:p>
    <w:p w14:paraId="1F247C34" w14:textId="77777777" w:rsidR="00A9172A" w:rsidRDefault="006E3039" w:rsidP="006E3039">
      <w:pPr>
        <w:pStyle w:val="NoSpacing"/>
        <w:ind w:left="1440" w:hanging="720"/>
      </w:pPr>
      <w:r w:rsidRPr="00ED23F0">
        <w:t>1.4</w:t>
      </w:r>
      <w:r w:rsidRPr="00ED23F0">
        <w:tab/>
        <w:t>The parties must share the costs of the mediator. Each party must pay its own costs of the mediation</w:t>
      </w:r>
    </w:p>
    <w:p w14:paraId="55BD9F1F" w14:textId="77777777" w:rsidR="00A9172A" w:rsidRDefault="00A9172A" w:rsidP="00A9172A">
      <w:pPr>
        <w:pStyle w:val="NoSpacing"/>
        <w:ind w:left="0"/>
      </w:pPr>
    </w:p>
    <w:p w14:paraId="668E45FF" w14:textId="74B05779" w:rsidR="00A9172A" w:rsidRDefault="00A9172A">
      <w:pPr>
        <w:spacing w:after="0" w:line="240" w:lineRule="auto"/>
        <w:ind w:left="0"/>
      </w:pPr>
    </w:p>
    <w:p w14:paraId="045F7DFD" w14:textId="77777777" w:rsidR="00A9172A" w:rsidRDefault="00A9172A">
      <w:pPr>
        <w:spacing w:after="0" w:line="240" w:lineRule="auto"/>
        <w:ind w:left="0"/>
      </w:pPr>
      <w:bookmarkStart w:id="40" w:name="_Hlt474743669"/>
      <w:bookmarkEnd w:id="40"/>
      <w:r>
        <w:br w:type="page"/>
      </w:r>
    </w:p>
    <w:p w14:paraId="5E710376" w14:textId="615A18D1" w:rsidR="00A9172A" w:rsidRDefault="00A9172A" w:rsidP="00A9172A">
      <w:pPr>
        <w:pStyle w:val="Heading1"/>
      </w:pPr>
      <w:bookmarkStart w:id="41" w:name="_Toc29202097"/>
      <w:r>
        <w:lastRenderedPageBreak/>
        <w:t xml:space="preserve">Schedule </w:t>
      </w:r>
      <w:r w:rsidR="00CE5240">
        <w:t>3</w:t>
      </w:r>
      <w:r w:rsidRPr="00917B9D">
        <w:t xml:space="preserve">: </w:t>
      </w:r>
      <w:r>
        <w:t>Code amendment history</w:t>
      </w:r>
      <w:bookmarkEnd w:id="41"/>
    </w:p>
    <w:p w14:paraId="309EBAAF" w14:textId="77777777" w:rsidR="00A9172A" w:rsidRDefault="00A9172A" w:rsidP="00A9172A">
      <w:pPr>
        <w:pStyle w:val="NoSpacing"/>
        <w:ind w:left="0"/>
      </w:pPr>
    </w:p>
    <w:p w14:paraId="546C85DE" w14:textId="77777777" w:rsidR="00E52B0D" w:rsidRPr="00917B9D" w:rsidRDefault="00E52B0D" w:rsidP="00E52B0D">
      <w:pPr>
        <w:ind w:left="0"/>
      </w:pPr>
      <w:r w:rsidRPr="00917B9D">
        <w:t>The Electricity Feed-in Code was first determined on 27 February 2009 under the Utilities (Electricity Feed-in Code) Determination 2009 (DI2009-23).</w:t>
      </w:r>
    </w:p>
    <w:p w14:paraId="62587BA0" w14:textId="77777777" w:rsidR="00E52B0D" w:rsidRPr="00917B9D" w:rsidRDefault="00E52B0D" w:rsidP="00E52B0D">
      <w:pPr>
        <w:ind w:left="0" w:right="232"/>
        <w:rPr>
          <w:rFonts w:cs="Arial"/>
        </w:rPr>
      </w:pPr>
      <w:r>
        <w:t xml:space="preserve">The Code has been varied, </w:t>
      </w:r>
      <w:r w:rsidRPr="00917B9D">
        <w:t xml:space="preserve">revoked </w:t>
      </w:r>
      <w:r>
        <w:t>or</w:t>
      </w:r>
      <w:r w:rsidRPr="00917B9D">
        <w:t xml:space="preserve"> re-determined by the following instruments. These are available on the ACT Legislation Register (</w:t>
      </w:r>
      <w:hyperlink r:id="rId23" w:history="1">
        <w:r w:rsidRPr="00917B9D">
          <w:rPr>
            <w:rStyle w:val="Hyperlink"/>
          </w:rPr>
          <w:t>www.legislation.act.gov.au/a/2000-65/default.asp</w:t>
        </w:r>
      </w:hyperlink>
      <w:r w:rsidRPr="00917B9D">
        <w:t>).</w:t>
      </w:r>
      <w:r w:rsidRPr="00917B9D">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65"/>
        <w:gridCol w:w="2337"/>
        <w:gridCol w:w="1885"/>
      </w:tblGrid>
      <w:tr w:rsidR="00E52B0D" w:rsidRPr="00917B9D" w14:paraId="174DC866" w14:textId="77777777" w:rsidTr="00E52B0D">
        <w:tc>
          <w:tcPr>
            <w:tcW w:w="4473" w:type="dxa"/>
            <w:tcBorders>
              <w:top w:val="single" w:sz="4" w:space="0" w:color="auto"/>
            </w:tcBorders>
          </w:tcPr>
          <w:p w14:paraId="778B8B21" w14:textId="77777777" w:rsidR="00E52B0D" w:rsidRPr="00CF7D5E" w:rsidRDefault="00E52B0D" w:rsidP="00E52B0D">
            <w:pPr>
              <w:ind w:left="0"/>
              <w:rPr>
                <w:rFonts w:cs="Arial"/>
                <w:b/>
                <w:szCs w:val="15"/>
              </w:rPr>
            </w:pPr>
            <w:r w:rsidRPr="00CF7D5E">
              <w:rPr>
                <w:rFonts w:cs="Arial"/>
                <w:b/>
                <w:szCs w:val="15"/>
              </w:rPr>
              <w:t>Instrument name and number</w:t>
            </w:r>
          </w:p>
        </w:tc>
        <w:tc>
          <w:tcPr>
            <w:tcW w:w="2383" w:type="dxa"/>
            <w:tcBorders>
              <w:top w:val="single" w:sz="4" w:space="0" w:color="auto"/>
            </w:tcBorders>
          </w:tcPr>
          <w:p w14:paraId="3F65614E" w14:textId="77777777" w:rsidR="00E52B0D" w:rsidRPr="00A97484" w:rsidRDefault="00E52B0D" w:rsidP="00E52B0D">
            <w:pPr>
              <w:ind w:left="0"/>
              <w:rPr>
                <w:rFonts w:cs="Arial"/>
                <w:b/>
                <w:szCs w:val="15"/>
              </w:rPr>
            </w:pPr>
            <w:r w:rsidRPr="00A97484">
              <w:rPr>
                <w:rFonts w:cs="Arial"/>
                <w:b/>
                <w:szCs w:val="15"/>
              </w:rPr>
              <w:t>Date of effect</w:t>
            </w:r>
          </w:p>
        </w:tc>
        <w:tc>
          <w:tcPr>
            <w:tcW w:w="1899" w:type="dxa"/>
            <w:tcBorders>
              <w:top w:val="single" w:sz="4" w:space="0" w:color="auto"/>
            </w:tcBorders>
          </w:tcPr>
          <w:p w14:paraId="2F52D1F7" w14:textId="77777777" w:rsidR="00E52B0D" w:rsidRPr="00A97484" w:rsidRDefault="00E52B0D" w:rsidP="00E52B0D">
            <w:pPr>
              <w:ind w:left="0"/>
              <w:rPr>
                <w:rFonts w:cs="Arial"/>
                <w:b/>
                <w:szCs w:val="15"/>
              </w:rPr>
            </w:pPr>
            <w:r w:rsidRPr="00A97484">
              <w:rPr>
                <w:rFonts w:cs="Arial"/>
                <w:b/>
                <w:szCs w:val="15"/>
              </w:rPr>
              <w:t>Comment</w:t>
            </w:r>
          </w:p>
        </w:tc>
      </w:tr>
      <w:tr w:rsidR="00E52B0D" w:rsidRPr="00917B9D" w14:paraId="7E5F0830" w14:textId="77777777" w:rsidTr="00E52B0D">
        <w:tc>
          <w:tcPr>
            <w:tcW w:w="4473" w:type="dxa"/>
          </w:tcPr>
          <w:p w14:paraId="1E0DB877" w14:textId="77777777" w:rsidR="00E52B0D" w:rsidRPr="00ED23F0" w:rsidRDefault="00E52B0D" w:rsidP="00E52B0D">
            <w:pPr>
              <w:spacing w:before="60" w:after="60" w:line="240" w:lineRule="auto"/>
              <w:ind w:left="0"/>
              <w:rPr>
                <w:rFonts w:cs="Arial"/>
                <w:sz w:val="16"/>
                <w:szCs w:val="16"/>
              </w:rPr>
            </w:pPr>
            <w:r w:rsidRPr="00ED23F0">
              <w:rPr>
                <w:rFonts w:cs="Arial"/>
                <w:sz w:val="16"/>
                <w:szCs w:val="16"/>
              </w:rPr>
              <w:t>Utilities (Electricity Feed-in Cod</w:t>
            </w:r>
            <w:r w:rsidR="00FE019B">
              <w:rPr>
                <w:rFonts w:cs="Arial"/>
                <w:sz w:val="16"/>
                <w:szCs w:val="16"/>
              </w:rPr>
              <w:t>e) Determination 2010 (D</w:t>
            </w:r>
            <w:r w:rsidR="00EF4D23">
              <w:rPr>
                <w:rFonts w:cs="Arial"/>
                <w:sz w:val="16"/>
                <w:szCs w:val="16"/>
              </w:rPr>
              <w:t>I</w:t>
            </w:r>
            <w:r w:rsidR="00FE019B">
              <w:rPr>
                <w:rFonts w:cs="Arial"/>
                <w:sz w:val="16"/>
                <w:szCs w:val="16"/>
              </w:rPr>
              <w:t>2010-</w:t>
            </w:r>
            <w:r w:rsidRPr="00ED23F0">
              <w:rPr>
                <w:rFonts w:cs="Arial"/>
                <w:sz w:val="16"/>
                <w:szCs w:val="16"/>
              </w:rPr>
              <w:t>268)</w:t>
            </w:r>
          </w:p>
        </w:tc>
        <w:tc>
          <w:tcPr>
            <w:tcW w:w="2383" w:type="dxa"/>
          </w:tcPr>
          <w:p w14:paraId="0F6A64AE" w14:textId="77777777" w:rsidR="00E52B0D" w:rsidRPr="00F85AF5" w:rsidRDefault="00E52B0D" w:rsidP="00E52B0D">
            <w:pPr>
              <w:spacing w:before="60" w:after="60" w:line="240" w:lineRule="auto"/>
              <w:ind w:left="0"/>
              <w:rPr>
                <w:rFonts w:cs="Arial"/>
                <w:sz w:val="16"/>
                <w:szCs w:val="16"/>
              </w:rPr>
            </w:pPr>
            <w:r w:rsidRPr="00F85AF5">
              <w:rPr>
                <w:rFonts w:cs="Arial"/>
                <w:sz w:val="16"/>
                <w:szCs w:val="16"/>
              </w:rPr>
              <w:t>Effective from October 2010</w:t>
            </w:r>
          </w:p>
        </w:tc>
        <w:tc>
          <w:tcPr>
            <w:tcW w:w="1899" w:type="dxa"/>
          </w:tcPr>
          <w:p w14:paraId="7FA52A91" w14:textId="77777777" w:rsidR="00E52B0D" w:rsidRPr="00917B9D" w:rsidRDefault="00E52B0D" w:rsidP="00E52B0D">
            <w:pPr>
              <w:spacing w:before="60" w:after="60" w:line="240" w:lineRule="auto"/>
              <w:ind w:left="0"/>
              <w:rPr>
                <w:rFonts w:cs="Arial"/>
                <w:sz w:val="16"/>
                <w:szCs w:val="16"/>
              </w:rPr>
            </w:pPr>
            <w:r w:rsidRPr="00917B9D">
              <w:rPr>
                <w:rFonts w:cs="Arial"/>
                <w:sz w:val="16"/>
                <w:szCs w:val="16"/>
              </w:rPr>
              <w:t xml:space="preserve">Revoked the Code determined in 2009 and determined new Code </w:t>
            </w:r>
          </w:p>
        </w:tc>
      </w:tr>
      <w:tr w:rsidR="00E52B0D" w:rsidRPr="00917B9D" w14:paraId="05FD5C68" w14:textId="77777777" w:rsidTr="00E52B0D">
        <w:tc>
          <w:tcPr>
            <w:tcW w:w="4473" w:type="dxa"/>
          </w:tcPr>
          <w:p w14:paraId="1ECA2209" w14:textId="77777777" w:rsidR="00E52B0D" w:rsidRPr="00917B9D" w:rsidRDefault="00E52B0D" w:rsidP="00E52B0D">
            <w:pPr>
              <w:spacing w:before="60" w:after="60" w:line="240" w:lineRule="auto"/>
              <w:ind w:left="0"/>
              <w:rPr>
                <w:rFonts w:cs="Arial"/>
                <w:sz w:val="16"/>
                <w:szCs w:val="16"/>
              </w:rPr>
            </w:pPr>
            <w:r w:rsidRPr="00917B9D">
              <w:rPr>
                <w:rFonts w:cs="Arial"/>
                <w:sz w:val="16"/>
                <w:szCs w:val="16"/>
              </w:rPr>
              <w:t xml:space="preserve">Utilities (Electricity Feed-in Code) </w:t>
            </w:r>
            <w:r w:rsidR="00EF4D23">
              <w:rPr>
                <w:rFonts w:cs="Arial"/>
                <w:sz w:val="16"/>
                <w:szCs w:val="16"/>
              </w:rPr>
              <w:t>Determination 2012 (DI</w:t>
            </w:r>
            <w:r w:rsidR="00FE019B">
              <w:rPr>
                <w:rFonts w:cs="Arial"/>
                <w:sz w:val="16"/>
                <w:szCs w:val="16"/>
              </w:rPr>
              <w:t>2012-</w:t>
            </w:r>
            <w:r>
              <w:rPr>
                <w:rFonts w:cs="Arial"/>
                <w:sz w:val="16"/>
                <w:szCs w:val="16"/>
              </w:rPr>
              <w:t>154</w:t>
            </w:r>
            <w:r w:rsidRPr="00917B9D">
              <w:rPr>
                <w:rFonts w:cs="Arial"/>
                <w:sz w:val="16"/>
                <w:szCs w:val="16"/>
              </w:rPr>
              <w:t>)</w:t>
            </w:r>
          </w:p>
        </w:tc>
        <w:tc>
          <w:tcPr>
            <w:tcW w:w="2383" w:type="dxa"/>
          </w:tcPr>
          <w:p w14:paraId="4B886BD7" w14:textId="77777777" w:rsidR="00E52B0D" w:rsidRPr="00917B9D" w:rsidRDefault="00E52B0D" w:rsidP="00E52B0D">
            <w:pPr>
              <w:spacing w:before="60" w:after="60" w:line="240" w:lineRule="auto"/>
              <w:ind w:left="0"/>
              <w:rPr>
                <w:rFonts w:cs="Arial"/>
                <w:sz w:val="16"/>
                <w:szCs w:val="16"/>
              </w:rPr>
            </w:pPr>
            <w:r w:rsidRPr="00917B9D">
              <w:rPr>
                <w:rFonts w:cs="Arial"/>
                <w:sz w:val="16"/>
                <w:szCs w:val="16"/>
              </w:rPr>
              <w:t>Effective from  July 2012</w:t>
            </w:r>
          </w:p>
        </w:tc>
        <w:tc>
          <w:tcPr>
            <w:tcW w:w="1899" w:type="dxa"/>
          </w:tcPr>
          <w:p w14:paraId="4B9DF644" w14:textId="77777777" w:rsidR="00E52B0D" w:rsidRPr="00917B9D" w:rsidRDefault="00E52B0D" w:rsidP="00E52B0D">
            <w:pPr>
              <w:spacing w:before="60" w:after="60" w:line="240" w:lineRule="auto"/>
              <w:ind w:left="0"/>
              <w:rPr>
                <w:rFonts w:cs="Arial"/>
                <w:sz w:val="16"/>
                <w:szCs w:val="16"/>
              </w:rPr>
            </w:pPr>
            <w:r w:rsidRPr="00917B9D">
              <w:rPr>
                <w:rFonts w:cs="Arial"/>
                <w:sz w:val="16"/>
                <w:szCs w:val="16"/>
              </w:rPr>
              <w:t>Rev</w:t>
            </w:r>
            <w:r>
              <w:rPr>
                <w:rFonts w:cs="Arial"/>
                <w:sz w:val="16"/>
                <w:szCs w:val="16"/>
              </w:rPr>
              <w:t>oked the Code determined in 2010</w:t>
            </w:r>
            <w:r w:rsidRPr="00917B9D">
              <w:rPr>
                <w:rFonts w:cs="Arial"/>
                <w:sz w:val="16"/>
                <w:szCs w:val="16"/>
              </w:rPr>
              <w:t xml:space="preserve"> and determined new Code to incorporate the commencement of the NECF in the ACT</w:t>
            </w:r>
          </w:p>
        </w:tc>
      </w:tr>
      <w:tr w:rsidR="00E52B0D" w:rsidRPr="00917B9D" w14:paraId="265E4B67" w14:textId="77777777" w:rsidTr="00923E1F">
        <w:tc>
          <w:tcPr>
            <w:tcW w:w="4473" w:type="dxa"/>
          </w:tcPr>
          <w:p w14:paraId="63CEC31E" w14:textId="196259AF" w:rsidR="00E52B0D" w:rsidRPr="00917B9D" w:rsidRDefault="00E52B0D" w:rsidP="00E52B0D">
            <w:pPr>
              <w:spacing w:before="60" w:after="60" w:line="240" w:lineRule="auto"/>
              <w:ind w:left="0"/>
              <w:rPr>
                <w:rFonts w:cs="Arial"/>
                <w:sz w:val="16"/>
                <w:szCs w:val="16"/>
              </w:rPr>
            </w:pPr>
            <w:r w:rsidRPr="00917B9D">
              <w:rPr>
                <w:rFonts w:cs="Arial"/>
                <w:sz w:val="16"/>
                <w:szCs w:val="16"/>
              </w:rPr>
              <w:t xml:space="preserve">Utilities (Electricity Feed-in Code) </w:t>
            </w:r>
            <w:r>
              <w:rPr>
                <w:rFonts w:cs="Arial"/>
                <w:sz w:val="16"/>
                <w:szCs w:val="16"/>
              </w:rPr>
              <w:t>Determ</w:t>
            </w:r>
            <w:r w:rsidR="00EF4D23">
              <w:rPr>
                <w:rFonts w:cs="Arial"/>
                <w:sz w:val="16"/>
                <w:szCs w:val="16"/>
              </w:rPr>
              <w:t>ination 2015 (DI</w:t>
            </w:r>
            <w:r w:rsidR="00FE019B">
              <w:rPr>
                <w:rFonts w:cs="Arial"/>
                <w:sz w:val="16"/>
                <w:szCs w:val="16"/>
              </w:rPr>
              <w:t>2015-</w:t>
            </w:r>
            <w:r w:rsidR="00923E1F">
              <w:rPr>
                <w:rFonts w:cs="Arial"/>
                <w:sz w:val="16"/>
                <w:szCs w:val="16"/>
              </w:rPr>
              <w:t>256</w:t>
            </w:r>
            <w:r w:rsidRPr="00917B9D">
              <w:rPr>
                <w:rFonts w:cs="Arial"/>
                <w:sz w:val="16"/>
                <w:szCs w:val="16"/>
              </w:rPr>
              <w:t>)</w:t>
            </w:r>
          </w:p>
        </w:tc>
        <w:tc>
          <w:tcPr>
            <w:tcW w:w="2383" w:type="dxa"/>
          </w:tcPr>
          <w:p w14:paraId="0E203EBA" w14:textId="77777777" w:rsidR="00E52B0D" w:rsidRPr="00917B9D" w:rsidRDefault="00E52B0D" w:rsidP="00E52B0D">
            <w:pPr>
              <w:spacing w:before="60" w:after="60" w:line="240" w:lineRule="auto"/>
              <w:ind w:left="0"/>
              <w:rPr>
                <w:rFonts w:cs="Arial"/>
                <w:sz w:val="16"/>
                <w:szCs w:val="16"/>
              </w:rPr>
            </w:pPr>
            <w:bookmarkStart w:id="42" w:name="OLE_LINK1"/>
            <w:r>
              <w:rPr>
                <w:rFonts w:cs="Arial"/>
                <w:sz w:val="16"/>
                <w:szCs w:val="16"/>
              </w:rPr>
              <w:t>Effective from September 2015</w:t>
            </w:r>
            <w:bookmarkEnd w:id="42"/>
          </w:p>
        </w:tc>
        <w:tc>
          <w:tcPr>
            <w:tcW w:w="1899" w:type="dxa"/>
          </w:tcPr>
          <w:p w14:paraId="06131D78" w14:textId="77777777" w:rsidR="00E52B0D" w:rsidRPr="00917B9D" w:rsidRDefault="00E52B0D" w:rsidP="00EF4D23">
            <w:pPr>
              <w:spacing w:before="60" w:after="60" w:line="240" w:lineRule="auto"/>
              <w:ind w:left="0"/>
              <w:rPr>
                <w:rFonts w:cs="Arial"/>
                <w:sz w:val="16"/>
                <w:szCs w:val="16"/>
              </w:rPr>
            </w:pPr>
            <w:r>
              <w:rPr>
                <w:rFonts w:cs="Arial"/>
                <w:sz w:val="16"/>
                <w:szCs w:val="16"/>
              </w:rPr>
              <w:t xml:space="preserve">Made variations to the code determined in 2012 to omit reporting obligations under the Feed-in scheme. </w:t>
            </w:r>
            <w:r w:rsidR="00EF4D23">
              <w:rPr>
                <w:rFonts w:cs="Arial"/>
                <w:sz w:val="16"/>
                <w:szCs w:val="16"/>
              </w:rPr>
              <w:t xml:space="preserve">Removed clauses 4.5, 5.4 and 7 and schedule 3. </w:t>
            </w:r>
            <w:r>
              <w:rPr>
                <w:rFonts w:cs="Arial"/>
                <w:sz w:val="16"/>
                <w:szCs w:val="16"/>
              </w:rPr>
              <w:t xml:space="preserve">Revoked </w:t>
            </w:r>
            <w:r w:rsidR="00EF4D23">
              <w:rPr>
                <w:rFonts w:cs="Arial"/>
                <w:sz w:val="16"/>
                <w:szCs w:val="16"/>
              </w:rPr>
              <w:t>DI2012-154.</w:t>
            </w:r>
          </w:p>
        </w:tc>
      </w:tr>
      <w:tr w:rsidR="00923E1F" w:rsidRPr="00917B9D" w14:paraId="45286098" w14:textId="77777777" w:rsidTr="00E52B0D">
        <w:tc>
          <w:tcPr>
            <w:tcW w:w="4473" w:type="dxa"/>
            <w:tcBorders>
              <w:bottom w:val="single" w:sz="4" w:space="0" w:color="auto"/>
            </w:tcBorders>
          </w:tcPr>
          <w:p w14:paraId="0A7F7AD9" w14:textId="77777777" w:rsidR="00923E1F" w:rsidRPr="00917B9D" w:rsidRDefault="00923E1F" w:rsidP="00E52B0D">
            <w:pPr>
              <w:spacing w:before="60" w:after="60" w:line="240" w:lineRule="auto"/>
              <w:ind w:left="0"/>
              <w:rPr>
                <w:rFonts w:cs="Arial"/>
                <w:sz w:val="16"/>
                <w:szCs w:val="16"/>
              </w:rPr>
            </w:pPr>
            <w:r w:rsidRPr="00917B9D">
              <w:rPr>
                <w:rFonts w:cs="Arial"/>
                <w:sz w:val="16"/>
                <w:szCs w:val="16"/>
              </w:rPr>
              <w:t xml:space="preserve">Utilities (Electricity Feed-in Code) </w:t>
            </w:r>
            <w:r>
              <w:rPr>
                <w:rFonts w:cs="Arial"/>
                <w:sz w:val="16"/>
                <w:szCs w:val="16"/>
              </w:rPr>
              <w:t>Determination 2020 (DI2020-TBA</w:t>
            </w:r>
            <w:r w:rsidRPr="00917B9D">
              <w:rPr>
                <w:rFonts w:cs="Arial"/>
                <w:sz w:val="16"/>
                <w:szCs w:val="16"/>
              </w:rPr>
              <w:t>)</w:t>
            </w:r>
          </w:p>
        </w:tc>
        <w:tc>
          <w:tcPr>
            <w:tcW w:w="2383" w:type="dxa"/>
            <w:tcBorders>
              <w:bottom w:val="single" w:sz="4" w:space="0" w:color="auto"/>
            </w:tcBorders>
          </w:tcPr>
          <w:p w14:paraId="579894CC" w14:textId="3F387582" w:rsidR="00923E1F" w:rsidRDefault="00923E1F" w:rsidP="00E52B0D">
            <w:pPr>
              <w:spacing w:before="60" w:after="60" w:line="240" w:lineRule="auto"/>
              <w:ind w:left="0"/>
              <w:rPr>
                <w:rFonts w:cs="Arial"/>
                <w:sz w:val="16"/>
                <w:szCs w:val="16"/>
              </w:rPr>
            </w:pPr>
            <w:r>
              <w:rPr>
                <w:rFonts w:cs="Arial"/>
                <w:sz w:val="16"/>
                <w:szCs w:val="16"/>
              </w:rPr>
              <w:t xml:space="preserve">Effective from </w:t>
            </w:r>
            <w:r w:rsidR="008C5B52">
              <w:rPr>
                <w:rFonts w:cs="Arial"/>
                <w:sz w:val="16"/>
                <w:szCs w:val="16"/>
              </w:rPr>
              <w:t>1 July 2020</w:t>
            </w:r>
          </w:p>
        </w:tc>
        <w:tc>
          <w:tcPr>
            <w:tcW w:w="1899" w:type="dxa"/>
            <w:tcBorders>
              <w:bottom w:val="single" w:sz="4" w:space="0" w:color="auto"/>
            </w:tcBorders>
          </w:tcPr>
          <w:p w14:paraId="13913845" w14:textId="170D1A88" w:rsidR="00923E1F" w:rsidRDefault="00923E1F" w:rsidP="00EF4D23">
            <w:pPr>
              <w:spacing w:before="60" w:after="60" w:line="240" w:lineRule="auto"/>
              <w:ind w:left="0"/>
              <w:rPr>
                <w:rFonts w:cs="Arial"/>
                <w:sz w:val="16"/>
                <w:szCs w:val="16"/>
              </w:rPr>
            </w:pPr>
            <w:r>
              <w:rPr>
                <w:rFonts w:cs="Arial"/>
                <w:sz w:val="16"/>
                <w:szCs w:val="16"/>
              </w:rPr>
              <w:t>Revoked the Code determined in 2015 and determined a new Code to reflect commencement of a new Consumer Protection Code, (DI</w:t>
            </w:r>
            <w:r w:rsidR="008C5B52">
              <w:rPr>
                <w:rFonts w:cs="Arial"/>
                <w:sz w:val="16"/>
                <w:szCs w:val="16"/>
              </w:rPr>
              <w:t>2020-6</w:t>
            </w:r>
            <w:r>
              <w:rPr>
                <w:rFonts w:cs="Arial"/>
                <w:sz w:val="16"/>
                <w:szCs w:val="16"/>
              </w:rPr>
              <w:t xml:space="preserve">) </w:t>
            </w:r>
          </w:p>
        </w:tc>
      </w:tr>
    </w:tbl>
    <w:p w14:paraId="390E8388" w14:textId="77777777" w:rsidR="00A9172A" w:rsidRPr="00917B9D" w:rsidRDefault="00A9172A" w:rsidP="00A9172A">
      <w:pPr>
        <w:pStyle w:val="NoSpacing"/>
        <w:ind w:left="0"/>
      </w:pPr>
    </w:p>
    <w:sectPr w:rsidR="00A9172A" w:rsidRPr="00917B9D" w:rsidSect="002A2B8E">
      <w:headerReference w:type="even" r:id="rId24"/>
      <w:type w:val="oddPage"/>
      <w:pgSz w:w="11909" w:h="16834" w:code="9"/>
      <w:pgMar w:top="1440" w:right="1440" w:bottom="1440" w:left="1872"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1F23E" w14:textId="77777777" w:rsidR="00E870F5" w:rsidRDefault="00E870F5">
      <w:r>
        <w:separator/>
      </w:r>
    </w:p>
  </w:endnote>
  <w:endnote w:type="continuationSeparator" w:id="0">
    <w:p w14:paraId="4C08E621" w14:textId="77777777" w:rsidR="00E870F5" w:rsidRDefault="00E8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808C" w14:textId="77777777" w:rsidR="00E43975" w:rsidRDefault="00E43975" w:rsidP="002718F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tbl>
    <w:tblPr>
      <w:tblW w:w="11540" w:type="dxa"/>
      <w:tblInd w:w="-720" w:type="dxa"/>
      <w:tblBorders>
        <w:top w:val="single" w:sz="8" w:space="0" w:color="23408F"/>
      </w:tblBorders>
      <w:tblLayout w:type="fixed"/>
      <w:tblCellMar>
        <w:left w:w="115" w:type="dxa"/>
        <w:right w:w="115" w:type="dxa"/>
      </w:tblCellMar>
      <w:tblLook w:val="0000" w:firstRow="0" w:lastRow="0" w:firstColumn="0" w:lastColumn="0" w:noHBand="0" w:noVBand="0"/>
    </w:tblPr>
    <w:tblGrid>
      <w:gridCol w:w="254"/>
      <w:gridCol w:w="542"/>
      <w:gridCol w:w="10744"/>
    </w:tblGrid>
    <w:tr w:rsidR="00E43975" w14:paraId="53678004" w14:textId="77777777">
      <w:trPr>
        <w:cantSplit/>
        <w:trHeight w:hRule="exact" w:val="480"/>
      </w:trPr>
      <w:tc>
        <w:tcPr>
          <w:tcW w:w="245" w:type="dxa"/>
          <w:tcBorders>
            <w:top w:val="single" w:sz="8" w:space="0" w:color="23408F"/>
          </w:tcBorders>
          <w:shd w:val="clear" w:color="23408F" w:fill="auto"/>
        </w:tcPr>
        <w:p w14:paraId="0BBE6842" w14:textId="77777777" w:rsidR="00E43975" w:rsidRDefault="00E43975" w:rsidP="00B35FB3">
          <w:pPr>
            <w:spacing w:before="120" w:after="0" w:line="240" w:lineRule="auto"/>
            <w:ind w:right="360" w:firstLine="360"/>
            <w:jc w:val="center"/>
            <w:rPr>
              <w:rStyle w:val="PageNumber"/>
            </w:rPr>
          </w:pPr>
        </w:p>
      </w:tc>
      <w:tc>
        <w:tcPr>
          <w:tcW w:w="533" w:type="dxa"/>
          <w:tcBorders>
            <w:top w:val="single" w:sz="8" w:space="0" w:color="23408F"/>
          </w:tcBorders>
          <w:shd w:val="solid" w:color="23408F" w:fill="auto"/>
        </w:tcPr>
        <w:p w14:paraId="22B266F2" w14:textId="77777777" w:rsidR="00E43975" w:rsidRDefault="00E43975">
          <w:pPr>
            <w:spacing w:before="120" w:after="0" w:line="240" w:lineRule="auto"/>
            <w:ind w:left="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 xml:space="preserve"> A:</w:t>
          </w:r>
          <w:r>
            <w:tab/>
          </w:r>
        </w:p>
      </w:tc>
      <w:tc>
        <w:tcPr>
          <w:tcW w:w="10564" w:type="dxa"/>
          <w:tcBorders>
            <w:top w:val="single" w:sz="8" w:space="0" w:color="23408F"/>
          </w:tcBorders>
          <w:shd w:val="clear" w:color="23408F" w:fill="auto"/>
          <w:vAlign w:val="center"/>
        </w:tcPr>
        <w:p w14:paraId="312429E2" w14:textId="77777777" w:rsidR="00E43975" w:rsidRDefault="00E43975" w:rsidP="0051301F">
          <w:pPr>
            <w:spacing w:after="0" w:line="240" w:lineRule="auto"/>
            <w:ind w:right="1950"/>
            <w:jc w:val="right"/>
          </w:pPr>
          <w:r>
            <w:rPr>
              <w:sz w:val="16"/>
            </w:rPr>
            <w:t>Consumer Protection Code | July 2009</w:t>
          </w:r>
        </w:p>
      </w:tc>
    </w:tr>
  </w:tbl>
  <w:p w14:paraId="44A70D24" w14:textId="77777777" w:rsidR="00E43975" w:rsidRDefault="00E43975" w:rsidP="00502DC4">
    <w:pPr>
      <w:pStyle w:val="Footer"/>
      <w:jc w:val="center"/>
      <w:rPr>
        <w:rFonts w:ascii="Arial" w:hAnsi="Arial" w:cs="Arial"/>
        <w:sz w:val="14"/>
      </w:rPr>
    </w:pPr>
    <w:r>
      <w:rPr>
        <w:noProof/>
      </w:rPr>
      <mc:AlternateContent>
        <mc:Choice Requires="wps">
          <w:drawing>
            <wp:anchor distT="0" distB="0" distL="114300" distR="114300" simplePos="0" relativeHeight="251656192" behindDoc="1" locked="1" layoutInCell="1" allowOverlap="1" wp14:anchorId="613A1199" wp14:editId="0BC2097B">
              <wp:simplePos x="0" y="0"/>
              <wp:positionH relativeFrom="column">
                <wp:posOffset>-211455</wp:posOffset>
              </wp:positionH>
              <wp:positionV relativeFrom="page">
                <wp:posOffset>292735</wp:posOffset>
              </wp:positionV>
              <wp:extent cx="0" cy="10007600"/>
              <wp:effectExtent l="7620" t="6985" r="11430" b="1524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0760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63F9"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65pt,23.05pt" to="-16.65pt,8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" strokecolor="#23408f" strokeweight="1pt">
              <w10:wrap anchory="page"/>
              <w10:anchorlock/>
            </v:line>
          </w:pict>
        </mc:Fallback>
      </mc:AlternateContent>
    </w:r>
    <w:r w:rsidRPr="00502DC4">
      <w:rPr>
        <w:rFonts w:ascii="Arial" w:hAnsi="Arial" w:cs="Arial"/>
        <w:sz w:val="14"/>
      </w:rPr>
      <w:t>Unauthorised version prepared by ACT Parliamentary Counsel’s Office</w:t>
    </w:r>
  </w:p>
  <w:p w14:paraId="57B0094D" w14:textId="77777777" w:rsidR="00E43975" w:rsidRDefault="00E43975" w:rsidP="00EC0C09">
    <w:pPr>
      <w:pStyle w:val="Footer"/>
      <w:jc w:val="center"/>
      <w:rPr>
        <w:rFonts w:ascii="Arial" w:hAnsi="Arial" w:cs="Arial"/>
        <w:sz w:val="14"/>
      </w:rPr>
    </w:pPr>
    <w:r w:rsidRPr="00EC0C09">
      <w:rPr>
        <w:rFonts w:ascii="Arial" w:hAnsi="Arial" w:cs="Arial"/>
        <w:sz w:val="14"/>
      </w:rPr>
      <w:t>Unauthorised version prepared by ACT Parliamentary Counsel’s Office</w:t>
    </w:r>
  </w:p>
  <w:p w14:paraId="1761A60B" w14:textId="77777777" w:rsidR="00E43975" w:rsidRPr="001043C4" w:rsidRDefault="00E43975" w:rsidP="001043C4">
    <w:pPr>
      <w:pStyle w:val="Footer"/>
      <w:jc w:val="center"/>
      <w:rPr>
        <w:rFonts w:ascii="Arial" w:hAnsi="Arial" w:cs="Arial"/>
        <w:sz w:val="14"/>
      </w:rPr>
    </w:pPr>
    <w:r w:rsidRPr="001043C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5A3B" w14:textId="0A2E849A" w:rsidR="00E43975" w:rsidRPr="00857833" w:rsidRDefault="00857833" w:rsidP="00857833">
    <w:pPr>
      <w:pStyle w:val="Footer"/>
      <w:jc w:val="center"/>
      <w:rPr>
        <w:rFonts w:ascii="Arial" w:hAnsi="Arial" w:cs="Arial"/>
        <w:sz w:val="14"/>
      </w:rPr>
    </w:pPr>
    <w:r w:rsidRPr="0085783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023C" w14:textId="77777777" w:rsidR="00857833" w:rsidRDefault="008578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Ind w:w="-1493" w:type="dxa"/>
      <w:tblBorders>
        <w:top w:val="single" w:sz="8" w:space="0" w:color="23408F"/>
      </w:tblBorders>
      <w:tblLayout w:type="fixed"/>
      <w:tblCellMar>
        <w:left w:w="115" w:type="dxa"/>
        <w:right w:w="115" w:type="dxa"/>
      </w:tblCellMar>
      <w:tblLook w:val="0000" w:firstRow="0" w:lastRow="0" w:firstColumn="0" w:lastColumn="0" w:noHBand="0" w:noVBand="0"/>
    </w:tblPr>
    <w:tblGrid>
      <w:gridCol w:w="660"/>
      <w:gridCol w:w="600"/>
      <w:gridCol w:w="10140"/>
    </w:tblGrid>
    <w:tr w:rsidR="00E43975" w14:paraId="0B448E40" w14:textId="77777777" w:rsidTr="000568F2">
      <w:trPr>
        <w:cantSplit/>
        <w:trHeight w:hRule="exact" w:val="480"/>
      </w:trPr>
      <w:tc>
        <w:tcPr>
          <w:tcW w:w="660" w:type="dxa"/>
          <w:tcBorders>
            <w:top w:val="single" w:sz="8" w:space="0" w:color="23408F"/>
          </w:tcBorders>
          <w:shd w:val="clear" w:color="23408F" w:fill="auto"/>
        </w:tcPr>
        <w:p w14:paraId="7DB75ABD" w14:textId="77777777" w:rsidR="00E43975" w:rsidRDefault="00E43975">
          <w:pPr>
            <w:spacing w:before="120" w:after="0" w:line="240" w:lineRule="auto"/>
            <w:jc w:val="center"/>
            <w:rPr>
              <w:rStyle w:val="PageNumber"/>
            </w:rPr>
          </w:pPr>
          <w:r>
            <w:rPr>
              <w:noProof/>
            </w:rPr>
            <mc:AlternateContent>
              <mc:Choice Requires="wps">
                <w:drawing>
                  <wp:anchor distT="0" distB="0" distL="114300" distR="114300" simplePos="0" relativeHeight="251659264" behindDoc="1" locked="1" layoutInCell="1" allowOverlap="1" wp14:anchorId="2DF26091" wp14:editId="466F6CF2">
                    <wp:simplePos x="0" y="0"/>
                    <wp:positionH relativeFrom="column">
                      <wp:posOffset>540385</wp:posOffset>
                    </wp:positionH>
                    <wp:positionV relativeFrom="page">
                      <wp:posOffset>-9531985</wp:posOffset>
                    </wp:positionV>
                    <wp:extent cx="0" cy="10007600"/>
                    <wp:effectExtent l="11430" t="6985" r="7620" b="152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0760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4A0D8"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750.55pt" to="42.5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" strokecolor="#23408f" strokeweight="1pt">
                    <w10:wrap anchory="page"/>
                    <w10:anchorlock/>
                  </v:line>
                </w:pict>
              </mc:Fallback>
            </mc:AlternateContent>
          </w:r>
        </w:p>
      </w:tc>
      <w:tc>
        <w:tcPr>
          <w:tcW w:w="600" w:type="dxa"/>
          <w:tcBorders>
            <w:top w:val="single" w:sz="8" w:space="0" w:color="23408F"/>
          </w:tcBorders>
          <w:shd w:val="solid" w:color="23408F" w:fill="auto"/>
        </w:tcPr>
        <w:p w14:paraId="7E20F3B3" w14:textId="77777777" w:rsidR="00E43975" w:rsidRDefault="00E43975">
          <w:pPr>
            <w:spacing w:before="120" w:after="0" w:line="240" w:lineRule="auto"/>
            <w:ind w:left="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tc>
      <w:tc>
        <w:tcPr>
          <w:tcW w:w="10140" w:type="dxa"/>
          <w:tcBorders>
            <w:top w:val="single" w:sz="8" w:space="0" w:color="23408F"/>
          </w:tcBorders>
          <w:shd w:val="clear" w:color="23408F" w:fill="auto"/>
          <w:vAlign w:val="center"/>
        </w:tcPr>
        <w:p w14:paraId="513221B9" w14:textId="6D173D2D" w:rsidR="00E43975" w:rsidRDefault="00E43975" w:rsidP="002A2B8E">
          <w:pPr>
            <w:spacing w:after="0" w:line="240" w:lineRule="auto"/>
            <w:ind w:right="1229"/>
            <w:jc w:val="right"/>
          </w:pPr>
          <w:r>
            <w:rPr>
              <w:sz w:val="16"/>
            </w:rPr>
            <w:t>Electricity Feed-in Code | 2020</w:t>
          </w:r>
        </w:p>
      </w:tc>
    </w:tr>
  </w:tbl>
  <w:p w14:paraId="6011F122" w14:textId="5A57E880" w:rsidR="00E43975" w:rsidRPr="00857833" w:rsidRDefault="00857833" w:rsidP="00857833">
    <w:pPr>
      <w:pStyle w:val="Footer"/>
      <w:jc w:val="center"/>
      <w:rPr>
        <w:rFonts w:ascii="Arial" w:hAnsi="Arial" w:cs="Arial"/>
        <w:sz w:val="14"/>
      </w:rPr>
    </w:pPr>
    <w:r w:rsidRPr="0085783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12" w:type="dxa"/>
      <w:tblInd w:w="-1469" w:type="dxa"/>
      <w:tblBorders>
        <w:top w:val="single" w:sz="8" w:space="0" w:color="23408F"/>
      </w:tblBorders>
      <w:tblLayout w:type="fixed"/>
      <w:tblCellMar>
        <w:left w:w="115" w:type="dxa"/>
        <w:right w:w="115" w:type="dxa"/>
      </w:tblCellMar>
      <w:tblLook w:val="0000" w:firstRow="0" w:lastRow="0" w:firstColumn="0" w:lastColumn="0" w:noHBand="0" w:noVBand="0"/>
    </w:tblPr>
    <w:tblGrid>
      <w:gridCol w:w="10530"/>
      <w:gridCol w:w="532"/>
      <w:gridCol w:w="250"/>
    </w:tblGrid>
    <w:tr w:rsidR="00E43975" w14:paraId="56D8D5DC" w14:textId="77777777" w:rsidTr="00BE5EAF">
      <w:trPr>
        <w:cantSplit/>
        <w:trHeight w:hRule="exact" w:val="480"/>
      </w:trPr>
      <w:tc>
        <w:tcPr>
          <w:tcW w:w="10530" w:type="dxa"/>
          <w:tcBorders>
            <w:top w:val="single" w:sz="8" w:space="0" w:color="23408F"/>
          </w:tcBorders>
          <w:vAlign w:val="bottom"/>
        </w:tcPr>
        <w:p w14:paraId="19C9E6F9" w14:textId="77777777" w:rsidR="00E43975" w:rsidRDefault="00E43975" w:rsidP="00BE5EAF">
          <w:pPr>
            <w:spacing w:after="0" w:line="240" w:lineRule="auto"/>
            <w:jc w:val="center"/>
          </w:pPr>
          <w:r>
            <w:rPr>
              <w:noProof/>
            </w:rPr>
            <mc:AlternateContent>
              <mc:Choice Requires="wps">
                <w:drawing>
                  <wp:anchor distT="0" distB="0" distL="114300" distR="114300" simplePos="0" relativeHeight="251657216" behindDoc="0" locked="1" layoutInCell="1" allowOverlap="1" wp14:anchorId="3BB36AB0" wp14:editId="6D10B58E">
                    <wp:simplePos x="0" y="0"/>
                    <wp:positionH relativeFrom="page">
                      <wp:posOffset>6942455</wp:posOffset>
                    </wp:positionH>
                    <wp:positionV relativeFrom="page">
                      <wp:posOffset>-6908800</wp:posOffset>
                    </wp:positionV>
                    <wp:extent cx="254000" cy="6298565"/>
                    <wp:effectExtent l="0" t="444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629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E3D88" w14:textId="5995308B" w:rsidR="00E43975" w:rsidRPr="00CA5899" w:rsidRDefault="00E43975" w:rsidP="000568F2">
                                <w:pPr>
                                  <w:pStyle w:val="SideText"/>
                                </w:pPr>
                                <w:r>
                                  <w:t>ELECTRICITY FEED-IN Code | September 2020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36AB0" id="_x0000_t202" coordsize="21600,21600" o:spt="202" path="m,l,21600r21600,l21600,xe">
                    <v:stroke joinstyle="miter"/>
                    <v:path gradientshapeok="t" o:connecttype="rect"/>
                  </v:shapetype>
                  <v:shape id="Text Box 3" o:spid="_x0000_s1026" type="#_x0000_t202" style="position:absolute;left:0;text-align:left;margin-left:546.65pt;margin-top:-544pt;width:20pt;height:49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" stroked="f">
                    <v:textbox style="layout-flow:vertical;mso-layout-flow-alt:bottom-to-top" inset="0,0,0,0">
                      <w:txbxContent>
                        <w:p w14:paraId="117E3D88" w14:textId="5995308B" w:rsidR="00E43975" w:rsidRPr="00CA5899" w:rsidRDefault="00E43975" w:rsidP="000568F2">
                          <w:pPr>
                            <w:pStyle w:val="SideText"/>
                          </w:pPr>
                          <w:r>
                            <w:t>ELECTRICITY FEED-IN Code | September 2020</w:t>
                          </w:r>
                        </w:p>
                      </w:txbxContent>
                    </v:textbox>
                    <w10:wrap anchorx="page" anchory="page"/>
                    <w10:anchorlock/>
                  </v:shape>
                </w:pict>
              </mc:Fallback>
            </mc:AlternateContent>
          </w:r>
        </w:p>
      </w:tc>
      <w:tc>
        <w:tcPr>
          <w:tcW w:w="532" w:type="dxa"/>
          <w:tcBorders>
            <w:top w:val="single" w:sz="8" w:space="0" w:color="23408F"/>
          </w:tcBorders>
          <w:shd w:val="solid" w:color="23408F" w:fill="auto"/>
          <w:vAlign w:val="bottom"/>
        </w:tcPr>
        <w:p w14:paraId="71AE8BA3" w14:textId="77777777" w:rsidR="00E43975" w:rsidRDefault="00E43975" w:rsidP="00BE5EAF">
          <w:pPr>
            <w:spacing w:after="0" w:line="240" w:lineRule="auto"/>
            <w:jc w:val="center"/>
          </w:pPr>
        </w:p>
      </w:tc>
      <w:tc>
        <w:tcPr>
          <w:tcW w:w="250" w:type="dxa"/>
          <w:tcBorders>
            <w:top w:val="single" w:sz="8" w:space="0" w:color="23408F"/>
          </w:tcBorders>
          <w:shd w:val="clear" w:color="23408F" w:fill="auto"/>
          <w:vAlign w:val="bottom"/>
        </w:tcPr>
        <w:p w14:paraId="502FDA5C" w14:textId="77777777" w:rsidR="00E43975" w:rsidRDefault="00E43975" w:rsidP="00BE5EAF">
          <w:pPr>
            <w:spacing w:after="0" w:line="240" w:lineRule="auto"/>
            <w:jc w:val="center"/>
          </w:pPr>
        </w:p>
      </w:tc>
    </w:tr>
  </w:tbl>
  <w:p w14:paraId="57913BFA" w14:textId="35A1C264" w:rsidR="00E43975" w:rsidRPr="00857833" w:rsidRDefault="00857833" w:rsidP="00857833">
    <w:pPr>
      <w:pStyle w:val="Footer"/>
      <w:jc w:val="center"/>
      <w:rPr>
        <w:rFonts w:ascii="Arial" w:hAnsi="Arial" w:cs="Arial"/>
        <w:sz w:val="14"/>
      </w:rPr>
    </w:pPr>
    <w:r w:rsidRPr="0085783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12" w:type="dxa"/>
      <w:tblInd w:w="-1469" w:type="dxa"/>
      <w:tblBorders>
        <w:top w:val="single" w:sz="8" w:space="0" w:color="23408F"/>
      </w:tblBorders>
      <w:tblLayout w:type="fixed"/>
      <w:tblCellMar>
        <w:left w:w="115" w:type="dxa"/>
        <w:right w:w="115" w:type="dxa"/>
      </w:tblCellMar>
      <w:tblLook w:val="0000" w:firstRow="0" w:lastRow="0" w:firstColumn="0" w:lastColumn="0" w:noHBand="0" w:noVBand="0"/>
    </w:tblPr>
    <w:tblGrid>
      <w:gridCol w:w="10530"/>
      <w:gridCol w:w="532"/>
      <w:gridCol w:w="250"/>
    </w:tblGrid>
    <w:tr w:rsidR="00E43975" w14:paraId="664BB735" w14:textId="77777777">
      <w:trPr>
        <w:cantSplit/>
        <w:trHeight w:hRule="exact" w:val="480"/>
      </w:trPr>
      <w:tc>
        <w:tcPr>
          <w:tcW w:w="10530" w:type="dxa"/>
          <w:tcBorders>
            <w:top w:val="single" w:sz="8" w:space="0" w:color="23408F"/>
          </w:tcBorders>
          <w:vAlign w:val="center"/>
        </w:tcPr>
        <w:p w14:paraId="5FD9AACD" w14:textId="31AD1F44" w:rsidR="00E43975" w:rsidRDefault="00E43975" w:rsidP="00586185">
          <w:pPr>
            <w:spacing w:after="0" w:line="240" w:lineRule="auto"/>
            <w:ind w:left="1469"/>
          </w:pPr>
          <w:r>
            <w:rPr>
              <w:noProof/>
            </w:rPr>
            <mc:AlternateContent>
              <mc:Choice Requires="wps">
                <w:drawing>
                  <wp:anchor distT="0" distB="0" distL="114300" distR="114300" simplePos="0" relativeHeight="251658240" behindDoc="1" locked="1" layoutInCell="1" allowOverlap="1" wp14:anchorId="7F3E234A" wp14:editId="0DDCB86F">
                    <wp:simplePos x="0" y="0"/>
                    <wp:positionH relativeFrom="column">
                      <wp:posOffset>6817360</wp:posOffset>
                    </wp:positionH>
                    <wp:positionV relativeFrom="page">
                      <wp:posOffset>-9618980</wp:posOffset>
                    </wp:positionV>
                    <wp:extent cx="0" cy="10007600"/>
                    <wp:effectExtent l="15240" t="13970" r="1333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0760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30834"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6.8pt,-757.4pt" to="536.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" strokecolor="#23408f" strokeweight="1pt">
                    <w10:wrap anchory="page"/>
                    <w10:anchorlock/>
                  </v:line>
                </w:pict>
              </mc:Fallback>
            </mc:AlternateContent>
          </w:r>
          <w:r>
            <w:rPr>
              <w:sz w:val="16"/>
            </w:rPr>
            <w:t>Electricity Feed-in Code | 2020</w:t>
          </w:r>
        </w:p>
      </w:tc>
      <w:tc>
        <w:tcPr>
          <w:tcW w:w="532" w:type="dxa"/>
          <w:tcBorders>
            <w:top w:val="single" w:sz="8" w:space="0" w:color="23408F"/>
          </w:tcBorders>
          <w:shd w:val="solid" w:color="23408F" w:fill="auto"/>
        </w:tcPr>
        <w:p w14:paraId="3C7A60FA" w14:textId="77777777" w:rsidR="00E43975" w:rsidRDefault="00E43975">
          <w:pPr>
            <w:spacing w:before="120" w:after="0" w:line="240" w:lineRule="auto"/>
            <w:ind w:left="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c>
        <w:tcPr>
          <w:tcW w:w="250" w:type="dxa"/>
          <w:tcBorders>
            <w:top w:val="single" w:sz="8" w:space="0" w:color="23408F"/>
          </w:tcBorders>
          <w:shd w:val="clear" w:color="23408F" w:fill="auto"/>
        </w:tcPr>
        <w:p w14:paraId="3DE71CE1" w14:textId="77777777" w:rsidR="00E43975" w:rsidRDefault="00E43975">
          <w:pPr>
            <w:spacing w:before="120" w:after="0" w:line="240" w:lineRule="auto"/>
            <w:jc w:val="center"/>
            <w:rPr>
              <w:rStyle w:val="PageNumber"/>
            </w:rPr>
          </w:pPr>
        </w:p>
      </w:tc>
    </w:tr>
  </w:tbl>
  <w:p w14:paraId="01C0536F" w14:textId="797F6790" w:rsidR="00E43975" w:rsidRPr="00857833" w:rsidRDefault="00857833" w:rsidP="00857833">
    <w:pPr>
      <w:pStyle w:val="Footer"/>
      <w:jc w:val="center"/>
      <w:rPr>
        <w:rFonts w:ascii="Arial" w:hAnsi="Arial" w:cs="Arial"/>
        <w:sz w:val="14"/>
      </w:rPr>
    </w:pPr>
    <w:r w:rsidRPr="0085783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5A18" w14:textId="77777777" w:rsidR="00E870F5" w:rsidRDefault="00E870F5">
      <w:r>
        <w:separator/>
      </w:r>
    </w:p>
  </w:footnote>
  <w:footnote w:type="continuationSeparator" w:id="0">
    <w:p w14:paraId="5F574E72" w14:textId="77777777" w:rsidR="00E870F5" w:rsidRDefault="00E8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0B78" w14:textId="77777777" w:rsidR="00E43975" w:rsidRDefault="00E43975" w:rsidP="002C0C67">
    <w:pPr>
      <w:pStyle w:val="Header"/>
      <w:spacing w:after="40"/>
      <w:jc w:val="right"/>
    </w:pPr>
    <w:r>
      <w:rPr>
        <w:b/>
        <w:bCs/>
      </w:rPr>
      <w:t>ICRC</w:t>
    </w:r>
    <w:r>
      <w:t xml:space="preserve"> </w:t>
    </w:r>
    <w:r>
      <w:rPr>
        <w:color w:val="5F5F5F"/>
      </w:rPr>
      <w:t>Independent Competition and Regulatory Commission</w:t>
    </w:r>
  </w:p>
  <w:tbl>
    <w:tblPr>
      <w:tblW w:w="11909" w:type="dxa"/>
      <w:tblInd w:w="-133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E43975" w14:paraId="2EBB9D6A" w14:textId="77777777">
      <w:trPr>
        <w:cantSplit/>
        <w:trHeight w:hRule="exact" w:val="432"/>
      </w:trPr>
      <w:tc>
        <w:tcPr>
          <w:tcW w:w="11660" w:type="dxa"/>
          <w:shd w:val="solid" w:color="23408F" w:fill="auto"/>
          <w:vAlign w:val="center"/>
        </w:tcPr>
        <w:p w14:paraId="579FF660" w14:textId="77777777" w:rsidR="00E43975" w:rsidRDefault="00E43975">
          <w:pPr>
            <w:pStyle w:val="ReportTitleinheader"/>
            <w:ind w:right="1707"/>
            <w:jc w:val="right"/>
          </w:pPr>
          <w:r>
            <w:rPr>
              <w:b/>
              <w:bCs/>
              <w:sz w:val="28"/>
            </w:rPr>
            <w:t>UTILITIES</w:t>
          </w:r>
          <w:r>
            <w:rPr>
              <w:sz w:val="28"/>
            </w:rPr>
            <w:t xml:space="preserve"> </w:t>
          </w:r>
          <w:r>
            <w:rPr>
              <w:b/>
              <w:bCs/>
              <w:position w:val="4"/>
              <w:sz w:val="24"/>
            </w:rPr>
            <w:t>|</w:t>
          </w:r>
          <w:r>
            <w:rPr>
              <w:sz w:val="28"/>
            </w:rPr>
            <w:t xml:space="preserve"> INDUSTRY CODE</w:t>
          </w:r>
        </w:p>
      </w:tc>
    </w:tr>
  </w:tbl>
  <w:p w14:paraId="6E92AB7E" w14:textId="77777777" w:rsidR="00E43975" w:rsidRDefault="00E43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4878" w14:textId="77777777" w:rsidR="00857833" w:rsidRDefault="00857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C8B6" w14:textId="77777777" w:rsidR="00857833" w:rsidRDefault="00857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AFDC" w14:textId="77777777" w:rsidR="00E43975" w:rsidRDefault="00E43975" w:rsidP="002C0C67">
    <w:pPr>
      <w:pStyle w:val="Header"/>
      <w:spacing w:after="40"/>
      <w:jc w:val="right"/>
    </w:pPr>
    <w:r>
      <w:rPr>
        <w:b/>
        <w:bCs/>
      </w:rPr>
      <w:t>ICRC</w:t>
    </w:r>
    <w:r>
      <w:t xml:space="preserve"> </w:t>
    </w:r>
    <w:r>
      <w:rPr>
        <w:color w:val="5F5F5F"/>
      </w:rPr>
      <w:t>Independent Competition and Regulatory Commission</w:t>
    </w:r>
  </w:p>
  <w:tbl>
    <w:tblPr>
      <w:tblW w:w="11909" w:type="dxa"/>
      <w:tblInd w:w="-133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E43975" w14:paraId="7795CD35" w14:textId="77777777">
      <w:trPr>
        <w:cantSplit/>
        <w:trHeight w:hRule="exact" w:val="432"/>
      </w:trPr>
      <w:tc>
        <w:tcPr>
          <w:tcW w:w="11660" w:type="dxa"/>
          <w:shd w:val="solid" w:color="23408F" w:fill="auto"/>
          <w:vAlign w:val="center"/>
        </w:tcPr>
        <w:p w14:paraId="51565208" w14:textId="77777777" w:rsidR="00E43975" w:rsidRDefault="00E43975">
          <w:pPr>
            <w:pStyle w:val="ReportTitleinheader"/>
            <w:ind w:right="1707"/>
            <w:jc w:val="right"/>
          </w:pPr>
          <w:r>
            <w:rPr>
              <w:b/>
              <w:bCs/>
              <w:sz w:val="28"/>
            </w:rPr>
            <w:t>UTILITIES</w:t>
          </w:r>
          <w:r>
            <w:rPr>
              <w:sz w:val="28"/>
            </w:rPr>
            <w:t xml:space="preserve"> </w:t>
          </w:r>
          <w:r>
            <w:rPr>
              <w:b/>
              <w:bCs/>
              <w:position w:val="4"/>
              <w:sz w:val="24"/>
            </w:rPr>
            <w:t>|</w:t>
          </w:r>
          <w:r>
            <w:rPr>
              <w:sz w:val="28"/>
            </w:rPr>
            <w:t xml:space="preserve"> INDUSTRY CODE</w:t>
          </w:r>
        </w:p>
      </w:tc>
    </w:tr>
  </w:tbl>
  <w:p w14:paraId="48EE6789" w14:textId="77777777" w:rsidR="00E43975" w:rsidRDefault="00E439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6201" w14:textId="77777777" w:rsidR="00E43975" w:rsidRDefault="00E43975" w:rsidP="006B09A2">
    <w:pPr>
      <w:pStyle w:val="Header"/>
      <w:spacing w:after="40"/>
    </w:pPr>
  </w:p>
  <w:tbl>
    <w:tblPr>
      <w:tblW w:w="11909" w:type="dxa"/>
      <w:tblInd w:w="-174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E43975" w14:paraId="16733B92" w14:textId="77777777" w:rsidTr="00BE5EAF">
      <w:trPr>
        <w:cantSplit/>
        <w:trHeight w:hRule="exact" w:val="432"/>
      </w:trPr>
      <w:tc>
        <w:tcPr>
          <w:tcW w:w="11660" w:type="dxa"/>
          <w:shd w:val="solid" w:color="23408F" w:fill="auto"/>
          <w:vAlign w:val="center"/>
        </w:tcPr>
        <w:p w14:paraId="3FCF8021" w14:textId="77777777" w:rsidR="00E43975" w:rsidRDefault="00E43975" w:rsidP="00BE5EAF">
          <w:pPr>
            <w:pStyle w:val="ReportTitleinheader"/>
          </w:pPr>
          <w:r>
            <w:rPr>
              <w:b/>
              <w:bCs/>
              <w:sz w:val="28"/>
            </w:rPr>
            <w:t>UTILITIES ACT 2000</w:t>
          </w:r>
          <w:r>
            <w:rPr>
              <w:sz w:val="28"/>
            </w:rPr>
            <w:t xml:space="preserve"> </w:t>
          </w:r>
          <w:r>
            <w:rPr>
              <w:b/>
              <w:bCs/>
              <w:position w:val="4"/>
              <w:sz w:val="24"/>
            </w:rPr>
            <w:t>|</w:t>
          </w:r>
          <w:r>
            <w:rPr>
              <w:sz w:val="28"/>
            </w:rPr>
            <w:t xml:space="preserve"> INDUSTRY CODE</w:t>
          </w:r>
        </w:p>
      </w:tc>
    </w:tr>
  </w:tbl>
  <w:p w14:paraId="5DC111C0" w14:textId="77777777" w:rsidR="00E43975" w:rsidRDefault="00E43975" w:rsidP="006B09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3F87" w14:textId="77777777" w:rsidR="00E43975" w:rsidRDefault="00E43975" w:rsidP="00C05329">
    <w:pPr>
      <w:pStyle w:val="Header"/>
      <w:spacing w:after="40"/>
      <w:jc w:val="right"/>
    </w:pPr>
    <w:smartTag w:uri="urn:schemas-microsoft-com:office:smarttags" w:element="PersonName">
      <w:r>
        <w:rPr>
          <w:b/>
          <w:bCs/>
        </w:rPr>
        <w:t>ICRC</w:t>
      </w:r>
    </w:smartTag>
    <w:r>
      <w:t xml:space="preserve"> </w:t>
    </w:r>
    <w:r>
      <w:rPr>
        <w:color w:val="5F5F5F"/>
      </w:rPr>
      <w:t>Independent Competition and Regulatory Commission</w:t>
    </w:r>
  </w:p>
  <w:tbl>
    <w:tblPr>
      <w:tblW w:w="11909" w:type="dxa"/>
      <w:tblInd w:w="-133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E43975" w14:paraId="3A72AF5C" w14:textId="77777777" w:rsidTr="004A319A">
      <w:trPr>
        <w:cantSplit/>
        <w:trHeight w:hRule="exact" w:val="432"/>
      </w:trPr>
      <w:tc>
        <w:tcPr>
          <w:tcW w:w="11660" w:type="dxa"/>
          <w:shd w:val="solid" w:color="23408F" w:fill="auto"/>
          <w:vAlign w:val="center"/>
        </w:tcPr>
        <w:p w14:paraId="0C0F1A5A" w14:textId="77777777" w:rsidR="00E43975" w:rsidRDefault="00E43975" w:rsidP="004A319A">
          <w:pPr>
            <w:pStyle w:val="ReportTitleinheader"/>
            <w:ind w:right="1707"/>
            <w:jc w:val="right"/>
          </w:pPr>
          <w:r>
            <w:rPr>
              <w:b/>
              <w:bCs/>
              <w:sz w:val="28"/>
            </w:rPr>
            <w:t>UTILITIES ACT 2000</w:t>
          </w:r>
          <w:r>
            <w:rPr>
              <w:sz w:val="28"/>
            </w:rPr>
            <w:t xml:space="preserve"> </w:t>
          </w:r>
          <w:r>
            <w:rPr>
              <w:b/>
              <w:bCs/>
              <w:position w:val="4"/>
              <w:sz w:val="24"/>
            </w:rPr>
            <w:t>|</w:t>
          </w:r>
          <w:r>
            <w:rPr>
              <w:sz w:val="28"/>
            </w:rPr>
            <w:t xml:space="preserve"> INDUSTRY CODE</w:t>
          </w:r>
        </w:p>
      </w:tc>
    </w:tr>
  </w:tbl>
  <w:p w14:paraId="5CBE2CE5" w14:textId="77777777" w:rsidR="00E43975" w:rsidRPr="00C05329" w:rsidRDefault="00E43975" w:rsidP="00C053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EA26" w14:textId="77777777" w:rsidR="00E43975" w:rsidRDefault="00E43975" w:rsidP="002C0C67">
    <w:pPr>
      <w:pStyle w:val="Header"/>
      <w:spacing w:after="40"/>
    </w:pPr>
    <w:smartTag w:uri="urn:schemas-microsoft-com:office:smarttags" w:element="PersonName">
      <w:r>
        <w:rPr>
          <w:b/>
          <w:bCs/>
        </w:rPr>
        <w:t>ICRC</w:t>
      </w:r>
    </w:smartTag>
    <w:r>
      <w:t xml:space="preserve"> </w:t>
    </w:r>
    <w:r>
      <w:rPr>
        <w:color w:val="5F5F5F"/>
      </w:rPr>
      <w:t>Independent Competition and Regulatory Commission</w:t>
    </w:r>
  </w:p>
  <w:tbl>
    <w:tblPr>
      <w:tblW w:w="11909" w:type="dxa"/>
      <w:tblInd w:w="-174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E43975" w14:paraId="54CA6746" w14:textId="77777777">
      <w:trPr>
        <w:cantSplit/>
        <w:trHeight w:hRule="exact" w:val="432"/>
      </w:trPr>
      <w:tc>
        <w:tcPr>
          <w:tcW w:w="11660" w:type="dxa"/>
          <w:shd w:val="solid" w:color="23408F" w:fill="auto"/>
          <w:vAlign w:val="center"/>
        </w:tcPr>
        <w:p w14:paraId="013E7991" w14:textId="77777777" w:rsidR="00E43975" w:rsidRDefault="00E43975">
          <w:pPr>
            <w:pStyle w:val="ReportTitleinheader"/>
          </w:pPr>
          <w:r>
            <w:rPr>
              <w:b/>
              <w:bCs/>
              <w:sz w:val="28"/>
            </w:rPr>
            <w:t>UTILITIES ACT 2000</w:t>
          </w:r>
          <w:r>
            <w:rPr>
              <w:sz w:val="28"/>
            </w:rPr>
            <w:t xml:space="preserve"> </w:t>
          </w:r>
          <w:r>
            <w:rPr>
              <w:b/>
              <w:bCs/>
              <w:position w:val="4"/>
              <w:sz w:val="24"/>
            </w:rPr>
            <w:t>|</w:t>
          </w:r>
          <w:r>
            <w:rPr>
              <w:sz w:val="28"/>
            </w:rPr>
            <w:t xml:space="preserve"> INDUSTRY CODE</w:t>
          </w:r>
        </w:p>
      </w:tc>
    </w:tr>
  </w:tbl>
  <w:p w14:paraId="73E8B9BA" w14:textId="77777777" w:rsidR="00E43975" w:rsidRDefault="00E439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EE43" w14:textId="77777777" w:rsidR="00E43975" w:rsidRDefault="00E439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6846" w14:textId="77777777" w:rsidR="00E43975" w:rsidRDefault="00E43975" w:rsidP="0045038B">
    <w:pPr>
      <w:pStyle w:val="Header"/>
      <w:spacing w:after="40"/>
      <w:ind w:right="-51"/>
      <w:jc w:val="right"/>
    </w:pPr>
    <w:r>
      <w:rPr>
        <w:b/>
        <w:bCs/>
      </w:rPr>
      <w:t>ICRC</w:t>
    </w:r>
    <w:r>
      <w:t xml:space="preserve"> </w:t>
    </w:r>
    <w:r>
      <w:rPr>
        <w:color w:val="5F5F5F"/>
      </w:rPr>
      <w:t>Independent Competition and Regulatory Commission</w:t>
    </w:r>
  </w:p>
  <w:tbl>
    <w:tblPr>
      <w:tblW w:w="11909" w:type="dxa"/>
      <w:tblInd w:w="-133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E43975" w14:paraId="23F72A56" w14:textId="77777777">
      <w:trPr>
        <w:cantSplit/>
        <w:trHeight w:hRule="exact" w:val="432"/>
      </w:trPr>
      <w:tc>
        <w:tcPr>
          <w:tcW w:w="11660" w:type="dxa"/>
          <w:shd w:val="solid" w:color="23408F" w:fill="auto"/>
          <w:vAlign w:val="center"/>
        </w:tcPr>
        <w:p w14:paraId="01B1FB02" w14:textId="77777777" w:rsidR="00E43975" w:rsidRDefault="00E43975" w:rsidP="00C6090D">
          <w:pPr>
            <w:pStyle w:val="ReportTitleinheader"/>
            <w:ind w:right="1275"/>
            <w:jc w:val="right"/>
          </w:pPr>
          <w:r>
            <w:rPr>
              <w:b/>
              <w:bCs/>
              <w:sz w:val="28"/>
            </w:rPr>
            <w:t>UTILITIES ACT 2000</w:t>
          </w:r>
          <w:r>
            <w:rPr>
              <w:sz w:val="28"/>
            </w:rPr>
            <w:t xml:space="preserve"> </w:t>
          </w:r>
          <w:r>
            <w:rPr>
              <w:b/>
              <w:bCs/>
              <w:position w:val="4"/>
              <w:sz w:val="24"/>
            </w:rPr>
            <w:t>|</w:t>
          </w:r>
          <w:r>
            <w:rPr>
              <w:sz w:val="28"/>
            </w:rPr>
            <w:t xml:space="preserve"> INDUSTRY CODE</w:t>
          </w:r>
        </w:p>
      </w:tc>
    </w:tr>
  </w:tbl>
  <w:p w14:paraId="5C1FD7F8" w14:textId="77777777" w:rsidR="00E43975" w:rsidRDefault="00E43975" w:rsidP="0018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69CA"/>
    <w:multiLevelType w:val="hybridMultilevel"/>
    <w:tmpl w:val="B7C813E6"/>
    <w:lvl w:ilvl="0" w:tplc="AE08F8BA">
      <w:start w:val="1"/>
      <w:numFmt w:val="lowerLetter"/>
      <w:lvlText w:val="(%1)"/>
      <w:lvlJc w:val="left"/>
      <w:pPr>
        <w:tabs>
          <w:tab w:val="num" w:pos="2422"/>
        </w:tabs>
        <w:ind w:left="2422" w:hanging="720"/>
      </w:pPr>
      <w:rPr>
        <w:rFonts w:ascii="Verdana" w:hAnsi="Verdana" w:cs="Times New Roman" w:hint="default"/>
        <w:b w:val="0"/>
        <w:sz w:val="20"/>
        <w:szCs w:val="20"/>
      </w:rPr>
    </w:lvl>
    <w:lvl w:ilvl="1" w:tplc="04090019">
      <w:start w:val="1"/>
      <w:numFmt w:val="lowerLetter"/>
      <w:lvlText w:val="%2."/>
      <w:lvlJc w:val="left"/>
      <w:pPr>
        <w:tabs>
          <w:tab w:val="num" w:pos="1703"/>
        </w:tabs>
        <w:ind w:left="1703" w:hanging="360"/>
      </w:pPr>
      <w:rPr>
        <w:rFonts w:ascii="Times New Roman" w:hAnsi="Times New Roman" w:cs="Times New Roman"/>
      </w:rPr>
    </w:lvl>
    <w:lvl w:ilvl="2" w:tplc="0409001B">
      <w:start w:val="1"/>
      <w:numFmt w:val="lowerRoman"/>
      <w:lvlText w:val="%3."/>
      <w:lvlJc w:val="right"/>
      <w:pPr>
        <w:tabs>
          <w:tab w:val="num" w:pos="2423"/>
        </w:tabs>
        <w:ind w:left="2423" w:hanging="180"/>
      </w:pPr>
      <w:rPr>
        <w:rFonts w:ascii="Times New Roman" w:hAnsi="Times New Roman" w:cs="Times New Roman"/>
      </w:rPr>
    </w:lvl>
    <w:lvl w:ilvl="3" w:tplc="0409000F">
      <w:start w:val="1"/>
      <w:numFmt w:val="decimal"/>
      <w:lvlText w:val="%4."/>
      <w:lvlJc w:val="left"/>
      <w:pPr>
        <w:tabs>
          <w:tab w:val="num" w:pos="3143"/>
        </w:tabs>
        <w:ind w:left="3143" w:hanging="360"/>
      </w:pPr>
      <w:rPr>
        <w:rFonts w:ascii="Times New Roman" w:hAnsi="Times New Roman" w:cs="Times New Roman"/>
      </w:rPr>
    </w:lvl>
    <w:lvl w:ilvl="4" w:tplc="04090019">
      <w:start w:val="1"/>
      <w:numFmt w:val="lowerLetter"/>
      <w:lvlText w:val="%5."/>
      <w:lvlJc w:val="left"/>
      <w:pPr>
        <w:tabs>
          <w:tab w:val="num" w:pos="3863"/>
        </w:tabs>
        <w:ind w:left="3863" w:hanging="360"/>
      </w:pPr>
      <w:rPr>
        <w:rFonts w:ascii="Times New Roman" w:hAnsi="Times New Roman" w:cs="Times New Roman"/>
      </w:rPr>
    </w:lvl>
    <w:lvl w:ilvl="5" w:tplc="0409001B">
      <w:start w:val="1"/>
      <w:numFmt w:val="lowerRoman"/>
      <w:lvlText w:val="%6."/>
      <w:lvlJc w:val="right"/>
      <w:pPr>
        <w:tabs>
          <w:tab w:val="num" w:pos="4583"/>
        </w:tabs>
        <w:ind w:left="4583" w:hanging="180"/>
      </w:pPr>
      <w:rPr>
        <w:rFonts w:ascii="Times New Roman" w:hAnsi="Times New Roman" w:cs="Times New Roman"/>
      </w:rPr>
    </w:lvl>
    <w:lvl w:ilvl="6" w:tplc="0409000F">
      <w:start w:val="1"/>
      <w:numFmt w:val="decimal"/>
      <w:lvlText w:val="%7."/>
      <w:lvlJc w:val="left"/>
      <w:pPr>
        <w:tabs>
          <w:tab w:val="num" w:pos="5303"/>
        </w:tabs>
        <w:ind w:left="5303" w:hanging="360"/>
      </w:pPr>
      <w:rPr>
        <w:rFonts w:ascii="Times New Roman" w:hAnsi="Times New Roman" w:cs="Times New Roman"/>
      </w:rPr>
    </w:lvl>
    <w:lvl w:ilvl="7" w:tplc="04090019">
      <w:start w:val="1"/>
      <w:numFmt w:val="lowerLetter"/>
      <w:lvlText w:val="%8."/>
      <w:lvlJc w:val="left"/>
      <w:pPr>
        <w:tabs>
          <w:tab w:val="num" w:pos="6023"/>
        </w:tabs>
        <w:ind w:left="6023" w:hanging="360"/>
      </w:pPr>
      <w:rPr>
        <w:rFonts w:ascii="Times New Roman" w:hAnsi="Times New Roman" w:cs="Times New Roman"/>
      </w:rPr>
    </w:lvl>
    <w:lvl w:ilvl="8" w:tplc="0409001B">
      <w:start w:val="1"/>
      <w:numFmt w:val="lowerRoman"/>
      <w:lvlText w:val="%9."/>
      <w:lvlJc w:val="right"/>
      <w:pPr>
        <w:tabs>
          <w:tab w:val="num" w:pos="6743"/>
        </w:tabs>
        <w:ind w:left="6743" w:hanging="180"/>
      </w:pPr>
      <w:rPr>
        <w:rFonts w:ascii="Times New Roman" w:hAnsi="Times New Roman" w:cs="Times New Roman"/>
      </w:rPr>
    </w:lvl>
  </w:abstractNum>
  <w:abstractNum w:abstractNumId="1" w15:restartNumberingAfterBreak="0">
    <w:nsid w:val="142B67FF"/>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 w15:restartNumberingAfterBreak="0">
    <w:nsid w:val="1B664986"/>
    <w:multiLevelType w:val="hybridMultilevel"/>
    <w:tmpl w:val="E4006160"/>
    <w:lvl w:ilvl="0" w:tplc="103A00C0">
      <w:start w:val="1"/>
      <w:numFmt w:val="lowerLetter"/>
      <w:lvlText w:val="(%1)"/>
      <w:lvlJc w:val="left"/>
      <w:pPr>
        <w:tabs>
          <w:tab w:val="num" w:pos="2160"/>
        </w:tabs>
        <w:ind w:left="2160" w:hanging="720"/>
      </w:pPr>
      <w:rPr>
        <w:rFonts w:ascii="Arial" w:hAnsi="Arial" w:cs="Times New Roman" w:hint="default"/>
        <w:b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3" w15:restartNumberingAfterBreak="0">
    <w:nsid w:val="224A2CEF"/>
    <w:multiLevelType w:val="hybridMultilevel"/>
    <w:tmpl w:val="061832B2"/>
    <w:lvl w:ilvl="0" w:tplc="7D4C68F6">
      <w:start w:val="1"/>
      <w:numFmt w:val="lowerLetter"/>
      <w:lvlText w:val="(%1)"/>
      <w:lvlJc w:val="left"/>
      <w:pPr>
        <w:tabs>
          <w:tab w:val="num" w:pos="915"/>
        </w:tabs>
        <w:ind w:left="915" w:hanging="55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EA7F8C"/>
    <w:multiLevelType w:val="hybridMultilevel"/>
    <w:tmpl w:val="87204196"/>
    <w:lvl w:ilvl="0" w:tplc="7EF63312">
      <w:start w:val="1"/>
      <w:numFmt w:val="lowerLetter"/>
      <w:lvlText w:val="(%1)"/>
      <w:lvlJc w:val="left"/>
      <w:pPr>
        <w:tabs>
          <w:tab w:val="num" w:pos="2280"/>
        </w:tabs>
        <w:ind w:left="2280" w:hanging="720"/>
      </w:pPr>
      <w:rPr>
        <w:rFonts w:ascii="Arial" w:hAnsi="Arial" w:cs="Times New Roman" w:hint="default"/>
        <w:b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5" w15:restartNumberingAfterBreak="0">
    <w:nsid w:val="468108AA"/>
    <w:multiLevelType w:val="hybridMultilevel"/>
    <w:tmpl w:val="3E4E8CEC"/>
    <w:lvl w:ilvl="0" w:tplc="8B44338C">
      <w:start w:val="1"/>
      <w:numFmt w:val="decimal"/>
      <w:pStyle w:val="Note"/>
      <w:lvlText w:val="(%1)"/>
      <w:lvlJc w:val="left"/>
      <w:pPr>
        <w:tabs>
          <w:tab w:val="num" w:pos="1712"/>
        </w:tabs>
        <w:ind w:left="1712" w:hanging="720"/>
      </w:pPr>
      <w:rPr>
        <w:rFonts w:ascii="Arial" w:hAnsi="Arial" w:cs="Times New Roman" w:hint="default"/>
        <w:b w:val="0"/>
        <w:i w:val="0"/>
      </w:rPr>
    </w:lvl>
    <w:lvl w:ilvl="1" w:tplc="7160E2DE">
      <w:start w:val="1"/>
      <w:numFmt w:val="lowerLetter"/>
      <w:lvlText w:val="(%2)"/>
      <w:lvlJc w:val="left"/>
      <w:pPr>
        <w:tabs>
          <w:tab w:val="num" w:pos="2204"/>
        </w:tabs>
        <w:ind w:left="2204" w:hanging="720"/>
      </w:pPr>
      <w:rPr>
        <w:rFonts w:ascii="Arial" w:hAnsi="Arial" w:cs="Times New Roman" w:hint="default"/>
        <w:b w:val="0"/>
        <w:i w:val="0"/>
      </w:rPr>
    </w:lvl>
    <w:lvl w:ilvl="2" w:tplc="0409001B">
      <w:start w:val="1"/>
      <w:numFmt w:val="lowerRoman"/>
      <w:lvlText w:val="%3."/>
      <w:lvlJc w:val="right"/>
      <w:pPr>
        <w:tabs>
          <w:tab w:val="num" w:pos="2564"/>
        </w:tabs>
        <w:ind w:left="2564" w:hanging="180"/>
      </w:pPr>
      <w:rPr>
        <w:rFonts w:ascii="Times New Roman" w:hAnsi="Times New Roman" w:cs="Times New Roman"/>
      </w:rPr>
    </w:lvl>
    <w:lvl w:ilvl="3" w:tplc="0409000F">
      <w:start w:val="1"/>
      <w:numFmt w:val="decimal"/>
      <w:lvlText w:val="%4."/>
      <w:lvlJc w:val="left"/>
      <w:pPr>
        <w:tabs>
          <w:tab w:val="num" w:pos="3284"/>
        </w:tabs>
        <w:ind w:left="3284" w:hanging="360"/>
      </w:pPr>
      <w:rPr>
        <w:rFonts w:ascii="Times New Roman" w:hAnsi="Times New Roman" w:cs="Times New Roman"/>
      </w:rPr>
    </w:lvl>
    <w:lvl w:ilvl="4" w:tplc="04090019">
      <w:start w:val="1"/>
      <w:numFmt w:val="lowerLetter"/>
      <w:lvlText w:val="%5."/>
      <w:lvlJc w:val="left"/>
      <w:pPr>
        <w:tabs>
          <w:tab w:val="num" w:pos="4004"/>
        </w:tabs>
        <w:ind w:left="4004" w:hanging="360"/>
      </w:pPr>
      <w:rPr>
        <w:rFonts w:ascii="Times New Roman" w:hAnsi="Times New Roman" w:cs="Times New Roman"/>
      </w:rPr>
    </w:lvl>
    <w:lvl w:ilvl="5" w:tplc="0409001B">
      <w:start w:val="1"/>
      <w:numFmt w:val="lowerRoman"/>
      <w:lvlText w:val="%6."/>
      <w:lvlJc w:val="right"/>
      <w:pPr>
        <w:tabs>
          <w:tab w:val="num" w:pos="4724"/>
        </w:tabs>
        <w:ind w:left="4724" w:hanging="180"/>
      </w:pPr>
      <w:rPr>
        <w:rFonts w:ascii="Times New Roman" w:hAnsi="Times New Roman" w:cs="Times New Roman"/>
      </w:rPr>
    </w:lvl>
    <w:lvl w:ilvl="6" w:tplc="0409000F">
      <w:start w:val="1"/>
      <w:numFmt w:val="decimal"/>
      <w:lvlText w:val="%7."/>
      <w:lvlJc w:val="left"/>
      <w:pPr>
        <w:tabs>
          <w:tab w:val="num" w:pos="5444"/>
        </w:tabs>
        <w:ind w:left="5444" w:hanging="360"/>
      </w:pPr>
      <w:rPr>
        <w:rFonts w:ascii="Times New Roman" w:hAnsi="Times New Roman" w:cs="Times New Roman"/>
      </w:rPr>
    </w:lvl>
    <w:lvl w:ilvl="7" w:tplc="04090019">
      <w:start w:val="1"/>
      <w:numFmt w:val="lowerLetter"/>
      <w:lvlText w:val="%8."/>
      <w:lvlJc w:val="left"/>
      <w:pPr>
        <w:tabs>
          <w:tab w:val="num" w:pos="6164"/>
        </w:tabs>
        <w:ind w:left="6164" w:hanging="360"/>
      </w:pPr>
      <w:rPr>
        <w:rFonts w:ascii="Times New Roman" w:hAnsi="Times New Roman" w:cs="Times New Roman"/>
      </w:rPr>
    </w:lvl>
    <w:lvl w:ilvl="8" w:tplc="0409001B">
      <w:start w:val="1"/>
      <w:numFmt w:val="lowerRoman"/>
      <w:lvlText w:val="%9."/>
      <w:lvlJc w:val="right"/>
      <w:pPr>
        <w:tabs>
          <w:tab w:val="num" w:pos="6884"/>
        </w:tabs>
        <w:ind w:left="6884" w:hanging="180"/>
      </w:pPr>
      <w:rPr>
        <w:rFonts w:ascii="Times New Roman" w:hAnsi="Times New Roman" w:cs="Times New Roman"/>
      </w:rPr>
    </w:lvl>
  </w:abstractNum>
  <w:abstractNum w:abstractNumId="6" w15:restartNumberingAfterBreak="0">
    <w:nsid w:val="46E629C6"/>
    <w:multiLevelType w:val="hybridMultilevel"/>
    <w:tmpl w:val="B7C813E6"/>
    <w:lvl w:ilvl="0" w:tplc="AE08F8BA">
      <w:start w:val="1"/>
      <w:numFmt w:val="lowerLetter"/>
      <w:lvlText w:val="(%1)"/>
      <w:lvlJc w:val="left"/>
      <w:pPr>
        <w:tabs>
          <w:tab w:val="num" w:pos="2422"/>
        </w:tabs>
        <w:ind w:left="2422" w:hanging="720"/>
      </w:pPr>
      <w:rPr>
        <w:rFonts w:ascii="Verdana" w:hAnsi="Verdana" w:cs="Times New Roman" w:hint="default"/>
        <w:b w:val="0"/>
        <w:sz w:val="20"/>
        <w:szCs w:val="20"/>
      </w:rPr>
    </w:lvl>
    <w:lvl w:ilvl="1" w:tplc="04090019">
      <w:start w:val="1"/>
      <w:numFmt w:val="lowerLetter"/>
      <w:lvlText w:val="%2."/>
      <w:lvlJc w:val="left"/>
      <w:pPr>
        <w:tabs>
          <w:tab w:val="num" w:pos="1703"/>
        </w:tabs>
        <w:ind w:left="1703" w:hanging="360"/>
      </w:pPr>
      <w:rPr>
        <w:rFonts w:ascii="Times New Roman" w:hAnsi="Times New Roman" w:cs="Times New Roman"/>
      </w:rPr>
    </w:lvl>
    <w:lvl w:ilvl="2" w:tplc="0409001B">
      <w:start w:val="1"/>
      <w:numFmt w:val="lowerRoman"/>
      <w:lvlText w:val="%3."/>
      <w:lvlJc w:val="right"/>
      <w:pPr>
        <w:tabs>
          <w:tab w:val="num" w:pos="2423"/>
        </w:tabs>
        <w:ind w:left="2423" w:hanging="180"/>
      </w:pPr>
      <w:rPr>
        <w:rFonts w:ascii="Times New Roman" w:hAnsi="Times New Roman" w:cs="Times New Roman"/>
      </w:rPr>
    </w:lvl>
    <w:lvl w:ilvl="3" w:tplc="0409000F">
      <w:start w:val="1"/>
      <w:numFmt w:val="decimal"/>
      <w:lvlText w:val="%4."/>
      <w:lvlJc w:val="left"/>
      <w:pPr>
        <w:tabs>
          <w:tab w:val="num" w:pos="3143"/>
        </w:tabs>
        <w:ind w:left="3143" w:hanging="360"/>
      </w:pPr>
      <w:rPr>
        <w:rFonts w:ascii="Times New Roman" w:hAnsi="Times New Roman" w:cs="Times New Roman"/>
      </w:rPr>
    </w:lvl>
    <w:lvl w:ilvl="4" w:tplc="04090019">
      <w:start w:val="1"/>
      <w:numFmt w:val="lowerLetter"/>
      <w:lvlText w:val="%5."/>
      <w:lvlJc w:val="left"/>
      <w:pPr>
        <w:tabs>
          <w:tab w:val="num" w:pos="3863"/>
        </w:tabs>
        <w:ind w:left="3863" w:hanging="360"/>
      </w:pPr>
      <w:rPr>
        <w:rFonts w:ascii="Times New Roman" w:hAnsi="Times New Roman" w:cs="Times New Roman"/>
      </w:rPr>
    </w:lvl>
    <w:lvl w:ilvl="5" w:tplc="0409001B">
      <w:start w:val="1"/>
      <w:numFmt w:val="lowerRoman"/>
      <w:lvlText w:val="%6."/>
      <w:lvlJc w:val="right"/>
      <w:pPr>
        <w:tabs>
          <w:tab w:val="num" w:pos="4583"/>
        </w:tabs>
        <w:ind w:left="4583" w:hanging="180"/>
      </w:pPr>
      <w:rPr>
        <w:rFonts w:ascii="Times New Roman" w:hAnsi="Times New Roman" w:cs="Times New Roman"/>
      </w:rPr>
    </w:lvl>
    <w:lvl w:ilvl="6" w:tplc="0409000F">
      <w:start w:val="1"/>
      <w:numFmt w:val="decimal"/>
      <w:lvlText w:val="%7."/>
      <w:lvlJc w:val="left"/>
      <w:pPr>
        <w:tabs>
          <w:tab w:val="num" w:pos="5303"/>
        </w:tabs>
        <w:ind w:left="5303" w:hanging="360"/>
      </w:pPr>
      <w:rPr>
        <w:rFonts w:ascii="Times New Roman" w:hAnsi="Times New Roman" w:cs="Times New Roman"/>
      </w:rPr>
    </w:lvl>
    <w:lvl w:ilvl="7" w:tplc="04090019">
      <w:start w:val="1"/>
      <w:numFmt w:val="lowerLetter"/>
      <w:lvlText w:val="%8."/>
      <w:lvlJc w:val="left"/>
      <w:pPr>
        <w:tabs>
          <w:tab w:val="num" w:pos="6023"/>
        </w:tabs>
        <w:ind w:left="6023" w:hanging="360"/>
      </w:pPr>
      <w:rPr>
        <w:rFonts w:ascii="Times New Roman" w:hAnsi="Times New Roman" w:cs="Times New Roman"/>
      </w:rPr>
    </w:lvl>
    <w:lvl w:ilvl="8" w:tplc="0409001B">
      <w:start w:val="1"/>
      <w:numFmt w:val="lowerRoman"/>
      <w:lvlText w:val="%9."/>
      <w:lvlJc w:val="right"/>
      <w:pPr>
        <w:tabs>
          <w:tab w:val="num" w:pos="6743"/>
        </w:tabs>
        <w:ind w:left="6743" w:hanging="180"/>
      </w:pPr>
      <w:rPr>
        <w:rFonts w:ascii="Times New Roman" w:hAnsi="Times New Roman" w:cs="Times New Roman"/>
      </w:rPr>
    </w:lvl>
  </w:abstractNum>
  <w:abstractNum w:abstractNumId="7" w15:restartNumberingAfterBreak="0">
    <w:nsid w:val="4D0B55EB"/>
    <w:multiLevelType w:val="hybridMultilevel"/>
    <w:tmpl w:val="B7C813E6"/>
    <w:lvl w:ilvl="0" w:tplc="AE08F8BA">
      <w:start w:val="1"/>
      <w:numFmt w:val="lowerLetter"/>
      <w:lvlText w:val="(%1)"/>
      <w:lvlJc w:val="left"/>
      <w:pPr>
        <w:tabs>
          <w:tab w:val="num" w:pos="2422"/>
        </w:tabs>
        <w:ind w:left="2422" w:hanging="720"/>
      </w:pPr>
      <w:rPr>
        <w:rFonts w:ascii="Verdana" w:hAnsi="Verdana" w:cs="Times New Roman" w:hint="default"/>
        <w:b w:val="0"/>
        <w:sz w:val="20"/>
        <w:szCs w:val="20"/>
      </w:rPr>
    </w:lvl>
    <w:lvl w:ilvl="1" w:tplc="04090019">
      <w:start w:val="1"/>
      <w:numFmt w:val="lowerLetter"/>
      <w:lvlText w:val="%2."/>
      <w:lvlJc w:val="left"/>
      <w:pPr>
        <w:tabs>
          <w:tab w:val="num" w:pos="1703"/>
        </w:tabs>
        <w:ind w:left="1703" w:hanging="360"/>
      </w:pPr>
      <w:rPr>
        <w:rFonts w:ascii="Times New Roman" w:hAnsi="Times New Roman" w:cs="Times New Roman"/>
      </w:rPr>
    </w:lvl>
    <w:lvl w:ilvl="2" w:tplc="0409001B">
      <w:start w:val="1"/>
      <w:numFmt w:val="lowerRoman"/>
      <w:lvlText w:val="%3."/>
      <w:lvlJc w:val="right"/>
      <w:pPr>
        <w:tabs>
          <w:tab w:val="num" w:pos="2423"/>
        </w:tabs>
        <w:ind w:left="2423" w:hanging="180"/>
      </w:pPr>
      <w:rPr>
        <w:rFonts w:ascii="Times New Roman" w:hAnsi="Times New Roman" w:cs="Times New Roman"/>
      </w:rPr>
    </w:lvl>
    <w:lvl w:ilvl="3" w:tplc="0409000F">
      <w:start w:val="1"/>
      <w:numFmt w:val="decimal"/>
      <w:lvlText w:val="%4."/>
      <w:lvlJc w:val="left"/>
      <w:pPr>
        <w:tabs>
          <w:tab w:val="num" w:pos="3143"/>
        </w:tabs>
        <w:ind w:left="3143" w:hanging="360"/>
      </w:pPr>
      <w:rPr>
        <w:rFonts w:ascii="Times New Roman" w:hAnsi="Times New Roman" w:cs="Times New Roman"/>
      </w:rPr>
    </w:lvl>
    <w:lvl w:ilvl="4" w:tplc="04090019">
      <w:start w:val="1"/>
      <w:numFmt w:val="lowerLetter"/>
      <w:lvlText w:val="%5."/>
      <w:lvlJc w:val="left"/>
      <w:pPr>
        <w:tabs>
          <w:tab w:val="num" w:pos="3863"/>
        </w:tabs>
        <w:ind w:left="3863" w:hanging="360"/>
      </w:pPr>
      <w:rPr>
        <w:rFonts w:ascii="Times New Roman" w:hAnsi="Times New Roman" w:cs="Times New Roman"/>
      </w:rPr>
    </w:lvl>
    <w:lvl w:ilvl="5" w:tplc="0409001B">
      <w:start w:val="1"/>
      <w:numFmt w:val="lowerRoman"/>
      <w:lvlText w:val="%6."/>
      <w:lvlJc w:val="right"/>
      <w:pPr>
        <w:tabs>
          <w:tab w:val="num" w:pos="4583"/>
        </w:tabs>
        <w:ind w:left="4583" w:hanging="180"/>
      </w:pPr>
      <w:rPr>
        <w:rFonts w:ascii="Times New Roman" w:hAnsi="Times New Roman" w:cs="Times New Roman"/>
      </w:rPr>
    </w:lvl>
    <w:lvl w:ilvl="6" w:tplc="0409000F">
      <w:start w:val="1"/>
      <w:numFmt w:val="decimal"/>
      <w:lvlText w:val="%7."/>
      <w:lvlJc w:val="left"/>
      <w:pPr>
        <w:tabs>
          <w:tab w:val="num" w:pos="5303"/>
        </w:tabs>
        <w:ind w:left="5303" w:hanging="360"/>
      </w:pPr>
      <w:rPr>
        <w:rFonts w:ascii="Times New Roman" w:hAnsi="Times New Roman" w:cs="Times New Roman"/>
      </w:rPr>
    </w:lvl>
    <w:lvl w:ilvl="7" w:tplc="04090019">
      <w:start w:val="1"/>
      <w:numFmt w:val="lowerLetter"/>
      <w:lvlText w:val="%8."/>
      <w:lvlJc w:val="left"/>
      <w:pPr>
        <w:tabs>
          <w:tab w:val="num" w:pos="6023"/>
        </w:tabs>
        <w:ind w:left="6023" w:hanging="360"/>
      </w:pPr>
      <w:rPr>
        <w:rFonts w:ascii="Times New Roman" w:hAnsi="Times New Roman" w:cs="Times New Roman"/>
      </w:rPr>
    </w:lvl>
    <w:lvl w:ilvl="8" w:tplc="0409001B">
      <w:start w:val="1"/>
      <w:numFmt w:val="lowerRoman"/>
      <w:lvlText w:val="%9."/>
      <w:lvlJc w:val="right"/>
      <w:pPr>
        <w:tabs>
          <w:tab w:val="num" w:pos="6743"/>
        </w:tabs>
        <w:ind w:left="6743" w:hanging="180"/>
      </w:pPr>
      <w:rPr>
        <w:rFonts w:ascii="Times New Roman" w:hAnsi="Times New Roman" w:cs="Times New Roman"/>
      </w:rPr>
    </w:lvl>
  </w:abstractNum>
  <w:abstractNum w:abstractNumId="8" w15:restartNumberingAfterBreak="0">
    <w:nsid w:val="57330903"/>
    <w:multiLevelType w:val="hybridMultilevel"/>
    <w:tmpl w:val="B7C813E6"/>
    <w:lvl w:ilvl="0" w:tplc="AE08F8BA">
      <w:start w:val="1"/>
      <w:numFmt w:val="lowerLetter"/>
      <w:lvlText w:val="(%1)"/>
      <w:lvlJc w:val="left"/>
      <w:pPr>
        <w:tabs>
          <w:tab w:val="num" w:pos="2422"/>
        </w:tabs>
        <w:ind w:left="2422" w:hanging="720"/>
      </w:pPr>
      <w:rPr>
        <w:rFonts w:ascii="Verdana" w:hAnsi="Verdana" w:cs="Times New Roman" w:hint="default"/>
        <w:b w:val="0"/>
        <w:sz w:val="20"/>
        <w:szCs w:val="20"/>
      </w:rPr>
    </w:lvl>
    <w:lvl w:ilvl="1" w:tplc="04090019">
      <w:start w:val="1"/>
      <w:numFmt w:val="lowerLetter"/>
      <w:lvlText w:val="%2."/>
      <w:lvlJc w:val="left"/>
      <w:pPr>
        <w:tabs>
          <w:tab w:val="num" w:pos="1703"/>
        </w:tabs>
        <w:ind w:left="1703" w:hanging="360"/>
      </w:pPr>
      <w:rPr>
        <w:rFonts w:ascii="Times New Roman" w:hAnsi="Times New Roman" w:cs="Times New Roman"/>
      </w:rPr>
    </w:lvl>
    <w:lvl w:ilvl="2" w:tplc="0409001B">
      <w:start w:val="1"/>
      <w:numFmt w:val="lowerRoman"/>
      <w:lvlText w:val="%3."/>
      <w:lvlJc w:val="right"/>
      <w:pPr>
        <w:tabs>
          <w:tab w:val="num" w:pos="2423"/>
        </w:tabs>
        <w:ind w:left="2423" w:hanging="180"/>
      </w:pPr>
      <w:rPr>
        <w:rFonts w:ascii="Times New Roman" w:hAnsi="Times New Roman" w:cs="Times New Roman"/>
      </w:rPr>
    </w:lvl>
    <w:lvl w:ilvl="3" w:tplc="0409000F">
      <w:start w:val="1"/>
      <w:numFmt w:val="decimal"/>
      <w:lvlText w:val="%4."/>
      <w:lvlJc w:val="left"/>
      <w:pPr>
        <w:tabs>
          <w:tab w:val="num" w:pos="3143"/>
        </w:tabs>
        <w:ind w:left="3143" w:hanging="360"/>
      </w:pPr>
      <w:rPr>
        <w:rFonts w:ascii="Times New Roman" w:hAnsi="Times New Roman" w:cs="Times New Roman"/>
      </w:rPr>
    </w:lvl>
    <w:lvl w:ilvl="4" w:tplc="04090019">
      <w:start w:val="1"/>
      <w:numFmt w:val="lowerLetter"/>
      <w:lvlText w:val="%5."/>
      <w:lvlJc w:val="left"/>
      <w:pPr>
        <w:tabs>
          <w:tab w:val="num" w:pos="3863"/>
        </w:tabs>
        <w:ind w:left="3863" w:hanging="360"/>
      </w:pPr>
      <w:rPr>
        <w:rFonts w:ascii="Times New Roman" w:hAnsi="Times New Roman" w:cs="Times New Roman"/>
      </w:rPr>
    </w:lvl>
    <w:lvl w:ilvl="5" w:tplc="0409001B">
      <w:start w:val="1"/>
      <w:numFmt w:val="lowerRoman"/>
      <w:lvlText w:val="%6."/>
      <w:lvlJc w:val="right"/>
      <w:pPr>
        <w:tabs>
          <w:tab w:val="num" w:pos="4583"/>
        </w:tabs>
        <w:ind w:left="4583" w:hanging="180"/>
      </w:pPr>
      <w:rPr>
        <w:rFonts w:ascii="Times New Roman" w:hAnsi="Times New Roman" w:cs="Times New Roman"/>
      </w:rPr>
    </w:lvl>
    <w:lvl w:ilvl="6" w:tplc="0409000F">
      <w:start w:val="1"/>
      <w:numFmt w:val="decimal"/>
      <w:lvlText w:val="%7."/>
      <w:lvlJc w:val="left"/>
      <w:pPr>
        <w:tabs>
          <w:tab w:val="num" w:pos="5303"/>
        </w:tabs>
        <w:ind w:left="5303" w:hanging="360"/>
      </w:pPr>
      <w:rPr>
        <w:rFonts w:ascii="Times New Roman" w:hAnsi="Times New Roman" w:cs="Times New Roman"/>
      </w:rPr>
    </w:lvl>
    <w:lvl w:ilvl="7" w:tplc="04090019">
      <w:start w:val="1"/>
      <w:numFmt w:val="lowerLetter"/>
      <w:lvlText w:val="%8."/>
      <w:lvlJc w:val="left"/>
      <w:pPr>
        <w:tabs>
          <w:tab w:val="num" w:pos="6023"/>
        </w:tabs>
        <w:ind w:left="6023" w:hanging="360"/>
      </w:pPr>
      <w:rPr>
        <w:rFonts w:ascii="Times New Roman" w:hAnsi="Times New Roman" w:cs="Times New Roman"/>
      </w:rPr>
    </w:lvl>
    <w:lvl w:ilvl="8" w:tplc="0409001B">
      <w:start w:val="1"/>
      <w:numFmt w:val="lowerRoman"/>
      <w:lvlText w:val="%9."/>
      <w:lvlJc w:val="right"/>
      <w:pPr>
        <w:tabs>
          <w:tab w:val="num" w:pos="6743"/>
        </w:tabs>
        <w:ind w:left="6743" w:hanging="180"/>
      </w:pPr>
      <w:rPr>
        <w:rFonts w:ascii="Times New Roman" w:hAnsi="Times New Roman" w:cs="Times New Roman"/>
      </w:rPr>
    </w:lvl>
  </w:abstractNum>
  <w:abstractNum w:abstractNumId="9" w15:restartNumberingAfterBreak="0">
    <w:nsid w:val="630C0BD5"/>
    <w:multiLevelType w:val="hybridMultilevel"/>
    <w:tmpl w:val="B7C813E6"/>
    <w:lvl w:ilvl="0" w:tplc="AE08F8BA">
      <w:start w:val="1"/>
      <w:numFmt w:val="lowerLetter"/>
      <w:lvlText w:val="(%1)"/>
      <w:lvlJc w:val="left"/>
      <w:pPr>
        <w:tabs>
          <w:tab w:val="num" w:pos="2422"/>
        </w:tabs>
        <w:ind w:left="2422" w:hanging="720"/>
      </w:pPr>
      <w:rPr>
        <w:rFonts w:ascii="Verdana" w:hAnsi="Verdana" w:cs="Times New Roman" w:hint="default"/>
        <w:b w:val="0"/>
        <w:sz w:val="20"/>
        <w:szCs w:val="20"/>
      </w:rPr>
    </w:lvl>
    <w:lvl w:ilvl="1" w:tplc="04090019">
      <w:start w:val="1"/>
      <w:numFmt w:val="lowerLetter"/>
      <w:lvlText w:val="%2."/>
      <w:lvlJc w:val="left"/>
      <w:pPr>
        <w:tabs>
          <w:tab w:val="num" w:pos="1703"/>
        </w:tabs>
        <w:ind w:left="1703" w:hanging="360"/>
      </w:pPr>
      <w:rPr>
        <w:rFonts w:ascii="Times New Roman" w:hAnsi="Times New Roman" w:cs="Times New Roman"/>
      </w:rPr>
    </w:lvl>
    <w:lvl w:ilvl="2" w:tplc="0409001B">
      <w:start w:val="1"/>
      <w:numFmt w:val="lowerRoman"/>
      <w:lvlText w:val="%3."/>
      <w:lvlJc w:val="right"/>
      <w:pPr>
        <w:tabs>
          <w:tab w:val="num" w:pos="2423"/>
        </w:tabs>
        <w:ind w:left="2423" w:hanging="180"/>
      </w:pPr>
      <w:rPr>
        <w:rFonts w:ascii="Times New Roman" w:hAnsi="Times New Roman" w:cs="Times New Roman"/>
      </w:rPr>
    </w:lvl>
    <w:lvl w:ilvl="3" w:tplc="0409000F">
      <w:start w:val="1"/>
      <w:numFmt w:val="decimal"/>
      <w:lvlText w:val="%4."/>
      <w:lvlJc w:val="left"/>
      <w:pPr>
        <w:tabs>
          <w:tab w:val="num" w:pos="3143"/>
        </w:tabs>
        <w:ind w:left="3143" w:hanging="360"/>
      </w:pPr>
      <w:rPr>
        <w:rFonts w:ascii="Times New Roman" w:hAnsi="Times New Roman" w:cs="Times New Roman"/>
      </w:rPr>
    </w:lvl>
    <w:lvl w:ilvl="4" w:tplc="04090019">
      <w:start w:val="1"/>
      <w:numFmt w:val="lowerLetter"/>
      <w:lvlText w:val="%5."/>
      <w:lvlJc w:val="left"/>
      <w:pPr>
        <w:tabs>
          <w:tab w:val="num" w:pos="3863"/>
        </w:tabs>
        <w:ind w:left="3863" w:hanging="360"/>
      </w:pPr>
      <w:rPr>
        <w:rFonts w:ascii="Times New Roman" w:hAnsi="Times New Roman" w:cs="Times New Roman"/>
      </w:rPr>
    </w:lvl>
    <w:lvl w:ilvl="5" w:tplc="0409001B">
      <w:start w:val="1"/>
      <w:numFmt w:val="lowerRoman"/>
      <w:lvlText w:val="%6."/>
      <w:lvlJc w:val="right"/>
      <w:pPr>
        <w:tabs>
          <w:tab w:val="num" w:pos="4583"/>
        </w:tabs>
        <w:ind w:left="4583" w:hanging="180"/>
      </w:pPr>
      <w:rPr>
        <w:rFonts w:ascii="Times New Roman" w:hAnsi="Times New Roman" w:cs="Times New Roman"/>
      </w:rPr>
    </w:lvl>
    <w:lvl w:ilvl="6" w:tplc="0409000F">
      <w:start w:val="1"/>
      <w:numFmt w:val="decimal"/>
      <w:lvlText w:val="%7."/>
      <w:lvlJc w:val="left"/>
      <w:pPr>
        <w:tabs>
          <w:tab w:val="num" w:pos="5303"/>
        </w:tabs>
        <w:ind w:left="5303" w:hanging="360"/>
      </w:pPr>
      <w:rPr>
        <w:rFonts w:ascii="Times New Roman" w:hAnsi="Times New Roman" w:cs="Times New Roman"/>
      </w:rPr>
    </w:lvl>
    <w:lvl w:ilvl="7" w:tplc="04090019">
      <w:start w:val="1"/>
      <w:numFmt w:val="lowerLetter"/>
      <w:lvlText w:val="%8."/>
      <w:lvlJc w:val="left"/>
      <w:pPr>
        <w:tabs>
          <w:tab w:val="num" w:pos="6023"/>
        </w:tabs>
        <w:ind w:left="6023" w:hanging="360"/>
      </w:pPr>
      <w:rPr>
        <w:rFonts w:ascii="Times New Roman" w:hAnsi="Times New Roman" w:cs="Times New Roman"/>
      </w:rPr>
    </w:lvl>
    <w:lvl w:ilvl="8" w:tplc="0409001B">
      <w:start w:val="1"/>
      <w:numFmt w:val="lowerRoman"/>
      <w:lvlText w:val="%9."/>
      <w:lvlJc w:val="right"/>
      <w:pPr>
        <w:tabs>
          <w:tab w:val="num" w:pos="6743"/>
        </w:tabs>
        <w:ind w:left="6743" w:hanging="180"/>
      </w:pPr>
      <w:rPr>
        <w:rFonts w:ascii="Times New Roman" w:hAnsi="Times New Roman" w:cs="Times New Roman"/>
      </w:rPr>
    </w:lvl>
  </w:abstractNum>
  <w:abstractNum w:abstractNumId="10" w15:restartNumberingAfterBreak="0">
    <w:nsid w:val="68B77896"/>
    <w:multiLevelType w:val="multilevel"/>
    <w:tmpl w:val="4CCE007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6EDF4129"/>
    <w:multiLevelType w:val="hybridMultilevel"/>
    <w:tmpl w:val="061832B2"/>
    <w:lvl w:ilvl="0" w:tplc="7D4C68F6">
      <w:start w:val="1"/>
      <w:numFmt w:val="lowerLetter"/>
      <w:lvlText w:val="(%1)"/>
      <w:lvlJc w:val="left"/>
      <w:pPr>
        <w:tabs>
          <w:tab w:val="num" w:pos="915"/>
        </w:tabs>
        <w:ind w:left="915" w:hanging="55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0C0580F"/>
    <w:multiLevelType w:val="hybridMultilevel"/>
    <w:tmpl w:val="7BB0ADC0"/>
    <w:lvl w:ilvl="0" w:tplc="A3603D04">
      <w:start w:val="1"/>
      <w:numFmt w:val="bullet"/>
      <w:pStyle w:val="Bullet"/>
      <w:lvlText w:val="–"/>
      <w:lvlJc w:val="left"/>
      <w:pPr>
        <w:tabs>
          <w:tab w:val="num" w:pos="2858"/>
        </w:tabs>
        <w:ind w:left="2858" w:hanging="720"/>
      </w:pPr>
      <w:rPr>
        <w:rFonts w:ascii="Verdana" w:hAnsi="Verdana" w:hint="default"/>
      </w:rPr>
    </w:lvl>
    <w:lvl w:ilvl="1" w:tplc="04090019">
      <w:start w:val="1"/>
      <w:numFmt w:val="bullet"/>
      <w:lvlText w:val="o"/>
      <w:lvlJc w:val="left"/>
      <w:pPr>
        <w:tabs>
          <w:tab w:val="num" w:pos="2498"/>
        </w:tabs>
        <w:ind w:left="2498" w:hanging="360"/>
      </w:pPr>
      <w:rPr>
        <w:rFonts w:ascii="Courier New" w:hAnsi="Courier New" w:hint="default"/>
      </w:rPr>
    </w:lvl>
    <w:lvl w:ilvl="2" w:tplc="0409001B">
      <w:start w:val="1"/>
      <w:numFmt w:val="bullet"/>
      <w:lvlText w:val=""/>
      <w:lvlJc w:val="left"/>
      <w:pPr>
        <w:tabs>
          <w:tab w:val="num" w:pos="3218"/>
        </w:tabs>
        <w:ind w:left="3218" w:hanging="360"/>
      </w:pPr>
      <w:rPr>
        <w:rFonts w:ascii="Wingdings" w:hAnsi="Wingdings" w:hint="default"/>
      </w:rPr>
    </w:lvl>
    <w:lvl w:ilvl="3" w:tplc="0409000F">
      <w:start w:val="1"/>
      <w:numFmt w:val="bullet"/>
      <w:lvlText w:val=""/>
      <w:lvlJc w:val="left"/>
      <w:pPr>
        <w:tabs>
          <w:tab w:val="num" w:pos="3938"/>
        </w:tabs>
        <w:ind w:left="3938" w:hanging="360"/>
      </w:pPr>
      <w:rPr>
        <w:rFonts w:ascii="Symbol" w:hAnsi="Symbol" w:hint="default"/>
      </w:rPr>
    </w:lvl>
    <w:lvl w:ilvl="4" w:tplc="04090019">
      <w:start w:val="1"/>
      <w:numFmt w:val="bullet"/>
      <w:lvlText w:val="o"/>
      <w:lvlJc w:val="left"/>
      <w:pPr>
        <w:tabs>
          <w:tab w:val="num" w:pos="4658"/>
        </w:tabs>
        <w:ind w:left="4658" w:hanging="360"/>
      </w:pPr>
      <w:rPr>
        <w:rFonts w:ascii="Courier New" w:hAnsi="Courier New" w:hint="default"/>
      </w:rPr>
    </w:lvl>
    <w:lvl w:ilvl="5" w:tplc="0409001B">
      <w:start w:val="1"/>
      <w:numFmt w:val="bullet"/>
      <w:lvlText w:val=""/>
      <w:lvlJc w:val="left"/>
      <w:pPr>
        <w:tabs>
          <w:tab w:val="num" w:pos="5378"/>
        </w:tabs>
        <w:ind w:left="5378" w:hanging="360"/>
      </w:pPr>
      <w:rPr>
        <w:rFonts w:ascii="Wingdings" w:hAnsi="Wingdings" w:hint="default"/>
      </w:rPr>
    </w:lvl>
    <w:lvl w:ilvl="6" w:tplc="0409000F">
      <w:start w:val="1"/>
      <w:numFmt w:val="bullet"/>
      <w:lvlText w:val=""/>
      <w:lvlJc w:val="left"/>
      <w:pPr>
        <w:tabs>
          <w:tab w:val="num" w:pos="6098"/>
        </w:tabs>
        <w:ind w:left="6098" w:hanging="360"/>
      </w:pPr>
      <w:rPr>
        <w:rFonts w:ascii="Symbol" w:hAnsi="Symbol" w:hint="default"/>
      </w:rPr>
    </w:lvl>
    <w:lvl w:ilvl="7" w:tplc="04090019">
      <w:start w:val="1"/>
      <w:numFmt w:val="bullet"/>
      <w:lvlText w:val="o"/>
      <w:lvlJc w:val="left"/>
      <w:pPr>
        <w:tabs>
          <w:tab w:val="num" w:pos="6818"/>
        </w:tabs>
        <w:ind w:left="6818" w:hanging="360"/>
      </w:pPr>
      <w:rPr>
        <w:rFonts w:ascii="Courier New" w:hAnsi="Courier New" w:hint="default"/>
      </w:rPr>
    </w:lvl>
    <w:lvl w:ilvl="8" w:tplc="0409001B">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7FAA63D6"/>
    <w:multiLevelType w:val="singleLevel"/>
    <w:tmpl w:val="B0CE5268"/>
    <w:lvl w:ilvl="0">
      <w:start w:val="1"/>
      <w:numFmt w:val="lowerLetter"/>
      <w:lvlText w:val="(%1)"/>
      <w:lvlJc w:val="left"/>
      <w:pPr>
        <w:tabs>
          <w:tab w:val="num" w:pos="360"/>
        </w:tabs>
        <w:ind w:left="360" w:hanging="360"/>
      </w:pPr>
      <w:rPr>
        <w:rFonts w:cs="Times New Roman" w:hint="default"/>
      </w:rPr>
    </w:lvl>
  </w:abstractNum>
  <w:num w:numId="1">
    <w:abstractNumId w:val="5"/>
  </w:num>
  <w:num w:numId="2">
    <w:abstractNumId w:val="2"/>
  </w:num>
  <w:num w:numId="3">
    <w:abstractNumId w:val="12"/>
  </w:num>
  <w:num w:numId="4">
    <w:abstractNumId w:val="5"/>
    <w:lvlOverride w:ilvl="0">
      <w:startOverride w:val="1"/>
    </w:lvlOverride>
  </w:num>
  <w:num w:numId="5">
    <w:abstractNumId w:val="4"/>
  </w:num>
  <w:num w:numId="6">
    <w:abstractNumId w:val="2"/>
    <w:lvlOverride w:ilvl="0">
      <w:startOverride w:val="1"/>
    </w:lvlOverride>
  </w:num>
  <w:num w:numId="7">
    <w:abstractNumId w:val="1"/>
  </w:num>
  <w:num w:numId="8">
    <w:abstractNumId w:val="3"/>
  </w:num>
  <w:num w:numId="9">
    <w:abstractNumId w:val="13"/>
  </w:num>
  <w:num w:numId="10">
    <w:abstractNumId w:val="10"/>
  </w:num>
  <w:num w:numId="11">
    <w:abstractNumId w:val="5"/>
  </w:num>
  <w:num w:numId="12">
    <w:abstractNumId w:val="6"/>
  </w:num>
  <w:num w:numId="13">
    <w:abstractNumId w:val="9"/>
  </w:num>
  <w:num w:numId="14">
    <w:abstractNumId w:val="7"/>
  </w:num>
  <w:num w:numId="15">
    <w:abstractNumId w:val="8"/>
  </w:num>
  <w:num w:numId="16">
    <w:abstractNumId w:val="11"/>
  </w:num>
  <w:num w:numId="17">
    <w:abstractNumId w:val="0"/>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num>
  <w:num w:numId="36">
    <w:abstractNumId w:val="5"/>
  </w:num>
  <w:num w:numId="37">
    <w:abstractNumId w:val="5"/>
    <w:lvlOverride w:ilvl="0">
      <w:startOverride w:val="1"/>
    </w:lvlOverride>
  </w:num>
  <w:num w:numId="38">
    <w:abstractNumId w:val="5"/>
  </w:num>
  <w:num w:numId="39">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F2"/>
    <w:rsid w:val="00000EA1"/>
    <w:rsid w:val="000013E1"/>
    <w:rsid w:val="00002234"/>
    <w:rsid w:val="0000324B"/>
    <w:rsid w:val="00006727"/>
    <w:rsid w:val="000073CA"/>
    <w:rsid w:val="0001413A"/>
    <w:rsid w:val="000178D1"/>
    <w:rsid w:val="00023316"/>
    <w:rsid w:val="00024CA8"/>
    <w:rsid w:val="00025CF3"/>
    <w:rsid w:val="000321A3"/>
    <w:rsid w:val="00035272"/>
    <w:rsid w:val="00035437"/>
    <w:rsid w:val="00035EDF"/>
    <w:rsid w:val="0003698C"/>
    <w:rsid w:val="000414A9"/>
    <w:rsid w:val="000421BC"/>
    <w:rsid w:val="0004448E"/>
    <w:rsid w:val="0005182C"/>
    <w:rsid w:val="000522B0"/>
    <w:rsid w:val="000531C7"/>
    <w:rsid w:val="00053240"/>
    <w:rsid w:val="000536CE"/>
    <w:rsid w:val="00055843"/>
    <w:rsid w:val="000568F2"/>
    <w:rsid w:val="000601B5"/>
    <w:rsid w:val="00060730"/>
    <w:rsid w:val="00062C2C"/>
    <w:rsid w:val="00062D86"/>
    <w:rsid w:val="00065921"/>
    <w:rsid w:val="0006659C"/>
    <w:rsid w:val="000667DB"/>
    <w:rsid w:val="00067437"/>
    <w:rsid w:val="00081ED8"/>
    <w:rsid w:val="00085835"/>
    <w:rsid w:val="00086302"/>
    <w:rsid w:val="00090E0E"/>
    <w:rsid w:val="0009142F"/>
    <w:rsid w:val="000946DE"/>
    <w:rsid w:val="000A1149"/>
    <w:rsid w:val="000A40DC"/>
    <w:rsid w:val="000A6EAC"/>
    <w:rsid w:val="000B4320"/>
    <w:rsid w:val="000B488A"/>
    <w:rsid w:val="000B50C2"/>
    <w:rsid w:val="000B66E5"/>
    <w:rsid w:val="000C0DE6"/>
    <w:rsid w:val="000C732E"/>
    <w:rsid w:val="000D2E01"/>
    <w:rsid w:val="000D2E42"/>
    <w:rsid w:val="000D54E8"/>
    <w:rsid w:val="000E1E09"/>
    <w:rsid w:val="000E330B"/>
    <w:rsid w:val="000E3331"/>
    <w:rsid w:val="000E4915"/>
    <w:rsid w:val="000F1172"/>
    <w:rsid w:val="000F3E3B"/>
    <w:rsid w:val="000F4EC3"/>
    <w:rsid w:val="001013E4"/>
    <w:rsid w:val="0010317C"/>
    <w:rsid w:val="001043C4"/>
    <w:rsid w:val="001110DE"/>
    <w:rsid w:val="00114311"/>
    <w:rsid w:val="00115033"/>
    <w:rsid w:val="0011715C"/>
    <w:rsid w:val="00121BE7"/>
    <w:rsid w:val="0012672F"/>
    <w:rsid w:val="001359C7"/>
    <w:rsid w:val="0013757C"/>
    <w:rsid w:val="00137E67"/>
    <w:rsid w:val="001425BF"/>
    <w:rsid w:val="001461D5"/>
    <w:rsid w:val="0014717C"/>
    <w:rsid w:val="00150274"/>
    <w:rsid w:val="00151190"/>
    <w:rsid w:val="00156B41"/>
    <w:rsid w:val="00160615"/>
    <w:rsid w:val="0016230D"/>
    <w:rsid w:val="00165B47"/>
    <w:rsid w:val="00166CF7"/>
    <w:rsid w:val="00172B8C"/>
    <w:rsid w:val="00183076"/>
    <w:rsid w:val="00184472"/>
    <w:rsid w:val="0019508E"/>
    <w:rsid w:val="0019571E"/>
    <w:rsid w:val="001A15D6"/>
    <w:rsid w:val="001A2CFC"/>
    <w:rsid w:val="001A4F6C"/>
    <w:rsid w:val="001B104D"/>
    <w:rsid w:val="001B1BD2"/>
    <w:rsid w:val="001B4742"/>
    <w:rsid w:val="001B5625"/>
    <w:rsid w:val="001C2CC7"/>
    <w:rsid w:val="001C60CA"/>
    <w:rsid w:val="001C73F8"/>
    <w:rsid w:val="001D4D7A"/>
    <w:rsid w:val="001D5F01"/>
    <w:rsid w:val="001D7B25"/>
    <w:rsid w:val="001E028D"/>
    <w:rsid w:val="001E2C13"/>
    <w:rsid w:val="001E2DE5"/>
    <w:rsid w:val="001E55CF"/>
    <w:rsid w:val="001F002F"/>
    <w:rsid w:val="001F3BBA"/>
    <w:rsid w:val="001F3D2A"/>
    <w:rsid w:val="001F6879"/>
    <w:rsid w:val="001F6B3E"/>
    <w:rsid w:val="00200D0C"/>
    <w:rsid w:val="00204F2E"/>
    <w:rsid w:val="002059B6"/>
    <w:rsid w:val="002129A3"/>
    <w:rsid w:val="00212A88"/>
    <w:rsid w:val="002201B7"/>
    <w:rsid w:val="00223F9F"/>
    <w:rsid w:val="00226480"/>
    <w:rsid w:val="00236323"/>
    <w:rsid w:val="0023735E"/>
    <w:rsid w:val="002400A3"/>
    <w:rsid w:val="002453EC"/>
    <w:rsid w:val="002506CD"/>
    <w:rsid w:val="00257D3D"/>
    <w:rsid w:val="002606FC"/>
    <w:rsid w:val="00261E74"/>
    <w:rsid w:val="002632BD"/>
    <w:rsid w:val="00266EB8"/>
    <w:rsid w:val="00267878"/>
    <w:rsid w:val="002718FB"/>
    <w:rsid w:val="00272641"/>
    <w:rsid w:val="00274265"/>
    <w:rsid w:val="002801E8"/>
    <w:rsid w:val="00281984"/>
    <w:rsid w:val="0028510D"/>
    <w:rsid w:val="0029342E"/>
    <w:rsid w:val="002941DA"/>
    <w:rsid w:val="00296689"/>
    <w:rsid w:val="002A111A"/>
    <w:rsid w:val="002A2B8E"/>
    <w:rsid w:val="002A350D"/>
    <w:rsid w:val="002A3C84"/>
    <w:rsid w:val="002B5561"/>
    <w:rsid w:val="002C0C67"/>
    <w:rsid w:val="002C6FD6"/>
    <w:rsid w:val="002D5891"/>
    <w:rsid w:val="002E538A"/>
    <w:rsid w:val="002F6E68"/>
    <w:rsid w:val="00301FDC"/>
    <w:rsid w:val="00305A50"/>
    <w:rsid w:val="0030754B"/>
    <w:rsid w:val="00307F1A"/>
    <w:rsid w:val="003154BE"/>
    <w:rsid w:val="00316EF4"/>
    <w:rsid w:val="003209D0"/>
    <w:rsid w:val="00324BA7"/>
    <w:rsid w:val="00326470"/>
    <w:rsid w:val="0034350D"/>
    <w:rsid w:val="00345F51"/>
    <w:rsid w:val="00347201"/>
    <w:rsid w:val="00347D08"/>
    <w:rsid w:val="00347E59"/>
    <w:rsid w:val="00347F7D"/>
    <w:rsid w:val="00356C26"/>
    <w:rsid w:val="0036325D"/>
    <w:rsid w:val="00363B9B"/>
    <w:rsid w:val="003667D8"/>
    <w:rsid w:val="00370D59"/>
    <w:rsid w:val="00371B71"/>
    <w:rsid w:val="00377480"/>
    <w:rsid w:val="003779BA"/>
    <w:rsid w:val="00385BCB"/>
    <w:rsid w:val="00390B49"/>
    <w:rsid w:val="0039264D"/>
    <w:rsid w:val="00392E29"/>
    <w:rsid w:val="0039725E"/>
    <w:rsid w:val="0039791E"/>
    <w:rsid w:val="003A3ED9"/>
    <w:rsid w:val="003B52DD"/>
    <w:rsid w:val="003B58D0"/>
    <w:rsid w:val="003C1E77"/>
    <w:rsid w:val="003C4D68"/>
    <w:rsid w:val="003C5BAB"/>
    <w:rsid w:val="003D0A22"/>
    <w:rsid w:val="003D215F"/>
    <w:rsid w:val="003D6100"/>
    <w:rsid w:val="003D6B95"/>
    <w:rsid w:val="003E1768"/>
    <w:rsid w:val="003E45AA"/>
    <w:rsid w:val="003E5324"/>
    <w:rsid w:val="003E54D2"/>
    <w:rsid w:val="003E55EB"/>
    <w:rsid w:val="003E62FD"/>
    <w:rsid w:val="003F086C"/>
    <w:rsid w:val="003F5174"/>
    <w:rsid w:val="003F5AD5"/>
    <w:rsid w:val="003F635B"/>
    <w:rsid w:val="003F70FC"/>
    <w:rsid w:val="0040725E"/>
    <w:rsid w:val="00411721"/>
    <w:rsid w:val="004127CD"/>
    <w:rsid w:val="004152F8"/>
    <w:rsid w:val="00417B82"/>
    <w:rsid w:val="00417E7B"/>
    <w:rsid w:val="00422C78"/>
    <w:rsid w:val="0042302E"/>
    <w:rsid w:val="0042331C"/>
    <w:rsid w:val="004269EA"/>
    <w:rsid w:val="004309E4"/>
    <w:rsid w:val="00440D42"/>
    <w:rsid w:val="004414E3"/>
    <w:rsid w:val="0044531C"/>
    <w:rsid w:val="0045038B"/>
    <w:rsid w:val="00452B96"/>
    <w:rsid w:val="00454FA0"/>
    <w:rsid w:val="00461D26"/>
    <w:rsid w:val="004733CB"/>
    <w:rsid w:val="00473D43"/>
    <w:rsid w:val="00481018"/>
    <w:rsid w:val="004845A1"/>
    <w:rsid w:val="00485B90"/>
    <w:rsid w:val="00485D41"/>
    <w:rsid w:val="004862BC"/>
    <w:rsid w:val="00491DA7"/>
    <w:rsid w:val="00496FEB"/>
    <w:rsid w:val="00497286"/>
    <w:rsid w:val="004A12B0"/>
    <w:rsid w:val="004A319A"/>
    <w:rsid w:val="004A5609"/>
    <w:rsid w:val="004B22A0"/>
    <w:rsid w:val="004B67C4"/>
    <w:rsid w:val="004B7BAF"/>
    <w:rsid w:val="004B7D43"/>
    <w:rsid w:val="004C337D"/>
    <w:rsid w:val="004C7E49"/>
    <w:rsid w:val="004D083C"/>
    <w:rsid w:val="004D1A85"/>
    <w:rsid w:val="004D1C6E"/>
    <w:rsid w:val="004D7203"/>
    <w:rsid w:val="004E047E"/>
    <w:rsid w:val="004E1472"/>
    <w:rsid w:val="004E2B59"/>
    <w:rsid w:val="004E4CE8"/>
    <w:rsid w:val="004E6FA3"/>
    <w:rsid w:val="004E721C"/>
    <w:rsid w:val="004F43BA"/>
    <w:rsid w:val="00502DC4"/>
    <w:rsid w:val="00503B68"/>
    <w:rsid w:val="0050593F"/>
    <w:rsid w:val="00512878"/>
    <w:rsid w:val="0051301F"/>
    <w:rsid w:val="0052154B"/>
    <w:rsid w:val="0052766B"/>
    <w:rsid w:val="005368DE"/>
    <w:rsid w:val="00537410"/>
    <w:rsid w:val="00540BFE"/>
    <w:rsid w:val="00544491"/>
    <w:rsid w:val="00552D72"/>
    <w:rsid w:val="00556FBD"/>
    <w:rsid w:val="0055731D"/>
    <w:rsid w:val="0055734A"/>
    <w:rsid w:val="005600C1"/>
    <w:rsid w:val="00562EA5"/>
    <w:rsid w:val="00563648"/>
    <w:rsid w:val="00567248"/>
    <w:rsid w:val="005731FA"/>
    <w:rsid w:val="0057542E"/>
    <w:rsid w:val="00581F92"/>
    <w:rsid w:val="00582AA2"/>
    <w:rsid w:val="00585BDF"/>
    <w:rsid w:val="00586185"/>
    <w:rsid w:val="00593AD5"/>
    <w:rsid w:val="0059674D"/>
    <w:rsid w:val="005A18CA"/>
    <w:rsid w:val="005A369B"/>
    <w:rsid w:val="005A378A"/>
    <w:rsid w:val="005A40E4"/>
    <w:rsid w:val="005B3D01"/>
    <w:rsid w:val="005C1826"/>
    <w:rsid w:val="005C51B5"/>
    <w:rsid w:val="005C648D"/>
    <w:rsid w:val="005C7692"/>
    <w:rsid w:val="005D011F"/>
    <w:rsid w:val="005D27CF"/>
    <w:rsid w:val="005D4C96"/>
    <w:rsid w:val="005D7852"/>
    <w:rsid w:val="005E1BBC"/>
    <w:rsid w:val="005E346C"/>
    <w:rsid w:val="005F3772"/>
    <w:rsid w:val="005F37DA"/>
    <w:rsid w:val="0060077F"/>
    <w:rsid w:val="00601084"/>
    <w:rsid w:val="00601753"/>
    <w:rsid w:val="00601EBB"/>
    <w:rsid w:val="0060797B"/>
    <w:rsid w:val="00611FD0"/>
    <w:rsid w:val="00617DF7"/>
    <w:rsid w:val="00630290"/>
    <w:rsid w:val="006325E3"/>
    <w:rsid w:val="00634448"/>
    <w:rsid w:val="00642D50"/>
    <w:rsid w:val="00645E12"/>
    <w:rsid w:val="00645E4F"/>
    <w:rsid w:val="00650B24"/>
    <w:rsid w:val="006547A7"/>
    <w:rsid w:val="00655881"/>
    <w:rsid w:val="0065629E"/>
    <w:rsid w:val="00657768"/>
    <w:rsid w:val="00661ADC"/>
    <w:rsid w:val="0066216B"/>
    <w:rsid w:val="00665EC5"/>
    <w:rsid w:val="00666E44"/>
    <w:rsid w:val="006731FB"/>
    <w:rsid w:val="00680137"/>
    <w:rsid w:val="00690C08"/>
    <w:rsid w:val="006A0A71"/>
    <w:rsid w:val="006A0ECE"/>
    <w:rsid w:val="006A11E7"/>
    <w:rsid w:val="006A4FC7"/>
    <w:rsid w:val="006A7352"/>
    <w:rsid w:val="006B09A2"/>
    <w:rsid w:val="006B1CC4"/>
    <w:rsid w:val="006B3FD9"/>
    <w:rsid w:val="006B5DAB"/>
    <w:rsid w:val="006C117E"/>
    <w:rsid w:val="006C1A2E"/>
    <w:rsid w:val="006C2CF5"/>
    <w:rsid w:val="006C2DB1"/>
    <w:rsid w:val="006D32A9"/>
    <w:rsid w:val="006E3039"/>
    <w:rsid w:val="006E3494"/>
    <w:rsid w:val="006F0F1F"/>
    <w:rsid w:val="006F3DBB"/>
    <w:rsid w:val="006F7ABC"/>
    <w:rsid w:val="00700B85"/>
    <w:rsid w:val="00701B45"/>
    <w:rsid w:val="007075F3"/>
    <w:rsid w:val="00716572"/>
    <w:rsid w:val="0071685C"/>
    <w:rsid w:val="007233E2"/>
    <w:rsid w:val="007263D1"/>
    <w:rsid w:val="00730CC6"/>
    <w:rsid w:val="00732D63"/>
    <w:rsid w:val="00732EB3"/>
    <w:rsid w:val="007339DC"/>
    <w:rsid w:val="00733C46"/>
    <w:rsid w:val="00736E19"/>
    <w:rsid w:val="00737852"/>
    <w:rsid w:val="0074060D"/>
    <w:rsid w:val="0075086A"/>
    <w:rsid w:val="00753D3D"/>
    <w:rsid w:val="00754A81"/>
    <w:rsid w:val="007560BA"/>
    <w:rsid w:val="00762CB2"/>
    <w:rsid w:val="00763D27"/>
    <w:rsid w:val="00766E4A"/>
    <w:rsid w:val="007760F8"/>
    <w:rsid w:val="00776F54"/>
    <w:rsid w:val="0078041E"/>
    <w:rsid w:val="0078170E"/>
    <w:rsid w:val="00782AB7"/>
    <w:rsid w:val="007850DC"/>
    <w:rsid w:val="00786E1E"/>
    <w:rsid w:val="00793DCC"/>
    <w:rsid w:val="00795871"/>
    <w:rsid w:val="007A1466"/>
    <w:rsid w:val="007A3546"/>
    <w:rsid w:val="007A45D5"/>
    <w:rsid w:val="007B1E41"/>
    <w:rsid w:val="007B57C7"/>
    <w:rsid w:val="007B6E3F"/>
    <w:rsid w:val="007C10D7"/>
    <w:rsid w:val="007C22B3"/>
    <w:rsid w:val="007C2F53"/>
    <w:rsid w:val="007D217B"/>
    <w:rsid w:val="007D24B6"/>
    <w:rsid w:val="007D482C"/>
    <w:rsid w:val="007D482D"/>
    <w:rsid w:val="007D5954"/>
    <w:rsid w:val="007D6C14"/>
    <w:rsid w:val="007D7044"/>
    <w:rsid w:val="007D783A"/>
    <w:rsid w:val="007E0510"/>
    <w:rsid w:val="007E1F92"/>
    <w:rsid w:val="007F1571"/>
    <w:rsid w:val="007F697D"/>
    <w:rsid w:val="007F6E9E"/>
    <w:rsid w:val="00800B7B"/>
    <w:rsid w:val="0080317B"/>
    <w:rsid w:val="00803DCB"/>
    <w:rsid w:val="00807A2E"/>
    <w:rsid w:val="00812674"/>
    <w:rsid w:val="00812F73"/>
    <w:rsid w:val="008163C1"/>
    <w:rsid w:val="00821117"/>
    <w:rsid w:val="00836C8F"/>
    <w:rsid w:val="00837206"/>
    <w:rsid w:val="00837D12"/>
    <w:rsid w:val="008402AB"/>
    <w:rsid w:val="008419C8"/>
    <w:rsid w:val="00843BB8"/>
    <w:rsid w:val="00844757"/>
    <w:rsid w:val="00845D6D"/>
    <w:rsid w:val="00845DE3"/>
    <w:rsid w:val="00846437"/>
    <w:rsid w:val="00847D2B"/>
    <w:rsid w:val="00851993"/>
    <w:rsid w:val="00857481"/>
    <w:rsid w:val="00857833"/>
    <w:rsid w:val="008645E1"/>
    <w:rsid w:val="0086473B"/>
    <w:rsid w:val="00870238"/>
    <w:rsid w:val="0087078A"/>
    <w:rsid w:val="008719E8"/>
    <w:rsid w:val="00873A3C"/>
    <w:rsid w:val="0087622E"/>
    <w:rsid w:val="00877A83"/>
    <w:rsid w:val="008862C7"/>
    <w:rsid w:val="00886961"/>
    <w:rsid w:val="00890CBE"/>
    <w:rsid w:val="00891D20"/>
    <w:rsid w:val="0089231C"/>
    <w:rsid w:val="008A08B6"/>
    <w:rsid w:val="008A3667"/>
    <w:rsid w:val="008A3F40"/>
    <w:rsid w:val="008A5765"/>
    <w:rsid w:val="008C293D"/>
    <w:rsid w:val="008C328E"/>
    <w:rsid w:val="008C3DEA"/>
    <w:rsid w:val="008C55F4"/>
    <w:rsid w:val="008C5B52"/>
    <w:rsid w:val="008C640A"/>
    <w:rsid w:val="008C6695"/>
    <w:rsid w:val="008C7D35"/>
    <w:rsid w:val="008D537B"/>
    <w:rsid w:val="008D7229"/>
    <w:rsid w:val="008D7C1E"/>
    <w:rsid w:val="008E000A"/>
    <w:rsid w:val="008E1DBD"/>
    <w:rsid w:val="008E4A39"/>
    <w:rsid w:val="008E6A64"/>
    <w:rsid w:val="008E705A"/>
    <w:rsid w:val="008F09C7"/>
    <w:rsid w:val="008F1122"/>
    <w:rsid w:val="008F4647"/>
    <w:rsid w:val="008F4A8C"/>
    <w:rsid w:val="008F597B"/>
    <w:rsid w:val="008F63A5"/>
    <w:rsid w:val="0090053A"/>
    <w:rsid w:val="00914472"/>
    <w:rsid w:val="00916877"/>
    <w:rsid w:val="00917B9D"/>
    <w:rsid w:val="00921EEF"/>
    <w:rsid w:val="00923E1F"/>
    <w:rsid w:val="00923E6A"/>
    <w:rsid w:val="00926FBB"/>
    <w:rsid w:val="009337B5"/>
    <w:rsid w:val="00934CFD"/>
    <w:rsid w:val="00934F14"/>
    <w:rsid w:val="009369BA"/>
    <w:rsid w:val="0094181B"/>
    <w:rsid w:val="0094545E"/>
    <w:rsid w:val="00946773"/>
    <w:rsid w:val="009476A0"/>
    <w:rsid w:val="00951035"/>
    <w:rsid w:val="00954EAD"/>
    <w:rsid w:val="00962098"/>
    <w:rsid w:val="0096228C"/>
    <w:rsid w:val="00963AAB"/>
    <w:rsid w:val="00970731"/>
    <w:rsid w:val="009717BD"/>
    <w:rsid w:val="009724B1"/>
    <w:rsid w:val="0097277B"/>
    <w:rsid w:val="00976DC6"/>
    <w:rsid w:val="00980FCD"/>
    <w:rsid w:val="0098169A"/>
    <w:rsid w:val="009833B7"/>
    <w:rsid w:val="009844EC"/>
    <w:rsid w:val="009863AE"/>
    <w:rsid w:val="009869D1"/>
    <w:rsid w:val="009B17FF"/>
    <w:rsid w:val="009B3325"/>
    <w:rsid w:val="009B4C45"/>
    <w:rsid w:val="009C2E16"/>
    <w:rsid w:val="009C4642"/>
    <w:rsid w:val="009C4B65"/>
    <w:rsid w:val="009C6B28"/>
    <w:rsid w:val="009C7D3A"/>
    <w:rsid w:val="009D1913"/>
    <w:rsid w:val="009D6D52"/>
    <w:rsid w:val="009D76D9"/>
    <w:rsid w:val="009E5C6D"/>
    <w:rsid w:val="009E6F2E"/>
    <w:rsid w:val="009F1645"/>
    <w:rsid w:val="009F2FC3"/>
    <w:rsid w:val="009F63DB"/>
    <w:rsid w:val="009F6A3B"/>
    <w:rsid w:val="009F7860"/>
    <w:rsid w:val="00A0623E"/>
    <w:rsid w:val="00A10469"/>
    <w:rsid w:val="00A12A85"/>
    <w:rsid w:val="00A14046"/>
    <w:rsid w:val="00A1457E"/>
    <w:rsid w:val="00A15488"/>
    <w:rsid w:val="00A23FB8"/>
    <w:rsid w:val="00A26957"/>
    <w:rsid w:val="00A27EEC"/>
    <w:rsid w:val="00A356D9"/>
    <w:rsid w:val="00A4639A"/>
    <w:rsid w:val="00A5079B"/>
    <w:rsid w:val="00A51E55"/>
    <w:rsid w:val="00A533C4"/>
    <w:rsid w:val="00A54436"/>
    <w:rsid w:val="00A557B8"/>
    <w:rsid w:val="00A57999"/>
    <w:rsid w:val="00A633FC"/>
    <w:rsid w:val="00A6525E"/>
    <w:rsid w:val="00A6598E"/>
    <w:rsid w:val="00A7458E"/>
    <w:rsid w:val="00A75260"/>
    <w:rsid w:val="00A7798A"/>
    <w:rsid w:val="00A82605"/>
    <w:rsid w:val="00A8282D"/>
    <w:rsid w:val="00A841FC"/>
    <w:rsid w:val="00A90497"/>
    <w:rsid w:val="00A90729"/>
    <w:rsid w:val="00A9172A"/>
    <w:rsid w:val="00A97484"/>
    <w:rsid w:val="00AA0257"/>
    <w:rsid w:val="00AA0E7D"/>
    <w:rsid w:val="00AA5579"/>
    <w:rsid w:val="00AA6AFA"/>
    <w:rsid w:val="00AB3089"/>
    <w:rsid w:val="00AB4A3A"/>
    <w:rsid w:val="00AB5817"/>
    <w:rsid w:val="00AC02E2"/>
    <w:rsid w:val="00AC097F"/>
    <w:rsid w:val="00AC326C"/>
    <w:rsid w:val="00AC4A94"/>
    <w:rsid w:val="00AC60E7"/>
    <w:rsid w:val="00AD00AC"/>
    <w:rsid w:val="00AD1145"/>
    <w:rsid w:val="00AD1525"/>
    <w:rsid w:val="00AD61FC"/>
    <w:rsid w:val="00AD6674"/>
    <w:rsid w:val="00AE32DA"/>
    <w:rsid w:val="00AE35AA"/>
    <w:rsid w:val="00AE4300"/>
    <w:rsid w:val="00AE671C"/>
    <w:rsid w:val="00AF00E1"/>
    <w:rsid w:val="00AF7073"/>
    <w:rsid w:val="00B0293E"/>
    <w:rsid w:val="00B105B0"/>
    <w:rsid w:val="00B10A70"/>
    <w:rsid w:val="00B11AED"/>
    <w:rsid w:val="00B138C4"/>
    <w:rsid w:val="00B20490"/>
    <w:rsid w:val="00B20838"/>
    <w:rsid w:val="00B21D83"/>
    <w:rsid w:val="00B32217"/>
    <w:rsid w:val="00B35FB3"/>
    <w:rsid w:val="00B360C6"/>
    <w:rsid w:val="00B372E6"/>
    <w:rsid w:val="00B43D62"/>
    <w:rsid w:val="00B457BA"/>
    <w:rsid w:val="00B464C2"/>
    <w:rsid w:val="00B467BB"/>
    <w:rsid w:val="00B57474"/>
    <w:rsid w:val="00B578A3"/>
    <w:rsid w:val="00B600C1"/>
    <w:rsid w:val="00B62BE6"/>
    <w:rsid w:val="00B63666"/>
    <w:rsid w:val="00B731E8"/>
    <w:rsid w:val="00B74BA2"/>
    <w:rsid w:val="00B74F95"/>
    <w:rsid w:val="00B750F6"/>
    <w:rsid w:val="00B80CAC"/>
    <w:rsid w:val="00B86581"/>
    <w:rsid w:val="00B86CFE"/>
    <w:rsid w:val="00B877EA"/>
    <w:rsid w:val="00B87EB5"/>
    <w:rsid w:val="00B91EF8"/>
    <w:rsid w:val="00B937C8"/>
    <w:rsid w:val="00B94BB0"/>
    <w:rsid w:val="00B96D2D"/>
    <w:rsid w:val="00BA19C3"/>
    <w:rsid w:val="00BA345F"/>
    <w:rsid w:val="00BA61B6"/>
    <w:rsid w:val="00BB04FF"/>
    <w:rsid w:val="00BB5DF6"/>
    <w:rsid w:val="00BC077B"/>
    <w:rsid w:val="00BC1822"/>
    <w:rsid w:val="00BC3423"/>
    <w:rsid w:val="00BC405A"/>
    <w:rsid w:val="00BC4206"/>
    <w:rsid w:val="00BC4C7F"/>
    <w:rsid w:val="00BC571B"/>
    <w:rsid w:val="00BC6E23"/>
    <w:rsid w:val="00BD1285"/>
    <w:rsid w:val="00BE3E59"/>
    <w:rsid w:val="00BE5690"/>
    <w:rsid w:val="00BE5EAF"/>
    <w:rsid w:val="00BE7291"/>
    <w:rsid w:val="00BF3647"/>
    <w:rsid w:val="00BF3966"/>
    <w:rsid w:val="00BF3C6F"/>
    <w:rsid w:val="00C038CA"/>
    <w:rsid w:val="00C03EC2"/>
    <w:rsid w:val="00C05329"/>
    <w:rsid w:val="00C06928"/>
    <w:rsid w:val="00C06F72"/>
    <w:rsid w:val="00C10BEF"/>
    <w:rsid w:val="00C11BE0"/>
    <w:rsid w:val="00C13129"/>
    <w:rsid w:val="00C132D3"/>
    <w:rsid w:val="00C152DC"/>
    <w:rsid w:val="00C15536"/>
    <w:rsid w:val="00C15E45"/>
    <w:rsid w:val="00C160FB"/>
    <w:rsid w:val="00C172B0"/>
    <w:rsid w:val="00C223FF"/>
    <w:rsid w:val="00C3024E"/>
    <w:rsid w:val="00C31808"/>
    <w:rsid w:val="00C33893"/>
    <w:rsid w:val="00C35487"/>
    <w:rsid w:val="00C35A00"/>
    <w:rsid w:val="00C366D3"/>
    <w:rsid w:val="00C4101C"/>
    <w:rsid w:val="00C414F0"/>
    <w:rsid w:val="00C4334C"/>
    <w:rsid w:val="00C43FFF"/>
    <w:rsid w:val="00C45F61"/>
    <w:rsid w:val="00C517E4"/>
    <w:rsid w:val="00C52069"/>
    <w:rsid w:val="00C54DE1"/>
    <w:rsid w:val="00C5738B"/>
    <w:rsid w:val="00C6090D"/>
    <w:rsid w:val="00C6187C"/>
    <w:rsid w:val="00C61E44"/>
    <w:rsid w:val="00C62B23"/>
    <w:rsid w:val="00C63E9F"/>
    <w:rsid w:val="00C715D6"/>
    <w:rsid w:val="00C76AD4"/>
    <w:rsid w:val="00C81F05"/>
    <w:rsid w:val="00C9114C"/>
    <w:rsid w:val="00C91AF0"/>
    <w:rsid w:val="00C93544"/>
    <w:rsid w:val="00CA5899"/>
    <w:rsid w:val="00CA67F7"/>
    <w:rsid w:val="00CB328E"/>
    <w:rsid w:val="00CC0F08"/>
    <w:rsid w:val="00CC7BD2"/>
    <w:rsid w:val="00CD51AE"/>
    <w:rsid w:val="00CD79FE"/>
    <w:rsid w:val="00CE3C42"/>
    <w:rsid w:val="00CE3E12"/>
    <w:rsid w:val="00CE3F99"/>
    <w:rsid w:val="00CE42B2"/>
    <w:rsid w:val="00CE47F5"/>
    <w:rsid w:val="00CE4E86"/>
    <w:rsid w:val="00CE5240"/>
    <w:rsid w:val="00CF4DFB"/>
    <w:rsid w:val="00CF55F2"/>
    <w:rsid w:val="00CF5BFB"/>
    <w:rsid w:val="00CF7D5E"/>
    <w:rsid w:val="00CF7DE8"/>
    <w:rsid w:val="00D03D07"/>
    <w:rsid w:val="00D04ABC"/>
    <w:rsid w:val="00D127EC"/>
    <w:rsid w:val="00D13094"/>
    <w:rsid w:val="00D20E3D"/>
    <w:rsid w:val="00D2194C"/>
    <w:rsid w:val="00D26E2F"/>
    <w:rsid w:val="00D27BF2"/>
    <w:rsid w:val="00D315E2"/>
    <w:rsid w:val="00D332AA"/>
    <w:rsid w:val="00D36317"/>
    <w:rsid w:val="00D37328"/>
    <w:rsid w:val="00D41057"/>
    <w:rsid w:val="00D47B9F"/>
    <w:rsid w:val="00D53B65"/>
    <w:rsid w:val="00D565FC"/>
    <w:rsid w:val="00D606EF"/>
    <w:rsid w:val="00D61D94"/>
    <w:rsid w:val="00D62AB5"/>
    <w:rsid w:val="00D673E1"/>
    <w:rsid w:val="00D73920"/>
    <w:rsid w:val="00D74E27"/>
    <w:rsid w:val="00D74F0F"/>
    <w:rsid w:val="00D9004C"/>
    <w:rsid w:val="00D91D5E"/>
    <w:rsid w:val="00D945B5"/>
    <w:rsid w:val="00D95EDA"/>
    <w:rsid w:val="00DA4E7A"/>
    <w:rsid w:val="00DB0CCF"/>
    <w:rsid w:val="00DB59A9"/>
    <w:rsid w:val="00DB78E8"/>
    <w:rsid w:val="00DC59D7"/>
    <w:rsid w:val="00DC6BBA"/>
    <w:rsid w:val="00DD0F46"/>
    <w:rsid w:val="00DD1C5A"/>
    <w:rsid w:val="00DD563B"/>
    <w:rsid w:val="00DD5E3F"/>
    <w:rsid w:val="00DE10CD"/>
    <w:rsid w:val="00DE1319"/>
    <w:rsid w:val="00DE15E8"/>
    <w:rsid w:val="00DE3B19"/>
    <w:rsid w:val="00DE452E"/>
    <w:rsid w:val="00DE720A"/>
    <w:rsid w:val="00DE7C93"/>
    <w:rsid w:val="00DF2221"/>
    <w:rsid w:val="00DF2BCD"/>
    <w:rsid w:val="00DF699E"/>
    <w:rsid w:val="00E00D55"/>
    <w:rsid w:val="00E012DF"/>
    <w:rsid w:val="00E03D46"/>
    <w:rsid w:val="00E04D74"/>
    <w:rsid w:val="00E05421"/>
    <w:rsid w:val="00E107B1"/>
    <w:rsid w:val="00E13272"/>
    <w:rsid w:val="00E21B1B"/>
    <w:rsid w:val="00E23DB0"/>
    <w:rsid w:val="00E316D9"/>
    <w:rsid w:val="00E344E7"/>
    <w:rsid w:val="00E35664"/>
    <w:rsid w:val="00E43975"/>
    <w:rsid w:val="00E453CC"/>
    <w:rsid w:val="00E52B0D"/>
    <w:rsid w:val="00E622FB"/>
    <w:rsid w:val="00E636F7"/>
    <w:rsid w:val="00E651DC"/>
    <w:rsid w:val="00E6543F"/>
    <w:rsid w:val="00E655CB"/>
    <w:rsid w:val="00E7753F"/>
    <w:rsid w:val="00E83B80"/>
    <w:rsid w:val="00E84FC9"/>
    <w:rsid w:val="00E86E68"/>
    <w:rsid w:val="00E870F5"/>
    <w:rsid w:val="00E871B4"/>
    <w:rsid w:val="00E92AD5"/>
    <w:rsid w:val="00E93C27"/>
    <w:rsid w:val="00E94F6B"/>
    <w:rsid w:val="00E9547C"/>
    <w:rsid w:val="00E9626F"/>
    <w:rsid w:val="00EA0D34"/>
    <w:rsid w:val="00EA5F1B"/>
    <w:rsid w:val="00EA632B"/>
    <w:rsid w:val="00EA67C0"/>
    <w:rsid w:val="00EB04DF"/>
    <w:rsid w:val="00EB5781"/>
    <w:rsid w:val="00EB62FA"/>
    <w:rsid w:val="00EB7FDD"/>
    <w:rsid w:val="00EC0C09"/>
    <w:rsid w:val="00EC0FE9"/>
    <w:rsid w:val="00EC12B3"/>
    <w:rsid w:val="00EC4EDD"/>
    <w:rsid w:val="00EC56F0"/>
    <w:rsid w:val="00ED23F0"/>
    <w:rsid w:val="00EE1392"/>
    <w:rsid w:val="00EE7F7D"/>
    <w:rsid w:val="00EF1670"/>
    <w:rsid w:val="00EF1B07"/>
    <w:rsid w:val="00EF213E"/>
    <w:rsid w:val="00EF4109"/>
    <w:rsid w:val="00EF4D23"/>
    <w:rsid w:val="00EF7E39"/>
    <w:rsid w:val="00F02D51"/>
    <w:rsid w:val="00F10096"/>
    <w:rsid w:val="00F116FD"/>
    <w:rsid w:val="00F117AB"/>
    <w:rsid w:val="00F1534B"/>
    <w:rsid w:val="00F154C1"/>
    <w:rsid w:val="00F1553D"/>
    <w:rsid w:val="00F16DE5"/>
    <w:rsid w:val="00F17149"/>
    <w:rsid w:val="00F2054A"/>
    <w:rsid w:val="00F24ECB"/>
    <w:rsid w:val="00F2714D"/>
    <w:rsid w:val="00F3004A"/>
    <w:rsid w:val="00F31609"/>
    <w:rsid w:val="00F3725C"/>
    <w:rsid w:val="00F4064E"/>
    <w:rsid w:val="00F428A4"/>
    <w:rsid w:val="00F444BB"/>
    <w:rsid w:val="00F54D44"/>
    <w:rsid w:val="00F554F8"/>
    <w:rsid w:val="00F61457"/>
    <w:rsid w:val="00F70BA9"/>
    <w:rsid w:val="00F71099"/>
    <w:rsid w:val="00F81467"/>
    <w:rsid w:val="00F8352B"/>
    <w:rsid w:val="00F8422D"/>
    <w:rsid w:val="00F84454"/>
    <w:rsid w:val="00F85AF5"/>
    <w:rsid w:val="00F87D4C"/>
    <w:rsid w:val="00F92FCF"/>
    <w:rsid w:val="00FA44CF"/>
    <w:rsid w:val="00FA4845"/>
    <w:rsid w:val="00FA5780"/>
    <w:rsid w:val="00FA7668"/>
    <w:rsid w:val="00FA774F"/>
    <w:rsid w:val="00FB0B16"/>
    <w:rsid w:val="00FB382B"/>
    <w:rsid w:val="00FB4351"/>
    <w:rsid w:val="00FB4A6C"/>
    <w:rsid w:val="00FC1231"/>
    <w:rsid w:val="00FC2D96"/>
    <w:rsid w:val="00FC743D"/>
    <w:rsid w:val="00FC7E8A"/>
    <w:rsid w:val="00FD0491"/>
    <w:rsid w:val="00FD1209"/>
    <w:rsid w:val="00FE019B"/>
    <w:rsid w:val="00FE0359"/>
    <w:rsid w:val="00FE0ACE"/>
    <w:rsid w:val="00FE13CD"/>
    <w:rsid w:val="00FE16E3"/>
    <w:rsid w:val="00FE397F"/>
    <w:rsid w:val="00FE78D6"/>
    <w:rsid w:val="00FF2850"/>
    <w:rsid w:val="00FF5666"/>
    <w:rsid w:val="00FF5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14:docId w14:val="679C3930"/>
  <w14:defaultImageDpi w14:val="0"/>
  <w15:docId w15:val="{04F21F93-4DBD-4719-AD68-8A088D0A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29"/>
    <w:pPr>
      <w:spacing w:after="200" w:line="240" w:lineRule="atLeast"/>
      <w:ind w:left="720"/>
    </w:pPr>
    <w:rPr>
      <w:rFonts w:ascii="Verdana" w:hAnsi="Verdana"/>
      <w:color w:val="000000"/>
      <w:sz w:val="20"/>
      <w:szCs w:val="20"/>
      <w:lang w:eastAsia="en-US"/>
    </w:rPr>
  </w:style>
  <w:style w:type="paragraph" w:styleId="Heading1">
    <w:name w:val="heading 1"/>
    <w:basedOn w:val="Normal"/>
    <w:next w:val="Normal"/>
    <w:link w:val="Heading1Char"/>
    <w:uiPriority w:val="99"/>
    <w:qFormat/>
    <w:rsid w:val="00392E29"/>
    <w:pPr>
      <w:keepNext/>
      <w:spacing w:before="240" w:after="60"/>
      <w:ind w:left="0"/>
      <w:outlineLvl w:val="0"/>
    </w:pPr>
    <w:rPr>
      <w:rFonts w:cs="Arial"/>
      <w:b/>
      <w:bCs/>
      <w:color w:val="23408F"/>
      <w:kern w:val="32"/>
      <w:sz w:val="28"/>
      <w:szCs w:val="32"/>
    </w:rPr>
  </w:style>
  <w:style w:type="paragraph" w:styleId="Heading2">
    <w:name w:val="heading 2"/>
    <w:basedOn w:val="Normal"/>
    <w:next w:val="Normal"/>
    <w:link w:val="Heading2Char"/>
    <w:uiPriority w:val="99"/>
    <w:qFormat/>
    <w:rsid w:val="00392E29"/>
    <w:pPr>
      <w:keepNext/>
      <w:spacing w:before="180" w:after="60"/>
      <w:ind w:left="0"/>
      <w:outlineLvl w:val="1"/>
    </w:pPr>
    <w:rPr>
      <w:rFonts w:cs="Arial"/>
      <w:b/>
      <w:bCs/>
      <w:iCs/>
      <w:color w:val="23408F"/>
      <w:sz w:val="22"/>
      <w:szCs w:val="28"/>
    </w:rPr>
  </w:style>
  <w:style w:type="paragraph" w:styleId="Heading3">
    <w:name w:val="heading 3"/>
    <w:basedOn w:val="Normal"/>
    <w:next w:val="Normal"/>
    <w:link w:val="Heading3Char"/>
    <w:uiPriority w:val="99"/>
    <w:qFormat/>
    <w:rsid w:val="001F3BBA"/>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1F3BBA"/>
    <w:pPr>
      <w:tabs>
        <w:tab w:val="num" w:pos="864"/>
        <w:tab w:val="left" w:pos="1985"/>
      </w:tabs>
      <w:spacing w:before="40" w:after="40" w:line="240" w:lineRule="auto"/>
      <w:ind w:left="864" w:hanging="864"/>
      <w:outlineLvl w:val="3"/>
    </w:pPr>
    <w:rPr>
      <w:rFonts w:ascii="Arial" w:hAnsi="Arial" w:cs="Arial"/>
      <w:color w:val="auto"/>
      <w:sz w:val="22"/>
      <w:lang w:val="en-GB"/>
    </w:rPr>
  </w:style>
  <w:style w:type="paragraph" w:styleId="Heading5">
    <w:name w:val="heading 5"/>
    <w:basedOn w:val="Normal"/>
    <w:link w:val="Heading5Char"/>
    <w:uiPriority w:val="99"/>
    <w:qFormat/>
    <w:rsid w:val="001F3BBA"/>
    <w:pPr>
      <w:tabs>
        <w:tab w:val="num" w:pos="1008"/>
        <w:tab w:val="left" w:pos="2835"/>
      </w:tabs>
      <w:spacing w:before="240" w:after="240" w:line="240" w:lineRule="auto"/>
      <w:ind w:left="1008" w:hanging="1008"/>
      <w:jc w:val="both"/>
      <w:outlineLvl w:val="4"/>
    </w:pPr>
    <w:rPr>
      <w:rFonts w:ascii="Arial" w:hAnsi="Arial" w:cs="Arial"/>
      <w:color w:val="auto"/>
      <w:sz w:val="22"/>
      <w:lang w:val="en-GB"/>
    </w:rPr>
  </w:style>
  <w:style w:type="paragraph" w:styleId="Heading6">
    <w:name w:val="heading 6"/>
    <w:basedOn w:val="Normal"/>
    <w:link w:val="Heading6Char"/>
    <w:uiPriority w:val="99"/>
    <w:qFormat/>
    <w:rsid w:val="001F3BBA"/>
    <w:pPr>
      <w:tabs>
        <w:tab w:val="num" w:pos="1152"/>
        <w:tab w:val="left" w:pos="1985"/>
        <w:tab w:val="left" w:pos="2722"/>
        <w:tab w:val="left" w:pos="3459"/>
        <w:tab w:val="left" w:pos="4196"/>
        <w:tab w:val="left" w:pos="4933"/>
      </w:tabs>
      <w:spacing w:before="60" w:after="240" w:line="240" w:lineRule="auto"/>
      <w:ind w:left="1152" w:hanging="1152"/>
      <w:outlineLvl w:val="5"/>
    </w:pPr>
    <w:rPr>
      <w:rFonts w:ascii="Arial" w:hAnsi="Arial" w:cs="Arial"/>
      <w:color w:val="auto"/>
      <w:sz w:val="22"/>
      <w:lang w:val="en-GB"/>
    </w:rPr>
  </w:style>
  <w:style w:type="paragraph" w:styleId="Heading7">
    <w:name w:val="heading 7"/>
    <w:basedOn w:val="Normal"/>
    <w:link w:val="Heading7Char"/>
    <w:uiPriority w:val="99"/>
    <w:qFormat/>
    <w:rsid w:val="001F3BBA"/>
    <w:pPr>
      <w:keepNext/>
      <w:tabs>
        <w:tab w:val="num" w:pos="1296"/>
      </w:tabs>
      <w:spacing w:before="120" w:after="240" w:line="240" w:lineRule="auto"/>
      <w:ind w:left="1296" w:hanging="1296"/>
      <w:outlineLvl w:val="6"/>
    </w:pPr>
    <w:rPr>
      <w:rFonts w:ascii="Arial" w:hAnsi="Arial" w:cs="Arial"/>
      <w:b/>
      <w:color w:val="auto"/>
      <w:sz w:val="22"/>
      <w:lang w:val="en-GB"/>
    </w:rPr>
  </w:style>
  <w:style w:type="paragraph" w:styleId="Heading8">
    <w:name w:val="heading 8"/>
    <w:basedOn w:val="Heading3"/>
    <w:link w:val="Heading8Char"/>
    <w:uiPriority w:val="99"/>
    <w:qFormat/>
    <w:rsid w:val="001F3BBA"/>
    <w:pPr>
      <w:tabs>
        <w:tab w:val="num" w:pos="1440"/>
      </w:tabs>
      <w:spacing w:before="0" w:after="240" w:line="240" w:lineRule="auto"/>
      <w:ind w:left="1440" w:hanging="1440"/>
      <w:outlineLvl w:val="7"/>
    </w:pPr>
    <w:rPr>
      <w:rFonts w:ascii="Arial" w:hAnsi="Arial" w:cs="Arial"/>
      <w:b w:val="0"/>
      <w:bCs w:val="0"/>
      <w:color w:val="auto"/>
      <w:sz w:val="22"/>
      <w:szCs w:val="20"/>
      <w:u w:val="single"/>
      <w:lang w:val="en-GB"/>
    </w:rPr>
  </w:style>
  <w:style w:type="paragraph" w:styleId="Heading9">
    <w:name w:val="heading 9"/>
    <w:basedOn w:val="Heading4"/>
    <w:link w:val="Heading9Char"/>
    <w:uiPriority w:val="99"/>
    <w:qFormat/>
    <w:rsid w:val="001F3BBA"/>
    <w:pPr>
      <w:tabs>
        <w:tab w:val="clear" w:pos="864"/>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E3D"/>
    <w:rPr>
      <w:rFonts w:ascii="Cambria" w:hAnsi="Cambria" w:cs="Times New Roman"/>
      <w:b/>
      <w:bCs/>
      <w:color w:val="000000"/>
      <w:kern w:val="32"/>
      <w:sz w:val="32"/>
      <w:szCs w:val="32"/>
      <w:lang w:val="x-none" w:eastAsia="en-US"/>
    </w:rPr>
  </w:style>
  <w:style w:type="character" w:customStyle="1" w:styleId="Heading2Char">
    <w:name w:val="Heading 2 Char"/>
    <w:basedOn w:val="DefaultParagraphFont"/>
    <w:link w:val="Heading2"/>
    <w:uiPriority w:val="99"/>
    <w:semiHidden/>
    <w:locked/>
    <w:rsid w:val="00D20E3D"/>
    <w:rPr>
      <w:rFonts w:ascii="Cambria" w:hAnsi="Cambria" w:cs="Times New Roman"/>
      <w:b/>
      <w:bCs/>
      <w:i/>
      <w:iCs/>
      <w:color w:val="000000"/>
      <w:sz w:val="28"/>
      <w:szCs w:val="28"/>
      <w:lang w:val="x-none" w:eastAsia="en-US"/>
    </w:rPr>
  </w:style>
  <w:style w:type="character" w:customStyle="1" w:styleId="Heading3Char">
    <w:name w:val="Heading 3 Char"/>
    <w:basedOn w:val="DefaultParagraphFont"/>
    <w:link w:val="Heading3"/>
    <w:uiPriority w:val="99"/>
    <w:semiHidden/>
    <w:locked/>
    <w:rsid w:val="001F3BBA"/>
    <w:rPr>
      <w:rFonts w:ascii="Cambria" w:eastAsia="SimSun" w:hAnsi="Cambria" w:cs="Times New Roman"/>
      <w:b/>
      <w:bCs/>
      <w:color w:val="000000"/>
      <w:sz w:val="26"/>
      <w:szCs w:val="26"/>
      <w:lang w:val="en-AU" w:eastAsia="en-US"/>
    </w:rPr>
  </w:style>
  <w:style w:type="character" w:customStyle="1" w:styleId="Heading4Char">
    <w:name w:val="Heading 4 Char"/>
    <w:basedOn w:val="DefaultParagraphFont"/>
    <w:link w:val="Heading4"/>
    <w:uiPriority w:val="99"/>
    <w:locked/>
    <w:rsid w:val="001F3BBA"/>
    <w:rPr>
      <w:rFonts w:ascii="Arial" w:hAnsi="Arial" w:cs="Arial"/>
      <w:sz w:val="22"/>
      <w:lang w:val="en-GB" w:eastAsia="en-US"/>
    </w:rPr>
  </w:style>
  <w:style w:type="character" w:customStyle="1" w:styleId="Heading5Char">
    <w:name w:val="Heading 5 Char"/>
    <w:basedOn w:val="DefaultParagraphFont"/>
    <w:link w:val="Heading5"/>
    <w:uiPriority w:val="99"/>
    <w:locked/>
    <w:rsid w:val="001F3BBA"/>
    <w:rPr>
      <w:rFonts w:ascii="Arial" w:hAnsi="Arial" w:cs="Arial"/>
      <w:sz w:val="22"/>
      <w:lang w:val="en-GB" w:eastAsia="en-US"/>
    </w:rPr>
  </w:style>
  <w:style w:type="character" w:customStyle="1" w:styleId="Heading6Char">
    <w:name w:val="Heading 6 Char"/>
    <w:basedOn w:val="DefaultParagraphFont"/>
    <w:link w:val="Heading6"/>
    <w:uiPriority w:val="99"/>
    <w:locked/>
    <w:rsid w:val="001F3BBA"/>
    <w:rPr>
      <w:rFonts w:ascii="Arial" w:hAnsi="Arial" w:cs="Arial"/>
      <w:sz w:val="22"/>
      <w:lang w:val="en-GB" w:eastAsia="en-US"/>
    </w:rPr>
  </w:style>
  <w:style w:type="character" w:customStyle="1" w:styleId="Heading7Char">
    <w:name w:val="Heading 7 Char"/>
    <w:basedOn w:val="DefaultParagraphFont"/>
    <w:link w:val="Heading7"/>
    <w:uiPriority w:val="99"/>
    <w:locked/>
    <w:rsid w:val="001F3BBA"/>
    <w:rPr>
      <w:rFonts w:ascii="Arial" w:hAnsi="Arial" w:cs="Arial"/>
      <w:b/>
      <w:sz w:val="22"/>
      <w:lang w:val="en-GB" w:eastAsia="en-US"/>
    </w:rPr>
  </w:style>
  <w:style w:type="character" w:customStyle="1" w:styleId="Heading8Char">
    <w:name w:val="Heading 8 Char"/>
    <w:basedOn w:val="DefaultParagraphFont"/>
    <w:link w:val="Heading8"/>
    <w:uiPriority w:val="99"/>
    <w:locked/>
    <w:rsid w:val="001F3BBA"/>
    <w:rPr>
      <w:rFonts w:ascii="Arial" w:hAnsi="Arial" w:cs="Arial"/>
      <w:sz w:val="22"/>
      <w:u w:val="single"/>
      <w:lang w:val="en-GB" w:eastAsia="en-US"/>
    </w:rPr>
  </w:style>
  <w:style w:type="character" w:customStyle="1" w:styleId="Heading9Char">
    <w:name w:val="Heading 9 Char"/>
    <w:basedOn w:val="DefaultParagraphFont"/>
    <w:link w:val="Heading9"/>
    <w:uiPriority w:val="99"/>
    <w:locked/>
    <w:rsid w:val="001F3BBA"/>
    <w:rPr>
      <w:rFonts w:ascii="Arial" w:hAnsi="Arial" w:cs="Arial"/>
      <w:sz w:val="22"/>
      <w:lang w:val="en-GB" w:eastAsia="en-US"/>
    </w:rPr>
  </w:style>
  <w:style w:type="paragraph" w:customStyle="1" w:styleId="TableBullet">
    <w:name w:val="TableBullet"/>
    <w:basedOn w:val="TableText"/>
    <w:uiPriority w:val="99"/>
    <w:rsid w:val="001F3BBA"/>
    <w:pPr>
      <w:tabs>
        <w:tab w:val="left" w:pos="216"/>
        <w:tab w:val="num" w:pos="720"/>
      </w:tabs>
      <w:ind w:left="720" w:hanging="360"/>
    </w:pPr>
  </w:style>
  <w:style w:type="paragraph" w:styleId="Header">
    <w:name w:val="header"/>
    <w:basedOn w:val="Normal"/>
    <w:link w:val="HeaderChar"/>
    <w:uiPriority w:val="99"/>
    <w:rsid w:val="00392E29"/>
    <w:pPr>
      <w:spacing w:after="0" w:line="240" w:lineRule="auto"/>
      <w:ind w:left="0"/>
    </w:pPr>
  </w:style>
  <w:style w:type="character" w:customStyle="1" w:styleId="HeaderChar">
    <w:name w:val="Header Char"/>
    <w:basedOn w:val="DefaultParagraphFont"/>
    <w:link w:val="Header"/>
    <w:uiPriority w:val="99"/>
    <w:semiHidden/>
    <w:locked/>
    <w:rsid w:val="00D20E3D"/>
    <w:rPr>
      <w:rFonts w:ascii="Verdana" w:hAnsi="Verdana" w:cs="Times New Roman"/>
      <w:color w:val="000000"/>
      <w:sz w:val="20"/>
      <w:szCs w:val="20"/>
      <w:lang w:val="x-none" w:eastAsia="en-US"/>
    </w:rPr>
  </w:style>
  <w:style w:type="paragraph" w:styleId="Footer">
    <w:name w:val="footer"/>
    <w:basedOn w:val="Normal"/>
    <w:link w:val="FooterChar"/>
    <w:uiPriority w:val="99"/>
    <w:rsid w:val="00392E29"/>
    <w:pPr>
      <w:spacing w:after="0" w:line="240" w:lineRule="auto"/>
      <w:ind w:left="0"/>
    </w:pPr>
    <w:rPr>
      <w:sz w:val="16"/>
    </w:rPr>
  </w:style>
  <w:style w:type="character" w:customStyle="1" w:styleId="FooterChar">
    <w:name w:val="Footer Char"/>
    <w:basedOn w:val="DefaultParagraphFont"/>
    <w:link w:val="Footer"/>
    <w:uiPriority w:val="99"/>
    <w:semiHidden/>
    <w:locked/>
    <w:rsid w:val="00D20E3D"/>
    <w:rPr>
      <w:rFonts w:ascii="Verdana" w:hAnsi="Verdana" w:cs="Times New Roman"/>
      <w:color w:val="000000"/>
      <w:sz w:val="20"/>
      <w:szCs w:val="20"/>
      <w:lang w:val="x-none" w:eastAsia="en-US"/>
    </w:rPr>
  </w:style>
  <w:style w:type="paragraph" w:customStyle="1" w:styleId="ReportTitleinheader">
    <w:name w:val="ReportTitle (in header)"/>
    <w:basedOn w:val="Normal"/>
    <w:uiPriority w:val="99"/>
    <w:rsid w:val="00392E29"/>
    <w:pPr>
      <w:spacing w:after="0" w:line="240" w:lineRule="auto"/>
      <w:ind w:left="1742" w:right="1714"/>
    </w:pPr>
    <w:rPr>
      <w:rFonts w:ascii="Arial Narrow" w:hAnsi="Arial Narrow"/>
      <w:caps/>
      <w:color w:val="FFFFFF"/>
      <w:spacing w:val="20"/>
      <w:sz w:val="32"/>
    </w:rPr>
  </w:style>
  <w:style w:type="character" w:styleId="PageNumber">
    <w:name w:val="page number"/>
    <w:basedOn w:val="DefaultParagraphFont"/>
    <w:uiPriority w:val="99"/>
    <w:rsid w:val="00392E29"/>
    <w:rPr>
      <w:rFonts w:ascii="Verdana" w:hAnsi="Verdana" w:cs="Times New Roman"/>
      <w:b/>
      <w:color w:val="FFFFFF"/>
      <w:sz w:val="16"/>
    </w:rPr>
  </w:style>
  <w:style w:type="paragraph" w:customStyle="1" w:styleId="ReportTitle">
    <w:name w:val="ReportTitle"/>
    <w:basedOn w:val="Normal"/>
    <w:uiPriority w:val="99"/>
    <w:rsid w:val="00392E29"/>
    <w:pPr>
      <w:ind w:left="0"/>
      <w:jc w:val="center"/>
    </w:pPr>
    <w:rPr>
      <w:sz w:val="36"/>
    </w:rPr>
  </w:style>
  <w:style w:type="paragraph" w:customStyle="1" w:styleId="Heading1a">
    <w:name w:val="Heading 1a"/>
    <w:basedOn w:val="Heading1"/>
    <w:uiPriority w:val="99"/>
    <w:rsid w:val="0050593F"/>
    <w:pPr>
      <w:spacing w:after="240"/>
      <w:outlineLvl w:val="9"/>
    </w:pPr>
  </w:style>
  <w:style w:type="paragraph" w:styleId="TOC1">
    <w:name w:val="toc 1"/>
    <w:basedOn w:val="Normal"/>
    <w:next w:val="Normal"/>
    <w:autoRedefine/>
    <w:uiPriority w:val="39"/>
    <w:rsid w:val="004B7BAF"/>
    <w:pPr>
      <w:tabs>
        <w:tab w:val="left" w:pos="993"/>
        <w:tab w:val="right" w:pos="8587"/>
      </w:tabs>
      <w:spacing w:before="180" w:after="60" w:line="240" w:lineRule="auto"/>
      <w:ind w:left="993" w:right="720" w:hanging="993"/>
    </w:pPr>
    <w:rPr>
      <w:b/>
      <w:bCs/>
      <w:noProof/>
      <w:sz w:val="18"/>
      <w:szCs w:val="28"/>
    </w:rPr>
  </w:style>
  <w:style w:type="paragraph" w:styleId="TOC2">
    <w:name w:val="toc 2"/>
    <w:basedOn w:val="Normal"/>
    <w:next w:val="Normal"/>
    <w:autoRedefine/>
    <w:uiPriority w:val="39"/>
    <w:rsid w:val="000C0DE6"/>
    <w:pPr>
      <w:tabs>
        <w:tab w:val="left" w:pos="1418"/>
        <w:tab w:val="right" w:pos="8587"/>
      </w:tabs>
      <w:spacing w:before="60" w:after="60" w:line="240" w:lineRule="auto"/>
      <w:ind w:left="1418" w:right="720" w:hanging="1418"/>
    </w:pPr>
    <w:rPr>
      <w:noProof/>
      <w:sz w:val="18"/>
      <w:szCs w:val="22"/>
    </w:rPr>
  </w:style>
  <w:style w:type="paragraph" w:customStyle="1" w:styleId="SideText">
    <w:name w:val="SideText"/>
    <w:basedOn w:val="Normal"/>
    <w:uiPriority w:val="99"/>
    <w:rsid w:val="00392E29"/>
    <w:pPr>
      <w:ind w:left="0"/>
    </w:pPr>
    <w:rPr>
      <w:rFonts w:ascii="Arial Narrow" w:hAnsi="Arial Narrow"/>
      <w:caps/>
      <w:color w:val="777777"/>
      <w:spacing w:val="20"/>
      <w:sz w:val="28"/>
    </w:rPr>
  </w:style>
  <w:style w:type="paragraph" w:customStyle="1" w:styleId="1paragraphs">
    <w:name w:val="(1) paragraphs"/>
    <w:basedOn w:val="Normal"/>
    <w:uiPriority w:val="99"/>
    <w:rsid w:val="001F3BBA"/>
    <w:pPr>
      <w:tabs>
        <w:tab w:val="num" w:pos="1080"/>
      </w:tabs>
      <w:spacing w:after="240" w:line="240" w:lineRule="auto"/>
      <w:ind w:left="1080" w:hanging="360"/>
    </w:pPr>
    <w:rPr>
      <w:rFonts w:ascii="Arial" w:hAnsi="Arial" w:cs="Arial"/>
      <w:bCs/>
      <w:iCs/>
      <w:color w:val="auto"/>
      <w:sz w:val="22"/>
      <w:lang w:val="en-GB"/>
    </w:rPr>
  </w:style>
  <w:style w:type="paragraph" w:customStyle="1" w:styleId="Definitions">
    <w:name w:val="Definitions"/>
    <w:basedOn w:val="Normal"/>
    <w:uiPriority w:val="99"/>
    <w:rsid w:val="00392E29"/>
    <w:pPr>
      <w:ind w:left="0"/>
    </w:pPr>
    <w:rPr>
      <w:sz w:val="18"/>
    </w:rPr>
  </w:style>
  <w:style w:type="paragraph" w:customStyle="1" w:styleId="aparagraphs">
    <w:name w:val="(a) paragraphs"/>
    <w:basedOn w:val="Normal"/>
    <w:uiPriority w:val="99"/>
    <w:rsid w:val="001F3BBA"/>
    <w:pPr>
      <w:tabs>
        <w:tab w:val="num" w:pos="2160"/>
      </w:tabs>
      <w:spacing w:after="240" w:line="240" w:lineRule="auto"/>
      <w:ind w:left="2160" w:hanging="720"/>
    </w:pPr>
    <w:rPr>
      <w:rFonts w:ascii="Arial" w:hAnsi="Arial" w:cs="Arial"/>
      <w:bCs/>
      <w:color w:val="auto"/>
      <w:sz w:val="22"/>
      <w:szCs w:val="22"/>
      <w:lang w:val="en-GB"/>
    </w:rPr>
  </w:style>
  <w:style w:type="paragraph" w:customStyle="1" w:styleId="Note">
    <w:name w:val="Note"/>
    <w:basedOn w:val="Normal"/>
    <w:uiPriority w:val="99"/>
    <w:rsid w:val="001F3BBA"/>
    <w:pPr>
      <w:numPr>
        <w:numId w:val="11"/>
      </w:numPr>
      <w:spacing w:after="240" w:line="240" w:lineRule="auto"/>
    </w:pPr>
    <w:rPr>
      <w:rFonts w:ascii="Arial" w:hAnsi="Arial"/>
      <w:color w:val="auto"/>
      <w:lang w:val="en-GB"/>
    </w:rPr>
  </w:style>
  <w:style w:type="paragraph" w:customStyle="1" w:styleId="NoteBold">
    <w:name w:val="NoteBold"/>
    <w:basedOn w:val="Normal"/>
    <w:uiPriority w:val="99"/>
    <w:rsid w:val="001F3BBA"/>
    <w:pPr>
      <w:spacing w:after="240" w:line="240" w:lineRule="auto"/>
      <w:ind w:left="0"/>
    </w:pPr>
    <w:rPr>
      <w:rFonts w:ascii="Arial" w:hAnsi="Arial"/>
      <w:b/>
      <w:bCs/>
      <w:color w:val="auto"/>
      <w:lang w:val="en-GB"/>
    </w:rPr>
  </w:style>
  <w:style w:type="paragraph" w:customStyle="1" w:styleId="NoteBolddash">
    <w:name w:val="NoteBold (dash)"/>
    <w:basedOn w:val="Normal"/>
    <w:uiPriority w:val="99"/>
    <w:rsid w:val="001F3BBA"/>
    <w:pPr>
      <w:tabs>
        <w:tab w:val="num" w:pos="1440"/>
      </w:tabs>
      <w:spacing w:after="240" w:line="240" w:lineRule="auto"/>
      <w:ind w:left="1800" w:hanging="360"/>
    </w:pPr>
    <w:rPr>
      <w:rFonts w:ascii="Arial Bold" w:hAnsi="Arial Bold" w:cs="Arial"/>
      <w:b/>
      <w:color w:val="auto"/>
      <w:lang w:val="en-GB"/>
    </w:rPr>
  </w:style>
  <w:style w:type="paragraph" w:customStyle="1" w:styleId="Bullet">
    <w:name w:val="Bullet"/>
    <w:basedOn w:val="Normal"/>
    <w:uiPriority w:val="99"/>
    <w:rsid w:val="001F3BBA"/>
    <w:pPr>
      <w:numPr>
        <w:numId w:val="3"/>
      </w:numPr>
      <w:tabs>
        <w:tab w:val="num" w:pos="1080"/>
      </w:tabs>
      <w:spacing w:after="240" w:line="240" w:lineRule="auto"/>
      <w:ind w:left="1080" w:hanging="360"/>
    </w:pPr>
    <w:rPr>
      <w:rFonts w:ascii="Arial" w:hAnsi="Arial"/>
      <w:color w:val="auto"/>
      <w:sz w:val="22"/>
      <w:lang w:val="en-GB"/>
    </w:rPr>
  </w:style>
  <w:style w:type="character" w:styleId="FootnoteReference">
    <w:name w:val="footnote reference"/>
    <w:basedOn w:val="DefaultParagraphFont"/>
    <w:uiPriority w:val="99"/>
    <w:semiHidden/>
    <w:rsid w:val="001F3BBA"/>
    <w:rPr>
      <w:rFonts w:ascii="Times New Roman" w:hAnsi="Times New Roman" w:cs="Times New Roman"/>
      <w:vertAlign w:val="superscript"/>
    </w:rPr>
  </w:style>
  <w:style w:type="paragraph" w:styleId="FootnoteText">
    <w:name w:val="footnote text"/>
    <w:basedOn w:val="Normal"/>
    <w:link w:val="FootnoteTextChar"/>
    <w:uiPriority w:val="99"/>
    <w:semiHidden/>
    <w:rsid w:val="001F3BBA"/>
    <w:pPr>
      <w:spacing w:after="0" w:line="240" w:lineRule="auto"/>
      <w:ind w:left="0"/>
    </w:pPr>
    <w:rPr>
      <w:rFonts w:ascii="Arial" w:hAnsi="Arial" w:cs="Arial"/>
      <w:color w:val="auto"/>
      <w:sz w:val="16"/>
      <w:lang w:val="en-GB"/>
    </w:rPr>
  </w:style>
  <w:style w:type="character" w:customStyle="1" w:styleId="FootnoteTextChar">
    <w:name w:val="Footnote Text Char"/>
    <w:basedOn w:val="DefaultParagraphFont"/>
    <w:link w:val="FootnoteText"/>
    <w:uiPriority w:val="99"/>
    <w:semiHidden/>
    <w:locked/>
    <w:rsid w:val="001F3BBA"/>
    <w:rPr>
      <w:rFonts w:ascii="Arial" w:hAnsi="Arial" w:cs="Arial"/>
      <w:sz w:val="16"/>
      <w:lang w:val="en-GB" w:eastAsia="en-US"/>
    </w:rPr>
  </w:style>
  <w:style w:type="paragraph" w:customStyle="1" w:styleId="NoteBoldindented">
    <w:name w:val="NoteBold (indented)"/>
    <w:basedOn w:val="NoteBold"/>
    <w:uiPriority w:val="99"/>
    <w:rsid w:val="001F3BBA"/>
    <w:pPr>
      <w:ind w:left="1440"/>
    </w:pPr>
  </w:style>
  <w:style w:type="paragraph" w:customStyle="1" w:styleId="TableText">
    <w:name w:val="TableText"/>
    <w:basedOn w:val="Normal"/>
    <w:uiPriority w:val="99"/>
    <w:rsid w:val="001F3BBA"/>
    <w:pPr>
      <w:keepNext/>
      <w:spacing w:before="60" w:after="60" w:line="240" w:lineRule="auto"/>
      <w:ind w:left="0"/>
    </w:pPr>
    <w:rPr>
      <w:rFonts w:ascii="Arial" w:hAnsi="Arial"/>
      <w:color w:val="auto"/>
      <w:sz w:val="18"/>
      <w:lang w:val="en-GB"/>
    </w:rPr>
  </w:style>
  <w:style w:type="paragraph" w:customStyle="1" w:styleId="CodeTitle">
    <w:name w:val="Code Title"/>
    <w:basedOn w:val="Normal"/>
    <w:uiPriority w:val="99"/>
    <w:rsid w:val="001F3BBA"/>
    <w:pPr>
      <w:keepNext/>
      <w:tabs>
        <w:tab w:val="left" w:pos="540"/>
      </w:tabs>
      <w:spacing w:after="240" w:line="240" w:lineRule="auto"/>
      <w:ind w:left="0"/>
      <w:jc w:val="center"/>
    </w:pPr>
    <w:rPr>
      <w:rFonts w:ascii="Arial" w:hAnsi="Arial" w:cs="Arial"/>
      <w:b/>
      <w:color w:val="auto"/>
      <w:sz w:val="40"/>
      <w:lang w:val="en-GB"/>
    </w:rPr>
  </w:style>
  <w:style w:type="paragraph" w:customStyle="1" w:styleId="PartHeading">
    <w:name w:val="Part Heading"/>
    <w:basedOn w:val="Normal"/>
    <w:uiPriority w:val="99"/>
    <w:rsid w:val="001F3BBA"/>
    <w:pPr>
      <w:pageBreakBefore/>
      <w:spacing w:after="360" w:line="240" w:lineRule="auto"/>
      <w:ind w:left="1440" w:hanging="1440"/>
    </w:pPr>
    <w:rPr>
      <w:rFonts w:ascii="Arial Bold" w:hAnsi="Arial Bold" w:cs="Arial (W1)"/>
      <w:bCs/>
      <w:caps/>
      <w:color w:val="auto"/>
      <w:sz w:val="28"/>
      <w:lang w:val="en-GB"/>
    </w:rPr>
  </w:style>
  <w:style w:type="character" w:styleId="CommentReference">
    <w:name w:val="annotation reference"/>
    <w:basedOn w:val="DefaultParagraphFont"/>
    <w:uiPriority w:val="99"/>
    <w:semiHidden/>
    <w:rsid w:val="001F3BBA"/>
    <w:rPr>
      <w:rFonts w:ascii="Times New Roman" w:hAnsi="Times New Roman" w:cs="Times New Roman"/>
      <w:sz w:val="16"/>
    </w:rPr>
  </w:style>
  <w:style w:type="paragraph" w:styleId="TOC4">
    <w:name w:val="toc 4"/>
    <w:basedOn w:val="Normal"/>
    <w:next w:val="Normal"/>
    <w:autoRedefine/>
    <w:uiPriority w:val="99"/>
    <w:semiHidden/>
    <w:rsid w:val="001F3BBA"/>
    <w:pPr>
      <w:tabs>
        <w:tab w:val="left" w:pos="1440"/>
        <w:tab w:val="right" w:leader="dot" w:pos="9011"/>
      </w:tabs>
      <w:spacing w:after="60" w:line="240" w:lineRule="auto"/>
      <w:ind w:left="1440" w:right="720" w:hanging="720"/>
    </w:pPr>
    <w:rPr>
      <w:rFonts w:ascii="Arial" w:hAnsi="Arial"/>
      <w:noProof/>
      <w:color w:val="auto"/>
      <w:sz w:val="22"/>
      <w:szCs w:val="22"/>
      <w:lang w:val="en-GB"/>
    </w:rPr>
  </w:style>
  <w:style w:type="paragraph" w:styleId="CommentText">
    <w:name w:val="annotation text"/>
    <w:basedOn w:val="Normal"/>
    <w:link w:val="CommentTextChar"/>
    <w:uiPriority w:val="99"/>
    <w:semiHidden/>
    <w:rsid w:val="001F3BBA"/>
    <w:pPr>
      <w:spacing w:before="60" w:after="240" w:line="240" w:lineRule="auto"/>
      <w:ind w:left="851"/>
    </w:pPr>
    <w:rPr>
      <w:rFonts w:ascii="Arial" w:hAnsi="Arial" w:cs="Arial"/>
      <w:color w:val="auto"/>
      <w:lang w:val="en-GB"/>
    </w:rPr>
  </w:style>
  <w:style w:type="character" w:customStyle="1" w:styleId="CommentTextChar">
    <w:name w:val="Comment Text Char"/>
    <w:basedOn w:val="DefaultParagraphFont"/>
    <w:link w:val="CommentText"/>
    <w:uiPriority w:val="99"/>
    <w:semiHidden/>
    <w:locked/>
    <w:rsid w:val="001F3BBA"/>
    <w:rPr>
      <w:rFonts w:ascii="Arial" w:hAnsi="Arial" w:cs="Arial"/>
      <w:lang w:val="en-GB" w:eastAsia="en-US"/>
    </w:rPr>
  </w:style>
  <w:style w:type="paragraph" w:customStyle="1" w:styleId="SubPartHeading">
    <w:name w:val="SubPart Heading"/>
    <w:basedOn w:val="PartHeading"/>
    <w:uiPriority w:val="99"/>
    <w:rsid w:val="001F3BBA"/>
    <w:pPr>
      <w:pageBreakBefore w:val="0"/>
      <w:spacing w:before="240" w:after="180"/>
    </w:pPr>
    <w:rPr>
      <w:caps w:val="0"/>
      <w:sz w:val="24"/>
    </w:rPr>
  </w:style>
  <w:style w:type="paragraph" w:customStyle="1" w:styleId="Normalindented">
    <w:name w:val="Normal (indented)"/>
    <w:basedOn w:val="Normal"/>
    <w:uiPriority w:val="99"/>
    <w:rsid w:val="001F3BBA"/>
    <w:pPr>
      <w:spacing w:after="240" w:line="240" w:lineRule="auto"/>
      <w:ind w:left="1418"/>
    </w:pPr>
    <w:rPr>
      <w:rFonts w:ascii="Arial" w:hAnsi="Arial"/>
      <w:color w:val="auto"/>
      <w:sz w:val="22"/>
      <w:lang w:val="en-GB"/>
    </w:rPr>
  </w:style>
  <w:style w:type="paragraph" w:customStyle="1" w:styleId="iparagraphs">
    <w:name w:val="(i) paragraphs"/>
    <w:basedOn w:val="Normal"/>
    <w:uiPriority w:val="99"/>
    <w:rsid w:val="001F3BBA"/>
    <w:pPr>
      <w:tabs>
        <w:tab w:val="num" w:pos="2880"/>
      </w:tabs>
      <w:spacing w:after="240" w:line="240" w:lineRule="auto"/>
      <w:ind w:left="2880" w:hanging="720"/>
    </w:pPr>
    <w:rPr>
      <w:rFonts w:ascii="Arial" w:hAnsi="Arial"/>
      <w:color w:val="auto"/>
      <w:sz w:val="22"/>
      <w:lang w:val="en-GB"/>
    </w:rPr>
  </w:style>
  <w:style w:type="paragraph" w:styleId="BalloonText">
    <w:name w:val="Balloon Text"/>
    <w:basedOn w:val="Normal"/>
    <w:link w:val="BalloonTextChar"/>
    <w:uiPriority w:val="99"/>
    <w:semiHidden/>
    <w:rsid w:val="001F3BBA"/>
    <w:pPr>
      <w:spacing w:after="240" w:line="240" w:lineRule="auto"/>
      <w:ind w:left="0"/>
    </w:pPr>
    <w:rPr>
      <w:rFonts w:ascii="Tahoma" w:hAnsi="Tahoma" w:cs="Tahoma"/>
      <w:color w:val="auto"/>
      <w:sz w:val="16"/>
      <w:szCs w:val="16"/>
      <w:lang w:val="en-GB"/>
    </w:rPr>
  </w:style>
  <w:style w:type="character" w:customStyle="1" w:styleId="BalloonTextChar">
    <w:name w:val="Balloon Text Char"/>
    <w:basedOn w:val="DefaultParagraphFont"/>
    <w:link w:val="BalloonText"/>
    <w:uiPriority w:val="99"/>
    <w:semiHidden/>
    <w:locked/>
    <w:rsid w:val="001F3BBA"/>
    <w:rPr>
      <w:rFonts w:ascii="Tahoma" w:hAnsi="Tahoma" w:cs="Tahoma"/>
      <w:sz w:val="16"/>
      <w:szCs w:val="16"/>
      <w:lang w:val="en-GB" w:eastAsia="en-US"/>
    </w:rPr>
  </w:style>
  <w:style w:type="paragraph" w:styleId="DocumentMap">
    <w:name w:val="Document Map"/>
    <w:basedOn w:val="Normal"/>
    <w:link w:val="DocumentMapChar"/>
    <w:uiPriority w:val="99"/>
    <w:semiHidden/>
    <w:rsid w:val="00035ED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35EDF"/>
    <w:rPr>
      <w:rFonts w:ascii="Tahoma" w:hAnsi="Tahoma" w:cs="Tahoma"/>
      <w:color w:val="000000"/>
      <w:sz w:val="16"/>
      <w:szCs w:val="16"/>
      <w:lang w:val="en-AU" w:eastAsia="en-US"/>
    </w:rPr>
  </w:style>
  <w:style w:type="paragraph" w:customStyle="1" w:styleId="Parts">
    <w:name w:val="Parts"/>
    <w:basedOn w:val="Heading1"/>
    <w:uiPriority w:val="99"/>
    <w:rsid w:val="004D083C"/>
    <w:pPr>
      <w:ind w:left="1440" w:hanging="1440"/>
    </w:pPr>
  </w:style>
  <w:style w:type="character" w:styleId="Hyperlink">
    <w:name w:val="Hyperlink"/>
    <w:basedOn w:val="DefaultParagraphFont"/>
    <w:uiPriority w:val="99"/>
    <w:rsid w:val="00582AA2"/>
    <w:rPr>
      <w:rFonts w:cs="Times New Roman"/>
      <w:color w:val="0000FF"/>
      <w:u w:val="single"/>
    </w:rPr>
  </w:style>
  <w:style w:type="paragraph" w:customStyle="1" w:styleId="Subsectionlettered">
    <w:name w:val="Subsection lettered"/>
    <w:basedOn w:val="Normal"/>
    <w:uiPriority w:val="99"/>
    <w:rsid w:val="00582AA2"/>
    <w:pPr>
      <w:spacing w:before="120" w:after="120" w:line="240" w:lineRule="auto"/>
      <w:ind w:left="0"/>
      <w:outlineLvl w:val="2"/>
    </w:pPr>
    <w:rPr>
      <w:rFonts w:ascii="Arial" w:hAnsi="Arial"/>
      <w:color w:val="auto"/>
      <w:sz w:val="22"/>
    </w:rPr>
  </w:style>
  <w:style w:type="paragraph" w:customStyle="1" w:styleId="StylePartsRight041cm">
    <w:name w:val="Style Parts + Right:  0.41 cm"/>
    <w:basedOn w:val="Parts"/>
    <w:uiPriority w:val="99"/>
    <w:rsid w:val="00CE3F99"/>
    <w:pPr>
      <w:ind w:right="232"/>
    </w:pPr>
    <w:rPr>
      <w:rFonts w:cs="Times New Roman"/>
      <w:caps/>
      <w:szCs w:val="20"/>
    </w:rPr>
  </w:style>
  <w:style w:type="character" w:styleId="FollowedHyperlink">
    <w:name w:val="FollowedHyperlink"/>
    <w:basedOn w:val="DefaultParagraphFont"/>
    <w:uiPriority w:val="99"/>
    <w:rsid w:val="008F63A5"/>
    <w:rPr>
      <w:rFonts w:cs="Times New Roman"/>
      <w:color w:val="800080"/>
      <w:u w:val="single"/>
    </w:rPr>
  </w:style>
  <w:style w:type="paragraph" w:styleId="CommentSubject">
    <w:name w:val="annotation subject"/>
    <w:basedOn w:val="CommentText"/>
    <w:next w:val="CommentText"/>
    <w:link w:val="CommentSubjectChar"/>
    <w:uiPriority w:val="99"/>
    <w:semiHidden/>
    <w:rsid w:val="00A1457E"/>
    <w:pPr>
      <w:spacing w:before="0" w:after="200" w:line="240" w:lineRule="atLeast"/>
      <w:ind w:left="720"/>
    </w:pPr>
    <w:rPr>
      <w:rFonts w:ascii="Verdana" w:hAnsi="Verdana" w:cs="Times New Roman"/>
      <w:b/>
      <w:bCs/>
      <w:color w:val="000000"/>
      <w:lang w:val="en-AU"/>
    </w:rPr>
  </w:style>
  <w:style w:type="character" w:customStyle="1" w:styleId="CommentSubjectChar">
    <w:name w:val="Comment Subject Char"/>
    <w:basedOn w:val="CommentTextChar"/>
    <w:link w:val="CommentSubject"/>
    <w:uiPriority w:val="99"/>
    <w:semiHidden/>
    <w:locked/>
    <w:rsid w:val="00A1457E"/>
    <w:rPr>
      <w:rFonts w:ascii="Verdana" w:hAnsi="Verdana" w:cs="Arial"/>
      <w:b/>
      <w:bCs/>
      <w:color w:val="000000"/>
      <w:sz w:val="20"/>
      <w:szCs w:val="20"/>
      <w:lang w:val="en-GB" w:eastAsia="en-US"/>
    </w:rPr>
  </w:style>
  <w:style w:type="table" w:styleId="TableGrid">
    <w:name w:val="Table Grid"/>
    <w:basedOn w:val="TableNormal"/>
    <w:uiPriority w:val="99"/>
    <w:rsid w:val="00F61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1457"/>
    <w:rPr>
      <w:rFonts w:ascii="Verdana" w:hAnsi="Verdana"/>
      <w:color w:val="000000"/>
      <w:sz w:val="20"/>
      <w:szCs w:val="20"/>
      <w:lang w:eastAsia="en-US"/>
    </w:rPr>
  </w:style>
  <w:style w:type="paragraph" w:customStyle="1" w:styleId="Heading1b">
    <w:name w:val="Heading 1b"/>
    <w:basedOn w:val="Heading1"/>
    <w:uiPriority w:val="99"/>
    <w:rsid w:val="00F61457"/>
    <w:pPr>
      <w:ind w:left="709" w:hanging="709"/>
    </w:pPr>
    <w:rPr>
      <w:rFonts w:cs="Times New Roman"/>
      <w:bCs w:val="0"/>
      <w:sz w:val="32"/>
      <w:szCs w:val="20"/>
    </w:rPr>
  </w:style>
  <w:style w:type="paragraph" w:customStyle="1" w:styleId="Heading2b">
    <w:name w:val="Heading 2b"/>
    <w:basedOn w:val="Heading2"/>
    <w:uiPriority w:val="99"/>
    <w:rsid w:val="00F61457"/>
    <w:rPr>
      <w:rFonts w:cs="Times New Roman"/>
      <w:bCs w:val="0"/>
      <w:iCs w:val="0"/>
      <w:sz w:val="28"/>
      <w:szCs w:val="20"/>
    </w:rPr>
  </w:style>
  <w:style w:type="paragraph" w:styleId="NormalWeb">
    <w:name w:val="Normal (Web)"/>
    <w:basedOn w:val="Normal"/>
    <w:uiPriority w:val="99"/>
    <w:rsid w:val="00F61457"/>
    <w:pPr>
      <w:spacing w:before="100" w:beforeAutospacing="1" w:after="100" w:afterAutospacing="1" w:line="240" w:lineRule="auto"/>
      <w:ind w:left="0"/>
    </w:pPr>
    <w:rPr>
      <w:color w:val="auto"/>
      <w:lang w:eastAsia="en-AU"/>
    </w:rPr>
  </w:style>
  <w:style w:type="paragraph" w:customStyle="1" w:styleId="BodyText1">
    <w:name w:val="Body Text 1"/>
    <w:basedOn w:val="Normal"/>
    <w:uiPriority w:val="99"/>
    <w:rsid w:val="00F61457"/>
    <w:pPr>
      <w:spacing w:before="240" w:after="0" w:line="240" w:lineRule="auto"/>
      <w:ind w:left="709"/>
      <w:jc w:val="both"/>
    </w:pPr>
    <w:rPr>
      <w:rFonts w:ascii="Arial" w:hAnsi="Arial"/>
      <w:color w:val="auto"/>
      <w:sz w:val="22"/>
      <w:lang w:eastAsia="en-AU"/>
    </w:rPr>
  </w:style>
  <w:style w:type="paragraph" w:customStyle="1" w:styleId="Default">
    <w:name w:val="Default"/>
    <w:uiPriority w:val="99"/>
    <w:rsid w:val="003154BE"/>
    <w:pPr>
      <w:autoSpaceDE w:val="0"/>
      <w:autoSpaceDN w:val="0"/>
      <w:adjustRightInd w:val="0"/>
    </w:pPr>
    <w:rPr>
      <w:rFonts w:ascii="Arial" w:hAnsi="Arial" w:cs="Arial"/>
      <w:color w:val="000000"/>
      <w:sz w:val="24"/>
      <w:szCs w:val="24"/>
    </w:rPr>
  </w:style>
  <w:style w:type="paragraph" w:styleId="NoSpacing">
    <w:name w:val="No Spacing"/>
    <w:uiPriority w:val="1"/>
    <w:qFormat/>
    <w:rsid w:val="002A2B8E"/>
    <w:pPr>
      <w:ind w:left="720"/>
    </w:pPr>
    <w:rPr>
      <w:rFonts w:ascii="Verdana" w:hAnsi="Verdana"/>
      <w:color w:val="000000"/>
      <w:sz w:val="20"/>
      <w:szCs w:val="20"/>
      <w:lang w:eastAsia="en-US"/>
    </w:rPr>
  </w:style>
  <w:style w:type="paragraph" w:styleId="TOC3">
    <w:name w:val="toc 3"/>
    <w:basedOn w:val="Normal"/>
    <w:next w:val="Normal"/>
    <w:autoRedefine/>
    <w:uiPriority w:val="39"/>
    <w:locked/>
    <w:rsid w:val="00F24ECB"/>
    <w:pPr>
      <w:spacing w:after="100"/>
      <w:ind w:left="400"/>
    </w:pPr>
  </w:style>
  <w:style w:type="paragraph" w:styleId="ListParagraph">
    <w:name w:val="List Paragraph"/>
    <w:basedOn w:val="Normal"/>
    <w:uiPriority w:val="1"/>
    <w:qFormat/>
    <w:rsid w:val="004269EA"/>
    <w:pPr>
      <w:autoSpaceDE w:val="0"/>
      <w:autoSpaceDN w:val="0"/>
      <w:adjustRightInd w:val="0"/>
      <w:spacing w:after="0" w:line="240" w:lineRule="auto"/>
      <w:ind w:left="0"/>
    </w:pPr>
    <w:rPr>
      <w:rFonts w:ascii="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32853">
      <w:marLeft w:val="0"/>
      <w:marRight w:val="0"/>
      <w:marTop w:val="0"/>
      <w:marBottom w:val="0"/>
      <w:divBdr>
        <w:top w:val="none" w:sz="0" w:space="0" w:color="auto"/>
        <w:left w:val="none" w:sz="0" w:space="0" w:color="auto"/>
        <w:bottom w:val="none" w:sz="0" w:space="0" w:color="auto"/>
        <w:right w:val="none" w:sz="0" w:space="0" w:color="auto"/>
      </w:divBdr>
    </w:div>
    <w:div w:id="1804232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legislation.act.gov.au/a/2000-65/default.asp"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9849-9397-46E1-A741-5DF244B8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3241</Words>
  <Characters>17166</Characters>
  <Application>Microsoft Office Word</Application>
  <DocSecurity>0</DocSecurity>
  <Lines>450</Lines>
  <Paragraphs>202</Paragraphs>
  <ScaleCrop>false</ScaleCrop>
  <HeadingPairs>
    <vt:vector size="2" baseType="variant">
      <vt:variant>
        <vt:lpstr>Title</vt:lpstr>
      </vt:variant>
      <vt:variant>
        <vt:i4>1</vt:i4>
      </vt:variant>
    </vt:vector>
  </HeadingPairs>
  <TitlesOfParts>
    <vt:vector size="1" baseType="lpstr">
      <vt:lpstr>Consumer Protection Code</vt:lpstr>
    </vt:vector>
  </TitlesOfParts>
  <Company>dpplus</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Code</dc:title>
  <dc:subject/>
  <dc:creator>ACT Government</dc:creator>
  <cp:keywords/>
  <dc:description/>
  <cp:lastModifiedBy>Moxon, KarenL</cp:lastModifiedBy>
  <cp:revision>4</cp:revision>
  <cp:lastPrinted>2020-01-16T04:59:00Z</cp:lastPrinted>
  <dcterms:created xsi:type="dcterms:W3CDTF">2020-05-01T06:48:00Z</dcterms:created>
  <dcterms:modified xsi:type="dcterms:W3CDTF">2020-05-01T06:48:00Z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221117879_1</vt:lpwstr>
  </property>
  <property fmtid="{D5CDD505-2E9C-101B-9397-08002B2CF9AE}" pid="3" name="ashurstDocRef">
    <vt:lpwstr>AUSTRALIA\KEKM\221113169.01</vt:lpwstr>
  </property>
  <property fmtid="{D5CDD505-2E9C-101B-9397-08002B2CF9AE}" pid="4" name="DMSAuthorID">
    <vt:lpwstr>KEKM</vt:lpwstr>
  </property>
  <property fmtid="{D5CDD505-2E9C-101B-9397-08002B2CF9AE}" pid="5" name="DMSCountry">
    <vt:lpwstr>AUSTRALIA</vt:lpwstr>
  </property>
  <property fmtid="{D5CDD505-2E9C-101B-9397-08002B2CF9AE}" pid="6" name="Objective-Id">
    <vt:lpwstr>A25491706</vt:lpwstr>
  </property>
  <property fmtid="{D5CDD505-2E9C-101B-9397-08002B2CF9AE}" pid="7" name="Objective-Title">
    <vt:lpwstr>DI2020-XXX Utilities (Electricity Feed-in Code) Determination 2020</vt:lpwstr>
  </property>
  <property fmtid="{D5CDD505-2E9C-101B-9397-08002B2CF9AE}" pid="8" name="Objective-Comment">
    <vt:lpwstr/>
  </property>
  <property fmtid="{D5CDD505-2E9C-101B-9397-08002B2CF9AE}" pid="9" name="Objective-CreationStamp">
    <vt:filetime>2020-04-30T00:30:06Z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2020-04-30T00:36:05Z</vt:filetime>
  </property>
  <property fmtid="{D5CDD505-2E9C-101B-9397-08002B2CF9AE}" pid="13" name="Objective-ModificationStamp">
    <vt:filetime>2020-04-30T00:36:05Z</vt:filetime>
  </property>
  <property fmtid="{D5CDD505-2E9C-101B-9397-08002B2CF9AE}" pid="14" name="Objective-Owner">
    <vt:lpwstr>Cath Collins</vt:lpwstr>
  </property>
  <property fmtid="{D5CDD505-2E9C-101B-9397-08002B2CF9AE}" pid="15" name="Objective-Path">
    <vt:lpwstr>Whole of ACT Government:ICRC - Independent Competition and Regulatory Commission:05. UTILITIES &amp; INFRASTRUCTURE REGULATION:Industry Codes:Electricity Feed-in Code:2020 Amendment:3. legislative instruments:</vt:lpwstr>
  </property>
  <property fmtid="{D5CDD505-2E9C-101B-9397-08002B2CF9AE}" pid="16" name="Objective-Parent">
    <vt:lpwstr>3. legislative instruments</vt:lpwstr>
  </property>
  <property fmtid="{D5CDD505-2E9C-101B-9397-08002B2CF9AE}" pid="17" name="Objective-State">
    <vt:lpwstr>Published</vt:lpwstr>
  </property>
  <property fmtid="{D5CDD505-2E9C-101B-9397-08002B2CF9AE}" pid="18" name="Objective-Version">
    <vt:lpwstr>2.0</vt:lpwstr>
  </property>
  <property fmtid="{D5CDD505-2E9C-101B-9397-08002B2CF9AE}" pid="19" name="Objective-VersionNumber">
    <vt:r8>3</vt:r8>
  </property>
  <property fmtid="{D5CDD505-2E9C-101B-9397-08002B2CF9AE}" pid="20" name="Objective-VersionComment">
    <vt:lpwstr/>
  </property>
  <property fmtid="{D5CDD505-2E9C-101B-9397-08002B2CF9AE}" pid="21" name="Objective-FileNumber">
    <vt:lpwstr>1-2019/26861</vt:lpwstr>
  </property>
  <property fmtid="{D5CDD505-2E9C-101B-9397-08002B2CF9AE}" pid="22" name="Objective-Classification">
    <vt:lpwstr>[Inherited - In Confidence (green file cover)]</vt:lpwstr>
  </property>
  <property fmtid="{D5CDD505-2E9C-101B-9397-08002B2CF9AE}" pid="23" name="Objective-Caveats">
    <vt:lpwstr/>
  </property>
  <property fmtid="{D5CDD505-2E9C-101B-9397-08002B2CF9AE}" pid="24" name="Objective-Owner Agency [system]">
    <vt:lpwstr>ICRC</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Places [system]">
    <vt:lpwstr/>
  </property>
  <property fmtid="{D5CDD505-2E9C-101B-9397-08002B2CF9AE}" pid="30" name="Objective-Transaction Reference [system]">
    <vt:lpwstr/>
  </property>
  <property fmtid="{D5CDD505-2E9C-101B-9397-08002B2CF9AE}" pid="31" name="Objective-Document Created By [system]">
    <vt:lpwstr>Cath Collins</vt:lpwstr>
  </property>
  <property fmtid="{D5CDD505-2E9C-101B-9397-08002B2CF9AE}" pid="32" name="Objective-Document Created On [system]">
    <vt:lpwstr/>
  </property>
  <property fmtid="{D5CDD505-2E9C-101B-9397-08002B2CF9AE}" pid="33" name="Objective-Covers Period From [system]">
    <vt:lpwstr/>
  </property>
  <property fmtid="{D5CDD505-2E9C-101B-9397-08002B2CF9AE}" pid="34" name="Objective-Covers Period To [system]">
    <vt:lpwstr/>
  </property>
</Properties>
</file>