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25936" w14:textId="77777777" w:rsidR="004C1A3A" w:rsidRDefault="004C1A3A" w:rsidP="004C1A3A">
      <w:pPr>
        <w:spacing w:before="120"/>
        <w:rPr>
          <w:rFonts w:ascii="Arial" w:hAnsi="Arial" w:cs="Arial"/>
        </w:rPr>
      </w:pPr>
      <w:bookmarkStart w:id="0" w:name="_Toc44738651"/>
      <w:r>
        <w:rPr>
          <w:rFonts w:ascii="Arial" w:hAnsi="Arial" w:cs="Arial"/>
        </w:rPr>
        <w:t>Australian Capital Territory</w:t>
      </w:r>
    </w:p>
    <w:p w14:paraId="4B0529D5" w14:textId="07C3A369" w:rsidR="004C1A3A" w:rsidRDefault="004C1A3A" w:rsidP="004C1A3A">
      <w:pPr>
        <w:spacing w:before="340"/>
        <w:rPr>
          <w:rFonts w:ascii="Arial" w:hAnsi="Arial"/>
          <w:b/>
          <w:sz w:val="40"/>
        </w:rPr>
      </w:pPr>
      <w:r w:rsidRPr="00F37D54">
        <w:rPr>
          <w:rFonts w:ascii="Arial" w:hAnsi="Arial"/>
          <w:b/>
          <w:sz w:val="40"/>
        </w:rPr>
        <w:t xml:space="preserve">Civil Law (Wrongs) </w:t>
      </w:r>
      <w:r>
        <w:rPr>
          <w:rFonts w:ascii="Arial" w:hAnsi="Arial"/>
          <w:b/>
          <w:sz w:val="40"/>
        </w:rPr>
        <w:t xml:space="preserve">Australian Institute of Building Surveyors </w:t>
      </w:r>
      <w:r w:rsidR="00352D07">
        <w:rPr>
          <w:rFonts w:ascii="Arial" w:hAnsi="Arial"/>
          <w:b/>
          <w:sz w:val="40"/>
        </w:rPr>
        <w:t xml:space="preserve">Professional Standards </w:t>
      </w:r>
      <w:r>
        <w:rPr>
          <w:rFonts w:ascii="Arial" w:hAnsi="Arial"/>
          <w:b/>
          <w:sz w:val="40"/>
        </w:rPr>
        <w:t xml:space="preserve">Scheme </w:t>
      </w:r>
      <w:r w:rsidRPr="00F37D54">
        <w:rPr>
          <w:rFonts w:ascii="Arial" w:hAnsi="Arial"/>
          <w:b/>
          <w:sz w:val="40"/>
        </w:rPr>
        <w:t>202</w:t>
      </w:r>
      <w:r>
        <w:rPr>
          <w:rFonts w:ascii="Arial" w:hAnsi="Arial"/>
          <w:b/>
          <w:sz w:val="40"/>
        </w:rPr>
        <w:t>1 (No 1)</w:t>
      </w:r>
    </w:p>
    <w:p w14:paraId="2022B995" w14:textId="4BB9D641" w:rsidR="004C1A3A" w:rsidRDefault="004C1A3A" w:rsidP="004C1A3A">
      <w:pPr>
        <w:spacing w:before="340"/>
        <w:rPr>
          <w:rFonts w:ascii="Arial" w:hAnsi="Arial" w:cs="Arial"/>
          <w:b/>
          <w:bCs/>
        </w:rPr>
      </w:pPr>
      <w:r>
        <w:rPr>
          <w:rFonts w:ascii="Arial" w:hAnsi="Arial" w:cs="Arial"/>
          <w:b/>
          <w:bCs/>
        </w:rPr>
        <w:t>Disallowable instrument DI2021-</w:t>
      </w:r>
      <w:r w:rsidR="004E2CC0">
        <w:rPr>
          <w:rFonts w:ascii="Arial" w:hAnsi="Arial" w:cs="Arial"/>
          <w:b/>
          <w:bCs/>
        </w:rPr>
        <w:t>137</w:t>
      </w:r>
    </w:p>
    <w:p w14:paraId="6F363D80" w14:textId="77777777" w:rsidR="004C1A3A" w:rsidRDefault="004C1A3A" w:rsidP="004C1A3A">
      <w:pPr>
        <w:pStyle w:val="madeunder"/>
        <w:spacing w:before="300" w:after="0"/>
      </w:pPr>
      <w:r>
        <w:t xml:space="preserve">made under the  </w:t>
      </w:r>
    </w:p>
    <w:p w14:paraId="0EE2566F" w14:textId="77777777" w:rsidR="004C1A3A" w:rsidRDefault="004C1A3A" w:rsidP="004C1A3A">
      <w:pPr>
        <w:pStyle w:val="CoverActName"/>
        <w:spacing w:before="320" w:after="0"/>
        <w:rPr>
          <w:rFonts w:cs="Arial"/>
          <w:sz w:val="20"/>
        </w:rPr>
      </w:pPr>
      <w:r>
        <w:rPr>
          <w:rFonts w:cs="Arial"/>
          <w:sz w:val="20"/>
        </w:rPr>
        <w:t xml:space="preserve">Civil Law (Wrongs) Act 2002, schedule 4, section 4.10 (Schemes are subject to disallowance) </w:t>
      </w:r>
    </w:p>
    <w:p w14:paraId="1C1A886A" w14:textId="77777777" w:rsidR="004C1A3A" w:rsidRDefault="004C1A3A" w:rsidP="004C1A3A">
      <w:pPr>
        <w:pStyle w:val="N-line3"/>
        <w:pBdr>
          <w:bottom w:val="none" w:sz="0" w:space="0" w:color="auto"/>
        </w:pBdr>
        <w:spacing w:before="60"/>
      </w:pPr>
    </w:p>
    <w:p w14:paraId="40F004CD" w14:textId="77777777" w:rsidR="004C1A3A" w:rsidRDefault="004C1A3A" w:rsidP="004C1A3A">
      <w:pPr>
        <w:pStyle w:val="N-line3"/>
        <w:pBdr>
          <w:top w:val="single" w:sz="12" w:space="1" w:color="auto"/>
          <w:bottom w:val="none" w:sz="0" w:space="0" w:color="auto"/>
        </w:pBdr>
      </w:pPr>
    </w:p>
    <w:p w14:paraId="52F51273" w14:textId="77777777" w:rsidR="004C1A3A" w:rsidRDefault="004C1A3A" w:rsidP="004C1A3A">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ED1A7C9" w14:textId="3A8B2DA4" w:rsidR="004C1A3A" w:rsidRPr="00F01F52" w:rsidRDefault="004C1A3A" w:rsidP="004C1A3A">
      <w:pPr>
        <w:spacing w:before="140"/>
        <w:ind w:left="720"/>
        <w:rPr>
          <w:i/>
        </w:rPr>
      </w:pPr>
      <w:r>
        <w:t xml:space="preserve">This instrument is the </w:t>
      </w:r>
      <w:r w:rsidRPr="00982AD6">
        <w:rPr>
          <w:i/>
        </w:rPr>
        <w:t xml:space="preserve">Civil Law (Wrongs) </w:t>
      </w:r>
      <w:r>
        <w:rPr>
          <w:i/>
        </w:rPr>
        <w:t>Australian Institute of Building Surveyors</w:t>
      </w:r>
      <w:r w:rsidRPr="00982AD6">
        <w:rPr>
          <w:i/>
        </w:rPr>
        <w:t xml:space="preserve"> </w:t>
      </w:r>
      <w:r w:rsidR="00352D07">
        <w:rPr>
          <w:i/>
        </w:rPr>
        <w:t xml:space="preserve">Professional Standards </w:t>
      </w:r>
      <w:r>
        <w:rPr>
          <w:i/>
        </w:rPr>
        <w:t xml:space="preserve">Scheme </w:t>
      </w:r>
      <w:r w:rsidRPr="00982AD6">
        <w:rPr>
          <w:i/>
        </w:rPr>
        <w:t>202</w:t>
      </w:r>
      <w:r>
        <w:rPr>
          <w:i/>
        </w:rPr>
        <w:t>1 (No 1).</w:t>
      </w:r>
    </w:p>
    <w:p w14:paraId="6C1E93F9" w14:textId="77777777" w:rsidR="004C1A3A" w:rsidRDefault="004C1A3A" w:rsidP="004C1A3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C1F9C02" w14:textId="12E6AF3A" w:rsidR="004C1A3A" w:rsidRDefault="004C1A3A" w:rsidP="004C1A3A">
      <w:pPr>
        <w:spacing w:before="140"/>
        <w:ind w:left="720"/>
      </w:pPr>
      <w:r>
        <w:t>This instrument commences on 1 July 2021.</w:t>
      </w:r>
    </w:p>
    <w:p w14:paraId="13B0EFF1" w14:textId="77777777" w:rsidR="004C1A3A" w:rsidRDefault="004C1A3A" w:rsidP="004C1A3A">
      <w:pPr>
        <w:spacing w:before="300"/>
        <w:ind w:left="720" w:hanging="720"/>
        <w:rPr>
          <w:rFonts w:ascii="Arial" w:hAnsi="Arial" w:cs="Arial"/>
          <w:b/>
          <w:bCs/>
        </w:rPr>
      </w:pPr>
      <w:r>
        <w:rPr>
          <w:rFonts w:ascii="Arial" w:hAnsi="Arial" w:cs="Arial"/>
          <w:b/>
          <w:bCs/>
        </w:rPr>
        <w:t>3</w:t>
      </w:r>
      <w:r>
        <w:rPr>
          <w:rFonts w:ascii="Arial" w:hAnsi="Arial" w:cs="Arial"/>
          <w:b/>
          <w:bCs/>
        </w:rPr>
        <w:tab/>
        <w:t>Notice</w:t>
      </w:r>
    </w:p>
    <w:p w14:paraId="05F1A3BB" w14:textId="2A199737" w:rsidR="004C1A3A" w:rsidRPr="00C41A29" w:rsidRDefault="004C1A3A" w:rsidP="004C1A3A">
      <w:pPr>
        <w:spacing w:before="300"/>
        <w:ind w:left="720"/>
        <w:rPr>
          <w:rFonts w:ascii="Arial" w:hAnsi="Arial" w:cs="Arial"/>
          <w:b/>
          <w:bCs/>
        </w:rPr>
      </w:pPr>
      <w:r w:rsidRPr="00C41A29">
        <w:t xml:space="preserve">I give notice of the Professional Standards Council of </w:t>
      </w:r>
      <w:r>
        <w:t>New South Wales’</w:t>
      </w:r>
      <w:r w:rsidRPr="00C41A29">
        <w:t xml:space="preserve"> approval of the attached Australian Institute </w:t>
      </w:r>
      <w:r>
        <w:t>of Building Surveyors</w:t>
      </w:r>
      <w:r w:rsidRPr="00C41A29">
        <w:t xml:space="preserve"> </w:t>
      </w:r>
      <w:r w:rsidR="00352D07">
        <w:t>Professional Standards</w:t>
      </w:r>
      <w:r w:rsidRPr="00C41A29">
        <w:t xml:space="preserve"> Scheme, which has effect until 31 </w:t>
      </w:r>
      <w:r>
        <w:t>June</w:t>
      </w:r>
      <w:r w:rsidRPr="00C41A29">
        <w:t xml:space="preserve"> 202</w:t>
      </w:r>
      <w:r>
        <w:t>6</w:t>
      </w:r>
      <w:r w:rsidRPr="00C41A29">
        <w:t>.</w:t>
      </w:r>
    </w:p>
    <w:p w14:paraId="2222F2BC" w14:textId="77777777" w:rsidR="004C1A3A" w:rsidRDefault="004C1A3A" w:rsidP="004C1A3A">
      <w:pPr>
        <w:tabs>
          <w:tab w:val="left" w:pos="4320"/>
        </w:tabs>
        <w:spacing w:before="720"/>
      </w:pPr>
      <w:r>
        <w:t>Shane Rattenbury MLA</w:t>
      </w:r>
      <w:r>
        <w:br/>
        <w:t xml:space="preserve">Attorney-General </w:t>
      </w:r>
    </w:p>
    <w:bookmarkEnd w:id="0"/>
    <w:p w14:paraId="31C6D9CF" w14:textId="56A0EA94" w:rsidR="004C1A3A" w:rsidRDefault="00D749C0" w:rsidP="004C1A3A">
      <w:pPr>
        <w:tabs>
          <w:tab w:val="left" w:pos="4320"/>
        </w:tabs>
      </w:pPr>
      <w:r>
        <w:t>24</w:t>
      </w:r>
      <w:r w:rsidR="00FF2232">
        <w:t xml:space="preserve"> June </w:t>
      </w:r>
      <w:r w:rsidR="004C1A3A">
        <w:t>2021</w:t>
      </w:r>
    </w:p>
    <w:p w14:paraId="349EA6ED" w14:textId="77777777" w:rsidR="004C1A3A" w:rsidRDefault="004C1A3A" w:rsidP="004C1A3A">
      <w:pPr>
        <w:spacing w:after="160" w:line="259" w:lineRule="auto"/>
      </w:pPr>
      <w:r>
        <w:br w:type="page"/>
      </w:r>
    </w:p>
    <w:p w14:paraId="5B02A2CC" w14:textId="77777777" w:rsidR="004C1A3A" w:rsidRPr="004C1A3A" w:rsidRDefault="004C1A3A" w:rsidP="004C1A3A">
      <w:pPr>
        <w:spacing w:before="80"/>
        <w:ind w:left="120"/>
        <w:rPr>
          <w:b/>
          <w:sz w:val="28"/>
        </w:rPr>
      </w:pPr>
      <w:r w:rsidRPr="004C1A3A">
        <w:rPr>
          <w:b/>
          <w:sz w:val="28"/>
        </w:rPr>
        <w:lastRenderedPageBreak/>
        <w:t>Professional Standards Act 1994 (NSW)</w:t>
      </w:r>
    </w:p>
    <w:p w14:paraId="0F2C5A98" w14:textId="77777777" w:rsidR="004C1A3A" w:rsidRPr="004C1A3A" w:rsidRDefault="004C1A3A" w:rsidP="004C1A3A">
      <w:pPr>
        <w:pStyle w:val="Heading1"/>
        <w:spacing w:before="186" w:line="412" w:lineRule="auto"/>
        <w:ind w:left="120" w:right="914" w:firstLine="0"/>
        <w:rPr>
          <w:rFonts w:ascii="Times New Roman" w:hAnsi="Times New Roman" w:cs="Times New Roman"/>
          <w:sz w:val="24"/>
          <w:szCs w:val="24"/>
        </w:rPr>
      </w:pPr>
      <w:r w:rsidRPr="004C1A3A">
        <w:rPr>
          <w:rFonts w:ascii="Times New Roman" w:hAnsi="Times New Roman" w:cs="Times New Roman"/>
          <w:sz w:val="24"/>
          <w:szCs w:val="24"/>
        </w:rPr>
        <w:t>The Australian Institute of Building Surveyors Professional Standards Scheme PREAMBLE</w:t>
      </w:r>
    </w:p>
    <w:p w14:paraId="339C395C" w14:textId="77777777" w:rsidR="004C1A3A" w:rsidRPr="004C1A3A" w:rsidRDefault="004C1A3A" w:rsidP="004C1A3A">
      <w:pPr>
        <w:pStyle w:val="ListParagraph"/>
        <w:numPr>
          <w:ilvl w:val="0"/>
          <w:numId w:val="3"/>
        </w:numPr>
        <w:tabs>
          <w:tab w:val="left" w:pos="363"/>
        </w:tabs>
        <w:spacing w:before="0" w:line="226" w:lineRule="exact"/>
        <w:ind w:hanging="242"/>
        <w:rPr>
          <w:rFonts w:ascii="Times New Roman" w:hAnsi="Times New Roman" w:cs="Times New Roman"/>
          <w:szCs w:val="24"/>
        </w:rPr>
      </w:pPr>
      <w:r w:rsidRPr="004C1A3A">
        <w:rPr>
          <w:rFonts w:ascii="Times New Roman" w:hAnsi="Times New Roman" w:cs="Times New Roman"/>
          <w:szCs w:val="24"/>
        </w:rPr>
        <w:t>The Australian Institute of Building Surveyors Limited (AIBS) is an occupational</w:t>
      </w:r>
      <w:r w:rsidRPr="004C1A3A">
        <w:rPr>
          <w:rFonts w:ascii="Times New Roman" w:hAnsi="Times New Roman" w:cs="Times New Roman"/>
          <w:spacing w:val="-19"/>
          <w:szCs w:val="24"/>
        </w:rPr>
        <w:t xml:space="preserve"> </w:t>
      </w:r>
      <w:r w:rsidRPr="004C1A3A">
        <w:rPr>
          <w:rFonts w:ascii="Times New Roman" w:hAnsi="Times New Roman" w:cs="Times New Roman"/>
          <w:szCs w:val="24"/>
        </w:rPr>
        <w:t>association.</w:t>
      </w:r>
    </w:p>
    <w:p w14:paraId="0B51447C" w14:textId="77777777" w:rsidR="004C1A3A" w:rsidRPr="004C1A3A" w:rsidRDefault="004C1A3A" w:rsidP="004C1A3A">
      <w:pPr>
        <w:pStyle w:val="ListParagraph"/>
        <w:numPr>
          <w:ilvl w:val="0"/>
          <w:numId w:val="3"/>
        </w:numPr>
        <w:tabs>
          <w:tab w:val="left" w:pos="363"/>
        </w:tabs>
        <w:spacing w:line="259" w:lineRule="auto"/>
        <w:ind w:left="120" w:right="530" w:firstLine="0"/>
        <w:rPr>
          <w:rFonts w:ascii="Times New Roman" w:hAnsi="Times New Roman" w:cs="Times New Roman"/>
          <w:szCs w:val="24"/>
        </w:rPr>
      </w:pPr>
      <w:r w:rsidRPr="004C1A3A">
        <w:rPr>
          <w:rFonts w:ascii="Times New Roman" w:hAnsi="Times New Roman" w:cs="Times New Roman"/>
          <w:szCs w:val="24"/>
        </w:rPr>
        <w:t>The AIBS has made an application to the Professional Standards Council, appointed under the Professional Standards Act 1994 (NSW) (the Act), for approval of a scheme under the Act. This document constitutes the scheme (the</w:t>
      </w:r>
      <w:r w:rsidRPr="004C1A3A">
        <w:rPr>
          <w:rFonts w:ascii="Times New Roman" w:hAnsi="Times New Roman" w:cs="Times New Roman"/>
          <w:spacing w:val="-4"/>
          <w:szCs w:val="24"/>
        </w:rPr>
        <w:t xml:space="preserve"> </w:t>
      </w:r>
      <w:r w:rsidRPr="004C1A3A">
        <w:rPr>
          <w:rFonts w:ascii="Times New Roman" w:hAnsi="Times New Roman" w:cs="Times New Roman"/>
          <w:szCs w:val="24"/>
        </w:rPr>
        <w:t>Scheme)</w:t>
      </w:r>
    </w:p>
    <w:p w14:paraId="47BCF627" w14:textId="77777777" w:rsidR="004C1A3A" w:rsidRPr="004C1A3A" w:rsidRDefault="004C1A3A" w:rsidP="004C1A3A">
      <w:pPr>
        <w:pStyle w:val="ListParagraph"/>
        <w:numPr>
          <w:ilvl w:val="0"/>
          <w:numId w:val="3"/>
        </w:numPr>
        <w:tabs>
          <w:tab w:val="left" w:pos="375"/>
        </w:tabs>
        <w:spacing w:before="159" w:line="259" w:lineRule="auto"/>
        <w:ind w:left="119" w:right="320" w:firstLine="1"/>
        <w:rPr>
          <w:rFonts w:ascii="Times New Roman" w:hAnsi="Times New Roman" w:cs="Times New Roman"/>
          <w:szCs w:val="24"/>
        </w:rPr>
      </w:pPr>
      <w:r w:rsidRPr="004C1A3A">
        <w:rPr>
          <w:rFonts w:ascii="Times New Roman" w:hAnsi="Times New Roman" w:cs="Times New Roman"/>
          <w:szCs w:val="24"/>
        </w:rPr>
        <w:t>The Scheme is prepared by the AIBS for the purposes of improving the quality of expertise within the profession and limiting Occupational Liability to the extent to which such liability may be limited under the Act.</w:t>
      </w:r>
    </w:p>
    <w:p w14:paraId="373C1D58" w14:textId="77777777" w:rsidR="004C1A3A" w:rsidRPr="004C1A3A" w:rsidRDefault="004C1A3A" w:rsidP="004C1A3A">
      <w:pPr>
        <w:pStyle w:val="ListParagraph"/>
        <w:numPr>
          <w:ilvl w:val="0"/>
          <w:numId w:val="3"/>
        </w:numPr>
        <w:tabs>
          <w:tab w:val="left" w:pos="375"/>
        </w:tabs>
        <w:spacing w:before="160"/>
        <w:ind w:left="374" w:hanging="255"/>
        <w:rPr>
          <w:rFonts w:ascii="Times New Roman" w:hAnsi="Times New Roman" w:cs="Times New Roman"/>
          <w:szCs w:val="24"/>
        </w:rPr>
      </w:pPr>
      <w:r w:rsidRPr="004C1A3A">
        <w:rPr>
          <w:rFonts w:ascii="Times New Roman" w:hAnsi="Times New Roman" w:cs="Times New Roman"/>
          <w:szCs w:val="24"/>
        </w:rPr>
        <w:t>The Scheme is to apply to all Practising Members of the</w:t>
      </w:r>
      <w:r w:rsidRPr="004C1A3A">
        <w:rPr>
          <w:rFonts w:ascii="Times New Roman" w:hAnsi="Times New Roman" w:cs="Times New Roman"/>
          <w:spacing w:val="1"/>
          <w:szCs w:val="24"/>
        </w:rPr>
        <w:t xml:space="preserve"> </w:t>
      </w:r>
      <w:r w:rsidRPr="004C1A3A">
        <w:rPr>
          <w:rFonts w:ascii="Times New Roman" w:hAnsi="Times New Roman" w:cs="Times New Roman"/>
          <w:szCs w:val="24"/>
        </w:rPr>
        <w:t>AIBS.</w:t>
      </w:r>
    </w:p>
    <w:p w14:paraId="183E9762" w14:textId="77777777" w:rsidR="004C1A3A" w:rsidRPr="004C1A3A" w:rsidRDefault="004C1A3A" w:rsidP="004C1A3A">
      <w:pPr>
        <w:pStyle w:val="ListParagraph"/>
        <w:numPr>
          <w:ilvl w:val="0"/>
          <w:numId w:val="3"/>
        </w:numPr>
        <w:tabs>
          <w:tab w:val="left" w:pos="363"/>
        </w:tabs>
        <w:spacing w:line="259" w:lineRule="auto"/>
        <w:ind w:left="119" w:right="366" w:firstLine="0"/>
        <w:rPr>
          <w:rFonts w:ascii="Times New Roman" w:hAnsi="Times New Roman" w:cs="Times New Roman"/>
          <w:szCs w:val="24"/>
        </w:rPr>
      </w:pPr>
      <w:r w:rsidRPr="004C1A3A">
        <w:rPr>
          <w:rFonts w:ascii="Times New Roman" w:hAnsi="Times New Roman" w:cs="Times New Roman"/>
          <w:szCs w:val="24"/>
        </w:rPr>
        <w:t>The AIBS has furnished the Councils with a detailed list of the risk management strategies intended to be implemented in respect of its members and the means by which those strategies are intended to be implemented.</w:t>
      </w:r>
    </w:p>
    <w:p w14:paraId="344238FC" w14:textId="77777777" w:rsidR="004C1A3A" w:rsidRPr="004C1A3A" w:rsidRDefault="004C1A3A" w:rsidP="004C1A3A">
      <w:pPr>
        <w:pStyle w:val="ListParagraph"/>
        <w:numPr>
          <w:ilvl w:val="0"/>
          <w:numId w:val="3"/>
        </w:numPr>
        <w:tabs>
          <w:tab w:val="left" w:pos="353"/>
        </w:tabs>
        <w:spacing w:before="160" w:line="261" w:lineRule="auto"/>
        <w:ind w:left="119" w:right="310" w:firstLine="0"/>
        <w:rPr>
          <w:rFonts w:ascii="Times New Roman" w:hAnsi="Times New Roman" w:cs="Times New Roman"/>
          <w:szCs w:val="24"/>
        </w:rPr>
      </w:pPr>
      <w:r w:rsidRPr="004C1A3A">
        <w:rPr>
          <w:rFonts w:ascii="Times New Roman" w:hAnsi="Times New Roman" w:cs="Times New Roman"/>
          <w:szCs w:val="24"/>
        </w:rPr>
        <w:t>The Scheme is intended to commence on 01 July 2021 and remain in force for five (5) years from its commencement subject to s32 of the</w:t>
      </w:r>
      <w:r w:rsidRPr="004C1A3A">
        <w:rPr>
          <w:rFonts w:ascii="Times New Roman" w:hAnsi="Times New Roman" w:cs="Times New Roman"/>
          <w:spacing w:val="-1"/>
          <w:szCs w:val="24"/>
        </w:rPr>
        <w:t xml:space="preserve"> </w:t>
      </w:r>
      <w:r w:rsidRPr="004C1A3A">
        <w:rPr>
          <w:rFonts w:ascii="Times New Roman" w:hAnsi="Times New Roman" w:cs="Times New Roman"/>
          <w:szCs w:val="24"/>
        </w:rPr>
        <w:t>Act.</w:t>
      </w:r>
    </w:p>
    <w:p w14:paraId="6B90DFBB" w14:textId="77777777" w:rsidR="004C1A3A" w:rsidRPr="004C1A3A" w:rsidRDefault="004C1A3A" w:rsidP="004C1A3A">
      <w:pPr>
        <w:pStyle w:val="ListParagraph"/>
        <w:numPr>
          <w:ilvl w:val="0"/>
          <w:numId w:val="3"/>
        </w:numPr>
        <w:tabs>
          <w:tab w:val="left" w:pos="387"/>
        </w:tabs>
        <w:spacing w:before="156" w:line="259" w:lineRule="auto"/>
        <w:ind w:left="119" w:right="165" w:firstLine="0"/>
        <w:rPr>
          <w:rFonts w:ascii="Times New Roman" w:hAnsi="Times New Roman" w:cs="Times New Roman"/>
          <w:szCs w:val="24"/>
        </w:rPr>
      </w:pPr>
      <w:r w:rsidRPr="004C1A3A">
        <w:rPr>
          <w:rFonts w:ascii="Times New Roman" w:hAnsi="Times New Roman" w:cs="Times New Roman"/>
          <w:szCs w:val="24"/>
        </w:rPr>
        <w:t>The Scheme is intended to apply in New South Wales, Victoria, South Australia, Western Australia, Queensland, Tasmania, Australian Capital Territory, and The Northern Territory and to be prescribed for the purposes of applicable Commonwealth legislation to limit liability for misleading and deceptive conduct in accordance with that</w:t>
      </w:r>
      <w:r w:rsidRPr="004C1A3A">
        <w:rPr>
          <w:rFonts w:ascii="Times New Roman" w:hAnsi="Times New Roman" w:cs="Times New Roman"/>
          <w:spacing w:val="-6"/>
          <w:szCs w:val="24"/>
        </w:rPr>
        <w:t xml:space="preserve"> </w:t>
      </w:r>
      <w:r w:rsidRPr="004C1A3A">
        <w:rPr>
          <w:rFonts w:ascii="Times New Roman" w:hAnsi="Times New Roman" w:cs="Times New Roman"/>
          <w:szCs w:val="24"/>
        </w:rPr>
        <w:t>legislation..</w:t>
      </w:r>
    </w:p>
    <w:p w14:paraId="2FE3EE03" w14:textId="77777777" w:rsidR="004C1A3A" w:rsidRPr="004C1A3A" w:rsidRDefault="004C1A3A" w:rsidP="004C1A3A">
      <w:pPr>
        <w:pStyle w:val="Heading1"/>
        <w:spacing w:before="161" w:line="256" w:lineRule="auto"/>
        <w:ind w:left="120" w:right="1270" w:firstLine="0"/>
        <w:rPr>
          <w:rFonts w:ascii="Times New Roman" w:hAnsi="Times New Roman" w:cs="Times New Roman"/>
          <w:sz w:val="24"/>
          <w:szCs w:val="24"/>
        </w:rPr>
      </w:pPr>
      <w:r w:rsidRPr="004C1A3A">
        <w:rPr>
          <w:rFonts w:ascii="Times New Roman" w:hAnsi="Times New Roman" w:cs="Times New Roman"/>
          <w:sz w:val="24"/>
          <w:szCs w:val="24"/>
        </w:rPr>
        <w:t>THE AUSTRALIAN INSTITUTE OF BUILDING SURVEYORS PROFESSIONAL STANDARDS SCHEME</w:t>
      </w:r>
    </w:p>
    <w:p w14:paraId="562EC447" w14:textId="77777777" w:rsidR="004C1A3A" w:rsidRPr="004C1A3A" w:rsidRDefault="004C1A3A" w:rsidP="004C1A3A">
      <w:pPr>
        <w:pStyle w:val="ListParagraph"/>
        <w:numPr>
          <w:ilvl w:val="0"/>
          <w:numId w:val="2"/>
        </w:numPr>
        <w:tabs>
          <w:tab w:val="left" w:pos="365"/>
        </w:tabs>
        <w:spacing w:before="162"/>
        <w:ind w:hanging="244"/>
        <w:rPr>
          <w:rFonts w:ascii="Times New Roman" w:hAnsi="Times New Roman" w:cs="Times New Roman"/>
          <w:b/>
          <w:sz w:val="24"/>
          <w:szCs w:val="24"/>
        </w:rPr>
      </w:pPr>
      <w:r w:rsidRPr="004C1A3A">
        <w:rPr>
          <w:rFonts w:ascii="Times New Roman" w:hAnsi="Times New Roman" w:cs="Times New Roman"/>
          <w:b/>
          <w:sz w:val="24"/>
          <w:szCs w:val="24"/>
        </w:rPr>
        <w:t>Occupational</w:t>
      </w:r>
      <w:r w:rsidRPr="004C1A3A">
        <w:rPr>
          <w:rFonts w:ascii="Times New Roman" w:hAnsi="Times New Roman" w:cs="Times New Roman"/>
          <w:b/>
          <w:spacing w:val="-2"/>
          <w:sz w:val="24"/>
          <w:szCs w:val="24"/>
        </w:rPr>
        <w:t xml:space="preserve"> </w:t>
      </w:r>
      <w:r w:rsidRPr="004C1A3A">
        <w:rPr>
          <w:rFonts w:ascii="Times New Roman" w:hAnsi="Times New Roman" w:cs="Times New Roman"/>
          <w:b/>
          <w:sz w:val="24"/>
          <w:szCs w:val="24"/>
        </w:rPr>
        <w:t>association</w:t>
      </w:r>
    </w:p>
    <w:p w14:paraId="5B2CB3CE" w14:textId="77777777" w:rsidR="004C1A3A" w:rsidRPr="004C1A3A" w:rsidRDefault="004C1A3A" w:rsidP="004C1A3A">
      <w:pPr>
        <w:pStyle w:val="ListParagraph"/>
        <w:numPr>
          <w:ilvl w:val="1"/>
          <w:numId w:val="2"/>
        </w:numPr>
        <w:tabs>
          <w:tab w:val="left" w:pos="452"/>
        </w:tabs>
        <w:spacing w:before="181" w:line="256" w:lineRule="auto"/>
        <w:ind w:right="306" w:firstLine="0"/>
        <w:rPr>
          <w:rFonts w:ascii="Times New Roman" w:hAnsi="Times New Roman" w:cs="Times New Roman"/>
          <w:szCs w:val="24"/>
        </w:rPr>
      </w:pPr>
      <w:r w:rsidRPr="004C1A3A">
        <w:rPr>
          <w:rFonts w:ascii="Times New Roman" w:hAnsi="Times New Roman" w:cs="Times New Roman"/>
          <w:szCs w:val="24"/>
        </w:rPr>
        <w:t>The Scheme is a scheme under the Act prepared by the AIBS whose business address is: Level 5, 828 Pacific Highway, Gordon, NSW,</w:t>
      </w:r>
      <w:r w:rsidRPr="004C1A3A">
        <w:rPr>
          <w:rFonts w:ascii="Times New Roman" w:hAnsi="Times New Roman" w:cs="Times New Roman"/>
          <w:spacing w:val="-6"/>
          <w:szCs w:val="24"/>
        </w:rPr>
        <w:t xml:space="preserve"> </w:t>
      </w:r>
      <w:r w:rsidRPr="004C1A3A">
        <w:rPr>
          <w:rFonts w:ascii="Times New Roman" w:hAnsi="Times New Roman" w:cs="Times New Roman"/>
          <w:szCs w:val="24"/>
        </w:rPr>
        <w:t>2072.</w:t>
      </w:r>
    </w:p>
    <w:p w14:paraId="5CFAC1C6" w14:textId="77777777" w:rsidR="004C1A3A" w:rsidRPr="004C1A3A" w:rsidRDefault="004C1A3A" w:rsidP="004C1A3A">
      <w:pPr>
        <w:pStyle w:val="Heading1"/>
        <w:numPr>
          <w:ilvl w:val="0"/>
          <w:numId w:val="2"/>
        </w:numPr>
        <w:tabs>
          <w:tab w:val="left" w:pos="368"/>
        </w:tabs>
        <w:spacing w:before="164"/>
        <w:ind w:left="367" w:hanging="247"/>
        <w:rPr>
          <w:rFonts w:ascii="Times New Roman" w:hAnsi="Times New Roman" w:cs="Times New Roman"/>
          <w:sz w:val="24"/>
          <w:szCs w:val="24"/>
        </w:rPr>
      </w:pPr>
      <w:r w:rsidRPr="004C1A3A">
        <w:rPr>
          <w:rFonts w:ascii="Times New Roman" w:hAnsi="Times New Roman" w:cs="Times New Roman"/>
          <w:sz w:val="24"/>
          <w:szCs w:val="24"/>
        </w:rPr>
        <w:t>Persons to Whom the Scheme</w:t>
      </w:r>
      <w:r w:rsidRPr="004C1A3A">
        <w:rPr>
          <w:rFonts w:ascii="Times New Roman" w:hAnsi="Times New Roman" w:cs="Times New Roman"/>
          <w:spacing w:val="-8"/>
          <w:sz w:val="24"/>
          <w:szCs w:val="24"/>
        </w:rPr>
        <w:t xml:space="preserve"> </w:t>
      </w:r>
      <w:r w:rsidRPr="004C1A3A">
        <w:rPr>
          <w:rFonts w:ascii="Times New Roman" w:hAnsi="Times New Roman" w:cs="Times New Roman"/>
          <w:sz w:val="24"/>
          <w:szCs w:val="24"/>
        </w:rPr>
        <w:t>Applies</w:t>
      </w:r>
    </w:p>
    <w:p w14:paraId="1AE89DE7" w14:textId="77777777" w:rsidR="004C1A3A" w:rsidRPr="004C1A3A" w:rsidRDefault="004C1A3A" w:rsidP="004C1A3A">
      <w:pPr>
        <w:pStyle w:val="ListParagraph"/>
        <w:numPr>
          <w:ilvl w:val="1"/>
          <w:numId w:val="2"/>
        </w:numPr>
        <w:tabs>
          <w:tab w:val="left" w:pos="452"/>
        </w:tabs>
        <w:ind w:left="451" w:hanging="331"/>
        <w:rPr>
          <w:rFonts w:ascii="Times New Roman" w:hAnsi="Times New Roman" w:cs="Times New Roman"/>
          <w:szCs w:val="24"/>
        </w:rPr>
      </w:pPr>
      <w:r w:rsidRPr="004C1A3A">
        <w:rPr>
          <w:rFonts w:ascii="Times New Roman" w:hAnsi="Times New Roman" w:cs="Times New Roman"/>
          <w:szCs w:val="24"/>
        </w:rPr>
        <w:t>The Scheme applies</w:t>
      </w:r>
      <w:r w:rsidRPr="004C1A3A">
        <w:rPr>
          <w:rFonts w:ascii="Times New Roman" w:hAnsi="Times New Roman" w:cs="Times New Roman"/>
          <w:spacing w:val="-1"/>
          <w:szCs w:val="24"/>
        </w:rPr>
        <w:t xml:space="preserve"> </w:t>
      </w:r>
      <w:r w:rsidRPr="004C1A3A">
        <w:rPr>
          <w:rFonts w:ascii="Times New Roman" w:hAnsi="Times New Roman" w:cs="Times New Roman"/>
          <w:szCs w:val="24"/>
        </w:rPr>
        <w:t>to:</w:t>
      </w:r>
    </w:p>
    <w:p w14:paraId="68FE59A4" w14:textId="77777777" w:rsidR="004C1A3A" w:rsidRPr="004C1A3A" w:rsidRDefault="004C1A3A" w:rsidP="004C1A3A">
      <w:pPr>
        <w:pStyle w:val="ListParagraph"/>
        <w:numPr>
          <w:ilvl w:val="2"/>
          <w:numId w:val="2"/>
        </w:numPr>
        <w:tabs>
          <w:tab w:val="left" w:pos="619"/>
        </w:tabs>
        <w:spacing w:before="181" w:line="256" w:lineRule="auto"/>
        <w:ind w:right="1198" w:firstLine="0"/>
        <w:rPr>
          <w:rFonts w:ascii="Times New Roman" w:hAnsi="Times New Roman" w:cs="Times New Roman"/>
          <w:szCs w:val="24"/>
        </w:rPr>
      </w:pPr>
      <w:r w:rsidRPr="004C1A3A">
        <w:rPr>
          <w:rFonts w:ascii="Times New Roman" w:hAnsi="Times New Roman" w:cs="Times New Roman"/>
          <w:szCs w:val="24"/>
        </w:rPr>
        <w:t>all Practising Members (including a Body Corporate Member) as defined in the AIBS Membership</w:t>
      </w:r>
      <w:r w:rsidRPr="004C1A3A">
        <w:rPr>
          <w:rFonts w:ascii="Times New Roman" w:hAnsi="Times New Roman" w:cs="Times New Roman"/>
          <w:spacing w:val="-2"/>
          <w:szCs w:val="24"/>
        </w:rPr>
        <w:t xml:space="preserve"> </w:t>
      </w:r>
      <w:r w:rsidRPr="004C1A3A">
        <w:rPr>
          <w:rFonts w:ascii="Times New Roman" w:hAnsi="Times New Roman" w:cs="Times New Roman"/>
          <w:szCs w:val="24"/>
        </w:rPr>
        <w:t>Policy.</w:t>
      </w:r>
    </w:p>
    <w:p w14:paraId="00C1E7A9" w14:textId="77777777" w:rsidR="004C1A3A" w:rsidRPr="004C1A3A" w:rsidRDefault="004C1A3A" w:rsidP="004C1A3A">
      <w:pPr>
        <w:pStyle w:val="ListParagraph"/>
        <w:numPr>
          <w:ilvl w:val="2"/>
          <w:numId w:val="2"/>
        </w:numPr>
        <w:tabs>
          <w:tab w:val="left" w:pos="619"/>
        </w:tabs>
        <w:spacing w:before="163" w:line="256" w:lineRule="auto"/>
        <w:ind w:right="700" w:firstLine="0"/>
        <w:rPr>
          <w:rFonts w:ascii="Times New Roman" w:hAnsi="Times New Roman" w:cs="Times New Roman"/>
          <w:szCs w:val="24"/>
        </w:rPr>
      </w:pPr>
      <w:r w:rsidRPr="004C1A3A">
        <w:rPr>
          <w:rFonts w:ascii="Times New Roman" w:hAnsi="Times New Roman" w:cs="Times New Roman"/>
          <w:szCs w:val="24"/>
        </w:rPr>
        <w:t>all persons to whom clause 2.1.1 applied at the time of any act or omission giving rise to a cause of</w:t>
      </w:r>
      <w:r w:rsidRPr="004C1A3A">
        <w:rPr>
          <w:rFonts w:ascii="Times New Roman" w:hAnsi="Times New Roman" w:cs="Times New Roman"/>
          <w:spacing w:val="-1"/>
          <w:szCs w:val="24"/>
        </w:rPr>
        <w:t xml:space="preserve"> </w:t>
      </w:r>
      <w:r w:rsidRPr="004C1A3A">
        <w:rPr>
          <w:rFonts w:ascii="Times New Roman" w:hAnsi="Times New Roman" w:cs="Times New Roman"/>
          <w:szCs w:val="24"/>
        </w:rPr>
        <w:t>action.</w:t>
      </w:r>
    </w:p>
    <w:p w14:paraId="29E0F445" w14:textId="77777777" w:rsidR="004C1A3A" w:rsidRPr="004C1A3A" w:rsidRDefault="004C1A3A" w:rsidP="004C1A3A">
      <w:pPr>
        <w:pStyle w:val="ListParagraph"/>
        <w:numPr>
          <w:ilvl w:val="1"/>
          <w:numId w:val="2"/>
        </w:numPr>
        <w:tabs>
          <w:tab w:val="left" w:pos="451"/>
        </w:tabs>
        <w:spacing w:before="165" w:line="259" w:lineRule="auto"/>
        <w:ind w:left="119" w:right="185" w:firstLine="0"/>
        <w:rPr>
          <w:rFonts w:ascii="Times New Roman" w:hAnsi="Times New Roman" w:cs="Times New Roman"/>
          <w:szCs w:val="24"/>
        </w:rPr>
      </w:pPr>
      <w:r w:rsidRPr="004C1A3A">
        <w:rPr>
          <w:rFonts w:ascii="Times New Roman" w:hAnsi="Times New Roman" w:cs="Times New Roman"/>
          <w:szCs w:val="24"/>
        </w:rPr>
        <w:t>Upon application by a person referred to in clause 2.1, AIBS may exempt the person from the Scheme from the date on which the exemption is granted or a later date specified in the exemption. This clause does not apply to a person to whom the Scheme applies by operation of section 18, 19 or 20 of the Act.</w:t>
      </w:r>
    </w:p>
    <w:p w14:paraId="3607C58C" w14:textId="77777777" w:rsidR="004C1A3A" w:rsidRPr="004C1A3A" w:rsidRDefault="004C1A3A" w:rsidP="004C1A3A">
      <w:pPr>
        <w:pStyle w:val="Heading1"/>
        <w:numPr>
          <w:ilvl w:val="0"/>
          <w:numId w:val="2"/>
        </w:numPr>
        <w:tabs>
          <w:tab w:val="left" w:pos="368"/>
        </w:tabs>
        <w:ind w:left="367" w:hanging="247"/>
        <w:rPr>
          <w:rFonts w:ascii="Times New Roman" w:hAnsi="Times New Roman" w:cs="Times New Roman"/>
          <w:sz w:val="24"/>
          <w:szCs w:val="24"/>
        </w:rPr>
      </w:pPr>
      <w:r w:rsidRPr="004C1A3A">
        <w:rPr>
          <w:rFonts w:ascii="Times New Roman" w:hAnsi="Times New Roman" w:cs="Times New Roman"/>
          <w:sz w:val="24"/>
          <w:szCs w:val="24"/>
        </w:rPr>
        <w:t>Limitation of</w:t>
      </w:r>
      <w:r w:rsidRPr="004C1A3A">
        <w:rPr>
          <w:rFonts w:ascii="Times New Roman" w:hAnsi="Times New Roman" w:cs="Times New Roman"/>
          <w:spacing w:val="-4"/>
          <w:sz w:val="24"/>
          <w:szCs w:val="24"/>
        </w:rPr>
        <w:t xml:space="preserve"> </w:t>
      </w:r>
      <w:r w:rsidRPr="004C1A3A">
        <w:rPr>
          <w:rFonts w:ascii="Times New Roman" w:hAnsi="Times New Roman" w:cs="Times New Roman"/>
          <w:sz w:val="24"/>
          <w:szCs w:val="24"/>
        </w:rPr>
        <w:t>liability</w:t>
      </w:r>
    </w:p>
    <w:p w14:paraId="63325FF7" w14:textId="77777777" w:rsidR="004C1A3A" w:rsidRPr="004C1A3A" w:rsidRDefault="004C1A3A" w:rsidP="004C1A3A">
      <w:pPr>
        <w:pStyle w:val="ListParagraph"/>
        <w:numPr>
          <w:ilvl w:val="1"/>
          <w:numId w:val="2"/>
        </w:numPr>
        <w:tabs>
          <w:tab w:val="left" w:pos="452"/>
        </w:tabs>
        <w:spacing w:before="179" w:line="259" w:lineRule="auto"/>
        <w:ind w:left="119" w:right="221" w:firstLine="1"/>
        <w:rPr>
          <w:rFonts w:ascii="Times New Roman" w:hAnsi="Times New Roman" w:cs="Times New Roman"/>
          <w:szCs w:val="24"/>
        </w:rPr>
      </w:pPr>
      <w:r w:rsidRPr="004C1A3A">
        <w:rPr>
          <w:rFonts w:ascii="Times New Roman" w:hAnsi="Times New Roman" w:cs="Times New Roman"/>
          <w:szCs w:val="24"/>
        </w:rPr>
        <w:t>The Scheme only affects the liability for damages arising from a single cause of action to the extent to which the liability results in damages exceeding the limits specified in the table in clause 3.4 below.</w:t>
      </w:r>
    </w:p>
    <w:p w14:paraId="1E986FA2" w14:textId="77777777" w:rsidR="004C1A3A" w:rsidRPr="004C1A3A" w:rsidRDefault="004C1A3A" w:rsidP="004C1A3A">
      <w:pPr>
        <w:pStyle w:val="ListParagraph"/>
        <w:numPr>
          <w:ilvl w:val="1"/>
          <w:numId w:val="2"/>
        </w:numPr>
        <w:tabs>
          <w:tab w:val="left" w:pos="452"/>
        </w:tabs>
        <w:spacing w:before="159" w:line="261" w:lineRule="auto"/>
        <w:ind w:right="196" w:hanging="1"/>
        <w:rPr>
          <w:rFonts w:ascii="Times New Roman" w:hAnsi="Times New Roman" w:cs="Times New Roman"/>
          <w:szCs w:val="24"/>
        </w:rPr>
      </w:pPr>
      <w:r w:rsidRPr="004C1A3A">
        <w:rPr>
          <w:rFonts w:ascii="Times New Roman" w:hAnsi="Times New Roman" w:cs="Times New Roman"/>
          <w:szCs w:val="24"/>
        </w:rPr>
        <w:t>If a person to whom the Scheme applies and against whom a proceeding relating to Occupational Liability is brought is able to satisfy the court</w:t>
      </w:r>
      <w:r w:rsidRPr="004C1A3A">
        <w:rPr>
          <w:rFonts w:ascii="Times New Roman" w:hAnsi="Times New Roman" w:cs="Times New Roman"/>
          <w:spacing w:val="-3"/>
          <w:szCs w:val="24"/>
        </w:rPr>
        <w:t xml:space="preserve"> </w:t>
      </w:r>
      <w:r w:rsidRPr="004C1A3A">
        <w:rPr>
          <w:rFonts w:ascii="Times New Roman" w:hAnsi="Times New Roman" w:cs="Times New Roman"/>
          <w:szCs w:val="24"/>
        </w:rPr>
        <w:t>that:</w:t>
      </w:r>
    </w:p>
    <w:p w14:paraId="58FF58B7" w14:textId="77777777" w:rsidR="004C1A3A" w:rsidRPr="004C1A3A" w:rsidRDefault="004C1A3A" w:rsidP="004C1A3A">
      <w:pPr>
        <w:spacing w:line="261" w:lineRule="auto"/>
        <w:rPr>
          <w:sz w:val="22"/>
          <w:szCs w:val="22"/>
        </w:rPr>
        <w:sectPr w:rsidR="004C1A3A" w:rsidRPr="004C1A3A" w:rsidSect="004C1A3A">
          <w:headerReference w:type="even" r:id="rId7"/>
          <w:headerReference w:type="default" r:id="rId8"/>
          <w:footerReference w:type="even" r:id="rId9"/>
          <w:footerReference w:type="default" r:id="rId10"/>
          <w:headerReference w:type="first" r:id="rId11"/>
          <w:footerReference w:type="first" r:id="rId12"/>
          <w:pgSz w:w="11910" w:h="16840"/>
          <w:pgMar w:top="1340" w:right="1320" w:bottom="280" w:left="1320" w:header="720" w:footer="720" w:gutter="0"/>
          <w:cols w:space="720"/>
        </w:sectPr>
      </w:pPr>
    </w:p>
    <w:p w14:paraId="56FB4D87" w14:textId="77777777" w:rsidR="004C1A3A" w:rsidRPr="004C1A3A" w:rsidRDefault="004C1A3A" w:rsidP="004C1A3A">
      <w:pPr>
        <w:pStyle w:val="ListParagraph"/>
        <w:numPr>
          <w:ilvl w:val="2"/>
          <w:numId w:val="2"/>
        </w:numPr>
        <w:tabs>
          <w:tab w:val="left" w:pos="620"/>
        </w:tabs>
        <w:spacing w:before="81" w:line="256" w:lineRule="auto"/>
        <w:ind w:left="120" w:right="127" w:firstLine="0"/>
        <w:rPr>
          <w:rFonts w:ascii="Times New Roman" w:hAnsi="Times New Roman" w:cs="Times New Roman"/>
          <w:szCs w:val="24"/>
        </w:rPr>
      </w:pPr>
      <w:r w:rsidRPr="004C1A3A">
        <w:rPr>
          <w:rFonts w:ascii="Times New Roman" w:hAnsi="Times New Roman" w:cs="Times New Roman"/>
          <w:szCs w:val="24"/>
        </w:rPr>
        <w:lastRenderedPageBreak/>
        <w:t>the person has the benefit of an insurance policy insuring such person against that Occupational Liability, and</w:t>
      </w:r>
    </w:p>
    <w:p w14:paraId="01DA2736" w14:textId="77777777" w:rsidR="004C1A3A" w:rsidRPr="004C1A3A" w:rsidRDefault="004C1A3A" w:rsidP="004C1A3A">
      <w:pPr>
        <w:pStyle w:val="ListParagraph"/>
        <w:numPr>
          <w:ilvl w:val="2"/>
          <w:numId w:val="2"/>
        </w:numPr>
        <w:tabs>
          <w:tab w:val="left" w:pos="620"/>
        </w:tabs>
        <w:spacing w:before="163" w:line="261" w:lineRule="auto"/>
        <w:ind w:right="173" w:firstLine="1"/>
        <w:rPr>
          <w:rFonts w:ascii="Times New Roman" w:hAnsi="Times New Roman" w:cs="Times New Roman"/>
          <w:szCs w:val="24"/>
        </w:rPr>
      </w:pPr>
      <w:r w:rsidRPr="004C1A3A">
        <w:rPr>
          <w:rFonts w:ascii="Times New Roman" w:hAnsi="Times New Roman" w:cs="Times New Roman"/>
          <w:szCs w:val="24"/>
        </w:rPr>
        <w:t>the amount payable in respect of that Occupational Liability is not less than the monetary ceiling specified in clause 3.4</w:t>
      </w:r>
      <w:r w:rsidRPr="004C1A3A">
        <w:rPr>
          <w:rFonts w:ascii="Times New Roman" w:hAnsi="Times New Roman" w:cs="Times New Roman"/>
          <w:spacing w:val="1"/>
          <w:szCs w:val="24"/>
        </w:rPr>
        <w:t xml:space="preserve"> </w:t>
      </w:r>
      <w:r w:rsidRPr="004C1A3A">
        <w:rPr>
          <w:rFonts w:ascii="Times New Roman" w:hAnsi="Times New Roman" w:cs="Times New Roman"/>
          <w:szCs w:val="24"/>
        </w:rPr>
        <w:t>below,</w:t>
      </w:r>
    </w:p>
    <w:p w14:paraId="291EFD10" w14:textId="77777777" w:rsidR="004C1A3A" w:rsidRPr="004C1A3A" w:rsidRDefault="004C1A3A" w:rsidP="004C1A3A">
      <w:pPr>
        <w:pStyle w:val="BodyText"/>
        <w:spacing w:before="156"/>
        <w:rPr>
          <w:rFonts w:ascii="Times New Roman" w:hAnsi="Times New Roman" w:cs="Times New Roman"/>
          <w:sz w:val="22"/>
          <w:szCs w:val="22"/>
        </w:rPr>
      </w:pPr>
      <w:r w:rsidRPr="004C1A3A">
        <w:rPr>
          <w:rFonts w:ascii="Times New Roman" w:hAnsi="Times New Roman" w:cs="Times New Roman"/>
          <w:sz w:val="22"/>
          <w:szCs w:val="22"/>
        </w:rPr>
        <w:t>the person is not liable in damages in relation to that cause of action above the monetary ceiling.</w:t>
      </w:r>
    </w:p>
    <w:p w14:paraId="24DF1C5E" w14:textId="77777777" w:rsidR="004C1A3A" w:rsidRPr="004C1A3A" w:rsidRDefault="004C1A3A" w:rsidP="004C1A3A">
      <w:pPr>
        <w:pStyle w:val="ListParagraph"/>
        <w:numPr>
          <w:ilvl w:val="1"/>
          <w:numId w:val="2"/>
        </w:numPr>
        <w:tabs>
          <w:tab w:val="left" w:pos="452"/>
        </w:tabs>
        <w:spacing w:line="256" w:lineRule="auto"/>
        <w:ind w:right="409" w:firstLine="0"/>
        <w:rPr>
          <w:rFonts w:ascii="Times New Roman" w:hAnsi="Times New Roman" w:cs="Times New Roman"/>
          <w:szCs w:val="24"/>
        </w:rPr>
      </w:pPr>
      <w:r w:rsidRPr="004C1A3A">
        <w:rPr>
          <w:rFonts w:ascii="Times New Roman" w:hAnsi="Times New Roman" w:cs="Times New Roman"/>
          <w:szCs w:val="24"/>
        </w:rPr>
        <w:t>For the purposes of the Scheme, an insurance policy must be a policy of a kind which complies with the AIBS Insurance</w:t>
      </w:r>
      <w:r w:rsidRPr="004C1A3A">
        <w:rPr>
          <w:rFonts w:ascii="Times New Roman" w:hAnsi="Times New Roman" w:cs="Times New Roman"/>
          <w:spacing w:val="3"/>
          <w:szCs w:val="24"/>
        </w:rPr>
        <w:t xml:space="preserve"> </w:t>
      </w:r>
      <w:r w:rsidRPr="004C1A3A">
        <w:rPr>
          <w:rFonts w:ascii="Times New Roman" w:hAnsi="Times New Roman" w:cs="Times New Roman"/>
          <w:szCs w:val="24"/>
        </w:rPr>
        <w:t>Standards.</w:t>
      </w:r>
    </w:p>
    <w:p w14:paraId="1E500C8E" w14:textId="77777777" w:rsidR="004C1A3A" w:rsidRPr="004C1A3A" w:rsidRDefault="004C1A3A" w:rsidP="004C1A3A">
      <w:pPr>
        <w:pStyle w:val="ListParagraph"/>
        <w:numPr>
          <w:ilvl w:val="1"/>
          <w:numId w:val="2"/>
        </w:numPr>
        <w:tabs>
          <w:tab w:val="left" w:pos="452"/>
        </w:tabs>
        <w:spacing w:before="165"/>
        <w:ind w:left="451" w:hanging="331"/>
        <w:rPr>
          <w:rFonts w:ascii="Times New Roman" w:hAnsi="Times New Roman" w:cs="Times New Roman"/>
          <w:szCs w:val="24"/>
        </w:rPr>
      </w:pPr>
      <w:r w:rsidRPr="004C1A3A">
        <w:rPr>
          <w:rFonts w:ascii="Times New Roman" w:hAnsi="Times New Roman" w:cs="Times New Roman"/>
          <w:szCs w:val="24"/>
        </w:rPr>
        <w:t>The monetary ceiling is as set out in the following</w:t>
      </w:r>
      <w:r w:rsidRPr="004C1A3A">
        <w:rPr>
          <w:rFonts w:ascii="Times New Roman" w:hAnsi="Times New Roman" w:cs="Times New Roman"/>
          <w:spacing w:val="-2"/>
          <w:szCs w:val="24"/>
        </w:rPr>
        <w:t xml:space="preserve"> </w:t>
      </w:r>
      <w:r w:rsidRPr="004C1A3A">
        <w:rPr>
          <w:rFonts w:ascii="Times New Roman" w:hAnsi="Times New Roman" w:cs="Times New Roman"/>
          <w:szCs w:val="24"/>
        </w:rPr>
        <w:t>table:</w:t>
      </w:r>
    </w:p>
    <w:p w14:paraId="7FFE6538" w14:textId="77777777" w:rsidR="004C1A3A" w:rsidRPr="004C1A3A" w:rsidRDefault="004C1A3A" w:rsidP="004C1A3A">
      <w:pPr>
        <w:pStyle w:val="BodyText"/>
        <w:spacing w:before="6" w:after="1"/>
        <w:ind w:left="0"/>
        <w:rPr>
          <w:rFonts w:ascii="Times New Roman" w:hAnsi="Times New Roman" w:cs="Times New Roman"/>
          <w:sz w:val="16"/>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3273"/>
        <w:gridCol w:w="3549"/>
      </w:tblGrid>
      <w:tr w:rsidR="004C1A3A" w:rsidRPr="004C1A3A" w14:paraId="31063D64" w14:textId="77777777" w:rsidTr="005E6E1D">
        <w:trPr>
          <w:trHeight w:val="606"/>
        </w:trPr>
        <w:tc>
          <w:tcPr>
            <w:tcW w:w="2198" w:type="dxa"/>
            <w:shd w:val="clear" w:color="auto" w:fill="ACB8C9"/>
          </w:tcPr>
          <w:p w14:paraId="5D7E1A0A" w14:textId="77777777" w:rsidR="004C1A3A" w:rsidRPr="004C1A3A" w:rsidRDefault="004C1A3A" w:rsidP="005E6E1D">
            <w:pPr>
              <w:pStyle w:val="TableParagraph"/>
              <w:spacing w:before="160"/>
              <w:ind w:left="107"/>
              <w:rPr>
                <w:rFonts w:ascii="Times New Roman" w:hAnsi="Times New Roman" w:cs="Times New Roman"/>
                <w:b/>
                <w:szCs w:val="24"/>
              </w:rPr>
            </w:pPr>
            <w:r w:rsidRPr="004C1A3A">
              <w:rPr>
                <w:rFonts w:ascii="Times New Roman" w:hAnsi="Times New Roman" w:cs="Times New Roman"/>
                <w:b/>
                <w:color w:val="FFFFFF"/>
                <w:szCs w:val="24"/>
              </w:rPr>
              <w:t>Building Levels</w:t>
            </w:r>
          </w:p>
        </w:tc>
        <w:tc>
          <w:tcPr>
            <w:tcW w:w="3273" w:type="dxa"/>
            <w:shd w:val="clear" w:color="auto" w:fill="ACB8C9"/>
          </w:tcPr>
          <w:p w14:paraId="49B9E5D9" w14:textId="77777777" w:rsidR="004C1A3A" w:rsidRPr="004C1A3A" w:rsidRDefault="004C1A3A" w:rsidP="005E6E1D">
            <w:pPr>
              <w:pStyle w:val="TableParagraph"/>
              <w:spacing w:before="160"/>
              <w:ind w:left="108"/>
              <w:rPr>
                <w:rFonts w:ascii="Times New Roman" w:hAnsi="Times New Roman" w:cs="Times New Roman"/>
                <w:b/>
                <w:szCs w:val="24"/>
              </w:rPr>
            </w:pPr>
            <w:r w:rsidRPr="004C1A3A">
              <w:rPr>
                <w:rFonts w:ascii="Times New Roman" w:hAnsi="Times New Roman" w:cs="Times New Roman"/>
                <w:b/>
                <w:color w:val="FFFFFF"/>
                <w:szCs w:val="24"/>
              </w:rPr>
              <w:t>Category</w:t>
            </w:r>
          </w:p>
        </w:tc>
        <w:tc>
          <w:tcPr>
            <w:tcW w:w="3549" w:type="dxa"/>
            <w:shd w:val="clear" w:color="auto" w:fill="ACB8C9"/>
          </w:tcPr>
          <w:p w14:paraId="7BB3851A" w14:textId="77777777" w:rsidR="004C1A3A" w:rsidRPr="004C1A3A" w:rsidRDefault="004C1A3A" w:rsidP="005E6E1D">
            <w:pPr>
              <w:pStyle w:val="TableParagraph"/>
              <w:spacing w:before="160"/>
              <w:ind w:left="108"/>
              <w:rPr>
                <w:rFonts w:ascii="Times New Roman" w:hAnsi="Times New Roman" w:cs="Times New Roman"/>
                <w:b/>
                <w:szCs w:val="24"/>
              </w:rPr>
            </w:pPr>
            <w:r w:rsidRPr="004C1A3A">
              <w:rPr>
                <w:rFonts w:ascii="Times New Roman" w:hAnsi="Times New Roman" w:cs="Times New Roman"/>
                <w:b/>
                <w:color w:val="FFFFFF"/>
                <w:szCs w:val="24"/>
              </w:rPr>
              <w:t>Liability limit</w:t>
            </w:r>
          </w:p>
        </w:tc>
      </w:tr>
      <w:tr w:rsidR="004C1A3A" w:rsidRPr="004C1A3A" w14:paraId="11E76E43" w14:textId="77777777" w:rsidTr="005E6E1D">
        <w:trPr>
          <w:trHeight w:val="705"/>
        </w:trPr>
        <w:tc>
          <w:tcPr>
            <w:tcW w:w="2198" w:type="dxa"/>
          </w:tcPr>
          <w:p w14:paraId="576E0469" w14:textId="77777777" w:rsidR="004C1A3A" w:rsidRPr="004C1A3A" w:rsidRDefault="004C1A3A" w:rsidP="005E6E1D">
            <w:pPr>
              <w:pStyle w:val="TableParagraph"/>
              <w:spacing w:before="9"/>
              <w:rPr>
                <w:rFonts w:ascii="Times New Roman" w:hAnsi="Times New Roman" w:cs="Times New Roman"/>
                <w:szCs w:val="24"/>
              </w:rPr>
            </w:pPr>
          </w:p>
          <w:p w14:paraId="32AC1D3E" w14:textId="77777777" w:rsidR="004C1A3A" w:rsidRPr="004C1A3A" w:rsidRDefault="004C1A3A" w:rsidP="005E6E1D">
            <w:pPr>
              <w:pStyle w:val="TableParagraph"/>
              <w:ind w:left="107"/>
              <w:rPr>
                <w:rFonts w:ascii="Times New Roman" w:hAnsi="Times New Roman" w:cs="Times New Roman"/>
                <w:szCs w:val="24"/>
              </w:rPr>
            </w:pPr>
            <w:r w:rsidRPr="004C1A3A">
              <w:rPr>
                <w:rFonts w:ascii="Times New Roman" w:hAnsi="Times New Roman" w:cs="Times New Roman"/>
                <w:szCs w:val="24"/>
              </w:rPr>
              <w:t>Level 1</w:t>
            </w:r>
          </w:p>
        </w:tc>
        <w:tc>
          <w:tcPr>
            <w:tcW w:w="3273" w:type="dxa"/>
          </w:tcPr>
          <w:p w14:paraId="0FEA98FC" w14:textId="77777777" w:rsidR="004C1A3A" w:rsidRPr="004C1A3A" w:rsidRDefault="004C1A3A" w:rsidP="005E6E1D">
            <w:pPr>
              <w:pStyle w:val="TableParagraph"/>
              <w:spacing w:before="9"/>
              <w:rPr>
                <w:rFonts w:ascii="Times New Roman" w:hAnsi="Times New Roman" w:cs="Times New Roman"/>
                <w:szCs w:val="24"/>
              </w:rPr>
            </w:pPr>
          </w:p>
          <w:p w14:paraId="35FBBDA2" w14:textId="77777777" w:rsidR="004C1A3A" w:rsidRPr="004C1A3A" w:rsidRDefault="004C1A3A" w:rsidP="005E6E1D">
            <w:pPr>
              <w:pStyle w:val="TableParagraph"/>
              <w:ind w:left="108"/>
              <w:rPr>
                <w:rFonts w:ascii="Times New Roman" w:hAnsi="Times New Roman" w:cs="Times New Roman"/>
                <w:szCs w:val="24"/>
              </w:rPr>
            </w:pPr>
            <w:r w:rsidRPr="004C1A3A">
              <w:rPr>
                <w:rFonts w:ascii="Times New Roman" w:hAnsi="Times New Roman" w:cs="Times New Roman"/>
                <w:szCs w:val="24"/>
              </w:rPr>
              <w:t>Unlimited (all buildings)</w:t>
            </w:r>
          </w:p>
        </w:tc>
        <w:tc>
          <w:tcPr>
            <w:tcW w:w="3549" w:type="dxa"/>
          </w:tcPr>
          <w:p w14:paraId="15A6D1A3" w14:textId="77777777" w:rsidR="004C1A3A" w:rsidRPr="004C1A3A" w:rsidRDefault="004C1A3A" w:rsidP="005E6E1D">
            <w:pPr>
              <w:pStyle w:val="TableParagraph"/>
              <w:spacing w:before="9"/>
              <w:rPr>
                <w:rFonts w:ascii="Times New Roman" w:hAnsi="Times New Roman" w:cs="Times New Roman"/>
                <w:szCs w:val="24"/>
              </w:rPr>
            </w:pPr>
          </w:p>
          <w:p w14:paraId="3BC50F44" w14:textId="77777777" w:rsidR="004C1A3A" w:rsidRPr="004C1A3A" w:rsidRDefault="004C1A3A" w:rsidP="005E6E1D">
            <w:pPr>
              <w:pStyle w:val="TableParagraph"/>
              <w:ind w:left="108"/>
              <w:rPr>
                <w:rFonts w:ascii="Times New Roman" w:hAnsi="Times New Roman" w:cs="Times New Roman"/>
                <w:szCs w:val="24"/>
              </w:rPr>
            </w:pPr>
            <w:r w:rsidRPr="004C1A3A">
              <w:rPr>
                <w:rFonts w:ascii="Times New Roman" w:hAnsi="Times New Roman" w:cs="Times New Roman"/>
                <w:szCs w:val="24"/>
              </w:rPr>
              <w:t>$2 million</w:t>
            </w:r>
          </w:p>
        </w:tc>
      </w:tr>
      <w:tr w:rsidR="004C1A3A" w:rsidRPr="004C1A3A" w14:paraId="004E69DE" w14:textId="77777777" w:rsidTr="005E6E1D">
        <w:trPr>
          <w:trHeight w:val="1050"/>
        </w:trPr>
        <w:tc>
          <w:tcPr>
            <w:tcW w:w="2198" w:type="dxa"/>
          </w:tcPr>
          <w:p w14:paraId="767DA98C" w14:textId="77777777" w:rsidR="004C1A3A" w:rsidRPr="004C1A3A" w:rsidRDefault="004C1A3A" w:rsidP="005E6E1D">
            <w:pPr>
              <w:pStyle w:val="TableParagraph"/>
              <w:spacing w:before="9"/>
              <w:rPr>
                <w:rFonts w:ascii="Times New Roman" w:hAnsi="Times New Roman" w:cs="Times New Roman"/>
                <w:szCs w:val="24"/>
              </w:rPr>
            </w:pPr>
          </w:p>
          <w:p w14:paraId="4DDE5C51" w14:textId="77777777" w:rsidR="004C1A3A" w:rsidRPr="004C1A3A" w:rsidRDefault="004C1A3A" w:rsidP="005E6E1D">
            <w:pPr>
              <w:pStyle w:val="TableParagraph"/>
              <w:ind w:left="107"/>
              <w:rPr>
                <w:rFonts w:ascii="Times New Roman" w:hAnsi="Times New Roman" w:cs="Times New Roman"/>
                <w:szCs w:val="24"/>
              </w:rPr>
            </w:pPr>
            <w:r w:rsidRPr="004C1A3A">
              <w:rPr>
                <w:rFonts w:ascii="Times New Roman" w:hAnsi="Times New Roman" w:cs="Times New Roman"/>
                <w:szCs w:val="24"/>
              </w:rPr>
              <w:t>Level 2</w:t>
            </w:r>
          </w:p>
        </w:tc>
        <w:tc>
          <w:tcPr>
            <w:tcW w:w="3273" w:type="dxa"/>
          </w:tcPr>
          <w:p w14:paraId="66885E06" w14:textId="77777777" w:rsidR="004C1A3A" w:rsidRPr="004C1A3A" w:rsidRDefault="004C1A3A" w:rsidP="005E6E1D">
            <w:pPr>
              <w:pStyle w:val="TableParagraph"/>
              <w:spacing w:before="9"/>
              <w:rPr>
                <w:rFonts w:ascii="Times New Roman" w:hAnsi="Times New Roman" w:cs="Times New Roman"/>
                <w:szCs w:val="24"/>
              </w:rPr>
            </w:pPr>
          </w:p>
          <w:p w14:paraId="188BFAC7" w14:textId="77777777" w:rsidR="004C1A3A" w:rsidRPr="004C1A3A" w:rsidRDefault="004C1A3A" w:rsidP="005E6E1D">
            <w:pPr>
              <w:pStyle w:val="TableParagraph"/>
              <w:spacing w:line="360" w:lineRule="auto"/>
              <w:ind w:left="108" w:right="233"/>
              <w:rPr>
                <w:rFonts w:ascii="Times New Roman" w:hAnsi="Times New Roman" w:cs="Times New Roman"/>
                <w:szCs w:val="24"/>
              </w:rPr>
            </w:pPr>
            <w:r w:rsidRPr="004C1A3A">
              <w:rPr>
                <w:rFonts w:ascii="Times New Roman" w:hAnsi="Times New Roman" w:cs="Times New Roman"/>
                <w:szCs w:val="24"/>
              </w:rPr>
              <w:t>Limited (less than 2000M2 and 3 storeys or less)</w:t>
            </w:r>
          </w:p>
        </w:tc>
        <w:tc>
          <w:tcPr>
            <w:tcW w:w="3549" w:type="dxa"/>
          </w:tcPr>
          <w:p w14:paraId="4D205BAA" w14:textId="77777777" w:rsidR="004C1A3A" w:rsidRPr="004C1A3A" w:rsidRDefault="004C1A3A" w:rsidP="005E6E1D">
            <w:pPr>
              <w:pStyle w:val="TableParagraph"/>
              <w:spacing w:before="9"/>
              <w:rPr>
                <w:rFonts w:ascii="Times New Roman" w:hAnsi="Times New Roman" w:cs="Times New Roman"/>
                <w:szCs w:val="24"/>
              </w:rPr>
            </w:pPr>
          </w:p>
          <w:p w14:paraId="6D696B83" w14:textId="77777777" w:rsidR="004C1A3A" w:rsidRPr="004C1A3A" w:rsidRDefault="004C1A3A" w:rsidP="005E6E1D">
            <w:pPr>
              <w:pStyle w:val="TableParagraph"/>
              <w:ind w:left="108"/>
              <w:rPr>
                <w:rFonts w:ascii="Times New Roman" w:hAnsi="Times New Roman" w:cs="Times New Roman"/>
                <w:szCs w:val="24"/>
              </w:rPr>
            </w:pPr>
            <w:r w:rsidRPr="004C1A3A">
              <w:rPr>
                <w:rFonts w:ascii="Times New Roman" w:hAnsi="Times New Roman" w:cs="Times New Roman"/>
                <w:szCs w:val="24"/>
              </w:rPr>
              <w:t>$1 million</w:t>
            </w:r>
          </w:p>
        </w:tc>
      </w:tr>
    </w:tbl>
    <w:p w14:paraId="5B402511" w14:textId="77777777" w:rsidR="004C1A3A" w:rsidRPr="004C1A3A" w:rsidRDefault="004C1A3A" w:rsidP="004C1A3A">
      <w:pPr>
        <w:pStyle w:val="BodyText"/>
        <w:spacing w:before="0"/>
        <w:ind w:left="0"/>
        <w:rPr>
          <w:rFonts w:ascii="Times New Roman" w:hAnsi="Times New Roman" w:cs="Times New Roman"/>
          <w:sz w:val="24"/>
          <w:szCs w:val="22"/>
        </w:rPr>
      </w:pPr>
    </w:p>
    <w:p w14:paraId="46DAD897" w14:textId="77777777" w:rsidR="004C1A3A" w:rsidRPr="004C1A3A" w:rsidRDefault="004C1A3A" w:rsidP="004C1A3A">
      <w:pPr>
        <w:pStyle w:val="ListParagraph"/>
        <w:numPr>
          <w:ilvl w:val="1"/>
          <w:numId w:val="2"/>
        </w:numPr>
        <w:tabs>
          <w:tab w:val="left" w:pos="478"/>
        </w:tabs>
        <w:spacing w:line="259" w:lineRule="auto"/>
        <w:ind w:left="477" w:right="262" w:hanging="357"/>
        <w:rPr>
          <w:rFonts w:ascii="Times New Roman" w:hAnsi="Times New Roman" w:cs="Times New Roman"/>
          <w:szCs w:val="24"/>
        </w:rPr>
      </w:pPr>
      <w:r w:rsidRPr="004C1A3A">
        <w:rPr>
          <w:rFonts w:ascii="Times New Roman" w:hAnsi="Times New Roman" w:cs="Times New Roman"/>
          <w:szCs w:val="24"/>
        </w:rPr>
        <w:t>The Scheme limits the Occupational Liability in respect of a cause of action founded on an act or omission occurring during the period when the Scheme was in force of any person to whom the Scheme applied at the time the act or omission</w:t>
      </w:r>
      <w:r w:rsidRPr="004C1A3A">
        <w:rPr>
          <w:rFonts w:ascii="Times New Roman" w:hAnsi="Times New Roman" w:cs="Times New Roman"/>
          <w:spacing w:val="-4"/>
          <w:szCs w:val="24"/>
        </w:rPr>
        <w:t xml:space="preserve"> </w:t>
      </w:r>
      <w:r w:rsidRPr="004C1A3A">
        <w:rPr>
          <w:rFonts w:ascii="Times New Roman" w:hAnsi="Times New Roman" w:cs="Times New Roman"/>
          <w:szCs w:val="24"/>
        </w:rPr>
        <w:t>occurred.</w:t>
      </w:r>
    </w:p>
    <w:p w14:paraId="54B3F1CB" w14:textId="77777777" w:rsidR="004C1A3A" w:rsidRPr="004C1A3A" w:rsidRDefault="004C1A3A" w:rsidP="004C1A3A">
      <w:pPr>
        <w:pStyle w:val="ListParagraph"/>
        <w:numPr>
          <w:ilvl w:val="1"/>
          <w:numId w:val="2"/>
        </w:numPr>
        <w:tabs>
          <w:tab w:val="left" w:pos="478"/>
        </w:tabs>
        <w:spacing w:before="160" w:line="259" w:lineRule="auto"/>
        <w:ind w:left="477" w:right="298" w:hanging="357"/>
        <w:rPr>
          <w:rFonts w:ascii="Times New Roman" w:hAnsi="Times New Roman" w:cs="Times New Roman"/>
          <w:szCs w:val="24"/>
        </w:rPr>
      </w:pPr>
      <w:r w:rsidRPr="004C1A3A">
        <w:rPr>
          <w:rFonts w:ascii="Times New Roman" w:hAnsi="Times New Roman" w:cs="Times New Roman"/>
          <w:szCs w:val="24"/>
        </w:rPr>
        <w:t>Notwithstanding</w:t>
      </w:r>
      <w:r w:rsidRPr="004C1A3A">
        <w:rPr>
          <w:rFonts w:ascii="Times New Roman" w:hAnsi="Times New Roman" w:cs="Times New Roman"/>
          <w:spacing w:val="-5"/>
          <w:szCs w:val="24"/>
        </w:rPr>
        <w:t xml:space="preserve"> </w:t>
      </w:r>
      <w:r w:rsidRPr="004C1A3A">
        <w:rPr>
          <w:rFonts w:ascii="Times New Roman" w:hAnsi="Times New Roman" w:cs="Times New Roman"/>
          <w:szCs w:val="24"/>
        </w:rPr>
        <w:t>anything</w:t>
      </w:r>
      <w:r w:rsidRPr="004C1A3A">
        <w:rPr>
          <w:rFonts w:ascii="Times New Roman" w:hAnsi="Times New Roman" w:cs="Times New Roman"/>
          <w:spacing w:val="-3"/>
          <w:szCs w:val="24"/>
        </w:rPr>
        <w:t xml:space="preserve"> </w:t>
      </w:r>
      <w:r w:rsidRPr="004C1A3A">
        <w:rPr>
          <w:rFonts w:ascii="Times New Roman" w:hAnsi="Times New Roman" w:cs="Times New Roman"/>
          <w:szCs w:val="24"/>
        </w:rPr>
        <w:t>to</w:t>
      </w:r>
      <w:r w:rsidRPr="004C1A3A">
        <w:rPr>
          <w:rFonts w:ascii="Times New Roman" w:hAnsi="Times New Roman" w:cs="Times New Roman"/>
          <w:spacing w:val="-5"/>
          <w:szCs w:val="24"/>
        </w:rPr>
        <w:t xml:space="preserve"> </w:t>
      </w:r>
      <w:r w:rsidRPr="004C1A3A">
        <w:rPr>
          <w:rFonts w:ascii="Times New Roman" w:hAnsi="Times New Roman" w:cs="Times New Roman"/>
          <w:szCs w:val="24"/>
        </w:rPr>
        <w:t>the</w:t>
      </w:r>
      <w:r w:rsidRPr="004C1A3A">
        <w:rPr>
          <w:rFonts w:ascii="Times New Roman" w:hAnsi="Times New Roman" w:cs="Times New Roman"/>
          <w:spacing w:val="-2"/>
          <w:szCs w:val="24"/>
        </w:rPr>
        <w:t xml:space="preserve"> </w:t>
      </w:r>
      <w:r w:rsidRPr="004C1A3A">
        <w:rPr>
          <w:rFonts w:ascii="Times New Roman" w:hAnsi="Times New Roman" w:cs="Times New Roman"/>
          <w:szCs w:val="24"/>
        </w:rPr>
        <w:t>contrary</w:t>
      </w:r>
      <w:r w:rsidRPr="004C1A3A">
        <w:rPr>
          <w:rFonts w:ascii="Times New Roman" w:hAnsi="Times New Roman" w:cs="Times New Roman"/>
          <w:spacing w:val="-4"/>
          <w:szCs w:val="24"/>
        </w:rPr>
        <w:t xml:space="preserve"> </w:t>
      </w:r>
      <w:r w:rsidRPr="004C1A3A">
        <w:rPr>
          <w:rFonts w:ascii="Times New Roman" w:hAnsi="Times New Roman" w:cs="Times New Roman"/>
          <w:szCs w:val="24"/>
        </w:rPr>
        <w:t>contained</w:t>
      </w:r>
      <w:r w:rsidRPr="004C1A3A">
        <w:rPr>
          <w:rFonts w:ascii="Times New Roman" w:hAnsi="Times New Roman" w:cs="Times New Roman"/>
          <w:spacing w:val="-3"/>
          <w:szCs w:val="24"/>
        </w:rPr>
        <w:t xml:space="preserve"> </w:t>
      </w:r>
      <w:r w:rsidRPr="004C1A3A">
        <w:rPr>
          <w:rFonts w:ascii="Times New Roman" w:hAnsi="Times New Roman" w:cs="Times New Roman"/>
          <w:szCs w:val="24"/>
        </w:rPr>
        <w:t>in</w:t>
      </w:r>
      <w:r w:rsidRPr="004C1A3A">
        <w:rPr>
          <w:rFonts w:ascii="Times New Roman" w:hAnsi="Times New Roman" w:cs="Times New Roman"/>
          <w:spacing w:val="-3"/>
          <w:szCs w:val="24"/>
        </w:rPr>
        <w:t xml:space="preserve"> </w:t>
      </w:r>
      <w:r w:rsidRPr="004C1A3A">
        <w:rPr>
          <w:rFonts w:ascii="Times New Roman" w:hAnsi="Times New Roman" w:cs="Times New Roman"/>
          <w:szCs w:val="24"/>
        </w:rPr>
        <w:t>this</w:t>
      </w:r>
      <w:r w:rsidRPr="004C1A3A">
        <w:rPr>
          <w:rFonts w:ascii="Times New Roman" w:hAnsi="Times New Roman" w:cs="Times New Roman"/>
          <w:spacing w:val="-4"/>
          <w:szCs w:val="24"/>
        </w:rPr>
        <w:t xml:space="preserve"> </w:t>
      </w:r>
      <w:r w:rsidRPr="004C1A3A">
        <w:rPr>
          <w:rFonts w:ascii="Times New Roman" w:hAnsi="Times New Roman" w:cs="Times New Roman"/>
          <w:szCs w:val="24"/>
        </w:rPr>
        <w:t>Scheme</w:t>
      </w:r>
      <w:r w:rsidRPr="004C1A3A">
        <w:rPr>
          <w:rFonts w:ascii="Times New Roman" w:hAnsi="Times New Roman" w:cs="Times New Roman"/>
          <w:spacing w:val="-4"/>
          <w:szCs w:val="24"/>
        </w:rPr>
        <w:t xml:space="preserve"> </w:t>
      </w:r>
      <w:r w:rsidRPr="004C1A3A">
        <w:rPr>
          <w:rFonts w:ascii="Times New Roman" w:hAnsi="Times New Roman" w:cs="Times New Roman"/>
          <w:szCs w:val="24"/>
        </w:rPr>
        <w:t>if,</w:t>
      </w:r>
      <w:r w:rsidRPr="004C1A3A">
        <w:rPr>
          <w:rFonts w:ascii="Times New Roman" w:hAnsi="Times New Roman" w:cs="Times New Roman"/>
          <w:spacing w:val="-5"/>
          <w:szCs w:val="24"/>
        </w:rPr>
        <w:t xml:space="preserve"> </w:t>
      </w:r>
      <w:r w:rsidRPr="004C1A3A">
        <w:rPr>
          <w:rFonts w:ascii="Times New Roman" w:hAnsi="Times New Roman" w:cs="Times New Roman"/>
          <w:szCs w:val="24"/>
        </w:rPr>
        <w:t>in</w:t>
      </w:r>
      <w:r w:rsidRPr="004C1A3A">
        <w:rPr>
          <w:rFonts w:ascii="Times New Roman" w:hAnsi="Times New Roman" w:cs="Times New Roman"/>
          <w:spacing w:val="-5"/>
          <w:szCs w:val="24"/>
        </w:rPr>
        <w:t xml:space="preserve"> </w:t>
      </w:r>
      <w:r w:rsidRPr="004C1A3A">
        <w:rPr>
          <w:rFonts w:ascii="Times New Roman" w:hAnsi="Times New Roman" w:cs="Times New Roman"/>
          <w:szCs w:val="24"/>
        </w:rPr>
        <w:t>particular</w:t>
      </w:r>
      <w:r w:rsidRPr="004C1A3A">
        <w:rPr>
          <w:rFonts w:ascii="Times New Roman" w:hAnsi="Times New Roman" w:cs="Times New Roman"/>
          <w:spacing w:val="-3"/>
          <w:szCs w:val="24"/>
        </w:rPr>
        <w:t xml:space="preserve"> </w:t>
      </w:r>
      <w:r w:rsidRPr="004C1A3A">
        <w:rPr>
          <w:rFonts w:ascii="Times New Roman" w:hAnsi="Times New Roman" w:cs="Times New Roman"/>
          <w:szCs w:val="24"/>
        </w:rPr>
        <w:t>circumstances giving rise to occupational liability, the liability of any person who is subject to this Scheme is capped both by this Scheme and also by any other Scheme under professional standards legislation (whether of this jurisdiction or under the law of any other Australian state or territory) and, if the amount of such caps should differ, then the cap on the liability of such person arising from such circumstances which is higher shall be the applicable</w:t>
      </w:r>
      <w:r w:rsidRPr="004C1A3A">
        <w:rPr>
          <w:rFonts w:ascii="Times New Roman" w:hAnsi="Times New Roman" w:cs="Times New Roman"/>
          <w:spacing w:val="-8"/>
          <w:szCs w:val="24"/>
        </w:rPr>
        <w:t xml:space="preserve"> </w:t>
      </w:r>
      <w:r w:rsidRPr="004C1A3A">
        <w:rPr>
          <w:rFonts w:ascii="Times New Roman" w:hAnsi="Times New Roman" w:cs="Times New Roman"/>
          <w:szCs w:val="24"/>
        </w:rPr>
        <w:t>cap.</w:t>
      </w:r>
    </w:p>
    <w:p w14:paraId="164FE9E4" w14:textId="77777777" w:rsidR="004C1A3A" w:rsidRPr="004C1A3A" w:rsidRDefault="004C1A3A" w:rsidP="004C1A3A">
      <w:pPr>
        <w:pStyle w:val="Heading1"/>
        <w:numPr>
          <w:ilvl w:val="0"/>
          <w:numId w:val="2"/>
        </w:numPr>
        <w:tabs>
          <w:tab w:val="left" w:pos="368"/>
        </w:tabs>
        <w:ind w:left="367" w:hanging="247"/>
        <w:rPr>
          <w:rFonts w:ascii="Times New Roman" w:hAnsi="Times New Roman" w:cs="Times New Roman"/>
          <w:sz w:val="24"/>
          <w:szCs w:val="24"/>
        </w:rPr>
      </w:pPr>
      <w:r w:rsidRPr="004C1A3A">
        <w:rPr>
          <w:rFonts w:ascii="Times New Roman" w:hAnsi="Times New Roman" w:cs="Times New Roman"/>
          <w:sz w:val="24"/>
          <w:szCs w:val="24"/>
        </w:rPr>
        <w:t>Conferral of discretionary</w:t>
      </w:r>
      <w:r w:rsidRPr="004C1A3A">
        <w:rPr>
          <w:rFonts w:ascii="Times New Roman" w:hAnsi="Times New Roman" w:cs="Times New Roman"/>
          <w:spacing w:val="3"/>
          <w:sz w:val="24"/>
          <w:szCs w:val="24"/>
        </w:rPr>
        <w:t xml:space="preserve"> </w:t>
      </w:r>
      <w:r w:rsidRPr="004C1A3A">
        <w:rPr>
          <w:rFonts w:ascii="Times New Roman" w:hAnsi="Times New Roman" w:cs="Times New Roman"/>
          <w:sz w:val="24"/>
          <w:szCs w:val="24"/>
        </w:rPr>
        <w:t>authority</w:t>
      </w:r>
    </w:p>
    <w:p w14:paraId="12CC8DF2" w14:textId="77777777" w:rsidR="004C1A3A" w:rsidRPr="004C1A3A" w:rsidRDefault="004C1A3A" w:rsidP="004C1A3A">
      <w:pPr>
        <w:pStyle w:val="BodyText"/>
        <w:spacing w:before="181" w:line="259" w:lineRule="auto"/>
        <w:ind w:left="120" w:right="129"/>
        <w:jc w:val="both"/>
        <w:rPr>
          <w:rFonts w:ascii="Times New Roman" w:hAnsi="Times New Roman" w:cs="Times New Roman"/>
          <w:sz w:val="22"/>
          <w:szCs w:val="22"/>
        </w:rPr>
      </w:pPr>
      <w:r w:rsidRPr="004C1A3A">
        <w:rPr>
          <w:rFonts w:ascii="Times New Roman" w:hAnsi="Times New Roman" w:cs="Times New Roman"/>
          <w:sz w:val="22"/>
          <w:szCs w:val="22"/>
        </w:rPr>
        <w:t>The Scheme confers on AIBS a discretionary authority to specify, on application by a person to whom the Scheme applies, in relation to that person, a higher monetary ceiling (maximum amount of liability) not exceeding $10 million, in all cases or in any specified case or class of case.</w:t>
      </w:r>
    </w:p>
    <w:p w14:paraId="4C6E46A5" w14:textId="77777777" w:rsidR="004C1A3A" w:rsidRPr="004C1A3A" w:rsidRDefault="004C1A3A" w:rsidP="004C1A3A">
      <w:pPr>
        <w:pStyle w:val="Heading1"/>
        <w:numPr>
          <w:ilvl w:val="0"/>
          <w:numId w:val="2"/>
        </w:numPr>
        <w:tabs>
          <w:tab w:val="left" w:pos="368"/>
        </w:tabs>
        <w:spacing w:before="160"/>
        <w:ind w:left="367" w:hanging="247"/>
        <w:rPr>
          <w:rFonts w:ascii="Times New Roman" w:hAnsi="Times New Roman" w:cs="Times New Roman"/>
          <w:sz w:val="24"/>
          <w:szCs w:val="24"/>
        </w:rPr>
      </w:pPr>
      <w:r w:rsidRPr="004C1A3A">
        <w:rPr>
          <w:rFonts w:ascii="Times New Roman" w:hAnsi="Times New Roman" w:cs="Times New Roman"/>
          <w:sz w:val="24"/>
          <w:szCs w:val="24"/>
        </w:rPr>
        <w:t>Commencement</w:t>
      </w:r>
    </w:p>
    <w:p w14:paraId="3D98F797" w14:textId="77777777" w:rsidR="004C1A3A" w:rsidRPr="004C1A3A" w:rsidRDefault="004C1A3A" w:rsidP="004C1A3A">
      <w:pPr>
        <w:pStyle w:val="BodyText"/>
        <w:spacing w:before="179"/>
        <w:ind w:left="120"/>
        <w:rPr>
          <w:rFonts w:ascii="Times New Roman" w:hAnsi="Times New Roman" w:cs="Times New Roman"/>
          <w:sz w:val="22"/>
          <w:szCs w:val="22"/>
        </w:rPr>
      </w:pPr>
      <w:r w:rsidRPr="004C1A3A">
        <w:rPr>
          <w:rFonts w:ascii="Times New Roman" w:hAnsi="Times New Roman" w:cs="Times New Roman"/>
          <w:sz w:val="22"/>
          <w:szCs w:val="22"/>
        </w:rPr>
        <w:t>The Scheme is intended to commence on the following day:</w:t>
      </w:r>
    </w:p>
    <w:p w14:paraId="305F38EB" w14:textId="77777777" w:rsidR="004C1A3A" w:rsidRPr="004C1A3A" w:rsidRDefault="004C1A3A" w:rsidP="004C1A3A">
      <w:pPr>
        <w:pStyle w:val="ListParagraph"/>
        <w:numPr>
          <w:ilvl w:val="0"/>
          <w:numId w:val="1"/>
        </w:numPr>
        <w:tabs>
          <w:tab w:val="left" w:pos="420"/>
        </w:tabs>
        <w:spacing w:line="261" w:lineRule="auto"/>
        <w:ind w:right="881" w:hanging="283"/>
        <w:rPr>
          <w:rFonts w:ascii="Times New Roman" w:hAnsi="Times New Roman" w:cs="Times New Roman"/>
          <w:szCs w:val="24"/>
        </w:rPr>
      </w:pPr>
      <w:r w:rsidRPr="004C1A3A">
        <w:rPr>
          <w:rFonts w:ascii="Times New Roman" w:hAnsi="Times New Roman" w:cs="Times New Roman"/>
          <w:szCs w:val="24"/>
        </w:rPr>
        <w:t>in</w:t>
      </w:r>
      <w:r w:rsidRPr="004C1A3A">
        <w:rPr>
          <w:rFonts w:ascii="Times New Roman" w:hAnsi="Times New Roman" w:cs="Times New Roman"/>
          <w:spacing w:val="-5"/>
          <w:szCs w:val="24"/>
        </w:rPr>
        <w:t xml:space="preserve"> </w:t>
      </w:r>
      <w:r w:rsidRPr="004C1A3A">
        <w:rPr>
          <w:rFonts w:ascii="Times New Roman" w:hAnsi="Times New Roman" w:cs="Times New Roman"/>
          <w:szCs w:val="24"/>
        </w:rPr>
        <w:t>New</w:t>
      </w:r>
      <w:r w:rsidRPr="004C1A3A">
        <w:rPr>
          <w:rFonts w:ascii="Times New Roman" w:hAnsi="Times New Roman" w:cs="Times New Roman"/>
          <w:spacing w:val="-4"/>
          <w:szCs w:val="24"/>
        </w:rPr>
        <w:t xml:space="preserve"> </w:t>
      </w:r>
      <w:r w:rsidRPr="004C1A3A">
        <w:rPr>
          <w:rFonts w:ascii="Times New Roman" w:hAnsi="Times New Roman" w:cs="Times New Roman"/>
          <w:szCs w:val="24"/>
        </w:rPr>
        <w:t>South</w:t>
      </w:r>
      <w:r w:rsidRPr="004C1A3A">
        <w:rPr>
          <w:rFonts w:ascii="Times New Roman" w:hAnsi="Times New Roman" w:cs="Times New Roman"/>
          <w:spacing w:val="-3"/>
          <w:szCs w:val="24"/>
        </w:rPr>
        <w:t xml:space="preserve"> </w:t>
      </w:r>
      <w:r w:rsidRPr="004C1A3A">
        <w:rPr>
          <w:rFonts w:ascii="Times New Roman" w:hAnsi="Times New Roman" w:cs="Times New Roman"/>
          <w:szCs w:val="24"/>
        </w:rPr>
        <w:t>Wales,</w:t>
      </w:r>
      <w:r w:rsidRPr="004C1A3A">
        <w:rPr>
          <w:rFonts w:ascii="Times New Roman" w:hAnsi="Times New Roman" w:cs="Times New Roman"/>
          <w:spacing w:val="-4"/>
          <w:szCs w:val="24"/>
        </w:rPr>
        <w:t xml:space="preserve"> </w:t>
      </w:r>
      <w:r w:rsidRPr="004C1A3A">
        <w:rPr>
          <w:rFonts w:ascii="Times New Roman" w:hAnsi="Times New Roman" w:cs="Times New Roman"/>
          <w:szCs w:val="24"/>
        </w:rPr>
        <w:t>the</w:t>
      </w:r>
      <w:r w:rsidRPr="004C1A3A">
        <w:rPr>
          <w:rFonts w:ascii="Times New Roman" w:hAnsi="Times New Roman" w:cs="Times New Roman"/>
          <w:spacing w:val="-5"/>
          <w:szCs w:val="24"/>
        </w:rPr>
        <w:t xml:space="preserve"> </w:t>
      </w:r>
      <w:r w:rsidRPr="004C1A3A">
        <w:rPr>
          <w:rFonts w:ascii="Times New Roman" w:hAnsi="Times New Roman" w:cs="Times New Roman"/>
          <w:szCs w:val="24"/>
        </w:rPr>
        <w:t>Northern</w:t>
      </w:r>
      <w:r w:rsidRPr="004C1A3A">
        <w:rPr>
          <w:rFonts w:ascii="Times New Roman" w:hAnsi="Times New Roman" w:cs="Times New Roman"/>
          <w:spacing w:val="-4"/>
          <w:szCs w:val="24"/>
        </w:rPr>
        <w:t xml:space="preserve"> </w:t>
      </w:r>
      <w:r w:rsidRPr="004C1A3A">
        <w:rPr>
          <w:rFonts w:ascii="Times New Roman" w:hAnsi="Times New Roman" w:cs="Times New Roman"/>
          <w:szCs w:val="24"/>
        </w:rPr>
        <w:t>Territory,</w:t>
      </w:r>
      <w:r w:rsidRPr="004C1A3A">
        <w:rPr>
          <w:rFonts w:ascii="Times New Roman" w:hAnsi="Times New Roman" w:cs="Times New Roman"/>
          <w:spacing w:val="-5"/>
          <w:szCs w:val="24"/>
        </w:rPr>
        <w:t xml:space="preserve"> </w:t>
      </w:r>
      <w:r w:rsidRPr="004C1A3A">
        <w:rPr>
          <w:rFonts w:ascii="Times New Roman" w:hAnsi="Times New Roman" w:cs="Times New Roman"/>
          <w:szCs w:val="24"/>
        </w:rPr>
        <w:t>Queensland,</w:t>
      </w:r>
      <w:r w:rsidRPr="004C1A3A">
        <w:rPr>
          <w:rFonts w:ascii="Times New Roman" w:hAnsi="Times New Roman" w:cs="Times New Roman"/>
          <w:spacing w:val="-4"/>
          <w:szCs w:val="24"/>
        </w:rPr>
        <w:t xml:space="preserve"> </w:t>
      </w:r>
      <w:r w:rsidRPr="004C1A3A">
        <w:rPr>
          <w:rFonts w:ascii="Times New Roman" w:hAnsi="Times New Roman" w:cs="Times New Roman"/>
          <w:szCs w:val="24"/>
        </w:rPr>
        <w:t>Tasmania,</w:t>
      </w:r>
      <w:r w:rsidRPr="004C1A3A">
        <w:rPr>
          <w:rFonts w:ascii="Times New Roman" w:hAnsi="Times New Roman" w:cs="Times New Roman"/>
          <w:spacing w:val="-3"/>
          <w:szCs w:val="24"/>
        </w:rPr>
        <w:t xml:space="preserve"> </w:t>
      </w:r>
      <w:r w:rsidRPr="004C1A3A">
        <w:rPr>
          <w:rFonts w:ascii="Times New Roman" w:hAnsi="Times New Roman" w:cs="Times New Roman"/>
          <w:szCs w:val="24"/>
        </w:rPr>
        <w:t>Victoria</w:t>
      </w:r>
      <w:r w:rsidRPr="004C1A3A">
        <w:rPr>
          <w:rFonts w:ascii="Times New Roman" w:hAnsi="Times New Roman" w:cs="Times New Roman"/>
          <w:spacing w:val="-2"/>
          <w:szCs w:val="24"/>
        </w:rPr>
        <w:t xml:space="preserve"> </w:t>
      </w:r>
      <w:r w:rsidRPr="004C1A3A">
        <w:rPr>
          <w:rFonts w:ascii="Times New Roman" w:hAnsi="Times New Roman" w:cs="Times New Roman"/>
          <w:szCs w:val="24"/>
        </w:rPr>
        <w:t>and</w:t>
      </w:r>
      <w:r w:rsidRPr="004C1A3A">
        <w:rPr>
          <w:rFonts w:ascii="Times New Roman" w:hAnsi="Times New Roman" w:cs="Times New Roman"/>
          <w:spacing w:val="-3"/>
          <w:szCs w:val="24"/>
        </w:rPr>
        <w:t xml:space="preserve"> </w:t>
      </w:r>
      <w:r w:rsidRPr="004C1A3A">
        <w:rPr>
          <w:rFonts w:ascii="Times New Roman" w:hAnsi="Times New Roman" w:cs="Times New Roman"/>
          <w:szCs w:val="24"/>
        </w:rPr>
        <w:t>Western Australia on 1 July 2021;</w:t>
      </w:r>
    </w:p>
    <w:p w14:paraId="501759C6" w14:textId="77777777" w:rsidR="004C1A3A" w:rsidRPr="004C1A3A" w:rsidRDefault="004C1A3A" w:rsidP="004C1A3A">
      <w:pPr>
        <w:pStyle w:val="ListParagraph"/>
        <w:numPr>
          <w:ilvl w:val="0"/>
          <w:numId w:val="1"/>
        </w:numPr>
        <w:tabs>
          <w:tab w:val="left" w:pos="420"/>
        </w:tabs>
        <w:spacing w:before="156"/>
        <w:ind w:left="419" w:hanging="299"/>
        <w:rPr>
          <w:rFonts w:ascii="Times New Roman" w:hAnsi="Times New Roman" w:cs="Times New Roman"/>
          <w:szCs w:val="24"/>
        </w:rPr>
      </w:pPr>
      <w:r w:rsidRPr="004C1A3A">
        <w:rPr>
          <w:rFonts w:ascii="Times New Roman" w:hAnsi="Times New Roman" w:cs="Times New Roman"/>
          <w:szCs w:val="24"/>
        </w:rPr>
        <w:t>in South Australia and the Australian Capital</w:t>
      </w:r>
      <w:r w:rsidRPr="004C1A3A">
        <w:rPr>
          <w:rFonts w:ascii="Times New Roman" w:hAnsi="Times New Roman" w:cs="Times New Roman"/>
          <w:spacing w:val="-1"/>
          <w:szCs w:val="24"/>
        </w:rPr>
        <w:t xml:space="preserve"> </w:t>
      </w:r>
      <w:r w:rsidRPr="004C1A3A">
        <w:rPr>
          <w:rFonts w:ascii="Times New Roman" w:hAnsi="Times New Roman" w:cs="Times New Roman"/>
          <w:szCs w:val="24"/>
        </w:rPr>
        <w:t>Territory:</w:t>
      </w:r>
    </w:p>
    <w:p w14:paraId="2ADBE8EF" w14:textId="77777777" w:rsidR="004C1A3A" w:rsidRPr="004C1A3A" w:rsidRDefault="004C1A3A" w:rsidP="004C1A3A">
      <w:pPr>
        <w:pStyle w:val="ListParagraph"/>
        <w:numPr>
          <w:ilvl w:val="1"/>
          <w:numId w:val="1"/>
        </w:numPr>
        <w:tabs>
          <w:tab w:val="left" w:pos="1073"/>
        </w:tabs>
        <w:ind w:hanging="232"/>
        <w:rPr>
          <w:rFonts w:ascii="Times New Roman" w:hAnsi="Times New Roman" w:cs="Times New Roman"/>
          <w:szCs w:val="24"/>
        </w:rPr>
      </w:pPr>
      <w:r w:rsidRPr="004C1A3A">
        <w:rPr>
          <w:rFonts w:ascii="Times New Roman" w:hAnsi="Times New Roman" w:cs="Times New Roman"/>
          <w:szCs w:val="24"/>
        </w:rPr>
        <w:t>on the date provided for in the Minister’s notice, if a date is provided;</w:t>
      </w:r>
      <w:r w:rsidRPr="004C1A3A">
        <w:rPr>
          <w:rFonts w:ascii="Times New Roman" w:hAnsi="Times New Roman" w:cs="Times New Roman"/>
          <w:spacing w:val="-10"/>
          <w:szCs w:val="24"/>
        </w:rPr>
        <w:t xml:space="preserve"> </w:t>
      </w:r>
      <w:r w:rsidRPr="004C1A3A">
        <w:rPr>
          <w:rFonts w:ascii="Times New Roman" w:hAnsi="Times New Roman" w:cs="Times New Roman"/>
          <w:szCs w:val="24"/>
        </w:rPr>
        <w:t>or</w:t>
      </w:r>
    </w:p>
    <w:p w14:paraId="5183D0CB" w14:textId="77777777" w:rsidR="004C1A3A" w:rsidRPr="004C1A3A" w:rsidRDefault="004C1A3A" w:rsidP="004C1A3A">
      <w:pPr>
        <w:pStyle w:val="ListParagraph"/>
        <w:numPr>
          <w:ilvl w:val="1"/>
          <w:numId w:val="1"/>
        </w:numPr>
        <w:tabs>
          <w:tab w:val="left" w:pos="1117"/>
        </w:tabs>
        <w:ind w:left="1116" w:hanging="276"/>
        <w:rPr>
          <w:rFonts w:ascii="Times New Roman" w:hAnsi="Times New Roman" w:cs="Times New Roman"/>
          <w:szCs w:val="24"/>
        </w:rPr>
      </w:pPr>
      <w:r w:rsidRPr="004C1A3A">
        <w:rPr>
          <w:rFonts w:ascii="Times New Roman" w:hAnsi="Times New Roman" w:cs="Times New Roman"/>
          <w:szCs w:val="24"/>
        </w:rPr>
        <w:t>on the first day two months after the day on which notice was given, in any other</w:t>
      </w:r>
      <w:r w:rsidRPr="004C1A3A">
        <w:rPr>
          <w:rFonts w:ascii="Times New Roman" w:hAnsi="Times New Roman" w:cs="Times New Roman"/>
          <w:spacing w:val="-26"/>
          <w:szCs w:val="24"/>
        </w:rPr>
        <w:t xml:space="preserve"> </w:t>
      </w:r>
      <w:r w:rsidRPr="004C1A3A">
        <w:rPr>
          <w:rFonts w:ascii="Times New Roman" w:hAnsi="Times New Roman" w:cs="Times New Roman"/>
          <w:szCs w:val="24"/>
        </w:rPr>
        <w:t>case.</w:t>
      </w:r>
    </w:p>
    <w:p w14:paraId="48EDEFE2" w14:textId="77777777" w:rsidR="004C1A3A" w:rsidRPr="004C1A3A" w:rsidRDefault="004C1A3A" w:rsidP="004C1A3A">
      <w:pPr>
        <w:pStyle w:val="Heading1"/>
        <w:numPr>
          <w:ilvl w:val="0"/>
          <w:numId w:val="2"/>
        </w:numPr>
        <w:tabs>
          <w:tab w:val="left" w:pos="368"/>
        </w:tabs>
        <w:spacing w:before="178"/>
        <w:ind w:left="367" w:hanging="247"/>
        <w:rPr>
          <w:rFonts w:ascii="Times New Roman" w:hAnsi="Times New Roman" w:cs="Times New Roman"/>
          <w:sz w:val="24"/>
          <w:szCs w:val="24"/>
        </w:rPr>
      </w:pPr>
      <w:r w:rsidRPr="004C1A3A">
        <w:rPr>
          <w:rFonts w:ascii="Times New Roman" w:hAnsi="Times New Roman" w:cs="Times New Roman"/>
          <w:sz w:val="24"/>
          <w:szCs w:val="24"/>
        </w:rPr>
        <w:t>Duration</w:t>
      </w:r>
    </w:p>
    <w:p w14:paraId="6B189FC5" w14:textId="77777777" w:rsidR="004C1A3A" w:rsidRPr="004C1A3A" w:rsidRDefault="004C1A3A" w:rsidP="004C1A3A">
      <w:pPr>
        <w:pStyle w:val="ListParagraph"/>
        <w:numPr>
          <w:ilvl w:val="1"/>
          <w:numId w:val="2"/>
        </w:numPr>
        <w:tabs>
          <w:tab w:val="left" w:pos="452"/>
        </w:tabs>
        <w:spacing w:before="179" w:line="261" w:lineRule="auto"/>
        <w:ind w:right="431" w:firstLine="0"/>
        <w:rPr>
          <w:rFonts w:ascii="Times New Roman" w:hAnsi="Times New Roman" w:cs="Times New Roman"/>
          <w:szCs w:val="24"/>
        </w:rPr>
      </w:pPr>
      <w:r w:rsidRPr="004C1A3A">
        <w:rPr>
          <w:rFonts w:ascii="Times New Roman" w:hAnsi="Times New Roman" w:cs="Times New Roman"/>
          <w:szCs w:val="24"/>
        </w:rPr>
        <w:t>The Scheme will be in force for a period of 5 years from the date of commencement unless it is revoked or otherwise ends, or it is extended, in accordance with the</w:t>
      </w:r>
      <w:r w:rsidRPr="004C1A3A">
        <w:rPr>
          <w:rFonts w:ascii="Times New Roman" w:hAnsi="Times New Roman" w:cs="Times New Roman"/>
          <w:spacing w:val="-9"/>
          <w:szCs w:val="24"/>
        </w:rPr>
        <w:t xml:space="preserve"> </w:t>
      </w:r>
      <w:r w:rsidRPr="004C1A3A">
        <w:rPr>
          <w:rFonts w:ascii="Times New Roman" w:hAnsi="Times New Roman" w:cs="Times New Roman"/>
          <w:szCs w:val="24"/>
        </w:rPr>
        <w:t>Act.</w:t>
      </w:r>
    </w:p>
    <w:p w14:paraId="2AB62D46" w14:textId="77777777" w:rsidR="004C1A3A" w:rsidRPr="004C1A3A" w:rsidRDefault="004C1A3A" w:rsidP="004C1A3A">
      <w:pPr>
        <w:pStyle w:val="ListParagraph"/>
        <w:numPr>
          <w:ilvl w:val="1"/>
          <w:numId w:val="2"/>
        </w:numPr>
        <w:tabs>
          <w:tab w:val="left" w:pos="452"/>
        </w:tabs>
        <w:spacing w:before="156" w:line="256" w:lineRule="auto"/>
        <w:ind w:right="174" w:firstLine="0"/>
        <w:rPr>
          <w:rFonts w:ascii="Times New Roman" w:hAnsi="Times New Roman" w:cs="Times New Roman"/>
          <w:szCs w:val="24"/>
        </w:rPr>
      </w:pPr>
      <w:r w:rsidRPr="004C1A3A">
        <w:rPr>
          <w:rFonts w:ascii="Times New Roman" w:hAnsi="Times New Roman" w:cs="Times New Roman"/>
          <w:szCs w:val="24"/>
        </w:rPr>
        <w:lastRenderedPageBreak/>
        <w:t>The Scheme will cease to operate in any jurisdiction other than New South Wales if it is revoked or</w:t>
      </w:r>
      <w:r w:rsidRPr="004C1A3A">
        <w:rPr>
          <w:rFonts w:ascii="Times New Roman" w:hAnsi="Times New Roman" w:cs="Times New Roman"/>
          <w:spacing w:val="-3"/>
          <w:szCs w:val="24"/>
        </w:rPr>
        <w:t xml:space="preserve"> </w:t>
      </w:r>
      <w:r w:rsidRPr="004C1A3A">
        <w:rPr>
          <w:rFonts w:ascii="Times New Roman" w:hAnsi="Times New Roman" w:cs="Times New Roman"/>
          <w:szCs w:val="24"/>
        </w:rPr>
        <w:t>otherwise</w:t>
      </w:r>
      <w:r w:rsidRPr="004C1A3A">
        <w:rPr>
          <w:rFonts w:ascii="Times New Roman" w:hAnsi="Times New Roman" w:cs="Times New Roman"/>
          <w:spacing w:val="-3"/>
          <w:szCs w:val="24"/>
        </w:rPr>
        <w:t xml:space="preserve"> </w:t>
      </w:r>
      <w:r w:rsidRPr="004C1A3A">
        <w:rPr>
          <w:rFonts w:ascii="Times New Roman" w:hAnsi="Times New Roman" w:cs="Times New Roman"/>
          <w:szCs w:val="24"/>
        </w:rPr>
        <w:t>ends</w:t>
      </w:r>
      <w:r w:rsidRPr="004C1A3A">
        <w:rPr>
          <w:rFonts w:ascii="Times New Roman" w:hAnsi="Times New Roman" w:cs="Times New Roman"/>
          <w:spacing w:val="-2"/>
          <w:szCs w:val="24"/>
        </w:rPr>
        <w:t xml:space="preserve"> </w:t>
      </w:r>
      <w:r w:rsidRPr="004C1A3A">
        <w:rPr>
          <w:rFonts w:ascii="Times New Roman" w:hAnsi="Times New Roman" w:cs="Times New Roman"/>
          <w:szCs w:val="24"/>
        </w:rPr>
        <w:t>in</w:t>
      </w:r>
      <w:r w:rsidRPr="004C1A3A">
        <w:rPr>
          <w:rFonts w:ascii="Times New Roman" w:hAnsi="Times New Roman" w:cs="Times New Roman"/>
          <w:spacing w:val="-3"/>
          <w:szCs w:val="24"/>
        </w:rPr>
        <w:t xml:space="preserve"> </w:t>
      </w:r>
      <w:r w:rsidRPr="004C1A3A">
        <w:rPr>
          <w:rFonts w:ascii="Times New Roman" w:hAnsi="Times New Roman" w:cs="Times New Roman"/>
          <w:szCs w:val="24"/>
        </w:rPr>
        <w:t>accordance</w:t>
      </w:r>
      <w:r w:rsidRPr="004C1A3A">
        <w:rPr>
          <w:rFonts w:ascii="Times New Roman" w:hAnsi="Times New Roman" w:cs="Times New Roman"/>
          <w:spacing w:val="-4"/>
          <w:szCs w:val="24"/>
        </w:rPr>
        <w:t xml:space="preserve"> </w:t>
      </w:r>
      <w:r w:rsidRPr="004C1A3A">
        <w:rPr>
          <w:rFonts w:ascii="Times New Roman" w:hAnsi="Times New Roman" w:cs="Times New Roman"/>
          <w:szCs w:val="24"/>
        </w:rPr>
        <w:t>with</w:t>
      </w:r>
      <w:r w:rsidRPr="004C1A3A">
        <w:rPr>
          <w:rFonts w:ascii="Times New Roman" w:hAnsi="Times New Roman" w:cs="Times New Roman"/>
          <w:spacing w:val="-3"/>
          <w:szCs w:val="24"/>
        </w:rPr>
        <w:t xml:space="preserve"> </w:t>
      </w:r>
      <w:r w:rsidRPr="004C1A3A">
        <w:rPr>
          <w:rFonts w:ascii="Times New Roman" w:hAnsi="Times New Roman" w:cs="Times New Roman"/>
          <w:szCs w:val="24"/>
        </w:rPr>
        <w:t>the</w:t>
      </w:r>
      <w:r w:rsidRPr="004C1A3A">
        <w:rPr>
          <w:rFonts w:ascii="Times New Roman" w:hAnsi="Times New Roman" w:cs="Times New Roman"/>
          <w:spacing w:val="-3"/>
          <w:szCs w:val="24"/>
        </w:rPr>
        <w:t xml:space="preserve"> </w:t>
      </w:r>
      <w:r w:rsidRPr="004C1A3A">
        <w:rPr>
          <w:rFonts w:ascii="Times New Roman" w:hAnsi="Times New Roman" w:cs="Times New Roman"/>
          <w:szCs w:val="24"/>
        </w:rPr>
        <w:t>corresponding</w:t>
      </w:r>
      <w:r w:rsidRPr="004C1A3A">
        <w:rPr>
          <w:rFonts w:ascii="Times New Roman" w:hAnsi="Times New Roman" w:cs="Times New Roman"/>
          <w:spacing w:val="-3"/>
          <w:szCs w:val="24"/>
        </w:rPr>
        <w:t xml:space="preserve"> </w:t>
      </w:r>
      <w:r w:rsidRPr="004C1A3A">
        <w:rPr>
          <w:rFonts w:ascii="Times New Roman" w:hAnsi="Times New Roman" w:cs="Times New Roman"/>
          <w:szCs w:val="24"/>
        </w:rPr>
        <w:t>law</w:t>
      </w:r>
      <w:r w:rsidRPr="004C1A3A">
        <w:rPr>
          <w:rFonts w:ascii="Times New Roman" w:hAnsi="Times New Roman" w:cs="Times New Roman"/>
          <w:spacing w:val="-3"/>
          <w:szCs w:val="24"/>
        </w:rPr>
        <w:t xml:space="preserve"> </w:t>
      </w:r>
      <w:r w:rsidRPr="004C1A3A">
        <w:rPr>
          <w:rFonts w:ascii="Times New Roman" w:hAnsi="Times New Roman" w:cs="Times New Roman"/>
          <w:szCs w:val="24"/>
        </w:rPr>
        <w:t>(as</w:t>
      </w:r>
      <w:r w:rsidRPr="004C1A3A">
        <w:rPr>
          <w:rFonts w:ascii="Times New Roman" w:hAnsi="Times New Roman" w:cs="Times New Roman"/>
          <w:spacing w:val="-3"/>
          <w:szCs w:val="24"/>
        </w:rPr>
        <w:t xml:space="preserve"> </w:t>
      </w:r>
      <w:r w:rsidRPr="004C1A3A">
        <w:rPr>
          <w:rFonts w:ascii="Times New Roman" w:hAnsi="Times New Roman" w:cs="Times New Roman"/>
          <w:szCs w:val="24"/>
        </w:rPr>
        <w:t>defined</w:t>
      </w:r>
      <w:r w:rsidRPr="004C1A3A">
        <w:rPr>
          <w:rFonts w:ascii="Times New Roman" w:hAnsi="Times New Roman" w:cs="Times New Roman"/>
          <w:spacing w:val="-1"/>
          <w:szCs w:val="24"/>
        </w:rPr>
        <w:t xml:space="preserve"> </w:t>
      </w:r>
      <w:r w:rsidRPr="004C1A3A">
        <w:rPr>
          <w:rFonts w:ascii="Times New Roman" w:hAnsi="Times New Roman" w:cs="Times New Roman"/>
          <w:szCs w:val="24"/>
        </w:rPr>
        <w:t>in</w:t>
      </w:r>
      <w:r w:rsidRPr="004C1A3A">
        <w:rPr>
          <w:rFonts w:ascii="Times New Roman" w:hAnsi="Times New Roman" w:cs="Times New Roman"/>
          <w:spacing w:val="-3"/>
          <w:szCs w:val="24"/>
        </w:rPr>
        <w:t xml:space="preserve"> </w:t>
      </w:r>
      <w:r w:rsidRPr="004C1A3A">
        <w:rPr>
          <w:rFonts w:ascii="Times New Roman" w:hAnsi="Times New Roman" w:cs="Times New Roman"/>
          <w:szCs w:val="24"/>
        </w:rPr>
        <w:t>the</w:t>
      </w:r>
      <w:r w:rsidRPr="004C1A3A">
        <w:rPr>
          <w:rFonts w:ascii="Times New Roman" w:hAnsi="Times New Roman" w:cs="Times New Roman"/>
          <w:spacing w:val="-2"/>
          <w:szCs w:val="24"/>
        </w:rPr>
        <w:t xml:space="preserve"> </w:t>
      </w:r>
      <w:r w:rsidRPr="004C1A3A">
        <w:rPr>
          <w:rFonts w:ascii="Times New Roman" w:hAnsi="Times New Roman" w:cs="Times New Roman"/>
          <w:szCs w:val="24"/>
        </w:rPr>
        <w:t>Act)</w:t>
      </w:r>
      <w:r w:rsidRPr="004C1A3A">
        <w:rPr>
          <w:rFonts w:ascii="Times New Roman" w:hAnsi="Times New Roman" w:cs="Times New Roman"/>
          <w:spacing w:val="-2"/>
          <w:szCs w:val="24"/>
        </w:rPr>
        <w:t xml:space="preserve"> </w:t>
      </w:r>
      <w:r w:rsidRPr="004C1A3A">
        <w:rPr>
          <w:rFonts w:ascii="Times New Roman" w:hAnsi="Times New Roman" w:cs="Times New Roman"/>
          <w:szCs w:val="24"/>
        </w:rPr>
        <w:t>of</w:t>
      </w:r>
      <w:r w:rsidRPr="004C1A3A">
        <w:rPr>
          <w:rFonts w:ascii="Times New Roman" w:hAnsi="Times New Roman" w:cs="Times New Roman"/>
          <w:spacing w:val="-3"/>
          <w:szCs w:val="24"/>
        </w:rPr>
        <w:t xml:space="preserve"> </w:t>
      </w:r>
      <w:r w:rsidRPr="004C1A3A">
        <w:rPr>
          <w:rFonts w:ascii="Times New Roman" w:hAnsi="Times New Roman" w:cs="Times New Roman"/>
          <w:szCs w:val="24"/>
        </w:rPr>
        <w:t>that</w:t>
      </w:r>
      <w:r w:rsidRPr="004C1A3A">
        <w:rPr>
          <w:rFonts w:ascii="Times New Roman" w:hAnsi="Times New Roman" w:cs="Times New Roman"/>
          <w:spacing w:val="-3"/>
          <w:szCs w:val="24"/>
        </w:rPr>
        <w:t xml:space="preserve"> </w:t>
      </w:r>
      <w:r w:rsidRPr="004C1A3A">
        <w:rPr>
          <w:rFonts w:ascii="Times New Roman" w:hAnsi="Times New Roman" w:cs="Times New Roman"/>
          <w:szCs w:val="24"/>
        </w:rPr>
        <w:t>jurisdiction.</w:t>
      </w:r>
    </w:p>
    <w:p w14:paraId="7FB652AC" w14:textId="77777777" w:rsidR="004C1A3A" w:rsidRPr="004C1A3A" w:rsidRDefault="004C1A3A" w:rsidP="006278C8">
      <w:pPr>
        <w:pStyle w:val="Heading1"/>
        <w:numPr>
          <w:ilvl w:val="0"/>
          <w:numId w:val="2"/>
        </w:numPr>
        <w:tabs>
          <w:tab w:val="left" w:pos="368"/>
        </w:tabs>
        <w:spacing w:before="178"/>
        <w:ind w:left="368" w:hanging="249"/>
        <w:rPr>
          <w:rFonts w:ascii="Times New Roman" w:hAnsi="Times New Roman" w:cs="Times New Roman"/>
          <w:sz w:val="24"/>
          <w:szCs w:val="24"/>
        </w:rPr>
      </w:pPr>
      <w:r w:rsidRPr="004C1A3A">
        <w:rPr>
          <w:rFonts w:ascii="Times New Roman" w:hAnsi="Times New Roman" w:cs="Times New Roman"/>
          <w:sz w:val="24"/>
          <w:szCs w:val="24"/>
        </w:rPr>
        <w:t>Definitions</w:t>
      </w:r>
    </w:p>
    <w:p w14:paraId="108E9509" w14:textId="77777777" w:rsidR="004C1A3A" w:rsidRPr="004C1A3A" w:rsidRDefault="004C1A3A" w:rsidP="004C1A3A">
      <w:pPr>
        <w:pStyle w:val="BodyText"/>
        <w:spacing w:before="179" w:line="261" w:lineRule="auto"/>
        <w:ind w:left="120" w:right="347"/>
        <w:rPr>
          <w:rFonts w:ascii="Times New Roman" w:hAnsi="Times New Roman" w:cs="Times New Roman"/>
          <w:sz w:val="22"/>
          <w:szCs w:val="22"/>
        </w:rPr>
      </w:pPr>
      <w:r w:rsidRPr="004C1A3A">
        <w:rPr>
          <w:rFonts w:ascii="Times New Roman" w:hAnsi="Times New Roman" w:cs="Times New Roman"/>
          <w:sz w:val="22"/>
          <w:szCs w:val="22"/>
        </w:rPr>
        <w:t>“Accredited Members” means a person who has been issued a certificate of accreditation under the National Accreditation Scheme.</w:t>
      </w:r>
    </w:p>
    <w:p w14:paraId="48F83A2F" w14:textId="77777777" w:rsidR="004C1A3A" w:rsidRPr="004C1A3A" w:rsidRDefault="004C1A3A" w:rsidP="004C1A3A">
      <w:pPr>
        <w:pStyle w:val="BodyText"/>
        <w:spacing w:before="156"/>
        <w:ind w:left="120"/>
        <w:rPr>
          <w:rFonts w:ascii="Times New Roman" w:hAnsi="Times New Roman" w:cs="Times New Roman"/>
          <w:sz w:val="22"/>
          <w:szCs w:val="22"/>
        </w:rPr>
      </w:pPr>
      <w:r w:rsidRPr="004C1A3A">
        <w:rPr>
          <w:rFonts w:ascii="Times New Roman" w:hAnsi="Times New Roman" w:cs="Times New Roman"/>
          <w:sz w:val="22"/>
          <w:szCs w:val="22"/>
        </w:rPr>
        <w:t>“Act” means the Professional Standards Act 1994 (NSW).</w:t>
      </w:r>
    </w:p>
    <w:p w14:paraId="75DCF496" w14:textId="77777777" w:rsidR="004C1A3A" w:rsidRPr="004C1A3A" w:rsidRDefault="004C1A3A" w:rsidP="004C1A3A">
      <w:pPr>
        <w:pStyle w:val="BodyText"/>
        <w:ind w:left="120"/>
        <w:rPr>
          <w:rFonts w:ascii="Times New Roman" w:hAnsi="Times New Roman" w:cs="Times New Roman"/>
          <w:sz w:val="22"/>
          <w:szCs w:val="22"/>
        </w:rPr>
      </w:pPr>
      <w:r w:rsidRPr="004C1A3A">
        <w:rPr>
          <w:rFonts w:ascii="Times New Roman" w:hAnsi="Times New Roman" w:cs="Times New Roman"/>
          <w:sz w:val="22"/>
          <w:szCs w:val="22"/>
        </w:rPr>
        <w:t>“AIBS” means The Australian Institute of Building Surveyors Limited.</w:t>
      </w:r>
    </w:p>
    <w:p w14:paraId="38A024B1" w14:textId="77777777" w:rsidR="004C1A3A" w:rsidRPr="004C1A3A" w:rsidRDefault="004C1A3A" w:rsidP="004C1A3A">
      <w:pPr>
        <w:pStyle w:val="BodyText"/>
        <w:ind w:left="120"/>
        <w:rPr>
          <w:rFonts w:ascii="Times New Roman" w:hAnsi="Times New Roman" w:cs="Times New Roman"/>
          <w:sz w:val="22"/>
          <w:szCs w:val="22"/>
        </w:rPr>
      </w:pPr>
      <w:r w:rsidRPr="004C1A3A">
        <w:rPr>
          <w:rFonts w:ascii="Times New Roman" w:hAnsi="Times New Roman" w:cs="Times New Roman"/>
          <w:sz w:val="22"/>
          <w:szCs w:val="22"/>
        </w:rPr>
        <w:t>“AIBS Insurance Standards” means the insurance standards approved by AIBS from time to time.</w:t>
      </w:r>
    </w:p>
    <w:p w14:paraId="72AC5A10" w14:textId="77777777" w:rsidR="004C1A3A" w:rsidRPr="004C1A3A" w:rsidRDefault="004C1A3A" w:rsidP="004C1A3A">
      <w:pPr>
        <w:pStyle w:val="BodyText"/>
        <w:spacing w:line="261" w:lineRule="auto"/>
        <w:ind w:left="120" w:right="459"/>
        <w:rPr>
          <w:rFonts w:ascii="Times New Roman" w:hAnsi="Times New Roman" w:cs="Times New Roman"/>
          <w:sz w:val="22"/>
          <w:szCs w:val="22"/>
        </w:rPr>
      </w:pPr>
      <w:r w:rsidRPr="004C1A3A">
        <w:rPr>
          <w:rFonts w:ascii="Times New Roman" w:hAnsi="Times New Roman" w:cs="Times New Roman"/>
          <w:sz w:val="22"/>
          <w:szCs w:val="22"/>
        </w:rPr>
        <w:t>“AIBS Membership Policy” means the membership policy effective as at 1 January 2021 (Doc Ref: P006, Version 003/01-Jan-21).</w:t>
      </w:r>
    </w:p>
    <w:p w14:paraId="590807C1" w14:textId="77777777" w:rsidR="004C1A3A" w:rsidRPr="004C1A3A" w:rsidRDefault="004C1A3A" w:rsidP="004C1A3A">
      <w:pPr>
        <w:pStyle w:val="BodyText"/>
        <w:spacing w:before="156" w:line="256" w:lineRule="auto"/>
        <w:ind w:right="248"/>
        <w:rPr>
          <w:rFonts w:ascii="Times New Roman" w:hAnsi="Times New Roman" w:cs="Times New Roman"/>
          <w:sz w:val="22"/>
          <w:szCs w:val="22"/>
        </w:rPr>
      </w:pPr>
      <w:r w:rsidRPr="004C1A3A">
        <w:rPr>
          <w:rFonts w:ascii="Times New Roman" w:hAnsi="Times New Roman" w:cs="Times New Roman"/>
          <w:sz w:val="22"/>
          <w:szCs w:val="22"/>
        </w:rPr>
        <w:t>“Body Corporate Member” means a body corporate or other entity which is accredited by AIBS as an Accredited Member.</w:t>
      </w:r>
    </w:p>
    <w:p w14:paraId="241E5F57" w14:textId="77777777" w:rsidR="004C1A3A" w:rsidRPr="004C1A3A" w:rsidRDefault="004C1A3A" w:rsidP="004C1A3A">
      <w:pPr>
        <w:pStyle w:val="BodyText"/>
        <w:spacing w:before="163" w:line="261" w:lineRule="auto"/>
        <w:ind w:right="693"/>
        <w:rPr>
          <w:rFonts w:ascii="Times New Roman" w:hAnsi="Times New Roman" w:cs="Times New Roman"/>
          <w:sz w:val="22"/>
          <w:szCs w:val="22"/>
        </w:rPr>
      </w:pPr>
      <w:r w:rsidRPr="004C1A3A">
        <w:rPr>
          <w:rFonts w:ascii="Times New Roman" w:hAnsi="Times New Roman" w:cs="Times New Roman"/>
          <w:sz w:val="22"/>
          <w:szCs w:val="22"/>
        </w:rPr>
        <w:t>“Level 1” means building surveying functions for all other classes of buildings (as defined by the Building Code of Australia).</w:t>
      </w:r>
    </w:p>
    <w:p w14:paraId="3C3C597C" w14:textId="77777777" w:rsidR="004C1A3A" w:rsidRPr="004C1A3A" w:rsidRDefault="004C1A3A" w:rsidP="004C1A3A">
      <w:pPr>
        <w:pStyle w:val="BodyText"/>
        <w:spacing w:before="156" w:line="256" w:lineRule="auto"/>
        <w:ind w:right="259"/>
        <w:rPr>
          <w:rFonts w:ascii="Times New Roman" w:hAnsi="Times New Roman" w:cs="Times New Roman"/>
          <w:sz w:val="22"/>
          <w:szCs w:val="22"/>
        </w:rPr>
      </w:pPr>
      <w:r w:rsidRPr="004C1A3A">
        <w:rPr>
          <w:rFonts w:ascii="Times New Roman" w:hAnsi="Times New Roman" w:cs="Times New Roman"/>
          <w:sz w:val="22"/>
          <w:szCs w:val="22"/>
        </w:rPr>
        <w:t>“Level 2” means building surveying functions for Class 1 and Class 10 buildings not exceeding a rise in storeys of 3 (as defined by the Building Code of Australia) unless legislated otherwise.</w:t>
      </w:r>
    </w:p>
    <w:p w14:paraId="7241AB75" w14:textId="77777777" w:rsidR="004C1A3A" w:rsidRPr="004C1A3A" w:rsidRDefault="004C1A3A" w:rsidP="004C1A3A">
      <w:pPr>
        <w:pStyle w:val="BodyText"/>
        <w:spacing w:before="163" w:line="261" w:lineRule="auto"/>
        <w:ind w:right="893"/>
        <w:rPr>
          <w:rFonts w:ascii="Times New Roman" w:hAnsi="Times New Roman" w:cs="Times New Roman"/>
          <w:sz w:val="22"/>
          <w:szCs w:val="22"/>
        </w:rPr>
      </w:pPr>
      <w:r w:rsidRPr="004C1A3A">
        <w:rPr>
          <w:rFonts w:ascii="Times New Roman" w:hAnsi="Times New Roman" w:cs="Times New Roman"/>
          <w:sz w:val="22"/>
          <w:szCs w:val="22"/>
        </w:rPr>
        <w:t>“National Accreditation Scheme” means the scheme administered by AIBS under which AIBS accredits building surveying professionals to practice.</w:t>
      </w:r>
    </w:p>
    <w:p w14:paraId="5C5B974C" w14:textId="77777777" w:rsidR="004C1A3A" w:rsidRPr="004C1A3A" w:rsidRDefault="004C1A3A" w:rsidP="004C1A3A">
      <w:pPr>
        <w:pStyle w:val="BodyText"/>
        <w:spacing w:before="157"/>
        <w:rPr>
          <w:rFonts w:ascii="Times New Roman" w:hAnsi="Times New Roman" w:cs="Times New Roman"/>
          <w:sz w:val="22"/>
          <w:szCs w:val="22"/>
        </w:rPr>
      </w:pPr>
      <w:r w:rsidRPr="004C1A3A">
        <w:rPr>
          <w:rFonts w:ascii="Times New Roman" w:hAnsi="Times New Roman" w:cs="Times New Roman"/>
          <w:sz w:val="22"/>
          <w:szCs w:val="22"/>
        </w:rPr>
        <w:t>“Occupational Liability” has the same meaning as in the Act.</w:t>
      </w:r>
    </w:p>
    <w:p w14:paraId="40C818C0" w14:textId="77777777" w:rsidR="004C1A3A" w:rsidRPr="004C1A3A" w:rsidRDefault="004C1A3A" w:rsidP="004C1A3A">
      <w:pPr>
        <w:pStyle w:val="BodyText"/>
        <w:spacing w:line="256" w:lineRule="auto"/>
        <w:ind w:right="205"/>
        <w:rPr>
          <w:rFonts w:ascii="Times New Roman" w:hAnsi="Times New Roman" w:cs="Times New Roman"/>
          <w:sz w:val="22"/>
          <w:szCs w:val="22"/>
        </w:rPr>
      </w:pPr>
      <w:r w:rsidRPr="004C1A3A">
        <w:rPr>
          <w:rFonts w:ascii="Times New Roman" w:hAnsi="Times New Roman" w:cs="Times New Roman"/>
          <w:sz w:val="22"/>
          <w:szCs w:val="22"/>
        </w:rPr>
        <w:t>“Practising Member” means a Practising Member (including a Body Corporate Member) as defined in the AIBS Membership Policy.</w:t>
      </w:r>
    </w:p>
    <w:p w14:paraId="08DBECEA" w14:textId="77777777" w:rsidR="00594D16" w:rsidRPr="004C1A3A" w:rsidRDefault="00594D16">
      <w:pPr>
        <w:rPr>
          <w:sz w:val="28"/>
          <w:szCs w:val="22"/>
        </w:rPr>
      </w:pPr>
    </w:p>
    <w:sectPr w:rsidR="00594D16" w:rsidRPr="004C1A3A" w:rsidSect="006278C8">
      <w:pgSz w:w="11906" w:h="16838"/>
      <w:pgMar w:top="1338" w:right="1440" w:bottom="27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2AB89" w14:textId="77777777" w:rsidR="0085418C" w:rsidRDefault="0085418C" w:rsidP="00AF5660">
      <w:r>
        <w:separator/>
      </w:r>
    </w:p>
  </w:endnote>
  <w:endnote w:type="continuationSeparator" w:id="0">
    <w:p w14:paraId="10CD7225" w14:textId="77777777" w:rsidR="0085418C" w:rsidRDefault="0085418C" w:rsidP="00A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E8D7E" w14:textId="77777777" w:rsidR="00564AFC" w:rsidRDefault="0056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777C6" w14:textId="0EEAC515" w:rsidR="00AF5660" w:rsidRPr="00564AFC" w:rsidRDefault="00564AFC" w:rsidP="00564AFC">
    <w:pPr>
      <w:pStyle w:val="Footer"/>
      <w:jc w:val="center"/>
      <w:rPr>
        <w:rFonts w:ascii="Arial" w:hAnsi="Arial" w:cs="Arial"/>
        <w:sz w:val="14"/>
      </w:rPr>
    </w:pPr>
    <w:r w:rsidRPr="00564AF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7DE0" w14:textId="77777777" w:rsidR="00564AFC" w:rsidRDefault="0056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359D9" w14:textId="77777777" w:rsidR="0085418C" w:rsidRDefault="0085418C" w:rsidP="00AF5660">
      <w:r>
        <w:separator/>
      </w:r>
    </w:p>
  </w:footnote>
  <w:footnote w:type="continuationSeparator" w:id="0">
    <w:p w14:paraId="41558878" w14:textId="77777777" w:rsidR="0085418C" w:rsidRDefault="0085418C" w:rsidP="00AF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EF5F" w14:textId="77777777" w:rsidR="00564AFC" w:rsidRDefault="00564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2735" w14:textId="77777777" w:rsidR="00564AFC" w:rsidRDefault="00564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F04A" w14:textId="77777777" w:rsidR="00564AFC" w:rsidRDefault="0056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1553D"/>
    <w:multiLevelType w:val="hybridMultilevel"/>
    <w:tmpl w:val="7A72EDE6"/>
    <w:lvl w:ilvl="0" w:tplc="2D40594C">
      <w:start w:val="1"/>
      <w:numFmt w:val="lowerLetter"/>
      <w:lvlText w:val="(%1)"/>
      <w:lvlJc w:val="left"/>
      <w:pPr>
        <w:ind w:left="403" w:hanging="300"/>
        <w:jc w:val="left"/>
      </w:pPr>
      <w:rPr>
        <w:rFonts w:ascii="Arial" w:eastAsia="Arial" w:hAnsi="Arial" w:cs="Arial" w:hint="default"/>
        <w:spacing w:val="-1"/>
        <w:w w:val="99"/>
        <w:sz w:val="20"/>
        <w:szCs w:val="20"/>
        <w:lang w:val="en-AU" w:eastAsia="en-AU" w:bidi="en-AU"/>
      </w:rPr>
    </w:lvl>
    <w:lvl w:ilvl="1" w:tplc="3754EF08">
      <w:start w:val="1"/>
      <w:numFmt w:val="lowerRoman"/>
      <w:lvlText w:val="(%2)"/>
      <w:lvlJc w:val="left"/>
      <w:pPr>
        <w:ind w:left="1072" w:hanging="233"/>
        <w:jc w:val="left"/>
      </w:pPr>
      <w:rPr>
        <w:rFonts w:ascii="Arial" w:eastAsia="Arial" w:hAnsi="Arial" w:cs="Arial" w:hint="default"/>
        <w:spacing w:val="-2"/>
        <w:w w:val="99"/>
        <w:sz w:val="20"/>
        <w:szCs w:val="20"/>
        <w:lang w:val="en-AU" w:eastAsia="en-AU" w:bidi="en-AU"/>
      </w:rPr>
    </w:lvl>
    <w:lvl w:ilvl="2" w:tplc="86C818EE">
      <w:numFmt w:val="bullet"/>
      <w:lvlText w:val="•"/>
      <w:lvlJc w:val="left"/>
      <w:pPr>
        <w:ind w:left="1989" w:hanging="233"/>
      </w:pPr>
      <w:rPr>
        <w:rFonts w:hint="default"/>
        <w:lang w:val="en-AU" w:eastAsia="en-AU" w:bidi="en-AU"/>
      </w:rPr>
    </w:lvl>
    <w:lvl w:ilvl="3" w:tplc="DC58C300">
      <w:numFmt w:val="bullet"/>
      <w:lvlText w:val="•"/>
      <w:lvlJc w:val="left"/>
      <w:pPr>
        <w:ind w:left="2899" w:hanging="233"/>
      </w:pPr>
      <w:rPr>
        <w:rFonts w:hint="default"/>
        <w:lang w:val="en-AU" w:eastAsia="en-AU" w:bidi="en-AU"/>
      </w:rPr>
    </w:lvl>
    <w:lvl w:ilvl="4" w:tplc="56E85A2E">
      <w:numFmt w:val="bullet"/>
      <w:lvlText w:val="•"/>
      <w:lvlJc w:val="left"/>
      <w:pPr>
        <w:ind w:left="3808" w:hanging="233"/>
      </w:pPr>
      <w:rPr>
        <w:rFonts w:hint="default"/>
        <w:lang w:val="en-AU" w:eastAsia="en-AU" w:bidi="en-AU"/>
      </w:rPr>
    </w:lvl>
    <w:lvl w:ilvl="5" w:tplc="FCBC74F4">
      <w:numFmt w:val="bullet"/>
      <w:lvlText w:val="•"/>
      <w:lvlJc w:val="left"/>
      <w:pPr>
        <w:ind w:left="4718" w:hanging="233"/>
      </w:pPr>
      <w:rPr>
        <w:rFonts w:hint="default"/>
        <w:lang w:val="en-AU" w:eastAsia="en-AU" w:bidi="en-AU"/>
      </w:rPr>
    </w:lvl>
    <w:lvl w:ilvl="6" w:tplc="50D214AE">
      <w:numFmt w:val="bullet"/>
      <w:lvlText w:val="•"/>
      <w:lvlJc w:val="left"/>
      <w:pPr>
        <w:ind w:left="5628" w:hanging="233"/>
      </w:pPr>
      <w:rPr>
        <w:rFonts w:hint="default"/>
        <w:lang w:val="en-AU" w:eastAsia="en-AU" w:bidi="en-AU"/>
      </w:rPr>
    </w:lvl>
    <w:lvl w:ilvl="7" w:tplc="A59E4D28">
      <w:numFmt w:val="bullet"/>
      <w:lvlText w:val="•"/>
      <w:lvlJc w:val="left"/>
      <w:pPr>
        <w:ind w:left="6537" w:hanging="233"/>
      </w:pPr>
      <w:rPr>
        <w:rFonts w:hint="default"/>
        <w:lang w:val="en-AU" w:eastAsia="en-AU" w:bidi="en-AU"/>
      </w:rPr>
    </w:lvl>
    <w:lvl w:ilvl="8" w:tplc="59E8ACFC">
      <w:numFmt w:val="bullet"/>
      <w:lvlText w:val="•"/>
      <w:lvlJc w:val="left"/>
      <w:pPr>
        <w:ind w:left="7447" w:hanging="233"/>
      </w:pPr>
      <w:rPr>
        <w:rFonts w:hint="default"/>
        <w:lang w:val="en-AU" w:eastAsia="en-AU" w:bidi="en-AU"/>
      </w:rPr>
    </w:lvl>
  </w:abstractNum>
  <w:abstractNum w:abstractNumId="1" w15:restartNumberingAfterBreak="0">
    <w:nsid w:val="35B055C4"/>
    <w:multiLevelType w:val="hybridMultilevel"/>
    <w:tmpl w:val="6FFEF5A2"/>
    <w:lvl w:ilvl="0" w:tplc="E80829AA">
      <w:start w:val="1"/>
      <w:numFmt w:val="upperLetter"/>
      <w:lvlText w:val="%1."/>
      <w:lvlJc w:val="left"/>
      <w:pPr>
        <w:ind w:left="362" w:hanging="243"/>
        <w:jc w:val="left"/>
      </w:pPr>
      <w:rPr>
        <w:rFonts w:ascii="Times New Roman" w:eastAsia="Arial" w:hAnsi="Times New Roman" w:cs="Times New Roman" w:hint="default"/>
        <w:spacing w:val="-1"/>
        <w:w w:val="99"/>
        <w:sz w:val="22"/>
        <w:szCs w:val="22"/>
        <w:lang w:val="en-AU" w:eastAsia="en-AU" w:bidi="en-AU"/>
      </w:rPr>
    </w:lvl>
    <w:lvl w:ilvl="1" w:tplc="CDD05350">
      <w:numFmt w:val="bullet"/>
      <w:lvlText w:val="•"/>
      <w:lvlJc w:val="left"/>
      <w:pPr>
        <w:ind w:left="1250" w:hanging="243"/>
      </w:pPr>
      <w:rPr>
        <w:rFonts w:hint="default"/>
        <w:lang w:val="en-AU" w:eastAsia="en-AU" w:bidi="en-AU"/>
      </w:rPr>
    </w:lvl>
    <w:lvl w:ilvl="2" w:tplc="92266968">
      <w:numFmt w:val="bullet"/>
      <w:lvlText w:val="•"/>
      <w:lvlJc w:val="left"/>
      <w:pPr>
        <w:ind w:left="2141" w:hanging="243"/>
      </w:pPr>
      <w:rPr>
        <w:rFonts w:hint="default"/>
        <w:lang w:val="en-AU" w:eastAsia="en-AU" w:bidi="en-AU"/>
      </w:rPr>
    </w:lvl>
    <w:lvl w:ilvl="3" w:tplc="2F926D84">
      <w:numFmt w:val="bullet"/>
      <w:lvlText w:val="•"/>
      <w:lvlJc w:val="left"/>
      <w:pPr>
        <w:ind w:left="3031" w:hanging="243"/>
      </w:pPr>
      <w:rPr>
        <w:rFonts w:hint="default"/>
        <w:lang w:val="en-AU" w:eastAsia="en-AU" w:bidi="en-AU"/>
      </w:rPr>
    </w:lvl>
    <w:lvl w:ilvl="4" w:tplc="D72A0A9A">
      <w:numFmt w:val="bullet"/>
      <w:lvlText w:val="•"/>
      <w:lvlJc w:val="left"/>
      <w:pPr>
        <w:ind w:left="3922" w:hanging="243"/>
      </w:pPr>
      <w:rPr>
        <w:rFonts w:hint="default"/>
        <w:lang w:val="en-AU" w:eastAsia="en-AU" w:bidi="en-AU"/>
      </w:rPr>
    </w:lvl>
    <w:lvl w:ilvl="5" w:tplc="11AAEFCE">
      <w:numFmt w:val="bullet"/>
      <w:lvlText w:val="•"/>
      <w:lvlJc w:val="left"/>
      <w:pPr>
        <w:ind w:left="4813" w:hanging="243"/>
      </w:pPr>
      <w:rPr>
        <w:rFonts w:hint="default"/>
        <w:lang w:val="en-AU" w:eastAsia="en-AU" w:bidi="en-AU"/>
      </w:rPr>
    </w:lvl>
    <w:lvl w:ilvl="6" w:tplc="3620C180">
      <w:numFmt w:val="bullet"/>
      <w:lvlText w:val="•"/>
      <w:lvlJc w:val="left"/>
      <w:pPr>
        <w:ind w:left="5703" w:hanging="243"/>
      </w:pPr>
      <w:rPr>
        <w:rFonts w:hint="default"/>
        <w:lang w:val="en-AU" w:eastAsia="en-AU" w:bidi="en-AU"/>
      </w:rPr>
    </w:lvl>
    <w:lvl w:ilvl="7" w:tplc="E8908AC4">
      <w:numFmt w:val="bullet"/>
      <w:lvlText w:val="•"/>
      <w:lvlJc w:val="left"/>
      <w:pPr>
        <w:ind w:left="6594" w:hanging="243"/>
      </w:pPr>
      <w:rPr>
        <w:rFonts w:hint="default"/>
        <w:lang w:val="en-AU" w:eastAsia="en-AU" w:bidi="en-AU"/>
      </w:rPr>
    </w:lvl>
    <w:lvl w:ilvl="8" w:tplc="21CCFF7C">
      <w:numFmt w:val="bullet"/>
      <w:lvlText w:val="•"/>
      <w:lvlJc w:val="left"/>
      <w:pPr>
        <w:ind w:left="7485" w:hanging="243"/>
      </w:pPr>
      <w:rPr>
        <w:rFonts w:hint="default"/>
        <w:lang w:val="en-AU" w:eastAsia="en-AU" w:bidi="en-AU"/>
      </w:rPr>
    </w:lvl>
  </w:abstractNum>
  <w:abstractNum w:abstractNumId="2" w15:restartNumberingAfterBreak="0">
    <w:nsid w:val="6C5F3480"/>
    <w:multiLevelType w:val="multilevel"/>
    <w:tmpl w:val="70E0DD36"/>
    <w:lvl w:ilvl="0">
      <w:start w:val="1"/>
      <w:numFmt w:val="decimal"/>
      <w:lvlText w:val="%1."/>
      <w:lvlJc w:val="left"/>
      <w:pPr>
        <w:ind w:left="364" w:hanging="245"/>
        <w:jc w:val="left"/>
      </w:pPr>
      <w:rPr>
        <w:rFonts w:ascii="Times New Roman" w:eastAsia="Arial" w:hAnsi="Times New Roman" w:cs="Times New Roman" w:hint="default"/>
        <w:b/>
        <w:bCs/>
        <w:spacing w:val="-1"/>
        <w:w w:val="100"/>
        <w:sz w:val="22"/>
        <w:szCs w:val="22"/>
        <w:lang w:val="en-AU" w:eastAsia="en-AU" w:bidi="en-AU"/>
      </w:rPr>
    </w:lvl>
    <w:lvl w:ilvl="1">
      <w:start w:val="1"/>
      <w:numFmt w:val="decimal"/>
      <w:lvlText w:val="%1.%2"/>
      <w:lvlJc w:val="left"/>
      <w:pPr>
        <w:ind w:left="120" w:hanging="332"/>
        <w:jc w:val="left"/>
      </w:pPr>
      <w:rPr>
        <w:rFonts w:ascii="Times New Roman" w:eastAsia="Arial" w:hAnsi="Times New Roman" w:cs="Times New Roman" w:hint="default"/>
        <w:spacing w:val="-1"/>
        <w:w w:val="99"/>
        <w:sz w:val="22"/>
        <w:szCs w:val="22"/>
        <w:lang w:val="en-AU" w:eastAsia="en-AU" w:bidi="en-AU"/>
      </w:rPr>
    </w:lvl>
    <w:lvl w:ilvl="2">
      <w:start w:val="1"/>
      <w:numFmt w:val="decimal"/>
      <w:lvlText w:val="%1.%2.%3"/>
      <w:lvlJc w:val="left"/>
      <w:pPr>
        <w:ind w:left="119" w:hanging="500"/>
        <w:jc w:val="left"/>
      </w:pPr>
      <w:rPr>
        <w:rFonts w:ascii="Times New Roman" w:eastAsia="Arial" w:hAnsi="Times New Roman" w:cs="Times New Roman" w:hint="default"/>
        <w:spacing w:val="-1"/>
        <w:w w:val="99"/>
        <w:sz w:val="22"/>
        <w:szCs w:val="22"/>
        <w:lang w:val="en-AU" w:eastAsia="en-AU" w:bidi="en-AU"/>
      </w:rPr>
    </w:lvl>
    <w:lvl w:ilvl="3">
      <w:numFmt w:val="bullet"/>
      <w:lvlText w:val="•"/>
      <w:lvlJc w:val="left"/>
      <w:pPr>
        <w:ind w:left="1560" w:hanging="500"/>
      </w:pPr>
      <w:rPr>
        <w:rFonts w:hint="default"/>
        <w:lang w:val="en-AU" w:eastAsia="en-AU" w:bidi="en-AU"/>
      </w:rPr>
    </w:lvl>
    <w:lvl w:ilvl="4">
      <w:numFmt w:val="bullet"/>
      <w:lvlText w:val="•"/>
      <w:lvlJc w:val="left"/>
      <w:pPr>
        <w:ind w:left="2661" w:hanging="500"/>
      </w:pPr>
      <w:rPr>
        <w:rFonts w:hint="default"/>
        <w:lang w:val="en-AU" w:eastAsia="en-AU" w:bidi="en-AU"/>
      </w:rPr>
    </w:lvl>
    <w:lvl w:ilvl="5">
      <w:numFmt w:val="bullet"/>
      <w:lvlText w:val="•"/>
      <w:lvlJc w:val="left"/>
      <w:pPr>
        <w:ind w:left="3762" w:hanging="500"/>
      </w:pPr>
      <w:rPr>
        <w:rFonts w:hint="default"/>
        <w:lang w:val="en-AU" w:eastAsia="en-AU" w:bidi="en-AU"/>
      </w:rPr>
    </w:lvl>
    <w:lvl w:ilvl="6">
      <w:numFmt w:val="bullet"/>
      <w:lvlText w:val="•"/>
      <w:lvlJc w:val="left"/>
      <w:pPr>
        <w:ind w:left="4863" w:hanging="500"/>
      </w:pPr>
      <w:rPr>
        <w:rFonts w:hint="default"/>
        <w:lang w:val="en-AU" w:eastAsia="en-AU" w:bidi="en-AU"/>
      </w:rPr>
    </w:lvl>
    <w:lvl w:ilvl="7">
      <w:numFmt w:val="bullet"/>
      <w:lvlText w:val="•"/>
      <w:lvlJc w:val="left"/>
      <w:pPr>
        <w:ind w:left="5964" w:hanging="500"/>
      </w:pPr>
      <w:rPr>
        <w:rFonts w:hint="default"/>
        <w:lang w:val="en-AU" w:eastAsia="en-AU" w:bidi="en-AU"/>
      </w:rPr>
    </w:lvl>
    <w:lvl w:ilvl="8">
      <w:numFmt w:val="bullet"/>
      <w:lvlText w:val="•"/>
      <w:lvlJc w:val="left"/>
      <w:pPr>
        <w:ind w:left="7064" w:hanging="500"/>
      </w:pPr>
      <w:rPr>
        <w:rFonts w:hint="default"/>
        <w:lang w:val="en-AU" w:eastAsia="en-AU" w:bidi="en-AU"/>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3A"/>
    <w:rsid w:val="00214291"/>
    <w:rsid w:val="00352D07"/>
    <w:rsid w:val="003C286D"/>
    <w:rsid w:val="004C1A3A"/>
    <w:rsid w:val="004E2CC0"/>
    <w:rsid w:val="00564AFC"/>
    <w:rsid w:val="00594D16"/>
    <w:rsid w:val="006278C8"/>
    <w:rsid w:val="00751C51"/>
    <w:rsid w:val="007A04C0"/>
    <w:rsid w:val="0085418C"/>
    <w:rsid w:val="00AF3C21"/>
    <w:rsid w:val="00AF5660"/>
    <w:rsid w:val="00BE3D43"/>
    <w:rsid w:val="00C21F96"/>
    <w:rsid w:val="00D749C0"/>
    <w:rsid w:val="00E211AF"/>
    <w:rsid w:val="00E3377D"/>
    <w:rsid w:val="00FF2151"/>
    <w:rsid w:val="00FF2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54517"/>
  <w15:chartTrackingRefBased/>
  <w15:docId w15:val="{6EF5CB9D-3C6F-463A-A26B-CE35582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3A"/>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4C1A3A"/>
    <w:pPr>
      <w:widowControl w:val="0"/>
      <w:autoSpaceDE w:val="0"/>
      <w:autoSpaceDN w:val="0"/>
      <w:spacing w:before="159"/>
      <w:ind w:left="367" w:hanging="247"/>
      <w:outlineLvl w:val="0"/>
    </w:pPr>
    <w:rPr>
      <w:rFonts w:ascii="Arial" w:eastAsia="Arial" w:hAnsi="Arial" w:cs="Arial"/>
      <w:b/>
      <w:bCs/>
      <w:sz w:val="22"/>
      <w:szCs w:val="22"/>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ne3">
    <w:name w:val="N-line3"/>
    <w:basedOn w:val="Normal"/>
    <w:next w:val="Normal"/>
    <w:rsid w:val="004C1A3A"/>
    <w:pPr>
      <w:pBdr>
        <w:bottom w:val="single" w:sz="12" w:space="1" w:color="auto"/>
      </w:pBdr>
      <w:jc w:val="both"/>
    </w:pPr>
  </w:style>
  <w:style w:type="paragraph" w:customStyle="1" w:styleId="madeunder">
    <w:name w:val="made under"/>
    <w:basedOn w:val="Normal"/>
    <w:rsid w:val="004C1A3A"/>
    <w:pPr>
      <w:spacing w:before="180" w:after="60"/>
      <w:jc w:val="both"/>
    </w:pPr>
  </w:style>
  <w:style w:type="paragraph" w:customStyle="1" w:styleId="CoverActName">
    <w:name w:val="CoverActName"/>
    <w:basedOn w:val="Normal"/>
    <w:rsid w:val="004C1A3A"/>
    <w:pPr>
      <w:tabs>
        <w:tab w:val="left" w:pos="2600"/>
      </w:tabs>
      <w:spacing w:before="200" w:after="60"/>
      <w:jc w:val="both"/>
    </w:pPr>
    <w:rPr>
      <w:rFonts w:ascii="Arial" w:hAnsi="Arial"/>
      <w:b/>
    </w:rPr>
  </w:style>
  <w:style w:type="character" w:customStyle="1" w:styleId="Heading1Char">
    <w:name w:val="Heading 1 Char"/>
    <w:basedOn w:val="DefaultParagraphFont"/>
    <w:link w:val="Heading1"/>
    <w:uiPriority w:val="9"/>
    <w:rsid w:val="004C1A3A"/>
    <w:rPr>
      <w:rFonts w:ascii="Arial" w:eastAsia="Arial" w:hAnsi="Arial" w:cs="Arial"/>
      <w:b/>
      <w:bCs/>
      <w:lang w:eastAsia="en-AU" w:bidi="en-AU"/>
    </w:rPr>
  </w:style>
  <w:style w:type="paragraph" w:styleId="BodyText">
    <w:name w:val="Body Text"/>
    <w:basedOn w:val="Normal"/>
    <w:link w:val="BodyTextChar"/>
    <w:uiPriority w:val="1"/>
    <w:qFormat/>
    <w:rsid w:val="004C1A3A"/>
    <w:pPr>
      <w:widowControl w:val="0"/>
      <w:autoSpaceDE w:val="0"/>
      <w:autoSpaceDN w:val="0"/>
      <w:spacing w:before="178"/>
      <w:ind w:left="119"/>
    </w:pPr>
    <w:rPr>
      <w:rFonts w:ascii="Arial" w:eastAsia="Arial" w:hAnsi="Arial" w:cs="Arial"/>
      <w:sz w:val="20"/>
      <w:lang w:eastAsia="en-AU" w:bidi="en-AU"/>
    </w:rPr>
  </w:style>
  <w:style w:type="character" w:customStyle="1" w:styleId="BodyTextChar">
    <w:name w:val="Body Text Char"/>
    <w:basedOn w:val="DefaultParagraphFont"/>
    <w:link w:val="BodyText"/>
    <w:uiPriority w:val="1"/>
    <w:rsid w:val="004C1A3A"/>
    <w:rPr>
      <w:rFonts w:ascii="Arial" w:eastAsia="Arial" w:hAnsi="Arial" w:cs="Arial"/>
      <w:sz w:val="20"/>
      <w:szCs w:val="20"/>
      <w:lang w:eastAsia="en-AU" w:bidi="en-AU"/>
    </w:rPr>
  </w:style>
  <w:style w:type="paragraph" w:styleId="ListParagraph">
    <w:name w:val="List Paragraph"/>
    <w:basedOn w:val="Normal"/>
    <w:uiPriority w:val="1"/>
    <w:qFormat/>
    <w:rsid w:val="004C1A3A"/>
    <w:pPr>
      <w:widowControl w:val="0"/>
      <w:autoSpaceDE w:val="0"/>
      <w:autoSpaceDN w:val="0"/>
      <w:spacing w:before="178"/>
      <w:ind w:left="119"/>
    </w:pPr>
    <w:rPr>
      <w:rFonts w:ascii="Arial" w:eastAsia="Arial" w:hAnsi="Arial" w:cs="Arial"/>
      <w:sz w:val="22"/>
      <w:szCs w:val="22"/>
      <w:lang w:eastAsia="en-AU" w:bidi="en-AU"/>
    </w:rPr>
  </w:style>
  <w:style w:type="paragraph" w:customStyle="1" w:styleId="TableParagraph">
    <w:name w:val="Table Paragraph"/>
    <w:basedOn w:val="Normal"/>
    <w:uiPriority w:val="1"/>
    <w:qFormat/>
    <w:rsid w:val="004C1A3A"/>
    <w:pPr>
      <w:widowControl w:val="0"/>
      <w:autoSpaceDE w:val="0"/>
      <w:autoSpaceDN w:val="0"/>
    </w:pPr>
    <w:rPr>
      <w:rFonts w:ascii="Arial" w:eastAsia="Arial" w:hAnsi="Arial" w:cs="Arial"/>
      <w:sz w:val="22"/>
      <w:szCs w:val="22"/>
      <w:lang w:eastAsia="en-AU" w:bidi="en-AU"/>
    </w:rPr>
  </w:style>
  <w:style w:type="character" w:styleId="CommentReference">
    <w:name w:val="annotation reference"/>
    <w:basedOn w:val="DefaultParagraphFont"/>
    <w:uiPriority w:val="99"/>
    <w:semiHidden/>
    <w:unhideWhenUsed/>
    <w:rsid w:val="00BE3D43"/>
    <w:rPr>
      <w:sz w:val="16"/>
      <w:szCs w:val="16"/>
    </w:rPr>
  </w:style>
  <w:style w:type="paragraph" w:styleId="CommentText">
    <w:name w:val="annotation text"/>
    <w:basedOn w:val="Normal"/>
    <w:link w:val="CommentTextChar"/>
    <w:uiPriority w:val="99"/>
    <w:semiHidden/>
    <w:unhideWhenUsed/>
    <w:rsid w:val="00BE3D43"/>
    <w:rPr>
      <w:sz w:val="20"/>
    </w:rPr>
  </w:style>
  <w:style w:type="character" w:customStyle="1" w:styleId="CommentTextChar">
    <w:name w:val="Comment Text Char"/>
    <w:basedOn w:val="DefaultParagraphFont"/>
    <w:link w:val="CommentText"/>
    <w:uiPriority w:val="99"/>
    <w:semiHidden/>
    <w:rsid w:val="00BE3D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D43"/>
    <w:rPr>
      <w:b/>
      <w:bCs/>
    </w:rPr>
  </w:style>
  <w:style w:type="character" w:customStyle="1" w:styleId="CommentSubjectChar">
    <w:name w:val="Comment Subject Char"/>
    <w:basedOn w:val="CommentTextChar"/>
    <w:link w:val="CommentSubject"/>
    <w:uiPriority w:val="99"/>
    <w:semiHidden/>
    <w:rsid w:val="00BE3D4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F5660"/>
    <w:pPr>
      <w:tabs>
        <w:tab w:val="center" w:pos="4513"/>
        <w:tab w:val="right" w:pos="9026"/>
      </w:tabs>
    </w:pPr>
  </w:style>
  <w:style w:type="character" w:customStyle="1" w:styleId="HeaderChar">
    <w:name w:val="Header Char"/>
    <w:basedOn w:val="DefaultParagraphFont"/>
    <w:link w:val="Header"/>
    <w:uiPriority w:val="99"/>
    <w:rsid w:val="00AF56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F5660"/>
    <w:pPr>
      <w:tabs>
        <w:tab w:val="center" w:pos="4513"/>
        <w:tab w:val="right" w:pos="9026"/>
      </w:tabs>
    </w:pPr>
  </w:style>
  <w:style w:type="character" w:customStyle="1" w:styleId="FooterChar">
    <w:name w:val="Footer Char"/>
    <w:basedOn w:val="DefaultParagraphFont"/>
    <w:link w:val="Footer"/>
    <w:uiPriority w:val="99"/>
    <w:rsid w:val="00AF566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6146</Characters>
  <Application>Microsoft Office Word</Application>
  <DocSecurity>0</DocSecurity>
  <Lines>136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JACS</dc:creator>
  <cp:keywords/>
  <dc:description/>
  <cp:lastModifiedBy>Moxon, KarenL</cp:lastModifiedBy>
  <cp:revision>4</cp:revision>
  <dcterms:created xsi:type="dcterms:W3CDTF">2021-06-28T02:30:00Z</dcterms:created>
  <dcterms:modified xsi:type="dcterms:W3CDTF">2021-06-28T02:30:00Z</dcterms:modified>
</cp:coreProperties>
</file>