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F1814" w14:textId="77777777" w:rsidR="00796F30" w:rsidRPr="002B6DEF" w:rsidRDefault="00AE4082" w:rsidP="002B6DEF">
      <w:pPr>
        <w:widowControl/>
        <w:autoSpaceDE/>
        <w:autoSpaceDN/>
        <w:spacing w:before="120"/>
        <w:rPr>
          <w:rFonts w:ascii="Arial" w:eastAsiaTheme="minorEastAsia" w:hAnsi="Arial" w:cs="Arial"/>
          <w:sz w:val="24"/>
          <w:szCs w:val="24"/>
          <w:lang w:eastAsia="en-US" w:bidi="ar-SA"/>
        </w:rPr>
      </w:pPr>
      <w:r w:rsidRPr="002B6DEF">
        <w:rPr>
          <w:rFonts w:ascii="Arial" w:eastAsiaTheme="minorEastAsia" w:hAnsi="Arial" w:cs="Arial"/>
          <w:sz w:val="24"/>
          <w:szCs w:val="24"/>
          <w:lang w:eastAsia="en-US" w:bidi="ar-SA"/>
        </w:rPr>
        <w:t>Australian Capital Territory</w:t>
      </w:r>
    </w:p>
    <w:p w14:paraId="0D2EA247" w14:textId="109A2B8A" w:rsidR="00796F30" w:rsidRPr="002B6DEF" w:rsidRDefault="00AE4082" w:rsidP="002B6DEF">
      <w:pPr>
        <w:pStyle w:val="Billname"/>
        <w:spacing w:before="700"/>
      </w:pPr>
      <w:r w:rsidRPr="002B6DEF">
        <w:t xml:space="preserve">Lotteries (Fees) Determination </w:t>
      </w:r>
      <w:r w:rsidR="00A11ED5" w:rsidRPr="002B6DEF">
        <w:t>202</w:t>
      </w:r>
      <w:r w:rsidR="00690A6D">
        <w:t>1</w:t>
      </w:r>
    </w:p>
    <w:p w14:paraId="511436E3" w14:textId="74E3A45D" w:rsidR="00796F30" w:rsidRPr="003E2667" w:rsidRDefault="00AE4082" w:rsidP="003E2667">
      <w:pPr>
        <w:widowControl/>
        <w:autoSpaceDE/>
        <w:autoSpaceDN/>
        <w:spacing w:before="240" w:after="60"/>
        <w:rPr>
          <w:rFonts w:ascii="Arial" w:eastAsiaTheme="minorEastAsia" w:hAnsi="Arial" w:cs="Arial"/>
          <w:b/>
          <w:bCs/>
          <w:sz w:val="24"/>
          <w:szCs w:val="24"/>
          <w:lang w:eastAsia="en-US" w:bidi="ar-SA"/>
        </w:rPr>
      </w:pPr>
      <w:r w:rsidRPr="003E2667">
        <w:rPr>
          <w:rFonts w:ascii="Arial" w:eastAsiaTheme="minorEastAsia" w:hAnsi="Arial" w:cs="Arial"/>
          <w:b/>
          <w:bCs/>
          <w:sz w:val="24"/>
          <w:szCs w:val="24"/>
          <w:lang w:eastAsia="en-US" w:bidi="ar-SA"/>
        </w:rPr>
        <w:t>Disallowable Instrument DI20</w:t>
      </w:r>
      <w:r w:rsidR="00A11ED5" w:rsidRPr="003E2667">
        <w:rPr>
          <w:rFonts w:ascii="Arial" w:eastAsiaTheme="minorEastAsia" w:hAnsi="Arial" w:cs="Arial"/>
          <w:b/>
          <w:bCs/>
          <w:sz w:val="24"/>
          <w:szCs w:val="24"/>
          <w:lang w:eastAsia="en-US" w:bidi="ar-SA"/>
        </w:rPr>
        <w:t>2</w:t>
      </w:r>
      <w:r w:rsidR="008A397C">
        <w:rPr>
          <w:rFonts w:ascii="Arial" w:eastAsiaTheme="minorEastAsia" w:hAnsi="Arial" w:cs="Arial"/>
          <w:b/>
          <w:bCs/>
          <w:sz w:val="24"/>
          <w:szCs w:val="24"/>
          <w:lang w:eastAsia="en-US" w:bidi="ar-SA"/>
        </w:rPr>
        <w:t>1</w:t>
      </w:r>
      <w:r w:rsidR="002D1979">
        <w:rPr>
          <w:rFonts w:ascii="Arial" w:eastAsiaTheme="minorEastAsia" w:hAnsi="Arial" w:cs="Arial"/>
          <w:b/>
          <w:bCs/>
          <w:sz w:val="24"/>
          <w:szCs w:val="24"/>
          <w:lang w:eastAsia="en-US" w:bidi="ar-SA"/>
        </w:rPr>
        <w:t>-</w:t>
      </w:r>
      <w:r w:rsidR="00062DC0">
        <w:rPr>
          <w:rFonts w:ascii="Arial" w:eastAsiaTheme="minorEastAsia" w:hAnsi="Arial" w:cs="Arial"/>
          <w:b/>
          <w:bCs/>
          <w:sz w:val="24"/>
          <w:szCs w:val="24"/>
          <w:lang w:eastAsia="en-US" w:bidi="ar-SA"/>
        </w:rPr>
        <w:t>157</w:t>
      </w:r>
    </w:p>
    <w:p w14:paraId="0F8A8C0B" w14:textId="77777777" w:rsidR="00796F30" w:rsidRPr="003E2667" w:rsidRDefault="00AE4082" w:rsidP="003E2667">
      <w:pPr>
        <w:pStyle w:val="madeunder"/>
        <w:rPr>
          <w:rFonts w:ascii="Times New Roman" w:hAnsi="Times New Roman" w:cs="Times New Roman"/>
        </w:rPr>
      </w:pPr>
      <w:r w:rsidRPr="003E2667">
        <w:rPr>
          <w:rFonts w:ascii="Times New Roman" w:hAnsi="Times New Roman" w:cs="Times New Roman"/>
        </w:rPr>
        <w:t>made under the</w:t>
      </w:r>
    </w:p>
    <w:p w14:paraId="512B32D9" w14:textId="77777777" w:rsidR="00796F30" w:rsidRPr="003E2667" w:rsidRDefault="00AE4082" w:rsidP="003E2667">
      <w:pPr>
        <w:pStyle w:val="CoverActName"/>
        <w:spacing w:before="100" w:beforeAutospacing="1" w:after="0"/>
        <w:rPr>
          <w:sz w:val="20"/>
          <w:szCs w:val="20"/>
        </w:rPr>
      </w:pPr>
      <w:r w:rsidRPr="003E2667">
        <w:rPr>
          <w:sz w:val="20"/>
          <w:szCs w:val="20"/>
        </w:rPr>
        <w:t>Lotteries Act 1964, s18A (Determination of fees)</w:t>
      </w:r>
    </w:p>
    <w:p w14:paraId="014A9929" w14:textId="3C87C357" w:rsidR="00796F30" w:rsidRDefault="00C53980">
      <w:pPr>
        <w:pStyle w:val="BodyText"/>
        <w:spacing w:before="10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33F43B" wp14:editId="21F7DA8B">
                <wp:simplePos x="0" y="0"/>
                <wp:positionH relativeFrom="page">
                  <wp:posOffset>1122680</wp:posOffset>
                </wp:positionH>
                <wp:positionV relativeFrom="paragraph">
                  <wp:posOffset>223520</wp:posOffset>
                </wp:positionV>
                <wp:extent cx="537845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68 1768"/>
                            <a:gd name="T1" fmla="*/ T0 w 8470"/>
                            <a:gd name="T2" fmla="+- 0 10237 1768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25C97" id="Freeform 2" o:spid="_x0000_s1026" style="position:absolute;margin-left:88.4pt;margin-top:17.6pt;width:423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" path="m,l8469,e" filled="f" strokeweight="1.5pt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14:paraId="25E263B5" w14:textId="77777777" w:rsidR="00796F30" w:rsidRPr="003E2667" w:rsidRDefault="00796F30" w:rsidP="003E2667">
      <w:pPr>
        <w:pStyle w:val="N-line3"/>
        <w:pBdr>
          <w:top w:val="single" w:sz="12" w:space="1" w:color="auto"/>
          <w:bottom w:val="none" w:sz="0" w:space="0" w:color="auto"/>
        </w:pBdr>
      </w:pPr>
    </w:p>
    <w:p w14:paraId="22C13F12" w14:textId="77777777" w:rsidR="00796F30" w:rsidRPr="003E2667" w:rsidRDefault="00AE4082" w:rsidP="003E2667">
      <w:pPr>
        <w:widowControl/>
        <w:numPr>
          <w:ilvl w:val="0"/>
          <w:numId w:val="5"/>
        </w:numPr>
        <w:autoSpaceDE/>
        <w:autoSpaceDN/>
        <w:spacing w:before="60" w:after="60"/>
        <w:ind w:left="720" w:hanging="720"/>
        <w:rPr>
          <w:rFonts w:ascii="Arial" w:hAnsi="Arial" w:cs="Arial"/>
          <w:b/>
          <w:bCs/>
          <w:sz w:val="24"/>
          <w:szCs w:val="20"/>
          <w:lang w:eastAsia="en-US" w:bidi="ar-SA"/>
        </w:rPr>
      </w:pP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>Name of Instrument</w:t>
      </w:r>
    </w:p>
    <w:p w14:paraId="6A9D687B" w14:textId="3DD29B67" w:rsidR="00796F30" w:rsidRPr="003E2667" w:rsidRDefault="00AE4082" w:rsidP="003E2667">
      <w:pPr>
        <w:widowControl/>
        <w:autoSpaceDE/>
        <w:autoSpaceDN/>
        <w:spacing w:before="80" w:after="60"/>
        <w:ind w:left="720"/>
        <w:rPr>
          <w:rFonts w:eastAsiaTheme="minorEastAsia"/>
          <w:sz w:val="24"/>
          <w:szCs w:val="24"/>
          <w:lang w:eastAsia="en-US" w:bidi="ar-SA"/>
        </w:rPr>
      </w:pPr>
      <w:r w:rsidRPr="003E2667">
        <w:rPr>
          <w:rFonts w:eastAsiaTheme="minorEastAsia"/>
          <w:sz w:val="24"/>
          <w:szCs w:val="24"/>
          <w:lang w:eastAsia="en-US" w:bidi="ar-SA"/>
        </w:rPr>
        <w:t xml:space="preserve">This instrument is the </w:t>
      </w:r>
      <w:r w:rsidRPr="003E2667">
        <w:rPr>
          <w:rFonts w:eastAsiaTheme="minorEastAsia"/>
          <w:i/>
          <w:iCs/>
          <w:sz w:val="24"/>
          <w:szCs w:val="24"/>
          <w:lang w:eastAsia="en-US" w:bidi="ar-SA"/>
        </w:rPr>
        <w:t xml:space="preserve">Lotteries (Fees) Determination </w:t>
      </w:r>
      <w:r w:rsidR="00A11ED5" w:rsidRPr="003E2667">
        <w:rPr>
          <w:rFonts w:eastAsiaTheme="minorEastAsia"/>
          <w:i/>
          <w:iCs/>
          <w:sz w:val="24"/>
          <w:szCs w:val="24"/>
          <w:lang w:eastAsia="en-US" w:bidi="ar-SA"/>
        </w:rPr>
        <w:t>202</w:t>
      </w:r>
      <w:r w:rsidR="00690A6D">
        <w:rPr>
          <w:rFonts w:eastAsiaTheme="minorEastAsia"/>
          <w:i/>
          <w:iCs/>
          <w:sz w:val="24"/>
          <w:szCs w:val="24"/>
          <w:lang w:eastAsia="en-US" w:bidi="ar-SA"/>
        </w:rPr>
        <w:t>1</w:t>
      </w:r>
      <w:r w:rsidRPr="003E2667">
        <w:rPr>
          <w:rFonts w:eastAsiaTheme="minorEastAsia"/>
          <w:sz w:val="24"/>
          <w:szCs w:val="24"/>
          <w:lang w:eastAsia="en-US" w:bidi="ar-SA"/>
        </w:rPr>
        <w:t>.</w:t>
      </w:r>
    </w:p>
    <w:p w14:paraId="23BC8F18" w14:textId="77777777" w:rsidR="00796F30" w:rsidRPr="003E2667" w:rsidRDefault="00AE4082" w:rsidP="00E20761">
      <w:pPr>
        <w:widowControl/>
        <w:numPr>
          <w:ilvl w:val="0"/>
          <w:numId w:val="5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eastAsia="en-US" w:bidi="ar-SA"/>
        </w:rPr>
      </w:pP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>Commencement</w:t>
      </w:r>
    </w:p>
    <w:p w14:paraId="13CA5DD8" w14:textId="51969DD0" w:rsidR="00796F30" w:rsidRPr="003E2667" w:rsidRDefault="00AE4082" w:rsidP="00E20761">
      <w:pPr>
        <w:widowControl/>
        <w:autoSpaceDE/>
        <w:autoSpaceDN/>
        <w:spacing w:before="80" w:after="60"/>
        <w:ind w:left="720"/>
        <w:rPr>
          <w:rFonts w:eastAsiaTheme="minorEastAsia"/>
          <w:sz w:val="24"/>
          <w:szCs w:val="24"/>
          <w:lang w:eastAsia="en-US" w:bidi="ar-SA"/>
        </w:rPr>
      </w:pPr>
      <w:r w:rsidRPr="003E2667">
        <w:rPr>
          <w:rFonts w:eastAsiaTheme="minorEastAsia"/>
          <w:sz w:val="24"/>
          <w:szCs w:val="24"/>
          <w:lang w:eastAsia="en-US" w:bidi="ar-SA"/>
        </w:rPr>
        <w:t xml:space="preserve">This instrument commences </w:t>
      </w:r>
      <w:r w:rsidR="008873E9">
        <w:rPr>
          <w:rFonts w:eastAsiaTheme="minorEastAsia"/>
          <w:sz w:val="24"/>
          <w:szCs w:val="24"/>
          <w:lang w:eastAsia="en-US" w:bidi="ar-SA"/>
        </w:rPr>
        <w:t>on 1 July 202</w:t>
      </w:r>
      <w:r w:rsidR="00690A6D">
        <w:rPr>
          <w:rFonts w:eastAsiaTheme="minorEastAsia"/>
          <w:sz w:val="24"/>
          <w:szCs w:val="24"/>
          <w:lang w:eastAsia="en-US" w:bidi="ar-SA"/>
        </w:rPr>
        <w:t>1</w:t>
      </w:r>
      <w:r w:rsidR="008873E9">
        <w:rPr>
          <w:rFonts w:eastAsiaTheme="minorEastAsia"/>
          <w:sz w:val="24"/>
          <w:szCs w:val="24"/>
          <w:lang w:eastAsia="en-US" w:bidi="ar-SA"/>
        </w:rPr>
        <w:t>.</w:t>
      </w:r>
    </w:p>
    <w:p w14:paraId="7F154269" w14:textId="77777777" w:rsidR="00796F30" w:rsidRPr="003E2667" w:rsidRDefault="00AE4082" w:rsidP="003E2667">
      <w:pPr>
        <w:widowControl/>
        <w:numPr>
          <w:ilvl w:val="0"/>
          <w:numId w:val="5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eastAsia="en-US" w:bidi="ar-SA"/>
        </w:rPr>
      </w:pP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>Determination of fees</w:t>
      </w:r>
    </w:p>
    <w:p w14:paraId="6DA1AA81" w14:textId="1A9C18AF" w:rsidR="00796F30" w:rsidRPr="003E2667" w:rsidRDefault="0065480E" w:rsidP="003E2667">
      <w:pPr>
        <w:widowControl/>
        <w:autoSpaceDE/>
        <w:autoSpaceDN/>
        <w:spacing w:before="80" w:after="60"/>
        <w:ind w:left="720"/>
        <w:rPr>
          <w:rFonts w:eastAsiaTheme="minorEastAsia"/>
          <w:sz w:val="24"/>
          <w:szCs w:val="24"/>
          <w:lang w:eastAsia="en-US" w:bidi="ar-SA"/>
        </w:rPr>
      </w:pPr>
      <w:r w:rsidRPr="003E2667">
        <w:rPr>
          <w:rFonts w:eastAsiaTheme="minorEastAsia"/>
          <w:sz w:val="24"/>
          <w:szCs w:val="24"/>
          <w:lang w:eastAsia="en-US" w:bidi="ar-SA"/>
        </w:rPr>
        <w:t xml:space="preserve">The fee payable for a matter stated in an item in the Schedule, column 2 is the fee stated in the Schedule, column 3 for </w:t>
      </w:r>
      <w:r w:rsidR="00557789" w:rsidRPr="003E2667">
        <w:rPr>
          <w:rFonts w:eastAsiaTheme="minorEastAsia"/>
          <w:sz w:val="24"/>
          <w:szCs w:val="24"/>
          <w:lang w:eastAsia="en-US" w:bidi="ar-SA"/>
        </w:rPr>
        <w:t>that matter.</w:t>
      </w:r>
    </w:p>
    <w:p w14:paraId="0760F2FA" w14:textId="1C7D1A72" w:rsidR="00796F30" w:rsidRPr="003E2667" w:rsidRDefault="00AE4082" w:rsidP="003E2667">
      <w:pPr>
        <w:widowControl/>
        <w:numPr>
          <w:ilvl w:val="0"/>
          <w:numId w:val="5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eastAsia="en-US" w:bidi="ar-SA"/>
        </w:rPr>
      </w:pP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>Payment of fee</w:t>
      </w:r>
      <w:r w:rsidR="00557789"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>s</w:t>
      </w:r>
    </w:p>
    <w:p w14:paraId="2D561D24" w14:textId="3F425C8A" w:rsidR="00796F30" w:rsidRPr="003E2667" w:rsidRDefault="007A465D" w:rsidP="003E2667">
      <w:pPr>
        <w:widowControl/>
        <w:autoSpaceDE/>
        <w:autoSpaceDN/>
        <w:spacing w:before="80" w:after="60"/>
        <w:ind w:left="720"/>
        <w:rPr>
          <w:rFonts w:eastAsiaTheme="minorEastAsia"/>
          <w:sz w:val="24"/>
          <w:szCs w:val="24"/>
          <w:lang w:eastAsia="en-US" w:bidi="ar-SA"/>
        </w:rPr>
      </w:pPr>
      <w:r w:rsidRPr="003E2667">
        <w:rPr>
          <w:rFonts w:eastAsiaTheme="minorEastAsia"/>
          <w:sz w:val="24"/>
          <w:szCs w:val="24"/>
          <w:lang w:eastAsia="en-US" w:bidi="ar-SA"/>
        </w:rPr>
        <w:t xml:space="preserve">The fee payable </w:t>
      </w:r>
      <w:r w:rsidR="00557789" w:rsidRPr="003E2667">
        <w:rPr>
          <w:rFonts w:eastAsiaTheme="minorEastAsia"/>
          <w:sz w:val="24"/>
          <w:szCs w:val="24"/>
          <w:lang w:eastAsia="en-US" w:bidi="ar-SA"/>
        </w:rPr>
        <w:t xml:space="preserve">for a matter stated in an item in the Schedule, column 2 is payable </w:t>
      </w:r>
      <w:r w:rsidR="00AE4082" w:rsidRPr="003E2667">
        <w:rPr>
          <w:rFonts w:eastAsiaTheme="minorEastAsia"/>
          <w:sz w:val="24"/>
          <w:szCs w:val="24"/>
          <w:lang w:eastAsia="en-US" w:bidi="ar-SA"/>
        </w:rPr>
        <w:t>to the ACT Gambling and Racing Commission</w:t>
      </w:r>
      <w:r w:rsidR="00E20761">
        <w:rPr>
          <w:rFonts w:eastAsiaTheme="minorEastAsia"/>
          <w:sz w:val="24"/>
          <w:szCs w:val="24"/>
          <w:lang w:eastAsia="en-US" w:bidi="ar-SA"/>
        </w:rPr>
        <w:t xml:space="preserve"> (the </w:t>
      </w:r>
      <w:r w:rsidR="00F9583D">
        <w:rPr>
          <w:rFonts w:eastAsiaTheme="minorEastAsia"/>
          <w:sz w:val="24"/>
          <w:szCs w:val="24"/>
          <w:lang w:eastAsia="en-US" w:bidi="ar-SA"/>
        </w:rPr>
        <w:t>C</w:t>
      </w:r>
      <w:r w:rsidR="00E20761">
        <w:rPr>
          <w:rFonts w:eastAsiaTheme="minorEastAsia"/>
          <w:sz w:val="24"/>
          <w:szCs w:val="24"/>
          <w:lang w:eastAsia="en-US" w:bidi="ar-SA"/>
        </w:rPr>
        <w:t>ommission)</w:t>
      </w:r>
      <w:r w:rsidR="00AE4082" w:rsidRPr="003E2667">
        <w:rPr>
          <w:rFonts w:eastAsiaTheme="minorEastAsia"/>
          <w:sz w:val="24"/>
          <w:szCs w:val="24"/>
          <w:lang w:eastAsia="en-US" w:bidi="ar-SA"/>
        </w:rPr>
        <w:t>.</w:t>
      </w:r>
    </w:p>
    <w:p w14:paraId="770B1D4D" w14:textId="517093B7" w:rsidR="00891326" w:rsidRPr="003E2667" w:rsidRDefault="00891326" w:rsidP="003E2667">
      <w:pPr>
        <w:widowControl/>
        <w:numPr>
          <w:ilvl w:val="0"/>
          <w:numId w:val="5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eastAsia="en-US" w:bidi="ar-SA"/>
        </w:rPr>
      </w:pP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 xml:space="preserve">Refund </w:t>
      </w:r>
      <w:r w:rsidR="00982D09"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 xml:space="preserve">or waiver </w:t>
      </w: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>of fees</w:t>
      </w:r>
    </w:p>
    <w:p w14:paraId="17112FDA" w14:textId="002022BA" w:rsidR="00E77030" w:rsidRPr="00B143C1" w:rsidRDefault="00BB5468" w:rsidP="00EC28A1">
      <w:pPr>
        <w:pStyle w:val="ListParagraph"/>
        <w:widowControl/>
        <w:numPr>
          <w:ilvl w:val="0"/>
          <w:numId w:val="9"/>
        </w:numPr>
        <w:autoSpaceDE/>
        <w:autoSpaceDN/>
        <w:spacing w:before="80" w:after="60"/>
        <w:ind w:left="1418" w:hanging="567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sz w:val="24"/>
          <w:szCs w:val="24"/>
          <w:lang w:eastAsia="en-US" w:bidi="ar-SA"/>
        </w:rPr>
        <w:t xml:space="preserve">If an application </w:t>
      </w:r>
      <w:r w:rsidR="00982D09" w:rsidRPr="00E20761">
        <w:rPr>
          <w:rFonts w:eastAsiaTheme="minorEastAsia"/>
          <w:sz w:val="24"/>
          <w:szCs w:val="24"/>
          <w:lang w:eastAsia="en-US" w:bidi="ar-SA"/>
        </w:rPr>
        <w:t xml:space="preserve">under section 7 of the </w:t>
      </w:r>
      <w:r w:rsidR="00982D09" w:rsidRPr="00E20761">
        <w:rPr>
          <w:rFonts w:eastAsiaTheme="minorEastAsia"/>
          <w:i/>
          <w:iCs/>
          <w:sz w:val="24"/>
          <w:szCs w:val="24"/>
          <w:lang w:eastAsia="en-US" w:bidi="ar-SA"/>
        </w:rPr>
        <w:t>Lotteries Act 1964</w:t>
      </w:r>
      <w:r w:rsidR="00982D09" w:rsidRPr="00E20761">
        <w:rPr>
          <w:rFonts w:eastAsiaTheme="minorEastAsia"/>
          <w:sz w:val="24"/>
          <w:szCs w:val="24"/>
          <w:lang w:eastAsia="en-US" w:bidi="ar-SA"/>
        </w:rPr>
        <w:t xml:space="preserve"> 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for approval to conduct a lottery is withdrawn before assessment, </w:t>
      </w:r>
      <w:r w:rsidR="00CB7E0E" w:rsidRPr="00E20761">
        <w:rPr>
          <w:rFonts w:eastAsiaTheme="minorEastAsia"/>
          <w:sz w:val="24"/>
          <w:szCs w:val="24"/>
          <w:lang w:eastAsia="en-US" w:bidi="ar-SA"/>
        </w:rPr>
        <w:t>the fee, less $</w:t>
      </w:r>
      <w:r w:rsidR="00CB7E0E" w:rsidRPr="00AA4585">
        <w:rPr>
          <w:rFonts w:eastAsiaTheme="minorEastAsia"/>
          <w:sz w:val="24"/>
          <w:szCs w:val="24"/>
          <w:lang w:eastAsia="en-US" w:bidi="ar-SA"/>
        </w:rPr>
        <w:t>6</w:t>
      </w:r>
      <w:r w:rsidR="0088078D" w:rsidRPr="00AA4585">
        <w:rPr>
          <w:rFonts w:eastAsiaTheme="minorEastAsia"/>
          <w:sz w:val="24"/>
          <w:szCs w:val="24"/>
          <w:lang w:eastAsia="en-US" w:bidi="ar-SA"/>
        </w:rPr>
        <w:t>6</w:t>
      </w:r>
      <w:r w:rsidR="00CB7E0E" w:rsidRPr="00AA4585">
        <w:rPr>
          <w:rFonts w:eastAsiaTheme="minorEastAsia"/>
          <w:sz w:val="24"/>
          <w:szCs w:val="24"/>
          <w:lang w:eastAsia="en-US" w:bidi="ar-SA"/>
        </w:rPr>
        <w:t>.00 is</w:t>
      </w:r>
      <w:r w:rsidR="00CB7E0E" w:rsidRPr="00E20761">
        <w:rPr>
          <w:rFonts w:eastAsiaTheme="minorEastAsia"/>
          <w:sz w:val="24"/>
          <w:szCs w:val="24"/>
          <w:lang w:eastAsia="en-US" w:bidi="ar-SA"/>
        </w:rPr>
        <w:t xml:space="preserve"> refundable</w:t>
      </w:r>
      <w:r w:rsidRPr="00E20761">
        <w:rPr>
          <w:rFonts w:eastAsiaTheme="minorEastAsia"/>
          <w:sz w:val="24"/>
          <w:szCs w:val="24"/>
          <w:lang w:eastAsia="en-US" w:bidi="ar-SA"/>
        </w:rPr>
        <w:t>.</w:t>
      </w:r>
    </w:p>
    <w:p w14:paraId="56BDCC5C" w14:textId="191827EB" w:rsidR="00BB5468" w:rsidRPr="00E20761" w:rsidRDefault="00BB5468" w:rsidP="00E20761">
      <w:pPr>
        <w:pStyle w:val="ListParagraph"/>
        <w:widowControl/>
        <w:numPr>
          <w:ilvl w:val="0"/>
          <w:numId w:val="9"/>
        </w:numPr>
        <w:autoSpaceDE/>
        <w:autoSpaceDN/>
        <w:spacing w:before="80" w:after="60"/>
        <w:ind w:left="1418" w:hanging="567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sz w:val="24"/>
          <w:szCs w:val="24"/>
          <w:lang w:eastAsia="en-US" w:bidi="ar-SA"/>
        </w:rPr>
        <w:t xml:space="preserve">If an application </w:t>
      </w:r>
      <w:r w:rsidR="00982D09" w:rsidRPr="00E20761">
        <w:rPr>
          <w:rFonts w:eastAsiaTheme="minorEastAsia"/>
          <w:sz w:val="24"/>
          <w:szCs w:val="24"/>
          <w:lang w:eastAsia="en-US" w:bidi="ar-SA"/>
        </w:rPr>
        <w:t xml:space="preserve">under section 7 of the </w:t>
      </w:r>
      <w:r w:rsidR="00982D09" w:rsidRPr="00E20761">
        <w:rPr>
          <w:rFonts w:eastAsiaTheme="minorEastAsia"/>
          <w:i/>
          <w:iCs/>
          <w:sz w:val="24"/>
          <w:szCs w:val="24"/>
          <w:lang w:eastAsia="en-US" w:bidi="ar-SA"/>
        </w:rPr>
        <w:t>Lotteries Act 1964</w:t>
      </w:r>
      <w:r w:rsidR="00982D09" w:rsidRPr="00E20761">
        <w:rPr>
          <w:rFonts w:eastAsiaTheme="minorEastAsia"/>
          <w:sz w:val="24"/>
          <w:szCs w:val="24"/>
          <w:lang w:eastAsia="en-US" w:bidi="ar-SA"/>
        </w:rPr>
        <w:t xml:space="preserve"> </w:t>
      </w:r>
      <w:r w:rsidRPr="00E20761">
        <w:rPr>
          <w:rFonts w:eastAsiaTheme="minorEastAsia"/>
          <w:sz w:val="24"/>
          <w:szCs w:val="24"/>
          <w:lang w:eastAsia="en-US" w:bidi="ar-SA"/>
        </w:rPr>
        <w:t>for approval to conduct a lottery is withdrawn after assessment, the fee is not refundable.</w:t>
      </w:r>
    </w:p>
    <w:p w14:paraId="5A7CB222" w14:textId="5ADAE8AC" w:rsidR="00BB5468" w:rsidRPr="00E20761" w:rsidRDefault="00CB7E0E" w:rsidP="00E20761">
      <w:pPr>
        <w:pStyle w:val="ListParagraph"/>
        <w:widowControl/>
        <w:numPr>
          <w:ilvl w:val="0"/>
          <w:numId w:val="9"/>
        </w:numPr>
        <w:autoSpaceDE/>
        <w:autoSpaceDN/>
        <w:spacing w:before="80" w:after="60"/>
        <w:ind w:left="1418" w:hanging="567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sz w:val="24"/>
          <w:szCs w:val="24"/>
          <w:lang w:eastAsia="en-US" w:bidi="ar-SA"/>
        </w:rPr>
        <w:t xml:space="preserve">If an application </w:t>
      </w:r>
      <w:r w:rsidR="00E20761" w:rsidRPr="00E20761">
        <w:rPr>
          <w:rFonts w:eastAsiaTheme="minorEastAsia"/>
          <w:sz w:val="24"/>
          <w:szCs w:val="24"/>
          <w:lang w:eastAsia="en-US" w:bidi="ar-SA"/>
        </w:rPr>
        <w:t xml:space="preserve">under section 7 of the </w:t>
      </w:r>
      <w:r w:rsidR="00E20761" w:rsidRPr="00E20761">
        <w:rPr>
          <w:rFonts w:eastAsiaTheme="minorEastAsia"/>
          <w:i/>
          <w:iCs/>
          <w:sz w:val="24"/>
          <w:szCs w:val="24"/>
          <w:lang w:eastAsia="en-US" w:bidi="ar-SA"/>
        </w:rPr>
        <w:t>Lotteries Act 1964</w:t>
      </w:r>
      <w:r w:rsidR="00E20761" w:rsidRPr="00E20761">
        <w:rPr>
          <w:rFonts w:eastAsiaTheme="minorEastAsia"/>
          <w:sz w:val="24"/>
          <w:szCs w:val="24"/>
          <w:lang w:eastAsia="en-US" w:bidi="ar-SA"/>
        </w:rPr>
        <w:t xml:space="preserve"> </w:t>
      </w:r>
      <w:r w:rsidRPr="00E20761">
        <w:rPr>
          <w:rFonts w:eastAsiaTheme="minorEastAsia"/>
          <w:sz w:val="24"/>
          <w:szCs w:val="24"/>
          <w:lang w:eastAsia="en-US" w:bidi="ar-SA"/>
        </w:rPr>
        <w:t>for approval to conduct a lottery is refused, the fee is not refundable</w:t>
      </w:r>
      <w:r w:rsidR="00BB5468" w:rsidRPr="00E20761">
        <w:rPr>
          <w:rFonts w:eastAsiaTheme="minorEastAsia"/>
          <w:sz w:val="24"/>
          <w:szCs w:val="24"/>
          <w:lang w:eastAsia="en-US" w:bidi="ar-SA"/>
        </w:rPr>
        <w:t>.</w:t>
      </w:r>
    </w:p>
    <w:p w14:paraId="4FBE0D46" w14:textId="3B17A429" w:rsidR="00982D09" w:rsidRPr="00E20761" w:rsidRDefault="00982D09" w:rsidP="00E20761">
      <w:pPr>
        <w:pStyle w:val="ListParagraph"/>
        <w:widowControl/>
        <w:numPr>
          <w:ilvl w:val="0"/>
          <w:numId w:val="9"/>
        </w:numPr>
        <w:autoSpaceDE/>
        <w:autoSpaceDN/>
        <w:spacing w:before="80" w:after="60"/>
        <w:ind w:left="1418" w:hanging="567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sz w:val="24"/>
          <w:szCs w:val="24"/>
          <w:lang w:eastAsia="en-US" w:bidi="ar-SA"/>
        </w:rPr>
        <w:t xml:space="preserve">The </w:t>
      </w:r>
      <w:r w:rsidR="00F9583D" w:rsidRPr="00B143C1">
        <w:rPr>
          <w:rFonts w:eastAsiaTheme="minorEastAsia"/>
          <w:sz w:val="24"/>
          <w:szCs w:val="24"/>
          <w:lang w:eastAsia="en-US" w:bidi="ar-SA"/>
        </w:rPr>
        <w:t>C</w:t>
      </w:r>
      <w:r w:rsidRPr="00B143C1">
        <w:rPr>
          <w:rFonts w:eastAsiaTheme="minorEastAsia"/>
          <w:sz w:val="24"/>
          <w:szCs w:val="24"/>
          <w:lang w:eastAsia="en-US" w:bidi="ar-SA"/>
        </w:rPr>
        <w:t>ommission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 may waive or reduce a fee payable under section 7 of the </w:t>
      </w:r>
      <w:r w:rsidRPr="00E20761">
        <w:rPr>
          <w:rFonts w:eastAsiaTheme="minorEastAsia"/>
          <w:i/>
          <w:iCs/>
          <w:sz w:val="24"/>
          <w:szCs w:val="24"/>
          <w:lang w:eastAsia="en-US" w:bidi="ar-SA"/>
        </w:rPr>
        <w:t>Lotteries Act 1964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 for approval to conduct a lottery </w:t>
      </w:r>
      <w:r w:rsidR="002B6DEF" w:rsidRPr="00E20761">
        <w:rPr>
          <w:rFonts w:eastAsiaTheme="minorEastAsia"/>
          <w:sz w:val="24"/>
          <w:szCs w:val="24"/>
          <w:lang w:eastAsia="en-US" w:bidi="ar-SA"/>
        </w:rPr>
        <w:t>if the applicant is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 </w:t>
      </w:r>
      <w:r w:rsidR="002B6DEF" w:rsidRPr="00E20761">
        <w:rPr>
          <w:rFonts w:eastAsiaTheme="minorEastAsia"/>
          <w:sz w:val="24"/>
          <w:szCs w:val="24"/>
          <w:lang w:eastAsia="en-US" w:bidi="ar-SA"/>
        </w:rPr>
        <w:t xml:space="preserve">a 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charitable organisation or the </w:t>
      </w:r>
      <w:r w:rsidR="002B6DEF" w:rsidRPr="00E20761">
        <w:rPr>
          <w:rFonts w:eastAsiaTheme="minorEastAsia"/>
          <w:sz w:val="24"/>
          <w:szCs w:val="24"/>
          <w:lang w:eastAsia="en-US" w:bidi="ar-SA"/>
        </w:rPr>
        <w:t>lottery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 is for a charitable purpose and the commission considers that it is in the public interest to waive or reduce the fee.</w:t>
      </w:r>
    </w:p>
    <w:p w14:paraId="0A3B627F" w14:textId="7530ECF4" w:rsidR="00982D09" w:rsidRPr="00E20761" w:rsidRDefault="00982D09" w:rsidP="00E20761">
      <w:pPr>
        <w:pStyle w:val="ListParagraph"/>
        <w:widowControl/>
        <w:numPr>
          <w:ilvl w:val="0"/>
          <w:numId w:val="9"/>
        </w:numPr>
        <w:autoSpaceDE/>
        <w:autoSpaceDN/>
        <w:spacing w:before="80" w:after="60"/>
        <w:ind w:left="1418" w:hanging="567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sz w:val="24"/>
          <w:szCs w:val="24"/>
          <w:lang w:eastAsia="en-US" w:bidi="ar-SA"/>
        </w:rPr>
        <w:t xml:space="preserve">The </w:t>
      </w:r>
      <w:r w:rsidR="00F9583D" w:rsidRPr="00B143C1">
        <w:rPr>
          <w:rFonts w:eastAsiaTheme="minorEastAsia"/>
          <w:sz w:val="24"/>
          <w:szCs w:val="24"/>
          <w:lang w:eastAsia="en-US" w:bidi="ar-SA"/>
        </w:rPr>
        <w:t>C</w:t>
      </w:r>
      <w:r w:rsidRPr="00B143C1">
        <w:rPr>
          <w:rFonts w:eastAsiaTheme="minorEastAsia"/>
          <w:sz w:val="24"/>
          <w:szCs w:val="24"/>
          <w:lang w:eastAsia="en-US" w:bidi="ar-SA"/>
        </w:rPr>
        <w:t>ommission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 may, if satisfied that it is appropriate to do so, refund, waive or remit any fee or part of a fee </w:t>
      </w:r>
      <w:r w:rsidR="002B6DEF" w:rsidRPr="00E20761">
        <w:rPr>
          <w:rFonts w:eastAsiaTheme="minorEastAsia"/>
          <w:sz w:val="24"/>
          <w:szCs w:val="24"/>
          <w:lang w:eastAsia="en-US" w:bidi="ar-SA"/>
        </w:rPr>
        <w:t>payable for a matter stated in an item in the Schedule, column 2</w:t>
      </w:r>
      <w:r w:rsidRPr="00E20761">
        <w:rPr>
          <w:rFonts w:eastAsiaTheme="minorEastAsia"/>
          <w:sz w:val="24"/>
          <w:szCs w:val="24"/>
          <w:lang w:eastAsia="en-US" w:bidi="ar-SA"/>
        </w:rPr>
        <w:t>.</w:t>
      </w:r>
    </w:p>
    <w:p w14:paraId="708F67A4" w14:textId="77777777" w:rsidR="00796F30" w:rsidRPr="003E2667" w:rsidRDefault="00AE4082" w:rsidP="00B143C1">
      <w:pPr>
        <w:keepNext/>
        <w:widowControl/>
        <w:numPr>
          <w:ilvl w:val="0"/>
          <w:numId w:val="5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eastAsia="en-US" w:bidi="ar-SA"/>
        </w:rPr>
      </w:pP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lastRenderedPageBreak/>
        <w:t>Revocation</w:t>
      </w:r>
    </w:p>
    <w:p w14:paraId="4B669528" w14:textId="77777777" w:rsidR="002D1979" w:rsidRDefault="006E25D8" w:rsidP="00B143C1">
      <w:pPr>
        <w:keepNext/>
        <w:widowControl/>
        <w:autoSpaceDE/>
        <w:autoSpaceDN/>
        <w:spacing w:before="80" w:after="60"/>
        <w:ind w:left="720"/>
        <w:rPr>
          <w:rFonts w:eastAsiaTheme="minorEastAsia"/>
          <w:sz w:val="24"/>
          <w:szCs w:val="24"/>
          <w:lang w:eastAsia="en-US" w:bidi="ar-SA"/>
        </w:rPr>
      </w:pPr>
      <w:r>
        <w:rPr>
          <w:rFonts w:eastAsiaTheme="minorEastAsia"/>
          <w:sz w:val="24"/>
          <w:szCs w:val="24"/>
          <w:lang w:eastAsia="en-US" w:bidi="ar-SA"/>
        </w:rPr>
        <w:t>T</w:t>
      </w:r>
      <w:r w:rsidR="007A465D" w:rsidRPr="003E2667">
        <w:rPr>
          <w:rFonts w:eastAsiaTheme="minorEastAsia"/>
          <w:sz w:val="24"/>
          <w:szCs w:val="24"/>
          <w:lang w:eastAsia="en-US" w:bidi="ar-SA"/>
        </w:rPr>
        <w:t>h</w:t>
      </w:r>
      <w:r w:rsidR="00DA1343">
        <w:rPr>
          <w:rFonts w:eastAsiaTheme="minorEastAsia"/>
          <w:sz w:val="24"/>
          <w:szCs w:val="24"/>
          <w:lang w:eastAsia="en-US" w:bidi="ar-SA"/>
        </w:rPr>
        <w:t xml:space="preserve">is instrument revokes the </w:t>
      </w:r>
      <w:r w:rsidR="007A465D" w:rsidRPr="00B143C1">
        <w:rPr>
          <w:rFonts w:eastAsiaTheme="minorEastAsia"/>
          <w:i/>
          <w:iCs/>
          <w:sz w:val="24"/>
          <w:szCs w:val="24"/>
          <w:lang w:eastAsia="en-US" w:bidi="ar-SA"/>
        </w:rPr>
        <w:t>Lotteries (Fees) Determination 20</w:t>
      </w:r>
      <w:r w:rsidR="00FC241F" w:rsidRPr="00B143C1">
        <w:rPr>
          <w:rFonts w:eastAsiaTheme="minorEastAsia"/>
          <w:i/>
          <w:iCs/>
          <w:sz w:val="24"/>
          <w:szCs w:val="24"/>
          <w:lang w:eastAsia="en-US" w:bidi="ar-SA"/>
        </w:rPr>
        <w:t>20</w:t>
      </w:r>
      <w:r w:rsidR="007A465D" w:rsidRPr="00B143C1">
        <w:rPr>
          <w:rFonts w:eastAsiaTheme="minorEastAsia"/>
          <w:i/>
          <w:iCs/>
          <w:sz w:val="24"/>
          <w:szCs w:val="24"/>
          <w:lang w:eastAsia="en-US" w:bidi="ar-SA"/>
        </w:rPr>
        <w:t xml:space="preserve"> (No </w:t>
      </w:r>
      <w:r w:rsidR="00690A6D" w:rsidRPr="00B143C1">
        <w:rPr>
          <w:rFonts w:eastAsiaTheme="minorEastAsia"/>
          <w:i/>
          <w:iCs/>
          <w:sz w:val="24"/>
          <w:szCs w:val="24"/>
          <w:lang w:eastAsia="en-US" w:bidi="ar-SA"/>
        </w:rPr>
        <w:t>2</w:t>
      </w:r>
      <w:r w:rsidR="007A465D" w:rsidRPr="00B143C1">
        <w:rPr>
          <w:rFonts w:eastAsiaTheme="minorEastAsia"/>
          <w:i/>
          <w:iCs/>
          <w:sz w:val="24"/>
          <w:szCs w:val="24"/>
          <w:lang w:eastAsia="en-US" w:bidi="ar-SA"/>
        </w:rPr>
        <w:t>)</w:t>
      </w:r>
      <w:r w:rsidR="007A465D" w:rsidRPr="00D872C9">
        <w:rPr>
          <w:rFonts w:eastAsiaTheme="minorEastAsia"/>
          <w:sz w:val="24"/>
          <w:szCs w:val="24"/>
          <w:lang w:eastAsia="en-US" w:bidi="ar-SA"/>
        </w:rPr>
        <w:t xml:space="preserve"> </w:t>
      </w:r>
    </w:p>
    <w:p w14:paraId="4887F903" w14:textId="562DF317" w:rsidR="00796F30" w:rsidRPr="003E2667" w:rsidRDefault="007A465D" w:rsidP="00B143C1">
      <w:pPr>
        <w:keepNext/>
        <w:widowControl/>
        <w:autoSpaceDE/>
        <w:autoSpaceDN/>
        <w:spacing w:before="80" w:after="60"/>
        <w:ind w:left="720"/>
        <w:rPr>
          <w:rFonts w:eastAsiaTheme="minorEastAsia"/>
          <w:sz w:val="24"/>
          <w:szCs w:val="24"/>
          <w:lang w:eastAsia="en-US" w:bidi="ar-SA"/>
        </w:rPr>
      </w:pPr>
      <w:r w:rsidRPr="00D872C9">
        <w:rPr>
          <w:rFonts w:eastAsiaTheme="minorEastAsia"/>
          <w:sz w:val="24"/>
          <w:szCs w:val="24"/>
          <w:lang w:eastAsia="en-US" w:bidi="ar-SA"/>
        </w:rPr>
        <w:t>DI20</w:t>
      </w:r>
      <w:r w:rsidR="00FC241F" w:rsidRPr="00D872C9">
        <w:rPr>
          <w:rFonts w:eastAsiaTheme="minorEastAsia"/>
          <w:sz w:val="24"/>
          <w:szCs w:val="24"/>
          <w:lang w:eastAsia="en-US" w:bidi="ar-SA"/>
        </w:rPr>
        <w:t>20</w:t>
      </w:r>
      <w:r w:rsidR="002D1979">
        <w:rPr>
          <w:rFonts w:eastAsiaTheme="minorEastAsia"/>
          <w:sz w:val="24"/>
          <w:szCs w:val="24"/>
          <w:lang w:eastAsia="en-US" w:bidi="ar-SA"/>
        </w:rPr>
        <w:t>-</w:t>
      </w:r>
      <w:r w:rsidRPr="00D872C9">
        <w:rPr>
          <w:rFonts w:eastAsiaTheme="minorEastAsia"/>
          <w:sz w:val="24"/>
          <w:szCs w:val="24"/>
          <w:lang w:eastAsia="en-US" w:bidi="ar-SA"/>
        </w:rPr>
        <w:t>1</w:t>
      </w:r>
      <w:r w:rsidR="00690A6D">
        <w:rPr>
          <w:rFonts w:eastAsiaTheme="minorEastAsia"/>
          <w:sz w:val="24"/>
          <w:szCs w:val="24"/>
          <w:lang w:eastAsia="en-US" w:bidi="ar-SA"/>
        </w:rPr>
        <w:t>71</w:t>
      </w:r>
      <w:r w:rsidR="006E25D8">
        <w:rPr>
          <w:rFonts w:eastAsiaTheme="minorEastAsia"/>
          <w:sz w:val="24"/>
          <w:szCs w:val="24"/>
          <w:lang w:eastAsia="en-US" w:bidi="ar-SA"/>
        </w:rPr>
        <w:t>.</w:t>
      </w:r>
    </w:p>
    <w:p w14:paraId="7EB613F8" w14:textId="77777777" w:rsidR="00D12E4E" w:rsidRPr="003E2667" w:rsidRDefault="00D12E4E" w:rsidP="00E20761">
      <w:pPr>
        <w:widowControl/>
        <w:numPr>
          <w:ilvl w:val="0"/>
          <w:numId w:val="5"/>
        </w:numPr>
        <w:autoSpaceDE/>
        <w:autoSpaceDN/>
        <w:spacing w:before="300"/>
        <w:ind w:left="720" w:hanging="720"/>
        <w:rPr>
          <w:rFonts w:ascii="Arial" w:hAnsi="Arial" w:cs="Arial"/>
          <w:b/>
          <w:bCs/>
          <w:sz w:val="24"/>
          <w:szCs w:val="20"/>
          <w:lang w:eastAsia="en-US" w:bidi="ar-SA"/>
        </w:rPr>
      </w:pPr>
      <w:r w:rsidRPr="003E2667">
        <w:rPr>
          <w:rFonts w:ascii="Arial" w:hAnsi="Arial" w:cs="Arial"/>
          <w:b/>
          <w:bCs/>
          <w:sz w:val="24"/>
          <w:szCs w:val="20"/>
          <w:lang w:eastAsia="en-US" w:bidi="ar-SA"/>
        </w:rPr>
        <w:t>Definition</w:t>
      </w:r>
    </w:p>
    <w:p w14:paraId="2A291A10" w14:textId="77777777" w:rsidR="00D12E4E" w:rsidRPr="003E2667" w:rsidRDefault="00D12E4E" w:rsidP="003E2667">
      <w:pPr>
        <w:widowControl/>
        <w:autoSpaceDE/>
        <w:autoSpaceDN/>
        <w:spacing w:before="80" w:after="60"/>
        <w:ind w:left="720"/>
        <w:rPr>
          <w:rFonts w:eastAsiaTheme="minorEastAsia"/>
          <w:sz w:val="24"/>
          <w:szCs w:val="24"/>
          <w:lang w:eastAsia="en-US" w:bidi="ar-SA"/>
        </w:rPr>
      </w:pPr>
      <w:r w:rsidRPr="00557789">
        <w:rPr>
          <w:rFonts w:eastAsiaTheme="minorEastAsia"/>
          <w:sz w:val="24"/>
          <w:szCs w:val="24"/>
          <w:lang w:eastAsia="en-US" w:bidi="ar-SA"/>
        </w:rPr>
        <w:t>In</w:t>
      </w:r>
      <w:r w:rsidRPr="003E2667">
        <w:rPr>
          <w:rFonts w:eastAsiaTheme="minorEastAsia"/>
          <w:sz w:val="24"/>
          <w:szCs w:val="24"/>
          <w:lang w:eastAsia="en-US" w:bidi="ar-SA"/>
        </w:rPr>
        <w:t xml:space="preserve"> this instrument: </w:t>
      </w:r>
    </w:p>
    <w:p w14:paraId="382BA6B7" w14:textId="67054884" w:rsidR="00D12E4E" w:rsidRPr="00E20761" w:rsidRDefault="00D12E4E" w:rsidP="00E20761">
      <w:pPr>
        <w:pStyle w:val="ListParagraph"/>
        <w:widowControl/>
        <w:numPr>
          <w:ilvl w:val="0"/>
          <w:numId w:val="10"/>
        </w:numPr>
        <w:autoSpaceDE/>
        <w:autoSpaceDN/>
        <w:spacing w:before="80" w:after="60"/>
        <w:ind w:hanging="589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b/>
          <w:bCs/>
          <w:i/>
          <w:iCs/>
          <w:sz w:val="24"/>
          <w:szCs w:val="24"/>
          <w:lang w:eastAsia="en-US" w:bidi="ar-SA"/>
        </w:rPr>
        <w:t>assessment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 means the consideration or analysis of an application to determine its eligibility under the </w:t>
      </w:r>
      <w:r w:rsidR="00E20761" w:rsidRPr="00E20761">
        <w:rPr>
          <w:rFonts w:eastAsiaTheme="minorEastAsia"/>
          <w:sz w:val="24"/>
          <w:szCs w:val="24"/>
          <w:lang w:eastAsia="en-US" w:bidi="ar-SA"/>
        </w:rPr>
        <w:t>Act but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 does not include the registration or recording of the receipt of an application or its associated fee.</w:t>
      </w:r>
    </w:p>
    <w:p w14:paraId="6205DB38" w14:textId="1B5D7793" w:rsidR="00D12E4E" w:rsidRPr="00E20761" w:rsidRDefault="00D12E4E" w:rsidP="00E20761">
      <w:pPr>
        <w:pStyle w:val="ListParagraph"/>
        <w:widowControl/>
        <w:numPr>
          <w:ilvl w:val="0"/>
          <w:numId w:val="10"/>
        </w:numPr>
        <w:autoSpaceDE/>
        <w:autoSpaceDN/>
        <w:spacing w:before="80" w:after="60"/>
        <w:ind w:hanging="589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b/>
          <w:bCs/>
          <w:i/>
          <w:iCs/>
          <w:sz w:val="24"/>
          <w:szCs w:val="24"/>
          <w:lang w:eastAsia="en-US" w:bidi="ar-SA"/>
        </w:rPr>
        <w:t>trade promotion lottery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 means a promotion activity by a business enterprise that involves a lottery with prize winners determined by any means that includes an element of chance or a mixture of chance and skill. </w:t>
      </w:r>
    </w:p>
    <w:p w14:paraId="1E0C40D4" w14:textId="02CA1ACB" w:rsidR="00D12E4E" w:rsidRPr="00E20761" w:rsidRDefault="00D12E4E" w:rsidP="00E20761">
      <w:pPr>
        <w:pStyle w:val="ListParagraph"/>
        <w:widowControl/>
        <w:numPr>
          <w:ilvl w:val="0"/>
          <w:numId w:val="10"/>
        </w:numPr>
        <w:autoSpaceDE/>
        <w:autoSpaceDN/>
        <w:spacing w:before="80" w:after="60"/>
        <w:ind w:hanging="589"/>
        <w:rPr>
          <w:rFonts w:eastAsiaTheme="minorEastAsia"/>
          <w:sz w:val="24"/>
          <w:szCs w:val="24"/>
          <w:lang w:eastAsia="en-US" w:bidi="ar-SA"/>
        </w:rPr>
      </w:pPr>
      <w:r w:rsidRPr="00E20761">
        <w:rPr>
          <w:rFonts w:eastAsiaTheme="minorEastAsia"/>
          <w:b/>
          <w:bCs/>
          <w:i/>
          <w:iCs/>
          <w:sz w:val="24"/>
          <w:szCs w:val="24"/>
          <w:lang w:eastAsia="en-US" w:bidi="ar-SA"/>
        </w:rPr>
        <w:t>prize</w:t>
      </w:r>
      <w:r w:rsidRPr="00E20761">
        <w:rPr>
          <w:rFonts w:eastAsiaTheme="minorEastAsia"/>
          <w:sz w:val="24"/>
          <w:szCs w:val="24"/>
          <w:lang w:eastAsia="en-US" w:bidi="ar-SA"/>
        </w:rPr>
        <w:t xml:space="preserve"> means anything of value or benefit.</w:t>
      </w:r>
    </w:p>
    <w:p w14:paraId="3D5229AD" w14:textId="77777777" w:rsidR="00796F30" w:rsidRDefault="00796F30">
      <w:pPr>
        <w:pStyle w:val="BodyText"/>
        <w:rPr>
          <w:sz w:val="26"/>
        </w:rPr>
      </w:pPr>
    </w:p>
    <w:p w14:paraId="1415A0FA" w14:textId="77777777" w:rsidR="00796F30" w:rsidRDefault="00796F30">
      <w:pPr>
        <w:pStyle w:val="BodyText"/>
        <w:rPr>
          <w:sz w:val="26"/>
        </w:rPr>
      </w:pPr>
    </w:p>
    <w:p w14:paraId="1CCD431B" w14:textId="77777777" w:rsidR="00796F30" w:rsidRDefault="00796F30">
      <w:pPr>
        <w:pStyle w:val="BodyText"/>
        <w:rPr>
          <w:sz w:val="26"/>
        </w:rPr>
      </w:pPr>
    </w:p>
    <w:p w14:paraId="099423B3" w14:textId="77777777" w:rsidR="00796F30" w:rsidRDefault="00796F30">
      <w:pPr>
        <w:pStyle w:val="BodyText"/>
        <w:rPr>
          <w:sz w:val="38"/>
        </w:rPr>
      </w:pPr>
    </w:p>
    <w:p w14:paraId="5840FB9E" w14:textId="3C44861B" w:rsidR="00796F30" w:rsidRDefault="009C6439">
      <w:pPr>
        <w:pStyle w:val="BodyText"/>
        <w:ind w:left="137"/>
      </w:pPr>
      <w:r>
        <w:t>Shane Rattenbury</w:t>
      </w:r>
      <w:r w:rsidRPr="00781EA8">
        <w:t xml:space="preserve"> MLA</w:t>
      </w:r>
    </w:p>
    <w:p w14:paraId="1D70E0A6" w14:textId="77777777" w:rsidR="008A397C" w:rsidRDefault="008A397C">
      <w:pPr>
        <w:pStyle w:val="BodyText"/>
        <w:spacing w:line="480" w:lineRule="auto"/>
        <w:ind w:left="137" w:right="4633"/>
      </w:pPr>
      <w:r>
        <w:t>Minister for Gaming</w:t>
      </w:r>
    </w:p>
    <w:p w14:paraId="5001C752" w14:textId="21F84609" w:rsidR="00796F30" w:rsidRDefault="00F75771">
      <w:pPr>
        <w:pStyle w:val="BodyText"/>
        <w:spacing w:line="480" w:lineRule="auto"/>
        <w:ind w:left="137" w:right="4633"/>
      </w:pPr>
      <w:r>
        <w:t>25</w:t>
      </w:r>
      <w:r w:rsidR="009C6439">
        <w:t xml:space="preserve"> </w:t>
      </w:r>
      <w:r w:rsidR="00FC241F">
        <w:t>June</w:t>
      </w:r>
      <w:r w:rsidR="00A03ADE">
        <w:t xml:space="preserve"> 202</w:t>
      </w:r>
      <w:r w:rsidR="00174B28">
        <w:t>1</w:t>
      </w:r>
    </w:p>
    <w:p w14:paraId="6F487658" w14:textId="77777777" w:rsidR="00796F30" w:rsidRDefault="00796F30">
      <w:pPr>
        <w:spacing w:line="480" w:lineRule="auto"/>
        <w:sectPr w:rsidR="00796F30" w:rsidSect="00EC44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540" w:bottom="1200" w:left="1660" w:header="720" w:footer="807" w:gutter="0"/>
          <w:cols w:space="720"/>
        </w:sectPr>
      </w:pPr>
    </w:p>
    <w:p w14:paraId="5149B3BF" w14:textId="636F39B0" w:rsidR="0007636D" w:rsidRDefault="0007636D">
      <w:pPr>
        <w:pStyle w:val="BodyText"/>
        <w:rPr>
          <w:sz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1560"/>
      </w:tblGrid>
      <w:tr w:rsidR="0007636D" w14:paraId="0FF46273" w14:textId="77777777" w:rsidTr="00056711">
        <w:tc>
          <w:tcPr>
            <w:tcW w:w="1271" w:type="dxa"/>
          </w:tcPr>
          <w:p w14:paraId="73BF7D98" w14:textId="77777777" w:rsidR="0007636D" w:rsidRPr="00056711" w:rsidRDefault="0007636D" w:rsidP="0007636D">
            <w:pPr>
              <w:rPr>
                <w:b/>
                <w:bCs/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5528" w:type="dxa"/>
          </w:tcPr>
          <w:p w14:paraId="144215AD" w14:textId="77777777" w:rsidR="0007636D" w:rsidRPr="00056711" w:rsidRDefault="0007636D" w:rsidP="0007636D">
            <w:pPr>
              <w:rPr>
                <w:b/>
                <w:bCs/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1560" w:type="dxa"/>
          </w:tcPr>
          <w:p w14:paraId="46463F3A" w14:textId="77777777" w:rsidR="0007636D" w:rsidRPr="00056711" w:rsidRDefault="0007636D" w:rsidP="0007636D">
            <w:pPr>
              <w:rPr>
                <w:b/>
                <w:bCs/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t>Column 3</w:t>
            </w:r>
          </w:p>
        </w:tc>
      </w:tr>
      <w:tr w:rsidR="0007636D" w14:paraId="129A118B" w14:textId="77777777" w:rsidTr="00056711">
        <w:tc>
          <w:tcPr>
            <w:tcW w:w="1271" w:type="dxa"/>
          </w:tcPr>
          <w:p w14:paraId="2D71891B" w14:textId="77777777" w:rsidR="0007636D" w:rsidRPr="00056711" w:rsidRDefault="0007636D" w:rsidP="0007636D">
            <w:pPr>
              <w:rPr>
                <w:b/>
                <w:bCs/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528" w:type="dxa"/>
          </w:tcPr>
          <w:p w14:paraId="77A5948A" w14:textId="77777777" w:rsidR="0007636D" w:rsidRPr="00056711" w:rsidRDefault="0007636D" w:rsidP="0007636D">
            <w:pPr>
              <w:rPr>
                <w:b/>
                <w:bCs/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t>Matter in respect of which fee or charge is payable</w:t>
            </w:r>
          </w:p>
        </w:tc>
        <w:tc>
          <w:tcPr>
            <w:tcW w:w="1560" w:type="dxa"/>
          </w:tcPr>
          <w:p w14:paraId="26407A21" w14:textId="77777777" w:rsidR="0007636D" w:rsidRPr="00056711" w:rsidRDefault="0007636D" w:rsidP="0007636D">
            <w:pPr>
              <w:rPr>
                <w:b/>
                <w:bCs/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t>Amount payable</w:t>
            </w:r>
          </w:p>
        </w:tc>
      </w:tr>
      <w:tr w:rsidR="0007636D" w14:paraId="179CFC43" w14:textId="77777777" w:rsidTr="00056711">
        <w:tc>
          <w:tcPr>
            <w:tcW w:w="1271" w:type="dxa"/>
          </w:tcPr>
          <w:p w14:paraId="3B9FB4E6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78EBA641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non-trade promotion lottery with a total prize value of ≤ $500</w:t>
            </w:r>
          </w:p>
        </w:tc>
        <w:tc>
          <w:tcPr>
            <w:tcW w:w="1560" w:type="dxa"/>
          </w:tcPr>
          <w:p w14:paraId="03560F7E" w14:textId="77777777" w:rsidR="0007636D" w:rsidRDefault="0007636D" w:rsidP="0007636D">
            <w:r>
              <w:rPr>
                <w:sz w:val="24"/>
              </w:rPr>
              <w:t>Nil</w:t>
            </w:r>
          </w:p>
        </w:tc>
      </w:tr>
      <w:tr w:rsidR="0007636D" w14:paraId="19560FC8" w14:textId="77777777" w:rsidTr="00056711">
        <w:tc>
          <w:tcPr>
            <w:tcW w:w="1271" w:type="dxa"/>
          </w:tcPr>
          <w:p w14:paraId="7C86659C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4AF5189E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non-trade promotion lottery with a total prize value of &gt; $500 and ≤ $1,000</w:t>
            </w:r>
          </w:p>
        </w:tc>
        <w:tc>
          <w:tcPr>
            <w:tcW w:w="1560" w:type="dxa"/>
          </w:tcPr>
          <w:p w14:paraId="37BE447C" w14:textId="08C73BF3" w:rsidR="0007636D" w:rsidRDefault="0007636D" w:rsidP="0007636D">
            <w:r>
              <w:rPr>
                <w:sz w:val="24"/>
              </w:rPr>
              <w:t>$7</w:t>
            </w:r>
            <w:r w:rsidR="00174B28">
              <w:rPr>
                <w:sz w:val="24"/>
              </w:rPr>
              <w:t>8</w:t>
            </w:r>
            <w:r>
              <w:rPr>
                <w:sz w:val="24"/>
              </w:rPr>
              <w:t>.00</w:t>
            </w:r>
          </w:p>
        </w:tc>
      </w:tr>
      <w:tr w:rsidR="0007636D" w14:paraId="73599800" w14:textId="77777777" w:rsidTr="00056711">
        <w:tc>
          <w:tcPr>
            <w:tcW w:w="1271" w:type="dxa"/>
          </w:tcPr>
          <w:p w14:paraId="15A8311E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70710DFC" w14:textId="2CAA0414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non-trade promotion lottery with a total prize value of &gt; $1,000 and</w:t>
            </w:r>
            <w:r w:rsidR="00056711">
              <w:rPr>
                <w:sz w:val="24"/>
                <w:szCs w:val="24"/>
              </w:rPr>
              <w:t xml:space="preserve"> </w:t>
            </w:r>
            <w:r w:rsidRPr="00056711">
              <w:rPr>
                <w:sz w:val="24"/>
                <w:szCs w:val="24"/>
              </w:rPr>
              <w:t>≤</w:t>
            </w:r>
            <w:r w:rsidR="00056711">
              <w:rPr>
                <w:sz w:val="24"/>
                <w:szCs w:val="24"/>
              </w:rPr>
              <w:t> </w:t>
            </w:r>
            <w:r w:rsidRPr="00056711">
              <w:rPr>
                <w:sz w:val="24"/>
                <w:szCs w:val="24"/>
              </w:rPr>
              <w:t>$2,500</w:t>
            </w:r>
          </w:p>
        </w:tc>
        <w:tc>
          <w:tcPr>
            <w:tcW w:w="1560" w:type="dxa"/>
          </w:tcPr>
          <w:p w14:paraId="3C325E54" w14:textId="7343DA77" w:rsidR="0007636D" w:rsidRDefault="0007636D" w:rsidP="0007636D">
            <w:r>
              <w:rPr>
                <w:sz w:val="24"/>
              </w:rPr>
              <w:t>$1</w:t>
            </w:r>
            <w:r w:rsidR="00174B28">
              <w:rPr>
                <w:sz w:val="24"/>
              </w:rPr>
              <w:t>51</w:t>
            </w:r>
            <w:r>
              <w:rPr>
                <w:sz w:val="24"/>
              </w:rPr>
              <w:t>.00</w:t>
            </w:r>
          </w:p>
        </w:tc>
      </w:tr>
      <w:tr w:rsidR="0007636D" w14:paraId="6AA92E42" w14:textId="77777777" w:rsidTr="00056711">
        <w:tc>
          <w:tcPr>
            <w:tcW w:w="1271" w:type="dxa"/>
          </w:tcPr>
          <w:p w14:paraId="4F292FE2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7A1EE2EA" w14:textId="575EE054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non-trade promotion lottery with a total prize value of &gt; $2,500 and ≤</w:t>
            </w:r>
            <w:r w:rsidR="00056711">
              <w:rPr>
                <w:sz w:val="24"/>
                <w:szCs w:val="24"/>
              </w:rPr>
              <w:t> </w:t>
            </w:r>
            <w:r w:rsidRPr="00056711">
              <w:rPr>
                <w:sz w:val="24"/>
                <w:szCs w:val="24"/>
              </w:rPr>
              <w:t>$5,000</w:t>
            </w:r>
          </w:p>
        </w:tc>
        <w:tc>
          <w:tcPr>
            <w:tcW w:w="1560" w:type="dxa"/>
          </w:tcPr>
          <w:p w14:paraId="0DF427D7" w14:textId="00D52AF3" w:rsidR="0007636D" w:rsidRDefault="0007636D" w:rsidP="0007636D">
            <w:r>
              <w:rPr>
                <w:sz w:val="24"/>
              </w:rPr>
              <w:t>$2</w:t>
            </w:r>
            <w:r w:rsidR="00FC241F">
              <w:rPr>
                <w:sz w:val="24"/>
              </w:rPr>
              <w:t>2</w:t>
            </w:r>
            <w:r w:rsidR="00174B28">
              <w:rPr>
                <w:sz w:val="24"/>
              </w:rPr>
              <w:t>3</w:t>
            </w:r>
            <w:r>
              <w:rPr>
                <w:sz w:val="24"/>
              </w:rPr>
              <w:t>.00</w:t>
            </w:r>
          </w:p>
        </w:tc>
      </w:tr>
      <w:tr w:rsidR="0007636D" w14:paraId="002269D2" w14:textId="77777777" w:rsidTr="00056711">
        <w:tc>
          <w:tcPr>
            <w:tcW w:w="1271" w:type="dxa"/>
          </w:tcPr>
          <w:p w14:paraId="77607AEE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4B58FE50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non-trade promotion lottery with a total prize value of &gt;$5,000 and ≤$10,000</w:t>
            </w:r>
          </w:p>
        </w:tc>
        <w:tc>
          <w:tcPr>
            <w:tcW w:w="1560" w:type="dxa"/>
          </w:tcPr>
          <w:p w14:paraId="302114A9" w14:textId="4E4FCE5E" w:rsidR="0007636D" w:rsidRDefault="0007636D" w:rsidP="0007636D">
            <w:r>
              <w:rPr>
                <w:sz w:val="24"/>
              </w:rPr>
              <w:t>$3</w:t>
            </w:r>
            <w:r w:rsidR="00FC241F">
              <w:rPr>
                <w:sz w:val="24"/>
              </w:rPr>
              <w:t>2</w:t>
            </w:r>
            <w:r w:rsidR="00174B28">
              <w:rPr>
                <w:sz w:val="24"/>
              </w:rPr>
              <w:t>6</w:t>
            </w:r>
            <w:r>
              <w:rPr>
                <w:sz w:val="24"/>
              </w:rPr>
              <w:t>.00</w:t>
            </w:r>
          </w:p>
        </w:tc>
      </w:tr>
      <w:tr w:rsidR="0007636D" w14:paraId="6F768252" w14:textId="77777777" w:rsidTr="00056711">
        <w:tc>
          <w:tcPr>
            <w:tcW w:w="1271" w:type="dxa"/>
          </w:tcPr>
          <w:p w14:paraId="43424946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6101CDCF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non-trade promotion lottery with a total prize value of &gt;$10,000 and ≤$50,000</w:t>
            </w:r>
          </w:p>
        </w:tc>
        <w:tc>
          <w:tcPr>
            <w:tcW w:w="1560" w:type="dxa"/>
          </w:tcPr>
          <w:p w14:paraId="1D415C16" w14:textId="6856792B" w:rsidR="0007636D" w:rsidRDefault="0007636D" w:rsidP="0007636D">
            <w:r>
              <w:rPr>
                <w:sz w:val="24"/>
              </w:rPr>
              <w:t>$6</w:t>
            </w:r>
            <w:r w:rsidR="00174B28">
              <w:rPr>
                <w:sz w:val="24"/>
              </w:rPr>
              <w:t>2</w:t>
            </w:r>
            <w:r w:rsidR="00FC241F">
              <w:rPr>
                <w:sz w:val="24"/>
              </w:rPr>
              <w:t>7</w:t>
            </w:r>
            <w:r>
              <w:rPr>
                <w:sz w:val="24"/>
              </w:rPr>
              <w:t>.00</w:t>
            </w:r>
          </w:p>
        </w:tc>
      </w:tr>
      <w:tr w:rsidR="0007636D" w14:paraId="0426551B" w14:textId="77777777" w:rsidTr="00056711">
        <w:tc>
          <w:tcPr>
            <w:tcW w:w="1271" w:type="dxa"/>
          </w:tcPr>
          <w:p w14:paraId="307264D3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14:paraId="2F92AED2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non-trade promotion lottery with a total prize value of &gt;$50,000</w:t>
            </w:r>
          </w:p>
        </w:tc>
        <w:tc>
          <w:tcPr>
            <w:tcW w:w="1560" w:type="dxa"/>
          </w:tcPr>
          <w:p w14:paraId="294982A9" w14:textId="468601F9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$8</w:t>
            </w:r>
            <w:r w:rsidR="00174B28">
              <w:rPr>
                <w:sz w:val="24"/>
              </w:rPr>
              <w:t>96</w:t>
            </w:r>
            <w:r>
              <w:rPr>
                <w:sz w:val="24"/>
              </w:rPr>
              <w:t>.00</w:t>
            </w:r>
          </w:p>
        </w:tc>
      </w:tr>
      <w:tr w:rsidR="0007636D" w14:paraId="58AC2362" w14:textId="77777777" w:rsidTr="00056711">
        <w:tc>
          <w:tcPr>
            <w:tcW w:w="1271" w:type="dxa"/>
          </w:tcPr>
          <w:p w14:paraId="4D9B99C4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6566CD71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trade promotion lottery with a total prize value of &gt;$3,000 and ≤$5,000</w:t>
            </w:r>
          </w:p>
        </w:tc>
        <w:tc>
          <w:tcPr>
            <w:tcW w:w="1560" w:type="dxa"/>
          </w:tcPr>
          <w:p w14:paraId="33E44EB4" w14:textId="664BE564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$2</w:t>
            </w:r>
            <w:r w:rsidR="00056711">
              <w:rPr>
                <w:sz w:val="24"/>
              </w:rPr>
              <w:t>2</w:t>
            </w:r>
            <w:r w:rsidR="00174B28">
              <w:rPr>
                <w:sz w:val="24"/>
              </w:rPr>
              <w:t>3</w:t>
            </w:r>
            <w:r>
              <w:rPr>
                <w:sz w:val="24"/>
              </w:rPr>
              <w:t>.00</w:t>
            </w:r>
          </w:p>
        </w:tc>
      </w:tr>
      <w:tr w:rsidR="0007636D" w14:paraId="11571616" w14:textId="77777777" w:rsidTr="00056711">
        <w:tc>
          <w:tcPr>
            <w:tcW w:w="1271" w:type="dxa"/>
          </w:tcPr>
          <w:p w14:paraId="5ED65831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14:paraId="600237BA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trade promotion lottery with a total prize value of &gt;$5,000 and ≤$10,000</w:t>
            </w:r>
          </w:p>
        </w:tc>
        <w:tc>
          <w:tcPr>
            <w:tcW w:w="1560" w:type="dxa"/>
          </w:tcPr>
          <w:p w14:paraId="5020B1F0" w14:textId="78C56828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$3</w:t>
            </w:r>
            <w:r w:rsidR="00056711">
              <w:rPr>
                <w:sz w:val="24"/>
              </w:rPr>
              <w:t>2</w:t>
            </w:r>
            <w:r w:rsidR="00174B28">
              <w:rPr>
                <w:sz w:val="24"/>
              </w:rPr>
              <w:t>6</w:t>
            </w:r>
            <w:r>
              <w:rPr>
                <w:sz w:val="24"/>
              </w:rPr>
              <w:t>.00</w:t>
            </w:r>
          </w:p>
        </w:tc>
      </w:tr>
      <w:tr w:rsidR="0007636D" w14:paraId="034F764E" w14:textId="77777777" w:rsidTr="00056711">
        <w:tc>
          <w:tcPr>
            <w:tcW w:w="1271" w:type="dxa"/>
          </w:tcPr>
          <w:p w14:paraId="54F711EC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14:paraId="257772F6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trade promotion lottery with a total prize value of &gt;$10,000 and ≤$50,000</w:t>
            </w:r>
          </w:p>
        </w:tc>
        <w:tc>
          <w:tcPr>
            <w:tcW w:w="1560" w:type="dxa"/>
          </w:tcPr>
          <w:p w14:paraId="7282143E" w14:textId="2052BC09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$6</w:t>
            </w:r>
            <w:r w:rsidR="00174B28">
              <w:rPr>
                <w:sz w:val="24"/>
              </w:rPr>
              <w:t>2</w:t>
            </w:r>
            <w:r w:rsidR="00056711">
              <w:rPr>
                <w:sz w:val="24"/>
              </w:rPr>
              <w:t>7</w:t>
            </w:r>
            <w:r>
              <w:rPr>
                <w:sz w:val="24"/>
              </w:rPr>
              <w:t>.00</w:t>
            </w:r>
          </w:p>
        </w:tc>
      </w:tr>
      <w:tr w:rsidR="0007636D" w14:paraId="10E130C2" w14:textId="77777777" w:rsidTr="00056711">
        <w:tc>
          <w:tcPr>
            <w:tcW w:w="1271" w:type="dxa"/>
          </w:tcPr>
          <w:p w14:paraId="1A7A317B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14:paraId="5CC8F66E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trade promotion lottery with a total prize value of &gt;$50,000 and ≤$100,000</w:t>
            </w:r>
          </w:p>
        </w:tc>
        <w:tc>
          <w:tcPr>
            <w:tcW w:w="1560" w:type="dxa"/>
          </w:tcPr>
          <w:p w14:paraId="24A2B407" w14:textId="2293E4EB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$8</w:t>
            </w:r>
            <w:r w:rsidR="00174B28">
              <w:rPr>
                <w:sz w:val="24"/>
              </w:rPr>
              <w:t>96</w:t>
            </w:r>
            <w:r>
              <w:rPr>
                <w:sz w:val="24"/>
              </w:rPr>
              <w:t>.00</w:t>
            </w:r>
          </w:p>
        </w:tc>
      </w:tr>
    </w:tbl>
    <w:p w14:paraId="31EE3694" w14:textId="77777777" w:rsidR="00C53980" w:rsidRDefault="00C5398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1560"/>
      </w:tblGrid>
      <w:tr w:rsidR="00C53980" w14:paraId="669AF7C8" w14:textId="77777777" w:rsidTr="00056711">
        <w:tc>
          <w:tcPr>
            <w:tcW w:w="1271" w:type="dxa"/>
          </w:tcPr>
          <w:p w14:paraId="0AA55C06" w14:textId="3319CF97" w:rsidR="00C53980" w:rsidRPr="00056711" w:rsidRDefault="00C53980" w:rsidP="00C53980">
            <w:pPr>
              <w:rPr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lastRenderedPageBreak/>
              <w:t>Column 1</w:t>
            </w:r>
          </w:p>
        </w:tc>
        <w:tc>
          <w:tcPr>
            <w:tcW w:w="5528" w:type="dxa"/>
          </w:tcPr>
          <w:p w14:paraId="04C80F40" w14:textId="003D9559" w:rsidR="00C53980" w:rsidRPr="00056711" w:rsidRDefault="00C53980" w:rsidP="00C53980">
            <w:pPr>
              <w:rPr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1560" w:type="dxa"/>
          </w:tcPr>
          <w:p w14:paraId="09FDBF27" w14:textId="5597215E" w:rsidR="00C53980" w:rsidRPr="00056711" w:rsidRDefault="00C53980" w:rsidP="00C53980">
            <w:pPr>
              <w:rPr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t>Column 3</w:t>
            </w:r>
          </w:p>
        </w:tc>
      </w:tr>
      <w:tr w:rsidR="00C53980" w14:paraId="3856C599" w14:textId="77777777" w:rsidTr="00056711">
        <w:tc>
          <w:tcPr>
            <w:tcW w:w="1271" w:type="dxa"/>
          </w:tcPr>
          <w:p w14:paraId="4E383C27" w14:textId="21E7E92B" w:rsidR="00C53980" w:rsidRPr="00056711" w:rsidRDefault="00C53980" w:rsidP="00C53980">
            <w:pPr>
              <w:rPr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528" w:type="dxa"/>
          </w:tcPr>
          <w:p w14:paraId="5E68765D" w14:textId="58E8EC90" w:rsidR="00C53980" w:rsidRPr="00056711" w:rsidRDefault="00C53980" w:rsidP="00C53980">
            <w:pPr>
              <w:rPr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t>Matter in respect of which fee or charge is payable</w:t>
            </w:r>
          </w:p>
        </w:tc>
        <w:tc>
          <w:tcPr>
            <w:tcW w:w="1560" w:type="dxa"/>
          </w:tcPr>
          <w:p w14:paraId="6891B196" w14:textId="7AC83743" w:rsidR="00C53980" w:rsidRPr="00056711" w:rsidRDefault="00C53980" w:rsidP="00C53980">
            <w:pPr>
              <w:rPr>
                <w:sz w:val="24"/>
                <w:szCs w:val="24"/>
              </w:rPr>
            </w:pPr>
            <w:r w:rsidRPr="00056711">
              <w:rPr>
                <w:b/>
                <w:bCs/>
                <w:sz w:val="24"/>
                <w:szCs w:val="24"/>
              </w:rPr>
              <w:t>Amount payable</w:t>
            </w:r>
          </w:p>
        </w:tc>
      </w:tr>
      <w:tr w:rsidR="0007636D" w14:paraId="5F8FBE83" w14:textId="77777777" w:rsidTr="00056711">
        <w:tc>
          <w:tcPr>
            <w:tcW w:w="1271" w:type="dxa"/>
          </w:tcPr>
          <w:p w14:paraId="2A184F81" w14:textId="286B281A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14:paraId="01AED737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trade promotion lottery with a total prize value of &gt;$100,000 and ≤$200,000</w:t>
            </w:r>
          </w:p>
        </w:tc>
        <w:tc>
          <w:tcPr>
            <w:tcW w:w="1560" w:type="dxa"/>
          </w:tcPr>
          <w:p w14:paraId="2B831A2B" w14:textId="0B83C855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$1,7</w:t>
            </w:r>
            <w:r w:rsidR="00174B28">
              <w:rPr>
                <w:sz w:val="24"/>
              </w:rPr>
              <w:t>8</w:t>
            </w:r>
            <w:r w:rsidR="00056711">
              <w:rPr>
                <w:sz w:val="24"/>
              </w:rPr>
              <w:t>8</w:t>
            </w:r>
            <w:r>
              <w:rPr>
                <w:sz w:val="24"/>
              </w:rPr>
              <w:t>.00</w:t>
            </w:r>
          </w:p>
        </w:tc>
      </w:tr>
      <w:tr w:rsidR="0007636D" w14:paraId="44F86B73" w14:textId="77777777" w:rsidTr="00056711">
        <w:tc>
          <w:tcPr>
            <w:tcW w:w="1271" w:type="dxa"/>
          </w:tcPr>
          <w:p w14:paraId="288C7EBC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14:paraId="30E6AF4A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under section 7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for approval to conduct a trade promotion lottery with a total prize value of &gt;$200,000</w:t>
            </w:r>
          </w:p>
        </w:tc>
        <w:tc>
          <w:tcPr>
            <w:tcW w:w="1560" w:type="dxa"/>
          </w:tcPr>
          <w:p w14:paraId="1CDF7E2E" w14:textId="3D0CF6CC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$3,</w:t>
            </w:r>
            <w:r w:rsidR="00056711">
              <w:rPr>
                <w:sz w:val="24"/>
              </w:rPr>
              <w:t>5</w:t>
            </w:r>
            <w:r w:rsidR="00174B28">
              <w:rPr>
                <w:sz w:val="24"/>
              </w:rPr>
              <w:t>86</w:t>
            </w:r>
            <w:r>
              <w:rPr>
                <w:sz w:val="24"/>
              </w:rPr>
              <w:t>.00</w:t>
            </w:r>
          </w:p>
        </w:tc>
      </w:tr>
      <w:tr w:rsidR="0007636D" w14:paraId="50336C32" w14:textId="77777777" w:rsidTr="00056711">
        <w:tc>
          <w:tcPr>
            <w:tcW w:w="1271" w:type="dxa"/>
          </w:tcPr>
          <w:p w14:paraId="093EF239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14:paraId="4EDF2735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for variation of approval under section 7A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to conduct a non-trade promotion lottery</w:t>
            </w:r>
          </w:p>
        </w:tc>
        <w:tc>
          <w:tcPr>
            <w:tcW w:w="1560" w:type="dxa"/>
          </w:tcPr>
          <w:p w14:paraId="61F0066D" w14:textId="769E8134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$6</w:t>
            </w:r>
            <w:r w:rsidR="00174B28">
              <w:rPr>
                <w:sz w:val="24"/>
              </w:rPr>
              <w:t>6</w:t>
            </w:r>
            <w:r>
              <w:rPr>
                <w:sz w:val="24"/>
              </w:rPr>
              <w:t>.00</w:t>
            </w:r>
          </w:p>
        </w:tc>
      </w:tr>
      <w:tr w:rsidR="0007636D" w14:paraId="44A162E7" w14:textId="77777777" w:rsidTr="00056711">
        <w:tc>
          <w:tcPr>
            <w:tcW w:w="1271" w:type="dxa"/>
          </w:tcPr>
          <w:p w14:paraId="5FCAA9E1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14:paraId="7CE41645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for variation of approval under section 7A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to conduct a trade promotion lottery with a total prize value of ≤$5,000</w:t>
            </w:r>
          </w:p>
        </w:tc>
        <w:tc>
          <w:tcPr>
            <w:tcW w:w="1560" w:type="dxa"/>
          </w:tcPr>
          <w:p w14:paraId="553746BB" w14:textId="4D92E5F7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$6</w:t>
            </w:r>
            <w:r w:rsidR="00174B28">
              <w:rPr>
                <w:sz w:val="24"/>
              </w:rPr>
              <w:t>6</w:t>
            </w:r>
            <w:r>
              <w:rPr>
                <w:sz w:val="24"/>
              </w:rPr>
              <w:t>.00</w:t>
            </w:r>
          </w:p>
        </w:tc>
      </w:tr>
      <w:tr w:rsidR="0007636D" w14:paraId="073F9547" w14:textId="77777777" w:rsidTr="00056711">
        <w:tc>
          <w:tcPr>
            <w:tcW w:w="1271" w:type="dxa"/>
          </w:tcPr>
          <w:p w14:paraId="7E5C1221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14:paraId="2D307081" w14:textId="77777777" w:rsidR="0007636D" w:rsidRPr="00056711" w:rsidRDefault="0007636D" w:rsidP="0007636D">
            <w:pPr>
              <w:rPr>
                <w:sz w:val="24"/>
                <w:szCs w:val="24"/>
              </w:rPr>
            </w:pPr>
            <w:r w:rsidRPr="00056711">
              <w:rPr>
                <w:sz w:val="24"/>
                <w:szCs w:val="24"/>
              </w:rPr>
              <w:t xml:space="preserve">Fee for application for variation of approval under section 7A of the </w:t>
            </w:r>
            <w:r w:rsidRPr="00056711">
              <w:rPr>
                <w:i/>
                <w:iCs/>
                <w:sz w:val="24"/>
                <w:szCs w:val="24"/>
              </w:rPr>
              <w:t>Lotteries Act 1964</w:t>
            </w:r>
            <w:r w:rsidRPr="00056711">
              <w:rPr>
                <w:sz w:val="24"/>
                <w:szCs w:val="24"/>
              </w:rPr>
              <w:t xml:space="preserve"> to conduct a trade promotion lottery with a total prize value of &gt;$5,000</w:t>
            </w:r>
          </w:p>
        </w:tc>
        <w:tc>
          <w:tcPr>
            <w:tcW w:w="1560" w:type="dxa"/>
          </w:tcPr>
          <w:p w14:paraId="3658C9B9" w14:textId="772B1FF1" w:rsidR="0007636D" w:rsidRDefault="0007636D" w:rsidP="0007636D">
            <w:pPr>
              <w:rPr>
                <w:sz w:val="24"/>
              </w:rPr>
            </w:pPr>
            <w:r>
              <w:rPr>
                <w:sz w:val="24"/>
              </w:rPr>
              <w:t>$12</w:t>
            </w:r>
            <w:r w:rsidR="00174B28">
              <w:rPr>
                <w:sz w:val="24"/>
              </w:rPr>
              <w:t>6</w:t>
            </w:r>
            <w:r>
              <w:rPr>
                <w:sz w:val="24"/>
              </w:rPr>
              <w:t>.00</w:t>
            </w:r>
          </w:p>
        </w:tc>
      </w:tr>
    </w:tbl>
    <w:p w14:paraId="3D04F0E0" w14:textId="54AFCB53" w:rsidR="0007636D" w:rsidRDefault="0007636D" w:rsidP="002B6DEF">
      <w:pPr>
        <w:pStyle w:val="BodyText"/>
        <w:jc w:val="center"/>
        <w:rPr>
          <w:sz w:val="23"/>
        </w:rPr>
      </w:pPr>
    </w:p>
    <w:p w14:paraId="77182250" w14:textId="0E817903" w:rsidR="0007636D" w:rsidRDefault="0007636D">
      <w:pPr>
        <w:pStyle w:val="BodyText"/>
        <w:rPr>
          <w:sz w:val="23"/>
        </w:rPr>
      </w:pPr>
    </w:p>
    <w:p w14:paraId="30FAF273" w14:textId="455F924C" w:rsidR="00796F30" w:rsidRPr="006E25D8" w:rsidRDefault="00796F30" w:rsidP="006E25D8">
      <w:pPr>
        <w:rPr>
          <w:sz w:val="23"/>
          <w:szCs w:val="24"/>
        </w:rPr>
      </w:pPr>
    </w:p>
    <w:sectPr w:rsidR="00796F30" w:rsidRPr="006E25D8" w:rsidSect="00EC449C">
      <w:headerReference w:type="default" r:id="rId13"/>
      <w:footerReference w:type="default" r:id="rId14"/>
      <w:pgSz w:w="11910" w:h="16840"/>
      <w:pgMar w:top="1380" w:right="1540" w:bottom="1200" w:left="1660" w:header="730" w:footer="9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9178D" w14:textId="77777777" w:rsidR="003E7F73" w:rsidRDefault="003E7F73">
      <w:r>
        <w:separator/>
      </w:r>
    </w:p>
  </w:endnote>
  <w:endnote w:type="continuationSeparator" w:id="0">
    <w:p w14:paraId="2E13D8EC" w14:textId="77777777" w:rsidR="003E7F73" w:rsidRDefault="003E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ACD2C" w14:textId="77777777" w:rsidR="001F55A8" w:rsidRDefault="001F55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C6E21" w14:textId="39954F68" w:rsidR="001F55A8" w:rsidRPr="001F55A8" w:rsidRDefault="001F55A8" w:rsidP="001F55A8">
    <w:pPr>
      <w:pStyle w:val="Footer"/>
      <w:jc w:val="center"/>
      <w:rPr>
        <w:rFonts w:ascii="Arial" w:hAnsi="Arial" w:cs="Arial"/>
        <w:sz w:val="14"/>
      </w:rPr>
    </w:pPr>
    <w:r w:rsidRPr="001F55A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BFD68" w14:textId="77777777" w:rsidR="001F55A8" w:rsidRDefault="001F55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C0EFE" w14:textId="30140D58" w:rsidR="0007636D" w:rsidRPr="001F55A8" w:rsidRDefault="001F55A8" w:rsidP="001F55A8">
    <w:pPr>
      <w:pStyle w:val="Footer"/>
      <w:jc w:val="center"/>
      <w:rPr>
        <w:rFonts w:ascii="Arial" w:hAnsi="Arial" w:cs="Arial"/>
        <w:sz w:val="14"/>
      </w:rPr>
    </w:pPr>
    <w:r w:rsidRPr="001F55A8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8581D" w14:textId="77777777" w:rsidR="003E7F73" w:rsidRDefault="003E7F73">
      <w:r>
        <w:separator/>
      </w:r>
    </w:p>
  </w:footnote>
  <w:footnote w:type="continuationSeparator" w:id="0">
    <w:p w14:paraId="085845D0" w14:textId="77777777" w:rsidR="003E7F73" w:rsidRDefault="003E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E4C67" w14:textId="77777777" w:rsidR="001F55A8" w:rsidRDefault="001F55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D4C35" w14:textId="77777777" w:rsidR="001F55A8" w:rsidRDefault="001F55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94E20" w14:textId="77777777" w:rsidR="001F55A8" w:rsidRDefault="001F55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7FC01" w14:textId="5493C779" w:rsidR="0007636D" w:rsidRDefault="00C5398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C7A10A" wp14:editId="1FCE9E18">
              <wp:simplePos x="0" y="0"/>
              <wp:positionH relativeFrom="page">
                <wp:posOffset>2429510</wp:posOffset>
              </wp:positionH>
              <wp:positionV relativeFrom="page">
                <wp:posOffset>273050</wp:posOffset>
              </wp:positionV>
              <wp:extent cx="2776220" cy="52514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6220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01D66" w14:textId="0E0672B4" w:rsidR="0007636D" w:rsidRDefault="0007636D">
                          <w:pPr>
                            <w:spacing w:before="1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This is 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of </w:t>
                          </w:r>
                          <w:r w:rsidR="00C53980">
                            <w:rPr>
                              <w:b/>
                            </w:rPr>
                            <w:t xml:space="preserve">2 </w:t>
                          </w:r>
                          <w:r>
                            <w:rPr>
                              <w:b/>
                            </w:rPr>
                            <w:t>pages of the Schedule to the</w:t>
                          </w:r>
                        </w:p>
                        <w:p w14:paraId="6414A2D3" w14:textId="5391D1C8" w:rsidR="0007636D" w:rsidRDefault="0007636D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Lotteries (Fees) Determination 202</w:t>
                          </w:r>
                          <w:r w:rsidR="00E16615">
                            <w:rPr>
                              <w:b/>
                              <w:i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7A10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91.3pt;margin-top:21.5pt;width:218.6pt;height:4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" filled="f" stroked="f">
              <v:textbox inset="0,0,0,0">
                <w:txbxContent>
                  <w:p w14:paraId="4D201D66" w14:textId="0E0672B4" w:rsidR="0007636D" w:rsidRDefault="0007636D">
                    <w:pPr>
                      <w:spacing w:before="1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This is 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of </w:t>
                    </w:r>
                    <w:r w:rsidR="00C53980">
                      <w:rPr>
                        <w:b/>
                      </w:rPr>
                      <w:t xml:space="preserve">2 </w:t>
                    </w:r>
                    <w:r>
                      <w:rPr>
                        <w:b/>
                      </w:rPr>
                      <w:t>pages of the Schedule to the</w:t>
                    </w:r>
                  </w:p>
                  <w:p w14:paraId="6414A2D3" w14:textId="5391D1C8" w:rsidR="0007636D" w:rsidRDefault="0007636D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Lotteries (Fees) Determination 202</w:t>
                    </w:r>
                    <w:r w:rsidR="00E16615">
                      <w:rPr>
                        <w:b/>
                        <w:i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76E0E"/>
    <w:multiLevelType w:val="hybridMultilevel"/>
    <w:tmpl w:val="97A87638"/>
    <w:lvl w:ilvl="0" w:tplc="10EA279A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F45E2"/>
    <w:multiLevelType w:val="hybridMultilevel"/>
    <w:tmpl w:val="68248488"/>
    <w:lvl w:ilvl="0" w:tplc="B824B336">
      <w:start w:val="1"/>
      <w:numFmt w:val="decimal"/>
      <w:lvlText w:val="%1"/>
      <w:lvlJc w:val="left"/>
      <w:pPr>
        <w:ind w:left="1005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D610DBFC">
      <w:numFmt w:val="bullet"/>
      <w:lvlText w:val="•"/>
      <w:lvlJc w:val="left"/>
      <w:pPr>
        <w:ind w:left="860" w:hanging="721"/>
      </w:pPr>
      <w:rPr>
        <w:rFonts w:hint="default"/>
        <w:lang w:val="en-AU" w:eastAsia="en-AU" w:bidi="en-AU"/>
      </w:rPr>
    </w:lvl>
    <w:lvl w:ilvl="2" w:tplc="D414C500">
      <w:numFmt w:val="bullet"/>
      <w:lvlText w:val="•"/>
      <w:lvlJc w:val="left"/>
      <w:pPr>
        <w:ind w:left="1731" w:hanging="721"/>
      </w:pPr>
      <w:rPr>
        <w:rFonts w:hint="default"/>
        <w:lang w:val="en-AU" w:eastAsia="en-AU" w:bidi="en-AU"/>
      </w:rPr>
    </w:lvl>
    <w:lvl w:ilvl="3" w:tplc="393282BA">
      <w:numFmt w:val="bullet"/>
      <w:lvlText w:val="•"/>
      <w:lvlJc w:val="left"/>
      <w:pPr>
        <w:ind w:left="2603" w:hanging="721"/>
      </w:pPr>
      <w:rPr>
        <w:rFonts w:hint="default"/>
        <w:lang w:val="en-AU" w:eastAsia="en-AU" w:bidi="en-AU"/>
      </w:rPr>
    </w:lvl>
    <w:lvl w:ilvl="4" w:tplc="ADFC306E">
      <w:numFmt w:val="bullet"/>
      <w:lvlText w:val="•"/>
      <w:lvlJc w:val="left"/>
      <w:pPr>
        <w:ind w:left="3475" w:hanging="721"/>
      </w:pPr>
      <w:rPr>
        <w:rFonts w:hint="default"/>
        <w:lang w:val="en-AU" w:eastAsia="en-AU" w:bidi="en-AU"/>
      </w:rPr>
    </w:lvl>
    <w:lvl w:ilvl="5" w:tplc="54E687B0">
      <w:numFmt w:val="bullet"/>
      <w:lvlText w:val="•"/>
      <w:lvlJc w:val="left"/>
      <w:pPr>
        <w:ind w:left="4347" w:hanging="721"/>
      </w:pPr>
      <w:rPr>
        <w:rFonts w:hint="default"/>
        <w:lang w:val="en-AU" w:eastAsia="en-AU" w:bidi="en-AU"/>
      </w:rPr>
    </w:lvl>
    <w:lvl w:ilvl="6" w:tplc="DAA68DF0">
      <w:numFmt w:val="bullet"/>
      <w:lvlText w:val="•"/>
      <w:lvlJc w:val="left"/>
      <w:pPr>
        <w:ind w:left="5219" w:hanging="721"/>
      </w:pPr>
      <w:rPr>
        <w:rFonts w:hint="default"/>
        <w:lang w:val="en-AU" w:eastAsia="en-AU" w:bidi="en-AU"/>
      </w:rPr>
    </w:lvl>
    <w:lvl w:ilvl="7" w:tplc="D44E72FC">
      <w:numFmt w:val="bullet"/>
      <w:lvlText w:val="•"/>
      <w:lvlJc w:val="left"/>
      <w:pPr>
        <w:ind w:left="6091" w:hanging="721"/>
      </w:pPr>
      <w:rPr>
        <w:rFonts w:hint="default"/>
        <w:lang w:val="en-AU" w:eastAsia="en-AU" w:bidi="en-AU"/>
      </w:rPr>
    </w:lvl>
    <w:lvl w:ilvl="8" w:tplc="8FC4C59E">
      <w:numFmt w:val="bullet"/>
      <w:lvlText w:val="•"/>
      <w:lvlJc w:val="left"/>
      <w:pPr>
        <w:ind w:left="6963" w:hanging="721"/>
      </w:pPr>
      <w:rPr>
        <w:rFonts w:hint="default"/>
        <w:lang w:val="en-AU" w:eastAsia="en-AU" w:bidi="en-AU"/>
      </w:rPr>
    </w:lvl>
  </w:abstractNum>
  <w:abstractNum w:abstractNumId="2" w15:restartNumberingAfterBreak="0">
    <w:nsid w:val="0CC16B64"/>
    <w:multiLevelType w:val="hybridMultilevel"/>
    <w:tmpl w:val="417ED272"/>
    <w:lvl w:ilvl="0" w:tplc="10EA279A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10752"/>
    <w:multiLevelType w:val="hybridMultilevel"/>
    <w:tmpl w:val="47563138"/>
    <w:lvl w:ilvl="0" w:tplc="E88250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30B8"/>
    <w:multiLevelType w:val="hybridMultilevel"/>
    <w:tmpl w:val="874C12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55345"/>
    <w:multiLevelType w:val="hybridMultilevel"/>
    <w:tmpl w:val="96687FEE"/>
    <w:lvl w:ilvl="0" w:tplc="41DAA21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579B4"/>
    <w:multiLevelType w:val="hybridMultilevel"/>
    <w:tmpl w:val="84901254"/>
    <w:lvl w:ilvl="0" w:tplc="A4AE1254">
      <w:start w:val="1"/>
      <w:numFmt w:val="lowerLetter"/>
      <w:lvlText w:val="(%1)"/>
      <w:lvlJc w:val="left"/>
      <w:pPr>
        <w:ind w:left="497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AU" w:eastAsia="en-AU" w:bidi="en-AU"/>
      </w:rPr>
    </w:lvl>
    <w:lvl w:ilvl="1" w:tplc="887A50D2">
      <w:numFmt w:val="bullet"/>
      <w:lvlText w:val="•"/>
      <w:lvlJc w:val="left"/>
      <w:pPr>
        <w:ind w:left="1320" w:hanging="360"/>
      </w:pPr>
      <w:rPr>
        <w:rFonts w:hint="default"/>
        <w:lang w:val="en-AU" w:eastAsia="en-AU" w:bidi="en-AU"/>
      </w:rPr>
    </w:lvl>
    <w:lvl w:ilvl="2" w:tplc="0E58B460">
      <w:numFmt w:val="bullet"/>
      <w:lvlText w:val="•"/>
      <w:lvlJc w:val="left"/>
      <w:pPr>
        <w:ind w:left="2141" w:hanging="360"/>
      </w:pPr>
      <w:rPr>
        <w:rFonts w:hint="default"/>
        <w:lang w:val="en-AU" w:eastAsia="en-AU" w:bidi="en-AU"/>
      </w:rPr>
    </w:lvl>
    <w:lvl w:ilvl="3" w:tplc="673CE9A2">
      <w:numFmt w:val="bullet"/>
      <w:lvlText w:val="•"/>
      <w:lvlJc w:val="left"/>
      <w:pPr>
        <w:ind w:left="2962" w:hanging="360"/>
      </w:pPr>
      <w:rPr>
        <w:rFonts w:hint="default"/>
        <w:lang w:val="en-AU" w:eastAsia="en-AU" w:bidi="en-AU"/>
      </w:rPr>
    </w:lvl>
    <w:lvl w:ilvl="4" w:tplc="853E3222">
      <w:numFmt w:val="bullet"/>
      <w:lvlText w:val="•"/>
      <w:lvlJc w:val="left"/>
      <w:pPr>
        <w:ind w:left="3783" w:hanging="360"/>
      </w:pPr>
      <w:rPr>
        <w:rFonts w:hint="default"/>
        <w:lang w:val="en-AU" w:eastAsia="en-AU" w:bidi="en-AU"/>
      </w:rPr>
    </w:lvl>
    <w:lvl w:ilvl="5" w:tplc="D01658C6">
      <w:numFmt w:val="bullet"/>
      <w:lvlText w:val="•"/>
      <w:lvlJc w:val="left"/>
      <w:pPr>
        <w:ind w:left="4603" w:hanging="360"/>
      </w:pPr>
      <w:rPr>
        <w:rFonts w:hint="default"/>
        <w:lang w:val="en-AU" w:eastAsia="en-AU" w:bidi="en-AU"/>
      </w:rPr>
    </w:lvl>
    <w:lvl w:ilvl="6" w:tplc="0C8A71DE">
      <w:numFmt w:val="bullet"/>
      <w:lvlText w:val="•"/>
      <w:lvlJc w:val="left"/>
      <w:pPr>
        <w:ind w:left="5424" w:hanging="360"/>
      </w:pPr>
      <w:rPr>
        <w:rFonts w:hint="default"/>
        <w:lang w:val="en-AU" w:eastAsia="en-AU" w:bidi="en-AU"/>
      </w:rPr>
    </w:lvl>
    <w:lvl w:ilvl="7" w:tplc="C602BAC8">
      <w:numFmt w:val="bullet"/>
      <w:lvlText w:val="•"/>
      <w:lvlJc w:val="left"/>
      <w:pPr>
        <w:ind w:left="6245" w:hanging="360"/>
      </w:pPr>
      <w:rPr>
        <w:rFonts w:hint="default"/>
        <w:lang w:val="en-AU" w:eastAsia="en-AU" w:bidi="en-AU"/>
      </w:rPr>
    </w:lvl>
    <w:lvl w:ilvl="8" w:tplc="167E2258">
      <w:numFmt w:val="bullet"/>
      <w:lvlText w:val="•"/>
      <w:lvlJc w:val="left"/>
      <w:pPr>
        <w:ind w:left="7066" w:hanging="360"/>
      </w:pPr>
      <w:rPr>
        <w:rFonts w:hint="default"/>
        <w:lang w:val="en-AU" w:eastAsia="en-AU" w:bidi="en-AU"/>
      </w:rPr>
    </w:lvl>
  </w:abstractNum>
  <w:abstractNum w:abstractNumId="7" w15:restartNumberingAfterBreak="0">
    <w:nsid w:val="3BD64A57"/>
    <w:multiLevelType w:val="hybridMultilevel"/>
    <w:tmpl w:val="36AA73A8"/>
    <w:lvl w:ilvl="0" w:tplc="7F1CB838">
      <w:start w:val="1"/>
      <w:numFmt w:val="decimal"/>
      <w:lvlText w:val="%1."/>
      <w:lvlJc w:val="left"/>
      <w:pPr>
        <w:ind w:left="497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u w:val="none" w:color="000000"/>
        <w:lang w:val="en-AU" w:eastAsia="en-AU" w:bidi="en-AU"/>
      </w:rPr>
    </w:lvl>
    <w:lvl w:ilvl="1" w:tplc="B39CE41A">
      <w:numFmt w:val="bullet"/>
      <w:lvlText w:val="•"/>
      <w:lvlJc w:val="left"/>
      <w:pPr>
        <w:ind w:left="1320" w:hanging="360"/>
      </w:pPr>
      <w:rPr>
        <w:rFonts w:hint="default"/>
        <w:lang w:val="en-AU" w:eastAsia="en-AU" w:bidi="en-AU"/>
      </w:rPr>
    </w:lvl>
    <w:lvl w:ilvl="2" w:tplc="629EBFD0">
      <w:numFmt w:val="bullet"/>
      <w:lvlText w:val="•"/>
      <w:lvlJc w:val="left"/>
      <w:pPr>
        <w:ind w:left="2141" w:hanging="360"/>
      </w:pPr>
      <w:rPr>
        <w:rFonts w:hint="default"/>
        <w:lang w:val="en-AU" w:eastAsia="en-AU" w:bidi="en-AU"/>
      </w:rPr>
    </w:lvl>
    <w:lvl w:ilvl="3" w:tplc="02E2183A">
      <w:numFmt w:val="bullet"/>
      <w:lvlText w:val="•"/>
      <w:lvlJc w:val="left"/>
      <w:pPr>
        <w:ind w:left="2962" w:hanging="360"/>
      </w:pPr>
      <w:rPr>
        <w:rFonts w:hint="default"/>
        <w:lang w:val="en-AU" w:eastAsia="en-AU" w:bidi="en-AU"/>
      </w:rPr>
    </w:lvl>
    <w:lvl w:ilvl="4" w:tplc="D8640BDC">
      <w:numFmt w:val="bullet"/>
      <w:lvlText w:val="•"/>
      <w:lvlJc w:val="left"/>
      <w:pPr>
        <w:ind w:left="3783" w:hanging="360"/>
      </w:pPr>
      <w:rPr>
        <w:rFonts w:hint="default"/>
        <w:lang w:val="en-AU" w:eastAsia="en-AU" w:bidi="en-AU"/>
      </w:rPr>
    </w:lvl>
    <w:lvl w:ilvl="5" w:tplc="5EFE8C24">
      <w:numFmt w:val="bullet"/>
      <w:lvlText w:val="•"/>
      <w:lvlJc w:val="left"/>
      <w:pPr>
        <w:ind w:left="4603" w:hanging="360"/>
      </w:pPr>
      <w:rPr>
        <w:rFonts w:hint="default"/>
        <w:lang w:val="en-AU" w:eastAsia="en-AU" w:bidi="en-AU"/>
      </w:rPr>
    </w:lvl>
    <w:lvl w:ilvl="6" w:tplc="BEB0FA90">
      <w:numFmt w:val="bullet"/>
      <w:lvlText w:val="•"/>
      <w:lvlJc w:val="left"/>
      <w:pPr>
        <w:ind w:left="5424" w:hanging="360"/>
      </w:pPr>
      <w:rPr>
        <w:rFonts w:hint="default"/>
        <w:lang w:val="en-AU" w:eastAsia="en-AU" w:bidi="en-AU"/>
      </w:rPr>
    </w:lvl>
    <w:lvl w:ilvl="7" w:tplc="1EEEFEE6">
      <w:numFmt w:val="bullet"/>
      <w:lvlText w:val="•"/>
      <w:lvlJc w:val="left"/>
      <w:pPr>
        <w:ind w:left="6245" w:hanging="360"/>
      </w:pPr>
      <w:rPr>
        <w:rFonts w:hint="default"/>
        <w:lang w:val="en-AU" w:eastAsia="en-AU" w:bidi="en-AU"/>
      </w:rPr>
    </w:lvl>
    <w:lvl w:ilvl="8" w:tplc="82F68600">
      <w:numFmt w:val="bullet"/>
      <w:lvlText w:val="•"/>
      <w:lvlJc w:val="left"/>
      <w:pPr>
        <w:ind w:left="7066" w:hanging="360"/>
      </w:pPr>
      <w:rPr>
        <w:rFonts w:hint="default"/>
        <w:lang w:val="en-AU" w:eastAsia="en-AU" w:bidi="en-AU"/>
      </w:rPr>
    </w:lvl>
  </w:abstractNum>
  <w:abstractNum w:abstractNumId="8" w15:restartNumberingAfterBreak="0">
    <w:nsid w:val="446921BB"/>
    <w:multiLevelType w:val="hybridMultilevel"/>
    <w:tmpl w:val="81C4A438"/>
    <w:lvl w:ilvl="0" w:tplc="9D82224E">
      <w:start w:val="1"/>
      <w:numFmt w:val="decimal"/>
      <w:lvlText w:val="%1."/>
      <w:lvlJc w:val="left"/>
      <w:pPr>
        <w:ind w:left="49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AU" w:eastAsia="en-AU" w:bidi="en-AU"/>
      </w:rPr>
    </w:lvl>
    <w:lvl w:ilvl="1" w:tplc="557C0B7C">
      <w:numFmt w:val="bullet"/>
      <w:lvlText w:val="•"/>
      <w:lvlJc w:val="left"/>
      <w:pPr>
        <w:ind w:left="1320" w:hanging="360"/>
      </w:pPr>
      <w:rPr>
        <w:rFonts w:hint="default"/>
        <w:lang w:val="en-AU" w:eastAsia="en-AU" w:bidi="en-AU"/>
      </w:rPr>
    </w:lvl>
    <w:lvl w:ilvl="2" w:tplc="D4A42846">
      <w:numFmt w:val="bullet"/>
      <w:lvlText w:val="•"/>
      <w:lvlJc w:val="left"/>
      <w:pPr>
        <w:ind w:left="2141" w:hanging="360"/>
      </w:pPr>
      <w:rPr>
        <w:rFonts w:hint="default"/>
        <w:lang w:val="en-AU" w:eastAsia="en-AU" w:bidi="en-AU"/>
      </w:rPr>
    </w:lvl>
    <w:lvl w:ilvl="3" w:tplc="79E85E14">
      <w:numFmt w:val="bullet"/>
      <w:lvlText w:val="•"/>
      <w:lvlJc w:val="left"/>
      <w:pPr>
        <w:ind w:left="2962" w:hanging="360"/>
      </w:pPr>
      <w:rPr>
        <w:rFonts w:hint="default"/>
        <w:lang w:val="en-AU" w:eastAsia="en-AU" w:bidi="en-AU"/>
      </w:rPr>
    </w:lvl>
    <w:lvl w:ilvl="4" w:tplc="96E68D28">
      <w:numFmt w:val="bullet"/>
      <w:lvlText w:val="•"/>
      <w:lvlJc w:val="left"/>
      <w:pPr>
        <w:ind w:left="3783" w:hanging="360"/>
      </w:pPr>
      <w:rPr>
        <w:rFonts w:hint="default"/>
        <w:lang w:val="en-AU" w:eastAsia="en-AU" w:bidi="en-AU"/>
      </w:rPr>
    </w:lvl>
    <w:lvl w:ilvl="5" w:tplc="C0E00968">
      <w:numFmt w:val="bullet"/>
      <w:lvlText w:val="•"/>
      <w:lvlJc w:val="left"/>
      <w:pPr>
        <w:ind w:left="4603" w:hanging="360"/>
      </w:pPr>
      <w:rPr>
        <w:rFonts w:hint="default"/>
        <w:lang w:val="en-AU" w:eastAsia="en-AU" w:bidi="en-AU"/>
      </w:rPr>
    </w:lvl>
    <w:lvl w:ilvl="6" w:tplc="4758563E">
      <w:numFmt w:val="bullet"/>
      <w:lvlText w:val="•"/>
      <w:lvlJc w:val="left"/>
      <w:pPr>
        <w:ind w:left="5424" w:hanging="360"/>
      </w:pPr>
      <w:rPr>
        <w:rFonts w:hint="default"/>
        <w:lang w:val="en-AU" w:eastAsia="en-AU" w:bidi="en-AU"/>
      </w:rPr>
    </w:lvl>
    <w:lvl w:ilvl="7" w:tplc="1408C28C">
      <w:numFmt w:val="bullet"/>
      <w:lvlText w:val="•"/>
      <w:lvlJc w:val="left"/>
      <w:pPr>
        <w:ind w:left="6245" w:hanging="360"/>
      </w:pPr>
      <w:rPr>
        <w:rFonts w:hint="default"/>
        <w:lang w:val="en-AU" w:eastAsia="en-AU" w:bidi="en-AU"/>
      </w:rPr>
    </w:lvl>
    <w:lvl w:ilvl="8" w:tplc="21AC462A">
      <w:numFmt w:val="bullet"/>
      <w:lvlText w:val="•"/>
      <w:lvlJc w:val="left"/>
      <w:pPr>
        <w:ind w:left="7066" w:hanging="360"/>
      </w:pPr>
      <w:rPr>
        <w:rFonts w:hint="default"/>
        <w:lang w:val="en-AU" w:eastAsia="en-AU" w:bidi="en-AU"/>
      </w:rPr>
    </w:lvl>
  </w:abstractNum>
  <w:abstractNum w:abstractNumId="9" w15:restartNumberingAfterBreak="0">
    <w:nsid w:val="78616F44"/>
    <w:multiLevelType w:val="hybridMultilevel"/>
    <w:tmpl w:val="334425BE"/>
    <w:lvl w:ilvl="0" w:tplc="41DAA21A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AU" w:eastAsia="en-AU" w:bidi="en-AU"/>
      </w:rPr>
    </w:lvl>
    <w:lvl w:ilvl="1" w:tplc="5B7AE086">
      <w:numFmt w:val="bullet"/>
      <w:lvlText w:val="•"/>
      <w:lvlJc w:val="left"/>
      <w:pPr>
        <w:ind w:left="1183" w:hanging="360"/>
      </w:pPr>
      <w:rPr>
        <w:rFonts w:hint="default"/>
        <w:lang w:val="en-AU" w:eastAsia="en-AU" w:bidi="en-AU"/>
      </w:rPr>
    </w:lvl>
    <w:lvl w:ilvl="2" w:tplc="0F162A5A">
      <w:numFmt w:val="bullet"/>
      <w:lvlText w:val="•"/>
      <w:lvlJc w:val="left"/>
      <w:pPr>
        <w:ind w:left="2004" w:hanging="360"/>
      </w:pPr>
      <w:rPr>
        <w:rFonts w:hint="default"/>
        <w:lang w:val="en-AU" w:eastAsia="en-AU" w:bidi="en-AU"/>
      </w:rPr>
    </w:lvl>
    <w:lvl w:ilvl="3" w:tplc="2D405E92">
      <w:numFmt w:val="bullet"/>
      <w:lvlText w:val="•"/>
      <w:lvlJc w:val="left"/>
      <w:pPr>
        <w:ind w:left="2825" w:hanging="360"/>
      </w:pPr>
      <w:rPr>
        <w:rFonts w:hint="default"/>
        <w:lang w:val="en-AU" w:eastAsia="en-AU" w:bidi="en-AU"/>
      </w:rPr>
    </w:lvl>
    <w:lvl w:ilvl="4" w:tplc="5E3468B8">
      <w:numFmt w:val="bullet"/>
      <w:lvlText w:val="•"/>
      <w:lvlJc w:val="left"/>
      <w:pPr>
        <w:ind w:left="3646" w:hanging="360"/>
      </w:pPr>
      <w:rPr>
        <w:rFonts w:hint="default"/>
        <w:lang w:val="en-AU" w:eastAsia="en-AU" w:bidi="en-AU"/>
      </w:rPr>
    </w:lvl>
    <w:lvl w:ilvl="5" w:tplc="BEC03DFC">
      <w:numFmt w:val="bullet"/>
      <w:lvlText w:val="•"/>
      <w:lvlJc w:val="left"/>
      <w:pPr>
        <w:ind w:left="4466" w:hanging="360"/>
      </w:pPr>
      <w:rPr>
        <w:rFonts w:hint="default"/>
        <w:lang w:val="en-AU" w:eastAsia="en-AU" w:bidi="en-AU"/>
      </w:rPr>
    </w:lvl>
    <w:lvl w:ilvl="6" w:tplc="3F6200BE">
      <w:numFmt w:val="bullet"/>
      <w:lvlText w:val="•"/>
      <w:lvlJc w:val="left"/>
      <w:pPr>
        <w:ind w:left="5287" w:hanging="360"/>
      </w:pPr>
      <w:rPr>
        <w:rFonts w:hint="default"/>
        <w:lang w:val="en-AU" w:eastAsia="en-AU" w:bidi="en-AU"/>
      </w:rPr>
    </w:lvl>
    <w:lvl w:ilvl="7" w:tplc="D6BC9F8A">
      <w:numFmt w:val="bullet"/>
      <w:lvlText w:val="•"/>
      <w:lvlJc w:val="left"/>
      <w:pPr>
        <w:ind w:left="6108" w:hanging="360"/>
      </w:pPr>
      <w:rPr>
        <w:rFonts w:hint="default"/>
        <w:lang w:val="en-AU" w:eastAsia="en-AU" w:bidi="en-AU"/>
      </w:rPr>
    </w:lvl>
    <w:lvl w:ilvl="8" w:tplc="FA32E2BA">
      <w:numFmt w:val="bullet"/>
      <w:lvlText w:val="•"/>
      <w:lvlJc w:val="left"/>
      <w:pPr>
        <w:ind w:left="6929" w:hanging="360"/>
      </w:pPr>
      <w:rPr>
        <w:rFonts w:hint="default"/>
        <w:lang w:val="en-AU" w:eastAsia="en-AU" w:bidi="en-AU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30"/>
    <w:rsid w:val="00056711"/>
    <w:rsid w:val="00062DC0"/>
    <w:rsid w:val="0007636D"/>
    <w:rsid w:val="000828FF"/>
    <w:rsid w:val="000E1F40"/>
    <w:rsid w:val="00174B28"/>
    <w:rsid w:val="001A665C"/>
    <w:rsid w:val="001F55A8"/>
    <w:rsid w:val="002646F3"/>
    <w:rsid w:val="00290B6A"/>
    <w:rsid w:val="002B6DEF"/>
    <w:rsid w:val="002D1979"/>
    <w:rsid w:val="002E5C95"/>
    <w:rsid w:val="00310954"/>
    <w:rsid w:val="0037400B"/>
    <w:rsid w:val="00385462"/>
    <w:rsid w:val="0039685A"/>
    <w:rsid w:val="003E2667"/>
    <w:rsid w:val="003E7F73"/>
    <w:rsid w:val="004F4BE0"/>
    <w:rsid w:val="005273FB"/>
    <w:rsid w:val="00557789"/>
    <w:rsid w:val="006442F9"/>
    <w:rsid w:val="0065480E"/>
    <w:rsid w:val="00654A3B"/>
    <w:rsid w:val="006713AB"/>
    <w:rsid w:val="00690A6D"/>
    <w:rsid w:val="006E25D8"/>
    <w:rsid w:val="00716753"/>
    <w:rsid w:val="00796F30"/>
    <w:rsid w:val="007A465D"/>
    <w:rsid w:val="008466CA"/>
    <w:rsid w:val="0088078D"/>
    <w:rsid w:val="008873E9"/>
    <w:rsid w:val="00891326"/>
    <w:rsid w:val="008A397C"/>
    <w:rsid w:val="008E0D33"/>
    <w:rsid w:val="00980491"/>
    <w:rsid w:val="00982D09"/>
    <w:rsid w:val="009B3107"/>
    <w:rsid w:val="009C6439"/>
    <w:rsid w:val="00A03ADE"/>
    <w:rsid w:val="00A11ED5"/>
    <w:rsid w:val="00A134E2"/>
    <w:rsid w:val="00A51973"/>
    <w:rsid w:val="00AA4585"/>
    <w:rsid w:val="00AE4082"/>
    <w:rsid w:val="00AF04CE"/>
    <w:rsid w:val="00B143C1"/>
    <w:rsid w:val="00B15E55"/>
    <w:rsid w:val="00B512D2"/>
    <w:rsid w:val="00B84382"/>
    <w:rsid w:val="00BB5468"/>
    <w:rsid w:val="00BC7EC2"/>
    <w:rsid w:val="00C04BD5"/>
    <w:rsid w:val="00C53980"/>
    <w:rsid w:val="00C8534B"/>
    <w:rsid w:val="00CB7E0E"/>
    <w:rsid w:val="00D04E87"/>
    <w:rsid w:val="00D12E4E"/>
    <w:rsid w:val="00D37CE5"/>
    <w:rsid w:val="00D64C03"/>
    <w:rsid w:val="00D872C9"/>
    <w:rsid w:val="00D921B3"/>
    <w:rsid w:val="00DA1343"/>
    <w:rsid w:val="00DA7B39"/>
    <w:rsid w:val="00E16615"/>
    <w:rsid w:val="00E20761"/>
    <w:rsid w:val="00E77030"/>
    <w:rsid w:val="00EC28A1"/>
    <w:rsid w:val="00EC449C"/>
    <w:rsid w:val="00F16CF6"/>
    <w:rsid w:val="00F75771"/>
    <w:rsid w:val="00F9583D"/>
    <w:rsid w:val="00FB56F3"/>
    <w:rsid w:val="00FC241F"/>
    <w:rsid w:val="00F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A5C015F"/>
  <w15:docId w15:val="{47005523-6437-412D-80B5-C5618E93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AU" w:eastAsia="en-AU" w:bidi="en-AU"/>
    </w:rPr>
  </w:style>
  <w:style w:type="paragraph" w:styleId="Heading1">
    <w:name w:val="heading 1"/>
    <w:basedOn w:val="Normal"/>
    <w:uiPriority w:val="9"/>
    <w:qFormat/>
    <w:pPr>
      <w:ind w:left="13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9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E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D5"/>
    <w:rPr>
      <w:rFonts w:ascii="Segoe UI" w:eastAsia="Times New Roman" w:hAnsi="Segoe UI" w:cs="Segoe UI"/>
      <w:sz w:val="18"/>
      <w:szCs w:val="18"/>
      <w:lang w:val="en-AU"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A11E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ED5"/>
    <w:rPr>
      <w:rFonts w:ascii="Times New Roman" w:eastAsia="Times New Roman" w:hAnsi="Times New Roman" w:cs="Times New Roman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A11E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ED5"/>
    <w:rPr>
      <w:rFonts w:ascii="Times New Roman" w:eastAsia="Times New Roman" w:hAnsi="Times New Roman" w:cs="Times New Roman"/>
      <w:lang w:val="en-AU"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84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3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382"/>
    <w:rPr>
      <w:rFonts w:ascii="Times New Roman" w:eastAsia="Times New Roman" w:hAnsi="Times New Roman" w:cs="Times New Roman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382"/>
    <w:rPr>
      <w:rFonts w:ascii="Times New Roman" w:eastAsia="Times New Roman" w:hAnsi="Times New Roman" w:cs="Times New Roman"/>
      <w:b/>
      <w:bCs/>
      <w:sz w:val="20"/>
      <w:szCs w:val="20"/>
      <w:lang w:val="en-AU" w:eastAsia="en-AU" w:bidi="en-AU"/>
    </w:rPr>
  </w:style>
  <w:style w:type="paragraph" w:styleId="Revision">
    <w:name w:val="Revision"/>
    <w:hidden/>
    <w:uiPriority w:val="99"/>
    <w:semiHidden/>
    <w:rsid w:val="00D12E4E"/>
    <w:pPr>
      <w:widowControl/>
      <w:autoSpaceDE/>
      <w:autoSpaceDN/>
    </w:pPr>
    <w:rPr>
      <w:rFonts w:ascii="Times New Roman" w:eastAsia="Times New Roman" w:hAnsi="Times New Roman" w:cs="Times New Roman"/>
      <w:lang w:val="en-AU" w:eastAsia="en-AU" w:bidi="en-AU"/>
    </w:rPr>
  </w:style>
  <w:style w:type="table" w:styleId="TableGrid">
    <w:name w:val="Table Grid"/>
    <w:basedOn w:val="TableNormal"/>
    <w:uiPriority w:val="39"/>
    <w:rsid w:val="0007636D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lname">
    <w:name w:val="Billname"/>
    <w:basedOn w:val="Normal"/>
    <w:uiPriority w:val="99"/>
    <w:rsid w:val="002B6DEF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eastAsiaTheme="minorEastAsia" w:hAnsi="Arial" w:cs="Arial"/>
      <w:b/>
      <w:bCs/>
      <w:sz w:val="40"/>
      <w:szCs w:val="40"/>
      <w:lang w:eastAsia="en-US" w:bidi="ar-SA"/>
    </w:rPr>
  </w:style>
  <w:style w:type="paragraph" w:customStyle="1" w:styleId="madeunder">
    <w:name w:val="made under"/>
    <w:basedOn w:val="Normal"/>
    <w:uiPriority w:val="99"/>
    <w:rsid w:val="003E2667"/>
    <w:pPr>
      <w:widowControl/>
      <w:autoSpaceDE/>
      <w:autoSpaceDN/>
      <w:spacing w:before="180" w:after="60"/>
      <w:jc w:val="both"/>
    </w:pPr>
    <w:rPr>
      <w:rFonts w:ascii="Arial" w:eastAsiaTheme="minorEastAsia" w:hAnsi="Arial" w:cs="Arial"/>
      <w:sz w:val="24"/>
      <w:szCs w:val="24"/>
      <w:lang w:eastAsia="en-US" w:bidi="ar-SA"/>
    </w:rPr>
  </w:style>
  <w:style w:type="paragraph" w:customStyle="1" w:styleId="CoverActName">
    <w:name w:val="CoverActName"/>
    <w:basedOn w:val="Normal"/>
    <w:uiPriority w:val="99"/>
    <w:rsid w:val="003E2667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eastAsiaTheme="minorEastAsia" w:hAnsi="Arial" w:cs="Arial"/>
      <w:b/>
      <w:bCs/>
      <w:sz w:val="24"/>
      <w:szCs w:val="24"/>
      <w:lang w:eastAsia="en-US" w:bidi="ar-SA"/>
    </w:rPr>
  </w:style>
  <w:style w:type="paragraph" w:customStyle="1" w:styleId="N-line3">
    <w:name w:val="N-line3"/>
    <w:basedOn w:val="Normal"/>
    <w:next w:val="Normal"/>
    <w:uiPriority w:val="99"/>
    <w:rsid w:val="003E2667"/>
    <w:pPr>
      <w:widowControl/>
      <w:pBdr>
        <w:bottom w:val="single" w:sz="12" w:space="1" w:color="auto"/>
      </w:pBdr>
      <w:autoSpaceDE/>
      <w:autoSpaceDN/>
      <w:jc w:val="both"/>
    </w:pPr>
    <w:rPr>
      <w:rFonts w:ascii="Arial" w:eastAsiaTheme="minorEastAsia" w:hAnsi="Arial" w:cs="Arial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4273</Characters>
  <Application>Microsoft Office Word</Application>
  <DocSecurity>0</DocSecurity>
  <Lines>155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Perks, Danielle</dc:creator>
  <cp:lastModifiedBy>Moxon, KarenL</cp:lastModifiedBy>
  <cp:revision>4</cp:revision>
  <dcterms:created xsi:type="dcterms:W3CDTF">2021-06-25T05:08:00Z</dcterms:created>
  <dcterms:modified xsi:type="dcterms:W3CDTF">2021-06-25T05:08:00Z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2020-05-12T00:00:00Z</vt:filetime>
  </property>
  <property fmtid="{D5CDD505-2E9C-101B-9397-08002B2CF9AE}" pid="5" name="Objective-Id">
    <vt:lpwstr>A25722975</vt:lpwstr>
  </property>
  <property fmtid="{D5CDD505-2E9C-101B-9397-08002B2CF9AE}" pid="6" name="Objective-Title">
    <vt:lpwstr>Att B - Lotteries (Fees) Determination 2020 (No2)</vt:lpwstr>
  </property>
  <property fmtid="{D5CDD505-2E9C-101B-9397-08002B2CF9AE}" pid="7" name="Objective-Comment">
    <vt:lpwstr/>
  </property>
  <property fmtid="{D5CDD505-2E9C-101B-9397-08002B2CF9AE}" pid="8" name="Objective-CreationStamp">
    <vt:filetime>2020-06-10T00:14:54Z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2020-06-10T06:59:49Z</vt:filetime>
  </property>
  <property fmtid="{D5CDD505-2E9C-101B-9397-08002B2CF9AE}" pid="12" name="Objective-ModificationStamp">
    <vt:filetime>2020-06-10T11:28:12Z</vt:filetime>
  </property>
  <property fmtid="{D5CDD505-2E9C-101B-9397-08002B2CF9AE}" pid="13" name="Objective-Owner">
    <vt:lpwstr>Ron Leonard</vt:lpwstr>
  </property>
  <property fmtid="{D5CDD505-2E9C-101B-9397-08002B2CF9AE}" pid="14" name="Objective-Path">
    <vt:lpwstr>Whole of ACT Government:AC - Access Canberra:16. BRANCH - Projects, Governance &amp; Support:UNIT - Finance &amp; Budgets:Business and Finance Services - Finance:Business and Finance Services - GRC:15 - Fees and Charges:Lotteries Act 1964:2020:</vt:lpwstr>
  </property>
  <property fmtid="{D5CDD505-2E9C-101B-9397-08002B2CF9AE}" pid="15" name="Objective-Parent">
    <vt:lpwstr>2020</vt:lpwstr>
  </property>
  <property fmtid="{D5CDD505-2E9C-101B-9397-08002B2CF9AE}" pid="16" name="Objective-State">
    <vt:lpwstr>Published</vt:lpwstr>
  </property>
  <property fmtid="{D5CDD505-2E9C-101B-9397-08002B2CF9AE}" pid="17" name="Objective-Version">
    <vt:lpwstr>1.0</vt:lpwstr>
  </property>
  <property fmtid="{D5CDD505-2E9C-101B-9397-08002B2CF9AE}" pid="18" name="Objective-VersionNumber">
    <vt:r8>2</vt:r8>
  </property>
  <property fmtid="{D5CDD505-2E9C-101B-9397-08002B2CF9AE}" pid="19" name="Objective-VersionComment">
    <vt:lpwstr>Version 2</vt:lpwstr>
  </property>
  <property fmtid="{D5CDD505-2E9C-101B-9397-08002B2CF9AE}" pid="20" name="Objective-FileNumber">
    <vt:lpwstr/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er Agency [system]">
    <vt:lpwstr>ACCESS CANBERRA</vt:lpwstr>
  </property>
  <property fmtid="{D5CDD505-2E9C-101B-9397-08002B2CF9AE}" pid="24" name="Objective-Document Type [system]">
    <vt:lpwstr>0-Document</vt:lpwstr>
  </property>
  <property fmtid="{D5CDD505-2E9C-101B-9397-08002B2CF9AE}" pid="25" name="Objective-Language [system]">
    <vt:lpwstr>English (en)</vt:lpwstr>
  </property>
  <property fmtid="{D5CDD505-2E9C-101B-9397-08002B2CF9AE}" pid="26" name="Objective-Jurisdiction [system]">
    <vt:lpwstr>ACT</vt:lpwstr>
  </property>
  <property fmtid="{D5CDD505-2E9C-101B-9397-08002B2CF9AE}" pid="27" name="Objective-Customers [system]">
    <vt:lpwstr/>
  </property>
  <property fmtid="{D5CDD505-2E9C-101B-9397-08002B2CF9AE}" pid="28" name="Objective-Places [system]">
    <vt:lpwstr/>
  </property>
  <property fmtid="{D5CDD505-2E9C-101B-9397-08002B2CF9AE}" pid="29" name="Objective-Transaction Reference [system]">
    <vt:lpwstr/>
  </property>
  <property fmtid="{D5CDD505-2E9C-101B-9397-08002B2CF9AE}" pid="30" name="Objective-Document Created By [system]">
    <vt:lpwstr/>
  </property>
  <property fmtid="{D5CDD505-2E9C-101B-9397-08002B2CF9AE}" pid="31" name="Objective-Document Created On [system]">
    <vt:lpwstr/>
  </property>
  <property fmtid="{D5CDD505-2E9C-101B-9397-08002B2CF9AE}" pid="32" name="Objective-Covers Period From [system]">
    <vt:lpwstr/>
  </property>
  <property fmtid="{D5CDD505-2E9C-101B-9397-08002B2CF9AE}" pid="33" name="Objective-Covers Period To [system]">
    <vt:lpwstr/>
  </property>
</Properties>
</file>