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1EE0B" w14:textId="77777777" w:rsidR="00CA682D" w:rsidRDefault="00CA682D">
      <w:pPr>
        <w:spacing w:before="120"/>
        <w:rPr>
          <w:rFonts w:ascii="Arial" w:hAnsi="Arial" w:cs="Arial"/>
        </w:rPr>
      </w:pPr>
      <w:bookmarkStart w:id="0" w:name="_Toc44738651"/>
      <w:r>
        <w:rPr>
          <w:rFonts w:ascii="Arial" w:hAnsi="Arial" w:cs="Arial"/>
        </w:rPr>
        <w:t>Australian Capital Territory</w:t>
      </w:r>
    </w:p>
    <w:p w14:paraId="6415DE02" w14:textId="587F3E80" w:rsidR="00CA682D" w:rsidRDefault="00AF5535">
      <w:pPr>
        <w:pStyle w:val="Billname"/>
        <w:spacing w:before="700"/>
      </w:pPr>
      <w:r>
        <w:t>Utilities</w:t>
      </w:r>
      <w:r w:rsidR="00CA682D">
        <w:t xml:space="preserve"> (</w:t>
      </w:r>
      <w:r>
        <w:t xml:space="preserve">NERL retailers – </w:t>
      </w:r>
      <w:r w:rsidR="007876C6">
        <w:t>Application of Industry Codes</w:t>
      </w:r>
      <w:r w:rsidR="00CA682D">
        <w:t xml:space="preserve">) </w:t>
      </w:r>
      <w:r w:rsidR="003D4541">
        <w:t xml:space="preserve">Determination </w:t>
      </w:r>
      <w:r w:rsidR="00012073">
        <w:t>202</w:t>
      </w:r>
      <w:r w:rsidR="002F55B9">
        <w:t>1</w:t>
      </w:r>
      <w:r w:rsidR="00012073">
        <w:t xml:space="preserve"> </w:t>
      </w:r>
    </w:p>
    <w:p w14:paraId="35F2CD8A" w14:textId="449BB345" w:rsidR="00CA682D" w:rsidRPr="007876C6" w:rsidRDefault="00CA682D">
      <w:pPr>
        <w:spacing w:before="240" w:after="60"/>
        <w:rPr>
          <w:rFonts w:ascii="Arial" w:hAnsi="Arial" w:cs="Arial"/>
          <w:b/>
          <w:bCs/>
          <w:vertAlign w:val="superscript"/>
        </w:rPr>
      </w:pPr>
      <w:r w:rsidRPr="007876C6">
        <w:rPr>
          <w:rFonts w:ascii="Arial" w:hAnsi="Arial" w:cs="Arial"/>
          <w:b/>
          <w:bCs/>
        </w:rPr>
        <w:t xml:space="preserve">Disallowable instrument </w:t>
      </w:r>
      <w:r w:rsidR="00012073" w:rsidRPr="007876C6">
        <w:rPr>
          <w:rFonts w:ascii="Arial" w:hAnsi="Arial" w:cs="Arial"/>
          <w:b/>
          <w:bCs/>
        </w:rPr>
        <w:t>DI</w:t>
      </w:r>
      <w:r w:rsidR="00012073" w:rsidRPr="007876C6">
        <w:rPr>
          <w:rFonts w:ascii="Arial" w:hAnsi="Arial" w:cs="Arial"/>
          <w:b/>
          <w:bCs/>
          <w:iCs/>
        </w:rPr>
        <w:t>20</w:t>
      </w:r>
      <w:r w:rsidR="00012073">
        <w:rPr>
          <w:rFonts w:ascii="Arial" w:hAnsi="Arial" w:cs="Arial"/>
          <w:b/>
          <w:bCs/>
          <w:iCs/>
        </w:rPr>
        <w:t>2</w:t>
      </w:r>
      <w:r w:rsidR="002F55B9">
        <w:rPr>
          <w:rFonts w:ascii="Arial" w:hAnsi="Arial" w:cs="Arial"/>
          <w:b/>
          <w:bCs/>
          <w:iCs/>
        </w:rPr>
        <w:t>1</w:t>
      </w:r>
      <w:r w:rsidRPr="007876C6">
        <w:rPr>
          <w:rFonts w:ascii="Arial" w:hAnsi="Arial" w:cs="Arial"/>
          <w:b/>
          <w:bCs/>
        </w:rPr>
        <w:t>–</w:t>
      </w:r>
      <w:r w:rsidR="00BA5C0F">
        <w:rPr>
          <w:rFonts w:ascii="Arial" w:hAnsi="Arial" w:cs="Arial"/>
          <w:b/>
          <w:bCs/>
        </w:rPr>
        <w:t>228</w:t>
      </w:r>
    </w:p>
    <w:p w14:paraId="3EC406AB" w14:textId="77777777" w:rsidR="00CA682D" w:rsidRPr="007876C6" w:rsidRDefault="001D2100">
      <w:pPr>
        <w:pStyle w:val="madeunder"/>
        <w:spacing w:before="240" w:after="120"/>
        <w:rPr>
          <w:rFonts w:ascii="Arial" w:hAnsi="Arial" w:cs="Arial"/>
        </w:rPr>
      </w:pPr>
      <w:r w:rsidRPr="001D2100">
        <w:rPr>
          <w:rFonts w:ascii="Arial" w:hAnsi="Arial" w:cs="Arial"/>
        </w:rPr>
        <w:t xml:space="preserve">made under the  </w:t>
      </w:r>
    </w:p>
    <w:p w14:paraId="0140984E" w14:textId="77777777" w:rsidR="00CA682D" w:rsidRPr="007876C6" w:rsidRDefault="001D2100" w:rsidP="004A65E9">
      <w:pPr>
        <w:pStyle w:val="CoverActName"/>
        <w:rPr>
          <w:rFonts w:cs="Arial"/>
          <w:szCs w:val="24"/>
        </w:rPr>
      </w:pPr>
      <w:r w:rsidRPr="001D2100">
        <w:rPr>
          <w:rFonts w:cs="Arial"/>
          <w:szCs w:val="24"/>
        </w:rPr>
        <w:t xml:space="preserve">Utilities Act 2000, </w:t>
      </w:r>
      <w:r w:rsidR="007876C6">
        <w:rPr>
          <w:rFonts w:cs="Arial"/>
          <w:szCs w:val="24"/>
        </w:rPr>
        <w:t xml:space="preserve">s </w:t>
      </w:r>
      <w:r w:rsidRPr="001D2100">
        <w:rPr>
          <w:rFonts w:cs="Arial"/>
          <w:szCs w:val="24"/>
        </w:rPr>
        <w:t>56A (NERL retailers – determination of applica</w:t>
      </w:r>
      <w:r w:rsidR="00105C9F">
        <w:rPr>
          <w:rFonts w:cs="Arial"/>
          <w:szCs w:val="24"/>
        </w:rPr>
        <w:t xml:space="preserve">tion of </w:t>
      </w:r>
      <w:r w:rsidRPr="001D2100">
        <w:rPr>
          <w:rFonts w:cs="Arial"/>
          <w:szCs w:val="24"/>
        </w:rPr>
        <w:t>code) and s 63 (Public access)</w:t>
      </w:r>
    </w:p>
    <w:p w14:paraId="261F9512" w14:textId="77777777" w:rsidR="00CA682D" w:rsidRPr="007876C6" w:rsidRDefault="00CA682D">
      <w:pPr>
        <w:pStyle w:val="N-line3"/>
        <w:pBdr>
          <w:top w:val="single" w:sz="12" w:space="1" w:color="auto"/>
          <w:bottom w:val="none" w:sz="0" w:space="0" w:color="auto"/>
        </w:pBdr>
        <w:rPr>
          <w:rFonts w:ascii="Arial" w:hAnsi="Arial" w:cs="Arial"/>
        </w:rPr>
      </w:pPr>
    </w:p>
    <w:p w14:paraId="24A697E0" w14:textId="77777777" w:rsidR="00CA682D" w:rsidRPr="007876C6" w:rsidRDefault="00CA682D">
      <w:pPr>
        <w:spacing w:before="60" w:after="60"/>
        <w:ind w:left="720" w:hanging="720"/>
        <w:rPr>
          <w:rFonts w:ascii="Arial" w:hAnsi="Arial" w:cs="Arial"/>
          <w:b/>
          <w:bCs/>
        </w:rPr>
      </w:pPr>
      <w:r w:rsidRPr="007876C6">
        <w:rPr>
          <w:rFonts w:ascii="Arial" w:hAnsi="Arial" w:cs="Arial"/>
          <w:b/>
          <w:bCs/>
        </w:rPr>
        <w:t>1</w:t>
      </w:r>
      <w:r w:rsidRPr="007876C6">
        <w:rPr>
          <w:rFonts w:ascii="Arial" w:hAnsi="Arial" w:cs="Arial"/>
          <w:b/>
          <w:bCs/>
        </w:rPr>
        <w:tab/>
        <w:t>Name of instrument</w:t>
      </w:r>
    </w:p>
    <w:p w14:paraId="261D4488" w14:textId="74169AE0" w:rsidR="00CA682D" w:rsidRPr="00012073" w:rsidRDefault="001D2100">
      <w:pPr>
        <w:spacing w:before="80" w:after="60"/>
        <w:ind w:left="720"/>
      </w:pPr>
      <w:r w:rsidRPr="00012073">
        <w:t xml:space="preserve">This instrument is the </w:t>
      </w:r>
      <w:r w:rsidRPr="00012073">
        <w:rPr>
          <w:i/>
          <w:iCs/>
        </w:rPr>
        <w:t xml:space="preserve">Utilities (NERL retailers – </w:t>
      </w:r>
      <w:r w:rsidR="007876C6" w:rsidRPr="00012073">
        <w:rPr>
          <w:i/>
          <w:iCs/>
        </w:rPr>
        <w:t>Application of Industry Codes</w:t>
      </w:r>
      <w:r w:rsidRPr="00012073">
        <w:rPr>
          <w:i/>
          <w:iCs/>
        </w:rPr>
        <w:t xml:space="preserve">) Determination </w:t>
      </w:r>
      <w:r w:rsidR="00012073" w:rsidRPr="00012073">
        <w:rPr>
          <w:i/>
          <w:iCs/>
        </w:rPr>
        <w:t>202</w:t>
      </w:r>
      <w:r w:rsidR="002F55B9">
        <w:rPr>
          <w:i/>
          <w:iCs/>
        </w:rPr>
        <w:t>1</w:t>
      </w:r>
      <w:r w:rsidRPr="00012073">
        <w:rPr>
          <w:bCs/>
          <w:iCs/>
        </w:rPr>
        <w:t>.</w:t>
      </w:r>
    </w:p>
    <w:p w14:paraId="4BDAD090" w14:textId="77777777" w:rsidR="00CA682D" w:rsidRPr="007876C6" w:rsidRDefault="00CA682D">
      <w:pPr>
        <w:spacing w:before="240" w:after="60"/>
        <w:ind w:left="720" w:hanging="720"/>
        <w:rPr>
          <w:rFonts w:ascii="Arial" w:hAnsi="Arial" w:cs="Arial"/>
          <w:b/>
          <w:bCs/>
        </w:rPr>
      </w:pPr>
      <w:r w:rsidRPr="007876C6">
        <w:rPr>
          <w:rFonts w:ascii="Arial" w:hAnsi="Arial" w:cs="Arial"/>
          <w:b/>
          <w:bCs/>
        </w:rPr>
        <w:t>2</w:t>
      </w:r>
      <w:r w:rsidRPr="007876C6">
        <w:rPr>
          <w:rFonts w:ascii="Arial" w:hAnsi="Arial" w:cs="Arial"/>
          <w:b/>
          <w:bCs/>
        </w:rPr>
        <w:tab/>
        <w:t xml:space="preserve">Commencement </w:t>
      </w:r>
    </w:p>
    <w:p w14:paraId="247FFA85" w14:textId="00C54458" w:rsidR="00CA682D" w:rsidRPr="00012073" w:rsidRDefault="001D2100">
      <w:pPr>
        <w:spacing w:before="80" w:after="60"/>
        <w:ind w:left="720"/>
      </w:pPr>
      <w:r w:rsidRPr="00012073">
        <w:t xml:space="preserve">This instrument commences </w:t>
      </w:r>
      <w:r w:rsidR="00012073" w:rsidRPr="00012073">
        <w:t xml:space="preserve">on </w:t>
      </w:r>
      <w:r w:rsidR="00102DB5">
        <w:t>1 October 2021</w:t>
      </w:r>
      <w:r w:rsidRPr="00012073">
        <w:t xml:space="preserve">. </w:t>
      </w:r>
    </w:p>
    <w:p w14:paraId="278D3223" w14:textId="77777777" w:rsidR="00102DB5" w:rsidRDefault="00102DB5" w:rsidP="00102DB5">
      <w:pPr>
        <w:spacing w:before="240" w:after="60"/>
        <w:ind w:left="720" w:hanging="720"/>
        <w:rPr>
          <w:rFonts w:ascii="Arial" w:hAnsi="Arial" w:cs="Arial"/>
          <w:b/>
          <w:bCs/>
        </w:rPr>
      </w:pPr>
      <w:r>
        <w:rPr>
          <w:rFonts w:ascii="Arial" w:hAnsi="Arial" w:cs="Arial"/>
          <w:b/>
          <w:bCs/>
        </w:rPr>
        <w:t>3</w:t>
      </w:r>
      <w:r w:rsidR="004A65E9" w:rsidRPr="007876C6">
        <w:rPr>
          <w:rFonts w:ascii="Arial" w:hAnsi="Arial" w:cs="Arial"/>
          <w:b/>
          <w:bCs/>
        </w:rPr>
        <w:tab/>
        <w:t xml:space="preserve">Determination of </w:t>
      </w:r>
      <w:r w:rsidR="00012073">
        <w:rPr>
          <w:rFonts w:ascii="Arial" w:hAnsi="Arial" w:cs="Arial"/>
          <w:b/>
          <w:bCs/>
        </w:rPr>
        <w:t xml:space="preserve">application of </w:t>
      </w:r>
      <w:r w:rsidR="004A65E9" w:rsidRPr="007876C6">
        <w:rPr>
          <w:rFonts w:ascii="Arial" w:hAnsi="Arial" w:cs="Arial"/>
          <w:b/>
          <w:bCs/>
        </w:rPr>
        <w:t>code</w:t>
      </w:r>
    </w:p>
    <w:p w14:paraId="1AE56E56" w14:textId="63EE6839" w:rsidR="00614509" w:rsidRDefault="002F55B9" w:rsidP="00614509">
      <w:pPr>
        <w:spacing w:before="240" w:after="60"/>
        <w:ind w:left="720"/>
      </w:pPr>
      <w:r w:rsidRPr="00012073">
        <w:t xml:space="preserve">The Commission determines that the </w:t>
      </w:r>
      <w:r w:rsidR="008A6793" w:rsidRPr="008959C1">
        <w:rPr>
          <w:i/>
          <w:iCs/>
        </w:rPr>
        <w:t>Utilities</w:t>
      </w:r>
      <w:r w:rsidR="008959C1">
        <w:t xml:space="preserve"> </w:t>
      </w:r>
      <w:r w:rsidR="008959C1" w:rsidRPr="008959C1">
        <w:rPr>
          <w:i/>
          <w:iCs/>
        </w:rPr>
        <w:t>(</w:t>
      </w:r>
      <w:r>
        <w:rPr>
          <w:i/>
          <w:iCs/>
        </w:rPr>
        <w:t>ACT Retail Electricity (Transparency and Comparability) Code</w:t>
      </w:r>
      <w:r w:rsidR="008959C1">
        <w:rPr>
          <w:i/>
          <w:iCs/>
        </w:rPr>
        <w:t>)</w:t>
      </w:r>
      <w:r w:rsidRPr="00EB6171">
        <w:rPr>
          <w:i/>
          <w:iCs/>
        </w:rPr>
        <w:t xml:space="preserve"> Determination 202</w:t>
      </w:r>
      <w:r>
        <w:rPr>
          <w:i/>
          <w:iCs/>
        </w:rPr>
        <w:t>1</w:t>
      </w:r>
      <w:r w:rsidRPr="00EB6171">
        <w:rPr>
          <w:i/>
          <w:iCs/>
        </w:rPr>
        <w:t xml:space="preserve"> </w:t>
      </w:r>
      <w:r w:rsidRPr="00012073">
        <w:t>applies to NERL retailers authorised to sell</w:t>
      </w:r>
      <w:r w:rsidRPr="00012073">
        <w:rPr>
          <w:szCs w:val="24"/>
          <w:lang w:eastAsia="en-AU"/>
        </w:rPr>
        <w:t xml:space="preserve"> </w:t>
      </w:r>
      <w:r w:rsidRPr="00012073">
        <w:t>electricity</w:t>
      </w:r>
      <w:r w:rsidR="009F48BF">
        <w:t xml:space="preserve"> under the National Energy Retail Law (ACT)</w:t>
      </w:r>
      <w:r w:rsidRPr="00012073">
        <w:t>.</w:t>
      </w:r>
    </w:p>
    <w:p w14:paraId="0E23A531" w14:textId="6A82AB95" w:rsidR="00EA2628" w:rsidRPr="00614509" w:rsidRDefault="00614509" w:rsidP="00614509">
      <w:pPr>
        <w:spacing w:before="240" w:after="60"/>
        <w:ind w:left="720"/>
      </w:pPr>
      <w:r>
        <w:t xml:space="preserve">The Commission determines that the ‘better offer </w:t>
      </w:r>
      <w:r w:rsidR="00AF6C68">
        <w:t>notification on bills’</w:t>
      </w:r>
      <w:r>
        <w:t xml:space="preserve"> </w:t>
      </w:r>
      <w:r w:rsidR="00AF6C68">
        <w:t xml:space="preserve">requirement </w:t>
      </w:r>
      <w:r>
        <w:t xml:space="preserve">detailed at </w:t>
      </w:r>
      <w:r w:rsidR="00AF6C68">
        <w:t>Part 3</w:t>
      </w:r>
      <w:r>
        <w:t xml:space="preserve"> of the</w:t>
      </w:r>
      <w:r w:rsidR="00EA2628">
        <w:t xml:space="preserve"> </w:t>
      </w:r>
      <w:r w:rsidR="008959C1" w:rsidRPr="008959C1">
        <w:rPr>
          <w:i/>
          <w:iCs/>
        </w:rPr>
        <w:t>Utilities (</w:t>
      </w:r>
      <w:r>
        <w:rPr>
          <w:i/>
          <w:iCs/>
        </w:rPr>
        <w:t>ACT Retail Electricity (Transparency and Comparability) Code</w:t>
      </w:r>
      <w:r w:rsidRPr="00EB6171">
        <w:rPr>
          <w:i/>
          <w:iCs/>
        </w:rPr>
        <w:t xml:space="preserve"> Determination 202</w:t>
      </w:r>
      <w:r>
        <w:rPr>
          <w:i/>
          <w:iCs/>
        </w:rPr>
        <w:t>1</w:t>
      </w:r>
      <w:r w:rsidRPr="00EB6171">
        <w:rPr>
          <w:i/>
          <w:iCs/>
        </w:rPr>
        <w:t xml:space="preserve"> </w:t>
      </w:r>
      <w:r>
        <w:t xml:space="preserve">does not apply to </w:t>
      </w:r>
      <w:r w:rsidR="00AF6C68">
        <w:t xml:space="preserve">customers of </w:t>
      </w:r>
      <w:r w:rsidR="00EA2628">
        <w:t>embedded networks</w:t>
      </w:r>
      <w:r>
        <w:t>.</w:t>
      </w:r>
    </w:p>
    <w:p w14:paraId="6CA1D864" w14:textId="610C9DE5" w:rsidR="004A65E9" w:rsidRPr="007876C6" w:rsidRDefault="008A6793" w:rsidP="004A65E9">
      <w:pPr>
        <w:spacing w:before="240" w:after="60"/>
        <w:ind w:left="720" w:hanging="720"/>
        <w:rPr>
          <w:rFonts w:ascii="Arial" w:hAnsi="Arial" w:cs="Arial"/>
          <w:b/>
          <w:bCs/>
        </w:rPr>
      </w:pPr>
      <w:r>
        <w:rPr>
          <w:rFonts w:ascii="Arial" w:hAnsi="Arial" w:cs="Arial"/>
          <w:b/>
          <w:bCs/>
        </w:rPr>
        <w:t>4</w:t>
      </w:r>
      <w:r w:rsidR="004A65E9" w:rsidRPr="007876C6">
        <w:rPr>
          <w:rFonts w:ascii="Arial" w:hAnsi="Arial" w:cs="Arial"/>
          <w:b/>
          <w:bCs/>
        </w:rPr>
        <w:tab/>
        <w:t>Public access to documents</w:t>
      </w:r>
    </w:p>
    <w:p w14:paraId="43504F57" w14:textId="558CEE37" w:rsidR="00012073" w:rsidRDefault="00012073" w:rsidP="00012073">
      <w:pPr>
        <w:spacing w:after="100" w:afterAutospacing="1"/>
        <w:ind w:left="709"/>
        <w:rPr>
          <w:bCs/>
          <w:szCs w:val="24"/>
          <w:lang w:eastAsia="en-AU"/>
        </w:rPr>
      </w:pPr>
      <w:bookmarkStart w:id="1" w:name="_Hlk29910431"/>
      <w:r>
        <w:rPr>
          <w:szCs w:val="24"/>
          <w:lang w:val="en-US"/>
        </w:rPr>
        <w:t xml:space="preserve">Copies of this determination and the applicable codes are available on the Independent Competition and Regulatory Commission’s website. These documents are also available for inspection by members of the public between 9:00 am and 5:00 pm, Monday to Friday, at the Commission’s offices. Hard copies can be made available on request.  </w:t>
      </w:r>
    </w:p>
    <w:bookmarkEnd w:id="0"/>
    <w:bookmarkEnd w:id="1"/>
    <w:p w14:paraId="188FAD73" w14:textId="039814E9" w:rsidR="007B34F8" w:rsidRDefault="007B34F8" w:rsidP="008D3348">
      <w:pPr>
        <w:tabs>
          <w:tab w:val="left" w:pos="4320"/>
        </w:tabs>
      </w:pPr>
    </w:p>
    <w:p w14:paraId="58C3CB92" w14:textId="0D03CD7C" w:rsidR="007B34F8" w:rsidRDefault="007B34F8" w:rsidP="008D3348">
      <w:pPr>
        <w:tabs>
          <w:tab w:val="left" w:pos="4320"/>
        </w:tabs>
      </w:pPr>
    </w:p>
    <w:p w14:paraId="03AB2632" w14:textId="45F9F16D" w:rsidR="004455DD" w:rsidRPr="00012073" w:rsidRDefault="00012073" w:rsidP="008D3348">
      <w:pPr>
        <w:tabs>
          <w:tab w:val="left" w:pos="4320"/>
        </w:tabs>
      </w:pPr>
      <w:r w:rsidRPr="00012073">
        <w:t xml:space="preserve">Joe </w:t>
      </w:r>
      <w:proofErr w:type="spellStart"/>
      <w:r w:rsidRPr="00012073">
        <w:t>Dimasi</w:t>
      </w:r>
      <w:proofErr w:type="spellEnd"/>
      <w:r w:rsidR="001D2100" w:rsidRPr="00012073">
        <w:br/>
        <w:t>Senior Commissioner</w:t>
      </w:r>
      <w:r w:rsidR="001D2100" w:rsidRPr="00012073">
        <w:br/>
        <w:t>Independent Competition and Regulatory Commission</w:t>
      </w:r>
      <w:r w:rsidRPr="00012073">
        <w:br/>
      </w:r>
      <w:r w:rsidR="00D0047A">
        <w:t>1</w:t>
      </w:r>
      <w:r w:rsidR="007B34F8">
        <w:t xml:space="preserve"> </w:t>
      </w:r>
      <w:r w:rsidR="00102DB5">
        <w:t>September</w:t>
      </w:r>
      <w:r w:rsidRPr="00012073">
        <w:t xml:space="preserve"> 202</w:t>
      </w:r>
      <w:r w:rsidR="002F55B9">
        <w:t>1</w:t>
      </w:r>
    </w:p>
    <w:sectPr w:rsidR="004455DD" w:rsidRPr="00012073" w:rsidSect="004455DD">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59970" w14:textId="77777777" w:rsidR="00853FCB" w:rsidRDefault="00853FCB">
      <w:r>
        <w:separator/>
      </w:r>
    </w:p>
  </w:endnote>
  <w:endnote w:type="continuationSeparator" w:id="0">
    <w:p w14:paraId="29DF883C" w14:textId="77777777" w:rsidR="00853FCB" w:rsidRDefault="00853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F5818" w14:textId="77777777" w:rsidR="00F70212" w:rsidRDefault="00F70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1BB99" w14:textId="131CB6D6" w:rsidR="00F70212" w:rsidRPr="00F70212" w:rsidRDefault="00F70212" w:rsidP="00F70212">
    <w:pPr>
      <w:pStyle w:val="Footer"/>
      <w:jc w:val="center"/>
      <w:rPr>
        <w:rFonts w:cs="Arial"/>
        <w:sz w:val="14"/>
      </w:rPr>
    </w:pPr>
    <w:r w:rsidRPr="00F7021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B1E0E" w14:textId="77777777" w:rsidR="00F70212" w:rsidRDefault="00F70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924D6" w14:textId="77777777" w:rsidR="00853FCB" w:rsidRDefault="00853FCB">
      <w:r>
        <w:separator/>
      </w:r>
    </w:p>
  </w:footnote>
  <w:footnote w:type="continuationSeparator" w:id="0">
    <w:p w14:paraId="762EA267" w14:textId="77777777" w:rsidR="00853FCB" w:rsidRDefault="00853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90888" w14:textId="77777777" w:rsidR="00F70212" w:rsidRDefault="00F702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DD463" w14:textId="77777777" w:rsidR="00F70212" w:rsidRDefault="00F702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34030" w14:textId="77777777" w:rsidR="00F70212" w:rsidRDefault="00F70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2326267"/>
    <w:multiLevelType w:val="hybridMultilevel"/>
    <w:tmpl w:val="CB4EE9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1E1D4D"/>
    <w:multiLevelType w:val="multilevel"/>
    <w:tmpl w:val="807EF93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4D3657BA"/>
    <w:multiLevelType w:val="hybridMultilevel"/>
    <w:tmpl w:val="5726B832"/>
    <w:lvl w:ilvl="0" w:tplc="0C090019">
      <w:start w:val="1"/>
      <w:numFmt w:val="lowerLetter"/>
      <w:lvlText w:val="%1."/>
      <w:lvlJc w:val="left"/>
      <w:pPr>
        <w:ind w:left="1080" w:hanging="360"/>
      </w:pPr>
      <w:rPr>
        <w:rFonts w:cs="Times New Roman"/>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0"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3"/>
  </w:num>
  <w:num w:numId="2">
    <w:abstractNumId w:val="0"/>
  </w:num>
  <w:num w:numId="3">
    <w:abstractNumId w:val="4"/>
  </w:num>
  <w:num w:numId="4">
    <w:abstractNumId w:val="8"/>
  </w:num>
  <w:num w:numId="5">
    <w:abstractNumId w:val="10"/>
  </w:num>
  <w:num w:numId="6">
    <w:abstractNumId w:val="2"/>
  </w:num>
  <w:num w:numId="7">
    <w:abstractNumId w:val="6"/>
  </w:num>
  <w:num w:numId="8">
    <w:abstractNumId w:val="7"/>
  </w:num>
  <w:num w:numId="9">
    <w:abstractNumId w:val="1"/>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82D"/>
    <w:rsid w:val="00012073"/>
    <w:rsid w:val="0007166E"/>
    <w:rsid w:val="00102DB5"/>
    <w:rsid w:val="00105C9F"/>
    <w:rsid w:val="001D2100"/>
    <w:rsid w:val="002B157F"/>
    <w:rsid w:val="002C2050"/>
    <w:rsid w:val="002F55B9"/>
    <w:rsid w:val="00360035"/>
    <w:rsid w:val="00374D2C"/>
    <w:rsid w:val="003A6FC3"/>
    <w:rsid w:val="003D4541"/>
    <w:rsid w:val="00437315"/>
    <w:rsid w:val="0044193B"/>
    <w:rsid w:val="004455DD"/>
    <w:rsid w:val="00445962"/>
    <w:rsid w:val="004A65E9"/>
    <w:rsid w:val="004E4CFF"/>
    <w:rsid w:val="005312B7"/>
    <w:rsid w:val="00536CAA"/>
    <w:rsid w:val="005E77E9"/>
    <w:rsid w:val="00614509"/>
    <w:rsid w:val="00696A31"/>
    <w:rsid w:val="006A5C02"/>
    <w:rsid w:val="006D4E3C"/>
    <w:rsid w:val="007534BC"/>
    <w:rsid w:val="00782DBE"/>
    <w:rsid w:val="007876C6"/>
    <w:rsid w:val="00795359"/>
    <w:rsid w:val="007B34F8"/>
    <w:rsid w:val="007D4D48"/>
    <w:rsid w:val="0080694B"/>
    <w:rsid w:val="00853FCB"/>
    <w:rsid w:val="008959C1"/>
    <w:rsid w:val="008A6793"/>
    <w:rsid w:val="008D3348"/>
    <w:rsid w:val="009D0E2E"/>
    <w:rsid w:val="009F48BF"/>
    <w:rsid w:val="00A30E9F"/>
    <w:rsid w:val="00AD23C1"/>
    <w:rsid w:val="00AF5535"/>
    <w:rsid w:val="00AF6C68"/>
    <w:rsid w:val="00B16EE3"/>
    <w:rsid w:val="00BA5C0F"/>
    <w:rsid w:val="00C50BBF"/>
    <w:rsid w:val="00C81726"/>
    <w:rsid w:val="00CA682D"/>
    <w:rsid w:val="00D0047A"/>
    <w:rsid w:val="00D33919"/>
    <w:rsid w:val="00D937C5"/>
    <w:rsid w:val="00DB54F2"/>
    <w:rsid w:val="00DC65B8"/>
    <w:rsid w:val="00DC7F8A"/>
    <w:rsid w:val="00DE573B"/>
    <w:rsid w:val="00DE6099"/>
    <w:rsid w:val="00E122E5"/>
    <w:rsid w:val="00E356CE"/>
    <w:rsid w:val="00EA2628"/>
    <w:rsid w:val="00ED263B"/>
    <w:rsid w:val="00EE7E86"/>
    <w:rsid w:val="00F70212"/>
    <w:rsid w:val="00F77024"/>
    <w:rsid w:val="00FA0AF4"/>
    <w:rsid w:val="00FC03E7"/>
    <w:rsid w:val="00FC6190"/>
    <w:rsid w:val="00FF40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89C3B4"/>
  <w14:defaultImageDpi w14:val="0"/>
  <w15:docId w15:val="{C8D783B6-5A9E-4D65-A095-21D0C413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4CFF"/>
    <w:rPr>
      <w:sz w:val="24"/>
      <w:lang w:eastAsia="en-US"/>
    </w:rPr>
  </w:style>
  <w:style w:type="paragraph" w:styleId="Heading1">
    <w:name w:val="heading 1"/>
    <w:basedOn w:val="Normal"/>
    <w:next w:val="Normal"/>
    <w:link w:val="Heading1Char"/>
    <w:uiPriority w:val="9"/>
    <w:qFormat/>
    <w:rsid w:val="004E4CFF"/>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4E4CFF"/>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4E4CFF"/>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4E4CFF"/>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paragraph" w:styleId="Title">
    <w:name w:val="Title"/>
    <w:basedOn w:val="Normal"/>
    <w:link w:val="TitleChar"/>
    <w:uiPriority w:val="10"/>
    <w:qFormat/>
    <w:rsid w:val="004E4CFF"/>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Footer">
    <w:name w:val="footer"/>
    <w:basedOn w:val="Normal"/>
    <w:link w:val="FooterChar"/>
    <w:uiPriority w:val="99"/>
    <w:rsid w:val="004E4CFF"/>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rPr>
      <w:sz w:val="24"/>
      <w:lang w:eastAsia="en-US"/>
    </w:rPr>
  </w:style>
  <w:style w:type="paragraph" w:customStyle="1" w:styleId="Billname">
    <w:name w:val="Billname"/>
    <w:basedOn w:val="Normal"/>
    <w:rsid w:val="004E4CFF"/>
    <w:pPr>
      <w:tabs>
        <w:tab w:val="left" w:pos="2400"/>
        <w:tab w:val="left" w:pos="2880"/>
      </w:tabs>
      <w:spacing w:before="1220" w:after="100"/>
    </w:pPr>
    <w:rPr>
      <w:rFonts w:ascii="Arial" w:hAnsi="Arial"/>
      <w:b/>
      <w:sz w:val="40"/>
    </w:rPr>
  </w:style>
  <w:style w:type="paragraph" w:customStyle="1" w:styleId="Amain">
    <w:name w:val="A main"/>
    <w:basedOn w:val="Normal"/>
    <w:rsid w:val="004E4CFF"/>
    <w:pPr>
      <w:tabs>
        <w:tab w:val="right" w:pos="500"/>
        <w:tab w:val="left" w:pos="700"/>
      </w:tabs>
      <w:spacing w:before="80" w:after="60"/>
      <w:ind w:left="700" w:hanging="700"/>
      <w:jc w:val="both"/>
      <w:outlineLvl w:val="5"/>
    </w:pPr>
  </w:style>
  <w:style w:type="paragraph" w:customStyle="1" w:styleId="N-line3">
    <w:name w:val="N-line3"/>
    <w:basedOn w:val="Normal"/>
    <w:next w:val="Normal"/>
    <w:rsid w:val="004E4CFF"/>
    <w:pPr>
      <w:pBdr>
        <w:bottom w:val="single" w:sz="12" w:space="1" w:color="auto"/>
      </w:pBdr>
      <w:jc w:val="both"/>
    </w:pPr>
  </w:style>
  <w:style w:type="paragraph" w:customStyle="1" w:styleId="madeunder">
    <w:name w:val="made under"/>
    <w:basedOn w:val="Normal"/>
    <w:rsid w:val="004E4CFF"/>
    <w:pPr>
      <w:spacing w:before="180" w:after="60"/>
      <w:jc w:val="both"/>
    </w:pPr>
  </w:style>
  <w:style w:type="paragraph" w:customStyle="1" w:styleId="CoverActName">
    <w:name w:val="CoverActName"/>
    <w:basedOn w:val="Normal"/>
    <w:rsid w:val="004E4CFF"/>
    <w:pPr>
      <w:tabs>
        <w:tab w:val="left" w:pos="2600"/>
      </w:tabs>
      <w:spacing w:before="200" w:after="60"/>
      <w:jc w:val="both"/>
    </w:pPr>
    <w:rPr>
      <w:rFonts w:ascii="Arial" w:hAnsi="Arial"/>
      <w:b/>
    </w:rPr>
  </w:style>
  <w:style w:type="paragraph" w:customStyle="1" w:styleId="06Copyright">
    <w:name w:val="06Copyright"/>
    <w:basedOn w:val="Normal"/>
    <w:rsid w:val="004E4CFF"/>
    <w:pPr>
      <w:tabs>
        <w:tab w:val="left" w:pos="2880"/>
      </w:tabs>
    </w:pPr>
  </w:style>
  <w:style w:type="paragraph" w:customStyle="1" w:styleId="Apara">
    <w:name w:val="A para"/>
    <w:basedOn w:val="Normal"/>
    <w:rsid w:val="004E4CFF"/>
    <w:pPr>
      <w:numPr>
        <w:ilvl w:val="6"/>
        <w:numId w:val="10"/>
      </w:numPr>
      <w:spacing w:before="80" w:after="60"/>
      <w:jc w:val="both"/>
      <w:outlineLvl w:val="6"/>
    </w:pPr>
  </w:style>
  <w:style w:type="paragraph" w:customStyle="1" w:styleId="Asubpara">
    <w:name w:val="A subpara"/>
    <w:basedOn w:val="Normal"/>
    <w:rsid w:val="004E4CFF"/>
    <w:pPr>
      <w:numPr>
        <w:ilvl w:val="7"/>
        <w:numId w:val="10"/>
      </w:numPr>
      <w:spacing w:before="80" w:after="60"/>
      <w:jc w:val="both"/>
      <w:outlineLvl w:val="7"/>
    </w:pPr>
  </w:style>
  <w:style w:type="paragraph" w:customStyle="1" w:styleId="Asubsubpara">
    <w:name w:val="A subsubpara"/>
    <w:basedOn w:val="Normal"/>
    <w:rsid w:val="004E4CFF"/>
    <w:pPr>
      <w:numPr>
        <w:ilvl w:val="8"/>
        <w:numId w:val="10"/>
      </w:numPr>
      <w:spacing w:before="80" w:after="60"/>
      <w:jc w:val="both"/>
      <w:outlineLvl w:val="8"/>
    </w:pPr>
  </w:style>
  <w:style w:type="paragraph" w:customStyle="1" w:styleId="AH5Sec">
    <w:name w:val="A H5 Sec"/>
    <w:basedOn w:val="Normal"/>
    <w:next w:val="Amain"/>
    <w:rsid w:val="004E4CFF"/>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4E4CFF"/>
    <w:pPr>
      <w:tabs>
        <w:tab w:val="left" w:pos="2880"/>
        <w:tab w:val="center" w:pos="4153"/>
        <w:tab w:val="right" w:pos="8306"/>
      </w:tabs>
    </w:pPr>
  </w:style>
  <w:style w:type="character" w:customStyle="1" w:styleId="HeaderChar">
    <w:name w:val="Header Char"/>
    <w:basedOn w:val="DefaultParagraphFont"/>
    <w:link w:val="Header"/>
    <w:uiPriority w:val="99"/>
    <w:semiHidden/>
    <w:rPr>
      <w:sz w:val="24"/>
      <w:lang w:eastAsia="en-US"/>
    </w:rPr>
  </w:style>
  <w:style w:type="paragraph" w:customStyle="1" w:styleId="ref">
    <w:name w:val="ref"/>
    <w:basedOn w:val="Normal"/>
    <w:next w:val="Normal"/>
    <w:rsid w:val="004E4CFF"/>
    <w:pPr>
      <w:spacing w:after="60"/>
      <w:jc w:val="both"/>
    </w:pPr>
    <w:rPr>
      <w:sz w:val="18"/>
    </w:rPr>
  </w:style>
  <w:style w:type="character" w:customStyle="1" w:styleId="CharDivText">
    <w:name w:val="CharDivText"/>
    <w:basedOn w:val="DefaultParagraphFont"/>
    <w:rsid w:val="004E4CFF"/>
    <w:rPr>
      <w:rFonts w:cs="Times New Roman"/>
    </w:rPr>
  </w:style>
  <w:style w:type="paragraph" w:customStyle="1" w:styleId="CoverInForce">
    <w:name w:val="CoverInForce"/>
    <w:basedOn w:val="Normal"/>
    <w:rsid w:val="004E4CFF"/>
    <w:pPr>
      <w:tabs>
        <w:tab w:val="left" w:pos="2600"/>
      </w:tabs>
      <w:spacing w:before="200" w:after="60"/>
      <w:jc w:val="both"/>
    </w:pPr>
    <w:rPr>
      <w:rFonts w:ascii="Arial" w:hAnsi="Arial"/>
    </w:rPr>
  </w:style>
  <w:style w:type="paragraph" w:customStyle="1" w:styleId="AFHdg">
    <w:name w:val="AFHdg"/>
    <w:basedOn w:val="Normal"/>
    <w:rsid w:val="004E4CFF"/>
    <w:pPr>
      <w:tabs>
        <w:tab w:val="left" w:pos="2600"/>
      </w:tabs>
      <w:spacing w:before="80" w:after="60"/>
      <w:jc w:val="both"/>
    </w:pPr>
    <w:rPr>
      <w:rFonts w:ascii="Arial" w:hAnsi="Arial"/>
      <w:b/>
      <w:sz w:val="32"/>
    </w:rPr>
  </w:style>
  <w:style w:type="paragraph" w:customStyle="1" w:styleId="ApprFormHd">
    <w:name w:val="ApprFormHd"/>
    <w:basedOn w:val="Normal"/>
    <w:rsid w:val="004E4CFF"/>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4E4CFF"/>
    <w:rPr>
      <w:rFonts w:cs="Times New Roman"/>
    </w:rPr>
  </w:style>
  <w:style w:type="paragraph" w:customStyle="1" w:styleId="Aparabullet">
    <w:name w:val="A para bullet"/>
    <w:basedOn w:val="Normal"/>
    <w:rsid w:val="004E4CFF"/>
    <w:pPr>
      <w:numPr>
        <w:numId w:val="4"/>
      </w:numPr>
    </w:pPr>
  </w:style>
  <w:style w:type="paragraph" w:styleId="TOC1">
    <w:name w:val="toc 1"/>
    <w:basedOn w:val="Normal"/>
    <w:next w:val="Normal"/>
    <w:autoRedefine/>
    <w:uiPriority w:val="39"/>
    <w:semiHidden/>
    <w:rsid w:val="004E4CFF"/>
  </w:style>
  <w:style w:type="paragraph" w:styleId="TOC2">
    <w:name w:val="toc 2"/>
    <w:basedOn w:val="Normal"/>
    <w:next w:val="Normal"/>
    <w:autoRedefine/>
    <w:uiPriority w:val="39"/>
    <w:semiHidden/>
    <w:rsid w:val="004E4CFF"/>
    <w:pPr>
      <w:ind w:left="240"/>
    </w:pPr>
  </w:style>
  <w:style w:type="paragraph" w:styleId="TOC3">
    <w:name w:val="toc 3"/>
    <w:basedOn w:val="Normal"/>
    <w:next w:val="Normal"/>
    <w:autoRedefine/>
    <w:uiPriority w:val="39"/>
    <w:semiHidden/>
    <w:rsid w:val="004E4CFF"/>
    <w:pPr>
      <w:ind w:left="480"/>
    </w:pPr>
  </w:style>
  <w:style w:type="paragraph" w:styleId="TOC4">
    <w:name w:val="toc 4"/>
    <w:basedOn w:val="Normal"/>
    <w:next w:val="Normal"/>
    <w:autoRedefine/>
    <w:uiPriority w:val="39"/>
    <w:semiHidden/>
    <w:rsid w:val="004E4CFF"/>
    <w:pPr>
      <w:ind w:left="720"/>
    </w:pPr>
  </w:style>
  <w:style w:type="paragraph" w:styleId="TOC5">
    <w:name w:val="toc 5"/>
    <w:basedOn w:val="Normal"/>
    <w:next w:val="Normal"/>
    <w:autoRedefine/>
    <w:uiPriority w:val="39"/>
    <w:semiHidden/>
    <w:rsid w:val="004E4CFF"/>
    <w:pPr>
      <w:ind w:left="960"/>
    </w:pPr>
  </w:style>
  <w:style w:type="paragraph" w:styleId="TOC6">
    <w:name w:val="toc 6"/>
    <w:basedOn w:val="Normal"/>
    <w:next w:val="Normal"/>
    <w:autoRedefine/>
    <w:uiPriority w:val="39"/>
    <w:semiHidden/>
    <w:rsid w:val="004E4CFF"/>
    <w:pPr>
      <w:ind w:left="1200"/>
    </w:pPr>
  </w:style>
  <w:style w:type="paragraph" w:styleId="TOC7">
    <w:name w:val="toc 7"/>
    <w:basedOn w:val="Normal"/>
    <w:next w:val="Normal"/>
    <w:autoRedefine/>
    <w:uiPriority w:val="39"/>
    <w:semiHidden/>
    <w:rsid w:val="004E4CFF"/>
    <w:pPr>
      <w:ind w:left="1440"/>
    </w:pPr>
  </w:style>
  <w:style w:type="paragraph" w:styleId="TOC8">
    <w:name w:val="toc 8"/>
    <w:basedOn w:val="Normal"/>
    <w:next w:val="Normal"/>
    <w:autoRedefine/>
    <w:uiPriority w:val="39"/>
    <w:semiHidden/>
    <w:rsid w:val="004E4CFF"/>
    <w:pPr>
      <w:ind w:left="1680"/>
    </w:pPr>
  </w:style>
  <w:style w:type="paragraph" w:styleId="TOC9">
    <w:name w:val="toc 9"/>
    <w:basedOn w:val="Normal"/>
    <w:next w:val="Normal"/>
    <w:autoRedefine/>
    <w:uiPriority w:val="39"/>
    <w:semiHidden/>
    <w:rsid w:val="004E4CFF"/>
    <w:pPr>
      <w:ind w:left="1920"/>
    </w:pPr>
  </w:style>
  <w:style w:type="character" w:styleId="Hyperlink">
    <w:name w:val="Hyperlink"/>
    <w:basedOn w:val="DefaultParagraphFont"/>
    <w:uiPriority w:val="99"/>
    <w:rsid w:val="004E4CFF"/>
    <w:rPr>
      <w:rFonts w:cs="Times New Roman"/>
      <w:color w:val="0000FF"/>
      <w:u w:val="single"/>
    </w:rPr>
  </w:style>
  <w:style w:type="paragraph" w:styleId="BodyTextIndent">
    <w:name w:val="Body Text Indent"/>
    <w:basedOn w:val="Normal"/>
    <w:link w:val="BodyTextIndentChar"/>
    <w:uiPriority w:val="99"/>
    <w:rsid w:val="004E4CFF"/>
    <w:pPr>
      <w:spacing w:before="120" w:after="60"/>
      <w:ind w:left="709"/>
    </w:pPr>
  </w:style>
  <w:style w:type="character" w:customStyle="1" w:styleId="BodyTextIndentChar">
    <w:name w:val="Body Text Indent Char"/>
    <w:basedOn w:val="DefaultParagraphFont"/>
    <w:link w:val="BodyTextIndent"/>
    <w:uiPriority w:val="99"/>
    <w:semiHidden/>
    <w:rPr>
      <w:sz w:val="24"/>
      <w:lang w:eastAsia="en-US"/>
    </w:rPr>
  </w:style>
  <w:style w:type="paragraph" w:customStyle="1" w:styleId="Minister">
    <w:name w:val="Minister"/>
    <w:basedOn w:val="Normal"/>
    <w:rsid w:val="004E4CFF"/>
    <w:pPr>
      <w:spacing w:before="880" w:after="60"/>
      <w:jc w:val="right"/>
    </w:pPr>
    <w:rPr>
      <w:caps/>
      <w:szCs w:val="24"/>
    </w:rPr>
  </w:style>
  <w:style w:type="paragraph" w:customStyle="1" w:styleId="DateLine">
    <w:name w:val="DateLine"/>
    <w:basedOn w:val="Normal"/>
    <w:rsid w:val="004E4CFF"/>
    <w:pPr>
      <w:tabs>
        <w:tab w:val="left" w:pos="4320"/>
      </w:tabs>
      <w:spacing w:before="80" w:after="60"/>
      <w:jc w:val="both"/>
    </w:pPr>
    <w:rPr>
      <w:szCs w:val="24"/>
    </w:rPr>
  </w:style>
  <w:style w:type="paragraph" w:customStyle="1" w:styleId="MinisterWord">
    <w:name w:val="MinisterWord"/>
    <w:basedOn w:val="Normal"/>
    <w:rsid w:val="004E4CFF"/>
    <w:pPr>
      <w:tabs>
        <w:tab w:val="left" w:pos="2880"/>
      </w:tabs>
      <w:jc w:val="right"/>
    </w:pPr>
    <w:rPr>
      <w:szCs w:val="24"/>
    </w:rPr>
  </w:style>
  <w:style w:type="character" w:styleId="FollowedHyperlink">
    <w:name w:val="FollowedHyperlink"/>
    <w:basedOn w:val="DefaultParagraphFont"/>
    <w:uiPriority w:val="99"/>
    <w:rsid w:val="004E4CFF"/>
    <w:rPr>
      <w:rFonts w:cs="Times New Roman"/>
      <w:color w:val="800080"/>
      <w:u w:val="single"/>
    </w:rPr>
  </w:style>
  <w:style w:type="character" w:styleId="FootnoteReference">
    <w:name w:val="footnote reference"/>
    <w:basedOn w:val="DefaultParagraphFont"/>
    <w:uiPriority w:val="99"/>
    <w:semiHidden/>
    <w:rsid w:val="004E4CFF"/>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4E4CFF"/>
    <w:pPr>
      <w:spacing w:before="80" w:after="60"/>
      <w:jc w:val="both"/>
    </w:pPr>
    <w:rPr>
      <w:szCs w:val="24"/>
    </w:rPr>
  </w:style>
  <w:style w:type="character" w:customStyle="1" w:styleId="FootnoteTextChar">
    <w:name w:val="Footnote Text Char"/>
    <w:basedOn w:val="DefaultParagraphFont"/>
    <w:link w:val="FootnoteText"/>
    <w:uiPriority w:val="99"/>
    <w:semiHidden/>
    <w:rPr>
      <w:lang w:eastAsia="en-US"/>
    </w:rPr>
  </w:style>
  <w:style w:type="paragraph" w:customStyle="1" w:styleId="ShadedSchClause">
    <w:name w:val="Shaded Sch Clause"/>
    <w:basedOn w:val="Normal"/>
    <w:next w:val="Normal"/>
    <w:rsid w:val="004E4CFF"/>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4E4CFF"/>
    <w:rPr>
      <w:rFonts w:cs="Times New Roman"/>
    </w:rPr>
  </w:style>
  <w:style w:type="paragraph" w:customStyle="1" w:styleId="Heading3Coloured">
    <w:name w:val="Heading 3 Coloured"/>
    <w:basedOn w:val="Heading3"/>
    <w:uiPriority w:val="99"/>
    <w:locked/>
    <w:rsid w:val="004A65E9"/>
    <w:pPr>
      <w:pBdr>
        <w:right w:val="none" w:sz="0" w:space="0" w:color="auto"/>
      </w:pBdr>
      <w:tabs>
        <w:tab w:val="num" w:pos="1440"/>
      </w:tabs>
      <w:spacing w:before="240" w:after="240"/>
      <w:ind w:left="720" w:hanging="720"/>
    </w:pPr>
    <w:rPr>
      <w:rFonts w:ascii="Arial" w:hAnsi="Arial"/>
      <w:b/>
      <w:i w:val="0"/>
      <w:iCs w:val="0"/>
      <w:color w:val="333399"/>
      <w:szCs w:val="20"/>
      <w:lang w:val="en-GB"/>
    </w:rPr>
  </w:style>
  <w:style w:type="paragraph" w:styleId="BalloonText">
    <w:name w:val="Balloon Text"/>
    <w:basedOn w:val="Normal"/>
    <w:link w:val="BalloonTextChar"/>
    <w:uiPriority w:val="99"/>
    <w:rsid w:val="007876C6"/>
    <w:rPr>
      <w:rFonts w:ascii="Tahoma" w:hAnsi="Tahoma" w:cs="Tahoma"/>
      <w:sz w:val="16"/>
      <w:szCs w:val="16"/>
    </w:rPr>
  </w:style>
  <w:style w:type="character" w:customStyle="1" w:styleId="BalloonTextChar">
    <w:name w:val="Balloon Text Char"/>
    <w:basedOn w:val="DefaultParagraphFont"/>
    <w:link w:val="BalloonText"/>
    <w:uiPriority w:val="99"/>
    <w:locked/>
    <w:rsid w:val="007876C6"/>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66254">
      <w:bodyDiv w:val="1"/>
      <w:marLeft w:val="0"/>
      <w:marRight w:val="0"/>
      <w:marTop w:val="0"/>
      <w:marBottom w:val="0"/>
      <w:divBdr>
        <w:top w:val="none" w:sz="0" w:space="0" w:color="auto"/>
        <w:left w:val="none" w:sz="0" w:space="0" w:color="auto"/>
        <w:bottom w:val="none" w:sz="0" w:space="0" w:color="auto"/>
        <w:right w:val="none" w:sz="0" w:space="0" w:color="auto"/>
      </w:divBdr>
    </w:div>
    <w:div w:id="71780498">
      <w:bodyDiv w:val="1"/>
      <w:marLeft w:val="0"/>
      <w:marRight w:val="0"/>
      <w:marTop w:val="0"/>
      <w:marBottom w:val="0"/>
      <w:divBdr>
        <w:top w:val="none" w:sz="0" w:space="0" w:color="auto"/>
        <w:left w:val="none" w:sz="0" w:space="0" w:color="auto"/>
        <w:bottom w:val="none" w:sz="0" w:space="0" w:color="auto"/>
        <w:right w:val="none" w:sz="0" w:space="0" w:color="auto"/>
      </w:divBdr>
    </w:div>
    <w:div w:id="133179781">
      <w:bodyDiv w:val="1"/>
      <w:marLeft w:val="0"/>
      <w:marRight w:val="0"/>
      <w:marTop w:val="0"/>
      <w:marBottom w:val="0"/>
      <w:divBdr>
        <w:top w:val="none" w:sz="0" w:space="0" w:color="auto"/>
        <w:left w:val="none" w:sz="0" w:space="0" w:color="auto"/>
        <w:bottom w:val="none" w:sz="0" w:space="0" w:color="auto"/>
        <w:right w:val="none" w:sz="0" w:space="0" w:color="auto"/>
      </w:divBdr>
    </w:div>
    <w:div w:id="10320757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1222</Characters>
  <Application>Microsoft Office Word</Application>
  <DocSecurity>0</DocSecurity>
  <Lines>34</Lines>
  <Paragraphs>15</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
  <dc:description/>
  <cp:lastModifiedBy>Moxon, KarenL</cp:lastModifiedBy>
  <cp:revision>4</cp:revision>
  <cp:lastPrinted>2012-06-20T00:26:00Z</cp:lastPrinted>
  <dcterms:created xsi:type="dcterms:W3CDTF">2021-09-06T23:10:00Z</dcterms:created>
  <dcterms:modified xsi:type="dcterms:W3CDTF">2021-09-06T23:10:00Z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AuthorID">
    <vt:lpwstr>HYM</vt:lpwstr>
  </property>
  <property fmtid="{D5CDD505-2E9C-101B-9397-08002B2CF9AE}" pid="3" name="DMSCountry">
    <vt:lpwstr>AUSTRALIA</vt:lpwstr>
  </property>
  <property fmtid="{D5CDD505-2E9C-101B-9397-08002B2CF9AE}" pid="4" name="DocID">
    <vt:lpwstr>221144175_1</vt:lpwstr>
  </property>
  <property fmtid="{D5CDD505-2E9C-101B-9397-08002B2CF9AE}" pid="5" name="Objective-Id">
    <vt:lpwstr>A29724211</vt:lpwstr>
  </property>
  <property fmtid="{D5CDD505-2E9C-101B-9397-08002B2CF9AE}" pid="6" name="Objective-Title">
    <vt:lpwstr>2021-XXX NERL retailer determination</vt:lpwstr>
  </property>
  <property fmtid="{D5CDD505-2E9C-101B-9397-08002B2CF9AE}" pid="7" name="Objective-Comment">
    <vt:lpwstr/>
  </property>
  <property fmtid="{D5CDD505-2E9C-101B-9397-08002B2CF9AE}" pid="8" name="Objective-CreationStamp">
    <vt:filetime>2021-06-29T00:15:57Z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2021-09-01T04:32:55Z</vt:filetime>
  </property>
  <property fmtid="{D5CDD505-2E9C-101B-9397-08002B2CF9AE}" pid="13" name="Objective-Owner">
    <vt:lpwstr>Ryan Ostopowicz</vt:lpwstr>
  </property>
  <property fmtid="{D5CDD505-2E9C-101B-9397-08002B2CF9AE}" pid="14" name="Objective-Path">
    <vt:lpwstr>Whole of ACT Government:ICRC - Independent Competition and Regulatory Commission:05. UTILITIES &amp; INFRASTRUCTURE REGULATION:Industry Codes:NERL Retailer determinations:2021:</vt:lpwstr>
  </property>
  <property fmtid="{D5CDD505-2E9C-101B-9397-08002B2CF9AE}" pid="15" name="Objective-Parent">
    <vt:lpwstr>2021</vt:lpwstr>
  </property>
  <property fmtid="{D5CDD505-2E9C-101B-9397-08002B2CF9AE}" pid="16" name="Objective-State">
    <vt:lpwstr>Being Edited</vt:lpwstr>
  </property>
  <property fmtid="{D5CDD505-2E9C-101B-9397-08002B2CF9AE}" pid="17" name="Objective-Version">
    <vt:lpwstr>6.1</vt:lpwstr>
  </property>
  <property fmtid="{D5CDD505-2E9C-101B-9397-08002B2CF9AE}" pid="18" name="Objective-VersionNumber">
    <vt:r8>7</vt:r8>
  </property>
  <property fmtid="{D5CDD505-2E9C-101B-9397-08002B2CF9AE}" pid="19" name="Objective-VersionComment">
    <vt:lpwstr/>
  </property>
  <property fmtid="{D5CDD505-2E9C-101B-9397-08002B2CF9AE}" pid="20" name="Objective-FileNumber">
    <vt:lpwstr/>
  </property>
  <property fmtid="{D5CDD505-2E9C-101B-9397-08002B2CF9AE}" pid="21" name="Objective-Classification">
    <vt:lpwstr>[Inherited - In Confidence (green file cover)]</vt:lpwstr>
  </property>
  <property fmtid="{D5CDD505-2E9C-101B-9397-08002B2CF9AE}" pid="22" name="Objective-Caveats">
    <vt:lpwstr/>
  </property>
  <property fmtid="{D5CDD505-2E9C-101B-9397-08002B2CF9AE}" pid="23" name="Objective-Owner Agency [system]">
    <vt:lpwstr>ICRC</vt:lpwstr>
  </property>
  <property fmtid="{D5CDD505-2E9C-101B-9397-08002B2CF9AE}" pid="24" name="Objective-Document Type [system]">
    <vt:lpwstr>0-Document</vt:lpwstr>
  </property>
  <property fmtid="{D5CDD505-2E9C-101B-9397-08002B2CF9AE}" pid="25" name="Objective-Language [system]">
    <vt:lpwstr>English (en)</vt:lpwstr>
  </property>
  <property fmtid="{D5CDD505-2E9C-101B-9397-08002B2CF9AE}" pid="26" name="Objective-Jurisdiction [system]">
    <vt:lpwstr>ACT</vt:lpwstr>
  </property>
  <property fmtid="{D5CDD505-2E9C-101B-9397-08002B2CF9AE}" pid="27" name="Objective-Customers [system]">
    <vt:lpwstr/>
  </property>
  <property fmtid="{D5CDD505-2E9C-101B-9397-08002B2CF9AE}" pid="28" name="Objective-Places [system]">
    <vt:lpwstr/>
  </property>
  <property fmtid="{D5CDD505-2E9C-101B-9397-08002B2CF9AE}" pid="29" name="Objective-Transaction Reference [system]">
    <vt:lpwstr/>
  </property>
  <property fmtid="{D5CDD505-2E9C-101B-9397-08002B2CF9AE}" pid="30" name="Objective-Document Created By [system]">
    <vt:lpwstr>Cath Collins</vt:lpwstr>
  </property>
  <property fmtid="{D5CDD505-2E9C-101B-9397-08002B2CF9AE}" pid="31" name="Objective-Document Created On [system]">
    <vt:lpwstr/>
  </property>
  <property fmtid="{D5CDD505-2E9C-101B-9397-08002B2CF9AE}" pid="32" name="Objective-Covers Period From [system]">
    <vt:lpwstr/>
  </property>
  <property fmtid="{D5CDD505-2E9C-101B-9397-08002B2CF9AE}" pid="33" name="Objective-Covers Period To [system]">
    <vt:lpwstr/>
  </property>
  <property fmtid="{D5CDD505-2E9C-101B-9397-08002B2CF9AE}" pid="34" name="Objective-Owner Agency">
    <vt:lpwstr>ICRC</vt:lpwstr>
  </property>
  <property fmtid="{D5CDD505-2E9C-101B-9397-08002B2CF9AE}" pid="35" name="Objective-Document Type">
    <vt:lpwstr>0-Document</vt:lpwstr>
  </property>
  <property fmtid="{D5CDD505-2E9C-101B-9397-08002B2CF9AE}" pid="36" name="Objective-Language">
    <vt:lpwstr>English (en)</vt:lpwstr>
  </property>
  <property fmtid="{D5CDD505-2E9C-101B-9397-08002B2CF9AE}" pid="37" name="Objective-Jurisdiction">
    <vt:lpwstr>ACT</vt:lpwstr>
  </property>
  <property fmtid="{D5CDD505-2E9C-101B-9397-08002B2CF9AE}" pid="38" name="Objective-Customers">
    <vt:lpwstr/>
  </property>
  <property fmtid="{D5CDD505-2E9C-101B-9397-08002B2CF9AE}" pid="39" name="Objective-Places">
    <vt:lpwstr/>
  </property>
  <property fmtid="{D5CDD505-2E9C-101B-9397-08002B2CF9AE}" pid="40" name="Objective-Transaction Reference">
    <vt:lpwstr/>
  </property>
  <property fmtid="{D5CDD505-2E9C-101B-9397-08002B2CF9AE}" pid="41" name="Objective-Document Created By">
    <vt:lpwstr>Cath Collins</vt:lpwstr>
  </property>
  <property fmtid="{D5CDD505-2E9C-101B-9397-08002B2CF9AE}" pid="42" name="Objective-Document Created On">
    <vt:lpwstr/>
  </property>
  <property fmtid="{D5CDD505-2E9C-101B-9397-08002B2CF9AE}" pid="43" name="Objective-Covers Period From">
    <vt:lpwstr/>
  </property>
  <property fmtid="{D5CDD505-2E9C-101B-9397-08002B2CF9AE}" pid="44" name="Objective-Covers Period To">
    <vt:lpwstr/>
  </property>
</Properties>
</file>