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657A" w14:textId="77777777" w:rsidR="00CA682D" w:rsidRPr="000217E5" w:rsidRDefault="00CA682D">
      <w:pPr>
        <w:spacing w:before="120"/>
        <w:rPr>
          <w:rFonts w:asciiTheme="minorHAnsi" w:hAnsiTheme="minorHAnsi" w:cs="Arial"/>
        </w:rPr>
      </w:pPr>
      <w:bookmarkStart w:id="0" w:name="_Toc44738651"/>
      <w:r w:rsidRPr="000217E5">
        <w:rPr>
          <w:rFonts w:asciiTheme="minorHAnsi" w:hAnsiTheme="minorHAnsi" w:cs="Arial"/>
        </w:rPr>
        <w:t>Australian Capital Territory</w:t>
      </w:r>
    </w:p>
    <w:p w14:paraId="5527BACF" w14:textId="77777777" w:rsidR="00CA682D" w:rsidRPr="0007681E" w:rsidRDefault="001229EA" w:rsidP="0007681E">
      <w:pPr>
        <w:pStyle w:val="Billname"/>
        <w:spacing w:before="720"/>
      </w:pPr>
      <w:r w:rsidRPr="0007681E">
        <w:t>Independent Competition and Regulatory Commission (Regulated Water and Sewerage Services) Terms of Reference</w:t>
      </w:r>
      <w:r w:rsidR="00DF629D" w:rsidRPr="0007681E">
        <w:t xml:space="preserve"> Determination 20</w:t>
      </w:r>
      <w:r w:rsidR="007515AA" w:rsidRPr="0007681E">
        <w:t>21</w:t>
      </w:r>
    </w:p>
    <w:p w14:paraId="70366798" w14:textId="0657E9E3" w:rsidR="00CA682D" w:rsidRPr="0083467A" w:rsidRDefault="00CA682D">
      <w:pPr>
        <w:spacing w:before="240" w:after="60"/>
        <w:rPr>
          <w:rFonts w:asciiTheme="minorHAnsi" w:hAnsiTheme="minorHAnsi" w:cs="Arial"/>
          <w:b/>
          <w:highlight w:val="yellow"/>
          <w:vertAlign w:val="superscript"/>
        </w:rPr>
      </w:pPr>
      <w:r w:rsidRPr="0083467A">
        <w:rPr>
          <w:rFonts w:asciiTheme="minorHAnsi" w:hAnsiTheme="minorHAnsi" w:cs="Arial"/>
          <w:b/>
        </w:rPr>
        <w:t>Disallowable instrument DI</w:t>
      </w:r>
      <w:r w:rsidR="001229EA" w:rsidRPr="0083467A">
        <w:rPr>
          <w:rFonts w:asciiTheme="minorHAnsi" w:hAnsiTheme="minorHAnsi" w:cs="Arial"/>
          <w:b/>
          <w:iCs/>
        </w:rPr>
        <w:t>20</w:t>
      </w:r>
      <w:r w:rsidR="00BE7139" w:rsidRPr="0083467A">
        <w:rPr>
          <w:rFonts w:asciiTheme="minorHAnsi" w:hAnsiTheme="minorHAnsi" w:cs="Arial"/>
          <w:b/>
          <w:iCs/>
        </w:rPr>
        <w:t>21</w:t>
      </w:r>
      <w:r w:rsidR="002D4077" w:rsidRPr="0083467A">
        <w:rPr>
          <w:rFonts w:asciiTheme="minorHAnsi" w:hAnsiTheme="minorHAnsi" w:cs="Arial"/>
          <w:b/>
          <w:iCs/>
        </w:rPr>
        <w:t>-</w:t>
      </w:r>
      <w:r w:rsidR="00E63BEA">
        <w:rPr>
          <w:rFonts w:asciiTheme="minorHAnsi" w:hAnsiTheme="minorHAnsi" w:cstheme="minorHAnsi"/>
          <w:b/>
          <w:bCs/>
        </w:rPr>
        <w:t>278</w:t>
      </w:r>
    </w:p>
    <w:p w14:paraId="72312E99" w14:textId="77777777" w:rsidR="00CA682D" w:rsidRPr="000217E5" w:rsidRDefault="00CA682D">
      <w:pPr>
        <w:pStyle w:val="madeunder"/>
        <w:spacing w:before="240" w:after="120"/>
        <w:rPr>
          <w:rFonts w:asciiTheme="minorHAnsi" w:hAnsiTheme="minorHAnsi"/>
        </w:rPr>
      </w:pPr>
      <w:r w:rsidRPr="000217E5">
        <w:rPr>
          <w:rFonts w:asciiTheme="minorHAnsi" w:hAnsiTheme="minorHAnsi"/>
        </w:rPr>
        <w:t xml:space="preserve">made under the  </w:t>
      </w:r>
    </w:p>
    <w:p w14:paraId="63D59180" w14:textId="77777777" w:rsidR="00CA682D" w:rsidRPr="000217E5" w:rsidRDefault="001229EA" w:rsidP="007F224B">
      <w:pPr>
        <w:pStyle w:val="CoverActName"/>
        <w:jc w:val="left"/>
        <w:rPr>
          <w:rFonts w:asciiTheme="minorHAnsi" w:hAnsiTheme="minorHAnsi"/>
          <w:szCs w:val="24"/>
        </w:rPr>
      </w:pPr>
      <w:r w:rsidRPr="000217E5">
        <w:rPr>
          <w:rFonts w:asciiTheme="minorHAnsi" w:hAnsiTheme="minorHAnsi" w:cs="Arial"/>
          <w:i/>
          <w:szCs w:val="24"/>
        </w:rPr>
        <w:t>Independent Competition and Regulatory Commission Act 1997</w:t>
      </w:r>
      <w:r w:rsidR="0012475C" w:rsidRPr="000217E5">
        <w:rPr>
          <w:rFonts w:asciiTheme="minorHAnsi" w:hAnsiTheme="minorHAnsi" w:cs="Arial"/>
          <w:szCs w:val="24"/>
        </w:rPr>
        <w:t xml:space="preserve">, </w:t>
      </w:r>
      <w:r w:rsidR="007F224B" w:rsidRPr="000217E5">
        <w:rPr>
          <w:rFonts w:asciiTheme="minorHAnsi" w:hAnsiTheme="minorHAnsi" w:cs="Arial"/>
          <w:szCs w:val="24"/>
        </w:rPr>
        <w:br/>
      </w:r>
      <w:r w:rsidR="009668A7">
        <w:rPr>
          <w:rFonts w:asciiTheme="minorHAnsi" w:hAnsiTheme="minorHAnsi" w:cs="Arial"/>
          <w:szCs w:val="24"/>
        </w:rPr>
        <w:t>s</w:t>
      </w:r>
      <w:r w:rsidR="0012475C" w:rsidRPr="000217E5">
        <w:rPr>
          <w:rFonts w:asciiTheme="minorHAnsi" w:hAnsiTheme="minorHAnsi" w:cs="Arial"/>
          <w:szCs w:val="24"/>
        </w:rPr>
        <w:t xml:space="preserve"> 15 (N</w:t>
      </w:r>
      <w:r w:rsidRPr="000217E5">
        <w:rPr>
          <w:rFonts w:asciiTheme="minorHAnsi" w:hAnsiTheme="minorHAnsi" w:cs="Arial"/>
          <w:szCs w:val="24"/>
        </w:rPr>
        <w:t xml:space="preserve">ature of </w:t>
      </w:r>
      <w:r w:rsidR="00CD3AD5">
        <w:rPr>
          <w:rFonts w:asciiTheme="minorHAnsi" w:hAnsiTheme="minorHAnsi" w:cs="Arial"/>
          <w:szCs w:val="24"/>
        </w:rPr>
        <w:t>i</w:t>
      </w:r>
      <w:r w:rsidR="00CD3AD5" w:rsidRPr="000217E5">
        <w:rPr>
          <w:rFonts w:asciiTheme="minorHAnsi" w:hAnsiTheme="minorHAnsi" w:cs="Arial"/>
          <w:szCs w:val="24"/>
        </w:rPr>
        <w:t xml:space="preserve">ndustry </w:t>
      </w:r>
      <w:r w:rsidR="00CD3AD5">
        <w:rPr>
          <w:rFonts w:asciiTheme="minorHAnsi" w:hAnsiTheme="minorHAnsi" w:cs="Arial"/>
          <w:szCs w:val="24"/>
        </w:rPr>
        <w:t>r</w:t>
      </w:r>
      <w:r w:rsidR="00CD3AD5" w:rsidRPr="000217E5">
        <w:rPr>
          <w:rFonts w:asciiTheme="minorHAnsi" w:hAnsiTheme="minorHAnsi" w:cs="Arial"/>
          <w:szCs w:val="24"/>
        </w:rPr>
        <w:t>eferences</w:t>
      </w:r>
      <w:r w:rsidRPr="000217E5">
        <w:rPr>
          <w:rFonts w:asciiTheme="minorHAnsi" w:hAnsiTheme="minorHAnsi" w:cs="Arial"/>
          <w:szCs w:val="24"/>
        </w:rPr>
        <w:t xml:space="preserve">) and </w:t>
      </w:r>
      <w:r w:rsidR="009668A7">
        <w:rPr>
          <w:rFonts w:asciiTheme="minorHAnsi" w:hAnsiTheme="minorHAnsi" w:cs="Arial"/>
          <w:szCs w:val="24"/>
        </w:rPr>
        <w:t>s</w:t>
      </w:r>
      <w:r w:rsidRPr="000217E5">
        <w:rPr>
          <w:rFonts w:asciiTheme="minorHAnsi" w:hAnsiTheme="minorHAnsi" w:cs="Arial"/>
          <w:szCs w:val="24"/>
        </w:rPr>
        <w:t xml:space="preserve"> 16 (Terms of </w:t>
      </w:r>
      <w:r w:rsidR="00CD3AD5">
        <w:rPr>
          <w:rFonts w:asciiTheme="minorHAnsi" w:hAnsiTheme="minorHAnsi" w:cs="Arial"/>
          <w:szCs w:val="24"/>
        </w:rPr>
        <w:t>i</w:t>
      </w:r>
      <w:r w:rsidR="00CD3AD5" w:rsidRPr="000217E5">
        <w:rPr>
          <w:rFonts w:asciiTheme="minorHAnsi" w:hAnsiTheme="minorHAnsi" w:cs="Arial"/>
          <w:szCs w:val="24"/>
        </w:rPr>
        <w:t xml:space="preserve">ndustry </w:t>
      </w:r>
      <w:r w:rsidR="00CD3AD5">
        <w:rPr>
          <w:rFonts w:asciiTheme="minorHAnsi" w:hAnsiTheme="minorHAnsi" w:cs="Arial"/>
          <w:szCs w:val="24"/>
        </w:rPr>
        <w:t>r</w:t>
      </w:r>
      <w:r w:rsidR="00CD3AD5" w:rsidRPr="000217E5">
        <w:rPr>
          <w:rFonts w:asciiTheme="minorHAnsi" w:hAnsiTheme="minorHAnsi" w:cs="Arial"/>
          <w:szCs w:val="24"/>
        </w:rPr>
        <w:t>eferences</w:t>
      </w:r>
      <w:r w:rsidRPr="000217E5">
        <w:rPr>
          <w:rFonts w:asciiTheme="minorHAnsi" w:hAnsiTheme="minorHAnsi" w:cs="Arial"/>
          <w:szCs w:val="24"/>
        </w:rPr>
        <w:t>).</w:t>
      </w:r>
    </w:p>
    <w:p w14:paraId="133BC753" w14:textId="77777777" w:rsidR="00CA682D" w:rsidRPr="00810992" w:rsidRDefault="00CA682D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/>
          <w:sz w:val="4"/>
          <w:szCs w:val="4"/>
          <w:highlight w:val="yellow"/>
        </w:rPr>
      </w:pPr>
    </w:p>
    <w:p w14:paraId="775A7D3C" w14:textId="77777777" w:rsidR="0069771A" w:rsidRDefault="0069771A" w:rsidP="0069771A">
      <w:pPr>
        <w:spacing w:before="60" w:after="60"/>
        <w:ind w:left="720" w:hanging="720"/>
        <w:rPr>
          <w:rFonts w:ascii="Arial" w:hAnsi="Arial" w:cs="Arial"/>
          <w:b/>
          <w:bCs/>
        </w:rPr>
      </w:pPr>
    </w:p>
    <w:p w14:paraId="65836EF1" w14:textId="77777777" w:rsidR="0069771A" w:rsidRDefault="0069771A" w:rsidP="0069771A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43EF09" w14:textId="77777777" w:rsidR="0069771A" w:rsidRPr="00E00607" w:rsidRDefault="0069771A" w:rsidP="0007681E">
      <w:pPr>
        <w:spacing w:before="140"/>
        <w:ind w:left="720"/>
        <w:rPr>
          <w:rFonts w:asciiTheme="minorHAnsi" w:hAnsiTheme="minorHAnsi" w:cs="Calibri"/>
        </w:rPr>
      </w:pPr>
      <w:r w:rsidRPr="00E00607">
        <w:rPr>
          <w:rFonts w:asciiTheme="minorHAnsi" w:hAnsiTheme="minorHAnsi" w:cs="Calibri"/>
        </w:rPr>
        <w:t xml:space="preserve">This instrument is the </w:t>
      </w:r>
      <w:r w:rsidRPr="00E00607">
        <w:rPr>
          <w:rFonts w:asciiTheme="minorHAnsi" w:hAnsiTheme="minorHAnsi" w:cs="Calibri"/>
          <w:i/>
          <w:iCs/>
        </w:rPr>
        <w:t>Independent Competition and Regulatory Commission (Regulated Water and Sewerage Services) Terms of Reference Determination 2021</w:t>
      </w:r>
      <w:r w:rsidRPr="00E00607">
        <w:rPr>
          <w:rFonts w:asciiTheme="minorHAnsi" w:hAnsiTheme="minorHAnsi" w:cs="Calibri"/>
        </w:rPr>
        <w:t>.</w:t>
      </w:r>
    </w:p>
    <w:p w14:paraId="0F362428" w14:textId="77777777" w:rsidR="0069771A" w:rsidRDefault="0069771A" w:rsidP="006977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B15DDFC" w14:textId="77777777" w:rsidR="0069771A" w:rsidRPr="00E00607" w:rsidRDefault="0069771A" w:rsidP="0069771A">
      <w:pPr>
        <w:spacing w:before="140"/>
        <w:ind w:left="720"/>
        <w:rPr>
          <w:rFonts w:asciiTheme="minorHAnsi" w:hAnsiTheme="minorHAnsi" w:cs="Calibri"/>
        </w:rPr>
      </w:pPr>
      <w:r w:rsidRPr="00E00607">
        <w:rPr>
          <w:rFonts w:asciiTheme="minorHAnsi" w:hAnsiTheme="minorHAnsi" w:cs="Calibri"/>
        </w:rPr>
        <w:t>This instrument commences on the day after it is notified.</w:t>
      </w:r>
    </w:p>
    <w:p w14:paraId="00F1E305" w14:textId="77777777" w:rsidR="003A4758" w:rsidRPr="0007681E" w:rsidRDefault="0069771A" w:rsidP="0007681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A4758" w:rsidRPr="0007681E">
        <w:rPr>
          <w:rFonts w:ascii="Arial" w:hAnsi="Arial" w:cs="Arial"/>
          <w:b/>
          <w:bCs/>
        </w:rPr>
        <w:t>Reference</w:t>
      </w:r>
      <w:r w:rsidR="000217E5" w:rsidRPr="0007681E">
        <w:rPr>
          <w:rFonts w:ascii="Arial" w:hAnsi="Arial" w:cs="Arial"/>
          <w:b/>
          <w:bCs/>
        </w:rPr>
        <w:t xml:space="preserve"> for investigation under s 15</w:t>
      </w:r>
    </w:p>
    <w:p w14:paraId="5A9EDB74" w14:textId="77777777" w:rsidR="00665706" w:rsidRPr="00E00607" w:rsidRDefault="003A4758" w:rsidP="0007681E">
      <w:pPr>
        <w:spacing w:before="140"/>
        <w:ind w:left="720"/>
        <w:rPr>
          <w:rFonts w:asciiTheme="minorHAnsi" w:hAnsiTheme="minorHAnsi" w:cs="Calibri"/>
        </w:rPr>
      </w:pPr>
      <w:r w:rsidRPr="00E00607">
        <w:rPr>
          <w:rFonts w:asciiTheme="minorHAnsi" w:hAnsiTheme="minorHAnsi" w:cs="Calibri"/>
        </w:rPr>
        <w:t>Pursuant to subsection 15</w:t>
      </w:r>
      <w:r w:rsidR="009668A7" w:rsidRPr="00E00607">
        <w:rPr>
          <w:rFonts w:asciiTheme="minorHAnsi" w:hAnsiTheme="minorHAnsi" w:cs="Calibri"/>
        </w:rPr>
        <w:t xml:space="preserve"> </w:t>
      </w:r>
      <w:r w:rsidRPr="00E00607">
        <w:rPr>
          <w:rFonts w:asciiTheme="minorHAnsi" w:hAnsiTheme="minorHAnsi" w:cs="Calibri"/>
        </w:rPr>
        <w:t>(1)</w:t>
      </w:r>
      <w:r w:rsidR="009668A7" w:rsidRPr="00E00607">
        <w:rPr>
          <w:rFonts w:asciiTheme="minorHAnsi" w:hAnsiTheme="minorHAnsi" w:cs="Calibri"/>
        </w:rPr>
        <w:t xml:space="preserve"> </w:t>
      </w:r>
      <w:r w:rsidR="00AD37BA" w:rsidRPr="00E00607">
        <w:rPr>
          <w:rFonts w:asciiTheme="minorHAnsi" w:hAnsiTheme="minorHAnsi" w:cs="Calibri"/>
        </w:rPr>
        <w:t>(a)</w:t>
      </w:r>
      <w:r w:rsidRPr="00E00607">
        <w:rPr>
          <w:rFonts w:asciiTheme="minorHAnsi" w:hAnsiTheme="minorHAnsi" w:cs="Calibri"/>
        </w:rPr>
        <w:t xml:space="preserve"> of the Act, I refer to the Independent Competition and Regulatory Commission (the ‘Commission’) the matter of an investigation into</w:t>
      </w:r>
      <w:r w:rsidR="00F719E0" w:rsidRPr="00E00607">
        <w:rPr>
          <w:rFonts w:asciiTheme="minorHAnsi" w:hAnsiTheme="minorHAnsi" w:cs="Calibri"/>
        </w:rPr>
        <w:t>,</w:t>
      </w:r>
      <w:r w:rsidRPr="00E00607">
        <w:rPr>
          <w:rFonts w:asciiTheme="minorHAnsi" w:hAnsiTheme="minorHAnsi" w:cs="Calibri"/>
        </w:rPr>
        <w:t xml:space="preserve"> and the making of a price direction for regulated water and sewerage services provided by </w:t>
      </w:r>
      <w:r w:rsidR="00942035" w:rsidRPr="00E00607">
        <w:rPr>
          <w:rFonts w:asciiTheme="minorHAnsi" w:hAnsiTheme="minorHAnsi" w:cs="Calibri"/>
        </w:rPr>
        <w:t>Icon Water</w:t>
      </w:r>
      <w:r w:rsidRPr="00E00607">
        <w:rPr>
          <w:rFonts w:asciiTheme="minorHAnsi" w:hAnsiTheme="minorHAnsi" w:cs="Calibri"/>
        </w:rPr>
        <w:t xml:space="preserve"> Limited</w:t>
      </w:r>
      <w:r w:rsidR="00F31DDD" w:rsidRPr="00E00607">
        <w:rPr>
          <w:rFonts w:asciiTheme="minorHAnsi" w:hAnsiTheme="minorHAnsi" w:cs="Calibri"/>
        </w:rPr>
        <w:t>.</w:t>
      </w:r>
      <w:r w:rsidR="00F31DDD" w:rsidRPr="00E00607">
        <w:rPr>
          <w:rFonts w:asciiTheme="minorHAnsi" w:hAnsiTheme="minorHAnsi" w:cs="Calibri"/>
        </w:rPr>
        <w:br/>
        <w:t>The price direction</w:t>
      </w:r>
      <w:r w:rsidR="00101CB0" w:rsidRPr="00E00607">
        <w:rPr>
          <w:rFonts w:asciiTheme="minorHAnsi" w:hAnsiTheme="minorHAnsi" w:cs="Calibri"/>
        </w:rPr>
        <w:t xml:space="preserve"> </w:t>
      </w:r>
      <w:r w:rsidR="006E62EF" w:rsidRPr="00E00607">
        <w:rPr>
          <w:rFonts w:asciiTheme="minorHAnsi" w:hAnsiTheme="minorHAnsi" w:cs="Calibri"/>
        </w:rPr>
        <w:t>will be</w:t>
      </w:r>
      <w:r w:rsidR="001D6602" w:rsidRPr="00E00607">
        <w:rPr>
          <w:rFonts w:asciiTheme="minorHAnsi" w:hAnsiTheme="minorHAnsi" w:cs="Calibri"/>
        </w:rPr>
        <w:t xml:space="preserve"> </w:t>
      </w:r>
      <w:r w:rsidR="00F31DDD" w:rsidRPr="00E00607">
        <w:rPr>
          <w:rFonts w:asciiTheme="minorHAnsi" w:hAnsiTheme="minorHAnsi" w:cs="Calibri"/>
        </w:rPr>
        <w:t xml:space="preserve">for </w:t>
      </w:r>
      <w:r w:rsidR="00942035" w:rsidRPr="00E00607">
        <w:rPr>
          <w:rFonts w:asciiTheme="minorHAnsi" w:hAnsiTheme="minorHAnsi" w:cs="Calibri"/>
        </w:rPr>
        <w:t xml:space="preserve">the period </w:t>
      </w:r>
      <w:r w:rsidR="006E62EF" w:rsidRPr="00E00607">
        <w:rPr>
          <w:rFonts w:asciiTheme="minorHAnsi" w:hAnsiTheme="minorHAnsi" w:cs="Calibri"/>
        </w:rPr>
        <w:t xml:space="preserve">of </w:t>
      </w:r>
      <w:r w:rsidR="00942035" w:rsidRPr="00E00607">
        <w:rPr>
          <w:rFonts w:asciiTheme="minorHAnsi" w:hAnsiTheme="minorHAnsi" w:cs="Calibri"/>
        </w:rPr>
        <w:t>1 July 20</w:t>
      </w:r>
      <w:r w:rsidR="007515AA" w:rsidRPr="00E00607">
        <w:rPr>
          <w:rFonts w:asciiTheme="minorHAnsi" w:hAnsiTheme="minorHAnsi" w:cs="Calibri"/>
        </w:rPr>
        <w:t>23</w:t>
      </w:r>
      <w:r w:rsidR="00942035" w:rsidRPr="00E00607">
        <w:rPr>
          <w:rFonts w:asciiTheme="minorHAnsi" w:hAnsiTheme="minorHAnsi" w:cs="Calibri"/>
        </w:rPr>
        <w:t xml:space="preserve"> to 30 June 202</w:t>
      </w:r>
      <w:r w:rsidR="007515AA" w:rsidRPr="00E00607">
        <w:rPr>
          <w:rFonts w:asciiTheme="minorHAnsi" w:hAnsiTheme="minorHAnsi" w:cs="Calibri"/>
        </w:rPr>
        <w:t>8</w:t>
      </w:r>
      <w:r w:rsidR="00942035" w:rsidRPr="00E00607">
        <w:rPr>
          <w:rFonts w:asciiTheme="minorHAnsi" w:hAnsiTheme="minorHAnsi" w:cs="Calibri"/>
        </w:rPr>
        <w:t>.</w:t>
      </w:r>
    </w:p>
    <w:p w14:paraId="1B55EA87" w14:textId="77777777" w:rsidR="003A4758" w:rsidRPr="0007681E" w:rsidRDefault="0069771A" w:rsidP="0007681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085C21" w:rsidRPr="0007681E">
        <w:rPr>
          <w:rFonts w:ascii="Arial" w:hAnsi="Arial" w:cs="Arial"/>
          <w:b/>
          <w:bCs/>
        </w:rPr>
        <w:t>Terms of Reference for investigation under s 16</w:t>
      </w:r>
    </w:p>
    <w:p w14:paraId="4A1305DF" w14:textId="77777777" w:rsidR="002349A3" w:rsidRPr="000217E5" w:rsidRDefault="00517E0E" w:rsidP="0007681E">
      <w:pPr>
        <w:numPr>
          <w:ilvl w:val="0"/>
          <w:numId w:val="9"/>
        </w:numPr>
        <w:tabs>
          <w:tab w:val="clear" w:pos="720"/>
        </w:tabs>
        <w:spacing w:before="120" w:after="100" w:line="280" w:lineRule="atLeast"/>
        <w:ind w:left="851" w:hanging="426"/>
        <w:rPr>
          <w:rFonts w:asciiTheme="minorHAnsi" w:hAnsiTheme="minorHAnsi"/>
        </w:rPr>
      </w:pPr>
      <w:r w:rsidRPr="000217E5">
        <w:rPr>
          <w:rFonts w:asciiTheme="minorHAnsi" w:hAnsiTheme="minorHAnsi"/>
        </w:rPr>
        <w:t xml:space="preserve">The Commission </w:t>
      </w:r>
      <w:r w:rsidR="004D0668" w:rsidRPr="000217E5">
        <w:rPr>
          <w:rFonts w:asciiTheme="minorHAnsi" w:hAnsiTheme="minorHAnsi"/>
        </w:rPr>
        <w:t>must</w:t>
      </w:r>
      <w:r w:rsidR="002C7ECF" w:rsidRPr="000217E5">
        <w:rPr>
          <w:rFonts w:asciiTheme="minorHAnsi" w:hAnsiTheme="minorHAnsi"/>
        </w:rPr>
        <w:t xml:space="preserve"> consider: </w:t>
      </w:r>
    </w:p>
    <w:p w14:paraId="56D52B21" w14:textId="77777777" w:rsidR="00CA097A" w:rsidRPr="000217E5" w:rsidRDefault="0065644F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A097A" w:rsidRPr="000217E5">
        <w:rPr>
          <w:rFonts w:asciiTheme="minorHAnsi" w:hAnsiTheme="minorHAnsi"/>
        </w:rPr>
        <w:t>he</w:t>
      </w:r>
      <w:r>
        <w:rPr>
          <w:rFonts w:asciiTheme="minorHAnsi" w:hAnsiTheme="minorHAnsi"/>
        </w:rPr>
        <w:t xml:space="preserve"> </w:t>
      </w:r>
      <w:r w:rsidR="00CA097A" w:rsidRPr="000217E5">
        <w:rPr>
          <w:rFonts w:asciiTheme="minorHAnsi" w:hAnsiTheme="minorHAnsi"/>
        </w:rPr>
        <w:t xml:space="preserve">objectives of </w:t>
      </w:r>
      <w:r w:rsidR="00CA097A" w:rsidRPr="0058097F">
        <w:rPr>
          <w:rFonts w:asciiTheme="minorHAnsi" w:hAnsiTheme="minorHAnsi"/>
        </w:rPr>
        <w:t>the Commission out</w:t>
      </w:r>
      <w:r w:rsidR="00CA097A" w:rsidRPr="000217E5">
        <w:rPr>
          <w:rFonts w:asciiTheme="minorHAnsi" w:hAnsiTheme="minorHAnsi"/>
        </w:rPr>
        <w:t xml:space="preserve">lined within </w:t>
      </w:r>
      <w:r w:rsidR="002C1355">
        <w:rPr>
          <w:rFonts w:asciiTheme="minorHAnsi" w:hAnsiTheme="minorHAnsi"/>
        </w:rPr>
        <w:t>s</w:t>
      </w:r>
      <w:r w:rsidR="00CA097A" w:rsidRPr="000217E5">
        <w:rPr>
          <w:rFonts w:asciiTheme="minorHAnsi" w:hAnsiTheme="minorHAnsi"/>
        </w:rPr>
        <w:t>ection 7 of the Act;</w:t>
      </w:r>
    </w:p>
    <w:p w14:paraId="4AE47923" w14:textId="77777777" w:rsidR="00CA097A" w:rsidRPr="000217E5" w:rsidRDefault="00CA097A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 w:rsidRPr="000217E5">
        <w:rPr>
          <w:rFonts w:asciiTheme="minorHAnsi" w:hAnsiTheme="minorHAnsi"/>
        </w:rPr>
        <w:t xml:space="preserve">the objective related to price directions outlined in </w:t>
      </w:r>
      <w:r w:rsidR="002C1355">
        <w:rPr>
          <w:rFonts w:asciiTheme="minorHAnsi" w:hAnsiTheme="minorHAnsi"/>
        </w:rPr>
        <w:t>s</w:t>
      </w:r>
      <w:r w:rsidRPr="000217E5">
        <w:rPr>
          <w:rFonts w:asciiTheme="minorHAnsi" w:hAnsiTheme="minorHAnsi"/>
        </w:rPr>
        <w:t xml:space="preserve">ection 19L of the Act; </w:t>
      </w:r>
    </w:p>
    <w:p w14:paraId="3A081FFD" w14:textId="77777777" w:rsidR="00CA097A" w:rsidRPr="000217E5" w:rsidRDefault="00CA097A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 w:rsidRPr="000217E5">
        <w:rPr>
          <w:rFonts w:asciiTheme="minorHAnsi" w:hAnsiTheme="minorHAnsi"/>
        </w:rPr>
        <w:t xml:space="preserve">the legislative requirements outlined in </w:t>
      </w:r>
      <w:r w:rsidR="002C1355">
        <w:rPr>
          <w:rFonts w:asciiTheme="minorHAnsi" w:hAnsiTheme="minorHAnsi"/>
        </w:rPr>
        <w:t>s</w:t>
      </w:r>
      <w:r w:rsidRPr="000217E5">
        <w:rPr>
          <w:rFonts w:asciiTheme="minorHAnsi" w:hAnsiTheme="minorHAnsi"/>
        </w:rPr>
        <w:t>ection 20</w:t>
      </w:r>
      <w:r w:rsidR="009668A7">
        <w:rPr>
          <w:rFonts w:asciiTheme="minorHAnsi" w:hAnsiTheme="minorHAnsi"/>
        </w:rPr>
        <w:t xml:space="preserve"> </w:t>
      </w:r>
      <w:r w:rsidR="00017FC8" w:rsidRPr="000217E5">
        <w:rPr>
          <w:rFonts w:asciiTheme="minorHAnsi" w:hAnsiTheme="minorHAnsi"/>
        </w:rPr>
        <w:t>(2)</w:t>
      </w:r>
      <w:r w:rsidRPr="000217E5">
        <w:rPr>
          <w:rFonts w:asciiTheme="minorHAnsi" w:hAnsiTheme="minorHAnsi"/>
        </w:rPr>
        <w:t xml:space="preserve"> of the Act; </w:t>
      </w:r>
    </w:p>
    <w:p w14:paraId="64BFF271" w14:textId="77777777" w:rsidR="00CA097A" w:rsidRPr="000217E5" w:rsidRDefault="00CA097A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 w:rsidRPr="000217E5">
        <w:rPr>
          <w:rFonts w:asciiTheme="minorHAnsi" w:hAnsiTheme="minorHAnsi"/>
        </w:rPr>
        <w:t xml:space="preserve">the policies of the ACT Government as they relate to </w:t>
      </w:r>
      <w:r w:rsidR="00E13D64">
        <w:rPr>
          <w:rFonts w:asciiTheme="minorHAnsi" w:hAnsiTheme="minorHAnsi"/>
        </w:rPr>
        <w:t>the supply and use of water and sewerage services</w:t>
      </w:r>
      <w:r w:rsidRPr="000217E5">
        <w:rPr>
          <w:rFonts w:asciiTheme="minorHAnsi" w:hAnsiTheme="minorHAnsi"/>
        </w:rPr>
        <w:t xml:space="preserve">, including the </w:t>
      </w:r>
      <w:r w:rsidRPr="000217E5">
        <w:rPr>
          <w:rFonts w:asciiTheme="minorHAnsi" w:hAnsiTheme="minorHAnsi"/>
          <w:i/>
        </w:rPr>
        <w:t>ACT Water Strategy - Striking the Balance 2014-2044</w:t>
      </w:r>
      <w:r w:rsidRPr="000217E5">
        <w:rPr>
          <w:rFonts w:asciiTheme="minorHAnsi" w:hAnsiTheme="minorHAnsi"/>
        </w:rPr>
        <w:t xml:space="preserve">; </w:t>
      </w:r>
    </w:p>
    <w:p w14:paraId="32C4C878" w14:textId="77777777" w:rsidR="00B66BC0" w:rsidRPr="000217E5" w:rsidRDefault="005604E8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B66BC0">
        <w:rPr>
          <w:rFonts w:asciiTheme="minorHAnsi" w:hAnsiTheme="minorHAnsi"/>
        </w:rPr>
        <w:t>N</w:t>
      </w:r>
      <w:r w:rsidR="00B66BC0" w:rsidRPr="000217E5">
        <w:rPr>
          <w:rFonts w:asciiTheme="minorHAnsi" w:hAnsiTheme="minorHAnsi"/>
        </w:rPr>
        <w:t xml:space="preserve">ational </w:t>
      </w:r>
      <w:r w:rsidR="00B66BC0">
        <w:rPr>
          <w:rFonts w:asciiTheme="minorHAnsi" w:hAnsiTheme="minorHAnsi"/>
        </w:rPr>
        <w:t>W</w:t>
      </w:r>
      <w:r w:rsidR="00B66BC0" w:rsidRPr="000217E5">
        <w:rPr>
          <w:rFonts w:asciiTheme="minorHAnsi" w:hAnsiTheme="minorHAnsi"/>
        </w:rPr>
        <w:t xml:space="preserve">ater </w:t>
      </w:r>
      <w:r w:rsidR="00B66BC0">
        <w:rPr>
          <w:rFonts w:asciiTheme="minorHAnsi" w:hAnsiTheme="minorHAnsi"/>
        </w:rPr>
        <w:t>I</w:t>
      </w:r>
      <w:r w:rsidR="00B66BC0" w:rsidRPr="000217E5">
        <w:rPr>
          <w:rFonts w:asciiTheme="minorHAnsi" w:hAnsiTheme="minorHAnsi"/>
        </w:rPr>
        <w:t>nitiative,</w:t>
      </w:r>
      <w:r w:rsidR="00B66BC0">
        <w:rPr>
          <w:rFonts w:asciiTheme="minorHAnsi" w:hAnsiTheme="minorHAnsi"/>
        </w:rPr>
        <w:t xml:space="preserve"> Murray-Darling Basin Plan commitments and associated</w:t>
      </w:r>
      <w:r w:rsidR="00B66BC0" w:rsidRPr="000217E5">
        <w:rPr>
          <w:rFonts w:asciiTheme="minorHAnsi" w:hAnsiTheme="minorHAnsi"/>
        </w:rPr>
        <w:t xml:space="preserve"> policies and agreements; and</w:t>
      </w:r>
    </w:p>
    <w:p w14:paraId="424B8141" w14:textId="77777777" w:rsidR="00BD61C7" w:rsidRDefault="00BD61C7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 w:rsidRPr="000217E5">
        <w:rPr>
          <w:rFonts w:asciiTheme="minorHAnsi" w:hAnsiTheme="minorHAnsi"/>
        </w:rPr>
        <w:lastRenderedPageBreak/>
        <w:t xml:space="preserve">any other matters </w:t>
      </w:r>
      <w:r w:rsidR="00017FC8" w:rsidRPr="000217E5">
        <w:rPr>
          <w:rFonts w:asciiTheme="minorHAnsi" w:hAnsiTheme="minorHAnsi"/>
        </w:rPr>
        <w:t xml:space="preserve">considered to be </w:t>
      </w:r>
      <w:r w:rsidRPr="000217E5">
        <w:rPr>
          <w:rFonts w:asciiTheme="minorHAnsi" w:hAnsiTheme="minorHAnsi"/>
        </w:rPr>
        <w:t xml:space="preserve">directly relevant to the pricing investigation. </w:t>
      </w:r>
    </w:p>
    <w:p w14:paraId="65AA7666" w14:textId="77777777" w:rsidR="00B97CA7" w:rsidRPr="00F620A0" w:rsidRDefault="00B97CA7" w:rsidP="0007681E">
      <w:pPr>
        <w:keepNext/>
        <w:numPr>
          <w:ilvl w:val="0"/>
          <w:numId w:val="9"/>
        </w:numPr>
        <w:tabs>
          <w:tab w:val="clear" w:pos="720"/>
        </w:tabs>
        <w:spacing w:before="120" w:after="100" w:line="280" w:lineRule="atLeast"/>
        <w:ind w:left="851" w:hanging="426"/>
        <w:rPr>
          <w:rFonts w:asciiTheme="minorHAnsi" w:hAnsiTheme="minorHAnsi"/>
        </w:rPr>
      </w:pPr>
      <w:r w:rsidRPr="00F620A0">
        <w:rPr>
          <w:rFonts w:asciiTheme="minorHAnsi" w:hAnsiTheme="minorHAnsi"/>
        </w:rPr>
        <w:t>The Commission should</w:t>
      </w:r>
      <w:r w:rsidR="006E62EF">
        <w:rPr>
          <w:rFonts w:asciiTheme="minorHAnsi" w:hAnsiTheme="minorHAnsi"/>
        </w:rPr>
        <w:t xml:space="preserve"> consider</w:t>
      </w:r>
      <w:r w:rsidRPr="00F620A0">
        <w:rPr>
          <w:rFonts w:asciiTheme="minorHAnsi" w:hAnsiTheme="minorHAnsi"/>
        </w:rPr>
        <w:t>:</w:t>
      </w:r>
    </w:p>
    <w:p w14:paraId="578D1473" w14:textId="77777777" w:rsidR="00822AB3" w:rsidRPr="00215A73" w:rsidRDefault="005E3765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 w:rsidRPr="00215A73">
        <w:rPr>
          <w:rFonts w:asciiTheme="minorHAnsi" w:hAnsiTheme="minorHAnsi"/>
        </w:rPr>
        <w:t xml:space="preserve">continuing to </w:t>
      </w:r>
      <w:r w:rsidR="005604E8" w:rsidRPr="00215A73">
        <w:rPr>
          <w:rFonts w:asciiTheme="minorHAnsi" w:hAnsiTheme="minorHAnsi"/>
        </w:rPr>
        <w:t xml:space="preserve">use </w:t>
      </w:r>
      <w:r w:rsidR="00BD61C7" w:rsidRPr="00215A73">
        <w:rPr>
          <w:rFonts w:asciiTheme="minorHAnsi" w:hAnsiTheme="minorHAnsi"/>
        </w:rPr>
        <w:t xml:space="preserve">the </w:t>
      </w:r>
      <w:r w:rsidR="00343875" w:rsidRPr="00215A73">
        <w:rPr>
          <w:rFonts w:asciiTheme="minorHAnsi" w:hAnsiTheme="minorHAnsi"/>
        </w:rPr>
        <w:t>current regulatory</w:t>
      </w:r>
      <w:r w:rsidR="003870C5" w:rsidRPr="00215A73">
        <w:rPr>
          <w:rFonts w:asciiTheme="minorHAnsi" w:hAnsiTheme="minorHAnsi"/>
        </w:rPr>
        <w:t xml:space="preserve"> model</w:t>
      </w:r>
      <w:r w:rsidR="00343875" w:rsidRPr="00215A73">
        <w:rPr>
          <w:rFonts w:asciiTheme="minorHAnsi" w:hAnsiTheme="minorHAnsi"/>
        </w:rPr>
        <w:t xml:space="preserve">, </w:t>
      </w:r>
      <w:r w:rsidR="00723915" w:rsidRPr="00215A73">
        <w:rPr>
          <w:rFonts w:asciiTheme="minorHAnsi" w:hAnsiTheme="minorHAnsi"/>
        </w:rPr>
        <w:t>and</w:t>
      </w:r>
      <w:r w:rsidR="00B66BC0" w:rsidRPr="00215A73">
        <w:rPr>
          <w:rFonts w:asciiTheme="minorHAnsi" w:hAnsiTheme="minorHAnsi"/>
        </w:rPr>
        <w:t>, where identified, implement</w:t>
      </w:r>
      <w:r w:rsidR="00723915" w:rsidRPr="00215A73">
        <w:rPr>
          <w:rFonts w:asciiTheme="minorHAnsi" w:hAnsiTheme="minorHAnsi"/>
        </w:rPr>
        <w:t xml:space="preserve"> improve</w:t>
      </w:r>
      <w:r w:rsidR="00B66BC0" w:rsidRPr="00215A73">
        <w:rPr>
          <w:rFonts w:asciiTheme="minorHAnsi" w:hAnsiTheme="minorHAnsi"/>
        </w:rPr>
        <w:t>ments</w:t>
      </w:r>
      <w:r w:rsidR="006658C6" w:rsidRPr="00215A73">
        <w:rPr>
          <w:rFonts w:asciiTheme="minorHAnsi" w:hAnsiTheme="minorHAnsi"/>
        </w:rPr>
        <w:t xml:space="preserve"> </w:t>
      </w:r>
      <w:r w:rsidR="00B66BC0" w:rsidRPr="00215A73">
        <w:rPr>
          <w:rFonts w:asciiTheme="minorHAnsi" w:hAnsiTheme="minorHAnsi"/>
        </w:rPr>
        <w:t xml:space="preserve">to </w:t>
      </w:r>
      <w:r w:rsidR="006658C6" w:rsidRPr="00215A73">
        <w:rPr>
          <w:rFonts w:asciiTheme="minorHAnsi" w:hAnsiTheme="minorHAnsi"/>
        </w:rPr>
        <w:t>aspects</w:t>
      </w:r>
      <w:r w:rsidR="000D7B72" w:rsidRPr="00215A73">
        <w:rPr>
          <w:rFonts w:asciiTheme="minorHAnsi" w:hAnsiTheme="minorHAnsi"/>
        </w:rPr>
        <w:t xml:space="preserve"> of the methodology</w:t>
      </w:r>
      <w:r w:rsidR="00AC13F4">
        <w:rPr>
          <w:rFonts w:asciiTheme="minorHAnsi" w:hAnsiTheme="minorHAnsi"/>
        </w:rPr>
        <w:t>,</w:t>
      </w:r>
      <w:r w:rsidR="00A33E18">
        <w:rPr>
          <w:rFonts w:asciiTheme="minorHAnsi" w:hAnsiTheme="minorHAnsi"/>
        </w:rPr>
        <w:t xml:space="preserve"> </w:t>
      </w:r>
      <w:r w:rsidR="00A33E18" w:rsidRPr="00DC1EAC">
        <w:rPr>
          <w:rFonts w:asciiTheme="minorHAnsi" w:hAnsiTheme="minorHAnsi"/>
        </w:rPr>
        <w:t xml:space="preserve">including </w:t>
      </w:r>
      <w:r w:rsidR="00AC13F4">
        <w:rPr>
          <w:rFonts w:asciiTheme="minorHAnsi" w:hAnsiTheme="minorHAnsi"/>
        </w:rPr>
        <w:t>improvements identified in reviews undertaken in accordance with</w:t>
      </w:r>
      <w:r w:rsidR="00FC72BE">
        <w:rPr>
          <w:rFonts w:asciiTheme="minorHAnsi" w:hAnsiTheme="minorHAnsi"/>
        </w:rPr>
        <w:t xml:space="preserve"> the reset principles in </w:t>
      </w:r>
      <w:r w:rsidR="00671347">
        <w:rPr>
          <w:rFonts w:asciiTheme="minorHAnsi" w:hAnsiTheme="minorHAnsi"/>
        </w:rPr>
        <w:t xml:space="preserve">clause 13 of the </w:t>
      </w:r>
      <w:r w:rsidR="00671347" w:rsidRPr="0007681E">
        <w:rPr>
          <w:rFonts w:asciiTheme="minorHAnsi" w:hAnsiTheme="minorHAnsi"/>
        </w:rPr>
        <w:t>Price Direction for Regulated Water and Sewerage Services 1 July 2018 to 30 June 2023</w:t>
      </w:r>
      <w:r w:rsidR="00177702" w:rsidRPr="00215A73">
        <w:rPr>
          <w:rFonts w:asciiTheme="minorHAnsi" w:hAnsiTheme="minorHAnsi"/>
        </w:rPr>
        <w:t>;</w:t>
      </w:r>
      <w:r w:rsidR="00761CEF" w:rsidRPr="00215A73">
        <w:rPr>
          <w:rFonts w:asciiTheme="minorHAnsi" w:hAnsiTheme="minorHAnsi"/>
        </w:rPr>
        <w:t xml:space="preserve"> </w:t>
      </w:r>
      <w:r w:rsidR="00215A73" w:rsidRPr="00215A73">
        <w:rPr>
          <w:rFonts w:asciiTheme="minorHAnsi" w:hAnsiTheme="minorHAnsi"/>
        </w:rPr>
        <w:t>and</w:t>
      </w:r>
    </w:p>
    <w:p w14:paraId="5A56611C" w14:textId="77777777" w:rsidR="00A351D7" w:rsidRPr="00215A73" w:rsidRDefault="00AC13F4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 w:rsidRPr="00215A73">
        <w:rPr>
          <w:rFonts w:asciiTheme="minorHAnsi" w:hAnsiTheme="minorHAnsi"/>
        </w:rPr>
        <w:t>minimising the potential for significant price fluctuations</w:t>
      </w:r>
      <w:r w:rsidRPr="00AC13F4">
        <w:rPr>
          <w:rFonts w:asciiTheme="minorHAnsi" w:hAnsiTheme="minorHAnsi"/>
        </w:rPr>
        <w:t xml:space="preserve"> </w:t>
      </w:r>
      <w:r w:rsidRPr="00215A73">
        <w:rPr>
          <w:rFonts w:asciiTheme="minorHAnsi" w:hAnsiTheme="minorHAnsi"/>
        </w:rPr>
        <w:t xml:space="preserve">during the regulatory period, while </w:t>
      </w:r>
      <w:r w:rsidR="00A351D7" w:rsidRPr="00215A73">
        <w:rPr>
          <w:rFonts w:asciiTheme="minorHAnsi" w:hAnsiTheme="minorHAnsi"/>
        </w:rPr>
        <w:t>ensur</w:t>
      </w:r>
      <w:r>
        <w:rPr>
          <w:rFonts w:asciiTheme="minorHAnsi" w:hAnsiTheme="minorHAnsi"/>
        </w:rPr>
        <w:t>ing</w:t>
      </w:r>
      <w:r w:rsidR="00A351D7" w:rsidRPr="00215A73">
        <w:rPr>
          <w:rFonts w:asciiTheme="minorHAnsi" w:hAnsiTheme="minorHAnsi"/>
        </w:rPr>
        <w:t xml:space="preserve"> the recovery of the</w:t>
      </w:r>
      <w:r w:rsidR="00B66BC0" w:rsidRPr="00215A73">
        <w:rPr>
          <w:rFonts w:asciiTheme="minorHAnsi" w:hAnsiTheme="minorHAnsi"/>
        </w:rPr>
        <w:t xml:space="preserve"> prudent and</w:t>
      </w:r>
      <w:r w:rsidR="00A351D7" w:rsidRPr="00215A73">
        <w:rPr>
          <w:rFonts w:asciiTheme="minorHAnsi" w:hAnsiTheme="minorHAnsi"/>
        </w:rPr>
        <w:t xml:space="preserve"> efficient costs of Icon Water Limited</w:t>
      </w:r>
      <w:r w:rsidR="00215A73" w:rsidRPr="00215A73">
        <w:rPr>
          <w:rFonts w:asciiTheme="minorHAnsi" w:hAnsiTheme="minorHAnsi"/>
        </w:rPr>
        <w:t>.</w:t>
      </w:r>
    </w:p>
    <w:p w14:paraId="3ED84723" w14:textId="77777777" w:rsidR="00C6681E" w:rsidRPr="003C5BAE" w:rsidRDefault="00513084" w:rsidP="0007681E">
      <w:pPr>
        <w:numPr>
          <w:ilvl w:val="0"/>
          <w:numId w:val="9"/>
        </w:numPr>
        <w:tabs>
          <w:tab w:val="clear" w:pos="720"/>
        </w:tabs>
        <w:spacing w:before="120" w:after="100" w:line="280" w:lineRule="atLeast"/>
        <w:ind w:left="851" w:hanging="426"/>
        <w:rPr>
          <w:rFonts w:asciiTheme="minorHAnsi" w:hAnsiTheme="minorHAnsi"/>
        </w:rPr>
      </w:pPr>
      <w:r>
        <w:rPr>
          <w:rFonts w:asciiTheme="minorHAnsi" w:hAnsiTheme="minorHAnsi"/>
        </w:rPr>
        <w:t>As part of its investigation, t</w:t>
      </w:r>
      <w:r w:rsidR="00C6681E" w:rsidRPr="003C5BAE">
        <w:rPr>
          <w:rFonts w:asciiTheme="minorHAnsi" w:hAnsiTheme="minorHAnsi"/>
        </w:rPr>
        <w:t>he Commission should</w:t>
      </w:r>
      <w:r>
        <w:rPr>
          <w:rFonts w:asciiTheme="minorHAnsi" w:hAnsiTheme="minorHAnsi"/>
        </w:rPr>
        <w:t xml:space="preserve"> </w:t>
      </w:r>
      <w:r w:rsidR="00177702" w:rsidRPr="003C5BAE">
        <w:rPr>
          <w:rFonts w:asciiTheme="minorHAnsi" w:hAnsiTheme="minorHAnsi"/>
        </w:rPr>
        <w:t>outline its intended approach to achieving its various regulatory objectives within its decision making process</w:t>
      </w:r>
      <w:r w:rsidR="009713CD">
        <w:rPr>
          <w:rFonts w:asciiTheme="minorHAnsi" w:hAnsiTheme="minorHAnsi"/>
        </w:rPr>
        <w:t>.</w:t>
      </w:r>
    </w:p>
    <w:p w14:paraId="0A2DED00" w14:textId="77777777" w:rsidR="00F4401E" w:rsidRPr="009E6997" w:rsidRDefault="00DA030D" w:rsidP="0007681E">
      <w:pPr>
        <w:numPr>
          <w:ilvl w:val="0"/>
          <w:numId w:val="9"/>
        </w:numPr>
        <w:tabs>
          <w:tab w:val="clear" w:pos="720"/>
        </w:tabs>
        <w:spacing w:before="120" w:after="100" w:line="280" w:lineRule="atLeast"/>
        <w:ind w:left="851" w:hanging="426"/>
        <w:rPr>
          <w:rFonts w:asciiTheme="minorHAnsi" w:hAnsiTheme="minorHAnsi"/>
        </w:rPr>
      </w:pPr>
      <w:r w:rsidRPr="009E6997">
        <w:rPr>
          <w:rFonts w:asciiTheme="minorHAnsi" w:hAnsiTheme="minorHAnsi"/>
        </w:rPr>
        <w:t xml:space="preserve">The Commission </w:t>
      </w:r>
      <w:r w:rsidR="00C33ED2" w:rsidRPr="009E6997">
        <w:rPr>
          <w:rFonts w:asciiTheme="minorHAnsi" w:hAnsiTheme="minorHAnsi"/>
        </w:rPr>
        <w:t>should</w:t>
      </w:r>
      <w:r w:rsidR="00D6537A">
        <w:rPr>
          <w:rFonts w:asciiTheme="minorHAnsi" w:hAnsiTheme="minorHAnsi"/>
        </w:rPr>
        <w:t xml:space="preserve"> identify, </w:t>
      </w:r>
      <w:r w:rsidRPr="009E6997">
        <w:rPr>
          <w:rFonts w:asciiTheme="minorHAnsi" w:hAnsiTheme="minorHAnsi"/>
        </w:rPr>
        <w:t xml:space="preserve">in </w:t>
      </w:r>
      <w:r w:rsidR="00AD2194" w:rsidRPr="009E6997">
        <w:rPr>
          <w:rFonts w:asciiTheme="minorHAnsi" w:hAnsiTheme="minorHAnsi"/>
        </w:rPr>
        <w:t>the</w:t>
      </w:r>
      <w:r w:rsidR="00343875" w:rsidRPr="009E6997">
        <w:rPr>
          <w:rFonts w:asciiTheme="minorHAnsi" w:hAnsiTheme="minorHAnsi"/>
        </w:rPr>
        <w:t xml:space="preserve"> draft and</w:t>
      </w:r>
      <w:r w:rsidRPr="009E6997">
        <w:rPr>
          <w:rFonts w:asciiTheme="minorHAnsi" w:hAnsiTheme="minorHAnsi"/>
        </w:rPr>
        <w:t xml:space="preserve"> final report</w:t>
      </w:r>
      <w:r w:rsidR="00343875" w:rsidRPr="009E6997">
        <w:rPr>
          <w:rFonts w:asciiTheme="minorHAnsi" w:hAnsiTheme="minorHAnsi"/>
        </w:rPr>
        <w:t>s of the investigation</w:t>
      </w:r>
      <w:r w:rsidRPr="009E6997">
        <w:rPr>
          <w:rFonts w:asciiTheme="minorHAnsi" w:hAnsiTheme="minorHAnsi"/>
        </w:rPr>
        <w:t>, the incremental impact on prices associated with</w:t>
      </w:r>
      <w:r w:rsidR="00F4401E" w:rsidRPr="009E6997">
        <w:rPr>
          <w:rFonts w:asciiTheme="minorHAnsi" w:hAnsiTheme="minorHAnsi"/>
        </w:rPr>
        <w:t>:</w:t>
      </w:r>
    </w:p>
    <w:p w14:paraId="1EE9BFF7" w14:textId="77777777" w:rsidR="00F4401E" w:rsidRPr="009E6997" w:rsidRDefault="009E6997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</w:t>
      </w:r>
      <w:r w:rsidR="00DA030D" w:rsidRPr="009E6997">
        <w:rPr>
          <w:rFonts w:asciiTheme="minorHAnsi" w:hAnsiTheme="minorHAnsi"/>
        </w:rPr>
        <w:t>changes</w:t>
      </w:r>
      <w:r w:rsidRPr="009E6997">
        <w:rPr>
          <w:rFonts w:asciiTheme="minorHAnsi" w:hAnsiTheme="minorHAnsi"/>
        </w:rPr>
        <w:t xml:space="preserve"> to</w:t>
      </w:r>
      <w:r w:rsidR="00DA030D" w:rsidRPr="009E6997">
        <w:rPr>
          <w:rFonts w:asciiTheme="minorHAnsi" w:hAnsiTheme="minorHAnsi"/>
        </w:rPr>
        <w:t xml:space="preserve"> the total </w:t>
      </w:r>
      <w:r w:rsidR="000217E5" w:rsidRPr="009E6997">
        <w:rPr>
          <w:rFonts w:asciiTheme="minorHAnsi" w:hAnsiTheme="minorHAnsi"/>
        </w:rPr>
        <w:t xml:space="preserve">allowed revenue for </w:t>
      </w:r>
      <w:r w:rsidR="00DA030D" w:rsidRPr="009E6997">
        <w:rPr>
          <w:rFonts w:asciiTheme="minorHAnsi" w:hAnsiTheme="minorHAnsi"/>
        </w:rPr>
        <w:t>Icon Water</w:t>
      </w:r>
      <w:r w:rsidR="009A085E">
        <w:rPr>
          <w:rFonts w:asciiTheme="minorHAnsi" w:hAnsiTheme="minorHAnsi"/>
        </w:rPr>
        <w:t xml:space="preserve"> </w:t>
      </w:r>
      <w:r w:rsidR="006E62EF">
        <w:rPr>
          <w:rFonts w:asciiTheme="minorHAnsi" w:hAnsiTheme="minorHAnsi"/>
        </w:rPr>
        <w:t>Limited</w:t>
      </w:r>
      <w:r w:rsidR="00F4401E" w:rsidRPr="009E6997">
        <w:rPr>
          <w:rFonts w:asciiTheme="minorHAnsi" w:hAnsiTheme="minorHAnsi"/>
        </w:rPr>
        <w:t>;</w:t>
      </w:r>
    </w:p>
    <w:p w14:paraId="08762B98" w14:textId="77777777" w:rsidR="00F4401E" w:rsidRPr="009E6997" w:rsidRDefault="00B848FA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 w:rsidRPr="009E6997">
        <w:rPr>
          <w:rFonts w:asciiTheme="minorHAnsi" w:hAnsiTheme="minorHAnsi"/>
        </w:rPr>
        <w:t xml:space="preserve">any </w:t>
      </w:r>
      <w:r w:rsidR="00F4401E" w:rsidRPr="009E6997">
        <w:rPr>
          <w:rFonts w:asciiTheme="minorHAnsi" w:hAnsiTheme="minorHAnsi"/>
        </w:rPr>
        <w:t xml:space="preserve">changes </w:t>
      </w:r>
      <w:r w:rsidRPr="009E6997">
        <w:rPr>
          <w:rFonts w:asciiTheme="minorHAnsi" w:hAnsiTheme="minorHAnsi"/>
        </w:rPr>
        <w:t xml:space="preserve">to the </w:t>
      </w:r>
      <w:r w:rsidR="00F4401E" w:rsidRPr="009E6997">
        <w:rPr>
          <w:rFonts w:asciiTheme="minorHAnsi" w:hAnsiTheme="minorHAnsi"/>
        </w:rPr>
        <w:t>water demand forecasts</w:t>
      </w:r>
      <w:r w:rsidR="00B66BC0">
        <w:rPr>
          <w:rFonts w:asciiTheme="minorHAnsi" w:hAnsiTheme="minorHAnsi"/>
        </w:rPr>
        <w:t xml:space="preserve"> used</w:t>
      </w:r>
      <w:r w:rsidR="00F4401E" w:rsidRPr="009E6997">
        <w:rPr>
          <w:rFonts w:asciiTheme="minorHAnsi" w:hAnsiTheme="minorHAnsi"/>
        </w:rPr>
        <w:t xml:space="preserve"> </w:t>
      </w:r>
      <w:r w:rsidR="00B66BC0">
        <w:rPr>
          <w:rFonts w:asciiTheme="minorHAnsi" w:hAnsiTheme="minorHAnsi"/>
        </w:rPr>
        <w:t>in</w:t>
      </w:r>
      <w:r w:rsidR="00B66BC0" w:rsidRPr="009E6997">
        <w:rPr>
          <w:rFonts w:asciiTheme="minorHAnsi" w:hAnsiTheme="minorHAnsi"/>
        </w:rPr>
        <w:t xml:space="preserve"> </w:t>
      </w:r>
      <w:r w:rsidR="00F4401E" w:rsidRPr="009E6997">
        <w:rPr>
          <w:rFonts w:asciiTheme="minorHAnsi" w:hAnsiTheme="minorHAnsi"/>
        </w:rPr>
        <w:t>the regulatory model; and</w:t>
      </w:r>
    </w:p>
    <w:p w14:paraId="387316EC" w14:textId="77777777" w:rsidR="00665706" w:rsidRPr="009E6997" w:rsidRDefault="00016A60" w:rsidP="0007681E">
      <w:pPr>
        <w:numPr>
          <w:ilvl w:val="1"/>
          <w:numId w:val="9"/>
        </w:numPr>
        <w:tabs>
          <w:tab w:val="clear" w:pos="928"/>
        </w:tabs>
        <w:spacing w:before="120" w:after="100" w:line="280" w:lineRule="atLeast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changes </w:t>
      </w:r>
      <w:r w:rsidR="009E6997">
        <w:rPr>
          <w:rFonts w:asciiTheme="minorHAnsi" w:hAnsiTheme="minorHAnsi"/>
        </w:rPr>
        <w:t>to the structure</w:t>
      </w:r>
      <w:r w:rsidR="00F4401E" w:rsidRPr="009E6997">
        <w:rPr>
          <w:rFonts w:asciiTheme="minorHAnsi" w:hAnsiTheme="minorHAnsi"/>
        </w:rPr>
        <w:t xml:space="preserve"> of Icon Water</w:t>
      </w:r>
      <w:r w:rsidR="006E62EF">
        <w:rPr>
          <w:rFonts w:asciiTheme="minorHAnsi" w:hAnsiTheme="minorHAnsi"/>
        </w:rPr>
        <w:t xml:space="preserve"> Limited</w:t>
      </w:r>
      <w:r w:rsidR="00F4401E" w:rsidRPr="009E6997">
        <w:rPr>
          <w:rFonts w:asciiTheme="minorHAnsi" w:hAnsiTheme="minorHAnsi"/>
        </w:rPr>
        <w:t>’s regulated water and sewerage services tariffs.</w:t>
      </w:r>
    </w:p>
    <w:p w14:paraId="3243381F" w14:textId="77777777" w:rsidR="00CA6155" w:rsidRPr="00DD6705" w:rsidRDefault="00CA6155" w:rsidP="0007681E">
      <w:pPr>
        <w:numPr>
          <w:ilvl w:val="0"/>
          <w:numId w:val="9"/>
        </w:numPr>
        <w:tabs>
          <w:tab w:val="clear" w:pos="720"/>
        </w:tabs>
        <w:spacing w:before="120" w:after="100" w:line="280" w:lineRule="atLeast"/>
        <w:ind w:left="851" w:hanging="426"/>
        <w:rPr>
          <w:rFonts w:asciiTheme="minorHAnsi" w:hAnsiTheme="minorHAnsi"/>
        </w:rPr>
      </w:pPr>
      <w:r w:rsidRPr="00DD6705">
        <w:rPr>
          <w:rFonts w:asciiTheme="minorHAnsi" w:hAnsiTheme="minorHAnsi"/>
        </w:rPr>
        <w:t>I</w:t>
      </w:r>
      <w:r w:rsidRPr="000217E5">
        <w:rPr>
          <w:rFonts w:asciiTheme="minorHAnsi" w:hAnsiTheme="minorHAnsi"/>
        </w:rPr>
        <w:t>n accordance with subsection 16</w:t>
      </w:r>
      <w:r w:rsidR="009668A7">
        <w:rPr>
          <w:rFonts w:asciiTheme="minorHAnsi" w:hAnsiTheme="minorHAnsi"/>
        </w:rPr>
        <w:t xml:space="preserve"> </w:t>
      </w:r>
      <w:r w:rsidRPr="000217E5">
        <w:rPr>
          <w:rFonts w:asciiTheme="minorHAnsi" w:hAnsiTheme="minorHAnsi"/>
        </w:rPr>
        <w:t>(2)</w:t>
      </w:r>
      <w:r w:rsidR="009668A7">
        <w:rPr>
          <w:rFonts w:asciiTheme="minorHAnsi" w:hAnsiTheme="minorHAnsi"/>
        </w:rPr>
        <w:t xml:space="preserve"> </w:t>
      </w:r>
      <w:r w:rsidRPr="000217E5">
        <w:rPr>
          <w:rFonts w:asciiTheme="minorHAnsi" w:hAnsiTheme="minorHAnsi"/>
        </w:rPr>
        <w:t>(d)</w:t>
      </w:r>
      <w:r w:rsidR="00A53F3C">
        <w:rPr>
          <w:rFonts w:asciiTheme="minorHAnsi" w:hAnsiTheme="minorHAnsi"/>
        </w:rPr>
        <w:t xml:space="preserve"> of the Act</w:t>
      </w:r>
      <w:r w:rsidRPr="000217E5">
        <w:rPr>
          <w:rFonts w:asciiTheme="minorHAnsi" w:hAnsiTheme="minorHAnsi"/>
        </w:rPr>
        <w:t xml:space="preserve">, </w:t>
      </w:r>
      <w:r w:rsidR="00BE015C" w:rsidRPr="000217E5">
        <w:rPr>
          <w:rFonts w:asciiTheme="minorHAnsi" w:hAnsiTheme="minorHAnsi"/>
        </w:rPr>
        <w:t xml:space="preserve">the Commission must make available </w:t>
      </w:r>
      <w:r w:rsidR="005910ED" w:rsidRPr="000217E5">
        <w:rPr>
          <w:rFonts w:asciiTheme="minorHAnsi" w:hAnsiTheme="minorHAnsi"/>
        </w:rPr>
        <w:t xml:space="preserve">a draft report </w:t>
      </w:r>
      <w:r w:rsidR="00BE015C" w:rsidRPr="000217E5">
        <w:rPr>
          <w:rFonts w:asciiTheme="minorHAnsi" w:hAnsiTheme="minorHAnsi"/>
        </w:rPr>
        <w:t>for public inspection</w:t>
      </w:r>
      <w:r w:rsidRPr="000217E5">
        <w:rPr>
          <w:rFonts w:asciiTheme="minorHAnsi" w:hAnsiTheme="minorHAnsi"/>
        </w:rPr>
        <w:t xml:space="preserve"> </w:t>
      </w:r>
      <w:r w:rsidR="002C7ECF" w:rsidRPr="000217E5">
        <w:rPr>
          <w:rFonts w:asciiTheme="minorHAnsi" w:hAnsiTheme="minorHAnsi"/>
        </w:rPr>
        <w:t>within the p</w:t>
      </w:r>
      <w:r w:rsidR="00F422A5">
        <w:rPr>
          <w:rFonts w:asciiTheme="minorHAnsi" w:hAnsiTheme="minorHAnsi"/>
        </w:rPr>
        <w:t xml:space="preserve">eriod of </w:t>
      </w:r>
      <w:r w:rsidR="00F422A5">
        <w:rPr>
          <w:rFonts w:asciiTheme="minorHAnsi" w:hAnsiTheme="minorHAnsi"/>
        </w:rPr>
        <w:br/>
      </w:r>
      <w:r w:rsidR="00A53F3C" w:rsidRPr="00DD6705">
        <w:rPr>
          <w:rFonts w:asciiTheme="minorHAnsi" w:hAnsiTheme="minorHAnsi"/>
        </w:rPr>
        <w:t>1 September 20</w:t>
      </w:r>
      <w:r w:rsidR="001B2F2D" w:rsidRPr="00DD6705">
        <w:rPr>
          <w:rFonts w:asciiTheme="minorHAnsi" w:hAnsiTheme="minorHAnsi"/>
        </w:rPr>
        <w:t>22</w:t>
      </w:r>
      <w:r w:rsidR="00A53F3C" w:rsidRPr="00DD6705">
        <w:rPr>
          <w:rFonts w:asciiTheme="minorHAnsi" w:hAnsiTheme="minorHAnsi"/>
        </w:rPr>
        <w:t xml:space="preserve"> to </w:t>
      </w:r>
      <w:r w:rsidR="00E27066" w:rsidRPr="00DD6705">
        <w:rPr>
          <w:rFonts w:asciiTheme="minorHAnsi" w:hAnsiTheme="minorHAnsi"/>
        </w:rPr>
        <w:t>12</w:t>
      </w:r>
      <w:r w:rsidR="002C7ECF" w:rsidRPr="00DD6705">
        <w:rPr>
          <w:rFonts w:asciiTheme="minorHAnsi" w:hAnsiTheme="minorHAnsi"/>
        </w:rPr>
        <w:t xml:space="preserve"> December 20</w:t>
      </w:r>
      <w:r w:rsidR="001B2F2D" w:rsidRPr="00DD6705">
        <w:rPr>
          <w:rFonts w:asciiTheme="minorHAnsi" w:hAnsiTheme="minorHAnsi"/>
        </w:rPr>
        <w:t>22</w:t>
      </w:r>
      <w:r w:rsidR="002C7ECF" w:rsidRPr="00DD6705">
        <w:rPr>
          <w:rFonts w:asciiTheme="minorHAnsi" w:hAnsiTheme="minorHAnsi"/>
        </w:rPr>
        <w:t>.</w:t>
      </w:r>
    </w:p>
    <w:p w14:paraId="57CCD5AD" w14:textId="77777777" w:rsidR="002E0ADF" w:rsidRPr="00DD6705" w:rsidRDefault="00AD37BA" w:rsidP="0007681E">
      <w:pPr>
        <w:numPr>
          <w:ilvl w:val="0"/>
          <w:numId w:val="9"/>
        </w:numPr>
        <w:tabs>
          <w:tab w:val="clear" w:pos="720"/>
        </w:tabs>
        <w:spacing w:before="120" w:after="100" w:line="280" w:lineRule="atLeast"/>
        <w:ind w:left="851" w:hanging="426"/>
        <w:rPr>
          <w:rFonts w:asciiTheme="minorHAnsi" w:hAnsiTheme="minorHAnsi"/>
        </w:rPr>
      </w:pPr>
      <w:r w:rsidRPr="00DD6705">
        <w:rPr>
          <w:rFonts w:asciiTheme="minorHAnsi" w:hAnsiTheme="minorHAnsi"/>
        </w:rPr>
        <w:t>In accordance with subsection 16</w:t>
      </w:r>
      <w:r w:rsidR="009668A7">
        <w:rPr>
          <w:rFonts w:asciiTheme="minorHAnsi" w:hAnsiTheme="minorHAnsi"/>
        </w:rPr>
        <w:t xml:space="preserve"> </w:t>
      </w:r>
      <w:r w:rsidRPr="00DD6705">
        <w:rPr>
          <w:rFonts w:asciiTheme="minorHAnsi" w:hAnsiTheme="minorHAnsi"/>
        </w:rPr>
        <w:t>(2)</w:t>
      </w:r>
      <w:r w:rsidR="009668A7">
        <w:rPr>
          <w:rFonts w:asciiTheme="minorHAnsi" w:hAnsiTheme="minorHAnsi"/>
        </w:rPr>
        <w:t xml:space="preserve"> </w:t>
      </w:r>
      <w:r w:rsidRPr="00DD6705">
        <w:rPr>
          <w:rFonts w:asciiTheme="minorHAnsi" w:hAnsiTheme="minorHAnsi"/>
        </w:rPr>
        <w:t>(a)</w:t>
      </w:r>
      <w:r w:rsidR="00A53F3C" w:rsidRPr="00DD6705">
        <w:rPr>
          <w:rFonts w:asciiTheme="minorHAnsi" w:hAnsiTheme="minorHAnsi"/>
        </w:rPr>
        <w:t xml:space="preserve"> of the Act</w:t>
      </w:r>
      <w:r w:rsidRPr="00DD6705">
        <w:rPr>
          <w:rFonts w:asciiTheme="minorHAnsi" w:hAnsiTheme="minorHAnsi"/>
        </w:rPr>
        <w:t>, t</w:t>
      </w:r>
      <w:r w:rsidR="004367AA" w:rsidRPr="00DD6705">
        <w:rPr>
          <w:rFonts w:asciiTheme="minorHAnsi" w:hAnsiTheme="minorHAnsi"/>
        </w:rPr>
        <w:t xml:space="preserve">he Commission must </w:t>
      </w:r>
      <w:r w:rsidRPr="00DD6705">
        <w:rPr>
          <w:rFonts w:asciiTheme="minorHAnsi" w:hAnsiTheme="minorHAnsi"/>
        </w:rPr>
        <w:t xml:space="preserve">submit </w:t>
      </w:r>
      <w:r w:rsidR="004367AA" w:rsidRPr="00DD6705">
        <w:rPr>
          <w:rFonts w:asciiTheme="minorHAnsi" w:hAnsiTheme="minorHAnsi"/>
        </w:rPr>
        <w:t>its fin</w:t>
      </w:r>
      <w:r w:rsidRPr="00DD6705">
        <w:rPr>
          <w:rFonts w:asciiTheme="minorHAnsi" w:hAnsiTheme="minorHAnsi"/>
        </w:rPr>
        <w:t xml:space="preserve">al report to the referring authority within the period of </w:t>
      </w:r>
      <w:r w:rsidR="004367AA" w:rsidRPr="00DD6705">
        <w:rPr>
          <w:rFonts w:asciiTheme="minorHAnsi" w:hAnsiTheme="minorHAnsi"/>
        </w:rPr>
        <w:t>1</w:t>
      </w:r>
      <w:r w:rsidR="002C0DDE">
        <w:rPr>
          <w:rFonts w:asciiTheme="minorHAnsi" w:hAnsiTheme="minorHAnsi"/>
        </w:rPr>
        <w:t> </w:t>
      </w:r>
      <w:r w:rsidR="00BE015C" w:rsidRPr="00DD6705">
        <w:rPr>
          <w:rFonts w:asciiTheme="minorHAnsi" w:hAnsiTheme="minorHAnsi"/>
        </w:rPr>
        <w:t>March</w:t>
      </w:r>
      <w:r w:rsidR="004367AA" w:rsidRPr="00DD6705">
        <w:rPr>
          <w:rFonts w:asciiTheme="minorHAnsi" w:hAnsiTheme="minorHAnsi"/>
        </w:rPr>
        <w:t xml:space="preserve"> 20</w:t>
      </w:r>
      <w:r w:rsidR="001B2F2D" w:rsidRPr="00DD6705">
        <w:rPr>
          <w:rFonts w:asciiTheme="minorHAnsi" w:hAnsiTheme="minorHAnsi"/>
        </w:rPr>
        <w:t>23</w:t>
      </w:r>
      <w:r w:rsidR="004367AA" w:rsidRPr="00DD6705">
        <w:rPr>
          <w:rFonts w:asciiTheme="minorHAnsi" w:hAnsiTheme="minorHAnsi"/>
        </w:rPr>
        <w:t xml:space="preserve"> to 1 May 20</w:t>
      </w:r>
      <w:r w:rsidR="001B2F2D" w:rsidRPr="00DD6705">
        <w:rPr>
          <w:rFonts w:asciiTheme="minorHAnsi" w:hAnsiTheme="minorHAnsi"/>
        </w:rPr>
        <w:t>23</w:t>
      </w:r>
      <w:r w:rsidR="004367AA" w:rsidRPr="00DD6705">
        <w:rPr>
          <w:rFonts w:asciiTheme="minorHAnsi" w:hAnsiTheme="minorHAnsi"/>
        </w:rPr>
        <w:t>.</w:t>
      </w:r>
    </w:p>
    <w:p w14:paraId="682E3492" w14:textId="77777777" w:rsidR="00343875" w:rsidRPr="000217E5" w:rsidRDefault="00343875">
      <w:pPr>
        <w:tabs>
          <w:tab w:val="left" w:pos="4320"/>
        </w:tabs>
        <w:spacing w:before="480"/>
        <w:rPr>
          <w:rFonts w:asciiTheme="minorHAnsi" w:hAnsiTheme="minorHAnsi"/>
          <w:highlight w:val="yellow"/>
        </w:rPr>
      </w:pPr>
    </w:p>
    <w:p w14:paraId="4FA3C65D" w14:textId="77777777" w:rsidR="00CA682D" w:rsidRPr="000217E5" w:rsidRDefault="008A1D89">
      <w:pPr>
        <w:tabs>
          <w:tab w:val="left" w:pos="4320"/>
        </w:tabs>
        <w:spacing w:before="480"/>
        <w:rPr>
          <w:rFonts w:asciiTheme="minorHAnsi" w:hAnsiTheme="minorHAnsi"/>
        </w:rPr>
      </w:pPr>
      <w:r w:rsidRPr="000217E5">
        <w:rPr>
          <w:rFonts w:asciiTheme="minorHAnsi" w:hAnsiTheme="minorHAnsi"/>
        </w:rPr>
        <w:t>Andr</w:t>
      </w:r>
      <w:r w:rsidR="0073106B" w:rsidRPr="000217E5">
        <w:rPr>
          <w:rFonts w:asciiTheme="minorHAnsi" w:hAnsiTheme="minorHAnsi"/>
        </w:rPr>
        <w:t>ew Barr MLA</w:t>
      </w:r>
      <w:r w:rsidR="00CA682D" w:rsidRPr="000217E5">
        <w:rPr>
          <w:rFonts w:asciiTheme="minorHAnsi" w:hAnsiTheme="minorHAnsi"/>
        </w:rPr>
        <w:br/>
      </w:r>
      <w:r w:rsidR="001229EA" w:rsidRPr="000217E5">
        <w:rPr>
          <w:rFonts w:asciiTheme="minorHAnsi" w:hAnsiTheme="minorHAnsi"/>
        </w:rPr>
        <w:t>Treasurer</w:t>
      </w:r>
    </w:p>
    <w:bookmarkEnd w:id="0"/>
    <w:p w14:paraId="58FDCB41" w14:textId="51679926" w:rsidR="004455DD" w:rsidRPr="004367AA" w:rsidRDefault="002672D2">
      <w:pPr>
        <w:tabs>
          <w:tab w:val="left" w:pos="43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9 </w:t>
      </w:r>
      <w:r w:rsidR="000B01A7">
        <w:rPr>
          <w:rFonts w:asciiTheme="minorHAnsi" w:hAnsiTheme="minorHAnsi"/>
        </w:rPr>
        <w:t>December</w:t>
      </w:r>
      <w:r w:rsidR="0058097F">
        <w:rPr>
          <w:rFonts w:asciiTheme="minorHAnsi" w:hAnsiTheme="minorHAnsi"/>
        </w:rPr>
        <w:t xml:space="preserve"> </w:t>
      </w:r>
      <w:r w:rsidR="00665706" w:rsidRPr="000217E5">
        <w:rPr>
          <w:rFonts w:asciiTheme="minorHAnsi" w:hAnsiTheme="minorHAnsi"/>
        </w:rPr>
        <w:t>20</w:t>
      </w:r>
      <w:r w:rsidR="001B2F2D">
        <w:rPr>
          <w:rFonts w:asciiTheme="minorHAnsi" w:hAnsiTheme="minorHAnsi"/>
        </w:rPr>
        <w:t>21</w:t>
      </w:r>
    </w:p>
    <w:sectPr w:rsidR="004455DD" w:rsidRPr="004367AA" w:rsidSect="00DF6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797" w:bottom="567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049D" w14:textId="77777777" w:rsidR="00E00D61" w:rsidRDefault="00E00D61">
      <w:r>
        <w:separator/>
      </w:r>
    </w:p>
  </w:endnote>
  <w:endnote w:type="continuationSeparator" w:id="0">
    <w:p w14:paraId="651CB2A1" w14:textId="77777777" w:rsidR="00E00D61" w:rsidRDefault="00E0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20B2" w14:textId="77777777" w:rsidR="00B52B62" w:rsidRDefault="00B52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19D7" w14:textId="618FD809" w:rsidR="00B52B62" w:rsidRPr="00BC63B1" w:rsidRDefault="00BC63B1" w:rsidP="00BC63B1">
    <w:pPr>
      <w:pStyle w:val="Footer"/>
      <w:jc w:val="center"/>
      <w:rPr>
        <w:rFonts w:cs="Arial"/>
        <w:sz w:val="14"/>
      </w:rPr>
    </w:pPr>
    <w:r w:rsidRPr="00BC63B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9F43" w14:textId="414A7C50" w:rsidR="00B52B62" w:rsidRPr="00BC63B1" w:rsidRDefault="00BC63B1" w:rsidP="00BC63B1">
    <w:pPr>
      <w:pStyle w:val="Footer"/>
      <w:jc w:val="center"/>
      <w:rPr>
        <w:rFonts w:cs="Arial"/>
        <w:sz w:val="14"/>
      </w:rPr>
    </w:pPr>
    <w:r w:rsidRPr="00BC63B1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64EB" w14:textId="77777777" w:rsidR="00E00D61" w:rsidRDefault="00E00D61">
      <w:r>
        <w:separator/>
      </w:r>
    </w:p>
  </w:footnote>
  <w:footnote w:type="continuationSeparator" w:id="0">
    <w:p w14:paraId="0390E6DB" w14:textId="77777777" w:rsidR="00E00D61" w:rsidRDefault="00E0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CFA4" w14:textId="77777777" w:rsidR="00B52B62" w:rsidRDefault="00B52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74E9" w14:textId="77777777" w:rsidR="00B52B62" w:rsidRDefault="00B52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EBCF" w14:textId="77777777" w:rsidR="00B52B62" w:rsidRDefault="00B52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4D38AF"/>
    <w:multiLevelType w:val="multilevel"/>
    <w:tmpl w:val="A86A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2B691DCC"/>
    <w:multiLevelType w:val="hybridMultilevel"/>
    <w:tmpl w:val="9878B0E2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7FF4BEF"/>
    <w:multiLevelType w:val="hybridMultilevel"/>
    <w:tmpl w:val="9FE6C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13190"/>
    <w:rsid w:val="00015794"/>
    <w:rsid w:val="00016A60"/>
    <w:rsid w:val="00017FC8"/>
    <w:rsid w:val="00020355"/>
    <w:rsid w:val="000217E5"/>
    <w:rsid w:val="000310D5"/>
    <w:rsid w:val="000356E6"/>
    <w:rsid w:val="00042016"/>
    <w:rsid w:val="00051262"/>
    <w:rsid w:val="000576D5"/>
    <w:rsid w:val="0007681E"/>
    <w:rsid w:val="00085C21"/>
    <w:rsid w:val="0009342F"/>
    <w:rsid w:val="000A232A"/>
    <w:rsid w:val="000B01A7"/>
    <w:rsid w:val="000D0C93"/>
    <w:rsid w:val="000D59E6"/>
    <w:rsid w:val="000D7B72"/>
    <w:rsid w:val="000E6F36"/>
    <w:rsid w:val="00101CB0"/>
    <w:rsid w:val="001047E6"/>
    <w:rsid w:val="001121CB"/>
    <w:rsid w:val="001171C9"/>
    <w:rsid w:val="001229EA"/>
    <w:rsid w:val="0012475C"/>
    <w:rsid w:val="001504A1"/>
    <w:rsid w:val="00176D7E"/>
    <w:rsid w:val="001775C7"/>
    <w:rsid w:val="00177702"/>
    <w:rsid w:val="001B2F2D"/>
    <w:rsid w:val="001D6602"/>
    <w:rsid w:val="001F7D04"/>
    <w:rsid w:val="00214711"/>
    <w:rsid w:val="002148AD"/>
    <w:rsid w:val="00215A73"/>
    <w:rsid w:val="00217C54"/>
    <w:rsid w:val="002349A3"/>
    <w:rsid w:val="00255C2C"/>
    <w:rsid w:val="002616B5"/>
    <w:rsid w:val="00263B64"/>
    <w:rsid w:val="002672D2"/>
    <w:rsid w:val="00281613"/>
    <w:rsid w:val="00283D66"/>
    <w:rsid w:val="002C0DDE"/>
    <w:rsid w:val="002C1355"/>
    <w:rsid w:val="002C6B49"/>
    <w:rsid w:val="002C7ECF"/>
    <w:rsid w:val="002D4077"/>
    <w:rsid w:val="002E0ADF"/>
    <w:rsid w:val="002E52E2"/>
    <w:rsid w:val="00317018"/>
    <w:rsid w:val="00336748"/>
    <w:rsid w:val="00343875"/>
    <w:rsid w:val="00362CDE"/>
    <w:rsid w:val="00375A98"/>
    <w:rsid w:val="003870C5"/>
    <w:rsid w:val="003A4758"/>
    <w:rsid w:val="003B4D0D"/>
    <w:rsid w:val="003B4F0E"/>
    <w:rsid w:val="003C5249"/>
    <w:rsid w:val="003C5BAE"/>
    <w:rsid w:val="003D3A5C"/>
    <w:rsid w:val="003E1424"/>
    <w:rsid w:val="003F0B73"/>
    <w:rsid w:val="003F3D2B"/>
    <w:rsid w:val="003F3F43"/>
    <w:rsid w:val="003F4A6E"/>
    <w:rsid w:val="00401BCF"/>
    <w:rsid w:val="00435F3F"/>
    <w:rsid w:val="004367AA"/>
    <w:rsid w:val="00437669"/>
    <w:rsid w:val="004447FD"/>
    <w:rsid w:val="004455DD"/>
    <w:rsid w:val="00452409"/>
    <w:rsid w:val="0045266A"/>
    <w:rsid w:val="004540B5"/>
    <w:rsid w:val="00472404"/>
    <w:rsid w:val="00482B96"/>
    <w:rsid w:val="004934B6"/>
    <w:rsid w:val="004A2A27"/>
    <w:rsid w:val="004A6A36"/>
    <w:rsid w:val="004C365D"/>
    <w:rsid w:val="004D0668"/>
    <w:rsid w:val="004D3317"/>
    <w:rsid w:val="004D4D36"/>
    <w:rsid w:val="004F2A86"/>
    <w:rsid w:val="00513084"/>
    <w:rsid w:val="00513A6A"/>
    <w:rsid w:val="00517E0E"/>
    <w:rsid w:val="00531C36"/>
    <w:rsid w:val="005604E8"/>
    <w:rsid w:val="00571822"/>
    <w:rsid w:val="00575A0F"/>
    <w:rsid w:val="0058097F"/>
    <w:rsid w:val="005910ED"/>
    <w:rsid w:val="005C4E09"/>
    <w:rsid w:val="005C7134"/>
    <w:rsid w:val="005D580B"/>
    <w:rsid w:val="005E3765"/>
    <w:rsid w:val="005F5CF1"/>
    <w:rsid w:val="005F7EFE"/>
    <w:rsid w:val="00615E21"/>
    <w:rsid w:val="0062755C"/>
    <w:rsid w:val="00634283"/>
    <w:rsid w:val="00636B13"/>
    <w:rsid w:val="00646F60"/>
    <w:rsid w:val="0065644F"/>
    <w:rsid w:val="0066418D"/>
    <w:rsid w:val="00665706"/>
    <w:rsid w:val="006658C6"/>
    <w:rsid w:val="0066624E"/>
    <w:rsid w:val="00671347"/>
    <w:rsid w:val="00671D41"/>
    <w:rsid w:val="00682833"/>
    <w:rsid w:val="0069771A"/>
    <w:rsid w:val="006B79F1"/>
    <w:rsid w:val="006D5C19"/>
    <w:rsid w:val="006E62EF"/>
    <w:rsid w:val="00715464"/>
    <w:rsid w:val="0071770B"/>
    <w:rsid w:val="007177DF"/>
    <w:rsid w:val="00723915"/>
    <w:rsid w:val="00725FB3"/>
    <w:rsid w:val="0073106B"/>
    <w:rsid w:val="00733A3A"/>
    <w:rsid w:val="007515AA"/>
    <w:rsid w:val="007534BC"/>
    <w:rsid w:val="00761CEF"/>
    <w:rsid w:val="00793AB9"/>
    <w:rsid w:val="007E0818"/>
    <w:rsid w:val="007F224B"/>
    <w:rsid w:val="0080694B"/>
    <w:rsid w:val="00806E31"/>
    <w:rsid w:val="00810992"/>
    <w:rsid w:val="008132C1"/>
    <w:rsid w:val="00822AB3"/>
    <w:rsid w:val="00832B2C"/>
    <w:rsid w:val="0083467A"/>
    <w:rsid w:val="0084060E"/>
    <w:rsid w:val="00856256"/>
    <w:rsid w:val="00866D6E"/>
    <w:rsid w:val="008741F6"/>
    <w:rsid w:val="008A1D89"/>
    <w:rsid w:val="008E70FF"/>
    <w:rsid w:val="008F4B55"/>
    <w:rsid w:val="0090638E"/>
    <w:rsid w:val="009138CD"/>
    <w:rsid w:val="009239A1"/>
    <w:rsid w:val="00935066"/>
    <w:rsid w:val="00940520"/>
    <w:rsid w:val="0094129D"/>
    <w:rsid w:val="00942035"/>
    <w:rsid w:val="009668A7"/>
    <w:rsid w:val="009713CD"/>
    <w:rsid w:val="009928A7"/>
    <w:rsid w:val="00994452"/>
    <w:rsid w:val="009A085E"/>
    <w:rsid w:val="009A3A27"/>
    <w:rsid w:val="009C4B3C"/>
    <w:rsid w:val="009C6615"/>
    <w:rsid w:val="009E6997"/>
    <w:rsid w:val="009F3F9A"/>
    <w:rsid w:val="009F5056"/>
    <w:rsid w:val="00A0149C"/>
    <w:rsid w:val="00A07371"/>
    <w:rsid w:val="00A10694"/>
    <w:rsid w:val="00A11B5C"/>
    <w:rsid w:val="00A16934"/>
    <w:rsid w:val="00A33E18"/>
    <w:rsid w:val="00A351D7"/>
    <w:rsid w:val="00A53F3C"/>
    <w:rsid w:val="00A7040B"/>
    <w:rsid w:val="00AC13F4"/>
    <w:rsid w:val="00AC4DD7"/>
    <w:rsid w:val="00AD2194"/>
    <w:rsid w:val="00AD37BA"/>
    <w:rsid w:val="00AD3D16"/>
    <w:rsid w:val="00AE2307"/>
    <w:rsid w:val="00AF60AA"/>
    <w:rsid w:val="00B17FA4"/>
    <w:rsid w:val="00B457EA"/>
    <w:rsid w:val="00B46BBF"/>
    <w:rsid w:val="00B5180B"/>
    <w:rsid w:val="00B52B62"/>
    <w:rsid w:val="00B5584A"/>
    <w:rsid w:val="00B66BC0"/>
    <w:rsid w:val="00B848FA"/>
    <w:rsid w:val="00B97CA7"/>
    <w:rsid w:val="00BB5057"/>
    <w:rsid w:val="00BC63B1"/>
    <w:rsid w:val="00BD0B67"/>
    <w:rsid w:val="00BD61C7"/>
    <w:rsid w:val="00BE015C"/>
    <w:rsid w:val="00BE7139"/>
    <w:rsid w:val="00C33ED2"/>
    <w:rsid w:val="00C52FEB"/>
    <w:rsid w:val="00C560C3"/>
    <w:rsid w:val="00C6681E"/>
    <w:rsid w:val="00C74CC7"/>
    <w:rsid w:val="00C85BE5"/>
    <w:rsid w:val="00C87588"/>
    <w:rsid w:val="00CA0163"/>
    <w:rsid w:val="00CA097A"/>
    <w:rsid w:val="00CA6155"/>
    <w:rsid w:val="00CA682D"/>
    <w:rsid w:val="00CC7D8E"/>
    <w:rsid w:val="00CD3AD5"/>
    <w:rsid w:val="00CD61F9"/>
    <w:rsid w:val="00D0042E"/>
    <w:rsid w:val="00D132EA"/>
    <w:rsid w:val="00D42D0F"/>
    <w:rsid w:val="00D455AA"/>
    <w:rsid w:val="00D47986"/>
    <w:rsid w:val="00D500F8"/>
    <w:rsid w:val="00D645A1"/>
    <w:rsid w:val="00D6537A"/>
    <w:rsid w:val="00DA030D"/>
    <w:rsid w:val="00DC1EAC"/>
    <w:rsid w:val="00DC56F3"/>
    <w:rsid w:val="00DD6705"/>
    <w:rsid w:val="00DE57B1"/>
    <w:rsid w:val="00DF5D23"/>
    <w:rsid w:val="00DF629D"/>
    <w:rsid w:val="00E00607"/>
    <w:rsid w:val="00E00D61"/>
    <w:rsid w:val="00E13D64"/>
    <w:rsid w:val="00E27066"/>
    <w:rsid w:val="00E356CE"/>
    <w:rsid w:val="00E43F34"/>
    <w:rsid w:val="00E4719D"/>
    <w:rsid w:val="00E63BEA"/>
    <w:rsid w:val="00F14CFC"/>
    <w:rsid w:val="00F31DDD"/>
    <w:rsid w:val="00F422A5"/>
    <w:rsid w:val="00F4401E"/>
    <w:rsid w:val="00F54D1C"/>
    <w:rsid w:val="00F55C94"/>
    <w:rsid w:val="00F620A0"/>
    <w:rsid w:val="00F719E0"/>
    <w:rsid w:val="00F80E1C"/>
    <w:rsid w:val="00F82546"/>
    <w:rsid w:val="00F9276C"/>
    <w:rsid w:val="00FA2983"/>
    <w:rsid w:val="00FC15D2"/>
    <w:rsid w:val="00FC62DD"/>
    <w:rsid w:val="00FC65C4"/>
    <w:rsid w:val="00FC72BE"/>
    <w:rsid w:val="00FE5AF3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DFA2C"/>
  <w14:defaultImageDpi w14:val="0"/>
  <w15:docId w15:val="{4695691A-FE83-4EB7-9D59-37D7A0B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694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694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0694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10694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069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1069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A1069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629D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A1069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1069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1069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10694"/>
    <w:pPr>
      <w:spacing w:before="180" w:after="60"/>
      <w:jc w:val="both"/>
    </w:pPr>
  </w:style>
  <w:style w:type="paragraph" w:customStyle="1" w:styleId="CoverActName">
    <w:name w:val="CoverActName"/>
    <w:basedOn w:val="Normal"/>
    <w:rsid w:val="00A1069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10694"/>
    <w:pPr>
      <w:tabs>
        <w:tab w:val="left" w:pos="2880"/>
      </w:tabs>
    </w:pPr>
  </w:style>
  <w:style w:type="paragraph" w:customStyle="1" w:styleId="Apara">
    <w:name w:val="A para"/>
    <w:basedOn w:val="Normal"/>
    <w:rsid w:val="00A1069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1069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1069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1069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A1069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1069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10694"/>
    <w:rPr>
      <w:rFonts w:cs="Times New Roman"/>
    </w:rPr>
  </w:style>
  <w:style w:type="paragraph" w:customStyle="1" w:styleId="CoverInForce">
    <w:name w:val="CoverInForce"/>
    <w:basedOn w:val="Normal"/>
    <w:rsid w:val="00A1069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1069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1069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A10694"/>
    <w:rPr>
      <w:rFonts w:cs="Times New Roman"/>
    </w:rPr>
  </w:style>
  <w:style w:type="paragraph" w:customStyle="1" w:styleId="Aparabullet">
    <w:name w:val="A para bullet"/>
    <w:basedOn w:val="Normal"/>
    <w:rsid w:val="00A1069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10694"/>
  </w:style>
  <w:style w:type="paragraph" w:styleId="TOC2">
    <w:name w:val="toc 2"/>
    <w:basedOn w:val="Normal"/>
    <w:next w:val="Normal"/>
    <w:autoRedefine/>
    <w:uiPriority w:val="39"/>
    <w:semiHidden/>
    <w:rsid w:val="00A1069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1069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1069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1069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1069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1069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1069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10694"/>
    <w:pPr>
      <w:ind w:left="1920"/>
    </w:pPr>
  </w:style>
  <w:style w:type="character" w:styleId="Hyperlink">
    <w:name w:val="Hyperlink"/>
    <w:basedOn w:val="DefaultParagraphFont"/>
    <w:uiPriority w:val="99"/>
    <w:rsid w:val="00A1069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1069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1069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1069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1069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A1069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1069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069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1069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10694"/>
    <w:rPr>
      <w:rFonts w:cs="Times New Roman"/>
    </w:rPr>
  </w:style>
  <w:style w:type="paragraph" w:customStyle="1" w:styleId="BulletIntro">
    <w:name w:val="BulletIntro"/>
    <w:basedOn w:val="Normal"/>
    <w:next w:val="Normal"/>
    <w:rsid w:val="001229EA"/>
    <w:pPr>
      <w:keepNext/>
      <w:spacing w:after="100" w:line="280" w:lineRule="atLeast"/>
    </w:pPr>
    <w:rPr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31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6657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E37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37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3765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3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E3765"/>
    <w:rPr>
      <w:rFonts w:cs="Times New Roman"/>
      <w:b/>
      <w:bCs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6B4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0261-BF23-4413-B895-1E5D1C56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2681</Characters>
  <Application>Microsoft Office Word</Application>
  <DocSecurity>0</DocSecurity>
  <Lines>65</Lines>
  <Paragraphs>31</Paragraphs>
  <ScaleCrop>false</ScaleCrop>
  <Company>InTACT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2016-11-29T04:19:00Z</cp:lastPrinted>
  <dcterms:created xsi:type="dcterms:W3CDTF">2021-12-10T03:27:00Z</dcterms:created>
  <dcterms:modified xsi:type="dcterms:W3CDTF">2021-12-10T03:27:00Z</dcterms:modified>
</cp:coreProperties>
</file>