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D34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CE439C" w14:textId="160C6486" w:rsidR="00F10CB2" w:rsidRDefault="0009741B">
      <w:pPr>
        <w:pStyle w:val="Billname"/>
        <w:spacing w:before="700"/>
      </w:pPr>
      <w:bookmarkStart w:id="1" w:name="_Hlk79485568"/>
      <w:r>
        <w:t>Radiation Protection</w:t>
      </w:r>
      <w:r w:rsidR="00F10CB2">
        <w:t xml:space="preserve"> (</w:t>
      </w:r>
      <w:r w:rsidR="005F113D">
        <w:t>Radiation Protection Series</w:t>
      </w:r>
      <w:r w:rsidR="00F10CB2">
        <w:t xml:space="preserve">) </w:t>
      </w:r>
      <w:r>
        <w:t>Code</w:t>
      </w:r>
      <w:r w:rsidR="00597592">
        <w:t>s</w:t>
      </w:r>
      <w:r>
        <w:t xml:space="preserve"> of Practice 2021</w:t>
      </w:r>
      <w:r w:rsidR="00E94C71">
        <w:t>*</w:t>
      </w:r>
    </w:p>
    <w:bookmarkEnd w:id="1"/>
    <w:p w14:paraId="3A047D48" w14:textId="61C175E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9741B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0951C3">
        <w:rPr>
          <w:rFonts w:ascii="Arial" w:hAnsi="Arial" w:cs="Arial"/>
          <w:b/>
          <w:bCs/>
        </w:rPr>
        <w:t>284</w:t>
      </w:r>
    </w:p>
    <w:p w14:paraId="5947032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51D541" w14:textId="440A96BA" w:rsidR="00F10CB2" w:rsidRDefault="0009741B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79485580"/>
      <w:r w:rsidRPr="00F35B0E">
        <w:rPr>
          <w:rFonts w:cs="Arial"/>
          <w:i/>
          <w:iCs/>
          <w:sz w:val="20"/>
        </w:rPr>
        <w:t>Radiation Protection Act 2006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F35B0E">
        <w:rPr>
          <w:rFonts w:cs="Arial"/>
          <w:sz w:val="20"/>
        </w:rPr>
        <w:t xml:space="preserve"> 116 (Codes of Practice) </w:t>
      </w:r>
    </w:p>
    <w:bookmarkEnd w:id="2"/>
    <w:p w14:paraId="226ED4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0D7AA0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CA24E8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3931E1" w14:textId="0CEC3212" w:rsidR="0009741B" w:rsidRDefault="00F10CB2" w:rsidP="0009741B">
      <w:pPr>
        <w:spacing w:before="140"/>
        <w:ind w:left="720"/>
      </w:pPr>
      <w:r>
        <w:t>This instrument is the</w:t>
      </w:r>
      <w:r w:rsidR="0009741B">
        <w:t xml:space="preserve"> </w:t>
      </w:r>
      <w:r w:rsidR="0009741B" w:rsidRPr="0009741B">
        <w:rPr>
          <w:i/>
          <w:iCs/>
        </w:rPr>
        <w:t>Radiation Protection (</w:t>
      </w:r>
      <w:r w:rsidR="005F113D">
        <w:rPr>
          <w:i/>
          <w:iCs/>
        </w:rPr>
        <w:t>Radiation Protection Series</w:t>
      </w:r>
      <w:r w:rsidR="0009741B" w:rsidRPr="0009741B">
        <w:rPr>
          <w:i/>
          <w:iCs/>
        </w:rPr>
        <w:t>) Code</w:t>
      </w:r>
      <w:r w:rsidR="00597592">
        <w:rPr>
          <w:i/>
          <w:iCs/>
        </w:rPr>
        <w:t>s</w:t>
      </w:r>
      <w:r w:rsidR="0009741B" w:rsidRPr="0009741B">
        <w:rPr>
          <w:i/>
          <w:iCs/>
        </w:rPr>
        <w:t xml:space="preserve"> of Practice 2021</w:t>
      </w:r>
      <w:r w:rsidR="0009741B">
        <w:rPr>
          <w:i/>
          <w:iCs/>
        </w:rPr>
        <w:t>.</w:t>
      </w:r>
    </w:p>
    <w:p w14:paraId="172F28E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417267" w14:textId="2279EF30" w:rsidR="00F10CB2" w:rsidRDefault="00F10CB2" w:rsidP="00D47F13">
      <w:pPr>
        <w:spacing w:before="140"/>
        <w:ind w:left="720"/>
      </w:pPr>
      <w:r>
        <w:t>This instrument commences on</w:t>
      </w:r>
      <w:r w:rsidR="0009741B">
        <w:t xml:space="preserve"> the day after notification</w:t>
      </w:r>
      <w:r>
        <w:t xml:space="preserve">. </w:t>
      </w:r>
    </w:p>
    <w:p w14:paraId="0F701783" w14:textId="7E9C5632" w:rsidR="00744C3B" w:rsidRDefault="00F10CB2" w:rsidP="00744C3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0613">
        <w:rPr>
          <w:rFonts w:ascii="Arial" w:hAnsi="Arial" w:cs="Arial"/>
          <w:b/>
          <w:bCs/>
        </w:rPr>
        <w:t>Approved c</w:t>
      </w:r>
      <w:r w:rsidR="0009741B">
        <w:rPr>
          <w:rFonts w:ascii="Arial" w:hAnsi="Arial" w:cs="Arial"/>
          <w:b/>
          <w:bCs/>
        </w:rPr>
        <w:t>ode</w:t>
      </w:r>
      <w:r w:rsidR="00597592">
        <w:rPr>
          <w:rFonts w:ascii="Arial" w:hAnsi="Arial" w:cs="Arial"/>
          <w:b/>
          <w:bCs/>
        </w:rPr>
        <w:t>s</w:t>
      </w:r>
      <w:r w:rsidR="0009741B">
        <w:rPr>
          <w:rFonts w:ascii="Arial" w:hAnsi="Arial" w:cs="Arial"/>
          <w:b/>
          <w:bCs/>
        </w:rPr>
        <w:t xml:space="preserve"> of practice</w:t>
      </w:r>
      <w:r w:rsidR="00597592">
        <w:rPr>
          <w:rFonts w:ascii="Arial" w:hAnsi="Arial" w:cs="Arial"/>
          <w:b/>
          <w:bCs/>
        </w:rPr>
        <w:t xml:space="preserve"> and approved standards</w:t>
      </w:r>
    </w:p>
    <w:p w14:paraId="01619BD7" w14:textId="4EF70C76" w:rsidR="0009741B" w:rsidRDefault="001D712B" w:rsidP="0009741B">
      <w:pPr>
        <w:spacing w:before="140"/>
        <w:ind w:left="720"/>
      </w:pPr>
      <w:r>
        <w:t>Pursuant</w:t>
      </w:r>
      <w:r w:rsidR="0009741B">
        <w:t xml:space="preserve"> to </w:t>
      </w:r>
      <w:r w:rsidR="00920613">
        <w:t xml:space="preserve">section 116 of the </w:t>
      </w:r>
      <w:r w:rsidR="00920613" w:rsidRPr="00920613">
        <w:rPr>
          <w:i/>
          <w:iCs/>
        </w:rPr>
        <w:t>Radiation Protection Act 2006,</w:t>
      </w:r>
      <w:r w:rsidR="00920613">
        <w:t xml:space="preserve"> </w:t>
      </w:r>
      <w:r w:rsidR="0009741B" w:rsidRPr="0009741B">
        <w:t xml:space="preserve">I </w:t>
      </w:r>
      <w:r w:rsidR="0009741B">
        <w:t xml:space="preserve">approve </w:t>
      </w:r>
      <w:r>
        <w:t xml:space="preserve">each of </w:t>
      </w:r>
      <w:r w:rsidR="00920613">
        <w:t>the below</w:t>
      </w:r>
      <w:r w:rsidR="0009741B">
        <w:t xml:space="preserve"> </w:t>
      </w:r>
      <w:r w:rsidR="00920613">
        <w:t xml:space="preserve">documents, as published by the Australian Radiation Protection </w:t>
      </w:r>
      <w:r w:rsidR="00597592">
        <w:t>and</w:t>
      </w:r>
      <w:r w:rsidR="00D61E40">
        <w:t xml:space="preserve"> </w:t>
      </w:r>
      <w:r w:rsidR="00920613">
        <w:t xml:space="preserve">Nuclear Safety Agency (ARPANSA), </w:t>
      </w:r>
      <w:r w:rsidR="00B56534">
        <w:t xml:space="preserve">from time to time, </w:t>
      </w:r>
      <w:r w:rsidR="00920613">
        <w:t>to be an approved</w:t>
      </w:r>
      <w:r w:rsidR="0009741B" w:rsidRPr="0009741B">
        <w:t xml:space="preserve"> code of practice</w:t>
      </w:r>
      <w:r w:rsidR="00597592">
        <w:t xml:space="preserve"> or approved standard</w:t>
      </w:r>
      <w:r w:rsidR="00920613">
        <w:t>.</w:t>
      </w:r>
    </w:p>
    <w:p w14:paraId="0F5177EF" w14:textId="45A4C063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744C3B">
        <w:t xml:space="preserve"> C-1</w:t>
      </w:r>
      <w:r w:rsidR="00920613">
        <w:t xml:space="preserve"> </w:t>
      </w:r>
      <w:r>
        <w:t xml:space="preserve">(Rev. 1) </w:t>
      </w:r>
      <w:r w:rsidR="00920613">
        <w:t xml:space="preserve">- </w:t>
      </w:r>
      <w:hyperlink r:id="rId7" w:history="1">
        <w:r w:rsidR="00920613" w:rsidRPr="00920613">
          <w:t xml:space="preserve">Code for Radiation Protection in Planned Exposure Situations </w:t>
        </w:r>
      </w:hyperlink>
    </w:p>
    <w:p w14:paraId="249E53C3" w14:textId="5C756FBA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920613">
        <w:t xml:space="preserve"> C-2 (Rev. 1) - </w:t>
      </w:r>
      <w:hyperlink r:id="rId8" w:history="1">
        <w:r w:rsidR="00920613" w:rsidRPr="00920613">
          <w:t xml:space="preserve">Code for the Safe Transport of Radioactive Material </w:t>
        </w:r>
      </w:hyperlink>
    </w:p>
    <w:p w14:paraId="0DCBDEA4" w14:textId="204C23A4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920613">
        <w:t xml:space="preserve"> C-3 - </w:t>
      </w:r>
      <w:hyperlink r:id="rId9" w:history="1">
        <w:r w:rsidR="00920613" w:rsidRPr="00920613">
          <w:t xml:space="preserve">Code for Disposal Facilities for Solid Radioactive Waste </w:t>
        </w:r>
      </w:hyperlink>
      <w:r w:rsidR="00920613" w:rsidRPr="00920613">
        <w:t xml:space="preserve"> </w:t>
      </w:r>
    </w:p>
    <w:p w14:paraId="7A20C37F" w14:textId="240001BA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920613">
        <w:t xml:space="preserve"> C-4 - </w:t>
      </w:r>
      <w:hyperlink r:id="rId10" w:history="1">
        <w:r w:rsidR="00920613" w:rsidRPr="00920613">
          <w:t xml:space="preserve">Code of Radiation Protection Requirements for Industrial Radiography </w:t>
        </w:r>
      </w:hyperlink>
    </w:p>
    <w:p w14:paraId="4459E8E0" w14:textId="2F4F0A6C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920613">
        <w:t xml:space="preserve"> C-5 - </w:t>
      </w:r>
      <w:hyperlink r:id="rId11" w:history="1">
        <w:r w:rsidR="00920613" w:rsidRPr="00920613">
          <w:t xml:space="preserve">Code for Radiation Protection in Medical Exposure </w:t>
        </w:r>
      </w:hyperlink>
    </w:p>
    <w:p w14:paraId="45D619C4" w14:textId="064FA083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920613" w:rsidRPr="00920613">
        <w:t xml:space="preserve"> C-6 - </w:t>
      </w:r>
      <w:hyperlink r:id="rId12" w:history="1">
        <w:r w:rsidR="00920613" w:rsidRPr="00920613">
          <w:t xml:space="preserve">Code for Disposal of Radioactive Waste by the User </w:t>
        </w:r>
      </w:hyperlink>
    </w:p>
    <w:p w14:paraId="0C8DFD09" w14:textId="37CD7BCF" w:rsidR="00F675B5" w:rsidRPr="00EB45BE" w:rsidRDefault="005F113D" w:rsidP="00F675B5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="00F675B5" w:rsidRPr="00EB45BE">
        <w:t xml:space="preserve"> S-1 - </w:t>
      </w:r>
      <w:hyperlink r:id="rId13" w:history="1">
        <w:r w:rsidR="00F675B5" w:rsidRPr="00EB45BE">
          <w:t xml:space="preserve">Standard for Limiting Exposure to Radiofrequency Fields – 100 </w:t>
        </w:r>
        <w:r w:rsidR="00F675B5">
          <w:t>k</w:t>
        </w:r>
        <w:r w:rsidR="00F675B5" w:rsidRPr="00EB45BE">
          <w:t xml:space="preserve">Hz to 300 GHz (Rev. 1) </w:t>
        </w:r>
      </w:hyperlink>
    </w:p>
    <w:p w14:paraId="7DFACB31" w14:textId="61139335" w:rsidR="00F675B5" w:rsidRPr="00920613" w:rsidRDefault="005F113D" w:rsidP="00F675B5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920613">
        <w:t xml:space="preserve"> </w:t>
      </w:r>
      <w:r w:rsidR="00F675B5" w:rsidRPr="00920613">
        <w:t xml:space="preserve">No. 5 - </w:t>
      </w:r>
      <w:hyperlink r:id="rId14" w:history="1">
        <w:r w:rsidR="00F675B5" w:rsidRPr="00920613">
          <w:t xml:space="preserve">Code of Practice and Safety Guide for Portable Density/Moisture Gauges Containing Radioactive Sources </w:t>
        </w:r>
      </w:hyperlink>
    </w:p>
    <w:p w14:paraId="04118156" w14:textId="47033E62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lastRenderedPageBreak/>
        <w:t>Radiation Protection Series</w:t>
      </w:r>
      <w:r w:rsidRPr="00920613">
        <w:t xml:space="preserve"> </w:t>
      </w:r>
      <w:r w:rsidR="00920613" w:rsidRPr="00920613">
        <w:t xml:space="preserve">No. 8 - </w:t>
      </w:r>
      <w:hyperlink r:id="rId15" w:history="1">
        <w:r w:rsidR="00920613" w:rsidRPr="00920613">
          <w:t xml:space="preserve">Code of Practice for the Exposure of Humans to Ionizing Radiation for Research Purposes </w:t>
        </w:r>
      </w:hyperlink>
    </w:p>
    <w:p w14:paraId="5E766C1E" w14:textId="627CFF2E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920613">
        <w:t xml:space="preserve"> </w:t>
      </w:r>
      <w:r w:rsidR="00920613" w:rsidRPr="00920613">
        <w:t xml:space="preserve">No. 9 - </w:t>
      </w:r>
      <w:hyperlink r:id="rId16" w:history="1">
        <w:r w:rsidR="00920613" w:rsidRPr="00920613">
          <w:t xml:space="preserve">Code of Practice and Safety Guide for Radiation Protection and Radioactive Waste Management in Mining and Mineral Processing </w:t>
        </w:r>
      </w:hyperlink>
    </w:p>
    <w:p w14:paraId="702CDE37" w14:textId="70566FC9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>No. 10</w:t>
      </w:r>
      <w:r w:rsidR="00920613">
        <w:t xml:space="preserve"> </w:t>
      </w:r>
      <w:r w:rsidR="00920613" w:rsidRPr="00920613">
        <w:t xml:space="preserve">- </w:t>
      </w:r>
      <w:hyperlink r:id="rId17" w:history="1">
        <w:r w:rsidR="00920613" w:rsidRPr="00920613">
          <w:t xml:space="preserve">Code of Practice and Safety Guide for Radiation Protection in Dentistry </w:t>
        </w:r>
      </w:hyperlink>
    </w:p>
    <w:p w14:paraId="240550B8" w14:textId="3F0B5753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>No. 11</w:t>
      </w:r>
      <w:r w:rsidR="00920613">
        <w:t xml:space="preserve"> - </w:t>
      </w:r>
      <w:hyperlink r:id="rId18" w:history="1">
        <w:r w:rsidR="00920613" w:rsidRPr="00920613">
          <w:t xml:space="preserve">Code of Practice for the Security of Radioactive Sources </w:t>
        </w:r>
      </w:hyperlink>
    </w:p>
    <w:p w14:paraId="7C70B020" w14:textId="3121D4CF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>No. 12</w:t>
      </w:r>
      <w:r w:rsidR="00920613">
        <w:t xml:space="preserve"> - </w:t>
      </w:r>
      <w:hyperlink r:id="rId19" w:history="1">
        <w:r w:rsidR="00920613" w:rsidRPr="00920613">
          <w:t xml:space="preserve">Radiation Protection Standard for Occupational Exposure to Ultraviolet Radiation </w:t>
        </w:r>
      </w:hyperlink>
    </w:p>
    <w:p w14:paraId="51C4D8A7" w14:textId="79EDD1E0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>No. 13</w:t>
      </w:r>
      <w:r w:rsidR="00920613">
        <w:t xml:space="preserve"> - </w:t>
      </w:r>
      <w:hyperlink r:id="rId20" w:history="1">
        <w:r w:rsidR="00920613" w:rsidRPr="00920613">
          <w:t xml:space="preserve">Code of Practice and Safety Guide for Safe Use of Fixed Radiation Gauges </w:t>
        </w:r>
      </w:hyperlink>
    </w:p>
    <w:p w14:paraId="15FAE8A6" w14:textId="339985EC" w:rsidR="00920613" w:rsidRP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>No. 17</w:t>
      </w:r>
      <w:r w:rsidR="00920613">
        <w:t xml:space="preserve"> - </w:t>
      </w:r>
      <w:hyperlink r:id="rId21" w:history="1">
        <w:r w:rsidR="00920613" w:rsidRPr="00920613">
          <w:t xml:space="preserve">Code of Practice and Safety Guide for Radiation Protection in Veterinary Medicine </w:t>
        </w:r>
      </w:hyperlink>
    </w:p>
    <w:p w14:paraId="040EC0FA" w14:textId="23B378D7" w:rsidR="00920613" w:rsidRDefault="005F113D" w:rsidP="008A0E00">
      <w:pPr>
        <w:pStyle w:val="ListParagraph"/>
        <w:numPr>
          <w:ilvl w:val="0"/>
          <w:numId w:val="12"/>
        </w:numPr>
        <w:spacing w:before="140"/>
        <w:ind w:left="1276" w:hanging="425"/>
        <w:contextualSpacing w:val="0"/>
      </w:pPr>
      <w:r>
        <w:t>Radiation Protection Series</w:t>
      </w:r>
      <w:r w:rsidRPr="00744C3B">
        <w:t xml:space="preserve"> </w:t>
      </w:r>
      <w:r w:rsidR="00920613" w:rsidRPr="00744C3B">
        <w:t xml:space="preserve">No. 19 - </w:t>
      </w:r>
      <w:hyperlink r:id="rId22" w:history="1">
        <w:r w:rsidR="00920613" w:rsidRPr="00920613">
          <w:t xml:space="preserve">Code of Practice for Radiation Protection in the Application of Ionizing Radiation by Chiropractors </w:t>
        </w:r>
      </w:hyperlink>
    </w:p>
    <w:p w14:paraId="2BDA3300" w14:textId="77777777" w:rsidR="00B9602E" w:rsidRPr="00920613" w:rsidRDefault="00B9602E" w:rsidP="00B9602E">
      <w:pPr>
        <w:pStyle w:val="ListParagraph"/>
        <w:spacing w:before="140"/>
        <w:ind w:left="993"/>
      </w:pPr>
    </w:p>
    <w:p w14:paraId="1813348A" w14:textId="372F9C3C" w:rsidR="00B9602E" w:rsidRPr="00B9602E" w:rsidRDefault="00B9602E" w:rsidP="00B9602E">
      <w:pPr>
        <w:pStyle w:val="ListParagraph"/>
        <w:spacing w:before="1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Note:  The above listed Codes of Practice and Standards form the </w:t>
      </w:r>
      <w:r w:rsidR="005F113D">
        <w:rPr>
          <w:i/>
          <w:iCs/>
          <w:sz w:val="18"/>
          <w:szCs w:val="18"/>
        </w:rPr>
        <w:t>Radiation Protection Series</w:t>
      </w:r>
      <w:r>
        <w:rPr>
          <w:i/>
          <w:iCs/>
          <w:sz w:val="18"/>
          <w:szCs w:val="18"/>
        </w:rPr>
        <w:t xml:space="preserve"> as published by the Australian Radiation Protection and Nuclear Safety Agency (ARPANSA). The above documents are freely available from </w:t>
      </w:r>
      <w:hyperlink r:id="rId23" w:history="1">
        <w:r w:rsidRPr="00D75E89">
          <w:rPr>
            <w:rStyle w:val="Hyperlink"/>
            <w:i/>
            <w:iCs/>
            <w:sz w:val="18"/>
            <w:szCs w:val="18"/>
          </w:rPr>
          <w:t>https://www.arpansa.gov.au/</w:t>
        </w:r>
      </w:hyperlink>
    </w:p>
    <w:p w14:paraId="1FDC34F5" w14:textId="3E0335F0" w:rsidR="00920613" w:rsidRPr="00E65ECC" w:rsidRDefault="00920613" w:rsidP="009206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E65ECC">
        <w:rPr>
          <w:rFonts w:ascii="Arial" w:hAnsi="Arial" w:cs="Arial"/>
          <w:b/>
          <w:bCs/>
        </w:rPr>
        <w:t xml:space="preserve">Disapplication of Legislation Act, s 47 (3) and (6) </w:t>
      </w:r>
    </w:p>
    <w:p w14:paraId="4E87F9E0" w14:textId="54792B90" w:rsidR="00920613" w:rsidRDefault="00920613" w:rsidP="00920613">
      <w:pPr>
        <w:spacing w:before="140"/>
        <w:ind w:left="720"/>
      </w:pPr>
      <w:r w:rsidRPr="009F401D">
        <w:t xml:space="preserve">The Legislation Act, s 47 (3) and </w:t>
      </w:r>
      <w:r>
        <w:t>(6) do not apply to the documents</w:t>
      </w:r>
      <w:r w:rsidR="00B9602E">
        <w:t xml:space="preserve"> listed </w:t>
      </w:r>
      <w:r w:rsidR="001D712B">
        <w:t>by</w:t>
      </w:r>
      <w:r w:rsidR="00B9602E">
        <w:t xml:space="preserve"> </w:t>
      </w:r>
      <w:r w:rsidR="00B56534">
        <w:t>Section</w:t>
      </w:r>
      <w:r w:rsidR="00B9602E">
        <w:t xml:space="preserve"> 3 of this instrument</w:t>
      </w:r>
      <w:r>
        <w:t xml:space="preserve">, as </w:t>
      </w:r>
      <w:r w:rsidR="00B56534">
        <w:t>published</w:t>
      </w:r>
      <w:r>
        <w:t xml:space="preserve"> from time to time</w:t>
      </w:r>
      <w:r w:rsidR="00B56534">
        <w:t>.</w:t>
      </w:r>
    </w:p>
    <w:p w14:paraId="4CCFDB3C" w14:textId="47891B3D" w:rsidR="00744C3B" w:rsidRPr="00B9602E" w:rsidRDefault="00920613" w:rsidP="00B9602E">
      <w:pPr>
        <w:pStyle w:val="ListParagraph"/>
        <w:spacing w:before="140"/>
        <w:ind w:left="1701" w:hanging="992"/>
        <w:rPr>
          <w:i/>
          <w:iCs/>
          <w:sz w:val="18"/>
          <w:szCs w:val="18"/>
        </w:rPr>
      </w:pPr>
      <w:r w:rsidRPr="009F401D">
        <w:rPr>
          <w:i/>
          <w:iCs/>
          <w:sz w:val="18"/>
          <w:szCs w:val="18"/>
        </w:rPr>
        <w:t xml:space="preserve">Note  </w:t>
      </w:r>
      <w:r w:rsidRPr="009F401D">
        <w:rPr>
          <w:i/>
          <w:iCs/>
          <w:sz w:val="18"/>
          <w:szCs w:val="18"/>
        </w:rPr>
        <w:tab/>
      </w:r>
      <w:r w:rsidRPr="009F401D">
        <w:rPr>
          <w:sz w:val="18"/>
          <w:szCs w:val="18"/>
        </w:rPr>
        <w:t>The above instruments do not need to be notified under the Legislation Act because s 47 (3) and (6) do not apply (see Legislation Act, s 47 (7)).</w:t>
      </w:r>
      <w:r w:rsidRPr="009F401D">
        <w:rPr>
          <w:i/>
          <w:iCs/>
          <w:sz w:val="18"/>
          <w:szCs w:val="18"/>
        </w:rPr>
        <w:t xml:space="preserve"> </w:t>
      </w:r>
      <w:r w:rsidR="00B9602E">
        <w:rPr>
          <w:i/>
          <w:iCs/>
          <w:sz w:val="18"/>
          <w:szCs w:val="18"/>
        </w:rPr>
        <w:br/>
      </w:r>
    </w:p>
    <w:p w14:paraId="6C57F2CA" w14:textId="050A3163" w:rsidR="00744C3B" w:rsidRDefault="00744C3B" w:rsidP="00D47F13">
      <w:pPr>
        <w:spacing w:before="140"/>
        <w:ind w:left="720"/>
      </w:pPr>
    </w:p>
    <w:p w14:paraId="73155C22" w14:textId="6B192551" w:rsidR="00744C3B" w:rsidRDefault="00744C3B" w:rsidP="00D47F13">
      <w:pPr>
        <w:spacing w:before="140"/>
        <w:ind w:left="720"/>
      </w:pPr>
    </w:p>
    <w:p w14:paraId="16825A0A" w14:textId="554351F5" w:rsidR="00D47F13" w:rsidRDefault="00B9602E" w:rsidP="00232478">
      <w:pPr>
        <w:tabs>
          <w:tab w:val="left" w:pos="4320"/>
        </w:tabs>
        <w:spacing w:before="720"/>
      </w:pPr>
      <w:r>
        <w:t>Rachel Stephen-Smith</w:t>
      </w:r>
    </w:p>
    <w:p w14:paraId="21C4F705" w14:textId="2CDC54EC" w:rsidR="00F10CB2" w:rsidRDefault="00B9602E" w:rsidP="00D47F13">
      <w:pPr>
        <w:tabs>
          <w:tab w:val="left" w:pos="4320"/>
        </w:tabs>
      </w:pPr>
      <w:r>
        <w:t>Minister for Health</w:t>
      </w:r>
    </w:p>
    <w:p w14:paraId="1BB2AE9D" w14:textId="438C60FD" w:rsidR="00FB5AC9" w:rsidRDefault="00FB5AC9" w:rsidP="00D47F13">
      <w:pPr>
        <w:tabs>
          <w:tab w:val="left" w:pos="4320"/>
        </w:tabs>
      </w:pPr>
      <w:r>
        <w:t>13/12/2021</w:t>
      </w:r>
    </w:p>
    <w:bookmarkEnd w:id="0"/>
    <w:p w14:paraId="3C31A3C4" w14:textId="77777777" w:rsidR="00B9602E" w:rsidRDefault="00B9602E"/>
    <w:p w14:paraId="2B5F2F70" w14:textId="58F70820" w:rsidR="00920613" w:rsidRDefault="00920613" w:rsidP="00E142B3"/>
    <w:sectPr w:rsidR="00920613" w:rsidSect="00E94C7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40" w:right="1800" w:bottom="1276" w:left="1800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8CF9" w14:textId="77777777" w:rsidR="00704DC3" w:rsidRDefault="00704DC3" w:rsidP="00F10CB2">
      <w:r>
        <w:separator/>
      </w:r>
    </w:p>
  </w:endnote>
  <w:endnote w:type="continuationSeparator" w:id="0">
    <w:p w14:paraId="03EB6E9C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905" w14:textId="77777777" w:rsidR="00AE3CDE" w:rsidRDefault="00AE3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886" w14:textId="1B6625F9" w:rsidR="00E94C71" w:rsidRPr="00AE3CDE" w:rsidRDefault="00AE3CDE" w:rsidP="00AE3CDE">
    <w:pPr>
      <w:pStyle w:val="Footer"/>
      <w:jc w:val="center"/>
      <w:rPr>
        <w:rFonts w:cs="Arial"/>
        <w:sz w:val="14"/>
        <w:szCs w:val="16"/>
      </w:rPr>
    </w:pPr>
    <w:r w:rsidRPr="00AE3CDE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4624" w14:textId="099F3284" w:rsidR="00704DC3" w:rsidRDefault="00E94C71" w:rsidP="00E94C71">
    <w:pPr>
      <w:pStyle w:val="Footer"/>
      <w:rPr>
        <w:rFonts w:cs="Arial"/>
      </w:rPr>
    </w:pPr>
    <w:r w:rsidRPr="00E94C71">
      <w:rPr>
        <w:rFonts w:cs="Arial"/>
      </w:rPr>
      <w:t>*Name amended under Legislation Act, s 60</w:t>
    </w:r>
  </w:p>
  <w:p w14:paraId="3B61B5D7" w14:textId="2DF7EDAF" w:rsidR="00E94C71" w:rsidRPr="00AE3CDE" w:rsidRDefault="00AE3CDE" w:rsidP="00AE3CDE">
    <w:pPr>
      <w:pStyle w:val="Footer"/>
      <w:jc w:val="center"/>
      <w:rPr>
        <w:rFonts w:cs="Arial"/>
        <w:sz w:val="14"/>
        <w:szCs w:val="16"/>
      </w:rPr>
    </w:pPr>
    <w:r w:rsidRPr="00AE3CD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F7BB" w14:textId="77777777" w:rsidR="00704DC3" w:rsidRDefault="00704DC3" w:rsidP="00F10CB2">
      <w:r>
        <w:separator/>
      </w:r>
    </w:p>
  </w:footnote>
  <w:footnote w:type="continuationSeparator" w:id="0">
    <w:p w14:paraId="6BEAAFBF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2EF" w14:textId="77777777" w:rsidR="00AE3CDE" w:rsidRDefault="00AE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9156" w14:textId="77777777" w:rsidR="00AE3CDE" w:rsidRDefault="00AE3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B31" w14:textId="77777777" w:rsidR="00AE3CDE" w:rsidRDefault="00AE3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1518"/>
    <w:multiLevelType w:val="hybridMultilevel"/>
    <w:tmpl w:val="CF569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6E3BE7"/>
    <w:multiLevelType w:val="hybridMultilevel"/>
    <w:tmpl w:val="22A8FF30"/>
    <w:lvl w:ilvl="0" w:tplc="8E3065F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B5CC5"/>
    <w:multiLevelType w:val="hybridMultilevel"/>
    <w:tmpl w:val="C2C454A4"/>
    <w:lvl w:ilvl="0" w:tplc="76B0B4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951C3"/>
    <w:rsid w:val="0009741B"/>
    <w:rsid w:val="000A1A69"/>
    <w:rsid w:val="000D2D83"/>
    <w:rsid w:val="00164023"/>
    <w:rsid w:val="00194AC7"/>
    <w:rsid w:val="001D712B"/>
    <w:rsid w:val="001E25BF"/>
    <w:rsid w:val="00232478"/>
    <w:rsid w:val="00254892"/>
    <w:rsid w:val="0038423F"/>
    <w:rsid w:val="004660B6"/>
    <w:rsid w:val="0056144B"/>
    <w:rsid w:val="00597592"/>
    <w:rsid w:val="005F113D"/>
    <w:rsid w:val="00614356"/>
    <w:rsid w:val="00615159"/>
    <w:rsid w:val="00627F0C"/>
    <w:rsid w:val="00667281"/>
    <w:rsid w:val="00704DC3"/>
    <w:rsid w:val="0072003E"/>
    <w:rsid w:val="00744C3B"/>
    <w:rsid w:val="007A5A61"/>
    <w:rsid w:val="00807235"/>
    <w:rsid w:val="008A0E00"/>
    <w:rsid w:val="00920613"/>
    <w:rsid w:val="00A0585C"/>
    <w:rsid w:val="00AB7B05"/>
    <w:rsid w:val="00AE3CDE"/>
    <w:rsid w:val="00B26DBA"/>
    <w:rsid w:val="00B30B9A"/>
    <w:rsid w:val="00B5025E"/>
    <w:rsid w:val="00B56534"/>
    <w:rsid w:val="00B9602E"/>
    <w:rsid w:val="00BA4EC6"/>
    <w:rsid w:val="00BA52F5"/>
    <w:rsid w:val="00BB241F"/>
    <w:rsid w:val="00C41B1B"/>
    <w:rsid w:val="00CD4E55"/>
    <w:rsid w:val="00D32EB4"/>
    <w:rsid w:val="00D47F13"/>
    <w:rsid w:val="00D61E40"/>
    <w:rsid w:val="00D67082"/>
    <w:rsid w:val="00E142B3"/>
    <w:rsid w:val="00E556F2"/>
    <w:rsid w:val="00E56980"/>
    <w:rsid w:val="00E94C71"/>
    <w:rsid w:val="00EB45BE"/>
    <w:rsid w:val="00F10CB2"/>
    <w:rsid w:val="00F15AC3"/>
    <w:rsid w:val="00F35B0E"/>
    <w:rsid w:val="00F675B5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F6C1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Emphasis">
    <w:name w:val="Emphasis"/>
    <w:basedOn w:val="DefaultParagraphFont"/>
    <w:uiPriority w:val="20"/>
    <w:qFormat/>
    <w:rsid w:val="00744C3B"/>
    <w:rPr>
      <w:i/>
      <w:iCs/>
    </w:rPr>
  </w:style>
  <w:style w:type="paragraph" w:styleId="ListParagraph">
    <w:name w:val="List Paragraph"/>
    <w:basedOn w:val="Normal"/>
    <w:uiPriority w:val="34"/>
    <w:qFormat/>
    <w:rsid w:val="00744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C3B"/>
    <w:pPr>
      <w:spacing w:before="100" w:beforeAutospacing="1" w:after="100" w:afterAutospacing="1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74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502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1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ansa.gov.au/regulation-and-licensing/regulatory-publications/radiation-protection-series/codes-and-standards/rpsc-2" TargetMode="External"/><Relationship Id="rId13" Type="http://schemas.openxmlformats.org/officeDocument/2006/relationships/hyperlink" Target="https://www.arpansa.gov.au/regulation-and-licensing/regulatory-publications/radiation-protection-series/codes-and-standards/rpss-1" TargetMode="External"/><Relationship Id="rId18" Type="http://schemas.openxmlformats.org/officeDocument/2006/relationships/hyperlink" Target="https://www.arpansa.gov.au/regulation-and-licensing/regulatory-publications/radiation-protection-series/codes-and-standards/rps1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rpansa.gov.au/regulation-and-licensing/regulatory-publications/radiation-protection-series/codes-and-standards/rps17" TargetMode="External"/><Relationship Id="rId7" Type="http://schemas.openxmlformats.org/officeDocument/2006/relationships/hyperlink" Target="https://www.arpansa.gov.au/regulation-and-licensing/regulatory-publications/radiation-protection-series/codes-and-standards/rpsc-1" TargetMode="External"/><Relationship Id="rId12" Type="http://schemas.openxmlformats.org/officeDocument/2006/relationships/hyperlink" Target="https://www.arpansa.gov.au/regulation-and-licensing/regulatory-publications/radiation-protection-series/codes-and-standards/rpsc-6" TargetMode="External"/><Relationship Id="rId17" Type="http://schemas.openxmlformats.org/officeDocument/2006/relationships/hyperlink" Target="https://www.arpansa.gov.au/regulation-and-licensing/regulatory-publications/radiation-protection-series/codes-and-standards/rps1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arpansa.gov.au/regulation-and-licensing/regulatory-publications/radiation-protection-series/codes-and-standards/rps9" TargetMode="External"/><Relationship Id="rId20" Type="http://schemas.openxmlformats.org/officeDocument/2006/relationships/hyperlink" Target="https://www.arpansa.gov.au/regulation-and-licensing/regulatory-publications/radiation-protection-series/codes-and-standards/rps13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pansa.gov.au/regulation-and-licensing/regulatory-publications/radiation-protection-series/codes-and-standards/rpsc-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rpansa.gov.au/regulation-and-licensing/regulatory-publications/radiation-protection-series/codes-and-standards/rps8" TargetMode="External"/><Relationship Id="rId23" Type="http://schemas.openxmlformats.org/officeDocument/2006/relationships/hyperlink" Target="https://www.arpansa.gov.au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rpansa.gov.au/regulation-and-licensing/regulatory-publications/radiation-protection-series/codes-and-standards/rpsc-4" TargetMode="External"/><Relationship Id="rId19" Type="http://schemas.openxmlformats.org/officeDocument/2006/relationships/hyperlink" Target="https://www.arpansa.gov.au/regulation-and-licensing/regulatory-publications/radiation-protection-series/codes-and-standards/rps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pansa.gov.au/regulation-and-licensing/regulatory-publications/radiation-protection-series/codes-and-standards/rpsc3" TargetMode="External"/><Relationship Id="rId14" Type="http://schemas.openxmlformats.org/officeDocument/2006/relationships/hyperlink" Target="https://www.arpansa.gov.au/regulation-and-licensing/regulatory-publications/radiation-protection-series/codes-and-standards/rps5" TargetMode="External"/><Relationship Id="rId22" Type="http://schemas.openxmlformats.org/officeDocument/2006/relationships/hyperlink" Target="https://www.arpansa.gov.au/regulation-and-licensing/regulatory-publications/radiation-protection-series/codes-and-standards/rps1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2716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2021-12-14T22:33:00Z</dcterms:created>
  <dcterms:modified xsi:type="dcterms:W3CDTF">2021-12-14T22:33:00Z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8675291</vt:lpwstr>
  </property>
  <property fmtid="{D5CDD505-2E9C-101B-9397-08002B2CF9AE}" pid="4" name="JMSREQUIREDCHECKIN">
    <vt:lpwstr/>
  </property>
</Properties>
</file>