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181F007A" w:rsidR="00F10CB2" w:rsidRPr="00981063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981063">
        <w:t>Whitlam</w:t>
      </w:r>
      <w:r w:rsidR="00F10CB2">
        <w:t xml:space="preserve">) </w:t>
      </w:r>
      <w:r>
        <w:t>Determination</w:t>
      </w:r>
      <w:r w:rsidR="00B30B9A">
        <w:t xml:space="preserve"> </w:t>
      </w:r>
      <w:r w:rsidR="00981063">
        <w:t>2021</w:t>
      </w:r>
      <w:r w:rsidR="00F10CB2">
        <w:t xml:space="preserve"> (No </w:t>
      </w:r>
      <w:r w:rsidR="00981063">
        <w:t>1</w:t>
      </w:r>
      <w:r w:rsidR="00F10CB2">
        <w:t>)</w:t>
      </w:r>
    </w:p>
    <w:p w14:paraId="621471C0" w14:textId="5154115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81063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55115">
        <w:rPr>
          <w:rFonts w:ascii="Arial" w:hAnsi="Arial" w:cs="Arial"/>
          <w:b/>
          <w:bCs/>
        </w:rPr>
        <w:t>288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0898A0BD" w:rsidR="00F10CB2" w:rsidRDefault="00F10CB2" w:rsidP="00D47F13">
      <w:pPr>
        <w:spacing w:before="140"/>
        <w:ind w:left="720"/>
      </w:pPr>
      <w:r>
        <w:t xml:space="preserve">This instrument is the </w:t>
      </w:r>
      <w:r w:rsidR="00981063">
        <w:rPr>
          <w:i/>
          <w:iCs/>
        </w:rPr>
        <w:t>P</w:t>
      </w:r>
      <w:r w:rsidR="00981063">
        <w:rPr>
          <w:i/>
        </w:rPr>
        <w:t xml:space="preserve">ublic Place Names (Whitlam) Determination 2021 </w:t>
      </w:r>
      <w:r w:rsidR="00AA4284">
        <w:rPr>
          <w:i/>
        </w:rPr>
        <w:t>(</w:t>
      </w:r>
      <w:r w:rsidR="00981063">
        <w:rPr>
          <w:i/>
        </w:rPr>
        <w:t>No</w:t>
      </w:r>
      <w:r w:rsidR="00346981">
        <w:rPr>
          <w:i/>
        </w:rPr>
        <w:t> </w:t>
      </w:r>
      <w:r w:rsidR="00981063">
        <w:rPr>
          <w:i/>
        </w:rPr>
        <w:t>1)</w:t>
      </w:r>
      <w:r w:rsidR="00BB74D6">
        <w:rPr>
          <w:i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981063">
        <w:t xml:space="preserve">after </w:t>
      </w:r>
      <w:r w:rsidR="000C501D" w:rsidRPr="00981063">
        <w:t xml:space="preserve">its </w:t>
      </w:r>
      <w:r w:rsidR="00492788" w:rsidRPr="00981063">
        <w:t>notification</w:t>
      </w:r>
      <w:r w:rsidR="000C501D" w:rsidRPr="00981063">
        <w:t xml:space="preserve"> day</w:t>
      </w:r>
      <w:r w:rsidRPr="00981063">
        <w:t>.</w:t>
      </w:r>
      <w:r>
        <w:t xml:space="preserve"> </w:t>
      </w:r>
    </w:p>
    <w:p w14:paraId="0D5CFC99" w14:textId="03C0D8E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533DB3EE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7B7FFBF7" w14:textId="32D87551" w:rsidR="00F10CB2" w:rsidRPr="008F060D" w:rsidRDefault="001C737C" w:rsidP="00D47F13">
      <w:pPr>
        <w:tabs>
          <w:tab w:val="left" w:pos="4320"/>
        </w:tabs>
        <w:rPr>
          <w:color w:val="FF0000"/>
        </w:rPr>
      </w:pPr>
      <w:r>
        <w:t>Delegate of the Minister</w:t>
      </w:r>
      <w:r w:rsidR="008F060D">
        <w:t xml:space="preserve"> for Planning and Land Management </w:t>
      </w:r>
    </w:p>
    <w:p w14:paraId="209EB7C0" w14:textId="743BB783" w:rsidR="001F1298" w:rsidRDefault="008B59F3" w:rsidP="00232478">
      <w:pPr>
        <w:tabs>
          <w:tab w:val="left" w:pos="4320"/>
        </w:tabs>
      </w:pPr>
      <w:r>
        <w:t xml:space="preserve">14 </w:t>
      </w:r>
      <w:r w:rsidR="00095349">
        <w:t>December 2021</w:t>
      </w:r>
      <w:bookmarkEnd w:id="0"/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615F047F" w14:textId="77777777" w:rsidR="00AA02C9" w:rsidRDefault="00AA02C9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77777777" w:rsidR="008A3808" w:rsidRPr="00894148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89414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62101F50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981063">
        <w:rPr>
          <w:b/>
          <w:bCs/>
          <w:szCs w:val="24"/>
        </w:rPr>
        <w:t xml:space="preserve">Whitlam </w:t>
      </w:r>
      <w:r w:rsidRPr="00AA02C9">
        <w:rPr>
          <w:b/>
          <w:bCs/>
          <w:noProof/>
          <w:szCs w:val="24"/>
        </w:rPr>
        <w:t xml:space="preserve">– </w:t>
      </w:r>
      <w:r w:rsidR="00981063">
        <w:rPr>
          <w:b/>
          <w:bCs/>
          <w:noProof/>
          <w:szCs w:val="24"/>
        </w:rPr>
        <w:t>Arts and culture</w:t>
      </w:r>
    </w:p>
    <w:p w14:paraId="5503FC76" w14:textId="7777777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4678"/>
      </w:tblGrid>
      <w:tr w:rsidR="00AA02C9" w14:paraId="0035353E" w14:textId="77777777" w:rsidTr="0098106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2A039C">
            <w:pPr>
              <w:pStyle w:val="Heading2"/>
              <w:spacing w:before="120" w:after="1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2A039C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98106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482D9E" w14:textId="70CE95D6" w:rsidR="00CE3399" w:rsidRPr="00CE3399" w:rsidRDefault="00981063" w:rsidP="002A039C">
            <w:pPr>
              <w:pStyle w:val="Heading2"/>
              <w:spacing w:before="120" w:after="1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Blue Poles Park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322981" w14:textId="77777777" w:rsidR="00981063" w:rsidRPr="00CE27DD" w:rsidRDefault="00981063" w:rsidP="00981063">
            <w:pPr>
              <w:spacing w:before="120" w:after="120"/>
              <w:rPr>
                <w:color w:val="0A1633"/>
                <w:szCs w:val="24"/>
                <w:shd w:val="clear" w:color="auto" w:fill="FFFFFF"/>
              </w:rPr>
            </w:pPr>
            <w:r w:rsidRPr="00CE27DD">
              <w:rPr>
                <w:rStyle w:val="Emphasis"/>
                <w:color w:val="0A1633"/>
                <w:szCs w:val="24"/>
                <w:bdr w:val="none" w:sz="0" w:space="0" w:color="auto" w:frame="1"/>
                <w:shd w:val="clear" w:color="auto" w:fill="FFFFFF"/>
              </w:rPr>
              <w:t>Blue poles</w:t>
            </w:r>
            <w:r w:rsidRPr="00CE27DD">
              <w:rPr>
                <w:i/>
                <w:iCs/>
                <w:color w:val="0A1633"/>
                <w:szCs w:val="24"/>
                <w:shd w:val="clear" w:color="auto" w:fill="FFFFFF"/>
              </w:rPr>
              <w:t> </w:t>
            </w:r>
            <w:r w:rsidRPr="00CE27DD">
              <w:rPr>
                <w:color w:val="0A1633"/>
                <w:szCs w:val="24"/>
                <w:shd w:val="clear" w:color="auto" w:fill="FFFFFF"/>
              </w:rPr>
              <w:t>(1952)</w:t>
            </w:r>
          </w:p>
          <w:p w14:paraId="300AD2AE" w14:textId="356F0431" w:rsidR="00981063" w:rsidRPr="002929A6" w:rsidRDefault="00981063" w:rsidP="00981063">
            <w:pPr>
              <w:spacing w:before="120" w:after="120"/>
              <w:rPr>
                <w:b/>
                <w:bCs/>
                <w:szCs w:val="24"/>
              </w:rPr>
            </w:pPr>
            <w:r w:rsidRPr="00CE27DD">
              <w:rPr>
                <w:color w:val="0A1633"/>
                <w:szCs w:val="24"/>
                <w:shd w:val="clear" w:color="auto" w:fill="FFFFFF"/>
              </w:rPr>
              <w:t xml:space="preserve">(originally titled, </w:t>
            </w:r>
            <w:r w:rsidRPr="00CE27DD">
              <w:rPr>
                <w:i/>
                <w:iCs/>
                <w:color w:val="222222"/>
                <w:szCs w:val="24"/>
                <w:shd w:val="clear" w:color="auto" w:fill="FFFFFF"/>
              </w:rPr>
              <w:t>Number 11, 1952</w:t>
            </w:r>
            <w:r w:rsidRPr="00CE27DD">
              <w:rPr>
                <w:color w:val="222222"/>
                <w:szCs w:val="24"/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305755" w14:textId="77777777" w:rsidR="00981063" w:rsidRPr="00CE27DD" w:rsidRDefault="00981063" w:rsidP="00981063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bCs/>
              </w:rPr>
            </w:pPr>
            <w:r w:rsidRPr="00CE27DD">
              <w:rPr>
                <w:rFonts w:ascii="Times New Roman" w:hAnsi="Times New Roman"/>
                <w:b w:val="0"/>
                <w:shd w:val="clear" w:color="auto" w:fill="FFFFFF"/>
              </w:rPr>
              <w:t xml:space="preserve">Monumental abstract painting; </w:t>
            </w:r>
            <w:r w:rsidRPr="004D3259">
              <w:rPr>
                <w:rFonts w:ascii="Times New Roman" w:hAnsi="Times New Roman"/>
                <w:b w:val="0"/>
                <w:spacing w:val="-2"/>
                <w:shd w:val="clear" w:color="auto" w:fill="FFFFFF"/>
              </w:rPr>
              <w:t>oil</w:t>
            </w:r>
            <w:r w:rsidRPr="00CE27DD">
              <w:rPr>
                <w:rFonts w:ascii="Times New Roman" w:hAnsi="Times New Roman"/>
                <w:b w:val="0"/>
                <w:color w:val="444444"/>
                <w:spacing w:val="-2"/>
                <w:shd w:val="clear" w:color="auto" w:fill="FFFFFF"/>
              </w:rPr>
              <w:t>,</w:t>
            </w:r>
            <w:r w:rsidRPr="00CE27DD">
              <w:rPr>
                <w:rFonts w:ascii="Times New Roman" w:hAnsi="Times New Roman"/>
                <w:color w:val="444444"/>
                <w:spacing w:val="-2"/>
                <w:shd w:val="clear" w:color="auto" w:fill="FFFFFF"/>
              </w:rPr>
              <w:t> </w:t>
            </w:r>
            <w:r w:rsidRPr="00CE27DD">
              <w:rPr>
                <w:rFonts w:ascii="Times New Roman" w:hAnsi="Times New Roman"/>
                <w:b w:val="0"/>
              </w:rPr>
              <w:t>enamel and aluminium paint with glass on canvas</w:t>
            </w:r>
          </w:p>
          <w:p w14:paraId="3F931F70" w14:textId="77777777" w:rsidR="00981063" w:rsidRPr="00CE27DD" w:rsidRDefault="00981063" w:rsidP="00981063">
            <w:pPr>
              <w:rPr>
                <w:szCs w:val="24"/>
                <w:shd w:val="clear" w:color="auto" w:fill="FFFFFF"/>
              </w:rPr>
            </w:pPr>
            <w:r w:rsidRPr="00CE27DD">
              <w:rPr>
                <w:szCs w:val="24"/>
                <w:shd w:val="clear" w:color="auto" w:fill="FFFFFF"/>
              </w:rPr>
              <w:t>Jackson Pollock’s </w:t>
            </w:r>
            <w:r w:rsidRPr="00CE27DD">
              <w:rPr>
                <w:i/>
                <w:iCs/>
                <w:szCs w:val="24"/>
                <w:shd w:val="clear" w:color="auto" w:fill="FFFFFF"/>
              </w:rPr>
              <w:t>Blue</w:t>
            </w:r>
            <w:r w:rsidRPr="00CE27DD">
              <w:rPr>
                <w:rStyle w:val="Emphasis"/>
                <w:szCs w:val="24"/>
                <w:bdr w:val="none" w:sz="0" w:space="0" w:color="auto" w:frame="1"/>
                <w:shd w:val="clear" w:color="auto" w:fill="FFFFFF"/>
              </w:rPr>
              <w:t xml:space="preserve"> poles</w:t>
            </w:r>
            <w:r w:rsidRPr="00CE27DD">
              <w:rPr>
                <w:szCs w:val="24"/>
                <w:shd w:val="clear" w:color="auto" w:fill="FFFFFF"/>
              </w:rPr>
              <w:t xml:space="preserve"> was acquired for the Australian National Gallery by founding director, James Mollison. The purchase of </w:t>
            </w:r>
            <w:r w:rsidRPr="00CE27DD">
              <w:rPr>
                <w:i/>
                <w:iCs/>
                <w:szCs w:val="24"/>
                <w:shd w:val="clear" w:color="auto" w:fill="FFFFFF"/>
              </w:rPr>
              <w:t>Blue poles</w:t>
            </w:r>
            <w:r w:rsidRPr="00CE27DD">
              <w:rPr>
                <w:szCs w:val="24"/>
                <w:shd w:val="clear" w:color="auto" w:fill="FFFFFF"/>
              </w:rPr>
              <w:t xml:space="preserve"> in 1973 for $1.3 million was approved by Prime Minister Gough Whitlam. </w:t>
            </w:r>
          </w:p>
          <w:p w14:paraId="0A29D113" w14:textId="7F45BD85" w:rsidR="00981063" w:rsidRPr="00CE27DD" w:rsidRDefault="00981063" w:rsidP="00981063">
            <w:pPr>
              <w:rPr>
                <w:color w:val="000000"/>
                <w:szCs w:val="24"/>
              </w:rPr>
            </w:pPr>
            <w:r w:rsidRPr="00CE27DD">
              <w:rPr>
                <w:szCs w:val="24"/>
                <w:shd w:val="clear" w:color="auto" w:fill="FFFFFF"/>
              </w:rPr>
              <w:t xml:space="preserve">Jackson Pollock </w:t>
            </w:r>
            <w:r w:rsidRPr="00CE27DD">
              <w:rPr>
                <w:spacing w:val="-2"/>
                <w:szCs w:val="24"/>
                <w:shd w:val="clear" w:color="auto" w:fill="FFFFFF"/>
              </w:rPr>
              <w:t>(1912–1956)</w:t>
            </w:r>
            <w:r w:rsidRPr="00CE27DD">
              <w:rPr>
                <w:szCs w:val="24"/>
              </w:rPr>
              <w:t xml:space="preserve"> embraced the ‘all-over composition’ technique. The artist p</w:t>
            </w:r>
            <w:r>
              <w:rPr>
                <w:szCs w:val="24"/>
              </w:rPr>
              <w:t>roduced</w:t>
            </w:r>
            <w:r w:rsidRPr="00CE27DD">
              <w:rPr>
                <w:szCs w:val="24"/>
              </w:rPr>
              <w:t xml:space="preserve"> </w:t>
            </w:r>
            <w:r w:rsidRPr="00CE27DD">
              <w:rPr>
                <w:i/>
                <w:iCs/>
                <w:szCs w:val="24"/>
              </w:rPr>
              <w:t>Blue poles</w:t>
            </w:r>
            <w:r w:rsidRPr="00CE27DD">
              <w:rPr>
                <w:szCs w:val="24"/>
              </w:rPr>
              <w:t xml:space="preserve"> by </w:t>
            </w:r>
            <w:r w:rsidRPr="00CE27DD">
              <w:rPr>
                <w:spacing w:val="-2"/>
                <w:szCs w:val="24"/>
                <w:shd w:val="clear" w:color="auto" w:fill="FFFFFF"/>
              </w:rPr>
              <w:t>building successive layers of dripped and poured paint evenly dispersed directly across the canvas</w:t>
            </w:r>
            <w:r w:rsidRPr="00CE27DD">
              <w:rPr>
                <w:szCs w:val="24"/>
              </w:rPr>
              <w:t xml:space="preserve">, </w:t>
            </w:r>
            <w:r w:rsidRPr="00CE27DD">
              <w:rPr>
                <w:color w:val="000000"/>
                <w:szCs w:val="24"/>
              </w:rPr>
              <w:t xml:space="preserve">laid on the floor. In 1950, the American artist reportedly stated, </w:t>
            </w:r>
            <w:r w:rsidRPr="00CE27DD">
              <w:rPr>
                <w:color w:val="000000"/>
                <w:szCs w:val="24"/>
                <w:shd w:val="clear" w:color="auto" w:fill="FFFFFF"/>
              </w:rPr>
              <w:t>“Abstract painting is abstract. It confronts you.” </w:t>
            </w:r>
          </w:p>
          <w:p w14:paraId="376DC143" w14:textId="44555EB1" w:rsidR="00CE3399" w:rsidRDefault="00981063" w:rsidP="00981063">
            <w:pPr>
              <w:rPr>
                <w:szCs w:val="24"/>
              </w:rPr>
            </w:pPr>
            <w:r w:rsidRPr="00CE27DD">
              <w:rPr>
                <w:i/>
                <w:iCs/>
                <w:szCs w:val="24"/>
                <w:shd w:val="clear" w:color="auto" w:fill="FFFFFF"/>
              </w:rPr>
              <w:t>Blue poles</w:t>
            </w:r>
            <w:r w:rsidRPr="00CE27DD">
              <w:rPr>
                <w:szCs w:val="24"/>
                <w:shd w:val="clear" w:color="auto" w:fill="FFFFFF"/>
              </w:rPr>
              <w:t xml:space="preserve"> is rarely removed from public </w:t>
            </w:r>
            <w:r>
              <w:rPr>
                <w:szCs w:val="24"/>
                <w:shd w:val="clear" w:color="auto" w:fill="FFFFFF"/>
              </w:rPr>
              <w:t>display</w:t>
            </w:r>
            <w:r w:rsidRPr="00CE27DD">
              <w:rPr>
                <w:szCs w:val="24"/>
                <w:shd w:val="clear" w:color="auto" w:fill="FFFFFF"/>
              </w:rPr>
              <w:t xml:space="preserve"> in the National Gallery of Australia (NGA). The painting </w:t>
            </w:r>
            <w:r w:rsidRPr="00CE27DD">
              <w:rPr>
                <w:color w:val="000000"/>
                <w:spacing w:val="-2"/>
                <w:szCs w:val="24"/>
              </w:rPr>
              <w:t xml:space="preserve">toured Australia in 1974, </w:t>
            </w:r>
            <w:r w:rsidRPr="00CE27DD">
              <w:rPr>
                <w:szCs w:val="24"/>
                <w:shd w:val="clear" w:color="auto" w:fill="FFFFFF"/>
              </w:rPr>
              <w:t xml:space="preserve">eight years before the official opening of </w:t>
            </w:r>
            <w:r w:rsidR="00AA4284">
              <w:rPr>
                <w:szCs w:val="24"/>
                <w:shd w:val="clear" w:color="auto" w:fill="FFFFFF"/>
              </w:rPr>
              <w:t xml:space="preserve">the </w:t>
            </w:r>
            <w:r w:rsidRPr="00CE27DD">
              <w:rPr>
                <w:szCs w:val="24"/>
                <w:shd w:val="clear" w:color="auto" w:fill="FFFFFF"/>
              </w:rPr>
              <w:t>Australian National Gallery in Canberra</w:t>
            </w:r>
            <w:r w:rsidR="000C2A47">
              <w:rPr>
                <w:szCs w:val="24"/>
                <w:shd w:val="clear" w:color="auto" w:fill="FFFFFF"/>
              </w:rPr>
              <w:t>.</w:t>
            </w:r>
            <w:r w:rsidRPr="00CE27DD">
              <w:rPr>
                <w:szCs w:val="24"/>
                <w:shd w:val="clear" w:color="auto" w:fill="FFFFFF"/>
              </w:rPr>
              <w:t xml:space="preserve">  </w:t>
            </w:r>
            <w:r>
              <w:rPr>
                <w:szCs w:val="24"/>
                <w:shd w:val="clear" w:color="auto" w:fill="FFFFFF"/>
              </w:rPr>
              <w:t>During</w:t>
            </w:r>
            <w:r w:rsidRPr="00CE27DD">
              <w:rPr>
                <w:szCs w:val="24"/>
                <w:shd w:val="clear" w:color="auto" w:fill="FFFFFF"/>
              </w:rPr>
              <w:t xml:space="preserve"> 1998–99, t</w:t>
            </w:r>
            <w:r w:rsidRPr="00CE27DD">
              <w:rPr>
                <w:color w:val="000000"/>
                <w:spacing w:val="-2"/>
                <w:szCs w:val="24"/>
              </w:rPr>
              <w:t xml:space="preserve">he monumental </w:t>
            </w:r>
            <w:r w:rsidRPr="00CE27DD">
              <w:rPr>
                <w:szCs w:val="24"/>
                <w:shd w:val="clear" w:color="auto" w:fill="FFFFFF"/>
              </w:rPr>
              <w:t>work</w:t>
            </w:r>
            <w:r w:rsidRPr="00CE27DD">
              <w:rPr>
                <w:color w:val="000000"/>
                <w:spacing w:val="-2"/>
                <w:szCs w:val="24"/>
              </w:rPr>
              <w:t xml:space="preserve"> was loaned to the Museum of Modern Art in New York and to the Tate in London.  </w:t>
            </w:r>
            <w:r w:rsidR="000C2A47">
              <w:rPr>
                <w:color w:val="000000"/>
                <w:spacing w:val="-2"/>
                <w:szCs w:val="24"/>
              </w:rPr>
              <w:br w:type="textWrapping" w:clear="all"/>
            </w:r>
            <w:r w:rsidRPr="00CE27DD">
              <w:rPr>
                <w:color w:val="000000"/>
                <w:spacing w:val="-2"/>
                <w:szCs w:val="24"/>
              </w:rPr>
              <w:t xml:space="preserve">In 2003, </w:t>
            </w:r>
            <w:r w:rsidRPr="00CE27DD">
              <w:rPr>
                <w:i/>
                <w:iCs/>
                <w:color w:val="000000"/>
                <w:spacing w:val="-2"/>
                <w:szCs w:val="24"/>
              </w:rPr>
              <w:t>Blue poles</w:t>
            </w:r>
            <w:r w:rsidRPr="00CE27DD">
              <w:rPr>
                <w:color w:val="000000"/>
                <w:spacing w:val="-2"/>
                <w:szCs w:val="24"/>
              </w:rPr>
              <w:t xml:space="preserve"> was exhibited in the National Gallery of Victoria to celebrate the 20</w:t>
            </w:r>
            <w:r w:rsidRPr="00CE27DD">
              <w:rPr>
                <w:color w:val="000000"/>
                <w:spacing w:val="-2"/>
                <w:szCs w:val="24"/>
                <w:vertAlign w:val="superscript"/>
              </w:rPr>
              <w:t>th</w:t>
            </w:r>
            <w:r w:rsidRPr="00CE27DD">
              <w:rPr>
                <w:color w:val="000000"/>
                <w:spacing w:val="-2"/>
                <w:szCs w:val="24"/>
              </w:rPr>
              <w:t xml:space="preserve"> anniversary of the NGA and in 2016, included in the ‘Abstract Expressionism’ </w:t>
            </w:r>
            <w:r w:rsidRPr="00CE27DD">
              <w:rPr>
                <w:szCs w:val="24"/>
              </w:rPr>
              <w:t>exhibition by the Royal Academy of Arts, London.</w:t>
            </w:r>
            <w:r w:rsidR="000C2A47">
              <w:rPr>
                <w:szCs w:val="24"/>
              </w:rPr>
              <w:t xml:space="preserve"> </w:t>
            </w:r>
            <w:r w:rsidRPr="00CE27DD">
              <w:rPr>
                <w:szCs w:val="24"/>
                <w:shd w:val="clear" w:color="auto" w:fill="FFFFFF"/>
              </w:rPr>
              <w:t xml:space="preserve">During 2020, the NGA commenced a conservation project of </w:t>
            </w:r>
            <w:r w:rsidRPr="00CE27DD">
              <w:rPr>
                <w:i/>
                <w:iCs/>
                <w:szCs w:val="24"/>
                <w:shd w:val="clear" w:color="auto" w:fill="FFFFFF"/>
              </w:rPr>
              <w:t>Blue poles</w:t>
            </w:r>
            <w:r w:rsidRPr="00CE27DD">
              <w:rPr>
                <w:szCs w:val="24"/>
                <w:shd w:val="clear" w:color="auto" w:fill="FFFFFF"/>
              </w:rPr>
              <w:t xml:space="preserve"> in situ – the </w:t>
            </w:r>
            <w:r w:rsidRPr="00CE27DD">
              <w:rPr>
                <w:color w:val="000000"/>
                <w:spacing w:val="-2"/>
                <w:szCs w:val="24"/>
              </w:rPr>
              <w:t>first in-depth research, analysis</w:t>
            </w:r>
            <w:r w:rsidRPr="00CE27DD">
              <w:rPr>
                <w:szCs w:val="24"/>
              </w:rPr>
              <w:t xml:space="preserve"> and major conservation treatment of the painting</w:t>
            </w:r>
            <w:r w:rsidRPr="00CE27DD">
              <w:rPr>
                <w:i/>
                <w:iCs/>
                <w:szCs w:val="24"/>
              </w:rPr>
              <w:t xml:space="preserve"> </w:t>
            </w:r>
            <w:r w:rsidRPr="00CE27DD">
              <w:rPr>
                <w:szCs w:val="24"/>
              </w:rPr>
              <w:t>since it was purchased in 1973</w:t>
            </w:r>
            <w:r>
              <w:rPr>
                <w:szCs w:val="24"/>
              </w:rPr>
              <w:t>.</w:t>
            </w:r>
          </w:p>
          <w:p w14:paraId="2A411B9C" w14:textId="3505B7ED" w:rsidR="00981063" w:rsidRPr="002929A6" w:rsidRDefault="00981063" w:rsidP="00981063">
            <w:pPr>
              <w:rPr>
                <w:szCs w:val="24"/>
                <w:lang w:val="en-GB"/>
              </w:rPr>
            </w:pPr>
          </w:p>
        </w:tc>
      </w:tr>
    </w:tbl>
    <w:p w14:paraId="38241898" w14:textId="48CCBFCD" w:rsidR="000C2A47" w:rsidRDefault="000C2A47" w:rsidP="00232478">
      <w:pPr>
        <w:tabs>
          <w:tab w:val="left" w:pos="4320"/>
        </w:tabs>
      </w:pPr>
    </w:p>
    <w:p w14:paraId="71E6FD8D" w14:textId="77777777" w:rsidR="000C2A47" w:rsidRDefault="000C2A47">
      <w:r>
        <w:br w:type="page"/>
      </w:r>
    </w:p>
    <w:p w14:paraId="66438EDE" w14:textId="3560CBAD" w:rsidR="00AA02C9" w:rsidRDefault="000C2A47" w:rsidP="00232478">
      <w:pPr>
        <w:tabs>
          <w:tab w:val="left" w:pos="4320"/>
        </w:tabs>
      </w:pPr>
      <w:r w:rsidRPr="000C2A47">
        <w:rPr>
          <w:noProof/>
        </w:rPr>
        <w:lastRenderedPageBreak/>
        <w:drawing>
          <wp:inline distT="0" distB="0" distL="0" distR="0" wp14:anchorId="0B5A1AA0" wp14:editId="7E683944">
            <wp:extent cx="4830420" cy="683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42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28948" w14:textId="1B5B8474" w:rsidR="000C2A47" w:rsidRDefault="000C2A47" w:rsidP="00232478">
      <w:pPr>
        <w:tabs>
          <w:tab w:val="left" w:pos="4320"/>
        </w:tabs>
      </w:pPr>
    </w:p>
    <w:sectPr w:rsidR="000C2A47" w:rsidSect="00DF6B74">
      <w:footerReference w:type="defaul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1A86" w14:textId="77777777" w:rsidR="009E7500" w:rsidRDefault="009E7500" w:rsidP="00F10CB2">
      <w:r>
        <w:separator/>
      </w:r>
    </w:p>
  </w:endnote>
  <w:endnote w:type="continuationSeparator" w:id="0">
    <w:p w14:paraId="73A33F8A" w14:textId="77777777" w:rsidR="009E7500" w:rsidRDefault="009E750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E79B" w14:textId="77777777" w:rsidR="00553F7F" w:rsidRDefault="0055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87B6" w14:textId="03652442" w:rsidR="002A039C" w:rsidRPr="00553F7F" w:rsidRDefault="00553F7F" w:rsidP="00553F7F">
    <w:pPr>
      <w:pStyle w:val="Footer"/>
      <w:tabs>
        <w:tab w:val="clear" w:pos="2880"/>
      </w:tabs>
      <w:jc w:val="center"/>
      <w:rPr>
        <w:rFonts w:ascii="Arial" w:hAnsi="Arial" w:cs="Arial"/>
        <w:sz w:val="14"/>
        <w:szCs w:val="18"/>
      </w:rPr>
    </w:pPr>
    <w:sdt>
      <w:sdtPr>
        <w:rPr>
          <w:rFonts w:ascii="Arial" w:hAnsi="Arial" w:cs="Arial"/>
          <w:sz w:val="14"/>
          <w:szCs w:val="18"/>
        </w:rPr>
        <w:id w:val="325054357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8"/>
            </w:rPr>
            <w:id w:val="325054361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  <w:r w:rsidRPr="00553F7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343C111E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373830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8036F7">
              <w:rPr>
                <w:noProof/>
              </w:rPr>
              <w:fldChar w:fldCharType="begin"/>
            </w:r>
            <w:r w:rsidR="008036F7">
              <w:rPr>
                <w:noProof/>
              </w:rPr>
              <w:instrText xml:space="preserve"> SECTIONPAGES  </w:instrText>
            </w:r>
            <w:r w:rsidR="008036F7">
              <w:rPr>
                <w:noProof/>
              </w:rPr>
              <w:fldChar w:fldCharType="separate"/>
            </w:r>
            <w:r w:rsidR="00346981">
              <w:rPr>
                <w:noProof/>
              </w:rPr>
              <w:t>2</w:t>
            </w:r>
            <w:r w:rsidR="008036F7"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704E709C" w14:textId="77777777" w:rsidR="002A039C" w:rsidRPr="00AA02C9" w:rsidRDefault="00553F7F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70"/>
      <w:docPartObj>
        <w:docPartGallery w:val="Page Numbers (Top of Page)"/>
        <w:docPartUnique/>
      </w:docPartObj>
    </w:sdtPr>
    <w:sdtEndPr>
      <w:rPr>
        <w:sz w:val="14"/>
        <w:szCs w:val="18"/>
      </w:rPr>
    </w:sdtEndPr>
    <w:sdtContent>
      <w:sdt>
        <w:sdtPr>
          <w:id w:val="325054371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sdt>
            <w:sdtPr>
              <w:id w:val="325054372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  <w:szCs w:val="18"/>
              </w:rPr>
            </w:sdtEndPr>
            <w:sdtContent>
              <w:p w14:paraId="05CB691E" w14:textId="34BA97F0" w:rsidR="00346981" w:rsidRDefault="001056A5" w:rsidP="001056A5">
                <w:pPr>
                  <w:pStyle w:val="Footer"/>
                  <w:tabs>
                    <w:tab w:val="clear" w:pos="2880"/>
                  </w:tabs>
                </w:pPr>
                <w:r>
                  <w:t xml:space="preserve">Page </w:t>
                </w:r>
                <w:r w:rsidR="00522381">
                  <w:fldChar w:fldCharType="begin"/>
                </w:r>
                <w:r w:rsidR="00522381">
                  <w:instrText xml:space="preserve"> PAGE </w:instrText>
                </w:r>
                <w:r w:rsidR="00522381">
                  <w:fldChar w:fldCharType="separate"/>
                </w:r>
                <w:r w:rsidR="00373830">
                  <w:rPr>
                    <w:noProof/>
                  </w:rPr>
                  <w:t>2</w:t>
                </w:r>
                <w:r w:rsidR="00522381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8036F7">
                  <w:rPr>
                    <w:noProof/>
                  </w:rPr>
                  <w:fldChar w:fldCharType="begin"/>
                </w:r>
                <w:r w:rsidR="008036F7">
                  <w:rPr>
                    <w:noProof/>
                  </w:rPr>
                  <w:instrText xml:space="preserve"> SECTIONPAGES  </w:instrText>
                </w:r>
                <w:r w:rsidR="008036F7">
                  <w:rPr>
                    <w:noProof/>
                  </w:rPr>
                  <w:fldChar w:fldCharType="separate"/>
                </w:r>
                <w:r w:rsidR="00553F7F">
                  <w:rPr>
                    <w:noProof/>
                  </w:rPr>
                  <w:t>2</w:t>
                </w:r>
                <w:r w:rsidR="008036F7">
                  <w:rPr>
                    <w:noProof/>
                  </w:rPr>
                  <w:fldChar w:fldCharType="end"/>
                </w:r>
              </w:p>
              <w:p w14:paraId="7C4E9EBB" w14:textId="77777777" w:rsidR="00553F7F" w:rsidRDefault="00553F7F" w:rsidP="000F428F">
                <w:pPr>
                  <w:pStyle w:val="Footer"/>
                  <w:tabs>
                    <w:tab w:val="clear" w:pos="2880"/>
                  </w:tabs>
                  <w:spacing w:before="120"/>
                  <w:jc w:val="center"/>
                  <w:rPr>
                    <w:sz w:val="14"/>
                    <w:szCs w:val="18"/>
                  </w:rPr>
                </w:pPr>
              </w:p>
            </w:sdtContent>
          </w:sdt>
        </w:sdtContent>
      </w:sdt>
    </w:sdtContent>
  </w:sdt>
  <w:p w14:paraId="02CE9FDB" w14:textId="6F2C6AA3" w:rsidR="001056A5" w:rsidRPr="00553F7F" w:rsidRDefault="00553F7F" w:rsidP="00553F7F">
    <w:pPr>
      <w:pStyle w:val="Footer"/>
      <w:tabs>
        <w:tab w:val="clear" w:pos="2880"/>
      </w:tabs>
      <w:spacing w:before="120"/>
      <w:jc w:val="center"/>
      <w:rPr>
        <w:rFonts w:ascii="Arial" w:hAnsi="Arial" w:cs="Arial"/>
        <w:sz w:val="14"/>
        <w:szCs w:val="18"/>
      </w:rPr>
    </w:pPr>
    <w:r w:rsidRPr="00553F7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149215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1739051643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1569B5F4" w14:textId="220E8D53" w:rsidR="00346981" w:rsidRPr="00AF1C0D" w:rsidRDefault="00346981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 w:rsidR="00DF6B7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137619A6" w14:textId="77777777" w:rsidR="00346981" w:rsidRPr="000F428F" w:rsidRDefault="00553F7F" w:rsidP="001F5305">
            <w:pPr>
              <w:pStyle w:val="Footer"/>
              <w:spacing w:before="120"/>
              <w:jc w:val="center"/>
              <w:rPr>
                <w:sz w:val="14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C64A" w14:textId="77777777" w:rsidR="009E7500" w:rsidRDefault="009E7500" w:rsidP="00F10CB2">
      <w:r>
        <w:separator/>
      </w:r>
    </w:p>
  </w:footnote>
  <w:footnote w:type="continuationSeparator" w:id="0">
    <w:p w14:paraId="0A22B26F" w14:textId="77777777" w:rsidR="009E7500" w:rsidRDefault="009E750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D69" w14:textId="77777777" w:rsidR="00553F7F" w:rsidRDefault="0055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3AE" w14:textId="77777777" w:rsidR="00553F7F" w:rsidRDefault="00553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7D71" w14:textId="77777777" w:rsidR="00553F7F" w:rsidRDefault="00553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95349"/>
    <w:rsid w:val="000A1A69"/>
    <w:rsid w:val="000C2A47"/>
    <w:rsid w:val="000C501D"/>
    <w:rsid w:val="000F428F"/>
    <w:rsid w:val="001056A5"/>
    <w:rsid w:val="00111262"/>
    <w:rsid w:val="00134786"/>
    <w:rsid w:val="00147E60"/>
    <w:rsid w:val="00176E02"/>
    <w:rsid w:val="00194AC7"/>
    <w:rsid w:val="001A3A7F"/>
    <w:rsid w:val="001C737C"/>
    <w:rsid w:val="001F1298"/>
    <w:rsid w:val="001F5305"/>
    <w:rsid w:val="001F7C45"/>
    <w:rsid w:val="00205E99"/>
    <w:rsid w:val="00232478"/>
    <w:rsid w:val="00267FC1"/>
    <w:rsid w:val="00281B3A"/>
    <w:rsid w:val="002A039C"/>
    <w:rsid w:val="002C1A80"/>
    <w:rsid w:val="00317DAE"/>
    <w:rsid w:val="00346981"/>
    <w:rsid w:val="003637CA"/>
    <w:rsid w:val="00373830"/>
    <w:rsid w:val="003C330F"/>
    <w:rsid w:val="003D7174"/>
    <w:rsid w:val="003E5322"/>
    <w:rsid w:val="00445322"/>
    <w:rsid w:val="00481934"/>
    <w:rsid w:val="00492788"/>
    <w:rsid w:val="004D3259"/>
    <w:rsid w:val="00513572"/>
    <w:rsid w:val="00522381"/>
    <w:rsid w:val="00553F7F"/>
    <w:rsid w:val="00580D29"/>
    <w:rsid w:val="005961A3"/>
    <w:rsid w:val="005B7718"/>
    <w:rsid w:val="005D55E0"/>
    <w:rsid w:val="005D68B8"/>
    <w:rsid w:val="005F75A1"/>
    <w:rsid w:val="00627F0C"/>
    <w:rsid w:val="00662BFF"/>
    <w:rsid w:val="006668F6"/>
    <w:rsid w:val="00667281"/>
    <w:rsid w:val="00685113"/>
    <w:rsid w:val="006A3A2F"/>
    <w:rsid w:val="00704DC3"/>
    <w:rsid w:val="00715A2B"/>
    <w:rsid w:val="0072003E"/>
    <w:rsid w:val="0077162F"/>
    <w:rsid w:val="00784B87"/>
    <w:rsid w:val="007A3299"/>
    <w:rsid w:val="007B2E24"/>
    <w:rsid w:val="007C3B22"/>
    <w:rsid w:val="008036F7"/>
    <w:rsid w:val="00824EB1"/>
    <w:rsid w:val="00894148"/>
    <w:rsid w:val="008A1D96"/>
    <w:rsid w:val="008A3808"/>
    <w:rsid w:val="008B556F"/>
    <w:rsid w:val="008B59F3"/>
    <w:rsid w:val="008E4A39"/>
    <w:rsid w:val="008E54DF"/>
    <w:rsid w:val="008F060D"/>
    <w:rsid w:val="008F60A5"/>
    <w:rsid w:val="009070F7"/>
    <w:rsid w:val="00913E7B"/>
    <w:rsid w:val="0096750A"/>
    <w:rsid w:val="00970517"/>
    <w:rsid w:val="00981063"/>
    <w:rsid w:val="009876DB"/>
    <w:rsid w:val="009A5D0A"/>
    <w:rsid w:val="009E7500"/>
    <w:rsid w:val="00A0585C"/>
    <w:rsid w:val="00A07BFA"/>
    <w:rsid w:val="00A43FE7"/>
    <w:rsid w:val="00A502EA"/>
    <w:rsid w:val="00A74247"/>
    <w:rsid w:val="00A9655D"/>
    <w:rsid w:val="00AA02C9"/>
    <w:rsid w:val="00AA4284"/>
    <w:rsid w:val="00B021A5"/>
    <w:rsid w:val="00B1549F"/>
    <w:rsid w:val="00B30B9A"/>
    <w:rsid w:val="00B35252"/>
    <w:rsid w:val="00B41E11"/>
    <w:rsid w:val="00B63A10"/>
    <w:rsid w:val="00B6603C"/>
    <w:rsid w:val="00B96911"/>
    <w:rsid w:val="00BA52F5"/>
    <w:rsid w:val="00BB241F"/>
    <w:rsid w:val="00BB74D6"/>
    <w:rsid w:val="00BD02C6"/>
    <w:rsid w:val="00C41B1B"/>
    <w:rsid w:val="00C65523"/>
    <w:rsid w:val="00CD4E55"/>
    <w:rsid w:val="00CE3399"/>
    <w:rsid w:val="00CF28EB"/>
    <w:rsid w:val="00D36CFC"/>
    <w:rsid w:val="00D47F13"/>
    <w:rsid w:val="00D9612A"/>
    <w:rsid w:val="00DB1051"/>
    <w:rsid w:val="00DF1D10"/>
    <w:rsid w:val="00DF6B74"/>
    <w:rsid w:val="00E358BC"/>
    <w:rsid w:val="00E55115"/>
    <w:rsid w:val="00E73C6D"/>
    <w:rsid w:val="00E75423"/>
    <w:rsid w:val="00E96829"/>
    <w:rsid w:val="00F0488B"/>
    <w:rsid w:val="00F10A9F"/>
    <w:rsid w:val="00F10CB2"/>
    <w:rsid w:val="00F15AC3"/>
    <w:rsid w:val="00F236C5"/>
    <w:rsid w:val="00F27FCE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81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1833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2004-04-05T00:37:00Z</cp:lastPrinted>
  <dcterms:created xsi:type="dcterms:W3CDTF">2021-12-15T01:31:00Z</dcterms:created>
  <dcterms:modified xsi:type="dcterms:W3CDTF">2021-12-15T01:31:00Z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A30614447</vt:lpwstr>
  </property>
  <property fmtid="{D5CDD505-2E9C-101B-9397-08002B2CF9AE}" pid="4" name="Objective-Title">
    <vt:lpwstr>DI2021-XX - Public Place Names (Whitlam) Determination 2021</vt:lpwstr>
  </property>
  <property fmtid="{D5CDD505-2E9C-101B-9397-08002B2CF9AE}" pid="5" name="Objective-Comment">
    <vt:lpwstr/>
  </property>
  <property fmtid="{D5CDD505-2E9C-101B-9397-08002B2CF9AE}" pid="6" name="Objective-CreationStamp">
    <vt:filetime>2021-09-24T06:12:09Z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2021-12-13T22:07:33Z</vt:filetime>
  </property>
  <property fmtid="{D5CDD505-2E9C-101B-9397-08002B2CF9AE}" pid="10" name="Objective-ModificationStamp">
    <vt:filetime>2021-12-13T22:07:33Z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Briefs:21/97246 - Public Place Names (Whitlam) Determination 2021 - Blue Poles Park:</vt:lpwstr>
  </property>
  <property fmtid="{D5CDD505-2E9C-101B-9397-08002B2CF9AE}" pid="13" name="Objective-Parent">
    <vt:lpwstr>21/97246 - Public Place Names (Whitlam) Determination 2021 - Blue Poles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1-2021/97246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8679489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