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2C1ED" w14:textId="77777777" w:rsidR="00020AA2" w:rsidRPr="00877F12" w:rsidRDefault="00020AA2" w:rsidP="00745B3A">
      <w:pPr>
        <w:spacing w:before="120"/>
        <w:rPr>
          <w:szCs w:val="20"/>
        </w:rPr>
      </w:pPr>
      <w:r w:rsidRPr="00877F12">
        <w:rPr>
          <w:szCs w:val="20"/>
        </w:rPr>
        <w:t>Australian Capital Territory</w:t>
      </w:r>
    </w:p>
    <w:p w14:paraId="59B669DA" w14:textId="6A84CA12" w:rsidR="00020AA2" w:rsidRPr="00877F12" w:rsidRDefault="006971B1">
      <w:pPr>
        <w:pStyle w:val="Billname"/>
        <w:spacing w:before="700"/>
        <w:rPr>
          <w:rFonts w:cs="Times New Roman"/>
          <w:bCs w:val="0"/>
          <w:szCs w:val="20"/>
        </w:rPr>
      </w:pPr>
      <w:bookmarkStart w:id="0" w:name="OLE_LINK1"/>
      <w:bookmarkStart w:id="1" w:name="OLE_LINK2"/>
      <w:r w:rsidRPr="00877F12">
        <w:rPr>
          <w:rFonts w:cs="Times New Roman"/>
          <w:bCs w:val="0"/>
          <w:szCs w:val="20"/>
        </w:rPr>
        <w:t>Public Trustee</w:t>
      </w:r>
      <w:r w:rsidR="00C550B5" w:rsidRPr="00877F12">
        <w:rPr>
          <w:rFonts w:cs="Times New Roman"/>
          <w:bCs w:val="0"/>
          <w:szCs w:val="20"/>
        </w:rPr>
        <w:t xml:space="preserve"> and Guardian</w:t>
      </w:r>
      <w:r w:rsidR="00D04784" w:rsidRPr="00877F12">
        <w:rPr>
          <w:rFonts w:cs="Times New Roman"/>
          <w:bCs w:val="0"/>
          <w:szCs w:val="20"/>
        </w:rPr>
        <w:t xml:space="preserve"> </w:t>
      </w:r>
      <w:r w:rsidR="00365605" w:rsidRPr="00877F12">
        <w:rPr>
          <w:rFonts w:cs="Times New Roman"/>
          <w:bCs w:val="0"/>
          <w:szCs w:val="20"/>
        </w:rPr>
        <w:t xml:space="preserve">(Fees) Determination </w:t>
      </w:r>
      <w:r w:rsidR="00721503" w:rsidRPr="00877F12">
        <w:rPr>
          <w:rFonts w:cs="Times New Roman"/>
          <w:bCs w:val="0"/>
          <w:szCs w:val="20"/>
        </w:rPr>
        <w:t>20</w:t>
      </w:r>
      <w:r w:rsidR="00E73B9B" w:rsidRPr="00877F12">
        <w:rPr>
          <w:rFonts w:cs="Times New Roman"/>
          <w:bCs w:val="0"/>
          <w:szCs w:val="20"/>
        </w:rPr>
        <w:t>2</w:t>
      </w:r>
      <w:r w:rsidR="00994BA2" w:rsidRPr="00877F12">
        <w:rPr>
          <w:rFonts w:cs="Times New Roman"/>
          <w:bCs w:val="0"/>
          <w:szCs w:val="20"/>
        </w:rPr>
        <w:t>1</w:t>
      </w:r>
      <w:r w:rsidR="00755BBB" w:rsidRPr="00877F12">
        <w:rPr>
          <w:rFonts w:cs="Times New Roman"/>
          <w:bCs w:val="0"/>
          <w:szCs w:val="20"/>
        </w:rPr>
        <w:t xml:space="preserve"> </w:t>
      </w:r>
    </w:p>
    <w:p w14:paraId="4607B858" w14:textId="651820AB" w:rsidR="00020AA2" w:rsidRPr="00877F12" w:rsidRDefault="00365605" w:rsidP="00877F12">
      <w:pPr>
        <w:spacing w:before="340"/>
        <w:rPr>
          <w:b/>
          <w:bCs/>
          <w:szCs w:val="20"/>
        </w:rPr>
      </w:pPr>
      <w:r w:rsidRPr="00877F12">
        <w:rPr>
          <w:b/>
          <w:bCs/>
          <w:szCs w:val="20"/>
        </w:rPr>
        <w:t>Di</w:t>
      </w:r>
      <w:r w:rsidR="005D4CBE" w:rsidRPr="00877F12">
        <w:rPr>
          <w:b/>
          <w:bCs/>
          <w:szCs w:val="20"/>
        </w:rPr>
        <w:t xml:space="preserve">sallowable instrument </w:t>
      </w:r>
      <w:r w:rsidR="005C3736" w:rsidRPr="00877F12">
        <w:rPr>
          <w:b/>
          <w:bCs/>
          <w:szCs w:val="20"/>
        </w:rPr>
        <w:t>DI</w:t>
      </w:r>
      <w:r w:rsidR="00D9756A" w:rsidRPr="00877F12">
        <w:rPr>
          <w:b/>
          <w:bCs/>
          <w:szCs w:val="20"/>
        </w:rPr>
        <w:t>20</w:t>
      </w:r>
      <w:r w:rsidR="00964194" w:rsidRPr="00877F12">
        <w:rPr>
          <w:b/>
          <w:bCs/>
          <w:szCs w:val="20"/>
        </w:rPr>
        <w:t>2</w:t>
      </w:r>
      <w:r w:rsidR="00F10E7B" w:rsidRPr="00877F12">
        <w:rPr>
          <w:b/>
          <w:bCs/>
          <w:szCs w:val="20"/>
        </w:rPr>
        <w:t>1-</w:t>
      </w:r>
      <w:r w:rsidR="005600CB" w:rsidRPr="00877F12">
        <w:rPr>
          <w:b/>
          <w:bCs/>
          <w:szCs w:val="20"/>
        </w:rPr>
        <w:t>85</w:t>
      </w:r>
    </w:p>
    <w:p w14:paraId="3137F43E" w14:textId="77777777" w:rsidR="00020AA2" w:rsidRPr="00877F12" w:rsidRDefault="0038380C" w:rsidP="00877F12">
      <w:pPr>
        <w:pStyle w:val="madeunder"/>
        <w:spacing w:before="300" w:after="0"/>
        <w:rPr>
          <w:rFonts w:ascii="Times New Roman" w:hAnsi="Times New Roman" w:cs="Times New Roman"/>
          <w:szCs w:val="20"/>
        </w:rPr>
      </w:pPr>
      <w:r w:rsidRPr="00877F12">
        <w:rPr>
          <w:rFonts w:ascii="Times New Roman" w:hAnsi="Times New Roman" w:cs="Times New Roman"/>
          <w:szCs w:val="20"/>
        </w:rPr>
        <w:t>made under the</w:t>
      </w:r>
    </w:p>
    <w:bookmarkEnd w:id="0"/>
    <w:bookmarkEnd w:id="1"/>
    <w:p w14:paraId="38856C81" w14:textId="77777777" w:rsidR="00514A90" w:rsidRPr="00190E5A" w:rsidRDefault="00514A90" w:rsidP="00877F12">
      <w:pPr>
        <w:pStyle w:val="CoverActName"/>
        <w:spacing w:before="320" w:after="0"/>
        <w:rPr>
          <w:bCs w:val="0"/>
          <w:sz w:val="20"/>
          <w:szCs w:val="20"/>
        </w:rPr>
      </w:pPr>
      <w:r w:rsidRPr="00206880">
        <w:rPr>
          <w:bCs w:val="0"/>
          <w:sz w:val="20"/>
          <w:szCs w:val="20"/>
        </w:rPr>
        <w:t>Public Trustee</w:t>
      </w:r>
      <w:r w:rsidR="00C550B5">
        <w:rPr>
          <w:bCs w:val="0"/>
          <w:sz w:val="20"/>
          <w:szCs w:val="20"/>
        </w:rPr>
        <w:t xml:space="preserve"> and Guardian</w:t>
      </w:r>
      <w:r w:rsidRPr="00206880">
        <w:rPr>
          <w:bCs w:val="0"/>
          <w:sz w:val="20"/>
          <w:szCs w:val="20"/>
        </w:rPr>
        <w:t xml:space="preserve"> Act 1985</w:t>
      </w:r>
      <w:r w:rsidRPr="00190E5A">
        <w:rPr>
          <w:bCs w:val="0"/>
          <w:sz w:val="20"/>
          <w:szCs w:val="20"/>
        </w:rPr>
        <w:t>, s 75 (Determination of fees and charges)</w:t>
      </w:r>
    </w:p>
    <w:p w14:paraId="71A06E85" w14:textId="77777777" w:rsidR="00020AA2" w:rsidRDefault="00020AA2">
      <w:pPr>
        <w:pStyle w:val="N-line3"/>
        <w:pBdr>
          <w:bottom w:val="none" w:sz="0" w:space="0" w:color="auto"/>
        </w:pBdr>
      </w:pPr>
    </w:p>
    <w:p w14:paraId="32BCE678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13E250B4" w14:textId="77777777"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6C3ECB53" w14:textId="57F4E1E5"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6971B1" w:rsidRPr="00F031B2">
        <w:rPr>
          <w:rFonts w:ascii="Times New Roman" w:hAnsi="Times New Roman" w:cs="Times New Roman"/>
          <w:i/>
        </w:rPr>
        <w:t>Public Trustee</w:t>
      </w:r>
      <w:r w:rsidR="00C550B5">
        <w:rPr>
          <w:rFonts w:ascii="Times New Roman" w:hAnsi="Times New Roman" w:cs="Times New Roman"/>
          <w:i/>
        </w:rPr>
        <w:t xml:space="preserve"> and Guardian</w:t>
      </w:r>
      <w:r w:rsidR="00F55F08" w:rsidRPr="00983AEC">
        <w:rPr>
          <w:rFonts w:ascii="Times New Roman" w:hAnsi="Times New Roman" w:cs="Times New Roman"/>
          <w:i/>
        </w:rPr>
        <w:t xml:space="preserve"> </w:t>
      </w:r>
      <w:r w:rsidR="00C9097A" w:rsidRPr="00983AEC">
        <w:rPr>
          <w:rFonts w:ascii="Times New Roman" w:hAnsi="Times New Roman" w:cs="Times New Roman"/>
          <w:i/>
        </w:rPr>
        <w:t>(</w:t>
      </w:r>
      <w:r w:rsidR="00421AAF" w:rsidRPr="00983AEC">
        <w:rPr>
          <w:rFonts w:ascii="Times New Roman" w:hAnsi="Times New Roman" w:cs="Times New Roman"/>
          <w:i/>
        </w:rPr>
        <w:t xml:space="preserve">Fees) Determination </w:t>
      </w:r>
      <w:r w:rsidR="00FF4415" w:rsidRPr="00983AEC">
        <w:rPr>
          <w:rFonts w:ascii="Times New Roman" w:hAnsi="Times New Roman" w:cs="Times New Roman"/>
          <w:i/>
        </w:rPr>
        <w:t>20</w:t>
      </w:r>
      <w:r w:rsidR="00964194">
        <w:rPr>
          <w:rFonts w:ascii="Times New Roman" w:hAnsi="Times New Roman" w:cs="Times New Roman"/>
          <w:i/>
        </w:rPr>
        <w:t>2</w:t>
      </w:r>
      <w:r w:rsidR="00994BA2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>.</w:t>
      </w:r>
    </w:p>
    <w:p w14:paraId="400B295C" w14:textId="77777777"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14:paraId="073E9228" w14:textId="14A5736D" w:rsidR="00CE6C20" w:rsidRPr="000E322A" w:rsidRDefault="00CE6C20" w:rsidP="00CE6C20">
      <w:pPr>
        <w:spacing w:before="80" w:after="60"/>
        <w:ind w:left="1134" w:hanging="425"/>
        <w:rPr>
          <w:rFonts w:ascii="Times New Roman" w:eastAsiaTheme="minorEastAsia" w:hAnsi="Times New Roman"/>
          <w:szCs w:val="20"/>
        </w:rPr>
      </w:pPr>
      <w:r w:rsidRPr="00564E71">
        <w:rPr>
          <w:rFonts w:ascii="Times New Roman" w:eastAsiaTheme="minorEastAsia" w:hAnsi="Times New Roman"/>
          <w:szCs w:val="20"/>
        </w:rPr>
        <w:t xml:space="preserve">This </w:t>
      </w:r>
      <w:r>
        <w:rPr>
          <w:rFonts w:ascii="Times New Roman" w:eastAsiaTheme="minorEastAsia" w:hAnsi="Times New Roman"/>
          <w:szCs w:val="20"/>
        </w:rPr>
        <w:t>instrument</w:t>
      </w:r>
      <w:r w:rsidR="004B266F">
        <w:rPr>
          <w:rFonts w:ascii="Times New Roman" w:eastAsiaTheme="minorEastAsia" w:hAnsi="Times New Roman"/>
          <w:szCs w:val="20"/>
        </w:rPr>
        <w:t xml:space="preserve"> </w:t>
      </w:r>
      <w:r w:rsidRPr="00564E71">
        <w:rPr>
          <w:rFonts w:ascii="Times New Roman" w:eastAsiaTheme="minorEastAsia" w:hAnsi="Times New Roman"/>
          <w:szCs w:val="20"/>
        </w:rPr>
        <w:t>commence</w:t>
      </w:r>
      <w:r>
        <w:rPr>
          <w:rFonts w:ascii="Times New Roman" w:eastAsiaTheme="minorEastAsia" w:hAnsi="Times New Roman"/>
          <w:szCs w:val="20"/>
        </w:rPr>
        <w:t>s</w:t>
      </w:r>
      <w:r w:rsidRPr="00564E71">
        <w:rPr>
          <w:rFonts w:ascii="Times New Roman" w:eastAsiaTheme="minorEastAsia" w:hAnsi="Times New Roman"/>
          <w:szCs w:val="20"/>
        </w:rPr>
        <w:t xml:space="preserve"> on </w:t>
      </w:r>
      <w:r w:rsidR="00755BBB">
        <w:rPr>
          <w:rFonts w:ascii="Times New Roman" w:eastAsiaTheme="minorEastAsia" w:hAnsi="Times New Roman"/>
          <w:szCs w:val="20"/>
        </w:rPr>
        <w:t>the day after its notification day</w:t>
      </w:r>
      <w:r w:rsidRPr="00564E71">
        <w:rPr>
          <w:rFonts w:ascii="Times New Roman" w:eastAsiaTheme="minorEastAsia" w:hAnsi="Times New Roman"/>
          <w:szCs w:val="20"/>
        </w:rPr>
        <w:t>.</w:t>
      </w:r>
      <w:r w:rsidRPr="000E322A">
        <w:rPr>
          <w:rFonts w:ascii="Times New Roman" w:eastAsiaTheme="minorEastAsia" w:hAnsi="Times New Roman"/>
          <w:szCs w:val="20"/>
        </w:rPr>
        <w:t xml:space="preserve"> </w:t>
      </w:r>
    </w:p>
    <w:p w14:paraId="05D29A0D" w14:textId="7FAD165F" w:rsidR="00020AA2" w:rsidRDefault="00000476" w:rsidP="00CE6C20">
      <w:pPr>
        <w:keepNext/>
        <w:spacing w:before="240" w:after="60"/>
        <w:rPr>
          <w:b/>
          <w:bCs/>
        </w:rPr>
      </w:pPr>
      <w:r>
        <w:rPr>
          <w:b/>
          <w:bCs/>
        </w:rPr>
        <w:t>3</w:t>
      </w:r>
      <w:r w:rsidR="009F129D">
        <w:rPr>
          <w:b/>
          <w:bCs/>
        </w:rPr>
        <w:tab/>
      </w:r>
      <w:r w:rsidR="00282576">
        <w:rPr>
          <w:b/>
          <w:bCs/>
        </w:rPr>
        <w:t>Determination of fees</w:t>
      </w:r>
    </w:p>
    <w:p w14:paraId="7B6C97AC" w14:textId="77777777" w:rsidR="00020AA2" w:rsidRDefault="00282576" w:rsidP="00D044A5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="00020AA2">
        <w:rPr>
          <w:rFonts w:ascii="Times New Roman" w:hAnsi="Times New Roman" w:cs="Times New Roman"/>
        </w:rPr>
        <w:t xml:space="preserve">The </w:t>
      </w:r>
      <w:r w:rsidR="009940F7">
        <w:rPr>
          <w:rFonts w:ascii="Times New Roman" w:hAnsi="Times New Roman" w:cs="Times New Roman"/>
        </w:rPr>
        <w:t xml:space="preserve">maximum </w:t>
      </w:r>
      <w:r w:rsidR="00020AA2">
        <w:rPr>
          <w:rFonts w:ascii="Times New Roman" w:hAnsi="Times New Roman" w:cs="Times New Roman"/>
        </w:rPr>
        <w:t xml:space="preserve">fee payable for a matter stated in an item in </w:t>
      </w:r>
      <w:r w:rsidR="0038380C">
        <w:rPr>
          <w:rFonts w:ascii="Times New Roman" w:hAnsi="Times New Roman" w:cs="Times New Roman"/>
        </w:rPr>
        <w:t>the schedule</w:t>
      </w:r>
      <w:r w:rsidR="00020AA2">
        <w:rPr>
          <w:rFonts w:ascii="Times New Roman" w:hAnsi="Times New Roman" w:cs="Times New Roman"/>
        </w:rPr>
        <w:t>, column</w:t>
      </w:r>
      <w:r w:rsidR="00426275">
        <w:rPr>
          <w:rFonts w:ascii="Times New Roman" w:hAnsi="Times New Roman" w:cs="Times New Roman"/>
        </w:rPr>
        <w:t> </w:t>
      </w:r>
      <w:r w:rsidR="00020AA2">
        <w:rPr>
          <w:rFonts w:ascii="Times New Roman" w:hAnsi="Times New Roman" w:cs="Times New Roman"/>
        </w:rPr>
        <w:t>2 is the fee stated in the schedule, column 3 for that matter.</w:t>
      </w:r>
    </w:p>
    <w:p w14:paraId="10038F1C" w14:textId="77777777" w:rsidR="00282576" w:rsidRPr="0075450D" w:rsidRDefault="009940F7" w:rsidP="00CE6C20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B0A26">
        <w:rPr>
          <w:rFonts w:ascii="Times New Roman" w:hAnsi="Times New Roman" w:cs="Times New Roman"/>
        </w:rPr>
        <w:t>2</w:t>
      </w:r>
      <w:r w:rsidR="00282576">
        <w:rPr>
          <w:rFonts w:ascii="Times New Roman" w:hAnsi="Times New Roman" w:cs="Times New Roman"/>
        </w:rPr>
        <w:t>)</w:t>
      </w:r>
      <w:r w:rsidR="00282576">
        <w:rPr>
          <w:rFonts w:ascii="Times New Roman" w:hAnsi="Times New Roman" w:cs="Times New Roman"/>
        </w:rPr>
        <w:tab/>
      </w:r>
      <w:r w:rsidR="00282576" w:rsidRPr="0075450D">
        <w:rPr>
          <w:rFonts w:ascii="Times New Roman" w:hAnsi="Times New Roman" w:cs="Times New Roman"/>
        </w:rPr>
        <w:t xml:space="preserve">The fee for a matter stated in an item in </w:t>
      </w:r>
      <w:r w:rsidR="00282576">
        <w:rPr>
          <w:rFonts w:ascii="Times New Roman" w:hAnsi="Times New Roman" w:cs="Times New Roman"/>
        </w:rPr>
        <w:t>the schedule</w:t>
      </w:r>
      <w:r w:rsidR="00282576" w:rsidRPr="0075450D">
        <w:rPr>
          <w:rFonts w:ascii="Times New Roman" w:hAnsi="Times New Roman" w:cs="Times New Roman"/>
        </w:rPr>
        <w:t>, column 2 is payable by the person requesting the service.</w:t>
      </w:r>
    </w:p>
    <w:p w14:paraId="7395CEC1" w14:textId="77777777" w:rsidR="00282576" w:rsidRDefault="00000476" w:rsidP="0028257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4</w:t>
      </w:r>
      <w:r w:rsidR="00282576">
        <w:rPr>
          <w:b/>
          <w:bCs/>
        </w:rPr>
        <w:tab/>
        <w:t>Payment of fees</w:t>
      </w:r>
    </w:p>
    <w:p w14:paraId="5529BB0C" w14:textId="77777777" w:rsidR="00020AA2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</w:t>
      </w:r>
      <w:r w:rsidR="0038380C">
        <w:rPr>
          <w:rFonts w:ascii="Times New Roman" w:hAnsi="Times New Roman" w:cs="Times New Roman"/>
        </w:rPr>
        <w:t>r stated in an item in the schedule</w:t>
      </w:r>
      <w:r>
        <w:rPr>
          <w:rFonts w:ascii="Times New Roman" w:hAnsi="Times New Roman" w:cs="Times New Roman"/>
        </w:rPr>
        <w:t xml:space="preserve">, column 2 is payable to the </w:t>
      </w:r>
      <w:r w:rsidR="00B362A6">
        <w:rPr>
          <w:rFonts w:ascii="Times New Roman" w:hAnsi="Times New Roman" w:cs="Times New Roman"/>
        </w:rPr>
        <w:t>Public Trustee</w:t>
      </w:r>
      <w:r w:rsidR="00C550B5">
        <w:rPr>
          <w:rFonts w:ascii="Times New Roman" w:hAnsi="Times New Roman" w:cs="Times New Roman"/>
        </w:rPr>
        <w:t xml:space="preserve"> and Guardian</w:t>
      </w:r>
      <w:r>
        <w:rPr>
          <w:rFonts w:ascii="Times New Roman" w:hAnsi="Times New Roman" w:cs="Times New Roman"/>
        </w:rPr>
        <w:t>.</w:t>
      </w:r>
    </w:p>
    <w:p w14:paraId="3CF99BCB" w14:textId="7448FED8" w:rsidR="00CE6C20" w:rsidRPr="00E43838" w:rsidRDefault="00CE6C20" w:rsidP="00CE6C20">
      <w:pPr>
        <w:keepNext/>
        <w:spacing w:before="240" w:after="60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  <w:t>Revocation</w:t>
      </w:r>
      <w:r w:rsidR="004C5553">
        <w:rPr>
          <w:b/>
          <w:bCs/>
          <w:szCs w:val="20"/>
        </w:rPr>
        <w:t>—</w:t>
      </w:r>
      <w:r w:rsidR="004C5553" w:rsidRPr="00E43838">
        <w:rPr>
          <w:b/>
          <w:bCs/>
          <w:szCs w:val="20"/>
        </w:rPr>
        <w:t>DI20</w:t>
      </w:r>
      <w:r w:rsidR="00755BBB">
        <w:rPr>
          <w:b/>
          <w:bCs/>
          <w:szCs w:val="20"/>
        </w:rPr>
        <w:t>20</w:t>
      </w:r>
      <w:r w:rsidR="004C5553" w:rsidRPr="00E43838">
        <w:rPr>
          <w:b/>
          <w:bCs/>
          <w:szCs w:val="20"/>
        </w:rPr>
        <w:t>–</w:t>
      </w:r>
      <w:r w:rsidR="00755BBB">
        <w:rPr>
          <w:b/>
          <w:bCs/>
          <w:szCs w:val="20"/>
        </w:rPr>
        <w:t>151</w:t>
      </w:r>
    </w:p>
    <w:p w14:paraId="4EDA8BD1" w14:textId="5F4BCB32" w:rsidR="00CE6C20" w:rsidRPr="00CE6C20" w:rsidRDefault="00CE6C20" w:rsidP="00CE6C20">
      <w:pPr>
        <w:spacing w:before="80" w:after="60"/>
        <w:ind w:left="720"/>
        <w:rPr>
          <w:rFonts w:ascii="Times New Roman" w:hAnsi="Times New Roman" w:cs="Times New Roman"/>
          <w:i/>
        </w:rPr>
      </w:pPr>
      <w:r w:rsidRPr="00E43838">
        <w:rPr>
          <w:rFonts w:ascii="Times New Roman" w:hAnsi="Times New Roman" w:cs="Times New Roman"/>
        </w:rPr>
        <w:t xml:space="preserve">This instrument revokes the </w:t>
      </w:r>
      <w:r w:rsidRPr="00E43838">
        <w:rPr>
          <w:rFonts w:ascii="Times New Roman" w:hAnsi="Times New Roman" w:cs="Times New Roman"/>
          <w:i/>
        </w:rPr>
        <w:t>Public Trustee and Guardian (Fees) Determination 20</w:t>
      </w:r>
      <w:r w:rsidR="00755BBB">
        <w:rPr>
          <w:rFonts w:ascii="Times New Roman" w:hAnsi="Times New Roman" w:cs="Times New Roman"/>
          <w:i/>
        </w:rPr>
        <w:t xml:space="preserve">20 </w:t>
      </w:r>
      <w:r w:rsidRPr="00E43838">
        <w:rPr>
          <w:rFonts w:ascii="Times New Roman" w:hAnsi="Times New Roman" w:cs="Times New Roman"/>
        </w:rPr>
        <w:t>DI20</w:t>
      </w:r>
      <w:r w:rsidR="00755BBB">
        <w:rPr>
          <w:rFonts w:ascii="Times New Roman" w:hAnsi="Times New Roman" w:cs="Times New Roman"/>
        </w:rPr>
        <w:t>20</w:t>
      </w:r>
      <w:r w:rsidRPr="00E43838">
        <w:rPr>
          <w:rFonts w:ascii="Times New Roman" w:hAnsi="Times New Roman" w:cs="Times New Roman"/>
        </w:rPr>
        <w:noBreakHyphen/>
      </w:r>
      <w:r w:rsidR="00755BBB">
        <w:rPr>
          <w:rFonts w:ascii="Times New Roman" w:hAnsi="Times New Roman" w:cs="Times New Roman"/>
        </w:rPr>
        <w:t>151</w:t>
      </w:r>
      <w:r w:rsidRPr="00E43838">
        <w:rPr>
          <w:rFonts w:ascii="Times New Roman" w:hAnsi="Times New Roman" w:cs="Times New Roman"/>
          <w:i/>
        </w:rPr>
        <w:t>.</w:t>
      </w:r>
    </w:p>
    <w:p w14:paraId="3132BF4C" w14:textId="77777777" w:rsidR="00305144" w:rsidRDefault="00305144">
      <w:pPr>
        <w:rPr>
          <w:rFonts w:ascii="Times New Roman" w:hAnsi="Times New Roman" w:cs="Times New Roman"/>
        </w:rPr>
      </w:pPr>
    </w:p>
    <w:p w14:paraId="02E18F72" w14:textId="77777777" w:rsidR="00973065" w:rsidRDefault="00973065">
      <w:pPr>
        <w:rPr>
          <w:rFonts w:ascii="Times New Roman" w:hAnsi="Times New Roman" w:cs="Times New Roman"/>
        </w:rPr>
      </w:pPr>
    </w:p>
    <w:p w14:paraId="2248AACF" w14:textId="77777777" w:rsidR="00305144" w:rsidRDefault="00305144">
      <w:pPr>
        <w:rPr>
          <w:rFonts w:ascii="Times New Roman" w:hAnsi="Times New Roman" w:cs="Times New Roman"/>
        </w:rPr>
      </w:pPr>
    </w:p>
    <w:p w14:paraId="58CD88FD" w14:textId="18011C0A" w:rsidR="00020AA2" w:rsidRDefault="00994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Shane </w:t>
      </w:r>
      <w:proofErr w:type="spellStart"/>
      <w:r>
        <w:rPr>
          <w:rFonts w:ascii="Times New Roman" w:hAnsi="Times New Roman" w:cs="Times New Roman"/>
        </w:rPr>
        <w:t>Rattenbury</w:t>
      </w:r>
      <w:proofErr w:type="spellEnd"/>
      <w:r>
        <w:rPr>
          <w:rFonts w:ascii="Times New Roman" w:hAnsi="Times New Roman" w:cs="Times New Roman"/>
        </w:rPr>
        <w:t xml:space="preserve"> </w:t>
      </w:r>
      <w:r w:rsidR="00020AA2">
        <w:rPr>
          <w:rFonts w:ascii="Times New Roman" w:hAnsi="Times New Roman" w:cs="Times New Roman"/>
        </w:rPr>
        <w:t>MLA</w:t>
      </w:r>
    </w:p>
    <w:p w14:paraId="600D2ED2" w14:textId="77777777" w:rsidR="00A627DE" w:rsidRDefault="00383AB8" w:rsidP="00A62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Attorney-</w:t>
      </w:r>
      <w:r w:rsidR="00020AA2">
        <w:rPr>
          <w:rFonts w:ascii="Times New Roman" w:hAnsi="Times New Roman" w:cs="Times New Roman"/>
        </w:rPr>
        <w:t>General</w:t>
      </w:r>
    </w:p>
    <w:p w14:paraId="74CA111E" w14:textId="77777777" w:rsidR="000E3D23" w:rsidRDefault="000E3D23">
      <w:pPr>
        <w:rPr>
          <w:rFonts w:ascii="Times New Roman" w:hAnsi="Times New Roman" w:cs="Times New Roman"/>
        </w:rPr>
      </w:pPr>
    </w:p>
    <w:p w14:paraId="06FF9C25" w14:textId="294A691A" w:rsidR="00020AA2" w:rsidRDefault="00B22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044B07">
        <w:rPr>
          <w:rFonts w:ascii="Times New Roman" w:hAnsi="Times New Roman" w:cs="Times New Roman"/>
        </w:rPr>
        <w:t xml:space="preserve"> </w:t>
      </w:r>
      <w:r w:rsidR="008421A6">
        <w:rPr>
          <w:rFonts w:ascii="Times New Roman" w:hAnsi="Times New Roman" w:cs="Times New Roman"/>
        </w:rPr>
        <w:t>May</w:t>
      </w:r>
      <w:r w:rsidR="006E77E3" w:rsidRPr="00D9756A">
        <w:rPr>
          <w:rFonts w:ascii="Times New Roman" w:hAnsi="Times New Roman" w:cs="Times New Roman"/>
        </w:rPr>
        <w:t xml:space="preserve"> </w:t>
      </w:r>
      <w:r w:rsidR="00726DF0" w:rsidRPr="00D9756A">
        <w:rPr>
          <w:rFonts w:ascii="Times New Roman" w:hAnsi="Times New Roman" w:cs="Times New Roman"/>
        </w:rPr>
        <w:t>20</w:t>
      </w:r>
      <w:r w:rsidR="00722244">
        <w:rPr>
          <w:rFonts w:ascii="Times New Roman" w:hAnsi="Times New Roman" w:cs="Times New Roman"/>
        </w:rPr>
        <w:t>2</w:t>
      </w:r>
      <w:r w:rsidR="00F10E7B">
        <w:rPr>
          <w:rFonts w:ascii="Times New Roman" w:hAnsi="Times New Roman" w:cs="Times New Roman"/>
        </w:rPr>
        <w:t>1</w:t>
      </w:r>
    </w:p>
    <w:p w14:paraId="1715EED1" w14:textId="77777777" w:rsidR="00C67536" w:rsidRDefault="00C67536">
      <w:pPr>
        <w:rPr>
          <w:rFonts w:ascii="Times New Roman" w:hAnsi="Times New Roman" w:cs="Times New Roman"/>
        </w:rPr>
        <w:sectPr w:rsidR="00C67536" w:rsidSect="009965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</w:p>
    <w:tbl>
      <w:tblPr>
        <w:tblW w:w="113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89"/>
        <w:gridCol w:w="6802"/>
        <w:gridCol w:w="2366"/>
        <w:gridCol w:w="203"/>
        <w:gridCol w:w="1013"/>
      </w:tblGrid>
      <w:tr w:rsidR="00A46B25" w:rsidRPr="00570E69" w14:paraId="2C31430A" w14:textId="77777777" w:rsidTr="001C05D9">
        <w:trPr>
          <w:trHeight w:val="375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78451" w14:textId="77777777" w:rsidR="00913D90" w:rsidRPr="00570E69" w:rsidRDefault="00913D90" w:rsidP="00913D90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 w:rsidRPr="00570E69">
              <w:rPr>
                <w:b/>
                <w:bCs/>
              </w:rPr>
              <w:lastRenderedPageBreak/>
              <w:t>SCHEDULE</w:t>
            </w:r>
            <w:r w:rsidR="006C6345">
              <w:t xml:space="preserve"> –</w:t>
            </w:r>
            <w:r w:rsidRPr="00570E69">
              <w:t xml:space="preserve"> </w:t>
            </w:r>
            <w:r w:rsidRPr="00570E69">
              <w:rPr>
                <w:b/>
                <w:bCs/>
              </w:rPr>
              <w:t>FEES AND CHARGES TO BE PAID</w:t>
            </w:r>
          </w:p>
          <w:p w14:paraId="671C00B3" w14:textId="77777777" w:rsidR="00913D90" w:rsidRPr="00570E69" w:rsidRDefault="00913D90" w:rsidP="00913D90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5164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53"/>
              <w:gridCol w:w="6340"/>
              <w:gridCol w:w="325"/>
              <w:gridCol w:w="2510"/>
              <w:gridCol w:w="2510"/>
              <w:gridCol w:w="2510"/>
            </w:tblGrid>
            <w:tr w:rsidR="00913D90" w:rsidRPr="00570E69" w14:paraId="61E4BA8C" w14:textId="77777777" w:rsidTr="002A23EA">
              <w:trPr>
                <w:gridAfter w:val="2"/>
                <w:wAfter w:w="5020" w:type="dxa"/>
                <w:trHeight w:val="984"/>
                <w:tblHeader/>
              </w:trPr>
              <w:tc>
                <w:tcPr>
                  <w:tcW w:w="816" w:type="dxa"/>
                  <w:hideMark/>
                </w:tcPr>
                <w:p w14:paraId="3853B4BC" w14:textId="77777777" w:rsidR="00913D90" w:rsidRPr="00570E69" w:rsidRDefault="00913D90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 w:rsidRPr="00570E69"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7E4964BD" w14:textId="77777777" w:rsidR="00913D90" w:rsidRPr="00570E69" w:rsidRDefault="00913D90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</w:rPr>
                  </w:pPr>
                  <w:r w:rsidRPr="00570E69">
                    <w:rPr>
                      <w:snapToGrid w:val="0"/>
                      <w:color w:val="000000"/>
                      <w:sz w:val="22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  <w:hideMark/>
                </w:tcPr>
                <w:p w14:paraId="60AA9BB2" w14:textId="77777777" w:rsidR="00913D90" w:rsidRPr="00570E69" w:rsidRDefault="00913D90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 w:rsidRPr="00570E69"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0C23F161" w14:textId="77777777" w:rsidR="00913D90" w:rsidRPr="00570E69" w:rsidRDefault="00913D90">
                  <w:pPr>
                    <w:widowControl w:val="0"/>
                    <w:spacing w:before="60" w:after="60" w:line="276" w:lineRule="auto"/>
                    <w:rPr>
                      <w:snapToGrid w:val="0"/>
                    </w:rPr>
                  </w:pPr>
                  <w:r w:rsidRPr="00570E69"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2"/>
                </w:tcPr>
                <w:p w14:paraId="59EFD76D" w14:textId="77777777" w:rsidR="00913D90" w:rsidRPr="00570E69" w:rsidRDefault="00913D90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 w:rsidRPr="00570E69"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61284B7C" w14:textId="77777777" w:rsidR="00913D90" w:rsidRPr="00E43838" w:rsidRDefault="00913D90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</w:rPr>
                  </w:pPr>
                  <w:r w:rsidRPr="00570E69">
                    <w:rPr>
                      <w:snapToGrid w:val="0"/>
                      <w:color w:val="000000"/>
                    </w:rPr>
                    <w:t>Amount Payable</w:t>
                  </w:r>
                </w:p>
              </w:tc>
            </w:tr>
            <w:tr w:rsidR="00514A90" w:rsidRPr="00570E69" w14:paraId="0AF7EB4E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1ED5794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bookmarkStart w:id="2" w:name="_Consumer_Credit__Administration_"/>
                  <w:bookmarkStart w:id="3" w:name="_Liquor_Act_1975"/>
                  <w:bookmarkEnd w:id="2"/>
                  <w:bookmarkEnd w:id="3"/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MISCELLANEOUS CHARGES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7E9A929F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5080F63C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640AC775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C92AF3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7258B76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4D5A99D9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7E733389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64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48D0383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any service not dealt within any other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items in this determination.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50CC6C11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586F45DA" w14:textId="77777777" w:rsidTr="002A23EA">
              <w:trPr>
                <w:gridAfter w:val="2"/>
                <w:wAfter w:w="5020" w:type="dxa"/>
                <w:trHeight w:val="1125"/>
              </w:trPr>
              <w:tc>
                <w:tcPr>
                  <w:tcW w:w="969" w:type="dxa"/>
                  <w:gridSpan w:val="2"/>
                  <w:hideMark/>
                </w:tcPr>
                <w:p w14:paraId="27CCF339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C9B9FEE" w14:textId="77777777" w:rsidR="00514A90" w:rsidRPr="004A101F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4A101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Where property is involved</w:t>
                  </w:r>
                </w:p>
              </w:tc>
              <w:tc>
                <w:tcPr>
                  <w:tcW w:w="2510" w:type="dxa"/>
                  <w:hideMark/>
                </w:tcPr>
                <w:p w14:paraId="0E867CD2" w14:textId="4C369A06" w:rsidR="008A0BA0" w:rsidRPr="00E047C4" w:rsidRDefault="00514A90" w:rsidP="003E1D8E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1.10 % </w:t>
                  </w:r>
                  <w:r w:rsidR="00B26AAA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(including 10% GST)</w:t>
                  </w:r>
                  <w:r w:rsidR="00783B18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of moneys received and/or the standard fee as per the scale chargeable for estate administration (or such lesser fee as is agreed between the recipient of the service and the Public Trustee</w:t>
                  </w:r>
                  <w:r w:rsidR="00C550B5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)</w:t>
                  </w:r>
                  <w:r w:rsidR="00FD55B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3F97A7DE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3FD79390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C44CD35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Where property is not involved</w:t>
                  </w:r>
                </w:p>
              </w:tc>
              <w:tc>
                <w:tcPr>
                  <w:tcW w:w="2510" w:type="dxa"/>
                  <w:hideMark/>
                </w:tcPr>
                <w:p w14:paraId="2B2EDB16" w14:textId="65BFBD68" w:rsidR="008A0BA0" w:rsidRPr="00E047C4" w:rsidRDefault="003C67C3" w:rsidP="003E1D8E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2</w:t>
                  </w:r>
                  <w:r w:rsidR="00A959F2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93</w:t>
                  </w:r>
                  <w:r w:rsidR="00514A90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 (including 10% GST) per hour</w:t>
                  </w:r>
                  <w:r w:rsidR="00FD55B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514A90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36459362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380FD76D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2C83A07" w14:textId="77777777" w:rsidR="00514A90" w:rsidRPr="004A101F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4A101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Where unclaimed money is administered</w:t>
                  </w:r>
                </w:p>
              </w:tc>
              <w:tc>
                <w:tcPr>
                  <w:tcW w:w="2510" w:type="dxa"/>
                  <w:hideMark/>
                </w:tcPr>
                <w:p w14:paraId="6C2E69D1" w14:textId="77777777" w:rsidR="006C2DA2" w:rsidRDefault="005F7635" w:rsidP="006C2DA2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$7</w:t>
                  </w:r>
                  <w:r w:rsidR="00A959F2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7</w:t>
                  </w:r>
                  <w:r w:rsidR="00514A90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</w:t>
                  </w:r>
                  <w:r w:rsidR="008A0BA0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783B18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(including 10% GST)</w:t>
                  </w:r>
                  <w:r w:rsidR="00FD55B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783B18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  <w:p w14:paraId="175F18C2" w14:textId="06B5E1FF" w:rsidR="006C2DA2" w:rsidRPr="00E047C4" w:rsidRDefault="0099640A" w:rsidP="006C2DA2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  <w:tr w:rsidR="00514A90" w:rsidRPr="00570E69" w14:paraId="64EDEA6F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633E654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7CFCDB4" w14:textId="55790C26" w:rsidR="00514A90" w:rsidRPr="00AD079F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Provided that, where unclaimed money is administered, the Public Trustee</w:t>
                  </w:r>
                  <w:r w:rsidR="00C550B5"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may exempt the payment of the fee by class or specific sum</w:t>
                  </w:r>
                </w:p>
                <w:p w14:paraId="0FDC3691" w14:textId="77777777" w:rsidR="0079304E" w:rsidRPr="00AD079F" w:rsidRDefault="0079304E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  <w:p w14:paraId="784576B4" w14:textId="77777777" w:rsidR="00A62ED1" w:rsidRDefault="0079304E" w:rsidP="006C2DA2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4910F2"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the fees </w:t>
                  </w:r>
                  <w:r w:rsid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rate was the same</w:t>
                  </w:r>
                  <w:r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3017E22F" w14:textId="0AABB294" w:rsidR="006C2DA2" w:rsidRPr="00AD079F" w:rsidRDefault="0099640A" w:rsidP="006C2DA2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1F4CEB5C" w14:textId="77777777" w:rsidR="00514A90" w:rsidRPr="00FD55BB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highlight w:val="magenta"/>
                      <w:lang w:val="en-US" w:eastAsia="zh-CN"/>
                    </w:rPr>
                  </w:pPr>
                </w:p>
              </w:tc>
            </w:tr>
            <w:tr w:rsidR="00514A90" w:rsidRPr="00570E69" w14:paraId="3FA1950F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16477F24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9DD8D6A" w14:textId="4D5D42B1" w:rsidR="00890D54" w:rsidRPr="00AD079F" w:rsidRDefault="00890D54" w:rsidP="00973065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For any</w:t>
                  </w:r>
                  <w:r w:rsidR="00BD0557"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other</w:t>
                  </w:r>
                  <w:r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service not dealt within any other Public Trustee and Guardian items in this determination, where the matter is complex</w:t>
                  </w:r>
                </w:p>
                <w:p w14:paraId="22CE833E" w14:textId="678DA242" w:rsidR="0079304E" w:rsidRPr="00AD079F" w:rsidRDefault="0079304E" w:rsidP="00973065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  <w:p w14:paraId="3DDE1286" w14:textId="77777777" w:rsidR="00890D54" w:rsidRDefault="0079304E" w:rsidP="003E1D8E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AD079F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This is a new fee</w:t>
                  </w:r>
                  <w:r w:rsidR="004910F2"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introduced </w:t>
                  </w:r>
                  <w:r w:rsidR="00F2688C"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as part of this instrument</w:t>
                  </w:r>
                  <w:r w:rsidRPr="00AD079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4D733F1A" w14:textId="77777777" w:rsidR="003E1D8E" w:rsidRDefault="003E1D8E" w:rsidP="003E1D8E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  <w:p w14:paraId="4FE5413F" w14:textId="77EEA16B" w:rsidR="003E1D8E" w:rsidRPr="00AD079F" w:rsidRDefault="0099640A" w:rsidP="003E1D8E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2904FE6E" w14:textId="7E0E77A4" w:rsidR="00514A90" w:rsidRPr="00FD55BB" w:rsidRDefault="00890D54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FD55BB"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  <w:t>$450.00 (including GST) per hour</w:t>
                  </w:r>
                </w:p>
              </w:tc>
            </w:tr>
            <w:tr w:rsidR="00514A90" w:rsidRPr="00570E69" w14:paraId="5C8844DA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34E024C9" w14:textId="77777777" w:rsidR="00514A90" w:rsidRPr="007A417E" w:rsidRDefault="00514A90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15EFFFAD" w14:textId="77777777" w:rsidR="00514A90" w:rsidRPr="007A417E" w:rsidRDefault="00514A90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33303C5B" w14:textId="77777777" w:rsidR="00514A90" w:rsidRPr="007A417E" w:rsidRDefault="00514A90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3818A6E1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243F94BE" w14:textId="77777777" w:rsidR="00514A90" w:rsidRDefault="00514A90" w:rsidP="003E1D8E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68676930" w14:textId="77777777" w:rsidR="003E1D8E" w:rsidRDefault="003E1D8E" w:rsidP="003E1D8E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  <w:p w14:paraId="3AC1CE6B" w14:textId="06FADF93" w:rsidR="003E1D8E" w:rsidRPr="007A417E" w:rsidRDefault="0099640A" w:rsidP="003E1D8E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  <w:tr w:rsidR="00514A90" w:rsidRPr="00570E69" w14:paraId="79EF7FCB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24C6CE92" w14:textId="77777777" w:rsidR="00514A90" w:rsidRPr="007A417E" w:rsidRDefault="00514A90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668C2994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740676E5" w14:textId="77777777" w:rsidR="00514A90" w:rsidRPr="007A417E" w:rsidRDefault="00514A90" w:rsidP="00021663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ACTING AS AGENT</w:t>
                  </w:r>
                  <w:r w:rsidR="005B1C77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 xml:space="preserve">, </w:t>
                  </w: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ATTORNE</w:t>
                  </w:r>
                  <w:r w:rsidR="00021663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Y OR FINANCIAL MANAGER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370C1B9D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7F43D993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2A2400E9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243C4EF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3CE6D9F1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578B4D10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68FED33D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65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12FAA84D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35173CFC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0CEE2C0C" w14:textId="77777777" w:rsidTr="002A23EA">
              <w:trPr>
                <w:gridAfter w:val="2"/>
                <w:wAfter w:w="5020" w:type="dxa"/>
                <w:trHeight w:val="900"/>
              </w:trPr>
              <w:tc>
                <w:tcPr>
                  <w:tcW w:w="969" w:type="dxa"/>
                  <w:gridSpan w:val="2"/>
                  <w:hideMark/>
                </w:tcPr>
                <w:p w14:paraId="16183D86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66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AFD07EF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Acting as an agent, attorney or financial manager in administering or managing property. </w:t>
                  </w:r>
                </w:p>
              </w:tc>
              <w:tc>
                <w:tcPr>
                  <w:tcW w:w="2510" w:type="dxa"/>
                  <w:hideMark/>
                </w:tcPr>
                <w:p w14:paraId="182635E4" w14:textId="1DE92D2C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1.10% of moneys received and/or the standard fee as per the scale chargeable for estate administration, on </w:t>
                  </w:r>
                  <w:proofErr w:type="spellStart"/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non monetary</w:t>
                  </w:r>
                  <w:proofErr w:type="spellEnd"/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assets</w:t>
                  </w:r>
                  <w:r w:rsidR="00C94A8E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(including 10% GST)</w:t>
                  </w:r>
                  <w:r w:rsidR="00FD55B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44E3441B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281C6F06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5DC0887" w14:textId="7881C93C" w:rsidR="00514A90" w:rsidRPr="007A417E" w:rsidRDefault="00514A90" w:rsidP="00E0409E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5F7635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rate</w:t>
                  </w:r>
                  <w:r w:rsidR="005F7635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was the same.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45400A9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7C04DE1B" w14:textId="77777777" w:rsidTr="00AB27C6">
              <w:trPr>
                <w:gridAfter w:val="2"/>
                <w:wAfter w:w="5020" w:type="dxa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5DB8A64F" w14:textId="77777777" w:rsidR="00514A90" w:rsidRPr="007A417E" w:rsidRDefault="00514A90" w:rsidP="00AB27C6">
                  <w:pPr>
                    <w:spacing w:after="40"/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0FD11120" w14:textId="77777777" w:rsidR="00514A90" w:rsidRPr="007A417E" w:rsidRDefault="00514A90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628AA5BB" w14:textId="77777777" w:rsidR="00514A90" w:rsidRPr="007A417E" w:rsidRDefault="00514A90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126E46E0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61C9B694" w14:textId="77777777" w:rsidR="00514A90" w:rsidRPr="007A417E" w:rsidRDefault="00514A90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</w:tr>
            <w:tr w:rsidR="00514A90" w:rsidRPr="00570E69" w14:paraId="77D82A06" w14:textId="77777777" w:rsidTr="002A23EA">
              <w:trPr>
                <w:gridAfter w:val="2"/>
                <w:wAfter w:w="5020" w:type="dxa"/>
                <w:trHeight w:val="276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2BA1C390" w14:textId="77777777" w:rsidR="00514A90" w:rsidRPr="007A417E" w:rsidRDefault="00514A90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7CA6E8F5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3AD129A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537E714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4CA8A3F6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1A5A5C72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2A4401FB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COLLECTION OF INCOME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0E0CC125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285ACA37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17993724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BE51C9E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4F87D09C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594AFB2B" w14:textId="77777777" w:rsidTr="002A23EA">
              <w:trPr>
                <w:gridAfter w:val="2"/>
                <w:wAfter w:w="5020" w:type="dxa"/>
                <w:trHeight w:val="675"/>
              </w:trPr>
              <w:tc>
                <w:tcPr>
                  <w:tcW w:w="969" w:type="dxa"/>
                  <w:gridSpan w:val="2"/>
                  <w:hideMark/>
                </w:tcPr>
                <w:p w14:paraId="3E0C55C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A439D2A" w14:textId="77777777" w:rsidR="00514A90" w:rsidRPr="00E047C4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Income commission on all gross income and on common fund or managed fund distributions, including realized capital gains and tax-free components received by the Public Trustee</w:t>
                  </w:r>
                  <w:r w:rsidR="00C550B5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acting in any capacity. 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0EF1475A" w14:textId="77777777" w:rsidR="00514A90" w:rsidRPr="00E047C4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4D1A119F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C9298A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EF73E6D" w14:textId="77777777" w:rsidR="00514A90" w:rsidRPr="00E047C4" w:rsidRDefault="00514A90" w:rsidP="00666707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Where the Public Trustee</w:t>
                  </w:r>
                  <w:r w:rsidR="00C550B5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receives income</w:t>
                  </w:r>
                </w:p>
              </w:tc>
              <w:tc>
                <w:tcPr>
                  <w:tcW w:w="2510" w:type="dxa"/>
                  <w:hideMark/>
                </w:tcPr>
                <w:p w14:paraId="3E228376" w14:textId="0710EC31" w:rsidR="00514A90" w:rsidRPr="00E047C4" w:rsidRDefault="00CE0ABF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1B6B5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0 %</w:t>
                  </w:r>
                  <w:r w:rsidR="00C94A8E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C94A8E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(including 10% GST)</w:t>
                  </w:r>
                  <w:r w:rsidR="00FD55B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006EBAF9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7C22CCBC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E154F8A" w14:textId="1C42A6E4" w:rsidR="00514A90" w:rsidRPr="007A417E" w:rsidRDefault="00514A90" w:rsidP="004577D4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Under the Public Trustee and Guardian (Fees) Determination 2020 DI2020-151, which set the fees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and charges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from 1 July 2020 until the commencement of this instrument, </w:t>
                  </w:r>
                  <w:r w:rsidR="00F2688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percentage commission</w:t>
                  </w:r>
                  <w:r w:rsidR="00F2688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CE0AB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was 5.5</w:t>
                  </w:r>
                  <w:r w:rsid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="00CE0AB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%.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72995C16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4D0D2A5B" w14:textId="77777777" w:rsidTr="00AB27C6">
              <w:trPr>
                <w:gridAfter w:val="2"/>
                <w:wAfter w:w="5020" w:type="dxa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3307830D" w14:textId="3114814E" w:rsidR="00514A90" w:rsidRPr="007A417E" w:rsidRDefault="00514A90" w:rsidP="00AB27C6">
                  <w:pPr>
                    <w:spacing w:after="40"/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423B6416" w14:textId="77777777" w:rsidR="00514A90" w:rsidRPr="007A417E" w:rsidRDefault="00514A90" w:rsidP="00AB27C6">
                  <w:pPr>
                    <w:spacing w:after="40"/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7B7B8794" w14:textId="77777777" w:rsidR="00514A90" w:rsidRPr="007A417E" w:rsidRDefault="00514A90" w:rsidP="00AB27C6">
                  <w:pPr>
                    <w:spacing w:after="40"/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71AAB6E9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0AA22C7C" w14:textId="77777777" w:rsidR="00514A90" w:rsidRDefault="00514A90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0D1ECCFD" w14:textId="54A2F51D" w:rsidR="006C2DA2" w:rsidRPr="007A417E" w:rsidRDefault="006C2DA2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28878C4A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3D3800E8" w14:textId="77777777" w:rsidR="00514A90" w:rsidRPr="007A417E" w:rsidRDefault="00514A90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1D120AEC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1ED22F3C" w14:textId="77777777" w:rsidR="00514A90" w:rsidRPr="007A417E" w:rsidRDefault="00514A90" w:rsidP="00BC3330">
                  <w:pPr>
                    <w:keepNext/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lastRenderedPageBreak/>
                    <w:t>ESTATE ADMINISTRATION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006AD24A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57D7DF77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5839AF64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80A6263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016D440A" w14:textId="77777777" w:rsidR="00514A90" w:rsidRPr="00E047C4" w:rsidRDefault="00514A90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514A90" w:rsidRPr="00570E69" w14:paraId="0B13BA32" w14:textId="77777777" w:rsidTr="00C03A84">
              <w:trPr>
                <w:gridAfter w:val="2"/>
                <w:wAfter w:w="5020" w:type="dxa"/>
              </w:trPr>
              <w:tc>
                <w:tcPr>
                  <w:tcW w:w="969" w:type="dxa"/>
                  <w:gridSpan w:val="2"/>
                  <w:hideMark/>
                </w:tcPr>
                <w:p w14:paraId="0FA4BC0A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68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DCE887A" w14:textId="00409883" w:rsidR="00F3766A" w:rsidRPr="007A417E" w:rsidRDefault="00C13B8B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Obtaining a grant of representation and/or administering the estate of a deceased person. The fee is based on the gross capital value of the estate excluding the value of the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land, being the family</w:t>
                  </w: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home of the deceased and the beneficiary where the home is transferred to the partner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F67B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sake of clarity, no fee will be charged on 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the transfer of </w:t>
                  </w: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that 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land</w:t>
                  </w: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where the 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land, being the family </w:t>
                  </w: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home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</w:t>
                  </w:r>
                  <w:r w:rsidRPr="00C13B8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is transferred to the partner.</w:t>
                  </w:r>
                </w:p>
              </w:tc>
              <w:tc>
                <w:tcPr>
                  <w:tcW w:w="2510" w:type="dxa"/>
                  <w:hideMark/>
                </w:tcPr>
                <w:p w14:paraId="375676AE" w14:textId="49277949" w:rsidR="00514A90" w:rsidRPr="00E047C4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4.40 % of the first $</w:t>
                  </w:r>
                  <w:r w:rsidR="00CE0AB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00,000</w:t>
                  </w:r>
                  <w:r w:rsidR="005263E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5263E3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(including 10% GST);</w:t>
                  </w:r>
                </w:p>
              </w:tc>
            </w:tr>
            <w:tr w:rsidR="00514A90" w:rsidRPr="00570E69" w14:paraId="55C48DF6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0EDAC07F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91781AE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hideMark/>
                </w:tcPr>
                <w:p w14:paraId="6EF2055C" w14:textId="0D80435B" w:rsidR="00882445" w:rsidRPr="00E047C4" w:rsidRDefault="00514A90" w:rsidP="00E1206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3.30 % of the next $</w:t>
                  </w:r>
                  <w:r w:rsidR="00CE0AB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00,000</w:t>
                  </w:r>
                  <w:r w:rsidR="005263E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5263E3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(including 10% GST)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;</w:t>
                  </w:r>
                </w:p>
              </w:tc>
            </w:tr>
            <w:tr w:rsidR="00514A90" w:rsidRPr="00570E69" w14:paraId="7CF8F275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7086F3CD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443ECB9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hideMark/>
                </w:tcPr>
                <w:p w14:paraId="0A7D1E1D" w14:textId="0CA4A3DF" w:rsidR="00882445" w:rsidRPr="00E047C4" w:rsidRDefault="00514A90" w:rsidP="00E1206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2.20 % </w:t>
                  </w:r>
                  <w:r w:rsidR="005263E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of the next $</w:t>
                  </w:r>
                  <w:r w:rsidR="00CE0AB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</w:t>
                  </w:r>
                  <w:r w:rsidR="005263E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00,000 </w:t>
                  </w:r>
                  <w:r w:rsidR="005263E3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(including 10% GST);   </w:t>
                  </w:r>
                </w:p>
              </w:tc>
            </w:tr>
            <w:tr w:rsidR="00514A90" w:rsidRPr="00570E69" w14:paraId="4347110F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757A6DFC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4DA4392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hideMark/>
                </w:tcPr>
                <w:p w14:paraId="02990450" w14:textId="232F6320" w:rsidR="00882445" w:rsidRPr="00E047C4" w:rsidRDefault="00514A90" w:rsidP="00E12065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1.10 % of t</w:t>
                  </w:r>
                  <w:r w:rsidR="005263E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he amount greater than $</w:t>
                  </w:r>
                  <w:r w:rsidR="00CE0AB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</w:t>
                  </w:r>
                  <w:r w:rsidR="005263E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00,000 </w:t>
                  </w:r>
                  <w:r w:rsidR="005263E3" w:rsidRPr="00E047C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(including 10% GST);   </w:t>
                  </w:r>
                </w:p>
              </w:tc>
            </w:tr>
            <w:tr w:rsidR="00514A90" w:rsidRPr="00570E69" w14:paraId="7672E9DB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1866356F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41CAAA8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hideMark/>
                </w:tcPr>
                <w:p w14:paraId="7ACBC5DF" w14:textId="314ED9B0" w:rsidR="00514A90" w:rsidRPr="00E047C4" w:rsidRDefault="00421AAF" w:rsidP="00E047C4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with</w:t>
                  </w:r>
                  <w:r w:rsidR="003C67C3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 minimum of $2,</w:t>
                  </w:r>
                  <w:r w:rsidR="00CE0AB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880</w:t>
                  </w:r>
                  <w:r w:rsidR="004A474B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.00 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(including 10% GST)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7EFF45A4" w14:textId="77777777" w:rsidTr="002A23EA">
              <w:trPr>
                <w:gridAfter w:val="2"/>
                <w:wAfter w:w="5020" w:type="dxa"/>
                <w:trHeight w:val="675"/>
              </w:trPr>
              <w:tc>
                <w:tcPr>
                  <w:tcW w:w="969" w:type="dxa"/>
                  <w:gridSpan w:val="2"/>
                  <w:hideMark/>
                </w:tcPr>
                <w:p w14:paraId="31825B7D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253165E" w14:textId="77777777" w:rsidR="00E12065" w:rsidRDefault="00514A90" w:rsidP="00BC1F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15225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fee rates were 4.4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%, 3.3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%, 2.2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% and 1.1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% respectively with a minimum of </w:t>
                  </w:r>
                  <w:r w:rsidR="00954A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$2,</w:t>
                  </w:r>
                  <w:r w:rsidR="002A637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618</w:t>
                  </w:r>
                  <w:r w:rsidR="00954A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(including 10% GST)</w:t>
                  </w:r>
                  <w:r w:rsidR="00F3766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  <w:r w:rsidR="002A637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The asset value has been increased from increments of $200,000 to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increments of </w:t>
                  </w:r>
                  <w:r w:rsidR="002A637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$300,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="002A637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00. The minimum estate administration fee has been increased from $2,</w:t>
                  </w:r>
                  <w:r w:rsidR="008502F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618</w:t>
                  </w:r>
                  <w:r w:rsidR="002A637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(including 10% GST) to $2,880.00 (including 10% GST).</w:t>
                  </w:r>
                </w:p>
                <w:p w14:paraId="70FC97A9" w14:textId="615FC751" w:rsidR="00BC1F6F" w:rsidRPr="007A417E" w:rsidRDefault="0099640A" w:rsidP="00BC1F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255312A7" w14:textId="77777777" w:rsidR="00514A90" w:rsidRPr="00E047C4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73637B10" w14:textId="77777777" w:rsidTr="002A23EA">
              <w:trPr>
                <w:gridAfter w:val="2"/>
                <w:wAfter w:w="5020" w:type="dxa"/>
                <w:trHeight w:val="675"/>
              </w:trPr>
              <w:tc>
                <w:tcPr>
                  <w:tcW w:w="969" w:type="dxa"/>
                  <w:gridSpan w:val="2"/>
                  <w:hideMark/>
                </w:tcPr>
                <w:p w14:paraId="221F8E87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69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FABA4E4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Transferring or conveying the</w:t>
                  </w:r>
                  <w:r w:rsidR="00F3766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land being the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home (as defined in the first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item above) and/or assets held as joint tenants to the surviving partner.</w:t>
                  </w:r>
                </w:p>
              </w:tc>
              <w:tc>
                <w:tcPr>
                  <w:tcW w:w="2510" w:type="dxa"/>
                  <w:hideMark/>
                </w:tcPr>
                <w:p w14:paraId="66E17C1E" w14:textId="1E797FEB" w:rsidR="00514A90" w:rsidRPr="00E047C4" w:rsidRDefault="003C67C3" w:rsidP="00E047C4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4B68C1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4B68C1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375C4BF6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4A7511CB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9776D12" w14:textId="77777777" w:rsidR="00BC1F6F" w:rsidRDefault="00514A90" w:rsidP="00BC1F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</w:t>
                  </w:r>
                  <w:r w:rsidR="003C67C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fee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was the same</w:t>
                  </w:r>
                  <w:r w:rsidR="00477D6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083871B1" w14:textId="326E621E" w:rsidR="00BC1F6F" w:rsidRPr="007A417E" w:rsidRDefault="0099640A" w:rsidP="00BC1F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786E37B6" w14:textId="77777777" w:rsidR="00514A90" w:rsidRPr="00E047C4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24B1673F" w14:textId="77777777" w:rsidTr="002A23EA">
              <w:trPr>
                <w:gridAfter w:val="2"/>
                <w:wAfter w:w="5020" w:type="dxa"/>
                <w:trHeight w:val="900"/>
              </w:trPr>
              <w:tc>
                <w:tcPr>
                  <w:tcW w:w="969" w:type="dxa"/>
                  <w:gridSpan w:val="2"/>
                  <w:hideMark/>
                </w:tcPr>
                <w:p w14:paraId="6ADAE62B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6ABCFC99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Where a fee is not payable under the first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item above and where administration of an estate is commenced by the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but completed by another executor or administrator or person other than at the initiative of the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510" w:type="dxa"/>
                  <w:hideMark/>
                </w:tcPr>
                <w:p w14:paraId="6F3378E2" w14:textId="79119428" w:rsidR="00514A90" w:rsidRPr="00E047C4" w:rsidRDefault="003C67C3" w:rsidP="00E047C4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4B68C1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4B68C1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514A90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514A90" w:rsidRPr="00570E69" w14:paraId="0EDECD9E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44D29A27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2429A40" w14:textId="77777777" w:rsidR="00BC1F6F" w:rsidRDefault="00514A90" w:rsidP="00A62ED1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2038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5E70A1D5" w14:textId="4FB6DDC2" w:rsidR="00A62ED1" w:rsidRPr="007A417E" w:rsidRDefault="0099640A" w:rsidP="00A62ED1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21FD5627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514A90" w:rsidRPr="00570E69" w14:paraId="45C4E809" w14:textId="77777777" w:rsidTr="002A23EA">
              <w:trPr>
                <w:gridAfter w:val="2"/>
                <w:wAfter w:w="5020" w:type="dxa"/>
                <w:trHeight w:val="379"/>
              </w:trPr>
              <w:tc>
                <w:tcPr>
                  <w:tcW w:w="969" w:type="dxa"/>
                  <w:gridSpan w:val="2"/>
                  <w:hideMark/>
                </w:tcPr>
                <w:p w14:paraId="1482E9C3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D4E9CA0" w14:textId="77777777" w:rsidR="00B75DEA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</w:t>
                  </w:r>
                  <w:r w:rsidR="00CE470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K</w:t>
                  </w:r>
                </w:p>
              </w:tc>
              <w:tc>
                <w:tcPr>
                  <w:tcW w:w="2510" w:type="dxa"/>
                  <w:hideMark/>
                </w:tcPr>
                <w:p w14:paraId="4BDBAE92" w14:textId="77777777" w:rsidR="00514A90" w:rsidRPr="007A417E" w:rsidRDefault="00514A9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42684A71" w14:textId="77777777" w:rsidTr="0091107A">
              <w:tc>
                <w:tcPr>
                  <w:tcW w:w="10144" w:type="dxa"/>
                  <w:gridSpan w:val="5"/>
                  <w:tcBorders>
                    <w:bottom w:val="nil"/>
                  </w:tcBorders>
                  <w:hideMark/>
                </w:tcPr>
                <w:p w14:paraId="2E0688AC" w14:textId="77777777" w:rsidR="00B75DEA" w:rsidRDefault="00B75DEA" w:rsidP="00B75DEA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  <w:p w14:paraId="4BB5FB6F" w14:textId="77777777" w:rsidR="00996596" w:rsidRPr="007A417E" w:rsidRDefault="00996596" w:rsidP="00B75DEA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  <w:p w14:paraId="680DB24F" w14:textId="77777777" w:rsidR="00996596" w:rsidRDefault="00B75DEA" w:rsidP="00B34285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3519CBFE" w14:textId="3566328B" w:rsidR="00B34285" w:rsidRPr="007A417E" w:rsidRDefault="0099640A" w:rsidP="00B34285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3A9F0" w14:textId="77777777" w:rsidR="00B75DEA" w:rsidRPr="007A417E" w:rsidRDefault="00B75DEA" w:rsidP="00B75DEA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B2DC9" w14:textId="77777777" w:rsidR="00B75DEA" w:rsidRPr="007A417E" w:rsidRDefault="00B75DEA" w:rsidP="00B75DEA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996596" w:rsidRPr="00570E69" w14:paraId="74096DF0" w14:textId="77777777" w:rsidTr="002A23EA">
              <w:trPr>
                <w:trHeight w:val="508"/>
              </w:trPr>
              <w:tc>
                <w:tcPr>
                  <w:tcW w:w="10144" w:type="dxa"/>
                  <w:gridSpan w:val="5"/>
                  <w:tcBorders>
                    <w:bottom w:val="nil"/>
                  </w:tcBorders>
                  <w:hideMark/>
                </w:tcPr>
                <w:p w14:paraId="07B85D6B" w14:textId="77777777" w:rsidR="00996596" w:rsidRDefault="00996596" w:rsidP="0007595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80"/>
                    </w:rPr>
                  </w:pPr>
                  <w:r w:rsidRPr="00570E6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80"/>
                    </w:rPr>
                    <w:t>FUNDS MANAGEMENT</w:t>
                  </w:r>
                </w:p>
                <w:p w14:paraId="38154B6F" w14:textId="1753DFAB" w:rsidR="00075951" w:rsidRPr="00996596" w:rsidRDefault="00075951" w:rsidP="00075951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206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BB0D3" w14:textId="77777777" w:rsidR="00996596" w:rsidRPr="007A417E" w:rsidRDefault="00996596" w:rsidP="00B75DEA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5DC8" w14:textId="77777777" w:rsidR="00996596" w:rsidRPr="007A417E" w:rsidRDefault="00996596" w:rsidP="00B75DEA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0CF77287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5B7DE6DE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080EB87B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Rate of management fee for the administration of moneys held in the Common Funds. </w:t>
                  </w:r>
                </w:p>
              </w:tc>
              <w:tc>
                <w:tcPr>
                  <w:tcW w:w="2510" w:type="dxa"/>
                  <w:hideMark/>
                </w:tcPr>
                <w:p w14:paraId="37C7F464" w14:textId="36FFC19D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1.10 % per annum of the gross value (including 10% GST)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37AAFA5B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0BF1627D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273404F" w14:textId="77777777" w:rsidR="00075951" w:rsidRDefault="00E047C4" w:rsidP="00BC1F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2038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</w:t>
                  </w:r>
                  <w:r w:rsidR="002D4F2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rate </w:t>
                  </w:r>
                  <w:r w:rsidR="002038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was the same.</w:t>
                  </w:r>
                </w:p>
                <w:p w14:paraId="537D41C2" w14:textId="2CADDAE2" w:rsidR="00BC1F6F" w:rsidRPr="007A417E" w:rsidRDefault="0099640A" w:rsidP="00BC1F6F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0750892B" w14:textId="77777777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1D040B2F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355356B1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73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93191C7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Rate of management fee for the administration of moneys held in the Common Fund Guarantee and Reserve Account.</w:t>
                  </w:r>
                </w:p>
              </w:tc>
              <w:tc>
                <w:tcPr>
                  <w:tcW w:w="2510" w:type="dxa"/>
                  <w:hideMark/>
                </w:tcPr>
                <w:p w14:paraId="5DB25216" w14:textId="5DA02428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1.10 % per annum of the gross value (including 10% GST)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6FB4CE0B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3F2DC0D9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6FCACC5" w14:textId="69E85F15" w:rsidR="00B75DEA" w:rsidRPr="007A417E" w:rsidRDefault="00B75DEA" w:rsidP="00B34285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</w:t>
                  </w:r>
                  <w:r w:rsidR="002D4F2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rate</w:t>
                  </w:r>
                  <w:r w:rsidR="004577D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was the same.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367CE047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47474523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06517C6D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7F1F21F5" w14:textId="77777777" w:rsidR="00B75DEA" w:rsidRPr="007A417E" w:rsidRDefault="00B75DEA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6866B554" w14:textId="77777777" w:rsidR="00B75DEA" w:rsidRPr="007A417E" w:rsidRDefault="00B75DEA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2EACAF76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14341F97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</w:tr>
            <w:tr w:rsidR="00B75DEA" w:rsidRPr="00570E69" w14:paraId="2D0D5068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31D3FFE9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77F803FB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10144" w:type="dxa"/>
                  <w:gridSpan w:val="5"/>
                  <w:noWrap/>
                  <w:hideMark/>
                </w:tcPr>
                <w:p w14:paraId="0D0C7C83" w14:textId="77777777" w:rsidR="00260D07" w:rsidRPr="0091107A" w:rsidRDefault="00260D07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  <w:p w14:paraId="1049BD83" w14:textId="0810F17A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OTHER CHARGES (Charges are made for the following services, in addition to estate and trust</w:t>
                  </w:r>
                  <w:r w:rsidR="00F3766A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 xml:space="preserve"> fees otherwise determined</w:t>
                  </w: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)</w:t>
                  </w:r>
                </w:p>
              </w:tc>
            </w:tr>
            <w:tr w:rsidR="00B75DEA" w:rsidRPr="00570E69" w14:paraId="358C7D1F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00BDB9A3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098742AA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251519D3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B75DEA" w:rsidRPr="00570E69" w14:paraId="44567D7F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69A8D8B3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74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0D8E49A9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26AC8AD3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1CCB8DD7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4519377F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372CC1D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160D7198" w14:textId="77777777" w:rsidR="00B75DEA" w:rsidRPr="006E77E3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highlight w:val="magenta"/>
                      <w:lang w:val="en-US" w:eastAsia="zh-CN"/>
                    </w:rPr>
                  </w:pPr>
                </w:p>
              </w:tc>
            </w:tr>
            <w:tr w:rsidR="00B75DEA" w:rsidRPr="00570E69" w14:paraId="24DBB147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480D3EBB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75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F2C6CAB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Attendance by the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or an officer of the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or for any other purposes not being for normal administration purposes.</w:t>
                  </w:r>
                </w:p>
              </w:tc>
              <w:tc>
                <w:tcPr>
                  <w:tcW w:w="2510" w:type="dxa"/>
                  <w:hideMark/>
                </w:tcPr>
                <w:p w14:paraId="2651A2B5" w14:textId="2AEE28AF" w:rsidR="00B75DEA" w:rsidRPr="00E047C4" w:rsidRDefault="003C67C3" w:rsidP="00E047C4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4B68C1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4B68C1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4D2CE6CB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1B2CBB20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D0D1B51" w14:textId="77777777" w:rsidR="00B34285" w:rsidRDefault="00B75DEA" w:rsidP="00075951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2038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1E13754C" w14:textId="24B2E885" w:rsidR="00075951" w:rsidRPr="007A417E" w:rsidRDefault="0099640A" w:rsidP="00075951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6B87A0B3" w14:textId="77777777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7BC447D0" w14:textId="77777777" w:rsidTr="00260D07">
              <w:trPr>
                <w:gridAfter w:val="2"/>
                <w:wAfter w:w="5020" w:type="dxa"/>
                <w:trHeight w:val="491"/>
              </w:trPr>
              <w:tc>
                <w:tcPr>
                  <w:tcW w:w="969" w:type="dxa"/>
                  <w:gridSpan w:val="2"/>
                  <w:hideMark/>
                </w:tcPr>
                <w:p w14:paraId="4E9EC5A6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lastRenderedPageBreak/>
                    <w:t>76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C114B38" w14:textId="331160FE" w:rsidR="00260D07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Arranging the purchase, extension, alteration or modification of property (real or personal) for the use of any beneficiary or person legally entitled.</w:t>
                  </w:r>
                </w:p>
              </w:tc>
              <w:tc>
                <w:tcPr>
                  <w:tcW w:w="2510" w:type="dxa"/>
                  <w:hideMark/>
                </w:tcPr>
                <w:p w14:paraId="7E7F7BFB" w14:textId="25F0BFD2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1.10 % of the gross value of the purchase, extension, alteration of modification (including 10% GST)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0CBE3950" w14:textId="77777777" w:rsidTr="002A23EA">
              <w:trPr>
                <w:gridAfter w:val="2"/>
                <w:wAfter w:w="5020" w:type="dxa"/>
                <w:trHeight w:val="378"/>
              </w:trPr>
              <w:tc>
                <w:tcPr>
                  <w:tcW w:w="969" w:type="dxa"/>
                  <w:gridSpan w:val="2"/>
                  <w:hideMark/>
                </w:tcPr>
                <w:p w14:paraId="3403EBAD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93B8767" w14:textId="77777777" w:rsidR="00B34285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9F241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</w:t>
                  </w:r>
                  <w:r w:rsidR="002D4F2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rate</w:t>
                  </w:r>
                  <w:r w:rsidR="009F241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was the same.</w:t>
                  </w:r>
                </w:p>
                <w:p w14:paraId="15752218" w14:textId="34C7E3E4" w:rsidR="004319C8" w:rsidRPr="007A417E" w:rsidRDefault="00065986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49A9A8D1" w14:textId="77777777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26839294" w14:textId="77777777" w:rsidTr="002A23EA">
              <w:trPr>
                <w:gridAfter w:val="2"/>
                <w:wAfter w:w="5020" w:type="dxa"/>
                <w:trHeight w:val="675"/>
              </w:trPr>
              <w:tc>
                <w:tcPr>
                  <w:tcW w:w="969" w:type="dxa"/>
                  <w:gridSpan w:val="2"/>
                  <w:hideMark/>
                </w:tcPr>
                <w:p w14:paraId="78A96E4D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16F981AD" w14:textId="77777777" w:rsidR="00B75DEA" w:rsidRPr="007A417E" w:rsidRDefault="00B75DEA" w:rsidP="00483F3E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Managing assets invested outside the Public Trustee</w:t>
                  </w:r>
                  <w:r w:rsidR="00C550B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Common Funds, excluding principal residence</w:t>
                  </w:r>
                </w:p>
              </w:tc>
              <w:tc>
                <w:tcPr>
                  <w:tcW w:w="2510" w:type="dxa"/>
                  <w:hideMark/>
                </w:tcPr>
                <w:p w14:paraId="7CF08D81" w14:textId="11C039F2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1.10 % of the gross value of the </w:t>
                  </w:r>
                  <w:r w:rsidR="00DE6088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asset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(including 10% GST)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  <w:p w14:paraId="33718EE4" w14:textId="77777777" w:rsidR="00B75DEA" w:rsidRPr="00E047C4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6C058573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09AF1C3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3398FF1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Services charged on an hourly basis:</w:t>
                  </w:r>
                </w:p>
              </w:tc>
              <w:tc>
                <w:tcPr>
                  <w:tcW w:w="2510" w:type="dxa"/>
                  <w:hideMark/>
                </w:tcPr>
                <w:p w14:paraId="0254030C" w14:textId="22FB79B5" w:rsidR="00B75DEA" w:rsidRPr="00E047C4" w:rsidRDefault="003C67C3" w:rsidP="00E047C4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D61CE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E047C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1148C621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ADD7F6C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4DE245C" w14:textId="77777777" w:rsidR="00B34285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rate and the fee were the same</w:t>
                  </w:r>
                  <w:r w:rsidR="002038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0E6E1958" w14:textId="737E7585" w:rsidR="004319C8" w:rsidRPr="007A417E" w:rsidRDefault="00065986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30CF06E8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70001F7C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FE59D48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78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16CF9CF7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Genealogy matters</w:t>
                  </w:r>
                </w:p>
              </w:tc>
              <w:tc>
                <w:tcPr>
                  <w:tcW w:w="2510" w:type="dxa"/>
                  <w:hideMark/>
                </w:tcPr>
                <w:p w14:paraId="35C55FFC" w14:textId="4B41331A" w:rsidR="00B75DEA" w:rsidRPr="003715F7" w:rsidRDefault="003C67C3" w:rsidP="003715F7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D61CE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30594FE0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4FC4C930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1BB568F" w14:textId="77777777" w:rsidR="004319C8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2038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4B671B11" w14:textId="2E77FA1A" w:rsidR="004319C8" w:rsidRPr="007A417E" w:rsidRDefault="00065986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4D8632D7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0AAF454C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6D5A222F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79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5DE4ECD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Life assurance or superannuation claims (where proceeds are not paid to the estate)</w:t>
                  </w:r>
                </w:p>
              </w:tc>
              <w:tc>
                <w:tcPr>
                  <w:tcW w:w="2510" w:type="dxa"/>
                  <w:hideMark/>
                </w:tcPr>
                <w:p w14:paraId="2C81CD57" w14:textId="32C0EBCC" w:rsidR="00B75DEA" w:rsidRPr="003715F7" w:rsidRDefault="00B75DEA" w:rsidP="003715F7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0446F7"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3715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5ECCBC36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01021B0D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8D47C2B" w14:textId="2DF16C58" w:rsidR="00F2688C" w:rsidRPr="007A417E" w:rsidRDefault="00B75DEA" w:rsidP="00DE5E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F2688C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9F241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1AAC4B2D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1BF84FEC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6F5D4CAA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695308EC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Preparing deeds, renunciations and releases.</w:t>
                  </w:r>
                </w:p>
              </w:tc>
              <w:tc>
                <w:tcPr>
                  <w:tcW w:w="2510" w:type="dxa"/>
                  <w:hideMark/>
                </w:tcPr>
                <w:p w14:paraId="318A269E" w14:textId="03FF49ED" w:rsidR="00B75DEA" w:rsidRPr="003715F7" w:rsidRDefault="00CA2A6A" w:rsidP="003715F7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07E1B54E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01EC004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6B92488" w14:textId="3B398B94" w:rsidR="00260D07" w:rsidRPr="007A417E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804F5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9F241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17BB4F66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509ADBF5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78F51C1E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6E44A03C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Replacing lost title deeds.</w:t>
                  </w:r>
                </w:p>
              </w:tc>
              <w:tc>
                <w:tcPr>
                  <w:tcW w:w="2510" w:type="dxa"/>
                  <w:hideMark/>
                </w:tcPr>
                <w:p w14:paraId="59C40905" w14:textId="34578568" w:rsidR="00B75DEA" w:rsidRPr="003715F7" w:rsidRDefault="00CA2A6A" w:rsidP="003715F7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080E0DE8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5FF5295B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F33392E" w14:textId="77777777" w:rsidR="004319C8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7539C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9F241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54E38D95" w14:textId="4ED97F48" w:rsidR="004319C8" w:rsidRPr="007A417E" w:rsidRDefault="00065986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38BB6492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6A400BAA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1E384118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6F25F7F4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Conveyancing fees.</w:t>
                  </w:r>
                </w:p>
              </w:tc>
              <w:tc>
                <w:tcPr>
                  <w:tcW w:w="2510" w:type="dxa"/>
                  <w:hideMark/>
                </w:tcPr>
                <w:p w14:paraId="1EA63B5C" w14:textId="1CF56FC8" w:rsidR="00B75DEA" w:rsidRPr="003715F7" w:rsidRDefault="00CA2A6A" w:rsidP="003715F7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109223EE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360C7165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666F41B" w14:textId="419133FB" w:rsidR="00260D07" w:rsidRPr="007A417E" w:rsidRDefault="00B75DEA" w:rsidP="00DE5E9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7539C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0D585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06AF5D12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661ACA5A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51791144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83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C983333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Property inspections.</w:t>
                  </w:r>
                </w:p>
              </w:tc>
              <w:tc>
                <w:tcPr>
                  <w:tcW w:w="2510" w:type="dxa"/>
                  <w:hideMark/>
                </w:tcPr>
                <w:p w14:paraId="65F0E8AB" w14:textId="131A267D" w:rsidR="00B75DEA" w:rsidRPr="003715F7" w:rsidRDefault="00CA2A6A" w:rsidP="003715F7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7054DBDC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2CD1BD8E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212AFD8" w14:textId="77777777" w:rsidR="00DE5E98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7539C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0D585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0561C8C8" w14:textId="11F0BCA0" w:rsidR="00065986" w:rsidRPr="007A417E" w:rsidRDefault="00065986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13604C1E" w14:textId="77777777" w:rsidR="00B75DEA" w:rsidRPr="00EC55FD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highlight w:val="magenta"/>
                      <w:lang w:val="en-US" w:eastAsia="zh-CN"/>
                    </w:rPr>
                  </w:pPr>
                </w:p>
              </w:tc>
            </w:tr>
            <w:tr w:rsidR="00B75DEA" w:rsidRPr="00570E69" w14:paraId="763DC444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02837346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84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07E9EAB9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Home visits.</w:t>
                  </w:r>
                </w:p>
              </w:tc>
              <w:tc>
                <w:tcPr>
                  <w:tcW w:w="2510" w:type="dxa"/>
                  <w:hideMark/>
                </w:tcPr>
                <w:p w14:paraId="33DE67B8" w14:textId="476123B0" w:rsidR="00B75DEA" w:rsidRPr="003715F7" w:rsidRDefault="00CA2A6A" w:rsidP="003715F7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.00 (including 10% GST) per hour with a minimum of 1 hour</w:t>
                  </w:r>
                  <w:r w:rsid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31F78D0D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3A9F4BC5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CBF4037" w14:textId="77777777" w:rsidR="00DE5E98" w:rsidRDefault="00B75DEA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Under the Public Trustee and Guardian (Fees) Determination 2020 DI2020-151, which set the fees from 1 July 2020 until the commencement of this instrument,</w:t>
                  </w:r>
                  <w:r w:rsidR="007539C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the fee was the same</w:t>
                  </w:r>
                  <w:r w:rsidR="000D585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0C2A8562" w14:textId="5B8100B8" w:rsidR="004319C8" w:rsidRPr="007A417E" w:rsidRDefault="00065986" w:rsidP="004319C8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564BB8A6" w14:textId="77777777" w:rsidR="00B75DEA" w:rsidRPr="003715F7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13A65848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00EAEFE9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85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0027C5C" w14:textId="77777777" w:rsidR="00B75DEA" w:rsidRPr="00EC55FD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Storage and Warehousing.</w:t>
                  </w:r>
                </w:p>
              </w:tc>
              <w:tc>
                <w:tcPr>
                  <w:tcW w:w="2510" w:type="dxa"/>
                  <w:hideMark/>
                </w:tcPr>
                <w:p w14:paraId="0A69B08A" w14:textId="2B99C158" w:rsidR="00B75DEA" w:rsidRPr="003715F7" w:rsidRDefault="00657724" w:rsidP="003715F7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$5</w:t>
                  </w:r>
                  <w:r w:rsidR="000446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9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.00 (including 10% GST) per cubic </w:t>
                  </w:r>
                  <w:proofErr w:type="spellStart"/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metre</w:t>
                  </w:r>
                  <w:proofErr w:type="spellEnd"/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per month</w:t>
                  </w:r>
                  <w:r w:rsid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3715F7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056352A5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6F9573D5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3899CA0" w14:textId="23DFA2E6" w:rsidR="00B75DEA" w:rsidRPr="007A417E" w:rsidRDefault="00B75DEA" w:rsidP="00657724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7539C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was the same</w:t>
                  </w:r>
                  <w:r w:rsidR="000D5858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614A95D7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6AD4215A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4E6628E1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403B2EA2" w14:textId="77777777" w:rsidR="00B75DEA" w:rsidRPr="007A417E" w:rsidRDefault="00B75DEA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3978D019" w14:textId="77777777" w:rsidR="00B75DEA" w:rsidRPr="007A417E" w:rsidRDefault="00B75DEA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7AEB2349" w14:textId="77777777" w:rsidTr="00FE5B7B">
              <w:trPr>
                <w:gridAfter w:val="2"/>
                <w:wAfter w:w="5020" w:type="dxa"/>
                <w:trHeight w:val="276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67106477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</w:tr>
            <w:tr w:rsidR="00B75DEA" w:rsidRPr="00570E69" w14:paraId="38521CFE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29B5A39A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2252204C" w14:textId="77777777" w:rsidTr="002A23EA">
              <w:trPr>
                <w:gridAfter w:val="2"/>
                <w:wAfter w:w="5020" w:type="dxa"/>
                <w:cantSplit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31BAF6D1" w14:textId="77777777" w:rsidR="00B75DEA" w:rsidRPr="007A417E" w:rsidRDefault="00B75DEA" w:rsidP="00320105">
                  <w:pPr>
                    <w:keepNext/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TAXATION SERVICES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6C9B7130" w14:textId="77777777" w:rsidR="00B75DEA" w:rsidRPr="007A417E" w:rsidRDefault="00B75DEA" w:rsidP="00320105">
                  <w:pPr>
                    <w:keepNext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B75DEA" w:rsidRPr="00570E69" w14:paraId="1D6B2EA9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44751855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86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B335769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All taxation services including assessment of tax status, advice and returns.</w:t>
                  </w:r>
                </w:p>
              </w:tc>
              <w:tc>
                <w:tcPr>
                  <w:tcW w:w="2510" w:type="dxa"/>
                  <w:hideMark/>
                </w:tcPr>
                <w:p w14:paraId="5BAD2B83" w14:textId="3FB9218C" w:rsidR="00B75DEA" w:rsidRPr="007A417E" w:rsidRDefault="00CA2A6A" w:rsidP="001815F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815F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8E582D" w:rsidRPr="001815F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0446F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93</w:t>
                  </w:r>
                  <w:r w:rsidR="00B75DEA" w:rsidRPr="001815F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="00B75DEA" w:rsidRPr="001815F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B75DEA" w:rsidRPr="00570E69" w14:paraId="43CAB231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33E9DCB7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AC80C82" w14:textId="77777777" w:rsidR="00DE5E98" w:rsidRDefault="00B75DEA" w:rsidP="0062740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797F31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Under the Public Trustee and Guardian (Fees) Determination 2020 DI2020-151, which set the fees from 1 July 2020 until the commencement of this instrument,</w:t>
                  </w:r>
                  <w:r w:rsidR="00797F3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the fee was the same.</w:t>
                  </w:r>
                </w:p>
                <w:p w14:paraId="0ECA4A22" w14:textId="7F056E54" w:rsidR="0062740D" w:rsidRPr="007A417E" w:rsidRDefault="00065986" w:rsidP="0062740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018AC596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021DF385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</w:tcPr>
                <w:p w14:paraId="4D320BBA" w14:textId="2BD88AB5" w:rsidR="00DD29E9" w:rsidRPr="007A417E" w:rsidRDefault="00DD29E9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</w:tcPr>
                <w:p w14:paraId="51FDA71A" w14:textId="77777777" w:rsidR="00DD29E9" w:rsidRPr="00755B20" w:rsidRDefault="00DD29E9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Where the provision of taxation services including tax status, advice and returns is complex</w:t>
                  </w:r>
                </w:p>
                <w:p w14:paraId="66EE2B7D" w14:textId="77777777" w:rsidR="00DD29E9" w:rsidRPr="00755B20" w:rsidRDefault="00DD29E9" w:rsidP="00DD29E9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  <w:p w14:paraId="1DD983F6" w14:textId="77777777" w:rsidR="00DD29E9" w:rsidRDefault="00DD29E9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55B20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55B20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755B20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This is a new fee</w:t>
                  </w:r>
                  <w:r w:rsidR="00797F31" w:rsidRPr="00755B20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introduced as part of this instrument.</w:t>
                  </w:r>
                </w:p>
                <w:p w14:paraId="13F8CEE4" w14:textId="0E668467" w:rsidR="00DE5E98" w:rsidRPr="00DE5E98" w:rsidRDefault="00065986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</w:tcPr>
                <w:p w14:paraId="66DE6E32" w14:textId="4D79D60A" w:rsid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$450.00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(including 10% GST) per hour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  <w:p w14:paraId="4B25BF05" w14:textId="77777777" w:rsidR="00DD29E9" w:rsidRPr="007A417E" w:rsidRDefault="00DD29E9" w:rsidP="00D82A6D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5BC90CF8" w14:textId="77777777" w:rsidTr="00A4201B">
              <w:trPr>
                <w:gridAfter w:val="2"/>
                <w:wAfter w:w="5020" w:type="dxa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5222E7D1" w14:textId="74DF40E8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20241ABD" w14:textId="77777777" w:rsidR="00B75DEA" w:rsidRPr="007A417E" w:rsidRDefault="00B75DEA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24228806" w14:textId="77777777" w:rsidR="00B75DEA" w:rsidRPr="007A417E" w:rsidRDefault="00B75DEA" w:rsidP="00D82A6D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5CC05745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6F44068B" w14:textId="77777777" w:rsidR="002241A6" w:rsidRDefault="00B75DEA" w:rsidP="0062740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 w:rsidR="00C550B5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4B03682D" w14:textId="0DF22EE0" w:rsidR="0062740D" w:rsidRPr="007A417E" w:rsidRDefault="00065986" w:rsidP="0062740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  <w:tr w:rsidR="00B75DEA" w:rsidRPr="00570E69" w14:paraId="20F84993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59E0D27F" w14:textId="77777777" w:rsidR="00B75DEA" w:rsidRPr="007A417E" w:rsidRDefault="00B75DEA" w:rsidP="00D82A6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B75DEA" w:rsidRPr="00570E69" w14:paraId="2B7E67AB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37B5C2E6" w14:textId="77777777" w:rsidR="00B75DEA" w:rsidRPr="007A417E" w:rsidRDefault="00B75DEA" w:rsidP="002241A6">
                  <w:pPr>
                    <w:keepNext/>
                    <w:keepLines/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lastRenderedPageBreak/>
                    <w:t>TRUST ADMINISTRATION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5302BFA1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B75DEA" w:rsidRPr="00570E69" w14:paraId="413F6559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2B5BDF58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7E93ECBC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0BEDEA3A" w14:textId="77777777" w:rsidR="00B75DEA" w:rsidRPr="00AD079F" w:rsidRDefault="00B75DEA" w:rsidP="00D82A6D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B75DEA" w:rsidRPr="00570E69" w14:paraId="34CBE517" w14:textId="77777777" w:rsidTr="002A23EA">
              <w:trPr>
                <w:gridAfter w:val="2"/>
                <w:wAfter w:w="5020" w:type="dxa"/>
                <w:trHeight w:val="900"/>
              </w:trPr>
              <w:tc>
                <w:tcPr>
                  <w:tcW w:w="969" w:type="dxa"/>
                  <w:gridSpan w:val="2"/>
                  <w:hideMark/>
                </w:tcPr>
                <w:p w14:paraId="381FDC9A" w14:textId="2D4DF9BA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95ECE8C" w14:textId="77777777" w:rsidR="00B75DEA" w:rsidRPr="007A417E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Administration, as trustee, under Statute, Court award or other instrument.</w:t>
                  </w:r>
                </w:p>
              </w:tc>
              <w:tc>
                <w:tcPr>
                  <w:tcW w:w="2510" w:type="dxa"/>
                  <w:hideMark/>
                </w:tcPr>
                <w:p w14:paraId="05269918" w14:textId="0332231F" w:rsidR="00B75DEA" w:rsidRPr="00AD079F" w:rsidRDefault="00B75DEA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AD079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1.10 % of moneys received and/or the standard fee as per the scale chargeable for estate administration, on </w:t>
                  </w:r>
                  <w:proofErr w:type="spellStart"/>
                  <w:r w:rsidRPr="00AD079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non monetary</w:t>
                  </w:r>
                  <w:proofErr w:type="spellEnd"/>
                  <w:r w:rsidRPr="00AD079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assets (including 10% GST)</w:t>
                  </w:r>
                  <w:r w:rsidR="00755B20" w:rsidRPr="00AD079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AD079F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DD29E9" w:rsidRPr="00570E69" w14:paraId="0A4E05B6" w14:textId="77777777" w:rsidTr="003B0D60">
              <w:trPr>
                <w:gridAfter w:val="2"/>
                <w:wAfter w:w="5020" w:type="dxa"/>
                <w:trHeight w:val="459"/>
              </w:trPr>
              <w:tc>
                <w:tcPr>
                  <w:tcW w:w="969" w:type="dxa"/>
                  <w:gridSpan w:val="2"/>
                  <w:hideMark/>
                </w:tcPr>
                <w:p w14:paraId="0D20861D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862095D" w14:textId="77777777" w:rsidR="00DD29E9" w:rsidRDefault="00DD29E9" w:rsidP="0062740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D543E3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fee rates were 4.4%, 3.3%, 2.2% and 1.1% respectively with a minimum of $2,</w:t>
                  </w:r>
                  <w:r w:rsidR="008502F4"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618</w:t>
                  </w:r>
                  <w:r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(including 10% GST).The asset value has been increased from increments of $200,000 to $300,00</w:t>
                  </w:r>
                  <w:r w:rsidR="00FC7B16"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Pr="00D543E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33C5C972" w14:textId="1054FDF1" w:rsidR="0062740D" w:rsidRPr="007A417E" w:rsidRDefault="0072695B" w:rsidP="0062740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45CDFC1F" w14:textId="77777777" w:rsidR="00DD29E9" w:rsidRPr="003B0D60" w:rsidRDefault="00DD29E9" w:rsidP="00DD29E9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73892239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6E3DBF6D" w14:textId="23722259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88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1E5AE29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Administration fee for continuing trusts.</w:t>
                  </w:r>
                </w:p>
              </w:tc>
              <w:tc>
                <w:tcPr>
                  <w:tcW w:w="2510" w:type="dxa"/>
                  <w:hideMark/>
                </w:tcPr>
                <w:p w14:paraId="73573495" w14:textId="29301B04" w:rsidR="00DD29E9" w:rsidRPr="003B0D60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3B0D6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$12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</w:t>
                  </w:r>
                  <w:r w:rsidRPr="003B0D6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.00 (including 10% GST) per annum and upon completion</w:t>
                  </w:r>
                  <w:r w:rsidR="00755B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3B0D6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</w:tc>
            </w:tr>
            <w:tr w:rsidR="00DD29E9" w:rsidRPr="00570E69" w14:paraId="21169B14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6EF2ECB3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86F82F0" w14:textId="75AA915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260D07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fee was </w:t>
                  </w:r>
                  <w:r w:rsidR="00755B2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same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68FF3163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767DD5D2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7B480842" w14:textId="77777777" w:rsidR="00DD29E9" w:rsidRPr="007A417E" w:rsidRDefault="00DD29E9" w:rsidP="00DD29E9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1571BC72" w14:textId="77777777" w:rsidR="00DD29E9" w:rsidRPr="007A417E" w:rsidRDefault="00DD29E9" w:rsidP="00DD29E9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47572D9E" w14:textId="77777777" w:rsidR="00DD29E9" w:rsidRPr="007A417E" w:rsidRDefault="00DD29E9" w:rsidP="00DD29E9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35626540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204BDBBB" w14:textId="77777777" w:rsidR="00DD29E9" w:rsidRDefault="00DD29E9" w:rsidP="0062740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61AC987A" w14:textId="279EC771" w:rsidR="0062740D" w:rsidRPr="007A417E" w:rsidRDefault="0072695B" w:rsidP="0062740D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  <w:tr w:rsidR="00DD29E9" w:rsidRPr="00570E69" w14:paraId="2EE9D3E2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1AD3156E" w14:textId="77777777" w:rsidR="00DD29E9" w:rsidRPr="007A417E" w:rsidRDefault="00DD29E9" w:rsidP="00DD29E9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0F9C371E" w14:textId="77777777" w:rsidTr="002A23EA">
              <w:trPr>
                <w:gridAfter w:val="2"/>
                <w:wAfter w:w="5020" w:type="dxa"/>
                <w:trHeight w:val="300"/>
              </w:trPr>
              <w:tc>
                <w:tcPr>
                  <w:tcW w:w="7634" w:type="dxa"/>
                  <w:gridSpan w:val="4"/>
                  <w:noWrap/>
                  <w:hideMark/>
                </w:tcPr>
                <w:p w14:paraId="5B726469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  <w:t>WILL PREPARATION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4E82EBC8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DD29E9" w:rsidRPr="00570E69" w14:paraId="7F41E90D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76FB3D1B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80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1F643264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61EDEA49" w14:textId="77777777" w:rsidR="00DD29E9" w:rsidRPr="00D132DC" w:rsidRDefault="00DD29E9" w:rsidP="00DD29E9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US" w:eastAsia="zh-CN"/>
                    </w:rPr>
                  </w:pPr>
                </w:p>
              </w:tc>
            </w:tr>
            <w:tr w:rsidR="00DD29E9" w:rsidRPr="00570E69" w14:paraId="30ADCA06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1E96A590" w14:textId="29305F73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89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04BF899" w14:textId="6D5667CC" w:rsid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Preparing wills</w:t>
                  </w:r>
                </w:p>
                <w:p w14:paraId="26D8E3D7" w14:textId="69A963C7" w:rsid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2265BDBC" w14:textId="342C931D" w:rsid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22BC0D7A" w14:textId="77777777" w:rsid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6EB1F76F" w14:textId="5EEC86E5" w:rsidR="00DD29E9" w:rsidRDefault="00DD29E9" w:rsidP="00DD29E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278B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non-complex Wills</w:t>
                  </w:r>
                </w:p>
                <w:p w14:paraId="32FFDBBB" w14:textId="773B9F74" w:rsid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45612E2F" w14:textId="77777777" w:rsidR="00DD29E9" w:rsidRPr="00DD29E9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4C7D790C" w14:textId="609A5394" w:rsidR="00DD29E9" w:rsidRDefault="00DD29E9" w:rsidP="00DD29E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E278B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complex Wills</w:t>
                  </w:r>
                </w:p>
                <w:p w14:paraId="145A594F" w14:textId="1155F912" w:rsidR="00AB27C6" w:rsidRPr="007A417E" w:rsidRDefault="0072695B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hideMark/>
                </w:tcPr>
                <w:p w14:paraId="6BB677CB" w14:textId="685D46FE" w:rsidR="00DD29E9" w:rsidRPr="00D7641D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The hourly rate applies to a maximum $ 2,250.00 (including 10% GST)</w:t>
                  </w:r>
                  <w:r w:rsidR="00755B20"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  <w:r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*</w:t>
                  </w:r>
                </w:p>
                <w:p w14:paraId="5D8620ED" w14:textId="3FCA7B78" w:rsidR="00DD29E9" w:rsidRPr="00D7641D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7DAA093F" w14:textId="54F4F4E3" w:rsidR="00DD29E9" w:rsidRPr="00D7641D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</w:t>
                  </w:r>
                  <w:r w:rsidR="00222EB5"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293</w:t>
                  </w:r>
                  <w:r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(including 10% GST) per hour</w:t>
                  </w:r>
                  <w:r w:rsidR="00755B20"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  <w:p w14:paraId="325F93E1" w14:textId="77777777" w:rsidR="00DD29E9" w:rsidRPr="00D7641D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6920F6ED" w14:textId="54639E40" w:rsidR="00DD29E9" w:rsidRPr="00D7641D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$450 (including 10% GST) per hour</w:t>
                  </w:r>
                  <w:r w:rsidR="00755B20" w:rsidRPr="00D7641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</w:tr>
            <w:tr w:rsidR="00DD29E9" w:rsidRPr="00570E69" w14:paraId="18E67702" w14:textId="77777777" w:rsidTr="002A23EA">
              <w:trPr>
                <w:gridAfter w:val="2"/>
                <w:wAfter w:w="5020" w:type="dxa"/>
                <w:trHeight w:val="450"/>
              </w:trPr>
              <w:tc>
                <w:tcPr>
                  <w:tcW w:w="969" w:type="dxa"/>
                  <w:gridSpan w:val="2"/>
                  <w:hideMark/>
                </w:tcPr>
                <w:p w14:paraId="162C1F8D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F73DB42" w14:textId="77777777" w:rsidR="00DD29E9" w:rsidRDefault="00DD29E9" w:rsidP="00AB27C6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="006D7A92" w:rsidRPr="004910F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Under the Public Trustee and Guardian (Fees) Determination 2020 DI2020-151, which set the fees from 1 July 2020 until the commencement of this instrument, </w:t>
                  </w:r>
                  <w:r w:rsidR="006D7A9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fee for a Will was a maximum of </w:t>
                  </w:r>
                  <w:r w:rsidR="006D7A92" w:rsidRPr="006319C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$654.00 (including 10% GST) per hour. </w:t>
                  </w:r>
                  <w:r w:rsidR="006D7A9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This instrument introduces a</w:t>
                  </w:r>
                  <w:r w:rsidR="006D7A92" w:rsidRPr="006319C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new rate of $450 (including GST) per hour </w:t>
                  </w:r>
                  <w:r w:rsidR="006D7A9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for</w:t>
                  </w:r>
                  <w:r w:rsidR="006D7A92" w:rsidRPr="006319C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complex Wills</w:t>
                  </w:r>
                  <w:r w:rsidR="006D7A9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and a maximum fee of 2,250.00 for all Wills. The fee </w:t>
                  </w:r>
                  <w:r w:rsidR="002C4F6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of $293 per hour </w:t>
                  </w:r>
                  <w:r w:rsidR="006D7A9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for non-complex Wills remains </w:t>
                  </w:r>
                  <w:r w:rsidR="002C4F6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consistent with previous year’s practice</w:t>
                  </w:r>
                  <w:r w:rsidR="00D7641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  <w:r w:rsidR="006319C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  <w:p w14:paraId="35C30FC2" w14:textId="2A40D1CD" w:rsidR="00AB27C6" w:rsidRPr="007A417E" w:rsidRDefault="0072695B" w:rsidP="00AB27C6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17404D69" w14:textId="77777777" w:rsidR="00DD29E9" w:rsidRPr="00D7641D" w:rsidRDefault="00DD29E9" w:rsidP="00DD29E9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6C89385A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hideMark/>
                </w:tcPr>
                <w:p w14:paraId="5C70549A" w14:textId="3E9304EA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90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C6A7FB8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510" w:type="dxa"/>
                  <w:noWrap/>
                  <w:hideMark/>
                </w:tcPr>
                <w:p w14:paraId="7CB2A5A2" w14:textId="77777777" w:rsidR="00DD29E9" w:rsidRPr="007A417E" w:rsidRDefault="00DD29E9" w:rsidP="00DD29E9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7099553C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969" w:type="dxa"/>
                  <w:gridSpan w:val="2"/>
                  <w:noWrap/>
                  <w:hideMark/>
                </w:tcPr>
                <w:p w14:paraId="2D826D60" w14:textId="77777777" w:rsidR="00DD29E9" w:rsidRPr="007A417E" w:rsidRDefault="00DD29E9" w:rsidP="00DD29E9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Note:</w:t>
                  </w:r>
                </w:p>
              </w:tc>
              <w:tc>
                <w:tcPr>
                  <w:tcW w:w="6665" w:type="dxa"/>
                  <w:gridSpan w:val="2"/>
                  <w:noWrap/>
                  <w:hideMark/>
                </w:tcPr>
                <w:p w14:paraId="7FAACE71" w14:textId="77777777" w:rsidR="00DD29E9" w:rsidRPr="007A417E" w:rsidRDefault="00DD29E9" w:rsidP="00DD29E9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510" w:type="dxa"/>
                  <w:noWrap/>
                  <w:hideMark/>
                </w:tcPr>
                <w:p w14:paraId="56BECBB2" w14:textId="77777777" w:rsidR="00DD29E9" w:rsidRPr="007A417E" w:rsidRDefault="00DD29E9" w:rsidP="00DD29E9">
                  <w:pPr>
                    <w:rPr>
                      <w:rFonts w:eastAsia="SimSu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3C7E3933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 w:val="restart"/>
                  <w:hideMark/>
                </w:tcPr>
                <w:p w14:paraId="4567DC60" w14:textId="77777777" w:rsidR="00DD29E9" w:rsidRPr="007A417E" w:rsidRDefault="00DD29E9" w:rsidP="00DD29E9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* All amounts for Fees and Charges listed under the 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>Public Trustee</w:t>
                  </w: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en-US" w:eastAsia="zh-CN"/>
                    </w:rPr>
                    <w:t xml:space="preserve"> Act 1985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are maximum amounts.  Lower amounts may be charged at the discretion of the Public Trustee</w:t>
                  </w: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and Guardian</w:t>
                  </w:r>
                  <w:r w:rsidRPr="007A417E"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</w:tr>
            <w:tr w:rsidR="00DD29E9" w:rsidRPr="00570E69" w14:paraId="30FD9F81" w14:textId="77777777" w:rsidTr="002A23EA">
              <w:trPr>
                <w:gridAfter w:val="2"/>
                <w:wAfter w:w="5020" w:type="dxa"/>
                <w:trHeight w:val="312"/>
              </w:trPr>
              <w:tc>
                <w:tcPr>
                  <w:tcW w:w="10144" w:type="dxa"/>
                  <w:gridSpan w:val="5"/>
                  <w:vMerge/>
                  <w:vAlign w:val="center"/>
                  <w:hideMark/>
                </w:tcPr>
                <w:p w14:paraId="516529B3" w14:textId="77777777" w:rsidR="00DD29E9" w:rsidRPr="007A417E" w:rsidRDefault="00DD29E9" w:rsidP="00DD29E9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:rsidR="00DD29E9" w:rsidRPr="00570E69" w14:paraId="5F5189D7" w14:textId="77777777" w:rsidTr="002A23EA">
              <w:trPr>
                <w:gridAfter w:val="2"/>
                <w:wAfter w:w="5020" w:type="dxa"/>
                <w:trHeight w:val="285"/>
              </w:trPr>
              <w:tc>
                <w:tcPr>
                  <w:tcW w:w="10144" w:type="dxa"/>
                  <w:gridSpan w:val="5"/>
                </w:tcPr>
                <w:p w14:paraId="124E4248" w14:textId="13BD6A09" w:rsidR="00DD29E9" w:rsidRPr="007A417E" w:rsidRDefault="0072695B" w:rsidP="00DD29E9">
                  <w:pP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eastAsia="SimSun"/>
                      <w:b/>
                      <w:bCs/>
                      <w:i/>
                      <w:iCs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5621D419" w14:textId="77777777" w:rsidR="00A46B25" w:rsidRPr="00570E69" w:rsidRDefault="00A46B25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2987F" w14:textId="77777777" w:rsidR="00A46B25" w:rsidRPr="00570E69" w:rsidRDefault="00A46B25" w:rsidP="00A46B25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7FB0" w:rsidRPr="00570E69" w14:paraId="2E1E26A4" w14:textId="77777777" w:rsidTr="001C05D9">
        <w:trPr>
          <w:trHeight w:val="375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596B1" w14:textId="77777777" w:rsidR="00C57FB0" w:rsidRPr="00570E69" w:rsidRDefault="00C57FB0" w:rsidP="00C57FB0">
            <w:pPr>
              <w:rPr>
                <w:b/>
                <w:bCs/>
              </w:rPr>
            </w:pPr>
            <w:bookmarkStart w:id="4" w:name="_Sale_of_Motor"/>
            <w:bookmarkEnd w:id="4"/>
            <w:r w:rsidRPr="00C57FB0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  <w:lastRenderedPageBreak/>
              <w:t>CONFISCATION OF CRIMINAL ASSETS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3101F" w14:textId="77777777" w:rsidR="00C57FB0" w:rsidRPr="00570E69" w:rsidRDefault="00C57FB0" w:rsidP="00D82A6D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7FB0" w:rsidRPr="00570E69" w14:paraId="5DE00DAA" w14:textId="77777777" w:rsidTr="001C05D9">
        <w:trPr>
          <w:gridAfter w:val="2"/>
          <w:wAfter w:w="1216" w:type="dxa"/>
          <w:trHeight w:val="28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D2FF4" w14:textId="77777777" w:rsidR="00C57FB0" w:rsidRPr="007A417E" w:rsidRDefault="00C57FB0" w:rsidP="00D82A6D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57D54" w14:textId="77777777" w:rsidR="00C57FB0" w:rsidRPr="007A417E" w:rsidRDefault="00C57FB0" w:rsidP="00D82A6D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5E99D" w14:textId="77777777" w:rsidR="00C57FB0" w:rsidRPr="007A417E" w:rsidRDefault="00C57FB0" w:rsidP="00D82A6D">
            <w:pP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80"/>
                <w:lang w:val="en-US" w:eastAsia="zh-CN"/>
              </w:rPr>
            </w:pPr>
          </w:p>
        </w:tc>
      </w:tr>
      <w:tr w:rsidR="00C57FB0" w:rsidRPr="00570E69" w14:paraId="43F098E5" w14:textId="77777777" w:rsidTr="001C05D9">
        <w:trPr>
          <w:gridAfter w:val="2"/>
          <w:wAfter w:w="1216" w:type="dxa"/>
          <w:trHeight w:val="45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92698" w14:textId="1D39BADD" w:rsidR="00C57FB0" w:rsidRPr="00021663" w:rsidRDefault="00C57FB0" w:rsidP="00D82A6D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021663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432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A8E60" w14:textId="77777777" w:rsidR="00C57FB0" w:rsidRPr="00021663" w:rsidRDefault="00C57FB0" w:rsidP="00D82A6D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021663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Fees due to the Public Trustee</w:t>
            </w:r>
            <w:r w:rsidR="00C550B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and Guardian</w:t>
            </w:r>
            <w:r w:rsidRPr="00021663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under S.132 (1) (d) &amp; (e) of the </w:t>
            </w:r>
            <w:r w:rsidRPr="00021663">
              <w:rPr>
                <w:rFonts w:ascii="Times New Roman" w:eastAsia="SimSun" w:hAnsi="Times New Roman" w:cs="Times New Roman"/>
                <w:i/>
                <w:sz w:val="16"/>
                <w:szCs w:val="16"/>
                <w:lang w:val="en-US" w:eastAsia="zh-CN"/>
              </w:rPr>
              <w:t>Confiscation of Criminal Assets Act 2003</w:t>
            </w:r>
            <w:r w:rsidRPr="00021663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4EE23" w14:textId="77777777" w:rsidR="00C57FB0" w:rsidRPr="003B0D60" w:rsidRDefault="00C57FB0" w:rsidP="00D82A6D">
            <w:pPr>
              <w:rPr>
                <w:rFonts w:eastAsia="SimSun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</w:p>
        </w:tc>
      </w:tr>
      <w:tr w:rsidR="00C57FB0" w:rsidRPr="00570E69" w14:paraId="5C87F9EF" w14:textId="77777777" w:rsidTr="001C05D9">
        <w:trPr>
          <w:gridAfter w:val="2"/>
          <w:wAfter w:w="1216" w:type="dxa"/>
          <w:trHeight w:val="28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65D6A" w14:textId="77777777" w:rsidR="00C57FB0" w:rsidRPr="00021663" w:rsidRDefault="00C57FB0" w:rsidP="00D82A6D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A6547" w14:textId="77777777" w:rsidR="00C57FB0" w:rsidRPr="00021663" w:rsidRDefault="00C57FB0" w:rsidP="00D82A6D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 w:rsidRPr="000216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Receiving money or on converting assets to cash 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C305C" w14:textId="49CCE9EB" w:rsidR="00C57FB0" w:rsidRPr="003B0D60" w:rsidRDefault="00C57FB0" w:rsidP="00D82A6D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3B0D6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1.1%</w:t>
            </w:r>
            <w:r w:rsidR="00806AEB" w:rsidRPr="003B0D6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(including 10% GST)</w:t>
            </w:r>
            <w:r w:rsidR="00755B2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.</w:t>
            </w:r>
            <w:r w:rsidR="00C16077" w:rsidRPr="003B0D6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*</w:t>
            </w:r>
          </w:p>
        </w:tc>
      </w:tr>
      <w:tr w:rsidR="00C57FB0" w:rsidRPr="00570E69" w14:paraId="7CAFA2AC" w14:textId="77777777" w:rsidTr="001C05D9">
        <w:trPr>
          <w:gridAfter w:val="2"/>
          <w:wAfter w:w="1216" w:type="dxa"/>
          <w:trHeight w:val="28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C2EB9" w14:textId="77777777" w:rsidR="00C57FB0" w:rsidRPr="00021663" w:rsidRDefault="00C57FB0" w:rsidP="00D82A6D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95470" w14:textId="77777777" w:rsidR="00C57FB0" w:rsidRPr="00021663" w:rsidRDefault="00C57FB0" w:rsidP="00D82A6D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021663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Where the Public Trustee</w:t>
            </w:r>
            <w:r w:rsidR="00C550B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and Guardian</w:t>
            </w:r>
            <w:r w:rsidRPr="00021663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receives income 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90F60" w14:textId="2AA591F1" w:rsidR="00C57FB0" w:rsidRPr="003B0D60" w:rsidRDefault="00DD29E9" w:rsidP="00D82A6D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6.6</w:t>
            </w:r>
            <w:r w:rsidR="00C57FB0" w:rsidRPr="003B0D6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%</w:t>
            </w:r>
            <w:r w:rsidR="00806AEB" w:rsidRPr="003B0D6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(including 10% GST)</w:t>
            </w:r>
            <w:r w:rsidR="00755B2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.</w:t>
            </w:r>
            <w:r w:rsidR="00C16077" w:rsidRPr="003B0D60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*</w:t>
            </w:r>
          </w:p>
        </w:tc>
      </w:tr>
      <w:tr w:rsidR="00C57FB0" w:rsidRPr="00570E69" w14:paraId="1485E1C5" w14:textId="77777777" w:rsidTr="001C05D9">
        <w:trPr>
          <w:gridAfter w:val="2"/>
          <w:wAfter w:w="1216" w:type="dxa"/>
          <w:trHeight w:val="67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0A7A7" w14:textId="77777777" w:rsidR="00C57FB0" w:rsidRPr="00021663" w:rsidRDefault="00C57FB0" w:rsidP="00D82A6D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CA595" w14:textId="31E14566" w:rsidR="00806AEB" w:rsidRPr="004A101F" w:rsidRDefault="0062367B" w:rsidP="003B0D60">
            <w:pPr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val="en-US" w:eastAsia="zh-CN"/>
              </w:rPr>
            </w:pPr>
            <w:r w:rsidRPr="00021663">
              <w:rPr>
                <w:rFonts w:ascii="Times New Roman" w:eastAsia="SimSun" w:hAnsi="Times New Roman" w:cs="Times New Roman"/>
                <w:i/>
                <w:iCs/>
                <w:color w:val="000066"/>
                <w:sz w:val="16"/>
                <w:szCs w:val="16"/>
                <w:lang w:val="en-US" w:eastAsia="zh-CN"/>
              </w:rPr>
              <w:t xml:space="preserve">Explanatory Note: </w:t>
            </w:r>
            <w:r w:rsidR="006D7A92" w:rsidRPr="00021663">
              <w:rPr>
                <w:rFonts w:ascii="Times New Roman" w:eastAsia="SimSun" w:hAnsi="Times New Roman" w:cs="Times New Roman"/>
                <w:i/>
                <w:iCs/>
                <w:color w:val="000066"/>
                <w:sz w:val="16"/>
                <w:szCs w:val="16"/>
                <w:lang w:val="en-US" w:eastAsia="zh-CN"/>
              </w:rPr>
              <w:t xml:space="preserve">: </w:t>
            </w:r>
            <w:bookmarkStart w:id="5" w:name="_Hlk68185715"/>
            <w:r w:rsidR="006D7A92" w:rsidRPr="004910F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Under the Public Trustee and Guardian (Fees) Determination 2020 DI2020-151, which set the fees from 1 July 2020 until the commencement of this instrument, </w:t>
            </w:r>
            <w:r w:rsidR="006D7A9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the income commission was 5.5% and the fee for receiving money or on converting assets to cash fee remains the same</w:t>
            </w:r>
            <w:bookmarkEnd w:id="5"/>
            <w:r w:rsidR="006D7A9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91EF8" w14:textId="77777777" w:rsidR="00C57FB0" w:rsidRPr="007A417E" w:rsidRDefault="00C57FB0" w:rsidP="00D82A6D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</w:tbl>
    <w:p w14:paraId="6F32F597" w14:textId="77777777" w:rsidR="00C16077" w:rsidRPr="00806AEB" w:rsidRDefault="00806AEB">
      <w:pPr>
        <w:rPr>
          <w:b/>
          <w:i/>
          <w:sz w:val="16"/>
          <w:szCs w:val="16"/>
        </w:rPr>
      </w:pPr>
      <w:r w:rsidRPr="00806AEB">
        <w:rPr>
          <w:b/>
          <w:i/>
          <w:sz w:val="16"/>
          <w:szCs w:val="16"/>
        </w:rPr>
        <w:t>Note:</w:t>
      </w:r>
    </w:p>
    <w:p w14:paraId="11049672" w14:textId="77777777" w:rsidR="00806AEB" w:rsidRPr="00806AEB" w:rsidRDefault="00806AEB" w:rsidP="00C16077">
      <w:pPr>
        <w:spacing w:line="200" w:lineRule="exact"/>
        <w:rPr>
          <w:rFonts w:eastAsia="SimSun"/>
          <w:b/>
          <w:bCs/>
          <w:i/>
          <w:iCs/>
          <w:sz w:val="16"/>
          <w:szCs w:val="16"/>
          <w:lang w:val="en-US" w:eastAsia="zh-CN"/>
        </w:rPr>
      </w:pPr>
      <w:r w:rsidRPr="00806AEB">
        <w:rPr>
          <w:rFonts w:eastAsia="SimSun"/>
          <w:b/>
          <w:bCs/>
          <w:i/>
          <w:iCs/>
          <w:sz w:val="16"/>
          <w:szCs w:val="16"/>
          <w:lang w:val="en-US" w:eastAsia="zh-CN"/>
        </w:rPr>
        <w:t xml:space="preserve">* All amounts for Fees and Charges listed under the </w:t>
      </w:r>
      <w:r w:rsidRPr="00806AEB">
        <w:rPr>
          <w:rFonts w:eastAsia="SimSun"/>
          <w:b/>
          <w:bCs/>
          <w:i/>
          <w:iCs/>
          <w:sz w:val="16"/>
          <w:szCs w:val="16"/>
          <w:u w:val="single"/>
          <w:lang w:val="en-US" w:eastAsia="zh-CN"/>
        </w:rPr>
        <w:t>Public Trustee</w:t>
      </w:r>
      <w:r w:rsidR="00C550B5">
        <w:rPr>
          <w:rFonts w:eastAsia="SimSun"/>
          <w:b/>
          <w:bCs/>
          <w:i/>
          <w:iCs/>
          <w:sz w:val="16"/>
          <w:szCs w:val="16"/>
          <w:u w:val="single"/>
          <w:lang w:val="en-US" w:eastAsia="zh-CN"/>
        </w:rPr>
        <w:t xml:space="preserve"> and Guardian</w:t>
      </w:r>
      <w:r w:rsidRPr="00806AEB">
        <w:rPr>
          <w:rFonts w:eastAsia="SimSun"/>
          <w:b/>
          <w:bCs/>
          <w:i/>
          <w:iCs/>
          <w:sz w:val="16"/>
          <w:szCs w:val="16"/>
          <w:u w:val="single"/>
          <w:lang w:val="en-US" w:eastAsia="zh-CN"/>
        </w:rPr>
        <w:t xml:space="preserve"> Act 1985</w:t>
      </w:r>
      <w:r w:rsidRPr="00806AEB">
        <w:rPr>
          <w:rFonts w:eastAsia="SimSun"/>
          <w:b/>
          <w:bCs/>
          <w:i/>
          <w:iCs/>
          <w:sz w:val="16"/>
          <w:szCs w:val="16"/>
          <w:lang w:val="en-US" w:eastAsia="zh-CN"/>
        </w:rPr>
        <w:t xml:space="preserve"> are maximum amounts.  Lower amounts may be charged at the discretion of the Public Trustee</w:t>
      </w:r>
      <w:r w:rsidR="00C550B5">
        <w:rPr>
          <w:rFonts w:eastAsia="SimSun"/>
          <w:b/>
          <w:bCs/>
          <w:i/>
          <w:iCs/>
          <w:sz w:val="16"/>
          <w:szCs w:val="16"/>
          <w:lang w:val="en-US" w:eastAsia="zh-CN"/>
        </w:rPr>
        <w:t xml:space="preserve"> and Guardian</w:t>
      </w:r>
      <w:r w:rsidRPr="00806AEB">
        <w:rPr>
          <w:rFonts w:eastAsia="SimSun"/>
          <w:b/>
          <w:bCs/>
          <w:i/>
          <w:iCs/>
          <w:sz w:val="16"/>
          <w:szCs w:val="16"/>
          <w:lang w:val="en-US" w:eastAsia="zh-CN"/>
        </w:rPr>
        <w:t>.</w:t>
      </w:r>
    </w:p>
    <w:p w14:paraId="780C5F2A" w14:textId="77777777" w:rsidR="00826BD5" w:rsidRPr="00806AEB" w:rsidRDefault="00826BD5" w:rsidP="00C16077">
      <w:pPr>
        <w:spacing w:line="240" w:lineRule="exact"/>
        <w:rPr>
          <w:sz w:val="16"/>
          <w:szCs w:val="16"/>
        </w:rPr>
      </w:pPr>
    </w:p>
    <w:sectPr w:rsidR="00826BD5" w:rsidRPr="00806AEB" w:rsidSect="002241A6">
      <w:headerReference w:type="default" r:id="rId15"/>
      <w:pgSz w:w="11907" w:h="16840" w:code="9"/>
      <w:pgMar w:top="567" w:right="1304" w:bottom="567" w:left="1304" w:header="720" w:footer="808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F1EB7" w14:textId="77777777" w:rsidR="00071472" w:rsidRDefault="00071472">
      <w:r>
        <w:separator/>
      </w:r>
    </w:p>
  </w:endnote>
  <w:endnote w:type="continuationSeparator" w:id="0">
    <w:p w14:paraId="58A60C23" w14:textId="77777777" w:rsidR="00071472" w:rsidRDefault="0007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6445" w14:textId="77777777" w:rsidR="00AF6BFF" w:rsidRDefault="00AF6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94B2" w14:textId="3D03C8C5" w:rsidR="00C467F5" w:rsidRPr="00AF6BFF" w:rsidRDefault="00AF6BFF" w:rsidP="00AF6BFF">
    <w:pPr>
      <w:pStyle w:val="Footer"/>
      <w:jc w:val="center"/>
      <w:rPr>
        <w:sz w:val="14"/>
      </w:rPr>
    </w:pPr>
    <w:r w:rsidRPr="00AF6BFF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6C48" w14:textId="77777777" w:rsidR="00AF6BFF" w:rsidRDefault="00AF6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5AD8E" w14:textId="77777777" w:rsidR="00071472" w:rsidRDefault="00071472">
      <w:r>
        <w:separator/>
      </w:r>
    </w:p>
  </w:footnote>
  <w:footnote w:type="continuationSeparator" w:id="0">
    <w:p w14:paraId="7F19F5FF" w14:textId="77777777" w:rsidR="00071472" w:rsidRDefault="0007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06653" w14:textId="77777777" w:rsidR="00AF6BFF" w:rsidRDefault="00AF6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F13D" w14:textId="77777777" w:rsidR="00AF6BFF" w:rsidRDefault="00AF6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2D192" w14:textId="77777777" w:rsidR="00AF6BFF" w:rsidRDefault="00AF6B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F211" w14:textId="77777777" w:rsidR="00755B20" w:rsidRDefault="00755B20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220E7256" w14:textId="77777777" w:rsidR="00755B20" w:rsidRDefault="00755B20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47CF4"/>
    <w:multiLevelType w:val="hybridMultilevel"/>
    <w:tmpl w:val="04EAE0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F7CAD"/>
    <w:multiLevelType w:val="hybridMultilevel"/>
    <w:tmpl w:val="F8264B50"/>
    <w:lvl w:ilvl="0" w:tplc="24CE6BC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56895"/>
    <w:multiLevelType w:val="hybridMultilevel"/>
    <w:tmpl w:val="D79CF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0476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1663"/>
    <w:rsid w:val="00025FCD"/>
    <w:rsid w:val="00027DD8"/>
    <w:rsid w:val="00034237"/>
    <w:rsid w:val="00034E0E"/>
    <w:rsid w:val="00036624"/>
    <w:rsid w:val="00041876"/>
    <w:rsid w:val="00043EC5"/>
    <w:rsid w:val="000446F7"/>
    <w:rsid w:val="00044B07"/>
    <w:rsid w:val="000457C3"/>
    <w:rsid w:val="0005173B"/>
    <w:rsid w:val="00051DE3"/>
    <w:rsid w:val="00056886"/>
    <w:rsid w:val="000610E8"/>
    <w:rsid w:val="00062706"/>
    <w:rsid w:val="00065986"/>
    <w:rsid w:val="000661D2"/>
    <w:rsid w:val="00070CC1"/>
    <w:rsid w:val="00070E94"/>
    <w:rsid w:val="00071472"/>
    <w:rsid w:val="00071BD4"/>
    <w:rsid w:val="00072124"/>
    <w:rsid w:val="00072C33"/>
    <w:rsid w:val="0007350E"/>
    <w:rsid w:val="000735DC"/>
    <w:rsid w:val="00073CBA"/>
    <w:rsid w:val="00075951"/>
    <w:rsid w:val="0007652F"/>
    <w:rsid w:val="00081110"/>
    <w:rsid w:val="000820B3"/>
    <w:rsid w:val="00085CDB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B06C1"/>
    <w:rsid w:val="000B48EA"/>
    <w:rsid w:val="000B5D01"/>
    <w:rsid w:val="000C1690"/>
    <w:rsid w:val="000C2F11"/>
    <w:rsid w:val="000C35DE"/>
    <w:rsid w:val="000C3EB9"/>
    <w:rsid w:val="000C6379"/>
    <w:rsid w:val="000D1427"/>
    <w:rsid w:val="000D15DE"/>
    <w:rsid w:val="000D1EAF"/>
    <w:rsid w:val="000D3008"/>
    <w:rsid w:val="000D3137"/>
    <w:rsid w:val="000D4DDA"/>
    <w:rsid w:val="000D5858"/>
    <w:rsid w:val="000E041F"/>
    <w:rsid w:val="000E1291"/>
    <w:rsid w:val="000E1337"/>
    <w:rsid w:val="000E236B"/>
    <w:rsid w:val="000E246F"/>
    <w:rsid w:val="000E322A"/>
    <w:rsid w:val="000E3D23"/>
    <w:rsid w:val="000E4DD1"/>
    <w:rsid w:val="000E7452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7BD5"/>
    <w:rsid w:val="00121A21"/>
    <w:rsid w:val="00122D8A"/>
    <w:rsid w:val="00127C7B"/>
    <w:rsid w:val="00130639"/>
    <w:rsid w:val="00131CB2"/>
    <w:rsid w:val="001426D2"/>
    <w:rsid w:val="001464BE"/>
    <w:rsid w:val="00147037"/>
    <w:rsid w:val="00150023"/>
    <w:rsid w:val="00151B3F"/>
    <w:rsid w:val="00152251"/>
    <w:rsid w:val="0015309B"/>
    <w:rsid w:val="00155853"/>
    <w:rsid w:val="00156848"/>
    <w:rsid w:val="0015759A"/>
    <w:rsid w:val="0016087C"/>
    <w:rsid w:val="00161BDF"/>
    <w:rsid w:val="00165E06"/>
    <w:rsid w:val="00166740"/>
    <w:rsid w:val="00170E44"/>
    <w:rsid w:val="00170FF7"/>
    <w:rsid w:val="00172D4D"/>
    <w:rsid w:val="00172FD4"/>
    <w:rsid w:val="00173A2A"/>
    <w:rsid w:val="00173AD2"/>
    <w:rsid w:val="00175CD7"/>
    <w:rsid w:val="00176E00"/>
    <w:rsid w:val="00177765"/>
    <w:rsid w:val="001815F9"/>
    <w:rsid w:val="00185950"/>
    <w:rsid w:val="00185AB2"/>
    <w:rsid w:val="00185E74"/>
    <w:rsid w:val="00190D36"/>
    <w:rsid w:val="00190E5A"/>
    <w:rsid w:val="00192AA0"/>
    <w:rsid w:val="00193C03"/>
    <w:rsid w:val="001971C4"/>
    <w:rsid w:val="001A61C6"/>
    <w:rsid w:val="001B0752"/>
    <w:rsid w:val="001B0C90"/>
    <w:rsid w:val="001B0F94"/>
    <w:rsid w:val="001B23F6"/>
    <w:rsid w:val="001B3589"/>
    <w:rsid w:val="001B3A32"/>
    <w:rsid w:val="001B4DA6"/>
    <w:rsid w:val="001B666F"/>
    <w:rsid w:val="001B6B5F"/>
    <w:rsid w:val="001C05D9"/>
    <w:rsid w:val="001C10FF"/>
    <w:rsid w:val="001C2A3B"/>
    <w:rsid w:val="001C2F07"/>
    <w:rsid w:val="001D03CC"/>
    <w:rsid w:val="001D3C5D"/>
    <w:rsid w:val="001E0674"/>
    <w:rsid w:val="001E3CA7"/>
    <w:rsid w:val="001E64B3"/>
    <w:rsid w:val="001E6BF8"/>
    <w:rsid w:val="001F291C"/>
    <w:rsid w:val="001F5677"/>
    <w:rsid w:val="00203533"/>
    <w:rsid w:val="00203807"/>
    <w:rsid w:val="00204314"/>
    <w:rsid w:val="00206880"/>
    <w:rsid w:val="00207FF6"/>
    <w:rsid w:val="00211673"/>
    <w:rsid w:val="0021226D"/>
    <w:rsid w:val="00212A56"/>
    <w:rsid w:val="00217525"/>
    <w:rsid w:val="00220A55"/>
    <w:rsid w:val="00220D53"/>
    <w:rsid w:val="00220F23"/>
    <w:rsid w:val="00222EB5"/>
    <w:rsid w:val="002239A1"/>
    <w:rsid w:val="002241A6"/>
    <w:rsid w:val="00225734"/>
    <w:rsid w:val="00232B32"/>
    <w:rsid w:val="002335BD"/>
    <w:rsid w:val="002340C8"/>
    <w:rsid w:val="002346D9"/>
    <w:rsid w:val="0024230E"/>
    <w:rsid w:val="00244A98"/>
    <w:rsid w:val="00245255"/>
    <w:rsid w:val="00252340"/>
    <w:rsid w:val="00252FA2"/>
    <w:rsid w:val="00253961"/>
    <w:rsid w:val="00253C4A"/>
    <w:rsid w:val="00253EE6"/>
    <w:rsid w:val="00254834"/>
    <w:rsid w:val="00254FBE"/>
    <w:rsid w:val="00260D07"/>
    <w:rsid w:val="00262FEE"/>
    <w:rsid w:val="00266B59"/>
    <w:rsid w:val="00270C03"/>
    <w:rsid w:val="00270E15"/>
    <w:rsid w:val="00270FD5"/>
    <w:rsid w:val="00274710"/>
    <w:rsid w:val="002749A4"/>
    <w:rsid w:val="00277378"/>
    <w:rsid w:val="00277C5A"/>
    <w:rsid w:val="00282576"/>
    <w:rsid w:val="00282BDD"/>
    <w:rsid w:val="00285594"/>
    <w:rsid w:val="00286B2B"/>
    <w:rsid w:val="00290348"/>
    <w:rsid w:val="00293B61"/>
    <w:rsid w:val="002A0D96"/>
    <w:rsid w:val="002A16B2"/>
    <w:rsid w:val="002A23EA"/>
    <w:rsid w:val="002A6374"/>
    <w:rsid w:val="002A6B73"/>
    <w:rsid w:val="002A796A"/>
    <w:rsid w:val="002C0299"/>
    <w:rsid w:val="002C1598"/>
    <w:rsid w:val="002C1AD4"/>
    <w:rsid w:val="002C33F8"/>
    <w:rsid w:val="002C4BF2"/>
    <w:rsid w:val="002C4F6F"/>
    <w:rsid w:val="002C5610"/>
    <w:rsid w:val="002C7FB1"/>
    <w:rsid w:val="002C7FB5"/>
    <w:rsid w:val="002D0054"/>
    <w:rsid w:val="002D2F93"/>
    <w:rsid w:val="002D3B0A"/>
    <w:rsid w:val="002D4F21"/>
    <w:rsid w:val="002E207B"/>
    <w:rsid w:val="002E2C30"/>
    <w:rsid w:val="002F787C"/>
    <w:rsid w:val="003003E5"/>
    <w:rsid w:val="003004DC"/>
    <w:rsid w:val="00302BBC"/>
    <w:rsid w:val="00305144"/>
    <w:rsid w:val="00306A4C"/>
    <w:rsid w:val="00307F8D"/>
    <w:rsid w:val="00307FDD"/>
    <w:rsid w:val="0031291E"/>
    <w:rsid w:val="003153A9"/>
    <w:rsid w:val="00315C01"/>
    <w:rsid w:val="00320105"/>
    <w:rsid w:val="00320C13"/>
    <w:rsid w:val="0032256F"/>
    <w:rsid w:val="0032388A"/>
    <w:rsid w:val="00324033"/>
    <w:rsid w:val="0032684C"/>
    <w:rsid w:val="00326CF2"/>
    <w:rsid w:val="00330B4C"/>
    <w:rsid w:val="0033211F"/>
    <w:rsid w:val="00332869"/>
    <w:rsid w:val="00337DA3"/>
    <w:rsid w:val="003459DC"/>
    <w:rsid w:val="00350032"/>
    <w:rsid w:val="00350C58"/>
    <w:rsid w:val="0035145F"/>
    <w:rsid w:val="00357403"/>
    <w:rsid w:val="00361399"/>
    <w:rsid w:val="00361573"/>
    <w:rsid w:val="0036223D"/>
    <w:rsid w:val="00363481"/>
    <w:rsid w:val="00363FBC"/>
    <w:rsid w:val="00365605"/>
    <w:rsid w:val="0037000A"/>
    <w:rsid w:val="003715F7"/>
    <w:rsid w:val="00372761"/>
    <w:rsid w:val="00374095"/>
    <w:rsid w:val="0037589C"/>
    <w:rsid w:val="00375927"/>
    <w:rsid w:val="00376BFC"/>
    <w:rsid w:val="00377446"/>
    <w:rsid w:val="00380695"/>
    <w:rsid w:val="003817FB"/>
    <w:rsid w:val="003824D5"/>
    <w:rsid w:val="00383130"/>
    <w:rsid w:val="0038315F"/>
    <w:rsid w:val="0038380C"/>
    <w:rsid w:val="00383AB8"/>
    <w:rsid w:val="00384DFB"/>
    <w:rsid w:val="003851CC"/>
    <w:rsid w:val="0039084E"/>
    <w:rsid w:val="00390D87"/>
    <w:rsid w:val="00394344"/>
    <w:rsid w:val="0039443D"/>
    <w:rsid w:val="00396913"/>
    <w:rsid w:val="003A62A9"/>
    <w:rsid w:val="003A77F9"/>
    <w:rsid w:val="003B0D60"/>
    <w:rsid w:val="003B2239"/>
    <w:rsid w:val="003B3232"/>
    <w:rsid w:val="003B3670"/>
    <w:rsid w:val="003B6EEA"/>
    <w:rsid w:val="003B71C7"/>
    <w:rsid w:val="003C2F51"/>
    <w:rsid w:val="003C5009"/>
    <w:rsid w:val="003C67C3"/>
    <w:rsid w:val="003D02F0"/>
    <w:rsid w:val="003D3654"/>
    <w:rsid w:val="003D3F54"/>
    <w:rsid w:val="003D60A8"/>
    <w:rsid w:val="003D63DD"/>
    <w:rsid w:val="003D79EF"/>
    <w:rsid w:val="003D7DF7"/>
    <w:rsid w:val="003E0B9E"/>
    <w:rsid w:val="003E15AB"/>
    <w:rsid w:val="003E1D8E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AAF"/>
    <w:rsid w:val="00421BF9"/>
    <w:rsid w:val="00426275"/>
    <w:rsid w:val="00430225"/>
    <w:rsid w:val="004319C8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560D6"/>
    <w:rsid w:val="004577D4"/>
    <w:rsid w:val="00477D68"/>
    <w:rsid w:val="004823C5"/>
    <w:rsid w:val="00483F3E"/>
    <w:rsid w:val="00486788"/>
    <w:rsid w:val="004910F2"/>
    <w:rsid w:val="00494BAB"/>
    <w:rsid w:val="00495EAE"/>
    <w:rsid w:val="00497033"/>
    <w:rsid w:val="004972EC"/>
    <w:rsid w:val="004A101F"/>
    <w:rsid w:val="004A1180"/>
    <w:rsid w:val="004A27B8"/>
    <w:rsid w:val="004A474B"/>
    <w:rsid w:val="004A5A7F"/>
    <w:rsid w:val="004B17F4"/>
    <w:rsid w:val="004B266F"/>
    <w:rsid w:val="004B66AE"/>
    <w:rsid w:val="004B68C1"/>
    <w:rsid w:val="004C1FBD"/>
    <w:rsid w:val="004C42FA"/>
    <w:rsid w:val="004C49DE"/>
    <w:rsid w:val="004C5553"/>
    <w:rsid w:val="004C5AAA"/>
    <w:rsid w:val="004C6EF6"/>
    <w:rsid w:val="004C72FA"/>
    <w:rsid w:val="004D02DA"/>
    <w:rsid w:val="004D0FD4"/>
    <w:rsid w:val="004D2A83"/>
    <w:rsid w:val="004D3F36"/>
    <w:rsid w:val="004E6B0F"/>
    <w:rsid w:val="004E77CF"/>
    <w:rsid w:val="004F0EE3"/>
    <w:rsid w:val="004F17BC"/>
    <w:rsid w:val="004F3022"/>
    <w:rsid w:val="004F6664"/>
    <w:rsid w:val="00500E9A"/>
    <w:rsid w:val="00500F9D"/>
    <w:rsid w:val="00502593"/>
    <w:rsid w:val="00502A5D"/>
    <w:rsid w:val="00504825"/>
    <w:rsid w:val="00510875"/>
    <w:rsid w:val="00514A90"/>
    <w:rsid w:val="00521BFE"/>
    <w:rsid w:val="005263E3"/>
    <w:rsid w:val="0053135B"/>
    <w:rsid w:val="00531AFB"/>
    <w:rsid w:val="005332DE"/>
    <w:rsid w:val="005335C1"/>
    <w:rsid w:val="00534EAF"/>
    <w:rsid w:val="00535AED"/>
    <w:rsid w:val="005377EA"/>
    <w:rsid w:val="00541482"/>
    <w:rsid w:val="005416B2"/>
    <w:rsid w:val="00541E70"/>
    <w:rsid w:val="00545502"/>
    <w:rsid w:val="005479D6"/>
    <w:rsid w:val="005506E4"/>
    <w:rsid w:val="0055140F"/>
    <w:rsid w:val="0055324E"/>
    <w:rsid w:val="005600CB"/>
    <w:rsid w:val="005602B5"/>
    <w:rsid w:val="00561F62"/>
    <w:rsid w:val="00564E71"/>
    <w:rsid w:val="00565797"/>
    <w:rsid w:val="00566240"/>
    <w:rsid w:val="005669A1"/>
    <w:rsid w:val="00566D16"/>
    <w:rsid w:val="00567A0D"/>
    <w:rsid w:val="00570E69"/>
    <w:rsid w:val="0057489C"/>
    <w:rsid w:val="0057564F"/>
    <w:rsid w:val="005758A5"/>
    <w:rsid w:val="005772C2"/>
    <w:rsid w:val="00581B26"/>
    <w:rsid w:val="0058702A"/>
    <w:rsid w:val="00590C8E"/>
    <w:rsid w:val="005912D1"/>
    <w:rsid w:val="00594233"/>
    <w:rsid w:val="0059567B"/>
    <w:rsid w:val="00597B02"/>
    <w:rsid w:val="005A18DE"/>
    <w:rsid w:val="005A23BE"/>
    <w:rsid w:val="005A2E64"/>
    <w:rsid w:val="005A32C2"/>
    <w:rsid w:val="005A57F2"/>
    <w:rsid w:val="005A6186"/>
    <w:rsid w:val="005A6781"/>
    <w:rsid w:val="005A69A8"/>
    <w:rsid w:val="005A6AEF"/>
    <w:rsid w:val="005B04BC"/>
    <w:rsid w:val="005B1C77"/>
    <w:rsid w:val="005B2DBA"/>
    <w:rsid w:val="005B4F3F"/>
    <w:rsid w:val="005B5C7F"/>
    <w:rsid w:val="005C0A75"/>
    <w:rsid w:val="005C281E"/>
    <w:rsid w:val="005C2A14"/>
    <w:rsid w:val="005C314E"/>
    <w:rsid w:val="005C35AE"/>
    <w:rsid w:val="005C3736"/>
    <w:rsid w:val="005C656A"/>
    <w:rsid w:val="005C668E"/>
    <w:rsid w:val="005C780B"/>
    <w:rsid w:val="005D1766"/>
    <w:rsid w:val="005D4CBE"/>
    <w:rsid w:val="005D5A60"/>
    <w:rsid w:val="005E12C8"/>
    <w:rsid w:val="005E1E26"/>
    <w:rsid w:val="005E470A"/>
    <w:rsid w:val="005E5827"/>
    <w:rsid w:val="005E6A3C"/>
    <w:rsid w:val="005E6E88"/>
    <w:rsid w:val="005F121D"/>
    <w:rsid w:val="005F29D2"/>
    <w:rsid w:val="005F70DD"/>
    <w:rsid w:val="005F7635"/>
    <w:rsid w:val="005F7D01"/>
    <w:rsid w:val="005F7DC7"/>
    <w:rsid w:val="005F7FA8"/>
    <w:rsid w:val="00603D6F"/>
    <w:rsid w:val="0061013A"/>
    <w:rsid w:val="0061166B"/>
    <w:rsid w:val="00613AAD"/>
    <w:rsid w:val="00616005"/>
    <w:rsid w:val="00616AF0"/>
    <w:rsid w:val="00616FBF"/>
    <w:rsid w:val="00617AAE"/>
    <w:rsid w:val="006220A1"/>
    <w:rsid w:val="0062294C"/>
    <w:rsid w:val="00622C02"/>
    <w:rsid w:val="0062367B"/>
    <w:rsid w:val="0062496B"/>
    <w:rsid w:val="0062740D"/>
    <w:rsid w:val="0062783C"/>
    <w:rsid w:val="00627F8C"/>
    <w:rsid w:val="0063152E"/>
    <w:rsid w:val="006319C4"/>
    <w:rsid w:val="0063251C"/>
    <w:rsid w:val="00633993"/>
    <w:rsid w:val="00634931"/>
    <w:rsid w:val="0064212A"/>
    <w:rsid w:val="00642944"/>
    <w:rsid w:val="00644C3A"/>
    <w:rsid w:val="0064771D"/>
    <w:rsid w:val="00647B53"/>
    <w:rsid w:val="0065688A"/>
    <w:rsid w:val="006568F8"/>
    <w:rsid w:val="0065756C"/>
    <w:rsid w:val="00657724"/>
    <w:rsid w:val="00657CEF"/>
    <w:rsid w:val="00660A7E"/>
    <w:rsid w:val="006640AD"/>
    <w:rsid w:val="00664FCC"/>
    <w:rsid w:val="00665262"/>
    <w:rsid w:val="00666389"/>
    <w:rsid w:val="00666707"/>
    <w:rsid w:val="006707A6"/>
    <w:rsid w:val="00672189"/>
    <w:rsid w:val="00672C32"/>
    <w:rsid w:val="00681F9D"/>
    <w:rsid w:val="00682049"/>
    <w:rsid w:val="0068739F"/>
    <w:rsid w:val="00693709"/>
    <w:rsid w:val="0069491E"/>
    <w:rsid w:val="006971B1"/>
    <w:rsid w:val="006A0279"/>
    <w:rsid w:val="006A3028"/>
    <w:rsid w:val="006A3ECC"/>
    <w:rsid w:val="006A609C"/>
    <w:rsid w:val="006A61AB"/>
    <w:rsid w:val="006B18D7"/>
    <w:rsid w:val="006B6498"/>
    <w:rsid w:val="006C0698"/>
    <w:rsid w:val="006C2DA2"/>
    <w:rsid w:val="006C353D"/>
    <w:rsid w:val="006C5A40"/>
    <w:rsid w:val="006C6345"/>
    <w:rsid w:val="006D0B9D"/>
    <w:rsid w:val="006D1DAE"/>
    <w:rsid w:val="006D74F4"/>
    <w:rsid w:val="006D7A92"/>
    <w:rsid w:val="006E1759"/>
    <w:rsid w:val="006E1F9D"/>
    <w:rsid w:val="006E2792"/>
    <w:rsid w:val="006E2BEA"/>
    <w:rsid w:val="006E2F6F"/>
    <w:rsid w:val="006E5D82"/>
    <w:rsid w:val="006E7494"/>
    <w:rsid w:val="006E77E3"/>
    <w:rsid w:val="006E7BAF"/>
    <w:rsid w:val="006F013C"/>
    <w:rsid w:val="006F0721"/>
    <w:rsid w:val="006F1AFE"/>
    <w:rsid w:val="006F4EAB"/>
    <w:rsid w:val="006F6A22"/>
    <w:rsid w:val="006F7BB0"/>
    <w:rsid w:val="00701B0F"/>
    <w:rsid w:val="007034EC"/>
    <w:rsid w:val="00704348"/>
    <w:rsid w:val="007059C2"/>
    <w:rsid w:val="00714718"/>
    <w:rsid w:val="00715848"/>
    <w:rsid w:val="00717DBF"/>
    <w:rsid w:val="00721503"/>
    <w:rsid w:val="00722244"/>
    <w:rsid w:val="0072286D"/>
    <w:rsid w:val="007261FA"/>
    <w:rsid w:val="0072695B"/>
    <w:rsid w:val="00726DF0"/>
    <w:rsid w:val="00727B0D"/>
    <w:rsid w:val="00727E0F"/>
    <w:rsid w:val="00733234"/>
    <w:rsid w:val="00735FDA"/>
    <w:rsid w:val="0074048B"/>
    <w:rsid w:val="007419A8"/>
    <w:rsid w:val="007446B5"/>
    <w:rsid w:val="00745B3A"/>
    <w:rsid w:val="007463D2"/>
    <w:rsid w:val="00747174"/>
    <w:rsid w:val="007503FE"/>
    <w:rsid w:val="00753986"/>
    <w:rsid w:val="007539CD"/>
    <w:rsid w:val="0075450D"/>
    <w:rsid w:val="00755B20"/>
    <w:rsid w:val="00755BBB"/>
    <w:rsid w:val="007611E7"/>
    <w:rsid w:val="00762225"/>
    <w:rsid w:val="00763E36"/>
    <w:rsid w:val="00764902"/>
    <w:rsid w:val="0076637E"/>
    <w:rsid w:val="007707FD"/>
    <w:rsid w:val="0077087E"/>
    <w:rsid w:val="0077167C"/>
    <w:rsid w:val="007740FC"/>
    <w:rsid w:val="00775598"/>
    <w:rsid w:val="0077678D"/>
    <w:rsid w:val="00783B18"/>
    <w:rsid w:val="007873EA"/>
    <w:rsid w:val="007910A1"/>
    <w:rsid w:val="00792422"/>
    <w:rsid w:val="0079260D"/>
    <w:rsid w:val="0079304E"/>
    <w:rsid w:val="007937EC"/>
    <w:rsid w:val="00796404"/>
    <w:rsid w:val="00797277"/>
    <w:rsid w:val="00797F31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3AC"/>
    <w:rsid w:val="007C4592"/>
    <w:rsid w:val="007C4D6A"/>
    <w:rsid w:val="007C4EA9"/>
    <w:rsid w:val="007D130D"/>
    <w:rsid w:val="007D1B9F"/>
    <w:rsid w:val="007D3CDD"/>
    <w:rsid w:val="007E3DC4"/>
    <w:rsid w:val="007E3F89"/>
    <w:rsid w:val="007E4011"/>
    <w:rsid w:val="007E459C"/>
    <w:rsid w:val="007F0628"/>
    <w:rsid w:val="007F1737"/>
    <w:rsid w:val="007F27B8"/>
    <w:rsid w:val="007F4EAA"/>
    <w:rsid w:val="007F5DDE"/>
    <w:rsid w:val="007F6928"/>
    <w:rsid w:val="00804F5F"/>
    <w:rsid w:val="00806AEB"/>
    <w:rsid w:val="0080744E"/>
    <w:rsid w:val="00813A12"/>
    <w:rsid w:val="00821DC0"/>
    <w:rsid w:val="00822CA6"/>
    <w:rsid w:val="0082490C"/>
    <w:rsid w:val="0082515A"/>
    <w:rsid w:val="00825242"/>
    <w:rsid w:val="00826BD5"/>
    <w:rsid w:val="008272C5"/>
    <w:rsid w:val="00830C6A"/>
    <w:rsid w:val="00831B02"/>
    <w:rsid w:val="00831B2E"/>
    <w:rsid w:val="008323C5"/>
    <w:rsid w:val="008421A6"/>
    <w:rsid w:val="00846198"/>
    <w:rsid w:val="008467E9"/>
    <w:rsid w:val="00846D3E"/>
    <w:rsid w:val="00846E4E"/>
    <w:rsid w:val="008502F4"/>
    <w:rsid w:val="008524E5"/>
    <w:rsid w:val="00853DF1"/>
    <w:rsid w:val="00853E83"/>
    <w:rsid w:val="00856241"/>
    <w:rsid w:val="008631C0"/>
    <w:rsid w:val="008637EF"/>
    <w:rsid w:val="00864A73"/>
    <w:rsid w:val="00870A72"/>
    <w:rsid w:val="00870BFC"/>
    <w:rsid w:val="00872CE1"/>
    <w:rsid w:val="008741A6"/>
    <w:rsid w:val="00875BF5"/>
    <w:rsid w:val="008769FD"/>
    <w:rsid w:val="00877601"/>
    <w:rsid w:val="00877B4C"/>
    <w:rsid w:val="00877F12"/>
    <w:rsid w:val="00877F4B"/>
    <w:rsid w:val="00882445"/>
    <w:rsid w:val="00882AE2"/>
    <w:rsid w:val="008859CD"/>
    <w:rsid w:val="0089019E"/>
    <w:rsid w:val="0089091C"/>
    <w:rsid w:val="00890D54"/>
    <w:rsid w:val="00892DB4"/>
    <w:rsid w:val="00894690"/>
    <w:rsid w:val="008A0010"/>
    <w:rsid w:val="008A05DE"/>
    <w:rsid w:val="008A0BA0"/>
    <w:rsid w:val="008A0FD9"/>
    <w:rsid w:val="008B0C24"/>
    <w:rsid w:val="008B0D9B"/>
    <w:rsid w:val="008B32E4"/>
    <w:rsid w:val="008B6F3C"/>
    <w:rsid w:val="008C127B"/>
    <w:rsid w:val="008C19A2"/>
    <w:rsid w:val="008C1A21"/>
    <w:rsid w:val="008C1B2C"/>
    <w:rsid w:val="008C1D4B"/>
    <w:rsid w:val="008C4B06"/>
    <w:rsid w:val="008C6532"/>
    <w:rsid w:val="008D11BB"/>
    <w:rsid w:val="008E53E0"/>
    <w:rsid w:val="008E582D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107A"/>
    <w:rsid w:val="00912190"/>
    <w:rsid w:val="00913D90"/>
    <w:rsid w:val="00917E23"/>
    <w:rsid w:val="009212D6"/>
    <w:rsid w:val="00921EF4"/>
    <w:rsid w:val="00923BFC"/>
    <w:rsid w:val="00931D67"/>
    <w:rsid w:val="00933909"/>
    <w:rsid w:val="00934334"/>
    <w:rsid w:val="00935665"/>
    <w:rsid w:val="00935CC8"/>
    <w:rsid w:val="00937083"/>
    <w:rsid w:val="00941C71"/>
    <w:rsid w:val="0094269C"/>
    <w:rsid w:val="00945CCC"/>
    <w:rsid w:val="00951542"/>
    <w:rsid w:val="00954A7E"/>
    <w:rsid w:val="00955B45"/>
    <w:rsid w:val="00957838"/>
    <w:rsid w:val="00960900"/>
    <w:rsid w:val="00960A98"/>
    <w:rsid w:val="00964194"/>
    <w:rsid w:val="00964388"/>
    <w:rsid w:val="00965BE6"/>
    <w:rsid w:val="00967324"/>
    <w:rsid w:val="00967DCB"/>
    <w:rsid w:val="00971644"/>
    <w:rsid w:val="00971AC4"/>
    <w:rsid w:val="00973065"/>
    <w:rsid w:val="0098023A"/>
    <w:rsid w:val="009808BC"/>
    <w:rsid w:val="00983AEC"/>
    <w:rsid w:val="00987035"/>
    <w:rsid w:val="00992C9D"/>
    <w:rsid w:val="009940F7"/>
    <w:rsid w:val="009942D1"/>
    <w:rsid w:val="00994BA2"/>
    <w:rsid w:val="00995BBE"/>
    <w:rsid w:val="0099640A"/>
    <w:rsid w:val="00996596"/>
    <w:rsid w:val="00997F96"/>
    <w:rsid w:val="009A0568"/>
    <w:rsid w:val="009A4360"/>
    <w:rsid w:val="009A5235"/>
    <w:rsid w:val="009A5DA3"/>
    <w:rsid w:val="009A6F8A"/>
    <w:rsid w:val="009B51F0"/>
    <w:rsid w:val="009B5340"/>
    <w:rsid w:val="009B64A3"/>
    <w:rsid w:val="009C056B"/>
    <w:rsid w:val="009C1283"/>
    <w:rsid w:val="009C6368"/>
    <w:rsid w:val="009D0E3A"/>
    <w:rsid w:val="009D1695"/>
    <w:rsid w:val="009D24B2"/>
    <w:rsid w:val="009D44BA"/>
    <w:rsid w:val="009D583C"/>
    <w:rsid w:val="009D5BE3"/>
    <w:rsid w:val="009D629C"/>
    <w:rsid w:val="009D7537"/>
    <w:rsid w:val="009E091B"/>
    <w:rsid w:val="009E122F"/>
    <w:rsid w:val="009E17F3"/>
    <w:rsid w:val="009E3315"/>
    <w:rsid w:val="009E3376"/>
    <w:rsid w:val="009F129D"/>
    <w:rsid w:val="009F1892"/>
    <w:rsid w:val="009F2418"/>
    <w:rsid w:val="009F2927"/>
    <w:rsid w:val="009F36B7"/>
    <w:rsid w:val="009F433F"/>
    <w:rsid w:val="00A01890"/>
    <w:rsid w:val="00A022A7"/>
    <w:rsid w:val="00A0241A"/>
    <w:rsid w:val="00A0328A"/>
    <w:rsid w:val="00A046B6"/>
    <w:rsid w:val="00A046BA"/>
    <w:rsid w:val="00A118DB"/>
    <w:rsid w:val="00A123BB"/>
    <w:rsid w:val="00A15010"/>
    <w:rsid w:val="00A20807"/>
    <w:rsid w:val="00A21C75"/>
    <w:rsid w:val="00A22485"/>
    <w:rsid w:val="00A2347A"/>
    <w:rsid w:val="00A23B1D"/>
    <w:rsid w:val="00A2783B"/>
    <w:rsid w:val="00A31D43"/>
    <w:rsid w:val="00A32494"/>
    <w:rsid w:val="00A330ED"/>
    <w:rsid w:val="00A337A2"/>
    <w:rsid w:val="00A4201B"/>
    <w:rsid w:val="00A45A90"/>
    <w:rsid w:val="00A46B25"/>
    <w:rsid w:val="00A474E7"/>
    <w:rsid w:val="00A5221E"/>
    <w:rsid w:val="00A531D6"/>
    <w:rsid w:val="00A55605"/>
    <w:rsid w:val="00A60B01"/>
    <w:rsid w:val="00A6118D"/>
    <w:rsid w:val="00A62592"/>
    <w:rsid w:val="00A627DE"/>
    <w:rsid w:val="00A62ED1"/>
    <w:rsid w:val="00A654B1"/>
    <w:rsid w:val="00A67156"/>
    <w:rsid w:val="00A6798D"/>
    <w:rsid w:val="00A67A97"/>
    <w:rsid w:val="00A701F7"/>
    <w:rsid w:val="00A74A91"/>
    <w:rsid w:val="00A77A05"/>
    <w:rsid w:val="00A77C13"/>
    <w:rsid w:val="00A85470"/>
    <w:rsid w:val="00A871DF"/>
    <w:rsid w:val="00A8756A"/>
    <w:rsid w:val="00A917A6"/>
    <w:rsid w:val="00A91853"/>
    <w:rsid w:val="00A918AF"/>
    <w:rsid w:val="00A92667"/>
    <w:rsid w:val="00A92E89"/>
    <w:rsid w:val="00A959F2"/>
    <w:rsid w:val="00A96A8C"/>
    <w:rsid w:val="00A97D9C"/>
    <w:rsid w:val="00AA0225"/>
    <w:rsid w:val="00AA1C61"/>
    <w:rsid w:val="00AA5494"/>
    <w:rsid w:val="00AA5BD0"/>
    <w:rsid w:val="00AA6696"/>
    <w:rsid w:val="00AB27C6"/>
    <w:rsid w:val="00AB4F53"/>
    <w:rsid w:val="00AB732F"/>
    <w:rsid w:val="00AC405D"/>
    <w:rsid w:val="00AC60E1"/>
    <w:rsid w:val="00AC692D"/>
    <w:rsid w:val="00AD06C2"/>
    <w:rsid w:val="00AD079F"/>
    <w:rsid w:val="00AD1507"/>
    <w:rsid w:val="00AD1532"/>
    <w:rsid w:val="00AD2AB1"/>
    <w:rsid w:val="00AD32F1"/>
    <w:rsid w:val="00AD46A7"/>
    <w:rsid w:val="00AD669C"/>
    <w:rsid w:val="00AD7DE4"/>
    <w:rsid w:val="00AD7E99"/>
    <w:rsid w:val="00AD7EFB"/>
    <w:rsid w:val="00AE2200"/>
    <w:rsid w:val="00AE45CF"/>
    <w:rsid w:val="00AE7DAE"/>
    <w:rsid w:val="00AF1018"/>
    <w:rsid w:val="00AF5286"/>
    <w:rsid w:val="00AF52D9"/>
    <w:rsid w:val="00AF6BFF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224C"/>
    <w:rsid w:val="00B22F1D"/>
    <w:rsid w:val="00B26AAA"/>
    <w:rsid w:val="00B26B94"/>
    <w:rsid w:val="00B27888"/>
    <w:rsid w:val="00B301A6"/>
    <w:rsid w:val="00B303E6"/>
    <w:rsid w:val="00B314EC"/>
    <w:rsid w:val="00B315CC"/>
    <w:rsid w:val="00B317F7"/>
    <w:rsid w:val="00B319A7"/>
    <w:rsid w:val="00B322D0"/>
    <w:rsid w:val="00B33D97"/>
    <w:rsid w:val="00B34285"/>
    <w:rsid w:val="00B34C9F"/>
    <w:rsid w:val="00B362A6"/>
    <w:rsid w:val="00B36A19"/>
    <w:rsid w:val="00B40398"/>
    <w:rsid w:val="00B41D74"/>
    <w:rsid w:val="00B42645"/>
    <w:rsid w:val="00B42B17"/>
    <w:rsid w:val="00B4501B"/>
    <w:rsid w:val="00B5198B"/>
    <w:rsid w:val="00B51A77"/>
    <w:rsid w:val="00B55394"/>
    <w:rsid w:val="00B603AF"/>
    <w:rsid w:val="00B61141"/>
    <w:rsid w:val="00B61272"/>
    <w:rsid w:val="00B642E7"/>
    <w:rsid w:val="00B703DB"/>
    <w:rsid w:val="00B7059B"/>
    <w:rsid w:val="00B72A25"/>
    <w:rsid w:val="00B74E1A"/>
    <w:rsid w:val="00B75D36"/>
    <w:rsid w:val="00B75DEA"/>
    <w:rsid w:val="00B804A5"/>
    <w:rsid w:val="00B82C08"/>
    <w:rsid w:val="00B82F76"/>
    <w:rsid w:val="00B83E3E"/>
    <w:rsid w:val="00B8509F"/>
    <w:rsid w:val="00B90799"/>
    <w:rsid w:val="00B93863"/>
    <w:rsid w:val="00B94357"/>
    <w:rsid w:val="00B94FAE"/>
    <w:rsid w:val="00B952D1"/>
    <w:rsid w:val="00B958E3"/>
    <w:rsid w:val="00B95B71"/>
    <w:rsid w:val="00B96104"/>
    <w:rsid w:val="00B97FD4"/>
    <w:rsid w:val="00BA1AC7"/>
    <w:rsid w:val="00BA340E"/>
    <w:rsid w:val="00BA5581"/>
    <w:rsid w:val="00BA5B1E"/>
    <w:rsid w:val="00BA6E70"/>
    <w:rsid w:val="00BB26B1"/>
    <w:rsid w:val="00BB42FC"/>
    <w:rsid w:val="00BB7F26"/>
    <w:rsid w:val="00BC1F6F"/>
    <w:rsid w:val="00BC27E8"/>
    <w:rsid w:val="00BC2D7B"/>
    <w:rsid w:val="00BC3330"/>
    <w:rsid w:val="00BC5284"/>
    <w:rsid w:val="00BD0557"/>
    <w:rsid w:val="00BD0857"/>
    <w:rsid w:val="00BD0B8F"/>
    <w:rsid w:val="00BD0C92"/>
    <w:rsid w:val="00BD2F66"/>
    <w:rsid w:val="00BD4088"/>
    <w:rsid w:val="00BD4A08"/>
    <w:rsid w:val="00BD4FF9"/>
    <w:rsid w:val="00BD580A"/>
    <w:rsid w:val="00BD6351"/>
    <w:rsid w:val="00BD7C1D"/>
    <w:rsid w:val="00BE04E7"/>
    <w:rsid w:val="00BE091C"/>
    <w:rsid w:val="00BE17B2"/>
    <w:rsid w:val="00BE25A3"/>
    <w:rsid w:val="00BE5C50"/>
    <w:rsid w:val="00BE7FC3"/>
    <w:rsid w:val="00BF16D2"/>
    <w:rsid w:val="00BF3EF1"/>
    <w:rsid w:val="00BF4480"/>
    <w:rsid w:val="00C003D1"/>
    <w:rsid w:val="00C03A84"/>
    <w:rsid w:val="00C06AE4"/>
    <w:rsid w:val="00C07C33"/>
    <w:rsid w:val="00C13B8B"/>
    <w:rsid w:val="00C15FC9"/>
    <w:rsid w:val="00C16077"/>
    <w:rsid w:val="00C16AC2"/>
    <w:rsid w:val="00C178C7"/>
    <w:rsid w:val="00C213CC"/>
    <w:rsid w:val="00C22C7C"/>
    <w:rsid w:val="00C23B15"/>
    <w:rsid w:val="00C245FD"/>
    <w:rsid w:val="00C24F5D"/>
    <w:rsid w:val="00C30007"/>
    <w:rsid w:val="00C40050"/>
    <w:rsid w:val="00C40563"/>
    <w:rsid w:val="00C422E0"/>
    <w:rsid w:val="00C4261E"/>
    <w:rsid w:val="00C42756"/>
    <w:rsid w:val="00C44AAF"/>
    <w:rsid w:val="00C467F5"/>
    <w:rsid w:val="00C46BB4"/>
    <w:rsid w:val="00C5077E"/>
    <w:rsid w:val="00C51180"/>
    <w:rsid w:val="00C51B92"/>
    <w:rsid w:val="00C521F5"/>
    <w:rsid w:val="00C527B7"/>
    <w:rsid w:val="00C550B5"/>
    <w:rsid w:val="00C57FB0"/>
    <w:rsid w:val="00C60909"/>
    <w:rsid w:val="00C67536"/>
    <w:rsid w:val="00C7007E"/>
    <w:rsid w:val="00C72759"/>
    <w:rsid w:val="00C73531"/>
    <w:rsid w:val="00C73861"/>
    <w:rsid w:val="00C73F2A"/>
    <w:rsid w:val="00C7756B"/>
    <w:rsid w:val="00C8107A"/>
    <w:rsid w:val="00C820A6"/>
    <w:rsid w:val="00C85D86"/>
    <w:rsid w:val="00C87758"/>
    <w:rsid w:val="00C9097A"/>
    <w:rsid w:val="00C92177"/>
    <w:rsid w:val="00C943A5"/>
    <w:rsid w:val="00C94A8E"/>
    <w:rsid w:val="00C9565F"/>
    <w:rsid w:val="00C9649E"/>
    <w:rsid w:val="00CA10EC"/>
    <w:rsid w:val="00CA12BD"/>
    <w:rsid w:val="00CA2A6A"/>
    <w:rsid w:val="00CA30D1"/>
    <w:rsid w:val="00CA53B3"/>
    <w:rsid w:val="00CA5A76"/>
    <w:rsid w:val="00CA6E64"/>
    <w:rsid w:val="00CA7986"/>
    <w:rsid w:val="00CB05D7"/>
    <w:rsid w:val="00CB1156"/>
    <w:rsid w:val="00CB7728"/>
    <w:rsid w:val="00CC2E51"/>
    <w:rsid w:val="00CC520D"/>
    <w:rsid w:val="00CC6AFE"/>
    <w:rsid w:val="00CC78A3"/>
    <w:rsid w:val="00CD25CE"/>
    <w:rsid w:val="00CD3549"/>
    <w:rsid w:val="00CD5461"/>
    <w:rsid w:val="00CD6254"/>
    <w:rsid w:val="00CD783C"/>
    <w:rsid w:val="00CE0ABF"/>
    <w:rsid w:val="00CE186F"/>
    <w:rsid w:val="00CE2C2F"/>
    <w:rsid w:val="00CE2D68"/>
    <w:rsid w:val="00CE470E"/>
    <w:rsid w:val="00CE5D68"/>
    <w:rsid w:val="00CE5DAE"/>
    <w:rsid w:val="00CE6C20"/>
    <w:rsid w:val="00CF2381"/>
    <w:rsid w:val="00CF27D3"/>
    <w:rsid w:val="00CF3557"/>
    <w:rsid w:val="00CF738D"/>
    <w:rsid w:val="00D0139A"/>
    <w:rsid w:val="00D016C7"/>
    <w:rsid w:val="00D0277A"/>
    <w:rsid w:val="00D033A3"/>
    <w:rsid w:val="00D044A5"/>
    <w:rsid w:val="00D04784"/>
    <w:rsid w:val="00D05BAA"/>
    <w:rsid w:val="00D05CFE"/>
    <w:rsid w:val="00D10C0A"/>
    <w:rsid w:val="00D12A1B"/>
    <w:rsid w:val="00D12F07"/>
    <w:rsid w:val="00D132DC"/>
    <w:rsid w:val="00D225B7"/>
    <w:rsid w:val="00D22A12"/>
    <w:rsid w:val="00D24CE0"/>
    <w:rsid w:val="00D30850"/>
    <w:rsid w:val="00D35D17"/>
    <w:rsid w:val="00D360D8"/>
    <w:rsid w:val="00D36584"/>
    <w:rsid w:val="00D36A50"/>
    <w:rsid w:val="00D400EC"/>
    <w:rsid w:val="00D41698"/>
    <w:rsid w:val="00D419FB"/>
    <w:rsid w:val="00D428CE"/>
    <w:rsid w:val="00D451F2"/>
    <w:rsid w:val="00D45B28"/>
    <w:rsid w:val="00D473A0"/>
    <w:rsid w:val="00D51D4C"/>
    <w:rsid w:val="00D543E3"/>
    <w:rsid w:val="00D54E49"/>
    <w:rsid w:val="00D56B34"/>
    <w:rsid w:val="00D57D46"/>
    <w:rsid w:val="00D61CE3"/>
    <w:rsid w:val="00D626A4"/>
    <w:rsid w:val="00D62A84"/>
    <w:rsid w:val="00D62ECD"/>
    <w:rsid w:val="00D700EA"/>
    <w:rsid w:val="00D71AFB"/>
    <w:rsid w:val="00D73890"/>
    <w:rsid w:val="00D763FA"/>
    <w:rsid w:val="00D7641D"/>
    <w:rsid w:val="00D8167A"/>
    <w:rsid w:val="00D82A6D"/>
    <w:rsid w:val="00D84180"/>
    <w:rsid w:val="00D84F10"/>
    <w:rsid w:val="00D85CE4"/>
    <w:rsid w:val="00D956F7"/>
    <w:rsid w:val="00D9756A"/>
    <w:rsid w:val="00DA1F0C"/>
    <w:rsid w:val="00DA2195"/>
    <w:rsid w:val="00DA26CF"/>
    <w:rsid w:val="00DA5F47"/>
    <w:rsid w:val="00DA7882"/>
    <w:rsid w:val="00DA7F51"/>
    <w:rsid w:val="00DB0A26"/>
    <w:rsid w:val="00DB294A"/>
    <w:rsid w:val="00DB388F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D29E9"/>
    <w:rsid w:val="00DE08D5"/>
    <w:rsid w:val="00DE157C"/>
    <w:rsid w:val="00DE1DC1"/>
    <w:rsid w:val="00DE25F8"/>
    <w:rsid w:val="00DE2A8C"/>
    <w:rsid w:val="00DE3875"/>
    <w:rsid w:val="00DE38C3"/>
    <w:rsid w:val="00DE5016"/>
    <w:rsid w:val="00DE5E98"/>
    <w:rsid w:val="00DE6088"/>
    <w:rsid w:val="00DF47B0"/>
    <w:rsid w:val="00DF4F72"/>
    <w:rsid w:val="00DF6129"/>
    <w:rsid w:val="00E0052C"/>
    <w:rsid w:val="00E037CE"/>
    <w:rsid w:val="00E03E17"/>
    <w:rsid w:val="00E0409E"/>
    <w:rsid w:val="00E047C4"/>
    <w:rsid w:val="00E050F3"/>
    <w:rsid w:val="00E05DCA"/>
    <w:rsid w:val="00E061CA"/>
    <w:rsid w:val="00E06816"/>
    <w:rsid w:val="00E06FB1"/>
    <w:rsid w:val="00E07950"/>
    <w:rsid w:val="00E1089A"/>
    <w:rsid w:val="00E117A5"/>
    <w:rsid w:val="00E12065"/>
    <w:rsid w:val="00E14282"/>
    <w:rsid w:val="00E160D8"/>
    <w:rsid w:val="00E169D8"/>
    <w:rsid w:val="00E16A48"/>
    <w:rsid w:val="00E16C80"/>
    <w:rsid w:val="00E20E01"/>
    <w:rsid w:val="00E24175"/>
    <w:rsid w:val="00E24C25"/>
    <w:rsid w:val="00E26900"/>
    <w:rsid w:val="00E27687"/>
    <w:rsid w:val="00E27C14"/>
    <w:rsid w:val="00E306F1"/>
    <w:rsid w:val="00E31CF4"/>
    <w:rsid w:val="00E34A04"/>
    <w:rsid w:val="00E362C3"/>
    <w:rsid w:val="00E371CC"/>
    <w:rsid w:val="00E40A34"/>
    <w:rsid w:val="00E42FC2"/>
    <w:rsid w:val="00E43425"/>
    <w:rsid w:val="00E43838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3B9B"/>
    <w:rsid w:val="00E7604C"/>
    <w:rsid w:val="00E767AB"/>
    <w:rsid w:val="00E807AD"/>
    <w:rsid w:val="00E825CD"/>
    <w:rsid w:val="00E8792C"/>
    <w:rsid w:val="00E91462"/>
    <w:rsid w:val="00E938C1"/>
    <w:rsid w:val="00E94964"/>
    <w:rsid w:val="00E96286"/>
    <w:rsid w:val="00E96ED0"/>
    <w:rsid w:val="00E9711C"/>
    <w:rsid w:val="00EA1EDD"/>
    <w:rsid w:val="00EA2C0D"/>
    <w:rsid w:val="00EA2D0E"/>
    <w:rsid w:val="00EA5DEF"/>
    <w:rsid w:val="00EA6BB1"/>
    <w:rsid w:val="00EB05BB"/>
    <w:rsid w:val="00EB22AF"/>
    <w:rsid w:val="00EB23CE"/>
    <w:rsid w:val="00EB4082"/>
    <w:rsid w:val="00EC16EB"/>
    <w:rsid w:val="00EC2E7D"/>
    <w:rsid w:val="00EC3ECC"/>
    <w:rsid w:val="00EC55FD"/>
    <w:rsid w:val="00ED022C"/>
    <w:rsid w:val="00ED5FA4"/>
    <w:rsid w:val="00ED6C70"/>
    <w:rsid w:val="00ED6F50"/>
    <w:rsid w:val="00ED7B71"/>
    <w:rsid w:val="00EE0B18"/>
    <w:rsid w:val="00EE1422"/>
    <w:rsid w:val="00EE1E15"/>
    <w:rsid w:val="00EE5D8D"/>
    <w:rsid w:val="00EE6C89"/>
    <w:rsid w:val="00EF6D54"/>
    <w:rsid w:val="00F00ADE"/>
    <w:rsid w:val="00F031B2"/>
    <w:rsid w:val="00F04B04"/>
    <w:rsid w:val="00F10E7B"/>
    <w:rsid w:val="00F11124"/>
    <w:rsid w:val="00F122C9"/>
    <w:rsid w:val="00F127FD"/>
    <w:rsid w:val="00F12CBE"/>
    <w:rsid w:val="00F14FA9"/>
    <w:rsid w:val="00F16856"/>
    <w:rsid w:val="00F20B0E"/>
    <w:rsid w:val="00F20C8F"/>
    <w:rsid w:val="00F210E8"/>
    <w:rsid w:val="00F2209D"/>
    <w:rsid w:val="00F234E2"/>
    <w:rsid w:val="00F2688C"/>
    <w:rsid w:val="00F303F0"/>
    <w:rsid w:val="00F30939"/>
    <w:rsid w:val="00F3393A"/>
    <w:rsid w:val="00F3475E"/>
    <w:rsid w:val="00F366ED"/>
    <w:rsid w:val="00F36F86"/>
    <w:rsid w:val="00F375D8"/>
    <w:rsid w:val="00F3766A"/>
    <w:rsid w:val="00F37ADC"/>
    <w:rsid w:val="00F401D2"/>
    <w:rsid w:val="00F402B4"/>
    <w:rsid w:val="00F42608"/>
    <w:rsid w:val="00F440D5"/>
    <w:rsid w:val="00F5295E"/>
    <w:rsid w:val="00F55F08"/>
    <w:rsid w:val="00F5724C"/>
    <w:rsid w:val="00F60629"/>
    <w:rsid w:val="00F6448C"/>
    <w:rsid w:val="00F64804"/>
    <w:rsid w:val="00F649C0"/>
    <w:rsid w:val="00F65CA2"/>
    <w:rsid w:val="00F66EC0"/>
    <w:rsid w:val="00F67B48"/>
    <w:rsid w:val="00F67B7E"/>
    <w:rsid w:val="00F70732"/>
    <w:rsid w:val="00F711F3"/>
    <w:rsid w:val="00F71DFF"/>
    <w:rsid w:val="00F7207C"/>
    <w:rsid w:val="00F72716"/>
    <w:rsid w:val="00F75BDB"/>
    <w:rsid w:val="00F81F7E"/>
    <w:rsid w:val="00F81F99"/>
    <w:rsid w:val="00F83F50"/>
    <w:rsid w:val="00F8403C"/>
    <w:rsid w:val="00F855A3"/>
    <w:rsid w:val="00F860DE"/>
    <w:rsid w:val="00F90F0D"/>
    <w:rsid w:val="00F91FB3"/>
    <w:rsid w:val="00F94EE3"/>
    <w:rsid w:val="00F978B3"/>
    <w:rsid w:val="00FA2D80"/>
    <w:rsid w:val="00FA4B21"/>
    <w:rsid w:val="00FA54A1"/>
    <w:rsid w:val="00FB1D9E"/>
    <w:rsid w:val="00FB5A80"/>
    <w:rsid w:val="00FB625A"/>
    <w:rsid w:val="00FB744F"/>
    <w:rsid w:val="00FC031A"/>
    <w:rsid w:val="00FC739B"/>
    <w:rsid w:val="00FC7B16"/>
    <w:rsid w:val="00FD18A7"/>
    <w:rsid w:val="00FD21A8"/>
    <w:rsid w:val="00FD3619"/>
    <w:rsid w:val="00FD50DA"/>
    <w:rsid w:val="00FD55BB"/>
    <w:rsid w:val="00FE0903"/>
    <w:rsid w:val="00FE13A4"/>
    <w:rsid w:val="00FE1D9B"/>
    <w:rsid w:val="00FE34B9"/>
    <w:rsid w:val="00FE5B7B"/>
    <w:rsid w:val="00FF17B3"/>
    <w:rsid w:val="00FF2E18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C2DD2A"/>
  <w14:defaultImageDpi w14:val="0"/>
  <w15:docId w15:val="{0AD10481-576C-4ACB-B9C4-81B91743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EB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character" w:customStyle="1" w:styleId="instructionsChar">
    <w:name w:val="instructions Char"/>
    <w:link w:val="instructions"/>
    <w:locked/>
    <w:rsid w:val="00BD0557"/>
    <w:rPr>
      <w:color w:val="595959"/>
    </w:rPr>
  </w:style>
  <w:style w:type="paragraph" w:customStyle="1" w:styleId="instructions">
    <w:name w:val="instructions"/>
    <w:basedOn w:val="Normal"/>
    <w:link w:val="instructionsChar"/>
    <w:qFormat/>
    <w:rsid w:val="00BD0557"/>
    <w:pPr>
      <w:spacing w:after="200"/>
    </w:pPr>
    <w:rPr>
      <w:rFonts w:ascii="Times New Roman" w:hAnsi="Times New Roman" w:cs="Times New Roman"/>
      <w:color w:val="595959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3F0F-C939-401B-AF4A-A54082E8F3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4A833E-BA26-4463-9D70-28001AFA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2418</Words>
  <Characters>12381</Characters>
  <Application>Microsoft Office Word</Application>
  <DocSecurity>0</DocSecurity>
  <Lines>497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2016-07-28T05:36:00Z</cp:lastPrinted>
  <dcterms:created xsi:type="dcterms:W3CDTF">2021-05-26T01:51:00Z</dcterms:created>
  <dcterms:modified xsi:type="dcterms:W3CDTF">2021-05-26T01:51:00Z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82f9b7ce-3227-4d42-860b-5eb9ae039ded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