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B880" w14:textId="77777777" w:rsidR="00B135FC" w:rsidRDefault="00B135FC">
      <w:pPr>
        <w:spacing w:before="120"/>
        <w:rPr>
          <w:rFonts w:ascii="Arial" w:hAnsi="Arial" w:cs="Arial"/>
        </w:rPr>
      </w:pPr>
      <w:bookmarkStart w:id="0" w:name="_Toc44738651"/>
    </w:p>
    <w:p w14:paraId="531BA3BF" w14:textId="77777777" w:rsidR="00B135FC" w:rsidRDefault="00B135FC">
      <w:pPr>
        <w:spacing w:before="120"/>
        <w:rPr>
          <w:rFonts w:ascii="Arial" w:hAnsi="Arial" w:cs="Arial"/>
        </w:rPr>
      </w:pPr>
    </w:p>
    <w:p w14:paraId="59079A02" w14:textId="7DC6EA68" w:rsidR="00F10CB2" w:rsidRDefault="00F10C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13AC1EF0" w14:textId="0F9EA76D" w:rsidR="00F10CB2" w:rsidRDefault="00044572" w:rsidP="00BA2015">
      <w:pPr>
        <w:pStyle w:val="Billname"/>
        <w:spacing w:before="600"/>
      </w:pPr>
      <w:r>
        <w:t xml:space="preserve">Road Transport (General) Application of </w:t>
      </w:r>
      <w:r w:rsidR="00A56E66">
        <w:t xml:space="preserve">Road </w:t>
      </w:r>
      <w:r>
        <w:t xml:space="preserve">Transport Legislation </w:t>
      </w:r>
      <w:r w:rsidR="00F10CB2">
        <w:t>(</w:t>
      </w:r>
      <w:r>
        <w:t>Manuka Oval</w:t>
      </w:r>
      <w:r w:rsidR="00F10CB2">
        <w:t xml:space="preserve">) </w:t>
      </w:r>
      <w:r>
        <w:t>Declaration 202</w:t>
      </w:r>
      <w:r w:rsidR="003513C3">
        <w:t>2</w:t>
      </w:r>
      <w:r>
        <w:t xml:space="preserve"> (No</w:t>
      </w:r>
      <w:r w:rsidR="004219CD">
        <w:t xml:space="preserve"> </w:t>
      </w:r>
      <w:r w:rsidR="00A56E66">
        <w:t>3</w:t>
      </w:r>
      <w:r>
        <w:t>)</w:t>
      </w:r>
    </w:p>
    <w:p w14:paraId="4D2B995B" w14:textId="1E0CC606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44572">
        <w:rPr>
          <w:rFonts w:ascii="Arial" w:hAnsi="Arial" w:cs="Arial"/>
          <w:b/>
          <w:bCs/>
          <w:iCs/>
        </w:rPr>
        <w:t>202</w:t>
      </w:r>
      <w:r w:rsidR="003513C3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</w:rPr>
        <w:t>–</w:t>
      </w:r>
      <w:r w:rsidR="007F714F">
        <w:rPr>
          <w:rFonts w:ascii="Arial" w:hAnsi="Arial" w:cs="Arial"/>
          <w:b/>
          <w:bCs/>
        </w:rPr>
        <w:t>229</w:t>
      </w:r>
    </w:p>
    <w:p w14:paraId="1CA70C6E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F949FAB" w14:textId="0FF8AF73" w:rsidR="00F10CB2" w:rsidRDefault="00044572" w:rsidP="00CD4E55">
      <w:pPr>
        <w:pStyle w:val="CoverActName"/>
        <w:spacing w:before="320" w:after="0"/>
        <w:rPr>
          <w:rFonts w:cs="Arial"/>
          <w:sz w:val="20"/>
        </w:rPr>
      </w:pPr>
      <w:r w:rsidRPr="00044572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 xml:space="preserve">, section 12 (Power to include or exclude areas in road transport legislation) </w:t>
      </w:r>
    </w:p>
    <w:p w14:paraId="13BE367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33B664B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8D00B8A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0575AC5" w14:textId="6FE679C0" w:rsidR="00F10CB2" w:rsidRDefault="00F10CB2" w:rsidP="00D47F13">
      <w:pPr>
        <w:spacing w:before="140"/>
        <w:ind w:left="720"/>
      </w:pPr>
      <w:r>
        <w:t>This instrument is the</w:t>
      </w:r>
      <w:r w:rsidR="004219CD">
        <w:t xml:space="preserve"> </w:t>
      </w:r>
      <w:r w:rsidR="004219CD" w:rsidRPr="004219CD">
        <w:rPr>
          <w:i/>
          <w:iCs/>
        </w:rPr>
        <w:t>Road Transport (General) Application of Road Transport Legislation (Manuka Oval</w:t>
      </w:r>
      <w:r w:rsidR="004219CD" w:rsidRPr="003513C3">
        <w:rPr>
          <w:i/>
          <w:iCs/>
        </w:rPr>
        <w:t>) Declaration 202</w:t>
      </w:r>
      <w:r w:rsidR="00B71CA6" w:rsidRPr="003513C3">
        <w:rPr>
          <w:i/>
          <w:iCs/>
        </w:rPr>
        <w:t>2</w:t>
      </w:r>
      <w:r w:rsidR="004219CD" w:rsidRPr="00B46E5A">
        <w:rPr>
          <w:i/>
          <w:iCs/>
        </w:rPr>
        <w:t xml:space="preserve"> (No </w:t>
      </w:r>
      <w:r w:rsidR="006024EF" w:rsidRPr="00B46E5A">
        <w:rPr>
          <w:i/>
          <w:iCs/>
        </w:rPr>
        <w:t>3</w:t>
      </w:r>
      <w:r w:rsidR="004219CD" w:rsidRPr="00B46E5A">
        <w:rPr>
          <w:i/>
          <w:iCs/>
        </w:rPr>
        <w:t>)</w:t>
      </w:r>
      <w:r w:rsidRPr="003513C3">
        <w:rPr>
          <w:bCs/>
          <w:iCs/>
        </w:rPr>
        <w:t>.</w:t>
      </w:r>
    </w:p>
    <w:p w14:paraId="3241F36F" w14:textId="27C19528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724C830" w14:textId="0484E26E" w:rsidR="00F10CB2" w:rsidRDefault="00F10CB2" w:rsidP="00D47F13">
      <w:pPr>
        <w:spacing w:before="140"/>
        <w:ind w:left="720"/>
      </w:pPr>
      <w:r>
        <w:t>This instrument commences on</w:t>
      </w:r>
      <w:r w:rsidR="004219CD">
        <w:t xml:space="preserve"> </w:t>
      </w:r>
      <w:r w:rsidR="006D7C01">
        <w:t>12 October</w:t>
      </w:r>
      <w:r w:rsidR="0043354C">
        <w:t xml:space="preserve"> 2022</w:t>
      </w:r>
      <w:r>
        <w:t>.</w:t>
      </w:r>
    </w:p>
    <w:p w14:paraId="492099A7" w14:textId="78EF36ED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19CD">
        <w:rPr>
          <w:rFonts w:ascii="Arial" w:hAnsi="Arial" w:cs="Arial"/>
          <w:b/>
          <w:bCs/>
        </w:rPr>
        <w:t>Declaration</w:t>
      </w:r>
    </w:p>
    <w:p w14:paraId="02B368B3" w14:textId="0C1B1F4E" w:rsidR="00F10CB2" w:rsidRDefault="004219CD" w:rsidP="00B81F5E">
      <w:pPr>
        <w:spacing w:before="140"/>
        <w:ind w:left="720"/>
      </w:pPr>
      <w:r w:rsidRPr="004219CD">
        <w:t xml:space="preserve">I declare </w:t>
      </w:r>
      <w:r w:rsidR="00B81F5E">
        <w:t xml:space="preserve">that for the periods set out in clause 4 of this instrument, section 205 (Parking for longer than indicated) of the </w:t>
      </w:r>
      <w:r w:rsidR="00B81F5E" w:rsidRPr="00B81F5E">
        <w:rPr>
          <w:i/>
          <w:iCs/>
        </w:rPr>
        <w:t>Road Transport (Road Rules) Regulation 2017</w:t>
      </w:r>
      <w:r w:rsidR="00B81F5E">
        <w:t xml:space="preserve"> does not apply to the area identified in the schedule to this instrument.</w:t>
      </w:r>
    </w:p>
    <w:p w14:paraId="37C44404" w14:textId="078CBAE5" w:rsidR="00F10CB2" w:rsidRDefault="00B81F5E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Period of effect of declaration</w:t>
      </w:r>
    </w:p>
    <w:p w14:paraId="567E7EB8" w14:textId="166D48E7" w:rsidR="005C14B4" w:rsidRDefault="000A5F93" w:rsidP="00D47F13">
      <w:pPr>
        <w:spacing w:before="140"/>
        <w:ind w:left="720"/>
      </w:pPr>
      <w:bookmarkStart w:id="1" w:name="_Hlk88031738"/>
      <w:r>
        <w:t xml:space="preserve">(1) </w:t>
      </w:r>
      <w:r w:rsidR="005C14B4">
        <w:t>I</w:t>
      </w:r>
      <w:r w:rsidR="003E4F77">
        <w:rPr>
          <w:color w:val="000000"/>
          <w:shd w:val="clear" w:color="auto" w:fill="FFFFFF"/>
        </w:rPr>
        <w:t xml:space="preserve">f </w:t>
      </w:r>
      <w:r w:rsidR="003E4F77" w:rsidRPr="000A5F93">
        <w:t xml:space="preserve">all or </w:t>
      </w:r>
      <w:r w:rsidR="003E4F77" w:rsidRPr="008E1235">
        <w:t>part of a </w:t>
      </w:r>
      <w:r w:rsidR="003E4F77" w:rsidRPr="008E1235">
        <w:rPr>
          <w:b/>
          <w:bCs/>
        </w:rPr>
        <w:t xml:space="preserve">Cricket </w:t>
      </w:r>
      <w:r w:rsidR="00DC0F28">
        <w:rPr>
          <w:b/>
          <w:bCs/>
        </w:rPr>
        <w:t>m</w:t>
      </w:r>
      <w:r w:rsidR="003E4F77" w:rsidRPr="008E1235">
        <w:rPr>
          <w:b/>
          <w:bCs/>
        </w:rPr>
        <w:t>atch</w:t>
      </w:r>
      <w:r w:rsidR="003E4F77" w:rsidRPr="008E1235">
        <w:t> proceeds at Manuka Oval on one or more days within the period of </w:t>
      </w:r>
      <w:r w:rsidR="00B71CA6" w:rsidRPr="00B71CA6">
        <w:t xml:space="preserve">12 October 2022 to </w:t>
      </w:r>
      <w:r w:rsidR="007720C3">
        <w:t>21 February</w:t>
      </w:r>
      <w:r w:rsidR="00B71CA6" w:rsidRPr="00B71CA6">
        <w:t xml:space="preserve"> 2023</w:t>
      </w:r>
      <w:r w:rsidR="003E4F77" w:rsidRPr="008E1235">
        <w:t>,</w:t>
      </w:r>
      <w:r w:rsidR="005C14B4">
        <w:t xml:space="preserve"> </w:t>
      </w:r>
      <w:bookmarkStart w:id="2" w:name="_Hlk115376354"/>
      <w:r w:rsidR="005C14B4">
        <w:t xml:space="preserve">the declaration </w:t>
      </w:r>
      <w:bookmarkStart w:id="3" w:name="_Hlk115275483"/>
      <w:r w:rsidR="005C14B4">
        <w:t>has effect beginning three hours before the scheduled starting time of the match until 11:59 pm that day</w:t>
      </w:r>
      <w:bookmarkEnd w:id="2"/>
      <w:bookmarkEnd w:id="3"/>
      <w:r w:rsidR="005C14B4">
        <w:t>; or</w:t>
      </w:r>
    </w:p>
    <w:p w14:paraId="3C2E979A" w14:textId="21632329" w:rsidR="00B71CA6" w:rsidRDefault="005C14B4" w:rsidP="00D47F13">
      <w:pPr>
        <w:spacing w:before="140"/>
        <w:ind w:left="720"/>
      </w:pPr>
      <w:r>
        <w:t xml:space="preserve">(2) </w:t>
      </w:r>
      <w:r w:rsidR="006024EF">
        <w:t>If all or part of a</w:t>
      </w:r>
      <w:r w:rsidR="000D7D72">
        <w:t xml:space="preserve"> cricket</w:t>
      </w:r>
      <w:r w:rsidR="007D7C32">
        <w:t xml:space="preserve"> game</w:t>
      </w:r>
      <w:r w:rsidR="000D7D72">
        <w:t xml:space="preserve"> announced by Cricket Australia proceeds at Manuka Oval on one or more days within the period on 23 November 2022 to 26 November 2022, </w:t>
      </w:r>
      <w:bookmarkStart w:id="4" w:name="_Hlk115376832"/>
      <w:r w:rsidR="000D7D72">
        <w:t>the declaration has effect beginning 13:00 pm to 19:00 pm that day</w:t>
      </w:r>
      <w:bookmarkEnd w:id="4"/>
      <w:r w:rsidR="000D7D72">
        <w:t xml:space="preserve">. </w:t>
      </w:r>
    </w:p>
    <w:bookmarkEnd w:id="1"/>
    <w:p w14:paraId="5FE34D5B" w14:textId="1151F0E3" w:rsidR="00AB2D10" w:rsidRDefault="00E62288" w:rsidP="00A06198">
      <w:pPr>
        <w:spacing w:before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AB2D10">
        <w:rPr>
          <w:rFonts w:ascii="Arial" w:hAnsi="Arial" w:cs="Arial"/>
          <w:b/>
          <w:bCs/>
        </w:rPr>
        <w:t>Definitions</w:t>
      </w:r>
    </w:p>
    <w:p w14:paraId="1F0C4C0B" w14:textId="6665BBEA" w:rsidR="006024EF" w:rsidRDefault="006D4F66" w:rsidP="00D47F13">
      <w:pPr>
        <w:spacing w:before="300"/>
        <w:ind w:left="720" w:hanging="720"/>
      </w:pPr>
      <w:r w:rsidRPr="006D4F66">
        <w:rPr>
          <w:rFonts w:ascii="Arial" w:hAnsi="Arial" w:cs="Arial"/>
          <w:b/>
          <w:bCs/>
          <w:i/>
          <w:iCs/>
        </w:rPr>
        <w:tab/>
      </w:r>
      <w:r w:rsidRPr="00A06198">
        <w:rPr>
          <w:b/>
          <w:bCs/>
          <w:i/>
          <w:iCs/>
        </w:rPr>
        <w:t>Cricket match</w:t>
      </w:r>
      <w:r w:rsidRPr="00A06198">
        <w:rPr>
          <w:i/>
          <w:iCs/>
        </w:rPr>
        <w:t> </w:t>
      </w:r>
      <w:r>
        <w:t xml:space="preserve">means </w:t>
      </w:r>
      <w:bookmarkStart w:id="5" w:name="_Hlk115275429"/>
      <w:r w:rsidR="006024EF">
        <w:t>a</w:t>
      </w:r>
      <w:bookmarkStart w:id="6" w:name="_Hlk115276309"/>
      <w:bookmarkStart w:id="7" w:name="_Hlk115376382"/>
      <w:r w:rsidR="00B46E5A">
        <w:t xml:space="preserve"> </w:t>
      </w:r>
      <w:r w:rsidR="006024EF">
        <w:t xml:space="preserve">series and tournament announced by Cricket Australia </w:t>
      </w:r>
      <w:bookmarkEnd w:id="6"/>
      <w:r w:rsidR="006024EF">
        <w:t xml:space="preserve">including a KFC </w:t>
      </w:r>
      <w:bookmarkStart w:id="8" w:name="_Hlk88031797"/>
      <w:r w:rsidR="006024EF" w:rsidRPr="006024EF">
        <w:t>Big Bash League 2021/22 cricket match</w:t>
      </w:r>
      <w:r w:rsidR="006024EF">
        <w:t xml:space="preserve">, </w:t>
      </w:r>
      <w:r w:rsidR="006024EF" w:rsidRPr="006024EF">
        <w:t>an</w:t>
      </w:r>
      <w:r w:rsidR="006024EF" w:rsidRPr="006024EF">
        <w:rPr>
          <w:i/>
          <w:iCs/>
        </w:rPr>
        <w:t> </w:t>
      </w:r>
      <w:r w:rsidR="006024EF" w:rsidRPr="006024EF">
        <w:t>ICC Men’s T20 World Cup</w:t>
      </w:r>
      <w:bookmarkEnd w:id="8"/>
      <w:r w:rsidR="006024EF" w:rsidRPr="006024EF">
        <w:t> cricket match</w:t>
      </w:r>
      <w:r w:rsidR="000D7D72">
        <w:t>, a Women’s T20I cricket match or Weber Women’s Big Bash League cricket match.</w:t>
      </w:r>
      <w:bookmarkEnd w:id="5"/>
      <w:bookmarkEnd w:id="7"/>
    </w:p>
    <w:p w14:paraId="67E6DE91" w14:textId="1EF5435C" w:rsidR="00B135FC" w:rsidRDefault="00B135FC" w:rsidP="00D47F13">
      <w:pPr>
        <w:spacing w:before="300"/>
        <w:ind w:left="720" w:hanging="720"/>
      </w:pPr>
    </w:p>
    <w:p w14:paraId="4225DC5D" w14:textId="77777777" w:rsidR="00B135FC" w:rsidRDefault="00B135FC" w:rsidP="00D47F13">
      <w:pPr>
        <w:spacing w:before="300"/>
        <w:ind w:left="720" w:hanging="720"/>
      </w:pPr>
    </w:p>
    <w:p w14:paraId="55A89B78" w14:textId="21812E7F" w:rsidR="00F10CB2" w:rsidRDefault="00AB2D1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>
        <w:rPr>
          <w:rFonts w:ascii="Arial" w:hAnsi="Arial" w:cs="Arial"/>
          <w:b/>
          <w:bCs/>
        </w:rPr>
        <w:tab/>
      </w:r>
      <w:r w:rsidR="00E62288">
        <w:rPr>
          <w:rFonts w:ascii="Arial" w:hAnsi="Arial" w:cs="Arial"/>
          <w:b/>
          <w:bCs/>
        </w:rPr>
        <w:t>Expiry</w:t>
      </w:r>
    </w:p>
    <w:p w14:paraId="40612808" w14:textId="73E17BF3" w:rsidR="00F10CB2" w:rsidRPr="000D7D72" w:rsidRDefault="0072003E" w:rsidP="00D47F13">
      <w:pPr>
        <w:spacing w:before="140"/>
        <w:ind w:left="720"/>
      </w:pPr>
      <w:r>
        <w:t xml:space="preserve">This instrument </w:t>
      </w:r>
      <w:r w:rsidR="00E62288" w:rsidRPr="000D7D72">
        <w:t xml:space="preserve">expires on </w:t>
      </w:r>
      <w:r w:rsidR="007D7C32">
        <w:t>22 February</w:t>
      </w:r>
      <w:r w:rsidR="00B71CA6" w:rsidRPr="000D7D72">
        <w:t xml:space="preserve"> 2023</w:t>
      </w:r>
      <w:r w:rsidR="008C589B" w:rsidRPr="000D7D72">
        <w:t>.</w:t>
      </w:r>
    </w:p>
    <w:p w14:paraId="76A7781A" w14:textId="77777777" w:rsidR="00B135FC" w:rsidRDefault="00B135FC" w:rsidP="00B46E5A">
      <w:pPr>
        <w:tabs>
          <w:tab w:val="left" w:pos="4320"/>
        </w:tabs>
        <w:spacing w:before="600"/>
      </w:pPr>
    </w:p>
    <w:p w14:paraId="6A4981C9" w14:textId="4183C19D" w:rsidR="00D47F13" w:rsidRDefault="00E62288" w:rsidP="00B46E5A">
      <w:pPr>
        <w:tabs>
          <w:tab w:val="left" w:pos="4320"/>
        </w:tabs>
        <w:spacing w:before="600"/>
      </w:pPr>
      <w:r w:rsidRPr="000D7D72">
        <w:t>Chris Steel MLA</w:t>
      </w:r>
    </w:p>
    <w:p w14:paraId="2104F5C8" w14:textId="2C5D13DD" w:rsidR="00F10CB2" w:rsidRDefault="00E62288" w:rsidP="000D7D72">
      <w:pPr>
        <w:tabs>
          <w:tab w:val="left" w:pos="4320"/>
        </w:tabs>
      </w:pPr>
      <w:r>
        <w:t>Minister for Transport and City Services</w:t>
      </w:r>
    </w:p>
    <w:bookmarkEnd w:id="0"/>
    <w:p w14:paraId="07FE5966" w14:textId="54F5C537" w:rsidR="00760E28" w:rsidRDefault="007F714F" w:rsidP="00232478">
      <w:pPr>
        <w:tabs>
          <w:tab w:val="left" w:pos="4320"/>
        </w:tabs>
      </w:pPr>
      <w:r>
        <w:t>10</w:t>
      </w:r>
      <w:r w:rsidR="00E62288">
        <w:t xml:space="preserve"> </w:t>
      </w:r>
      <w:r w:rsidR="00B71CA6">
        <w:t>Oct</w:t>
      </w:r>
      <w:r w:rsidR="00B135FC">
        <w:t>ober</w:t>
      </w:r>
      <w:r w:rsidR="00E62288">
        <w:t xml:space="preserve"> 202</w:t>
      </w:r>
      <w:r w:rsidR="00B71CA6">
        <w:t>2</w:t>
      </w:r>
      <w:r w:rsidR="00760E28">
        <w:br w:type="page"/>
      </w:r>
    </w:p>
    <w:p w14:paraId="103C6A2B" w14:textId="78C1B52E" w:rsidR="00692715" w:rsidRDefault="00692715" w:rsidP="00232478">
      <w:pPr>
        <w:tabs>
          <w:tab w:val="left" w:pos="4320"/>
        </w:tabs>
      </w:pPr>
    </w:p>
    <w:p w14:paraId="329F1F13" w14:textId="25F0BF39" w:rsidR="00692715" w:rsidRPr="007A777E" w:rsidRDefault="00692715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  <w:r w:rsidRPr="007A777E">
        <w:rPr>
          <w:rFonts w:ascii="Arial" w:hAnsi="Arial" w:cs="Arial"/>
          <w:b/>
        </w:rPr>
        <w:t xml:space="preserve">Schedule - Road and road related areas where specified road transport legislation is to be disapplied for </w:t>
      </w:r>
      <w:r>
        <w:rPr>
          <w:rFonts w:ascii="Arial" w:hAnsi="Arial" w:cs="Arial"/>
          <w:b/>
        </w:rPr>
        <w:t>the 202</w:t>
      </w:r>
      <w:r w:rsidR="00B71CA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B71CA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7A777E">
        <w:rPr>
          <w:rFonts w:ascii="Arial" w:hAnsi="Arial" w:cs="Arial"/>
          <w:b/>
        </w:rPr>
        <w:t>fixtures at Manuka Oval</w:t>
      </w:r>
    </w:p>
    <w:p w14:paraId="1D77E1D0" w14:textId="77777777" w:rsidR="00692715" w:rsidRDefault="00692715" w:rsidP="00692715">
      <w:pPr>
        <w:pStyle w:val="Default"/>
        <w:pBdr>
          <w:bottom w:val="single" w:sz="4" w:space="3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1B1EAE19" w14:textId="77777777" w:rsidR="00692715" w:rsidRPr="00DA1FEF" w:rsidRDefault="00692715" w:rsidP="00692715">
      <w:pPr>
        <w:pStyle w:val="Default"/>
        <w:pBdr>
          <w:bottom w:val="single" w:sz="4" w:space="3" w:color="auto"/>
        </w:pBdr>
        <w:rPr>
          <w:rFonts w:ascii="Times New Roman" w:hAnsi="Times New Roman" w:cs="Times New Roman"/>
        </w:rPr>
      </w:pPr>
      <w:r w:rsidRPr="00DA1FEF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A1FEF">
        <w:rPr>
          <w:rFonts w:ascii="Times New Roman" w:hAnsi="Times New Roman" w:cs="Times New Roman"/>
          <w:sz w:val="22"/>
          <w:szCs w:val="22"/>
        </w:rPr>
        <w:t>see</w:t>
      </w:r>
      <w:proofErr w:type="gramEnd"/>
      <w:r w:rsidRPr="00DA1F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clause</w:t>
      </w:r>
      <w:r w:rsidRPr="00DA1F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DA1FEF">
        <w:rPr>
          <w:rFonts w:ascii="Times New Roman" w:hAnsi="Times New Roman" w:cs="Times New Roman"/>
          <w:sz w:val="22"/>
          <w:szCs w:val="22"/>
        </w:rPr>
        <w:t>)</w:t>
      </w:r>
    </w:p>
    <w:p w14:paraId="0309BE24" w14:textId="77777777" w:rsidR="00692715" w:rsidRPr="00837178" w:rsidRDefault="00692715" w:rsidP="00692715">
      <w:pPr>
        <w:pStyle w:val="Default"/>
        <w:rPr>
          <w:rFonts w:ascii="Times New Roman" w:hAnsi="Times New Roman" w:cs="Times New Roman"/>
        </w:rPr>
      </w:pPr>
    </w:p>
    <w:p w14:paraId="27D02261" w14:textId="1CBDF6CE" w:rsidR="00692715" w:rsidRDefault="00692715" w:rsidP="00692715">
      <w:pPr>
        <w:rPr>
          <w:sz w:val="23"/>
          <w:szCs w:val="23"/>
        </w:rPr>
      </w:pPr>
      <w:r>
        <w:rPr>
          <w:sz w:val="23"/>
          <w:szCs w:val="23"/>
        </w:rPr>
        <w:t xml:space="preserve">The area where section 205 (Parking for longer than indicated) of the </w:t>
      </w:r>
      <w:r>
        <w:rPr>
          <w:i/>
          <w:iCs/>
          <w:sz w:val="23"/>
          <w:szCs w:val="23"/>
        </w:rPr>
        <w:t xml:space="preserve">Road Transport (Road Rules) Regulation 2017 </w:t>
      </w:r>
      <w:r>
        <w:rPr>
          <w:sz w:val="23"/>
          <w:szCs w:val="23"/>
        </w:rPr>
        <w:t>is to be disapplied is within the area marked by a thick dark line.</w:t>
      </w:r>
    </w:p>
    <w:p w14:paraId="3EB20C69" w14:textId="4F92EE3D" w:rsidR="00692715" w:rsidRDefault="00692715" w:rsidP="00692715">
      <w:pPr>
        <w:rPr>
          <w:sz w:val="23"/>
          <w:szCs w:val="23"/>
        </w:rPr>
      </w:pPr>
    </w:p>
    <w:p w14:paraId="52CA68AF" w14:textId="3A1EE933" w:rsidR="00692715" w:rsidRDefault="00692715" w:rsidP="00692715">
      <w:pPr>
        <w:rPr>
          <w:sz w:val="23"/>
          <w:szCs w:val="23"/>
        </w:rPr>
      </w:pPr>
      <w:r>
        <w:rPr>
          <w:noProof/>
          <w:lang w:eastAsia="en-AU"/>
        </w:rPr>
        <w:drawing>
          <wp:inline distT="0" distB="0" distL="0" distR="0" wp14:anchorId="4EE52B62" wp14:editId="46722CF4">
            <wp:extent cx="5274945" cy="42062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C5F6" w14:textId="7AFC7576" w:rsidR="00692715" w:rsidRDefault="00692715" w:rsidP="00232478">
      <w:pPr>
        <w:tabs>
          <w:tab w:val="left" w:pos="4320"/>
        </w:tabs>
      </w:pPr>
    </w:p>
    <w:p w14:paraId="42331CE3" w14:textId="3DE81565" w:rsidR="00692715" w:rsidRDefault="00692715" w:rsidP="00232478">
      <w:pPr>
        <w:tabs>
          <w:tab w:val="left" w:pos="4320"/>
        </w:tabs>
      </w:pPr>
    </w:p>
    <w:p w14:paraId="0B8990DF" w14:textId="77777777" w:rsidR="00692715" w:rsidRDefault="00692715" w:rsidP="00232478">
      <w:pPr>
        <w:tabs>
          <w:tab w:val="left" w:pos="4320"/>
        </w:tabs>
      </w:pPr>
    </w:p>
    <w:sectPr w:rsidR="00692715" w:rsidSect="00B13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080" w:bottom="851" w:left="1080" w:header="283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5A46" w14:textId="77777777" w:rsidR="00C40085" w:rsidRDefault="00C40085" w:rsidP="00F10CB2">
      <w:r>
        <w:separator/>
      </w:r>
    </w:p>
  </w:endnote>
  <w:endnote w:type="continuationSeparator" w:id="0">
    <w:p w14:paraId="7F0BDA8A" w14:textId="77777777" w:rsidR="00C40085" w:rsidRDefault="00C4008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340E" w14:textId="77777777" w:rsidR="006301AB" w:rsidRDefault="00630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5F1B" w14:textId="64AABC27" w:rsidR="00760E28" w:rsidRPr="006301AB" w:rsidRDefault="006301AB" w:rsidP="006301AB">
    <w:pPr>
      <w:pStyle w:val="Footer"/>
      <w:jc w:val="center"/>
      <w:rPr>
        <w:rFonts w:cs="Arial"/>
        <w:sz w:val="14"/>
        <w:szCs w:val="16"/>
      </w:rPr>
    </w:pPr>
    <w:r w:rsidRPr="006301AB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B410" w14:textId="77777777" w:rsidR="006301AB" w:rsidRDefault="00630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9250" w14:textId="77777777" w:rsidR="00C40085" w:rsidRDefault="00C40085" w:rsidP="00F10CB2">
      <w:r>
        <w:separator/>
      </w:r>
    </w:p>
  </w:footnote>
  <w:footnote w:type="continuationSeparator" w:id="0">
    <w:p w14:paraId="1816D5CF" w14:textId="77777777" w:rsidR="00C40085" w:rsidRDefault="00C4008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2451" w14:textId="77777777" w:rsidR="006301AB" w:rsidRDefault="00630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D88B" w14:textId="77777777" w:rsidR="006301AB" w:rsidRDefault="00630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1E4E" w14:textId="77777777" w:rsidR="006301AB" w:rsidRDefault="00630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9F36BBC"/>
    <w:multiLevelType w:val="hybridMultilevel"/>
    <w:tmpl w:val="4F362FB6"/>
    <w:lvl w:ilvl="0" w:tplc="487E7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736550">
    <w:abstractNumId w:val="2"/>
  </w:num>
  <w:num w:numId="2" w16cid:durableId="1205368952">
    <w:abstractNumId w:val="0"/>
  </w:num>
  <w:num w:numId="3" w16cid:durableId="492529409">
    <w:abstractNumId w:val="3"/>
  </w:num>
  <w:num w:numId="4" w16cid:durableId="630983560">
    <w:abstractNumId w:val="7"/>
  </w:num>
  <w:num w:numId="5" w16cid:durableId="881164181">
    <w:abstractNumId w:val="9"/>
  </w:num>
  <w:num w:numId="6" w16cid:durableId="1472018231">
    <w:abstractNumId w:val="1"/>
  </w:num>
  <w:num w:numId="7" w16cid:durableId="42218785">
    <w:abstractNumId w:val="5"/>
  </w:num>
  <w:num w:numId="8" w16cid:durableId="1757290328">
    <w:abstractNumId w:val="6"/>
  </w:num>
  <w:num w:numId="9" w16cid:durableId="25181945">
    <w:abstractNumId w:val="4"/>
  </w:num>
  <w:num w:numId="10" w16cid:durableId="34045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5CAD"/>
    <w:rsid w:val="00022B16"/>
    <w:rsid w:val="00042F87"/>
    <w:rsid w:val="00044572"/>
    <w:rsid w:val="00087EBC"/>
    <w:rsid w:val="000A1A69"/>
    <w:rsid w:val="000A5F93"/>
    <w:rsid w:val="000D7D72"/>
    <w:rsid w:val="000F4AEB"/>
    <w:rsid w:val="0010488C"/>
    <w:rsid w:val="0015553E"/>
    <w:rsid w:val="00194AC7"/>
    <w:rsid w:val="001F6582"/>
    <w:rsid w:val="00214057"/>
    <w:rsid w:val="00232478"/>
    <w:rsid w:val="002429AC"/>
    <w:rsid w:val="00285FC3"/>
    <w:rsid w:val="003513C3"/>
    <w:rsid w:val="00363A42"/>
    <w:rsid w:val="00386D3B"/>
    <w:rsid w:val="003B20D0"/>
    <w:rsid w:val="003E4F77"/>
    <w:rsid w:val="004219CD"/>
    <w:rsid w:val="0043354C"/>
    <w:rsid w:val="004C6AC1"/>
    <w:rsid w:val="005123EE"/>
    <w:rsid w:val="005443CB"/>
    <w:rsid w:val="005558E2"/>
    <w:rsid w:val="00586512"/>
    <w:rsid w:val="005C14B4"/>
    <w:rsid w:val="005C5FB2"/>
    <w:rsid w:val="006024EF"/>
    <w:rsid w:val="006145C3"/>
    <w:rsid w:val="00627F0C"/>
    <w:rsid w:val="006301AB"/>
    <w:rsid w:val="00667281"/>
    <w:rsid w:val="00692715"/>
    <w:rsid w:val="006A531C"/>
    <w:rsid w:val="006C5E2B"/>
    <w:rsid w:val="006D4F66"/>
    <w:rsid w:val="006D7C01"/>
    <w:rsid w:val="00704DC3"/>
    <w:rsid w:val="0072003E"/>
    <w:rsid w:val="00760E28"/>
    <w:rsid w:val="0076419E"/>
    <w:rsid w:val="007720C3"/>
    <w:rsid w:val="007726C2"/>
    <w:rsid w:val="00775870"/>
    <w:rsid w:val="00793A7F"/>
    <w:rsid w:val="007D7C32"/>
    <w:rsid w:val="007F714F"/>
    <w:rsid w:val="00811416"/>
    <w:rsid w:val="00855546"/>
    <w:rsid w:val="00876632"/>
    <w:rsid w:val="0089776A"/>
    <w:rsid w:val="008C589B"/>
    <w:rsid w:val="00A0585C"/>
    <w:rsid w:val="00A06198"/>
    <w:rsid w:val="00A417A5"/>
    <w:rsid w:val="00A56E66"/>
    <w:rsid w:val="00AB2D10"/>
    <w:rsid w:val="00AE402C"/>
    <w:rsid w:val="00B135FC"/>
    <w:rsid w:val="00B30B9A"/>
    <w:rsid w:val="00B46E5A"/>
    <w:rsid w:val="00B71CA6"/>
    <w:rsid w:val="00B804EC"/>
    <w:rsid w:val="00B81F5E"/>
    <w:rsid w:val="00BA2015"/>
    <w:rsid w:val="00BA4E79"/>
    <w:rsid w:val="00BA52F5"/>
    <w:rsid w:val="00BB241F"/>
    <w:rsid w:val="00C40085"/>
    <w:rsid w:val="00C41B1B"/>
    <w:rsid w:val="00CD4E55"/>
    <w:rsid w:val="00CF056A"/>
    <w:rsid w:val="00D47F13"/>
    <w:rsid w:val="00D675C4"/>
    <w:rsid w:val="00DC0F28"/>
    <w:rsid w:val="00DC51EC"/>
    <w:rsid w:val="00DE13C5"/>
    <w:rsid w:val="00DE1550"/>
    <w:rsid w:val="00DF7462"/>
    <w:rsid w:val="00E33CB4"/>
    <w:rsid w:val="00E556F2"/>
    <w:rsid w:val="00E62288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C4F2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BA4E79"/>
    <w:pPr>
      <w:ind w:left="720"/>
      <w:contextualSpacing/>
    </w:pPr>
  </w:style>
  <w:style w:type="paragraph" w:customStyle="1" w:styleId="Default">
    <w:name w:val="Default"/>
    <w:rsid w:val="006927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2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AC"/>
    <w:rPr>
      <w:b/>
      <w:bCs/>
      <w:lang w:eastAsia="en-US"/>
    </w:rPr>
  </w:style>
  <w:style w:type="paragraph" w:styleId="Revision">
    <w:name w:val="Revision"/>
    <w:hidden/>
    <w:uiPriority w:val="99"/>
    <w:semiHidden/>
    <w:rsid w:val="0043354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1696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2022-10-10T06:38:00Z</dcterms:created>
  <dcterms:modified xsi:type="dcterms:W3CDTF">2022-10-10T06:38:00Z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A38504101</vt:lpwstr>
  </property>
  <property fmtid="{D5CDD505-2E9C-101B-9397-08002B2CF9AE}" pid="4" name="Objective-Title">
    <vt:lpwstr>Attachment A - Road Transport (General) Application of Road Transport Legislation (Manuka Oval) Declaration 2022 (No 3)</vt:lpwstr>
  </property>
  <property fmtid="{D5CDD505-2E9C-101B-9397-08002B2CF9AE}" pid="5" name="Objective-Comment">
    <vt:lpwstr/>
  </property>
  <property fmtid="{D5CDD505-2E9C-101B-9397-08002B2CF9AE}" pid="6" name="Objective-CreationStamp">
    <vt:filetime>2022-09-15T01:00:38Z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2022-10-04T04:41:04Z</vt:filetime>
  </property>
  <property fmtid="{D5CDD505-2E9C-101B-9397-08002B2CF9AE}" pid="10" name="Objective-ModificationStamp">
    <vt:filetime>2022-10-10T05:53:07Z</vt:filetime>
  </property>
  <property fmtid="{D5CDD505-2E9C-101B-9397-08002B2CF9AE}" pid="11" name="Objective-Owner">
    <vt:lpwstr>Marlin Hanna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(Minister):2022 Information Brief (Minister):TCBS - MIN S2022/01804 - Cricket season at Manuka Oval - Minister Brief:</vt:lpwstr>
  </property>
  <property fmtid="{D5CDD505-2E9C-101B-9397-08002B2CF9AE}" pid="13" name="Objective-Parent">
    <vt:lpwstr>TCBS - MIN S2022/01804 - Cricket season at Manuka Oval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1-2022/20020</vt:lpwstr>
  </property>
  <property fmtid="{D5CDD505-2E9C-101B-9397-08002B2CF9AE}" pid="19" name="Objective-Classification">
    <vt:lpwstr>In Confidence (green file cover)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</Properties>
</file>