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19FD7" w14:textId="77777777" w:rsidR="00F10CB2" w:rsidRDefault="00F10CB2">
      <w:pPr>
        <w:spacing w:before="120"/>
        <w:rPr>
          <w:rFonts w:ascii="Arial" w:hAnsi="Arial" w:cs="Arial"/>
        </w:rPr>
      </w:pPr>
      <w:bookmarkStart w:id="0" w:name="_Toc44738651"/>
      <w:r>
        <w:rPr>
          <w:rFonts w:ascii="Arial" w:hAnsi="Arial" w:cs="Arial"/>
        </w:rPr>
        <w:t>Australian Capital Territory</w:t>
      </w:r>
    </w:p>
    <w:p w14:paraId="05BDEC07" w14:textId="039D8365" w:rsidR="00F10CB2" w:rsidRPr="003C7FAF" w:rsidRDefault="001C737C">
      <w:pPr>
        <w:pStyle w:val="Billname"/>
        <w:spacing w:before="700"/>
      </w:pPr>
      <w:r>
        <w:t>Public Place Names</w:t>
      </w:r>
      <w:r w:rsidR="00F10CB2">
        <w:t xml:space="preserve"> (</w:t>
      </w:r>
      <w:r w:rsidR="007F1316">
        <w:t>Denman Prospect</w:t>
      </w:r>
      <w:r w:rsidR="00F10CB2">
        <w:t xml:space="preserve">) </w:t>
      </w:r>
      <w:r>
        <w:t>Determination</w:t>
      </w:r>
      <w:r w:rsidR="00B30B9A">
        <w:t xml:space="preserve"> </w:t>
      </w:r>
      <w:r w:rsidR="007F1316">
        <w:t>2022</w:t>
      </w:r>
    </w:p>
    <w:p w14:paraId="621471C0" w14:textId="1A94FE56" w:rsidR="00F10CB2" w:rsidRDefault="00F10CB2" w:rsidP="00D47F13">
      <w:pPr>
        <w:spacing w:before="340"/>
        <w:rPr>
          <w:rFonts w:ascii="Arial" w:hAnsi="Arial" w:cs="Arial"/>
          <w:b/>
          <w:bCs/>
        </w:rPr>
      </w:pPr>
      <w:r>
        <w:rPr>
          <w:rFonts w:ascii="Arial" w:hAnsi="Arial" w:cs="Arial"/>
          <w:b/>
          <w:bCs/>
        </w:rPr>
        <w:t>Disallowable instrument DI</w:t>
      </w:r>
      <w:r w:rsidR="007F1316">
        <w:rPr>
          <w:rFonts w:ascii="Arial" w:hAnsi="Arial" w:cs="Arial"/>
          <w:b/>
          <w:bCs/>
          <w:iCs/>
        </w:rPr>
        <w:t>2022</w:t>
      </w:r>
      <w:r>
        <w:rPr>
          <w:rFonts w:ascii="Arial" w:hAnsi="Arial" w:cs="Arial"/>
          <w:b/>
          <w:bCs/>
        </w:rPr>
        <w:t>–</w:t>
      </w:r>
      <w:r w:rsidR="004E4617">
        <w:rPr>
          <w:rFonts w:ascii="Arial" w:hAnsi="Arial" w:cs="Arial"/>
          <w:b/>
          <w:bCs/>
        </w:rPr>
        <w:t>254</w:t>
      </w:r>
    </w:p>
    <w:p w14:paraId="455CCF35" w14:textId="77777777" w:rsidR="00F10CB2" w:rsidRDefault="00F10CB2" w:rsidP="00CD4E55">
      <w:pPr>
        <w:pStyle w:val="madeunder"/>
        <w:spacing w:before="300" w:after="0"/>
      </w:pPr>
      <w:r>
        <w:t xml:space="preserve">made under the  </w:t>
      </w:r>
    </w:p>
    <w:p w14:paraId="1485F2C8" w14:textId="77777777" w:rsidR="00F10CB2" w:rsidRDefault="001C737C" w:rsidP="00CD4E55">
      <w:pPr>
        <w:pStyle w:val="CoverActName"/>
        <w:spacing w:before="320" w:after="0"/>
        <w:rPr>
          <w:rFonts w:cs="Arial"/>
          <w:sz w:val="20"/>
        </w:rPr>
      </w:pPr>
      <w:r>
        <w:rPr>
          <w:rFonts w:cs="Arial"/>
          <w:sz w:val="20"/>
        </w:rPr>
        <w:t>Public Place Names Act 1989</w:t>
      </w:r>
      <w:r w:rsidR="00F10CB2">
        <w:rPr>
          <w:rFonts w:cs="Arial"/>
          <w:sz w:val="20"/>
        </w:rPr>
        <w:t xml:space="preserve">, </w:t>
      </w:r>
      <w:r>
        <w:rPr>
          <w:rFonts w:cs="Arial"/>
          <w:sz w:val="20"/>
        </w:rPr>
        <w:t>s 3</w:t>
      </w:r>
      <w:r w:rsidR="00F10CB2">
        <w:rPr>
          <w:rFonts w:cs="Arial"/>
          <w:sz w:val="20"/>
        </w:rPr>
        <w:t xml:space="preserve"> (</w:t>
      </w:r>
      <w:r>
        <w:rPr>
          <w:rFonts w:cs="Arial"/>
          <w:sz w:val="20"/>
        </w:rPr>
        <w:t>Minister to determine names</w:t>
      </w:r>
      <w:r w:rsidR="00F10CB2">
        <w:rPr>
          <w:rFonts w:cs="Arial"/>
          <w:sz w:val="20"/>
        </w:rPr>
        <w:t>)</w:t>
      </w:r>
    </w:p>
    <w:p w14:paraId="71BFA3EB" w14:textId="77777777" w:rsidR="00F10CB2" w:rsidRDefault="00F10CB2" w:rsidP="00CD4E55">
      <w:pPr>
        <w:pStyle w:val="N-line3"/>
        <w:pBdr>
          <w:bottom w:val="none" w:sz="0" w:space="0" w:color="auto"/>
        </w:pBdr>
        <w:spacing w:before="60"/>
      </w:pPr>
    </w:p>
    <w:p w14:paraId="6000503A" w14:textId="77777777" w:rsidR="00F10CB2" w:rsidRDefault="00F10CB2">
      <w:pPr>
        <w:pStyle w:val="N-line3"/>
        <w:pBdr>
          <w:top w:val="single" w:sz="12" w:space="1" w:color="auto"/>
          <w:bottom w:val="none" w:sz="0" w:space="0" w:color="auto"/>
        </w:pBdr>
      </w:pPr>
    </w:p>
    <w:p w14:paraId="0712A39B" w14:textId="77777777" w:rsidR="00F10CB2" w:rsidRDefault="00F10CB2">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711B1F50" w14:textId="6CC80510" w:rsidR="00F10CB2" w:rsidRDefault="00F10CB2" w:rsidP="00D47F13">
      <w:pPr>
        <w:spacing w:before="140"/>
        <w:ind w:left="720"/>
      </w:pPr>
      <w:r>
        <w:t>This instrument is the</w:t>
      </w:r>
      <w:r w:rsidR="0080082B">
        <w:t xml:space="preserve"> </w:t>
      </w:r>
      <w:r w:rsidR="0080082B" w:rsidRPr="00A71159">
        <w:rPr>
          <w:i/>
          <w:iCs/>
        </w:rPr>
        <w:t>Public Place Names (Denman Prospect) Determination 2022</w:t>
      </w:r>
      <w:r w:rsidR="00471E4E">
        <w:t>.</w:t>
      </w:r>
    </w:p>
    <w:p w14:paraId="388D2E22" w14:textId="77777777" w:rsidR="00F10CB2" w:rsidRDefault="00F10CB2" w:rsidP="00D47F13">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1B2FA1C0" w14:textId="12B751AA" w:rsidR="00F10CB2" w:rsidRDefault="00F10CB2" w:rsidP="00D47F13">
      <w:pPr>
        <w:spacing w:before="140"/>
        <w:ind w:left="720"/>
      </w:pPr>
      <w:r>
        <w:t xml:space="preserve">This instrument commences on </w:t>
      </w:r>
      <w:r w:rsidR="00492788">
        <w:t xml:space="preserve">the day after </w:t>
      </w:r>
      <w:r w:rsidR="000C501D" w:rsidRPr="00471E4E">
        <w:t xml:space="preserve">its </w:t>
      </w:r>
      <w:r w:rsidR="00492788">
        <w:t>notification</w:t>
      </w:r>
      <w:r w:rsidR="000C501D">
        <w:t xml:space="preserve"> </w:t>
      </w:r>
      <w:r w:rsidR="000C501D" w:rsidRPr="00471E4E">
        <w:t>day</w:t>
      </w:r>
      <w:r>
        <w:t>.</w:t>
      </w:r>
    </w:p>
    <w:p w14:paraId="0D5CFC99" w14:textId="77777777" w:rsidR="00F10CB2" w:rsidRDefault="00F10CB2" w:rsidP="00D47F13">
      <w:pPr>
        <w:spacing w:before="300"/>
        <w:ind w:left="720" w:hanging="720"/>
        <w:rPr>
          <w:rFonts w:ascii="Arial" w:hAnsi="Arial" w:cs="Arial"/>
          <w:b/>
          <w:bCs/>
        </w:rPr>
      </w:pPr>
      <w:r>
        <w:rPr>
          <w:rFonts w:ascii="Arial" w:hAnsi="Arial" w:cs="Arial"/>
          <w:b/>
          <w:bCs/>
        </w:rPr>
        <w:t>3</w:t>
      </w:r>
      <w:r>
        <w:rPr>
          <w:rFonts w:ascii="Arial" w:hAnsi="Arial" w:cs="Arial"/>
          <w:b/>
          <w:bCs/>
        </w:rPr>
        <w:tab/>
      </w:r>
      <w:r w:rsidR="001C737C">
        <w:rPr>
          <w:rFonts w:ascii="Arial" w:hAnsi="Arial" w:cs="Arial"/>
          <w:b/>
          <w:bCs/>
        </w:rPr>
        <w:t>Determination of Place Names</w:t>
      </w:r>
    </w:p>
    <w:p w14:paraId="435335C0" w14:textId="77777777" w:rsidR="00E358BC" w:rsidRPr="00970517" w:rsidRDefault="00E358BC" w:rsidP="00E358BC">
      <w:pPr>
        <w:spacing w:before="140"/>
        <w:ind w:left="720"/>
      </w:pPr>
      <w:r>
        <w:t xml:space="preserve">I determine the </w:t>
      </w:r>
      <w:r w:rsidR="00A502EA">
        <w:t xml:space="preserve">place </w:t>
      </w:r>
      <w:r>
        <w:t xml:space="preserve">names </w:t>
      </w:r>
      <w:r w:rsidR="00A502EA">
        <w:t xml:space="preserve">as </w:t>
      </w:r>
      <w:r>
        <w:t xml:space="preserve">indicated in the schedule. </w:t>
      </w:r>
    </w:p>
    <w:p w14:paraId="6A41DB1E" w14:textId="77777777" w:rsidR="00D47F13" w:rsidRDefault="00F236C5" w:rsidP="00232478">
      <w:pPr>
        <w:tabs>
          <w:tab w:val="left" w:pos="4320"/>
        </w:tabs>
        <w:spacing w:before="720"/>
      </w:pPr>
      <w:r>
        <w:t>Ben Ponton</w:t>
      </w:r>
    </w:p>
    <w:p w14:paraId="7B7FFBF7" w14:textId="1DC4B13D" w:rsidR="00F10CB2" w:rsidRPr="00A71159" w:rsidRDefault="001C737C" w:rsidP="00D47F13">
      <w:pPr>
        <w:tabs>
          <w:tab w:val="left" w:pos="4320"/>
        </w:tabs>
      </w:pPr>
      <w:r>
        <w:t>Delegate of the Minister</w:t>
      </w:r>
      <w:r w:rsidR="008F060D">
        <w:t xml:space="preserve"> for Planning and Land Management</w:t>
      </w:r>
    </w:p>
    <w:bookmarkEnd w:id="0"/>
    <w:p w14:paraId="209EB7C0" w14:textId="77777777" w:rsidR="001F1298" w:rsidRDefault="001F1298" w:rsidP="00232478">
      <w:pPr>
        <w:tabs>
          <w:tab w:val="left" w:pos="4320"/>
        </w:tabs>
      </w:pPr>
    </w:p>
    <w:p w14:paraId="03FC011E" w14:textId="687F3C1D" w:rsidR="001F1298" w:rsidRDefault="004E4617" w:rsidP="00232478">
      <w:pPr>
        <w:tabs>
          <w:tab w:val="left" w:pos="4320"/>
        </w:tabs>
      </w:pPr>
      <w:r>
        <w:t>29 November 2022</w:t>
      </w:r>
    </w:p>
    <w:p w14:paraId="75C3907F" w14:textId="77777777" w:rsidR="001F1298" w:rsidRDefault="001F1298" w:rsidP="00232478">
      <w:pPr>
        <w:tabs>
          <w:tab w:val="left" w:pos="4320"/>
        </w:tabs>
      </w:pPr>
    </w:p>
    <w:p w14:paraId="615F047F" w14:textId="77777777" w:rsidR="00AA02C9" w:rsidRDefault="00AA02C9" w:rsidP="00232478">
      <w:pPr>
        <w:tabs>
          <w:tab w:val="left" w:pos="4320"/>
        </w:tabs>
      </w:pPr>
    </w:p>
    <w:p w14:paraId="153C6CAF" w14:textId="77777777" w:rsidR="001056A5" w:rsidRDefault="001056A5">
      <w:pPr>
        <w:sectPr w:rsidR="001056A5" w:rsidSect="001056A5">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docGrid w:linePitch="326"/>
        </w:sectPr>
      </w:pPr>
    </w:p>
    <w:p w14:paraId="4A22224E" w14:textId="77777777" w:rsidR="003D7174" w:rsidRPr="00513572" w:rsidRDefault="002A039C" w:rsidP="002A039C">
      <w:pPr>
        <w:rPr>
          <w:b/>
          <w:bCs/>
          <w:szCs w:val="28"/>
        </w:rPr>
      </w:pPr>
      <w:r w:rsidRPr="00513572">
        <w:rPr>
          <w:b/>
          <w:bCs/>
          <w:szCs w:val="28"/>
        </w:rPr>
        <w:lastRenderedPageBreak/>
        <w:t>SCHEDULE</w:t>
      </w:r>
    </w:p>
    <w:p w14:paraId="1A8AF509" w14:textId="2E28F50A" w:rsidR="008A3808" w:rsidRPr="007D25AC" w:rsidRDefault="008A3808" w:rsidP="008A3808">
      <w:pPr>
        <w:pStyle w:val="Heading2"/>
        <w:pBdr>
          <w:bottom w:val="single" w:sz="12" w:space="24" w:color="auto"/>
        </w:pBdr>
        <w:jc w:val="left"/>
        <w:rPr>
          <w:rFonts w:ascii="Times New Roman" w:hAnsi="Times New Roman" w:cs="Times New Roman"/>
          <w:sz w:val="24"/>
          <w:szCs w:val="24"/>
        </w:rPr>
      </w:pPr>
      <w:r>
        <w:rPr>
          <w:rFonts w:ascii="Times New Roman" w:hAnsi="Times New Roman" w:cs="Times New Roman"/>
          <w:i w:val="0"/>
          <w:sz w:val="24"/>
          <w:szCs w:val="24"/>
        </w:rPr>
        <w:t xml:space="preserve">(See </w:t>
      </w:r>
      <w:r w:rsidR="00373830">
        <w:rPr>
          <w:rFonts w:ascii="Times New Roman" w:hAnsi="Times New Roman" w:cs="Times New Roman"/>
          <w:i w:val="0"/>
          <w:sz w:val="24"/>
          <w:szCs w:val="24"/>
        </w:rPr>
        <w:t>s 3</w:t>
      </w:r>
      <w:r>
        <w:rPr>
          <w:rFonts w:ascii="Times New Roman" w:hAnsi="Times New Roman" w:cs="Times New Roman"/>
          <w:i w:val="0"/>
          <w:sz w:val="24"/>
          <w:szCs w:val="24"/>
        </w:rPr>
        <w:t>)</w:t>
      </w:r>
    </w:p>
    <w:p w14:paraId="5FE726EB" w14:textId="77777777" w:rsidR="002A039C" w:rsidRDefault="002A039C" w:rsidP="002A039C"/>
    <w:p w14:paraId="41CCFE9B" w14:textId="77777777" w:rsidR="003D7174" w:rsidRPr="002A039C" w:rsidRDefault="003D7174" w:rsidP="002A039C"/>
    <w:p w14:paraId="70505619" w14:textId="1EC48267" w:rsidR="00B63A10" w:rsidRPr="00B63A10" w:rsidRDefault="00AA02C9" w:rsidP="00AA02C9">
      <w:pPr>
        <w:spacing w:before="120" w:after="120"/>
        <w:rPr>
          <w:b/>
          <w:bCs/>
          <w:noProof/>
          <w:szCs w:val="24"/>
        </w:rPr>
      </w:pPr>
      <w:r w:rsidRPr="00AA02C9">
        <w:rPr>
          <w:b/>
          <w:bCs/>
          <w:szCs w:val="24"/>
        </w:rPr>
        <w:t xml:space="preserve">Division of </w:t>
      </w:r>
      <w:r w:rsidR="007F1316">
        <w:rPr>
          <w:b/>
          <w:bCs/>
          <w:noProof/>
          <w:szCs w:val="24"/>
        </w:rPr>
        <w:t>Denman Prospect</w:t>
      </w:r>
      <w:r w:rsidRPr="00AA02C9">
        <w:rPr>
          <w:b/>
          <w:bCs/>
          <w:noProof/>
          <w:szCs w:val="24"/>
        </w:rPr>
        <w:t xml:space="preserve"> – </w:t>
      </w:r>
      <w:r w:rsidR="007F1316">
        <w:rPr>
          <w:b/>
          <w:bCs/>
          <w:noProof/>
          <w:szCs w:val="24"/>
        </w:rPr>
        <w:t>Activism and Reform</w:t>
      </w:r>
    </w:p>
    <w:p w14:paraId="5503FC76" w14:textId="0B3B2F1D" w:rsidR="00B63A10" w:rsidRDefault="00B63A10" w:rsidP="00AA02C9">
      <w:pPr>
        <w:spacing w:before="120" w:after="120"/>
        <w:rPr>
          <w:bCs/>
          <w:noProof/>
        </w:rPr>
      </w:pPr>
      <w:r w:rsidRPr="00B63A10">
        <w:rPr>
          <w:bCs/>
          <w:noProof/>
        </w:rPr>
        <w:t>The location of the public place</w:t>
      </w:r>
      <w:r w:rsidR="007D25AC">
        <w:rPr>
          <w:bCs/>
          <w:noProof/>
        </w:rPr>
        <w:t>s</w:t>
      </w:r>
      <w:r w:rsidRPr="00B63A10">
        <w:rPr>
          <w:bCs/>
          <w:noProof/>
        </w:rPr>
        <w:t xml:space="preserve"> </w:t>
      </w:r>
      <w:r w:rsidR="008B556F">
        <w:rPr>
          <w:bCs/>
          <w:noProof/>
        </w:rPr>
        <w:t>with the following name</w:t>
      </w:r>
      <w:r w:rsidR="007D25AC">
        <w:rPr>
          <w:bCs/>
          <w:noProof/>
        </w:rPr>
        <w:t xml:space="preserve">s </w:t>
      </w:r>
      <w:r w:rsidRPr="00B63A10">
        <w:rPr>
          <w:bCs/>
          <w:noProof/>
        </w:rPr>
        <w:t xml:space="preserve">is indicated on the associated </w:t>
      </w:r>
      <w:r w:rsidR="00B96911">
        <w:rPr>
          <w:bCs/>
          <w:noProof/>
        </w:rPr>
        <w:t>diagram</w:t>
      </w:r>
      <w:r w:rsidRPr="00B63A10">
        <w:rPr>
          <w:bCs/>
          <w:noProof/>
        </w:rPr>
        <w:t>.</w:t>
      </w:r>
    </w:p>
    <w:p w14:paraId="788B2959" w14:textId="77777777" w:rsidR="000F270D" w:rsidRDefault="000F270D" w:rsidP="00AA02C9">
      <w:pPr>
        <w:spacing w:before="120" w:after="120"/>
        <w:rPr>
          <w:bCs/>
          <w:noProof/>
        </w:rPr>
      </w:pPr>
    </w:p>
    <w:tbl>
      <w:tblPr>
        <w:tblW w:w="8647" w:type="dxa"/>
        <w:tblLayout w:type="fixed"/>
        <w:tblLook w:val="0000" w:firstRow="0" w:lastRow="0" w:firstColumn="0" w:lastColumn="0" w:noHBand="0" w:noVBand="0"/>
      </w:tblPr>
      <w:tblGrid>
        <w:gridCol w:w="1843"/>
        <w:gridCol w:w="2126"/>
        <w:gridCol w:w="4678"/>
      </w:tblGrid>
      <w:tr w:rsidR="00AA02C9" w14:paraId="0035353E" w14:textId="77777777" w:rsidTr="009C5C19">
        <w:trPr>
          <w:cantSplit/>
        </w:trPr>
        <w:tc>
          <w:tcPr>
            <w:tcW w:w="1843" w:type="dxa"/>
            <w:tcBorders>
              <w:top w:val="nil"/>
              <w:left w:val="nil"/>
              <w:bottom w:val="nil"/>
              <w:right w:val="nil"/>
            </w:tcBorders>
          </w:tcPr>
          <w:p w14:paraId="14F90C9E" w14:textId="77777777" w:rsidR="00AA02C9" w:rsidRPr="000F7F00" w:rsidRDefault="00AA02C9" w:rsidP="000F7F00">
            <w:pPr>
              <w:pStyle w:val="Heading2"/>
              <w:spacing w:before="120" w:after="120"/>
              <w:jc w:val="left"/>
              <w:rPr>
                <w:rFonts w:ascii="Times New Roman" w:hAnsi="Times New Roman" w:cs="Times New Roman"/>
                <w:b/>
                <w:i w:val="0"/>
                <w:sz w:val="24"/>
                <w:szCs w:val="24"/>
              </w:rPr>
            </w:pPr>
            <w:r w:rsidRPr="000F7F00">
              <w:rPr>
                <w:rFonts w:ascii="Times New Roman" w:hAnsi="Times New Roman" w:cs="Times New Roman"/>
                <w:b/>
                <w:i w:val="0"/>
                <w:sz w:val="24"/>
                <w:szCs w:val="24"/>
              </w:rPr>
              <w:t>NAME</w:t>
            </w:r>
          </w:p>
        </w:tc>
        <w:tc>
          <w:tcPr>
            <w:tcW w:w="2126" w:type="dxa"/>
            <w:tcBorders>
              <w:top w:val="nil"/>
              <w:left w:val="nil"/>
              <w:bottom w:val="nil"/>
              <w:right w:val="nil"/>
            </w:tcBorders>
          </w:tcPr>
          <w:p w14:paraId="3165C365" w14:textId="77777777" w:rsidR="00AA02C9" w:rsidRPr="000F7F00" w:rsidRDefault="00AA02C9" w:rsidP="000F7F00">
            <w:pPr>
              <w:spacing w:before="120" w:after="120"/>
              <w:rPr>
                <w:szCs w:val="24"/>
              </w:rPr>
            </w:pPr>
            <w:r w:rsidRPr="000F7F00">
              <w:rPr>
                <w:b/>
                <w:bCs/>
                <w:szCs w:val="24"/>
              </w:rPr>
              <w:t>ORIGIN</w:t>
            </w:r>
          </w:p>
        </w:tc>
        <w:tc>
          <w:tcPr>
            <w:tcW w:w="4678" w:type="dxa"/>
            <w:tcBorders>
              <w:top w:val="nil"/>
              <w:left w:val="nil"/>
              <w:bottom w:val="nil"/>
              <w:right w:val="nil"/>
            </w:tcBorders>
          </w:tcPr>
          <w:p w14:paraId="2805C3CC" w14:textId="77777777" w:rsidR="00AA02C9" w:rsidRPr="000F7F00" w:rsidRDefault="00AA02C9" w:rsidP="000F7F00">
            <w:pPr>
              <w:pStyle w:val="CoverActName"/>
              <w:tabs>
                <w:tab w:val="clear" w:pos="2600"/>
              </w:tabs>
              <w:spacing w:before="120" w:after="120"/>
              <w:jc w:val="left"/>
              <w:rPr>
                <w:rFonts w:ascii="Times New Roman" w:hAnsi="Times New Roman"/>
                <w:szCs w:val="24"/>
                <w:lang w:val="en-GB"/>
              </w:rPr>
            </w:pPr>
            <w:r w:rsidRPr="000F7F00">
              <w:rPr>
                <w:rFonts w:ascii="Times New Roman" w:hAnsi="Times New Roman"/>
                <w:szCs w:val="24"/>
                <w:lang w:val="en-GB"/>
              </w:rPr>
              <w:t>SIGNIFICANCE</w:t>
            </w:r>
          </w:p>
        </w:tc>
      </w:tr>
      <w:tr w:rsidR="000F270D" w14:paraId="27BF011E" w14:textId="77777777" w:rsidTr="009C5C19">
        <w:trPr>
          <w:cantSplit/>
        </w:trPr>
        <w:tc>
          <w:tcPr>
            <w:tcW w:w="1843" w:type="dxa"/>
            <w:tcBorders>
              <w:top w:val="nil"/>
              <w:left w:val="nil"/>
              <w:bottom w:val="nil"/>
              <w:right w:val="nil"/>
            </w:tcBorders>
          </w:tcPr>
          <w:p w14:paraId="26372040" w14:textId="60824FC9" w:rsidR="000F270D" w:rsidRDefault="002837D5" w:rsidP="002837D5">
            <w:pPr>
              <w:pStyle w:val="Heading2"/>
              <w:spacing w:before="120" w:after="120"/>
              <w:jc w:val="left"/>
              <w:rPr>
                <w:b/>
                <w:szCs w:val="24"/>
              </w:rPr>
            </w:pPr>
            <w:r>
              <w:rPr>
                <w:rFonts w:ascii="Times New Roman" w:hAnsi="Times New Roman" w:cs="Times New Roman"/>
                <w:b/>
                <w:i w:val="0"/>
                <w:sz w:val="24"/>
                <w:szCs w:val="24"/>
              </w:rPr>
              <w:t xml:space="preserve">Carden </w:t>
            </w:r>
            <w:r w:rsidR="000F270D">
              <w:rPr>
                <w:rFonts w:ascii="Times New Roman" w:hAnsi="Times New Roman" w:cs="Times New Roman"/>
                <w:b/>
                <w:i w:val="0"/>
                <w:sz w:val="24"/>
                <w:szCs w:val="24"/>
              </w:rPr>
              <w:t>Street</w:t>
            </w:r>
          </w:p>
          <w:p w14:paraId="186552ED" w14:textId="6E94F130" w:rsidR="000F270D" w:rsidRPr="000F270D" w:rsidRDefault="000F270D" w:rsidP="000F270D"/>
        </w:tc>
        <w:tc>
          <w:tcPr>
            <w:tcW w:w="2126" w:type="dxa"/>
            <w:tcBorders>
              <w:top w:val="nil"/>
              <w:left w:val="nil"/>
              <w:bottom w:val="nil"/>
              <w:right w:val="nil"/>
            </w:tcBorders>
          </w:tcPr>
          <w:p w14:paraId="006F9ED0" w14:textId="77777777" w:rsidR="000F270D" w:rsidRPr="000F270D" w:rsidRDefault="000F270D" w:rsidP="000F270D">
            <w:pPr>
              <w:spacing w:before="120" w:after="120"/>
              <w:rPr>
                <w:color w:val="000000"/>
                <w:szCs w:val="24"/>
                <w:shd w:val="clear" w:color="auto" w:fill="FFFFFF"/>
              </w:rPr>
            </w:pPr>
            <w:r w:rsidRPr="000F270D">
              <w:rPr>
                <w:color w:val="000000"/>
                <w:szCs w:val="24"/>
                <w:shd w:val="clear" w:color="auto" w:fill="FFFFFF"/>
              </w:rPr>
              <w:t xml:space="preserve">Anthony (Tony) Charles Carden </w:t>
            </w:r>
          </w:p>
          <w:p w14:paraId="022B1176" w14:textId="58CC4126" w:rsidR="000F270D" w:rsidRPr="000F270D" w:rsidRDefault="000F270D" w:rsidP="00ED1633">
            <w:pPr>
              <w:spacing w:before="120" w:after="120"/>
              <w:rPr>
                <w:b/>
                <w:bCs/>
                <w:szCs w:val="24"/>
              </w:rPr>
            </w:pPr>
            <w:r w:rsidRPr="000F270D">
              <w:rPr>
                <w:color w:val="000000"/>
                <w:szCs w:val="24"/>
                <w:shd w:val="clear" w:color="auto" w:fill="FFFFFF"/>
              </w:rPr>
              <w:t xml:space="preserve">(1961–1995) </w:t>
            </w:r>
          </w:p>
        </w:tc>
        <w:tc>
          <w:tcPr>
            <w:tcW w:w="4678" w:type="dxa"/>
            <w:tcBorders>
              <w:top w:val="nil"/>
              <w:left w:val="nil"/>
              <w:bottom w:val="nil"/>
              <w:right w:val="nil"/>
            </w:tcBorders>
          </w:tcPr>
          <w:p w14:paraId="4596F21B" w14:textId="77777777" w:rsidR="000F270D" w:rsidRPr="000F7F00" w:rsidRDefault="000F270D" w:rsidP="000F270D">
            <w:pPr>
              <w:pStyle w:val="CoverActName"/>
              <w:spacing w:before="120" w:after="120"/>
              <w:jc w:val="left"/>
              <w:rPr>
                <w:rFonts w:ascii="Times New Roman" w:hAnsi="Times New Roman"/>
                <w:b w:val="0"/>
                <w:szCs w:val="24"/>
                <w:shd w:val="clear" w:color="auto" w:fill="FFFFFF"/>
              </w:rPr>
            </w:pPr>
            <w:r w:rsidRPr="000F7F00">
              <w:rPr>
                <w:rFonts w:ascii="Times New Roman" w:hAnsi="Times New Roman"/>
                <w:b w:val="0"/>
                <w:szCs w:val="24"/>
                <w:shd w:val="clear" w:color="auto" w:fill="FFFFFF"/>
              </w:rPr>
              <w:t>Actor, activist, social reform</w:t>
            </w:r>
          </w:p>
          <w:p w14:paraId="69EA705F" w14:textId="44B28C91" w:rsidR="000F270D" w:rsidRPr="000F7F00" w:rsidRDefault="000F270D" w:rsidP="000F270D">
            <w:pPr>
              <w:pStyle w:val="CoverActName"/>
              <w:tabs>
                <w:tab w:val="clear" w:pos="2600"/>
              </w:tabs>
              <w:spacing w:before="120" w:after="120"/>
              <w:jc w:val="left"/>
              <w:rPr>
                <w:rFonts w:ascii="Times New Roman" w:hAnsi="Times New Roman"/>
                <w:szCs w:val="24"/>
                <w:lang w:val="en-GB"/>
              </w:rPr>
            </w:pPr>
            <w:r w:rsidRPr="000F7F00">
              <w:rPr>
                <w:rFonts w:ascii="Times New Roman" w:hAnsi="Times New Roman"/>
                <w:b w:val="0"/>
                <w:bCs/>
                <w:szCs w:val="24"/>
                <w:shd w:val="clear" w:color="auto" w:fill="FFFFFF"/>
              </w:rPr>
              <w:t xml:space="preserve">Tony Carden moved from Sydney to New York in the early 1980s to study drama and appeared in productions of ‘Shakespeare in the Park’ and ‘Off-Broadway’. He </w:t>
            </w:r>
            <w:r w:rsidRPr="000F7F00">
              <w:rPr>
                <w:rFonts w:ascii="Times New Roman" w:hAnsi="Times New Roman"/>
                <w:b w:val="0"/>
                <w:bCs/>
                <w:szCs w:val="24"/>
              </w:rPr>
              <w:t xml:space="preserve">returned to Australia to </w:t>
            </w:r>
            <w:r w:rsidRPr="000F7F00">
              <w:rPr>
                <w:rFonts w:ascii="Times New Roman" w:hAnsi="Times New Roman"/>
                <w:b w:val="0"/>
                <w:bCs/>
                <w:szCs w:val="24"/>
                <w:shd w:val="clear" w:color="auto" w:fill="FFFFFF"/>
              </w:rPr>
              <w:t xml:space="preserve">support a friend diagnosed with Acquired Immune Deficiency Syndrome (AIDS) and later put aside his professional acting career following his own AIDS diagnosis. Carden joined the social movement ACT UP (AIDS Coalition to Unleash Power) to advocate for people living with AIDS and the human immunodeficiency virus (HIV). He </w:t>
            </w:r>
            <w:r w:rsidRPr="000F7F00">
              <w:rPr>
                <w:rFonts w:ascii="Times New Roman" w:hAnsi="Times New Roman"/>
                <w:b w:val="0"/>
                <w:bCs/>
                <w:szCs w:val="24"/>
              </w:rPr>
              <w:t>used the media, public art and political demonstrations</w:t>
            </w:r>
            <w:r w:rsidRPr="000F7F00">
              <w:rPr>
                <w:rFonts w:ascii="Times New Roman" w:hAnsi="Times New Roman"/>
                <w:b w:val="0"/>
                <w:bCs/>
                <w:szCs w:val="24"/>
                <w:shd w:val="clear" w:color="auto" w:fill="FFFFFF"/>
              </w:rPr>
              <w:t xml:space="preserve"> to fight for improved standards of medical treatment, access to antiviral and other AIDS treatment medications, and safe sex education. His theatrical skills helped him speak out against stigma and discrimination directed towards people diagnosed with AIDS and to participate in the national television campaign, ‘AIDS is a VIRUS. Viruses Don't Discriminate, People Do.’ In 1994, his collage on canvas, ‘Warrior Blood’, containing blood samples of a cross-section of people fighting the AIDS epidemic (warriors), was exhibited in ‘Don't Leave Me This Way: Art in the Age of AIDS’ at the National Gallery of Australia. The exhibition included his portrait by Anna Wojak, ‘Acacius (Stigmata)’, now held in the collection of the National Portrait Gallery.</w:t>
            </w:r>
          </w:p>
          <w:p w14:paraId="49499AA8" w14:textId="442BA9EE" w:rsidR="000F270D" w:rsidRPr="000F270D" w:rsidRDefault="000F270D" w:rsidP="000F270D">
            <w:pPr>
              <w:pStyle w:val="CoverActName"/>
              <w:tabs>
                <w:tab w:val="clear" w:pos="2600"/>
              </w:tabs>
              <w:spacing w:before="120" w:after="120"/>
              <w:rPr>
                <w:rFonts w:ascii="Times New Roman" w:hAnsi="Times New Roman"/>
                <w:szCs w:val="24"/>
                <w:lang w:val="en-GB"/>
              </w:rPr>
            </w:pPr>
          </w:p>
        </w:tc>
      </w:tr>
    </w:tbl>
    <w:p w14:paraId="4E285CE7" w14:textId="77777777" w:rsidR="000F270D" w:rsidRDefault="000F270D">
      <w:r>
        <w:rPr>
          <w:i/>
          <w:iCs/>
        </w:rPr>
        <w:br w:type="page"/>
      </w:r>
    </w:p>
    <w:tbl>
      <w:tblPr>
        <w:tblW w:w="8647" w:type="dxa"/>
        <w:tblLayout w:type="fixed"/>
        <w:tblLook w:val="0000" w:firstRow="0" w:lastRow="0" w:firstColumn="0" w:lastColumn="0" w:noHBand="0" w:noVBand="0"/>
      </w:tblPr>
      <w:tblGrid>
        <w:gridCol w:w="1701"/>
        <w:gridCol w:w="2268"/>
        <w:gridCol w:w="4678"/>
      </w:tblGrid>
      <w:tr w:rsidR="009A5D0A" w14:paraId="553CB889" w14:textId="77777777" w:rsidTr="009C5C19">
        <w:trPr>
          <w:cantSplit/>
        </w:trPr>
        <w:tc>
          <w:tcPr>
            <w:tcW w:w="1701" w:type="dxa"/>
            <w:tcBorders>
              <w:top w:val="nil"/>
              <w:left w:val="nil"/>
              <w:bottom w:val="nil"/>
              <w:right w:val="nil"/>
            </w:tcBorders>
          </w:tcPr>
          <w:p w14:paraId="4BCC2D73" w14:textId="77777777" w:rsidR="009178E2" w:rsidRPr="009178E2" w:rsidRDefault="009178E2" w:rsidP="009178E2">
            <w:pPr>
              <w:pStyle w:val="Heading2"/>
              <w:spacing w:before="120" w:after="120"/>
              <w:jc w:val="left"/>
              <w:rPr>
                <w:rFonts w:ascii="Times New Roman" w:hAnsi="Times New Roman" w:cs="Times New Roman"/>
                <w:b/>
                <w:i w:val="0"/>
                <w:sz w:val="24"/>
                <w:szCs w:val="24"/>
              </w:rPr>
            </w:pPr>
            <w:r w:rsidRPr="009178E2">
              <w:rPr>
                <w:rFonts w:ascii="Times New Roman" w:hAnsi="Times New Roman" w:cs="Times New Roman"/>
                <w:b/>
                <w:i w:val="0"/>
                <w:sz w:val="24"/>
                <w:szCs w:val="24"/>
              </w:rPr>
              <w:lastRenderedPageBreak/>
              <w:t>Fong Lim Way</w:t>
            </w:r>
          </w:p>
          <w:p w14:paraId="03AA3455" w14:textId="5B5CA5D3" w:rsidR="00DB1452" w:rsidRPr="00F714CC" w:rsidRDefault="00DB1452" w:rsidP="000F270D"/>
        </w:tc>
        <w:tc>
          <w:tcPr>
            <w:tcW w:w="2268" w:type="dxa"/>
            <w:tcBorders>
              <w:top w:val="nil"/>
              <w:left w:val="nil"/>
              <w:bottom w:val="nil"/>
              <w:right w:val="nil"/>
            </w:tcBorders>
          </w:tcPr>
          <w:p w14:paraId="1C8D8D92" w14:textId="77777777" w:rsidR="009178E2" w:rsidRDefault="009178E2" w:rsidP="009178E2">
            <w:pPr>
              <w:spacing w:before="120" w:after="120"/>
              <w:rPr>
                <w:bCs/>
                <w:szCs w:val="24"/>
              </w:rPr>
            </w:pPr>
            <w:r>
              <w:rPr>
                <w:bCs/>
                <w:szCs w:val="24"/>
              </w:rPr>
              <w:t>Alexander (Alec) Fong Lim AM</w:t>
            </w:r>
          </w:p>
          <w:p w14:paraId="7D7CDB99" w14:textId="221E672C" w:rsidR="009178E2" w:rsidRDefault="009178E2" w:rsidP="009178E2">
            <w:pPr>
              <w:spacing w:before="120" w:after="120"/>
              <w:rPr>
                <w:b/>
                <w:bCs/>
                <w:szCs w:val="24"/>
              </w:rPr>
            </w:pPr>
            <w:r>
              <w:rPr>
                <w:bCs/>
                <w:szCs w:val="24"/>
              </w:rPr>
              <w:t>(1931</w:t>
            </w:r>
            <w:r>
              <w:rPr>
                <w:szCs w:val="24"/>
              </w:rPr>
              <w:t>–1990</w:t>
            </w:r>
            <w:r>
              <w:rPr>
                <w:bCs/>
                <w:szCs w:val="24"/>
              </w:rPr>
              <w:t>)</w:t>
            </w:r>
          </w:p>
          <w:p w14:paraId="33A645D2" w14:textId="77777777" w:rsidR="009A5D0A" w:rsidRPr="002929A6" w:rsidRDefault="009A5D0A" w:rsidP="002A039C">
            <w:pPr>
              <w:spacing w:before="120" w:after="120"/>
              <w:rPr>
                <w:b/>
                <w:bCs/>
                <w:szCs w:val="24"/>
              </w:rPr>
            </w:pPr>
          </w:p>
        </w:tc>
        <w:tc>
          <w:tcPr>
            <w:tcW w:w="4678" w:type="dxa"/>
            <w:tcBorders>
              <w:top w:val="nil"/>
              <w:left w:val="nil"/>
              <w:bottom w:val="nil"/>
              <w:right w:val="nil"/>
            </w:tcBorders>
          </w:tcPr>
          <w:p w14:paraId="7AA23EB9" w14:textId="77777777" w:rsidR="009178E2" w:rsidRDefault="009178E2" w:rsidP="009178E2">
            <w:pPr>
              <w:pStyle w:val="CoverActName"/>
              <w:tabs>
                <w:tab w:val="left" w:pos="720"/>
              </w:tabs>
              <w:spacing w:before="120" w:after="120"/>
              <w:jc w:val="left"/>
              <w:rPr>
                <w:rFonts w:ascii="Times New Roman" w:hAnsi="Times New Roman"/>
                <w:b w:val="0"/>
                <w:bCs/>
                <w:szCs w:val="24"/>
                <w:lang w:val="en-GB"/>
              </w:rPr>
            </w:pPr>
            <w:r>
              <w:rPr>
                <w:rFonts w:ascii="Times New Roman" w:hAnsi="Times New Roman"/>
                <w:b w:val="0"/>
                <w:bCs/>
              </w:rPr>
              <w:t>Local government, community advocate</w:t>
            </w:r>
          </w:p>
          <w:p w14:paraId="0CD151D3" w14:textId="532AB751" w:rsidR="009178E2" w:rsidRPr="002929A6" w:rsidRDefault="009178E2" w:rsidP="000F270D">
            <w:pPr>
              <w:rPr>
                <w:szCs w:val="24"/>
                <w:lang w:val="en-GB"/>
              </w:rPr>
            </w:pPr>
            <w:r>
              <w:t xml:space="preserve">Alexander (Alec) Fong Lim commenced his working life in private business in Darwin. He was appointed as one of the trustees of the Darwin Cyclone Relief Fund Trust following the devastation of Cyclone Tracey in 1974. </w:t>
            </w:r>
            <w:r w:rsidR="000F7F00">
              <w:br w:type="textWrapping" w:clear="all"/>
            </w:r>
            <w:r>
              <w:t>Fong Lim was elected Lord Mayor of the City of Darwin in 1984, serving until his retirement in August 1990 due to ill health.</w:t>
            </w:r>
            <w:r>
              <w:rPr>
                <w:bCs/>
                <w:i/>
                <w:iCs/>
                <w:color w:val="FF0000"/>
                <w:sz w:val="20"/>
              </w:rPr>
              <w:t xml:space="preserve"> </w:t>
            </w:r>
            <w:r>
              <w:t>His primary objectives in office were to strengthen relations between state and local government in the Northern Territory, improve the liveability and amenity of Darwin for residents and develop the city’s potential. Fong Lim was a member of the Australia-Indonesian Institute aimed at promoting exchanges between the two countries. He worked actively to establish Darwin’s sister city relationship with Ambon, Indonesia. In 1986 Fong Lim was appointed a Member of the Order of Australia in recognition of his “service to the community and to local government”. Lake Alexander in Darwin was named in his honour in 1991. H</w:t>
            </w:r>
            <w:r>
              <w:rPr>
                <w:szCs w:val="24"/>
              </w:rPr>
              <w:t xml:space="preserve">e was further recognised in 2008 by the naming of the electoral division of Fong Lim in the Northern Territory </w:t>
            </w:r>
            <w:hyperlink r:id="rId14" w:tooltip="Northern Territory Legislative Assembly" w:history="1">
              <w:r w:rsidRPr="009178E2">
                <w:rPr>
                  <w:rStyle w:val="Hyperlink"/>
                  <w:color w:val="auto"/>
                  <w:szCs w:val="24"/>
                  <w:u w:val="none"/>
                </w:rPr>
                <w:t>Legislative Assembly</w:t>
              </w:r>
            </w:hyperlink>
            <w:r w:rsidRPr="009178E2">
              <w:t>.</w:t>
            </w:r>
          </w:p>
        </w:tc>
      </w:tr>
      <w:tr w:rsidR="00DB1452" w14:paraId="1D566F1B" w14:textId="77777777" w:rsidTr="009C5C19">
        <w:trPr>
          <w:cantSplit/>
        </w:trPr>
        <w:tc>
          <w:tcPr>
            <w:tcW w:w="1701" w:type="dxa"/>
            <w:tcBorders>
              <w:top w:val="nil"/>
              <w:left w:val="nil"/>
              <w:bottom w:val="nil"/>
              <w:right w:val="nil"/>
            </w:tcBorders>
          </w:tcPr>
          <w:p w14:paraId="42833438" w14:textId="77777777" w:rsidR="003075FE" w:rsidRPr="00087D7E" w:rsidRDefault="003075FE" w:rsidP="003075FE">
            <w:pPr>
              <w:pStyle w:val="Heading2"/>
              <w:spacing w:before="120" w:after="120"/>
              <w:jc w:val="left"/>
              <w:rPr>
                <w:rFonts w:ascii="Times New Roman" w:hAnsi="Times New Roman" w:cs="Times New Roman"/>
                <w:b/>
                <w:i w:val="0"/>
                <w:sz w:val="24"/>
                <w:szCs w:val="24"/>
              </w:rPr>
            </w:pPr>
            <w:r w:rsidRPr="00087D7E">
              <w:rPr>
                <w:rFonts w:ascii="Times New Roman" w:hAnsi="Times New Roman" w:cs="Times New Roman"/>
                <w:b/>
                <w:i w:val="0"/>
                <w:sz w:val="24"/>
                <w:szCs w:val="24"/>
              </w:rPr>
              <w:lastRenderedPageBreak/>
              <w:t>Goedecke Street</w:t>
            </w:r>
          </w:p>
          <w:p w14:paraId="6BCAA32D" w14:textId="77777777" w:rsidR="00DB1452" w:rsidRPr="009178E2" w:rsidRDefault="00DB1452" w:rsidP="009178E2">
            <w:pPr>
              <w:pStyle w:val="Heading2"/>
              <w:spacing w:before="120" w:after="120"/>
              <w:jc w:val="left"/>
              <w:rPr>
                <w:rFonts w:ascii="Times New Roman" w:hAnsi="Times New Roman" w:cs="Times New Roman"/>
                <w:b/>
                <w:i w:val="0"/>
                <w:sz w:val="24"/>
                <w:szCs w:val="24"/>
              </w:rPr>
            </w:pPr>
          </w:p>
        </w:tc>
        <w:tc>
          <w:tcPr>
            <w:tcW w:w="2268" w:type="dxa"/>
            <w:tcBorders>
              <w:top w:val="nil"/>
              <w:left w:val="nil"/>
              <w:bottom w:val="nil"/>
              <w:right w:val="nil"/>
            </w:tcBorders>
          </w:tcPr>
          <w:p w14:paraId="5E3B1B1A" w14:textId="5DF3A9F8" w:rsidR="003075FE" w:rsidRDefault="003075FE" w:rsidP="003075FE">
            <w:pPr>
              <w:spacing w:before="120" w:after="120"/>
              <w:rPr>
                <w:color w:val="FF0000"/>
              </w:rPr>
            </w:pPr>
            <w:r>
              <w:t>Gwenyth</w:t>
            </w:r>
            <w:r w:rsidR="009C5C19">
              <w:t xml:space="preserve"> (Gwen) </w:t>
            </w:r>
            <w:r>
              <w:t>Marie</w:t>
            </w:r>
            <w:r w:rsidR="009C5C19">
              <w:t xml:space="preserve"> </w:t>
            </w:r>
            <w:r>
              <w:t xml:space="preserve">Goedecke </w:t>
            </w:r>
          </w:p>
          <w:p w14:paraId="1C8B9CE6" w14:textId="77777777" w:rsidR="003075FE" w:rsidRDefault="003075FE" w:rsidP="003075FE">
            <w:pPr>
              <w:spacing w:before="120" w:after="120"/>
            </w:pPr>
            <w:r>
              <w:t>(1922</w:t>
            </w:r>
            <w:r>
              <w:rPr>
                <w:szCs w:val="24"/>
              </w:rPr>
              <w:t>–</w:t>
            </w:r>
            <w:r>
              <w:t>2016)</w:t>
            </w:r>
          </w:p>
          <w:p w14:paraId="330EDEF9" w14:textId="0EBE236B" w:rsidR="003075FE" w:rsidRDefault="003075FE" w:rsidP="003075FE">
            <w:pPr>
              <w:spacing w:before="120" w:after="120"/>
              <w:rPr>
                <w:bCs/>
                <w:szCs w:val="24"/>
              </w:rPr>
            </w:pPr>
            <w:r>
              <w:rPr>
                <w:bCs/>
                <w:szCs w:val="24"/>
              </w:rPr>
              <w:t>(née Matton)</w:t>
            </w:r>
          </w:p>
          <w:p w14:paraId="2F617A3E" w14:textId="499B631B" w:rsidR="003075FE" w:rsidRDefault="003075FE" w:rsidP="003075FE">
            <w:pPr>
              <w:spacing w:before="120" w:after="120"/>
              <w:rPr>
                <w:bCs/>
                <w:szCs w:val="24"/>
              </w:rPr>
            </w:pPr>
          </w:p>
          <w:p w14:paraId="57E2D4CE" w14:textId="77777777" w:rsidR="00DB1452" w:rsidRDefault="00DB1452" w:rsidP="00841159">
            <w:pPr>
              <w:spacing w:before="120" w:after="120"/>
              <w:rPr>
                <w:bCs/>
                <w:szCs w:val="24"/>
              </w:rPr>
            </w:pPr>
          </w:p>
        </w:tc>
        <w:tc>
          <w:tcPr>
            <w:tcW w:w="4678" w:type="dxa"/>
            <w:tcBorders>
              <w:top w:val="nil"/>
              <w:left w:val="nil"/>
              <w:bottom w:val="nil"/>
              <w:right w:val="nil"/>
            </w:tcBorders>
          </w:tcPr>
          <w:p w14:paraId="71F6EDCE" w14:textId="77777777" w:rsidR="003075FE" w:rsidRDefault="003075FE" w:rsidP="003075FE">
            <w:pPr>
              <w:pStyle w:val="CoverActName"/>
              <w:tabs>
                <w:tab w:val="left" w:pos="720"/>
              </w:tabs>
              <w:spacing w:before="120" w:after="120"/>
              <w:jc w:val="left"/>
              <w:rPr>
                <w:rFonts w:ascii="Times New Roman" w:hAnsi="Times New Roman"/>
                <w:b w:val="0"/>
                <w:bCs/>
                <w:szCs w:val="24"/>
                <w:lang w:val="en-GB"/>
              </w:rPr>
            </w:pPr>
            <w:r>
              <w:rPr>
                <w:rFonts w:ascii="Times New Roman" w:hAnsi="Times New Roman"/>
                <w:b w:val="0"/>
                <w:bCs/>
              </w:rPr>
              <w:t xml:space="preserve">Feminist, trade unionist, environmentalist, peace activist </w:t>
            </w:r>
          </w:p>
          <w:p w14:paraId="115D917E" w14:textId="77777777" w:rsidR="00DB1452" w:rsidRDefault="00841159" w:rsidP="000F264B">
            <w:r>
              <w:t>Gwenyth (Gwen) Goedecke’s lifelong activism ranged across social justice and women’s issues,</w:t>
            </w:r>
            <w:r w:rsidRPr="00597621">
              <w:t xml:space="preserve"> </w:t>
            </w:r>
            <w:r>
              <w:t xml:space="preserve">peace and disarmament, politics, education, and the environment. From an early period, she was a member of the Victorian Peace Council, the Campaign for International Cooperation and Disarmament and the Union of Australian Women. A founding member (1974) and Honorary Secretary of the Sunshine International Women’s Committee, Goedecke advocated for affordable quality childcare, English lessons for migrant workers and the establishment of Sunshine’s Western Health Hospital in Melbourne. Goedecke prepared the survey report </w:t>
            </w:r>
            <w:r w:rsidRPr="00BB3A7A">
              <w:rPr>
                <w:i/>
                <w:iCs/>
              </w:rPr>
              <w:t>‘Women of the West’</w:t>
            </w:r>
            <w:r>
              <w:t xml:space="preserve"> (c.1975) on women’s social conditions in the suburb of Sunshine. Dedicated to improving services in Melbourne’s west and its amenity, between 1984</w:t>
            </w:r>
            <w:r w:rsidRPr="00796A14">
              <w:rPr>
                <w:szCs w:val="24"/>
              </w:rPr>
              <w:t>–</w:t>
            </w:r>
            <w:r>
              <w:t>1987, she was a councillor on the Sunshine City Council. Among other awards, in 2003 Goedecke received the Centenary Medal for her service to the community, in 2006 she was named Dame Phyllis Frost Woman of the Year and in 2009 she was inducted to the Victorian Honour Roll of Women. A portrait sculpture honouring her life-long activism was unveiled at the Victorian Trades Hall in May 2022.</w:t>
            </w:r>
          </w:p>
          <w:p w14:paraId="340ACC90" w14:textId="0CD2E310" w:rsidR="000F264B" w:rsidRPr="000F264B" w:rsidRDefault="000F264B" w:rsidP="000F264B"/>
        </w:tc>
      </w:tr>
      <w:tr w:rsidR="00DB1452" w14:paraId="12F73631" w14:textId="77777777" w:rsidTr="009C5C19">
        <w:trPr>
          <w:cantSplit/>
        </w:trPr>
        <w:tc>
          <w:tcPr>
            <w:tcW w:w="1701" w:type="dxa"/>
            <w:tcBorders>
              <w:top w:val="nil"/>
              <w:left w:val="nil"/>
              <w:bottom w:val="nil"/>
              <w:right w:val="nil"/>
            </w:tcBorders>
          </w:tcPr>
          <w:p w14:paraId="41D4283C" w14:textId="51AE0AEB" w:rsidR="00DB1452" w:rsidRPr="009178E2" w:rsidRDefault="00DB1452" w:rsidP="009178E2">
            <w:pPr>
              <w:pStyle w:val="Heading2"/>
              <w:spacing w:before="120" w:after="120"/>
              <w:jc w:val="left"/>
              <w:rPr>
                <w:rFonts w:ascii="Times New Roman" w:hAnsi="Times New Roman" w:cs="Times New Roman"/>
                <w:b/>
                <w:i w:val="0"/>
                <w:sz w:val="24"/>
                <w:szCs w:val="24"/>
              </w:rPr>
            </w:pPr>
            <w:r>
              <w:rPr>
                <w:rFonts w:ascii="Times New Roman" w:hAnsi="Times New Roman" w:cs="Times New Roman"/>
                <w:b/>
                <w:i w:val="0"/>
                <w:sz w:val="24"/>
                <w:szCs w:val="24"/>
              </w:rPr>
              <w:lastRenderedPageBreak/>
              <w:t>Hartshorn Crescent</w:t>
            </w:r>
          </w:p>
        </w:tc>
        <w:tc>
          <w:tcPr>
            <w:tcW w:w="2268" w:type="dxa"/>
            <w:tcBorders>
              <w:top w:val="nil"/>
              <w:left w:val="nil"/>
              <w:bottom w:val="nil"/>
              <w:right w:val="nil"/>
            </w:tcBorders>
          </w:tcPr>
          <w:p w14:paraId="75C472C7" w14:textId="77777777" w:rsidR="00AE0DF4" w:rsidRDefault="00AE0DF4" w:rsidP="00AE0DF4">
            <w:pPr>
              <w:spacing w:before="120" w:after="120"/>
              <w:rPr>
                <w:color w:val="FF0000"/>
              </w:rPr>
            </w:pPr>
            <w:r>
              <w:t>Alma Elizabeth Hartshorn AM</w:t>
            </w:r>
          </w:p>
          <w:p w14:paraId="0C742E56" w14:textId="77777777" w:rsidR="00AE0DF4" w:rsidRPr="00933359" w:rsidRDefault="00AE0DF4" w:rsidP="00AE0DF4">
            <w:pPr>
              <w:spacing w:before="120" w:after="120"/>
            </w:pPr>
            <w:r w:rsidRPr="00933359">
              <w:t>(19</w:t>
            </w:r>
            <w:r>
              <w:t>13</w:t>
            </w:r>
            <w:r w:rsidRPr="00F823E2">
              <w:rPr>
                <w:szCs w:val="24"/>
              </w:rPr>
              <w:t>–</w:t>
            </w:r>
            <w:r w:rsidRPr="00933359">
              <w:t>20</w:t>
            </w:r>
            <w:r>
              <w:t>04</w:t>
            </w:r>
            <w:r w:rsidRPr="00933359">
              <w:t>)</w:t>
            </w:r>
          </w:p>
          <w:p w14:paraId="03186436" w14:textId="77777777" w:rsidR="00DB1452" w:rsidRDefault="00DB1452" w:rsidP="009178E2">
            <w:pPr>
              <w:spacing w:before="120" w:after="120"/>
              <w:rPr>
                <w:bCs/>
                <w:szCs w:val="24"/>
              </w:rPr>
            </w:pPr>
          </w:p>
        </w:tc>
        <w:tc>
          <w:tcPr>
            <w:tcW w:w="4678" w:type="dxa"/>
            <w:tcBorders>
              <w:top w:val="nil"/>
              <w:left w:val="nil"/>
              <w:bottom w:val="nil"/>
              <w:right w:val="nil"/>
            </w:tcBorders>
          </w:tcPr>
          <w:p w14:paraId="4F97EAE7" w14:textId="77777777" w:rsidR="00AE0DF4" w:rsidRPr="00FA6F52" w:rsidRDefault="00AE0DF4" w:rsidP="00AE0DF4">
            <w:pPr>
              <w:pStyle w:val="CoverActName"/>
              <w:tabs>
                <w:tab w:val="clear" w:pos="2600"/>
              </w:tabs>
              <w:spacing w:before="120" w:after="120"/>
              <w:jc w:val="left"/>
              <w:rPr>
                <w:rFonts w:ascii="Times New Roman" w:hAnsi="Times New Roman"/>
                <w:b w:val="0"/>
                <w:bCs/>
                <w:szCs w:val="24"/>
                <w:lang w:val="en-GB"/>
              </w:rPr>
            </w:pPr>
            <w:r>
              <w:rPr>
                <w:rFonts w:ascii="Times New Roman" w:hAnsi="Times New Roman"/>
                <w:b w:val="0"/>
                <w:bCs/>
              </w:rPr>
              <w:t>Medical social work, social welfare</w:t>
            </w:r>
          </w:p>
          <w:p w14:paraId="7E0EF1B7" w14:textId="77777777" w:rsidR="00DB1452" w:rsidRDefault="00AE0DF4" w:rsidP="000F270D">
            <w:r>
              <w:t>An arts graduate of the University of Queensland, Alma Hartshorn was a member of the Australian Women’s Army Service during World War II. Receiving a scholarship from the Red Cross, she then undertook a Diploma of Social Studies at the University of Sydney and the certificate course of the New South Wales Institute of Hospital Almoners. In 1947, Hartshorn was appointed Director of Social Servi</w:t>
            </w:r>
            <w:r w:rsidRPr="00B33684">
              <w:t xml:space="preserve">ce, </w:t>
            </w:r>
            <w:r w:rsidRPr="00EC066D">
              <w:t xml:space="preserve">South Australian </w:t>
            </w:r>
            <w:r w:rsidRPr="00B33684">
              <w:t>Division of the Red Cross Society.</w:t>
            </w:r>
            <w:r>
              <w:t xml:space="preserve"> During the 1950s she was </w:t>
            </w:r>
            <w:r w:rsidRPr="008A12FE">
              <w:t xml:space="preserve">an </w:t>
            </w:r>
            <w:r>
              <w:t>a</w:t>
            </w:r>
            <w:r w:rsidRPr="008A12FE">
              <w:t>lmoner with the Royal Melbourne Hospital</w:t>
            </w:r>
            <w:r>
              <w:t xml:space="preserve">. In 1960, Hartshorn was jointly appointed Lecturer in the Social Studies Department at the University of Queensland and Senior Social Worker at Royal Brisbane Hospital. The </w:t>
            </w:r>
            <w:r w:rsidRPr="00EC066D">
              <w:t xml:space="preserve">position advanced the teaching </w:t>
            </w:r>
            <w:r>
              <w:t>of medical social work in Queensland and supported the development of social work services in Queensland hospitals. Hartshorn was appointed a Member of the Order of Australia in 1983 “for service in the field of social welfare” and an Honorary Life Member of the Queensland Council of Social Services. The Alma Hartshorn Papers are held by the Fryer Library, University of Queensland.</w:t>
            </w:r>
          </w:p>
          <w:p w14:paraId="59C919FF" w14:textId="052881F9" w:rsidR="000F7F00" w:rsidRDefault="000F7F00" w:rsidP="000F270D">
            <w:pPr>
              <w:rPr>
                <w:b/>
                <w:bCs/>
              </w:rPr>
            </w:pPr>
          </w:p>
        </w:tc>
      </w:tr>
      <w:tr w:rsidR="00DB1452" w14:paraId="7010B25D" w14:textId="77777777" w:rsidTr="009C5C19">
        <w:trPr>
          <w:cantSplit/>
        </w:trPr>
        <w:tc>
          <w:tcPr>
            <w:tcW w:w="1701" w:type="dxa"/>
            <w:tcBorders>
              <w:top w:val="nil"/>
              <w:left w:val="nil"/>
              <w:bottom w:val="nil"/>
              <w:right w:val="nil"/>
            </w:tcBorders>
          </w:tcPr>
          <w:p w14:paraId="5A366669" w14:textId="77777777" w:rsidR="008D3F39" w:rsidRPr="00FC07B2" w:rsidRDefault="008D3F39" w:rsidP="008D3F39">
            <w:pPr>
              <w:pStyle w:val="Heading2"/>
              <w:spacing w:before="120" w:after="120"/>
              <w:jc w:val="left"/>
              <w:rPr>
                <w:rFonts w:ascii="Times New Roman" w:hAnsi="Times New Roman" w:cs="Times New Roman"/>
                <w:b/>
                <w:i w:val="0"/>
                <w:sz w:val="24"/>
                <w:szCs w:val="24"/>
              </w:rPr>
            </w:pPr>
            <w:r w:rsidRPr="00FC07B2">
              <w:rPr>
                <w:rFonts w:ascii="Times New Roman" w:hAnsi="Times New Roman" w:cs="Times New Roman"/>
                <w:b/>
                <w:i w:val="0"/>
                <w:sz w:val="24"/>
                <w:szCs w:val="24"/>
              </w:rPr>
              <w:lastRenderedPageBreak/>
              <w:t>Lex Watson Circuit</w:t>
            </w:r>
          </w:p>
          <w:p w14:paraId="0D211555" w14:textId="79CD4D2B" w:rsidR="00DB1452" w:rsidRPr="009178E2" w:rsidRDefault="00DB1452" w:rsidP="009178E2">
            <w:pPr>
              <w:pStyle w:val="Heading2"/>
              <w:spacing w:before="120" w:after="120"/>
              <w:jc w:val="left"/>
              <w:rPr>
                <w:rFonts w:ascii="Times New Roman" w:hAnsi="Times New Roman" w:cs="Times New Roman"/>
                <w:b/>
                <w:i w:val="0"/>
                <w:sz w:val="24"/>
                <w:szCs w:val="24"/>
              </w:rPr>
            </w:pPr>
          </w:p>
        </w:tc>
        <w:tc>
          <w:tcPr>
            <w:tcW w:w="2268" w:type="dxa"/>
            <w:tcBorders>
              <w:top w:val="nil"/>
              <w:left w:val="nil"/>
              <w:bottom w:val="nil"/>
              <w:right w:val="nil"/>
            </w:tcBorders>
          </w:tcPr>
          <w:p w14:paraId="19900274" w14:textId="77777777" w:rsidR="008D3F39" w:rsidRDefault="008D3F39" w:rsidP="008D3F39">
            <w:pPr>
              <w:spacing w:before="120" w:after="120"/>
              <w:rPr>
                <w:bCs/>
                <w:szCs w:val="24"/>
              </w:rPr>
            </w:pPr>
            <w:r>
              <w:rPr>
                <w:bCs/>
                <w:szCs w:val="24"/>
              </w:rPr>
              <w:t>Alexander (Lex) Watson AM</w:t>
            </w:r>
          </w:p>
          <w:p w14:paraId="493C25E2" w14:textId="4663AC9E" w:rsidR="00DB1452" w:rsidRDefault="008D3F39" w:rsidP="000F270D">
            <w:pPr>
              <w:spacing w:before="120" w:after="120"/>
              <w:rPr>
                <w:bCs/>
                <w:szCs w:val="24"/>
              </w:rPr>
            </w:pPr>
            <w:r>
              <w:rPr>
                <w:bCs/>
                <w:szCs w:val="24"/>
              </w:rPr>
              <w:t>(1943</w:t>
            </w:r>
            <w:r w:rsidRPr="00796A14">
              <w:rPr>
                <w:szCs w:val="24"/>
              </w:rPr>
              <w:t>–</w:t>
            </w:r>
            <w:r w:rsidRPr="00796A14">
              <w:rPr>
                <w:bCs/>
                <w:szCs w:val="24"/>
              </w:rPr>
              <w:t>2</w:t>
            </w:r>
            <w:r>
              <w:rPr>
                <w:bCs/>
                <w:szCs w:val="24"/>
              </w:rPr>
              <w:t>014)</w:t>
            </w:r>
          </w:p>
        </w:tc>
        <w:tc>
          <w:tcPr>
            <w:tcW w:w="4678" w:type="dxa"/>
            <w:tcBorders>
              <w:top w:val="nil"/>
              <w:left w:val="nil"/>
              <w:bottom w:val="nil"/>
              <w:right w:val="nil"/>
            </w:tcBorders>
          </w:tcPr>
          <w:p w14:paraId="3EAF191D" w14:textId="77777777" w:rsidR="008D3F39" w:rsidRPr="00A55AB7" w:rsidRDefault="008D3F39" w:rsidP="008D3F39">
            <w:pPr>
              <w:pStyle w:val="CoverActName"/>
              <w:tabs>
                <w:tab w:val="clear" w:pos="2600"/>
              </w:tabs>
              <w:spacing w:before="120" w:after="120"/>
              <w:jc w:val="left"/>
              <w:rPr>
                <w:rFonts w:ascii="Times New Roman" w:hAnsi="Times New Roman"/>
                <w:b w:val="0"/>
                <w:bCs/>
                <w:szCs w:val="24"/>
                <w:lang w:val="en-GB"/>
              </w:rPr>
            </w:pPr>
            <w:r>
              <w:rPr>
                <w:rFonts w:ascii="Times New Roman" w:hAnsi="Times New Roman"/>
                <w:b w:val="0"/>
                <w:bCs/>
              </w:rPr>
              <w:t>G</w:t>
            </w:r>
            <w:r w:rsidRPr="00324321">
              <w:rPr>
                <w:rFonts w:ascii="Times New Roman" w:hAnsi="Times New Roman"/>
                <w:b w:val="0"/>
                <w:bCs/>
              </w:rPr>
              <w:t>ay rights activist</w:t>
            </w:r>
            <w:r>
              <w:rPr>
                <w:rFonts w:ascii="Times New Roman" w:hAnsi="Times New Roman"/>
                <w:b w:val="0"/>
                <w:bCs/>
              </w:rPr>
              <w:t xml:space="preserve"> for </w:t>
            </w:r>
            <w:r w:rsidRPr="00324321">
              <w:rPr>
                <w:rFonts w:ascii="Times New Roman" w:hAnsi="Times New Roman"/>
                <w:b w:val="0"/>
                <w:bCs/>
              </w:rPr>
              <w:t>homosexual law reform</w:t>
            </w:r>
            <w:r>
              <w:rPr>
                <w:rFonts w:ascii="Times New Roman" w:hAnsi="Times New Roman"/>
                <w:b w:val="0"/>
                <w:bCs/>
              </w:rPr>
              <w:t xml:space="preserve"> and HIV/AIDS</w:t>
            </w:r>
          </w:p>
          <w:p w14:paraId="65D30004" w14:textId="77777777" w:rsidR="00DB1452" w:rsidRDefault="008D3F39" w:rsidP="000F270D">
            <w:r w:rsidRPr="003B6D0A">
              <w:t xml:space="preserve">A graduate of </w:t>
            </w:r>
            <w:r>
              <w:t xml:space="preserve">the </w:t>
            </w:r>
            <w:r w:rsidRPr="005064E9">
              <w:t>University of Sydney</w:t>
            </w:r>
            <w:r>
              <w:t xml:space="preserve"> (1964), Alexander (Lex) Watson was a pioneering gay rights activist. His steadfast and dedicated advocacy helped to achieve significant homosexual law reform and health initiatives for the gay community. Watson was one of the first members of the Homosexual Law Reform Society of the ACT (1969) and attempted to establish a New South Wales equivalent in 1970. He was a foundation member of the Campaign Against Moral Persecution </w:t>
            </w:r>
            <w:r w:rsidRPr="00A657E4">
              <w:t>(CAMP) and co-president (1972</w:t>
            </w:r>
            <w:r w:rsidRPr="00A657E4">
              <w:rPr>
                <w:szCs w:val="24"/>
              </w:rPr>
              <w:t>–19</w:t>
            </w:r>
            <w:r w:rsidRPr="00A657E4">
              <w:t xml:space="preserve">75). In 1980 </w:t>
            </w:r>
            <w:r>
              <w:t>Watson</w:t>
            </w:r>
            <w:r w:rsidRPr="00A657E4">
              <w:t xml:space="preserve"> helped </w:t>
            </w:r>
            <w:r>
              <w:t xml:space="preserve">establish the Gay Rights Lobby, successfully campaigning for the decriminalisation of homosexual behaviour. Subsequently, he assisted in forming the AIDS Action Committee (now the Aids Council of NSW), becoming its first president (1984). Watson was later </w:t>
            </w:r>
            <w:r w:rsidRPr="00A657E4">
              <w:t>president of the Sydney Pride History Group</w:t>
            </w:r>
            <w:r>
              <w:t xml:space="preserve"> </w:t>
            </w:r>
            <w:r w:rsidRPr="00A657E4">
              <w:t>(201</w:t>
            </w:r>
            <w:r>
              <w:t>2</w:t>
            </w:r>
            <w:r w:rsidRPr="00A657E4">
              <w:rPr>
                <w:szCs w:val="24"/>
              </w:rPr>
              <w:t>–20</w:t>
            </w:r>
            <w:r w:rsidRPr="00A657E4">
              <w:t>14). In 20</w:t>
            </w:r>
            <w:r>
              <w:t xml:space="preserve">10, he was a joint recipient of the Aids Council of NSW Community Local Hero Award. Watson was posthumously </w:t>
            </w:r>
            <w:r w:rsidRPr="00A657E4">
              <w:t xml:space="preserve">appointed a </w:t>
            </w:r>
            <w:r>
              <w:t>Member of the Order of Australia (2014) for “significant service to the community as an advocate for gay and lesbian rights.”</w:t>
            </w:r>
          </w:p>
          <w:p w14:paraId="23863E4C" w14:textId="0368C826" w:rsidR="002837D5" w:rsidRDefault="002837D5" w:rsidP="000F270D">
            <w:pPr>
              <w:rPr>
                <w:b/>
                <w:bCs/>
              </w:rPr>
            </w:pPr>
          </w:p>
        </w:tc>
      </w:tr>
      <w:tr w:rsidR="009A5D0A" w14:paraId="7978965B" w14:textId="77777777" w:rsidTr="009C5C19">
        <w:trPr>
          <w:cantSplit/>
        </w:trPr>
        <w:tc>
          <w:tcPr>
            <w:tcW w:w="1701" w:type="dxa"/>
            <w:tcBorders>
              <w:top w:val="nil"/>
              <w:left w:val="nil"/>
              <w:bottom w:val="nil"/>
              <w:right w:val="nil"/>
            </w:tcBorders>
          </w:tcPr>
          <w:p w14:paraId="230F7507" w14:textId="36865DBD" w:rsidR="009A5D0A" w:rsidRPr="00CE3399" w:rsidRDefault="009436D1" w:rsidP="007D25AC">
            <w:pPr>
              <w:pStyle w:val="Heading2"/>
              <w:spacing w:before="120" w:after="120"/>
              <w:jc w:val="left"/>
              <w:rPr>
                <w:rFonts w:ascii="Times New Roman" w:hAnsi="Times New Roman" w:cs="Times New Roman"/>
                <w:b/>
                <w:i w:val="0"/>
                <w:sz w:val="24"/>
                <w:szCs w:val="24"/>
              </w:rPr>
            </w:pPr>
            <w:r>
              <w:rPr>
                <w:rFonts w:ascii="Times New Roman" w:hAnsi="Times New Roman" w:cs="Times New Roman"/>
                <w:b/>
                <w:i w:val="0"/>
                <w:sz w:val="24"/>
                <w:szCs w:val="24"/>
              </w:rPr>
              <w:lastRenderedPageBreak/>
              <w:t>Makinson View</w:t>
            </w:r>
          </w:p>
        </w:tc>
        <w:tc>
          <w:tcPr>
            <w:tcW w:w="2268" w:type="dxa"/>
            <w:tcBorders>
              <w:top w:val="nil"/>
              <w:left w:val="nil"/>
              <w:bottom w:val="nil"/>
              <w:right w:val="nil"/>
            </w:tcBorders>
          </w:tcPr>
          <w:p w14:paraId="7C783193" w14:textId="37B17827" w:rsidR="005652A1" w:rsidRDefault="005652A1" w:rsidP="005652A1">
            <w:pPr>
              <w:spacing w:before="120" w:after="120"/>
              <w:rPr>
                <w:bCs/>
                <w:szCs w:val="24"/>
              </w:rPr>
            </w:pPr>
            <w:r>
              <w:rPr>
                <w:bCs/>
                <w:szCs w:val="24"/>
              </w:rPr>
              <w:t>Richard</w:t>
            </w:r>
            <w:r w:rsidR="009C5C19">
              <w:rPr>
                <w:bCs/>
                <w:szCs w:val="24"/>
              </w:rPr>
              <w:t xml:space="preserve"> (Dick)</w:t>
            </w:r>
            <w:r>
              <w:rPr>
                <w:bCs/>
                <w:szCs w:val="24"/>
              </w:rPr>
              <w:t xml:space="preserve"> Elliss Bodenham</w:t>
            </w:r>
            <w:r w:rsidR="009C5C19">
              <w:rPr>
                <w:bCs/>
                <w:szCs w:val="24"/>
              </w:rPr>
              <w:t xml:space="preserve"> </w:t>
            </w:r>
            <w:r>
              <w:rPr>
                <w:bCs/>
                <w:szCs w:val="24"/>
              </w:rPr>
              <w:t>Makinson</w:t>
            </w:r>
          </w:p>
          <w:p w14:paraId="2A12E0AB" w14:textId="10A61837" w:rsidR="005652A1" w:rsidRDefault="005652A1" w:rsidP="005652A1">
            <w:pPr>
              <w:spacing w:before="120" w:after="120"/>
              <w:rPr>
                <w:bCs/>
                <w:szCs w:val="24"/>
              </w:rPr>
            </w:pPr>
            <w:r>
              <w:rPr>
                <w:bCs/>
                <w:szCs w:val="24"/>
              </w:rPr>
              <w:t>(1913</w:t>
            </w:r>
            <w:r>
              <w:rPr>
                <w:szCs w:val="24"/>
              </w:rPr>
              <w:t>–1979</w:t>
            </w:r>
            <w:r>
              <w:rPr>
                <w:bCs/>
                <w:szCs w:val="24"/>
              </w:rPr>
              <w:t>)</w:t>
            </w:r>
          </w:p>
          <w:p w14:paraId="230958A0" w14:textId="77777777" w:rsidR="009A5D0A" w:rsidRPr="002929A6" w:rsidRDefault="009A5D0A" w:rsidP="002A039C">
            <w:pPr>
              <w:spacing w:before="120" w:after="120"/>
              <w:rPr>
                <w:b/>
                <w:bCs/>
                <w:szCs w:val="24"/>
              </w:rPr>
            </w:pPr>
          </w:p>
        </w:tc>
        <w:tc>
          <w:tcPr>
            <w:tcW w:w="4678" w:type="dxa"/>
            <w:tcBorders>
              <w:top w:val="nil"/>
              <w:left w:val="nil"/>
              <w:bottom w:val="nil"/>
              <w:right w:val="nil"/>
            </w:tcBorders>
          </w:tcPr>
          <w:p w14:paraId="220148CE" w14:textId="77777777" w:rsidR="005652A1" w:rsidRDefault="005652A1" w:rsidP="005652A1">
            <w:pPr>
              <w:pStyle w:val="CoverActName"/>
              <w:tabs>
                <w:tab w:val="left" w:pos="720"/>
              </w:tabs>
              <w:spacing w:before="120" w:after="120"/>
              <w:jc w:val="left"/>
              <w:rPr>
                <w:rFonts w:ascii="Times New Roman" w:hAnsi="Times New Roman"/>
                <w:b w:val="0"/>
                <w:bCs/>
                <w:szCs w:val="24"/>
                <w:lang w:val="en-GB"/>
              </w:rPr>
            </w:pPr>
            <w:r>
              <w:rPr>
                <w:rFonts w:ascii="Times New Roman" w:hAnsi="Times New Roman"/>
                <w:b w:val="0"/>
                <w:bCs/>
              </w:rPr>
              <w:t>Physicist, peace activist, advocate for academic freedom.</w:t>
            </w:r>
          </w:p>
          <w:p w14:paraId="53E75C3C" w14:textId="1B82ECED" w:rsidR="007D25AC" w:rsidRDefault="005652A1" w:rsidP="000F270D">
            <w:r>
              <w:t>Holding teaching positions in the Department of Physics at the University of Sydney (1939</w:t>
            </w:r>
            <w:r w:rsidR="00607CA5">
              <w:rPr>
                <w:szCs w:val="24"/>
              </w:rPr>
              <w:t>–</w:t>
            </w:r>
            <w:r>
              <w:t>1968),</w:t>
            </w:r>
            <w:r w:rsidR="00DB1452">
              <w:t xml:space="preserve"> </w:t>
            </w:r>
            <w:r>
              <w:t>Dr Richard (Dick) Makinson was later Associate Professor of Physics at Macquarie University</w:t>
            </w:r>
            <w:r w:rsidR="00DB1452">
              <w:t xml:space="preserve"> (</w:t>
            </w:r>
            <w:r>
              <w:t>1968</w:t>
            </w:r>
            <w:r w:rsidR="00607CA5">
              <w:rPr>
                <w:szCs w:val="24"/>
              </w:rPr>
              <w:t>–</w:t>
            </w:r>
            <w:r>
              <w:t xml:space="preserve">1978). In 1940, he was elected a committee member for the Australian branch of the Institute of Physics. Makinson was a member of the Australian Association of Scientific Workers and a corresponding member of </w:t>
            </w:r>
            <w:r w:rsidRPr="00087D7E">
              <w:rPr>
                <w:szCs w:val="24"/>
                <w:lang w:val="en-GB"/>
              </w:rPr>
              <w:t xml:space="preserve">the </w:t>
            </w:r>
            <w:r w:rsidRPr="00087D7E">
              <w:t xml:space="preserve">World Federation of Scientific Workers. </w:t>
            </w:r>
            <w:r>
              <w:t>He advocated for developing Australian atomic energy research and the rights of scientists to academic freedom. Post-war, he was active in opposing the proliferation and use of nuclear weapons. He joined</w:t>
            </w:r>
            <w:r>
              <w:rPr>
                <w:color w:val="FF0000"/>
                <w:szCs w:val="24"/>
                <w:lang w:val="en-GB"/>
              </w:rPr>
              <w:t xml:space="preserve"> </w:t>
            </w:r>
            <w:r>
              <w:t>the Australian Peace Council (1950) and was elected as a committee member for the Australian Congress for International Cooperation and Disarmament (1964). In the late 1970s, Makinson developed an electronic calculator for people with blindness. The Dick Makinson Physics Prize is awarded by Macquarie University.</w:t>
            </w:r>
          </w:p>
          <w:p w14:paraId="3899A5C0" w14:textId="55E8829B" w:rsidR="000F270D" w:rsidRPr="002929A6" w:rsidRDefault="000F270D" w:rsidP="000F270D">
            <w:pPr>
              <w:rPr>
                <w:szCs w:val="24"/>
                <w:lang w:val="en-GB"/>
              </w:rPr>
            </w:pPr>
          </w:p>
        </w:tc>
      </w:tr>
      <w:tr w:rsidR="009436D1" w:rsidRPr="002929A6" w14:paraId="69E7073D" w14:textId="77777777" w:rsidTr="009C5C19">
        <w:trPr>
          <w:cantSplit/>
        </w:trPr>
        <w:tc>
          <w:tcPr>
            <w:tcW w:w="1701" w:type="dxa"/>
            <w:tcBorders>
              <w:top w:val="nil"/>
              <w:left w:val="nil"/>
              <w:bottom w:val="nil"/>
              <w:right w:val="nil"/>
            </w:tcBorders>
          </w:tcPr>
          <w:p w14:paraId="2147624D" w14:textId="003C8024" w:rsidR="009436D1" w:rsidRPr="009178E2" w:rsidRDefault="009436D1" w:rsidP="005F5997">
            <w:pPr>
              <w:pStyle w:val="Heading2"/>
              <w:spacing w:before="120" w:after="120"/>
              <w:jc w:val="left"/>
              <w:rPr>
                <w:rFonts w:ascii="Times New Roman" w:hAnsi="Times New Roman" w:cs="Times New Roman"/>
                <w:b/>
                <w:i w:val="0"/>
                <w:sz w:val="24"/>
                <w:szCs w:val="24"/>
              </w:rPr>
            </w:pPr>
            <w:r>
              <w:rPr>
                <w:rFonts w:ascii="Times New Roman" w:hAnsi="Times New Roman" w:cs="Times New Roman"/>
                <w:b/>
                <w:i w:val="0"/>
                <w:sz w:val="24"/>
                <w:szCs w:val="24"/>
              </w:rPr>
              <w:lastRenderedPageBreak/>
              <w:t>Manoa Street</w:t>
            </w:r>
          </w:p>
          <w:p w14:paraId="4A92D7BF" w14:textId="77777777" w:rsidR="009436D1" w:rsidRPr="00CE3399" w:rsidRDefault="009436D1" w:rsidP="005F5997">
            <w:pPr>
              <w:pStyle w:val="Heading2"/>
              <w:spacing w:before="120" w:after="120"/>
              <w:jc w:val="left"/>
              <w:rPr>
                <w:rFonts w:ascii="Times New Roman" w:hAnsi="Times New Roman" w:cs="Times New Roman"/>
                <w:b/>
                <w:i w:val="0"/>
                <w:sz w:val="24"/>
                <w:szCs w:val="24"/>
              </w:rPr>
            </w:pPr>
          </w:p>
        </w:tc>
        <w:tc>
          <w:tcPr>
            <w:tcW w:w="2268" w:type="dxa"/>
            <w:tcBorders>
              <w:top w:val="nil"/>
              <w:left w:val="nil"/>
              <w:bottom w:val="nil"/>
              <w:right w:val="nil"/>
            </w:tcBorders>
          </w:tcPr>
          <w:p w14:paraId="40856060" w14:textId="77777777" w:rsidR="009436D1" w:rsidRDefault="009436D1" w:rsidP="009436D1">
            <w:pPr>
              <w:spacing w:before="120" w:after="120"/>
              <w:rPr>
                <w:color w:val="FF0000"/>
              </w:rPr>
            </w:pPr>
            <w:r>
              <w:t>Manoa Yvonne Renwick</w:t>
            </w:r>
          </w:p>
          <w:p w14:paraId="57CF06AF" w14:textId="77777777" w:rsidR="009436D1" w:rsidRDefault="009436D1" w:rsidP="009436D1">
            <w:pPr>
              <w:spacing w:before="120" w:after="120"/>
            </w:pPr>
            <w:r w:rsidRPr="00933359">
              <w:t>(19</w:t>
            </w:r>
            <w:r>
              <w:t>33</w:t>
            </w:r>
            <w:r w:rsidRPr="00796A14">
              <w:rPr>
                <w:szCs w:val="24"/>
              </w:rPr>
              <w:t>–</w:t>
            </w:r>
            <w:r w:rsidRPr="00933359">
              <w:t>2</w:t>
            </w:r>
            <w:r>
              <w:t>012</w:t>
            </w:r>
            <w:r w:rsidRPr="00933359">
              <w:t>)</w:t>
            </w:r>
          </w:p>
          <w:p w14:paraId="3C40502D" w14:textId="3379518C" w:rsidR="009436D1" w:rsidRDefault="009436D1" w:rsidP="009436D1">
            <w:pPr>
              <w:spacing w:before="120" w:after="120"/>
              <w:rPr>
                <w:bCs/>
                <w:szCs w:val="24"/>
              </w:rPr>
            </w:pPr>
            <w:r w:rsidRPr="00796A14">
              <w:rPr>
                <w:bCs/>
                <w:szCs w:val="24"/>
              </w:rPr>
              <w:t>(née</w:t>
            </w:r>
            <w:r>
              <w:rPr>
                <w:bCs/>
                <w:szCs w:val="24"/>
              </w:rPr>
              <w:t xml:space="preserve"> Bain</w:t>
            </w:r>
            <w:r w:rsidRPr="00796A14">
              <w:rPr>
                <w:bCs/>
                <w:szCs w:val="24"/>
              </w:rPr>
              <w:t>)</w:t>
            </w:r>
          </w:p>
          <w:p w14:paraId="503A3C4E" w14:textId="65284B02" w:rsidR="00345B8E" w:rsidRDefault="00345B8E" w:rsidP="009436D1">
            <w:pPr>
              <w:spacing w:before="120" w:after="120"/>
              <w:rPr>
                <w:bCs/>
                <w:szCs w:val="24"/>
              </w:rPr>
            </w:pPr>
          </w:p>
          <w:p w14:paraId="62424BA6" w14:textId="77777777" w:rsidR="003075FE" w:rsidRDefault="003075FE" w:rsidP="009436D1">
            <w:pPr>
              <w:spacing w:before="120" w:after="120"/>
              <w:rPr>
                <w:bCs/>
                <w:color w:val="FF0000"/>
                <w:sz w:val="18"/>
                <w:szCs w:val="18"/>
              </w:rPr>
            </w:pPr>
          </w:p>
          <w:p w14:paraId="085789BC" w14:textId="77777777" w:rsidR="009436D1" w:rsidRPr="002929A6" w:rsidRDefault="009436D1" w:rsidP="00841159">
            <w:pPr>
              <w:spacing w:before="120" w:after="120"/>
              <w:rPr>
                <w:b/>
                <w:bCs/>
                <w:szCs w:val="24"/>
              </w:rPr>
            </w:pPr>
          </w:p>
        </w:tc>
        <w:tc>
          <w:tcPr>
            <w:tcW w:w="4678" w:type="dxa"/>
            <w:tcBorders>
              <w:top w:val="nil"/>
              <w:left w:val="nil"/>
              <w:bottom w:val="nil"/>
              <w:right w:val="nil"/>
            </w:tcBorders>
          </w:tcPr>
          <w:p w14:paraId="48B851C4" w14:textId="77777777" w:rsidR="009436D1" w:rsidRPr="00FA6F52" w:rsidRDefault="009436D1" w:rsidP="009436D1">
            <w:pPr>
              <w:pStyle w:val="CoverActName"/>
              <w:tabs>
                <w:tab w:val="clear" w:pos="2600"/>
              </w:tabs>
              <w:spacing w:before="120" w:after="120"/>
              <w:jc w:val="left"/>
              <w:rPr>
                <w:rFonts w:ascii="Times New Roman" w:hAnsi="Times New Roman"/>
                <w:b w:val="0"/>
                <w:bCs/>
                <w:szCs w:val="24"/>
                <w:lang w:val="en-GB"/>
              </w:rPr>
            </w:pPr>
            <w:r>
              <w:rPr>
                <w:rFonts w:ascii="Times New Roman" w:hAnsi="Times New Roman"/>
                <w:b w:val="0"/>
                <w:bCs/>
              </w:rPr>
              <w:t>Health services research, health reform</w:t>
            </w:r>
          </w:p>
          <w:p w14:paraId="579F6441" w14:textId="062B9306" w:rsidR="00841159" w:rsidRPr="00087D7E" w:rsidRDefault="00841159" w:rsidP="00841159">
            <w:pPr>
              <w:rPr>
                <w:szCs w:val="24"/>
              </w:rPr>
            </w:pPr>
            <w:bookmarkStart w:id="1" w:name="_Hlk119675123"/>
            <w:r w:rsidRPr="00087D7E">
              <w:rPr>
                <w:color w:val="000000"/>
                <w:szCs w:val="24"/>
              </w:rPr>
              <w:t xml:space="preserve">Initially undertaking medical training at the University of Sydney </w:t>
            </w:r>
            <w:r w:rsidRPr="00087D7E">
              <w:rPr>
                <w:szCs w:val="24"/>
              </w:rPr>
              <w:t>in the mid</w:t>
            </w:r>
            <w:r w:rsidR="00F7658B">
              <w:rPr>
                <w:szCs w:val="24"/>
              </w:rPr>
              <w:t>-</w:t>
            </w:r>
            <w:r w:rsidRPr="00087D7E">
              <w:rPr>
                <w:szCs w:val="24"/>
              </w:rPr>
              <w:t>1950s</w:t>
            </w:r>
            <w:r w:rsidRPr="00087D7E">
              <w:rPr>
                <w:color w:val="000000"/>
                <w:szCs w:val="24"/>
              </w:rPr>
              <w:t xml:space="preserve">, Manoa Renwick graduated from the University of New England in 1980 with a Bachelor of Arts, and subsequently earned a </w:t>
            </w:r>
            <w:r w:rsidRPr="00087D7E">
              <w:rPr>
                <w:szCs w:val="24"/>
              </w:rPr>
              <w:t xml:space="preserve">Master of Health Administration from </w:t>
            </w:r>
            <w:r w:rsidRPr="00087D7E">
              <w:rPr>
                <w:color w:val="000000"/>
                <w:szCs w:val="24"/>
              </w:rPr>
              <w:t>the University of NSW in 1986.</w:t>
            </w:r>
            <w:bookmarkEnd w:id="1"/>
            <w:r w:rsidRPr="00087D7E">
              <w:rPr>
                <w:color w:val="000000"/>
                <w:szCs w:val="24"/>
              </w:rPr>
              <w:t xml:space="preserve"> Pursuing a career in health services research, in the early 1980s she took up the </w:t>
            </w:r>
            <w:r w:rsidRPr="00087D7E">
              <w:rPr>
                <w:szCs w:val="24"/>
              </w:rPr>
              <w:t>position of Planning Officer with the Health Commission of New South Wales in the New England region. Relocating to Canberra in the mid</w:t>
            </w:r>
            <w:r w:rsidR="00F7658B">
              <w:rPr>
                <w:szCs w:val="24"/>
              </w:rPr>
              <w:t>-</w:t>
            </w:r>
            <w:r w:rsidRPr="00087D7E">
              <w:rPr>
                <w:szCs w:val="24"/>
              </w:rPr>
              <w:t xml:space="preserve">1980s, Renwick was a research fellow with the Australian Institute of Health. Among other studies, in this role she investigated and evaluated measures of the quality of care in Australian hospitals, co-authoring the publication </w:t>
            </w:r>
            <w:r w:rsidRPr="00087D7E">
              <w:rPr>
                <w:i/>
                <w:iCs/>
                <w:szCs w:val="24"/>
              </w:rPr>
              <w:t>Quality Assurance in Hospitals: Report of a Survey</w:t>
            </w:r>
            <w:r w:rsidRPr="00087D7E">
              <w:rPr>
                <w:szCs w:val="24"/>
              </w:rPr>
              <w:t xml:space="preserve"> (1989). Renwick was centrally involved in establishing the ACT Women’s Health Network. In the 1990s she assisted with the major national survey project, the Australian Longitudinal Study on Women’s Health.</w:t>
            </w:r>
          </w:p>
          <w:p w14:paraId="0E84BE41" w14:textId="18D5ECE1" w:rsidR="003075FE" w:rsidRDefault="003075FE" w:rsidP="003075FE">
            <w:pPr>
              <w:rPr>
                <w:rFonts w:cstheme="minorHAnsi"/>
                <w:sz w:val="22"/>
                <w:szCs w:val="22"/>
              </w:rPr>
            </w:pPr>
          </w:p>
          <w:p w14:paraId="50806D1E" w14:textId="1583796A" w:rsidR="009436D1" w:rsidRPr="002929A6" w:rsidRDefault="009436D1" w:rsidP="000F270D">
            <w:pPr>
              <w:rPr>
                <w:szCs w:val="24"/>
                <w:lang w:val="en-GB"/>
              </w:rPr>
            </w:pPr>
          </w:p>
        </w:tc>
      </w:tr>
      <w:tr w:rsidR="009436D1" w:rsidRPr="002929A6" w14:paraId="199BA11F" w14:textId="77777777" w:rsidTr="009C5C19">
        <w:trPr>
          <w:cantSplit/>
        </w:trPr>
        <w:tc>
          <w:tcPr>
            <w:tcW w:w="1701" w:type="dxa"/>
            <w:tcBorders>
              <w:top w:val="nil"/>
              <w:left w:val="nil"/>
              <w:bottom w:val="nil"/>
              <w:right w:val="nil"/>
            </w:tcBorders>
          </w:tcPr>
          <w:p w14:paraId="5F0DAC37" w14:textId="2A1EA253" w:rsidR="009436D1" w:rsidRPr="009178E2" w:rsidRDefault="005652A1" w:rsidP="005F5997">
            <w:pPr>
              <w:pStyle w:val="Heading2"/>
              <w:spacing w:before="120" w:after="120"/>
              <w:jc w:val="left"/>
              <w:rPr>
                <w:rFonts w:ascii="Times New Roman" w:hAnsi="Times New Roman" w:cs="Times New Roman"/>
                <w:b/>
                <w:i w:val="0"/>
                <w:sz w:val="24"/>
                <w:szCs w:val="24"/>
              </w:rPr>
            </w:pPr>
            <w:r>
              <w:rPr>
                <w:rFonts w:ascii="Times New Roman" w:hAnsi="Times New Roman" w:cs="Times New Roman"/>
                <w:b/>
                <w:i w:val="0"/>
                <w:sz w:val="24"/>
                <w:szCs w:val="24"/>
              </w:rPr>
              <w:lastRenderedPageBreak/>
              <w:t>Musidlak Rise</w:t>
            </w:r>
          </w:p>
          <w:p w14:paraId="2A9499E4" w14:textId="77777777" w:rsidR="009436D1" w:rsidRPr="00CE3399" w:rsidRDefault="009436D1" w:rsidP="005F5997">
            <w:pPr>
              <w:pStyle w:val="Heading2"/>
              <w:spacing w:before="120" w:after="120"/>
              <w:jc w:val="left"/>
              <w:rPr>
                <w:rFonts w:ascii="Times New Roman" w:hAnsi="Times New Roman" w:cs="Times New Roman"/>
                <w:b/>
                <w:i w:val="0"/>
                <w:sz w:val="24"/>
                <w:szCs w:val="24"/>
              </w:rPr>
            </w:pPr>
          </w:p>
        </w:tc>
        <w:tc>
          <w:tcPr>
            <w:tcW w:w="2268" w:type="dxa"/>
            <w:tcBorders>
              <w:top w:val="nil"/>
              <w:left w:val="nil"/>
              <w:bottom w:val="nil"/>
              <w:right w:val="nil"/>
            </w:tcBorders>
          </w:tcPr>
          <w:p w14:paraId="3C23A7D6" w14:textId="77777777" w:rsidR="005652A1" w:rsidRDefault="005652A1" w:rsidP="005652A1">
            <w:pPr>
              <w:spacing w:before="120" w:after="120"/>
            </w:pPr>
            <w:r>
              <w:rPr>
                <w:bCs/>
                <w:szCs w:val="24"/>
              </w:rPr>
              <w:t>B</w:t>
            </w:r>
            <w:r>
              <w:t xml:space="preserve">oguslaw (Bogey) Czeslaw Musidlak </w:t>
            </w:r>
          </w:p>
          <w:p w14:paraId="5D266076" w14:textId="6524497A" w:rsidR="005652A1" w:rsidRDefault="005652A1" w:rsidP="005652A1">
            <w:pPr>
              <w:spacing w:before="120" w:after="120"/>
              <w:rPr>
                <w:bCs/>
                <w:szCs w:val="24"/>
              </w:rPr>
            </w:pPr>
            <w:r>
              <w:t>(1953–2017)</w:t>
            </w:r>
          </w:p>
          <w:p w14:paraId="77CB8F1F" w14:textId="77777777" w:rsidR="009436D1" w:rsidRPr="002929A6" w:rsidRDefault="009436D1" w:rsidP="005652A1">
            <w:pPr>
              <w:spacing w:before="120" w:after="120"/>
              <w:rPr>
                <w:b/>
                <w:bCs/>
                <w:szCs w:val="24"/>
              </w:rPr>
            </w:pPr>
          </w:p>
        </w:tc>
        <w:tc>
          <w:tcPr>
            <w:tcW w:w="4678" w:type="dxa"/>
            <w:tcBorders>
              <w:top w:val="nil"/>
              <w:left w:val="nil"/>
              <w:bottom w:val="nil"/>
              <w:right w:val="nil"/>
            </w:tcBorders>
          </w:tcPr>
          <w:p w14:paraId="573EA008" w14:textId="0DF3C552" w:rsidR="009436D1" w:rsidRPr="005652A1" w:rsidRDefault="005652A1" w:rsidP="009436D1">
            <w:pPr>
              <w:pStyle w:val="CoverActName"/>
              <w:tabs>
                <w:tab w:val="clear" w:pos="2600"/>
              </w:tabs>
              <w:spacing w:before="120" w:after="120"/>
              <w:rPr>
                <w:rFonts w:ascii="Times New Roman" w:hAnsi="Times New Roman"/>
                <w:b w:val="0"/>
                <w:bCs/>
                <w:szCs w:val="24"/>
                <w:lang w:val="en-GB"/>
              </w:rPr>
            </w:pPr>
            <w:r w:rsidRPr="005652A1">
              <w:rPr>
                <w:rFonts w:ascii="Times New Roman" w:hAnsi="Times New Roman"/>
                <w:b w:val="0"/>
                <w:bCs/>
                <w:szCs w:val="24"/>
                <w:lang w:val="en-GB"/>
              </w:rPr>
              <w:t>Electoral reform</w:t>
            </w:r>
          </w:p>
          <w:p w14:paraId="0332BA29" w14:textId="320978DF" w:rsidR="009436D1" w:rsidRDefault="005652A1" w:rsidP="000F270D">
            <w:pPr>
              <w:pStyle w:val="NormalWeb"/>
              <w:shd w:val="clear" w:color="auto" w:fill="FFFFFF"/>
              <w:spacing w:before="0" w:beforeAutospacing="0" w:after="0" w:afterAutospacing="0"/>
              <w:textAlignment w:val="baseline"/>
            </w:pPr>
            <w:r>
              <w:rPr>
                <w:bCs/>
              </w:rPr>
              <w:t>Boguslaw (</w:t>
            </w:r>
            <w:r>
              <w:t xml:space="preserve">Bogey) Musidlak was a long-term President of the Proportional Representation Society of Australia (1994–2017) and a leading Australian electoral reformer. He campaigned strenuously in 1992 for legislative elections in the Australian Capital Territory (ACT) to use the single transferable voting (STV) system. STV voting, known as the Hare-Clark system, is </w:t>
            </w:r>
            <w:r w:rsidR="00F714CC">
              <w:t xml:space="preserve">a proportional and direct election, </w:t>
            </w:r>
            <w:r>
              <w:t>candidate-based system. Musidlak’s leadership, advocacy and persistence is regarded as instrumental to the installation of the Hare-Clark system in the ACT. Likewise, Musidlak’s influence was important in achieving an important innovation to the ACT Hare-Clark system; that a single first preference beside the name of a candidate is a valid, formal vote. The Hare-Clark system replaced the initial modified d’Hondt electoral system employed upon the introduction of self-government to the ACT in 1989.</w:t>
            </w:r>
          </w:p>
          <w:p w14:paraId="7CB3D266" w14:textId="6DCA4129" w:rsidR="000F270D" w:rsidRPr="002929A6" w:rsidRDefault="000F270D" w:rsidP="000F270D">
            <w:pPr>
              <w:pStyle w:val="NormalWeb"/>
              <w:shd w:val="clear" w:color="auto" w:fill="FFFFFF"/>
              <w:spacing w:before="0" w:beforeAutospacing="0" w:after="0" w:afterAutospacing="0"/>
              <w:textAlignment w:val="baseline"/>
              <w:rPr>
                <w:lang w:val="en-GB"/>
              </w:rPr>
            </w:pPr>
          </w:p>
        </w:tc>
      </w:tr>
      <w:tr w:rsidR="009436D1" w:rsidRPr="002929A6" w14:paraId="7D7D61BB" w14:textId="77777777" w:rsidTr="009C5C19">
        <w:trPr>
          <w:cantSplit/>
        </w:trPr>
        <w:tc>
          <w:tcPr>
            <w:tcW w:w="1701" w:type="dxa"/>
            <w:tcBorders>
              <w:top w:val="nil"/>
              <w:left w:val="nil"/>
              <w:bottom w:val="nil"/>
              <w:right w:val="nil"/>
            </w:tcBorders>
          </w:tcPr>
          <w:p w14:paraId="5E5D2EE8" w14:textId="5E598FB9" w:rsidR="001D3C3A" w:rsidRDefault="00F714CC" w:rsidP="001D3C3A">
            <w:pPr>
              <w:pStyle w:val="Heading2"/>
              <w:spacing w:before="120" w:after="120"/>
              <w:jc w:val="left"/>
              <w:rPr>
                <w:rFonts w:ascii="Times New Roman" w:hAnsi="Times New Roman" w:cs="Times New Roman"/>
                <w:bCs/>
                <w:i w:val="0"/>
                <w:sz w:val="24"/>
                <w:szCs w:val="24"/>
              </w:rPr>
            </w:pPr>
            <w:r>
              <w:rPr>
                <w:rFonts w:ascii="Times New Roman" w:hAnsi="Times New Roman" w:cs="Times New Roman"/>
                <w:b/>
                <w:i w:val="0"/>
                <w:sz w:val="24"/>
                <w:szCs w:val="24"/>
              </w:rPr>
              <w:t>Orator Street</w:t>
            </w:r>
            <w:r w:rsidR="001D3C3A">
              <w:rPr>
                <w:rFonts w:ascii="Times New Roman" w:hAnsi="Times New Roman" w:cs="Times New Roman"/>
                <w:bCs/>
                <w:i w:val="0"/>
                <w:sz w:val="24"/>
                <w:szCs w:val="24"/>
              </w:rPr>
              <w:t xml:space="preserve"> </w:t>
            </w:r>
          </w:p>
          <w:p w14:paraId="37DD58C4" w14:textId="77777777" w:rsidR="001D3C3A" w:rsidRDefault="001D3C3A" w:rsidP="001D3C3A"/>
          <w:p w14:paraId="2CE52170" w14:textId="77777777" w:rsidR="001D3C3A" w:rsidRPr="00271954" w:rsidRDefault="001D3C3A" w:rsidP="001D3C3A"/>
          <w:p w14:paraId="0280E4BA" w14:textId="30942CA9" w:rsidR="009436D1" w:rsidRPr="009178E2" w:rsidRDefault="009436D1" w:rsidP="005F5997">
            <w:pPr>
              <w:pStyle w:val="Heading2"/>
              <w:spacing w:before="120" w:after="120"/>
              <w:jc w:val="left"/>
              <w:rPr>
                <w:rFonts w:ascii="Times New Roman" w:hAnsi="Times New Roman" w:cs="Times New Roman"/>
                <w:b/>
                <w:i w:val="0"/>
                <w:sz w:val="24"/>
                <w:szCs w:val="24"/>
              </w:rPr>
            </w:pPr>
          </w:p>
          <w:p w14:paraId="25D36B78" w14:textId="77777777" w:rsidR="009436D1" w:rsidRPr="00CE3399" w:rsidRDefault="009436D1" w:rsidP="005F5997">
            <w:pPr>
              <w:pStyle w:val="Heading2"/>
              <w:spacing w:before="120" w:after="120"/>
              <w:jc w:val="left"/>
              <w:rPr>
                <w:rFonts w:ascii="Times New Roman" w:hAnsi="Times New Roman" w:cs="Times New Roman"/>
                <w:b/>
                <w:i w:val="0"/>
                <w:sz w:val="24"/>
                <w:szCs w:val="24"/>
              </w:rPr>
            </w:pPr>
          </w:p>
        </w:tc>
        <w:tc>
          <w:tcPr>
            <w:tcW w:w="2268" w:type="dxa"/>
            <w:tcBorders>
              <w:top w:val="nil"/>
              <w:left w:val="nil"/>
              <w:bottom w:val="nil"/>
              <w:right w:val="nil"/>
            </w:tcBorders>
          </w:tcPr>
          <w:p w14:paraId="32AC08D3" w14:textId="780CFC4B" w:rsidR="001D3C3A" w:rsidRPr="008F69EE" w:rsidRDefault="001D3C3A" w:rsidP="001D3C3A">
            <w:pPr>
              <w:spacing w:before="120" w:after="120"/>
            </w:pPr>
            <w:r w:rsidRPr="008F69EE">
              <w:t>Speakers’ Corner, The Domain, Sydney</w:t>
            </w:r>
          </w:p>
          <w:p w14:paraId="0CDB5EFF" w14:textId="30B862BC" w:rsidR="001D3C3A" w:rsidRPr="00933359" w:rsidRDefault="001D3C3A" w:rsidP="001D3C3A">
            <w:pPr>
              <w:spacing w:before="120" w:after="120"/>
            </w:pPr>
            <w:r w:rsidRPr="00087D7E">
              <w:t>(</w:t>
            </w:r>
            <w:r w:rsidR="00786CA2" w:rsidRPr="00087D7E">
              <w:t>1878</w:t>
            </w:r>
            <w:r w:rsidRPr="00087D7E">
              <w:rPr>
                <w:szCs w:val="24"/>
              </w:rPr>
              <w:t>–</w:t>
            </w:r>
            <w:r w:rsidRPr="00087D7E">
              <w:t>present</w:t>
            </w:r>
            <w:r w:rsidRPr="008F69EE">
              <w:t>)</w:t>
            </w:r>
          </w:p>
          <w:p w14:paraId="2C94C0B4" w14:textId="77777777" w:rsidR="009436D1" w:rsidRDefault="009436D1" w:rsidP="001D3C3A">
            <w:pPr>
              <w:spacing w:before="120" w:after="120"/>
              <w:rPr>
                <w:b/>
                <w:bCs/>
                <w:szCs w:val="24"/>
              </w:rPr>
            </w:pPr>
          </w:p>
          <w:p w14:paraId="703FA015" w14:textId="77777777" w:rsidR="00607CA5" w:rsidRDefault="00607CA5" w:rsidP="001D3C3A">
            <w:pPr>
              <w:spacing w:before="120" w:after="120"/>
              <w:rPr>
                <w:b/>
                <w:bCs/>
                <w:szCs w:val="24"/>
              </w:rPr>
            </w:pPr>
          </w:p>
          <w:p w14:paraId="4FB3F8AD" w14:textId="77777777" w:rsidR="00607CA5" w:rsidRDefault="00607CA5" w:rsidP="001D3C3A">
            <w:pPr>
              <w:spacing w:before="120" w:after="120"/>
              <w:rPr>
                <w:b/>
                <w:bCs/>
                <w:szCs w:val="24"/>
              </w:rPr>
            </w:pPr>
          </w:p>
          <w:p w14:paraId="3454741E" w14:textId="77777777" w:rsidR="00607CA5" w:rsidRDefault="00607CA5" w:rsidP="001D3C3A">
            <w:pPr>
              <w:spacing w:before="120" w:after="120"/>
              <w:rPr>
                <w:b/>
                <w:bCs/>
                <w:szCs w:val="24"/>
              </w:rPr>
            </w:pPr>
          </w:p>
          <w:p w14:paraId="51D7D41F" w14:textId="77777777" w:rsidR="00E35DAB" w:rsidRDefault="00E35DAB" w:rsidP="001D3C3A">
            <w:pPr>
              <w:spacing w:before="120" w:after="120"/>
              <w:rPr>
                <w:color w:val="FF0000"/>
                <w:sz w:val="20"/>
              </w:rPr>
            </w:pPr>
          </w:p>
          <w:p w14:paraId="32A76C91" w14:textId="77777777" w:rsidR="00607CA5" w:rsidRDefault="00607CA5" w:rsidP="001D3C3A">
            <w:pPr>
              <w:spacing w:before="120" w:after="120"/>
              <w:rPr>
                <w:b/>
                <w:bCs/>
                <w:szCs w:val="24"/>
              </w:rPr>
            </w:pPr>
          </w:p>
          <w:p w14:paraId="0C11D28D" w14:textId="77777777" w:rsidR="00607CA5" w:rsidRDefault="00607CA5" w:rsidP="001D3C3A">
            <w:pPr>
              <w:spacing w:before="120" w:after="120"/>
              <w:rPr>
                <w:b/>
                <w:bCs/>
                <w:szCs w:val="24"/>
              </w:rPr>
            </w:pPr>
          </w:p>
          <w:p w14:paraId="4E3ED030" w14:textId="77777777" w:rsidR="00607CA5" w:rsidRDefault="00607CA5" w:rsidP="001D3C3A">
            <w:pPr>
              <w:spacing w:before="120" w:after="120"/>
              <w:rPr>
                <w:b/>
                <w:bCs/>
                <w:szCs w:val="24"/>
              </w:rPr>
            </w:pPr>
          </w:p>
          <w:p w14:paraId="69B1E6A9" w14:textId="77777777" w:rsidR="00607CA5" w:rsidRDefault="00607CA5" w:rsidP="001D3C3A">
            <w:pPr>
              <w:spacing w:before="120" w:after="120"/>
              <w:rPr>
                <w:b/>
                <w:bCs/>
                <w:szCs w:val="24"/>
              </w:rPr>
            </w:pPr>
          </w:p>
          <w:p w14:paraId="00BC9319" w14:textId="422802EC" w:rsidR="00607CA5" w:rsidRPr="002837D5" w:rsidRDefault="00607CA5" w:rsidP="001D3C3A">
            <w:pPr>
              <w:spacing w:before="120" w:after="120"/>
              <w:rPr>
                <w:szCs w:val="24"/>
              </w:rPr>
            </w:pPr>
          </w:p>
        </w:tc>
        <w:tc>
          <w:tcPr>
            <w:tcW w:w="4678" w:type="dxa"/>
            <w:tcBorders>
              <w:top w:val="nil"/>
              <w:left w:val="nil"/>
              <w:bottom w:val="nil"/>
              <w:right w:val="nil"/>
            </w:tcBorders>
          </w:tcPr>
          <w:p w14:paraId="43E6D3F4" w14:textId="77777777" w:rsidR="001D3C3A" w:rsidRPr="00533645" w:rsidRDefault="001D3C3A" w:rsidP="001D3C3A">
            <w:pPr>
              <w:pStyle w:val="CoverActName"/>
              <w:tabs>
                <w:tab w:val="clear" w:pos="2600"/>
              </w:tabs>
              <w:spacing w:before="120" w:after="120"/>
              <w:jc w:val="left"/>
              <w:rPr>
                <w:rFonts w:ascii="Times New Roman" w:hAnsi="Times New Roman"/>
                <w:b w:val="0"/>
                <w:bCs/>
                <w:szCs w:val="24"/>
                <w:lang w:val="en-GB"/>
              </w:rPr>
            </w:pPr>
            <w:r w:rsidRPr="008F69EE">
              <w:rPr>
                <w:rFonts w:ascii="Times New Roman" w:hAnsi="Times New Roman"/>
                <w:b w:val="0"/>
                <w:bCs/>
                <w:szCs w:val="24"/>
                <w:shd w:val="clear" w:color="auto" w:fill="FFFFFF"/>
              </w:rPr>
              <w:t>Right to freedom of opinion and expression, oration</w:t>
            </w:r>
          </w:p>
          <w:p w14:paraId="5A9CFC9A" w14:textId="2042361C" w:rsidR="009A7BE6" w:rsidRDefault="001D3C3A" w:rsidP="000F270D">
            <w:pPr>
              <w:pStyle w:val="CoverActName"/>
              <w:spacing w:before="120" w:after="120"/>
              <w:jc w:val="left"/>
              <w:rPr>
                <w:rFonts w:ascii="Times New Roman" w:hAnsi="Times New Roman"/>
                <w:b w:val="0"/>
                <w:bCs/>
                <w:color w:val="202122"/>
                <w:szCs w:val="24"/>
              </w:rPr>
            </w:pPr>
            <w:r w:rsidRPr="008F69EE">
              <w:rPr>
                <w:rFonts w:ascii="Times New Roman" w:hAnsi="Times New Roman"/>
                <w:b w:val="0"/>
                <w:bCs/>
                <w:szCs w:val="24"/>
                <w:lang w:val="en-GB"/>
              </w:rPr>
              <w:t xml:space="preserve">In </w:t>
            </w:r>
            <w:r w:rsidRPr="008F69EE">
              <w:rPr>
                <w:rFonts w:ascii="Times New Roman" w:hAnsi="Times New Roman"/>
                <w:b w:val="0"/>
                <w:bCs/>
                <w:szCs w:val="24"/>
              </w:rPr>
              <w:t xml:space="preserve">Australia, </w:t>
            </w:r>
            <w:r w:rsidRPr="008F69EE">
              <w:rPr>
                <w:rFonts w:ascii="Times New Roman" w:hAnsi="Times New Roman"/>
                <w:b w:val="0"/>
                <w:bCs/>
                <w:color w:val="202122"/>
                <w:szCs w:val="24"/>
              </w:rPr>
              <w:t>free speech in public places originated in Hyde Park, Sydney in 1874</w:t>
            </w:r>
            <w:r w:rsidR="00786CA2">
              <w:rPr>
                <w:rFonts w:ascii="Times New Roman" w:hAnsi="Times New Roman"/>
                <w:b w:val="0"/>
                <w:bCs/>
                <w:color w:val="202122"/>
                <w:szCs w:val="24"/>
              </w:rPr>
              <w:t>.</w:t>
            </w:r>
            <w:r w:rsidR="0014266C">
              <w:rPr>
                <w:rFonts w:ascii="Times New Roman" w:hAnsi="Times New Roman"/>
                <w:b w:val="0"/>
                <w:bCs/>
                <w:color w:val="202122"/>
                <w:szCs w:val="24"/>
              </w:rPr>
              <w:t xml:space="preserve"> Later in 1878,</w:t>
            </w:r>
            <w:r w:rsidR="008D45E7">
              <w:rPr>
                <w:rFonts w:ascii="Times New Roman" w:hAnsi="Times New Roman"/>
                <w:b w:val="0"/>
                <w:bCs/>
                <w:color w:val="202122"/>
                <w:szCs w:val="24"/>
              </w:rPr>
              <w:t xml:space="preserve"> </w:t>
            </w:r>
            <w:r w:rsidRPr="00B76E57">
              <w:rPr>
                <w:rFonts w:ascii="Times New Roman" w:hAnsi="Times New Roman"/>
                <w:b w:val="0"/>
                <w:bCs/>
                <w:color w:val="202122"/>
                <w:szCs w:val="24"/>
              </w:rPr>
              <w:t>The Domain was chosen as the place for Speakers’ Corner in Sydney</w:t>
            </w:r>
            <w:r w:rsidR="008D45E7">
              <w:rPr>
                <w:rFonts w:ascii="Times New Roman" w:hAnsi="Times New Roman"/>
                <w:b w:val="0"/>
                <w:bCs/>
                <w:color w:val="202122"/>
                <w:szCs w:val="24"/>
              </w:rPr>
              <w:t>, modelled on</w:t>
            </w:r>
            <w:r w:rsidR="00323118">
              <w:rPr>
                <w:rFonts w:ascii="Times New Roman" w:hAnsi="Times New Roman"/>
                <w:b w:val="0"/>
                <w:bCs/>
                <w:color w:val="202122"/>
                <w:szCs w:val="24"/>
              </w:rPr>
              <w:t xml:space="preserve"> </w:t>
            </w:r>
            <w:r w:rsidR="008D45E7">
              <w:rPr>
                <w:rFonts w:ascii="Times New Roman" w:hAnsi="Times New Roman"/>
                <w:b w:val="0"/>
                <w:bCs/>
                <w:color w:val="202122"/>
                <w:szCs w:val="24"/>
              </w:rPr>
              <w:t>London’s Hyde Park Speakers’ Corner</w:t>
            </w:r>
            <w:r w:rsidR="0014266C">
              <w:rPr>
                <w:rFonts w:ascii="Times New Roman" w:hAnsi="Times New Roman"/>
                <w:b w:val="0"/>
                <w:bCs/>
                <w:color w:val="202122"/>
                <w:szCs w:val="24"/>
              </w:rPr>
              <w:t>.</w:t>
            </w:r>
            <w:r w:rsidR="009A7BE6">
              <w:rPr>
                <w:rFonts w:ascii="Times New Roman" w:hAnsi="Times New Roman"/>
                <w:b w:val="0"/>
                <w:bCs/>
                <w:color w:val="202122"/>
                <w:szCs w:val="24"/>
              </w:rPr>
              <w:t xml:space="preserve"> </w:t>
            </w:r>
            <w:r w:rsidR="00F804E0">
              <w:rPr>
                <w:rFonts w:ascii="Times New Roman" w:hAnsi="Times New Roman"/>
                <w:b w:val="0"/>
                <w:bCs/>
                <w:color w:val="202122"/>
                <w:szCs w:val="24"/>
              </w:rPr>
              <w:t xml:space="preserve">The venue provides </w:t>
            </w:r>
            <w:r w:rsidRPr="00B76E57">
              <w:rPr>
                <w:rFonts w:ascii="Times New Roman" w:hAnsi="Times New Roman"/>
                <w:b w:val="0"/>
                <w:bCs/>
                <w:color w:val="202122"/>
                <w:szCs w:val="24"/>
              </w:rPr>
              <w:t xml:space="preserve">the opportunity for ‘soapbox oratory’ and </w:t>
            </w:r>
            <w:r w:rsidR="007F185C">
              <w:rPr>
                <w:rFonts w:ascii="Times New Roman" w:hAnsi="Times New Roman"/>
                <w:b w:val="0"/>
                <w:bCs/>
                <w:color w:val="202122"/>
                <w:szCs w:val="24"/>
              </w:rPr>
              <w:t>public speaking</w:t>
            </w:r>
            <w:r w:rsidRPr="00B76E57">
              <w:rPr>
                <w:rFonts w:ascii="Times New Roman" w:hAnsi="Times New Roman"/>
                <w:b w:val="0"/>
                <w:bCs/>
                <w:color w:val="202122"/>
                <w:szCs w:val="24"/>
              </w:rPr>
              <w:t xml:space="preserve"> </w:t>
            </w:r>
            <w:r w:rsidRPr="00B76E57">
              <w:rPr>
                <w:rFonts w:ascii="Times New Roman" w:hAnsi="Times New Roman"/>
                <w:b w:val="0"/>
                <w:bCs/>
                <w:szCs w:val="24"/>
                <w:shd w:val="clear" w:color="auto" w:fill="FFFFFF"/>
              </w:rPr>
              <w:t>in a lawful manner</w:t>
            </w:r>
            <w:r w:rsidRPr="00B76E57">
              <w:rPr>
                <w:rFonts w:ascii="Times New Roman" w:hAnsi="Times New Roman"/>
                <w:b w:val="0"/>
                <w:bCs/>
                <w:szCs w:val="24"/>
              </w:rPr>
              <w:t xml:space="preserve"> </w:t>
            </w:r>
            <w:r w:rsidRPr="00B76E57">
              <w:rPr>
                <w:rFonts w:ascii="Times New Roman" w:hAnsi="Times New Roman"/>
                <w:b w:val="0"/>
                <w:bCs/>
                <w:color w:val="202122"/>
                <w:szCs w:val="24"/>
              </w:rPr>
              <w:t>every Sunday afternoon</w:t>
            </w:r>
            <w:r w:rsidR="00F804E0">
              <w:rPr>
                <w:rFonts w:ascii="Times New Roman" w:hAnsi="Times New Roman"/>
                <w:b w:val="0"/>
                <w:bCs/>
                <w:color w:val="202122"/>
                <w:szCs w:val="24"/>
              </w:rPr>
              <w:t>.</w:t>
            </w:r>
            <w:r w:rsidR="00233C82">
              <w:rPr>
                <w:rFonts w:ascii="Times New Roman" w:hAnsi="Times New Roman"/>
                <w:b w:val="0"/>
                <w:bCs/>
                <w:color w:val="202122"/>
                <w:szCs w:val="24"/>
              </w:rPr>
              <w:t xml:space="preserve"> A</w:t>
            </w:r>
            <w:r w:rsidR="009F6683">
              <w:rPr>
                <w:rFonts w:ascii="Times New Roman" w:hAnsi="Times New Roman"/>
                <w:b w:val="0"/>
                <w:bCs/>
                <w:color w:val="202122"/>
                <w:szCs w:val="24"/>
              </w:rPr>
              <w:t xml:space="preserve"> </w:t>
            </w:r>
            <w:r w:rsidR="007A4D01">
              <w:rPr>
                <w:rFonts w:ascii="Times New Roman" w:hAnsi="Times New Roman"/>
                <w:b w:val="0"/>
                <w:bCs/>
                <w:color w:val="202122"/>
                <w:szCs w:val="24"/>
              </w:rPr>
              <w:t>site</w:t>
            </w:r>
            <w:r w:rsidR="009F6683">
              <w:rPr>
                <w:rFonts w:ascii="Times New Roman" w:hAnsi="Times New Roman"/>
                <w:b w:val="0"/>
                <w:bCs/>
                <w:color w:val="202122"/>
                <w:szCs w:val="24"/>
              </w:rPr>
              <w:t xml:space="preserve"> of</w:t>
            </w:r>
            <w:r w:rsidR="007A4D01">
              <w:rPr>
                <w:rFonts w:ascii="Times New Roman" w:hAnsi="Times New Roman"/>
                <w:b w:val="0"/>
                <w:bCs/>
                <w:color w:val="202122"/>
                <w:szCs w:val="24"/>
              </w:rPr>
              <w:t xml:space="preserve"> </w:t>
            </w:r>
            <w:r w:rsidR="00E35DAB">
              <w:rPr>
                <w:rFonts w:ascii="Times New Roman" w:hAnsi="Times New Roman"/>
                <w:b w:val="0"/>
                <w:bCs/>
                <w:color w:val="202122"/>
                <w:szCs w:val="24"/>
              </w:rPr>
              <w:t>national</w:t>
            </w:r>
            <w:r w:rsidR="00233C82">
              <w:rPr>
                <w:rFonts w:ascii="Times New Roman" w:hAnsi="Times New Roman"/>
                <w:b w:val="0"/>
                <w:bCs/>
                <w:color w:val="202122"/>
                <w:szCs w:val="24"/>
              </w:rPr>
              <w:t xml:space="preserve"> and </w:t>
            </w:r>
            <w:r w:rsidR="00E35DAB">
              <w:rPr>
                <w:rFonts w:ascii="Times New Roman" w:hAnsi="Times New Roman"/>
                <w:b w:val="0"/>
                <w:bCs/>
                <w:color w:val="202122"/>
                <w:szCs w:val="24"/>
              </w:rPr>
              <w:t>state</w:t>
            </w:r>
            <w:r w:rsidR="00233C82">
              <w:rPr>
                <w:rFonts w:ascii="Times New Roman" w:hAnsi="Times New Roman"/>
                <w:b w:val="0"/>
                <w:bCs/>
                <w:color w:val="202122"/>
                <w:szCs w:val="24"/>
              </w:rPr>
              <w:t xml:space="preserve"> </w:t>
            </w:r>
            <w:r w:rsidR="009F6683">
              <w:rPr>
                <w:rFonts w:ascii="Times New Roman" w:hAnsi="Times New Roman"/>
                <w:b w:val="0"/>
                <w:bCs/>
                <w:color w:val="202122"/>
                <w:szCs w:val="24"/>
              </w:rPr>
              <w:t>heritage significance</w:t>
            </w:r>
            <w:r w:rsidR="00233C82">
              <w:rPr>
                <w:rFonts w:ascii="Times New Roman" w:hAnsi="Times New Roman"/>
                <w:b w:val="0"/>
                <w:bCs/>
                <w:color w:val="202122"/>
                <w:szCs w:val="24"/>
              </w:rPr>
              <w:t xml:space="preserve">, </w:t>
            </w:r>
            <w:r w:rsidR="007A4D01" w:rsidRPr="007A4D01">
              <w:rPr>
                <w:rFonts w:ascii="Times New Roman" w:hAnsi="Times New Roman"/>
                <w:b w:val="0"/>
                <w:bCs/>
                <w:color w:val="202122"/>
                <w:szCs w:val="24"/>
              </w:rPr>
              <w:t>The Domain</w:t>
            </w:r>
            <w:r w:rsidR="00233C82">
              <w:rPr>
                <w:rFonts w:ascii="Times New Roman" w:hAnsi="Times New Roman"/>
                <w:b w:val="0"/>
                <w:bCs/>
                <w:color w:val="202122"/>
                <w:szCs w:val="24"/>
              </w:rPr>
              <w:t xml:space="preserve">’s </w:t>
            </w:r>
            <w:r w:rsidR="00E35DAB">
              <w:rPr>
                <w:rFonts w:ascii="Times New Roman" w:hAnsi="Times New Roman"/>
                <w:b w:val="0"/>
                <w:bCs/>
                <w:color w:val="202122"/>
                <w:szCs w:val="24"/>
              </w:rPr>
              <w:t xml:space="preserve">heritage values include its </w:t>
            </w:r>
            <w:r w:rsidR="00F804E0">
              <w:rPr>
                <w:rFonts w:ascii="Times New Roman" w:hAnsi="Times New Roman"/>
                <w:b w:val="0"/>
                <w:bCs/>
                <w:color w:val="202122"/>
                <w:szCs w:val="24"/>
              </w:rPr>
              <w:t>historic and social</w:t>
            </w:r>
            <w:r w:rsidR="00E35DAB">
              <w:rPr>
                <w:rFonts w:ascii="Times New Roman" w:hAnsi="Times New Roman"/>
                <w:b w:val="0"/>
                <w:bCs/>
                <w:color w:val="202122"/>
                <w:szCs w:val="24"/>
              </w:rPr>
              <w:t xml:space="preserve"> importance </w:t>
            </w:r>
            <w:r w:rsidR="00F804E0">
              <w:rPr>
                <w:rFonts w:ascii="Times New Roman" w:hAnsi="Times New Roman"/>
                <w:b w:val="0"/>
                <w:bCs/>
                <w:color w:val="202122"/>
                <w:szCs w:val="24"/>
              </w:rPr>
              <w:t>as a place for political and religious discussion and meetings, democratic debate, and expression of dissent.</w:t>
            </w:r>
            <w:r w:rsidR="009A7BE6">
              <w:rPr>
                <w:rFonts w:ascii="Times New Roman" w:hAnsi="Times New Roman"/>
                <w:b w:val="0"/>
                <w:bCs/>
                <w:color w:val="202122"/>
                <w:szCs w:val="24"/>
              </w:rPr>
              <w:t xml:space="preserve"> </w:t>
            </w:r>
          </w:p>
          <w:p w14:paraId="5FECB510" w14:textId="77777777" w:rsidR="009A7BE6" w:rsidRDefault="009A7BE6" w:rsidP="000F270D">
            <w:pPr>
              <w:pStyle w:val="CoverActName"/>
              <w:spacing w:before="120" w:after="120"/>
              <w:jc w:val="left"/>
              <w:rPr>
                <w:rFonts w:ascii="Times New Roman" w:hAnsi="Times New Roman"/>
                <w:b w:val="0"/>
                <w:bCs/>
                <w:color w:val="202122"/>
                <w:szCs w:val="24"/>
              </w:rPr>
            </w:pPr>
          </w:p>
          <w:p w14:paraId="1B198503" w14:textId="4ACD1620" w:rsidR="00E35DAB" w:rsidRPr="002929A6" w:rsidRDefault="00E05825" w:rsidP="00E35DAB">
            <w:pPr>
              <w:pStyle w:val="CoverActName"/>
              <w:spacing w:before="120" w:after="120"/>
              <w:jc w:val="left"/>
              <w:rPr>
                <w:rFonts w:ascii="Times New Roman" w:hAnsi="Times New Roman"/>
                <w:szCs w:val="24"/>
                <w:lang w:val="en-GB"/>
              </w:rPr>
            </w:pPr>
            <w:r>
              <w:rPr>
                <w:rFonts w:ascii="Times New Roman" w:hAnsi="Times New Roman"/>
                <w:b w:val="0"/>
                <w:bCs/>
                <w:color w:val="202122"/>
                <w:szCs w:val="24"/>
              </w:rPr>
              <w:t xml:space="preserve"> </w:t>
            </w:r>
          </w:p>
          <w:p w14:paraId="440B3858" w14:textId="1FE2F189" w:rsidR="006553D1" w:rsidRPr="002929A6" w:rsidRDefault="006553D1" w:rsidP="000F270D">
            <w:pPr>
              <w:pStyle w:val="CoverActName"/>
              <w:spacing w:before="120" w:after="120"/>
              <w:jc w:val="left"/>
              <w:rPr>
                <w:rFonts w:ascii="Times New Roman" w:hAnsi="Times New Roman"/>
                <w:szCs w:val="24"/>
                <w:lang w:val="en-GB"/>
              </w:rPr>
            </w:pPr>
          </w:p>
        </w:tc>
      </w:tr>
      <w:tr w:rsidR="009436D1" w:rsidRPr="002929A6" w14:paraId="633B2144" w14:textId="77777777" w:rsidTr="009C5C19">
        <w:trPr>
          <w:cantSplit/>
        </w:trPr>
        <w:tc>
          <w:tcPr>
            <w:tcW w:w="1701" w:type="dxa"/>
            <w:tcBorders>
              <w:top w:val="nil"/>
              <w:left w:val="nil"/>
              <w:bottom w:val="nil"/>
              <w:right w:val="nil"/>
            </w:tcBorders>
          </w:tcPr>
          <w:p w14:paraId="6FFC8577" w14:textId="77777777" w:rsidR="002571E9" w:rsidRPr="002571E9" w:rsidRDefault="002571E9" w:rsidP="002571E9">
            <w:pPr>
              <w:pStyle w:val="Heading2"/>
              <w:spacing w:before="120" w:after="120"/>
              <w:jc w:val="left"/>
              <w:rPr>
                <w:rFonts w:ascii="Times New Roman" w:hAnsi="Times New Roman" w:cs="Times New Roman"/>
                <w:b/>
                <w:i w:val="0"/>
                <w:sz w:val="24"/>
                <w:szCs w:val="24"/>
              </w:rPr>
            </w:pPr>
            <w:r w:rsidRPr="002571E9">
              <w:rPr>
                <w:rFonts w:ascii="Times New Roman" w:hAnsi="Times New Roman" w:cs="Times New Roman"/>
                <w:b/>
                <w:i w:val="0"/>
                <w:sz w:val="24"/>
                <w:szCs w:val="24"/>
              </w:rPr>
              <w:lastRenderedPageBreak/>
              <w:t>Petition Street</w:t>
            </w:r>
          </w:p>
          <w:p w14:paraId="04A6C197" w14:textId="08A2819A" w:rsidR="009436D1" w:rsidRPr="00CE3399" w:rsidRDefault="002571E9" w:rsidP="002571E9">
            <w:pPr>
              <w:pStyle w:val="Heading2"/>
              <w:spacing w:before="120" w:after="120"/>
              <w:jc w:val="left"/>
              <w:rPr>
                <w:rFonts w:ascii="Times New Roman" w:hAnsi="Times New Roman" w:cs="Times New Roman"/>
                <w:b/>
                <w:i w:val="0"/>
                <w:sz w:val="24"/>
                <w:szCs w:val="24"/>
              </w:rPr>
            </w:pPr>
            <w:r>
              <w:rPr>
                <w:rFonts w:ascii="Times New Roman" w:hAnsi="Times New Roman" w:cs="Times New Roman"/>
                <w:b/>
                <w:i w:val="0"/>
                <w:sz w:val="24"/>
                <w:szCs w:val="24"/>
              </w:rPr>
              <w:t xml:space="preserve"> </w:t>
            </w:r>
          </w:p>
        </w:tc>
        <w:tc>
          <w:tcPr>
            <w:tcW w:w="2268" w:type="dxa"/>
            <w:tcBorders>
              <w:top w:val="nil"/>
              <w:left w:val="nil"/>
              <w:bottom w:val="nil"/>
              <w:right w:val="nil"/>
            </w:tcBorders>
          </w:tcPr>
          <w:p w14:paraId="156ACF06" w14:textId="5A97CE5D" w:rsidR="002571E9" w:rsidRDefault="002571E9" w:rsidP="002571E9">
            <w:pPr>
              <w:spacing w:before="120" w:after="120"/>
            </w:pPr>
            <w:r>
              <w:t>Women’s suffrage petition 1891</w:t>
            </w:r>
          </w:p>
          <w:p w14:paraId="0CD4AD44" w14:textId="5607B742" w:rsidR="00CB5BA2" w:rsidRDefault="00CB5BA2" w:rsidP="002571E9">
            <w:pPr>
              <w:spacing w:before="120" w:after="120"/>
            </w:pPr>
          </w:p>
          <w:p w14:paraId="010E499B" w14:textId="1C2A5EA2" w:rsidR="00CB5BA2" w:rsidRDefault="00CB5BA2" w:rsidP="002571E9">
            <w:pPr>
              <w:spacing w:before="120" w:after="120"/>
            </w:pPr>
          </w:p>
          <w:p w14:paraId="71BC8FFB" w14:textId="77777777" w:rsidR="00CB5BA2" w:rsidRPr="00CB5BA2" w:rsidRDefault="00CB5BA2" w:rsidP="00CB5BA2">
            <w:pPr>
              <w:autoSpaceDE w:val="0"/>
              <w:autoSpaceDN w:val="0"/>
              <w:adjustRightInd w:val="0"/>
              <w:rPr>
                <w:rFonts w:ascii="Arial" w:hAnsi="Arial" w:cs="Arial"/>
                <w:color w:val="000000"/>
                <w:szCs w:val="24"/>
                <w:lang w:eastAsia="en-AU"/>
              </w:rPr>
            </w:pPr>
          </w:p>
          <w:p w14:paraId="69EC87FE" w14:textId="77777777" w:rsidR="00CB5BA2" w:rsidRPr="00CB5BA2" w:rsidRDefault="00CB5BA2" w:rsidP="00CB5BA2">
            <w:pPr>
              <w:autoSpaceDE w:val="0"/>
              <w:autoSpaceDN w:val="0"/>
              <w:adjustRightInd w:val="0"/>
              <w:rPr>
                <w:rFonts w:ascii="Arial" w:hAnsi="Arial" w:cs="Arial"/>
                <w:color w:val="000000"/>
                <w:szCs w:val="24"/>
                <w:lang w:eastAsia="en-AU"/>
              </w:rPr>
            </w:pPr>
            <w:r w:rsidRPr="00CB5BA2">
              <w:rPr>
                <w:rFonts w:ascii="Arial" w:hAnsi="Arial" w:cs="Arial"/>
                <w:color w:val="000000"/>
                <w:szCs w:val="24"/>
                <w:lang w:eastAsia="en-AU"/>
              </w:rPr>
              <w:t xml:space="preserve"> </w:t>
            </w:r>
          </w:p>
          <w:p w14:paraId="322A0633" w14:textId="77777777" w:rsidR="00CB5BA2" w:rsidRPr="00CB5BA2" w:rsidRDefault="00CB5BA2" w:rsidP="00CB5BA2">
            <w:pPr>
              <w:autoSpaceDE w:val="0"/>
              <w:autoSpaceDN w:val="0"/>
              <w:adjustRightInd w:val="0"/>
              <w:rPr>
                <w:rFonts w:ascii="Arial" w:hAnsi="Arial" w:cs="Arial"/>
                <w:color w:val="000000"/>
                <w:szCs w:val="24"/>
                <w:lang w:eastAsia="en-AU"/>
              </w:rPr>
            </w:pPr>
          </w:p>
          <w:p w14:paraId="113C8DB9" w14:textId="77777777" w:rsidR="00CB5BA2" w:rsidRPr="00CB5BA2" w:rsidRDefault="00CB5BA2" w:rsidP="00CB5BA2">
            <w:pPr>
              <w:autoSpaceDE w:val="0"/>
              <w:autoSpaceDN w:val="0"/>
              <w:adjustRightInd w:val="0"/>
              <w:rPr>
                <w:rFonts w:ascii="Arial" w:hAnsi="Arial" w:cs="Arial"/>
                <w:color w:val="000000"/>
                <w:szCs w:val="24"/>
                <w:lang w:eastAsia="en-AU"/>
              </w:rPr>
            </w:pPr>
          </w:p>
          <w:p w14:paraId="62DB92F0" w14:textId="38D6A410" w:rsidR="006343DB" w:rsidRPr="002929A6" w:rsidRDefault="006343DB" w:rsidP="00CB5BA2">
            <w:pPr>
              <w:spacing w:before="120" w:after="120"/>
              <w:rPr>
                <w:b/>
                <w:bCs/>
                <w:szCs w:val="24"/>
              </w:rPr>
            </w:pPr>
          </w:p>
        </w:tc>
        <w:tc>
          <w:tcPr>
            <w:tcW w:w="4678" w:type="dxa"/>
            <w:tcBorders>
              <w:top w:val="nil"/>
              <w:left w:val="nil"/>
              <w:bottom w:val="nil"/>
              <w:right w:val="nil"/>
            </w:tcBorders>
          </w:tcPr>
          <w:p w14:paraId="00D2DBD9" w14:textId="136673EF" w:rsidR="002571E9" w:rsidRPr="00696E62" w:rsidRDefault="002571E9" w:rsidP="002571E9">
            <w:pPr>
              <w:pStyle w:val="CoverActName"/>
              <w:tabs>
                <w:tab w:val="clear" w:pos="2600"/>
              </w:tabs>
              <w:spacing w:before="120" w:after="120"/>
              <w:jc w:val="left"/>
              <w:rPr>
                <w:rFonts w:ascii="Times New Roman" w:hAnsi="Times New Roman"/>
                <w:b w:val="0"/>
                <w:bCs/>
                <w:szCs w:val="24"/>
                <w:lang w:val="en-GB"/>
              </w:rPr>
            </w:pPr>
            <w:r w:rsidRPr="00696E62">
              <w:rPr>
                <w:rFonts w:ascii="Times New Roman" w:hAnsi="Times New Roman"/>
                <w:b w:val="0"/>
                <w:bCs/>
                <w:szCs w:val="24"/>
              </w:rPr>
              <w:t>Feminism, women’s rights</w:t>
            </w:r>
          </w:p>
          <w:p w14:paraId="59287344" w14:textId="77777777" w:rsidR="009436D1" w:rsidRDefault="002571E9" w:rsidP="000F264B">
            <w:pPr>
              <w:rPr>
                <w:color w:val="000000"/>
                <w:szCs w:val="24"/>
                <w:shd w:val="clear" w:color="auto" w:fill="FFFFFF"/>
              </w:rPr>
            </w:pPr>
            <w:r w:rsidRPr="00696E62">
              <w:rPr>
                <w:szCs w:val="24"/>
              </w:rPr>
              <w:t xml:space="preserve">Organised by </w:t>
            </w:r>
            <w:r w:rsidRPr="00696E62">
              <w:rPr>
                <w:color w:val="202124"/>
                <w:szCs w:val="24"/>
                <w:shd w:val="clear" w:color="auto" w:fill="FFFFFF"/>
              </w:rPr>
              <w:t>the</w:t>
            </w:r>
            <w:r w:rsidR="00CB5BA2">
              <w:rPr>
                <w:color w:val="202124"/>
                <w:szCs w:val="24"/>
                <w:shd w:val="clear" w:color="auto" w:fill="FFFFFF"/>
              </w:rPr>
              <w:t xml:space="preserve"> Women’s Christian Temperance Union and the Victorian Temperance Alliance </w:t>
            </w:r>
            <w:r w:rsidRPr="00696E62">
              <w:rPr>
                <w:szCs w:val="24"/>
                <w:shd w:val="clear" w:color="auto" w:fill="FFFFFF"/>
              </w:rPr>
              <w:t xml:space="preserve">and </w:t>
            </w:r>
            <w:r w:rsidRPr="00696E62">
              <w:rPr>
                <w:szCs w:val="24"/>
              </w:rPr>
              <w:t xml:space="preserve">tabled to the Victorian Parliament, the 1891 women’s suffrage petition sought women’s right to vote in </w:t>
            </w:r>
            <w:r w:rsidRPr="008F69EE">
              <w:rPr>
                <w:szCs w:val="24"/>
              </w:rPr>
              <w:t>Victoria ‘on equal terms with men’.</w:t>
            </w:r>
            <w:r w:rsidRPr="008F69EE">
              <w:rPr>
                <w:color w:val="202124"/>
                <w:szCs w:val="24"/>
                <w:shd w:val="clear" w:color="auto" w:fill="FFFFFF"/>
              </w:rPr>
              <w:t xml:space="preserve"> It was </w:t>
            </w:r>
            <w:r w:rsidRPr="008F69EE">
              <w:rPr>
                <w:szCs w:val="24"/>
              </w:rPr>
              <w:t>later known as the</w:t>
            </w:r>
            <w:r w:rsidRPr="00696E62">
              <w:rPr>
                <w:szCs w:val="24"/>
              </w:rPr>
              <w:t xml:space="preserve"> ‘Monster </w:t>
            </w:r>
            <w:r w:rsidRPr="008F69EE">
              <w:rPr>
                <w:szCs w:val="24"/>
              </w:rPr>
              <w:t>P</w:t>
            </w:r>
            <w:r w:rsidRPr="00696E62">
              <w:rPr>
                <w:szCs w:val="24"/>
              </w:rPr>
              <w:t xml:space="preserve">etition’. </w:t>
            </w:r>
            <w:r w:rsidRPr="00696E62">
              <w:rPr>
                <w:color w:val="202124"/>
                <w:szCs w:val="24"/>
                <w:shd w:val="clear" w:color="auto" w:fill="FFFFFF"/>
              </w:rPr>
              <w:t>W</w:t>
            </w:r>
            <w:r w:rsidRPr="00696E62">
              <w:rPr>
                <w:szCs w:val="24"/>
              </w:rPr>
              <w:t xml:space="preserve">omen in Victoria went door to door, gathering signatures for the petition which grew to 260 metres </w:t>
            </w:r>
            <w:r w:rsidR="008F69EE">
              <w:rPr>
                <w:szCs w:val="24"/>
              </w:rPr>
              <w:t>in length</w:t>
            </w:r>
            <w:r w:rsidRPr="00696E62">
              <w:rPr>
                <w:szCs w:val="24"/>
              </w:rPr>
              <w:t xml:space="preserve"> and contained nearly 30,000 signatures. It was unsuccessful in gaining women the right to vote at that time, but significantly raised awareness of women’s rights.</w:t>
            </w:r>
            <w:r w:rsidR="00E35DAB">
              <w:rPr>
                <w:szCs w:val="24"/>
              </w:rPr>
              <w:t xml:space="preserve"> </w:t>
            </w:r>
            <w:r w:rsidRPr="00696E62">
              <w:rPr>
                <w:color w:val="000000"/>
                <w:szCs w:val="24"/>
                <w:shd w:val="clear" w:color="auto" w:fill="FFFFFF"/>
              </w:rPr>
              <w:t xml:space="preserve">The petition is a tangible record of the achievements and influence of Australian women’s movements and the development of Australian </w:t>
            </w:r>
            <w:r w:rsidRPr="000F264B">
              <w:rPr>
                <w:color w:val="000000"/>
                <w:szCs w:val="24"/>
                <w:shd w:val="clear" w:color="auto" w:fill="FFFFFF"/>
              </w:rPr>
              <w:t>democracy.</w:t>
            </w:r>
            <w:r w:rsidR="00E35DAB" w:rsidRPr="000F264B">
              <w:rPr>
                <w:color w:val="000000"/>
                <w:szCs w:val="24"/>
                <w:shd w:val="clear" w:color="auto" w:fill="FFFFFF"/>
              </w:rPr>
              <w:t xml:space="preserve"> </w:t>
            </w:r>
          </w:p>
          <w:p w14:paraId="3A5B7F9B" w14:textId="5A2BB0BF" w:rsidR="000F264B" w:rsidRPr="000F264B" w:rsidRDefault="000F264B" w:rsidP="000F264B">
            <w:pPr>
              <w:rPr>
                <w:szCs w:val="24"/>
              </w:rPr>
            </w:pPr>
          </w:p>
        </w:tc>
      </w:tr>
      <w:tr w:rsidR="009436D1" w:rsidRPr="002929A6" w14:paraId="60BC57CB" w14:textId="77777777" w:rsidTr="009C5C19">
        <w:trPr>
          <w:cantSplit/>
        </w:trPr>
        <w:tc>
          <w:tcPr>
            <w:tcW w:w="1701" w:type="dxa"/>
            <w:tcBorders>
              <w:top w:val="nil"/>
              <w:left w:val="nil"/>
              <w:bottom w:val="nil"/>
              <w:right w:val="nil"/>
            </w:tcBorders>
          </w:tcPr>
          <w:p w14:paraId="4C5E994B" w14:textId="77777777" w:rsidR="008F69EE" w:rsidRPr="00841159" w:rsidRDefault="008F69EE" w:rsidP="008F69EE">
            <w:pPr>
              <w:pStyle w:val="Heading2"/>
              <w:spacing w:before="120" w:after="120"/>
              <w:jc w:val="left"/>
              <w:rPr>
                <w:rFonts w:ascii="Times New Roman" w:hAnsi="Times New Roman" w:cs="Times New Roman"/>
                <w:b/>
                <w:i w:val="0"/>
                <w:sz w:val="24"/>
                <w:szCs w:val="24"/>
              </w:rPr>
            </w:pPr>
            <w:r w:rsidRPr="00841159">
              <w:rPr>
                <w:rFonts w:ascii="Times New Roman" w:hAnsi="Times New Roman" w:cs="Times New Roman"/>
                <w:b/>
                <w:i w:val="0"/>
                <w:sz w:val="24"/>
                <w:szCs w:val="24"/>
              </w:rPr>
              <w:lastRenderedPageBreak/>
              <w:t>Romano Street</w:t>
            </w:r>
          </w:p>
          <w:p w14:paraId="2CCB2FD9" w14:textId="77777777" w:rsidR="009436D1" w:rsidRPr="00CE3399" w:rsidRDefault="009436D1" w:rsidP="00841159">
            <w:pPr>
              <w:rPr>
                <w:b/>
                <w:i/>
                <w:szCs w:val="24"/>
              </w:rPr>
            </w:pPr>
          </w:p>
        </w:tc>
        <w:tc>
          <w:tcPr>
            <w:tcW w:w="2268" w:type="dxa"/>
            <w:tcBorders>
              <w:top w:val="nil"/>
              <w:left w:val="nil"/>
              <w:bottom w:val="nil"/>
              <w:right w:val="nil"/>
            </w:tcBorders>
          </w:tcPr>
          <w:p w14:paraId="4F256B4A" w14:textId="77777777" w:rsidR="008F69EE" w:rsidRPr="00ED1633" w:rsidRDefault="008F69EE" w:rsidP="008F69EE">
            <w:pPr>
              <w:spacing w:before="120" w:after="120"/>
              <w:rPr>
                <w:bCs/>
                <w:strike/>
                <w:szCs w:val="24"/>
              </w:rPr>
            </w:pPr>
            <w:r>
              <w:rPr>
                <w:bCs/>
                <w:szCs w:val="24"/>
              </w:rPr>
              <w:t xml:space="preserve">Bruna Romano </w:t>
            </w:r>
          </w:p>
          <w:p w14:paraId="6991DDCE" w14:textId="77777777" w:rsidR="008F69EE" w:rsidRPr="00796A14" w:rsidRDefault="008F69EE" w:rsidP="008F69EE">
            <w:pPr>
              <w:spacing w:before="120" w:after="120"/>
              <w:rPr>
                <w:bCs/>
                <w:szCs w:val="24"/>
              </w:rPr>
            </w:pPr>
            <w:r w:rsidRPr="00796A14">
              <w:rPr>
                <w:bCs/>
                <w:szCs w:val="24"/>
              </w:rPr>
              <w:t>(1942</w:t>
            </w:r>
            <w:r w:rsidRPr="00796A14">
              <w:rPr>
                <w:szCs w:val="24"/>
              </w:rPr>
              <w:t>–</w:t>
            </w:r>
            <w:r w:rsidRPr="00796A14">
              <w:rPr>
                <w:bCs/>
                <w:szCs w:val="24"/>
              </w:rPr>
              <w:t>2009)</w:t>
            </w:r>
          </w:p>
          <w:p w14:paraId="7B63E157" w14:textId="4214B5BD" w:rsidR="009436D1" w:rsidRPr="002929A6" w:rsidRDefault="008F69EE" w:rsidP="008F69EE">
            <w:pPr>
              <w:spacing w:before="120" w:after="120"/>
              <w:rPr>
                <w:b/>
                <w:bCs/>
                <w:szCs w:val="24"/>
              </w:rPr>
            </w:pPr>
            <w:r w:rsidRPr="00796A14">
              <w:rPr>
                <w:bCs/>
                <w:szCs w:val="24"/>
              </w:rPr>
              <w:t xml:space="preserve">(née Verduci) </w:t>
            </w:r>
          </w:p>
        </w:tc>
        <w:tc>
          <w:tcPr>
            <w:tcW w:w="4678" w:type="dxa"/>
            <w:tcBorders>
              <w:top w:val="nil"/>
              <w:left w:val="nil"/>
              <w:bottom w:val="nil"/>
              <w:right w:val="nil"/>
            </w:tcBorders>
          </w:tcPr>
          <w:p w14:paraId="01EEE2BB" w14:textId="55DF1970" w:rsidR="008F69EE" w:rsidRPr="004732BD" w:rsidRDefault="008F69EE" w:rsidP="008F69EE">
            <w:pPr>
              <w:pStyle w:val="CoverActName"/>
              <w:tabs>
                <w:tab w:val="clear" w:pos="2600"/>
              </w:tabs>
              <w:spacing w:before="120" w:after="120"/>
              <w:jc w:val="left"/>
              <w:rPr>
                <w:rFonts w:ascii="Times New Roman" w:hAnsi="Times New Roman"/>
                <w:b w:val="0"/>
                <w:bCs/>
                <w:szCs w:val="24"/>
                <w:lang w:val="en-GB"/>
              </w:rPr>
            </w:pPr>
            <w:r w:rsidRPr="004732BD">
              <w:rPr>
                <w:rFonts w:ascii="Times New Roman" w:hAnsi="Times New Roman"/>
                <w:b w:val="0"/>
                <w:bCs/>
                <w:szCs w:val="24"/>
                <w:lang w:val="en-GB"/>
              </w:rPr>
              <w:t>Lawyer, community advocate</w:t>
            </w:r>
          </w:p>
          <w:p w14:paraId="767D6EF6" w14:textId="77777777" w:rsidR="009436D1" w:rsidRDefault="008F69EE" w:rsidP="000F270D">
            <w:pPr>
              <w:pStyle w:val="CoverActName"/>
              <w:spacing w:before="120" w:after="120"/>
              <w:jc w:val="left"/>
              <w:rPr>
                <w:rFonts w:ascii="Times New Roman" w:hAnsi="Times New Roman"/>
                <w:b w:val="0"/>
                <w:bCs/>
                <w:szCs w:val="24"/>
              </w:rPr>
            </w:pPr>
            <w:r w:rsidRPr="00796A14">
              <w:rPr>
                <w:rFonts w:ascii="Times New Roman" w:hAnsi="Times New Roman"/>
                <w:b w:val="0"/>
                <w:bCs/>
                <w:szCs w:val="24"/>
              </w:rPr>
              <w:t>Bruna Romano was among one of the first women</w:t>
            </w:r>
            <w:r>
              <w:rPr>
                <w:rFonts w:ascii="Times New Roman" w:hAnsi="Times New Roman"/>
                <w:b w:val="0"/>
                <w:bCs/>
                <w:szCs w:val="24"/>
              </w:rPr>
              <w:t xml:space="preserve">, and one of the first among women from a culturally and linguistically diverse background, </w:t>
            </w:r>
            <w:r w:rsidRPr="00796A14">
              <w:rPr>
                <w:rFonts w:ascii="Times New Roman" w:hAnsi="Times New Roman"/>
                <w:b w:val="0"/>
                <w:bCs/>
                <w:szCs w:val="24"/>
              </w:rPr>
              <w:t>to establish a law practice in Canberra, founding Romano-Verduci in mid-1968. Her husband, Domenico Romano, joined the firm in the</w:t>
            </w:r>
            <w:r>
              <w:rPr>
                <w:rFonts w:ascii="Times New Roman" w:hAnsi="Times New Roman"/>
                <w:b w:val="0"/>
                <w:bCs/>
                <w:szCs w:val="24"/>
              </w:rPr>
              <w:t xml:space="preserve"> </w:t>
            </w:r>
            <w:r w:rsidRPr="00796A14">
              <w:rPr>
                <w:rFonts w:ascii="Times New Roman" w:hAnsi="Times New Roman"/>
                <w:b w:val="0"/>
                <w:bCs/>
                <w:szCs w:val="24"/>
              </w:rPr>
              <w:t>mid-1970s and she remained principal of the practice, later Romano and Co, until 2003. Among a small cohort of early women lawyers in Canberra, she operated in general practice, and represented and advocated for members o</w:t>
            </w:r>
            <w:r>
              <w:rPr>
                <w:rFonts w:ascii="Times New Roman" w:hAnsi="Times New Roman"/>
                <w:b w:val="0"/>
                <w:bCs/>
                <w:szCs w:val="24"/>
              </w:rPr>
              <w:t>f the migrant community</w:t>
            </w:r>
            <w:r w:rsidRPr="00796A14">
              <w:rPr>
                <w:rFonts w:ascii="Times New Roman" w:hAnsi="Times New Roman"/>
                <w:b w:val="0"/>
                <w:bCs/>
                <w:szCs w:val="24"/>
              </w:rPr>
              <w:t xml:space="preserve">. Romano was a representative </w:t>
            </w:r>
            <w:r w:rsidRPr="004E3948">
              <w:rPr>
                <w:rFonts w:ascii="Times New Roman" w:hAnsi="Times New Roman"/>
                <w:b w:val="0"/>
                <w:bCs/>
                <w:szCs w:val="24"/>
              </w:rPr>
              <w:t>member for migrants on the Australian Capital Territory (ACT</w:t>
            </w:r>
            <w:r w:rsidRPr="00796A14">
              <w:rPr>
                <w:rFonts w:ascii="Times New Roman" w:hAnsi="Times New Roman"/>
                <w:b w:val="0"/>
                <w:bCs/>
                <w:szCs w:val="24"/>
              </w:rPr>
              <w:t>) Victims Assistance Board (2006–07).</w:t>
            </w:r>
            <w:r>
              <w:rPr>
                <w:rFonts w:ascii="Times New Roman" w:hAnsi="Times New Roman"/>
                <w:szCs w:val="24"/>
              </w:rPr>
              <w:t xml:space="preserve"> </w:t>
            </w:r>
            <w:r w:rsidRPr="00E61F3E">
              <w:rPr>
                <w:rFonts w:ascii="Times New Roman" w:hAnsi="Times New Roman"/>
                <w:b w:val="0"/>
                <w:bCs/>
                <w:szCs w:val="24"/>
              </w:rPr>
              <w:t xml:space="preserve">In the 1980s, together with her husband, and as a member of the Villaggio Italiano Women’s </w:t>
            </w:r>
            <w:r w:rsidRPr="006C412D">
              <w:rPr>
                <w:rFonts w:ascii="Times New Roman" w:hAnsi="Times New Roman"/>
                <w:b w:val="0"/>
                <w:bCs/>
                <w:szCs w:val="24"/>
              </w:rPr>
              <w:t>Committee, she worked actively to help establish Villaggio Sant’ Antonio aged care facility in Page, ACT to assist elderly Italians in Canberra and others in need.</w:t>
            </w:r>
            <w:r>
              <w:rPr>
                <w:rFonts w:ascii="Times New Roman" w:hAnsi="Times New Roman"/>
                <w:b w:val="0"/>
                <w:bCs/>
                <w:szCs w:val="24"/>
              </w:rPr>
              <w:t xml:space="preserve"> The 2006</w:t>
            </w:r>
            <w:r w:rsidRPr="00CE73C1">
              <w:rPr>
                <w:rFonts w:ascii="Times New Roman" w:hAnsi="Times New Roman"/>
                <w:b w:val="0"/>
                <w:bCs/>
                <w:szCs w:val="24"/>
              </w:rPr>
              <w:t>–</w:t>
            </w:r>
            <w:r>
              <w:rPr>
                <w:rFonts w:ascii="Times New Roman" w:hAnsi="Times New Roman"/>
                <w:b w:val="0"/>
                <w:bCs/>
                <w:szCs w:val="24"/>
              </w:rPr>
              <w:t>2007 St Thomas More Award was conferred upon Romano by the St Thomas More Society Canberra Branch for “Distinguished Service to the Law and also to the Canberra Community.”</w:t>
            </w:r>
          </w:p>
          <w:p w14:paraId="431D93D0" w14:textId="4C1C5889" w:rsidR="000F270D" w:rsidRPr="002929A6" w:rsidRDefault="000F270D" w:rsidP="000F270D">
            <w:pPr>
              <w:pStyle w:val="CoverActName"/>
              <w:spacing w:before="120" w:after="120"/>
              <w:jc w:val="left"/>
              <w:rPr>
                <w:rFonts w:ascii="Times New Roman" w:hAnsi="Times New Roman"/>
                <w:szCs w:val="24"/>
                <w:lang w:val="en-GB"/>
              </w:rPr>
            </w:pPr>
          </w:p>
        </w:tc>
      </w:tr>
      <w:tr w:rsidR="009436D1" w:rsidRPr="002929A6" w14:paraId="46D0E965" w14:textId="77777777" w:rsidTr="009C5C19">
        <w:trPr>
          <w:cantSplit/>
        </w:trPr>
        <w:tc>
          <w:tcPr>
            <w:tcW w:w="1701" w:type="dxa"/>
            <w:tcBorders>
              <w:top w:val="nil"/>
              <w:left w:val="nil"/>
              <w:bottom w:val="nil"/>
              <w:right w:val="nil"/>
            </w:tcBorders>
          </w:tcPr>
          <w:p w14:paraId="3C6DC15F" w14:textId="4882BACC" w:rsidR="001D3C3A" w:rsidRPr="001D3C3A" w:rsidRDefault="001D3C3A" w:rsidP="001D3C3A">
            <w:pPr>
              <w:pStyle w:val="Heading2"/>
              <w:spacing w:before="120" w:after="120"/>
              <w:jc w:val="left"/>
              <w:rPr>
                <w:rFonts w:ascii="Times New Roman" w:hAnsi="Times New Roman" w:cs="Times New Roman"/>
                <w:b/>
                <w:i w:val="0"/>
                <w:sz w:val="24"/>
                <w:szCs w:val="24"/>
              </w:rPr>
            </w:pPr>
            <w:r w:rsidRPr="001D3C3A">
              <w:rPr>
                <w:rFonts w:ascii="Times New Roman" w:hAnsi="Times New Roman" w:cs="Times New Roman"/>
                <w:b/>
                <w:i w:val="0"/>
                <w:sz w:val="24"/>
                <w:szCs w:val="24"/>
              </w:rPr>
              <w:lastRenderedPageBreak/>
              <w:t>Sphere Lane</w:t>
            </w:r>
          </w:p>
          <w:p w14:paraId="59A0239D" w14:textId="77777777" w:rsidR="001D3C3A" w:rsidRDefault="001D3C3A" w:rsidP="001D3C3A"/>
          <w:p w14:paraId="348100A8" w14:textId="16E97380" w:rsidR="009436D1" w:rsidRPr="009178E2" w:rsidRDefault="009436D1" w:rsidP="005F5997">
            <w:pPr>
              <w:pStyle w:val="Heading2"/>
              <w:spacing w:before="120" w:after="120"/>
              <w:jc w:val="left"/>
              <w:rPr>
                <w:rFonts w:ascii="Times New Roman" w:hAnsi="Times New Roman" w:cs="Times New Roman"/>
                <w:b/>
                <w:i w:val="0"/>
                <w:sz w:val="24"/>
                <w:szCs w:val="24"/>
              </w:rPr>
            </w:pPr>
          </w:p>
          <w:p w14:paraId="5402F4D0" w14:textId="77777777" w:rsidR="009436D1" w:rsidRPr="00CE3399" w:rsidRDefault="009436D1" w:rsidP="005F5997">
            <w:pPr>
              <w:pStyle w:val="Heading2"/>
              <w:spacing w:before="120" w:after="120"/>
              <w:jc w:val="left"/>
              <w:rPr>
                <w:rFonts w:ascii="Times New Roman" w:hAnsi="Times New Roman" w:cs="Times New Roman"/>
                <w:b/>
                <w:i w:val="0"/>
                <w:sz w:val="24"/>
                <w:szCs w:val="24"/>
              </w:rPr>
            </w:pPr>
          </w:p>
        </w:tc>
        <w:tc>
          <w:tcPr>
            <w:tcW w:w="2268" w:type="dxa"/>
            <w:tcBorders>
              <w:top w:val="nil"/>
              <w:left w:val="nil"/>
              <w:bottom w:val="nil"/>
              <w:right w:val="nil"/>
            </w:tcBorders>
          </w:tcPr>
          <w:p w14:paraId="0F1C854B" w14:textId="77777777" w:rsidR="001D3C3A" w:rsidRPr="008F69EE" w:rsidRDefault="001D3C3A" w:rsidP="001D3C3A">
            <w:pPr>
              <w:spacing w:before="120" w:after="120"/>
            </w:pPr>
            <w:r>
              <w:t xml:space="preserve">The Australian </w:t>
            </w:r>
            <w:r w:rsidRPr="008F69EE">
              <w:t xml:space="preserve">Woman’s Sphere </w:t>
            </w:r>
          </w:p>
          <w:p w14:paraId="543254D4" w14:textId="0FBC3B64" w:rsidR="001D3C3A" w:rsidRPr="00933359" w:rsidRDefault="001D3C3A" w:rsidP="001D3C3A">
            <w:pPr>
              <w:spacing w:before="120" w:after="120"/>
            </w:pPr>
            <w:r w:rsidRPr="008F69EE">
              <w:t>(fl. 1900</w:t>
            </w:r>
            <w:r w:rsidRPr="008F69EE">
              <w:rPr>
                <w:szCs w:val="24"/>
              </w:rPr>
              <w:t>–1</w:t>
            </w:r>
            <w:r>
              <w:t>90</w:t>
            </w:r>
            <w:r w:rsidRPr="000E483E">
              <w:t>5</w:t>
            </w:r>
            <w:r>
              <w:t xml:space="preserve">) </w:t>
            </w:r>
          </w:p>
          <w:p w14:paraId="5A901516" w14:textId="77777777" w:rsidR="009436D1" w:rsidRPr="002929A6" w:rsidRDefault="009436D1" w:rsidP="001D3C3A">
            <w:pPr>
              <w:spacing w:before="120" w:after="120"/>
              <w:rPr>
                <w:b/>
                <w:bCs/>
                <w:szCs w:val="24"/>
              </w:rPr>
            </w:pPr>
          </w:p>
        </w:tc>
        <w:tc>
          <w:tcPr>
            <w:tcW w:w="4678" w:type="dxa"/>
            <w:tcBorders>
              <w:top w:val="nil"/>
              <w:left w:val="nil"/>
              <w:bottom w:val="nil"/>
              <w:right w:val="nil"/>
            </w:tcBorders>
          </w:tcPr>
          <w:p w14:paraId="72A753FA" w14:textId="77777777" w:rsidR="001D3C3A" w:rsidRPr="00FA6F52" w:rsidRDefault="001D3C3A" w:rsidP="001D3C3A">
            <w:pPr>
              <w:pStyle w:val="CoverActName"/>
              <w:tabs>
                <w:tab w:val="clear" w:pos="2600"/>
              </w:tabs>
              <w:spacing w:before="120" w:after="120"/>
              <w:jc w:val="left"/>
              <w:rPr>
                <w:rFonts w:ascii="Times New Roman" w:hAnsi="Times New Roman"/>
                <w:b w:val="0"/>
                <w:bCs/>
                <w:szCs w:val="24"/>
                <w:lang w:val="en-GB"/>
              </w:rPr>
            </w:pPr>
            <w:r>
              <w:rPr>
                <w:rFonts w:ascii="Times New Roman" w:hAnsi="Times New Roman"/>
                <w:b w:val="0"/>
                <w:bCs/>
              </w:rPr>
              <w:t>Early feminist newspaper, women’s suffrage</w:t>
            </w:r>
          </w:p>
          <w:p w14:paraId="684A3AE1" w14:textId="77777777" w:rsidR="009436D1" w:rsidRDefault="001D3C3A" w:rsidP="000F270D">
            <w:pPr>
              <w:rPr>
                <w:shd w:val="clear" w:color="auto" w:fill="FFFFFF"/>
              </w:rPr>
            </w:pPr>
            <w:r w:rsidRPr="000F7F00">
              <w:rPr>
                <w:lang w:val="en-GB"/>
              </w:rPr>
              <w:t xml:space="preserve">The Australian Woman's Sphere </w:t>
            </w:r>
            <w:r w:rsidRPr="000F7F00">
              <w:rPr>
                <w:spacing w:val="2"/>
              </w:rPr>
              <w:t>was a monthly journal edited by Vida Goldstein between 1900 and</w:t>
            </w:r>
            <w:r w:rsidR="008F69EE" w:rsidRPr="000F7F00">
              <w:rPr>
                <w:spacing w:val="2"/>
              </w:rPr>
              <w:t xml:space="preserve"> </w:t>
            </w:r>
            <w:r w:rsidRPr="000F7F00">
              <w:rPr>
                <w:lang w:val="en-GB"/>
              </w:rPr>
              <w:t xml:space="preserve">1905 primarily to </w:t>
            </w:r>
            <w:r w:rsidRPr="000F7F00">
              <w:rPr>
                <w:shd w:val="clear" w:color="auto" w:fill="FFFFFF"/>
              </w:rPr>
              <w:t>advocate for women's suffrage in Victoria,</w:t>
            </w:r>
            <w:r w:rsidR="008F69EE" w:rsidRPr="000F7F00">
              <w:rPr>
                <w:shd w:val="clear" w:color="auto" w:fill="FFFFFF"/>
              </w:rPr>
              <w:t xml:space="preserve"> </w:t>
            </w:r>
            <w:r w:rsidRPr="000F7F00">
              <w:rPr>
                <w:lang w:val="en-GB"/>
              </w:rPr>
              <w:t>inform women about the status of women’s suffrage around the world and</w:t>
            </w:r>
            <w:r w:rsidR="008F69EE" w:rsidRPr="000F7F00">
              <w:rPr>
                <w:lang w:val="en-GB"/>
              </w:rPr>
              <w:t xml:space="preserve"> </w:t>
            </w:r>
            <w:r w:rsidRPr="000F7F00">
              <w:rPr>
                <w:lang w:val="en-GB"/>
              </w:rPr>
              <w:t xml:space="preserve">draw attention to workers’ conditions in Melbourne. </w:t>
            </w:r>
            <w:r w:rsidRPr="000F7F00">
              <w:rPr>
                <w:shd w:val="clear" w:color="auto" w:fill="FFFFFF"/>
              </w:rPr>
              <w:t>The first issue appeared in September 1900. Subscribers to the Sphere represented progressive women’s organisations in Victoria including the Victorian Women’s Franchise League, Woman’s Christian Temperance Union and the Trade Hall Council. Goldstein featured on the cover of the issue dated 10 November 1903,</w:t>
            </w:r>
            <w:r w:rsidR="008F69EE" w:rsidRPr="000F7F00">
              <w:rPr>
                <w:shd w:val="clear" w:color="auto" w:fill="FFFFFF"/>
              </w:rPr>
              <w:t xml:space="preserve"> </w:t>
            </w:r>
            <w:r w:rsidRPr="000F7F00">
              <w:rPr>
                <w:shd w:val="clear" w:color="auto" w:fill="FFFFFF"/>
              </w:rPr>
              <w:t>to promote her campaign for a</w:t>
            </w:r>
            <w:r w:rsidR="008F69EE" w:rsidRPr="000F7F00">
              <w:rPr>
                <w:shd w:val="clear" w:color="auto" w:fill="FFFFFF"/>
              </w:rPr>
              <w:t xml:space="preserve"> </w:t>
            </w:r>
            <w:r w:rsidRPr="000F7F00">
              <w:rPr>
                <w:shd w:val="clear" w:color="auto" w:fill="FFFFFF"/>
              </w:rPr>
              <w:t>Federal Senate seat</w:t>
            </w:r>
            <w:r w:rsidR="008F69EE" w:rsidRPr="000F7F00">
              <w:rPr>
                <w:shd w:val="clear" w:color="auto" w:fill="FFFFFF"/>
              </w:rPr>
              <w:t xml:space="preserve">. </w:t>
            </w:r>
            <w:r w:rsidRPr="000F7F00">
              <w:rPr>
                <w:shd w:val="clear" w:color="auto" w:fill="FFFFFF"/>
              </w:rPr>
              <w:t>Increased production costs and declining circulation contributed to Goldstein closing the paper.</w:t>
            </w:r>
          </w:p>
          <w:p w14:paraId="2A0CC43C" w14:textId="745E7F65" w:rsidR="000F264B" w:rsidRPr="002929A6" w:rsidRDefault="000F264B" w:rsidP="000F270D">
            <w:pPr>
              <w:rPr>
                <w:szCs w:val="24"/>
                <w:lang w:val="en-GB"/>
              </w:rPr>
            </w:pPr>
          </w:p>
        </w:tc>
      </w:tr>
      <w:tr w:rsidR="009436D1" w:rsidRPr="002929A6" w14:paraId="498AE5E3" w14:textId="77777777" w:rsidTr="009C5C19">
        <w:trPr>
          <w:cantSplit/>
        </w:trPr>
        <w:tc>
          <w:tcPr>
            <w:tcW w:w="1701" w:type="dxa"/>
            <w:tcBorders>
              <w:top w:val="nil"/>
              <w:left w:val="nil"/>
              <w:bottom w:val="nil"/>
              <w:right w:val="nil"/>
            </w:tcBorders>
          </w:tcPr>
          <w:p w14:paraId="579698FD" w14:textId="3CCDC68C" w:rsidR="009436D1" w:rsidRPr="009178E2" w:rsidRDefault="00F714CC" w:rsidP="005F5997">
            <w:pPr>
              <w:pStyle w:val="Heading2"/>
              <w:spacing w:before="120" w:after="120"/>
              <w:jc w:val="left"/>
              <w:rPr>
                <w:rFonts w:ascii="Times New Roman" w:hAnsi="Times New Roman" w:cs="Times New Roman"/>
                <w:b/>
                <w:i w:val="0"/>
                <w:sz w:val="24"/>
                <w:szCs w:val="24"/>
              </w:rPr>
            </w:pPr>
            <w:r>
              <w:rPr>
                <w:rFonts w:ascii="Times New Roman" w:hAnsi="Times New Roman" w:cs="Times New Roman"/>
                <w:b/>
                <w:i w:val="0"/>
                <w:sz w:val="24"/>
                <w:szCs w:val="24"/>
              </w:rPr>
              <w:lastRenderedPageBreak/>
              <w:t>Stella Young Way</w:t>
            </w:r>
          </w:p>
          <w:p w14:paraId="4777FED2" w14:textId="77777777" w:rsidR="009436D1" w:rsidRPr="00CE3399" w:rsidRDefault="009436D1" w:rsidP="005F5997">
            <w:pPr>
              <w:pStyle w:val="Heading2"/>
              <w:spacing w:before="120" w:after="120"/>
              <w:jc w:val="left"/>
              <w:rPr>
                <w:rFonts w:ascii="Times New Roman" w:hAnsi="Times New Roman" w:cs="Times New Roman"/>
                <w:b/>
                <w:i w:val="0"/>
                <w:sz w:val="24"/>
                <w:szCs w:val="24"/>
              </w:rPr>
            </w:pPr>
          </w:p>
        </w:tc>
        <w:tc>
          <w:tcPr>
            <w:tcW w:w="2268" w:type="dxa"/>
            <w:tcBorders>
              <w:top w:val="nil"/>
              <w:left w:val="nil"/>
              <w:bottom w:val="nil"/>
              <w:right w:val="nil"/>
            </w:tcBorders>
          </w:tcPr>
          <w:p w14:paraId="3B95DF2D" w14:textId="77777777" w:rsidR="006756FD" w:rsidRPr="002A4B57" w:rsidRDefault="006756FD" w:rsidP="006756FD">
            <w:pPr>
              <w:spacing w:before="120" w:after="120"/>
              <w:rPr>
                <w:bCs/>
                <w:szCs w:val="24"/>
              </w:rPr>
            </w:pPr>
            <w:r>
              <w:rPr>
                <w:bCs/>
                <w:szCs w:val="24"/>
              </w:rPr>
              <w:t>Stella Jane Young</w:t>
            </w:r>
          </w:p>
          <w:p w14:paraId="7F9F99AF" w14:textId="06630AC9" w:rsidR="006756FD" w:rsidRDefault="006756FD" w:rsidP="006756FD">
            <w:pPr>
              <w:spacing w:before="120" w:after="120"/>
              <w:rPr>
                <w:bCs/>
                <w:szCs w:val="24"/>
              </w:rPr>
            </w:pPr>
            <w:r w:rsidRPr="002A4B57">
              <w:rPr>
                <w:bCs/>
                <w:szCs w:val="24"/>
              </w:rPr>
              <w:t>(</w:t>
            </w:r>
            <w:r w:rsidRPr="007D5CF1">
              <w:rPr>
                <w:bCs/>
                <w:szCs w:val="24"/>
              </w:rPr>
              <w:t>1982</w:t>
            </w:r>
            <w:r w:rsidRPr="007D5CF1">
              <w:rPr>
                <w:szCs w:val="24"/>
              </w:rPr>
              <w:t>–</w:t>
            </w:r>
            <w:r w:rsidRPr="007D5CF1">
              <w:rPr>
                <w:bCs/>
                <w:szCs w:val="24"/>
              </w:rPr>
              <w:t>2014)</w:t>
            </w:r>
          </w:p>
          <w:p w14:paraId="72943A84" w14:textId="77777777" w:rsidR="006756FD" w:rsidRDefault="006756FD" w:rsidP="005F5997">
            <w:pPr>
              <w:spacing w:before="120" w:after="120"/>
              <w:rPr>
                <w:b/>
                <w:bCs/>
                <w:szCs w:val="24"/>
              </w:rPr>
            </w:pPr>
          </w:p>
          <w:p w14:paraId="4AC9DA44" w14:textId="77777777" w:rsidR="009436D1" w:rsidRDefault="009436D1" w:rsidP="005F5997">
            <w:pPr>
              <w:spacing w:before="120" w:after="120"/>
              <w:rPr>
                <w:b/>
                <w:bCs/>
                <w:szCs w:val="24"/>
              </w:rPr>
            </w:pPr>
          </w:p>
          <w:p w14:paraId="41D21906" w14:textId="77777777" w:rsidR="006756FD" w:rsidRDefault="006756FD" w:rsidP="005F5997">
            <w:pPr>
              <w:spacing w:before="120" w:after="120"/>
              <w:rPr>
                <w:b/>
                <w:bCs/>
                <w:szCs w:val="24"/>
              </w:rPr>
            </w:pPr>
          </w:p>
          <w:p w14:paraId="69226791" w14:textId="77777777" w:rsidR="006756FD" w:rsidRDefault="006756FD" w:rsidP="005F5997">
            <w:pPr>
              <w:spacing w:before="120" w:after="120"/>
              <w:rPr>
                <w:b/>
                <w:bCs/>
                <w:szCs w:val="24"/>
              </w:rPr>
            </w:pPr>
          </w:p>
          <w:p w14:paraId="66933BA5" w14:textId="77777777" w:rsidR="006756FD" w:rsidRDefault="006756FD" w:rsidP="005F5997">
            <w:pPr>
              <w:spacing w:before="120" w:after="120"/>
              <w:rPr>
                <w:b/>
                <w:bCs/>
                <w:szCs w:val="24"/>
              </w:rPr>
            </w:pPr>
          </w:p>
          <w:p w14:paraId="50383CE2" w14:textId="77777777" w:rsidR="006756FD" w:rsidRDefault="006756FD" w:rsidP="005F5997">
            <w:pPr>
              <w:spacing w:before="120" w:after="120"/>
              <w:rPr>
                <w:b/>
                <w:bCs/>
                <w:szCs w:val="24"/>
              </w:rPr>
            </w:pPr>
          </w:p>
          <w:p w14:paraId="3011175A" w14:textId="77777777" w:rsidR="006756FD" w:rsidRDefault="006756FD" w:rsidP="005F5997">
            <w:pPr>
              <w:spacing w:before="120" w:after="120"/>
              <w:rPr>
                <w:b/>
                <w:bCs/>
                <w:szCs w:val="24"/>
              </w:rPr>
            </w:pPr>
          </w:p>
          <w:p w14:paraId="5EC31EA0" w14:textId="77777777" w:rsidR="006756FD" w:rsidRDefault="006756FD" w:rsidP="005F5997">
            <w:pPr>
              <w:spacing w:before="120" w:after="120"/>
              <w:rPr>
                <w:b/>
                <w:bCs/>
                <w:szCs w:val="24"/>
              </w:rPr>
            </w:pPr>
          </w:p>
          <w:p w14:paraId="45AD255C" w14:textId="77777777" w:rsidR="006756FD" w:rsidRDefault="006756FD" w:rsidP="005F5997">
            <w:pPr>
              <w:spacing w:before="120" w:after="120"/>
              <w:rPr>
                <w:b/>
                <w:bCs/>
                <w:szCs w:val="24"/>
              </w:rPr>
            </w:pPr>
          </w:p>
          <w:p w14:paraId="0B13ED35" w14:textId="77777777" w:rsidR="006756FD" w:rsidRDefault="006756FD" w:rsidP="005F5997">
            <w:pPr>
              <w:spacing w:before="120" w:after="120"/>
              <w:rPr>
                <w:b/>
                <w:bCs/>
                <w:szCs w:val="24"/>
              </w:rPr>
            </w:pPr>
          </w:p>
          <w:p w14:paraId="3D4E043A" w14:textId="77777777" w:rsidR="006756FD" w:rsidRDefault="006756FD" w:rsidP="005F5997">
            <w:pPr>
              <w:spacing w:before="120" w:after="120"/>
              <w:rPr>
                <w:b/>
                <w:bCs/>
                <w:szCs w:val="24"/>
              </w:rPr>
            </w:pPr>
          </w:p>
          <w:p w14:paraId="5BAE4293" w14:textId="77777777" w:rsidR="006756FD" w:rsidRDefault="006756FD" w:rsidP="005F5997">
            <w:pPr>
              <w:spacing w:before="120" w:after="120"/>
              <w:rPr>
                <w:b/>
                <w:bCs/>
                <w:szCs w:val="24"/>
              </w:rPr>
            </w:pPr>
          </w:p>
          <w:p w14:paraId="05DE9DC0" w14:textId="77777777" w:rsidR="006756FD" w:rsidRDefault="006756FD" w:rsidP="005F5997">
            <w:pPr>
              <w:spacing w:before="120" w:after="120"/>
              <w:rPr>
                <w:b/>
                <w:bCs/>
                <w:szCs w:val="24"/>
              </w:rPr>
            </w:pPr>
          </w:p>
          <w:p w14:paraId="38C088E6" w14:textId="77777777" w:rsidR="006756FD" w:rsidRDefault="006756FD" w:rsidP="005F5997">
            <w:pPr>
              <w:spacing w:before="120" w:after="120"/>
              <w:rPr>
                <w:b/>
                <w:bCs/>
                <w:szCs w:val="24"/>
              </w:rPr>
            </w:pPr>
          </w:p>
          <w:p w14:paraId="7EABFEA9" w14:textId="2B4FDE22" w:rsidR="006756FD" w:rsidRPr="006756FD" w:rsidRDefault="006756FD" w:rsidP="005F5997">
            <w:pPr>
              <w:spacing w:before="120" w:after="120"/>
              <w:rPr>
                <w:sz w:val="20"/>
              </w:rPr>
            </w:pPr>
          </w:p>
        </w:tc>
        <w:tc>
          <w:tcPr>
            <w:tcW w:w="4678" w:type="dxa"/>
            <w:tcBorders>
              <w:top w:val="nil"/>
              <w:left w:val="nil"/>
              <w:bottom w:val="nil"/>
              <w:right w:val="nil"/>
            </w:tcBorders>
          </w:tcPr>
          <w:p w14:paraId="6E9AD76C" w14:textId="1B10CEB4" w:rsidR="00B2018F" w:rsidRPr="004732BD" w:rsidRDefault="00B2018F" w:rsidP="00B2018F">
            <w:pPr>
              <w:pStyle w:val="CoverActName"/>
              <w:tabs>
                <w:tab w:val="clear" w:pos="2600"/>
              </w:tabs>
              <w:spacing w:before="120" w:after="120"/>
              <w:jc w:val="left"/>
              <w:rPr>
                <w:rFonts w:ascii="Times New Roman" w:hAnsi="Times New Roman"/>
                <w:b w:val="0"/>
                <w:bCs/>
                <w:szCs w:val="24"/>
                <w:lang w:val="en-GB"/>
              </w:rPr>
            </w:pPr>
            <w:r>
              <w:rPr>
                <w:rFonts w:ascii="Times New Roman" w:hAnsi="Times New Roman"/>
                <w:b w:val="0"/>
                <w:bCs/>
                <w:szCs w:val="24"/>
                <w:lang w:val="en-GB"/>
              </w:rPr>
              <w:t>Journalist, writer, disability activist, comedian</w:t>
            </w:r>
            <w:r w:rsidRPr="00685652">
              <w:rPr>
                <w:rFonts w:ascii="Times New Roman" w:hAnsi="Times New Roman"/>
                <w:b w:val="0"/>
                <w:bCs/>
                <w:szCs w:val="24"/>
                <w:lang w:val="en-GB"/>
              </w:rPr>
              <w:t xml:space="preserve"> </w:t>
            </w:r>
          </w:p>
          <w:p w14:paraId="62FAC600" w14:textId="5B5A65F4" w:rsidR="009436D1" w:rsidRPr="002929A6" w:rsidRDefault="006756FD" w:rsidP="000F270D">
            <w:pPr>
              <w:pStyle w:val="CoverActName"/>
              <w:spacing w:before="120" w:after="120"/>
              <w:jc w:val="left"/>
              <w:rPr>
                <w:rFonts w:ascii="Times New Roman" w:hAnsi="Times New Roman"/>
                <w:szCs w:val="24"/>
                <w:lang w:val="en-GB"/>
              </w:rPr>
            </w:pPr>
            <w:r>
              <w:rPr>
                <w:rFonts w:ascii="Times New Roman" w:hAnsi="Times New Roman"/>
                <w:b w:val="0"/>
                <w:bCs/>
              </w:rPr>
              <w:t>Upon graduating from</w:t>
            </w:r>
            <w:r w:rsidRPr="00637073">
              <w:rPr>
                <w:rFonts w:ascii="Times New Roman" w:hAnsi="Times New Roman"/>
                <w:b w:val="0"/>
                <w:bCs/>
              </w:rPr>
              <w:t xml:space="preserve"> Deakin University (Journalism and Public Relations) and</w:t>
            </w:r>
            <w:r>
              <w:rPr>
                <w:rFonts w:ascii="Times New Roman" w:hAnsi="Times New Roman"/>
                <w:b w:val="0"/>
                <w:bCs/>
              </w:rPr>
              <w:t xml:space="preserve"> </w:t>
            </w:r>
            <w:r w:rsidRPr="00637073">
              <w:rPr>
                <w:rFonts w:ascii="Times New Roman" w:hAnsi="Times New Roman"/>
                <w:b w:val="0"/>
                <w:bCs/>
              </w:rPr>
              <w:t>the University of Melbourne</w:t>
            </w:r>
            <w:r>
              <w:rPr>
                <w:rFonts w:ascii="Times New Roman" w:hAnsi="Times New Roman"/>
                <w:b w:val="0"/>
                <w:bCs/>
              </w:rPr>
              <w:t xml:space="preserve"> with a Diploma of Education</w:t>
            </w:r>
            <w:r w:rsidRPr="00637073">
              <w:rPr>
                <w:rFonts w:ascii="Times New Roman" w:hAnsi="Times New Roman"/>
                <w:b w:val="0"/>
                <w:bCs/>
              </w:rPr>
              <w:t>, Stella Young initially worked at Arts Access Victoria.</w:t>
            </w:r>
            <w:r>
              <w:rPr>
                <w:rFonts w:ascii="Times New Roman" w:hAnsi="Times New Roman"/>
                <w:b w:val="0"/>
                <w:bCs/>
              </w:rPr>
              <w:t xml:space="preserve"> </w:t>
            </w:r>
            <w:r w:rsidRPr="00637073">
              <w:rPr>
                <w:rFonts w:ascii="Times New Roman" w:hAnsi="Times New Roman"/>
                <w:b w:val="0"/>
                <w:bCs/>
              </w:rPr>
              <w:t xml:space="preserve">Afterwards, she worked as an educator at Melbourne Museum. From 2003 she hosted </w:t>
            </w:r>
            <w:r w:rsidRPr="00637073">
              <w:rPr>
                <w:rFonts w:ascii="Times New Roman" w:hAnsi="Times New Roman"/>
                <w:b w:val="0"/>
                <w:bCs/>
                <w:shd w:val="clear" w:color="auto" w:fill="FFFFFF" w:themeFill="background1"/>
              </w:rPr>
              <w:t>the long running disability discussion series, ‘No Limits’, on community television Channel 31.</w:t>
            </w:r>
            <w:r w:rsidRPr="00637073">
              <w:rPr>
                <w:rFonts w:ascii="Times New Roman" w:hAnsi="Times New Roman"/>
                <w:b w:val="0"/>
                <w:bCs/>
              </w:rPr>
              <w:t xml:space="preserve"> In 2010 Young was appointed Editor of the ABC’s ‘Ramp Up’ website, an online platform for people with a disability. Determined to change social attitudes, Young challenged perceptions of disability and was outspoken in championing acceptance of diversity,</w:t>
            </w:r>
            <w:r w:rsidR="00B2018F">
              <w:rPr>
                <w:rFonts w:ascii="Times New Roman" w:hAnsi="Times New Roman"/>
                <w:b w:val="0"/>
                <w:bCs/>
              </w:rPr>
              <w:t xml:space="preserve"> </w:t>
            </w:r>
            <w:r w:rsidR="00B2018F" w:rsidRPr="00637073">
              <w:rPr>
                <w:rFonts w:ascii="Times New Roman" w:hAnsi="Times New Roman"/>
                <w:b w:val="0"/>
                <w:bCs/>
              </w:rPr>
              <w:t xml:space="preserve">valuing genuine achievement for people with a disability and </w:t>
            </w:r>
            <w:r w:rsidRPr="00637073">
              <w:rPr>
                <w:rFonts w:ascii="Times New Roman" w:hAnsi="Times New Roman"/>
                <w:b w:val="0"/>
                <w:bCs/>
              </w:rPr>
              <w:t>the imperative need to remove barriers that they contend with. Her 2014 solo debut Melbourne International Comedy Festival show ‘Tales from the Crip’ won Best</w:t>
            </w:r>
            <w:r>
              <w:rPr>
                <w:rFonts w:ascii="Times New Roman" w:hAnsi="Times New Roman"/>
                <w:b w:val="0"/>
                <w:bCs/>
              </w:rPr>
              <w:t xml:space="preserve"> </w:t>
            </w:r>
            <w:r w:rsidR="000F270D">
              <w:rPr>
                <w:rFonts w:ascii="Times New Roman" w:hAnsi="Times New Roman"/>
                <w:b w:val="0"/>
                <w:bCs/>
              </w:rPr>
              <w:t>Newcomer</w:t>
            </w:r>
            <w:r w:rsidR="00ED1633">
              <w:rPr>
                <w:rFonts w:ascii="Times New Roman" w:hAnsi="Times New Roman"/>
                <w:b w:val="0"/>
                <w:bCs/>
              </w:rPr>
              <w:t xml:space="preserve">. </w:t>
            </w:r>
            <w:r w:rsidRPr="006756FD">
              <w:rPr>
                <w:rFonts w:ascii="Times New Roman" w:hAnsi="Times New Roman"/>
                <w:b w:val="0"/>
                <w:bCs/>
              </w:rPr>
              <w:t xml:space="preserve">Young was a member of the Victorian Disability Advisory Council, </w:t>
            </w:r>
            <w:r w:rsidRPr="006756FD">
              <w:rPr>
                <w:rFonts w:ascii="Times New Roman" w:hAnsi="Times New Roman"/>
                <w:b w:val="0"/>
                <w:bCs/>
                <w:shd w:val="clear" w:color="auto" w:fill="FFFFFF"/>
              </w:rPr>
              <w:t>Ministerial Advisory Council for the Department of Victorian Communities and Women with Disabilities Victoria</w:t>
            </w:r>
            <w:r w:rsidRPr="006756FD">
              <w:rPr>
                <w:shd w:val="clear" w:color="auto" w:fill="FFFFFF"/>
              </w:rPr>
              <w:t xml:space="preserve">, </w:t>
            </w:r>
            <w:r w:rsidRPr="006756FD">
              <w:rPr>
                <w:rFonts w:ascii="Times New Roman" w:hAnsi="Times New Roman"/>
                <w:b w:val="0"/>
                <w:bCs/>
              </w:rPr>
              <w:t xml:space="preserve">an ambassador for the ‘Our </w:t>
            </w:r>
            <w:r w:rsidRPr="00637073">
              <w:rPr>
                <w:rFonts w:ascii="Times New Roman" w:hAnsi="Times New Roman"/>
                <w:b w:val="0"/>
                <w:bCs/>
              </w:rPr>
              <w:t>Watch’ organisation, and worked with the Youth Disability Advocacy Service. In 2017 she was inducted posthumously to the Victorian Government Honour Roll of Women.</w:t>
            </w:r>
          </w:p>
        </w:tc>
      </w:tr>
    </w:tbl>
    <w:p w14:paraId="0050D897" w14:textId="6DD01405" w:rsidR="007D25AC" w:rsidRDefault="007D25AC">
      <w:r>
        <w:br w:type="page"/>
      </w:r>
    </w:p>
    <w:p w14:paraId="15E28374" w14:textId="3FEADA9F" w:rsidR="00AA02C9" w:rsidRPr="007D25AC" w:rsidRDefault="00C154F6" w:rsidP="007D25AC">
      <w:pPr>
        <w:tabs>
          <w:tab w:val="left" w:pos="4320"/>
        </w:tabs>
        <w:rPr>
          <w:rFonts w:asciiTheme="minorHAnsi" w:hAnsiTheme="minorHAnsi" w:cstheme="minorBidi"/>
          <w:bCs/>
        </w:rPr>
      </w:pPr>
      <w:r>
        <w:rPr>
          <w:noProof/>
        </w:rPr>
        <w:lastRenderedPageBreak/>
        <w:drawing>
          <wp:inline distT="0" distB="0" distL="0" distR="0" wp14:anchorId="2ED41093" wp14:editId="7651F085">
            <wp:extent cx="5274945" cy="7464425"/>
            <wp:effectExtent l="0" t="0" r="190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4945" cy="7464425"/>
                    </a:xfrm>
                    <a:prstGeom prst="rect">
                      <a:avLst/>
                    </a:prstGeom>
                    <a:noFill/>
                    <a:ln>
                      <a:noFill/>
                    </a:ln>
                  </pic:spPr>
                </pic:pic>
              </a:graphicData>
            </a:graphic>
          </wp:inline>
        </w:drawing>
      </w:r>
    </w:p>
    <w:sectPr w:rsidR="00AA02C9" w:rsidRPr="007D25AC" w:rsidSect="006267BE">
      <w:footerReference w:type="default" r:id="rId16"/>
      <w:pgSz w:w="11907" w:h="16839" w:code="9"/>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0859" w14:textId="77777777" w:rsidR="00FE0E8B" w:rsidRDefault="00FE0E8B" w:rsidP="00F10CB2">
      <w:r>
        <w:separator/>
      </w:r>
    </w:p>
  </w:endnote>
  <w:endnote w:type="continuationSeparator" w:id="0">
    <w:p w14:paraId="107C1C6E" w14:textId="77777777" w:rsidR="00FE0E8B" w:rsidRDefault="00FE0E8B"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DCED" w14:textId="77777777" w:rsidR="00BD0544" w:rsidRDefault="00BD0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87B6" w14:textId="1DE119B2" w:rsidR="002A039C" w:rsidRPr="00BD0544" w:rsidRDefault="00BD0544" w:rsidP="00BD0544">
    <w:pPr>
      <w:pStyle w:val="Footer"/>
      <w:tabs>
        <w:tab w:val="clear" w:pos="2880"/>
      </w:tabs>
      <w:jc w:val="center"/>
      <w:rPr>
        <w:rFonts w:ascii="Arial" w:hAnsi="Arial" w:cs="Arial"/>
        <w:sz w:val="14"/>
      </w:rPr>
    </w:pPr>
    <w:r w:rsidRPr="00BD0544">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709C" w14:textId="14B51EF9" w:rsidR="002A039C" w:rsidRPr="00AA02C9" w:rsidRDefault="002A039C" w:rsidP="006267BE">
    <w:pPr>
      <w:pStyle w:val="Footer"/>
      <w:tabs>
        <w:tab w:val="clear" w:pos="288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9FDB" w14:textId="5FA3956F" w:rsidR="001056A5" w:rsidRPr="00BD0544" w:rsidRDefault="00BD0544" w:rsidP="00BD0544">
    <w:pPr>
      <w:pStyle w:val="Footer"/>
      <w:tabs>
        <w:tab w:val="clear" w:pos="2880"/>
      </w:tabs>
      <w:jc w:val="center"/>
      <w:rPr>
        <w:rFonts w:ascii="Arial" w:hAnsi="Arial" w:cs="Arial"/>
        <w:sz w:val="14"/>
      </w:rPr>
    </w:pPr>
    <w:r w:rsidRPr="00BD0544">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CEA49" w14:textId="77777777" w:rsidR="00FE0E8B" w:rsidRDefault="00FE0E8B" w:rsidP="00F10CB2">
      <w:r>
        <w:separator/>
      </w:r>
    </w:p>
  </w:footnote>
  <w:footnote w:type="continuationSeparator" w:id="0">
    <w:p w14:paraId="597C2C2C" w14:textId="77777777" w:rsidR="00FE0E8B" w:rsidRDefault="00FE0E8B" w:rsidP="00F1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EBF8" w14:textId="77777777" w:rsidR="00BD0544" w:rsidRDefault="00BD0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C136" w14:textId="77777777" w:rsidR="00BD0544" w:rsidRDefault="00BD0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85BA" w14:textId="77777777" w:rsidR="00BD0544" w:rsidRDefault="00BD0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840D6D"/>
    <w:multiLevelType w:val="hybridMultilevel"/>
    <w:tmpl w:val="BBE4BD4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385057"/>
    <w:multiLevelType w:val="multilevel"/>
    <w:tmpl w:val="D400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104684C"/>
    <w:multiLevelType w:val="hybridMultilevel"/>
    <w:tmpl w:val="8CDA286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316846">
    <w:abstractNumId w:val="2"/>
  </w:num>
  <w:num w:numId="2" w16cid:durableId="400369412">
    <w:abstractNumId w:val="0"/>
  </w:num>
  <w:num w:numId="3" w16cid:durableId="1788115997">
    <w:abstractNumId w:val="3"/>
  </w:num>
  <w:num w:numId="4" w16cid:durableId="669716879">
    <w:abstractNumId w:val="8"/>
  </w:num>
  <w:num w:numId="5" w16cid:durableId="911424325">
    <w:abstractNumId w:val="9"/>
  </w:num>
  <w:num w:numId="6" w16cid:durableId="1519076127">
    <w:abstractNumId w:val="1"/>
  </w:num>
  <w:num w:numId="7" w16cid:durableId="594092065">
    <w:abstractNumId w:val="6"/>
  </w:num>
  <w:num w:numId="8" w16cid:durableId="922882856">
    <w:abstractNumId w:val="7"/>
  </w:num>
  <w:num w:numId="9" w16cid:durableId="1204096903">
    <w:abstractNumId w:val="5"/>
  </w:num>
  <w:num w:numId="10" w16cid:durableId="901019119">
    <w:abstractNumId w:val="10"/>
  </w:num>
  <w:num w:numId="11" w16cid:durableId="5860346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5C"/>
    <w:rsid w:val="000002D9"/>
    <w:rsid w:val="00001DF5"/>
    <w:rsid w:val="00022B16"/>
    <w:rsid w:val="0004515E"/>
    <w:rsid w:val="000736C5"/>
    <w:rsid w:val="00087D7E"/>
    <w:rsid w:val="000A1A69"/>
    <w:rsid w:val="000C501D"/>
    <w:rsid w:val="000D0E1F"/>
    <w:rsid w:val="000D1042"/>
    <w:rsid w:val="000F264B"/>
    <w:rsid w:val="000F270D"/>
    <w:rsid w:val="000F7F00"/>
    <w:rsid w:val="001056A5"/>
    <w:rsid w:val="00111262"/>
    <w:rsid w:val="00134786"/>
    <w:rsid w:val="0014266C"/>
    <w:rsid w:val="00194AC7"/>
    <w:rsid w:val="001A3A7F"/>
    <w:rsid w:val="001B683A"/>
    <w:rsid w:val="001C737C"/>
    <w:rsid w:val="001D3C3A"/>
    <w:rsid w:val="001F1298"/>
    <w:rsid w:val="001F7C45"/>
    <w:rsid w:val="001F7FAE"/>
    <w:rsid w:val="00205E99"/>
    <w:rsid w:val="00217859"/>
    <w:rsid w:val="00217F07"/>
    <w:rsid w:val="00232478"/>
    <w:rsid w:val="00233C82"/>
    <w:rsid w:val="0024008B"/>
    <w:rsid w:val="002571E9"/>
    <w:rsid w:val="00267FC1"/>
    <w:rsid w:val="00281B3A"/>
    <w:rsid w:val="002837D5"/>
    <w:rsid w:val="002A039C"/>
    <w:rsid w:val="003075FE"/>
    <w:rsid w:val="00323118"/>
    <w:rsid w:val="00345B8E"/>
    <w:rsid w:val="00373830"/>
    <w:rsid w:val="003C330F"/>
    <w:rsid w:val="003C7FAF"/>
    <w:rsid w:val="003D0901"/>
    <w:rsid w:val="003D393E"/>
    <w:rsid w:val="003D7174"/>
    <w:rsid w:val="00445322"/>
    <w:rsid w:val="00471E4E"/>
    <w:rsid w:val="00481934"/>
    <w:rsid w:val="00492788"/>
    <w:rsid w:val="004D65A8"/>
    <w:rsid w:val="004E4617"/>
    <w:rsid w:val="00504891"/>
    <w:rsid w:val="00513572"/>
    <w:rsid w:val="00522381"/>
    <w:rsid w:val="005652A1"/>
    <w:rsid w:val="00574E41"/>
    <w:rsid w:val="00580D29"/>
    <w:rsid w:val="005961A3"/>
    <w:rsid w:val="005B35CF"/>
    <w:rsid w:val="005D55E0"/>
    <w:rsid w:val="005D68B8"/>
    <w:rsid w:val="005F75A1"/>
    <w:rsid w:val="00607CA5"/>
    <w:rsid w:val="006267BE"/>
    <w:rsid w:val="00627F0C"/>
    <w:rsid w:val="006343DB"/>
    <w:rsid w:val="006553D1"/>
    <w:rsid w:val="006668F6"/>
    <w:rsid w:val="00667281"/>
    <w:rsid w:val="006756FD"/>
    <w:rsid w:val="00685113"/>
    <w:rsid w:val="00693E52"/>
    <w:rsid w:val="006A3A2F"/>
    <w:rsid w:val="006A462D"/>
    <w:rsid w:val="00704DC3"/>
    <w:rsid w:val="0072003E"/>
    <w:rsid w:val="0077162F"/>
    <w:rsid w:val="00784B87"/>
    <w:rsid w:val="00786CA2"/>
    <w:rsid w:val="007A3299"/>
    <w:rsid w:val="007A4D01"/>
    <w:rsid w:val="007B2E24"/>
    <w:rsid w:val="007C3B22"/>
    <w:rsid w:val="007D25AC"/>
    <w:rsid w:val="007F1316"/>
    <w:rsid w:val="007F185C"/>
    <w:rsid w:val="007F2813"/>
    <w:rsid w:val="0080082B"/>
    <w:rsid w:val="008036F7"/>
    <w:rsid w:val="00824EB1"/>
    <w:rsid w:val="00835765"/>
    <w:rsid w:val="00841159"/>
    <w:rsid w:val="00894148"/>
    <w:rsid w:val="008A1D96"/>
    <w:rsid w:val="008A3808"/>
    <w:rsid w:val="008B556F"/>
    <w:rsid w:val="008D3F39"/>
    <w:rsid w:val="008D45E7"/>
    <w:rsid w:val="008E4A39"/>
    <w:rsid w:val="008F060D"/>
    <w:rsid w:val="008F60A5"/>
    <w:rsid w:val="008F69EE"/>
    <w:rsid w:val="009070F7"/>
    <w:rsid w:val="009178E2"/>
    <w:rsid w:val="00934C6B"/>
    <w:rsid w:val="009436D1"/>
    <w:rsid w:val="00944A2B"/>
    <w:rsid w:val="00957C02"/>
    <w:rsid w:val="00970517"/>
    <w:rsid w:val="009876DB"/>
    <w:rsid w:val="009A5D0A"/>
    <w:rsid w:val="009A7BE6"/>
    <w:rsid w:val="009C5C19"/>
    <w:rsid w:val="009C7494"/>
    <w:rsid w:val="009E1396"/>
    <w:rsid w:val="009F6683"/>
    <w:rsid w:val="00A0585C"/>
    <w:rsid w:val="00A07BFA"/>
    <w:rsid w:val="00A43FE7"/>
    <w:rsid w:val="00A502EA"/>
    <w:rsid w:val="00A71159"/>
    <w:rsid w:val="00A72AE1"/>
    <w:rsid w:val="00A74247"/>
    <w:rsid w:val="00A832C5"/>
    <w:rsid w:val="00A9655D"/>
    <w:rsid w:val="00AA02C9"/>
    <w:rsid w:val="00AC0E84"/>
    <w:rsid w:val="00AE0DF4"/>
    <w:rsid w:val="00B021A5"/>
    <w:rsid w:val="00B1549F"/>
    <w:rsid w:val="00B2018F"/>
    <w:rsid w:val="00B30B9A"/>
    <w:rsid w:val="00B43514"/>
    <w:rsid w:val="00B63A10"/>
    <w:rsid w:val="00B6603C"/>
    <w:rsid w:val="00B76E57"/>
    <w:rsid w:val="00B96911"/>
    <w:rsid w:val="00B96986"/>
    <w:rsid w:val="00BA52F5"/>
    <w:rsid w:val="00BB241F"/>
    <w:rsid w:val="00BC72A3"/>
    <w:rsid w:val="00BD02C6"/>
    <w:rsid w:val="00BD0544"/>
    <w:rsid w:val="00C154F6"/>
    <w:rsid w:val="00C41B1B"/>
    <w:rsid w:val="00C51219"/>
    <w:rsid w:val="00C65523"/>
    <w:rsid w:val="00C71B20"/>
    <w:rsid w:val="00CB5BA2"/>
    <w:rsid w:val="00CD4AB7"/>
    <w:rsid w:val="00CD4E55"/>
    <w:rsid w:val="00CE3399"/>
    <w:rsid w:val="00CF28EB"/>
    <w:rsid w:val="00D221C9"/>
    <w:rsid w:val="00D36CFC"/>
    <w:rsid w:val="00D47F13"/>
    <w:rsid w:val="00D9612A"/>
    <w:rsid w:val="00DB1051"/>
    <w:rsid w:val="00DB1452"/>
    <w:rsid w:val="00DD3394"/>
    <w:rsid w:val="00DF1D10"/>
    <w:rsid w:val="00E00752"/>
    <w:rsid w:val="00E05825"/>
    <w:rsid w:val="00E14743"/>
    <w:rsid w:val="00E358BC"/>
    <w:rsid w:val="00E35DAB"/>
    <w:rsid w:val="00E73B47"/>
    <w:rsid w:val="00E73C6D"/>
    <w:rsid w:val="00E8674A"/>
    <w:rsid w:val="00ED1633"/>
    <w:rsid w:val="00ED1DD3"/>
    <w:rsid w:val="00F0488B"/>
    <w:rsid w:val="00F10CB2"/>
    <w:rsid w:val="00F15AC3"/>
    <w:rsid w:val="00F21C53"/>
    <w:rsid w:val="00F236C5"/>
    <w:rsid w:val="00F36906"/>
    <w:rsid w:val="00F56AED"/>
    <w:rsid w:val="00F714CC"/>
    <w:rsid w:val="00F7658B"/>
    <w:rsid w:val="00F804E0"/>
    <w:rsid w:val="00FB4806"/>
    <w:rsid w:val="00FB5BE5"/>
    <w:rsid w:val="00FC4DF6"/>
    <w:rsid w:val="00FE0E8B"/>
    <w:rsid w:val="00FF73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DACF0"/>
  <w15:docId w15:val="{4FB4717D-5267-4DB7-B0CC-7F37108A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C3"/>
    <w:rPr>
      <w:sz w:val="24"/>
      <w:lang w:eastAsia="en-US"/>
    </w:rPr>
  </w:style>
  <w:style w:type="paragraph" w:styleId="Heading1">
    <w:name w:val="heading 1"/>
    <w:basedOn w:val="Normal"/>
    <w:next w:val="Normal"/>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F15AC3"/>
    <w:pPr>
      <w:keepNext/>
      <w:pBdr>
        <w:right w:val="single" w:sz="4" w:space="4" w:color="auto"/>
      </w:pBdr>
      <w:outlineLvl w:val="2"/>
    </w:pPr>
    <w:rPr>
      <w:i/>
      <w:iCs/>
      <w:sz w:val="22"/>
      <w:szCs w:val="22"/>
    </w:rPr>
  </w:style>
  <w:style w:type="paragraph" w:styleId="Heading4">
    <w:name w:val="heading 4"/>
    <w:basedOn w:val="Normal"/>
    <w:next w:val="Normal"/>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5AC3"/>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AA02C9"/>
    <w:pPr>
      <w:tabs>
        <w:tab w:val="left" w:pos="1701"/>
        <w:tab w:val="left" w:pos="2880"/>
      </w:tabs>
    </w:pPr>
    <w:rPr>
      <w:snapToGrid w:val="0"/>
      <w:sz w:val="20"/>
      <w:szCs w:val="24"/>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semiHidden/>
    <w:rsid w:val="00F15AC3"/>
    <w:pPr>
      <w:tabs>
        <w:tab w:val="left" w:pos="2880"/>
        <w:tab w:val="center" w:pos="4153"/>
        <w:tab w:val="right" w:pos="8306"/>
      </w:tabs>
    </w:p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F15AC3"/>
  </w:style>
  <w:style w:type="paragraph" w:customStyle="1" w:styleId="Aparabullet">
    <w:name w:val="A para bullet"/>
    <w:basedOn w:val="Normal"/>
    <w:rsid w:val="00F15AC3"/>
    <w:pPr>
      <w:numPr>
        <w:numId w:val="4"/>
      </w:numPr>
    </w:pPr>
  </w:style>
  <w:style w:type="paragraph" w:styleId="TOC1">
    <w:name w:val="toc 1"/>
    <w:basedOn w:val="Normal"/>
    <w:next w:val="Normal"/>
    <w:autoRedefine/>
    <w:semiHidden/>
    <w:rsid w:val="00F15AC3"/>
  </w:style>
  <w:style w:type="paragraph" w:styleId="TOC2">
    <w:name w:val="toc 2"/>
    <w:basedOn w:val="Normal"/>
    <w:next w:val="Normal"/>
    <w:autoRedefine/>
    <w:semiHidden/>
    <w:rsid w:val="00F15AC3"/>
    <w:pPr>
      <w:ind w:left="240"/>
    </w:pPr>
  </w:style>
  <w:style w:type="paragraph" w:styleId="TOC3">
    <w:name w:val="toc 3"/>
    <w:basedOn w:val="Normal"/>
    <w:next w:val="Normal"/>
    <w:autoRedefine/>
    <w:semiHidden/>
    <w:rsid w:val="00F15AC3"/>
    <w:pPr>
      <w:ind w:left="480"/>
    </w:pPr>
  </w:style>
  <w:style w:type="paragraph" w:styleId="TOC4">
    <w:name w:val="toc 4"/>
    <w:basedOn w:val="Normal"/>
    <w:next w:val="Normal"/>
    <w:autoRedefine/>
    <w:semiHidden/>
    <w:rsid w:val="00F15AC3"/>
    <w:pPr>
      <w:ind w:left="720"/>
    </w:pPr>
  </w:style>
  <w:style w:type="paragraph" w:styleId="TOC5">
    <w:name w:val="toc 5"/>
    <w:basedOn w:val="Normal"/>
    <w:next w:val="Normal"/>
    <w:autoRedefine/>
    <w:semiHidden/>
    <w:rsid w:val="00F15AC3"/>
    <w:pPr>
      <w:ind w:left="960"/>
    </w:pPr>
  </w:style>
  <w:style w:type="paragraph" w:styleId="TOC6">
    <w:name w:val="toc 6"/>
    <w:basedOn w:val="Normal"/>
    <w:next w:val="Normal"/>
    <w:autoRedefine/>
    <w:semiHidden/>
    <w:rsid w:val="00F15AC3"/>
    <w:pPr>
      <w:ind w:left="1200"/>
    </w:pPr>
  </w:style>
  <w:style w:type="paragraph" w:styleId="TOC7">
    <w:name w:val="toc 7"/>
    <w:basedOn w:val="Normal"/>
    <w:next w:val="Normal"/>
    <w:autoRedefine/>
    <w:semiHidden/>
    <w:rsid w:val="00F15AC3"/>
    <w:pPr>
      <w:ind w:left="1440"/>
    </w:pPr>
  </w:style>
  <w:style w:type="paragraph" w:styleId="TOC8">
    <w:name w:val="toc 8"/>
    <w:basedOn w:val="Normal"/>
    <w:next w:val="Normal"/>
    <w:autoRedefine/>
    <w:semiHidden/>
    <w:rsid w:val="00F15AC3"/>
    <w:pPr>
      <w:ind w:left="1680"/>
    </w:pPr>
  </w:style>
  <w:style w:type="paragraph" w:styleId="TOC9">
    <w:name w:val="toc 9"/>
    <w:basedOn w:val="Normal"/>
    <w:next w:val="Normal"/>
    <w:autoRedefine/>
    <w:semiHidden/>
    <w:rsid w:val="00F15AC3"/>
    <w:pPr>
      <w:ind w:left="1920"/>
    </w:pPr>
  </w:style>
  <w:style w:type="character" w:styleId="Hyperlink">
    <w:name w:val="Hyperlink"/>
    <w:basedOn w:val="DefaultParagraphFont"/>
    <w:semiHidden/>
    <w:rsid w:val="00F15AC3"/>
    <w:rPr>
      <w:color w:val="0000FF"/>
      <w:u w:val="single"/>
    </w:rPr>
  </w:style>
  <w:style w:type="paragraph" w:styleId="BodyTextIndent">
    <w:name w:val="Body Text Indent"/>
    <w:basedOn w:val="Normal"/>
    <w:semiHidden/>
    <w:rsid w:val="00F15AC3"/>
    <w:pPr>
      <w:spacing w:before="120" w:after="60"/>
      <w:ind w:left="709"/>
    </w:p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semiHidden/>
    <w:rsid w:val="00F15AC3"/>
    <w:rPr>
      <w:color w:val="800080"/>
      <w:u w:val="single"/>
    </w:rPr>
  </w:style>
  <w:style w:type="character" w:styleId="FootnoteReference">
    <w:name w:val="footnote reference"/>
    <w:basedOn w:val="DefaultParagraphFont"/>
    <w:semiHidden/>
    <w:rsid w:val="00F15AC3"/>
    <w:rPr>
      <w:rFonts w:ascii="Times New Roman" w:hAnsi="Times New Roman" w:cs="Times New Roman"/>
      <w:sz w:val="24"/>
      <w:szCs w:val="24"/>
      <w:vertAlign w:val="superscript"/>
    </w:rPr>
  </w:style>
  <w:style w:type="paragraph" w:styleId="FootnoteText">
    <w:name w:val="footnote text"/>
    <w:basedOn w:val="Normal"/>
    <w:semiHidden/>
    <w:rsid w:val="00F15AC3"/>
    <w:pPr>
      <w:spacing w:before="80" w:after="60"/>
      <w:jc w:val="both"/>
    </w:pPr>
    <w:rPr>
      <w:szCs w:val="24"/>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style>
  <w:style w:type="paragraph" w:styleId="BalloonText">
    <w:name w:val="Balloon Text"/>
    <w:basedOn w:val="Normal"/>
    <w:link w:val="BalloonTextChar"/>
    <w:uiPriority w:val="99"/>
    <w:semiHidden/>
    <w:unhideWhenUsed/>
    <w:rsid w:val="00A74247"/>
    <w:rPr>
      <w:rFonts w:ascii="Tahoma" w:hAnsi="Tahoma" w:cs="Tahoma"/>
      <w:sz w:val="16"/>
      <w:szCs w:val="16"/>
    </w:rPr>
  </w:style>
  <w:style w:type="character" w:customStyle="1" w:styleId="BalloonTextChar">
    <w:name w:val="Balloon Text Char"/>
    <w:basedOn w:val="DefaultParagraphFont"/>
    <w:link w:val="BalloonText"/>
    <w:uiPriority w:val="99"/>
    <w:semiHidden/>
    <w:rsid w:val="00A74247"/>
    <w:rPr>
      <w:rFonts w:ascii="Tahoma" w:hAnsi="Tahoma" w:cs="Tahoma"/>
      <w:sz w:val="16"/>
      <w:szCs w:val="16"/>
      <w:lang w:eastAsia="en-US"/>
    </w:rPr>
  </w:style>
  <w:style w:type="character" w:customStyle="1" w:styleId="FooterChar">
    <w:name w:val="Footer Char"/>
    <w:basedOn w:val="DefaultParagraphFont"/>
    <w:link w:val="Footer"/>
    <w:uiPriority w:val="99"/>
    <w:rsid w:val="00AA02C9"/>
    <w:rPr>
      <w:snapToGrid w:val="0"/>
      <w:szCs w:val="24"/>
      <w:lang w:eastAsia="en-US"/>
    </w:rPr>
  </w:style>
  <w:style w:type="character" w:customStyle="1" w:styleId="Heading2Char">
    <w:name w:val="Heading 2 Char"/>
    <w:basedOn w:val="DefaultParagraphFont"/>
    <w:link w:val="Heading2"/>
    <w:rsid w:val="009178E2"/>
    <w:rPr>
      <w:rFonts w:ascii="Arial" w:hAnsi="Arial" w:cs="Arial"/>
      <w:i/>
      <w:iCs/>
      <w:sz w:val="16"/>
      <w:szCs w:val="16"/>
      <w:lang w:eastAsia="en-US"/>
    </w:rPr>
  </w:style>
  <w:style w:type="character" w:styleId="UnresolvedMention">
    <w:name w:val="Unresolved Mention"/>
    <w:basedOn w:val="DefaultParagraphFont"/>
    <w:uiPriority w:val="99"/>
    <w:semiHidden/>
    <w:unhideWhenUsed/>
    <w:rsid w:val="009436D1"/>
    <w:rPr>
      <w:color w:val="605E5C"/>
      <w:shd w:val="clear" w:color="auto" w:fill="E1DFDD"/>
    </w:rPr>
  </w:style>
  <w:style w:type="paragraph" w:styleId="NormalWeb">
    <w:name w:val="Normal (Web)"/>
    <w:basedOn w:val="Normal"/>
    <w:uiPriority w:val="99"/>
    <w:unhideWhenUsed/>
    <w:rsid w:val="005652A1"/>
    <w:pPr>
      <w:spacing w:before="100" w:beforeAutospacing="1" w:after="100" w:afterAutospacing="1"/>
    </w:pPr>
    <w:rPr>
      <w:szCs w:val="24"/>
      <w:lang w:eastAsia="en-AU"/>
    </w:rPr>
  </w:style>
  <w:style w:type="paragraph" w:customStyle="1" w:styleId="Default">
    <w:name w:val="Default"/>
    <w:rsid w:val="002571E9"/>
    <w:pPr>
      <w:autoSpaceDE w:val="0"/>
      <w:autoSpaceDN w:val="0"/>
      <w:adjustRightInd w:val="0"/>
    </w:pPr>
    <w:rPr>
      <w:rFonts w:ascii="Verdana" w:eastAsiaTheme="minorHAnsi" w:hAnsi="Verdana" w:cs="Verdana"/>
      <w:color w:val="000000"/>
      <w:sz w:val="24"/>
      <w:szCs w:val="24"/>
      <w:lang w:eastAsia="en-US"/>
    </w:rPr>
  </w:style>
  <w:style w:type="paragraph" w:styleId="Revision">
    <w:name w:val="Revision"/>
    <w:hidden/>
    <w:uiPriority w:val="99"/>
    <w:semiHidden/>
    <w:rsid w:val="003C7FA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52881">
      <w:bodyDiv w:val="1"/>
      <w:marLeft w:val="0"/>
      <w:marRight w:val="0"/>
      <w:marTop w:val="0"/>
      <w:marBottom w:val="0"/>
      <w:divBdr>
        <w:top w:val="none" w:sz="0" w:space="0" w:color="auto"/>
        <w:left w:val="none" w:sz="0" w:space="0" w:color="auto"/>
        <w:bottom w:val="none" w:sz="0" w:space="0" w:color="auto"/>
        <w:right w:val="none" w:sz="0" w:space="0" w:color="auto"/>
      </w:divBdr>
    </w:div>
    <w:div w:id="275528399">
      <w:bodyDiv w:val="1"/>
      <w:marLeft w:val="0"/>
      <w:marRight w:val="0"/>
      <w:marTop w:val="0"/>
      <w:marBottom w:val="0"/>
      <w:divBdr>
        <w:top w:val="none" w:sz="0" w:space="0" w:color="auto"/>
        <w:left w:val="none" w:sz="0" w:space="0" w:color="auto"/>
        <w:bottom w:val="none" w:sz="0" w:space="0" w:color="auto"/>
        <w:right w:val="none" w:sz="0" w:space="0" w:color="auto"/>
      </w:divBdr>
    </w:div>
    <w:div w:id="363864922">
      <w:bodyDiv w:val="1"/>
      <w:marLeft w:val="0"/>
      <w:marRight w:val="0"/>
      <w:marTop w:val="0"/>
      <w:marBottom w:val="0"/>
      <w:divBdr>
        <w:top w:val="none" w:sz="0" w:space="0" w:color="auto"/>
        <w:left w:val="none" w:sz="0" w:space="0" w:color="auto"/>
        <w:bottom w:val="none" w:sz="0" w:space="0" w:color="auto"/>
        <w:right w:val="none" w:sz="0" w:space="0" w:color="auto"/>
      </w:divBdr>
    </w:div>
    <w:div w:id="374357541">
      <w:bodyDiv w:val="1"/>
      <w:marLeft w:val="0"/>
      <w:marRight w:val="0"/>
      <w:marTop w:val="0"/>
      <w:marBottom w:val="0"/>
      <w:divBdr>
        <w:top w:val="none" w:sz="0" w:space="0" w:color="auto"/>
        <w:left w:val="none" w:sz="0" w:space="0" w:color="auto"/>
        <w:bottom w:val="none" w:sz="0" w:space="0" w:color="auto"/>
        <w:right w:val="none" w:sz="0" w:space="0" w:color="auto"/>
      </w:divBdr>
    </w:div>
    <w:div w:id="410080679">
      <w:bodyDiv w:val="1"/>
      <w:marLeft w:val="0"/>
      <w:marRight w:val="0"/>
      <w:marTop w:val="0"/>
      <w:marBottom w:val="0"/>
      <w:divBdr>
        <w:top w:val="none" w:sz="0" w:space="0" w:color="auto"/>
        <w:left w:val="none" w:sz="0" w:space="0" w:color="auto"/>
        <w:bottom w:val="none" w:sz="0" w:space="0" w:color="auto"/>
        <w:right w:val="none" w:sz="0" w:space="0" w:color="auto"/>
      </w:divBdr>
    </w:div>
    <w:div w:id="483006936">
      <w:bodyDiv w:val="1"/>
      <w:marLeft w:val="0"/>
      <w:marRight w:val="0"/>
      <w:marTop w:val="0"/>
      <w:marBottom w:val="0"/>
      <w:divBdr>
        <w:top w:val="none" w:sz="0" w:space="0" w:color="auto"/>
        <w:left w:val="none" w:sz="0" w:space="0" w:color="auto"/>
        <w:bottom w:val="none" w:sz="0" w:space="0" w:color="auto"/>
        <w:right w:val="none" w:sz="0" w:space="0" w:color="auto"/>
      </w:divBdr>
    </w:div>
    <w:div w:id="551042531">
      <w:bodyDiv w:val="1"/>
      <w:marLeft w:val="0"/>
      <w:marRight w:val="0"/>
      <w:marTop w:val="0"/>
      <w:marBottom w:val="0"/>
      <w:divBdr>
        <w:top w:val="none" w:sz="0" w:space="0" w:color="auto"/>
        <w:left w:val="none" w:sz="0" w:space="0" w:color="auto"/>
        <w:bottom w:val="none" w:sz="0" w:space="0" w:color="auto"/>
        <w:right w:val="none" w:sz="0" w:space="0" w:color="auto"/>
      </w:divBdr>
    </w:div>
    <w:div w:id="754518136">
      <w:bodyDiv w:val="1"/>
      <w:marLeft w:val="0"/>
      <w:marRight w:val="0"/>
      <w:marTop w:val="0"/>
      <w:marBottom w:val="0"/>
      <w:divBdr>
        <w:top w:val="none" w:sz="0" w:space="0" w:color="auto"/>
        <w:left w:val="none" w:sz="0" w:space="0" w:color="auto"/>
        <w:bottom w:val="none" w:sz="0" w:space="0" w:color="auto"/>
        <w:right w:val="none" w:sz="0" w:space="0" w:color="auto"/>
      </w:divBdr>
    </w:div>
    <w:div w:id="882981003">
      <w:bodyDiv w:val="1"/>
      <w:marLeft w:val="0"/>
      <w:marRight w:val="0"/>
      <w:marTop w:val="0"/>
      <w:marBottom w:val="0"/>
      <w:divBdr>
        <w:top w:val="none" w:sz="0" w:space="0" w:color="auto"/>
        <w:left w:val="none" w:sz="0" w:space="0" w:color="auto"/>
        <w:bottom w:val="none" w:sz="0" w:space="0" w:color="auto"/>
        <w:right w:val="none" w:sz="0" w:space="0" w:color="auto"/>
      </w:divBdr>
    </w:div>
    <w:div w:id="1138230625">
      <w:bodyDiv w:val="1"/>
      <w:marLeft w:val="0"/>
      <w:marRight w:val="0"/>
      <w:marTop w:val="0"/>
      <w:marBottom w:val="0"/>
      <w:divBdr>
        <w:top w:val="none" w:sz="0" w:space="0" w:color="auto"/>
        <w:left w:val="none" w:sz="0" w:space="0" w:color="auto"/>
        <w:bottom w:val="none" w:sz="0" w:space="0" w:color="auto"/>
        <w:right w:val="none" w:sz="0" w:space="0" w:color="auto"/>
      </w:divBdr>
    </w:div>
    <w:div w:id="1153326767">
      <w:bodyDiv w:val="1"/>
      <w:marLeft w:val="0"/>
      <w:marRight w:val="0"/>
      <w:marTop w:val="0"/>
      <w:marBottom w:val="0"/>
      <w:divBdr>
        <w:top w:val="none" w:sz="0" w:space="0" w:color="auto"/>
        <w:left w:val="none" w:sz="0" w:space="0" w:color="auto"/>
        <w:bottom w:val="none" w:sz="0" w:space="0" w:color="auto"/>
        <w:right w:val="none" w:sz="0" w:space="0" w:color="auto"/>
      </w:divBdr>
    </w:div>
    <w:div w:id="1257320873">
      <w:bodyDiv w:val="1"/>
      <w:marLeft w:val="0"/>
      <w:marRight w:val="0"/>
      <w:marTop w:val="0"/>
      <w:marBottom w:val="0"/>
      <w:divBdr>
        <w:top w:val="none" w:sz="0" w:space="0" w:color="auto"/>
        <w:left w:val="none" w:sz="0" w:space="0" w:color="auto"/>
        <w:bottom w:val="none" w:sz="0" w:space="0" w:color="auto"/>
        <w:right w:val="none" w:sz="0" w:space="0" w:color="auto"/>
      </w:divBdr>
    </w:div>
    <w:div w:id="1356661227">
      <w:bodyDiv w:val="1"/>
      <w:marLeft w:val="0"/>
      <w:marRight w:val="0"/>
      <w:marTop w:val="0"/>
      <w:marBottom w:val="0"/>
      <w:divBdr>
        <w:top w:val="none" w:sz="0" w:space="0" w:color="auto"/>
        <w:left w:val="none" w:sz="0" w:space="0" w:color="auto"/>
        <w:bottom w:val="none" w:sz="0" w:space="0" w:color="auto"/>
        <w:right w:val="none" w:sz="0" w:space="0" w:color="auto"/>
      </w:divBdr>
    </w:div>
    <w:div w:id="1669359020">
      <w:bodyDiv w:val="1"/>
      <w:marLeft w:val="0"/>
      <w:marRight w:val="0"/>
      <w:marTop w:val="0"/>
      <w:marBottom w:val="0"/>
      <w:divBdr>
        <w:top w:val="none" w:sz="0" w:space="0" w:color="auto"/>
        <w:left w:val="none" w:sz="0" w:space="0" w:color="auto"/>
        <w:bottom w:val="none" w:sz="0" w:space="0" w:color="auto"/>
        <w:right w:val="none" w:sz="0" w:space="0" w:color="auto"/>
      </w:divBdr>
    </w:div>
    <w:div w:id="1690063787">
      <w:bodyDiv w:val="1"/>
      <w:marLeft w:val="0"/>
      <w:marRight w:val="0"/>
      <w:marTop w:val="0"/>
      <w:marBottom w:val="0"/>
      <w:divBdr>
        <w:top w:val="none" w:sz="0" w:space="0" w:color="auto"/>
        <w:left w:val="none" w:sz="0" w:space="0" w:color="auto"/>
        <w:bottom w:val="none" w:sz="0" w:space="0" w:color="auto"/>
        <w:right w:val="none" w:sz="0" w:space="0" w:color="auto"/>
      </w:divBdr>
    </w:div>
    <w:div w:id="2082558526">
      <w:bodyDiv w:val="1"/>
      <w:marLeft w:val="0"/>
      <w:marRight w:val="0"/>
      <w:marTop w:val="0"/>
      <w:marBottom w:val="0"/>
      <w:divBdr>
        <w:top w:val="none" w:sz="0" w:space="0" w:color="auto"/>
        <w:left w:val="none" w:sz="0" w:space="0" w:color="auto"/>
        <w:bottom w:val="none" w:sz="0" w:space="0" w:color="auto"/>
        <w:right w:val="none" w:sz="0" w:space="0" w:color="auto"/>
      </w:divBdr>
    </w:div>
    <w:div w:id="210078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n.wikipedia.org/wiki/Northern_Territory_Legislative_Assemb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878FA-E007-460E-9519-EA3450C6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2284</Words>
  <Characters>12702</Characters>
  <Application>Microsoft Office Word</Application>
  <DocSecurity>0</DocSecurity>
  <Lines>500</Lines>
  <Paragraphs>88</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creator>Anna Anderberg-Hewitt</dc:creator>
  <cp:lastModifiedBy>PCODCS</cp:lastModifiedBy>
  <cp:revision>4</cp:revision>
  <cp:lastPrinted>2004-04-05T00:37:00Z</cp:lastPrinted>
  <dcterms:created xsi:type="dcterms:W3CDTF">2022-11-30T22:51:00Z</dcterms:created>
  <dcterms:modified xsi:type="dcterms:W3CDTF">2022-11-30T22:51:00Z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A39764768</vt:lpwstr>
  </property>
  <property fmtid="{D5CDD505-2E9C-101B-9397-08002B2CF9AE}" pid="4" name="Objective-Title">
    <vt:lpwstr>Public Place Names (Denman Prospect) Determination 2022</vt:lpwstr>
  </property>
  <property fmtid="{D5CDD505-2E9C-101B-9397-08002B2CF9AE}" pid="5" name="Objective-Comment">
    <vt:lpwstr/>
  </property>
  <property fmtid="{D5CDD505-2E9C-101B-9397-08002B2CF9AE}" pid="6" name="Objective-CreationStamp">
    <vt:filetime>2022-11-23T00:02:56Z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2022-11-29T05:14:25Z</vt:filetime>
  </property>
  <property fmtid="{D5CDD505-2E9C-101B-9397-08002B2CF9AE}" pid="11" name="Objective-Owner">
    <vt:lpwstr>Anika McDonald</vt:lpwstr>
  </property>
  <property fmtid="{D5CDD505-2E9C-101B-9397-08002B2CF9AE}" pid="12" name="Objective-Path">
    <vt:lpwstr>Whole of ACT Government:EPSDD - Environment Planning and Sustainable Development Directorate:07. Ministerial, Cabinet and Government Relations:07. Executive Briefs &amp; Correspondence:Director-General, Chief Planning Executive and Utilities Technical Regulator:2022 - Director General Briefs and Correspondence:Statutory Planning:11. November:22/154413 Director General Information Brief - Public Place Names Denman Prospect 2022 Instrument Brief, Explanatory Statement, Determination:</vt:lpwstr>
  </property>
  <property fmtid="{D5CDD505-2E9C-101B-9397-08002B2CF9AE}" pid="13" name="Objective-Parent">
    <vt:lpwstr>22/154413 Director General Information Brief - Public Place Names Denman Prospect 2022 Instrument Brief, Explanatory Statement, Determination</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1-2022/154413</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EPSDD</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y fmtid="{D5CDD505-2E9C-101B-9397-08002B2CF9AE}" pid="43" name="DMSID">
    <vt:lpwstr>9997804</vt:lpwstr>
  </property>
  <property fmtid="{D5CDD505-2E9C-101B-9397-08002B2CF9AE}" pid="44" name="CHECKEDOUTFROMJMS">
    <vt:lpwstr/>
  </property>
  <property fmtid="{D5CDD505-2E9C-101B-9397-08002B2CF9AE}" pid="45" name="JMSREQUIREDCHECKIN">
    <vt:lpwstr/>
  </property>
</Properties>
</file>