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DB6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8E025F" w14:textId="528CCCC8" w:rsidR="00F10CB2" w:rsidRDefault="006364E0">
      <w:pPr>
        <w:pStyle w:val="Billname"/>
        <w:spacing w:before="700"/>
      </w:pPr>
      <w:bookmarkStart w:id="1" w:name="_Hlk104451901"/>
      <w:r>
        <w:t xml:space="preserve">Gaming Machine </w:t>
      </w:r>
      <w:r w:rsidR="00F10CB2">
        <w:t>(</w:t>
      </w:r>
      <w:r w:rsidR="00B87E88">
        <w:t xml:space="preserve">Payment from </w:t>
      </w:r>
      <w:r w:rsidR="00984905">
        <w:t xml:space="preserve">Gambling Harm Prevention </w:t>
      </w:r>
      <w:r>
        <w:t xml:space="preserve">and </w:t>
      </w:r>
      <w:r w:rsidR="00984905">
        <w:t>Mitigation Fund</w:t>
      </w:r>
      <w:r w:rsidR="00984905" w:rsidRPr="00984905">
        <w:t>—</w:t>
      </w:r>
      <w:r w:rsidR="00984905">
        <w:t>Minimum Community Contributions</w:t>
      </w:r>
      <w:r w:rsidR="00F10CB2">
        <w:t xml:space="preserve">) </w:t>
      </w:r>
      <w:r w:rsidR="005D38BC">
        <w:t>Guidelines</w:t>
      </w:r>
      <w:r w:rsidR="00B30B9A">
        <w:t xml:space="preserve"> </w:t>
      </w:r>
      <w:r w:rsidR="005D38BC">
        <w:t>2022</w:t>
      </w:r>
      <w:r w:rsidR="00F10CB2">
        <w:t xml:space="preserve"> (No </w:t>
      </w:r>
      <w:r w:rsidR="009F5C38">
        <w:t>1</w:t>
      </w:r>
      <w:r w:rsidR="00F10CB2">
        <w:t>)</w:t>
      </w:r>
      <w:bookmarkEnd w:id="1"/>
    </w:p>
    <w:p w14:paraId="61FDA4F7" w14:textId="136ADDA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F5C38">
        <w:rPr>
          <w:rFonts w:ascii="Arial" w:hAnsi="Arial" w:cs="Arial"/>
          <w:b/>
          <w:bCs/>
          <w:iCs/>
        </w:rPr>
        <w:t>2022-</w:t>
      </w:r>
      <w:r w:rsidR="00CD6762">
        <w:rPr>
          <w:rFonts w:ascii="Arial" w:hAnsi="Arial" w:cs="Arial"/>
          <w:b/>
          <w:bCs/>
          <w:iCs/>
        </w:rPr>
        <w:t>87</w:t>
      </w:r>
    </w:p>
    <w:p w14:paraId="5AAE893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4D416D7" w14:textId="0D8246CB" w:rsidR="00F10CB2" w:rsidRDefault="00FF1B1D" w:rsidP="00CD4E55">
      <w:pPr>
        <w:pStyle w:val="CoverActName"/>
        <w:spacing w:before="320" w:after="0"/>
        <w:rPr>
          <w:rFonts w:cs="Arial"/>
          <w:sz w:val="20"/>
        </w:rPr>
      </w:pPr>
      <w:bookmarkStart w:id="2" w:name="_Hlk100766137"/>
      <w:r>
        <w:rPr>
          <w:rFonts w:cs="Arial"/>
          <w:sz w:val="20"/>
        </w:rPr>
        <w:t>Gaming Machine Act 2004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163D</w:t>
      </w:r>
      <w:r w:rsidR="00D9282A">
        <w:rPr>
          <w:rFonts w:cs="Arial"/>
          <w:sz w:val="20"/>
        </w:rPr>
        <w:t xml:space="preserve"> </w:t>
      </w:r>
      <w:r>
        <w:rPr>
          <w:rFonts w:cs="Arial"/>
          <w:sz w:val="20"/>
        </w:rPr>
        <w:t>(3) (Payment from gambling harm prevention and mitigation fund – minimum community contributions)</w:t>
      </w:r>
    </w:p>
    <w:bookmarkEnd w:id="2"/>
    <w:p w14:paraId="077D37F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9D88399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23D7D5E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BFF517E" w14:textId="285B3ECA" w:rsidR="00F10CB2" w:rsidRDefault="00F10CB2" w:rsidP="00D47F13">
      <w:pPr>
        <w:spacing w:before="140"/>
        <w:ind w:left="720"/>
      </w:pPr>
      <w:r>
        <w:t xml:space="preserve">This instrument is the </w:t>
      </w:r>
      <w:r w:rsidR="00AF4892" w:rsidRPr="0027346A">
        <w:rPr>
          <w:i/>
          <w:iCs/>
        </w:rPr>
        <w:t>Gaming Machine (Payment from Gambling Harm Prevention and Mitigation Fund—Minimum Community Contributions) Guidelines 2022 (No 1)</w:t>
      </w:r>
      <w:r w:rsidRPr="00F01E12">
        <w:rPr>
          <w:bCs/>
          <w:i/>
          <w:iCs/>
        </w:rPr>
        <w:t>.</w:t>
      </w:r>
    </w:p>
    <w:p w14:paraId="0CE64085" w14:textId="4F8482A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845D799" w14:textId="34EF1E18" w:rsidR="00F10CB2" w:rsidRDefault="00F10CB2" w:rsidP="00D47F13">
      <w:pPr>
        <w:spacing w:before="140"/>
        <w:ind w:left="720"/>
      </w:pPr>
      <w:r>
        <w:t>This instrument commences on</w:t>
      </w:r>
      <w:r w:rsidR="009F5C38">
        <w:t xml:space="preserve"> the day after it is notified</w:t>
      </w:r>
      <w:r w:rsidR="00D961EF">
        <w:t>.</w:t>
      </w:r>
    </w:p>
    <w:p w14:paraId="34727348" w14:textId="512617C3" w:rsidR="00F10CB2" w:rsidRPr="00B87E88" w:rsidRDefault="00F10CB2" w:rsidP="00B87E8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87E88">
        <w:rPr>
          <w:rFonts w:ascii="Arial" w:hAnsi="Arial" w:cs="Arial"/>
          <w:b/>
          <w:bCs/>
        </w:rPr>
        <w:t xml:space="preserve">Payment from gambling harm prevention and mitigation fund – minimum community contribution guidelines </w:t>
      </w:r>
    </w:p>
    <w:p w14:paraId="19A8877F" w14:textId="54BFD5DC" w:rsidR="009F5C38" w:rsidRDefault="00B87E88" w:rsidP="007457B9">
      <w:pPr>
        <w:spacing w:before="140"/>
        <w:ind w:left="720"/>
      </w:pPr>
      <w:r w:rsidRPr="00B87E88">
        <w:t>I make the</w:t>
      </w:r>
      <w:r>
        <w:t xml:space="preserve"> </w:t>
      </w:r>
      <w:r w:rsidR="00AF4892" w:rsidRPr="0027346A">
        <w:rPr>
          <w:i/>
          <w:iCs/>
        </w:rPr>
        <w:t>Payment from Gambling Harm Prevention and Mitigation Fund—Minimum Community Contributions</w:t>
      </w:r>
      <w:r w:rsidRPr="0027346A">
        <w:rPr>
          <w:i/>
          <w:iCs/>
        </w:rPr>
        <w:t xml:space="preserve"> </w:t>
      </w:r>
      <w:r w:rsidR="00AF4892" w:rsidRPr="0027346A">
        <w:rPr>
          <w:i/>
          <w:iCs/>
        </w:rPr>
        <w:t>G</w:t>
      </w:r>
      <w:r w:rsidR="009F5C38" w:rsidRPr="0027346A">
        <w:rPr>
          <w:i/>
          <w:iCs/>
        </w:rPr>
        <w:t>uidelines</w:t>
      </w:r>
      <w:r w:rsidR="009F5C38">
        <w:t xml:space="preserve"> </w:t>
      </w:r>
      <w:r>
        <w:t xml:space="preserve">as provided in Schedule 1 of this </w:t>
      </w:r>
      <w:r w:rsidR="009F5C38">
        <w:t>instrument</w:t>
      </w:r>
      <w:r>
        <w:t>.</w:t>
      </w:r>
    </w:p>
    <w:p w14:paraId="781E5465" w14:textId="5E7C30BC" w:rsidR="007457B9" w:rsidRPr="00B87E88" w:rsidRDefault="007457B9" w:rsidP="007457B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Expiry</w:t>
      </w:r>
    </w:p>
    <w:p w14:paraId="3E98ADF0" w14:textId="6276D8B7" w:rsidR="007457B9" w:rsidRDefault="007457B9" w:rsidP="007457B9">
      <w:pPr>
        <w:spacing w:before="140"/>
        <w:ind w:left="720"/>
      </w:pPr>
      <w:r>
        <w:t>This instrument expires on 31 August 2024.</w:t>
      </w:r>
    </w:p>
    <w:p w14:paraId="61520054" w14:textId="76CFF22D" w:rsidR="00D47F13" w:rsidRDefault="00861C8F" w:rsidP="0027346A">
      <w:pPr>
        <w:tabs>
          <w:tab w:val="left" w:pos="4320"/>
        </w:tabs>
        <w:spacing w:before="960"/>
      </w:pPr>
      <w:r>
        <w:t>Shane Rattenbury MLA</w:t>
      </w:r>
    </w:p>
    <w:p w14:paraId="21E3790C" w14:textId="4B338E03" w:rsidR="00F10CB2" w:rsidRDefault="00861C8F" w:rsidP="00D47F13">
      <w:pPr>
        <w:tabs>
          <w:tab w:val="left" w:pos="4320"/>
        </w:tabs>
      </w:pPr>
      <w:r>
        <w:t>Minister for Gaming</w:t>
      </w:r>
    </w:p>
    <w:bookmarkEnd w:id="0"/>
    <w:p w14:paraId="173B24E7" w14:textId="10B3EF43" w:rsidR="002F0CCD" w:rsidRDefault="00CD6762" w:rsidP="00232478">
      <w:pPr>
        <w:tabs>
          <w:tab w:val="left" w:pos="4320"/>
        </w:tabs>
      </w:pPr>
      <w:r>
        <w:t>13 June 2022</w:t>
      </w:r>
    </w:p>
    <w:p w14:paraId="5DEE7ED8" w14:textId="7EAF398B" w:rsidR="009F5C38" w:rsidRDefault="009F5C38">
      <w:r>
        <w:br w:type="page"/>
      </w:r>
    </w:p>
    <w:p w14:paraId="0B57F1FA" w14:textId="66A764F0" w:rsidR="002F0CCD" w:rsidRDefault="002F0CCD" w:rsidP="00232478">
      <w:pPr>
        <w:tabs>
          <w:tab w:val="left" w:pos="4320"/>
        </w:tabs>
      </w:pPr>
      <w:r>
        <w:lastRenderedPageBreak/>
        <w:t xml:space="preserve">SCHEDULE 1 </w:t>
      </w:r>
    </w:p>
    <w:p w14:paraId="68047027" w14:textId="0D4F6F46" w:rsidR="002F0CCD" w:rsidRDefault="002F0CCD" w:rsidP="00232478">
      <w:pPr>
        <w:tabs>
          <w:tab w:val="left" w:pos="4320"/>
        </w:tabs>
      </w:pPr>
    </w:p>
    <w:p w14:paraId="3B6C8182" w14:textId="281419A8" w:rsidR="002F0CCD" w:rsidRPr="00C816E0" w:rsidRDefault="00036CF8" w:rsidP="00B87E88">
      <w:pPr>
        <w:tabs>
          <w:tab w:val="left" w:pos="4320"/>
        </w:tabs>
        <w:jc w:val="center"/>
        <w:rPr>
          <w:b/>
          <w:bCs/>
        </w:rPr>
      </w:pPr>
      <w:r w:rsidRPr="00C816E0">
        <w:rPr>
          <w:b/>
          <w:bCs/>
        </w:rPr>
        <w:t xml:space="preserve">PAYMENT FROM </w:t>
      </w:r>
      <w:r w:rsidR="00B87E88" w:rsidRPr="00C816E0">
        <w:rPr>
          <w:b/>
          <w:bCs/>
        </w:rPr>
        <w:t xml:space="preserve">GAMBLING HARM PREVENTION AND MITIGATION </w:t>
      </w:r>
      <w:r w:rsidR="009F5C38" w:rsidRPr="00C816E0">
        <w:rPr>
          <w:b/>
          <w:bCs/>
        </w:rPr>
        <w:t>FUND</w:t>
      </w:r>
      <w:r w:rsidR="009F5C38">
        <w:rPr>
          <w:b/>
          <w:bCs/>
        </w:rPr>
        <w:t xml:space="preserve"> – MINIMUM COMMUNITY CONTRIBUTIONS GUIDELINES</w:t>
      </w:r>
    </w:p>
    <w:p w14:paraId="5C9476A9" w14:textId="77777777" w:rsidR="00404791" w:rsidRDefault="00404791" w:rsidP="00B87E88">
      <w:pPr>
        <w:tabs>
          <w:tab w:val="left" w:pos="4320"/>
        </w:tabs>
        <w:jc w:val="center"/>
      </w:pPr>
    </w:p>
    <w:p w14:paraId="219A96EA" w14:textId="0689DE47" w:rsidR="00B87E88" w:rsidRDefault="00B87E88" w:rsidP="00B87E88">
      <w:pPr>
        <w:tabs>
          <w:tab w:val="left" w:pos="4320"/>
        </w:tabs>
      </w:pPr>
    </w:p>
    <w:p w14:paraId="375DB634" w14:textId="2629173A" w:rsidR="00404791" w:rsidRPr="00B87E88" w:rsidRDefault="00404791" w:rsidP="00F01E12">
      <w:pPr>
        <w:tabs>
          <w:tab w:val="left" w:pos="4320"/>
        </w:tabs>
        <w:spacing w:after="240"/>
        <w:rPr>
          <w:b/>
          <w:bCs/>
        </w:rPr>
      </w:pPr>
      <w:r w:rsidRPr="00B87E88">
        <w:rPr>
          <w:b/>
          <w:bCs/>
        </w:rPr>
        <w:t>Purposes of the Gambling Harm Prevention and Mitigation Fund</w:t>
      </w:r>
    </w:p>
    <w:p w14:paraId="194ADFE3" w14:textId="0B9D2974" w:rsidR="00404791" w:rsidRPr="00E82746" w:rsidRDefault="00404791" w:rsidP="00F01E12">
      <w:pPr>
        <w:spacing w:after="240"/>
      </w:pPr>
      <w:r w:rsidRPr="00F01E12">
        <w:rPr>
          <w:bCs/>
          <w:color w:val="000000" w:themeColor="text1"/>
        </w:rPr>
        <w:t xml:space="preserve">The Gambling Harm Prevention and Mitigation Fund (the Fund) </w:t>
      </w:r>
      <w:r w:rsidR="00C97D5F" w:rsidRPr="00E82746">
        <w:rPr>
          <w:bCs/>
          <w:color w:val="000000" w:themeColor="text1"/>
        </w:rPr>
        <w:t>is</w:t>
      </w:r>
      <w:r w:rsidRPr="00F01E12">
        <w:rPr>
          <w:bCs/>
          <w:color w:val="000000" w:themeColor="text1"/>
        </w:rPr>
        <w:t xml:space="preserve"> established under the </w:t>
      </w:r>
      <w:r w:rsidRPr="00F01E12">
        <w:rPr>
          <w:bCs/>
          <w:i/>
          <w:iCs/>
          <w:color w:val="000000" w:themeColor="text1"/>
        </w:rPr>
        <w:t>Gaming Machine Act 2004</w:t>
      </w:r>
      <w:r w:rsidRPr="00F01E12">
        <w:rPr>
          <w:bCs/>
          <w:color w:val="000000" w:themeColor="text1"/>
        </w:rPr>
        <w:t xml:space="preserve"> (the Act)</w:t>
      </w:r>
      <w:r w:rsidR="00C97D5F" w:rsidRPr="00E82746">
        <w:rPr>
          <w:bCs/>
          <w:color w:val="000000" w:themeColor="text1"/>
        </w:rPr>
        <w:t>, division 11.2</w:t>
      </w:r>
      <w:r w:rsidR="00E82746">
        <w:rPr>
          <w:bCs/>
          <w:color w:val="000000" w:themeColor="text1"/>
        </w:rPr>
        <w:t>.</w:t>
      </w:r>
    </w:p>
    <w:p w14:paraId="7220FA0B" w14:textId="03014297" w:rsidR="00B87E88" w:rsidRPr="000A4547" w:rsidRDefault="000A4547" w:rsidP="00F01E12">
      <w:pPr>
        <w:tabs>
          <w:tab w:val="left" w:pos="4320"/>
        </w:tabs>
        <w:spacing w:after="240"/>
        <w:rPr>
          <w:b/>
          <w:bCs/>
        </w:rPr>
      </w:pPr>
      <w:r w:rsidRPr="000A4547">
        <w:rPr>
          <w:b/>
          <w:bCs/>
        </w:rPr>
        <w:t>S</w:t>
      </w:r>
      <w:r w:rsidR="00404791" w:rsidRPr="000A4547">
        <w:rPr>
          <w:b/>
          <w:bCs/>
        </w:rPr>
        <w:t xml:space="preserve">cope </w:t>
      </w:r>
      <w:r w:rsidR="00A455A8" w:rsidRPr="000A4547">
        <w:rPr>
          <w:b/>
          <w:bCs/>
        </w:rPr>
        <w:t xml:space="preserve">of these </w:t>
      </w:r>
      <w:r w:rsidR="00404791" w:rsidRPr="000A4547">
        <w:rPr>
          <w:b/>
          <w:bCs/>
        </w:rPr>
        <w:t>Guidelines</w:t>
      </w:r>
    </w:p>
    <w:p w14:paraId="7DD0A68B" w14:textId="73162003" w:rsidR="00404791" w:rsidRPr="00F01E12" w:rsidRDefault="00404791" w:rsidP="00F01E12">
      <w:pPr>
        <w:spacing w:after="240"/>
        <w:rPr>
          <w:bCs/>
          <w:color w:val="000000" w:themeColor="text1"/>
          <w:szCs w:val="24"/>
        </w:rPr>
      </w:pPr>
      <w:r w:rsidRPr="00F01E12">
        <w:rPr>
          <w:bCs/>
          <w:color w:val="000000" w:themeColor="text1"/>
          <w:szCs w:val="24"/>
        </w:rPr>
        <w:t xml:space="preserve">These Guidelines </w:t>
      </w:r>
      <w:r w:rsidR="00E82746">
        <w:rPr>
          <w:bCs/>
          <w:color w:val="000000" w:themeColor="text1"/>
          <w:szCs w:val="24"/>
        </w:rPr>
        <w:t>relate only to</w:t>
      </w:r>
      <w:r w:rsidRPr="00F01E12">
        <w:rPr>
          <w:bCs/>
          <w:color w:val="000000" w:themeColor="text1"/>
          <w:szCs w:val="24"/>
        </w:rPr>
        <w:t xml:space="preserve"> allocat</w:t>
      </w:r>
      <w:r w:rsidR="00E82746">
        <w:rPr>
          <w:bCs/>
          <w:color w:val="000000" w:themeColor="text1"/>
          <w:szCs w:val="24"/>
        </w:rPr>
        <w:t>ion of</w:t>
      </w:r>
      <w:r w:rsidRPr="00F01E12">
        <w:rPr>
          <w:bCs/>
          <w:color w:val="000000" w:themeColor="text1"/>
          <w:szCs w:val="24"/>
        </w:rPr>
        <w:t xml:space="preserve"> </w:t>
      </w:r>
      <w:r w:rsidR="00E82746">
        <w:rPr>
          <w:bCs/>
          <w:color w:val="000000" w:themeColor="text1"/>
          <w:szCs w:val="24"/>
        </w:rPr>
        <w:t>money</w:t>
      </w:r>
      <w:r w:rsidRPr="00F01E12">
        <w:rPr>
          <w:bCs/>
          <w:color w:val="000000" w:themeColor="text1"/>
          <w:szCs w:val="24"/>
        </w:rPr>
        <w:t xml:space="preserve"> which has been paid into the Fund </w:t>
      </w:r>
      <w:bookmarkStart w:id="3" w:name="_Hlk87621258"/>
      <w:r w:rsidR="0011535E">
        <w:rPr>
          <w:bCs/>
          <w:color w:val="000000" w:themeColor="text1"/>
          <w:szCs w:val="24"/>
        </w:rPr>
        <w:t>as</w:t>
      </w:r>
      <w:r w:rsidRPr="00F01E12">
        <w:rPr>
          <w:bCs/>
          <w:color w:val="000000" w:themeColor="text1"/>
          <w:szCs w:val="24"/>
        </w:rPr>
        <w:t xml:space="preserve"> minimum community contributions</w:t>
      </w:r>
      <w:bookmarkEnd w:id="3"/>
      <w:r w:rsidR="00E82746">
        <w:rPr>
          <w:bCs/>
          <w:color w:val="000000" w:themeColor="text1"/>
          <w:szCs w:val="24"/>
        </w:rPr>
        <w:t>, including</w:t>
      </w:r>
      <w:r w:rsidRPr="00F01E12">
        <w:rPr>
          <w:bCs/>
          <w:color w:val="000000" w:themeColor="text1"/>
          <w:szCs w:val="24"/>
        </w:rPr>
        <w:t>:</w:t>
      </w:r>
    </w:p>
    <w:p w14:paraId="48921FED" w14:textId="32D71983" w:rsidR="00404791" w:rsidRPr="00F01E12" w:rsidRDefault="00404791" w:rsidP="00F01E12">
      <w:pPr>
        <w:pStyle w:val="ListParagraph"/>
        <w:numPr>
          <w:ilvl w:val="0"/>
          <w:numId w:val="19"/>
        </w:numPr>
        <w:spacing w:after="240"/>
        <w:rPr>
          <w:bCs/>
          <w:color w:val="000000" w:themeColor="text1"/>
          <w:szCs w:val="24"/>
        </w:rPr>
      </w:pPr>
      <w:bookmarkStart w:id="4" w:name="_Hlk87621263"/>
      <w:r w:rsidRPr="00F01E12">
        <w:rPr>
          <w:bCs/>
          <w:color w:val="000000" w:themeColor="text1"/>
          <w:szCs w:val="24"/>
        </w:rPr>
        <w:t>0.4 percent of the net</w:t>
      </w:r>
      <w:r w:rsidR="00E82746" w:rsidRPr="00F01E12">
        <w:rPr>
          <w:bCs/>
          <w:color w:val="000000" w:themeColor="text1"/>
          <w:szCs w:val="24"/>
        </w:rPr>
        <w:t xml:space="preserve"> gaming machine</w:t>
      </w:r>
      <w:r w:rsidRPr="00F01E12">
        <w:rPr>
          <w:bCs/>
          <w:color w:val="000000" w:themeColor="text1"/>
          <w:szCs w:val="24"/>
        </w:rPr>
        <w:t xml:space="preserve"> revenue of a licensee that is a club, for each authorised premises for the tax period (section </w:t>
      </w:r>
      <w:r w:rsidRPr="004C0A2F">
        <w:rPr>
          <w:szCs w:val="24"/>
        </w:rPr>
        <w:t>167(2)(b) of the Act)</w:t>
      </w:r>
      <w:r w:rsidRPr="00F01E12">
        <w:rPr>
          <w:bCs/>
          <w:color w:val="000000" w:themeColor="text1"/>
          <w:szCs w:val="24"/>
        </w:rPr>
        <w:t>; and</w:t>
      </w:r>
    </w:p>
    <w:p w14:paraId="28DFA3A3" w14:textId="6E4CBB76" w:rsidR="00404791" w:rsidRPr="00F01E12" w:rsidRDefault="00404791" w:rsidP="00F01E12">
      <w:pPr>
        <w:pStyle w:val="ListParagraph"/>
        <w:numPr>
          <w:ilvl w:val="0"/>
          <w:numId w:val="19"/>
        </w:numPr>
        <w:spacing w:after="240"/>
        <w:rPr>
          <w:bCs/>
          <w:color w:val="000000" w:themeColor="text1"/>
          <w:szCs w:val="24"/>
        </w:rPr>
      </w:pPr>
      <w:r w:rsidRPr="00F01E12">
        <w:rPr>
          <w:bCs/>
          <w:color w:val="000000" w:themeColor="text1"/>
          <w:szCs w:val="24"/>
        </w:rPr>
        <w:t>0.4 percent of the gross</w:t>
      </w:r>
      <w:r w:rsidR="00E82746" w:rsidRPr="00F01E12">
        <w:rPr>
          <w:bCs/>
          <w:color w:val="000000" w:themeColor="text1"/>
          <w:szCs w:val="24"/>
        </w:rPr>
        <w:t xml:space="preserve"> gaming machine</w:t>
      </w:r>
      <w:r w:rsidRPr="00F01E12">
        <w:rPr>
          <w:bCs/>
          <w:color w:val="000000" w:themeColor="text1"/>
          <w:szCs w:val="24"/>
        </w:rPr>
        <w:t xml:space="preserve"> revenue (minus gaming machine tax) </w:t>
      </w:r>
      <w:r w:rsidR="00E82746" w:rsidRPr="00F01E12">
        <w:rPr>
          <w:bCs/>
          <w:color w:val="000000" w:themeColor="text1"/>
          <w:szCs w:val="24"/>
        </w:rPr>
        <w:t xml:space="preserve">for each </w:t>
      </w:r>
      <w:r w:rsidRPr="00F01E12">
        <w:rPr>
          <w:bCs/>
          <w:color w:val="000000" w:themeColor="text1"/>
          <w:szCs w:val="24"/>
        </w:rPr>
        <w:t>licensee that is not a club for the tax period (section 168(1)(b) of the Act).</w:t>
      </w:r>
      <w:bookmarkEnd w:id="4"/>
    </w:p>
    <w:p w14:paraId="774EB006" w14:textId="65C7CAF1" w:rsidR="000A4547" w:rsidRPr="00F01E12" w:rsidRDefault="000A4547" w:rsidP="00F01E12">
      <w:pPr>
        <w:tabs>
          <w:tab w:val="left" w:pos="4320"/>
        </w:tabs>
        <w:spacing w:after="240"/>
        <w:rPr>
          <w:b/>
          <w:bCs/>
        </w:rPr>
      </w:pPr>
      <w:r w:rsidRPr="00F01E12">
        <w:rPr>
          <w:b/>
          <w:bCs/>
        </w:rPr>
        <w:t>Purpose of these Guidelines</w:t>
      </w:r>
    </w:p>
    <w:p w14:paraId="20C3DDF4" w14:textId="5567F073" w:rsidR="000A4547" w:rsidRPr="00E82746" w:rsidRDefault="00E82746" w:rsidP="00F01E12">
      <w:pPr>
        <w:spacing w:after="240"/>
      </w:pPr>
      <w:r w:rsidRPr="00E82746">
        <w:t>T</w:t>
      </w:r>
      <w:r w:rsidR="000A4547" w:rsidRPr="004C0A2F">
        <w:t>he</w:t>
      </w:r>
      <w:r w:rsidR="000A4547" w:rsidRPr="00E82746">
        <w:t xml:space="preserve"> Act</w:t>
      </w:r>
      <w:r w:rsidRPr="00E82746">
        <w:t xml:space="preserve">, section 163D(3), </w:t>
      </w:r>
      <w:r w:rsidR="000A4547" w:rsidRPr="00E82746">
        <w:t xml:space="preserve">provides that the Minister may make </w:t>
      </w:r>
      <w:r w:rsidR="00F60C1C" w:rsidRPr="00E82746">
        <w:t>G</w:t>
      </w:r>
      <w:r w:rsidR="000A4547" w:rsidRPr="00E82746">
        <w:t xml:space="preserve">uidelines about gambling harm prevention and mitigation. </w:t>
      </w:r>
    </w:p>
    <w:p w14:paraId="03C6D022" w14:textId="1F41151B" w:rsidR="00F60A0C" w:rsidRPr="00E82746" w:rsidRDefault="00E82746" w:rsidP="00F01E12">
      <w:pPr>
        <w:spacing w:after="240"/>
      </w:pPr>
      <w:r>
        <w:t>T</w:t>
      </w:r>
      <w:r w:rsidRPr="00C12D9F">
        <w:t>he Act</w:t>
      </w:r>
      <w:r>
        <w:t>, s</w:t>
      </w:r>
      <w:r w:rsidR="000A4547" w:rsidRPr="00E82746">
        <w:t>ection 163D(2)</w:t>
      </w:r>
      <w:r>
        <w:t>,</w:t>
      </w:r>
      <w:r w:rsidR="000A4547" w:rsidRPr="00E82746">
        <w:t xml:space="preserve"> </w:t>
      </w:r>
      <w:r>
        <w:t>allows</w:t>
      </w:r>
      <w:r w:rsidR="000A4547" w:rsidRPr="00E82746">
        <w:t xml:space="preserve"> the </w:t>
      </w:r>
      <w:r>
        <w:t>Commission to</w:t>
      </w:r>
      <w:r w:rsidR="000A4547" w:rsidRPr="00E82746">
        <w:t xml:space="preserve"> make a payment of an amount out of the Fund only for a </w:t>
      </w:r>
      <w:r w:rsidR="000A4547" w:rsidRPr="004C0A2F">
        <w:t xml:space="preserve">purpose set out in these Guidelines and with written approval of the Minister. </w:t>
      </w:r>
      <w:r w:rsidR="00F60C1C" w:rsidRPr="00416CE3">
        <w:t xml:space="preserve">These Guidelines outline the purposes for which </w:t>
      </w:r>
      <w:r>
        <w:t xml:space="preserve">the Commission may make </w:t>
      </w:r>
      <w:r w:rsidR="00F60C1C" w:rsidRPr="004C0A2F">
        <w:t xml:space="preserve">payments </w:t>
      </w:r>
      <w:r>
        <w:t>out of the Fund under section 163D</w:t>
      </w:r>
      <w:r w:rsidR="00F60C1C" w:rsidRPr="004C0A2F">
        <w:t>.</w:t>
      </w:r>
    </w:p>
    <w:p w14:paraId="5C9DAC87" w14:textId="5FF14DB6" w:rsidR="00F60A0C" w:rsidRPr="00F01E12" w:rsidRDefault="00E82746" w:rsidP="00F01E12">
      <w:pPr>
        <w:tabs>
          <w:tab w:val="left" w:pos="4320"/>
        </w:tabs>
        <w:spacing w:after="240"/>
        <w:rPr>
          <w:b/>
          <w:bCs/>
        </w:rPr>
      </w:pPr>
      <w:r>
        <w:rPr>
          <w:b/>
          <w:bCs/>
        </w:rPr>
        <w:t>Proposal for</w:t>
      </w:r>
      <w:r w:rsidR="00DD6530">
        <w:rPr>
          <w:b/>
          <w:bCs/>
        </w:rPr>
        <w:t xml:space="preserve"> Payments from the Fund</w:t>
      </w:r>
    </w:p>
    <w:p w14:paraId="5B72C540" w14:textId="085CE818" w:rsidR="00DD6530" w:rsidRPr="00DD6530" w:rsidRDefault="00DD6530" w:rsidP="00F01E12">
      <w:pPr>
        <w:spacing w:after="240"/>
      </w:pPr>
      <w:r w:rsidRPr="00DD6530">
        <w:t xml:space="preserve">The ACT Government may submit to the Commission proposals for payments from the Fund under the Act, section 163D. </w:t>
      </w:r>
    </w:p>
    <w:p w14:paraId="7CD9F2CB" w14:textId="7259EB30" w:rsidR="00D02CE7" w:rsidRDefault="00D02CE7">
      <w:pPr>
        <w:spacing w:after="240"/>
      </w:pPr>
      <w:r w:rsidRPr="00F01E12">
        <w:t xml:space="preserve">The Commission may consider </w:t>
      </w:r>
      <w:r w:rsidR="00DD6530">
        <w:t>proposals from non-government</w:t>
      </w:r>
      <w:r w:rsidRPr="00F01E12">
        <w:t xml:space="preserve"> entities</w:t>
      </w:r>
      <w:r w:rsidR="00DD6530">
        <w:t xml:space="preserve"> </w:t>
      </w:r>
      <w:r w:rsidRPr="00F01E12">
        <w:t xml:space="preserve">provided </w:t>
      </w:r>
      <w:r w:rsidR="00DD6530">
        <w:t>the proposal complies with</w:t>
      </w:r>
      <w:r w:rsidRPr="00F01E12">
        <w:t xml:space="preserve"> these Guidelines.</w:t>
      </w:r>
    </w:p>
    <w:p w14:paraId="27934543" w14:textId="77777777" w:rsidR="00DE7CED" w:rsidRPr="00F01E12" w:rsidRDefault="00DE7CED" w:rsidP="00DE7CED">
      <w:pPr>
        <w:spacing w:after="240"/>
      </w:pPr>
      <w:r>
        <w:t>Proposals must comply with the mandatory criteria and funding purposes outlined in Table 1 below</w:t>
      </w:r>
      <w:r w:rsidRPr="00F01E12">
        <w:rPr>
          <w:i/>
          <w:iCs/>
        </w:rPr>
        <w:t>.</w:t>
      </w:r>
    </w:p>
    <w:p w14:paraId="1555644C" w14:textId="68E2F3EE" w:rsidR="00284D20" w:rsidRPr="00F01E12" w:rsidRDefault="00DD6530" w:rsidP="00284D20">
      <w:pPr>
        <w:pStyle w:val="BodyText3"/>
        <w:tabs>
          <w:tab w:val="left" w:pos="2268"/>
        </w:tabs>
        <w:spacing w:after="240"/>
        <w:rPr>
          <w:b/>
          <w:color w:val="000000" w:themeColor="text1"/>
          <w:sz w:val="24"/>
          <w:szCs w:val="24"/>
        </w:rPr>
      </w:pPr>
      <w:r w:rsidRPr="00284D20">
        <w:rPr>
          <w:b/>
          <w:color w:val="000000" w:themeColor="text1"/>
          <w:sz w:val="24"/>
          <w:szCs w:val="24"/>
        </w:rPr>
        <w:t>Ineligible</w:t>
      </w:r>
      <w:r>
        <w:rPr>
          <w:b/>
          <w:color w:val="000000" w:themeColor="text1"/>
          <w:sz w:val="24"/>
          <w:szCs w:val="24"/>
        </w:rPr>
        <w:t xml:space="preserve"> Proposals</w:t>
      </w:r>
    </w:p>
    <w:p w14:paraId="07F582EB" w14:textId="65B4E2D3" w:rsidR="00284D20" w:rsidRPr="00F01E12" w:rsidRDefault="00284D20" w:rsidP="00F01E12">
      <w:pPr>
        <w:spacing w:after="240"/>
      </w:pPr>
      <w:r w:rsidRPr="00F01E12">
        <w:t xml:space="preserve">Payments out of the Fund </w:t>
      </w:r>
      <w:r w:rsidR="00411542">
        <w:t>cannot</w:t>
      </w:r>
      <w:r w:rsidRPr="00F01E12">
        <w:t xml:space="preserve"> be made </w:t>
      </w:r>
      <w:r w:rsidR="00F04893">
        <w:t xml:space="preserve">for proposals </w:t>
      </w:r>
      <w:r w:rsidR="005E09A0">
        <w:t>that in the opinion of the Commission may</w:t>
      </w:r>
      <w:r w:rsidRPr="00F01E12">
        <w:t xml:space="preserve"> </w:t>
      </w:r>
      <w:r w:rsidR="00F04893">
        <w:t>contribute to gambling harm</w:t>
      </w:r>
      <w:r w:rsidRPr="00F01E12">
        <w:t>.</w:t>
      </w:r>
    </w:p>
    <w:p w14:paraId="22839A54" w14:textId="333573AB" w:rsidR="00DE7CED" w:rsidRDefault="005E09A0" w:rsidP="00F01E12">
      <w:pPr>
        <w:spacing w:after="240"/>
      </w:pPr>
      <w:r>
        <w:t>Proposals</w:t>
      </w:r>
      <w:r w:rsidR="00284D20" w:rsidRPr="00F01E12">
        <w:t xml:space="preserve"> will not be accepted by individual club venues within a club group (as defined under the Act).</w:t>
      </w:r>
    </w:p>
    <w:p w14:paraId="24A3253D" w14:textId="77777777" w:rsidR="00DE7CED" w:rsidRDefault="00DE7CED">
      <w:r>
        <w:br w:type="page"/>
      </w:r>
    </w:p>
    <w:p w14:paraId="15381FA9" w14:textId="721E2343" w:rsidR="00D02CE7" w:rsidRPr="00F01E12" w:rsidRDefault="00D02CE7" w:rsidP="00F01E12">
      <w:pPr>
        <w:tabs>
          <w:tab w:val="left" w:pos="4320"/>
        </w:tabs>
        <w:spacing w:after="240"/>
        <w:rPr>
          <w:b/>
          <w:bCs/>
        </w:rPr>
      </w:pPr>
      <w:r w:rsidRPr="00F01E12">
        <w:rPr>
          <w:b/>
          <w:bCs/>
        </w:rPr>
        <w:lastRenderedPageBreak/>
        <w:t xml:space="preserve">Funding </w:t>
      </w:r>
      <w:r w:rsidR="005E09A0">
        <w:rPr>
          <w:b/>
          <w:bCs/>
        </w:rPr>
        <w:t>P</w:t>
      </w:r>
      <w:r w:rsidRPr="00F01E12">
        <w:rPr>
          <w:b/>
          <w:bCs/>
        </w:rPr>
        <w:t>riority</w:t>
      </w:r>
    </w:p>
    <w:p w14:paraId="69BE0483" w14:textId="2676B1B4" w:rsidR="005E09A0" w:rsidRPr="005E09A0" w:rsidRDefault="005E09A0" w:rsidP="00F01E12">
      <w:pPr>
        <w:spacing w:after="240"/>
      </w:pPr>
      <w:bookmarkStart w:id="5" w:name="_Hlk101526650"/>
      <w:r w:rsidRPr="005E09A0">
        <w:t>T</w:t>
      </w:r>
      <w:r w:rsidR="00FF7F0F" w:rsidRPr="005E09A0">
        <w:t>he funding priority for payments made under</w:t>
      </w:r>
      <w:r w:rsidRPr="005E09A0">
        <w:t xml:space="preserve"> the Act,</w:t>
      </w:r>
      <w:r w:rsidR="00FF7F0F" w:rsidRPr="005E09A0">
        <w:t xml:space="preserve"> s</w:t>
      </w:r>
      <w:r w:rsidRPr="005E09A0">
        <w:t>ection</w:t>
      </w:r>
      <w:r w:rsidR="00FF7F0F" w:rsidRPr="005E09A0">
        <w:t xml:space="preserve"> 163D</w:t>
      </w:r>
      <w:r w:rsidRPr="005E09A0">
        <w:t>,</w:t>
      </w:r>
      <w:r w:rsidR="00FF7F0F" w:rsidRPr="005E09A0">
        <w:t xml:space="preserve"> is projects which support implementation of </w:t>
      </w:r>
      <w:r w:rsidR="007A7F2A" w:rsidRPr="005E09A0">
        <w:t xml:space="preserve">one or more of </w:t>
      </w:r>
      <w:r w:rsidR="00FF7F0F" w:rsidRPr="005E09A0">
        <w:t xml:space="preserve">the </w:t>
      </w:r>
      <w:r w:rsidRPr="005E09A0">
        <w:t>government</w:t>
      </w:r>
      <w:r w:rsidR="00FF7F0F" w:rsidRPr="005E09A0">
        <w:t xml:space="preserve"> commitments </w:t>
      </w:r>
      <w:r w:rsidRPr="005E09A0">
        <w:t xml:space="preserve">in </w:t>
      </w:r>
      <w:r w:rsidR="00FF7F0F" w:rsidRPr="005E09A0">
        <w:t xml:space="preserve">the </w:t>
      </w:r>
      <w:r w:rsidR="00FF7F0F" w:rsidRPr="00F01E12">
        <w:rPr>
          <w:i/>
          <w:iCs/>
        </w:rPr>
        <w:t>Parliamentary and Governing Agreement for the 10</w:t>
      </w:r>
      <w:r w:rsidR="00FF7F0F" w:rsidRPr="00F01E12">
        <w:rPr>
          <w:i/>
          <w:iCs/>
          <w:vertAlign w:val="superscript"/>
        </w:rPr>
        <w:t>th</w:t>
      </w:r>
      <w:r w:rsidR="00FF7F0F" w:rsidRPr="00F01E12">
        <w:rPr>
          <w:i/>
          <w:iCs/>
        </w:rPr>
        <w:t xml:space="preserve"> Legislative Assembly</w:t>
      </w:r>
      <w:r w:rsidR="002C4ABE">
        <w:t>.</w:t>
      </w:r>
      <w:r w:rsidRPr="005E09A0">
        <w:t xml:space="preserve"> Appendix</w:t>
      </w:r>
      <w:r w:rsidR="0011535E">
        <w:t> </w:t>
      </w:r>
      <w:r w:rsidRPr="005E09A0">
        <w:t>1E.</w:t>
      </w:r>
    </w:p>
    <w:p w14:paraId="202A172D" w14:textId="1A7485BB" w:rsidR="005E09A0" w:rsidRDefault="005E09A0" w:rsidP="00F01E12">
      <w:pPr>
        <w:spacing w:after="240"/>
      </w:pPr>
      <w:r w:rsidRPr="004C0A2F">
        <w:t xml:space="preserve">In a public health context, gambling harm prevention and mitigation occurs from the </w:t>
      </w:r>
      <w:r w:rsidRPr="00416CE3">
        <w:t>collective impact of a range of different initiatives which have different purposes and are targeted towards different groups. The Commission may consider proposals in a st</w:t>
      </w:r>
      <w:r w:rsidRPr="00F01E12">
        <w:t>rategic context to obtain the best possible outcomes of preventing and mitigating gambling harm in the ACT community.</w:t>
      </w:r>
    </w:p>
    <w:p w14:paraId="56D0437B" w14:textId="77777777" w:rsidR="005E09A0" w:rsidRPr="0044049E" w:rsidRDefault="005E09A0" w:rsidP="00F01E12">
      <w:pPr>
        <w:tabs>
          <w:tab w:val="left" w:pos="4320"/>
        </w:tabs>
        <w:spacing w:after="240"/>
        <w:rPr>
          <w:b/>
          <w:bCs/>
        </w:rPr>
      </w:pPr>
      <w:r w:rsidRPr="0044049E">
        <w:rPr>
          <w:b/>
          <w:bCs/>
        </w:rPr>
        <w:t>Role of the Commission</w:t>
      </w:r>
    </w:p>
    <w:p w14:paraId="04267277" w14:textId="1EB57F78" w:rsidR="005E09A0" w:rsidRPr="004C0A2F" w:rsidRDefault="005E09A0" w:rsidP="00F01E12">
      <w:pPr>
        <w:spacing w:after="240"/>
      </w:pPr>
      <w:r w:rsidRPr="005E09A0">
        <w:t xml:space="preserve">The Commission will consider proposals and make recommendations to the Minister about payments from the Fund. Payments may only be made </w:t>
      </w:r>
      <w:r w:rsidR="0011535E">
        <w:t>as</w:t>
      </w:r>
      <w:r w:rsidRPr="005E09A0">
        <w:t xml:space="preserve"> set out in these </w:t>
      </w:r>
      <w:r w:rsidRPr="004C0A2F">
        <w:t>Guidelines and with the written approval from the Minister.</w:t>
      </w:r>
    </w:p>
    <w:bookmarkEnd w:id="5"/>
    <w:p w14:paraId="7AA5BB15" w14:textId="04532032" w:rsidR="00665F1D" w:rsidRPr="00665F1D" w:rsidRDefault="005E09A0" w:rsidP="00F01E12">
      <w:pPr>
        <w:keepNext/>
        <w:tabs>
          <w:tab w:val="left" w:pos="4320"/>
        </w:tabs>
        <w:rPr>
          <w:b/>
          <w:bCs/>
        </w:rPr>
      </w:pPr>
      <w:r>
        <w:rPr>
          <w:b/>
          <w:bCs/>
        </w:rPr>
        <w:t xml:space="preserve">Table 1: </w:t>
      </w:r>
      <w:r w:rsidR="00A455A8">
        <w:rPr>
          <w:b/>
          <w:bCs/>
        </w:rPr>
        <w:t xml:space="preserve">Purposes for which payment can be made from the Fund </w:t>
      </w:r>
      <w:r w:rsidR="00F60C1C">
        <w:rPr>
          <w:b/>
          <w:bCs/>
        </w:rPr>
        <w:t>–</w:t>
      </w:r>
      <w:r w:rsidR="00A455A8">
        <w:rPr>
          <w:b/>
          <w:bCs/>
        </w:rPr>
        <w:t xml:space="preserve"> </w:t>
      </w:r>
      <w:r w:rsidR="00665F1D" w:rsidRPr="00665F1D">
        <w:rPr>
          <w:b/>
          <w:bCs/>
        </w:rPr>
        <w:t xml:space="preserve">Gambling harm prevention and mitigation </w:t>
      </w:r>
    </w:p>
    <w:p w14:paraId="0E028B30" w14:textId="7619707C" w:rsidR="00396654" w:rsidRDefault="00396654" w:rsidP="00B87E88">
      <w:pPr>
        <w:tabs>
          <w:tab w:val="left" w:pos="4320"/>
        </w:tabs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70"/>
        <w:gridCol w:w="8072"/>
      </w:tblGrid>
      <w:tr w:rsidR="00B07468" w14:paraId="4A20FAA7" w14:textId="77777777" w:rsidTr="00396654">
        <w:tc>
          <w:tcPr>
            <w:tcW w:w="570" w:type="dxa"/>
            <w:shd w:val="clear" w:color="auto" w:fill="EEECE1" w:themeFill="background2"/>
          </w:tcPr>
          <w:p w14:paraId="4DA4B77E" w14:textId="66F0E141" w:rsidR="00396654" w:rsidRPr="00F01E12" w:rsidRDefault="00396654" w:rsidP="00B87E88">
            <w:pPr>
              <w:tabs>
                <w:tab w:val="left" w:pos="4320"/>
              </w:tabs>
              <w:rPr>
                <w:b/>
                <w:bCs/>
              </w:rPr>
            </w:pPr>
            <w:r w:rsidRPr="00F01E12">
              <w:rPr>
                <w:b/>
                <w:bCs/>
              </w:rPr>
              <w:t>No.</w:t>
            </w:r>
          </w:p>
        </w:tc>
        <w:tc>
          <w:tcPr>
            <w:tcW w:w="8072" w:type="dxa"/>
            <w:shd w:val="clear" w:color="auto" w:fill="EEECE1" w:themeFill="background2"/>
          </w:tcPr>
          <w:p w14:paraId="43203675" w14:textId="003031FA" w:rsidR="00396654" w:rsidRPr="00F01E12" w:rsidRDefault="00396654" w:rsidP="00B87E88">
            <w:pPr>
              <w:tabs>
                <w:tab w:val="left" w:pos="4320"/>
              </w:tabs>
              <w:rPr>
                <w:b/>
                <w:bCs/>
              </w:rPr>
            </w:pPr>
            <w:r w:rsidRPr="00F01E12">
              <w:rPr>
                <w:b/>
                <w:bCs/>
              </w:rPr>
              <w:t xml:space="preserve">Mandatory </w:t>
            </w:r>
            <w:r>
              <w:rPr>
                <w:b/>
                <w:bCs/>
              </w:rPr>
              <w:t>c</w:t>
            </w:r>
            <w:r w:rsidRPr="00F01E12">
              <w:rPr>
                <w:b/>
                <w:bCs/>
              </w:rPr>
              <w:t xml:space="preserve">riteria / </w:t>
            </w:r>
            <w:r>
              <w:rPr>
                <w:b/>
                <w:bCs/>
              </w:rPr>
              <w:t>f</w:t>
            </w:r>
            <w:r w:rsidRPr="00F01E12">
              <w:rPr>
                <w:b/>
                <w:bCs/>
              </w:rPr>
              <w:t>unding purpose</w:t>
            </w:r>
          </w:p>
        </w:tc>
      </w:tr>
      <w:tr w:rsidR="00B07468" w14:paraId="738A7FE3" w14:textId="77777777" w:rsidTr="00396654">
        <w:tc>
          <w:tcPr>
            <w:tcW w:w="570" w:type="dxa"/>
          </w:tcPr>
          <w:p w14:paraId="2C655B65" w14:textId="02C78442" w:rsidR="00396654" w:rsidRDefault="00396654" w:rsidP="00B87E88">
            <w:pPr>
              <w:tabs>
                <w:tab w:val="left" w:pos="4320"/>
              </w:tabs>
            </w:pPr>
            <w:r>
              <w:t>1.</w:t>
            </w:r>
          </w:p>
        </w:tc>
        <w:tc>
          <w:tcPr>
            <w:tcW w:w="8072" w:type="dxa"/>
          </w:tcPr>
          <w:p w14:paraId="0132584A" w14:textId="7180889E" w:rsidR="00396654" w:rsidRDefault="00396654" w:rsidP="00B87E88">
            <w:pPr>
              <w:tabs>
                <w:tab w:val="left" w:pos="4320"/>
              </w:tabs>
            </w:pPr>
            <w:r>
              <w:t>The proposal</w:t>
            </w:r>
            <w:r w:rsidR="005534A9">
              <w:t xml:space="preserve"> must</w:t>
            </w:r>
            <w:r>
              <w:t xml:space="preserve"> </w:t>
            </w:r>
            <w:bookmarkStart w:id="6" w:name="_Hlk101526549"/>
            <w:r w:rsidR="005534A9">
              <w:t>have a purpose of gambling harm prevention and mitigation, which while not required to be the primary or dominant purpose must in the opinion of the Commission be a material purpose.</w:t>
            </w:r>
            <w:bookmarkEnd w:id="6"/>
          </w:p>
          <w:p w14:paraId="477004A3" w14:textId="2001D418" w:rsidR="00396654" w:rsidRDefault="00396654" w:rsidP="00B87E88">
            <w:pPr>
              <w:tabs>
                <w:tab w:val="left" w:pos="4320"/>
              </w:tabs>
            </w:pPr>
          </w:p>
        </w:tc>
      </w:tr>
      <w:tr w:rsidR="00B07468" w14:paraId="048F601C" w14:textId="77777777" w:rsidTr="00396654">
        <w:tc>
          <w:tcPr>
            <w:tcW w:w="570" w:type="dxa"/>
          </w:tcPr>
          <w:p w14:paraId="760AE299" w14:textId="1D4D8FD9" w:rsidR="00396654" w:rsidRDefault="00396654" w:rsidP="00B87E88">
            <w:pPr>
              <w:tabs>
                <w:tab w:val="left" w:pos="4320"/>
              </w:tabs>
            </w:pPr>
            <w:r>
              <w:t>2.</w:t>
            </w:r>
          </w:p>
        </w:tc>
        <w:tc>
          <w:tcPr>
            <w:tcW w:w="8072" w:type="dxa"/>
          </w:tcPr>
          <w:p w14:paraId="03786228" w14:textId="5B8B095C" w:rsidR="00396654" w:rsidRDefault="00396654" w:rsidP="00B87E88">
            <w:pPr>
              <w:tabs>
                <w:tab w:val="left" w:pos="4320"/>
              </w:tabs>
            </w:pPr>
            <w:r>
              <w:t xml:space="preserve">The proposal </w:t>
            </w:r>
            <w:r w:rsidR="005534A9">
              <w:t>must be</w:t>
            </w:r>
            <w:r>
              <w:t xml:space="preserve"> actionable in the ACT and directly</w:t>
            </w:r>
            <w:r w:rsidR="000D0202">
              <w:t xml:space="preserve"> or indirectly</w:t>
            </w:r>
            <w:r>
              <w:t xml:space="preserve"> benefit the ACT community</w:t>
            </w:r>
            <w:r w:rsidR="000D0202">
              <w:t xml:space="preserve"> or a group within it</w:t>
            </w:r>
            <w:r w:rsidR="005534A9">
              <w:t>.</w:t>
            </w:r>
          </w:p>
          <w:p w14:paraId="1AA40AC9" w14:textId="6A20B2CD" w:rsidR="00396654" w:rsidRDefault="00396654" w:rsidP="00B87E88">
            <w:pPr>
              <w:tabs>
                <w:tab w:val="left" w:pos="4320"/>
              </w:tabs>
            </w:pPr>
          </w:p>
        </w:tc>
      </w:tr>
      <w:tr w:rsidR="00B07468" w14:paraId="2CE9D4A3" w14:textId="77777777" w:rsidTr="00396654">
        <w:tc>
          <w:tcPr>
            <w:tcW w:w="570" w:type="dxa"/>
          </w:tcPr>
          <w:p w14:paraId="522B0BAD" w14:textId="33FE86FD" w:rsidR="007A7F2A" w:rsidRDefault="00DE7CED" w:rsidP="00B87E88">
            <w:pPr>
              <w:tabs>
                <w:tab w:val="left" w:pos="4320"/>
              </w:tabs>
            </w:pPr>
            <w:r>
              <w:t>3</w:t>
            </w:r>
            <w:r w:rsidR="007A7F2A">
              <w:t>.</w:t>
            </w:r>
          </w:p>
        </w:tc>
        <w:tc>
          <w:tcPr>
            <w:tcW w:w="8072" w:type="dxa"/>
          </w:tcPr>
          <w:p w14:paraId="0A280216" w14:textId="77777777" w:rsidR="007A7F2A" w:rsidRDefault="007A7F2A" w:rsidP="00396654">
            <w:pPr>
              <w:tabs>
                <w:tab w:val="left" w:pos="4320"/>
              </w:tabs>
            </w:pPr>
            <w:r>
              <w:t>The proposal demonstrates value for money or has a clear return on investment.</w:t>
            </w:r>
          </w:p>
          <w:p w14:paraId="586BC72F" w14:textId="4BB216F8" w:rsidR="007A7F2A" w:rsidRDefault="007A7F2A" w:rsidP="00396654">
            <w:pPr>
              <w:tabs>
                <w:tab w:val="left" w:pos="4320"/>
              </w:tabs>
            </w:pPr>
          </w:p>
        </w:tc>
      </w:tr>
      <w:tr w:rsidR="00B07468" w14:paraId="51B4BC8E" w14:textId="77777777" w:rsidTr="007A7F2A">
        <w:tc>
          <w:tcPr>
            <w:tcW w:w="570" w:type="dxa"/>
            <w:shd w:val="clear" w:color="auto" w:fill="EEECE1" w:themeFill="background2"/>
          </w:tcPr>
          <w:p w14:paraId="2197F791" w14:textId="77777777" w:rsidR="007A7F2A" w:rsidRPr="00F01E12" w:rsidRDefault="007A7F2A" w:rsidP="00B87E88">
            <w:pPr>
              <w:tabs>
                <w:tab w:val="left" w:pos="4320"/>
              </w:tabs>
              <w:rPr>
                <w:b/>
                <w:bCs/>
              </w:rPr>
            </w:pPr>
          </w:p>
        </w:tc>
        <w:tc>
          <w:tcPr>
            <w:tcW w:w="8072" w:type="dxa"/>
            <w:shd w:val="clear" w:color="auto" w:fill="EEECE1" w:themeFill="background2"/>
          </w:tcPr>
          <w:p w14:paraId="5E012E3F" w14:textId="242C110A" w:rsidR="007A7F2A" w:rsidRPr="00F01E12" w:rsidRDefault="007A7F2A" w:rsidP="00396654">
            <w:pPr>
              <w:tabs>
                <w:tab w:val="left" w:pos="4320"/>
              </w:tabs>
              <w:rPr>
                <w:b/>
                <w:bCs/>
              </w:rPr>
            </w:pPr>
            <w:r w:rsidRPr="00F01E12">
              <w:rPr>
                <w:b/>
                <w:bCs/>
              </w:rPr>
              <w:t>Additional criteria / funding purposes which support the application</w:t>
            </w:r>
          </w:p>
        </w:tc>
      </w:tr>
      <w:tr w:rsidR="00B07468" w14:paraId="2886DF83" w14:textId="77777777" w:rsidTr="00396654">
        <w:tc>
          <w:tcPr>
            <w:tcW w:w="570" w:type="dxa"/>
          </w:tcPr>
          <w:p w14:paraId="53AD6503" w14:textId="5DA391A8" w:rsidR="007A7F2A" w:rsidRDefault="00DE7CED" w:rsidP="00B87E88">
            <w:pPr>
              <w:tabs>
                <w:tab w:val="left" w:pos="4320"/>
              </w:tabs>
            </w:pPr>
            <w:r>
              <w:t>4</w:t>
            </w:r>
            <w:r w:rsidR="007A7F2A">
              <w:t>.</w:t>
            </w:r>
          </w:p>
        </w:tc>
        <w:tc>
          <w:tcPr>
            <w:tcW w:w="8072" w:type="dxa"/>
          </w:tcPr>
          <w:p w14:paraId="394992D7" w14:textId="468D70B3" w:rsidR="007A7F2A" w:rsidRDefault="007A7F2A" w:rsidP="00396654">
            <w:pPr>
              <w:tabs>
                <w:tab w:val="left" w:pos="4320"/>
              </w:tabs>
            </w:pPr>
            <w:r>
              <w:t>The proposal would</w:t>
            </w:r>
            <w:r w:rsidRPr="007A7F2A">
              <w:t xml:space="preserve"> support the implementation of </w:t>
            </w:r>
            <w:r>
              <w:t xml:space="preserve">one or more of </w:t>
            </w:r>
            <w:r w:rsidRPr="007A7F2A">
              <w:t xml:space="preserve">the gaming commitments under Part E (Reducing harm from gaming while supporting sustainable clubs) of the </w:t>
            </w:r>
            <w:r w:rsidRPr="00F01E12">
              <w:rPr>
                <w:i/>
                <w:iCs/>
              </w:rPr>
              <w:t>Parliamentary and Governing Agreement for the 10th Legislative Assembly</w:t>
            </w:r>
            <w:r w:rsidR="002C4ABE">
              <w:t xml:space="preserve"> and align with government policy to meet the commitment</w:t>
            </w:r>
          </w:p>
          <w:p w14:paraId="3E08FBE8" w14:textId="58E3E15D" w:rsidR="00D961EF" w:rsidRDefault="00D961EF" w:rsidP="00396654">
            <w:pPr>
              <w:tabs>
                <w:tab w:val="left" w:pos="4320"/>
              </w:tabs>
            </w:pPr>
          </w:p>
        </w:tc>
      </w:tr>
    </w:tbl>
    <w:p w14:paraId="5F2F229C" w14:textId="1D8AD373" w:rsidR="00C816E0" w:rsidRDefault="00C816E0" w:rsidP="00B87E88">
      <w:pPr>
        <w:tabs>
          <w:tab w:val="left" w:pos="4320"/>
        </w:tabs>
      </w:pPr>
    </w:p>
    <w:sectPr w:rsidR="00C816E0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CC26" w14:textId="77777777" w:rsidR="003C3AD7" w:rsidRDefault="003C3AD7" w:rsidP="00F10CB2">
      <w:r>
        <w:separator/>
      </w:r>
    </w:p>
  </w:endnote>
  <w:endnote w:type="continuationSeparator" w:id="0">
    <w:p w14:paraId="4FC41F06" w14:textId="77777777" w:rsidR="003C3AD7" w:rsidRDefault="003C3AD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73AA" w14:textId="77777777" w:rsidR="008C083D" w:rsidRDefault="008C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78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37701" w14:textId="202ABEE4" w:rsidR="00B07468" w:rsidRDefault="00B074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610511" w14:textId="0F28455D" w:rsidR="00704DC3" w:rsidRPr="008C083D" w:rsidRDefault="008C083D" w:rsidP="008C083D">
    <w:pPr>
      <w:pStyle w:val="Footer"/>
      <w:jc w:val="center"/>
      <w:rPr>
        <w:rFonts w:cs="Arial"/>
        <w:sz w:val="14"/>
        <w:szCs w:val="16"/>
      </w:rPr>
    </w:pPr>
    <w:r w:rsidRPr="008C083D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0EF3" w14:textId="77777777" w:rsidR="008C083D" w:rsidRDefault="008C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42D0" w14:textId="77777777" w:rsidR="003C3AD7" w:rsidRDefault="003C3AD7" w:rsidP="00F10CB2">
      <w:r>
        <w:separator/>
      </w:r>
    </w:p>
  </w:footnote>
  <w:footnote w:type="continuationSeparator" w:id="0">
    <w:p w14:paraId="74AF4FCD" w14:textId="77777777" w:rsidR="003C3AD7" w:rsidRDefault="003C3AD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0CFF" w14:textId="77777777" w:rsidR="008C083D" w:rsidRDefault="008C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E70" w14:textId="77777777" w:rsidR="008C083D" w:rsidRDefault="008C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94A3" w14:textId="77777777" w:rsidR="008C083D" w:rsidRDefault="008C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65652A"/>
    <w:multiLevelType w:val="hybridMultilevel"/>
    <w:tmpl w:val="6CA09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2F2"/>
    <w:multiLevelType w:val="hybridMultilevel"/>
    <w:tmpl w:val="DE26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AC2DED"/>
    <w:multiLevelType w:val="hybridMultilevel"/>
    <w:tmpl w:val="4F64344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F84AA7"/>
    <w:multiLevelType w:val="hybridMultilevel"/>
    <w:tmpl w:val="7F30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70CC"/>
    <w:multiLevelType w:val="hybridMultilevel"/>
    <w:tmpl w:val="5F5A5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1A9A"/>
    <w:multiLevelType w:val="hybridMultilevel"/>
    <w:tmpl w:val="9E7ED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22B0D"/>
    <w:multiLevelType w:val="hybridMultilevel"/>
    <w:tmpl w:val="7A103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D1E0B"/>
    <w:multiLevelType w:val="hybridMultilevel"/>
    <w:tmpl w:val="93DE5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90F60"/>
    <w:multiLevelType w:val="hybridMultilevel"/>
    <w:tmpl w:val="915E3EE6"/>
    <w:lvl w:ilvl="0" w:tplc="98F43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D10D03"/>
    <w:multiLevelType w:val="hybridMultilevel"/>
    <w:tmpl w:val="A3D83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17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6CF8"/>
    <w:rsid w:val="00052CBE"/>
    <w:rsid w:val="00075255"/>
    <w:rsid w:val="000A1A69"/>
    <w:rsid w:val="000A4547"/>
    <w:rsid w:val="000D0202"/>
    <w:rsid w:val="000D7699"/>
    <w:rsid w:val="000E0A07"/>
    <w:rsid w:val="000E7A84"/>
    <w:rsid w:val="000F57A7"/>
    <w:rsid w:val="0011535E"/>
    <w:rsid w:val="00153BAB"/>
    <w:rsid w:val="0016675D"/>
    <w:rsid w:val="00175C78"/>
    <w:rsid w:val="00181DA5"/>
    <w:rsid w:val="00194AC7"/>
    <w:rsid w:val="001A252C"/>
    <w:rsid w:val="001A3D7F"/>
    <w:rsid w:val="002110EA"/>
    <w:rsid w:val="00212AD7"/>
    <w:rsid w:val="00232478"/>
    <w:rsid w:val="00257F51"/>
    <w:rsid w:val="002651BB"/>
    <w:rsid w:val="0027346A"/>
    <w:rsid w:val="002820D5"/>
    <w:rsid w:val="00284D20"/>
    <w:rsid w:val="002C4ABE"/>
    <w:rsid w:val="002F0CCD"/>
    <w:rsid w:val="00396654"/>
    <w:rsid w:val="003A422F"/>
    <w:rsid w:val="003B6E3F"/>
    <w:rsid w:val="003C3AD7"/>
    <w:rsid w:val="003C5CB2"/>
    <w:rsid w:val="00402E62"/>
    <w:rsid w:val="00404791"/>
    <w:rsid w:val="00411542"/>
    <w:rsid w:val="00416CE3"/>
    <w:rsid w:val="00437409"/>
    <w:rsid w:val="00465C2D"/>
    <w:rsid w:val="004C0A2F"/>
    <w:rsid w:val="004D0FB8"/>
    <w:rsid w:val="004D4B21"/>
    <w:rsid w:val="004F798F"/>
    <w:rsid w:val="005534A9"/>
    <w:rsid w:val="005B20B8"/>
    <w:rsid w:val="005C72D4"/>
    <w:rsid w:val="005D38BC"/>
    <w:rsid w:val="005E09A0"/>
    <w:rsid w:val="00627F0C"/>
    <w:rsid w:val="006364E0"/>
    <w:rsid w:val="00665F1D"/>
    <w:rsid w:val="00667281"/>
    <w:rsid w:val="00690E66"/>
    <w:rsid w:val="006C113C"/>
    <w:rsid w:val="006C5594"/>
    <w:rsid w:val="0070461E"/>
    <w:rsid w:val="00704DC3"/>
    <w:rsid w:val="0072003E"/>
    <w:rsid w:val="00733991"/>
    <w:rsid w:val="007457B9"/>
    <w:rsid w:val="007A1470"/>
    <w:rsid w:val="007A7F2A"/>
    <w:rsid w:val="00834003"/>
    <w:rsid w:val="00861C8F"/>
    <w:rsid w:val="008B6A31"/>
    <w:rsid w:val="008C083D"/>
    <w:rsid w:val="00933B7C"/>
    <w:rsid w:val="00952394"/>
    <w:rsid w:val="00953140"/>
    <w:rsid w:val="00977D31"/>
    <w:rsid w:val="00984905"/>
    <w:rsid w:val="00985176"/>
    <w:rsid w:val="009A29FA"/>
    <w:rsid w:val="009E1667"/>
    <w:rsid w:val="009F5C38"/>
    <w:rsid w:val="00A0585C"/>
    <w:rsid w:val="00A22C86"/>
    <w:rsid w:val="00A455A8"/>
    <w:rsid w:val="00A569B5"/>
    <w:rsid w:val="00AA4F73"/>
    <w:rsid w:val="00AF4892"/>
    <w:rsid w:val="00B07468"/>
    <w:rsid w:val="00B16AEE"/>
    <w:rsid w:val="00B30B9A"/>
    <w:rsid w:val="00B75210"/>
    <w:rsid w:val="00B87E88"/>
    <w:rsid w:val="00BA52F5"/>
    <w:rsid w:val="00BB241F"/>
    <w:rsid w:val="00BF5012"/>
    <w:rsid w:val="00C3366B"/>
    <w:rsid w:val="00C34E2F"/>
    <w:rsid w:val="00C41B1B"/>
    <w:rsid w:val="00C62608"/>
    <w:rsid w:val="00C816E0"/>
    <w:rsid w:val="00C94C58"/>
    <w:rsid w:val="00C97D5F"/>
    <w:rsid w:val="00CB5C62"/>
    <w:rsid w:val="00CD4E55"/>
    <w:rsid w:val="00CD6762"/>
    <w:rsid w:val="00D02CE7"/>
    <w:rsid w:val="00D47F13"/>
    <w:rsid w:val="00D9282A"/>
    <w:rsid w:val="00D961EF"/>
    <w:rsid w:val="00DD6530"/>
    <w:rsid w:val="00DE3930"/>
    <w:rsid w:val="00DE7CED"/>
    <w:rsid w:val="00E04CA5"/>
    <w:rsid w:val="00E44C8D"/>
    <w:rsid w:val="00E556F2"/>
    <w:rsid w:val="00E82746"/>
    <w:rsid w:val="00E94C9A"/>
    <w:rsid w:val="00EC6637"/>
    <w:rsid w:val="00F01E12"/>
    <w:rsid w:val="00F04893"/>
    <w:rsid w:val="00F071B5"/>
    <w:rsid w:val="00F10CB2"/>
    <w:rsid w:val="00F15AC3"/>
    <w:rsid w:val="00F24751"/>
    <w:rsid w:val="00F50464"/>
    <w:rsid w:val="00F60A0C"/>
    <w:rsid w:val="00F60C1C"/>
    <w:rsid w:val="00F84994"/>
    <w:rsid w:val="00F86227"/>
    <w:rsid w:val="00F94A8B"/>
    <w:rsid w:val="00FE1FFD"/>
    <w:rsid w:val="00FF136C"/>
    <w:rsid w:val="00FF1B1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4CC5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A22C86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2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C8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87E8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4047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04791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0746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3908</Characters>
  <Application>Microsoft Office Word</Application>
  <DocSecurity>0</DocSecurity>
  <Lines>104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2022-06-14T01:26:00Z</dcterms:created>
  <dcterms:modified xsi:type="dcterms:W3CDTF">2022-06-14T01:26:00Z</dcterms:modified>
</cp:coreProperties>
</file>