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4B0F1964" w:rsidR="00F10CB2" w:rsidRPr="00065350" w:rsidRDefault="001C737C">
      <w:pPr>
        <w:pStyle w:val="Billname"/>
        <w:spacing w:before="700"/>
      </w:pPr>
      <w:r>
        <w:t>Public Place Names</w:t>
      </w:r>
      <w:r w:rsidR="00F10CB2">
        <w:t xml:space="preserve"> (</w:t>
      </w:r>
      <w:r w:rsidR="003560D5">
        <w:t>Denman Prospect)</w:t>
      </w:r>
      <w:r w:rsidR="00492788">
        <w:t xml:space="preserve"> </w:t>
      </w:r>
      <w:r>
        <w:t>Determination</w:t>
      </w:r>
      <w:r w:rsidR="00B30B9A">
        <w:t xml:space="preserve"> </w:t>
      </w:r>
      <w:r w:rsidR="003560D5">
        <w:t xml:space="preserve">2023 </w:t>
      </w:r>
      <w:r w:rsidR="0038524D">
        <w:t>(No 1)</w:t>
      </w:r>
    </w:p>
    <w:p w14:paraId="621471C0" w14:textId="0791B468" w:rsidR="00F10CB2" w:rsidRDefault="00F10CB2" w:rsidP="00D47F13">
      <w:pPr>
        <w:spacing w:before="340"/>
        <w:rPr>
          <w:rFonts w:ascii="Arial" w:hAnsi="Arial" w:cs="Arial"/>
          <w:b/>
          <w:bCs/>
        </w:rPr>
      </w:pPr>
      <w:r>
        <w:rPr>
          <w:rFonts w:ascii="Arial" w:hAnsi="Arial" w:cs="Arial"/>
          <w:b/>
          <w:bCs/>
        </w:rPr>
        <w:t>Disallowable instrument DI</w:t>
      </w:r>
      <w:r w:rsidR="003560D5">
        <w:rPr>
          <w:rFonts w:ascii="Arial" w:hAnsi="Arial" w:cs="Arial"/>
          <w:b/>
          <w:bCs/>
        </w:rPr>
        <w:t>2023</w:t>
      </w:r>
      <w:r>
        <w:rPr>
          <w:rFonts w:ascii="Arial" w:hAnsi="Arial" w:cs="Arial"/>
          <w:b/>
          <w:bCs/>
        </w:rPr>
        <w:t>–</w:t>
      </w:r>
      <w:r w:rsidR="00F55A73">
        <w:rPr>
          <w:rFonts w:ascii="Arial" w:hAnsi="Arial" w:cs="Arial"/>
          <w:b/>
          <w:bCs/>
        </w:rPr>
        <w:t>223</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38DFBD28" w:rsidR="00F10CB2" w:rsidRDefault="00F10CB2" w:rsidP="00D47F13">
      <w:pPr>
        <w:spacing w:before="140"/>
        <w:ind w:left="720"/>
      </w:pPr>
      <w:r>
        <w:t xml:space="preserve">This instrument is the </w:t>
      </w:r>
      <w:r w:rsidR="003560D5">
        <w:rPr>
          <w:i/>
        </w:rPr>
        <w:t>Public Place Names (Denman Prospect) Determination 2023</w:t>
      </w:r>
      <w:r w:rsidR="0038524D">
        <w:rPr>
          <w:i/>
        </w:rPr>
        <w:t xml:space="preserve"> (No 1)</w:t>
      </w:r>
      <w:r w:rsidR="00065350">
        <w:rPr>
          <w:i/>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Pr="003560D5" w:rsidRDefault="00F10CB2" w:rsidP="00D47F13">
      <w:pPr>
        <w:spacing w:before="140"/>
        <w:ind w:left="720"/>
      </w:pPr>
      <w:r>
        <w:t xml:space="preserve">This instrument commences on </w:t>
      </w:r>
      <w:r w:rsidR="00492788">
        <w:t xml:space="preserve">the </w:t>
      </w:r>
      <w:r w:rsidR="00492788" w:rsidRPr="003560D5">
        <w:t xml:space="preserve">day after </w:t>
      </w:r>
      <w:r w:rsidR="000C501D" w:rsidRPr="003560D5">
        <w:t xml:space="preserve">its </w:t>
      </w:r>
      <w:r w:rsidR="00492788" w:rsidRPr="003560D5">
        <w:t>notification</w:t>
      </w:r>
      <w:r w:rsidR="000C501D" w:rsidRPr="003560D5">
        <w:t xml:space="preserve"> day</w:t>
      </w:r>
      <w:r w:rsidRPr="003560D5">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1C2BFBED" w:rsidR="00F10CB2" w:rsidRPr="00065350" w:rsidRDefault="001C737C" w:rsidP="00D47F13">
      <w:pPr>
        <w:tabs>
          <w:tab w:val="left" w:pos="4320"/>
        </w:tabs>
      </w:pPr>
      <w:r>
        <w:t>Delegate of the Minister</w:t>
      </w:r>
      <w:r w:rsidR="008F060D">
        <w:t xml:space="preserve"> for Planning and Land Management </w:t>
      </w:r>
    </w:p>
    <w:bookmarkEnd w:id="0"/>
    <w:p w14:paraId="5D2B186A" w14:textId="77777777" w:rsidR="00F55A73" w:rsidRDefault="00F55A73" w:rsidP="00232478">
      <w:pPr>
        <w:tabs>
          <w:tab w:val="left" w:pos="4320"/>
        </w:tabs>
      </w:pPr>
    </w:p>
    <w:p w14:paraId="209EB7C0" w14:textId="11C211A1" w:rsidR="001F1298" w:rsidRDefault="00F55A73" w:rsidP="00232478">
      <w:pPr>
        <w:tabs>
          <w:tab w:val="left" w:pos="4320"/>
        </w:tabs>
      </w:pPr>
      <w:r>
        <w:t>5 September 2023</w:t>
      </w: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77777777" w:rsidR="002A039C" w:rsidRDefault="002A039C" w:rsidP="002A039C"/>
    <w:p w14:paraId="41CCFE9B" w14:textId="77777777" w:rsidR="003D7174" w:rsidRPr="002A039C" w:rsidRDefault="003D7174" w:rsidP="002A039C"/>
    <w:p w14:paraId="70505619" w14:textId="7AD89A5D" w:rsidR="00B63A10" w:rsidRPr="00B63A10" w:rsidRDefault="00AA02C9" w:rsidP="00AA02C9">
      <w:pPr>
        <w:spacing w:before="120" w:after="120"/>
        <w:rPr>
          <w:b/>
          <w:bCs/>
          <w:noProof/>
          <w:szCs w:val="24"/>
        </w:rPr>
      </w:pPr>
      <w:r w:rsidRPr="00AA02C9">
        <w:rPr>
          <w:b/>
          <w:bCs/>
          <w:szCs w:val="24"/>
        </w:rPr>
        <w:t xml:space="preserve">Division of </w:t>
      </w:r>
      <w:r w:rsidR="003560D5">
        <w:rPr>
          <w:b/>
          <w:bCs/>
          <w:szCs w:val="24"/>
        </w:rPr>
        <w:t>Denman Prospect</w:t>
      </w:r>
      <w:r w:rsidR="00065350">
        <w:rPr>
          <w:b/>
          <w:bCs/>
          <w:szCs w:val="24"/>
        </w:rPr>
        <w:t xml:space="preserve"> –</w:t>
      </w:r>
      <w:r w:rsidRPr="00AA02C9">
        <w:rPr>
          <w:b/>
          <w:bCs/>
          <w:noProof/>
          <w:szCs w:val="24"/>
        </w:rPr>
        <w:t xml:space="preserve"> </w:t>
      </w:r>
      <w:r w:rsidR="003560D5">
        <w:rPr>
          <w:b/>
          <w:bCs/>
          <w:noProof/>
          <w:szCs w:val="24"/>
        </w:rPr>
        <w:t>Activism and Reform</w:t>
      </w:r>
    </w:p>
    <w:p w14:paraId="5503FC76" w14:textId="3B028A0F" w:rsidR="00B63A10" w:rsidRPr="00B63A10" w:rsidRDefault="00B63A10" w:rsidP="00AA02C9">
      <w:pPr>
        <w:spacing w:before="120" w:after="120"/>
        <w:rPr>
          <w:bCs/>
          <w:noProof/>
        </w:rPr>
      </w:pPr>
      <w:r w:rsidRPr="00B63A10">
        <w:rPr>
          <w:bCs/>
          <w:noProof/>
        </w:rPr>
        <w:t>The location of the public place</w:t>
      </w:r>
      <w:r w:rsidR="007D25AC">
        <w:rPr>
          <w:bCs/>
          <w:noProof/>
        </w:rPr>
        <w:t>s</w:t>
      </w:r>
      <w:r w:rsidRPr="00B63A10">
        <w:rPr>
          <w:bCs/>
          <w:noProof/>
        </w:rPr>
        <w:t xml:space="preserve"> </w:t>
      </w:r>
      <w:r w:rsidR="008B556F">
        <w:rPr>
          <w:bCs/>
          <w:noProof/>
        </w:rPr>
        <w:t>with the following name</w:t>
      </w:r>
      <w:r w:rsidR="007D25AC">
        <w:rPr>
          <w:bCs/>
          <w:noProof/>
        </w:rPr>
        <w:t xml:space="preserve">s </w:t>
      </w:r>
      <w:r w:rsidRPr="00B63A10">
        <w:rPr>
          <w:bCs/>
          <w:noProof/>
        </w:rPr>
        <w:t xml:space="preserve">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809"/>
        <w:gridCol w:w="2410"/>
        <w:gridCol w:w="4678"/>
      </w:tblGrid>
      <w:tr w:rsidR="00AA02C9" w14:paraId="0035353E" w14:textId="77777777" w:rsidTr="00CE6580">
        <w:trPr>
          <w:cantSplit/>
        </w:trPr>
        <w:tc>
          <w:tcPr>
            <w:tcW w:w="1809" w:type="dxa"/>
            <w:tcBorders>
              <w:top w:val="nil"/>
              <w:left w:val="nil"/>
              <w:bottom w:val="nil"/>
              <w:right w:val="nil"/>
            </w:tcBorders>
          </w:tcPr>
          <w:p w14:paraId="14F90C9E" w14:textId="77777777" w:rsidR="00AA02C9" w:rsidRPr="00CE3399" w:rsidRDefault="00AA02C9" w:rsidP="007D25AC">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410"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4678" w:type="dxa"/>
            <w:tcBorders>
              <w:top w:val="nil"/>
              <w:left w:val="nil"/>
              <w:bottom w:val="nil"/>
              <w:right w:val="nil"/>
            </w:tcBorders>
          </w:tcPr>
          <w:p w14:paraId="2805C3CC"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3399" w14:paraId="1ECCF6C8" w14:textId="77777777" w:rsidTr="00CE6580">
        <w:trPr>
          <w:cantSplit/>
        </w:trPr>
        <w:tc>
          <w:tcPr>
            <w:tcW w:w="1809" w:type="dxa"/>
            <w:tcBorders>
              <w:top w:val="nil"/>
              <w:left w:val="nil"/>
              <w:bottom w:val="nil"/>
              <w:right w:val="nil"/>
            </w:tcBorders>
          </w:tcPr>
          <w:p w14:paraId="3C65A126" w14:textId="77777777" w:rsidR="005F496F" w:rsidRDefault="005F496F" w:rsidP="005F496F">
            <w:pPr>
              <w:spacing w:before="120" w:after="120"/>
              <w:rPr>
                <w:b/>
                <w:bCs/>
                <w:szCs w:val="24"/>
                <w:lang w:val="en-GB"/>
              </w:rPr>
            </w:pPr>
            <w:r>
              <w:rPr>
                <w:b/>
                <w:bCs/>
                <w:szCs w:val="24"/>
                <w:lang w:val="en-GB"/>
              </w:rPr>
              <w:t>Chaelundi Court</w:t>
            </w:r>
          </w:p>
          <w:p w14:paraId="14482D9E" w14:textId="4BF59BA8" w:rsidR="00CE3399" w:rsidRPr="00862E12" w:rsidRDefault="00CE3399" w:rsidP="007D25AC">
            <w:pPr>
              <w:pStyle w:val="Heading2"/>
              <w:spacing w:before="120" w:after="120"/>
              <w:jc w:val="left"/>
              <w:rPr>
                <w:rFonts w:ascii="Times New Roman" w:hAnsi="Times New Roman" w:cs="Times New Roman"/>
                <w:bCs/>
                <w:i w:val="0"/>
                <w:color w:val="FF0000"/>
                <w:sz w:val="20"/>
                <w:szCs w:val="20"/>
              </w:rPr>
            </w:pPr>
          </w:p>
        </w:tc>
        <w:tc>
          <w:tcPr>
            <w:tcW w:w="2410" w:type="dxa"/>
            <w:tcBorders>
              <w:top w:val="nil"/>
              <w:left w:val="nil"/>
              <w:bottom w:val="nil"/>
              <w:right w:val="nil"/>
            </w:tcBorders>
          </w:tcPr>
          <w:p w14:paraId="34C89FC9" w14:textId="1BEACF09" w:rsidR="00CE6580" w:rsidRDefault="00CE6580" w:rsidP="002A039C">
            <w:pPr>
              <w:spacing w:before="120" w:after="120"/>
              <w:rPr>
                <w:szCs w:val="24"/>
              </w:rPr>
            </w:pPr>
            <w:r w:rsidRPr="00CE6580">
              <w:rPr>
                <w:szCs w:val="24"/>
                <w:lang w:val="en-GB"/>
              </w:rPr>
              <w:t>Chaelundi</w:t>
            </w:r>
            <w:r w:rsidR="00B53303">
              <w:rPr>
                <w:szCs w:val="24"/>
                <w:lang w:val="en-GB"/>
              </w:rPr>
              <w:t xml:space="preserve"> decision</w:t>
            </w:r>
            <w:r w:rsidRPr="007D25AC">
              <w:rPr>
                <w:szCs w:val="24"/>
              </w:rPr>
              <w:t xml:space="preserve"> </w:t>
            </w:r>
          </w:p>
          <w:p w14:paraId="300AD2AE" w14:textId="6C408666" w:rsidR="00C27210" w:rsidRPr="002929A6" w:rsidRDefault="007D25AC" w:rsidP="00671B27">
            <w:pPr>
              <w:spacing w:before="120" w:after="120"/>
              <w:rPr>
                <w:b/>
                <w:bCs/>
                <w:szCs w:val="24"/>
              </w:rPr>
            </w:pPr>
            <w:r w:rsidRPr="007D25AC">
              <w:rPr>
                <w:szCs w:val="24"/>
              </w:rPr>
              <w:t>(</w:t>
            </w:r>
            <w:r w:rsidR="00CE6580">
              <w:rPr>
                <w:szCs w:val="24"/>
              </w:rPr>
              <w:t>1991)</w:t>
            </w:r>
          </w:p>
        </w:tc>
        <w:tc>
          <w:tcPr>
            <w:tcW w:w="4678" w:type="dxa"/>
            <w:tcBorders>
              <w:top w:val="nil"/>
              <w:left w:val="nil"/>
              <w:bottom w:val="nil"/>
              <w:right w:val="nil"/>
            </w:tcBorders>
          </w:tcPr>
          <w:p w14:paraId="3058C7AF" w14:textId="3ED9663A" w:rsidR="00CE6580" w:rsidRPr="001F7459" w:rsidRDefault="00C27210" w:rsidP="00CE6580">
            <w:pPr>
              <w:spacing w:before="120" w:after="120"/>
              <w:rPr>
                <w:szCs w:val="24"/>
                <w:lang w:val="en-GB"/>
              </w:rPr>
            </w:pPr>
            <w:r>
              <w:rPr>
                <w:szCs w:val="24"/>
                <w:lang w:val="en-GB"/>
              </w:rPr>
              <w:t>Environmental law reform</w:t>
            </w:r>
            <w:r w:rsidR="00A43FFD">
              <w:rPr>
                <w:szCs w:val="24"/>
                <w:lang w:val="en-GB"/>
              </w:rPr>
              <w:t xml:space="preserve">, activism </w:t>
            </w:r>
          </w:p>
          <w:p w14:paraId="2A411B9C" w14:textId="62CBB077" w:rsidR="0063206A" w:rsidRPr="0063206A" w:rsidRDefault="00FD65FB" w:rsidP="0063206A">
            <w:pPr>
              <w:pStyle w:val="CoverActName"/>
              <w:tabs>
                <w:tab w:val="clear" w:pos="2600"/>
              </w:tabs>
              <w:spacing w:before="120" w:after="120"/>
              <w:jc w:val="left"/>
              <w:rPr>
                <w:rFonts w:ascii="Times New Roman" w:hAnsi="Times New Roman"/>
                <w:b w:val="0"/>
                <w:szCs w:val="24"/>
                <w:lang w:val="en-GB"/>
              </w:rPr>
            </w:pPr>
            <w:r w:rsidRPr="00FD65FB">
              <w:rPr>
                <w:rFonts w:ascii="Times New Roman" w:hAnsi="Times New Roman"/>
                <w:b w:val="0"/>
                <w:bCs/>
              </w:rPr>
              <w:t>T</w:t>
            </w:r>
            <w:r w:rsidR="002F53F1" w:rsidRPr="00FD65FB">
              <w:rPr>
                <w:rFonts w:ascii="Times New Roman" w:hAnsi="Times New Roman"/>
                <w:b w:val="0"/>
                <w:bCs/>
              </w:rPr>
              <w:t>he</w:t>
            </w:r>
            <w:r w:rsidR="00B53303" w:rsidRPr="00FD65FB">
              <w:rPr>
                <w:rFonts w:ascii="Times New Roman" w:hAnsi="Times New Roman"/>
                <w:b w:val="0"/>
                <w:bCs/>
              </w:rPr>
              <w:t xml:space="preserve"> volunteer organisation, the </w:t>
            </w:r>
            <w:r w:rsidR="002F53F1" w:rsidRPr="00FD65FB">
              <w:rPr>
                <w:rFonts w:ascii="Times New Roman" w:hAnsi="Times New Roman"/>
                <w:b w:val="0"/>
                <w:bCs/>
              </w:rPr>
              <w:t>North</w:t>
            </w:r>
            <w:r w:rsidR="00B53303" w:rsidRPr="00FD65FB">
              <w:rPr>
                <w:rFonts w:ascii="Times New Roman" w:hAnsi="Times New Roman"/>
                <w:b w:val="0"/>
                <w:bCs/>
              </w:rPr>
              <w:t xml:space="preserve"> </w:t>
            </w:r>
            <w:r w:rsidR="002F53F1" w:rsidRPr="00FD65FB">
              <w:rPr>
                <w:rFonts w:ascii="Times New Roman" w:hAnsi="Times New Roman"/>
                <w:b w:val="0"/>
                <w:bCs/>
              </w:rPr>
              <w:t>East Forest Alliance</w:t>
            </w:r>
            <w:r w:rsidR="00296D11">
              <w:rPr>
                <w:rFonts w:ascii="Times New Roman" w:hAnsi="Times New Roman"/>
                <w:b w:val="0"/>
                <w:bCs/>
              </w:rPr>
              <w:t xml:space="preserve"> (NEFA)</w:t>
            </w:r>
            <w:r w:rsidR="002F53F1" w:rsidRPr="00FD65FB">
              <w:rPr>
                <w:rFonts w:ascii="Times New Roman" w:hAnsi="Times New Roman"/>
                <w:b w:val="0"/>
                <w:bCs/>
              </w:rPr>
              <w:t xml:space="preserve"> </w:t>
            </w:r>
            <w:r w:rsidRPr="00FD65FB">
              <w:rPr>
                <w:rFonts w:ascii="Times New Roman" w:hAnsi="Times New Roman"/>
                <w:b w:val="0"/>
                <w:bCs/>
              </w:rPr>
              <w:t xml:space="preserve">was formed </w:t>
            </w:r>
            <w:r w:rsidR="00296D11">
              <w:rPr>
                <w:rFonts w:ascii="Times New Roman" w:hAnsi="Times New Roman"/>
                <w:b w:val="0"/>
                <w:bCs/>
              </w:rPr>
              <w:t xml:space="preserve">in 1989 </w:t>
            </w:r>
            <w:r w:rsidRPr="00FD65FB">
              <w:rPr>
                <w:rFonts w:ascii="Times New Roman" w:hAnsi="Times New Roman"/>
                <w:b w:val="0"/>
                <w:bCs/>
              </w:rPr>
              <w:t>with the principal aim of protecting areas of rainforest, old growth, wilderness and threatened species in northern New South Wales (NSW). In 1990</w:t>
            </w:r>
            <w:r>
              <w:rPr>
                <w:rFonts w:ascii="Times New Roman" w:hAnsi="Times New Roman"/>
                <w:b w:val="0"/>
                <w:bCs/>
              </w:rPr>
              <w:t>,</w:t>
            </w:r>
            <w:r w:rsidRPr="00FD65FB">
              <w:rPr>
                <w:rFonts w:ascii="Times New Roman" w:hAnsi="Times New Roman"/>
                <w:b w:val="0"/>
                <w:bCs/>
              </w:rPr>
              <w:t xml:space="preserve"> </w:t>
            </w:r>
            <w:r w:rsidR="00296D11">
              <w:rPr>
                <w:rFonts w:ascii="Times New Roman" w:hAnsi="Times New Roman"/>
                <w:b w:val="0"/>
                <w:bCs/>
              </w:rPr>
              <w:t xml:space="preserve">NEFA </w:t>
            </w:r>
            <w:r w:rsidRPr="00FD65FB">
              <w:rPr>
                <w:rFonts w:ascii="Times New Roman" w:hAnsi="Times New Roman"/>
                <w:b w:val="0"/>
                <w:bCs/>
              </w:rPr>
              <w:t xml:space="preserve">took direct action </w:t>
            </w:r>
            <w:r w:rsidR="00296D11">
              <w:rPr>
                <w:rFonts w:ascii="Times New Roman" w:hAnsi="Times New Roman"/>
                <w:b w:val="0"/>
                <w:bCs/>
              </w:rPr>
              <w:t xml:space="preserve">in the Chaelundi State Forest to </w:t>
            </w:r>
            <w:r w:rsidR="001E6B54" w:rsidRPr="00FD65FB">
              <w:rPr>
                <w:rFonts w:ascii="Times New Roman" w:hAnsi="Times New Roman"/>
                <w:b w:val="0"/>
                <w:bCs/>
              </w:rPr>
              <w:t>protest</w:t>
            </w:r>
            <w:r w:rsidR="00E664A5" w:rsidRPr="00FD65FB">
              <w:rPr>
                <w:rFonts w:ascii="Times New Roman" w:hAnsi="Times New Roman"/>
                <w:b w:val="0"/>
                <w:bCs/>
              </w:rPr>
              <w:t xml:space="preserve"> </w:t>
            </w:r>
            <w:r w:rsidR="001F7459" w:rsidRPr="00FD65FB">
              <w:rPr>
                <w:rFonts w:ascii="Times New Roman" w:hAnsi="Times New Roman"/>
                <w:b w:val="0"/>
                <w:bCs/>
              </w:rPr>
              <w:t>that logging</w:t>
            </w:r>
            <w:r w:rsidR="00861DA7" w:rsidRPr="00FD65FB">
              <w:rPr>
                <w:rFonts w:ascii="Times New Roman" w:hAnsi="Times New Roman"/>
                <w:b w:val="0"/>
                <w:bCs/>
              </w:rPr>
              <w:t>, road building and ancillary activities</w:t>
            </w:r>
            <w:r w:rsidR="00296D11">
              <w:rPr>
                <w:rFonts w:ascii="Times New Roman" w:hAnsi="Times New Roman"/>
                <w:b w:val="0"/>
                <w:bCs/>
              </w:rPr>
              <w:t>,</w:t>
            </w:r>
            <w:r w:rsidR="00B3774C" w:rsidRPr="00FD65FB">
              <w:rPr>
                <w:rFonts w:ascii="Times New Roman" w:hAnsi="Times New Roman"/>
                <w:b w:val="0"/>
                <w:bCs/>
              </w:rPr>
              <w:t xml:space="preserve"> </w:t>
            </w:r>
            <w:r w:rsidR="001E6B54" w:rsidRPr="00FD65FB">
              <w:rPr>
                <w:rFonts w:ascii="Times New Roman" w:hAnsi="Times New Roman"/>
                <w:b w:val="0"/>
                <w:bCs/>
              </w:rPr>
              <w:t>contravened</w:t>
            </w:r>
            <w:r w:rsidR="001F7459" w:rsidRPr="00FD65FB">
              <w:rPr>
                <w:rFonts w:ascii="Times New Roman" w:hAnsi="Times New Roman"/>
                <w:b w:val="0"/>
                <w:bCs/>
              </w:rPr>
              <w:t xml:space="preserve"> laws protecting endangered </w:t>
            </w:r>
            <w:r w:rsidR="00ED7F95" w:rsidRPr="00FD65FB">
              <w:rPr>
                <w:rFonts w:ascii="Times New Roman" w:hAnsi="Times New Roman"/>
                <w:b w:val="0"/>
                <w:bCs/>
              </w:rPr>
              <w:t xml:space="preserve">fauna </w:t>
            </w:r>
            <w:r w:rsidR="001F7459" w:rsidRPr="00FD65FB">
              <w:rPr>
                <w:rFonts w:ascii="Times New Roman" w:hAnsi="Times New Roman"/>
                <w:b w:val="0"/>
                <w:bCs/>
              </w:rPr>
              <w:t>species</w:t>
            </w:r>
            <w:r w:rsidR="001E6B54" w:rsidRPr="0063206A">
              <w:rPr>
                <w:rFonts w:ascii="Times New Roman" w:hAnsi="Times New Roman"/>
                <w:b w:val="0"/>
                <w:szCs w:val="24"/>
                <w:lang w:val="en-GB"/>
              </w:rPr>
              <w:t>.</w:t>
            </w:r>
            <w:r w:rsidR="00922F26" w:rsidRPr="0063206A">
              <w:rPr>
                <w:rFonts w:ascii="Times New Roman" w:hAnsi="Times New Roman"/>
                <w:b w:val="0"/>
              </w:rPr>
              <w:t xml:space="preserve"> </w:t>
            </w:r>
            <w:r w:rsidR="004A5AE4">
              <w:rPr>
                <w:rFonts w:ascii="Times New Roman" w:hAnsi="Times New Roman"/>
                <w:b w:val="0"/>
              </w:rPr>
              <w:t>A</w:t>
            </w:r>
            <w:r w:rsidR="001E6B54" w:rsidRPr="0063206A">
              <w:rPr>
                <w:rFonts w:ascii="Times New Roman" w:hAnsi="Times New Roman"/>
                <w:b w:val="0"/>
                <w:szCs w:val="24"/>
                <w:lang w:val="en-GB"/>
              </w:rPr>
              <w:t xml:space="preserve">n application brought against the </w:t>
            </w:r>
            <w:r w:rsidR="001E6B54" w:rsidRPr="0063206A">
              <w:rPr>
                <w:rFonts w:ascii="Times New Roman" w:hAnsi="Times New Roman"/>
                <w:b w:val="0"/>
              </w:rPr>
              <w:t>Forestry Commission</w:t>
            </w:r>
            <w:r w:rsidR="001E6B54" w:rsidRPr="0063206A">
              <w:rPr>
                <w:rFonts w:ascii="Times New Roman" w:hAnsi="Times New Roman"/>
                <w:b w:val="0"/>
                <w:szCs w:val="24"/>
                <w:lang w:val="en-GB"/>
              </w:rPr>
              <w:t xml:space="preserve"> </w:t>
            </w:r>
            <w:r w:rsidR="00ED7F95" w:rsidRPr="0063206A">
              <w:rPr>
                <w:rFonts w:ascii="Times New Roman" w:hAnsi="Times New Roman"/>
                <w:b w:val="0"/>
                <w:szCs w:val="24"/>
                <w:lang w:val="en-GB"/>
              </w:rPr>
              <w:t xml:space="preserve">of NSW </w:t>
            </w:r>
            <w:r w:rsidR="001E6B54" w:rsidRPr="0063206A">
              <w:rPr>
                <w:rFonts w:ascii="Times New Roman" w:hAnsi="Times New Roman"/>
                <w:b w:val="0"/>
                <w:szCs w:val="24"/>
                <w:lang w:val="en-GB"/>
              </w:rPr>
              <w:t xml:space="preserve">in the </w:t>
            </w:r>
            <w:r w:rsidR="00861DA7" w:rsidRPr="0063206A">
              <w:rPr>
                <w:rFonts w:ascii="Times New Roman" w:hAnsi="Times New Roman"/>
                <w:b w:val="0"/>
                <w:szCs w:val="24"/>
                <w:lang w:val="en-GB"/>
              </w:rPr>
              <w:t>Land and</w:t>
            </w:r>
            <w:r w:rsidR="00861DA7" w:rsidRPr="0063206A">
              <w:rPr>
                <w:rFonts w:ascii="Times New Roman" w:hAnsi="Times New Roman"/>
                <w:b w:val="0"/>
              </w:rPr>
              <w:t xml:space="preserve"> </w:t>
            </w:r>
            <w:r w:rsidR="001E6B54" w:rsidRPr="0063206A">
              <w:rPr>
                <w:rFonts w:ascii="Times New Roman" w:hAnsi="Times New Roman"/>
                <w:b w:val="0"/>
              </w:rPr>
              <w:t>Environment Court</w:t>
            </w:r>
            <w:r w:rsidR="00861DA7" w:rsidRPr="0063206A">
              <w:rPr>
                <w:rFonts w:ascii="Times New Roman" w:hAnsi="Times New Roman"/>
                <w:b w:val="0"/>
              </w:rPr>
              <w:t xml:space="preserve"> of NSW</w:t>
            </w:r>
            <w:r w:rsidR="001E6B54" w:rsidRPr="0063206A">
              <w:rPr>
                <w:rFonts w:ascii="Times New Roman" w:hAnsi="Times New Roman"/>
                <w:b w:val="0"/>
              </w:rPr>
              <w:t xml:space="preserve"> </w:t>
            </w:r>
            <w:r w:rsidR="00922F26" w:rsidRPr="0063206A">
              <w:rPr>
                <w:rFonts w:ascii="Times New Roman" w:hAnsi="Times New Roman"/>
                <w:b w:val="0"/>
              </w:rPr>
              <w:t>s</w:t>
            </w:r>
            <w:r w:rsidR="004A5AE4">
              <w:rPr>
                <w:rFonts w:ascii="Times New Roman" w:hAnsi="Times New Roman"/>
                <w:b w:val="0"/>
              </w:rPr>
              <w:t>ought</w:t>
            </w:r>
            <w:r w:rsidR="00922F26" w:rsidRPr="0063206A">
              <w:rPr>
                <w:rFonts w:ascii="Times New Roman" w:hAnsi="Times New Roman"/>
                <w:b w:val="0"/>
              </w:rPr>
              <w:t xml:space="preserve"> declarations and orders against the Commission to prevent it from logging the forest</w:t>
            </w:r>
            <w:r w:rsidR="00922F26" w:rsidRPr="0063206A">
              <w:rPr>
                <w:rFonts w:ascii="Times New Roman" w:hAnsi="Times New Roman"/>
                <w:b w:val="0"/>
                <w:i/>
                <w:iCs/>
              </w:rPr>
              <w:t>,</w:t>
            </w:r>
            <w:r w:rsidR="001E6B54" w:rsidRPr="0063206A">
              <w:rPr>
                <w:rFonts w:ascii="Times New Roman" w:hAnsi="Times New Roman"/>
                <w:b w:val="0"/>
                <w:i/>
                <w:iCs/>
              </w:rPr>
              <w:t xml:space="preserve"> Corkill v Forestry Commission of NSW</w:t>
            </w:r>
            <w:r w:rsidR="001E6B54" w:rsidRPr="0063206A">
              <w:rPr>
                <w:rFonts w:ascii="Times New Roman" w:hAnsi="Times New Roman"/>
                <w:b w:val="0"/>
              </w:rPr>
              <w:t xml:space="preserve">. </w:t>
            </w:r>
            <w:r w:rsidR="00C27210" w:rsidRPr="0063206A">
              <w:rPr>
                <w:rFonts w:ascii="Times New Roman" w:hAnsi="Times New Roman"/>
                <w:b w:val="0"/>
              </w:rPr>
              <w:t xml:space="preserve">The decision </w:t>
            </w:r>
            <w:r w:rsidR="006423D4">
              <w:rPr>
                <w:rFonts w:ascii="Times New Roman" w:hAnsi="Times New Roman"/>
                <w:b w:val="0"/>
              </w:rPr>
              <w:t xml:space="preserve">handed down in </w:t>
            </w:r>
            <w:r w:rsidR="00B53303">
              <w:rPr>
                <w:rFonts w:ascii="Times New Roman" w:hAnsi="Times New Roman"/>
                <w:b w:val="0"/>
              </w:rPr>
              <w:t xml:space="preserve">September </w:t>
            </w:r>
            <w:r w:rsidR="006423D4">
              <w:rPr>
                <w:rFonts w:ascii="Times New Roman" w:hAnsi="Times New Roman"/>
                <w:b w:val="0"/>
              </w:rPr>
              <w:t xml:space="preserve">1991 </w:t>
            </w:r>
            <w:r w:rsidR="001F7459" w:rsidRPr="0063206A">
              <w:rPr>
                <w:rFonts w:ascii="Times New Roman" w:hAnsi="Times New Roman"/>
                <w:b w:val="0"/>
              </w:rPr>
              <w:t>held th</w:t>
            </w:r>
            <w:r w:rsidR="0063206A" w:rsidRPr="0063206A">
              <w:rPr>
                <w:rFonts w:ascii="Times New Roman" w:hAnsi="Times New Roman"/>
                <w:b w:val="0"/>
              </w:rPr>
              <w:t>at the</w:t>
            </w:r>
            <w:r w:rsidR="001F7459" w:rsidRPr="0063206A">
              <w:rPr>
                <w:rFonts w:ascii="Times New Roman" w:hAnsi="Times New Roman"/>
                <w:b w:val="0"/>
              </w:rPr>
              <w:t xml:space="preserve"> Forestry Commission's logging operations were in breach of </w:t>
            </w:r>
            <w:r w:rsidR="006423D4">
              <w:rPr>
                <w:rFonts w:ascii="Times New Roman" w:hAnsi="Times New Roman"/>
                <w:b w:val="0"/>
              </w:rPr>
              <w:t xml:space="preserve">certain </w:t>
            </w:r>
            <w:r w:rsidR="0010740C">
              <w:rPr>
                <w:rFonts w:ascii="Times New Roman" w:hAnsi="Times New Roman"/>
                <w:b w:val="0"/>
              </w:rPr>
              <w:t>provisions</w:t>
            </w:r>
            <w:r w:rsidR="006423D4">
              <w:rPr>
                <w:rFonts w:ascii="Times New Roman" w:hAnsi="Times New Roman"/>
                <w:b w:val="0"/>
              </w:rPr>
              <w:t xml:space="preserve"> in </w:t>
            </w:r>
            <w:r w:rsidR="001F7459" w:rsidRPr="0063206A">
              <w:rPr>
                <w:rFonts w:ascii="Times New Roman" w:hAnsi="Times New Roman"/>
                <w:b w:val="0"/>
              </w:rPr>
              <w:t xml:space="preserve">the </w:t>
            </w:r>
            <w:r w:rsidR="00ED7F95" w:rsidRPr="0063206A">
              <w:rPr>
                <w:rFonts w:ascii="Times New Roman" w:hAnsi="Times New Roman"/>
                <w:b w:val="0"/>
                <w:i/>
                <w:iCs/>
                <w:szCs w:val="24"/>
                <w:lang w:val="en-GB"/>
              </w:rPr>
              <w:t>National Parks and Wildlife Act</w:t>
            </w:r>
            <w:r w:rsidR="00861DA7" w:rsidRPr="0063206A">
              <w:rPr>
                <w:rFonts w:ascii="Times New Roman" w:hAnsi="Times New Roman"/>
                <w:b w:val="0"/>
                <w:i/>
                <w:iCs/>
                <w:szCs w:val="24"/>
                <w:lang w:val="en-GB"/>
              </w:rPr>
              <w:t xml:space="preserve"> </w:t>
            </w:r>
            <w:r w:rsidR="006423D4">
              <w:rPr>
                <w:rFonts w:ascii="Times New Roman" w:hAnsi="Times New Roman"/>
                <w:b w:val="0"/>
                <w:i/>
                <w:iCs/>
                <w:szCs w:val="24"/>
                <w:lang w:val="en-GB"/>
              </w:rPr>
              <w:t xml:space="preserve">1974 </w:t>
            </w:r>
            <w:r w:rsidR="000504EE">
              <w:rPr>
                <w:rFonts w:ascii="Times New Roman" w:hAnsi="Times New Roman"/>
                <w:b w:val="0"/>
                <w:szCs w:val="24"/>
                <w:lang w:val="en-GB"/>
              </w:rPr>
              <w:t xml:space="preserve">(NSW) </w:t>
            </w:r>
            <w:r w:rsidR="00861DA7" w:rsidRPr="0063206A">
              <w:rPr>
                <w:rFonts w:ascii="Times New Roman" w:hAnsi="Times New Roman"/>
                <w:b w:val="0"/>
                <w:szCs w:val="24"/>
                <w:lang w:val="en-GB"/>
              </w:rPr>
              <w:t>(the Act)</w:t>
            </w:r>
            <w:r w:rsidR="00ED7F95" w:rsidRPr="0063206A">
              <w:rPr>
                <w:rFonts w:ascii="Times New Roman" w:hAnsi="Times New Roman"/>
                <w:b w:val="0"/>
              </w:rPr>
              <w:t xml:space="preserve">. </w:t>
            </w:r>
            <w:r w:rsidR="00922F26" w:rsidRPr="0063206A">
              <w:rPr>
                <w:rFonts w:ascii="Times New Roman" w:hAnsi="Times New Roman"/>
                <w:b w:val="0"/>
              </w:rPr>
              <w:t>T</w:t>
            </w:r>
            <w:r w:rsidR="00057653" w:rsidRPr="0063206A">
              <w:rPr>
                <w:rFonts w:ascii="Times New Roman" w:hAnsi="Times New Roman"/>
                <w:b w:val="0"/>
              </w:rPr>
              <w:t xml:space="preserve">he </w:t>
            </w:r>
            <w:r w:rsidR="00ED7F95" w:rsidRPr="0063206A">
              <w:rPr>
                <w:rFonts w:ascii="Times New Roman" w:hAnsi="Times New Roman"/>
                <w:b w:val="0"/>
              </w:rPr>
              <w:t xml:space="preserve">finding </w:t>
            </w:r>
            <w:r w:rsidR="00057653" w:rsidRPr="0063206A">
              <w:rPr>
                <w:rFonts w:ascii="Times New Roman" w:hAnsi="Times New Roman"/>
                <w:b w:val="0"/>
              </w:rPr>
              <w:t xml:space="preserve">was </w:t>
            </w:r>
            <w:r w:rsidR="00ED7F95" w:rsidRPr="0063206A">
              <w:rPr>
                <w:rFonts w:ascii="Times New Roman" w:hAnsi="Times New Roman"/>
                <w:b w:val="0"/>
              </w:rPr>
              <w:t xml:space="preserve">upheld on appeal </w:t>
            </w:r>
            <w:r w:rsidR="00057653" w:rsidRPr="0063206A">
              <w:rPr>
                <w:rFonts w:ascii="Times New Roman" w:hAnsi="Times New Roman"/>
                <w:b w:val="0"/>
                <w:szCs w:val="24"/>
                <w:lang w:val="en-GB"/>
              </w:rPr>
              <w:t xml:space="preserve">when </w:t>
            </w:r>
            <w:r w:rsidR="00CE6580" w:rsidRPr="0063206A">
              <w:rPr>
                <w:rFonts w:ascii="Times New Roman" w:hAnsi="Times New Roman"/>
                <w:b w:val="0"/>
                <w:szCs w:val="24"/>
                <w:lang w:val="en-GB"/>
              </w:rPr>
              <w:t xml:space="preserve">the NSW Court of Appeal handed down a judgment </w:t>
            </w:r>
            <w:r w:rsidR="00065350">
              <w:rPr>
                <w:rFonts w:ascii="Times New Roman" w:hAnsi="Times New Roman"/>
                <w:b w:val="0"/>
                <w:szCs w:val="24"/>
                <w:lang w:val="en-GB"/>
              </w:rPr>
              <w:t>to declare</w:t>
            </w:r>
            <w:r w:rsidR="00CE6580" w:rsidRPr="0063206A">
              <w:rPr>
                <w:rFonts w:ascii="Times New Roman" w:hAnsi="Times New Roman"/>
                <w:b w:val="0"/>
                <w:szCs w:val="24"/>
                <w:lang w:val="en-GB"/>
              </w:rPr>
              <w:t xml:space="preserve"> logging and road building in </w:t>
            </w:r>
            <w:r w:rsidR="0010740C">
              <w:rPr>
                <w:rFonts w:ascii="Times New Roman" w:hAnsi="Times New Roman"/>
                <w:b w:val="0"/>
                <w:szCs w:val="24"/>
                <w:lang w:val="en-GB"/>
              </w:rPr>
              <w:t>the</w:t>
            </w:r>
            <w:r w:rsidR="00CE6580" w:rsidRPr="0063206A">
              <w:rPr>
                <w:rFonts w:ascii="Times New Roman" w:hAnsi="Times New Roman"/>
                <w:b w:val="0"/>
                <w:szCs w:val="24"/>
                <w:lang w:val="en-GB"/>
              </w:rPr>
              <w:t xml:space="preserve"> forest would </w:t>
            </w:r>
            <w:r w:rsidR="006423D4">
              <w:rPr>
                <w:rFonts w:ascii="Times New Roman" w:hAnsi="Times New Roman"/>
                <w:b w:val="0"/>
                <w:szCs w:val="24"/>
                <w:lang w:val="en-GB"/>
              </w:rPr>
              <w:t>c</w:t>
            </w:r>
            <w:r w:rsidR="00CE6580" w:rsidRPr="0063206A">
              <w:rPr>
                <w:rFonts w:ascii="Times New Roman" w:hAnsi="Times New Roman"/>
                <w:b w:val="0"/>
                <w:szCs w:val="24"/>
                <w:lang w:val="en-GB"/>
              </w:rPr>
              <w:t>ause the taking and killing of certain endangered species under the</w:t>
            </w:r>
            <w:r w:rsidR="00861DA7" w:rsidRPr="0063206A">
              <w:rPr>
                <w:rFonts w:ascii="Times New Roman" w:hAnsi="Times New Roman"/>
                <w:b w:val="0"/>
                <w:szCs w:val="24"/>
                <w:lang w:val="en-GB"/>
              </w:rPr>
              <w:t xml:space="preserve"> Act</w:t>
            </w:r>
            <w:r w:rsidR="00057653" w:rsidRPr="0063206A">
              <w:rPr>
                <w:rFonts w:ascii="Times New Roman" w:hAnsi="Times New Roman"/>
                <w:b w:val="0"/>
              </w:rPr>
              <w:t>.</w:t>
            </w:r>
            <w:r w:rsidR="0063206A">
              <w:rPr>
                <w:rFonts w:ascii="Times New Roman" w:hAnsi="Times New Roman"/>
                <w:b w:val="0"/>
              </w:rPr>
              <w:t xml:space="preserve"> </w:t>
            </w:r>
            <w:r w:rsidR="0010740C">
              <w:rPr>
                <w:rFonts w:ascii="Times New Roman" w:hAnsi="Times New Roman"/>
                <w:b w:val="0"/>
              </w:rPr>
              <w:t xml:space="preserve">Government </w:t>
            </w:r>
            <w:r w:rsidR="00C27210" w:rsidRPr="0063206A">
              <w:rPr>
                <w:rFonts w:ascii="Times New Roman" w:hAnsi="Times New Roman"/>
                <w:b w:val="0"/>
              </w:rPr>
              <w:t xml:space="preserve">agencies subsequently developed and formalised systematic conservation protocols to regulate logging on </w:t>
            </w:r>
            <w:r w:rsidR="00310933">
              <w:rPr>
                <w:rFonts w:ascii="Times New Roman" w:hAnsi="Times New Roman"/>
                <w:b w:val="0"/>
              </w:rPr>
              <w:t>s</w:t>
            </w:r>
            <w:r w:rsidR="00C27210" w:rsidRPr="0063206A">
              <w:rPr>
                <w:rFonts w:ascii="Times New Roman" w:hAnsi="Times New Roman"/>
                <w:b w:val="0"/>
              </w:rPr>
              <w:t>tate forest land.</w:t>
            </w:r>
            <w:r w:rsidR="0010740C">
              <w:rPr>
                <w:rFonts w:ascii="Times New Roman" w:hAnsi="Times New Roman"/>
                <w:b w:val="0"/>
              </w:rPr>
              <w:t xml:space="preserve"> </w:t>
            </w:r>
            <w:r w:rsidR="00310933">
              <w:rPr>
                <w:rFonts w:ascii="Times New Roman" w:hAnsi="Times New Roman"/>
                <w:b w:val="0"/>
              </w:rPr>
              <w:t>T</w:t>
            </w:r>
            <w:r w:rsidR="0010740C">
              <w:rPr>
                <w:rFonts w:ascii="Times New Roman" w:hAnsi="Times New Roman"/>
                <w:b w:val="0"/>
              </w:rPr>
              <w:t>he Chaelundi National Park</w:t>
            </w:r>
            <w:r w:rsidR="00310933">
              <w:rPr>
                <w:rFonts w:ascii="Times New Roman" w:hAnsi="Times New Roman"/>
                <w:b w:val="0"/>
              </w:rPr>
              <w:t xml:space="preserve"> was </w:t>
            </w:r>
            <w:r w:rsidR="00065350">
              <w:rPr>
                <w:rFonts w:ascii="Times New Roman" w:hAnsi="Times New Roman"/>
                <w:b w:val="0"/>
              </w:rPr>
              <w:t xml:space="preserve">declared </w:t>
            </w:r>
            <w:r w:rsidR="00310933">
              <w:rPr>
                <w:rFonts w:ascii="Times New Roman" w:hAnsi="Times New Roman"/>
                <w:b w:val="0"/>
              </w:rPr>
              <w:t>in 1997</w:t>
            </w:r>
            <w:r w:rsidR="00065350">
              <w:rPr>
                <w:rFonts w:ascii="Times New Roman" w:hAnsi="Times New Roman"/>
                <w:b w:val="0"/>
              </w:rPr>
              <w:t xml:space="preserve">. </w:t>
            </w:r>
          </w:p>
        </w:tc>
      </w:tr>
      <w:tr w:rsidR="00CE6580" w14:paraId="1D0D352E" w14:textId="77777777" w:rsidTr="00CE6580">
        <w:trPr>
          <w:cantSplit/>
        </w:trPr>
        <w:tc>
          <w:tcPr>
            <w:tcW w:w="1809" w:type="dxa"/>
            <w:tcBorders>
              <w:top w:val="nil"/>
              <w:left w:val="nil"/>
              <w:bottom w:val="nil"/>
              <w:right w:val="nil"/>
            </w:tcBorders>
          </w:tcPr>
          <w:p w14:paraId="1FE0E742" w14:textId="77777777" w:rsidR="00CE6580" w:rsidRDefault="00CE6580" w:rsidP="00CE6580">
            <w:pPr>
              <w:spacing w:before="120" w:after="120"/>
              <w:rPr>
                <w:b/>
                <w:bCs/>
                <w:szCs w:val="24"/>
                <w:lang w:val="en-GB"/>
              </w:rPr>
            </w:pPr>
          </w:p>
        </w:tc>
        <w:tc>
          <w:tcPr>
            <w:tcW w:w="2410" w:type="dxa"/>
            <w:tcBorders>
              <w:top w:val="nil"/>
              <w:left w:val="nil"/>
              <w:bottom w:val="nil"/>
              <w:right w:val="nil"/>
            </w:tcBorders>
          </w:tcPr>
          <w:p w14:paraId="121490B1" w14:textId="1A9B5D08" w:rsidR="00CE6580" w:rsidRPr="00CE6580" w:rsidRDefault="00CE6580" w:rsidP="00CE6580">
            <w:pPr>
              <w:spacing w:before="120" w:after="120"/>
              <w:rPr>
                <w:szCs w:val="24"/>
                <w:lang w:val="en-GB"/>
              </w:rPr>
            </w:pPr>
          </w:p>
        </w:tc>
        <w:tc>
          <w:tcPr>
            <w:tcW w:w="4678" w:type="dxa"/>
            <w:tcBorders>
              <w:top w:val="nil"/>
              <w:left w:val="nil"/>
              <w:bottom w:val="nil"/>
              <w:right w:val="nil"/>
            </w:tcBorders>
          </w:tcPr>
          <w:p w14:paraId="39FF953E" w14:textId="2B9F5562" w:rsidR="00CE6580" w:rsidRPr="00CE6580" w:rsidRDefault="00CE6580" w:rsidP="00CE6580">
            <w:pPr>
              <w:spacing w:before="120" w:after="120"/>
              <w:rPr>
                <w:szCs w:val="24"/>
                <w:lang w:val="en-GB"/>
              </w:rPr>
            </w:pPr>
          </w:p>
        </w:tc>
      </w:tr>
    </w:tbl>
    <w:p w14:paraId="40268707" w14:textId="77777777" w:rsidR="00CE6580" w:rsidRDefault="00CE6580">
      <w:r>
        <w:br w:type="page"/>
      </w:r>
    </w:p>
    <w:tbl>
      <w:tblPr>
        <w:tblW w:w="8897" w:type="dxa"/>
        <w:tblLayout w:type="fixed"/>
        <w:tblLook w:val="0000" w:firstRow="0" w:lastRow="0" w:firstColumn="0" w:lastColumn="0" w:noHBand="0" w:noVBand="0"/>
      </w:tblPr>
      <w:tblGrid>
        <w:gridCol w:w="1809"/>
        <w:gridCol w:w="2410"/>
        <w:gridCol w:w="4678"/>
      </w:tblGrid>
      <w:tr w:rsidR="00CE6580" w14:paraId="0C5636D3" w14:textId="77777777" w:rsidTr="005F496F">
        <w:trPr>
          <w:cantSplit/>
        </w:trPr>
        <w:tc>
          <w:tcPr>
            <w:tcW w:w="1809" w:type="dxa"/>
            <w:tcBorders>
              <w:top w:val="nil"/>
              <w:left w:val="nil"/>
              <w:bottom w:val="nil"/>
              <w:right w:val="nil"/>
            </w:tcBorders>
          </w:tcPr>
          <w:p w14:paraId="39E344A4" w14:textId="24AC1CF2" w:rsidR="00CE6580" w:rsidRDefault="00CE6580" w:rsidP="00CE6580">
            <w:pPr>
              <w:spacing w:before="120" w:after="120"/>
              <w:rPr>
                <w:b/>
                <w:bCs/>
                <w:szCs w:val="24"/>
                <w:lang w:val="en-GB"/>
              </w:rPr>
            </w:pPr>
            <w:r>
              <w:lastRenderedPageBreak/>
              <w:br w:type="page"/>
            </w:r>
            <w:r w:rsidRPr="00D110F1">
              <w:rPr>
                <w:b/>
                <w:bCs/>
                <w:szCs w:val="24"/>
                <w:lang w:val="en-GB"/>
              </w:rPr>
              <w:t xml:space="preserve">Goulstone Terrace </w:t>
            </w:r>
          </w:p>
          <w:p w14:paraId="6EDF35E8" w14:textId="039182BA" w:rsidR="00CE6580" w:rsidRDefault="00CE6580" w:rsidP="00B47FC9">
            <w:pPr>
              <w:spacing w:before="120" w:after="120"/>
            </w:pPr>
          </w:p>
        </w:tc>
        <w:tc>
          <w:tcPr>
            <w:tcW w:w="2410" w:type="dxa"/>
            <w:tcBorders>
              <w:top w:val="nil"/>
              <w:left w:val="nil"/>
              <w:bottom w:val="nil"/>
              <w:right w:val="nil"/>
            </w:tcBorders>
          </w:tcPr>
          <w:p w14:paraId="264EF291" w14:textId="77777777" w:rsidR="00CE6580" w:rsidRDefault="00CE6580" w:rsidP="00CE6580">
            <w:pPr>
              <w:spacing w:before="120" w:after="120"/>
              <w:rPr>
                <w:szCs w:val="24"/>
                <w:lang w:val="en-GB"/>
              </w:rPr>
            </w:pPr>
            <w:r>
              <w:rPr>
                <w:szCs w:val="24"/>
                <w:lang w:val="en-GB"/>
              </w:rPr>
              <w:t>Stephanie Anne-Claire Goulstone</w:t>
            </w:r>
          </w:p>
          <w:p w14:paraId="042402F1" w14:textId="7EFB4349" w:rsidR="00CE6580" w:rsidRPr="002929A6" w:rsidRDefault="00CE6580" w:rsidP="00CE6580">
            <w:pPr>
              <w:spacing w:before="120" w:after="120"/>
              <w:rPr>
                <w:b/>
                <w:bCs/>
                <w:szCs w:val="24"/>
              </w:rPr>
            </w:pPr>
            <w:r>
              <w:rPr>
                <w:szCs w:val="24"/>
                <w:lang w:val="en-GB"/>
              </w:rPr>
              <w:t>(1959–2021)</w:t>
            </w:r>
          </w:p>
        </w:tc>
        <w:tc>
          <w:tcPr>
            <w:tcW w:w="4678" w:type="dxa"/>
            <w:tcBorders>
              <w:top w:val="nil"/>
              <w:left w:val="nil"/>
              <w:bottom w:val="nil"/>
              <w:right w:val="nil"/>
            </w:tcBorders>
          </w:tcPr>
          <w:p w14:paraId="6C3E0F00" w14:textId="47148A2C" w:rsidR="00CE6580" w:rsidRPr="00D110F1" w:rsidRDefault="00CE6580" w:rsidP="00CE6580">
            <w:pPr>
              <w:spacing w:before="120" w:after="120"/>
              <w:rPr>
                <w:szCs w:val="24"/>
                <w:lang w:val="en-GB"/>
              </w:rPr>
            </w:pPr>
            <w:r w:rsidRPr="00D110F1">
              <w:rPr>
                <w:szCs w:val="24"/>
                <w:lang w:val="en-GB"/>
              </w:rPr>
              <w:t>Community service, social reform</w:t>
            </w:r>
          </w:p>
          <w:p w14:paraId="74917C30" w14:textId="728890BF" w:rsidR="00CE6580" w:rsidRPr="00D110F1" w:rsidRDefault="00CE6580" w:rsidP="00CE6580">
            <w:pPr>
              <w:pStyle w:val="CoverActName"/>
              <w:tabs>
                <w:tab w:val="clear" w:pos="2600"/>
              </w:tabs>
              <w:spacing w:before="120" w:after="120"/>
              <w:jc w:val="left"/>
              <w:rPr>
                <w:rFonts w:ascii="Times New Roman" w:hAnsi="Times New Roman"/>
                <w:b w:val="0"/>
                <w:szCs w:val="24"/>
                <w:lang w:val="en-GB"/>
              </w:rPr>
            </w:pPr>
            <w:r w:rsidRPr="00D110F1">
              <w:rPr>
                <w:rFonts w:ascii="Times New Roman" w:hAnsi="Times New Roman"/>
                <w:b w:val="0"/>
              </w:rPr>
              <w:t>Stephanie Goulstone advocated to raise awareness of the impact of domestic violence on women and children through her service with the Zonta Club of Canberra Breakfast Inc. (ZCCB). Goulstone assisted in club projects designed to empower women and girls, made breast care cushions for women recovering from surgery, and prepared and delivered home starter packs to women leaving refuges. Significantly, she was instrumental in galvanising ZCCB members to become more involved in the international campaign, ‘Zonta Says NO to Violence Against Women.’ In 2017, she initiated the practice of wearing and displaying orange flowers in public places in Canberra to raise awareness of domestic violence.</w:t>
            </w:r>
            <w:r w:rsidRPr="00D110F1">
              <w:rPr>
                <w:rFonts w:ascii="Times New Roman" w:hAnsi="Times New Roman"/>
                <w:b w:val="0"/>
                <w:lang w:val="en-GB"/>
              </w:rPr>
              <w:t xml:space="preserve"> </w:t>
            </w:r>
            <w:r w:rsidRPr="00D110F1">
              <w:rPr>
                <w:rFonts w:ascii="Times New Roman" w:hAnsi="Times New Roman"/>
                <w:b w:val="0"/>
              </w:rPr>
              <w:t xml:space="preserve">In 2018, she prompted ZCCB, in partnership with the Rotary Club of Canberra Burley Griffin, to ring the Canberra Rotary Peace Bell in Canberra Nara Peace Park, Yarralumla, to observe and reflect on the annual ‘Zonta Says NO to Violence Against Women’ campaign. The sombre ceremony is a moving tribute to victims of domestic violence. </w:t>
            </w:r>
            <w:r w:rsidRPr="00D110F1">
              <w:rPr>
                <w:rFonts w:ascii="Times New Roman" w:hAnsi="Times New Roman"/>
                <w:b w:val="0"/>
              </w:rPr>
              <w:br w:type="textWrapping" w:clear="all"/>
              <w:t>Stephanie Goulstone is remembered as a quiet achiever who volunteered her services to make a difference in the community.</w:t>
            </w:r>
          </w:p>
        </w:tc>
      </w:tr>
      <w:tr w:rsidR="00CE6580" w14:paraId="61793FCD" w14:textId="77777777" w:rsidTr="005F496F">
        <w:trPr>
          <w:cantSplit/>
        </w:trPr>
        <w:tc>
          <w:tcPr>
            <w:tcW w:w="1809" w:type="dxa"/>
            <w:tcBorders>
              <w:top w:val="nil"/>
              <w:left w:val="nil"/>
              <w:bottom w:val="nil"/>
              <w:right w:val="nil"/>
            </w:tcBorders>
          </w:tcPr>
          <w:p w14:paraId="70DD0F02" w14:textId="0DAAF513" w:rsidR="00CE6580" w:rsidRDefault="00CE6580" w:rsidP="00CE6580">
            <w:r>
              <w:br w:type="page"/>
            </w:r>
          </w:p>
        </w:tc>
        <w:tc>
          <w:tcPr>
            <w:tcW w:w="2410" w:type="dxa"/>
            <w:tcBorders>
              <w:top w:val="nil"/>
              <w:left w:val="nil"/>
              <w:bottom w:val="nil"/>
              <w:right w:val="nil"/>
            </w:tcBorders>
          </w:tcPr>
          <w:p w14:paraId="6B95AD58" w14:textId="77777777" w:rsidR="00CE6580" w:rsidRPr="002929A6" w:rsidRDefault="00CE6580" w:rsidP="00CE6580">
            <w:pPr>
              <w:spacing w:before="120" w:after="120"/>
              <w:rPr>
                <w:b/>
                <w:bCs/>
                <w:szCs w:val="24"/>
              </w:rPr>
            </w:pPr>
          </w:p>
        </w:tc>
        <w:tc>
          <w:tcPr>
            <w:tcW w:w="4678" w:type="dxa"/>
            <w:tcBorders>
              <w:top w:val="nil"/>
              <w:left w:val="nil"/>
              <w:bottom w:val="nil"/>
              <w:right w:val="nil"/>
            </w:tcBorders>
          </w:tcPr>
          <w:p w14:paraId="6827FF47" w14:textId="70049A07" w:rsidR="00CE6580" w:rsidRPr="002929A6" w:rsidRDefault="00CE6580" w:rsidP="00CE6580">
            <w:pPr>
              <w:pStyle w:val="CoverActName"/>
              <w:tabs>
                <w:tab w:val="clear" w:pos="2600"/>
              </w:tabs>
              <w:spacing w:before="120" w:after="120"/>
              <w:rPr>
                <w:rFonts w:ascii="Times New Roman" w:hAnsi="Times New Roman"/>
                <w:szCs w:val="24"/>
                <w:lang w:val="en-GB"/>
              </w:rPr>
            </w:pPr>
          </w:p>
        </w:tc>
      </w:tr>
    </w:tbl>
    <w:p w14:paraId="3E696329" w14:textId="77777777" w:rsidR="00671B27" w:rsidRDefault="00671B27">
      <w:r>
        <w:br w:type="page"/>
      </w:r>
    </w:p>
    <w:tbl>
      <w:tblPr>
        <w:tblW w:w="8897" w:type="dxa"/>
        <w:tblLayout w:type="fixed"/>
        <w:tblLook w:val="0000" w:firstRow="0" w:lastRow="0" w:firstColumn="0" w:lastColumn="0" w:noHBand="0" w:noVBand="0"/>
      </w:tblPr>
      <w:tblGrid>
        <w:gridCol w:w="1809"/>
        <w:gridCol w:w="2410"/>
        <w:gridCol w:w="4678"/>
      </w:tblGrid>
      <w:tr w:rsidR="008F1585" w14:paraId="3EDF992D" w14:textId="77777777" w:rsidTr="005F496F">
        <w:trPr>
          <w:cantSplit/>
        </w:trPr>
        <w:tc>
          <w:tcPr>
            <w:tcW w:w="1809" w:type="dxa"/>
            <w:tcBorders>
              <w:top w:val="nil"/>
              <w:left w:val="nil"/>
              <w:bottom w:val="nil"/>
              <w:right w:val="nil"/>
            </w:tcBorders>
          </w:tcPr>
          <w:p w14:paraId="69C79FE6" w14:textId="0176E5AD" w:rsidR="008F1585" w:rsidRDefault="008F1585" w:rsidP="008F1585">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Nixon View</w:t>
            </w:r>
          </w:p>
          <w:p w14:paraId="734099A3" w14:textId="77777777" w:rsidR="008F1585" w:rsidRDefault="008F1585" w:rsidP="00B47FC9">
            <w:pPr>
              <w:rPr>
                <w:b/>
                <w:szCs w:val="24"/>
              </w:rPr>
            </w:pPr>
          </w:p>
        </w:tc>
        <w:tc>
          <w:tcPr>
            <w:tcW w:w="2410" w:type="dxa"/>
            <w:tcBorders>
              <w:top w:val="nil"/>
              <w:left w:val="nil"/>
              <w:bottom w:val="nil"/>
              <w:right w:val="nil"/>
            </w:tcBorders>
          </w:tcPr>
          <w:p w14:paraId="13E3B0AA" w14:textId="77777777" w:rsidR="008F1585" w:rsidRDefault="008F1585" w:rsidP="008F1585">
            <w:pPr>
              <w:spacing w:before="120" w:after="120"/>
              <w:rPr>
                <w:szCs w:val="24"/>
              </w:rPr>
            </w:pPr>
            <w:r>
              <w:rPr>
                <w:szCs w:val="24"/>
              </w:rPr>
              <w:t>Mary Creighton Nixon OAM</w:t>
            </w:r>
          </w:p>
          <w:p w14:paraId="105306D7" w14:textId="09E10136" w:rsidR="00864A0E" w:rsidRPr="002929A6" w:rsidRDefault="008F1585" w:rsidP="009237E0">
            <w:pPr>
              <w:spacing w:before="120" w:after="120"/>
              <w:rPr>
                <w:b/>
                <w:bCs/>
                <w:szCs w:val="24"/>
              </w:rPr>
            </w:pPr>
            <w:r>
              <w:rPr>
                <w:szCs w:val="24"/>
              </w:rPr>
              <w:t>(19</w:t>
            </w:r>
            <w:r w:rsidR="003A635A">
              <w:rPr>
                <w:szCs w:val="24"/>
              </w:rPr>
              <w:t>2</w:t>
            </w:r>
            <w:r>
              <w:rPr>
                <w:szCs w:val="24"/>
              </w:rPr>
              <w:t>2–2013)</w:t>
            </w:r>
          </w:p>
        </w:tc>
        <w:tc>
          <w:tcPr>
            <w:tcW w:w="4678" w:type="dxa"/>
            <w:tcBorders>
              <w:top w:val="nil"/>
              <w:left w:val="nil"/>
              <w:bottom w:val="nil"/>
              <w:right w:val="nil"/>
            </w:tcBorders>
          </w:tcPr>
          <w:p w14:paraId="32E73EC9" w14:textId="77777777" w:rsidR="008F1585" w:rsidRPr="008F1585" w:rsidRDefault="008F1585" w:rsidP="008F1585">
            <w:pPr>
              <w:pStyle w:val="CoverActName"/>
              <w:tabs>
                <w:tab w:val="clear" w:pos="2600"/>
              </w:tabs>
              <w:spacing w:before="120" w:after="120"/>
              <w:jc w:val="left"/>
              <w:rPr>
                <w:rFonts w:ascii="Times New Roman" w:hAnsi="Times New Roman"/>
                <w:b w:val="0"/>
                <w:bCs/>
                <w:szCs w:val="24"/>
                <w:lang w:val="en-GB"/>
              </w:rPr>
            </w:pPr>
            <w:r w:rsidRPr="008F1585">
              <w:rPr>
                <w:rFonts w:ascii="Times New Roman" w:hAnsi="Times New Roman"/>
                <w:b w:val="0"/>
                <w:bCs/>
                <w:szCs w:val="24"/>
                <w:lang w:val="en-GB"/>
              </w:rPr>
              <w:t xml:space="preserve">Psychologist, health reform, social issues </w:t>
            </w:r>
          </w:p>
          <w:p w14:paraId="5C3A2D10" w14:textId="24153B37" w:rsidR="008F1585" w:rsidRPr="002929A6" w:rsidRDefault="008F1585" w:rsidP="008F1585">
            <w:pPr>
              <w:pStyle w:val="CoverActName"/>
              <w:tabs>
                <w:tab w:val="clear" w:pos="2600"/>
              </w:tabs>
              <w:spacing w:before="120" w:after="120"/>
              <w:jc w:val="left"/>
              <w:rPr>
                <w:rFonts w:ascii="Times New Roman" w:hAnsi="Times New Roman"/>
                <w:szCs w:val="24"/>
                <w:lang w:val="en-GB"/>
              </w:rPr>
            </w:pPr>
            <w:r w:rsidRPr="008F1585">
              <w:rPr>
                <w:rFonts w:ascii="Times New Roman" w:hAnsi="Times New Roman"/>
                <w:b w:val="0"/>
                <w:bCs/>
                <w:szCs w:val="24"/>
                <w:lang w:val="en-GB"/>
              </w:rPr>
              <w:t>Dr Mary Nixon was influential in advancing the profession of psychology in Australia, serving as the first female president of the Australian Psychological Society (APS) during 1971</w:t>
            </w:r>
            <w:r w:rsidRPr="008F1585">
              <w:rPr>
                <w:rFonts w:ascii="Times New Roman" w:hAnsi="Times New Roman"/>
                <w:b w:val="0"/>
                <w:bCs/>
                <w:szCs w:val="24"/>
              </w:rPr>
              <w:t>–19</w:t>
            </w:r>
            <w:r w:rsidRPr="008F1585">
              <w:rPr>
                <w:rFonts w:ascii="Times New Roman" w:hAnsi="Times New Roman"/>
                <w:b w:val="0"/>
                <w:bCs/>
                <w:szCs w:val="24"/>
                <w:lang w:val="en-GB"/>
              </w:rPr>
              <w:t xml:space="preserve">72. She was committed to progressing </w:t>
            </w:r>
            <w:r w:rsidRPr="008F1585">
              <w:rPr>
                <w:rFonts w:ascii="Times New Roman" w:hAnsi="Times New Roman"/>
                <w:b w:val="0"/>
                <w:bCs/>
                <w:szCs w:val="24"/>
              </w:rPr>
              <w:t>professional development and leadership within the discipline.</w:t>
            </w:r>
            <w:r w:rsidRPr="008F1585">
              <w:rPr>
                <w:rFonts w:ascii="Times New Roman" w:hAnsi="Times New Roman"/>
                <w:b w:val="0"/>
                <w:bCs/>
                <w:szCs w:val="24"/>
                <w:lang w:val="en-GB"/>
              </w:rPr>
              <w:t xml:space="preserve"> </w:t>
            </w:r>
            <w:r w:rsidRPr="008F1585">
              <w:rPr>
                <w:rFonts w:ascii="Times New Roman" w:hAnsi="Times New Roman"/>
                <w:b w:val="0"/>
                <w:bCs/>
                <w:szCs w:val="24"/>
              </w:rPr>
              <w:t>In 1967, Nixon</w:t>
            </w:r>
            <w:r w:rsidRPr="008F1585">
              <w:rPr>
                <w:rFonts w:ascii="Times New Roman" w:hAnsi="Times New Roman"/>
                <w:b w:val="0"/>
                <w:bCs/>
                <w:szCs w:val="24"/>
                <w:lang w:val="en-GB"/>
              </w:rPr>
              <w:t xml:space="preserve"> was appointed a </w:t>
            </w:r>
            <w:r w:rsidR="00A43FFD">
              <w:rPr>
                <w:rFonts w:ascii="Times New Roman" w:hAnsi="Times New Roman"/>
                <w:b w:val="0"/>
                <w:bCs/>
                <w:szCs w:val="24"/>
                <w:lang w:val="en-GB"/>
              </w:rPr>
              <w:t>s</w:t>
            </w:r>
            <w:r w:rsidRPr="008F1585">
              <w:rPr>
                <w:rFonts w:ascii="Times New Roman" w:hAnsi="Times New Roman"/>
                <w:b w:val="0"/>
                <w:bCs/>
                <w:szCs w:val="24"/>
                <w:lang w:val="en-GB"/>
              </w:rPr>
              <w:t xml:space="preserve">enior lecturer in </w:t>
            </w:r>
            <w:r w:rsidR="00A43FFD">
              <w:rPr>
                <w:rFonts w:ascii="Times New Roman" w:hAnsi="Times New Roman"/>
                <w:b w:val="0"/>
                <w:bCs/>
                <w:szCs w:val="24"/>
                <w:lang w:val="en-GB"/>
              </w:rPr>
              <w:t>p</w:t>
            </w:r>
            <w:r w:rsidRPr="008F1585">
              <w:rPr>
                <w:rFonts w:ascii="Times New Roman" w:hAnsi="Times New Roman"/>
                <w:b w:val="0"/>
                <w:bCs/>
                <w:szCs w:val="24"/>
                <w:lang w:val="en-GB"/>
              </w:rPr>
              <w:t xml:space="preserve">sychology at Monash University in Melbourne. Throughout her career, Nixon researched and reported on the </w:t>
            </w:r>
            <w:r w:rsidRPr="008F1585">
              <w:rPr>
                <w:rFonts w:ascii="Times New Roman" w:hAnsi="Times New Roman"/>
                <w:b w:val="0"/>
                <w:bCs/>
                <w:szCs w:val="24"/>
                <w:shd w:val="clear" w:color="auto" w:fill="FFFFFF"/>
              </w:rPr>
              <w:t xml:space="preserve">professional, ethical and legal requirements in the practice of psychology. </w:t>
            </w:r>
            <w:r w:rsidRPr="008F1585">
              <w:rPr>
                <w:rFonts w:ascii="Times New Roman" w:hAnsi="Times New Roman"/>
                <w:b w:val="0"/>
                <w:bCs/>
              </w:rPr>
              <w:t xml:space="preserve">She </w:t>
            </w:r>
            <w:r w:rsidRPr="008F1585">
              <w:rPr>
                <w:rFonts w:ascii="Times New Roman" w:hAnsi="Times New Roman"/>
                <w:b w:val="0"/>
                <w:bCs/>
                <w:szCs w:val="24"/>
                <w:lang w:val="en-GB"/>
              </w:rPr>
              <w:t xml:space="preserve">contributed to discussion, </w:t>
            </w:r>
            <w:r w:rsidRPr="008F1585">
              <w:rPr>
                <w:rFonts w:ascii="Times New Roman" w:hAnsi="Times New Roman"/>
                <w:b w:val="0"/>
                <w:bCs/>
                <w:szCs w:val="24"/>
              </w:rPr>
              <w:t>from a psychological perspective,</w:t>
            </w:r>
            <w:r w:rsidRPr="008F1585">
              <w:rPr>
                <w:rFonts w:ascii="Times New Roman" w:hAnsi="Times New Roman"/>
                <w:b w:val="0"/>
                <w:bCs/>
                <w:szCs w:val="24"/>
                <w:lang w:val="en-GB"/>
              </w:rPr>
              <w:t xml:space="preserve"> on a range of issues including t</w:t>
            </w:r>
            <w:r w:rsidRPr="008F1585">
              <w:rPr>
                <w:rFonts w:ascii="Times New Roman" w:hAnsi="Times New Roman"/>
                <w:b w:val="0"/>
                <w:bCs/>
                <w:szCs w:val="24"/>
              </w:rPr>
              <w:t xml:space="preserve">he complex and challenging subject of euthanasia and related rights for the terminally ill. Nixon </w:t>
            </w:r>
            <w:r w:rsidRPr="008F1585">
              <w:rPr>
                <w:rFonts w:ascii="Times New Roman" w:hAnsi="Times New Roman"/>
                <w:b w:val="0"/>
                <w:bCs/>
                <w:szCs w:val="24"/>
                <w:shd w:val="clear" w:color="auto" w:fill="FFFFFF"/>
              </w:rPr>
              <w:t xml:space="preserve">was an early </w:t>
            </w:r>
            <w:r w:rsidRPr="008F1585">
              <w:rPr>
                <w:rFonts w:ascii="Times New Roman" w:hAnsi="Times New Roman"/>
                <w:b w:val="0"/>
                <w:bCs/>
                <w:szCs w:val="24"/>
                <w:lang w:val="en-GB"/>
              </w:rPr>
              <w:t xml:space="preserve">advocate for the psychological rights of children and adolescents, providing </w:t>
            </w:r>
            <w:r w:rsidRPr="008F1585">
              <w:rPr>
                <w:rFonts w:ascii="Times New Roman" w:hAnsi="Times New Roman"/>
                <w:b w:val="0"/>
                <w:bCs/>
                <w:szCs w:val="24"/>
                <w:shd w:val="clear" w:color="auto" w:fill="FFFFFF"/>
              </w:rPr>
              <w:t xml:space="preserve">evidence-based research, reviews and practical approaches for their care. She </w:t>
            </w:r>
            <w:r w:rsidRPr="008F1585">
              <w:rPr>
                <w:rFonts w:ascii="Times New Roman" w:hAnsi="Times New Roman"/>
                <w:b w:val="0"/>
                <w:bCs/>
                <w:szCs w:val="24"/>
                <w:lang w:val="en-GB"/>
              </w:rPr>
              <w:t>produced scholarly reports on the influence of television on the development and learning behaviour of children, including ‘</w:t>
            </w:r>
            <w:r w:rsidRPr="008F1585">
              <w:rPr>
                <w:rFonts w:ascii="Times New Roman" w:hAnsi="Times New Roman"/>
                <w:b w:val="0"/>
                <w:bCs/>
                <w:szCs w:val="24"/>
                <w:shd w:val="clear" w:color="auto" w:fill="FFFFFF"/>
              </w:rPr>
              <w:t>Children's classification skills’ (</w:t>
            </w:r>
            <w:r w:rsidRPr="008F1585">
              <w:rPr>
                <w:rFonts w:ascii="Times New Roman" w:hAnsi="Times New Roman"/>
                <w:b w:val="0"/>
                <w:bCs/>
                <w:color w:val="0F1111"/>
                <w:szCs w:val="24"/>
                <w:shd w:val="clear" w:color="auto" w:fill="FFFFFF"/>
              </w:rPr>
              <w:t xml:space="preserve">Australian Council Educational Research </w:t>
            </w:r>
            <w:r w:rsidRPr="008F1585">
              <w:rPr>
                <w:rFonts w:ascii="Times New Roman" w:hAnsi="Times New Roman"/>
                <w:b w:val="0"/>
                <w:bCs/>
                <w:szCs w:val="24"/>
                <w:shd w:val="clear" w:color="auto" w:fill="FFFFFF"/>
              </w:rPr>
              <w:t>series, 1971)</w:t>
            </w:r>
            <w:r w:rsidRPr="008F1585">
              <w:rPr>
                <w:rFonts w:ascii="Times New Roman" w:hAnsi="Times New Roman"/>
                <w:b w:val="0"/>
                <w:bCs/>
                <w:szCs w:val="24"/>
                <w:lang w:val="en-GB"/>
              </w:rPr>
              <w:t>. Other publications include ‘</w:t>
            </w:r>
            <w:r w:rsidRPr="008F1585">
              <w:rPr>
                <w:rFonts w:ascii="Times New Roman" w:hAnsi="Times New Roman"/>
                <w:b w:val="0"/>
                <w:bCs/>
              </w:rPr>
              <w:t xml:space="preserve">Psychology in Australia: achievements and prospects’ (1977), edited with Ronald Taft. </w:t>
            </w:r>
            <w:r w:rsidRPr="008F1585">
              <w:rPr>
                <w:rFonts w:ascii="Times New Roman" w:hAnsi="Times New Roman"/>
                <w:b w:val="0"/>
                <w:bCs/>
                <w:szCs w:val="24"/>
              </w:rPr>
              <w:t>In 1994, Dr Nixon</w:t>
            </w:r>
            <w:r w:rsidRPr="008F1585">
              <w:rPr>
                <w:rFonts w:ascii="Times New Roman" w:hAnsi="Times New Roman"/>
                <w:b w:val="0"/>
                <w:bCs/>
                <w:szCs w:val="24"/>
                <w:lang w:val="en-GB"/>
              </w:rPr>
              <w:t xml:space="preserve"> was awarded the Medal of the Order of Australia for ‘service to the profession of psychology and the Australian Psychological Society’.</w:t>
            </w:r>
          </w:p>
        </w:tc>
      </w:tr>
    </w:tbl>
    <w:p w14:paraId="529247E2" w14:textId="77777777" w:rsidR="009A2612" w:rsidRDefault="009A2612">
      <w:r>
        <w:rPr>
          <w:i/>
          <w:iCs/>
        </w:rPr>
        <w:br w:type="page"/>
      </w:r>
    </w:p>
    <w:tbl>
      <w:tblPr>
        <w:tblW w:w="8897" w:type="dxa"/>
        <w:tblLayout w:type="fixed"/>
        <w:tblLook w:val="0000" w:firstRow="0" w:lastRow="0" w:firstColumn="0" w:lastColumn="0" w:noHBand="0" w:noVBand="0"/>
      </w:tblPr>
      <w:tblGrid>
        <w:gridCol w:w="1809"/>
        <w:gridCol w:w="2410"/>
        <w:gridCol w:w="4678"/>
      </w:tblGrid>
      <w:tr w:rsidR="008F1585" w14:paraId="208F0BDB" w14:textId="77777777" w:rsidTr="005F496F">
        <w:trPr>
          <w:cantSplit/>
        </w:trPr>
        <w:tc>
          <w:tcPr>
            <w:tcW w:w="1809" w:type="dxa"/>
            <w:tcBorders>
              <w:top w:val="nil"/>
              <w:left w:val="nil"/>
              <w:bottom w:val="nil"/>
              <w:right w:val="nil"/>
            </w:tcBorders>
          </w:tcPr>
          <w:p w14:paraId="2C48CE8C" w14:textId="358B0F1B" w:rsidR="008F1585" w:rsidRDefault="008F1585" w:rsidP="008F1585">
            <w:pPr>
              <w:pStyle w:val="Heading2"/>
              <w:spacing w:before="120" w:after="120"/>
              <w:jc w:val="left"/>
              <w:rPr>
                <w:rFonts w:ascii="Times New Roman" w:hAnsi="Times New Roman" w:cs="Times New Roman"/>
                <w:b/>
                <w:i w:val="0"/>
                <w:sz w:val="24"/>
                <w:szCs w:val="24"/>
              </w:rPr>
            </w:pPr>
            <w:r w:rsidRPr="00CE6580">
              <w:rPr>
                <w:rFonts w:ascii="Times New Roman" w:hAnsi="Times New Roman" w:cs="Times New Roman"/>
                <w:b/>
                <w:i w:val="0"/>
                <w:sz w:val="24"/>
                <w:szCs w:val="24"/>
              </w:rPr>
              <w:lastRenderedPageBreak/>
              <w:t>Siedlecky Street</w:t>
            </w:r>
          </w:p>
          <w:p w14:paraId="40BBD8DF" w14:textId="72055FFE" w:rsidR="008F1585" w:rsidRDefault="008F1585" w:rsidP="00B47FC9"/>
        </w:tc>
        <w:tc>
          <w:tcPr>
            <w:tcW w:w="2410" w:type="dxa"/>
            <w:tcBorders>
              <w:top w:val="nil"/>
              <w:left w:val="nil"/>
              <w:bottom w:val="nil"/>
              <w:right w:val="nil"/>
            </w:tcBorders>
          </w:tcPr>
          <w:p w14:paraId="24CA3BA0" w14:textId="77777777" w:rsidR="008F1585" w:rsidRDefault="008F1585" w:rsidP="008F1585">
            <w:pPr>
              <w:spacing w:before="120" w:after="120"/>
              <w:rPr>
                <w:szCs w:val="24"/>
                <w:lang w:val="en-GB"/>
              </w:rPr>
            </w:pPr>
            <w:r>
              <w:rPr>
                <w:szCs w:val="24"/>
                <w:lang w:val="en-GB"/>
              </w:rPr>
              <w:t>Stefania Winifred Siedlecky AM</w:t>
            </w:r>
          </w:p>
          <w:p w14:paraId="017BBE5A" w14:textId="2373CB9A" w:rsidR="008F1585" w:rsidRPr="002929A6" w:rsidRDefault="008F1585" w:rsidP="009237E0">
            <w:pPr>
              <w:spacing w:before="120" w:after="120"/>
              <w:rPr>
                <w:b/>
                <w:bCs/>
                <w:szCs w:val="24"/>
              </w:rPr>
            </w:pPr>
            <w:r>
              <w:rPr>
                <w:szCs w:val="24"/>
                <w:lang w:val="en-GB"/>
              </w:rPr>
              <w:t>(1921–2016)</w:t>
            </w:r>
          </w:p>
        </w:tc>
        <w:tc>
          <w:tcPr>
            <w:tcW w:w="4678" w:type="dxa"/>
            <w:tcBorders>
              <w:top w:val="nil"/>
              <w:left w:val="nil"/>
              <w:bottom w:val="nil"/>
              <w:right w:val="nil"/>
            </w:tcBorders>
          </w:tcPr>
          <w:p w14:paraId="01E7595E" w14:textId="77777777" w:rsidR="008F1585" w:rsidRPr="008F1585" w:rsidRDefault="008F1585" w:rsidP="008F1585">
            <w:pPr>
              <w:spacing w:before="120" w:after="120"/>
              <w:rPr>
                <w:szCs w:val="24"/>
                <w:lang w:val="en-GB"/>
              </w:rPr>
            </w:pPr>
            <w:r w:rsidRPr="008F1585">
              <w:rPr>
                <w:szCs w:val="24"/>
                <w:lang w:val="en-GB"/>
              </w:rPr>
              <w:t xml:space="preserve">Women’s health reform, medical practitioner, feminist </w:t>
            </w:r>
          </w:p>
          <w:p w14:paraId="03424649" w14:textId="7E2588DF" w:rsidR="008F1585" w:rsidRPr="002929A6" w:rsidRDefault="008F1585" w:rsidP="008F1585">
            <w:pPr>
              <w:pStyle w:val="CoverActName"/>
              <w:tabs>
                <w:tab w:val="clear" w:pos="2600"/>
              </w:tabs>
              <w:spacing w:before="120" w:after="120"/>
              <w:jc w:val="left"/>
              <w:rPr>
                <w:rFonts w:ascii="Times New Roman" w:hAnsi="Times New Roman"/>
                <w:szCs w:val="24"/>
                <w:lang w:val="en-GB"/>
              </w:rPr>
            </w:pPr>
            <w:bookmarkStart w:id="1" w:name="_Hlk133835053"/>
            <w:r w:rsidRPr="009237E0">
              <w:rPr>
                <w:rFonts w:ascii="Times New Roman" w:hAnsi="Times New Roman"/>
                <w:b w:val="0"/>
                <w:bCs/>
              </w:rPr>
              <w:t xml:space="preserve">Dr Stefania Siedlecky was an inspirational advocate for women’s health and family planning issues. She led discussion for the rights for all women to have access to quality health care and contraception without discrimination. After graduating from the University of Sydney in 1943, she practised as a general practitioner and worked in obstetrics and gynaecology at hospitals in Sydney and Darwin. Siedlecky joined Family Planning (NSW) at a time of shifting social attitudes on abortion and first steps towards legal reforms. In 1974, she helped establish the Leichhardt Women’s Community Health Centre, a free service run by women for women. Dr Siedlecky was an adviser in family planning and women’s health in the Commonwealth Department of Health from 1974–1986, overseeing programs to educate doctors and representing Australia internationally. She wrote papers and spoke publicly on contraception, abortion and teenage pregnancy. In 1990, Siedlecky </w:t>
            </w:r>
            <w:r w:rsidRPr="009237E0">
              <w:rPr>
                <w:rFonts w:ascii="Times New Roman" w:hAnsi="Times New Roman"/>
                <w:b w:val="0"/>
                <w:bCs/>
              </w:rPr>
              <w:br/>
              <w:t xml:space="preserve">co-authored and published ‘Populate and Perish: Australian Women’s Fight for Birth Control’. </w:t>
            </w:r>
            <w:bookmarkEnd w:id="1"/>
            <w:r w:rsidRPr="009237E0">
              <w:rPr>
                <w:rFonts w:ascii="Times New Roman" w:hAnsi="Times New Roman"/>
                <w:b w:val="0"/>
                <w:bCs/>
              </w:rPr>
              <w:t>She was an active member of many organisations including the Women’s International League for Peace and Freedom; the United Nations Population Fund Special Advisory Committee on Women, Population and Development; and the Doctors Reform Society. Dr Siedlecky was appointed a Member of the Order of Australia in 1987</w:t>
            </w:r>
            <w:r w:rsidRPr="008F1585">
              <w:rPr>
                <w:rFonts w:ascii="Times New Roman" w:hAnsi="Times New Roman"/>
                <w:b w:val="0"/>
                <w:szCs w:val="24"/>
                <w:shd w:val="clear" w:color="auto" w:fill="FFFFFF"/>
              </w:rPr>
              <w:t>.</w:t>
            </w:r>
          </w:p>
        </w:tc>
      </w:tr>
      <w:tr w:rsidR="008F1585" w14:paraId="01CB47F0" w14:textId="77777777" w:rsidTr="005F496F">
        <w:trPr>
          <w:cantSplit/>
        </w:trPr>
        <w:tc>
          <w:tcPr>
            <w:tcW w:w="1809" w:type="dxa"/>
            <w:tcBorders>
              <w:top w:val="nil"/>
              <w:left w:val="nil"/>
              <w:bottom w:val="nil"/>
              <w:right w:val="nil"/>
            </w:tcBorders>
          </w:tcPr>
          <w:p w14:paraId="0F8F7B17" w14:textId="77777777" w:rsidR="008F1585" w:rsidRPr="00CE6580" w:rsidRDefault="008F1585" w:rsidP="008F1585">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0E71D911" w14:textId="77777777" w:rsidR="008F1585" w:rsidRDefault="008F1585" w:rsidP="008F1585">
            <w:pPr>
              <w:spacing w:before="120" w:after="120"/>
              <w:rPr>
                <w:szCs w:val="24"/>
                <w:lang w:val="en-GB"/>
              </w:rPr>
            </w:pPr>
          </w:p>
        </w:tc>
        <w:tc>
          <w:tcPr>
            <w:tcW w:w="4678" w:type="dxa"/>
            <w:tcBorders>
              <w:top w:val="nil"/>
              <w:left w:val="nil"/>
              <w:bottom w:val="nil"/>
              <w:right w:val="nil"/>
            </w:tcBorders>
          </w:tcPr>
          <w:p w14:paraId="40A129BE" w14:textId="77777777" w:rsidR="008F1585" w:rsidRPr="008F1585" w:rsidRDefault="008F1585" w:rsidP="008F1585">
            <w:pPr>
              <w:spacing w:before="120" w:after="120"/>
              <w:rPr>
                <w:szCs w:val="24"/>
                <w:lang w:val="en-GB"/>
              </w:rPr>
            </w:pPr>
          </w:p>
        </w:tc>
      </w:tr>
    </w:tbl>
    <w:p w14:paraId="1221A416" w14:textId="77777777" w:rsidR="008F1585" w:rsidRDefault="008F1585">
      <w:r>
        <w:rPr>
          <w:i/>
          <w:iCs/>
        </w:rPr>
        <w:br w:type="page"/>
      </w:r>
    </w:p>
    <w:tbl>
      <w:tblPr>
        <w:tblW w:w="8897" w:type="dxa"/>
        <w:tblLayout w:type="fixed"/>
        <w:tblLook w:val="0000" w:firstRow="0" w:lastRow="0" w:firstColumn="0" w:lastColumn="0" w:noHBand="0" w:noVBand="0"/>
      </w:tblPr>
      <w:tblGrid>
        <w:gridCol w:w="1809"/>
        <w:gridCol w:w="2410"/>
        <w:gridCol w:w="4678"/>
      </w:tblGrid>
      <w:tr w:rsidR="00CE6580" w14:paraId="7E57F3B0" w14:textId="77777777" w:rsidTr="005F496F">
        <w:trPr>
          <w:cantSplit/>
        </w:trPr>
        <w:tc>
          <w:tcPr>
            <w:tcW w:w="1809" w:type="dxa"/>
            <w:tcBorders>
              <w:top w:val="nil"/>
              <w:left w:val="nil"/>
              <w:bottom w:val="nil"/>
              <w:right w:val="nil"/>
            </w:tcBorders>
          </w:tcPr>
          <w:p w14:paraId="304FF0CB" w14:textId="1AB8CFC5" w:rsidR="00CE6580" w:rsidRDefault="00CE6580" w:rsidP="00CE6580">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Sybylla Street</w:t>
            </w:r>
          </w:p>
          <w:p w14:paraId="15D293EC" w14:textId="77777777" w:rsidR="00CE6580" w:rsidRPr="0030772E" w:rsidRDefault="00CE6580" w:rsidP="00B47FC9">
            <w:pPr>
              <w:pStyle w:val="Heading2"/>
              <w:spacing w:before="120" w:after="120"/>
              <w:jc w:val="left"/>
              <w:rPr>
                <w:rFonts w:ascii="Times New Roman" w:hAnsi="Times New Roman" w:cs="Times New Roman"/>
                <w:b/>
                <w:i w:val="0"/>
                <w:sz w:val="18"/>
                <w:szCs w:val="18"/>
              </w:rPr>
            </w:pPr>
          </w:p>
        </w:tc>
        <w:tc>
          <w:tcPr>
            <w:tcW w:w="2410" w:type="dxa"/>
            <w:tcBorders>
              <w:top w:val="nil"/>
              <w:left w:val="nil"/>
              <w:bottom w:val="nil"/>
              <w:right w:val="nil"/>
            </w:tcBorders>
          </w:tcPr>
          <w:p w14:paraId="509CF2C2" w14:textId="77777777" w:rsidR="00CE6580" w:rsidRDefault="00CE6580" w:rsidP="00CE6580">
            <w:pPr>
              <w:spacing w:before="120" w:after="120"/>
              <w:rPr>
                <w:szCs w:val="24"/>
                <w:lang w:val="en-US"/>
              </w:rPr>
            </w:pPr>
            <w:bookmarkStart w:id="2" w:name="_Hlk127798772"/>
            <w:r w:rsidRPr="003F42FD">
              <w:rPr>
                <w:szCs w:val="24"/>
                <w:lang w:val="en-US"/>
              </w:rPr>
              <w:t xml:space="preserve">Sybylla </w:t>
            </w:r>
            <w:r>
              <w:rPr>
                <w:szCs w:val="24"/>
                <w:lang w:val="en-US"/>
              </w:rPr>
              <w:t xml:space="preserve">Feminist </w:t>
            </w:r>
            <w:r w:rsidRPr="003F42FD">
              <w:rPr>
                <w:szCs w:val="24"/>
                <w:lang w:val="en-US"/>
              </w:rPr>
              <w:t xml:space="preserve">Press </w:t>
            </w:r>
          </w:p>
          <w:p w14:paraId="3019EEAB" w14:textId="77777777" w:rsidR="00CE6580" w:rsidRDefault="00CE6580" w:rsidP="00CE6580">
            <w:pPr>
              <w:spacing w:before="120" w:after="120"/>
              <w:rPr>
                <w:szCs w:val="24"/>
                <w:lang w:val="en-US"/>
              </w:rPr>
            </w:pPr>
            <w:r>
              <w:rPr>
                <w:szCs w:val="24"/>
                <w:lang w:val="en-US"/>
              </w:rPr>
              <w:t>(1976–2003)</w:t>
            </w:r>
          </w:p>
          <w:bookmarkEnd w:id="2"/>
          <w:p w14:paraId="4A817271" w14:textId="77777777" w:rsidR="00CE6580" w:rsidRPr="002929A6" w:rsidRDefault="00CE6580" w:rsidP="00CE6580">
            <w:pPr>
              <w:spacing w:before="120" w:after="120"/>
              <w:rPr>
                <w:b/>
                <w:bCs/>
                <w:szCs w:val="24"/>
              </w:rPr>
            </w:pPr>
          </w:p>
        </w:tc>
        <w:tc>
          <w:tcPr>
            <w:tcW w:w="4678" w:type="dxa"/>
            <w:tcBorders>
              <w:top w:val="nil"/>
              <w:left w:val="nil"/>
              <w:bottom w:val="nil"/>
              <w:right w:val="nil"/>
            </w:tcBorders>
          </w:tcPr>
          <w:p w14:paraId="0CCDE7E4" w14:textId="77777777" w:rsidR="00CE6580" w:rsidRDefault="00CE6580" w:rsidP="00CE6580">
            <w:pPr>
              <w:spacing w:before="120" w:after="120"/>
            </w:pPr>
            <w:r>
              <w:t xml:space="preserve">Feminist publisher, </w:t>
            </w:r>
            <w:r>
              <w:rPr>
                <w:color w:val="000000"/>
                <w:spacing w:val="2"/>
                <w:shd w:val="clear" w:color="auto" w:fill="FFFFFF"/>
              </w:rPr>
              <w:t>print media movement</w:t>
            </w:r>
          </w:p>
          <w:p w14:paraId="63102B3F" w14:textId="6EAE7715" w:rsidR="00CE6580" w:rsidRDefault="00CE6580" w:rsidP="00CE6580">
            <w:pPr>
              <w:rPr>
                <w:szCs w:val="24"/>
                <w:lang w:val="en-GB"/>
              </w:rPr>
            </w:pPr>
            <w:r>
              <w:rPr>
                <w:color w:val="000000"/>
                <w:spacing w:val="2"/>
              </w:rPr>
              <w:t>Sybylla Co-operative Press (later S</w:t>
            </w:r>
            <w:r>
              <w:rPr>
                <w:color w:val="000000"/>
                <w:shd w:val="clear" w:color="auto" w:fill="FFFFFF"/>
              </w:rPr>
              <w:t>ybylla Press and Publications</w:t>
            </w:r>
            <w:r>
              <w:rPr>
                <w:color w:val="000000"/>
                <w:spacing w:val="2"/>
              </w:rPr>
              <w:t xml:space="preserve">) was established in Melbourne in 1976 by a group of women who were active in the women’s movement. The name recognised </w:t>
            </w:r>
            <w:r>
              <w:t xml:space="preserve">‘Sybylla’, the spirited central character in ‘My Brilliant Career’ (1901) by Miles Franklin. </w:t>
            </w:r>
            <w:r>
              <w:rPr>
                <w:color w:val="000000"/>
                <w:spacing w:val="2"/>
              </w:rPr>
              <w:t xml:space="preserve">In 1992, the name changed to </w:t>
            </w:r>
            <w:r>
              <w:rPr>
                <w:color w:val="000000"/>
                <w:spacing w:val="2"/>
                <w:shd w:val="clear" w:color="auto" w:fill="FFFFFF"/>
              </w:rPr>
              <w:t xml:space="preserve">Sybylla Feminist Press. </w:t>
            </w:r>
            <w:r>
              <w:rPr>
                <w:color w:val="000000"/>
                <w:spacing w:val="2"/>
              </w:rPr>
              <w:t xml:space="preserve">Sybylla provided access to printing facilities to support the growth in political and cultural materials including periodicals, newsletters, flyers, posters and cards created by and for the women’s movement and other progressive community and social justice groups. </w:t>
            </w:r>
            <w:r w:rsidR="00A43FFD">
              <w:rPr>
                <w:color w:val="000000"/>
                <w:spacing w:val="2"/>
                <w:shd w:val="clear" w:color="auto" w:fill="FFFFFF"/>
              </w:rPr>
              <w:t>Its</w:t>
            </w:r>
            <w:r>
              <w:rPr>
                <w:color w:val="000000"/>
                <w:spacing w:val="2"/>
                <w:shd w:val="clear" w:color="auto" w:fill="FFFFFF"/>
              </w:rPr>
              <w:t xml:space="preserve"> small publishing program supported innovative, radical and alternative literature by women, including fiction and nonfiction, at a time when outlets for such works were limited. In 1982</w:t>
            </w:r>
            <w:r w:rsidR="00A43FFD">
              <w:rPr>
                <w:color w:val="000000"/>
                <w:spacing w:val="2"/>
                <w:shd w:val="clear" w:color="auto" w:fill="FFFFFF"/>
              </w:rPr>
              <w:t>,</w:t>
            </w:r>
            <w:r>
              <w:rPr>
                <w:color w:val="000000"/>
                <w:spacing w:val="2"/>
                <w:shd w:val="clear" w:color="auto" w:fill="FFFFFF"/>
              </w:rPr>
              <w:t xml:space="preserve"> Sybylla published ‘Frictions: An </w:t>
            </w:r>
            <w:r w:rsidRPr="005F496F">
              <w:rPr>
                <w:rStyle w:val="Emphasis"/>
                <w:i w:val="0"/>
                <w:iCs w:val="0"/>
                <w:color w:val="000000"/>
                <w:spacing w:val="2"/>
                <w:bdr w:val="none" w:sz="0" w:space="0" w:color="auto" w:frame="1"/>
                <w:shd w:val="clear" w:color="auto" w:fill="FFFFFF"/>
              </w:rPr>
              <w:t>Anthology of Fiction by Women’</w:t>
            </w:r>
            <w:r>
              <w:rPr>
                <w:color w:val="000000"/>
                <w:spacing w:val="2"/>
                <w:shd w:val="clear" w:color="auto" w:fill="FFFFFF"/>
              </w:rPr>
              <w:t xml:space="preserve">, edited by Anna Gibbs and Alison Tilson. The collection was launched at the Women and Labour Conference in 1982. </w:t>
            </w:r>
            <w:r w:rsidRPr="005F496F">
              <w:rPr>
                <w:i/>
                <w:iCs/>
                <w:color w:val="000000"/>
                <w:spacing w:val="2"/>
                <w:shd w:val="clear" w:color="auto" w:fill="FFFFFF"/>
              </w:rPr>
              <w:t>‘</w:t>
            </w:r>
            <w:r w:rsidRPr="005F496F">
              <w:rPr>
                <w:rStyle w:val="Emphasis"/>
                <w:i w:val="0"/>
                <w:iCs w:val="0"/>
                <w:color w:val="000000"/>
                <w:spacing w:val="2"/>
                <w:bdr w:val="none" w:sz="0" w:space="0" w:color="auto" w:frame="1"/>
                <w:shd w:val="clear" w:color="auto" w:fill="FFFFFF"/>
              </w:rPr>
              <w:t>Working Hot’ (1989)</w:t>
            </w:r>
            <w:r>
              <w:rPr>
                <w:color w:val="000000"/>
                <w:spacing w:val="2"/>
                <w:shd w:val="clear" w:color="auto" w:fill="FFFFFF"/>
              </w:rPr>
              <w:t xml:space="preserve"> by Kathleen Mary Fallon, won the Victorian Premier’s Literary Award for new writing in 1989. </w:t>
            </w:r>
            <w:r>
              <w:t>Sybylla's archival holdings are held by the State Library of Victoria.</w:t>
            </w:r>
            <w:r w:rsidRPr="00124C65">
              <w:t xml:space="preserve"> </w:t>
            </w:r>
            <w:r w:rsidRPr="007172EC">
              <w:rPr>
                <w:szCs w:val="24"/>
              </w:rPr>
              <w:t xml:space="preserve">Sybylla titles are </w:t>
            </w:r>
            <w:r w:rsidR="00FC01A7" w:rsidRPr="007172EC">
              <w:rPr>
                <w:szCs w:val="24"/>
              </w:rPr>
              <w:t>accessible</w:t>
            </w:r>
            <w:r w:rsidRPr="007172EC">
              <w:rPr>
                <w:szCs w:val="24"/>
              </w:rPr>
              <w:t xml:space="preserve"> </w:t>
            </w:r>
            <w:r w:rsidR="00CC3637">
              <w:rPr>
                <w:szCs w:val="24"/>
              </w:rPr>
              <w:t>through</w:t>
            </w:r>
            <w:r w:rsidRPr="007172EC">
              <w:rPr>
                <w:szCs w:val="24"/>
              </w:rPr>
              <w:t xml:space="preserve"> Spinifex Press.</w:t>
            </w:r>
          </w:p>
        </w:tc>
      </w:tr>
    </w:tbl>
    <w:p w14:paraId="36F704F5" w14:textId="77777777" w:rsidR="009A2612" w:rsidRDefault="009A2612">
      <w:r>
        <w:rPr>
          <w:i/>
          <w:iCs/>
        </w:rPr>
        <w:br w:type="page"/>
      </w:r>
    </w:p>
    <w:tbl>
      <w:tblPr>
        <w:tblW w:w="8897" w:type="dxa"/>
        <w:tblLayout w:type="fixed"/>
        <w:tblLook w:val="0000" w:firstRow="0" w:lastRow="0" w:firstColumn="0" w:lastColumn="0" w:noHBand="0" w:noVBand="0"/>
      </w:tblPr>
      <w:tblGrid>
        <w:gridCol w:w="1809"/>
        <w:gridCol w:w="2410"/>
        <w:gridCol w:w="4678"/>
      </w:tblGrid>
      <w:tr w:rsidR="00515C47" w14:paraId="7F956CF2" w14:textId="77777777" w:rsidTr="005F496F">
        <w:trPr>
          <w:cantSplit/>
        </w:trPr>
        <w:tc>
          <w:tcPr>
            <w:tcW w:w="1809" w:type="dxa"/>
            <w:tcBorders>
              <w:top w:val="nil"/>
              <w:left w:val="nil"/>
              <w:bottom w:val="nil"/>
              <w:right w:val="nil"/>
            </w:tcBorders>
          </w:tcPr>
          <w:p w14:paraId="22818DAE" w14:textId="65D14966" w:rsidR="00515C47" w:rsidRDefault="00515C47" w:rsidP="00515C4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Terania Lane</w:t>
            </w:r>
          </w:p>
          <w:p w14:paraId="32BC674C" w14:textId="00452393" w:rsidR="003325B4" w:rsidRPr="009237E0" w:rsidRDefault="003325B4" w:rsidP="009237E0"/>
        </w:tc>
        <w:tc>
          <w:tcPr>
            <w:tcW w:w="2410" w:type="dxa"/>
            <w:tcBorders>
              <w:top w:val="nil"/>
              <w:left w:val="nil"/>
              <w:bottom w:val="nil"/>
              <w:right w:val="nil"/>
            </w:tcBorders>
          </w:tcPr>
          <w:p w14:paraId="2F32599D" w14:textId="77777777" w:rsidR="00515C47" w:rsidRDefault="009237E0" w:rsidP="00515C47">
            <w:pPr>
              <w:spacing w:before="120" w:after="120"/>
              <w:rPr>
                <w:szCs w:val="24"/>
                <w:lang w:val="en-US"/>
              </w:rPr>
            </w:pPr>
            <w:r>
              <w:rPr>
                <w:szCs w:val="24"/>
                <w:lang w:val="en-US"/>
              </w:rPr>
              <w:t>Terania Creek protest</w:t>
            </w:r>
          </w:p>
          <w:p w14:paraId="00D38C81" w14:textId="593A0B78" w:rsidR="009237E0" w:rsidRPr="003F42FD" w:rsidRDefault="009237E0" w:rsidP="00515C47">
            <w:pPr>
              <w:spacing w:before="120" w:after="120"/>
              <w:rPr>
                <w:szCs w:val="24"/>
                <w:lang w:val="en-US"/>
              </w:rPr>
            </w:pPr>
            <w:r>
              <w:rPr>
                <w:szCs w:val="24"/>
                <w:lang w:val="en-US"/>
              </w:rPr>
              <w:t>(197</w:t>
            </w:r>
            <w:r w:rsidR="00FC01A7">
              <w:rPr>
                <w:szCs w:val="24"/>
                <w:lang w:val="en-US"/>
              </w:rPr>
              <w:t>9</w:t>
            </w:r>
            <w:r>
              <w:rPr>
                <w:szCs w:val="24"/>
                <w:lang w:val="en-US"/>
              </w:rPr>
              <w:t>)</w:t>
            </w:r>
          </w:p>
        </w:tc>
        <w:tc>
          <w:tcPr>
            <w:tcW w:w="4678" w:type="dxa"/>
            <w:tcBorders>
              <w:top w:val="nil"/>
              <w:left w:val="nil"/>
              <w:bottom w:val="nil"/>
              <w:right w:val="nil"/>
            </w:tcBorders>
          </w:tcPr>
          <w:p w14:paraId="796A4B3B" w14:textId="3B90520E" w:rsidR="00515C47" w:rsidRDefault="00515C47" w:rsidP="00515C47">
            <w:pPr>
              <w:spacing w:before="120" w:after="120"/>
              <w:rPr>
                <w:szCs w:val="24"/>
                <w:lang w:val="en-GB"/>
              </w:rPr>
            </w:pPr>
            <w:r>
              <w:rPr>
                <w:szCs w:val="24"/>
                <w:lang w:val="en-GB"/>
              </w:rPr>
              <w:t>Environmental activism, protest</w:t>
            </w:r>
          </w:p>
          <w:p w14:paraId="7DD5082C" w14:textId="32365E3B" w:rsidR="00515C47" w:rsidRPr="00643B6B" w:rsidRDefault="00515C47" w:rsidP="00515C47">
            <w:r w:rsidRPr="003E4373">
              <w:t>The Terania Native Forest Action Group was formed in 1974 to challenge the authority of the Forestry Commission</w:t>
            </w:r>
            <w:r w:rsidRPr="003325B4">
              <w:t xml:space="preserve"> of New South Wales (NSW) to allow logging of giant Brush Box in the Terania Creek Basin, north of Lismore. In August 1979, the campaign culminated in a four week direct action protest setting a precedent in the anti-logging movement in Australia and making rainforest conservation a national issue. The protest brought together concerned people from many walks of life. Their innovative methods included forest blockades, tree-sitting and obstruction of bulldozers, and the use of media, including television</w:t>
            </w:r>
            <w:r w:rsidR="002D75C9" w:rsidRPr="003325B4">
              <w:t>.</w:t>
            </w:r>
            <w:r w:rsidRPr="003325B4">
              <w:t xml:space="preserve"> Although the intention was for “non-violent, peaceful protests”, clashes between demonstrators and police did occur</w:t>
            </w:r>
            <w:r w:rsidR="00E13F49" w:rsidRPr="003325B4">
              <w:t xml:space="preserve"> and arrests were made</w:t>
            </w:r>
            <w:r w:rsidRPr="003325B4">
              <w:t>. In September 1979, NSW Premier Wran called a halt to the logging and commissioned an independent inquiry into the environmental aspects of the Terania Creek areas. The final report, recommending limited logging of the rainforest, was set aside</w:t>
            </w:r>
            <w:r w:rsidR="002D75C9" w:rsidRPr="003325B4">
              <w:t>,</w:t>
            </w:r>
            <w:r w:rsidRPr="003325B4">
              <w:t xml:space="preserve"> with Premier Wran’s government making </w:t>
            </w:r>
            <w:r w:rsidR="002D75C9" w:rsidRPr="003325B4">
              <w:t>a</w:t>
            </w:r>
            <w:r w:rsidRPr="003325B4">
              <w:t xml:space="preserve"> landmark decision in 1982 to incorporate major rainforest areas into dedicated national parks. </w:t>
            </w:r>
            <w:r w:rsidR="003A1634" w:rsidRPr="003325B4">
              <w:t>A</w:t>
            </w:r>
            <w:r w:rsidRPr="003325B4">
              <w:t xml:space="preserve"> waterfall on Terania Creek</w:t>
            </w:r>
            <w:r w:rsidR="003E7C06" w:rsidRPr="003325B4">
              <w:t xml:space="preserve">, within the Nightcap National Park, </w:t>
            </w:r>
            <w:r w:rsidRPr="003325B4">
              <w:t xml:space="preserve">was named </w:t>
            </w:r>
            <w:r w:rsidR="003A1634" w:rsidRPr="003325B4">
              <w:t>‘</w:t>
            </w:r>
            <w:r w:rsidRPr="003325B4">
              <w:t>Protesters Falls</w:t>
            </w:r>
            <w:r w:rsidR="003A1634" w:rsidRPr="003325B4">
              <w:t>’ in 1986</w:t>
            </w:r>
            <w:r w:rsidRPr="00BC1E62">
              <w:t>.</w:t>
            </w:r>
          </w:p>
          <w:p w14:paraId="4EC1E5B0" w14:textId="5953A83E" w:rsidR="00515C47" w:rsidRPr="006B1EB6" w:rsidRDefault="00515C47" w:rsidP="00515C47">
            <w:pPr>
              <w:spacing w:before="120" w:after="120"/>
              <w:rPr>
                <w:color w:val="FF0000"/>
              </w:rPr>
            </w:pPr>
          </w:p>
        </w:tc>
      </w:tr>
    </w:tbl>
    <w:p w14:paraId="786F8896" w14:textId="77777777" w:rsidR="009A2612" w:rsidRDefault="009A2612">
      <w:r>
        <w:rPr>
          <w:i/>
          <w:iCs/>
        </w:rPr>
        <w:br w:type="page"/>
      </w:r>
    </w:p>
    <w:tbl>
      <w:tblPr>
        <w:tblW w:w="8897" w:type="dxa"/>
        <w:tblLayout w:type="fixed"/>
        <w:tblLook w:val="0000" w:firstRow="0" w:lastRow="0" w:firstColumn="0" w:lastColumn="0" w:noHBand="0" w:noVBand="0"/>
      </w:tblPr>
      <w:tblGrid>
        <w:gridCol w:w="1809"/>
        <w:gridCol w:w="2410"/>
        <w:gridCol w:w="4678"/>
      </w:tblGrid>
      <w:tr w:rsidR="009A2612" w14:paraId="593097BD" w14:textId="77777777" w:rsidTr="005F496F">
        <w:trPr>
          <w:cantSplit/>
        </w:trPr>
        <w:tc>
          <w:tcPr>
            <w:tcW w:w="1809" w:type="dxa"/>
            <w:tcBorders>
              <w:top w:val="nil"/>
              <w:left w:val="nil"/>
              <w:bottom w:val="nil"/>
              <w:right w:val="nil"/>
            </w:tcBorders>
          </w:tcPr>
          <w:p w14:paraId="4595B791" w14:textId="4665FE60" w:rsidR="009A2612" w:rsidRDefault="009A2612" w:rsidP="009A2612">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Trebilco Crescent</w:t>
            </w:r>
          </w:p>
          <w:p w14:paraId="08812683" w14:textId="1DBDF7FE" w:rsidR="009A2612" w:rsidRDefault="009A2612" w:rsidP="009A2612">
            <w:pPr>
              <w:pStyle w:val="Heading2"/>
              <w:spacing w:before="120" w:after="120"/>
              <w:jc w:val="left"/>
              <w:rPr>
                <w:rFonts w:ascii="Times New Roman" w:hAnsi="Times New Roman" w:cs="Times New Roman"/>
                <w:b/>
                <w:i w:val="0"/>
                <w:sz w:val="24"/>
                <w:szCs w:val="24"/>
              </w:rPr>
            </w:pPr>
          </w:p>
        </w:tc>
        <w:tc>
          <w:tcPr>
            <w:tcW w:w="2410" w:type="dxa"/>
            <w:tcBorders>
              <w:top w:val="nil"/>
              <w:left w:val="nil"/>
              <w:bottom w:val="nil"/>
              <w:right w:val="nil"/>
            </w:tcBorders>
          </w:tcPr>
          <w:p w14:paraId="1BB01F41" w14:textId="77777777" w:rsidR="009A2612" w:rsidRDefault="009A2612" w:rsidP="009A2612">
            <w:pPr>
              <w:spacing w:before="120" w:after="120"/>
              <w:rPr>
                <w:szCs w:val="24"/>
                <w:lang w:val="en-US"/>
              </w:rPr>
            </w:pPr>
            <w:r>
              <w:rPr>
                <w:szCs w:val="24"/>
                <w:lang w:val="en-US"/>
              </w:rPr>
              <w:t xml:space="preserve">Peter </w:t>
            </w:r>
            <w:r w:rsidRPr="009A2612">
              <w:rPr>
                <w:szCs w:val="24"/>
                <w:lang w:val="en-US"/>
              </w:rPr>
              <w:t xml:space="preserve">McDonald </w:t>
            </w:r>
            <w:r>
              <w:rPr>
                <w:szCs w:val="24"/>
                <w:lang w:val="en-US"/>
              </w:rPr>
              <w:t>Trebilco OAM</w:t>
            </w:r>
          </w:p>
          <w:p w14:paraId="4EABB177" w14:textId="0C577D9E" w:rsidR="009A2612" w:rsidRDefault="009A2612" w:rsidP="009A2612">
            <w:pPr>
              <w:spacing w:before="120" w:after="120"/>
              <w:rPr>
                <w:szCs w:val="24"/>
              </w:rPr>
            </w:pPr>
            <w:r>
              <w:rPr>
                <w:szCs w:val="24"/>
                <w:lang w:val="en-US"/>
              </w:rPr>
              <w:t>(1</w:t>
            </w:r>
            <w:r w:rsidRPr="00303AFE">
              <w:rPr>
                <w:szCs w:val="24"/>
                <w:lang w:val="en-US"/>
              </w:rPr>
              <w:t>927</w:t>
            </w:r>
            <w:r>
              <w:rPr>
                <w:szCs w:val="24"/>
              </w:rPr>
              <w:t>–2017)</w:t>
            </w:r>
          </w:p>
          <w:p w14:paraId="0DD9BC4C" w14:textId="5D9EAC11" w:rsidR="009A2612" w:rsidRDefault="009A2612" w:rsidP="009A2612">
            <w:pPr>
              <w:spacing w:before="120" w:after="120"/>
              <w:rPr>
                <w:rFonts w:ascii="Arial" w:hAnsi="Arial" w:cs="Arial"/>
                <w:color w:val="212529"/>
                <w:shd w:val="clear" w:color="auto" w:fill="FFFFFF"/>
              </w:rPr>
            </w:pPr>
            <w:r>
              <w:rPr>
                <w:szCs w:val="24"/>
              </w:rPr>
              <w:t>(Peter Macdonald</w:t>
            </w:r>
            <w:r w:rsidR="009677AC">
              <w:rPr>
                <w:szCs w:val="24"/>
              </w:rPr>
              <w:br w:type="textWrapping" w:clear="all"/>
            </w:r>
            <w:r>
              <w:rPr>
                <w:szCs w:val="24"/>
              </w:rPr>
              <w:t xml:space="preserve"> Trebilco)</w:t>
            </w:r>
          </w:p>
          <w:p w14:paraId="5DAF2623" w14:textId="118B32D8" w:rsidR="009A2612" w:rsidRPr="003F42FD" w:rsidRDefault="009A2612" w:rsidP="009A2612">
            <w:pPr>
              <w:spacing w:before="120" w:after="120"/>
              <w:rPr>
                <w:szCs w:val="24"/>
                <w:lang w:val="en-US"/>
              </w:rPr>
            </w:pPr>
          </w:p>
        </w:tc>
        <w:tc>
          <w:tcPr>
            <w:tcW w:w="4678" w:type="dxa"/>
            <w:tcBorders>
              <w:top w:val="nil"/>
              <w:left w:val="nil"/>
              <w:bottom w:val="nil"/>
              <w:right w:val="nil"/>
            </w:tcBorders>
          </w:tcPr>
          <w:p w14:paraId="0E47CC55" w14:textId="77777777" w:rsidR="009A2612" w:rsidRPr="009A2612" w:rsidRDefault="009A2612" w:rsidP="009A2612">
            <w:pPr>
              <w:spacing w:before="120" w:after="120"/>
              <w:rPr>
                <w:szCs w:val="24"/>
                <w:lang w:val="en-GB"/>
              </w:rPr>
            </w:pPr>
            <w:bookmarkStart w:id="3" w:name="_Hlk126248877"/>
            <w:r w:rsidRPr="009A2612">
              <w:rPr>
                <w:szCs w:val="24"/>
                <w:lang w:val="en-GB"/>
              </w:rPr>
              <w:t xml:space="preserve">Health reform, social reform, educator </w:t>
            </w:r>
          </w:p>
          <w:p w14:paraId="73768C0D" w14:textId="7ED8781B" w:rsidR="009A2612" w:rsidRPr="009A2612" w:rsidRDefault="009A2612" w:rsidP="009A2612">
            <w:pPr>
              <w:autoSpaceDE w:val="0"/>
              <w:autoSpaceDN w:val="0"/>
              <w:adjustRightInd w:val="0"/>
              <w:rPr>
                <w:sz w:val="22"/>
                <w:szCs w:val="22"/>
                <w:lang w:eastAsia="en-AU"/>
              </w:rPr>
            </w:pPr>
            <w:r w:rsidRPr="009677AC">
              <w:t>Peter Trebilco served the community with distinction through a range of health, social justice and welfare organisations.</w:t>
            </w:r>
            <w:bookmarkEnd w:id="3"/>
            <w:r w:rsidRPr="009677AC">
              <w:t xml:space="preserve"> He was an early and leading supporter for gay rights in Australia and publicly opposed any discrimination based on a person’s sexual orientation or gender identity. He advocated for mental health and for gay and lesbian support organisations, volunteering as a telephone counsellor for over forty years. Trebilco was a Life Member of the Public Health Association of Australia, serving in executive roles and mentoring public health leaders of the future. He was </w:t>
            </w:r>
            <w:r w:rsidR="009677AC">
              <w:t xml:space="preserve">on the staff of </w:t>
            </w:r>
            <w:r w:rsidRPr="009A2612">
              <w:t xml:space="preserve">the University of New South Wales (UNSW) from the early 1970s, where he introduced a Master of Public Health elective to the curriculum. </w:t>
            </w:r>
            <w:r w:rsidRPr="009677AC">
              <w:t>In 1981, he was appointed a Visiting Fellow to the School of Public Health and Community Medicine, UNSW. Trebilco was a commissioned officer (Major) in the Reserve Citizen Military Forces (Royal Australian Artillery) now the Australian Army Reserve. He received the Australian Efficiency Decoration (ED) in 1964 in recognition of his service. In 2004, he was awarded the Medal of the Order of Australia. Peter Trebilco is remembered as a thoughtful and selfless contributor to making Australia a better place, who pushed social boundaries, often to his own detriment</w:t>
            </w:r>
            <w:r w:rsidRPr="009677AC">
              <w:rPr>
                <w:szCs w:val="24"/>
                <w:lang w:eastAsia="en-AU"/>
              </w:rPr>
              <w:t>.</w:t>
            </w:r>
            <w:r w:rsidRPr="009A2612">
              <w:rPr>
                <w:sz w:val="22"/>
                <w:szCs w:val="22"/>
                <w:lang w:eastAsia="en-AU"/>
              </w:rPr>
              <w:t xml:space="preserve"> </w:t>
            </w:r>
          </w:p>
          <w:p w14:paraId="2356EF8C" w14:textId="777CEAC7" w:rsidR="009A2612" w:rsidRPr="009A2612" w:rsidRDefault="009A2612" w:rsidP="009A2612"/>
        </w:tc>
      </w:tr>
    </w:tbl>
    <w:p w14:paraId="15E28374" w14:textId="1430E123" w:rsidR="00AA02C9" w:rsidRPr="007D25AC" w:rsidRDefault="003560D5" w:rsidP="007D25AC">
      <w:pPr>
        <w:tabs>
          <w:tab w:val="left" w:pos="4320"/>
        </w:tabs>
        <w:rPr>
          <w:rFonts w:asciiTheme="minorHAnsi" w:hAnsiTheme="minorHAnsi" w:cstheme="minorBidi"/>
          <w:bCs/>
        </w:rPr>
      </w:pPr>
      <w:r>
        <w:rPr>
          <w:rFonts w:asciiTheme="minorHAnsi" w:hAnsiTheme="minorHAnsi" w:cstheme="minorBidi"/>
          <w:bCs/>
          <w:noProof/>
        </w:rPr>
        <w:lastRenderedPageBreak/>
        <w:drawing>
          <wp:inline distT="0" distB="0" distL="0" distR="0" wp14:anchorId="619A99DB" wp14:editId="46DBF56B">
            <wp:extent cx="5274945" cy="746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61250"/>
                    </a:xfrm>
                    <a:prstGeom prst="rect">
                      <a:avLst/>
                    </a:prstGeom>
                  </pic:spPr>
                </pic:pic>
              </a:graphicData>
            </a:graphic>
          </wp:inline>
        </w:drawing>
      </w:r>
    </w:p>
    <w:sectPr w:rsidR="00AA02C9" w:rsidRPr="007D25AC" w:rsidSect="009E7EFC">
      <w:footerReference w:type="default" r:id="rId15"/>
      <w:footerReference w:type="first" r:id="rId16"/>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ABA6" w14:textId="77777777" w:rsidR="004A1AB6" w:rsidRDefault="004A1AB6" w:rsidP="00F10CB2">
      <w:r>
        <w:separator/>
      </w:r>
    </w:p>
  </w:endnote>
  <w:endnote w:type="continuationSeparator" w:id="0">
    <w:p w14:paraId="366B96A4" w14:textId="77777777" w:rsidR="004A1AB6" w:rsidRDefault="004A1AB6"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C30" w14:textId="77777777" w:rsidR="009E7EFC" w:rsidRDefault="009E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4E765E0A" w:rsidR="002A039C" w:rsidRPr="00750BFB" w:rsidRDefault="00750BFB" w:rsidP="00750BFB">
    <w:pPr>
      <w:pStyle w:val="Footer"/>
      <w:tabs>
        <w:tab w:val="clear" w:pos="2880"/>
      </w:tabs>
      <w:jc w:val="center"/>
      <w:rPr>
        <w:rFonts w:ascii="Arial" w:hAnsi="Arial" w:cs="Arial"/>
        <w:sz w:val="14"/>
      </w:rPr>
    </w:pPr>
    <w:sdt>
      <w:sdtPr>
        <w:rPr>
          <w:rFonts w:ascii="Arial" w:hAnsi="Arial" w:cs="Arial"/>
          <w:sz w:val="14"/>
        </w:rPr>
        <w:id w:val="325054357"/>
        <w:docPartObj>
          <w:docPartGallery w:val="Page Numbers (Top of Page)"/>
          <w:docPartUnique/>
        </w:docPartObj>
      </w:sdtPr>
      <w:sdtEndPr/>
      <w:sdtContent>
        <w:sdt>
          <w:sdtPr>
            <w:rPr>
              <w:rFonts w:ascii="Arial" w:hAnsi="Arial" w:cs="Arial"/>
              <w:sz w:val="14"/>
            </w:rPr>
            <w:id w:val="325054361"/>
            <w:docPartObj>
              <w:docPartGallery w:val="Page Numbers (Top of Page)"/>
              <w:docPartUnique/>
            </w:docPartObj>
          </w:sdtPr>
          <w:sdtEndPr/>
          <w:sdtContent/>
        </w:sdt>
      </w:sdtContent>
    </w:sdt>
    <w:r w:rsidRPr="00750B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5F786A8D" w:rsidR="002A039C" w:rsidRPr="00AA02C9" w:rsidRDefault="002A039C" w:rsidP="009E7EFC">
    <w:pPr>
      <w:pStyle w:val="Footer"/>
      <w:tabs>
        <w:tab w:val="clear" w:pos="2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74673190" w:rsidR="001056A5" w:rsidRPr="00750BFB" w:rsidRDefault="00750BFB" w:rsidP="00750BFB">
    <w:pPr>
      <w:pStyle w:val="Footer"/>
      <w:tabs>
        <w:tab w:val="clear" w:pos="2880"/>
      </w:tabs>
      <w:jc w:val="center"/>
      <w:rPr>
        <w:rFonts w:ascii="Arial" w:hAnsi="Arial" w:cs="Arial"/>
        <w:sz w:val="14"/>
      </w:rPr>
    </w:pPr>
    <w:r w:rsidRPr="00750BF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2924" w14:textId="6E19F209" w:rsidR="009E7EFC" w:rsidRPr="00750BFB" w:rsidRDefault="00750BFB" w:rsidP="00750BFB">
    <w:pPr>
      <w:pStyle w:val="Footer"/>
      <w:tabs>
        <w:tab w:val="clear" w:pos="2880"/>
      </w:tabs>
      <w:jc w:val="center"/>
      <w:rPr>
        <w:rFonts w:ascii="Arial" w:hAnsi="Arial" w:cs="Arial"/>
        <w:sz w:val="14"/>
      </w:rPr>
    </w:pPr>
    <w:r w:rsidRPr="00750BF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0704" w14:textId="77777777" w:rsidR="004A1AB6" w:rsidRDefault="004A1AB6" w:rsidP="00F10CB2">
      <w:r>
        <w:separator/>
      </w:r>
    </w:p>
  </w:footnote>
  <w:footnote w:type="continuationSeparator" w:id="0">
    <w:p w14:paraId="79FD7212" w14:textId="77777777" w:rsidR="004A1AB6" w:rsidRDefault="004A1AB6"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7235" w14:textId="77777777" w:rsidR="009E7EFC" w:rsidRDefault="009E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5CA6" w14:textId="77777777" w:rsidR="009E7EFC" w:rsidRDefault="009E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878E" w14:textId="77777777" w:rsidR="009E7EFC" w:rsidRDefault="009E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6821342">
    <w:abstractNumId w:val="2"/>
  </w:num>
  <w:num w:numId="2" w16cid:durableId="138546574">
    <w:abstractNumId w:val="0"/>
  </w:num>
  <w:num w:numId="3" w16cid:durableId="601959850">
    <w:abstractNumId w:val="3"/>
  </w:num>
  <w:num w:numId="4" w16cid:durableId="2054619235">
    <w:abstractNumId w:val="8"/>
  </w:num>
  <w:num w:numId="5" w16cid:durableId="1016888569">
    <w:abstractNumId w:val="9"/>
  </w:num>
  <w:num w:numId="6" w16cid:durableId="100690598">
    <w:abstractNumId w:val="1"/>
  </w:num>
  <w:num w:numId="7" w16cid:durableId="2090956319">
    <w:abstractNumId w:val="6"/>
  </w:num>
  <w:num w:numId="8" w16cid:durableId="1411735263">
    <w:abstractNumId w:val="7"/>
  </w:num>
  <w:num w:numId="9" w16cid:durableId="65034209">
    <w:abstractNumId w:val="5"/>
  </w:num>
  <w:num w:numId="10" w16cid:durableId="1126851228">
    <w:abstractNumId w:val="10"/>
  </w:num>
  <w:num w:numId="11" w16cid:durableId="175267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22B16"/>
    <w:rsid w:val="000249D7"/>
    <w:rsid w:val="0004515E"/>
    <w:rsid w:val="00045455"/>
    <w:rsid w:val="000504EE"/>
    <w:rsid w:val="00054180"/>
    <w:rsid w:val="00057653"/>
    <w:rsid w:val="00065350"/>
    <w:rsid w:val="00093055"/>
    <w:rsid w:val="000A1A69"/>
    <w:rsid w:val="000B5039"/>
    <w:rsid w:val="000C501D"/>
    <w:rsid w:val="001056A5"/>
    <w:rsid w:val="0010740C"/>
    <w:rsid w:val="00111262"/>
    <w:rsid w:val="00134786"/>
    <w:rsid w:val="00167249"/>
    <w:rsid w:val="00193206"/>
    <w:rsid w:val="00194AC7"/>
    <w:rsid w:val="001A3A7C"/>
    <w:rsid w:val="001A3A7F"/>
    <w:rsid w:val="001B65EF"/>
    <w:rsid w:val="001C737C"/>
    <w:rsid w:val="001E498A"/>
    <w:rsid w:val="001E6B54"/>
    <w:rsid w:val="001F1298"/>
    <w:rsid w:val="001F7459"/>
    <w:rsid w:val="001F7C45"/>
    <w:rsid w:val="00205E99"/>
    <w:rsid w:val="00232478"/>
    <w:rsid w:val="00267FC1"/>
    <w:rsid w:val="00281B3A"/>
    <w:rsid w:val="00296D11"/>
    <w:rsid w:val="002A039C"/>
    <w:rsid w:val="002D75C9"/>
    <w:rsid w:val="002F1B1C"/>
    <w:rsid w:val="002F53F1"/>
    <w:rsid w:val="00303AFE"/>
    <w:rsid w:val="00310933"/>
    <w:rsid w:val="003325B4"/>
    <w:rsid w:val="003560D5"/>
    <w:rsid w:val="00373830"/>
    <w:rsid w:val="0038524D"/>
    <w:rsid w:val="003A1634"/>
    <w:rsid w:val="003A635A"/>
    <w:rsid w:val="003C330F"/>
    <w:rsid w:val="003D1F0A"/>
    <w:rsid w:val="003D7174"/>
    <w:rsid w:val="003E4373"/>
    <w:rsid w:val="003E7C06"/>
    <w:rsid w:val="00410422"/>
    <w:rsid w:val="00425BA3"/>
    <w:rsid w:val="0043263E"/>
    <w:rsid w:val="004360D3"/>
    <w:rsid w:val="00445322"/>
    <w:rsid w:val="00451C75"/>
    <w:rsid w:val="004631E1"/>
    <w:rsid w:val="004729A4"/>
    <w:rsid w:val="00481934"/>
    <w:rsid w:val="00492788"/>
    <w:rsid w:val="004A1AB6"/>
    <w:rsid w:val="004A5AE4"/>
    <w:rsid w:val="004F0B65"/>
    <w:rsid w:val="00510075"/>
    <w:rsid w:val="00513572"/>
    <w:rsid w:val="00515C47"/>
    <w:rsid w:val="00522381"/>
    <w:rsid w:val="00553A69"/>
    <w:rsid w:val="00580D29"/>
    <w:rsid w:val="00587034"/>
    <w:rsid w:val="0059463A"/>
    <w:rsid w:val="005961A3"/>
    <w:rsid w:val="005D3286"/>
    <w:rsid w:val="005D55E0"/>
    <w:rsid w:val="005D5C9F"/>
    <w:rsid w:val="005D68B8"/>
    <w:rsid w:val="005E3641"/>
    <w:rsid w:val="005F496F"/>
    <w:rsid w:val="005F75A1"/>
    <w:rsid w:val="00627F0C"/>
    <w:rsid w:val="0063206A"/>
    <w:rsid w:val="006423D4"/>
    <w:rsid w:val="006668F6"/>
    <w:rsid w:val="00667281"/>
    <w:rsid w:val="00671B27"/>
    <w:rsid w:val="00682B9E"/>
    <w:rsid w:val="006845B7"/>
    <w:rsid w:val="00685113"/>
    <w:rsid w:val="006A3A2F"/>
    <w:rsid w:val="006B1EB6"/>
    <w:rsid w:val="006C4D86"/>
    <w:rsid w:val="00704DC3"/>
    <w:rsid w:val="0072003E"/>
    <w:rsid w:val="00750BFB"/>
    <w:rsid w:val="007625E3"/>
    <w:rsid w:val="0077162F"/>
    <w:rsid w:val="00783CF4"/>
    <w:rsid w:val="00784B87"/>
    <w:rsid w:val="007A3299"/>
    <w:rsid w:val="007B2E24"/>
    <w:rsid w:val="007C3B22"/>
    <w:rsid w:val="007C5DCF"/>
    <w:rsid w:val="007D25AC"/>
    <w:rsid w:val="008036F7"/>
    <w:rsid w:val="00824EB1"/>
    <w:rsid w:val="00861DA7"/>
    <w:rsid w:val="00862E12"/>
    <w:rsid w:val="00864A0E"/>
    <w:rsid w:val="0088161E"/>
    <w:rsid w:val="00894148"/>
    <w:rsid w:val="008A1D96"/>
    <w:rsid w:val="008A3808"/>
    <w:rsid w:val="008B556F"/>
    <w:rsid w:val="008E4A39"/>
    <w:rsid w:val="008F060D"/>
    <w:rsid w:val="008F1585"/>
    <w:rsid w:val="008F60A5"/>
    <w:rsid w:val="009070F7"/>
    <w:rsid w:val="00922F26"/>
    <w:rsid w:val="009237E0"/>
    <w:rsid w:val="009677AC"/>
    <w:rsid w:val="00970517"/>
    <w:rsid w:val="009876DB"/>
    <w:rsid w:val="009A2612"/>
    <w:rsid w:val="009A5D0A"/>
    <w:rsid w:val="009E7EFC"/>
    <w:rsid w:val="00A0585C"/>
    <w:rsid w:val="00A07BFA"/>
    <w:rsid w:val="00A43FE7"/>
    <w:rsid w:val="00A43FFD"/>
    <w:rsid w:val="00A502EA"/>
    <w:rsid w:val="00A74247"/>
    <w:rsid w:val="00A9655D"/>
    <w:rsid w:val="00AA02C9"/>
    <w:rsid w:val="00AA5F83"/>
    <w:rsid w:val="00AE3C3A"/>
    <w:rsid w:val="00AF1BB6"/>
    <w:rsid w:val="00B021A5"/>
    <w:rsid w:val="00B1549F"/>
    <w:rsid w:val="00B30B9A"/>
    <w:rsid w:val="00B3774C"/>
    <w:rsid w:val="00B47FC9"/>
    <w:rsid w:val="00B53303"/>
    <w:rsid w:val="00B622CA"/>
    <w:rsid w:val="00B63A10"/>
    <w:rsid w:val="00B6603C"/>
    <w:rsid w:val="00B96911"/>
    <w:rsid w:val="00BA3E66"/>
    <w:rsid w:val="00BA52F5"/>
    <w:rsid w:val="00BB241F"/>
    <w:rsid w:val="00BC72A3"/>
    <w:rsid w:val="00BD02C6"/>
    <w:rsid w:val="00C27210"/>
    <w:rsid w:val="00C41B1B"/>
    <w:rsid w:val="00C45795"/>
    <w:rsid w:val="00C65523"/>
    <w:rsid w:val="00C84B0C"/>
    <w:rsid w:val="00CA017D"/>
    <w:rsid w:val="00CC1E89"/>
    <w:rsid w:val="00CC3637"/>
    <w:rsid w:val="00CD1C1F"/>
    <w:rsid w:val="00CD4AB7"/>
    <w:rsid w:val="00CD4E55"/>
    <w:rsid w:val="00CE3399"/>
    <w:rsid w:val="00CE6580"/>
    <w:rsid w:val="00CF28EB"/>
    <w:rsid w:val="00D110F1"/>
    <w:rsid w:val="00D3619D"/>
    <w:rsid w:val="00D36CFC"/>
    <w:rsid w:val="00D47F13"/>
    <w:rsid w:val="00D9612A"/>
    <w:rsid w:val="00DB1051"/>
    <w:rsid w:val="00DF1D10"/>
    <w:rsid w:val="00E13F49"/>
    <w:rsid w:val="00E358BC"/>
    <w:rsid w:val="00E528A7"/>
    <w:rsid w:val="00E664A5"/>
    <w:rsid w:val="00E73B47"/>
    <w:rsid w:val="00E73C6D"/>
    <w:rsid w:val="00E97BBB"/>
    <w:rsid w:val="00EB7BEB"/>
    <w:rsid w:val="00ED7F95"/>
    <w:rsid w:val="00EE11C7"/>
    <w:rsid w:val="00F0488B"/>
    <w:rsid w:val="00F10CB2"/>
    <w:rsid w:val="00F15AC3"/>
    <w:rsid w:val="00F22A09"/>
    <w:rsid w:val="00F236C5"/>
    <w:rsid w:val="00F55A73"/>
    <w:rsid w:val="00F56AED"/>
    <w:rsid w:val="00F574F8"/>
    <w:rsid w:val="00F67362"/>
    <w:rsid w:val="00FA3ECE"/>
    <w:rsid w:val="00FA5BD2"/>
    <w:rsid w:val="00FB2A6A"/>
    <w:rsid w:val="00FB4806"/>
    <w:rsid w:val="00FC01A7"/>
    <w:rsid w:val="00FD65FB"/>
    <w:rsid w:val="00FE12B4"/>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rsid w:val="005F496F"/>
    <w:rPr>
      <w:rFonts w:ascii="Arial" w:hAnsi="Arial" w:cs="Arial"/>
      <w:i/>
      <w:iCs/>
      <w:sz w:val="16"/>
      <w:szCs w:val="16"/>
      <w:lang w:eastAsia="en-US"/>
    </w:rPr>
  </w:style>
  <w:style w:type="character" w:styleId="Emphasis">
    <w:name w:val="Emphasis"/>
    <w:basedOn w:val="DefaultParagraphFont"/>
    <w:uiPriority w:val="20"/>
    <w:qFormat/>
    <w:rsid w:val="005F496F"/>
    <w:rPr>
      <w:i/>
      <w:iCs/>
    </w:rPr>
  </w:style>
  <w:style w:type="paragraph" w:styleId="ListParagraph">
    <w:name w:val="List Paragraph"/>
    <w:basedOn w:val="Normal"/>
    <w:uiPriority w:val="34"/>
    <w:qFormat/>
    <w:rsid w:val="0010740C"/>
    <w:pPr>
      <w:ind w:left="720"/>
      <w:contextualSpacing/>
    </w:pPr>
  </w:style>
  <w:style w:type="character" w:customStyle="1" w:styleId="hit">
    <w:name w:val="hit"/>
    <w:basedOn w:val="DefaultParagraphFont"/>
    <w:rsid w:val="00AF1BB6"/>
  </w:style>
  <w:style w:type="paragraph" w:styleId="Revision">
    <w:name w:val="Revision"/>
    <w:hidden/>
    <w:uiPriority w:val="99"/>
    <w:semiHidden/>
    <w:rsid w:val="00AE3C3A"/>
    <w:rPr>
      <w:sz w:val="24"/>
      <w:lang w:eastAsia="en-US"/>
    </w:rPr>
  </w:style>
  <w:style w:type="character" w:styleId="CommentReference">
    <w:name w:val="annotation reference"/>
    <w:basedOn w:val="DefaultParagraphFont"/>
    <w:uiPriority w:val="99"/>
    <w:semiHidden/>
    <w:unhideWhenUsed/>
    <w:rsid w:val="00510075"/>
    <w:rPr>
      <w:sz w:val="16"/>
      <w:szCs w:val="16"/>
    </w:rPr>
  </w:style>
  <w:style w:type="paragraph" w:styleId="CommentText">
    <w:name w:val="annotation text"/>
    <w:basedOn w:val="Normal"/>
    <w:link w:val="CommentTextChar"/>
    <w:uiPriority w:val="99"/>
    <w:unhideWhenUsed/>
    <w:rsid w:val="00510075"/>
    <w:rPr>
      <w:sz w:val="20"/>
    </w:rPr>
  </w:style>
  <w:style w:type="character" w:customStyle="1" w:styleId="CommentTextChar">
    <w:name w:val="Comment Text Char"/>
    <w:basedOn w:val="DefaultParagraphFont"/>
    <w:link w:val="CommentText"/>
    <w:uiPriority w:val="99"/>
    <w:rsid w:val="00510075"/>
    <w:rPr>
      <w:lang w:eastAsia="en-US"/>
    </w:rPr>
  </w:style>
  <w:style w:type="paragraph" w:styleId="CommentSubject">
    <w:name w:val="annotation subject"/>
    <w:basedOn w:val="CommentText"/>
    <w:next w:val="CommentText"/>
    <w:link w:val="CommentSubjectChar"/>
    <w:uiPriority w:val="99"/>
    <w:semiHidden/>
    <w:unhideWhenUsed/>
    <w:rsid w:val="00510075"/>
    <w:rPr>
      <w:b/>
      <w:bCs/>
    </w:rPr>
  </w:style>
  <w:style w:type="character" w:customStyle="1" w:styleId="CommentSubjectChar">
    <w:name w:val="Comment Subject Char"/>
    <w:basedOn w:val="CommentTextChar"/>
    <w:link w:val="CommentSubject"/>
    <w:uiPriority w:val="99"/>
    <w:semiHidden/>
    <w:rsid w:val="005100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4846">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A41717891</value>
    </field>
    <field name="Objective-Title">
      <value order="0">20230808 - Public Place Names (Denman Prospect) Determination 2023 (No 1)</value>
    </field>
    <field name="Objective-Description">
      <value order="0"/>
    </field>
    <field name="Objective-CreationStamp">
      <value order="0">2023-04-21T04:36:49Z</value>
    </field>
    <field name="Objective-IsApproved">
      <value order="0">false</value>
    </field>
    <field name="Objective-IsPublished">
      <value order="0">false</value>
    </field>
    <field name="Objective-DatePublished">
      <value order="0"/>
    </field>
    <field name="Objective-ModificationStamp">
      <value order="0">2023-09-06T06:19:22Z</value>
    </field>
    <field name="Objective-Owner">
      <value order="0">Sharon Priestly</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Briefs:23/53706 - Public Place Names (Denman Prospect) Determination 2023 (No 1)</value>
    </field>
    <field name="Objective-Parent">
      <value order="0">23/53706 - Public Place Names (Denman Prospect) Determination 2023 (No 1)</value>
    </field>
    <field name="Objective-State">
      <value order="0">Being Edited</value>
    </field>
    <field name="Objective-VersionId">
      <value order="0">vA54152479</value>
    </field>
    <field name="Objective-Version">
      <value order="0">19.1</value>
    </field>
    <field name="Objective-VersionNumber">
      <value order="0">22</value>
    </field>
    <field name="Objective-VersionComment">
      <value order="0"/>
    </field>
    <field name="Objective-FileNumber">
      <value order="0">1-2023/53706</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1540</Words>
  <Characters>8761</Characters>
  <Application>Microsoft Office Word</Application>
  <DocSecurity>0</DocSecurity>
  <Lines>312</Lines>
  <Paragraphs>57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2023-09-06T23:14:00Z</dcterms:created>
  <dcterms:modified xsi:type="dcterms:W3CDTF">2023-09-06T23:14:00Z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A41717891</vt:lpwstr>
  </property>
  <property fmtid="{D5CDD505-2E9C-101B-9397-08002B2CF9AE}" pid="4" name="Objective-Title">
    <vt:lpwstr>20230808 - Public Place Names (Denman Prospect) Determination 2023 (No 1)</vt:lpwstr>
  </property>
  <property fmtid="{D5CDD505-2E9C-101B-9397-08002B2CF9AE}" pid="5" name="Objective-Comment">
    <vt:lpwstr/>
  </property>
  <property fmtid="{D5CDD505-2E9C-101B-9397-08002B2CF9AE}" pid="6" name="Objective-CreationStamp">
    <vt:filetime>2023-04-21T04:36:49Z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2023-09-06T06:19:22Z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Briefs:23/53706 - Public Place Names (Denman Prospect) Determination 2023 (No 1):</vt:lpwstr>
  </property>
  <property fmtid="{D5CDD505-2E9C-101B-9397-08002B2CF9AE}" pid="13" name="Objective-Parent">
    <vt:lpwstr>23/53706 - Public Place Names (Denman Prospect) Determination 2023 (No 1)</vt:lpwstr>
  </property>
  <property fmtid="{D5CDD505-2E9C-101B-9397-08002B2CF9AE}" pid="14" name="Objective-State">
    <vt:lpwstr>Being Edited</vt:lpwstr>
  </property>
  <property fmtid="{D5CDD505-2E9C-101B-9397-08002B2CF9AE}" pid="15" name="Objective-Version">
    <vt:lpwstr>19.1</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1-2023/53706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vA54152479</vt:lpwstr>
  </property>
  <property fmtid="{D5CDD505-2E9C-101B-9397-08002B2CF9AE}" pid="45" name="DMSID">
    <vt:lpwstr>10971135</vt:lpwstr>
  </property>
  <property fmtid="{D5CDD505-2E9C-101B-9397-08002B2CF9AE}" pid="46" name="CHECKEDOUTFROMJMS">
    <vt:lpwstr/>
  </property>
  <property fmtid="{D5CDD505-2E9C-101B-9397-08002B2CF9AE}" pid="47" name="JMSREQUIREDCHECKIN">
    <vt:lpwstr/>
  </property>
</Properties>
</file>