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8E87A" w14:textId="77777777" w:rsidR="00F10CB2" w:rsidRDefault="00F10CB2">
      <w:pPr>
        <w:spacing w:before="120"/>
        <w:rPr>
          <w:rFonts w:ascii="Arial" w:hAnsi="Arial" w:cs="Arial"/>
        </w:rPr>
      </w:pPr>
      <w:bookmarkStart w:id="0" w:name="_Toc44738651"/>
      <w:r>
        <w:rPr>
          <w:rFonts w:ascii="Arial" w:hAnsi="Arial" w:cs="Arial"/>
        </w:rPr>
        <w:t>Australian Capital Territory</w:t>
      </w:r>
    </w:p>
    <w:p w14:paraId="48FB71A7" w14:textId="77777777" w:rsidR="00F10CB2" w:rsidRPr="004D7C4E" w:rsidRDefault="003D2A3F">
      <w:pPr>
        <w:pStyle w:val="Billname"/>
        <w:spacing w:before="700"/>
      </w:pPr>
      <w:r w:rsidRPr="004D7C4E">
        <w:t xml:space="preserve">Planning (Land Rent Payout) Policy Direction </w:t>
      </w:r>
      <w:r w:rsidR="004A5EAD" w:rsidRPr="004D7C4E">
        <w:t>2023</w:t>
      </w:r>
      <w:r w:rsidR="00EF0C92">
        <w:t xml:space="preserve"> (No 1)</w:t>
      </w:r>
    </w:p>
    <w:p w14:paraId="7143EBA2" w14:textId="77777777" w:rsidR="00F10CB2" w:rsidRDefault="00F10CB2" w:rsidP="00D47F13">
      <w:pPr>
        <w:spacing w:before="340"/>
        <w:rPr>
          <w:rFonts w:ascii="Arial" w:hAnsi="Arial" w:cs="Arial"/>
          <w:b/>
          <w:bCs/>
        </w:rPr>
      </w:pPr>
      <w:r w:rsidRPr="004D7C4E">
        <w:rPr>
          <w:rFonts w:ascii="Arial" w:hAnsi="Arial" w:cs="Arial"/>
          <w:b/>
          <w:bCs/>
        </w:rPr>
        <w:t xml:space="preserve">Disallowable instrument </w:t>
      </w:r>
      <w:r w:rsidR="004A5EAD" w:rsidRPr="004D7C4E">
        <w:rPr>
          <w:rFonts w:ascii="Arial" w:hAnsi="Arial" w:cs="Arial"/>
          <w:b/>
          <w:bCs/>
        </w:rPr>
        <w:t>DI</w:t>
      </w:r>
      <w:r w:rsidR="004A5EAD" w:rsidRPr="004D7C4E">
        <w:rPr>
          <w:rFonts w:ascii="Arial" w:hAnsi="Arial" w:cs="Arial"/>
          <w:b/>
          <w:bCs/>
          <w:iCs/>
        </w:rPr>
        <w:t>2023</w:t>
      </w:r>
      <w:r w:rsidR="00B37864">
        <w:rPr>
          <w:rFonts w:ascii="Arial" w:hAnsi="Arial" w:cs="Arial"/>
          <w:b/>
          <w:bCs/>
        </w:rPr>
        <w:t>-</w:t>
      </w:r>
      <w:r w:rsidR="00F55312">
        <w:rPr>
          <w:rFonts w:ascii="Arial" w:hAnsi="Arial" w:cs="Arial"/>
          <w:b/>
          <w:bCs/>
        </w:rPr>
        <w:t>266</w:t>
      </w:r>
    </w:p>
    <w:p w14:paraId="55B38921" w14:textId="77777777" w:rsidR="00F10CB2" w:rsidRDefault="00F10CB2" w:rsidP="00CD4E55">
      <w:pPr>
        <w:pStyle w:val="madeunder"/>
        <w:spacing w:before="300" w:after="0"/>
      </w:pPr>
      <w:r>
        <w:t xml:space="preserve">made under the  </w:t>
      </w:r>
    </w:p>
    <w:p w14:paraId="63A0AAC0" w14:textId="77777777" w:rsidR="00F10CB2" w:rsidRDefault="002B0381" w:rsidP="00CD4E55">
      <w:pPr>
        <w:pStyle w:val="CoverActName"/>
        <w:spacing w:before="320" w:after="0"/>
        <w:rPr>
          <w:rFonts w:cs="Arial"/>
          <w:sz w:val="20"/>
        </w:rPr>
      </w:pPr>
      <w:r>
        <w:rPr>
          <w:rFonts w:cs="Arial"/>
          <w:sz w:val="20"/>
        </w:rPr>
        <w:t>Planning Act 20</w:t>
      </w:r>
      <w:r w:rsidR="00C47434">
        <w:rPr>
          <w:rFonts w:cs="Arial"/>
          <w:sz w:val="20"/>
        </w:rPr>
        <w:t>23</w:t>
      </w:r>
      <w:r>
        <w:rPr>
          <w:rFonts w:cs="Arial"/>
          <w:sz w:val="20"/>
        </w:rPr>
        <w:t xml:space="preserve">, section </w:t>
      </w:r>
      <w:r w:rsidR="00C47434">
        <w:rPr>
          <w:rFonts w:cs="Arial"/>
          <w:sz w:val="20"/>
        </w:rPr>
        <w:t>322</w:t>
      </w:r>
      <w:r>
        <w:rPr>
          <w:rFonts w:cs="Arial"/>
          <w:sz w:val="20"/>
        </w:rPr>
        <w:t>(1)</w:t>
      </w:r>
      <w:r w:rsidR="008C74F8">
        <w:rPr>
          <w:rFonts w:cs="Arial"/>
          <w:sz w:val="20"/>
        </w:rPr>
        <w:t xml:space="preserve"> </w:t>
      </w:r>
      <w:r w:rsidR="00D242EB" w:rsidRPr="00D242EB">
        <w:rPr>
          <w:rFonts w:cs="Arial"/>
          <w:sz w:val="20"/>
        </w:rPr>
        <w:t>(Policy directions for paying out rent)</w:t>
      </w:r>
    </w:p>
    <w:p w14:paraId="25C379F1" w14:textId="77777777" w:rsidR="00F10CB2" w:rsidRDefault="00F10CB2" w:rsidP="00CD4E55">
      <w:pPr>
        <w:pStyle w:val="N-line3"/>
        <w:pBdr>
          <w:bottom w:val="none" w:sz="0" w:space="0" w:color="auto"/>
        </w:pBdr>
        <w:spacing w:before="60"/>
      </w:pPr>
    </w:p>
    <w:p w14:paraId="5729E57F" w14:textId="77777777" w:rsidR="00F10CB2" w:rsidRDefault="00F10CB2">
      <w:pPr>
        <w:pStyle w:val="N-line3"/>
        <w:pBdr>
          <w:top w:val="single" w:sz="12" w:space="1" w:color="auto"/>
          <w:bottom w:val="none" w:sz="0" w:space="0" w:color="auto"/>
        </w:pBdr>
      </w:pPr>
    </w:p>
    <w:p w14:paraId="7D5615E5" w14:textId="77777777" w:rsidR="00F10CB2" w:rsidRDefault="00F10CB2">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A92ED72" w14:textId="77777777" w:rsidR="008C74F8" w:rsidRPr="004D7C4E" w:rsidRDefault="008C74F8" w:rsidP="008C74F8">
      <w:pPr>
        <w:spacing w:before="140"/>
        <w:ind w:left="720"/>
      </w:pPr>
      <w:r>
        <w:t xml:space="preserve">This instrument is the </w:t>
      </w:r>
      <w:r w:rsidRPr="004D7C4E">
        <w:rPr>
          <w:i/>
        </w:rPr>
        <w:t xml:space="preserve">Planning (Land Rent Payout) Policy Direction </w:t>
      </w:r>
      <w:r w:rsidR="004A5EAD" w:rsidRPr="004D7C4E">
        <w:rPr>
          <w:i/>
        </w:rPr>
        <w:t>2023</w:t>
      </w:r>
      <w:r w:rsidR="00EF0C92">
        <w:rPr>
          <w:i/>
        </w:rPr>
        <w:t xml:space="preserve"> (No 1)</w:t>
      </w:r>
      <w:r w:rsidRPr="004D7C4E">
        <w:t>.</w:t>
      </w:r>
    </w:p>
    <w:p w14:paraId="21AC26FA" w14:textId="77777777" w:rsidR="00F10CB2" w:rsidRPr="004D7C4E" w:rsidRDefault="00F10CB2" w:rsidP="00D47F13">
      <w:pPr>
        <w:spacing w:before="300"/>
        <w:ind w:left="720" w:hanging="720"/>
        <w:rPr>
          <w:rFonts w:ascii="Arial" w:hAnsi="Arial" w:cs="Arial"/>
          <w:b/>
          <w:bCs/>
        </w:rPr>
      </w:pPr>
      <w:r w:rsidRPr="004D7C4E">
        <w:rPr>
          <w:rFonts w:ascii="Arial" w:hAnsi="Arial" w:cs="Arial"/>
          <w:b/>
          <w:bCs/>
        </w:rPr>
        <w:t>2</w:t>
      </w:r>
      <w:r w:rsidRPr="004D7C4E">
        <w:rPr>
          <w:rFonts w:ascii="Arial" w:hAnsi="Arial" w:cs="Arial"/>
          <w:b/>
          <w:bCs/>
        </w:rPr>
        <w:tab/>
        <w:t xml:space="preserve">Commencement </w:t>
      </w:r>
    </w:p>
    <w:p w14:paraId="64600242" w14:textId="77777777" w:rsidR="00F10CB2" w:rsidRPr="004D7C4E" w:rsidRDefault="00400AD9" w:rsidP="00400AD9">
      <w:pPr>
        <w:spacing w:before="140"/>
        <w:ind w:left="720"/>
      </w:pPr>
      <w:r w:rsidRPr="004D7C4E">
        <w:t xml:space="preserve">This instrument commences on the commencement of </w:t>
      </w:r>
      <w:r w:rsidR="004D7C4E">
        <w:t xml:space="preserve">section 322 of the </w:t>
      </w:r>
      <w:r w:rsidR="004D7C4E" w:rsidRPr="004D7C4E">
        <w:rPr>
          <w:i/>
          <w:iCs/>
        </w:rPr>
        <w:t>Planning Act 2023</w:t>
      </w:r>
      <w:r w:rsidR="00F10CB2" w:rsidRPr="004D7C4E">
        <w:t xml:space="preserve">. </w:t>
      </w:r>
    </w:p>
    <w:p w14:paraId="52439C15" w14:textId="77777777" w:rsidR="003639CD" w:rsidRPr="004D7C4E" w:rsidRDefault="00F10CB2" w:rsidP="003639CD">
      <w:pPr>
        <w:spacing w:before="300"/>
        <w:ind w:left="720" w:hanging="720"/>
        <w:rPr>
          <w:rFonts w:ascii="Arial" w:hAnsi="Arial" w:cs="Arial"/>
          <w:b/>
          <w:bCs/>
        </w:rPr>
      </w:pPr>
      <w:r w:rsidRPr="004D7C4E">
        <w:rPr>
          <w:rFonts w:ascii="Arial" w:hAnsi="Arial" w:cs="Arial"/>
          <w:b/>
          <w:bCs/>
        </w:rPr>
        <w:t>3</w:t>
      </w:r>
      <w:r w:rsidRPr="004D7C4E">
        <w:rPr>
          <w:rFonts w:ascii="Arial" w:hAnsi="Arial" w:cs="Arial"/>
          <w:b/>
          <w:bCs/>
        </w:rPr>
        <w:tab/>
      </w:r>
      <w:r w:rsidR="003639CD" w:rsidRPr="004D7C4E">
        <w:rPr>
          <w:rFonts w:ascii="Arial" w:hAnsi="Arial" w:cs="Arial"/>
          <w:b/>
          <w:bCs/>
        </w:rPr>
        <w:t>Repeal of DI2</w:t>
      </w:r>
      <w:r w:rsidR="004A5EAD" w:rsidRPr="004D7C4E">
        <w:rPr>
          <w:rFonts w:ascii="Arial" w:hAnsi="Arial" w:cs="Arial"/>
          <w:b/>
          <w:bCs/>
        </w:rPr>
        <w:t>015 308</w:t>
      </w:r>
    </w:p>
    <w:p w14:paraId="06C7A002" w14:textId="77777777" w:rsidR="003639CD" w:rsidRPr="004D7C4E" w:rsidRDefault="003639CD" w:rsidP="003639CD">
      <w:pPr>
        <w:spacing w:before="140"/>
        <w:ind w:left="720"/>
      </w:pPr>
      <w:r w:rsidRPr="004D7C4E">
        <w:t>DI</w:t>
      </w:r>
      <w:r w:rsidR="004A5EAD" w:rsidRPr="004D7C4E">
        <w:t>2015 308</w:t>
      </w:r>
      <w:r w:rsidR="0080412C" w:rsidRPr="004D7C4E">
        <w:t xml:space="preserve"> </w:t>
      </w:r>
      <w:r w:rsidRPr="004D7C4E">
        <w:t>is repealed.</w:t>
      </w:r>
    </w:p>
    <w:p w14:paraId="3352200E" w14:textId="77777777" w:rsidR="00FC29D1" w:rsidRPr="004D7C4E" w:rsidRDefault="003639CD" w:rsidP="00FC29D1">
      <w:pPr>
        <w:spacing w:before="300"/>
        <w:ind w:left="720" w:hanging="720"/>
      </w:pPr>
      <w:r w:rsidRPr="004D7C4E">
        <w:rPr>
          <w:rFonts w:ascii="Arial" w:hAnsi="Arial" w:cs="Arial"/>
          <w:b/>
          <w:bCs/>
        </w:rPr>
        <w:t>4</w:t>
      </w:r>
      <w:r w:rsidRPr="004D7C4E">
        <w:rPr>
          <w:rFonts w:ascii="Arial" w:hAnsi="Arial" w:cs="Arial"/>
          <w:b/>
          <w:bCs/>
        </w:rPr>
        <w:tab/>
        <w:t>Policy direction—loose-fill asbestos eradication scheme</w:t>
      </w:r>
    </w:p>
    <w:p w14:paraId="70A47CD2" w14:textId="77777777" w:rsidR="00FC29D1" w:rsidRPr="004D7C4E" w:rsidRDefault="003639CD" w:rsidP="00FC29D1">
      <w:pPr>
        <w:pStyle w:val="ListParagraph"/>
        <w:numPr>
          <w:ilvl w:val="0"/>
          <w:numId w:val="14"/>
        </w:numPr>
        <w:spacing w:before="140"/>
      </w:pPr>
      <w:r w:rsidRPr="004D7C4E">
        <w:t xml:space="preserve">This policy direction applies to a land rent lease of a parcel of land granted under the Act, section </w:t>
      </w:r>
      <w:r w:rsidR="00C47434" w:rsidRPr="004D7C4E">
        <w:t>263</w:t>
      </w:r>
      <w:r w:rsidRPr="004D7C4E">
        <w:t>(1) (d) to a former owner of the parcel of land.</w:t>
      </w:r>
    </w:p>
    <w:p w14:paraId="715565EB" w14:textId="77777777" w:rsidR="00FC29D1" w:rsidRPr="004D7C4E" w:rsidRDefault="00FC29D1" w:rsidP="00FC29D1">
      <w:pPr>
        <w:pStyle w:val="ListParagraph"/>
        <w:spacing w:before="140"/>
        <w:ind w:left="1080"/>
      </w:pPr>
    </w:p>
    <w:p w14:paraId="7433DC48" w14:textId="77777777" w:rsidR="003639CD" w:rsidRPr="004D7C4E" w:rsidRDefault="003639CD" w:rsidP="00FC29D1">
      <w:pPr>
        <w:pStyle w:val="ListParagraph"/>
        <w:numPr>
          <w:ilvl w:val="0"/>
          <w:numId w:val="14"/>
        </w:numPr>
        <w:spacing w:before="140"/>
      </w:pPr>
      <w:r w:rsidRPr="004D7C4E">
        <w:t xml:space="preserve">If the former owner of the parcel of land applies under the Act, section </w:t>
      </w:r>
      <w:r w:rsidR="00163467" w:rsidRPr="004D7C4E">
        <w:t>320 </w:t>
      </w:r>
      <w:r w:rsidRPr="004D7C4E">
        <w:t xml:space="preserve">(2) for a variation of the lease of the parcel of land to reduce the rent payable to a nominal rent, the amount to be paid by the former owner to the Territory under the Act, section </w:t>
      </w:r>
      <w:r w:rsidR="00163467" w:rsidRPr="004D7C4E">
        <w:t>321 </w:t>
      </w:r>
      <w:r w:rsidRPr="004D7C4E">
        <w:t>(2) (d) is an amount equal to the current market value.</w:t>
      </w:r>
    </w:p>
    <w:p w14:paraId="0496B65D" w14:textId="77777777" w:rsidR="003639CD" w:rsidRPr="004D7C4E" w:rsidRDefault="00FC29D1" w:rsidP="003639CD">
      <w:pPr>
        <w:spacing w:before="300"/>
        <w:ind w:left="720" w:hanging="720"/>
        <w:rPr>
          <w:rFonts w:ascii="Arial" w:hAnsi="Arial" w:cs="Arial"/>
          <w:b/>
          <w:bCs/>
        </w:rPr>
      </w:pPr>
      <w:r w:rsidRPr="004D7C4E">
        <w:rPr>
          <w:rFonts w:ascii="Arial" w:hAnsi="Arial" w:cs="Arial"/>
          <w:b/>
          <w:bCs/>
        </w:rPr>
        <w:t>5</w:t>
      </w:r>
      <w:r w:rsidRPr="004D7C4E">
        <w:rPr>
          <w:rFonts w:ascii="Arial" w:hAnsi="Arial" w:cs="Arial"/>
          <w:b/>
          <w:bCs/>
        </w:rPr>
        <w:tab/>
      </w:r>
      <w:r w:rsidR="003639CD" w:rsidRPr="004D7C4E">
        <w:rPr>
          <w:rFonts w:ascii="Arial" w:hAnsi="Arial" w:cs="Arial"/>
          <w:b/>
          <w:bCs/>
        </w:rPr>
        <w:t>Policy direction—prescribed leases</w:t>
      </w:r>
    </w:p>
    <w:p w14:paraId="24DEB92C" w14:textId="77777777" w:rsidR="003639CD" w:rsidRPr="004D7C4E" w:rsidRDefault="003639CD" w:rsidP="00FC29D1">
      <w:pPr>
        <w:pStyle w:val="ListParagraph"/>
        <w:numPr>
          <w:ilvl w:val="0"/>
          <w:numId w:val="15"/>
        </w:numPr>
        <w:spacing w:before="140"/>
      </w:pPr>
      <w:r w:rsidRPr="004D7C4E">
        <w:t xml:space="preserve">This policy direction applies to a lease included in a class of leases prescribed in the </w:t>
      </w:r>
      <w:r w:rsidRPr="004D7C4E">
        <w:rPr>
          <w:i/>
        </w:rPr>
        <w:t xml:space="preserve">Planning </w:t>
      </w:r>
      <w:r w:rsidR="00FD27E8" w:rsidRPr="004D7C4E">
        <w:rPr>
          <w:i/>
        </w:rPr>
        <w:t>(General Regulation)</w:t>
      </w:r>
      <w:r w:rsidRPr="004D7C4E">
        <w:rPr>
          <w:i/>
        </w:rPr>
        <w:t xml:space="preserve"> 20</w:t>
      </w:r>
      <w:r w:rsidR="00FD27E8" w:rsidRPr="004D7C4E">
        <w:rPr>
          <w:i/>
        </w:rPr>
        <w:t>23</w:t>
      </w:r>
      <w:r w:rsidRPr="004D7C4E">
        <w:t xml:space="preserve">, section </w:t>
      </w:r>
      <w:r w:rsidR="00FD27E8" w:rsidRPr="004D7C4E">
        <w:t>70</w:t>
      </w:r>
      <w:r w:rsidRPr="004D7C4E">
        <w:t>.</w:t>
      </w:r>
    </w:p>
    <w:p w14:paraId="0F7286FB" w14:textId="77777777" w:rsidR="003639CD" w:rsidRPr="004D7C4E" w:rsidRDefault="003639CD" w:rsidP="00FC29D1">
      <w:pPr>
        <w:pStyle w:val="ListParagraph"/>
        <w:numPr>
          <w:ilvl w:val="0"/>
          <w:numId w:val="15"/>
        </w:numPr>
        <w:spacing w:before="140"/>
      </w:pPr>
      <w:r w:rsidRPr="004D7C4E">
        <w:t xml:space="preserve">If a lessee of the lease applies under the Act, section </w:t>
      </w:r>
      <w:r w:rsidR="00163467" w:rsidRPr="004D7C4E">
        <w:t xml:space="preserve">320 </w:t>
      </w:r>
      <w:r w:rsidRPr="004D7C4E">
        <w:t xml:space="preserve">(2) for a variation of the lease to reduce the rent payable to a nominal rent, the amount to be paid by the lessee to the Territory under the Act, section </w:t>
      </w:r>
      <w:r w:rsidR="00163467" w:rsidRPr="004D7C4E">
        <w:t xml:space="preserve">321 </w:t>
      </w:r>
      <w:r w:rsidRPr="004D7C4E">
        <w:t>(2) (d)  is an amount equal to the current market value of the lease.</w:t>
      </w:r>
    </w:p>
    <w:p w14:paraId="37B1154A" w14:textId="77777777" w:rsidR="003639CD" w:rsidRPr="004D7C4E" w:rsidRDefault="003639CD" w:rsidP="003639CD">
      <w:pPr>
        <w:spacing w:before="300"/>
        <w:ind w:left="720" w:hanging="720"/>
        <w:rPr>
          <w:rFonts w:ascii="Arial" w:hAnsi="Arial" w:cs="Arial"/>
          <w:b/>
          <w:bCs/>
        </w:rPr>
      </w:pPr>
    </w:p>
    <w:p w14:paraId="1F8A8403" w14:textId="77777777" w:rsidR="003639CD" w:rsidRPr="004D7C4E" w:rsidRDefault="00FC29D1" w:rsidP="003639CD">
      <w:pPr>
        <w:spacing w:before="300"/>
        <w:ind w:left="720" w:hanging="720"/>
        <w:rPr>
          <w:rFonts w:ascii="Arial" w:hAnsi="Arial" w:cs="Arial"/>
          <w:b/>
          <w:bCs/>
        </w:rPr>
      </w:pPr>
      <w:r w:rsidRPr="004D7C4E">
        <w:rPr>
          <w:rFonts w:ascii="Arial" w:hAnsi="Arial" w:cs="Arial"/>
          <w:b/>
          <w:bCs/>
        </w:rPr>
        <w:lastRenderedPageBreak/>
        <w:t>6</w:t>
      </w:r>
      <w:r w:rsidRPr="004D7C4E">
        <w:rPr>
          <w:rFonts w:ascii="Arial" w:hAnsi="Arial" w:cs="Arial"/>
          <w:b/>
          <w:bCs/>
        </w:rPr>
        <w:tab/>
      </w:r>
      <w:r w:rsidR="003639CD" w:rsidRPr="004D7C4E">
        <w:rPr>
          <w:rFonts w:ascii="Arial" w:hAnsi="Arial" w:cs="Arial"/>
          <w:b/>
          <w:bCs/>
        </w:rPr>
        <w:t>Policy direction—other land rent leases</w:t>
      </w:r>
    </w:p>
    <w:p w14:paraId="1FF72F8C" w14:textId="77777777" w:rsidR="003639CD" w:rsidRPr="004D7C4E" w:rsidRDefault="003639CD" w:rsidP="00FC29D1">
      <w:pPr>
        <w:pStyle w:val="ListParagraph"/>
        <w:numPr>
          <w:ilvl w:val="0"/>
          <w:numId w:val="16"/>
        </w:numPr>
        <w:spacing w:before="140"/>
      </w:pPr>
      <w:r w:rsidRPr="004D7C4E">
        <w:t>This policy direction applies to a land rent lease, other than a land rent lease to which clause 4 or clause 5 applies.</w:t>
      </w:r>
    </w:p>
    <w:p w14:paraId="68E7DA22" w14:textId="77777777" w:rsidR="00364AB2" w:rsidRPr="004D7C4E" w:rsidRDefault="003639CD" w:rsidP="00364AB2">
      <w:pPr>
        <w:pStyle w:val="ListParagraph"/>
        <w:numPr>
          <w:ilvl w:val="0"/>
          <w:numId w:val="16"/>
        </w:numPr>
        <w:spacing w:before="140"/>
      </w:pPr>
      <w:r w:rsidRPr="004D7C4E">
        <w:t xml:space="preserve">If a lessee of the land rent lease applies under the Act, section </w:t>
      </w:r>
      <w:r w:rsidR="00163467" w:rsidRPr="004D7C4E">
        <w:t xml:space="preserve">320 </w:t>
      </w:r>
      <w:r w:rsidRPr="004D7C4E">
        <w:t xml:space="preserve">(2) for a variation of the lease to reduce the rent payable to a nominal rent, the amount to be paid by the lessee to the Territory under the Act, section </w:t>
      </w:r>
      <w:r w:rsidR="00163467" w:rsidRPr="004D7C4E">
        <w:t xml:space="preserve">321 </w:t>
      </w:r>
      <w:r w:rsidRPr="004D7C4E">
        <w:t>(2) (d) is an amount equal to—</w:t>
      </w:r>
    </w:p>
    <w:p w14:paraId="21A8471C" w14:textId="77777777" w:rsidR="00364AB2" w:rsidRPr="004D7C4E" w:rsidRDefault="00364AB2" w:rsidP="00364AB2">
      <w:pPr>
        <w:ind w:left="360" w:firstLine="720"/>
      </w:pPr>
      <w:r w:rsidRPr="004D7C4E">
        <w:t>(a)</w:t>
      </w:r>
      <w:r w:rsidRPr="004D7C4E">
        <w:tab/>
        <w:t xml:space="preserve">if the unimproved value has not been determined for the lease for the </w:t>
      </w:r>
      <w:r w:rsidRPr="004D7C4E">
        <w:tab/>
      </w:r>
      <w:r w:rsidRPr="004D7C4E">
        <w:tab/>
        <w:t>year in which the lessee applies for the variation of the lease—</w:t>
      </w:r>
      <w:r w:rsidRPr="004D7C4E">
        <w:tab/>
      </w:r>
      <w:r w:rsidRPr="004D7C4E">
        <w:tab/>
      </w:r>
      <w:r w:rsidRPr="004D7C4E">
        <w:tab/>
        <w:t>the current market value of the lease; or</w:t>
      </w:r>
    </w:p>
    <w:p w14:paraId="4FBCC135" w14:textId="77777777" w:rsidR="00364AB2" w:rsidRPr="004D7C4E" w:rsidRDefault="00364AB2" w:rsidP="00364AB2">
      <w:pPr>
        <w:ind w:left="360" w:firstLine="720"/>
      </w:pPr>
      <w:r w:rsidRPr="004D7C4E">
        <w:t>(b)</w:t>
      </w:r>
      <w:r w:rsidRPr="004D7C4E">
        <w:tab/>
        <w:t>in any other case—whichever of the following the lessee specifies:</w:t>
      </w:r>
    </w:p>
    <w:p w14:paraId="174CE566" w14:textId="77777777" w:rsidR="00364AB2" w:rsidRPr="004D7C4E" w:rsidRDefault="00364AB2" w:rsidP="00364AB2">
      <w:r w:rsidRPr="004D7C4E">
        <w:tab/>
      </w:r>
      <w:r w:rsidRPr="004D7C4E">
        <w:tab/>
        <w:t>(i)</w:t>
      </w:r>
      <w:r w:rsidRPr="004D7C4E">
        <w:tab/>
        <w:t>the unimproved value of the lease;</w:t>
      </w:r>
    </w:p>
    <w:p w14:paraId="7C09370B" w14:textId="77777777" w:rsidR="00364AB2" w:rsidRPr="004D7C4E" w:rsidRDefault="00364AB2" w:rsidP="00364AB2">
      <w:r w:rsidRPr="004D7C4E">
        <w:tab/>
      </w:r>
      <w:r w:rsidRPr="004D7C4E">
        <w:tab/>
        <w:t>(ii)</w:t>
      </w:r>
      <w:r w:rsidRPr="004D7C4E">
        <w:tab/>
        <w:t>the current market value of the lease.</w:t>
      </w:r>
    </w:p>
    <w:p w14:paraId="08919BA8" w14:textId="77777777" w:rsidR="003639CD" w:rsidRPr="004D7C4E" w:rsidRDefault="008143E0" w:rsidP="003639CD">
      <w:pPr>
        <w:spacing w:before="300"/>
        <w:ind w:left="720" w:hanging="720"/>
        <w:rPr>
          <w:rFonts w:ascii="Arial" w:hAnsi="Arial" w:cs="Arial"/>
          <w:b/>
          <w:bCs/>
        </w:rPr>
      </w:pPr>
      <w:r w:rsidRPr="004D7C4E">
        <w:rPr>
          <w:rFonts w:ascii="Arial" w:hAnsi="Arial" w:cs="Arial"/>
          <w:b/>
          <w:bCs/>
        </w:rPr>
        <w:t>7</w:t>
      </w:r>
      <w:r w:rsidRPr="004D7C4E">
        <w:rPr>
          <w:rFonts w:ascii="Arial" w:hAnsi="Arial" w:cs="Arial"/>
          <w:b/>
          <w:bCs/>
        </w:rPr>
        <w:tab/>
      </w:r>
      <w:r w:rsidR="003639CD" w:rsidRPr="004D7C4E">
        <w:rPr>
          <w:rFonts w:ascii="Arial" w:hAnsi="Arial" w:cs="Arial"/>
          <w:b/>
          <w:bCs/>
        </w:rPr>
        <w:t xml:space="preserve">Definitions </w:t>
      </w:r>
    </w:p>
    <w:p w14:paraId="550D3CD8" w14:textId="77777777" w:rsidR="009C6137" w:rsidRPr="004D7C4E" w:rsidRDefault="009C6137" w:rsidP="009C6137"/>
    <w:p w14:paraId="77E408E0" w14:textId="77777777" w:rsidR="009C6137" w:rsidRPr="004D7C4E" w:rsidRDefault="009C6137" w:rsidP="009C6137">
      <w:pPr>
        <w:spacing w:before="140"/>
        <w:ind w:left="720"/>
      </w:pPr>
      <w:r w:rsidRPr="004D7C4E">
        <w:t>In this instrument:</w:t>
      </w:r>
    </w:p>
    <w:p w14:paraId="0235747C" w14:textId="77777777" w:rsidR="009C6137" w:rsidRPr="004D7C4E" w:rsidRDefault="009C6137" w:rsidP="009C6137"/>
    <w:p w14:paraId="57C27D4E" w14:textId="77777777" w:rsidR="009C6137" w:rsidRPr="004D7C4E" w:rsidRDefault="009C6137" w:rsidP="009C6137">
      <w:pPr>
        <w:ind w:left="709"/>
      </w:pPr>
      <w:r w:rsidRPr="004D7C4E">
        <w:rPr>
          <w:b/>
          <w:i/>
        </w:rPr>
        <w:t>Act</w:t>
      </w:r>
      <w:r w:rsidRPr="004D7C4E">
        <w:t xml:space="preserve"> means the </w:t>
      </w:r>
      <w:r w:rsidRPr="004D7C4E">
        <w:rPr>
          <w:i/>
        </w:rPr>
        <w:t>Planning Act 20</w:t>
      </w:r>
      <w:r w:rsidR="00163467" w:rsidRPr="004D7C4E">
        <w:rPr>
          <w:i/>
        </w:rPr>
        <w:t>23</w:t>
      </w:r>
      <w:r w:rsidRPr="004D7C4E">
        <w:t>.</w:t>
      </w:r>
    </w:p>
    <w:p w14:paraId="5B4E0562" w14:textId="77777777" w:rsidR="009C6137" w:rsidRPr="004D7C4E" w:rsidRDefault="009C6137" w:rsidP="009C6137"/>
    <w:p w14:paraId="5B316E98" w14:textId="77777777" w:rsidR="009C6137" w:rsidRPr="004D7C4E" w:rsidRDefault="009C6137" w:rsidP="009C6137">
      <w:pPr>
        <w:ind w:left="709"/>
      </w:pPr>
      <w:r w:rsidRPr="004D7C4E">
        <w:rPr>
          <w:b/>
          <w:i/>
        </w:rPr>
        <w:t>current market value</w:t>
      </w:r>
      <w:r w:rsidRPr="004D7C4E">
        <w:t>, of a lease, means the market value of the lease determined by the planning and land authority at the time the lessee applies to reduce the rent to nominal rent.</w:t>
      </w:r>
    </w:p>
    <w:p w14:paraId="126CAFF0" w14:textId="77777777" w:rsidR="009C6137" w:rsidRPr="004D7C4E" w:rsidRDefault="009C6137" w:rsidP="009C6137"/>
    <w:p w14:paraId="6EA6412F" w14:textId="77777777" w:rsidR="009C6137" w:rsidRPr="004D7C4E" w:rsidRDefault="009C6137" w:rsidP="009C6137">
      <w:pPr>
        <w:ind w:left="709"/>
        <w:rPr>
          <w:lang w:val="en-US"/>
        </w:rPr>
      </w:pPr>
      <w:r w:rsidRPr="004D7C4E">
        <w:rPr>
          <w:b/>
          <w:i/>
        </w:rPr>
        <w:t>market value</w:t>
      </w:r>
      <w:r w:rsidRPr="004D7C4E">
        <w:t>, of a lease,</w:t>
      </w:r>
      <w:r w:rsidRPr="004D7C4E">
        <w:rPr>
          <w:b/>
          <w:i/>
        </w:rPr>
        <w:t xml:space="preserve"> </w:t>
      </w:r>
      <w:r w:rsidRPr="004D7C4E">
        <w:rPr>
          <w:lang w:val="en-US"/>
        </w:rPr>
        <w:t>means, subject to any contrary meaning expressed in the lease, the amount that could be expected to be paid for the lease on the open market if it were sold by a willing but not anxious seller to a willing but not anxious buyer, it being assumed:</w:t>
      </w:r>
    </w:p>
    <w:p w14:paraId="7B1F8E59" w14:textId="77777777" w:rsidR="009C6137" w:rsidRPr="004D7C4E" w:rsidRDefault="009C6137" w:rsidP="009C6137">
      <w:pPr>
        <w:ind w:left="709"/>
        <w:rPr>
          <w:lang w:val="en-US"/>
        </w:rPr>
      </w:pPr>
      <w:r w:rsidRPr="004D7C4E">
        <w:rPr>
          <w:lang w:val="en-US"/>
        </w:rPr>
        <w:t>(a)</w:t>
      </w:r>
      <w:r w:rsidRPr="004D7C4E">
        <w:t xml:space="preserve"> </w:t>
      </w:r>
      <w:r w:rsidRPr="004D7C4E">
        <w:rPr>
          <w:lang w:val="en-US"/>
        </w:rPr>
        <w:t>that the only improvements on or to the leased land are the improvements (if any) by way of clearing, filling, draining, levelling or excavating made by the Commonwealth or the Territory or the cost of which has been paid by the Commonwealth or the Territory; and</w:t>
      </w:r>
    </w:p>
    <w:p w14:paraId="04A4EA4A" w14:textId="77777777" w:rsidR="009C6137" w:rsidRPr="004D7C4E" w:rsidRDefault="009C6137" w:rsidP="009C6137">
      <w:pPr>
        <w:ind w:left="709"/>
        <w:rPr>
          <w:lang w:val="en-US"/>
        </w:rPr>
      </w:pPr>
      <w:r w:rsidRPr="004D7C4E">
        <w:rPr>
          <w:lang w:val="en-US"/>
        </w:rPr>
        <w:t>(b) that the lease has its full term unexpired; and</w:t>
      </w:r>
    </w:p>
    <w:p w14:paraId="45BCD965" w14:textId="77777777" w:rsidR="009C6137" w:rsidRPr="004D7C4E" w:rsidRDefault="009C6137" w:rsidP="009C6137">
      <w:pPr>
        <w:ind w:left="709"/>
      </w:pPr>
      <w:r w:rsidRPr="004D7C4E">
        <w:rPr>
          <w:lang w:val="en-US"/>
        </w:rPr>
        <w:t xml:space="preserve">(c) </w:t>
      </w:r>
      <w:r w:rsidRPr="004D7C4E">
        <w:t>that rent payable throughout the term of the lease is a nominal rent; and</w:t>
      </w:r>
    </w:p>
    <w:p w14:paraId="78ECE096" w14:textId="77777777" w:rsidR="009C6137" w:rsidRPr="004D7C4E" w:rsidRDefault="009C6137" w:rsidP="009C6137">
      <w:pPr>
        <w:ind w:left="709"/>
      </w:pPr>
      <w:r w:rsidRPr="004D7C4E">
        <w:t>(d) that there is no enhancement or detriment to the value of the lease attributable to any contemplated variation of the lease.</w:t>
      </w:r>
    </w:p>
    <w:p w14:paraId="3270E616" w14:textId="77777777" w:rsidR="009C6137" w:rsidRPr="004D7C4E" w:rsidRDefault="009C6137" w:rsidP="009C6137"/>
    <w:p w14:paraId="30379CC1" w14:textId="77777777" w:rsidR="009C6137" w:rsidRPr="004D7C4E" w:rsidRDefault="009C6137" w:rsidP="009C6137">
      <w:pPr>
        <w:ind w:left="709"/>
        <w:rPr>
          <w:lang w:eastAsia="en-AU"/>
        </w:rPr>
      </w:pPr>
      <w:r w:rsidRPr="004D7C4E">
        <w:rPr>
          <w:b/>
          <w:i/>
        </w:rPr>
        <w:t>unimproved value</w:t>
      </w:r>
      <w:r w:rsidRPr="004D7C4E">
        <w:t xml:space="preserve">, of a lease, </w:t>
      </w:r>
      <w:r w:rsidRPr="004D7C4E">
        <w:rPr>
          <w:lang w:eastAsia="en-AU"/>
        </w:rPr>
        <w:t xml:space="preserve">means the unimproved value of the parcel of land comprised in the lease determined under the </w:t>
      </w:r>
      <w:r w:rsidRPr="004D7C4E">
        <w:rPr>
          <w:i/>
          <w:lang w:eastAsia="en-AU"/>
        </w:rPr>
        <w:t>Rates Act 2004</w:t>
      </w:r>
      <w:r w:rsidRPr="004D7C4E">
        <w:rPr>
          <w:lang w:eastAsia="en-AU"/>
        </w:rPr>
        <w:t xml:space="preserve"> for the year in which the lessee applies under the Act, section </w:t>
      </w:r>
      <w:r w:rsidR="00163467" w:rsidRPr="004D7C4E">
        <w:rPr>
          <w:lang w:eastAsia="en-AU"/>
        </w:rPr>
        <w:t xml:space="preserve">320 </w:t>
      </w:r>
      <w:r w:rsidRPr="004D7C4E">
        <w:rPr>
          <w:lang w:eastAsia="en-AU"/>
        </w:rPr>
        <w:t xml:space="preserve">for a variation of the lease to reduce the rent payable to a nominal rent. </w:t>
      </w:r>
    </w:p>
    <w:p w14:paraId="60856BE2" w14:textId="77777777" w:rsidR="00F50C64" w:rsidRPr="004D7C4E" w:rsidRDefault="00F50C64" w:rsidP="009C6137">
      <w:pPr>
        <w:ind w:left="709"/>
        <w:rPr>
          <w:lang w:eastAsia="en-AU"/>
        </w:rPr>
      </w:pPr>
    </w:p>
    <w:p w14:paraId="798899C9" w14:textId="77777777" w:rsidR="00F50C64" w:rsidRPr="004D7C4E" w:rsidRDefault="00F50C64" w:rsidP="009C6137">
      <w:pPr>
        <w:ind w:left="709"/>
        <w:rPr>
          <w:lang w:eastAsia="en-AU"/>
        </w:rPr>
      </w:pPr>
    </w:p>
    <w:p w14:paraId="0880A850" w14:textId="77777777" w:rsidR="00D47F13" w:rsidRPr="004D7C4E" w:rsidRDefault="00B91E01" w:rsidP="00232478">
      <w:pPr>
        <w:tabs>
          <w:tab w:val="left" w:pos="4320"/>
        </w:tabs>
        <w:spacing w:before="720"/>
      </w:pPr>
      <w:r w:rsidRPr="004D7C4E">
        <w:t>Mick Gentleman</w:t>
      </w:r>
      <w:r w:rsidR="0080412C" w:rsidRPr="004D7C4E">
        <w:t xml:space="preserve"> MLA</w:t>
      </w:r>
    </w:p>
    <w:p w14:paraId="4AC5B4F1" w14:textId="77777777" w:rsidR="0080412C" w:rsidRPr="004D7C4E" w:rsidRDefault="0080412C" w:rsidP="00232478">
      <w:pPr>
        <w:tabs>
          <w:tab w:val="left" w:pos="4320"/>
        </w:tabs>
      </w:pPr>
      <w:r w:rsidRPr="004D7C4E">
        <w:t xml:space="preserve">Minister for Planning and Land Management </w:t>
      </w:r>
    </w:p>
    <w:p w14:paraId="1DBB5E04" w14:textId="77777777" w:rsidR="00B91E01" w:rsidRDefault="00F55312" w:rsidP="00232478">
      <w:pPr>
        <w:tabs>
          <w:tab w:val="left" w:pos="4320"/>
        </w:tabs>
      </w:pPr>
      <w:r>
        <w:t>22</w:t>
      </w:r>
      <w:r w:rsidR="00CA18B6">
        <w:t xml:space="preserve"> </w:t>
      </w:r>
      <w:r w:rsidR="00B91E01" w:rsidRPr="004D7C4E">
        <w:t>November 20</w:t>
      </w:r>
      <w:bookmarkEnd w:id="0"/>
      <w:r w:rsidR="0080412C" w:rsidRPr="004D7C4E">
        <w:t>23</w:t>
      </w:r>
    </w:p>
    <w:sectPr w:rsidR="00B91E01"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264E" w14:textId="77777777" w:rsidR="001F50F3" w:rsidRDefault="001F50F3" w:rsidP="00F10CB2">
      <w:r>
        <w:separator/>
      </w:r>
    </w:p>
  </w:endnote>
  <w:endnote w:type="continuationSeparator" w:id="0">
    <w:p w14:paraId="14A72CEC" w14:textId="77777777" w:rsidR="001F50F3" w:rsidRDefault="001F50F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59A8" w14:textId="77777777" w:rsidR="002D1035" w:rsidRDefault="002D1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7119" w14:textId="77777777" w:rsidR="00704DC3" w:rsidRPr="002D1035" w:rsidRDefault="002D1035" w:rsidP="002D1035">
    <w:pPr>
      <w:pStyle w:val="Footer"/>
      <w:jc w:val="center"/>
      <w:rPr>
        <w:rFonts w:cs="Arial"/>
        <w:sz w:val="14"/>
      </w:rPr>
    </w:pPr>
    <w:r w:rsidRPr="002D103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2B12" w14:textId="77777777" w:rsidR="002D1035" w:rsidRDefault="002D1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27879" w14:textId="77777777" w:rsidR="001F50F3" w:rsidRDefault="001F50F3" w:rsidP="00F10CB2">
      <w:r>
        <w:separator/>
      </w:r>
    </w:p>
  </w:footnote>
  <w:footnote w:type="continuationSeparator" w:id="0">
    <w:p w14:paraId="41171BA6" w14:textId="77777777" w:rsidR="001F50F3" w:rsidRDefault="001F50F3"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4925" w14:textId="77777777" w:rsidR="002D1035" w:rsidRDefault="002D1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F2C8" w14:textId="77777777" w:rsidR="002D1035" w:rsidRDefault="002D1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D0" w14:textId="77777777" w:rsidR="002D1035" w:rsidRDefault="002D1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0F289A"/>
    <w:multiLevelType w:val="hybridMultilevel"/>
    <w:tmpl w:val="FFFFFFFF"/>
    <w:lvl w:ilvl="0" w:tplc="195676FE">
      <w:start w:val="1"/>
      <w:numFmt w:val="decimal"/>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8402E76"/>
    <w:multiLevelType w:val="hybridMultilevel"/>
    <w:tmpl w:val="FFFFFFFF"/>
    <w:lvl w:ilvl="0" w:tplc="477E314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38505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7" w15:restartNumberingAfterBreak="0">
    <w:nsid w:val="342A7E72"/>
    <w:multiLevelType w:val="hybridMultilevel"/>
    <w:tmpl w:val="FFFFFFFF"/>
    <w:lvl w:ilvl="0" w:tplc="477E314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0"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4A277D47"/>
    <w:multiLevelType w:val="hybridMultilevel"/>
    <w:tmpl w:val="FFFFFFFF"/>
    <w:lvl w:ilvl="0" w:tplc="AA0AF4B2">
      <w:start w:val="1"/>
      <w:numFmt w:val="lowerLetter"/>
      <w:lvlText w:val="(%1)"/>
      <w:lvlJc w:val="left"/>
      <w:pPr>
        <w:ind w:left="720" w:hanging="360"/>
      </w:pPr>
      <w:rPr>
        <w:rFonts w:cs="Times New Roman"/>
        <w:color w:val="1F497D"/>
      </w:rPr>
    </w:lvl>
    <w:lvl w:ilvl="1" w:tplc="0C090019">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2"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15:restartNumberingAfterBreak="0">
    <w:nsid w:val="6F277A32"/>
    <w:multiLevelType w:val="hybridMultilevel"/>
    <w:tmpl w:val="FFFFFFFF"/>
    <w:lvl w:ilvl="0" w:tplc="195676FE">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747C0767"/>
    <w:multiLevelType w:val="hybridMultilevel"/>
    <w:tmpl w:val="FFFFFFFF"/>
    <w:lvl w:ilvl="0" w:tplc="195676FE">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716004452">
    <w:abstractNumId w:val="4"/>
  </w:num>
  <w:num w:numId="2" w16cid:durableId="1049182062">
    <w:abstractNumId w:val="0"/>
  </w:num>
  <w:num w:numId="3" w16cid:durableId="702363451">
    <w:abstractNumId w:val="5"/>
  </w:num>
  <w:num w:numId="4" w16cid:durableId="284771589">
    <w:abstractNumId w:val="10"/>
  </w:num>
  <w:num w:numId="5" w16cid:durableId="397438136">
    <w:abstractNumId w:val="12"/>
  </w:num>
  <w:num w:numId="6" w16cid:durableId="755127545">
    <w:abstractNumId w:val="2"/>
  </w:num>
  <w:num w:numId="7" w16cid:durableId="691341601">
    <w:abstractNumId w:val="8"/>
  </w:num>
  <w:num w:numId="8" w16cid:durableId="1691107673">
    <w:abstractNumId w:val="9"/>
  </w:num>
  <w:num w:numId="9" w16cid:durableId="801463324">
    <w:abstractNumId w:val="6"/>
  </w:num>
  <w:num w:numId="10" w16cid:durableId="1496795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8552863">
    <w:abstractNumId w:val="11"/>
  </w:num>
  <w:num w:numId="12" w16cid:durableId="970011983">
    <w:abstractNumId w:val="3"/>
  </w:num>
  <w:num w:numId="13" w16cid:durableId="1483504270">
    <w:abstractNumId w:val="7"/>
  </w:num>
  <w:num w:numId="14" w16cid:durableId="1981835587">
    <w:abstractNumId w:val="13"/>
  </w:num>
  <w:num w:numId="15" w16cid:durableId="85420522">
    <w:abstractNumId w:val="14"/>
  </w:num>
  <w:num w:numId="16" w16cid:durableId="2044280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0585C"/>
    <w:rsid w:val="00022B16"/>
    <w:rsid w:val="0006717C"/>
    <w:rsid w:val="000951B8"/>
    <w:rsid w:val="000A1A69"/>
    <w:rsid w:val="000B74E2"/>
    <w:rsid w:val="000C1DF1"/>
    <w:rsid w:val="000D4C5E"/>
    <w:rsid w:val="000F30F8"/>
    <w:rsid w:val="000F5DAA"/>
    <w:rsid w:val="000F63B0"/>
    <w:rsid w:val="000F70A1"/>
    <w:rsid w:val="0010568C"/>
    <w:rsid w:val="00136897"/>
    <w:rsid w:val="00160D87"/>
    <w:rsid w:val="00163467"/>
    <w:rsid w:val="00181364"/>
    <w:rsid w:val="00185BBB"/>
    <w:rsid w:val="00194AC7"/>
    <w:rsid w:val="001B2624"/>
    <w:rsid w:val="001B6165"/>
    <w:rsid w:val="001E7030"/>
    <w:rsid w:val="001F07DA"/>
    <w:rsid w:val="001F187F"/>
    <w:rsid w:val="001F50F3"/>
    <w:rsid w:val="00232478"/>
    <w:rsid w:val="00247BCE"/>
    <w:rsid w:val="002B0381"/>
    <w:rsid w:val="002D1035"/>
    <w:rsid w:val="002D2C98"/>
    <w:rsid w:val="003069BC"/>
    <w:rsid w:val="00316205"/>
    <w:rsid w:val="0034223B"/>
    <w:rsid w:val="003639CD"/>
    <w:rsid w:val="00364AB2"/>
    <w:rsid w:val="003C4812"/>
    <w:rsid w:val="003C485E"/>
    <w:rsid w:val="003D2A3F"/>
    <w:rsid w:val="003F2DCD"/>
    <w:rsid w:val="00400AD9"/>
    <w:rsid w:val="004A5EAD"/>
    <w:rsid w:val="004D7C4E"/>
    <w:rsid w:val="004E634E"/>
    <w:rsid w:val="0057761A"/>
    <w:rsid w:val="005F278E"/>
    <w:rsid w:val="006030C7"/>
    <w:rsid w:val="006106A4"/>
    <w:rsid w:val="00627F0C"/>
    <w:rsid w:val="00634882"/>
    <w:rsid w:val="00667281"/>
    <w:rsid w:val="0069455B"/>
    <w:rsid w:val="006D67E0"/>
    <w:rsid w:val="00704DC3"/>
    <w:rsid w:val="007122F7"/>
    <w:rsid w:val="0072003E"/>
    <w:rsid w:val="00727826"/>
    <w:rsid w:val="007425F7"/>
    <w:rsid w:val="00764D15"/>
    <w:rsid w:val="00770EB1"/>
    <w:rsid w:val="00790B15"/>
    <w:rsid w:val="007A2D04"/>
    <w:rsid w:val="007D68EB"/>
    <w:rsid w:val="0080412C"/>
    <w:rsid w:val="008143E0"/>
    <w:rsid w:val="008C74F8"/>
    <w:rsid w:val="008D7C7F"/>
    <w:rsid w:val="008E33DF"/>
    <w:rsid w:val="00923202"/>
    <w:rsid w:val="0094183F"/>
    <w:rsid w:val="00982BF0"/>
    <w:rsid w:val="009C6137"/>
    <w:rsid w:val="00A0585C"/>
    <w:rsid w:val="00A91496"/>
    <w:rsid w:val="00AB2C4F"/>
    <w:rsid w:val="00AB35B3"/>
    <w:rsid w:val="00B30B9A"/>
    <w:rsid w:val="00B37864"/>
    <w:rsid w:val="00B91E01"/>
    <w:rsid w:val="00BA52F5"/>
    <w:rsid w:val="00BB241F"/>
    <w:rsid w:val="00BD6E9A"/>
    <w:rsid w:val="00BE2FC3"/>
    <w:rsid w:val="00C41B1B"/>
    <w:rsid w:val="00C47434"/>
    <w:rsid w:val="00C6417A"/>
    <w:rsid w:val="00C66485"/>
    <w:rsid w:val="00C87705"/>
    <w:rsid w:val="00C94C89"/>
    <w:rsid w:val="00CA18B6"/>
    <w:rsid w:val="00CD4E55"/>
    <w:rsid w:val="00CF4F0E"/>
    <w:rsid w:val="00D0363C"/>
    <w:rsid w:val="00D242EB"/>
    <w:rsid w:val="00D43412"/>
    <w:rsid w:val="00D47F13"/>
    <w:rsid w:val="00D640CD"/>
    <w:rsid w:val="00DC7FE6"/>
    <w:rsid w:val="00E549C2"/>
    <w:rsid w:val="00E82989"/>
    <w:rsid w:val="00EB7061"/>
    <w:rsid w:val="00EF0C92"/>
    <w:rsid w:val="00F10CB2"/>
    <w:rsid w:val="00F15AC3"/>
    <w:rsid w:val="00F50C64"/>
    <w:rsid w:val="00F55312"/>
    <w:rsid w:val="00F847B9"/>
    <w:rsid w:val="00FC29D1"/>
    <w:rsid w:val="00FD2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86BEC"/>
  <w14:defaultImageDpi w14:val="0"/>
  <w15:docId w15:val="{E41C20C2-93EC-42E8-A0FE-CC39E769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F15AC3"/>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F15AC3"/>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F15AC3"/>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rPr>
      <w:rFonts w:cs="Times New Roman"/>
    </w:rPr>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F15AC3"/>
    <w:rPr>
      <w:rFonts w:cs="Times New Roman"/>
    </w:rPr>
  </w:style>
  <w:style w:type="paragraph" w:customStyle="1" w:styleId="Aparabullet">
    <w:name w:val="A para bullet"/>
    <w:basedOn w:val="Normal"/>
    <w:rsid w:val="00F15AC3"/>
    <w:pPr>
      <w:numPr>
        <w:numId w:val="4"/>
      </w:numPr>
    </w:pPr>
  </w:style>
  <w:style w:type="paragraph" w:styleId="TOC1">
    <w:name w:val="toc 1"/>
    <w:basedOn w:val="Normal"/>
    <w:next w:val="Normal"/>
    <w:autoRedefine/>
    <w:uiPriority w:val="39"/>
    <w:semiHidden/>
    <w:rsid w:val="00F15AC3"/>
  </w:style>
  <w:style w:type="paragraph" w:styleId="TOC2">
    <w:name w:val="toc 2"/>
    <w:basedOn w:val="Normal"/>
    <w:next w:val="Normal"/>
    <w:autoRedefine/>
    <w:uiPriority w:val="39"/>
    <w:semiHidden/>
    <w:rsid w:val="00F15AC3"/>
    <w:pPr>
      <w:ind w:left="240"/>
    </w:pPr>
  </w:style>
  <w:style w:type="paragraph" w:styleId="TOC3">
    <w:name w:val="toc 3"/>
    <w:basedOn w:val="Normal"/>
    <w:next w:val="Normal"/>
    <w:autoRedefine/>
    <w:uiPriority w:val="39"/>
    <w:semiHidden/>
    <w:rsid w:val="00F15AC3"/>
    <w:pPr>
      <w:ind w:left="480"/>
    </w:pPr>
  </w:style>
  <w:style w:type="paragraph" w:styleId="TOC4">
    <w:name w:val="toc 4"/>
    <w:basedOn w:val="Normal"/>
    <w:next w:val="Normal"/>
    <w:autoRedefine/>
    <w:uiPriority w:val="39"/>
    <w:semiHidden/>
    <w:rsid w:val="00F15AC3"/>
    <w:pPr>
      <w:ind w:left="720"/>
    </w:pPr>
  </w:style>
  <w:style w:type="paragraph" w:styleId="TOC5">
    <w:name w:val="toc 5"/>
    <w:basedOn w:val="Normal"/>
    <w:next w:val="Normal"/>
    <w:autoRedefine/>
    <w:uiPriority w:val="39"/>
    <w:semiHidden/>
    <w:rsid w:val="00F15AC3"/>
    <w:pPr>
      <w:ind w:left="960"/>
    </w:pPr>
  </w:style>
  <w:style w:type="paragraph" w:styleId="TOC6">
    <w:name w:val="toc 6"/>
    <w:basedOn w:val="Normal"/>
    <w:next w:val="Normal"/>
    <w:autoRedefine/>
    <w:uiPriority w:val="39"/>
    <w:semiHidden/>
    <w:rsid w:val="00F15AC3"/>
    <w:pPr>
      <w:ind w:left="1200"/>
    </w:pPr>
  </w:style>
  <w:style w:type="paragraph" w:styleId="TOC7">
    <w:name w:val="toc 7"/>
    <w:basedOn w:val="Normal"/>
    <w:next w:val="Normal"/>
    <w:autoRedefine/>
    <w:uiPriority w:val="39"/>
    <w:semiHidden/>
    <w:rsid w:val="00F15AC3"/>
    <w:pPr>
      <w:ind w:left="1440"/>
    </w:pPr>
  </w:style>
  <w:style w:type="paragraph" w:styleId="TOC8">
    <w:name w:val="toc 8"/>
    <w:basedOn w:val="Normal"/>
    <w:next w:val="Normal"/>
    <w:autoRedefine/>
    <w:uiPriority w:val="39"/>
    <w:semiHidden/>
    <w:rsid w:val="00F15AC3"/>
    <w:pPr>
      <w:ind w:left="1680"/>
    </w:pPr>
  </w:style>
  <w:style w:type="paragraph" w:styleId="TOC9">
    <w:name w:val="toc 9"/>
    <w:basedOn w:val="Normal"/>
    <w:next w:val="Normal"/>
    <w:autoRedefine/>
    <w:uiPriority w:val="39"/>
    <w:semiHidden/>
    <w:rsid w:val="00F15AC3"/>
    <w:pPr>
      <w:ind w:left="1920"/>
    </w:pPr>
  </w:style>
  <w:style w:type="character" w:styleId="Hyperlink">
    <w:name w:val="Hyperlink"/>
    <w:basedOn w:val="DefaultParagraphFont"/>
    <w:uiPriority w:val="99"/>
    <w:semiHidden/>
    <w:rsid w:val="00F15AC3"/>
    <w:rPr>
      <w:rFonts w:cs="Times New Roman"/>
      <w:color w:val="0000FF"/>
      <w:u w:val="single"/>
    </w:rPr>
  </w:style>
  <w:style w:type="paragraph" w:styleId="BodyTextIndent">
    <w:name w:val="Body Text Indent"/>
    <w:basedOn w:val="Normal"/>
    <w:link w:val="BodyTextIndentChar"/>
    <w:uiPriority w:val="99"/>
    <w:semiHidden/>
    <w:rsid w:val="00F15AC3"/>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uiPriority w:val="99"/>
    <w:semiHidden/>
    <w:rsid w:val="00F15AC3"/>
    <w:rPr>
      <w:rFonts w:cs="Times New Roman"/>
      <w:color w:val="800080"/>
      <w:u w:val="single"/>
    </w:rPr>
  </w:style>
  <w:style w:type="character" w:styleId="FootnoteReference">
    <w:name w:val="footnote reference"/>
    <w:basedOn w:val="DefaultParagraphFont"/>
    <w:uiPriority w:val="99"/>
    <w:semiHidden/>
    <w:rsid w:val="00F15AC3"/>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F15AC3"/>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rPr>
      <w:rFonts w:cs="Times New Roman"/>
    </w:rPr>
  </w:style>
  <w:style w:type="paragraph" w:styleId="ListParagraph">
    <w:name w:val="List Paragraph"/>
    <w:basedOn w:val="Normal"/>
    <w:uiPriority w:val="34"/>
    <w:qFormat/>
    <w:rsid w:val="00BE2FC3"/>
    <w:pPr>
      <w:ind w:left="720"/>
      <w:contextualSpacing/>
    </w:pPr>
  </w:style>
  <w:style w:type="paragraph" w:styleId="Revision">
    <w:name w:val="Revision"/>
    <w:hidden/>
    <w:uiPriority w:val="99"/>
    <w:semiHidden/>
    <w:rsid w:val="00C47434"/>
    <w:rPr>
      <w:sz w:val="24"/>
      <w:lang w:eastAsia="en-US"/>
    </w:rPr>
  </w:style>
  <w:style w:type="character" w:styleId="CommentReference">
    <w:name w:val="annotation reference"/>
    <w:basedOn w:val="DefaultParagraphFont"/>
    <w:uiPriority w:val="99"/>
    <w:rsid w:val="0010568C"/>
    <w:rPr>
      <w:rFonts w:cs="Times New Roman"/>
      <w:sz w:val="16"/>
      <w:szCs w:val="16"/>
    </w:rPr>
  </w:style>
  <w:style w:type="paragraph" w:styleId="CommentText">
    <w:name w:val="annotation text"/>
    <w:basedOn w:val="Normal"/>
    <w:link w:val="CommentTextChar"/>
    <w:uiPriority w:val="99"/>
    <w:rsid w:val="0010568C"/>
    <w:rPr>
      <w:sz w:val="20"/>
    </w:rPr>
  </w:style>
  <w:style w:type="character" w:customStyle="1" w:styleId="CommentTextChar">
    <w:name w:val="Comment Text Char"/>
    <w:basedOn w:val="DefaultParagraphFont"/>
    <w:link w:val="CommentText"/>
    <w:uiPriority w:val="99"/>
    <w:locked/>
    <w:rsid w:val="0010568C"/>
    <w:rPr>
      <w:rFonts w:cs="Times New Roman"/>
      <w:lang w:val="x-none" w:eastAsia="en-US"/>
    </w:rPr>
  </w:style>
  <w:style w:type="paragraph" w:styleId="CommentSubject">
    <w:name w:val="annotation subject"/>
    <w:basedOn w:val="CommentText"/>
    <w:next w:val="CommentText"/>
    <w:link w:val="CommentSubjectChar"/>
    <w:uiPriority w:val="99"/>
    <w:rsid w:val="0010568C"/>
    <w:rPr>
      <w:b/>
      <w:bCs/>
    </w:rPr>
  </w:style>
  <w:style w:type="character" w:customStyle="1" w:styleId="CommentSubjectChar">
    <w:name w:val="Comment Subject Char"/>
    <w:basedOn w:val="CommentTextChar"/>
    <w:link w:val="CommentSubject"/>
    <w:uiPriority w:val="99"/>
    <w:locked/>
    <w:rsid w:val="0010568C"/>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31888">
      <w:marLeft w:val="0"/>
      <w:marRight w:val="0"/>
      <w:marTop w:val="0"/>
      <w:marBottom w:val="0"/>
      <w:divBdr>
        <w:top w:val="none" w:sz="0" w:space="0" w:color="auto"/>
        <w:left w:val="none" w:sz="0" w:space="0" w:color="auto"/>
        <w:bottom w:val="none" w:sz="0" w:space="0" w:color="auto"/>
        <w:right w:val="none" w:sz="0" w:space="0" w:color="auto"/>
      </w:divBdr>
    </w:div>
    <w:div w:id="530731889">
      <w:marLeft w:val="0"/>
      <w:marRight w:val="0"/>
      <w:marTop w:val="0"/>
      <w:marBottom w:val="0"/>
      <w:divBdr>
        <w:top w:val="none" w:sz="0" w:space="0" w:color="auto"/>
        <w:left w:val="none" w:sz="0" w:space="0" w:color="auto"/>
        <w:bottom w:val="none" w:sz="0" w:space="0" w:color="auto"/>
        <w:right w:val="none" w:sz="0" w:space="0" w:color="auto"/>
      </w:divBdr>
    </w:div>
    <w:div w:id="530731890">
      <w:marLeft w:val="0"/>
      <w:marRight w:val="0"/>
      <w:marTop w:val="0"/>
      <w:marBottom w:val="0"/>
      <w:divBdr>
        <w:top w:val="none" w:sz="0" w:space="0" w:color="auto"/>
        <w:left w:val="none" w:sz="0" w:space="0" w:color="auto"/>
        <w:bottom w:val="none" w:sz="0" w:space="0" w:color="auto"/>
        <w:right w:val="none" w:sz="0" w:space="0" w:color="auto"/>
      </w:divBdr>
    </w:div>
    <w:div w:id="530731891">
      <w:marLeft w:val="0"/>
      <w:marRight w:val="0"/>
      <w:marTop w:val="0"/>
      <w:marBottom w:val="0"/>
      <w:divBdr>
        <w:top w:val="none" w:sz="0" w:space="0" w:color="auto"/>
        <w:left w:val="none" w:sz="0" w:space="0" w:color="auto"/>
        <w:bottom w:val="none" w:sz="0" w:space="0" w:color="auto"/>
        <w:right w:val="none" w:sz="0" w:space="0" w:color="auto"/>
      </w:divBdr>
    </w:div>
    <w:div w:id="530731892">
      <w:marLeft w:val="0"/>
      <w:marRight w:val="0"/>
      <w:marTop w:val="0"/>
      <w:marBottom w:val="0"/>
      <w:divBdr>
        <w:top w:val="none" w:sz="0" w:space="0" w:color="auto"/>
        <w:left w:val="none" w:sz="0" w:space="0" w:color="auto"/>
        <w:bottom w:val="none" w:sz="0" w:space="0" w:color="auto"/>
        <w:right w:val="none" w:sz="0" w:space="0" w:color="auto"/>
      </w:divBdr>
    </w:div>
    <w:div w:id="530731893">
      <w:marLeft w:val="0"/>
      <w:marRight w:val="0"/>
      <w:marTop w:val="0"/>
      <w:marBottom w:val="0"/>
      <w:divBdr>
        <w:top w:val="none" w:sz="0" w:space="0" w:color="auto"/>
        <w:left w:val="none" w:sz="0" w:space="0" w:color="auto"/>
        <w:bottom w:val="none" w:sz="0" w:space="0" w:color="auto"/>
        <w:right w:val="none" w:sz="0" w:space="0" w:color="auto"/>
      </w:divBdr>
    </w:div>
    <w:div w:id="530731894">
      <w:marLeft w:val="0"/>
      <w:marRight w:val="0"/>
      <w:marTop w:val="0"/>
      <w:marBottom w:val="0"/>
      <w:divBdr>
        <w:top w:val="none" w:sz="0" w:space="0" w:color="auto"/>
        <w:left w:val="none" w:sz="0" w:space="0" w:color="auto"/>
        <w:bottom w:val="none" w:sz="0" w:space="0" w:color="auto"/>
        <w:right w:val="none" w:sz="0" w:space="0" w:color="auto"/>
      </w:divBdr>
    </w:div>
    <w:div w:id="530731895">
      <w:marLeft w:val="0"/>
      <w:marRight w:val="0"/>
      <w:marTop w:val="0"/>
      <w:marBottom w:val="0"/>
      <w:divBdr>
        <w:top w:val="none" w:sz="0" w:space="0" w:color="auto"/>
        <w:left w:val="none" w:sz="0" w:space="0" w:color="auto"/>
        <w:bottom w:val="none" w:sz="0" w:space="0" w:color="auto"/>
        <w:right w:val="none" w:sz="0" w:space="0" w:color="auto"/>
      </w:divBdr>
    </w:div>
    <w:div w:id="530731896">
      <w:marLeft w:val="0"/>
      <w:marRight w:val="0"/>
      <w:marTop w:val="0"/>
      <w:marBottom w:val="0"/>
      <w:divBdr>
        <w:top w:val="none" w:sz="0" w:space="0" w:color="auto"/>
        <w:left w:val="none" w:sz="0" w:space="0" w:color="auto"/>
        <w:bottom w:val="none" w:sz="0" w:space="0" w:color="auto"/>
        <w:right w:val="none" w:sz="0" w:space="0" w:color="auto"/>
      </w:divBdr>
    </w:div>
    <w:div w:id="530731897">
      <w:marLeft w:val="0"/>
      <w:marRight w:val="0"/>
      <w:marTop w:val="0"/>
      <w:marBottom w:val="0"/>
      <w:divBdr>
        <w:top w:val="none" w:sz="0" w:space="0" w:color="auto"/>
        <w:left w:val="none" w:sz="0" w:space="0" w:color="auto"/>
        <w:bottom w:val="none" w:sz="0" w:space="0" w:color="auto"/>
        <w:right w:val="none" w:sz="0" w:space="0" w:color="auto"/>
      </w:divBdr>
    </w:div>
    <w:div w:id="530731898">
      <w:marLeft w:val="0"/>
      <w:marRight w:val="0"/>
      <w:marTop w:val="0"/>
      <w:marBottom w:val="0"/>
      <w:divBdr>
        <w:top w:val="none" w:sz="0" w:space="0" w:color="auto"/>
        <w:left w:val="none" w:sz="0" w:space="0" w:color="auto"/>
        <w:bottom w:val="none" w:sz="0" w:space="0" w:color="auto"/>
        <w:right w:val="none" w:sz="0" w:space="0" w:color="auto"/>
      </w:divBdr>
    </w:div>
    <w:div w:id="530731899">
      <w:marLeft w:val="0"/>
      <w:marRight w:val="0"/>
      <w:marTop w:val="0"/>
      <w:marBottom w:val="0"/>
      <w:divBdr>
        <w:top w:val="none" w:sz="0" w:space="0" w:color="auto"/>
        <w:left w:val="none" w:sz="0" w:space="0" w:color="auto"/>
        <w:bottom w:val="none" w:sz="0" w:space="0" w:color="auto"/>
        <w:right w:val="none" w:sz="0" w:space="0" w:color="auto"/>
      </w:divBdr>
    </w:div>
    <w:div w:id="530731900">
      <w:marLeft w:val="0"/>
      <w:marRight w:val="0"/>
      <w:marTop w:val="0"/>
      <w:marBottom w:val="0"/>
      <w:divBdr>
        <w:top w:val="none" w:sz="0" w:space="0" w:color="auto"/>
        <w:left w:val="none" w:sz="0" w:space="0" w:color="auto"/>
        <w:bottom w:val="none" w:sz="0" w:space="0" w:color="auto"/>
        <w:right w:val="none" w:sz="0" w:space="0" w:color="auto"/>
      </w:divBdr>
    </w:div>
    <w:div w:id="530731901">
      <w:marLeft w:val="0"/>
      <w:marRight w:val="0"/>
      <w:marTop w:val="0"/>
      <w:marBottom w:val="0"/>
      <w:divBdr>
        <w:top w:val="none" w:sz="0" w:space="0" w:color="auto"/>
        <w:left w:val="none" w:sz="0" w:space="0" w:color="auto"/>
        <w:bottom w:val="none" w:sz="0" w:space="0" w:color="auto"/>
        <w:right w:val="none" w:sz="0" w:space="0" w:color="auto"/>
      </w:divBdr>
    </w:div>
    <w:div w:id="530731902">
      <w:marLeft w:val="0"/>
      <w:marRight w:val="0"/>
      <w:marTop w:val="0"/>
      <w:marBottom w:val="0"/>
      <w:divBdr>
        <w:top w:val="none" w:sz="0" w:space="0" w:color="auto"/>
        <w:left w:val="none" w:sz="0" w:space="0" w:color="auto"/>
        <w:bottom w:val="none" w:sz="0" w:space="0" w:color="auto"/>
        <w:right w:val="none" w:sz="0" w:space="0" w:color="auto"/>
      </w:divBdr>
    </w:div>
    <w:div w:id="530731903">
      <w:marLeft w:val="0"/>
      <w:marRight w:val="0"/>
      <w:marTop w:val="0"/>
      <w:marBottom w:val="0"/>
      <w:divBdr>
        <w:top w:val="none" w:sz="0" w:space="0" w:color="auto"/>
        <w:left w:val="none" w:sz="0" w:space="0" w:color="auto"/>
        <w:bottom w:val="none" w:sz="0" w:space="0" w:color="auto"/>
        <w:right w:val="none" w:sz="0" w:space="0" w:color="auto"/>
      </w:divBdr>
    </w:div>
    <w:div w:id="530731904">
      <w:marLeft w:val="0"/>
      <w:marRight w:val="0"/>
      <w:marTop w:val="0"/>
      <w:marBottom w:val="0"/>
      <w:divBdr>
        <w:top w:val="none" w:sz="0" w:space="0" w:color="auto"/>
        <w:left w:val="none" w:sz="0" w:space="0" w:color="auto"/>
        <w:bottom w:val="none" w:sz="0" w:space="0" w:color="auto"/>
        <w:right w:val="none" w:sz="0" w:space="0" w:color="auto"/>
      </w:divBdr>
    </w:div>
    <w:div w:id="530731905">
      <w:marLeft w:val="0"/>
      <w:marRight w:val="0"/>
      <w:marTop w:val="0"/>
      <w:marBottom w:val="0"/>
      <w:divBdr>
        <w:top w:val="none" w:sz="0" w:space="0" w:color="auto"/>
        <w:left w:val="none" w:sz="0" w:space="0" w:color="auto"/>
        <w:bottom w:val="none" w:sz="0" w:space="0" w:color="auto"/>
        <w:right w:val="none" w:sz="0" w:space="0" w:color="auto"/>
      </w:divBdr>
    </w:div>
    <w:div w:id="530731906">
      <w:marLeft w:val="0"/>
      <w:marRight w:val="0"/>
      <w:marTop w:val="0"/>
      <w:marBottom w:val="0"/>
      <w:divBdr>
        <w:top w:val="none" w:sz="0" w:space="0" w:color="auto"/>
        <w:left w:val="none" w:sz="0" w:space="0" w:color="auto"/>
        <w:bottom w:val="none" w:sz="0" w:space="0" w:color="auto"/>
        <w:right w:val="none" w:sz="0" w:space="0" w:color="auto"/>
      </w:divBdr>
    </w:div>
    <w:div w:id="530731907">
      <w:marLeft w:val="0"/>
      <w:marRight w:val="0"/>
      <w:marTop w:val="0"/>
      <w:marBottom w:val="0"/>
      <w:divBdr>
        <w:top w:val="none" w:sz="0" w:space="0" w:color="auto"/>
        <w:left w:val="none" w:sz="0" w:space="0" w:color="auto"/>
        <w:bottom w:val="none" w:sz="0" w:space="0" w:color="auto"/>
        <w:right w:val="none" w:sz="0" w:space="0" w:color="auto"/>
      </w:divBdr>
    </w:div>
    <w:div w:id="530731908">
      <w:marLeft w:val="0"/>
      <w:marRight w:val="0"/>
      <w:marTop w:val="0"/>
      <w:marBottom w:val="0"/>
      <w:divBdr>
        <w:top w:val="none" w:sz="0" w:space="0" w:color="auto"/>
        <w:left w:val="none" w:sz="0" w:space="0" w:color="auto"/>
        <w:bottom w:val="none" w:sz="0" w:space="0" w:color="auto"/>
        <w:right w:val="none" w:sz="0" w:space="0" w:color="auto"/>
      </w:divBdr>
    </w:div>
    <w:div w:id="530731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3151</Characters>
  <Application>Microsoft Office Word</Application>
  <DocSecurity>0</DocSecurity>
  <Lines>242</Lines>
  <Paragraphs>151</Paragraphs>
  <ScaleCrop>false</ScaleCrop>
  <Company>InTACT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2</cp:revision>
  <cp:lastPrinted>2004-04-05T01:37:00Z</cp:lastPrinted>
  <dcterms:created xsi:type="dcterms:W3CDTF">2023-11-24T04:12:00Z</dcterms:created>
  <dcterms:modified xsi:type="dcterms:W3CDTF">2023-11-24T04:12:00Z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A11366638</vt:lpwstr>
  </property>
  <property fmtid="{D5CDD505-2E9C-101B-9397-08002B2CF9AE}" pid="4" name="Objective-Title">
    <vt:lpwstr>Disallowable instrument - Land Rent Nov 2015</vt:lpwstr>
  </property>
  <property fmtid="{D5CDD505-2E9C-101B-9397-08002B2CF9AE}" pid="5" name="Objective-Comment">
    <vt:lpwstr/>
  </property>
  <property fmtid="{D5CDD505-2E9C-101B-9397-08002B2CF9AE}" pid="6" name="Objective-CreationStamp">
    <vt:filetime>2015-10-13T13:00:00Z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2015-10-26T13:00:00Z</vt:filetime>
  </property>
  <property fmtid="{D5CDD505-2E9C-101B-9397-08002B2CF9AE}" pid="10" name="Objective-ModificationStamp">
    <vt:filetime>2015-10-26T13:00:00Z</vt:filetime>
  </property>
  <property fmtid="{D5CDD505-2E9C-101B-9397-08002B2CF9AE}" pid="11" name="Objective-Owner">
    <vt:lpwstr>Megan Dixon</vt:lpwstr>
  </property>
  <property fmtid="{D5CDD505-2E9C-101B-9397-08002B2CF9AE}" pid="12" name="Objective-Path">
    <vt:lpwstr>Whole of ACT Government:CMTEDD - Asbestos Task Force:09. Legislation and Legal:Regulation development:Facilitation Bill No 2:Disallowable instruments - land rent, stamp duty:Land Rent DI:</vt:lpwstr>
  </property>
  <property fmtid="{D5CDD505-2E9C-101B-9397-08002B2CF9AE}" pid="13" name="Objective-Parent">
    <vt:lpwstr>Land Rent DI</vt:lpwstr>
  </property>
  <property fmtid="{D5CDD505-2E9C-101B-9397-08002B2CF9AE}" pid="14" name="Objective-State">
    <vt:lpwstr>Published</vt:lpwstr>
  </property>
  <property fmtid="{D5CDD505-2E9C-101B-9397-08002B2CF9AE}" pid="15" name="Objective-Version">
    <vt:lpwstr>14.0</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11251404</vt:lpwstr>
  </property>
  <property fmtid="{D5CDD505-2E9C-101B-9397-08002B2CF9AE}" pid="34" name="JMSREQUIREDCHECKIN">
    <vt:lpwstr/>
  </property>
</Properties>
</file>