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59E9" w14:textId="53BE6ECC" w:rsidR="00307CEA" w:rsidRDefault="00307CE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0F2087" w14:textId="6EB94C5D" w:rsidR="00307CEA" w:rsidRPr="00307CEA" w:rsidRDefault="00307CEA">
      <w:pPr>
        <w:pStyle w:val="Billname"/>
        <w:spacing w:before="600"/>
      </w:pPr>
      <w:r w:rsidRPr="00307CEA">
        <w:t xml:space="preserve">Taxation </w:t>
      </w:r>
      <w:r w:rsidR="00B51768">
        <w:t>Administration (Amounts Payable—</w:t>
      </w:r>
      <w:r w:rsidRPr="00307CEA">
        <w:t>Motor Vehicle Duty) Determination 20</w:t>
      </w:r>
      <w:r w:rsidR="00D37143">
        <w:t>2</w:t>
      </w:r>
      <w:r w:rsidR="00D07CE0">
        <w:t>3</w:t>
      </w:r>
    </w:p>
    <w:p w14:paraId="085FAFA4" w14:textId="58D93260" w:rsidR="00307CEA" w:rsidRDefault="00307CEA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D37143">
        <w:rPr>
          <w:rFonts w:ascii="Arial" w:hAnsi="Arial" w:cs="Arial"/>
          <w:b/>
          <w:bCs/>
        </w:rPr>
        <w:t>2</w:t>
      </w:r>
      <w:r w:rsidR="00D07CE0">
        <w:rPr>
          <w:rFonts w:ascii="Arial" w:hAnsi="Arial" w:cs="Arial"/>
          <w:b/>
          <w:bCs/>
        </w:rPr>
        <w:t>3</w:t>
      </w:r>
      <w:r w:rsidR="00850303">
        <w:rPr>
          <w:rFonts w:ascii="Arial" w:hAnsi="Arial" w:cs="Arial"/>
          <w:b/>
          <w:bCs/>
        </w:rPr>
        <w:t>-</w:t>
      </w:r>
      <w:r w:rsidR="004D27A0">
        <w:rPr>
          <w:rFonts w:ascii="Arial" w:hAnsi="Arial" w:cs="Arial"/>
          <w:b/>
          <w:bCs/>
        </w:rPr>
        <w:t>33</w:t>
      </w:r>
    </w:p>
    <w:p w14:paraId="59E1DCD3" w14:textId="77777777" w:rsidR="00307CEA" w:rsidRDefault="00307CEA">
      <w:pPr>
        <w:pStyle w:val="madeunder"/>
        <w:spacing w:before="240" w:after="120"/>
      </w:pPr>
      <w:r>
        <w:t>made under the</w:t>
      </w:r>
    </w:p>
    <w:p w14:paraId="48E177F9" w14:textId="77777777" w:rsidR="00307CEA" w:rsidRDefault="00307CEA">
      <w:pPr>
        <w:pStyle w:val="CoverActName"/>
      </w:pPr>
      <w:r>
        <w:rPr>
          <w:i/>
          <w:iCs/>
          <w:sz w:val="20"/>
          <w:szCs w:val="20"/>
        </w:rPr>
        <w:t>Taxation Administration Act 1999</w:t>
      </w:r>
      <w:r>
        <w:rPr>
          <w:sz w:val="20"/>
          <w:szCs w:val="20"/>
        </w:rPr>
        <w:t xml:space="preserve">, </w:t>
      </w:r>
      <w:r w:rsidR="00707FFC">
        <w:rPr>
          <w:sz w:val="20"/>
          <w:szCs w:val="20"/>
        </w:rPr>
        <w:t>section</w:t>
      </w:r>
      <w:r>
        <w:rPr>
          <w:sz w:val="20"/>
          <w:szCs w:val="20"/>
        </w:rPr>
        <w:t xml:space="preserve"> 139 (Determination of amounts payable under tax laws)</w:t>
      </w:r>
    </w:p>
    <w:p w14:paraId="0CC465D3" w14:textId="77777777" w:rsidR="00307CEA" w:rsidRDefault="00307CEA">
      <w:pPr>
        <w:pStyle w:val="N-line3"/>
        <w:pBdr>
          <w:top w:val="single" w:sz="12" w:space="1" w:color="auto"/>
          <w:bottom w:val="none" w:sz="0" w:space="0" w:color="auto"/>
        </w:pBdr>
        <w:spacing w:before="120" w:after="120"/>
      </w:pPr>
    </w:p>
    <w:p w14:paraId="65830560" w14:textId="77777777" w:rsidR="00307CEA" w:rsidRDefault="00307CEA">
      <w:pPr>
        <w:spacing w:before="8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E7216C7" w14:textId="3DC6194B" w:rsidR="00B634C6" w:rsidRDefault="00307CEA" w:rsidP="00B03652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 xml:space="preserve">Taxation </w:t>
      </w:r>
      <w:r w:rsidR="00B51768">
        <w:rPr>
          <w:i/>
          <w:iCs/>
        </w:rPr>
        <w:t>Administration (Amounts Payable—</w:t>
      </w:r>
      <w:r>
        <w:rPr>
          <w:i/>
          <w:iCs/>
        </w:rPr>
        <w:t>Motor Vehicle Duty) Determination 20</w:t>
      </w:r>
      <w:r w:rsidR="00D37143">
        <w:rPr>
          <w:i/>
          <w:iCs/>
        </w:rPr>
        <w:t>2</w:t>
      </w:r>
      <w:r w:rsidR="00D07CE0">
        <w:rPr>
          <w:i/>
          <w:iCs/>
        </w:rPr>
        <w:t>3</w:t>
      </w:r>
      <w:r>
        <w:t>.</w:t>
      </w:r>
    </w:p>
    <w:p w14:paraId="29E0C781" w14:textId="77777777" w:rsidR="00307CEA" w:rsidRDefault="00307CEA" w:rsidP="00110676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F527967" w14:textId="22B33A4D" w:rsidR="00B634C6" w:rsidRDefault="00307CEA" w:rsidP="00B03652">
      <w:pPr>
        <w:spacing w:before="80" w:after="60"/>
        <w:ind w:left="720"/>
      </w:pPr>
      <w:r w:rsidRPr="000A5390">
        <w:t>This instrument</w:t>
      </w:r>
      <w:r w:rsidR="004F3441">
        <w:t xml:space="preserve"> </w:t>
      </w:r>
      <w:r w:rsidRPr="000A5390">
        <w:t>commence</w:t>
      </w:r>
      <w:r w:rsidR="00F401EC">
        <w:t>s</w:t>
      </w:r>
      <w:r w:rsidRPr="000A5390">
        <w:t xml:space="preserve"> on </w:t>
      </w:r>
      <w:r w:rsidR="00F401EC" w:rsidRPr="00981363">
        <w:t xml:space="preserve">1 </w:t>
      </w:r>
      <w:r w:rsidR="00D07CE0">
        <w:t>July</w:t>
      </w:r>
      <w:r w:rsidR="00D07CE0" w:rsidRPr="00981363">
        <w:t xml:space="preserve"> </w:t>
      </w:r>
      <w:r w:rsidR="00F401EC" w:rsidRPr="00981363">
        <w:t>202</w:t>
      </w:r>
      <w:r w:rsidR="00D07CE0">
        <w:t>3</w:t>
      </w:r>
      <w:r w:rsidRPr="00981363">
        <w:t>.</w:t>
      </w:r>
    </w:p>
    <w:p w14:paraId="0A084095" w14:textId="77777777" w:rsidR="00307CEA" w:rsidRDefault="00307CEA" w:rsidP="00110676">
      <w:pPr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Definitions</w:t>
      </w:r>
    </w:p>
    <w:p w14:paraId="79A257A3" w14:textId="77777777" w:rsidR="00307CEA" w:rsidRDefault="00307CEA">
      <w:pPr>
        <w:spacing w:before="80" w:after="60"/>
        <w:ind w:left="720"/>
      </w:pPr>
      <w:r>
        <w:t>In this instrument:</w:t>
      </w:r>
    </w:p>
    <w:p w14:paraId="6408FB4E" w14:textId="7229CDF2" w:rsidR="00FC575F" w:rsidRPr="008C0AB1" w:rsidRDefault="00307CEA" w:rsidP="00F96C49">
      <w:pPr>
        <w:spacing w:before="160"/>
        <w:ind w:left="709"/>
      </w:pPr>
      <w:r w:rsidRPr="00A26982">
        <w:rPr>
          <w:b/>
          <w:bCs/>
          <w:i/>
          <w:iCs/>
        </w:rPr>
        <w:t>A-rated vehicle</w:t>
      </w:r>
      <w:r>
        <w:t xml:space="preserve"> means</w:t>
      </w:r>
      <w:r w:rsidR="00FC575F" w:rsidRPr="00A26982">
        <w:rPr>
          <w:bCs/>
          <w:iCs/>
        </w:rPr>
        <w:t xml:space="preserve"> </w:t>
      </w:r>
      <w:r>
        <w:t xml:space="preserve">a </w:t>
      </w:r>
      <w:r w:rsidRPr="00F32BF2">
        <w:t xml:space="preserve">new </w:t>
      </w:r>
      <w:r w:rsidRPr="008C0AB1">
        <w:t xml:space="preserve">motor vehicle that has </w:t>
      </w:r>
      <w:r w:rsidR="00CF1954" w:rsidRPr="008C0AB1">
        <w:t xml:space="preserve">combined </w:t>
      </w:r>
      <w:r w:rsidR="001961FE" w:rsidRPr="008C0AB1">
        <w:t>carbon dioxide (CO</w:t>
      </w:r>
      <w:r w:rsidR="001961FE" w:rsidRPr="008C0AB1">
        <w:rPr>
          <w:vertAlign w:val="subscript"/>
        </w:rPr>
        <w:t>2</w:t>
      </w:r>
      <w:r w:rsidR="001961FE" w:rsidRPr="008C0AB1">
        <w:t>)</w:t>
      </w:r>
      <w:r w:rsidR="00EA5C8A" w:rsidRPr="008C0AB1">
        <w:t xml:space="preserve"> emissions </w:t>
      </w:r>
      <w:r w:rsidR="002044AC" w:rsidRPr="008C0AB1">
        <w:t>of</w:t>
      </w:r>
      <w:r w:rsidR="007870EA" w:rsidRPr="008C0AB1">
        <w:t xml:space="preserve"> no more than 130</w:t>
      </w:r>
      <w:r w:rsidR="002044AC" w:rsidRPr="008C0AB1">
        <w:t>g</w:t>
      </w:r>
      <w:r w:rsidR="00EA5C8A" w:rsidRPr="008C0AB1">
        <w:t xml:space="preserve"> per kilometre</w:t>
      </w:r>
      <w:r w:rsidR="00C17433" w:rsidRPr="008C0AB1">
        <w:t xml:space="preserve"> according to the Green Vehicle Guide.</w:t>
      </w:r>
    </w:p>
    <w:p w14:paraId="479DB92D" w14:textId="77777777" w:rsidR="00876646" w:rsidRPr="008C0AB1" w:rsidRDefault="00876646" w:rsidP="00F96C49">
      <w:pPr>
        <w:spacing w:before="160"/>
        <w:ind w:left="709"/>
        <w:rPr>
          <w:i/>
          <w:iCs/>
        </w:rPr>
      </w:pPr>
      <w:r w:rsidRPr="008C0AB1">
        <w:rPr>
          <w:b/>
          <w:bCs/>
          <w:i/>
          <w:iCs/>
        </w:rPr>
        <w:t xml:space="preserve">Act </w:t>
      </w:r>
      <w:r w:rsidRPr="008C0AB1">
        <w:t>means the</w:t>
      </w:r>
      <w:r w:rsidRPr="008C0AB1">
        <w:rPr>
          <w:i/>
          <w:iCs/>
        </w:rPr>
        <w:t xml:space="preserve"> Duties Act 1999.</w:t>
      </w:r>
    </w:p>
    <w:p w14:paraId="08D5C506" w14:textId="640833F2" w:rsidR="00307CEA" w:rsidRPr="008C0AB1" w:rsidRDefault="00307CEA" w:rsidP="00F96C49">
      <w:pPr>
        <w:spacing w:before="160"/>
        <w:ind w:left="709"/>
        <w:rPr>
          <w:b/>
          <w:bCs/>
          <w:i/>
          <w:iCs/>
        </w:rPr>
      </w:pPr>
      <w:r w:rsidRPr="008C0AB1">
        <w:rPr>
          <w:b/>
          <w:bCs/>
          <w:i/>
          <w:iCs/>
        </w:rPr>
        <w:t xml:space="preserve">B-rated vehicle </w:t>
      </w:r>
      <w:r w:rsidRPr="008C0AB1">
        <w:t xml:space="preserve">means a new motor vehicle that has </w:t>
      </w:r>
      <w:r w:rsidR="00CF1954" w:rsidRPr="008C0AB1">
        <w:t xml:space="preserve">combined </w:t>
      </w:r>
      <w:r w:rsidR="001961FE" w:rsidRPr="008C0AB1">
        <w:t>carbon dioxide (</w:t>
      </w:r>
      <w:r w:rsidR="002044AC" w:rsidRPr="008C0AB1">
        <w:t>CO</w:t>
      </w:r>
      <w:r w:rsidR="002044AC" w:rsidRPr="0033526A">
        <w:rPr>
          <w:vertAlign w:val="subscript"/>
        </w:rPr>
        <w:t>2</w:t>
      </w:r>
      <w:r w:rsidR="001961FE" w:rsidRPr="008C0AB1">
        <w:t>)</w:t>
      </w:r>
      <w:r w:rsidR="002044AC" w:rsidRPr="008C0AB1">
        <w:t xml:space="preserve"> emissions of </w:t>
      </w:r>
      <w:r w:rsidR="007870EA" w:rsidRPr="008C0AB1">
        <w:t>131</w:t>
      </w:r>
      <w:r w:rsidR="002044AC" w:rsidRPr="008C0AB1">
        <w:t>g or more</w:t>
      </w:r>
      <w:r w:rsidR="007870EA" w:rsidRPr="008C0AB1">
        <w:t xml:space="preserve"> but no more than 175</w:t>
      </w:r>
      <w:r w:rsidR="002044AC" w:rsidRPr="008C0AB1">
        <w:t>g</w:t>
      </w:r>
      <w:r w:rsidR="00EA5C8A" w:rsidRPr="008C0AB1">
        <w:t xml:space="preserve"> per kilometre</w:t>
      </w:r>
      <w:r w:rsidR="00C17433" w:rsidRPr="008C0AB1">
        <w:t xml:space="preserve"> according to the Green Vehicle Guide.</w:t>
      </w:r>
    </w:p>
    <w:p w14:paraId="41CFE024" w14:textId="52EF81E4" w:rsidR="00055A58" w:rsidRPr="008C0AB1" w:rsidRDefault="00C9564C" w:rsidP="00580193">
      <w:pPr>
        <w:pStyle w:val="aDef"/>
        <w:spacing w:before="160"/>
        <w:ind w:left="709"/>
        <w:rPr>
          <w:b/>
          <w:bCs/>
          <w:i/>
          <w:iCs/>
        </w:rPr>
      </w:pPr>
      <w:r w:rsidRPr="008C0AB1">
        <w:rPr>
          <w:b/>
          <w:bCs/>
          <w:i/>
          <w:iCs/>
          <w:color w:val="000000"/>
          <w:shd w:val="clear" w:color="auto" w:fill="FFFFFF"/>
        </w:rPr>
        <w:t>BEV</w:t>
      </w:r>
      <w:r w:rsidRPr="008C0AB1">
        <w:rPr>
          <w:color w:val="000000"/>
          <w:shd w:val="clear" w:color="auto" w:fill="FFFFFF"/>
        </w:rPr>
        <w:t> means a battery electric vehicle where the only means of propulsion for the vehicle is via an electric motor/s powered by a battery/</w:t>
      </w:r>
      <w:proofErr w:type="spellStart"/>
      <w:r w:rsidRPr="008C0AB1">
        <w:rPr>
          <w:color w:val="000000"/>
          <w:shd w:val="clear" w:color="auto" w:fill="FFFFFF"/>
        </w:rPr>
        <w:t>ies</w:t>
      </w:r>
      <w:proofErr w:type="spellEnd"/>
      <w:r w:rsidRPr="008C0AB1">
        <w:rPr>
          <w:color w:val="000000"/>
          <w:shd w:val="clear" w:color="auto" w:fill="FFFFFF"/>
        </w:rPr>
        <w:t> that are recharged by plugging the vehicle into an electric power source external to the vehicle.</w:t>
      </w:r>
    </w:p>
    <w:p w14:paraId="3185581A" w14:textId="265C89D7" w:rsidR="00307CEA" w:rsidRPr="008C0AB1" w:rsidRDefault="00307CEA" w:rsidP="00F96C49">
      <w:pPr>
        <w:spacing w:before="160"/>
        <w:ind w:left="709"/>
      </w:pPr>
      <w:r w:rsidRPr="008C0AB1">
        <w:rPr>
          <w:b/>
          <w:bCs/>
          <w:i/>
          <w:iCs/>
        </w:rPr>
        <w:t xml:space="preserve">C-rated vehicle </w:t>
      </w:r>
      <w:r w:rsidR="00A26982" w:rsidRPr="008C0AB1">
        <w:t xml:space="preserve">means </w:t>
      </w:r>
      <w:r w:rsidRPr="008C0AB1">
        <w:t xml:space="preserve">a new motor vehicle that has </w:t>
      </w:r>
      <w:r w:rsidR="00CF1954" w:rsidRPr="008C0AB1">
        <w:t xml:space="preserve">combined </w:t>
      </w:r>
      <w:r w:rsidR="001961FE" w:rsidRPr="008C0AB1">
        <w:t>carbon dioxide (</w:t>
      </w:r>
      <w:r w:rsidR="002044AC" w:rsidRPr="008C0AB1">
        <w:t>CO</w:t>
      </w:r>
      <w:r w:rsidR="002044AC" w:rsidRPr="0033526A">
        <w:rPr>
          <w:vertAlign w:val="subscript"/>
        </w:rPr>
        <w:t>2</w:t>
      </w:r>
      <w:r w:rsidR="001961FE" w:rsidRPr="008C0AB1">
        <w:t>)</w:t>
      </w:r>
      <w:r w:rsidR="007870EA" w:rsidRPr="008C0AB1">
        <w:t xml:space="preserve"> emissions of 176</w:t>
      </w:r>
      <w:r w:rsidR="002044AC" w:rsidRPr="008C0AB1">
        <w:t>g</w:t>
      </w:r>
      <w:r w:rsidR="007870EA" w:rsidRPr="008C0AB1">
        <w:t xml:space="preserve"> or more but no more than 220</w:t>
      </w:r>
      <w:r w:rsidR="002044AC" w:rsidRPr="008C0AB1">
        <w:t>g</w:t>
      </w:r>
      <w:r w:rsidR="00EA5C8A" w:rsidRPr="008C0AB1">
        <w:t xml:space="preserve"> per kilometre</w:t>
      </w:r>
      <w:r w:rsidR="00C17433" w:rsidRPr="008C0AB1">
        <w:t xml:space="preserve"> according to the Green Vehicle Guide.</w:t>
      </w:r>
    </w:p>
    <w:p w14:paraId="6391AA05" w14:textId="7A3195EC" w:rsidR="00307CEA" w:rsidRPr="008C0AB1" w:rsidRDefault="00307CEA" w:rsidP="00F96C49">
      <w:pPr>
        <w:spacing w:before="160"/>
        <w:ind w:left="709"/>
      </w:pPr>
      <w:r w:rsidRPr="008C0AB1">
        <w:rPr>
          <w:b/>
          <w:bCs/>
          <w:i/>
          <w:iCs/>
        </w:rPr>
        <w:t xml:space="preserve">D-rated vehicle </w:t>
      </w:r>
      <w:r w:rsidRPr="008C0AB1">
        <w:t>means a new motor vehicle</w:t>
      </w:r>
      <w:r w:rsidR="004122F2" w:rsidRPr="008C0AB1">
        <w:t xml:space="preserve"> </w:t>
      </w:r>
      <w:r w:rsidRPr="008C0AB1">
        <w:t>that has</w:t>
      </w:r>
      <w:r w:rsidR="00CF1954" w:rsidRPr="008C0AB1">
        <w:t xml:space="preserve"> combined</w:t>
      </w:r>
      <w:r w:rsidRPr="008C0AB1">
        <w:t xml:space="preserve"> </w:t>
      </w:r>
      <w:r w:rsidR="001961FE" w:rsidRPr="008C0AB1">
        <w:t>carbon dioxide (</w:t>
      </w:r>
      <w:r w:rsidR="002044AC" w:rsidRPr="008C0AB1">
        <w:t>CO</w:t>
      </w:r>
      <w:r w:rsidR="002044AC" w:rsidRPr="0033526A">
        <w:rPr>
          <w:vertAlign w:val="subscript"/>
        </w:rPr>
        <w:t>2</w:t>
      </w:r>
      <w:r w:rsidR="002E1DEF" w:rsidRPr="008C0AB1">
        <w:t>)</w:t>
      </w:r>
      <w:r w:rsidR="007870EA" w:rsidRPr="008C0AB1">
        <w:t xml:space="preserve"> emissions of </w:t>
      </w:r>
      <w:r w:rsidR="00D253B0" w:rsidRPr="008C0AB1">
        <w:t xml:space="preserve">more than 220g </w:t>
      </w:r>
      <w:r w:rsidR="00EA5C8A" w:rsidRPr="008C0AB1">
        <w:t>per kilometre</w:t>
      </w:r>
      <w:r w:rsidR="00C17433" w:rsidRPr="008C0AB1">
        <w:t xml:space="preserve"> according to the Green Vehicle Guide.</w:t>
      </w:r>
    </w:p>
    <w:p w14:paraId="66347414" w14:textId="75A80BD9" w:rsidR="00624C4A" w:rsidRPr="008C0AB1" w:rsidRDefault="00624C4A" w:rsidP="00F96C49">
      <w:pPr>
        <w:spacing w:before="160"/>
        <w:ind w:left="709"/>
      </w:pPr>
      <w:r w:rsidRPr="008C0AB1">
        <w:rPr>
          <w:b/>
          <w:bCs/>
          <w:i/>
          <w:iCs/>
        </w:rPr>
        <w:t>demonstrator</w:t>
      </w:r>
      <w:r w:rsidR="005338EE" w:rsidRPr="008C0AB1">
        <w:t>—see the Act, section 208A.</w:t>
      </w:r>
    </w:p>
    <w:p w14:paraId="0556238C" w14:textId="77777777" w:rsidR="00E12BA6" w:rsidRPr="008C0AB1" w:rsidRDefault="00E12BA6" w:rsidP="00F96C49">
      <w:pPr>
        <w:spacing w:before="160"/>
        <w:ind w:left="2161" w:hanging="743"/>
        <w:rPr>
          <w:sz w:val="20"/>
          <w:szCs w:val="20"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="00163EFC" w:rsidRPr="008C0AB1">
        <w:rPr>
          <w:iCs/>
          <w:sz w:val="20"/>
          <w:szCs w:val="20"/>
        </w:rPr>
        <w:t xml:space="preserve">This section defines </w:t>
      </w:r>
      <w:r w:rsidR="00163EFC" w:rsidRPr="008C0AB1">
        <w:rPr>
          <w:b/>
          <w:i/>
          <w:iCs/>
          <w:sz w:val="20"/>
          <w:szCs w:val="20"/>
        </w:rPr>
        <w:t>d</w:t>
      </w:r>
      <w:r w:rsidRPr="008C0AB1">
        <w:rPr>
          <w:b/>
          <w:i/>
          <w:iCs/>
          <w:sz w:val="20"/>
          <w:szCs w:val="20"/>
        </w:rPr>
        <w:t xml:space="preserve">emonstrator </w:t>
      </w:r>
      <w:r w:rsidR="00163EFC" w:rsidRPr="008C0AB1">
        <w:rPr>
          <w:sz w:val="20"/>
          <w:szCs w:val="20"/>
        </w:rPr>
        <w:t>as</w:t>
      </w:r>
      <w:r w:rsidRPr="008C0AB1">
        <w:rPr>
          <w:sz w:val="20"/>
          <w:szCs w:val="20"/>
        </w:rPr>
        <w:t xml:space="preserve"> a new motor vehicle used solely for the sale of another motor vehicle of the same kind.</w:t>
      </w:r>
    </w:p>
    <w:p w14:paraId="4F477229" w14:textId="77777777" w:rsidR="00055A58" w:rsidRPr="008C0AB1" w:rsidRDefault="00055A58">
      <w:pPr>
        <w:rPr>
          <w:b/>
          <w:bCs/>
          <w:i/>
          <w:iCs/>
        </w:rPr>
      </w:pPr>
      <w:r w:rsidRPr="008C0AB1">
        <w:rPr>
          <w:b/>
          <w:bCs/>
          <w:i/>
          <w:iCs/>
        </w:rPr>
        <w:br w:type="page"/>
      </w:r>
    </w:p>
    <w:p w14:paraId="549E6423" w14:textId="5220CC38" w:rsidR="00E958E7" w:rsidRPr="008C0AB1" w:rsidRDefault="00E958E7" w:rsidP="00F96C49">
      <w:pPr>
        <w:spacing w:before="160"/>
        <w:ind w:left="709"/>
      </w:pPr>
      <w:r w:rsidRPr="008C0AB1">
        <w:rPr>
          <w:b/>
          <w:bCs/>
          <w:i/>
          <w:iCs/>
        </w:rPr>
        <w:lastRenderedPageBreak/>
        <w:t>dutiable value</w:t>
      </w:r>
      <w:r w:rsidRPr="008C0AB1">
        <w:t>—see the Act, section 203.</w:t>
      </w:r>
    </w:p>
    <w:p w14:paraId="5B7467FB" w14:textId="77777777" w:rsidR="00163EFC" w:rsidRPr="008C0AB1" w:rsidRDefault="00163EFC" w:rsidP="00F96C49">
      <w:pPr>
        <w:spacing w:before="160"/>
        <w:ind w:left="2161" w:hanging="743"/>
        <w:rPr>
          <w:i/>
          <w:iCs/>
          <w:sz w:val="20"/>
          <w:szCs w:val="20"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Pr="008C0AB1">
        <w:rPr>
          <w:sz w:val="20"/>
          <w:szCs w:val="20"/>
        </w:rPr>
        <w:t>This section defines the dutiable value of a motor vehicle as the greater of the following amounts, less any premium paid for extended warranty insurance:</w:t>
      </w:r>
    </w:p>
    <w:p w14:paraId="1BC5FD26" w14:textId="77777777" w:rsidR="00163EFC" w:rsidRPr="008C0AB1" w:rsidRDefault="00163EFC" w:rsidP="00F96C49">
      <w:pPr>
        <w:spacing w:before="160"/>
        <w:ind w:left="2835" w:hanging="743"/>
        <w:rPr>
          <w:sz w:val="20"/>
          <w:szCs w:val="20"/>
        </w:rPr>
      </w:pPr>
      <w:r w:rsidRPr="008C0AB1">
        <w:rPr>
          <w:sz w:val="20"/>
          <w:szCs w:val="20"/>
        </w:rPr>
        <w:t>(a)</w:t>
      </w:r>
      <w:r w:rsidRPr="008C0AB1">
        <w:rPr>
          <w:sz w:val="20"/>
          <w:szCs w:val="20"/>
        </w:rPr>
        <w:tab/>
        <w:t xml:space="preserve">the consideration in money (or money’s worth) given for the acquisition of the vehicle; </w:t>
      </w:r>
    </w:p>
    <w:p w14:paraId="158D630A" w14:textId="77777777" w:rsidR="00163EFC" w:rsidRPr="008C0AB1" w:rsidRDefault="00163EFC" w:rsidP="00F96C49">
      <w:pPr>
        <w:spacing w:before="160"/>
        <w:ind w:left="2835" w:hanging="743"/>
        <w:rPr>
          <w:sz w:val="20"/>
          <w:szCs w:val="20"/>
        </w:rPr>
      </w:pPr>
      <w:r w:rsidRPr="008C0AB1">
        <w:rPr>
          <w:sz w:val="20"/>
          <w:szCs w:val="20"/>
        </w:rPr>
        <w:t>(b)</w:t>
      </w:r>
      <w:r w:rsidRPr="008C0AB1">
        <w:rPr>
          <w:sz w:val="20"/>
          <w:szCs w:val="20"/>
        </w:rPr>
        <w:tab/>
        <w:t>the market value of the vehicle at the time the duty is payable.</w:t>
      </w:r>
    </w:p>
    <w:p w14:paraId="6C1D2E01" w14:textId="77777777" w:rsidR="00307CEA" w:rsidRPr="008C0AB1" w:rsidRDefault="00307CEA" w:rsidP="00F96C49">
      <w:pPr>
        <w:spacing w:before="160"/>
        <w:ind w:left="709"/>
      </w:pPr>
      <w:r w:rsidRPr="008C0AB1">
        <w:rPr>
          <w:b/>
          <w:bCs/>
          <w:i/>
          <w:iCs/>
        </w:rPr>
        <w:t xml:space="preserve">Green Vehicle Guide </w:t>
      </w:r>
      <w:r w:rsidRPr="008C0AB1">
        <w:t>means the Green Vehicle Guide published by the Commonwealth as in force from time to time.</w:t>
      </w:r>
    </w:p>
    <w:p w14:paraId="367ABF1F" w14:textId="267D08E1" w:rsidR="00307CEA" w:rsidRPr="008C0AB1" w:rsidRDefault="00307CEA" w:rsidP="00F96C49">
      <w:pPr>
        <w:spacing w:before="160"/>
        <w:ind w:left="2161" w:hanging="743"/>
        <w:rPr>
          <w:b/>
          <w:bCs/>
          <w:i/>
          <w:iCs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Pr="008C0AB1">
        <w:rPr>
          <w:sz w:val="20"/>
          <w:szCs w:val="20"/>
        </w:rPr>
        <w:t xml:space="preserve">The Green Vehicle Guide is available at </w:t>
      </w:r>
      <w:hyperlink r:id="rId8" w:history="1">
        <w:r w:rsidR="003958DC" w:rsidRPr="008C0AB1">
          <w:rPr>
            <w:sz w:val="20"/>
            <w:szCs w:val="20"/>
          </w:rPr>
          <w:t>www.greenvehicleguide.gov.au</w:t>
        </w:r>
      </w:hyperlink>
      <w:r w:rsidR="003958DC" w:rsidRPr="008C0AB1">
        <w:rPr>
          <w:sz w:val="20"/>
          <w:szCs w:val="20"/>
        </w:rPr>
        <w:t>.</w:t>
      </w:r>
      <w:r w:rsidR="00F96C49" w:rsidRPr="008C0AB1">
        <w:rPr>
          <w:b/>
          <w:bCs/>
          <w:i/>
          <w:iCs/>
        </w:rPr>
        <w:t xml:space="preserve"> </w:t>
      </w:r>
      <w:r w:rsidR="003958DC" w:rsidRPr="008C0AB1">
        <w:rPr>
          <w:b/>
          <w:bCs/>
          <w:i/>
          <w:iCs/>
        </w:rPr>
        <w:t xml:space="preserve"> </w:t>
      </w:r>
    </w:p>
    <w:p w14:paraId="17BA5108" w14:textId="0D044E4C" w:rsidR="00055A58" w:rsidRPr="008C0AB1" w:rsidRDefault="00C9564C" w:rsidP="000914B6">
      <w:pPr>
        <w:spacing w:before="160"/>
        <w:ind w:left="720"/>
      </w:pPr>
      <w:r w:rsidRPr="008C0AB1">
        <w:rPr>
          <w:b/>
          <w:bCs/>
          <w:i/>
          <w:iCs/>
        </w:rPr>
        <w:t>HFCEV</w:t>
      </w:r>
      <w:r w:rsidRPr="008C0AB1">
        <w:t xml:space="preserve"> means a vehicle that is propelled by an electric motor/s powered by electricity generated by a hydrogen fuel cell, the vehicle carries hydrogen in tanks refuelled from external sources and does not have an internal combustion engine in the vehicle.</w:t>
      </w:r>
    </w:p>
    <w:p w14:paraId="00955569" w14:textId="77777777" w:rsidR="00F87AA9" w:rsidRPr="008C0AB1" w:rsidRDefault="00F87AA9" w:rsidP="00110676">
      <w:pPr>
        <w:autoSpaceDE w:val="0"/>
        <w:autoSpaceDN w:val="0"/>
        <w:adjustRightInd w:val="0"/>
        <w:spacing w:before="160"/>
        <w:ind w:left="709"/>
        <w:rPr>
          <w:iCs/>
          <w:lang w:eastAsia="en-AU"/>
        </w:rPr>
      </w:pPr>
      <w:r w:rsidRPr="008C0AB1">
        <w:rPr>
          <w:b/>
          <w:bCs/>
          <w:i/>
          <w:iCs/>
          <w:lang w:eastAsia="en-AU"/>
        </w:rPr>
        <w:t>motor vehicle</w:t>
      </w:r>
      <w:r w:rsidR="00770FB8" w:rsidRPr="008C0AB1">
        <w:rPr>
          <w:b/>
          <w:bCs/>
          <w:i/>
          <w:iCs/>
          <w:lang w:eastAsia="en-AU"/>
        </w:rPr>
        <w:t>—</w:t>
      </w:r>
      <w:r w:rsidR="00770FB8" w:rsidRPr="008C0AB1">
        <w:rPr>
          <w:bCs/>
          <w:iCs/>
          <w:lang w:eastAsia="en-AU"/>
        </w:rPr>
        <w:t>see the Act, dictionary.</w:t>
      </w:r>
    </w:p>
    <w:p w14:paraId="7BFA5E07" w14:textId="77777777" w:rsidR="00B13783" w:rsidRPr="008C0AB1" w:rsidRDefault="00B13783" w:rsidP="00110676">
      <w:pPr>
        <w:autoSpaceDE w:val="0"/>
        <w:autoSpaceDN w:val="0"/>
        <w:adjustRightInd w:val="0"/>
        <w:spacing w:before="160"/>
        <w:ind w:left="2160" w:hanging="720"/>
        <w:rPr>
          <w:sz w:val="20"/>
          <w:szCs w:val="20"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="00770FB8" w:rsidRPr="008C0AB1">
        <w:rPr>
          <w:iCs/>
          <w:sz w:val="20"/>
          <w:szCs w:val="20"/>
        </w:rPr>
        <w:t xml:space="preserve">The dictionary defines </w:t>
      </w:r>
      <w:r w:rsidR="00770FB8" w:rsidRPr="008C0AB1">
        <w:rPr>
          <w:b/>
          <w:i/>
          <w:iCs/>
          <w:sz w:val="20"/>
          <w:szCs w:val="20"/>
        </w:rPr>
        <w:t xml:space="preserve">motor vehicle </w:t>
      </w:r>
      <w:r w:rsidR="00770FB8" w:rsidRPr="008C0AB1">
        <w:rPr>
          <w:iCs/>
          <w:sz w:val="20"/>
          <w:szCs w:val="20"/>
        </w:rPr>
        <w:t xml:space="preserve">as a motor vehicle or trailer within the meaning of the </w:t>
      </w:r>
      <w:r w:rsidR="00770FB8" w:rsidRPr="008C0AB1">
        <w:rPr>
          <w:i/>
          <w:iCs/>
          <w:sz w:val="20"/>
          <w:szCs w:val="20"/>
        </w:rPr>
        <w:t>Road Transport (Vehicle Registration Act) 1999</w:t>
      </w:r>
      <w:r w:rsidR="00770FB8" w:rsidRPr="008C0AB1">
        <w:rPr>
          <w:sz w:val="20"/>
          <w:szCs w:val="20"/>
        </w:rPr>
        <w:t xml:space="preserve"> but does not include a caravan or camper trailer.</w:t>
      </w:r>
    </w:p>
    <w:p w14:paraId="4EF63E49" w14:textId="77777777" w:rsidR="00C133E5" w:rsidRPr="008C0AB1" w:rsidRDefault="004122F2" w:rsidP="00110676">
      <w:pPr>
        <w:autoSpaceDE w:val="0"/>
        <w:autoSpaceDN w:val="0"/>
        <w:adjustRightInd w:val="0"/>
        <w:spacing w:before="160"/>
        <w:ind w:left="709"/>
        <w:rPr>
          <w:bCs/>
          <w:iCs/>
          <w:lang w:eastAsia="en-AU"/>
        </w:rPr>
      </w:pPr>
      <w:r w:rsidRPr="008C0AB1">
        <w:rPr>
          <w:b/>
          <w:bCs/>
          <w:i/>
          <w:iCs/>
          <w:lang w:eastAsia="en-AU"/>
        </w:rPr>
        <w:t>motorcycle</w:t>
      </w:r>
      <w:r w:rsidRPr="008C0AB1">
        <w:rPr>
          <w:bCs/>
          <w:iCs/>
          <w:lang w:eastAsia="en-AU"/>
        </w:rPr>
        <w:t xml:space="preserve"> means a</w:t>
      </w:r>
      <w:r w:rsidR="00C22A7C" w:rsidRPr="008C0AB1">
        <w:rPr>
          <w:bCs/>
          <w:iCs/>
          <w:lang w:eastAsia="en-AU"/>
        </w:rPr>
        <w:t xml:space="preserve"> motorbike </w:t>
      </w:r>
      <w:r w:rsidR="006D4331" w:rsidRPr="008C0AB1">
        <w:rPr>
          <w:lang w:eastAsia="en-AU"/>
        </w:rPr>
        <w:t>within the meaning of</w:t>
      </w:r>
      <w:r w:rsidR="006D4331" w:rsidRPr="008C0AB1">
        <w:rPr>
          <w:bCs/>
          <w:iCs/>
          <w:lang w:eastAsia="en-AU"/>
        </w:rPr>
        <w:t xml:space="preserve"> </w:t>
      </w:r>
      <w:r w:rsidR="00C22A7C" w:rsidRPr="008C0AB1">
        <w:rPr>
          <w:bCs/>
          <w:iCs/>
          <w:lang w:eastAsia="en-AU"/>
        </w:rPr>
        <w:t xml:space="preserve">the </w:t>
      </w:r>
      <w:r w:rsidR="00C22A7C" w:rsidRPr="008C0AB1">
        <w:rPr>
          <w:bCs/>
          <w:i/>
          <w:iCs/>
          <w:lang w:eastAsia="en-AU"/>
        </w:rPr>
        <w:t>Road Transport (Vehicle Registration) Regulation 2000</w:t>
      </w:r>
      <w:r w:rsidR="00C22A7C" w:rsidRPr="008C0AB1">
        <w:rPr>
          <w:bCs/>
          <w:iCs/>
          <w:lang w:eastAsia="en-AU"/>
        </w:rPr>
        <w:t>.</w:t>
      </w:r>
    </w:p>
    <w:p w14:paraId="57C052C1" w14:textId="77777777" w:rsidR="008001EE" w:rsidRPr="008C0AB1" w:rsidRDefault="003B77E9" w:rsidP="00110676">
      <w:pPr>
        <w:spacing w:before="160"/>
        <w:ind w:left="709"/>
        <w:rPr>
          <w:bCs/>
          <w:iCs/>
        </w:rPr>
      </w:pPr>
      <w:r w:rsidRPr="008C0AB1">
        <w:rPr>
          <w:b/>
          <w:bCs/>
          <w:i/>
          <w:iCs/>
        </w:rPr>
        <w:t>new motorcycle</w:t>
      </w:r>
      <w:r w:rsidRPr="008C0AB1">
        <w:rPr>
          <w:bCs/>
          <w:iCs/>
        </w:rPr>
        <w:t xml:space="preserve"> means a new motor vehicle that is a motorcycle.</w:t>
      </w:r>
    </w:p>
    <w:p w14:paraId="0833A6F6" w14:textId="77777777" w:rsidR="00F90C45" w:rsidRPr="008C0AB1" w:rsidRDefault="00307CEA" w:rsidP="00110676">
      <w:pPr>
        <w:spacing w:before="160"/>
        <w:ind w:left="709"/>
      </w:pPr>
      <w:r w:rsidRPr="008C0AB1">
        <w:rPr>
          <w:b/>
          <w:bCs/>
          <w:i/>
          <w:iCs/>
        </w:rPr>
        <w:t xml:space="preserve">new motor vehicle </w:t>
      </w:r>
      <w:r w:rsidRPr="008C0AB1">
        <w:t>means</w:t>
      </w:r>
      <w:r w:rsidR="00B954B0" w:rsidRPr="008C0AB1">
        <w:rPr>
          <w:rFonts w:ascii="Arial" w:hAnsi="Arial" w:cs="Arial"/>
        </w:rPr>
        <w:t>—</w:t>
      </w:r>
    </w:p>
    <w:p w14:paraId="4098CD9C" w14:textId="77777777" w:rsidR="00307CEA" w:rsidRPr="008C0AB1" w:rsidRDefault="00F90C45" w:rsidP="00730B52">
      <w:pPr>
        <w:spacing w:before="120"/>
        <w:ind w:left="1429" w:hanging="709"/>
      </w:pPr>
      <w:r w:rsidRPr="008C0AB1">
        <w:rPr>
          <w:bCs/>
          <w:iCs/>
        </w:rPr>
        <w:t xml:space="preserve">(a) </w:t>
      </w:r>
      <w:r w:rsidRPr="008C0AB1">
        <w:tab/>
      </w:r>
      <w:r w:rsidR="00261B87" w:rsidRPr="008C0AB1">
        <w:tab/>
      </w:r>
      <w:r w:rsidR="00307CEA" w:rsidRPr="008C0AB1">
        <w:t>a motor vehicle that has not previously been registered under—</w:t>
      </w:r>
    </w:p>
    <w:p w14:paraId="4114B3E3" w14:textId="77777777" w:rsidR="00307CEA" w:rsidRPr="008C0AB1" w:rsidRDefault="00307CEA" w:rsidP="00730B52">
      <w:pPr>
        <w:spacing w:before="120"/>
        <w:ind w:left="2182" w:hanging="720"/>
      </w:pPr>
      <w:r w:rsidRPr="008C0AB1">
        <w:t>(</w:t>
      </w:r>
      <w:proofErr w:type="spellStart"/>
      <w:r w:rsidR="00F90C45" w:rsidRPr="008C0AB1">
        <w:t>i</w:t>
      </w:r>
      <w:proofErr w:type="spellEnd"/>
      <w:r w:rsidRPr="008C0AB1">
        <w:t>)</w:t>
      </w:r>
      <w:r w:rsidRPr="008C0AB1">
        <w:tab/>
        <w:t xml:space="preserve">the </w:t>
      </w:r>
      <w:r w:rsidRPr="008C0AB1">
        <w:rPr>
          <w:i/>
          <w:iCs/>
        </w:rPr>
        <w:t>Road Transport (Vehicle Registration) Act 1999</w:t>
      </w:r>
      <w:r w:rsidRPr="008C0AB1">
        <w:t xml:space="preserve"> or another territory law; or</w:t>
      </w:r>
    </w:p>
    <w:p w14:paraId="5245D99D" w14:textId="77777777" w:rsidR="00307CEA" w:rsidRPr="008C0AB1" w:rsidRDefault="00307CEA" w:rsidP="00730B52">
      <w:pPr>
        <w:spacing w:before="120"/>
        <w:ind w:left="2182" w:hanging="720"/>
      </w:pPr>
      <w:r w:rsidRPr="008C0AB1">
        <w:t>(</w:t>
      </w:r>
      <w:r w:rsidR="00F90C45" w:rsidRPr="008C0AB1">
        <w:t>ii</w:t>
      </w:r>
      <w:r w:rsidRPr="008C0AB1">
        <w:t>)</w:t>
      </w:r>
      <w:r w:rsidRPr="008C0AB1">
        <w:tab/>
        <w:t>a law of the Commonwealth, a State, another Territory or a foreign country;</w:t>
      </w:r>
      <w:r w:rsidR="00F90C45" w:rsidRPr="008C0AB1">
        <w:t xml:space="preserve"> or</w:t>
      </w:r>
    </w:p>
    <w:p w14:paraId="5CBA472E" w14:textId="77777777" w:rsidR="00A773E3" w:rsidRPr="008C0AB1" w:rsidRDefault="00B911C7" w:rsidP="00730B52">
      <w:pPr>
        <w:spacing w:before="120"/>
        <w:ind w:left="1462" w:hanging="731"/>
        <w:rPr>
          <w:i/>
        </w:rPr>
      </w:pPr>
      <w:r w:rsidRPr="008C0AB1">
        <w:t>(b)</w:t>
      </w:r>
      <w:r w:rsidR="00752B61" w:rsidRPr="008C0AB1">
        <w:tab/>
      </w:r>
      <w:r w:rsidR="000C1152" w:rsidRPr="008C0AB1">
        <w:t xml:space="preserve">a </w:t>
      </w:r>
      <w:r w:rsidR="00307CEA" w:rsidRPr="008C0AB1">
        <w:t>demonstrator</w:t>
      </w:r>
      <w:r w:rsidR="00307CEA" w:rsidRPr="008C0AB1">
        <w:rPr>
          <w:b/>
          <w:i/>
        </w:rPr>
        <w:t xml:space="preserve"> </w:t>
      </w:r>
      <w:r w:rsidR="00A773E3" w:rsidRPr="008C0AB1">
        <w:t>disposed of</w:t>
      </w:r>
      <w:r w:rsidR="005140A5" w:rsidRPr="008C0AB1">
        <w:t xml:space="preserve"> </w:t>
      </w:r>
      <w:r w:rsidR="00D6218F" w:rsidRPr="008C0AB1">
        <w:t xml:space="preserve">by a </w:t>
      </w:r>
      <w:r w:rsidR="0056096C" w:rsidRPr="008C0AB1">
        <w:t>licensed dealer</w:t>
      </w:r>
      <w:r w:rsidR="00AE0A47" w:rsidRPr="008C0AB1">
        <w:t xml:space="preserve">, under the </w:t>
      </w:r>
      <w:r w:rsidR="00AE0A47" w:rsidRPr="008C0AB1">
        <w:rPr>
          <w:i/>
        </w:rPr>
        <w:t>Sale of Motor Vehicles Act 1977,</w:t>
      </w:r>
      <w:r w:rsidR="00D6218F" w:rsidRPr="008C0AB1">
        <w:t xml:space="preserve"> within</w:t>
      </w:r>
      <w:r w:rsidR="00290117" w:rsidRPr="008C0AB1">
        <w:t xml:space="preserve"> 1</w:t>
      </w:r>
      <w:r w:rsidR="00D6218F" w:rsidRPr="008C0AB1">
        <w:t> </w:t>
      </w:r>
      <w:r w:rsidR="007A65E8" w:rsidRPr="008C0AB1">
        <w:t>year</w:t>
      </w:r>
      <w:r w:rsidR="00290117" w:rsidRPr="008C0AB1">
        <w:t xml:space="preserve"> </w:t>
      </w:r>
      <w:r w:rsidR="00CB6BE9" w:rsidRPr="008C0AB1">
        <w:t>of</w:t>
      </w:r>
      <w:r w:rsidR="00290117" w:rsidRPr="008C0AB1">
        <w:t xml:space="preserve"> </w:t>
      </w:r>
      <w:r w:rsidR="00CB6BE9" w:rsidRPr="008C0AB1">
        <w:t xml:space="preserve">the date the demonstrator was </w:t>
      </w:r>
      <w:r w:rsidR="00064958" w:rsidRPr="008C0AB1">
        <w:t xml:space="preserve">first </w:t>
      </w:r>
      <w:r w:rsidR="00A773E3" w:rsidRPr="008C0AB1">
        <w:t>registered under</w:t>
      </w:r>
      <w:r w:rsidRPr="008C0AB1">
        <w:t xml:space="preserve"> </w:t>
      </w:r>
      <w:r w:rsidR="00A773E3" w:rsidRPr="008C0AB1">
        <w:t xml:space="preserve">the </w:t>
      </w:r>
      <w:r w:rsidR="00A773E3" w:rsidRPr="008C0AB1">
        <w:rPr>
          <w:i/>
        </w:rPr>
        <w:t>Road Transport (Vehicle Registration) Act 1999</w:t>
      </w:r>
      <w:r w:rsidR="00A773E3" w:rsidRPr="008C0AB1">
        <w:t xml:space="preserve"> or another territory law</w:t>
      </w:r>
      <w:r w:rsidRPr="008C0AB1">
        <w:t>.</w:t>
      </w:r>
    </w:p>
    <w:p w14:paraId="7149A62B" w14:textId="77777777" w:rsidR="001477A8" w:rsidRPr="008C0AB1" w:rsidRDefault="00307CEA" w:rsidP="00110676">
      <w:pPr>
        <w:spacing w:before="160"/>
        <w:ind w:left="709"/>
      </w:pPr>
      <w:r w:rsidRPr="008C0AB1">
        <w:rPr>
          <w:b/>
          <w:bCs/>
          <w:i/>
          <w:iCs/>
        </w:rPr>
        <w:t xml:space="preserve">non-rated vehicle </w:t>
      </w:r>
      <w:r w:rsidR="00502A51" w:rsidRPr="008C0AB1">
        <w:t>means a motor vehicle</w:t>
      </w:r>
      <w:r w:rsidR="001477A8" w:rsidRPr="008C0AB1">
        <w:t xml:space="preserve"> that—</w:t>
      </w:r>
    </w:p>
    <w:p w14:paraId="3178C67E" w14:textId="0BCB3C64" w:rsidR="007822AD" w:rsidRPr="008C0AB1" w:rsidRDefault="007822AD" w:rsidP="00730B52">
      <w:pPr>
        <w:spacing w:before="120"/>
        <w:ind w:left="1451" w:hanging="731"/>
      </w:pPr>
      <w:r w:rsidRPr="008C0AB1">
        <w:t>(</w:t>
      </w:r>
      <w:r w:rsidR="00FC2590" w:rsidRPr="008C0AB1">
        <w:t>a</w:t>
      </w:r>
      <w:r w:rsidRPr="008C0AB1">
        <w:t>)</w:t>
      </w:r>
      <w:r w:rsidRPr="008C0AB1">
        <w:tab/>
        <w:t xml:space="preserve">is not a new motor vehicle; </w:t>
      </w:r>
    </w:p>
    <w:p w14:paraId="00E79AB5" w14:textId="04AC98CA" w:rsidR="00CD3C2D" w:rsidRPr="008C0AB1" w:rsidRDefault="00CD3C2D" w:rsidP="00730B52">
      <w:pPr>
        <w:spacing w:before="120"/>
        <w:ind w:left="1451" w:hanging="731"/>
      </w:pPr>
      <w:r w:rsidRPr="008C0AB1">
        <w:t>(b)</w:t>
      </w:r>
      <w:r w:rsidRPr="008C0AB1">
        <w:tab/>
        <w:t xml:space="preserve">is not a used ZEV; </w:t>
      </w:r>
    </w:p>
    <w:p w14:paraId="245145A5" w14:textId="02A6FBD4" w:rsidR="00CD3C2D" w:rsidRPr="008C0AB1" w:rsidRDefault="00CD3C2D" w:rsidP="00730B52">
      <w:pPr>
        <w:spacing w:before="120"/>
        <w:ind w:left="1451" w:hanging="731"/>
      </w:pPr>
      <w:r w:rsidRPr="008C0AB1">
        <w:t>(c)</w:t>
      </w:r>
      <w:r w:rsidRPr="008C0AB1">
        <w:tab/>
        <w:t>is not a used eligible hybrid;</w:t>
      </w:r>
    </w:p>
    <w:p w14:paraId="5B17A624" w14:textId="1822A8A6" w:rsidR="00CD3C2D" w:rsidRPr="008C0AB1" w:rsidRDefault="00CD3C2D" w:rsidP="00730B52">
      <w:pPr>
        <w:spacing w:before="120"/>
        <w:ind w:left="1451" w:hanging="731"/>
      </w:pPr>
      <w:r w:rsidRPr="008C0AB1">
        <w:t>(d)</w:t>
      </w:r>
      <w:r w:rsidRPr="008C0AB1">
        <w:tab/>
        <w:t>is not a used eligible PHEV; or</w:t>
      </w:r>
    </w:p>
    <w:p w14:paraId="0163A7D1" w14:textId="09AFA8D4" w:rsidR="00495EE0" w:rsidRPr="008C0AB1" w:rsidRDefault="00FC2590" w:rsidP="00730B52">
      <w:pPr>
        <w:spacing w:before="120"/>
        <w:ind w:left="1451" w:hanging="731"/>
      </w:pPr>
      <w:r w:rsidRPr="008C0AB1">
        <w:t>(</w:t>
      </w:r>
      <w:r w:rsidR="0033526A">
        <w:t>e</w:t>
      </w:r>
      <w:r w:rsidR="00502A51" w:rsidRPr="008C0AB1">
        <w:t>)</w:t>
      </w:r>
      <w:r w:rsidR="00502A51" w:rsidRPr="008C0AB1">
        <w:tab/>
      </w:r>
      <w:r w:rsidR="0074206B" w:rsidRPr="008C0AB1">
        <w:t>if the motor vehicle is not a motorcycle—does not appear in the Green Vehicle Guide.</w:t>
      </w:r>
    </w:p>
    <w:p w14:paraId="4B02B738" w14:textId="48EBF486" w:rsidR="00AF796D" w:rsidRPr="008C0AB1" w:rsidRDefault="00AB5372" w:rsidP="00AF796D">
      <w:pPr>
        <w:spacing w:before="160"/>
        <w:ind w:left="720"/>
      </w:pPr>
      <w:bookmarkStart w:id="1" w:name="_Hlk126070683"/>
      <w:r w:rsidRPr="008C0AB1">
        <w:rPr>
          <w:b/>
          <w:bCs/>
          <w:i/>
          <w:iCs/>
        </w:rPr>
        <w:t>u</w:t>
      </w:r>
      <w:r w:rsidR="00AF796D" w:rsidRPr="008C0AB1">
        <w:rPr>
          <w:b/>
          <w:bCs/>
          <w:i/>
          <w:iCs/>
        </w:rPr>
        <w:t>sed eligible hybrid</w:t>
      </w:r>
      <w:r w:rsidR="00AF796D" w:rsidRPr="008C0AB1">
        <w:t xml:space="preserve"> means a used </w:t>
      </w:r>
      <w:r w:rsidR="006839D2" w:rsidRPr="008C0AB1">
        <w:t xml:space="preserve">motor </w:t>
      </w:r>
      <w:r w:rsidR="00AF796D" w:rsidRPr="008C0AB1">
        <w:t>vehicle</w:t>
      </w:r>
      <w:r w:rsidR="00AF796D" w:rsidRPr="008C0AB1">
        <w:rPr>
          <w:rFonts w:ascii="Arial" w:hAnsi="Arial" w:cs="Arial"/>
        </w:rPr>
        <w:t>—</w:t>
      </w:r>
    </w:p>
    <w:p w14:paraId="423BB8F5" w14:textId="74E1A21D" w:rsidR="00AF796D" w:rsidRPr="008C0AB1" w:rsidRDefault="00AF796D" w:rsidP="00AF796D">
      <w:pPr>
        <w:spacing w:before="120"/>
        <w:ind w:left="1429" w:hanging="709"/>
        <w:rPr>
          <w:bCs/>
          <w:iCs/>
        </w:rPr>
      </w:pPr>
      <w:r w:rsidRPr="008C0AB1">
        <w:t>(a)</w:t>
      </w:r>
      <w:r w:rsidRPr="008C0AB1">
        <w:tab/>
      </w:r>
      <w:r w:rsidRPr="008C0AB1">
        <w:rPr>
          <w:bCs/>
          <w:iCs/>
        </w:rPr>
        <w:t>powered by a combination of electric motor/s and an internal combustion engine and cannot be plugged into an external electric power source to recharge the batter</w:t>
      </w:r>
      <w:r w:rsidR="00096700" w:rsidRPr="008C0AB1">
        <w:rPr>
          <w:bCs/>
          <w:iCs/>
        </w:rPr>
        <w:t>y/</w:t>
      </w:r>
      <w:proofErr w:type="spellStart"/>
      <w:r w:rsidRPr="008C0AB1">
        <w:rPr>
          <w:bCs/>
          <w:iCs/>
        </w:rPr>
        <w:t>ies</w:t>
      </w:r>
      <w:proofErr w:type="spellEnd"/>
      <w:r w:rsidRPr="008C0AB1">
        <w:rPr>
          <w:bCs/>
          <w:iCs/>
        </w:rPr>
        <w:t xml:space="preserve">; </w:t>
      </w:r>
    </w:p>
    <w:p w14:paraId="031437ED" w14:textId="579E20EA" w:rsidR="00CF1954" w:rsidRPr="008C0AB1" w:rsidRDefault="00AF796D" w:rsidP="00AF796D">
      <w:pPr>
        <w:spacing w:before="120"/>
        <w:ind w:left="1429" w:hanging="709"/>
        <w:rPr>
          <w:bCs/>
          <w:iCs/>
        </w:rPr>
      </w:pPr>
      <w:r w:rsidRPr="008C0AB1">
        <w:rPr>
          <w:bCs/>
          <w:iCs/>
        </w:rPr>
        <w:lastRenderedPageBreak/>
        <w:t>(b)</w:t>
      </w:r>
      <w:r w:rsidRPr="008C0AB1">
        <w:rPr>
          <w:bCs/>
          <w:iCs/>
        </w:rPr>
        <w:tab/>
      </w:r>
      <w:r w:rsidR="00CD3C2D" w:rsidRPr="008C0AB1">
        <w:rPr>
          <w:bCs/>
          <w:iCs/>
        </w:rPr>
        <w:t xml:space="preserve">that </w:t>
      </w:r>
      <w:r w:rsidRPr="008C0AB1">
        <w:rPr>
          <w:bCs/>
          <w:iCs/>
        </w:rPr>
        <w:t>when a new motor vehicle</w:t>
      </w:r>
      <w:r w:rsidR="00C15F86" w:rsidRPr="008C0AB1">
        <w:t xml:space="preserve"> had combined carbon dioxide (CO</w:t>
      </w:r>
      <w:r w:rsidR="00C15F86" w:rsidRPr="008C0AB1">
        <w:rPr>
          <w:vertAlign w:val="subscript"/>
        </w:rPr>
        <w:t>2</w:t>
      </w:r>
      <w:r w:rsidR="00C15F86" w:rsidRPr="008C0AB1">
        <w:t>) emissions of no more than 130g per kilometre according to the Green Vehicle Guide</w:t>
      </w:r>
      <w:r w:rsidR="00CF1954" w:rsidRPr="008C0AB1">
        <w:rPr>
          <w:bCs/>
          <w:iCs/>
        </w:rPr>
        <w:t>; and</w:t>
      </w:r>
    </w:p>
    <w:p w14:paraId="36A5DA31" w14:textId="7AC859E0" w:rsidR="00C15F86" w:rsidRPr="008C0AB1" w:rsidRDefault="00CF1954" w:rsidP="00CD3C2D">
      <w:pPr>
        <w:spacing w:before="120"/>
        <w:ind w:left="1429" w:hanging="709"/>
        <w:rPr>
          <w:bCs/>
          <w:iCs/>
        </w:rPr>
      </w:pPr>
      <w:r w:rsidRPr="008C0AB1">
        <w:rPr>
          <w:bCs/>
          <w:iCs/>
        </w:rPr>
        <w:t>(c)</w:t>
      </w:r>
      <w:r w:rsidRPr="008C0AB1">
        <w:rPr>
          <w:bCs/>
          <w:iCs/>
        </w:rPr>
        <w:tab/>
        <w:t>that is not a motorcycle</w:t>
      </w:r>
      <w:r w:rsidR="00AF796D" w:rsidRPr="008C0AB1">
        <w:rPr>
          <w:bCs/>
          <w:iCs/>
        </w:rPr>
        <w:t>.</w:t>
      </w:r>
      <w:bookmarkEnd w:id="1"/>
    </w:p>
    <w:p w14:paraId="17BE71BB" w14:textId="3D17FB08" w:rsidR="00C15F86" w:rsidRPr="008C0AB1" w:rsidRDefault="00C15F86" w:rsidP="00C15F86">
      <w:pPr>
        <w:autoSpaceDE w:val="0"/>
        <w:autoSpaceDN w:val="0"/>
        <w:adjustRightInd w:val="0"/>
        <w:spacing w:before="160"/>
        <w:ind w:left="2160" w:hanging="720"/>
        <w:rPr>
          <w:sz w:val="20"/>
          <w:szCs w:val="20"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Pr="008C0AB1">
        <w:rPr>
          <w:iCs/>
          <w:sz w:val="20"/>
          <w:szCs w:val="20"/>
        </w:rPr>
        <w:t xml:space="preserve">A used hybrid that is not a </w:t>
      </w:r>
      <w:r w:rsidRPr="008C0AB1">
        <w:rPr>
          <w:b/>
          <w:bCs/>
          <w:i/>
          <w:sz w:val="20"/>
          <w:szCs w:val="20"/>
        </w:rPr>
        <w:t>used eligible hybrid</w:t>
      </w:r>
      <w:r w:rsidRPr="008C0AB1">
        <w:rPr>
          <w:iCs/>
          <w:sz w:val="20"/>
          <w:szCs w:val="20"/>
        </w:rPr>
        <w:t xml:space="preserve"> </w:t>
      </w:r>
      <w:r w:rsidRPr="008C0AB1">
        <w:rPr>
          <w:sz w:val="20"/>
          <w:szCs w:val="20"/>
        </w:rPr>
        <w:t>will be a non-rated vehicle.</w:t>
      </w:r>
    </w:p>
    <w:p w14:paraId="325F97EC" w14:textId="001DCAC2" w:rsidR="00AF796D" w:rsidRPr="008C0AB1" w:rsidRDefault="00C15F86" w:rsidP="00C15F86">
      <w:pPr>
        <w:spacing w:before="160"/>
        <w:ind w:firstLine="720"/>
        <w:rPr>
          <w:rFonts w:ascii="Arial" w:hAnsi="Arial" w:cs="Arial"/>
        </w:rPr>
      </w:pPr>
      <w:r w:rsidRPr="008C0AB1">
        <w:rPr>
          <w:b/>
          <w:bCs/>
          <w:i/>
          <w:iCs/>
        </w:rPr>
        <w:t>us</w:t>
      </w:r>
      <w:r w:rsidR="00AF796D" w:rsidRPr="008C0AB1">
        <w:rPr>
          <w:b/>
          <w:bCs/>
          <w:i/>
          <w:iCs/>
        </w:rPr>
        <w:t xml:space="preserve">ed eligible </w:t>
      </w:r>
      <w:r w:rsidR="009D65FC" w:rsidRPr="008C0AB1">
        <w:rPr>
          <w:b/>
          <w:bCs/>
          <w:i/>
          <w:iCs/>
        </w:rPr>
        <w:t>PHEV</w:t>
      </w:r>
      <w:r w:rsidR="009D65FC" w:rsidRPr="008C0AB1">
        <w:t xml:space="preserve"> means a </w:t>
      </w:r>
      <w:r w:rsidR="00AF796D" w:rsidRPr="008C0AB1">
        <w:t xml:space="preserve">used </w:t>
      </w:r>
      <w:r w:rsidR="006839D2" w:rsidRPr="008C0AB1">
        <w:t xml:space="preserve">motor </w:t>
      </w:r>
      <w:r w:rsidR="009D65FC" w:rsidRPr="008C0AB1">
        <w:t>vehicle</w:t>
      </w:r>
      <w:r w:rsidR="00AF796D" w:rsidRPr="008C0AB1">
        <w:rPr>
          <w:rFonts w:ascii="Arial" w:hAnsi="Arial" w:cs="Arial"/>
        </w:rPr>
        <w:t>—</w:t>
      </w:r>
    </w:p>
    <w:p w14:paraId="4C618C48" w14:textId="3EEE93BE" w:rsidR="009D65FC" w:rsidRPr="008C0AB1" w:rsidRDefault="00AF796D" w:rsidP="00AF796D">
      <w:pPr>
        <w:spacing w:before="120"/>
        <w:ind w:left="1429" w:hanging="709"/>
        <w:rPr>
          <w:bCs/>
          <w:iCs/>
        </w:rPr>
      </w:pPr>
      <w:r w:rsidRPr="008C0AB1">
        <w:rPr>
          <w:bCs/>
          <w:iCs/>
        </w:rPr>
        <w:t>(a)</w:t>
      </w:r>
      <w:r w:rsidRPr="008C0AB1">
        <w:rPr>
          <w:bCs/>
          <w:iCs/>
        </w:rPr>
        <w:tab/>
      </w:r>
      <w:r w:rsidR="009D65FC" w:rsidRPr="008C0AB1">
        <w:rPr>
          <w:bCs/>
          <w:iCs/>
        </w:rPr>
        <w:t>propelled by a combination of electric motor/s and/or an internal combustion engine that can operate together or separately and the battery/</w:t>
      </w:r>
      <w:proofErr w:type="spellStart"/>
      <w:r w:rsidR="009D65FC" w:rsidRPr="008C0AB1">
        <w:rPr>
          <w:bCs/>
          <w:iCs/>
        </w:rPr>
        <w:t>ies</w:t>
      </w:r>
      <w:proofErr w:type="spellEnd"/>
      <w:r w:rsidR="009D65FC" w:rsidRPr="008C0AB1">
        <w:rPr>
          <w:bCs/>
          <w:iCs/>
        </w:rPr>
        <w:t xml:space="preserve"> can </w:t>
      </w:r>
      <w:bookmarkStart w:id="2" w:name="_Hlk126070885"/>
      <w:r w:rsidR="009D65FC" w:rsidRPr="008C0AB1">
        <w:rPr>
          <w:bCs/>
          <w:iCs/>
        </w:rPr>
        <w:t xml:space="preserve">be recharged by plugging the vehicle into an electric power source external </w:t>
      </w:r>
      <w:bookmarkEnd w:id="2"/>
      <w:r w:rsidR="009D65FC" w:rsidRPr="008C0AB1">
        <w:rPr>
          <w:bCs/>
          <w:iCs/>
        </w:rPr>
        <w:t>to the vehicle</w:t>
      </w:r>
      <w:r w:rsidRPr="008C0AB1">
        <w:rPr>
          <w:bCs/>
          <w:iCs/>
        </w:rPr>
        <w:t xml:space="preserve">; </w:t>
      </w:r>
    </w:p>
    <w:p w14:paraId="0118A377" w14:textId="459690A1" w:rsidR="00CF1954" w:rsidRPr="008C0AB1" w:rsidRDefault="00AF796D">
      <w:pPr>
        <w:spacing w:before="120"/>
        <w:ind w:left="1429" w:hanging="709"/>
        <w:rPr>
          <w:bCs/>
          <w:iCs/>
        </w:rPr>
      </w:pPr>
      <w:r w:rsidRPr="008C0AB1">
        <w:rPr>
          <w:bCs/>
          <w:iCs/>
        </w:rPr>
        <w:t>(b)</w:t>
      </w:r>
      <w:r w:rsidRPr="008C0AB1">
        <w:rPr>
          <w:bCs/>
          <w:iCs/>
        </w:rPr>
        <w:tab/>
      </w:r>
      <w:r w:rsidR="00C15F86" w:rsidRPr="008C0AB1">
        <w:rPr>
          <w:bCs/>
          <w:iCs/>
        </w:rPr>
        <w:t>when a new motor vehicle</w:t>
      </w:r>
      <w:r w:rsidR="00C15F86" w:rsidRPr="008C0AB1">
        <w:t xml:space="preserve"> had combined carbon dioxide (CO</w:t>
      </w:r>
      <w:r w:rsidR="00C15F86" w:rsidRPr="008C0AB1">
        <w:rPr>
          <w:vertAlign w:val="subscript"/>
        </w:rPr>
        <w:t>2</w:t>
      </w:r>
      <w:r w:rsidR="00C15F86" w:rsidRPr="008C0AB1">
        <w:t>) emissions of no more than 130g per kilometre according to the Green Vehicle Guide</w:t>
      </w:r>
      <w:r w:rsidR="00CF1954" w:rsidRPr="008C0AB1">
        <w:rPr>
          <w:bCs/>
          <w:iCs/>
        </w:rPr>
        <w:t>; and</w:t>
      </w:r>
    </w:p>
    <w:p w14:paraId="0A4EC40E" w14:textId="757F87F2" w:rsidR="00AF796D" w:rsidRPr="008C0AB1" w:rsidRDefault="00CF1954" w:rsidP="001B6740">
      <w:pPr>
        <w:spacing w:before="120"/>
        <w:ind w:left="1429" w:hanging="709"/>
        <w:rPr>
          <w:bCs/>
          <w:iCs/>
        </w:rPr>
      </w:pPr>
      <w:r w:rsidRPr="008C0AB1">
        <w:rPr>
          <w:bCs/>
          <w:iCs/>
        </w:rPr>
        <w:t>(c)</w:t>
      </w:r>
      <w:r w:rsidRPr="008C0AB1">
        <w:rPr>
          <w:bCs/>
          <w:iCs/>
        </w:rPr>
        <w:tab/>
        <w:t>that is not a motorcycle</w:t>
      </w:r>
      <w:r w:rsidR="00AF796D" w:rsidRPr="008C0AB1">
        <w:rPr>
          <w:bCs/>
          <w:iCs/>
        </w:rPr>
        <w:t>.</w:t>
      </w:r>
    </w:p>
    <w:p w14:paraId="6A3781F6" w14:textId="57BAA434" w:rsidR="00C15F86" w:rsidRPr="008C0AB1" w:rsidRDefault="00C15F86" w:rsidP="00C15F86">
      <w:pPr>
        <w:autoSpaceDE w:val="0"/>
        <w:autoSpaceDN w:val="0"/>
        <w:adjustRightInd w:val="0"/>
        <w:spacing w:before="160"/>
        <w:ind w:left="2160" w:hanging="720"/>
        <w:rPr>
          <w:sz w:val="20"/>
          <w:szCs w:val="20"/>
        </w:rPr>
      </w:pPr>
      <w:r w:rsidRPr="008C0AB1">
        <w:rPr>
          <w:i/>
          <w:iCs/>
          <w:sz w:val="20"/>
          <w:szCs w:val="20"/>
        </w:rPr>
        <w:t>Note</w:t>
      </w:r>
      <w:r w:rsidRPr="008C0AB1">
        <w:rPr>
          <w:i/>
          <w:iCs/>
          <w:sz w:val="20"/>
          <w:szCs w:val="20"/>
        </w:rPr>
        <w:tab/>
      </w:r>
      <w:r w:rsidRPr="008C0AB1">
        <w:rPr>
          <w:iCs/>
          <w:sz w:val="20"/>
          <w:szCs w:val="20"/>
        </w:rPr>
        <w:t xml:space="preserve">A used PHEV that is not a </w:t>
      </w:r>
      <w:r w:rsidRPr="008C0AB1">
        <w:rPr>
          <w:b/>
          <w:bCs/>
          <w:i/>
          <w:sz w:val="20"/>
          <w:szCs w:val="20"/>
        </w:rPr>
        <w:t>used eligible PHEV</w:t>
      </w:r>
      <w:r w:rsidRPr="008C0AB1">
        <w:rPr>
          <w:iCs/>
          <w:sz w:val="20"/>
          <w:szCs w:val="20"/>
        </w:rPr>
        <w:t xml:space="preserve"> </w:t>
      </w:r>
      <w:r w:rsidRPr="008C0AB1">
        <w:rPr>
          <w:sz w:val="20"/>
          <w:szCs w:val="20"/>
        </w:rPr>
        <w:t>will be a non-rated vehicle.</w:t>
      </w:r>
    </w:p>
    <w:p w14:paraId="6729C0CF" w14:textId="6E22D983" w:rsidR="00110676" w:rsidRPr="008C0AB1" w:rsidRDefault="00495EE0" w:rsidP="001B6740">
      <w:pPr>
        <w:spacing w:before="160"/>
        <w:ind w:firstLine="720"/>
      </w:pPr>
      <w:r w:rsidRPr="008C0AB1">
        <w:rPr>
          <w:b/>
          <w:bCs/>
          <w:i/>
          <w:iCs/>
        </w:rPr>
        <w:t xml:space="preserve">used vehicle </w:t>
      </w:r>
      <w:r w:rsidRPr="008C0AB1">
        <w:t>means a motor vehicle that is not a new motor vehicle.</w:t>
      </w:r>
    </w:p>
    <w:p w14:paraId="47D6B4C5" w14:textId="681FAA45" w:rsidR="00D1131D" w:rsidRDefault="00D1131D" w:rsidP="00D1131D">
      <w:pPr>
        <w:keepNext/>
        <w:spacing w:before="160"/>
        <w:ind w:left="720"/>
        <w:rPr>
          <w:b/>
          <w:bCs/>
          <w:i/>
          <w:iCs/>
        </w:rPr>
      </w:pPr>
      <w:r w:rsidRPr="008C0AB1">
        <w:rPr>
          <w:b/>
          <w:bCs/>
          <w:i/>
          <w:iCs/>
        </w:rPr>
        <w:t xml:space="preserve">zero emissions vehicle (ZEV) </w:t>
      </w:r>
      <w:r w:rsidRPr="008C0AB1">
        <w:t xml:space="preserve">means a </w:t>
      </w:r>
      <w:r w:rsidR="00876646" w:rsidRPr="008C0AB1">
        <w:t xml:space="preserve">new or used </w:t>
      </w:r>
      <w:r w:rsidRPr="008C0AB1">
        <w:t xml:space="preserve">motor vehicle that is a </w:t>
      </w:r>
      <w:r w:rsidR="00C9564C" w:rsidRPr="008C0AB1">
        <w:t>BEV</w:t>
      </w:r>
      <w:r w:rsidRPr="008C0AB1">
        <w:t xml:space="preserve"> or a </w:t>
      </w:r>
      <w:r w:rsidR="00C9564C" w:rsidRPr="008C0AB1">
        <w:t>HFCEV</w:t>
      </w:r>
      <w:r w:rsidRPr="008C0AB1">
        <w:rPr>
          <w:b/>
          <w:bCs/>
          <w:i/>
          <w:iCs/>
        </w:rPr>
        <w:t>.</w:t>
      </w:r>
    </w:p>
    <w:p w14:paraId="79C0FB51" w14:textId="1AAE22EC" w:rsidR="00055A58" w:rsidRDefault="00055A58" w:rsidP="00055A58">
      <w:pPr>
        <w:autoSpaceDE w:val="0"/>
        <w:autoSpaceDN w:val="0"/>
        <w:adjustRightInd w:val="0"/>
        <w:spacing w:before="3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Displacement of Legislation Act, s 47 (6)—Green Vehicle Guide</w:t>
      </w:r>
    </w:p>
    <w:p w14:paraId="7B7645AA" w14:textId="77777777" w:rsidR="00055A58" w:rsidRDefault="00055A58" w:rsidP="00055A58">
      <w:pPr>
        <w:autoSpaceDE w:val="0"/>
        <w:autoSpaceDN w:val="0"/>
        <w:adjustRightInd w:val="0"/>
        <w:spacing w:before="80" w:after="60"/>
        <w:ind w:firstLine="720"/>
        <w:rPr>
          <w:lang w:eastAsia="en-AU"/>
        </w:rPr>
      </w:pPr>
      <w:r w:rsidRPr="00B94581">
        <w:rPr>
          <w:lang w:eastAsia="en-AU"/>
        </w:rPr>
        <w:t xml:space="preserve">The </w:t>
      </w:r>
      <w:r w:rsidRPr="00B94581">
        <w:rPr>
          <w:i/>
          <w:lang w:eastAsia="en-AU"/>
        </w:rPr>
        <w:t>Legislation Act 2001</w:t>
      </w:r>
      <w:r w:rsidRPr="00B94581">
        <w:rPr>
          <w:lang w:eastAsia="en-AU"/>
        </w:rPr>
        <w:t>, section 47 (</w:t>
      </w:r>
      <w:r>
        <w:rPr>
          <w:lang w:eastAsia="en-AU"/>
        </w:rPr>
        <w:t>6</w:t>
      </w:r>
      <w:r w:rsidRPr="00B94581">
        <w:rPr>
          <w:lang w:eastAsia="en-AU"/>
        </w:rPr>
        <w:t xml:space="preserve">) does not apply to the Green Vehicle </w:t>
      </w:r>
      <w:r>
        <w:rPr>
          <w:lang w:eastAsia="en-AU"/>
        </w:rPr>
        <w:t>G</w:t>
      </w:r>
      <w:r w:rsidRPr="00B94581">
        <w:rPr>
          <w:lang w:eastAsia="en-AU"/>
        </w:rPr>
        <w:t>uide.</w:t>
      </w:r>
    </w:p>
    <w:p w14:paraId="035B72B0" w14:textId="77777777" w:rsidR="00055A58" w:rsidRDefault="00055A58" w:rsidP="00055A58">
      <w:pPr>
        <w:autoSpaceDE w:val="0"/>
        <w:autoSpaceDN w:val="0"/>
        <w:adjustRightInd w:val="0"/>
        <w:spacing w:before="80" w:after="60"/>
        <w:ind w:left="2160" w:hanging="720"/>
        <w:rPr>
          <w:sz w:val="20"/>
          <w:szCs w:val="20"/>
        </w:rPr>
      </w:pPr>
      <w:r w:rsidRPr="00FE4029">
        <w:rPr>
          <w:i/>
          <w:iCs/>
          <w:sz w:val="20"/>
          <w:szCs w:val="20"/>
        </w:rPr>
        <w:t>Note</w:t>
      </w:r>
      <w:r w:rsidRPr="00FE4029">
        <w:rPr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This section of the Legislation Act </w:t>
      </w:r>
      <w:r w:rsidRPr="00FE4029">
        <w:rPr>
          <w:sz w:val="20"/>
          <w:szCs w:val="20"/>
        </w:rPr>
        <w:t xml:space="preserve">would require the Green Vehicle Guide to </w:t>
      </w:r>
      <w:r>
        <w:rPr>
          <w:sz w:val="20"/>
          <w:szCs w:val="20"/>
        </w:rPr>
        <w:t>be re</w:t>
      </w:r>
      <w:r w:rsidRPr="00FE4029">
        <w:rPr>
          <w:sz w:val="20"/>
          <w:szCs w:val="20"/>
        </w:rPr>
        <w:t xml:space="preserve">made as a </w:t>
      </w:r>
      <w:r>
        <w:rPr>
          <w:sz w:val="20"/>
          <w:szCs w:val="20"/>
        </w:rPr>
        <w:t>n</w:t>
      </w:r>
      <w:r w:rsidRPr="00FE4029">
        <w:rPr>
          <w:sz w:val="20"/>
          <w:szCs w:val="20"/>
        </w:rPr>
        <w:t xml:space="preserve">otifiable </w:t>
      </w:r>
      <w:r>
        <w:rPr>
          <w:sz w:val="20"/>
          <w:szCs w:val="20"/>
        </w:rPr>
        <w:t>i</w:t>
      </w:r>
      <w:r w:rsidRPr="00FE4029">
        <w:rPr>
          <w:sz w:val="20"/>
          <w:szCs w:val="20"/>
        </w:rPr>
        <w:t>nstrument each time the Green Vehicle Guide is amended.</w:t>
      </w:r>
    </w:p>
    <w:p w14:paraId="12E1BA44" w14:textId="163820A2" w:rsidR="00307CEA" w:rsidRDefault="00055A58" w:rsidP="00110676">
      <w:pPr>
        <w:keepNext/>
        <w:spacing w:before="3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07CEA">
        <w:rPr>
          <w:rFonts w:ascii="Arial" w:hAnsi="Arial" w:cs="Arial"/>
          <w:b/>
          <w:bCs/>
        </w:rPr>
        <w:tab/>
        <w:t>Determination of amounts payable—</w:t>
      </w:r>
      <w:r w:rsidR="0074206B">
        <w:rPr>
          <w:rFonts w:ascii="Arial" w:hAnsi="Arial" w:cs="Arial"/>
          <w:b/>
          <w:bCs/>
        </w:rPr>
        <w:t>the</w:t>
      </w:r>
      <w:r w:rsidR="00307CEA">
        <w:rPr>
          <w:rFonts w:ascii="Arial" w:hAnsi="Arial" w:cs="Arial"/>
          <w:b/>
          <w:bCs/>
        </w:rPr>
        <w:t xml:space="preserve"> Act, </w:t>
      </w:r>
      <w:r w:rsidR="004164C5">
        <w:rPr>
          <w:rFonts w:ascii="Arial" w:hAnsi="Arial" w:cs="Arial"/>
          <w:b/>
          <w:bCs/>
        </w:rPr>
        <w:t>s</w:t>
      </w:r>
      <w:r w:rsidR="00307CEA">
        <w:rPr>
          <w:rFonts w:ascii="Arial" w:hAnsi="Arial" w:cs="Arial"/>
          <w:b/>
          <w:bCs/>
        </w:rPr>
        <w:t xml:space="preserve"> 208</w:t>
      </w:r>
    </w:p>
    <w:p w14:paraId="78B38E3A" w14:textId="32EC7002" w:rsidR="00580193" w:rsidRDefault="00307CEA" w:rsidP="00676853">
      <w:pPr>
        <w:spacing w:before="80" w:after="120"/>
        <w:ind w:left="720"/>
        <w:rPr>
          <w:rFonts w:ascii="Arial" w:hAnsi="Arial" w:cs="Arial"/>
          <w:b/>
          <w:bCs/>
        </w:rPr>
      </w:pPr>
      <w:r>
        <w:t>For the purposes of s</w:t>
      </w:r>
      <w:r w:rsidR="007F5B18">
        <w:t>ection</w:t>
      </w:r>
      <w:r>
        <w:t xml:space="preserve"> 208 of the </w:t>
      </w:r>
      <w:r w:rsidRPr="00025A50">
        <w:rPr>
          <w:iCs/>
        </w:rPr>
        <w:t>Act</w:t>
      </w:r>
      <w:r>
        <w:t xml:space="preserve">, the duty chargeable or payable on the </w:t>
      </w:r>
      <w:r w:rsidR="00E958E7">
        <w:rPr>
          <w:b/>
          <w:bCs/>
          <w:i/>
          <w:iCs/>
        </w:rPr>
        <w:t>dutiable value</w:t>
      </w:r>
      <w:r>
        <w:t xml:space="preserve"> in relation to a motor vehicle listed in column 1 of </w:t>
      </w:r>
      <w:r w:rsidR="009B24BE">
        <w:t>t</w:t>
      </w:r>
      <w:r>
        <w:t xml:space="preserve">ables </w:t>
      </w:r>
      <w:r w:rsidR="00580193">
        <w:t>1</w:t>
      </w:r>
      <w:r>
        <w:t xml:space="preserve"> and </w:t>
      </w:r>
      <w:r w:rsidR="00580193">
        <w:t>2</w:t>
      </w:r>
      <w:r>
        <w:t xml:space="preserve"> is the rate of duty listed in column </w:t>
      </w:r>
      <w:r w:rsidRPr="008C0AB1">
        <w:t>2</w:t>
      </w:r>
      <w:r w:rsidR="008C0AB1" w:rsidRPr="008C0AB1">
        <w:t xml:space="preserve"> </w:t>
      </w:r>
      <w:r w:rsidRPr="008C0AB1">
        <w:t>opposite that vehicle</w:t>
      </w:r>
      <w:r w:rsidR="00CA4DA8" w:rsidRPr="008C0AB1">
        <w:t xml:space="preserve"> for the relevant period</w:t>
      </w:r>
      <w:r>
        <w:t>.</w:t>
      </w:r>
    </w:p>
    <w:p w14:paraId="1B644ADF" w14:textId="77777777" w:rsidR="00307CEA" w:rsidRDefault="00307CEA" w:rsidP="00F96C49">
      <w:pPr>
        <w:spacing w:before="80"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</w:t>
      </w:r>
      <w:r w:rsidR="0058019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Amounts payable—</w:t>
      </w:r>
      <w:r w:rsidR="00025A50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Act, </w:t>
      </w:r>
      <w:r w:rsidR="00EF0EB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208 (1)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8C0AB1" w14:paraId="4A18C3BE" w14:textId="5AA2EC29" w:rsidTr="008C0AB1">
        <w:trPr>
          <w:cantSplit/>
          <w:tblHeader/>
        </w:trPr>
        <w:tc>
          <w:tcPr>
            <w:tcW w:w="4111" w:type="dxa"/>
            <w:shd w:val="clear" w:color="auto" w:fill="C0C0C0"/>
          </w:tcPr>
          <w:p w14:paraId="719913F7" w14:textId="5F40F764" w:rsidR="008C0AB1" w:rsidRDefault="008C0AB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Column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s 208 (1) of the 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969" w:type="dxa"/>
            <w:shd w:val="clear" w:color="auto" w:fill="C0C0C0"/>
          </w:tcPr>
          <w:p w14:paraId="189FEB76" w14:textId="095565D4" w:rsidR="008C0AB1" w:rsidRDefault="008C0AB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Column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Rate of duty for 1 July 2023 to 30 June 2024 </w:t>
            </w:r>
          </w:p>
        </w:tc>
      </w:tr>
      <w:tr w:rsidR="008C0AB1" w14:paraId="7F6F7B59" w14:textId="4C1AEB3D" w:rsidTr="008C0AB1">
        <w:trPr>
          <w:cantSplit/>
        </w:trPr>
        <w:tc>
          <w:tcPr>
            <w:tcW w:w="4111" w:type="dxa"/>
          </w:tcPr>
          <w:p w14:paraId="331A1A81" w14:textId="6A2D8B29" w:rsidR="008C0AB1" w:rsidRPr="008C0AB1" w:rsidRDefault="008C0AB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A-rated vehicle; </w:t>
            </w:r>
          </w:p>
          <w:p w14:paraId="108EAD66" w14:textId="77777777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ZEV;</w:t>
            </w:r>
          </w:p>
          <w:p w14:paraId="4927A868" w14:textId="77777777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used eligible hybrid; and</w:t>
            </w:r>
          </w:p>
          <w:p w14:paraId="0B778F79" w14:textId="11746BC9" w:rsidR="008C0AB1" w:rsidRPr="008C0AB1" w:rsidRDefault="008C0AB1" w:rsidP="00AB5372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used eligible PHEV</w:t>
            </w:r>
          </w:p>
        </w:tc>
        <w:tc>
          <w:tcPr>
            <w:tcW w:w="3969" w:type="dxa"/>
          </w:tcPr>
          <w:p w14:paraId="04C7C8D0" w14:textId="77777777" w:rsidR="008C0AB1" w:rsidRPr="008C0AB1" w:rsidRDefault="008C0AB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Nil</w:t>
            </w:r>
          </w:p>
        </w:tc>
      </w:tr>
      <w:tr w:rsidR="008C0AB1" w14:paraId="32830A07" w14:textId="2E22BADC" w:rsidTr="008C0AB1">
        <w:trPr>
          <w:cantSplit/>
        </w:trPr>
        <w:tc>
          <w:tcPr>
            <w:tcW w:w="4111" w:type="dxa"/>
          </w:tcPr>
          <w:p w14:paraId="72DBF07A" w14:textId="77777777" w:rsidR="008C0AB1" w:rsidRPr="008C0AB1" w:rsidRDefault="008C0AB1" w:rsidP="00C9564C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B-rated vehicle; and</w:t>
            </w:r>
          </w:p>
          <w:p w14:paraId="7AA56EEE" w14:textId="77777777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New motorcycle (other than a ZEV)</w:t>
            </w:r>
          </w:p>
        </w:tc>
        <w:tc>
          <w:tcPr>
            <w:tcW w:w="3969" w:type="dxa"/>
          </w:tcPr>
          <w:p w14:paraId="379D8EFB" w14:textId="77777777" w:rsidR="008C0AB1" w:rsidRPr="008C0AB1" w:rsidRDefault="008C0AB1" w:rsidP="00C9564C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$1 for every $100, or part of $100, of the </w:t>
            </w:r>
            <w:r w:rsidRPr="008C0AB1">
              <w:rPr>
                <w:bCs/>
                <w:iCs/>
                <w:sz w:val="20"/>
                <w:szCs w:val="20"/>
              </w:rPr>
              <w:t>dutiable value</w:t>
            </w:r>
          </w:p>
        </w:tc>
      </w:tr>
      <w:tr w:rsidR="00A91C6B" w14:paraId="2087A14A" w14:textId="77777777" w:rsidTr="008C0AB1">
        <w:trPr>
          <w:cantSplit/>
        </w:trPr>
        <w:tc>
          <w:tcPr>
            <w:tcW w:w="4111" w:type="dxa"/>
          </w:tcPr>
          <w:p w14:paraId="4357C027" w14:textId="3C2DBB56" w:rsidR="00A91C6B" w:rsidRPr="0033526A" w:rsidRDefault="00A91C6B" w:rsidP="00A91C6B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>Non-rated vehicle (other than a used ZEV, used eligible hybrid or used eligible PHEV)</w:t>
            </w:r>
          </w:p>
        </w:tc>
        <w:tc>
          <w:tcPr>
            <w:tcW w:w="3969" w:type="dxa"/>
          </w:tcPr>
          <w:p w14:paraId="18737621" w14:textId="15AE4B1D" w:rsidR="00A91C6B" w:rsidRPr="0033526A" w:rsidRDefault="00A91C6B" w:rsidP="00A91C6B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 xml:space="preserve">$3 for every $100, or part of $100, of the </w:t>
            </w:r>
            <w:r w:rsidRPr="0033526A">
              <w:rPr>
                <w:bCs/>
                <w:iCs/>
                <w:sz w:val="20"/>
                <w:szCs w:val="20"/>
              </w:rPr>
              <w:t>dutiable value</w:t>
            </w:r>
          </w:p>
        </w:tc>
      </w:tr>
      <w:tr w:rsidR="00A91C6B" w14:paraId="422DB3D6" w14:textId="67E71E7B" w:rsidTr="008C0AB1">
        <w:trPr>
          <w:cantSplit/>
        </w:trPr>
        <w:tc>
          <w:tcPr>
            <w:tcW w:w="4111" w:type="dxa"/>
          </w:tcPr>
          <w:p w14:paraId="59D0A8F5" w14:textId="395A1AC2" w:rsidR="00A91C6B" w:rsidRPr="0033526A" w:rsidRDefault="00A91C6B" w:rsidP="00A91C6B">
            <w:pPr>
              <w:pStyle w:val="TableText"/>
              <w:rPr>
                <w:b/>
                <w:i/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>C-rated vehicle</w:t>
            </w:r>
          </w:p>
        </w:tc>
        <w:tc>
          <w:tcPr>
            <w:tcW w:w="3969" w:type="dxa"/>
          </w:tcPr>
          <w:p w14:paraId="34EEA49C" w14:textId="4B808BF6" w:rsidR="00A91C6B" w:rsidRPr="0033526A" w:rsidRDefault="00A91C6B" w:rsidP="00A91C6B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 xml:space="preserve">$3.05 for every $100, or part of $100, of the </w:t>
            </w:r>
            <w:r w:rsidRPr="0033526A">
              <w:rPr>
                <w:bCs/>
                <w:iCs/>
                <w:sz w:val="20"/>
                <w:szCs w:val="20"/>
              </w:rPr>
              <w:t>dutiable value</w:t>
            </w:r>
          </w:p>
        </w:tc>
      </w:tr>
      <w:tr w:rsidR="00A91C6B" w14:paraId="2E42140D" w14:textId="321558FD" w:rsidTr="008C0AB1">
        <w:trPr>
          <w:cantSplit/>
        </w:trPr>
        <w:tc>
          <w:tcPr>
            <w:tcW w:w="4111" w:type="dxa"/>
          </w:tcPr>
          <w:p w14:paraId="6E58F74D" w14:textId="77777777" w:rsidR="00A91C6B" w:rsidRPr="008C0AB1" w:rsidRDefault="00A91C6B" w:rsidP="00A91C6B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D-rated vehicle</w:t>
            </w:r>
          </w:p>
        </w:tc>
        <w:tc>
          <w:tcPr>
            <w:tcW w:w="3969" w:type="dxa"/>
          </w:tcPr>
          <w:p w14:paraId="661427A7" w14:textId="149EB1D8" w:rsidR="00A91C6B" w:rsidRPr="008C0AB1" w:rsidRDefault="00A91C6B" w:rsidP="00A91C6B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$4.25 for every $100, or part of $100, of the </w:t>
            </w:r>
            <w:r w:rsidRPr="008C0AB1">
              <w:rPr>
                <w:bCs/>
                <w:iCs/>
                <w:sz w:val="20"/>
                <w:szCs w:val="20"/>
              </w:rPr>
              <w:t>dutiable value</w:t>
            </w:r>
          </w:p>
        </w:tc>
      </w:tr>
    </w:tbl>
    <w:p w14:paraId="5B790D27" w14:textId="77777777" w:rsidR="00C15F86" w:rsidRDefault="00C15F86" w:rsidP="009D65FC">
      <w:pPr>
        <w:spacing w:after="120"/>
        <w:ind w:firstLine="720"/>
        <w:rPr>
          <w:rFonts w:ascii="Arial" w:hAnsi="Arial" w:cs="Arial"/>
          <w:b/>
          <w:bCs/>
        </w:rPr>
      </w:pPr>
    </w:p>
    <w:p w14:paraId="6296BC41" w14:textId="758A735F" w:rsidR="00307CEA" w:rsidRDefault="00307CEA" w:rsidP="009D65FC">
      <w:pPr>
        <w:spacing w:after="12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</w:t>
      </w:r>
      <w:r w:rsidR="0058019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Amounts paya</w:t>
      </w:r>
      <w:r w:rsidR="00CE2914">
        <w:rPr>
          <w:rFonts w:ascii="Arial" w:hAnsi="Arial" w:cs="Arial"/>
          <w:b/>
          <w:bCs/>
        </w:rPr>
        <w:t>ble—</w:t>
      </w:r>
      <w:r w:rsidR="00025A50">
        <w:rPr>
          <w:rFonts w:ascii="Arial" w:hAnsi="Arial" w:cs="Arial"/>
          <w:b/>
          <w:bCs/>
        </w:rPr>
        <w:t>the</w:t>
      </w:r>
      <w:r w:rsidR="00CE2914">
        <w:rPr>
          <w:rFonts w:ascii="Arial" w:hAnsi="Arial" w:cs="Arial"/>
          <w:b/>
          <w:bCs/>
        </w:rPr>
        <w:t xml:space="preserve"> Act, </w:t>
      </w:r>
      <w:r w:rsidR="00EF0EB8">
        <w:rPr>
          <w:rFonts w:ascii="Arial" w:hAnsi="Arial" w:cs="Arial"/>
          <w:b/>
          <w:bCs/>
        </w:rPr>
        <w:t>s</w:t>
      </w:r>
      <w:r w:rsidR="00CE2914">
        <w:rPr>
          <w:rFonts w:ascii="Arial" w:hAnsi="Arial" w:cs="Arial"/>
          <w:b/>
          <w:bCs/>
        </w:rPr>
        <w:t xml:space="preserve"> 208 (2)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8C0AB1" w14:paraId="3B67598D" w14:textId="3532C81E" w:rsidTr="008C0AB1">
        <w:trPr>
          <w:cantSplit/>
        </w:trPr>
        <w:tc>
          <w:tcPr>
            <w:tcW w:w="4111" w:type="dxa"/>
            <w:shd w:val="clear" w:color="auto" w:fill="C0C0C0"/>
          </w:tcPr>
          <w:p w14:paraId="4BC0E9E5" w14:textId="77777777" w:rsidR="008C0AB1" w:rsidRDefault="008C0AB1" w:rsidP="00CA4DA8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Column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 208 (2) of the Act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(motor vehicles with dutiable value of $45 000 or more)</w:t>
            </w:r>
          </w:p>
        </w:tc>
        <w:tc>
          <w:tcPr>
            <w:tcW w:w="3969" w:type="dxa"/>
            <w:shd w:val="clear" w:color="auto" w:fill="C0C0C0"/>
          </w:tcPr>
          <w:p w14:paraId="42D9DFB1" w14:textId="1F32C254" w:rsidR="008C0AB1" w:rsidRDefault="008C0AB1" w:rsidP="00CA4DA8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Column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Rate of duty for 1 July 2023 to 30 June 2024 </w:t>
            </w:r>
          </w:p>
        </w:tc>
      </w:tr>
      <w:tr w:rsidR="008C0AB1" w14:paraId="3EB40BDB" w14:textId="7C35B98A" w:rsidTr="008C0AB1">
        <w:trPr>
          <w:cantSplit/>
        </w:trPr>
        <w:tc>
          <w:tcPr>
            <w:tcW w:w="4111" w:type="dxa"/>
          </w:tcPr>
          <w:p w14:paraId="06E33E4F" w14:textId="11F55B53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A-rated vehicle; </w:t>
            </w:r>
          </w:p>
          <w:p w14:paraId="47CD5A20" w14:textId="77777777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ZEV;</w:t>
            </w:r>
          </w:p>
          <w:p w14:paraId="027F53FF" w14:textId="18E68FB9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used eligible hybrid; and</w:t>
            </w:r>
          </w:p>
          <w:p w14:paraId="56DA0622" w14:textId="729ADE18" w:rsidR="008C0AB1" w:rsidRPr="008C0AB1" w:rsidRDefault="008C0AB1" w:rsidP="00C15F86">
            <w:pPr>
              <w:pStyle w:val="TableText"/>
              <w:spacing w:before="0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used eligible PHEV </w:t>
            </w:r>
          </w:p>
        </w:tc>
        <w:tc>
          <w:tcPr>
            <w:tcW w:w="3969" w:type="dxa"/>
          </w:tcPr>
          <w:p w14:paraId="052A315A" w14:textId="77777777" w:rsidR="008C0AB1" w:rsidRPr="008C0AB1" w:rsidRDefault="008C0AB1" w:rsidP="00C15F86">
            <w:pPr>
              <w:pStyle w:val="TableText"/>
              <w:spacing w:before="0"/>
              <w:rPr>
                <w:b/>
                <w:bCs/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Nil</w:t>
            </w:r>
          </w:p>
        </w:tc>
      </w:tr>
      <w:tr w:rsidR="008C0AB1" w14:paraId="6F2CF533" w14:textId="2AAE45DB" w:rsidTr="008C0AB1">
        <w:trPr>
          <w:cantSplit/>
        </w:trPr>
        <w:tc>
          <w:tcPr>
            <w:tcW w:w="4111" w:type="dxa"/>
          </w:tcPr>
          <w:p w14:paraId="1C37B950" w14:textId="77777777" w:rsidR="008C0AB1" w:rsidRPr="008C0AB1" w:rsidRDefault="008C0AB1" w:rsidP="00686A2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B-rated vehicle</w:t>
            </w:r>
          </w:p>
        </w:tc>
        <w:tc>
          <w:tcPr>
            <w:tcW w:w="3969" w:type="dxa"/>
          </w:tcPr>
          <w:p w14:paraId="20CCE2FE" w14:textId="77777777" w:rsidR="008C0AB1" w:rsidRPr="008C0AB1" w:rsidRDefault="008C0AB1" w:rsidP="00686A2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$450 plus $2 for every $100, or part of $100, of the </w:t>
            </w:r>
            <w:r w:rsidRPr="008C0AB1">
              <w:rPr>
                <w:bCs/>
                <w:iCs/>
                <w:sz w:val="20"/>
                <w:szCs w:val="20"/>
              </w:rPr>
              <w:t>dutiable value</w:t>
            </w:r>
            <w:r w:rsidRPr="008C0AB1">
              <w:rPr>
                <w:sz w:val="20"/>
                <w:szCs w:val="20"/>
              </w:rPr>
              <w:t xml:space="preserve"> in excess of $45 000</w:t>
            </w:r>
          </w:p>
        </w:tc>
      </w:tr>
      <w:tr w:rsidR="00A91C6B" w14:paraId="73EB5FDF" w14:textId="77777777" w:rsidTr="008C0AB1">
        <w:trPr>
          <w:cantSplit/>
        </w:trPr>
        <w:tc>
          <w:tcPr>
            <w:tcW w:w="4111" w:type="dxa"/>
          </w:tcPr>
          <w:p w14:paraId="0006CFFC" w14:textId="0877EDAE" w:rsidR="00A91C6B" w:rsidRPr="0033526A" w:rsidRDefault="00A91C6B" w:rsidP="00686A21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>Non-rated vehicle (other than a used ZEV, used eligible hybrid or used eligible PHEV)</w:t>
            </w:r>
          </w:p>
        </w:tc>
        <w:tc>
          <w:tcPr>
            <w:tcW w:w="3969" w:type="dxa"/>
          </w:tcPr>
          <w:p w14:paraId="206593FF" w14:textId="4B018F3C" w:rsidR="00A91C6B" w:rsidRPr="0033526A" w:rsidRDefault="00A91C6B" w:rsidP="00686A21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 xml:space="preserve">$1 350 plus $5 for every $100, or part of $100, of the </w:t>
            </w:r>
            <w:r w:rsidRPr="0033526A">
              <w:rPr>
                <w:bCs/>
                <w:iCs/>
                <w:sz w:val="20"/>
                <w:szCs w:val="20"/>
              </w:rPr>
              <w:t>dutiable value</w:t>
            </w:r>
            <w:r w:rsidRPr="0033526A">
              <w:rPr>
                <w:sz w:val="20"/>
                <w:szCs w:val="20"/>
              </w:rPr>
              <w:t xml:space="preserve"> in excess of $45 000</w:t>
            </w:r>
          </w:p>
        </w:tc>
      </w:tr>
      <w:tr w:rsidR="008C0AB1" w14:paraId="121B54D6" w14:textId="66DD9D9D" w:rsidTr="008C0AB1">
        <w:trPr>
          <w:cantSplit/>
        </w:trPr>
        <w:tc>
          <w:tcPr>
            <w:tcW w:w="4111" w:type="dxa"/>
          </w:tcPr>
          <w:p w14:paraId="461CE07A" w14:textId="6ECE2977" w:rsidR="008C0AB1" w:rsidRPr="0033526A" w:rsidRDefault="008C0AB1" w:rsidP="00A91C6B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>C-rated vehicle</w:t>
            </w:r>
          </w:p>
        </w:tc>
        <w:tc>
          <w:tcPr>
            <w:tcW w:w="3969" w:type="dxa"/>
          </w:tcPr>
          <w:p w14:paraId="5CDC7FAF" w14:textId="585C679E" w:rsidR="008C0AB1" w:rsidRPr="0033526A" w:rsidRDefault="008C0AB1" w:rsidP="00686A21">
            <w:pPr>
              <w:pStyle w:val="TableText"/>
              <w:rPr>
                <w:sz w:val="20"/>
                <w:szCs w:val="20"/>
              </w:rPr>
            </w:pPr>
            <w:r w:rsidRPr="0033526A">
              <w:rPr>
                <w:sz w:val="20"/>
                <w:szCs w:val="20"/>
              </w:rPr>
              <w:t xml:space="preserve">$1 370.50 plus $5.11 for every $100, or part of $100, of the </w:t>
            </w:r>
            <w:r w:rsidRPr="0033526A">
              <w:rPr>
                <w:bCs/>
                <w:iCs/>
                <w:sz w:val="20"/>
                <w:szCs w:val="20"/>
              </w:rPr>
              <w:t>dutiable value</w:t>
            </w:r>
            <w:r w:rsidRPr="0033526A">
              <w:rPr>
                <w:sz w:val="20"/>
                <w:szCs w:val="20"/>
              </w:rPr>
              <w:t xml:space="preserve"> in excess of $45 000</w:t>
            </w:r>
          </w:p>
        </w:tc>
      </w:tr>
      <w:tr w:rsidR="008C0AB1" w14:paraId="7F9D4DFD" w14:textId="67540592" w:rsidTr="008C0AB1">
        <w:trPr>
          <w:cantSplit/>
        </w:trPr>
        <w:tc>
          <w:tcPr>
            <w:tcW w:w="4111" w:type="dxa"/>
          </w:tcPr>
          <w:p w14:paraId="3D925DAC" w14:textId="77777777" w:rsidR="008C0AB1" w:rsidRPr="008C0AB1" w:rsidRDefault="008C0AB1" w:rsidP="00686A2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>D-rated vehicle</w:t>
            </w:r>
          </w:p>
        </w:tc>
        <w:tc>
          <w:tcPr>
            <w:tcW w:w="3969" w:type="dxa"/>
          </w:tcPr>
          <w:p w14:paraId="332077B6" w14:textId="36F45B4A" w:rsidR="008C0AB1" w:rsidRPr="008C0AB1" w:rsidRDefault="008C0AB1" w:rsidP="00686A21">
            <w:pPr>
              <w:pStyle w:val="TableText"/>
              <w:rPr>
                <w:sz w:val="20"/>
                <w:szCs w:val="20"/>
              </w:rPr>
            </w:pPr>
            <w:r w:rsidRPr="008C0AB1">
              <w:rPr>
                <w:sz w:val="20"/>
                <w:szCs w:val="20"/>
              </w:rPr>
              <w:t xml:space="preserve">$1 910.60 plus $6.82 for every $100, or part of $100, of the </w:t>
            </w:r>
            <w:r w:rsidRPr="008C0AB1">
              <w:rPr>
                <w:bCs/>
                <w:iCs/>
                <w:sz w:val="20"/>
                <w:szCs w:val="20"/>
              </w:rPr>
              <w:t>dutiable value</w:t>
            </w:r>
            <w:r w:rsidRPr="008C0AB1">
              <w:rPr>
                <w:sz w:val="20"/>
                <w:szCs w:val="20"/>
              </w:rPr>
              <w:t xml:space="preserve"> in excess of $45 000</w:t>
            </w:r>
          </w:p>
        </w:tc>
      </w:tr>
    </w:tbl>
    <w:p w14:paraId="50C5F10C" w14:textId="77777777" w:rsidR="00B634C6" w:rsidRPr="008C0AB1" w:rsidRDefault="009B05DC" w:rsidP="008C0AB1">
      <w:pPr>
        <w:autoSpaceDE w:val="0"/>
        <w:autoSpaceDN w:val="0"/>
        <w:adjustRightInd w:val="0"/>
        <w:spacing w:before="80" w:after="60"/>
        <w:ind w:left="2160" w:hanging="720"/>
        <w:rPr>
          <w:i/>
          <w:iCs/>
          <w:sz w:val="20"/>
          <w:szCs w:val="20"/>
        </w:rPr>
      </w:pPr>
      <w:r w:rsidRPr="00FE4029">
        <w:rPr>
          <w:i/>
          <w:iCs/>
          <w:sz w:val="20"/>
          <w:szCs w:val="20"/>
        </w:rPr>
        <w:t>Note</w:t>
      </w:r>
      <w:r w:rsidRPr="00FE4029">
        <w:rPr>
          <w:i/>
          <w:iCs/>
          <w:sz w:val="20"/>
          <w:szCs w:val="20"/>
        </w:rPr>
        <w:tab/>
      </w:r>
      <w:r w:rsidR="00CE2914" w:rsidRPr="008C0AB1">
        <w:rPr>
          <w:sz w:val="20"/>
          <w:szCs w:val="20"/>
        </w:rPr>
        <w:t xml:space="preserve">Table </w:t>
      </w:r>
      <w:r w:rsidR="00580193" w:rsidRPr="008C0AB1">
        <w:rPr>
          <w:sz w:val="20"/>
          <w:szCs w:val="20"/>
        </w:rPr>
        <w:t xml:space="preserve">2 </w:t>
      </w:r>
      <w:r w:rsidR="00CE2914" w:rsidRPr="008C0AB1">
        <w:rPr>
          <w:sz w:val="20"/>
          <w:szCs w:val="20"/>
        </w:rPr>
        <w:t>does not apply to vehicles listed in the Act, section 208 (2) (b) (including motorcycles).</w:t>
      </w:r>
    </w:p>
    <w:p w14:paraId="52FED6B0" w14:textId="5027C4D0" w:rsidR="005F333E" w:rsidRDefault="005F333E" w:rsidP="000E7443">
      <w:pPr>
        <w:keepNext/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Expiry</w:t>
      </w:r>
    </w:p>
    <w:p w14:paraId="157F0F9B" w14:textId="50ECA12D" w:rsidR="005F333E" w:rsidRDefault="005F333E" w:rsidP="000E7443">
      <w:pPr>
        <w:keepNext/>
        <w:spacing w:before="80" w:after="60"/>
        <w:ind w:left="720"/>
      </w:pPr>
      <w:r>
        <w:t xml:space="preserve">This instrument expires </w:t>
      </w:r>
      <w:r w:rsidRPr="00651BB6">
        <w:t>on 30 June 202</w:t>
      </w:r>
      <w:r w:rsidR="008C0AB1">
        <w:t>4</w:t>
      </w:r>
      <w:r w:rsidRPr="00651BB6">
        <w:t>.</w:t>
      </w:r>
    </w:p>
    <w:p w14:paraId="468675D7" w14:textId="77777777" w:rsidR="00B5115F" w:rsidRDefault="005F333E" w:rsidP="00876646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B5115F">
        <w:rPr>
          <w:rFonts w:ascii="Arial" w:hAnsi="Arial" w:cs="Arial"/>
          <w:b/>
          <w:bCs/>
        </w:rPr>
        <w:tab/>
        <w:t>Revocation</w:t>
      </w:r>
    </w:p>
    <w:p w14:paraId="2F638C5A" w14:textId="0F1C2DB8" w:rsidR="000918DC" w:rsidRPr="008C0AB1" w:rsidRDefault="00B5115F" w:rsidP="008A6253">
      <w:pPr>
        <w:spacing w:before="80" w:after="60"/>
        <w:ind w:left="720"/>
      </w:pPr>
      <w:r>
        <w:t xml:space="preserve">Disallowable Instrument </w:t>
      </w:r>
      <w:r w:rsidR="005919AC" w:rsidRPr="00A25F90">
        <w:rPr>
          <w:i/>
          <w:iCs/>
        </w:rPr>
        <w:t xml:space="preserve">Taxation Administration (Amounts Payable–Motor Vehicle Duty) Determination </w:t>
      </w:r>
      <w:r w:rsidR="005919AC" w:rsidRPr="008C0AB1">
        <w:rPr>
          <w:i/>
          <w:iCs/>
        </w:rPr>
        <w:t>20</w:t>
      </w:r>
      <w:r w:rsidR="00D07CE0" w:rsidRPr="008C0AB1">
        <w:rPr>
          <w:i/>
          <w:iCs/>
        </w:rPr>
        <w:t>22</w:t>
      </w:r>
      <w:r w:rsidR="008001EE" w:rsidRPr="008C0AB1">
        <w:t>,</w:t>
      </w:r>
      <w:r w:rsidR="005919AC" w:rsidRPr="008C0AB1">
        <w:t xml:space="preserve"> </w:t>
      </w:r>
      <w:bookmarkStart w:id="3" w:name="_Hlk54699234"/>
      <w:r w:rsidR="00D37143" w:rsidRPr="008C0AB1">
        <w:rPr>
          <w:lang w:eastAsia="en-AU"/>
        </w:rPr>
        <w:t>DI20</w:t>
      </w:r>
      <w:r w:rsidR="0033526A">
        <w:rPr>
          <w:lang w:eastAsia="en-AU"/>
        </w:rPr>
        <w:t>22</w:t>
      </w:r>
      <w:r w:rsidR="00582A9A" w:rsidRPr="008C0AB1">
        <w:rPr>
          <w:lang w:eastAsia="en-AU"/>
        </w:rPr>
        <w:t>-1</w:t>
      </w:r>
      <w:r w:rsidR="00D07CE0" w:rsidRPr="008C0AB1">
        <w:rPr>
          <w:lang w:eastAsia="en-AU"/>
        </w:rPr>
        <w:t>79</w:t>
      </w:r>
      <w:r w:rsidRPr="008C0AB1">
        <w:rPr>
          <w:lang w:eastAsia="en-AU"/>
        </w:rPr>
        <w:t xml:space="preserve"> </w:t>
      </w:r>
      <w:bookmarkEnd w:id="3"/>
      <w:r w:rsidRPr="008C0AB1">
        <w:t>is revoked.</w:t>
      </w:r>
    </w:p>
    <w:p w14:paraId="190C2AF8" w14:textId="77777777" w:rsidR="00583128" w:rsidRPr="008C0AB1" w:rsidRDefault="005F333E" w:rsidP="00583128">
      <w:pPr>
        <w:spacing w:before="240" w:after="60"/>
        <w:rPr>
          <w:rFonts w:ascii="Arial" w:hAnsi="Arial" w:cs="Arial"/>
          <w:b/>
          <w:bCs/>
        </w:rPr>
      </w:pPr>
      <w:r w:rsidRPr="008C0AB1">
        <w:rPr>
          <w:rFonts w:ascii="Arial" w:hAnsi="Arial" w:cs="Arial"/>
          <w:b/>
          <w:bCs/>
        </w:rPr>
        <w:t>8</w:t>
      </w:r>
      <w:r w:rsidR="00583128" w:rsidRPr="008C0AB1">
        <w:rPr>
          <w:rFonts w:ascii="Arial" w:hAnsi="Arial" w:cs="Arial"/>
          <w:b/>
          <w:bCs/>
        </w:rPr>
        <w:tab/>
        <w:t>Tran</w:t>
      </w:r>
      <w:r w:rsidR="0001610A" w:rsidRPr="008C0AB1">
        <w:rPr>
          <w:rFonts w:ascii="Arial" w:hAnsi="Arial" w:cs="Arial"/>
          <w:b/>
          <w:bCs/>
        </w:rPr>
        <w:t>s</w:t>
      </w:r>
      <w:r w:rsidR="00583128" w:rsidRPr="008C0AB1">
        <w:rPr>
          <w:rFonts w:ascii="Arial" w:hAnsi="Arial" w:cs="Arial"/>
          <w:b/>
          <w:bCs/>
        </w:rPr>
        <w:t>itional</w:t>
      </w:r>
    </w:p>
    <w:p w14:paraId="02D93082" w14:textId="137A9749" w:rsidR="00583128" w:rsidRDefault="00583128" w:rsidP="00583128">
      <w:pPr>
        <w:spacing w:before="80" w:after="60"/>
        <w:ind w:left="720"/>
      </w:pPr>
      <w:r w:rsidRPr="008C0AB1">
        <w:t>DI</w:t>
      </w:r>
      <w:r w:rsidR="004C37C8" w:rsidRPr="008C0AB1">
        <w:t>2</w:t>
      </w:r>
      <w:r w:rsidR="0033526A">
        <w:t>022</w:t>
      </w:r>
      <w:r w:rsidR="004C37C8" w:rsidRPr="008C0AB1">
        <w:t>-1</w:t>
      </w:r>
      <w:r w:rsidR="00D07CE0" w:rsidRPr="008C0AB1">
        <w:t>79</w:t>
      </w:r>
      <w:r w:rsidR="004C37C8" w:rsidRPr="008C0AB1">
        <w:t xml:space="preserve"> continues to apply for the period 1 </w:t>
      </w:r>
      <w:r w:rsidR="00D07CE0" w:rsidRPr="008C0AB1">
        <w:t xml:space="preserve">August </w:t>
      </w:r>
      <w:r w:rsidR="004C37C8" w:rsidRPr="008C0AB1">
        <w:t>20</w:t>
      </w:r>
      <w:r w:rsidR="00D07CE0" w:rsidRPr="008C0AB1">
        <w:t>22</w:t>
      </w:r>
      <w:r w:rsidR="004C37C8" w:rsidRPr="008C0AB1">
        <w:t xml:space="preserve"> to 3</w:t>
      </w:r>
      <w:r w:rsidR="00D07CE0" w:rsidRPr="008C0AB1">
        <w:t>0 June 2023</w:t>
      </w:r>
      <w:r w:rsidR="004C37C8" w:rsidRPr="008C0AB1">
        <w:t>,</w:t>
      </w:r>
      <w:r w:rsidR="004C37C8">
        <w:t xml:space="preserve"> inclusive.</w:t>
      </w:r>
      <w:r>
        <w:t xml:space="preserve"> </w:t>
      </w:r>
    </w:p>
    <w:p w14:paraId="6126987B" w14:textId="77777777" w:rsidR="008A6253" w:rsidRDefault="008A6253" w:rsidP="00E75831">
      <w:pPr>
        <w:tabs>
          <w:tab w:val="left" w:pos="4320"/>
        </w:tabs>
        <w:spacing w:before="240"/>
      </w:pPr>
    </w:p>
    <w:p w14:paraId="3AAEBCE9" w14:textId="77777777" w:rsidR="00C15F86" w:rsidRDefault="00C15F86" w:rsidP="00E5418A">
      <w:pPr>
        <w:tabs>
          <w:tab w:val="left" w:pos="4320"/>
        </w:tabs>
      </w:pPr>
    </w:p>
    <w:p w14:paraId="6AF3D231" w14:textId="77777777" w:rsidR="00C15F86" w:rsidRDefault="00C15F86" w:rsidP="00E5418A">
      <w:pPr>
        <w:tabs>
          <w:tab w:val="left" w:pos="4320"/>
        </w:tabs>
      </w:pPr>
    </w:p>
    <w:p w14:paraId="76EC38AE" w14:textId="77777777" w:rsidR="004D27A0" w:rsidRDefault="00C734EC" w:rsidP="004D27A0">
      <w:pPr>
        <w:tabs>
          <w:tab w:val="left" w:pos="4320"/>
        </w:tabs>
      </w:pPr>
      <w:r w:rsidRPr="004F3441">
        <w:t>Andrew Barr</w:t>
      </w:r>
      <w:r w:rsidR="00307CEA">
        <w:t xml:space="preserve"> MLA</w:t>
      </w:r>
      <w:r w:rsidR="00307CEA">
        <w:br/>
        <w:t>Treasurer</w:t>
      </w:r>
      <w:bookmarkEnd w:id="0"/>
    </w:p>
    <w:p w14:paraId="52D688E8" w14:textId="77777777" w:rsidR="004D27A0" w:rsidRDefault="004D27A0" w:rsidP="004D27A0">
      <w:pPr>
        <w:tabs>
          <w:tab w:val="left" w:pos="4320"/>
        </w:tabs>
      </w:pPr>
    </w:p>
    <w:p w14:paraId="73D3F7FB" w14:textId="7A6FCB5C" w:rsidR="00706FB3" w:rsidRDefault="004D27A0" w:rsidP="004D27A0">
      <w:pPr>
        <w:tabs>
          <w:tab w:val="left" w:pos="4320"/>
        </w:tabs>
      </w:pPr>
      <w:r>
        <w:t xml:space="preserve">23 March </w:t>
      </w:r>
      <w:r w:rsidR="002C4D01">
        <w:t>202</w:t>
      </w:r>
      <w:r w:rsidR="00D07CE0">
        <w:t>3</w:t>
      </w:r>
      <w:r w:rsidR="00E75831">
        <w:br/>
      </w:r>
    </w:p>
    <w:p w14:paraId="25DD5517" w14:textId="77777777" w:rsidR="00706FB3" w:rsidRDefault="00706FB3" w:rsidP="00706FB3"/>
    <w:p w14:paraId="37162567" w14:textId="3241C7B7" w:rsidR="00B911C7" w:rsidRPr="00706FB3" w:rsidRDefault="00B911C7" w:rsidP="00706FB3">
      <w:pPr>
        <w:tabs>
          <w:tab w:val="left" w:pos="2370"/>
        </w:tabs>
      </w:pPr>
    </w:p>
    <w:sectPr w:rsidR="00B911C7" w:rsidRPr="00706FB3" w:rsidSect="000E7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18" w:bottom="993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B5B2" w14:textId="77777777" w:rsidR="00026739" w:rsidRDefault="00026739">
      <w:r>
        <w:separator/>
      </w:r>
    </w:p>
  </w:endnote>
  <w:endnote w:type="continuationSeparator" w:id="0">
    <w:p w14:paraId="250C7C4A" w14:textId="77777777" w:rsidR="00026739" w:rsidRDefault="0002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917" w14:textId="77777777" w:rsidR="00CB0D6A" w:rsidRDefault="00CB0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5C01" w14:textId="77777777" w:rsidR="0074206B" w:rsidRDefault="0074206B">
    <w:pPr>
      <w:pStyle w:val="Footer"/>
      <w:framePr w:wrap="auto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885134"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14:paraId="4BF57664" w14:textId="4686C3C6" w:rsidR="0074206B" w:rsidRPr="00CB0D6A" w:rsidRDefault="00CB0D6A" w:rsidP="00CB0D6A">
    <w:pPr>
      <w:pStyle w:val="Footer"/>
      <w:ind w:right="360"/>
      <w:jc w:val="center"/>
      <w:rPr>
        <w:sz w:val="14"/>
      </w:rPr>
    </w:pPr>
    <w:r w:rsidRPr="00CB0D6A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1420" w14:textId="77777777" w:rsidR="00CB0D6A" w:rsidRDefault="00CB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B772" w14:textId="77777777" w:rsidR="00026739" w:rsidRDefault="00026739">
      <w:r>
        <w:separator/>
      </w:r>
    </w:p>
  </w:footnote>
  <w:footnote w:type="continuationSeparator" w:id="0">
    <w:p w14:paraId="6DD3A67E" w14:textId="77777777" w:rsidR="00026739" w:rsidRDefault="0002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137B" w14:textId="77777777" w:rsidR="00CB0D6A" w:rsidRDefault="00CB0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709D" w14:textId="77777777" w:rsidR="00CB0D6A" w:rsidRDefault="00CB0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AF96" w14:textId="77777777" w:rsidR="00CB0D6A" w:rsidRDefault="00CB0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169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4BB4"/>
    <w:multiLevelType w:val="singleLevel"/>
    <w:tmpl w:val="E2CE8E56"/>
    <w:lvl w:ilvl="0">
      <w:start w:val="1"/>
      <w:numFmt w:val="bullet"/>
      <w:pStyle w:val="Apara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2" w15:restartNumberingAfterBreak="0">
    <w:nsid w:val="05F8399E"/>
    <w:multiLevelType w:val="multilevel"/>
    <w:tmpl w:val="2FEA7950"/>
    <w:lvl w:ilvl="0">
      <w:start w:val="1"/>
      <w:numFmt w:val="decimal"/>
      <w:pStyle w:val="aParaNo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2Par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H3Div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main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2D5C74"/>
    <w:multiLevelType w:val="multilevel"/>
    <w:tmpl w:val="8B5A8776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  <w:b/>
        <w:bCs/>
        <w:i w:val="0"/>
        <w:iCs w:val="0"/>
      </w:rPr>
    </w:lvl>
    <w:lvl w:ilvl="2">
      <w:start w:val="1"/>
      <w:numFmt w:val="decimal"/>
      <w:pStyle w:val="Sched-Form"/>
      <w:lvlText w:val="Division %1.%2.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  <w:b/>
        <w:bCs/>
        <w:i w:val="0"/>
        <w:iCs w:val="0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1100"/>
        </w:tabs>
        <w:ind w:left="1100" w:hanging="1100"/>
      </w:pPr>
      <w:rPr>
        <w:rFonts w:ascii="Times New Roman" w:hAnsi="Times New Roman" w:cs="Times New Roman"/>
        <w:b/>
        <w:bCs/>
        <w:i w:val="0"/>
        <w:iCs w:val="0"/>
      </w:rPr>
    </w:lvl>
    <w:lvl w:ilvl="4">
      <w:start w:val="1"/>
      <w:numFmt w:val="decimal"/>
      <w:lvlRestart w:val="0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140706A4"/>
    <w:multiLevelType w:val="hybridMultilevel"/>
    <w:tmpl w:val="06703CE8"/>
    <w:lvl w:ilvl="0" w:tplc="CEF888D8">
      <w:start w:val="1"/>
      <w:numFmt w:val="bullet"/>
      <w:pStyle w:val="aNoteBulletss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9" w15:restartNumberingAfterBreak="0">
    <w:nsid w:val="1E4C00BC"/>
    <w:multiLevelType w:val="hybridMultilevel"/>
    <w:tmpl w:val="DAD46F0A"/>
    <w:lvl w:ilvl="0" w:tplc="448E4D7E">
      <w:start w:val="1"/>
      <w:numFmt w:val="bullet"/>
      <w:pStyle w:val="aExplan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10" w15:restartNumberingAfterBreak="0">
    <w:nsid w:val="31D03CEE"/>
    <w:multiLevelType w:val="hybridMultilevel"/>
    <w:tmpl w:val="5DB2CD8E"/>
    <w:lvl w:ilvl="0" w:tplc="5546EEEC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432702AC"/>
    <w:multiLevelType w:val="singleLevel"/>
    <w:tmpl w:val="BF688142"/>
    <w:lvl w:ilvl="0">
      <w:start w:val="1"/>
      <w:numFmt w:val="bullet"/>
      <w:pStyle w:val="aNote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color w:val="auto"/>
        <w:sz w:val="20"/>
      </w:rPr>
    </w:lvl>
  </w:abstractNum>
  <w:abstractNum w:abstractNumId="15" w15:restartNumberingAfterBreak="0">
    <w:nsid w:val="44C33CD6"/>
    <w:multiLevelType w:val="singleLevel"/>
    <w:tmpl w:val="F14A25FE"/>
    <w:lvl w:ilvl="0">
      <w:start w:val="1"/>
      <w:numFmt w:val="bullet"/>
      <w:pStyle w:val="Amain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16" w15:restartNumberingAfterBreak="0">
    <w:nsid w:val="4DE3460A"/>
    <w:multiLevelType w:val="multilevel"/>
    <w:tmpl w:val="965A71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aDef"/>
      <w:suff w:val="nothing"/>
      <w:lvlText w:val=""/>
      <w:lvlJc w:val="left"/>
      <w:pPr>
        <w:ind w:left="1100"/>
      </w:pPr>
      <w:rPr>
        <w:rFonts w:ascii="Times New Roman" w:hAnsi="Times New Roman" w:cs="Times New Roman"/>
      </w:rPr>
    </w:lvl>
    <w:lvl w:ilvl="6">
      <w:start w:val="1"/>
      <w:numFmt w:val="lowerLetter"/>
      <w:pStyle w:val="aDefpara"/>
      <w:lvlText w:val="(%7)"/>
      <w:lvlJc w:val="right"/>
      <w:pPr>
        <w:tabs>
          <w:tab w:val="num" w:pos="768"/>
        </w:tabs>
        <w:ind w:left="768" w:hanging="20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7" w15:restartNumberingAfterBreak="0">
    <w:nsid w:val="53193175"/>
    <w:multiLevelType w:val="singleLevel"/>
    <w:tmpl w:val="7B803EDC"/>
    <w:lvl w:ilvl="0">
      <w:start w:val="1"/>
      <w:numFmt w:val="bullet"/>
      <w:pStyle w:val="Asubpara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18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20" w15:restartNumberingAfterBreak="0">
    <w:nsid w:val="602E02F0"/>
    <w:multiLevelType w:val="hybridMultilevel"/>
    <w:tmpl w:val="E048E038"/>
    <w:lvl w:ilvl="0" w:tplc="CBEE1180">
      <w:start w:val="1"/>
      <w:numFmt w:val="bullet"/>
      <w:pStyle w:val="aExamBulletpar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22" w15:restartNumberingAfterBreak="0">
    <w:nsid w:val="670F7AC8"/>
    <w:multiLevelType w:val="hybridMultilevel"/>
    <w:tmpl w:val="20DCE066"/>
    <w:lvl w:ilvl="0" w:tplc="281407E2">
      <w:start w:val="1"/>
      <w:numFmt w:val="bullet"/>
      <w:pStyle w:val="aNoteBulletpar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47E9"/>
    <w:multiLevelType w:val="singleLevel"/>
    <w:tmpl w:val="063EDEE0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rFonts w:ascii="Times New Roman" w:hAnsi="Times New Roman" w:cs="Times New Roman"/>
        <w:b/>
        <w:bCs/>
        <w:i w:val="0"/>
        <w:iCs w:val="0"/>
      </w:rPr>
    </w:lvl>
  </w:abstractNum>
  <w:num w:numId="1" w16cid:durableId="924149541">
    <w:abstractNumId w:val="0"/>
  </w:num>
  <w:num w:numId="2" w16cid:durableId="1595162340">
    <w:abstractNumId w:val="0"/>
  </w:num>
  <w:num w:numId="3" w16cid:durableId="1788157816">
    <w:abstractNumId w:val="0"/>
  </w:num>
  <w:num w:numId="4" w16cid:durableId="312762216">
    <w:abstractNumId w:val="0"/>
  </w:num>
  <w:num w:numId="5" w16cid:durableId="1073435395">
    <w:abstractNumId w:val="0"/>
  </w:num>
  <w:num w:numId="6" w16cid:durableId="488908992">
    <w:abstractNumId w:val="0"/>
  </w:num>
  <w:num w:numId="7" w16cid:durableId="1251888872">
    <w:abstractNumId w:val="0"/>
  </w:num>
  <w:num w:numId="8" w16cid:durableId="1690793855">
    <w:abstractNumId w:val="0"/>
  </w:num>
  <w:num w:numId="9" w16cid:durableId="1357385589">
    <w:abstractNumId w:val="0"/>
  </w:num>
  <w:num w:numId="10" w16cid:durableId="1443109822">
    <w:abstractNumId w:val="0"/>
  </w:num>
  <w:num w:numId="11" w16cid:durableId="333652957">
    <w:abstractNumId w:val="23"/>
  </w:num>
  <w:num w:numId="12" w16cid:durableId="809979548">
    <w:abstractNumId w:val="1"/>
  </w:num>
  <w:num w:numId="13" w16cid:durableId="261647864">
    <w:abstractNumId w:val="17"/>
  </w:num>
  <w:num w:numId="14" w16cid:durableId="913979170">
    <w:abstractNumId w:val="13"/>
  </w:num>
  <w:num w:numId="15" w16cid:durableId="849022893">
    <w:abstractNumId w:val="14"/>
  </w:num>
  <w:num w:numId="16" w16cid:durableId="192231985">
    <w:abstractNumId w:val="15"/>
  </w:num>
  <w:num w:numId="17" w16cid:durableId="742069734">
    <w:abstractNumId w:val="6"/>
  </w:num>
  <w:num w:numId="18" w16cid:durableId="1824227041">
    <w:abstractNumId w:val="22"/>
  </w:num>
  <w:num w:numId="19" w16cid:durableId="2030258574">
    <w:abstractNumId w:val="10"/>
  </w:num>
  <w:num w:numId="20" w16cid:durableId="807288176">
    <w:abstractNumId w:val="9"/>
  </w:num>
  <w:num w:numId="21" w16cid:durableId="2066643073">
    <w:abstractNumId w:val="20"/>
  </w:num>
  <w:num w:numId="22" w16cid:durableId="251204733">
    <w:abstractNumId w:val="3"/>
  </w:num>
  <w:num w:numId="23" w16cid:durableId="1883979257">
    <w:abstractNumId w:val="16"/>
  </w:num>
  <w:num w:numId="24" w16cid:durableId="138958795">
    <w:abstractNumId w:val="2"/>
  </w:num>
  <w:num w:numId="25" w16cid:durableId="145890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9563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721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213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621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7097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566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175825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EC"/>
    <w:rsid w:val="0001417C"/>
    <w:rsid w:val="00015AA2"/>
    <w:rsid w:val="00015E67"/>
    <w:rsid w:val="0001610A"/>
    <w:rsid w:val="00025A50"/>
    <w:rsid w:val="00026739"/>
    <w:rsid w:val="0004161A"/>
    <w:rsid w:val="00043D57"/>
    <w:rsid w:val="00046945"/>
    <w:rsid w:val="00051B5B"/>
    <w:rsid w:val="00052856"/>
    <w:rsid w:val="00055A58"/>
    <w:rsid w:val="00055C95"/>
    <w:rsid w:val="00060FCB"/>
    <w:rsid w:val="00062C0C"/>
    <w:rsid w:val="00064958"/>
    <w:rsid w:val="00065E46"/>
    <w:rsid w:val="00081F3A"/>
    <w:rsid w:val="00085D7D"/>
    <w:rsid w:val="000914B6"/>
    <w:rsid w:val="000918DC"/>
    <w:rsid w:val="00094046"/>
    <w:rsid w:val="00096700"/>
    <w:rsid w:val="000A5390"/>
    <w:rsid w:val="000C1152"/>
    <w:rsid w:val="000C418C"/>
    <w:rsid w:val="000D2C54"/>
    <w:rsid w:val="000D6052"/>
    <w:rsid w:val="000E7443"/>
    <w:rsid w:val="00101120"/>
    <w:rsid w:val="0010422A"/>
    <w:rsid w:val="00106C93"/>
    <w:rsid w:val="00110676"/>
    <w:rsid w:val="00113D03"/>
    <w:rsid w:val="0014062E"/>
    <w:rsid w:val="00140D80"/>
    <w:rsid w:val="001460CA"/>
    <w:rsid w:val="001477A8"/>
    <w:rsid w:val="0015158C"/>
    <w:rsid w:val="00151F69"/>
    <w:rsid w:val="00156468"/>
    <w:rsid w:val="001616AD"/>
    <w:rsid w:val="00163EFC"/>
    <w:rsid w:val="001642C2"/>
    <w:rsid w:val="00172B0D"/>
    <w:rsid w:val="00184080"/>
    <w:rsid w:val="001961CB"/>
    <w:rsid w:val="001961FE"/>
    <w:rsid w:val="001A28A0"/>
    <w:rsid w:val="001A5451"/>
    <w:rsid w:val="001B51BD"/>
    <w:rsid w:val="001B6740"/>
    <w:rsid w:val="001D7599"/>
    <w:rsid w:val="001D7D49"/>
    <w:rsid w:val="001E7F1A"/>
    <w:rsid w:val="001F4A11"/>
    <w:rsid w:val="002044AC"/>
    <w:rsid w:val="00204565"/>
    <w:rsid w:val="002115D9"/>
    <w:rsid w:val="00216FF5"/>
    <w:rsid w:val="002171C0"/>
    <w:rsid w:val="0022055C"/>
    <w:rsid w:val="00220BA7"/>
    <w:rsid w:val="0022763A"/>
    <w:rsid w:val="002332E9"/>
    <w:rsid w:val="002353A1"/>
    <w:rsid w:val="00254A24"/>
    <w:rsid w:val="00261B87"/>
    <w:rsid w:val="002809E1"/>
    <w:rsid w:val="002828FB"/>
    <w:rsid w:val="00284F90"/>
    <w:rsid w:val="00286E3A"/>
    <w:rsid w:val="00290117"/>
    <w:rsid w:val="00295104"/>
    <w:rsid w:val="002A0F58"/>
    <w:rsid w:val="002A3D9D"/>
    <w:rsid w:val="002A5BE3"/>
    <w:rsid w:val="002A6DB5"/>
    <w:rsid w:val="002C4D01"/>
    <w:rsid w:val="002D72C9"/>
    <w:rsid w:val="002E0056"/>
    <w:rsid w:val="002E1DEF"/>
    <w:rsid w:val="002E4A0E"/>
    <w:rsid w:val="002F475A"/>
    <w:rsid w:val="002F64E7"/>
    <w:rsid w:val="00304F72"/>
    <w:rsid w:val="003054CA"/>
    <w:rsid w:val="00307CEA"/>
    <w:rsid w:val="00320FA3"/>
    <w:rsid w:val="0032181C"/>
    <w:rsid w:val="003260C6"/>
    <w:rsid w:val="0033428A"/>
    <w:rsid w:val="0033526A"/>
    <w:rsid w:val="0033619E"/>
    <w:rsid w:val="00364C12"/>
    <w:rsid w:val="00386F47"/>
    <w:rsid w:val="00392BA4"/>
    <w:rsid w:val="003958DC"/>
    <w:rsid w:val="00397D2B"/>
    <w:rsid w:val="003A14AC"/>
    <w:rsid w:val="003B4264"/>
    <w:rsid w:val="003B77E9"/>
    <w:rsid w:val="003C669F"/>
    <w:rsid w:val="003C6923"/>
    <w:rsid w:val="003E33B4"/>
    <w:rsid w:val="003F2B5B"/>
    <w:rsid w:val="003F2CE9"/>
    <w:rsid w:val="0040685F"/>
    <w:rsid w:val="00406B8B"/>
    <w:rsid w:val="0041072D"/>
    <w:rsid w:val="00411FD2"/>
    <w:rsid w:val="004122F2"/>
    <w:rsid w:val="00414C0A"/>
    <w:rsid w:val="004164C5"/>
    <w:rsid w:val="004201FA"/>
    <w:rsid w:val="0043427F"/>
    <w:rsid w:val="00436BD8"/>
    <w:rsid w:val="004417F1"/>
    <w:rsid w:val="00452455"/>
    <w:rsid w:val="00471B9B"/>
    <w:rsid w:val="00475B68"/>
    <w:rsid w:val="004867D6"/>
    <w:rsid w:val="00494150"/>
    <w:rsid w:val="00495EE0"/>
    <w:rsid w:val="004A2BA2"/>
    <w:rsid w:val="004A5A51"/>
    <w:rsid w:val="004A6B5C"/>
    <w:rsid w:val="004A78A6"/>
    <w:rsid w:val="004B34E2"/>
    <w:rsid w:val="004C1D50"/>
    <w:rsid w:val="004C37C8"/>
    <w:rsid w:val="004C3F26"/>
    <w:rsid w:val="004D27A0"/>
    <w:rsid w:val="004E4DC6"/>
    <w:rsid w:val="004E5F7E"/>
    <w:rsid w:val="004F3441"/>
    <w:rsid w:val="004F6529"/>
    <w:rsid w:val="00502A51"/>
    <w:rsid w:val="005036B4"/>
    <w:rsid w:val="00503BE0"/>
    <w:rsid w:val="00507E90"/>
    <w:rsid w:val="005140A5"/>
    <w:rsid w:val="005338EE"/>
    <w:rsid w:val="00535F31"/>
    <w:rsid w:val="0056096C"/>
    <w:rsid w:val="00580193"/>
    <w:rsid w:val="00582A9A"/>
    <w:rsid w:val="00583128"/>
    <w:rsid w:val="005919AC"/>
    <w:rsid w:val="00591AB1"/>
    <w:rsid w:val="00597366"/>
    <w:rsid w:val="005A133B"/>
    <w:rsid w:val="005B22F0"/>
    <w:rsid w:val="005B2381"/>
    <w:rsid w:val="005C3127"/>
    <w:rsid w:val="005D689E"/>
    <w:rsid w:val="005E48AB"/>
    <w:rsid w:val="005F333E"/>
    <w:rsid w:val="005F334A"/>
    <w:rsid w:val="005F540D"/>
    <w:rsid w:val="005F62C4"/>
    <w:rsid w:val="00616907"/>
    <w:rsid w:val="00620DB4"/>
    <w:rsid w:val="00624C4A"/>
    <w:rsid w:val="00635DB0"/>
    <w:rsid w:val="00644A57"/>
    <w:rsid w:val="00651BB6"/>
    <w:rsid w:val="00672C67"/>
    <w:rsid w:val="00676853"/>
    <w:rsid w:val="006839D2"/>
    <w:rsid w:val="00685E3F"/>
    <w:rsid w:val="00686A21"/>
    <w:rsid w:val="00694EDF"/>
    <w:rsid w:val="006A706B"/>
    <w:rsid w:val="006B7F97"/>
    <w:rsid w:val="006C2364"/>
    <w:rsid w:val="006D4331"/>
    <w:rsid w:val="006E0989"/>
    <w:rsid w:val="00706FB3"/>
    <w:rsid w:val="00707FFC"/>
    <w:rsid w:val="00711015"/>
    <w:rsid w:val="00712F33"/>
    <w:rsid w:val="00713DAA"/>
    <w:rsid w:val="007179EB"/>
    <w:rsid w:val="00720673"/>
    <w:rsid w:val="00725A86"/>
    <w:rsid w:val="00730B52"/>
    <w:rsid w:val="0074206B"/>
    <w:rsid w:val="00752B61"/>
    <w:rsid w:val="00754E80"/>
    <w:rsid w:val="00762E55"/>
    <w:rsid w:val="00770F53"/>
    <w:rsid w:val="00770FB8"/>
    <w:rsid w:val="007822AD"/>
    <w:rsid w:val="007870EA"/>
    <w:rsid w:val="007946CE"/>
    <w:rsid w:val="007A65E8"/>
    <w:rsid w:val="007B075C"/>
    <w:rsid w:val="007C167A"/>
    <w:rsid w:val="007C51BE"/>
    <w:rsid w:val="007C66AB"/>
    <w:rsid w:val="007D2C51"/>
    <w:rsid w:val="007E2A44"/>
    <w:rsid w:val="007E4E38"/>
    <w:rsid w:val="007E57E9"/>
    <w:rsid w:val="007E6E61"/>
    <w:rsid w:val="007F0318"/>
    <w:rsid w:val="007F0BC9"/>
    <w:rsid w:val="007F5B18"/>
    <w:rsid w:val="008001EE"/>
    <w:rsid w:val="00803058"/>
    <w:rsid w:val="008045B6"/>
    <w:rsid w:val="008123E2"/>
    <w:rsid w:val="008161BF"/>
    <w:rsid w:val="008214D4"/>
    <w:rsid w:val="00822B8C"/>
    <w:rsid w:val="008338FA"/>
    <w:rsid w:val="00850303"/>
    <w:rsid w:val="00876646"/>
    <w:rsid w:val="008845E0"/>
    <w:rsid w:val="00885134"/>
    <w:rsid w:val="008922E1"/>
    <w:rsid w:val="0089699A"/>
    <w:rsid w:val="008A2521"/>
    <w:rsid w:val="008A6253"/>
    <w:rsid w:val="008B5B31"/>
    <w:rsid w:val="008C0AB1"/>
    <w:rsid w:val="008C6108"/>
    <w:rsid w:val="008D668B"/>
    <w:rsid w:val="008F0202"/>
    <w:rsid w:val="008F35F7"/>
    <w:rsid w:val="0092419F"/>
    <w:rsid w:val="00925AFD"/>
    <w:rsid w:val="009264CF"/>
    <w:rsid w:val="00931A76"/>
    <w:rsid w:val="0093603F"/>
    <w:rsid w:val="00936107"/>
    <w:rsid w:val="00941E32"/>
    <w:rsid w:val="00942413"/>
    <w:rsid w:val="00945FD1"/>
    <w:rsid w:val="00963D99"/>
    <w:rsid w:val="00964561"/>
    <w:rsid w:val="00981363"/>
    <w:rsid w:val="00992B79"/>
    <w:rsid w:val="009948EC"/>
    <w:rsid w:val="009B05DC"/>
    <w:rsid w:val="009B24BE"/>
    <w:rsid w:val="009B72BF"/>
    <w:rsid w:val="009C3AE6"/>
    <w:rsid w:val="009C4C1B"/>
    <w:rsid w:val="009C7087"/>
    <w:rsid w:val="009D5017"/>
    <w:rsid w:val="009D65FC"/>
    <w:rsid w:val="00A05DF0"/>
    <w:rsid w:val="00A065B4"/>
    <w:rsid w:val="00A1689C"/>
    <w:rsid w:val="00A25F90"/>
    <w:rsid w:val="00A26982"/>
    <w:rsid w:val="00A45A87"/>
    <w:rsid w:val="00A50AF9"/>
    <w:rsid w:val="00A53F87"/>
    <w:rsid w:val="00A6163A"/>
    <w:rsid w:val="00A67AA3"/>
    <w:rsid w:val="00A706F0"/>
    <w:rsid w:val="00A74098"/>
    <w:rsid w:val="00A75FF1"/>
    <w:rsid w:val="00A773E3"/>
    <w:rsid w:val="00A91C6B"/>
    <w:rsid w:val="00A92965"/>
    <w:rsid w:val="00AA4D06"/>
    <w:rsid w:val="00AA5A25"/>
    <w:rsid w:val="00AA5A44"/>
    <w:rsid w:val="00AB5372"/>
    <w:rsid w:val="00AD4E9C"/>
    <w:rsid w:val="00AD52C5"/>
    <w:rsid w:val="00AE0A47"/>
    <w:rsid w:val="00AE7D98"/>
    <w:rsid w:val="00AF058F"/>
    <w:rsid w:val="00AF796D"/>
    <w:rsid w:val="00B018F0"/>
    <w:rsid w:val="00B03652"/>
    <w:rsid w:val="00B133DB"/>
    <w:rsid w:val="00B13783"/>
    <w:rsid w:val="00B16C23"/>
    <w:rsid w:val="00B16F5D"/>
    <w:rsid w:val="00B17DFD"/>
    <w:rsid w:val="00B304B7"/>
    <w:rsid w:val="00B3663B"/>
    <w:rsid w:val="00B422AA"/>
    <w:rsid w:val="00B44343"/>
    <w:rsid w:val="00B46BCC"/>
    <w:rsid w:val="00B5115F"/>
    <w:rsid w:val="00B51768"/>
    <w:rsid w:val="00B54051"/>
    <w:rsid w:val="00B54F3B"/>
    <w:rsid w:val="00B634C6"/>
    <w:rsid w:val="00B66137"/>
    <w:rsid w:val="00B80B32"/>
    <w:rsid w:val="00B829FD"/>
    <w:rsid w:val="00B841D0"/>
    <w:rsid w:val="00B84837"/>
    <w:rsid w:val="00B87C87"/>
    <w:rsid w:val="00B911C7"/>
    <w:rsid w:val="00B9369A"/>
    <w:rsid w:val="00B94581"/>
    <w:rsid w:val="00B954B0"/>
    <w:rsid w:val="00B96A80"/>
    <w:rsid w:val="00BA027C"/>
    <w:rsid w:val="00BA0749"/>
    <w:rsid w:val="00BA55C0"/>
    <w:rsid w:val="00BB4D01"/>
    <w:rsid w:val="00BB775B"/>
    <w:rsid w:val="00BC3AD8"/>
    <w:rsid w:val="00BC7487"/>
    <w:rsid w:val="00BD652D"/>
    <w:rsid w:val="00BE70B6"/>
    <w:rsid w:val="00BE7C80"/>
    <w:rsid w:val="00BF21F0"/>
    <w:rsid w:val="00BF6F9E"/>
    <w:rsid w:val="00C017AE"/>
    <w:rsid w:val="00C052E1"/>
    <w:rsid w:val="00C10CC2"/>
    <w:rsid w:val="00C133E5"/>
    <w:rsid w:val="00C15F86"/>
    <w:rsid w:val="00C17433"/>
    <w:rsid w:val="00C22A7C"/>
    <w:rsid w:val="00C25F38"/>
    <w:rsid w:val="00C35F52"/>
    <w:rsid w:val="00C45602"/>
    <w:rsid w:val="00C45867"/>
    <w:rsid w:val="00C728C8"/>
    <w:rsid w:val="00C734EC"/>
    <w:rsid w:val="00C87843"/>
    <w:rsid w:val="00C90C80"/>
    <w:rsid w:val="00C9564C"/>
    <w:rsid w:val="00CA2236"/>
    <w:rsid w:val="00CA4DA8"/>
    <w:rsid w:val="00CB0D6A"/>
    <w:rsid w:val="00CB6BE9"/>
    <w:rsid w:val="00CD3C2D"/>
    <w:rsid w:val="00CD4FD4"/>
    <w:rsid w:val="00CE2914"/>
    <w:rsid w:val="00CE50C2"/>
    <w:rsid w:val="00CF1954"/>
    <w:rsid w:val="00CF1CD6"/>
    <w:rsid w:val="00CF2F4F"/>
    <w:rsid w:val="00CF5214"/>
    <w:rsid w:val="00D00B48"/>
    <w:rsid w:val="00D0586A"/>
    <w:rsid w:val="00D07CE0"/>
    <w:rsid w:val="00D10DD8"/>
    <w:rsid w:val="00D1131D"/>
    <w:rsid w:val="00D16E53"/>
    <w:rsid w:val="00D171D2"/>
    <w:rsid w:val="00D176C7"/>
    <w:rsid w:val="00D253B0"/>
    <w:rsid w:val="00D2727D"/>
    <w:rsid w:val="00D32EA6"/>
    <w:rsid w:val="00D37143"/>
    <w:rsid w:val="00D41F74"/>
    <w:rsid w:val="00D50A00"/>
    <w:rsid w:val="00D51A99"/>
    <w:rsid w:val="00D6218F"/>
    <w:rsid w:val="00D86E57"/>
    <w:rsid w:val="00D97E37"/>
    <w:rsid w:val="00DA7269"/>
    <w:rsid w:val="00DB1474"/>
    <w:rsid w:val="00DB229E"/>
    <w:rsid w:val="00DC0371"/>
    <w:rsid w:val="00DC6E34"/>
    <w:rsid w:val="00DD1D57"/>
    <w:rsid w:val="00DD4AB4"/>
    <w:rsid w:val="00DD65CB"/>
    <w:rsid w:val="00DE37A4"/>
    <w:rsid w:val="00DF22A7"/>
    <w:rsid w:val="00DF31E1"/>
    <w:rsid w:val="00E12BA6"/>
    <w:rsid w:val="00E17DB3"/>
    <w:rsid w:val="00E20CBD"/>
    <w:rsid w:val="00E24A69"/>
    <w:rsid w:val="00E5418A"/>
    <w:rsid w:val="00E601A0"/>
    <w:rsid w:val="00E65E4F"/>
    <w:rsid w:val="00E75831"/>
    <w:rsid w:val="00E93BA1"/>
    <w:rsid w:val="00E95417"/>
    <w:rsid w:val="00E958E7"/>
    <w:rsid w:val="00E96E7D"/>
    <w:rsid w:val="00EA570A"/>
    <w:rsid w:val="00EA5C8A"/>
    <w:rsid w:val="00EA70A6"/>
    <w:rsid w:val="00EC55B3"/>
    <w:rsid w:val="00ED1A56"/>
    <w:rsid w:val="00ED5938"/>
    <w:rsid w:val="00EE56E1"/>
    <w:rsid w:val="00EE63CB"/>
    <w:rsid w:val="00EF0711"/>
    <w:rsid w:val="00EF0EB8"/>
    <w:rsid w:val="00F02231"/>
    <w:rsid w:val="00F02EA6"/>
    <w:rsid w:val="00F14A94"/>
    <w:rsid w:val="00F20A41"/>
    <w:rsid w:val="00F24C25"/>
    <w:rsid w:val="00F274E0"/>
    <w:rsid w:val="00F307D8"/>
    <w:rsid w:val="00F30A3B"/>
    <w:rsid w:val="00F31546"/>
    <w:rsid w:val="00F32BF2"/>
    <w:rsid w:val="00F34149"/>
    <w:rsid w:val="00F35B50"/>
    <w:rsid w:val="00F401EC"/>
    <w:rsid w:val="00F536D8"/>
    <w:rsid w:val="00F54DC9"/>
    <w:rsid w:val="00F63257"/>
    <w:rsid w:val="00F74E3E"/>
    <w:rsid w:val="00F75090"/>
    <w:rsid w:val="00F77C72"/>
    <w:rsid w:val="00F84653"/>
    <w:rsid w:val="00F84908"/>
    <w:rsid w:val="00F87AA9"/>
    <w:rsid w:val="00F90C45"/>
    <w:rsid w:val="00F96C49"/>
    <w:rsid w:val="00FB03E7"/>
    <w:rsid w:val="00FB7B26"/>
    <w:rsid w:val="00FC033D"/>
    <w:rsid w:val="00FC2590"/>
    <w:rsid w:val="00FC34C7"/>
    <w:rsid w:val="00FC575F"/>
    <w:rsid w:val="00FE22A4"/>
    <w:rsid w:val="00FE4029"/>
    <w:rsid w:val="00FE4A17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15D6"/>
  <w14:defaultImageDpi w14:val="96"/>
  <w15:docId w15:val="{377E8B74-5CD6-44EA-AE65-5999D34A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4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4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4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4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aliases w:val="h3 Char"/>
    <w:link w:val="Heading3"/>
    <w:uiPriority w:val="99"/>
    <w:locked/>
    <w:rPr>
      <w:rFonts w:ascii="Arial" w:hAnsi="Arial" w:cs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locked/>
    <w:rPr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9"/>
    <w:locked/>
    <w:rPr>
      <w:i/>
      <w:i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Pr>
      <w:rFonts w:ascii="Arial" w:hAnsi="Arial" w:cs="Arial"/>
      <w:lang w:eastAsia="en-US"/>
    </w:rPr>
  </w:style>
  <w:style w:type="character" w:customStyle="1" w:styleId="Heading8Char">
    <w:name w:val="Heading 8 Char"/>
    <w:link w:val="Heading8"/>
    <w:uiPriority w:val="99"/>
    <w:locked/>
    <w:rPr>
      <w:rFonts w:ascii="Arial" w:hAnsi="Arial" w:cs="Arial"/>
      <w:i/>
      <w:iCs/>
      <w:lang w:eastAsia="en-US"/>
    </w:rPr>
  </w:style>
  <w:style w:type="character" w:customStyle="1" w:styleId="Heading9Char">
    <w:name w:val="Heading 9 Char"/>
    <w:link w:val="Heading9"/>
    <w:uiPriority w:val="99"/>
    <w:locked/>
    <w:rPr>
      <w:rFonts w:ascii="Arial" w:hAnsi="Arial" w:cs="Arial"/>
      <w:b/>
      <w:bCs/>
      <w:i/>
      <w:iCs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00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BillBasic"/>
    <w:uiPriority w:val="99"/>
    <w:pPr>
      <w:numPr>
        <w:ilvl w:val="5"/>
        <w:numId w:val="24"/>
      </w:numPr>
      <w:outlineLvl w:val="5"/>
    </w:p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</w:style>
  <w:style w:type="paragraph" w:customStyle="1" w:styleId="Apara">
    <w:name w:val="A para"/>
    <w:basedOn w:val="BillBasic"/>
    <w:uiPriority w:val="99"/>
    <w:pPr>
      <w:numPr>
        <w:ilvl w:val="6"/>
        <w:numId w:val="24"/>
      </w:numPr>
      <w:outlineLvl w:val="6"/>
    </w:pPr>
  </w:style>
  <w:style w:type="paragraph" w:customStyle="1" w:styleId="Asubpara">
    <w:name w:val="A subpara"/>
    <w:basedOn w:val="BillBasic"/>
    <w:uiPriority w:val="99"/>
    <w:pPr>
      <w:numPr>
        <w:ilvl w:val="7"/>
        <w:numId w:val="24"/>
      </w:numPr>
      <w:outlineLvl w:val="7"/>
    </w:pPr>
  </w:style>
  <w:style w:type="paragraph" w:customStyle="1" w:styleId="Asubsubpara">
    <w:name w:val="A subsubpara"/>
    <w:basedOn w:val="BillBasic"/>
    <w:uiPriority w:val="99"/>
    <w:pPr>
      <w:numPr>
        <w:ilvl w:val="8"/>
        <w:numId w:val="24"/>
      </w:numPr>
      <w:outlineLvl w:val="8"/>
    </w:pPr>
  </w:style>
  <w:style w:type="paragraph" w:customStyle="1" w:styleId="AH5Sec">
    <w:name w:val="A H5 Sec"/>
    <w:basedOn w:val="BillBasicHeading"/>
    <w:next w:val="direction"/>
    <w:uiPriority w:val="99"/>
    <w:pPr>
      <w:keepNext/>
      <w:tabs>
        <w:tab w:val="clear" w:pos="2600"/>
      </w:tabs>
      <w:spacing w:before="180"/>
      <w:jc w:val="left"/>
      <w:outlineLvl w:val="4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character" w:customStyle="1" w:styleId="CharDivText">
    <w:name w:val="CharDivText"/>
    <w:uiPriority w:val="99"/>
    <w:rPr>
      <w:rFonts w:ascii="Times New Roman" w:hAnsi="Times New Roman"/>
    </w:rPr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Aparabullet">
    <w:name w:val="A para bullet"/>
    <w:basedOn w:val="BillBasic"/>
    <w:uiPriority w:val="99"/>
    <w:pPr>
      <w:numPr>
        <w:numId w:val="12"/>
      </w:numPr>
      <w:spacing w:before="0" w:after="40"/>
    </w:pPr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2000"/>
      </w:tabs>
      <w:spacing w:before="80" w:after="40"/>
      <w:ind w:left="2000" w:right="440" w:hanging="20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lef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</w:style>
  <w:style w:type="paragraph" w:styleId="TOC7">
    <w:name w:val="toc 7"/>
    <w:basedOn w:val="TOC2"/>
    <w:next w:val="Normal"/>
    <w:autoRedefine/>
    <w:uiPriority w:val="99"/>
    <w:pPr>
      <w:keepNext w:val="0"/>
      <w:spacing w:before="120"/>
    </w:pPr>
    <w:rPr>
      <w:sz w:val="20"/>
      <w:szCs w:val="20"/>
    </w:rPr>
  </w:style>
  <w:style w:type="paragraph" w:styleId="TOC8">
    <w:name w:val="toc 8"/>
    <w:basedOn w:val="TOC3"/>
    <w:next w:val="Normal"/>
    <w:autoRedefine/>
    <w:uiPriority w:val="99"/>
    <w:pPr>
      <w:keepNext w:val="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before="120" w:after="60"/>
      <w:ind w:left="709"/>
    </w:p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BillBasic"/>
    <w:uiPriority w:val="9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  <w:spacing w:after="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uiPriority w:val="99"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before="80" w:after="60"/>
      <w:jc w:val="both"/>
    </w:p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ShadedSchClause">
    <w:name w:val="Shaded Sch Clause"/>
    <w:basedOn w:val="BillBasic"/>
    <w:next w:val="direction"/>
    <w:uiPriority w:val="99"/>
    <w:pPr>
      <w:keepNext/>
      <w:shd w:val="pct25" w:color="auto" w:fill="auto"/>
      <w:spacing w:before="160" w:after="0"/>
      <w:jc w:val="left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uiPriority w:val="99"/>
    <w:rPr>
      <w:rFonts w:ascii="Times New Roman" w:hAnsi="Times New Roman"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spacing w:before="80" w:after="60"/>
      <w:jc w:val="both"/>
    </w:pPr>
    <w:rPr>
      <w:sz w:val="24"/>
      <w:szCs w:val="24"/>
      <w:lang w:eastAsia="en-US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return">
    <w:name w:val="A main return"/>
    <w:basedOn w:val="BillBasic"/>
    <w:uiPriority w:val="99"/>
    <w:pPr>
      <w:ind w:left="1100"/>
    </w:pPr>
  </w:style>
  <w:style w:type="paragraph" w:customStyle="1" w:styleId="aDef">
    <w:name w:val="aDef"/>
    <w:basedOn w:val="BillBasic"/>
    <w:uiPriority w:val="99"/>
    <w:pPr>
      <w:numPr>
        <w:ilvl w:val="5"/>
        <w:numId w:val="23"/>
      </w:numPr>
      <w:outlineLvl w:val="5"/>
    </w:pPr>
  </w:style>
  <w:style w:type="paragraph" w:customStyle="1" w:styleId="aExamHead">
    <w:name w:val="aExam Head"/>
    <w:basedOn w:val="BillBasicHeading"/>
    <w:next w:val="aExam"/>
    <w:uiPriority w:val="99"/>
    <w:pPr>
      <w:keepNext/>
      <w:tabs>
        <w:tab w:val="clear" w:pos="2600"/>
      </w:tabs>
      <w:jc w:val="left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1100" w:firstLine="0"/>
    </w:pPr>
  </w:style>
  <w:style w:type="paragraph" w:customStyle="1" w:styleId="aNote">
    <w:name w:val="aNote"/>
    <w:basedOn w:val="BillBasic"/>
    <w:uiPriority w:val="99"/>
    <w:pPr>
      <w:ind w:left="19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666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13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tabs>
        <w:tab w:val="clear" w:pos="2600"/>
      </w:tabs>
      <w:spacing w:before="32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numPr>
        <w:ilvl w:val="1"/>
        <w:numId w:val="25"/>
      </w:numPr>
      <w:spacing w:before="32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numPr>
        <w:ilvl w:val="2"/>
        <w:numId w:val="25"/>
      </w:numPr>
      <w:spacing w:before="180"/>
      <w:jc w:val="left"/>
      <w:outlineLvl w:val="2"/>
    </w:pPr>
    <w:rPr>
      <w:b/>
      <w:bCs/>
      <w:sz w:val="28"/>
      <w:szCs w:val="28"/>
    </w:rPr>
  </w:style>
  <w:style w:type="paragraph" w:customStyle="1" w:styleId="direction">
    <w:name w:val="direction"/>
    <w:basedOn w:val="BillBasic"/>
    <w:next w:val="Amainreturn"/>
    <w:uiPriority w:val="99"/>
    <w:pPr>
      <w:ind w:left="1100"/>
    </w:pPr>
    <w:rPr>
      <w:i/>
      <w:iCs/>
    </w:rPr>
  </w:style>
  <w:style w:type="paragraph" w:customStyle="1" w:styleId="AH4SubDiv">
    <w:name w:val="A H4 SubDiv"/>
    <w:basedOn w:val="BillBasicHeading"/>
    <w:next w:val="AH5Sec"/>
    <w:uiPriority w:val="99"/>
    <w:pPr>
      <w:keepNext/>
      <w:tabs>
        <w:tab w:val="clear" w:pos="2600"/>
      </w:tabs>
      <w:spacing w:before="18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numPr>
        <w:numId w:val="22"/>
      </w:numPr>
      <w:spacing w:before="320"/>
      <w:jc w:val="left"/>
      <w:outlineLvl w:val="0"/>
    </w:pPr>
    <w:rPr>
      <w:b/>
      <w:bCs/>
      <w:sz w:val="34"/>
      <w:szCs w:val="34"/>
    </w:rPr>
  </w:style>
  <w:style w:type="paragraph" w:customStyle="1" w:styleId="Sched-Part">
    <w:name w:val="Sched-Part"/>
    <w:basedOn w:val="BillBasicHeading"/>
    <w:next w:val="ShadedSchClause"/>
    <w:uiPriority w:val="99"/>
    <w:pPr>
      <w:keepNext/>
      <w:numPr>
        <w:ilvl w:val="1"/>
        <w:numId w:val="22"/>
      </w:numPr>
      <w:spacing w:before="32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numPr>
        <w:ilvl w:val="2"/>
        <w:numId w:val="22"/>
      </w:numPr>
      <w:spacing w:before="180"/>
      <w:jc w:val="left"/>
      <w:outlineLvl w:val="2"/>
    </w:pPr>
    <w:rPr>
      <w:b/>
      <w:bCs/>
      <w:sz w:val="28"/>
      <w:szCs w:val="28"/>
    </w:rPr>
  </w:style>
  <w:style w:type="paragraph" w:customStyle="1" w:styleId="Schclauseheading">
    <w:name w:val="Sch clause heading"/>
    <w:basedOn w:val="BillBasic"/>
    <w:next w:val="SchAmain"/>
    <w:uiPriority w:val="99"/>
    <w:pPr>
      <w:keepNext/>
      <w:numPr>
        <w:ilvl w:val="4"/>
        <w:numId w:val="22"/>
      </w:numPr>
      <w:spacing w:before="180"/>
      <w:jc w:val="left"/>
      <w:outlineLvl w:val="4"/>
    </w:pPr>
    <w:rPr>
      <w:rFonts w:ascii="Arial" w:hAnsi="Arial" w:cs="Arial"/>
      <w:b/>
      <w:bCs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400" w:hanging="2400"/>
      <w:outlineLvl w:val="0"/>
    </w:pPr>
    <w:rPr>
      <w:b/>
      <w:bCs/>
      <w:sz w:val="34"/>
      <w:szCs w:val="34"/>
    </w:rPr>
  </w:style>
  <w:style w:type="paragraph" w:customStyle="1" w:styleId="Endnote1">
    <w:name w:val="Endnote1"/>
    <w:basedOn w:val="BillBasic"/>
    <w:uiPriority w:val="99"/>
    <w:pPr>
      <w:keepNext/>
      <w:tabs>
        <w:tab w:val="left" w:pos="400"/>
      </w:tabs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2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Amainreturn"/>
    <w:uiPriority w:val="99"/>
    <w:pPr>
      <w:keepNext/>
      <w:tabs>
        <w:tab w:val="clear" w:pos="2600"/>
        <w:tab w:val="left" w:pos="1100"/>
      </w:tabs>
      <w:spacing w:before="180"/>
      <w:ind w:left="1100" w:hanging="1100"/>
      <w:jc w:val="left"/>
    </w:pPr>
    <w:rPr>
      <w:b/>
      <w:bCs/>
    </w:rPr>
  </w:style>
  <w:style w:type="paragraph" w:customStyle="1" w:styleId="IH4SubDiv">
    <w:name w:val="I H4 SubDiv"/>
    <w:basedOn w:val="BillBasicHeading"/>
    <w:next w:val="IH5Sec"/>
    <w:uiPriority w:val="99"/>
    <w:pPr>
      <w:keepNext/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Heading"/>
    <w:uiPriority w:val="99"/>
    <w:pPr>
      <w:keepNext/>
      <w:tabs>
        <w:tab w:val="clear" w:pos="2600"/>
        <w:tab w:val="left" w:pos="1100"/>
      </w:tabs>
      <w:spacing w:before="160" w:after="0"/>
      <w:ind w:left="1100" w:hanging="1100"/>
      <w:jc w:val="left"/>
    </w:pPr>
    <w:rPr>
      <w:b/>
      <w:bCs/>
    </w:rPr>
  </w:style>
  <w:style w:type="paragraph" w:customStyle="1" w:styleId="IMain">
    <w:name w:val="I Main"/>
    <w:basedOn w:val="BillBasic"/>
    <w:uiPriority w:val="99"/>
    <w:pPr>
      <w:tabs>
        <w:tab w:val="right" w:pos="900"/>
        <w:tab w:val="left" w:pos="1100"/>
      </w:tabs>
      <w:ind w:left="1100" w:hanging="1100"/>
    </w:pPr>
  </w:style>
  <w:style w:type="paragraph" w:customStyle="1" w:styleId="Ipara">
    <w:name w:val="I para"/>
    <w:basedOn w:val="BillBasic"/>
    <w:uiPriority w:val="99"/>
    <w:pPr>
      <w:tabs>
        <w:tab w:val="right" w:pos="1400"/>
        <w:tab w:val="left" w:pos="1600"/>
      </w:tabs>
      <w:ind w:left="1600" w:hanging="1600"/>
    </w:pPr>
  </w:style>
  <w:style w:type="paragraph" w:customStyle="1" w:styleId="Isubpara">
    <w:name w:val="I subpara"/>
    <w:basedOn w:val="BillBasic"/>
    <w:uiPriority w:val="99"/>
    <w:pPr>
      <w:tabs>
        <w:tab w:val="right" w:pos="1940"/>
        <w:tab w:val="left" w:pos="2140"/>
      </w:tabs>
      <w:ind w:left="2140" w:hanging="2140"/>
    </w:pPr>
  </w:style>
  <w:style w:type="paragraph" w:customStyle="1" w:styleId="Isubsubpara">
    <w:name w:val="I subsubpara"/>
    <w:basedOn w:val="BillBasic"/>
    <w:uiPriority w:val="99"/>
    <w:pPr>
      <w:tabs>
        <w:tab w:val="right" w:pos="2460"/>
        <w:tab w:val="left" w:pos="2660"/>
      </w:tabs>
      <w:ind w:left="2660" w:hanging="2660"/>
    </w:pPr>
  </w:style>
  <w:style w:type="character" w:customStyle="1" w:styleId="CharDivNo">
    <w:name w:val="CharDivNo"/>
    <w:uiPriority w:val="99"/>
    <w:rPr>
      <w:rFonts w:ascii="Times New Roman" w:hAnsi="Times New Roman"/>
    </w:rPr>
  </w:style>
  <w:style w:type="character" w:customStyle="1" w:styleId="CharPartNo">
    <w:name w:val="CharPartNo"/>
    <w:uiPriority w:val="99"/>
    <w:rPr>
      <w:rFonts w:ascii="Times New Roman" w:hAnsi="Times New Roman"/>
    </w:rPr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character" w:customStyle="1" w:styleId="CharChapNo">
    <w:name w:val="CharChapNo"/>
    <w:uiPriority w:val="99"/>
    <w:rPr>
      <w:rFonts w:ascii="Times New Roman" w:hAnsi="Times New Roman"/>
    </w:rPr>
  </w:style>
  <w:style w:type="character" w:customStyle="1" w:styleId="CharChapText">
    <w:name w:val="CharChapText"/>
    <w:uiPriority w:val="99"/>
    <w:rPr>
      <w:rFonts w:ascii="Times New Roman" w:hAnsi="Times New Roman"/>
    </w:rPr>
  </w:style>
  <w:style w:type="character" w:customStyle="1" w:styleId="CharPartText">
    <w:name w:val="CharPartText"/>
    <w:uiPriority w:val="99"/>
    <w:rPr>
      <w:rFonts w:ascii="Times New Roman" w:hAnsi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ctNo">
    <w:name w:val="ActNo"/>
    <w:basedOn w:val="BillBasicHeading"/>
    <w:uiPriority w:val="99"/>
    <w:pPr>
      <w:spacing w:before="12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400" w:hanging="80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num" w:pos="5040"/>
      </w:tabs>
      <w:ind w:left="5040" w:hanging="720"/>
      <w:outlineLvl w:val="6"/>
    </w:p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Aparareturn">
    <w:name w:val="A para return"/>
    <w:basedOn w:val="BillBasic"/>
    <w:uiPriority w:val="99"/>
    <w:pPr>
      <w:ind w:left="1600"/>
    </w:pPr>
  </w:style>
  <w:style w:type="paragraph" w:customStyle="1" w:styleId="Asubparareturn">
    <w:name w:val="A subpara return"/>
    <w:basedOn w:val="BillBasic"/>
    <w:uiPriority w:val="99"/>
    <w:pPr>
      <w:ind w:left="2140"/>
    </w:pPr>
  </w:style>
  <w:style w:type="paragraph" w:customStyle="1" w:styleId="CommentNum">
    <w:name w:val="CommentNum"/>
    <w:basedOn w:val="Comment"/>
    <w:uiPriority w:val="99"/>
    <w:pPr>
      <w:numPr>
        <w:numId w:val="11"/>
      </w:numPr>
      <w:tabs>
        <w:tab w:val="clear" w:pos="1400"/>
      </w:tabs>
    </w:pPr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numPr>
        <w:numId w:val="16"/>
      </w:numPr>
      <w:spacing w:before="0" w:after="40"/>
    </w:pPr>
  </w:style>
  <w:style w:type="paragraph" w:customStyle="1" w:styleId="Asubparabullet">
    <w:name w:val="A subpara bullet"/>
    <w:basedOn w:val="BillBasic"/>
    <w:uiPriority w:val="99"/>
    <w:pPr>
      <w:numPr>
        <w:numId w:val="13"/>
      </w:numPr>
      <w:spacing w:before="0" w:after="40"/>
    </w:pPr>
  </w:style>
  <w:style w:type="paragraph" w:customStyle="1" w:styleId="aDefpara">
    <w:name w:val="aDef para"/>
    <w:basedOn w:val="Apara"/>
    <w:uiPriority w:val="99"/>
    <w:pPr>
      <w:numPr>
        <w:numId w:val="23"/>
      </w:numPr>
    </w:pPr>
  </w:style>
  <w:style w:type="paragraph" w:customStyle="1" w:styleId="aDefsubpara">
    <w:name w:val="aDef subpara"/>
    <w:basedOn w:val="Asubpara"/>
    <w:uiPriority w:val="99"/>
    <w:pPr>
      <w:numPr>
        <w:numId w:val="23"/>
      </w:numPr>
    </w:pPr>
  </w:style>
  <w:style w:type="paragraph" w:customStyle="1" w:styleId="Idefpara">
    <w:name w:val="I def para"/>
    <w:basedOn w:val="Ipara"/>
    <w:uiPriority w:val="99"/>
  </w:style>
  <w:style w:type="paragraph" w:customStyle="1" w:styleId="Idefsubpara">
    <w:name w:val="I def subpara"/>
    <w:basedOn w:val="Isubpara"/>
    <w:uiPriority w:val="99"/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Dict-Heading"/>
    <w:uiPriority w:val="99"/>
    <w:pPr>
      <w:keepNext w:val="0"/>
      <w:outlineLvl w:val="9"/>
    </w:p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aNoteBullet">
    <w:name w:val="aNoteBullet"/>
    <w:basedOn w:val="aNotess"/>
    <w:uiPriority w:val="99"/>
    <w:pPr>
      <w:numPr>
        <w:numId w:val="15"/>
      </w:numPr>
      <w:spacing w:before="0"/>
    </w:pPr>
  </w:style>
  <w:style w:type="paragraph" w:customStyle="1" w:styleId="aNotess">
    <w:name w:val="aNotess"/>
    <w:basedOn w:val="BillBasic"/>
    <w:uiPriority w:val="99"/>
    <w:pPr>
      <w:ind w:left="1900" w:hanging="800"/>
    </w:pPr>
    <w:rPr>
      <w:sz w:val="20"/>
      <w:szCs w:val="20"/>
    </w:rPr>
  </w:style>
  <w:style w:type="paragraph" w:customStyle="1" w:styleId="aParaNoteBullet">
    <w:name w:val="aParaNoteBullet"/>
    <w:basedOn w:val="aNotepar"/>
    <w:uiPriority w:val="99"/>
    <w:pPr>
      <w:numPr>
        <w:numId w:val="27"/>
      </w:numPr>
      <w:spacing w:before="0"/>
    </w:pPr>
  </w:style>
  <w:style w:type="paragraph" w:customStyle="1" w:styleId="aNotepar">
    <w:name w:val="aNotepar"/>
    <w:basedOn w:val="BillBasic"/>
    <w:next w:val="aNoteTextpar"/>
    <w:uiPriority w:val="99"/>
    <w:pPr>
      <w:ind w:left="2400" w:hanging="800"/>
    </w:pPr>
    <w:rPr>
      <w:rFonts w:ascii="Times New (W1)" w:hAnsi="Times New (W1)" w:cs="Times New (W1)"/>
      <w:sz w:val="20"/>
      <w:szCs w:val="20"/>
    </w:rPr>
  </w:style>
  <w:style w:type="paragraph" w:customStyle="1" w:styleId="aNoteTextpar">
    <w:name w:val="aNoteTextpar"/>
    <w:basedOn w:val="aNotepar"/>
    <w:uiPriority w:val="99"/>
    <w:pPr>
      <w:spacing w:before="0"/>
      <w:ind w:firstLine="0"/>
    </w:pPr>
  </w:style>
  <w:style w:type="paragraph" w:customStyle="1" w:styleId="aExamPara">
    <w:name w:val="aExamPara"/>
    <w:basedOn w:val="aExam"/>
    <w:uiPriority w:val="99"/>
    <w:pPr>
      <w:tabs>
        <w:tab w:val="num" w:pos="5760"/>
      </w:tabs>
      <w:ind w:left="5760" w:hanging="720"/>
    </w:pPr>
  </w:style>
  <w:style w:type="paragraph" w:customStyle="1" w:styleId="aExamNumText">
    <w:name w:val="aExamNumText"/>
    <w:basedOn w:val="aExam"/>
    <w:uiPriority w:val="99"/>
    <w:pPr>
      <w:ind w:left="1500"/>
    </w:pPr>
  </w:style>
  <w:style w:type="paragraph" w:customStyle="1" w:styleId="aExamBullet">
    <w:name w:val="aExamBullet"/>
    <w:basedOn w:val="aExam"/>
    <w:uiPriority w:val="99"/>
    <w:pPr>
      <w:tabs>
        <w:tab w:val="num" w:pos="720"/>
      </w:tabs>
      <w:ind w:left="720" w:hanging="720"/>
    </w:pPr>
  </w:style>
  <w:style w:type="paragraph" w:customStyle="1" w:styleId="aNotePara">
    <w:name w:val="aNotePara"/>
    <w:basedOn w:val="aNote"/>
    <w:uiPriority w:val="99"/>
    <w:pPr>
      <w:tabs>
        <w:tab w:val="right" w:pos="2140"/>
        <w:tab w:val="left" w:pos="2400"/>
      </w:tabs>
      <w:spacing w:before="0" w:after="40"/>
      <w:ind w:left="24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paragraph" w:customStyle="1" w:styleId="aParaNotePara">
    <w:name w:val="aParaNotePara"/>
    <w:basedOn w:val="aParaNote"/>
    <w:uiPriority w:val="99"/>
    <w:pPr>
      <w:tabs>
        <w:tab w:val="right" w:pos="2640"/>
      </w:tabs>
      <w:ind w:left="2920" w:hanging="1320"/>
    </w:pPr>
  </w:style>
  <w:style w:type="character" w:customStyle="1" w:styleId="charBold">
    <w:name w:val="charBold"/>
    <w:uiPriority w:val="99"/>
    <w:rPr>
      <w:rFonts w:ascii="Times New Roman" w:hAnsi="Times New Roman"/>
      <w:b/>
    </w:rPr>
  </w:style>
  <w:style w:type="character" w:customStyle="1" w:styleId="charBoldItals">
    <w:name w:val="charBoldItals"/>
    <w:uiPriority w:val="99"/>
    <w:rPr>
      <w:rFonts w:ascii="Times New Roman" w:hAnsi="Times New Roman"/>
      <w:b/>
      <w:i/>
    </w:rPr>
  </w:style>
  <w:style w:type="character" w:customStyle="1" w:styleId="charItals">
    <w:name w:val="charItals"/>
    <w:uiPriority w:val="99"/>
    <w:rPr>
      <w:rFonts w:ascii="Times New Roman" w:hAnsi="Times New Roman"/>
      <w:i/>
    </w:rPr>
  </w:style>
  <w:style w:type="character" w:customStyle="1" w:styleId="charUnderline">
    <w:name w:val="charUnderline"/>
    <w:uiPriority w:val="99"/>
    <w:rPr>
      <w:rFonts w:ascii="Times New Roman" w:hAnsi="Times New Roman"/>
      <w:u w:val="single"/>
    </w:rPr>
  </w:style>
  <w:style w:type="paragraph" w:customStyle="1" w:styleId="TableHd">
    <w:name w:val="TableHd"/>
    <w:basedOn w:val="Normal"/>
    <w:uiPriority w:val="99"/>
    <w:pPr>
      <w:keepNext/>
      <w:spacing w:before="240" w:after="120"/>
      <w:ind w:left="1100" w:hanging="11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keepNext/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PenaltyPara">
    <w:name w:val="PenaltyPara"/>
    <w:basedOn w:val="Normal"/>
    <w:uiPriority w:val="99"/>
    <w:pPr>
      <w:tabs>
        <w:tab w:val="right" w:pos="1360"/>
      </w:tabs>
      <w:ind w:left="1600" w:hanging="1600"/>
      <w:jc w:val="both"/>
    </w:pPr>
  </w:style>
  <w:style w:type="paragraph" w:customStyle="1" w:styleId="tablepara">
    <w:name w:val="table para"/>
    <w:basedOn w:val="Normal"/>
    <w:uiPriority w:val="99"/>
    <w:pPr>
      <w:tabs>
        <w:tab w:val="right" w:pos="400"/>
        <w:tab w:val="left" w:pos="700"/>
      </w:tabs>
      <w:spacing w:before="80" w:after="60"/>
      <w:ind w:left="700" w:hanging="700"/>
    </w:pPr>
  </w:style>
  <w:style w:type="paragraph" w:customStyle="1" w:styleId="tablesubpara">
    <w:name w:val="table subpara"/>
    <w:basedOn w:val="Normal"/>
    <w:uiPriority w:val="99"/>
    <w:pPr>
      <w:tabs>
        <w:tab w:val="right" w:pos="1100"/>
        <w:tab w:val="left" w:pos="1400"/>
      </w:tabs>
      <w:spacing w:before="80" w:after="60"/>
      <w:ind w:left="1400" w:hanging="1400"/>
    </w:pPr>
  </w:style>
  <w:style w:type="paragraph" w:customStyle="1" w:styleId="TableText">
    <w:name w:val="TableText"/>
    <w:basedOn w:val="Normal"/>
    <w:uiPriority w:val="99"/>
    <w:pPr>
      <w:spacing w:before="60" w:after="60"/>
    </w:pPr>
  </w:style>
  <w:style w:type="paragraph" w:customStyle="1" w:styleId="IshadedH5Sec">
    <w:name w:val="I shaded H5 Sec"/>
    <w:basedOn w:val="AH5Sec"/>
    <w:uiPriority w:val="99"/>
    <w:pPr>
      <w:shd w:val="pct25" w:color="auto" w:fill="auto"/>
      <w:ind w:left="1100" w:hanging="1100"/>
      <w:outlineLvl w:val="9"/>
    </w:pPr>
  </w:style>
  <w:style w:type="paragraph" w:customStyle="1" w:styleId="IshadedSchClause">
    <w:name w:val="I shaded Sch Clause"/>
    <w:basedOn w:val="IshadedH5Sec"/>
    <w:uiPriority w:val="99"/>
  </w:style>
  <w:style w:type="paragraph" w:customStyle="1" w:styleId="Penalty">
    <w:name w:val="Penalty"/>
    <w:basedOn w:val="Amainreturn"/>
    <w:uiPriority w:val="99"/>
  </w:style>
  <w:style w:type="paragraph" w:customStyle="1" w:styleId="aNoteText">
    <w:name w:val="aNoteText"/>
    <w:basedOn w:val="aNote"/>
    <w:uiPriority w:val="99"/>
    <w:pPr>
      <w:spacing w:before="20"/>
      <w:ind w:firstLine="0"/>
    </w:pPr>
  </w:style>
  <w:style w:type="paragraph" w:customStyle="1" w:styleId="aExamINum">
    <w:name w:val="aExamINum"/>
    <w:basedOn w:val="aExam"/>
    <w:uiPriority w:val="9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uiPriority w:val="9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uiPriority w:val="99"/>
    <w:pPr>
      <w:keepNext/>
      <w:keepLines/>
      <w:pBdr>
        <w:top w:val="single" w:sz="4" w:space="1" w:color="auto"/>
      </w:pBdr>
      <w:tabs>
        <w:tab w:val="num" w:pos="720"/>
      </w:tabs>
      <w:spacing w:before="180" w:after="60"/>
      <w:ind w:left="720" w:hanging="720"/>
    </w:pPr>
    <w:rPr>
      <w:rFonts w:ascii="Arial" w:hAnsi="Arial" w:cs="Arial"/>
      <w:b/>
      <w:bCs/>
      <w:sz w:val="22"/>
      <w:szCs w:val="22"/>
    </w:rPr>
  </w:style>
  <w:style w:type="paragraph" w:customStyle="1" w:styleId="aExamHdgss">
    <w:name w:val="aExamHdgss"/>
    <w:basedOn w:val="BillBasicHeading"/>
    <w:next w:val="aExamss"/>
    <w:uiPriority w:val="99"/>
    <w:pPr>
      <w:keepNext/>
      <w:tabs>
        <w:tab w:val="clear" w:pos="2600"/>
      </w:tabs>
      <w:ind w:left="1100"/>
      <w:jc w:val="left"/>
    </w:pPr>
    <w:rPr>
      <w:b/>
      <w:bCs/>
      <w:sz w:val="18"/>
      <w:szCs w:val="18"/>
    </w:rPr>
  </w:style>
  <w:style w:type="paragraph" w:customStyle="1" w:styleId="aExamss">
    <w:name w:val="aExamss"/>
    <w:basedOn w:val="aNote"/>
    <w:uiPriority w:val="99"/>
    <w:pPr>
      <w:spacing w:before="0"/>
      <w:ind w:left="1100" w:firstLine="0"/>
    </w:pPr>
  </w:style>
  <w:style w:type="paragraph" w:customStyle="1" w:styleId="aExamHdgpar">
    <w:name w:val="aExamHdgpar"/>
    <w:basedOn w:val="aExamHdgss"/>
    <w:next w:val="aExampar"/>
    <w:uiPriority w:val="99"/>
    <w:pPr>
      <w:ind w:left="1600"/>
    </w:pPr>
  </w:style>
  <w:style w:type="paragraph" w:customStyle="1" w:styleId="aExampar">
    <w:name w:val="aExampar"/>
    <w:basedOn w:val="aExamss"/>
    <w:uiPriority w:val="99"/>
    <w:pPr>
      <w:ind w:left="1600"/>
    </w:pPr>
  </w:style>
  <w:style w:type="paragraph" w:customStyle="1" w:styleId="aExamINumss">
    <w:name w:val="aExamINumss"/>
    <w:basedOn w:val="aExamss"/>
    <w:uiPriority w:val="9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uiPriority w:val="9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uiPriority w:val="99"/>
    <w:pPr>
      <w:ind w:left="1500"/>
    </w:pPr>
  </w:style>
  <w:style w:type="paragraph" w:customStyle="1" w:styleId="aExamNumTextpar">
    <w:name w:val="aExamNumTextpar"/>
    <w:basedOn w:val="aExampar"/>
    <w:uiPriority w:val="99"/>
    <w:pPr>
      <w:ind w:left="2000"/>
    </w:pPr>
  </w:style>
  <w:style w:type="paragraph" w:customStyle="1" w:styleId="aExamBulletss">
    <w:name w:val="aExamBulletss"/>
    <w:basedOn w:val="aExamss"/>
    <w:uiPriority w:val="99"/>
    <w:pPr>
      <w:tabs>
        <w:tab w:val="num" w:pos="720"/>
      </w:tabs>
      <w:ind w:left="720" w:hanging="720"/>
    </w:pPr>
  </w:style>
  <w:style w:type="paragraph" w:customStyle="1" w:styleId="aExamBulletpar">
    <w:name w:val="aExamBulletpar"/>
    <w:basedOn w:val="aExampar"/>
    <w:uiPriority w:val="99"/>
    <w:pPr>
      <w:numPr>
        <w:numId w:val="21"/>
      </w:numPr>
    </w:pPr>
  </w:style>
  <w:style w:type="paragraph" w:customStyle="1" w:styleId="aExamHdgsubpar">
    <w:name w:val="aExamHdgsubpar"/>
    <w:basedOn w:val="aExamHdgss"/>
    <w:next w:val="aExamsubpar"/>
    <w:uiPriority w:val="99"/>
    <w:pPr>
      <w:ind w:left="2140"/>
    </w:pPr>
  </w:style>
  <w:style w:type="paragraph" w:customStyle="1" w:styleId="aExamsubpar">
    <w:name w:val="aExamsubpar"/>
    <w:basedOn w:val="aExamss"/>
    <w:uiPriority w:val="99"/>
    <w:pPr>
      <w:ind w:left="2140"/>
    </w:pPr>
  </w:style>
  <w:style w:type="paragraph" w:customStyle="1" w:styleId="aExamNumsubpar">
    <w:name w:val="aExamNumsubpar"/>
    <w:basedOn w:val="aExamsubpar"/>
    <w:uiPriority w:val="99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uiPriority w:val="99"/>
    <w:pPr>
      <w:ind w:left="2540"/>
    </w:pPr>
  </w:style>
  <w:style w:type="paragraph" w:customStyle="1" w:styleId="aExamBulletsubpar">
    <w:name w:val="aExamBulletsubpar"/>
    <w:basedOn w:val="aExamsubpar"/>
    <w:uiPriority w:val="99"/>
    <w:pPr>
      <w:tabs>
        <w:tab w:val="num" w:pos="720"/>
      </w:tabs>
      <w:ind w:left="720" w:hanging="720"/>
    </w:pPr>
  </w:style>
  <w:style w:type="paragraph" w:customStyle="1" w:styleId="aNoteTextss">
    <w:name w:val="aNoteTextss"/>
    <w:basedOn w:val="aNotess"/>
    <w:uiPriority w:val="99"/>
    <w:pPr>
      <w:spacing w:before="0"/>
      <w:ind w:firstLine="0"/>
    </w:pPr>
  </w:style>
  <w:style w:type="paragraph" w:customStyle="1" w:styleId="aNoteParass">
    <w:name w:val="aNoteParass"/>
    <w:basedOn w:val="aNotess"/>
    <w:uiPriority w:val="99"/>
    <w:pPr>
      <w:tabs>
        <w:tab w:val="right" w:pos="2140"/>
        <w:tab w:val="left" w:pos="2400"/>
      </w:tabs>
      <w:spacing w:before="0"/>
      <w:ind w:left="2400" w:hanging="1300"/>
    </w:pPr>
  </w:style>
  <w:style w:type="paragraph" w:customStyle="1" w:styleId="aNoteParapar">
    <w:name w:val="aNoteParapar"/>
    <w:basedOn w:val="aNotepar"/>
    <w:uiPriority w:val="99"/>
    <w:pPr>
      <w:tabs>
        <w:tab w:val="right" w:pos="2640"/>
      </w:tabs>
      <w:spacing w:before="0"/>
      <w:ind w:left="2920" w:hanging="1320"/>
    </w:pPr>
  </w:style>
  <w:style w:type="paragraph" w:customStyle="1" w:styleId="aNotesubpar">
    <w:name w:val="aNotesubpar"/>
    <w:basedOn w:val="BillBasic"/>
    <w:next w:val="aNoteTextsubpar"/>
    <w:uiPriority w:val="99"/>
    <w:pPr>
      <w:ind w:left="2940" w:hanging="800"/>
    </w:pPr>
    <w:rPr>
      <w:sz w:val="20"/>
      <w:szCs w:val="20"/>
    </w:rPr>
  </w:style>
  <w:style w:type="paragraph" w:customStyle="1" w:styleId="aNoteTextsubpar">
    <w:name w:val="aNoteTextsubpar"/>
    <w:basedOn w:val="aNotesubpar"/>
    <w:uiPriority w:val="99"/>
    <w:pPr>
      <w:spacing w:before="0"/>
      <w:ind w:firstLine="0"/>
    </w:pPr>
  </w:style>
  <w:style w:type="paragraph" w:customStyle="1" w:styleId="aNoteParasubpar">
    <w:name w:val="aNoteParasubpar"/>
    <w:basedOn w:val="aNotesubpar"/>
    <w:uiPriority w:val="99"/>
    <w:pPr>
      <w:tabs>
        <w:tab w:val="right" w:pos="3180"/>
      </w:tabs>
      <w:spacing w:before="0"/>
      <w:ind w:left="3460" w:hanging="1320"/>
    </w:pPr>
  </w:style>
  <w:style w:type="paragraph" w:customStyle="1" w:styleId="aNoteBulletann">
    <w:name w:val="aNoteBulletann"/>
    <w:basedOn w:val="aNotess"/>
    <w:uiPriority w:val="9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uiPriority w:val="99"/>
    <w:pPr>
      <w:tabs>
        <w:tab w:val="left" w:pos="2700"/>
      </w:tabs>
      <w:spacing w:before="0"/>
      <w:ind w:left="0" w:firstLine="0"/>
    </w:pPr>
  </w:style>
  <w:style w:type="paragraph" w:customStyle="1" w:styleId="aNoteBulletsubpar">
    <w:name w:val="aNoteBulletsubpar"/>
    <w:basedOn w:val="aNotesubpar"/>
    <w:uiPriority w:val="99"/>
    <w:pPr>
      <w:numPr>
        <w:numId w:val="19"/>
      </w:numPr>
      <w:tabs>
        <w:tab w:val="left" w:pos="3240"/>
      </w:tabs>
      <w:spacing w:before="0"/>
    </w:pPr>
  </w:style>
  <w:style w:type="paragraph" w:customStyle="1" w:styleId="aNoteBulletss">
    <w:name w:val="aNoteBulletss"/>
    <w:basedOn w:val="Normal"/>
    <w:uiPriority w:val="99"/>
    <w:pPr>
      <w:numPr>
        <w:numId w:val="17"/>
      </w:numPr>
      <w:spacing w:after="60"/>
      <w:jc w:val="both"/>
    </w:pPr>
    <w:rPr>
      <w:sz w:val="20"/>
      <w:szCs w:val="20"/>
    </w:rPr>
  </w:style>
  <w:style w:type="paragraph" w:customStyle="1" w:styleId="aNoteBulletpar">
    <w:name w:val="aNoteBulletpar"/>
    <w:basedOn w:val="aNotepar"/>
    <w:uiPriority w:val="99"/>
    <w:pPr>
      <w:numPr>
        <w:numId w:val="18"/>
      </w:numPr>
      <w:spacing w:before="0"/>
    </w:pPr>
    <w:rPr>
      <w:rFonts w:ascii="Times New Roman" w:hAnsi="Times New Roman" w:cs="Times New Roman"/>
    </w:rPr>
  </w:style>
  <w:style w:type="paragraph" w:customStyle="1" w:styleId="aExplanBullet">
    <w:name w:val="aExplanBullet"/>
    <w:basedOn w:val="aExplanText"/>
    <w:uiPriority w:val="99"/>
    <w:pPr>
      <w:numPr>
        <w:numId w:val="20"/>
      </w:numPr>
    </w:pPr>
  </w:style>
  <w:style w:type="paragraph" w:customStyle="1" w:styleId="AuthLaw">
    <w:name w:val="AuthLaw"/>
    <w:basedOn w:val="BillBasic"/>
    <w:uiPriority w:val="99"/>
    <w:rPr>
      <w:rFonts w:ascii="Arial" w:hAnsi="Arial" w:cs="Arial"/>
      <w:b/>
      <w:bCs/>
      <w:sz w:val="20"/>
      <w:szCs w:val="20"/>
    </w:rPr>
  </w:style>
  <w:style w:type="paragraph" w:customStyle="1" w:styleId="aExamNumpar">
    <w:name w:val="aExamNumpar"/>
    <w:basedOn w:val="aExamINumss"/>
    <w:uiPriority w:val="9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uiPriority w:val="99"/>
    <w:pPr>
      <w:spacing w:before="160" w:after="0"/>
      <w:jc w:val="left"/>
      <w:outlineLvl w:val="4"/>
    </w:pPr>
    <w:rPr>
      <w:rFonts w:ascii="Arial" w:hAnsi="Arial" w:cs="Arial"/>
      <w:b/>
      <w:bCs/>
    </w:rPr>
  </w:style>
  <w:style w:type="paragraph" w:customStyle="1" w:styleId="SchAmain">
    <w:name w:val="Sch A main"/>
    <w:basedOn w:val="Amain"/>
    <w:uiPriority w:val="99"/>
    <w:pPr>
      <w:numPr>
        <w:numId w:val="22"/>
      </w:numPr>
    </w:pPr>
  </w:style>
  <w:style w:type="paragraph" w:customStyle="1" w:styleId="SchApara">
    <w:name w:val="Sch A para"/>
    <w:basedOn w:val="Apara"/>
    <w:uiPriority w:val="99"/>
    <w:pPr>
      <w:numPr>
        <w:numId w:val="22"/>
      </w:numPr>
    </w:pPr>
  </w:style>
  <w:style w:type="paragraph" w:customStyle="1" w:styleId="SchAsubpara">
    <w:name w:val="Sch A subpara"/>
    <w:basedOn w:val="Asubpara"/>
    <w:uiPriority w:val="99"/>
    <w:pPr>
      <w:numPr>
        <w:numId w:val="22"/>
      </w:numPr>
    </w:pPr>
  </w:style>
  <w:style w:type="paragraph" w:customStyle="1" w:styleId="SchAsubsubpara">
    <w:name w:val="Sch A subsubpara"/>
    <w:basedOn w:val="Asubsubpara"/>
    <w:uiPriority w:val="99"/>
    <w:pPr>
      <w:numPr>
        <w:numId w:val="22"/>
      </w:numPr>
    </w:pPr>
  </w:style>
  <w:style w:type="paragraph" w:customStyle="1" w:styleId="TOCOL1">
    <w:name w:val="TOCOL 1"/>
    <w:basedOn w:val="TOC1"/>
    <w:uiPriority w:val="99"/>
  </w:style>
  <w:style w:type="paragraph" w:customStyle="1" w:styleId="TOCOL2">
    <w:name w:val="TOCOL 2"/>
    <w:basedOn w:val="TOC2"/>
    <w:uiPriority w:val="99"/>
  </w:style>
  <w:style w:type="paragraph" w:customStyle="1" w:styleId="TOCOL3">
    <w:name w:val="TOCOL 3"/>
    <w:basedOn w:val="TOC3"/>
    <w:uiPriority w:val="99"/>
  </w:style>
  <w:style w:type="paragraph" w:customStyle="1" w:styleId="TOCOL4">
    <w:name w:val="TOCOL 4"/>
    <w:basedOn w:val="TOC4"/>
    <w:uiPriority w:val="99"/>
  </w:style>
  <w:style w:type="paragraph" w:customStyle="1" w:styleId="TOCOL5">
    <w:name w:val="TOCOL 5"/>
    <w:basedOn w:val="TOC5"/>
    <w:uiPriority w:val="99"/>
  </w:style>
  <w:style w:type="paragraph" w:customStyle="1" w:styleId="TOCOL6">
    <w:name w:val="TOCOL 6"/>
    <w:basedOn w:val="TOC6"/>
    <w:uiPriority w:val="99"/>
  </w:style>
  <w:style w:type="paragraph" w:customStyle="1" w:styleId="TOCOL7">
    <w:name w:val="TOCOL 7"/>
    <w:basedOn w:val="TOC7"/>
    <w:uiPriority w:val="99"/>
  </w:style>
  <w:style w:type="paragraph" w:customStyle="1" w:styleId="TOCOL8">
    <w:name w:val="TOCOL 8"/>
    <w:basedOn w:val="TOC8"/>
    <w:uiPriority w:val="99"/>
  </w:style>
  <w:style w:type="paragraph" w:customStyle="1" w:styleId="TOCOL9">
    <w:name w:val="TOCOL 9"/>
    <w:basedOn w:val="TOC9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sz w:val="20"/>
      <w:lang w:val="x-none" w:eastAsia="en-US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  <w:tabs>
        <w:tab w:val="clear" w:pos="360"/>
        <w:tab w:val="num" w:pos="720"/>
        <w:tab w:val="num" w:pos="1500"/>
        <w:tab w:val="num" w:pos="2400"/>
      </w:tabs>
    </w:pPr>
  </w:style>
  <w:style w:type="character" w:styleId="UnresolvedMention">
    <w:name w:val="Unresolved Mention"/>
    <w:uiPriority w:val="99"/>
    <w:semiHidden/>
    <w:unhideWhenUsed/>
    <w:rsid w:val="00085D7D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01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vehicleguide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5DAA6-0E2B-4D82-9954-768D044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5964</Characters>
  <Application>Microsoft Office Word</Application>
  <DocSecurity>0</DocSecurity>
  <Lines>171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2016-06-09T03:46:00Z</cp:lastPrinted>
  <dcterms:created xsi:type="dcterms:W3CDTF">2023-03-27T00:10:00Z</dcterms:created>
  <dcterms:modified xsi:type="dcterms:W3CDTF">2023-03-27T00:10:00Z</dcterms:modified>
</cp:coreProperties>
</file>