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28BE" w14:textId="77777777" w:rsidR="00F10CB2" w:rsidRPr="0056306A" w:rsidRDefault="00F10CB2">
      <w:pPr>
        <w:spacing w:before="120"/>
        <w:rPr>
          <w:rFonts w:asciiTheme="minorHAnsi" w:hAnsiTheme="minorHAnsi" w:cs="Arial"/>
        </w:rPr>
      </w:pPr>
      <w:bookmarkStart w:id="0" w:name="_Toc44738651"/>
      <w:r w:rsidRPr="0056306A">
        <w:rPr>
          <w:rFonts w:asciiTheme="minorHAnsi" w:hAnsiTheme="minorHAnsi" w:cs="Arial"/>
        </w:rPr>
        <w:t>Australian Capital Territory</w:t>
      </w:r>
    </w:p>
    <w:p w14:paraId="56FAC56F" w14:textId="486D41B9" w:rsidR="00F10CB2" w:rsidRPr="0056306A" w:rsidRDefault="00DC24BC" w:rsidP="0056306A">
      <w:pPr>
        <w:pStyle w:val="Billname"/>
        <w:spacing w:before="480"/>
        <w:rPr>
          <w:rFonts w:asciiTheme="minorHAnsi" w:hAnsiTheme="minorHAnsi"/>
          <w:szCs w:val="40"/>
        </w:rPr>
      </w:pPr>
      <w:r w:rsidRPr="0056306A">
        <w:rPr>
          <w:rFonts w:asciiTheme="minorHAnsi" w:hAnsiTheme="minorHAnsi"/>
          <w:szCs w:val="40"/>
        </w:rPr>
        <w:t xml:space="preserve">Independent Competition and Regulatory Commission (Price Direction for the Supply of Electricity to </w:t>
      </w:r>
      <w:r w:rsidR="00EC7A2F">
        <w:rPr>
          <w:rFonts w:asciiTheme="minorHAnsi" w:hAnsiTheme="minorHAnsi"/>
          <w:szCs w:val="40"/>
        </w:rPr>
        <w:t xml:space="preserve">Certain </w:t>
      </w:r>
      <w:r w:rsidRPr="0056306A">
        <w:rPr>
          <w:rFonts w:asciiTheme="minorHAnsi" w:hAnsiTheme="minorHAnsi"/>
          <w:szCs w:val="40"/>
        </w:rPr>
        <w:t>Small Customers on Standard Retail Contracts) Terms of Reference Determination 20</w:t>
      </w:r>
      <w:r w:rsidR="001119F1">
        <w:rPr>
          <w:rFonts w:asciiTheme="minorHAnsi" w:hAnsiTheme="minorHAnsi"/>
          <w:szCs w:val="40"/>
        </w:rPr>
        <w:t>23</w:t>
      </w:r>
      <w:r w:rsidRPr="0056306A">
        <w:rPr>
          <w:rFonts w:asciiTheme="minorHAnsi" w:hAnsiTheme="minorHAnsi"/>
          <w:szCs w:val="40"/>
        </w:rPr>
        <w:t xml:space="preserve"> </w:t>
      </w:r>
    </w:p>
    <w:p w14:paraId="6D7506F1" w14:textId="506D8A3A" w:rsidR="00F10CB2" w:rsidRPr="0056306A" w:rsidRDefault="00F10CB2" w:rsidP="00D47F13">
      <w:pPr>
        <w:spacing w:before="340"/>
        <w:rPr>
          <w:rFonts w:asciiTheme="minorHAnsi" w:hAnsiTheme="minorHAnsi" w:cs="Arial"/>
          <w:b/>
          <w:bCs/>
        </w:rPr>
      </w:pPr>
      <w:r w:rsidRPr="0056306A">
        <w:rPr>
          <w:rFonts w:asciiTheme="minorHAnsi" w:hAnsiTheme="minorHAnsi" w:cs="Arial"/>
          <w:b/>
          <w:bCs/>
        </w:rPr>
        <w:t>Disallowable instrument DI</w:t>
      </w:r>
      <w:r w:rsidR="00DC24BC" w:rsidRPr="0056306A">
        <w:rPr>
          <w:rFonts w:asciiTheme="minorHAnsi" w:hAnsiTheme="minorHAnsi" w:cs="Arial"/>
          <w:b/>
          <w:bCs/>
          <w:iCs/>
        </w:rPr>
        <w:t>20</w:t>
      </w:r>
      <w:r w:rsidR="001119F1">
        <w:rPr>
          <w:rFonts w:asciiTheme="minorHAnsi" w:hAnsiTheme="minorHAnsi" w:cs="Arial"/>
          <w:b/>
          <w:bCs/>
          <w:iCs/>
        </w:rPr>
        <w:t>23</w:t>
      </w:r>
      <w:r w:rsidRPr="0056306A">
        <w:rPr>
          <w:rFonts w:asciiTheme="minorHAnsi" w:hAnsiTheme="minorHAnsi" w:cs="Arial"/>
          <w:b/>
          <w:bCs/>
        </w:rPr>
        <w:t>–</w:t>
      </w:r>
      <w:r w:rsidR="00DC24BC" w:rsidRPr="0056306A">
        <w:rPr>
          <w:rFonts w:asciiTheme="minorHAnsi" w:hAnsiTheme="minorHAnsi" w:cs="Arial"/>
          <w:b/>
          <w:bCs/>
        </w:rPr>
        <w:t xml:space="preserve"> </w:t>
      </w:r>
      <w:r w:rsidR="00B5658E">
        <w:rPr>
          <w:rFonts w:asciiTheme="minorHAnsi" w:hAnsiTheme="minorHAnsi" w:cs="Arial"/>
          <w:b/>
          <w:bCs/>
        </w:rPr>
        <w:t>97</w:t>
      </w:r>
    </w:p>
    <w:p w14:paraId="3D9840AA" w14:textId="77777777" w:rsidR="00F10CB2" w:rsidRPr="00D416A8" w:rsidRDefault="0056306A" w:rsidP="0056306A">
      <w:pPr>
        <w:pStyle w:val="madeunder"/>
        <w:spacing w:before="300" w:after="0"/>
        <w:rPr>
          <w:rFonts w:asciiTheme="minorHAnsi" w:hAnsiTheme="minorHAnsi"/>
          <w:szCs w:val="24"/>
        </w:rPr>
      </w:pPr>
      <w:r w:rsidRPr="00D416A8">
        <w:rPr>
          <w:rFonts w:asciiTheme="minorHAnsi" w:hAnsiTheme="minorHAnsi"/>
          <w:szCs w:val="24"/>
        </w:rPr>
        <w:t>M</w:t>
      </w:r>
      <w:r w:rsidR="00F10CB2" w:rsidRPr="00D416A8">
        <w:rPr>
          <w:rFonts w:asciiTheme="minorHAnsi" w:hAnsiTheme="minorHAnsi"/>
          <w:szCs w:val="24"/>
        </w:rPr>
        <w:t xml:space="preserve">ade under the </w:t>
      </w:r>
      <w:r w:rsidR="00DC24BC" w:rsidRPr="00D416A8">
        <w:rPr>
          <w:rFonts w:asciiTheme="minorHAnsi" w:hAnsiTheme="minorHAnsi" w:cs="Arial"/>
          <w:szCs w:val="24"/>
        </w:rPr>
        <w:t>Independent Competition and Regulatory Commission Act 1997 (‘th</w:t>
      </w:r>
      <w:r w:rsidRPr="00D416A8">
        <w:rPr>
          <w:rFonts w:asciiTheme="minorHAnsi" w:hAnsiTheme="minorHAnsi" w:cs="Arial"/>
          <w:szCs w:val="24"/>
        </w:rPr>
        <w:t>e Act’), Section 15 (Nature of I</w:t>
      </w:r>
      <w:r w:rsidR="00DC24BC" w:rsidRPr="00D416A8">
        <w:rPr>
          <w:rFonts w:asciiTheme="minorHAnsi" w:hAnsiTheme="minorHAnsi" w:cs="Arial"/>
          <w:szCs w:val="24"/>
        </w:rPr>
        <w:t xml:space="preserve">ndustry </w:t>
      </w:r>
      <w:r w:rsidRPr="00D416A8">
        <w:rPr>
          <w:rFonts w:asciiTheme="minorHAnsi" w:hAnsiTheme="minorHAnsi" w:cs="Arial"/>
          <w:szCs w:val="24"/>
        </w:rPr>
        <w:t>R</w:t>
      </w:r>
      <w:r w:rsidR="00DC24BC" w:rsidRPr="00D416A8">
        <w:rPr>
          <w:rFonts w:asciiTheme="minorHAnsi" w:hAnsiTheme="minorHAnsi" w:cs="Arial"/>
          <w:szCs w:val="24"/>
        </w:rPr>
        <w:t xml:space="preserve">eferences) and Section 16 (Terms of </w:t>
      </w:r>
      <w:r w:rsidRPr="00D416A8">
        <w:rPr>
          <w:rFonts w:asciiTheme="minorHAnsi" w:hAnsiTheme="minorHAnsi" w:cs="Arial"/>
          <w:szCs w:val="24"/>
        </w:rPr>
        <w:t>I</w:t>
      </w:r>
      <w:r w:rsidR="00DC24BC" w:rsidRPr="00D416A8">
        <w:rPr>
          <w:rFonts w:asciiTheme="minorHAnsi" w:hAnsiTheme="minorHAnsi" w:cs="Arial"/>
          <w:szCs w:val="24"/>
        </w:rPr>
        <w:t xml:space="preserve">ndustry </w:t>
      </w:r>
      <w:r w:rsidRPr="00D416A8">
        <w:rPr>
          <w:rFonts w:asciiTheme="minorHAnsi" w:hAnsiTheme="minorHAnsi" w:cs="Arial"/>
          <w:szCs w:val="24"/>
        </w:rPr>
        <w:t>R</w:t>
      </w:r>
      <w:r w:rsidR="00DC24BC" w:rsidRPr="00D416A8">
        <w:rPr>
          <w:rFonts w:asciiTheme="minorHAnsi" w:hAnsiTheme="minorHAnsi" w:cs="Arial"/>
          <w:szCs w:val="24"/>
        </w:rPr>
        <w:t>eferences).</w:t>
      </w:r>
    </w:p>
    <w:p w14:paraId="14F59001" w14:textId="77777777" w:rsidR="00F10CB2" w:rsidRPr="0056306A" w:rsidRDefault="00F10CB2">
      <w:pPr>
        <w:pStyle w:val="N-line3"/>
        <w:pBdr>
          <w:top w:val="single" w:sz="12" w:space="1" w:color="auto"/>
          <w:bottom w:val="none" w:sz="0" w:space="0" w:color="auto"/>
        </w:pBdr>
        <w:rPr>
          <w:rFonts w:asciiTheme="minorHAnsi" w:hAnsiTheme="minorHAnsi"/>
        </w:rPr>
      </w:pPr>
    </w:p>
    <w:p w14:paraId="2BA22C77" w14:textId="77777777" w:rsidR="00F10CB2" w:rsidRPr="0056306A" w:rsidRDefault="00F10CB2">
      <w:pPr>
        <w:spacing w:before="60" w:after="60"/>
        <w:ind w:left="720" w:hanging="720"/>
        <w:rPr>
          <w:rFonts w:asciiTheme="minorHAnsi" w:hAnsiTheme="minorHAnsi" w:cs="Arial"/>
          <w:b/>
          <w:bCs/>
        </w:rPr>
      </w:pPr>
      <w:r w:rsidRPr="0056306A">
        <w:rPr>
          <w:rFonts w:asciiTheme="minorHAnsi" w:hAnsiTheme="minorHAnsi" w:cs="Arial"/>
          <w:b/>
          <w:bCs/>
        </w:rPr>
        <w:t>1</w:t>
      </w:r>
      <w:r w:rsidRPr="0056306A">
        <w:rPr>
          <w:rFonts w:asciiTheme="minorHAnsi" w:hAnsiTheme="minorHAnsi" w:cs="Arial"/>
          <w:b/>
          <w:bCs/>
        </w:rPr>
        <w:tab/>
        <w:t>Name of instrument</w:t>
      </w:r>
    </w:p>
    <w:p w14:paraId="07908A41" w14:textId="054903B0" w:rsidR="00F10CB2" w:rsidRPr="0056306A" w:rsidRDefault="00F10CB2" w:rsidP="00D47F13">
      <w:pPr>
        <w:spacing w:before="140"/>
        <w:ind w:left="720"/>
        <w:rPr>
          <w:rFonts w:asciiTheme="minorHAnsi" w:hAnsiTheme="minorHAnsi"/>
          <w:bCs/>
          <w:iCs/>
        </w:rPr>
      </w:pPr>
      <w:r w:rsidRPr="0056306A">
        <w:rPr>
          <w:rFonts w:asciiTheme="minorHAnsi" w:hAnsiTheme="minorHAnsi"/>
        </w:rPr>
        <w:t>This instrument is the</w:t>
      </w:r>
      <w:r w:rsidR="00DC24BC" w:rsidRPr="0056306A">
        <w:rPr>
          <w:rFonts w:asciiTheme="minorHAnsi" w:hAnsiTheme="minorHAnsi"/>
        </w:rPr>
        <w:t xml:space="preserve"> </w:t>
      </w:r>
      <w:r w:rsidR="00DC24BC" w:rsidRPr="00FE052E">
        <w:rPr>
          <w:rFonts w:asciiTheme="minorHAnsi" w:hAnsiTheme="minorHAnsi"/>
          <w:i/>
          <w:iCs/>
        </w:rPr>
        <w:t>Independent Competition and Regulatory Commission (Price Direction for the Supply of Electricity to Small Customers on Standard Retail Contracts) Terms of Reference Determination 20</w:t>
      </w:r>
      <w:r w:rsidR="001119F1" w:rsidRPr="00FE052E">
        <w:rPr>
          <w:rFonts w:asciiTheme="minorHAnsi" w:hAnsiTheme="minorHAnsi"/>
          <w:i/>
          <w:iCs/>
        </w:rPr>
        <w:t>23</w:t>
      </w:r>
      <w:r w:rsidRPr="00FE052E">
        <w:rPr>
          <w:rFonts w:asciiTheme="minorHAnsi" w:hAnsiTheme="minorHAnsi"/>
          <w:bCs/>
          <w:i/>
          <w:iCs/>
        </w:rPr>
        <w:t>.</w:t>
      </w:r>
    </w:p>
    <w:p w14:paraId="4F149BDB" w14:textId="77777777" w:rsidR="00F661EE" w:rsidRPr="0056306A" w:rsidRDefault="00F661EE" w:rsidP="00F661EE">
      <w:pPr>
        <w:spacing w:before="300"/>
        <w:ind w:left="720" w:hanging="720"/>
        <w:rPr>
          <w:rFonts w:asciiTheme="minorHAnsi" w:hAnsiTheme="minorHAnsi" w:cs="Arial"/>
          <w:b/>
          <w:bCs/>
        </w:rPr>
      </w:pPr>
      <w:r w:rsidRPr="0056306A">
        <w:rPr>
          <w:rFonts w:asciiTheme="minorHAnsi" w:hAnsiTheme="minorHAnsi" w:cs="Arial"/>
          <w:b/>
          <w:bCs/>
        </w:rPr>
        <w:t>2</w:t>
      </w:r>
      <w:r w:rsidRPr="0056306A">
        <w:rPr>
          <w:rFonts w:asciiTheme="minorHAnsi" w:hAnsiTheme="minorHAnsi" w:cs="Arial"/>
          <w:b/>
          <w:bCs/>
        </w:rPr>
        <w:tab/>
        <w:t>Interpretation</w:t>
      </w:r>
    </w:p>
    <w:p w14:paraId="64ABFBE5" w14:textId="77777777" w:rsidR="00F661EE" w:rsidRPr="0056306A" w:rsidRDefault="00F661EE" w:rsidP="0066364D">
      <w:pPr>
        <w:spacing w:before="140"/>
        <w:ind w:left="720"/>
        <w:rPr>
          <w:rFonts w:asciiTheme="minorHAnsi" w:hAnsiTheme="minorHAnsi"/>
        </w:rPr>
      </w:pPr>
      <w:r w:rsidRPr="0056306A">
        <w:rPr>
          <w:rFonts w:asciiTheme="minorHAnsi" w:hAnsiTheme="minorHAnsi"/>
        </w:rPr>
        <w:t xml:space="preserve">In this instrument: </w:t>
      </w:r>
    </w:p>
    <w:p w14:paraId="34EB6A24" w14:textId="77777777" w:rsidR="00F661EE" w:rsidRPr="0056306A" w:rsidRDefault="00F661EE" w:rsidP="0066364D">
      <w:pPr>
        <w:spacing w:before="140"/>
        <w:ind w:left="720"/>
        <w:rPr>
          <w:rFonts w:asciiTheme="minorHAnsi" w:hAnsiTheme="minorHAnsi"/>
        </w:rPr>
      </w:pPr>
      <w:r w:rsidRPr="0056306A">
        <w:rPr>
          <w:rFonts w:asciiTheme="minorHAnsi" w:hAnsiTheme="minorHAnsi"/>
          <w:b/>
          <w:i/>
        </w:rPr>
        <w:t>“National Energy Retail Law (ACT)”</w:t>
      </w:r>
      <w:r w:rsidRPr="0056306A">
        <w:rPr>
          <w:rFonts w:asciiTheme="minorHAnsi" w:hAnsiTheme="minorHAnsi"/>
        </w:rPr>
        <w:t xml:space="preserve"> has the same meaning as in the </w:t>
      </w:r>
      <w:r w:rsidRPr="0056306A">
        <w:rPr>
          <w:rFonts w:asciiTheme="minorHAnsi" w:hAnsiTheme="minorHAnsi"/>
          <w:i/>
        </w:rPr>
        <w:t>National Energy Retail Law (ACT) Act 2012</w:t>
      </w:r>
      <w:r w:rsidRPr="0056306A">
        <w:rPr>
          <w:rFonts w:asciiTheme="minorHAnsi" w:hAnsiTheme="minorHAnsi"/>
        </w:rPr>
        <w:t xml:space="preserve">. </w:t>
      </w:r>
    </w:p>
    <w:p w14:paraId="4653BAC6" w14:textId="77777777" w:rsidR="00F661EE" w:rsidRPr="0056306A" w:rsidRDefault="00F661EE" w:rsidP="0066364D">
      <w:pPr>
        <w:spacing w:before="140"/>
        <w:ind w:left="720"/>
        <w:rPr>
          <w:rFonts w:asciiTheme="minorHAnsi" w:hAnsiTheme="minorHAnsi"/>
        </w:rPr>
      </w:pPr>
      <w:r w:rsidRPr="0056306A">
        <w:rPr>
          <w:rFonts w:asciiTheme="minorHAnsi" w:hAnsiTheme="minorHAnsi"/>
        </w:rPr>
        <w:t>“</w:t>
      </w:r>
      <w:r w:rsidRPr="0056306A">
        <w:rPr>
          <w:rFonts w:asciiTheme="minorHAnsi" w:hAnsiTheme="minorHAnsi"/>
          <w:b/>
          <w:i/>
        </w:rPr>
        <w:t>small customer</w:t>
      </w:r>
      <w:r w:rsidRPr="0056306A">
        <w:rPr>
          <w:rFonts w:asciiTheme="minorHAnsi" w:hAnsiTheme="minorHAnsi"/>
        </w:rPr>
        <w:t xml:space="preserve">” has the same meaning as in the </w:t>
      </w:r>
      <w:r w:rsidRPr="0056306A">
        <w:rPr>
          <w:rFonts w:asciiTheme="minorHAnsi" w:hAnsiTheme="minorHAnsi"/>
          <w:b/>
          <w:i/>
        </w:rPr>
        <w:t>National Energy Retail Law (ACT)</w:t>
      </w:r>
      <w:r w:rsidRPr="0056306A">
        <w:rPr>
          <w:rFonts w:asciiTheme="minorHAnsi" w:hAnsiTheme="minorHAnsi"/>
        </w:rPr>
        <w:t xml:space="preserve">. </w:t>
      </w:r>
    </w:p>
    <w:p w14:paraId="153113A7" w14:textId="77777777" w:rsidR="00F661EE" w:rsidRPr="0056306A" w:rsidRDefault="00F661EE" w:rsidP="0066364D">
      <w:pPr>
        <w:spacing w:before="140"/>
        <w:ind w:left="720"/>
        <w:rPr>
          <w:rFonts w:asciiTheme="minorHAnsi" w:hAnsiTheme="minorHAnsi"/>
        </w:rPr>
      </w:pPr>
      <w:r w:rsidRPr="0056306A">
        <w:rPr>
          <w:rFonts w:asciiTheme="minorHAnsi" w:hAnsiTheme="minorHAnsi"/>
          <w:b/>
          <w:i/>
        </w:rPr>
        <w:t>“standing offer prices”</w:t>
      </w:r>
      <w:r w:rsidRPr="0056306A">
        <w:rPr>
          <w:rFonts w:asciiTheme="minorHAnsi" w:hAnsiTheme="minorHAnsi"/>
        </w:rPr>
        <w:t xml:space="preserve"> has the same meaning as in the </w:t>
      </w:r>
      <w:r w:rsidRPr="0056306A">
        <w:rPr>
          <w:rFonts w:asciiTheme="minorHAnsi" w:hAnsiTheme="minorHAnsi"/>
          <w:b/>
          <w:i/>
        </w:rPr>
        <w:t>National Energy Retail Law (ACT)</w:t>
      </w:r>
      <w:r w:rsidRPr="0056306A">
        <w:rPr>
          <w:rFonts w:asciiTheme="minorHAnsi" w:hAnsiTheme="minorHAnsi"/>
        </w:rPr>
        <w:t xml:space="preserve">. </w:t>
      </w:r>
    </w:p>
    <w:p w14:paraId="16CB995B" w14:textId="77777777" w:rsidR="00F661EE" w:rsidRPr="0056306A" w:rsidRDefault="00F661EE" w:rsidP="0066364D">
      <w:pPr>
        <w:spacing w:before="140"/>
        <w:ind w:left="720"/>
        <w:rPr>
          <w:rFonts w:asciiTheme="minorHAnsi" w:hAnsiTheme="minorHAnsi"/>
        </w:rPr>
      </w:pPr>
      <w:r w:rsidRPr="0056306A">
        <w:rPr>
          <w:rFonts w:asciiTheme="minorHAnsi" w:hAnsiTheme="minorHAnsi"/>
          <w:b/>
          <w:i/>
        </w:rPr>
        <w:t>“ActewAGL Retail”</w:t>
      </w:r>
      <w:r w:rsidRPr="0056306A">
        <w:rPr>
          <w:rFonts w:asciiTheme="minorHAnsi" w:hAnsiTheme="minorHAnsi"/>
        </w:rPr>
        <w:t xml:space="preserve"> means the partnership of Icon Retail Investments Limited (ACN 074 371 207) and AGL ACT Retail Investments Pty Ltd (ACN 093 631 586).</w:t>
      </w:r>
    </w:p>
    <w:p w14:paraId="1BC6E791" w14:textId="77777777" w:rsidR="00F10CB2" w:rsidRPr="0056306A" w:rsidRDefault="00F10CB2" w:rsidP="00D47F13">
      <w:pPr>
        <w:spacing w:before="300"/>
        <w:ind w:left="720" w:hanging="720"/>
        <w:rPr>
          <w:rFonts w:asciiTheme="minorHAnsi" w:hAnsiTheme="minorHAnsi" w:cs="Arial"/>
          <w:b/>
          <w:bCs/>
        </w:rPr>
      </w:pPr>
      <w:r w:rsidRPr="0056306A">
        <w:rPr>
          <w:rFonts w:asciiTheme="minorHAnsi" w:hAnsiTheme="minorHAnsi" w:cs="Arial"/>
          <w:b/>
          <w:bCs/>
        </w:rPr>
        <w:t>2</w:t>
      </w:r>
      <w:r w:rsidRPr="0056306A">
        <w:rPr>
          <w:rFonts w:asciiTheme="minorHAnsi" w:hAnsiTheme="minorHAnsi" w:cs="Arial"/>
          <w:b/>
          <w:bCs/>
        </w:rPr>
        <w:tab/>
        <w:t xml:space="preserve">Commencement </w:t>
      </w:r>
    </w:p>
    <w:p w14:paraId="38AE5F4C" w14:textId="77777777" w:rsidR="00F10CB2" w:rsidRPr="0056306A" w:rsidRDefault="00F10CB2" w:rsidP="00D47F13">
      <w:pPr>
        <w:spacing w:before="140"/>
        <w:ind w:left="720"/>
        <w:rPr>
          <w:rFonts w:asciiTheme="minorHAnsi" w:hAnsiTheme="minorHAnsi"/>
        </w:rPr>
      </w:pPr>
      <w:r w:rsidRPr="0056306A">
        <w:rPr>
          <w:rFonts w:asciiTheme="minorHAnsi" w:hAnsiTheme="minorHAnsi"/>
        </w:rPr>
        <w:t xml:space="preserve">This instrument commences on </w:t>
      </w:r>
      <w:r w:rsidR="00AF611F">
        <w:rPr>
          <w:rFonts w:asciiTheme="minorHAnsi" w:hAnsiTheme="minorHAnsi"/>
        </w:rPr>
        <w:t>the day after it is notified.</w:t>
      </w:r>
    </w:p>
    <w:p w14:paraId="148AB43D" w14:textId="77777777" w:rsidR="0066364D" w:rsidRPr="0056306A" w:rsidRDefault="00F10CB2" w:rsidP="0066364D">
      <w:pPr>
        <w:spacing w:before="300"/>
        <w:ind w:left="720" w:hanging="720"/>
        <w:rPr>
          <w:rFonts w:asciiTheme="minorHAnsi" w:hAnsiTheme="minorHAnsi" w:cs="Arial"/>
          <w:b/>
          <w:bCs/>
        </w:rPr>
      </w:pPr>
      <w:r w:rsidRPr="0056306A">
        <w:rPr>
          <w:rFonts w:asciiTheme="minorHAnsi" w:hAnsiTheme="minorHAnsi" w:cs="Arial"/>
          <w:b/>
          <w:bCs/>
        </w:rPr>
        <w:t>3</w:t>
      </w:r>
      <w:r w:rsidRPr="0056306A">
        <w:rPr>
          <w:rFonts w:asciiTheme="minorHAnsi" w:hAnsiTheme="minorHAnsi" w:cs="Arial"/>
          <w:b/>
          <w:bCs/>
        </w:rPr>
        <w:tab/>
      </w:r>
      <w:r w:rsidR="00DC24BC" w:rsidRPr="0056306A">
        <w:rPr>
          <w:rFonts w:asciiTheme="minorHAnsi" w:hAnsiTheme="minorHAnsi" w:cs="Arial"/>
          <w:b/>
          <w:bCs/>
        </w:rPr>
        <w:t>Reference for investigation under Section 15</w:t>
      </w:r>
    </w:p>
    <w:p w14:paraId="28314288" w14:textId="77777777" w:rsidR="00F661EE" w:rsidRPr="0056306A" w:rsidRDefault="00EC7A2F" w:rsidP="0066364D">
      <w:pPr>
        <w:pStyle w:val="Default"/>
        <w:spacing w:before="140"/>
        <w:ind w:left="720"/>
        <w:rPr>
          <w:rFonts w:asciiTheme="minorHAnsi" w:eastAsia="Times New Roman" w:hAnsiTheme="minorHAnsi" w:cs="Times New Roman"/>
          <w:color w:val="auto"/>
          <w:szCs w:val="20"/>
        </w:rPr>
      </w:pPr>
      <w:r>
        <w:rPr>
          <w:rFonts w:asciiTheme="minorHAnsi" w:eastAsia="Times New Roman" w:hAnsiTheme="minorHAnsi" w:cs="Times New Roman"/>
          <w:color w:val="auto"/>
          <w:szCs w:val="20"/>
        </w:rPr>
        <w:t xml:space="preserve">In accordance with </w:t>
      </w:r>
      <w:r w:rsidR="00F661EE" w:rsidRPr="0056306A">
        <w:rPr>
          <w:rFonts w:asciiTheme="minorHAnsi" w:eastAsia="Times New Roman" w:hAnsiTheme="minorHAnsi" w:cs="Times New Roman"/>
          <w:color w:val="auto"/>
          <w:szCs w:val="20"/>
        </w:rPr>
        <w:t xml:space="preserve">section 15(1) of the Act, I provide a reference to the Independent Competition and Regulatory Commission (the ‘Commission’) to determine a price direction for the standing offer prices for the supply of </w:t>
      </w:r>
      <w:r w:rsidR="00F661EE" w:rsidRPr="0056306A">
        <w:rPr>
          <w:rFonts w:asciiTheme="minorHAnsi" w:eastAsia="Times New Roman" w:hAnsiTheme="minorHAnsi" w:cs="Times New Roman"/>
          <w:color w:val="auto"/>
          <w:szCs w:val="20"/>
        </w:rPr>
        <w:lastRenderedPageBreak/>
        <w:t xml:space="preserve">electricity to small customers who consume less than 100MWh of electricity over any period of 12 consecutive months. </w:t>
      </w:r>
    </w:p>
    <w:p w14:paraId="04D221FE" w14:textId="499C5B03" w:rsidR="00F661EE" w:rsidRPr="0056306A" w:rsidRDefault="00F661EE" w:rsidP="00D416A8">
      <w:pPr>
        <w:pStyle w:val="Default"/>
        <w:spacing w:before="140"/>
        <w:ind w:left="720"/>
        <w:rPr>
          <w:rFonts w:asciiTheme="minorHAnsi" w:eastAsia="Times New Roman" w:hAnsiTheme="minorHAnsi" w:cs="Times New Roman"/>
          <w:color w:val="auto"/>
          <w:szCs w:val="20"/>
        </w:rPr>
      </w:pPr>
      <w:r w:rsidRPr="0056306A">
        <w:rPr>
          <w:rFonts w:asciiTheme="minorHAnsi" w:eastAsia="Times New Roman" w:hAnsiTheme="minorHAnsi" w:cs="Times New Roman"/>
          <w:color w:val="auto"/>
          <w:szCs w:val="20"/>
        </w:rPr>
        <w:t xml:space="preserve">The price direction will be for the period </w:t>
      </w:r>
      <w:r w:rsidRPr="00C0488D">
        <w:rPr>
          <w:rFonts w:asciiTheme="minorHAnsi" w:eastAsia="Times New Roman" w:hAnsiTheme="minorHAnsi" w:cs="Times New Roman"/>
          <w:color w:val="auto"/>
          <w:szCs w:val="20"/>
        </w:rPr>
        <w:t>of 1 July 202</w:t>
      </w:r>
      <w:r w:rsidR="001119F1" w:rsidRPr="00C0488D">
        <w:rPr>
          <w:rFonts w:asciiTheme="minorHAnsi" w:eastAsia="Times New Roman" w:hAnsiTheme="minorHAnsi" w:cs="Times New Roman"/>
          <w:color w:val="auto"/>
          <w:szCs w:val="20"/>
        </w:rPr>
        <w:t>4</w:t>
      </w:r>
      <w:r w:rsidRPr="00C0488D">
        <w:rPr>
          <w:rFonts w:asciiTheme="minorHAnsi" w:eastAsia="Times New Roman" w:hAnsiTheme="minorHAnsi" w:cs="Times New Roman"/>
          <w:color w:val="auto"/>
          <w:szCs w:val="20"/>
        </w:rPr>
        <w:t xml:space="preserve"> to 30 June 202</w:t>
      </w:r>
      <w:r w:rsidR="00CC095E" w:rsidRPr="00C0488D">
        <w:rPr>
          <w:rFonts w:asciiTheme="minorHAnsi" w:eastAsia="Times New Roman" w:hAnsiTheme="minorHAnsi" w:cs="Times New Roman"/>
          <w:color w:val="auto"/>
          <w:szCs w:val="20"/>
        </w:rPr>
        <w:t>7</w:t>
      </w:r>
      <w:r w:rsidRPr="0056306A">
        <w:rPr>
          <w:rFonts w:asciiTheme="minorHAnsi" w:eastAsia="Times New Roman" w:hAnsiTheme="minorHAnsi" w:cs="Times New Roman"/>
          <w:color w:val="auto"/>
          <w:szCs w:val="20"/>
        </w:rPr>
        <w:t>.The price direction must make provision for annual recalibrations to be undertaken</w:t>
      </w:r>
      <w:r w:rsidR="00DB17D9">
        <w:rPr>
          <w:rFonts w:asciiTheme="minorHAnsi" w:eastAsia="Times New Roman" w:hAnsiTheme="minorHAnsi" w:cs="Times New Roman"/>
          <w:color w:val="auto"/>
          <w:szCs w:val="20"/>
        </w:rPr>
        <w:t xml:space="preserve"> and the determination of the reference price</w:t>
      </w:r>
      <w:r w:rsidRPr="0056306A">
        <w:rPr>
          <w:rFonts w:asciiTheme="minorHAnsi" w:eastAsia="Times New Roman" w:hAnsiTheme="minorHAnsi" w:cs="Times New Roman"/>
          <w:color w:val="auto"/>
          <w:szCs w:val="20"/>
        </w:rPr>
        <w:t>.</w:t>
      </w:r>
    </w:p>
    <w:p w14:paraId="0C6EC4CC" w14:textId="77777777" w:rsidR="00F661EE" w:rsidRPr="0056306A" w:rsidRDefault="00EC7A2F" w:rsidP="0066364D">
      <w:pPr>
        <w:pStyle w:val="Default"/>
        <w:spacing w:before="140"/>
        <w:ind w:left="720"/>
        <w:rPr>
          <w:rFonts w:asciiTheme="minorHAnsi" w:eastAsia="Times New Roman" w:hAnsiTheme="minorHAnsi" w:cs="Times New Roman"/>
          <w:color w:val="auto"/>
          <w:szCs w:val="20"/>
        </w:rPr>
      </w:pPr>
      <w:r>
        <w:rPr>
          <w:rFonts w:asciiTheme="minorHAnsi" w:eastAsia="Times New Roman" w:hAnsiTheme="minorHAnsi" w:cs="Times New Roman"/>
          <w:color w:val="auto"/>
          <w:szCs w:val="20"/>
        </w:rPr>
        <w:t xml:space="preserve">In accordance with </w:t>
      </w:r>
      <w:r w:rsidR="00F661EE" w:rsidRPr="0056306A">
        <w:rPr>
          <w:rFonts w:asciiTheme="minorHAnsi" w:eastAsia="Times New Roman" w:hAnsiTheme="minorHAnsi" w:cs="Times New Roman"/>
          <w:color w:val="auto"/>
          <w:szCs w:val="20"/>
        </w:rPr>
        <w:t xml:space="preserve">15(4) of the Act, the price direction determined by the Commission under this reference is to only apply to the electricity retailer </w:t>
      </w:r>
      <w:r w:rsidR="00F661EE" w:rsidRPr="0056306A">
        <w:rPr>
          <w:rFonts w:asciiTheme="minorHAnsi" w:eastAsia="Times New Roman" w:hAnsiTheme="minorHAnsi" w:cs="Times New Roman"/>
          <w:b/>
          <w:i/>
          <w:color w:val="auto"/>
          <w:szCs w:val="20"/>
        </w:rPr>
        <w:t>ActewAGL Retail</w:t>
      </w:r>
      <w:r w:rsidR="00F661EE" w:rsidRPr="0056306A">
        <w:rPr>
          <w:rFonts w:asciiTheme="minorHAnsi" w:eastAsia="Times New Roman" w:hAnsiTheme="minorHAnsi" w:cs="Times New Roman"/>
          <w:color w:val="auto"/>
          <w:szCs w:val="20"/>
        </w:rPr>
        <w:t>.</w:t>
      </w:r>
    </w:p>
    <w:p w14:paraId="10809071" w14:textId="77777777" w:rsidR="00F10CB2" w:rsidRPr="0056306A" w:rsidRDefault="00DC24BC" w:rsidP="00DC24BC">
      <w:pPr>
        <w:spacing w:before="300"/>
        <w:ind w:left="720" w:hanging="720"/>
        <w:rPr>
          <w:rFonts w:asciiTheme="minorHAnsi" w:hAnsiTheme="minorHAnsi" w:cs="Arial"/>
          <w:b/>
          <w:bCs/>
        </w:rPr>
      </w:pPr>
      <w:r w:rsidRPr="0056306A">
        <w:rPr>
          <w:rFonts w:asciiTheme="minorHAnsi" w:hAnsiTheme="minorHAnsi" w:cs="Arial"/>
          <w:b/>
          <w:bCs/>
        </w:rPr>
        <w:t>4</w:t>
      </w:r>
      <w:r w:rsidRPr="0056306A">
        <w:rPr>
          <w:rFonts w:asciiTheme="minorHAnsi" w:hAnsiTheme="minorHAnsi" w:cs="Arial"/>
          <w:b/>
          <w:bCs/>
        </w:rPr>
        <w:tab/>
        <w:t>Terms of reference for investigation under section 16</w:t>
      </w:r>
    </w:p>
    <w:p w14:paraId="2F31F9B9" w14:textId="77777777" w:rsidR="00F661EE" w:rsidRPr="004178E3" w:rsidRDefault="00EC7A2F" w:rsidP="004178E3">
      <w:pPr>
        <w:spacing w:before="140"/>
        <w:ind w:left="720"/>
        <w:rPr>
          <w:rFonts w:asciiTheme="minorHAnsi" w:hAnsiTheme="minorHAnsi"/>
        </w:rPr>
      </w:pPr>
      <w:r>
        <w:rPr>
          <w:rFonts w:asciiTheme="minorHAnsi" w:hAnsiTheme="minorHAnsi"/>
        </w:rPr>
        <w:t xml:space="preserve">In accordance with </w:t>
      </w:r>
      <w:r w:rsidR="00F661EE" w:rsidRPr="0056306A">
        <w:rPr>
          <w:rFonts w:asciiTheme="minorHAnsi" w:hAnsiTheme="minorHAnsi"/>
        </w:rPr>
        <w:t xml:space="preserve">16(1) of the Act, I require that the Commission </w:t>
      </w:r>
      <w:r w:rsidR="00D416A8">
        <w:rPr>
          <w:rFonts w:asciiTheme="minorHAnsi" w:hAnsiTheme="minorHAnsi"/>
        </w:rPr>
        <w:t xml:space="preserve">must </w:t>
      </w:r>
      <w:r w:rsidR="00F661EE" w:rsidRPr="0056306A">
        <w:rPr>
          <w:rFonts w:asciiTheme="minorHAnsi" w:hAnsiTheme="minorHAnsi"/>
        </w:rPr>
        <w:t>consider the following matters in relation to t</w:t>
      </w:r>
      <w:r w:rsidR="00D416A8">
        <w:rPr>
          <w:rFonts w:asciiTheme="minorHAnsi" w:hAnsiTheme="minorHAnsi"/>
        </w:rPr>
        <w:t>he conduct of the investigation.</w:t>
      </w:r>
      <w:r w:rsidR="00F661EE" w:rsidRPr="0056306A">
        <w:rPr>
          <w:rFonts w:asciiTheme="minorHAnsi" w:hAnsiTheme="minorHAnsi"/>
        </w:rPr>
        <w:t xml:space="preserve"> </w:t>
      </w:r>
    </w:p>
    <w:p w14:paraId="2B45EA4D" w14:textId="77777777" w:rsidR="00D416A8" w:rsidRDefault="00D416A8" w:rsidP="00D416A8">
      <w:pPr>
        <w:pStyle w:val="ListParagraph"/>
        <w:numPr>
          <w:ilvl w:val="0"/>
          <w:numId w:val="15"/>
        </w:numPr>
        <w:spacing w:before="140"/>
        <w:rPr>
          <w:rFonts w:asciiTheme="minorHAnsi" w:hAnsiTheme="minorHAnsi"/>
        </w:rPr>
      </w:pPr>
      <w:r w:rsidRPr="00D416A8">
        <w:rPr>
          <w:rFonts w:asciiTheme="minorHAnsi" w:hAnsiTheme="minorHAnsi"/>
        </w:rPr>
        <w:t>The Commission must consider:</w:t>
      </w:r>
    </w:p>
    <w:p w14:paraId="343A5960" w14:textId="77777777" w:rsidR="00F661EE" w:rsidRPr="00D416A8" w:rsidRDefault="00F661EE" w:rsidP="00D416A8">
      <w:pPr>
        <w:pStyle w:val="ListParagraph"/>
        <w:numPr>
          <w:ilvl w:val="1"/>
          <w:numId w:val="15"/>
        </w:numPr>
        <w:spacing w:before="120" w:after="120"/>
        <w:ind w:hanging="357"/>
        <w:contextualSpacing w:val="0"/>
        <w:rPr>
          <w:rFonts w:asciiTheme="minorHAnsi" w:hAnsiTheme="minorHAnsi"/>
        </w:rPr>
      </w:pPr>
      <w:r w:rsidRPr="00D416A8">
        <w:rPr>
          <w:rFonts w:asciiTheme="minorHAnsi" w:hAnsiTheme="minorHAnsi"/>
        </w:rPr>
        <w:t xml:space="preserve">The direct impact on electricity costs of government policies and pass through of costs and savings to regulated prices including, but not restricted to: </w:t>
      </w:r>
    </w:p>
    <w:p w14:paraId="3D8383B4" w14:textId="77777777" w:rsidR="00F661EE" w:rsidRPr="00C27709" w:rsidRDefault="00F661EE" w:rsidP="00D416A8">
      <w:pPr>
        <w:pStyle w:val="ListParagraph"/>
        <w:numPr>
          <w:ilvl w:val="0"/>
          <w:numId w:val="11"/>
        </w:numPr>
        <w:spacing w:before="120" w:after="120"/>
        <w:ind w:hanging="357"/>
        <w:contextualSpacing w:val="0"/>
        <w:rPr>
          <w:rFonts w:asciiTheme="minorHAnsi" w:hAnsiTheme="minorHAnsi"/>
        </w:rPr>
      </w:pPr>
      <w:r w:rsidRPr="00C27709">
        <w:rPr>
          <w:rFonts w:asciiTheme="minorHAnsi" w:hAnsiTheme="minorHAnsi"/>
        </w:rPr>
        <w:t xml:space="preserve">the ACT retailer obligations under the Energy Efficiency Improvement Scheme; </w:t>
      </w:r>
    </w:p>
    <w:p w14:paraId="79606355" w14:textId="77777777" w:rsidR="00F661EE" w:rsidRPr="0056306A" w:rsidRDefault="00F661EE" w:rsidP="00D416A8">
      <w:pPr>
        <w:pStyle w:val="ListParagraph"/>
        <w:numPr>
          <w:ilvl w:val="0"/>
          <w:numId w:val="11"/>
        </w:numPr>
        <w:spacing w:before="120" w:after="120"/>
        <w:ind w:hanging="357"/>
        <w:contextualSpacing w:val="0"/>
        <w:rPr>
          <w:rFonts w:asciiTheme="minorHAnsi" w:hAnsiTheme="minorHAnsi"/>
        </w:rPr>
      </w:pPr>
      <w:r w:rsidRPr="0056306A">
        <w:rPr>
          <w:rFonts w:asciiTheme="minorHAnsi" w:hAnsiTheme="minorHAnsi"/>
        </w:rPr>
        <w:t xml:space="preserve">the Commonwealth Government’s Large-scale Renewable Energy Target and Small-scale Renewable Energy Scheme; </w:t>
      </w:r>
    </w:p>
    <w:p w14:paraId="01CFB702" w14:textId="77777777" w:rsidR="00C27709" w:rsidRDefault="00F661EE" w:rsidP="00D416A8">
      <w:pPr>
        <w:pStyle w:val="ListParagraph"/>
        <w:numPr>
          <w:ilvl w:val="0"/>
          <w:numId w:val="11"/>
        </w:numPr>
        <w:spacing w:before="120" w:after="120"/>
        <w:ind w:hanging="357"/>
        <w:contextualSpacing w:val="0"/>
        <w:rPr>
          <w:rFonts w:asciiTheme="minorHAnsi" w:hAnsiTheme="minorHAnsi"/>
        </w:rPr>
      </w:pPr>
      <w:r w:rsidRPr="0056306A">
        <w:rPr>
          <w:rFonts w:asciiTheme="minorHAnsi" w:hAnsiTheme="minorHAnsi"/>
        </w:rPr>
        <w:t xml:space="preserve">any other schemes implemented to address climate change </w:t>
      </w:r>
      <w:r w:rsidR="00C27709">
        <w:rPr>
          <w:rFonts w:asciiTheme="minorHAnsi" w:hAnsiTheme="minorHAnsi"/>
        </w:rPr>
        <w:t>relevant to electricity pricing; and</w:t>
      </w:r>
    </w:p>
    <w:p w14:paraId="18AC7669" w14:textId="77777777" w:rsidR="00C27709" w:rsidRDefault="00C27709" w:rsidP="00D416A8">
      <w:pPr>
        <w:pStyle w:val="ListParagraph"/>
        <w:numPr>
          <w:ilvl w:val="0"/>
          <w:numId w:val="11"/>
        </w:numPr>
        <w:spacing w:before="120" w:after="120"/>
        <w:ind w:hanging="357"/>
        <w:contextualSpacing w:val="0"/>
        <w:rPr>
          <w:rFonts w:asciiTheme="minorHAnsi" w:hAnsiTheme="minorHAnsi"/>
        </w:rPr>
      </w:pPr>
      <w:r>
        <w:rPr>
          <w:rFonts w:asciiTheme="minorHAnsi" w:hAnsiTheme="minorHAnsi"/>
        </w:rPr>
        <w:t xml:space="preserve">any other </w:t>
      </w:r>
      <w:r w:rsidR="00D416A8">
        <w:rPr>
          <w:rFonts w:asciiTheme="minorHAnsi" w:hAnsiTheme="minorHAnsi"/>
        </w:rPr>
        <w:t>policies or scheme</w:t>
      </w:r>
      <w:r w:rsidR="000E2851">
        <w:rPr>
          <w:rFonts w:asciiTheme="minorHAnsi" w:hAnsiTheme="minorHAnsi"/>
        </w:rPr>
        <w:t>s</w:t>
      </w:r>
      <w:r w:rsidR="00D416A8">
        <w:rPr>
          <w:rFonts w:asciiTheme="minorHAnsi" w:hAnsiTheme="minorHAnsi"/>
        </w:rPr>
        <w:t xml:space="preserve"> </w:t>
      </w:r>
      <w:r>
        <w:rPr>
          <w:rFonts w:asciiTheme="minorHAnsi" w:hAnsiTheme="minorHAnsi"/>
        </w:rPr>
        <w:t xml:space="preserve">that may </w:t>
      </w:r>
      <w:r w:rsidR="00D416A8">
        <w:rPr>
          <w:rFonts w:asciiTheme="minorHAnsi" w:hAnsiTheme="minorHAnsi"/>
        </w:rPr>
        <w:t xml:space="preserve">directly </w:t>
      </w:r>
      <w:r>
        <w:rPr>
          <w:rFonts w:asciiTheme="minorHAnsi" w:hAnsiTheme="minorHAnsi"/>
        </w:rPr>
        <w:t xml:space="preserve">impact on </w:t>
      </w:r>
      <w:r w:rsidR="00D416A8">
        <w:rPr>
          <w:rFonts w:asciiTheme="minorHAnsi" w:hAnsiTheme="minorHAnsi"/>
        </w:rPr>
        <w:t xml:space="preserve">pricing in </w:t>
      </w:r>
      <w:r>
        <w:rPr>
          <w:rFonts w:asciiTheme="minorHAnsi" w:hAnsiTheme="minorHAnsi"/>
        </w:rPr>
        <w:t xml:space="preserve">the retail </w:t>
      </w:r>
      <w:r w:rsidR="00D416A8">
        <w:rPr>
          <w:rFonts w:asciiTheme="minorHAnsi" w:hAnsiTheme="minorHAnsi"/>
        </w:rPr>
        <w:t xml:space="preserve">or wholesale </w:t>
      </w:r>
      <w:r>
        <w:rPr>
          <w:rFonts w:asciiTheme="minorHAnsi" w:hAnsiTheme="minorHAnsi"/>
        </w:rPr>
        <w:t>electricity market</w:t>
      </w:r>
      <w:r w:rsidR="00D416A8">
        <w:rPr>
          <w:rFonts w:asciiTheme="minorHAnsi" w:hAnsiTheme="minorHAnsi"/>
        </w:rPr>
        <w:t>.</w:t>
      </w:r>
    </w:p>
    <w:p w14:paraId="2B4753D8" w14:textId="77777777" w:rsidR="00C27709" w:rsidRPr="002D713B" w:rsidRDefault="00C27709" w:rsidP="002D713B">
      <w:pPr>
        <w:pStyle w:val="ListParagraph"/>
        <w:numPr>
          <w:ilvl w:val="1"/>
          <w:numId w:val="15"/>
        </w:numPr>
        <w:spacing w:before="120" w:after="120"/>
        <w:ind w:hanging="357"/>
        <w:contextualSpacing w:val="0"/>
        <w:rPr>
          <w:rFonts w:asciiTheme="minorHAnsi" w:hAnsiTheme="minorHAnsi"/>
        </w:rPr>
      </w:pPr>
      <w:r>
        <w:rPr>
          <w:rFonts w:asciiTheme="minorHAnsi" w:hAnsiTheme="minorHAnsi"/>
        </w:rPr>
        <w:t>The efficient and prudent cost of managing risk in the cost of purchasing electricity for the period of the price direction</w:t>
      </w:r>
      <w:r w:rsidR="00D416A8">
        <w:rPr>
          <w:rFonts w:asciiTheme="minorHAnsi" w:hAnsiTheme="minorHAnsi"/>
        </w:rPr>
        <w:t>.</w:t>
      </w:r>
    </w:p>
    <w:p w14:paraId="6A684AB3" w14:textId="77777777" w:rsidR="00F661EE" w:rsidRPr="0056306A" w:rsidRDefault="00F661EE" w:rsidP="002D713B">
      <w:pPr>
        <w:pStyle w:val="ListParagraph"/>
        <w:numPr>
          <w:ilvl w:val="0"/>
          <w:numId w:val="15"/>
        </w:numPr>
        <w:spacing w:before="120" w:after="120"/>
        <w:contextualSpacing w:val="0"/>
        <w:rPr>
          <w:rFonts w:asciiTheme="minorHAnsi" w:hAnsiTheme="minorHAnsi"/>
        </w:rPr>
      </w:pPr>
      <w:r w:rsidRPr="0056306A">
        <w:rPr>
          <w:rFonts w:asciiTheme="minorHAnsi" w:hAnsiTheme="minorHAnsi"/>
        </w:rPr>
        <w:t xml:space="preserve">The Commission must identify and report on the efficient costs of complying with the Energy Efficiency (Cost of Living) Improvement Act 2012 for the period that the determination is being made. </w:t>
      </w:r>
    </w:p>
    <w:p w14:paraId="3E06AEF0" w14:textId="4E917CDC" w:rsidR="00F661EE" w:rsidRDefault="00F661EE" w:rsidP="002D713B">
      <w:pPr>
        <w:pStyle w:val="ListParagraph"/>
        <w:numPr>
          <w:ilvl w:val="0"/>
          <w:numId w:val="15"/>
        </w:numPr>
        <w:spacing w:before="120" w:after="120"/>
        <w:contextualSpacing w:val="0"/>
        <w:rPr>
          <w:rFonts w:asciiTheme="minorHAnsi" w:hAnsiTheme="minorHAnsi"/>
        </w:rPr>
      </w:pPr>
      <w:r w:rsidRPr="0056306A">
        <w:rPr>
          <w:rFonts w:asciiTheme="minorHAnsi" w:hAnsiTheme="minorHAnsi"/>
        </w:rPr>
        <w:t xml:space="preserve">The Commission must identify and report on the cost allowance of the </w:t>
      </w:r>
      <w:r w:rsidRPr="00685EB5">
        <w:rPr>
          <w:rFonts w:asciiTheme="minorHAnsi" w:hAnsiTheme="minorHAnsi"/>
        </w:rPr>
        <w:t xml:space="preserve">ACT Feed-in Tariffs (small and large scale) for the period that the determination is being made. </w:t>
      </w:r>
    </w:p>
    <w:p w14:paraId="3E6FD166" w14:textId="780DBB82" w:rsidR="000D3EF2" w:rsidRPr="00C0488D" w:rsidRDefault="000D3EF2" w:rsidP="000D3EF2">
      <w:pPr>
        <w:pStyle w:val="ListParagraph"/>
        <w:numPr>
          <w:ilvl w:val="0"/>
          <w:numId w:val="15"/>
        </w:numPr>
        <w:spacing w:before="120" w:after="120"/>
        <w:contextualSpacing w:val="0"/>
        <w:rPr>
          <w:rFonts w:asciiTheme="minorHAnsi" w:hAnsiTheme="minorHAnsi"/>
        </w:rPr>
      </w:pPr>
      <w:r w:rsidRPr="0056306A">
        <w:rPr>
          <w:rFonts w:asciiTheme="minorHAnsi" w:hAnsiTheme="minorHAnsi"/>
        </w:rPr>
        <w:t xml:space="preserve">The </w:t>
      </w:r>
      <w:r w:rsidRPr="00C11FAC">
        <w:rPr>
          <w:rFonts w:asciiTheme="minorHAnsi" w:hAnsiTheme="minorHAnsi"/>
        </w:rPr>
        <w:t xml:space="preserve">Commission </w:t>
      </w:r>
      <w:r w:rsidR="00675F6C">
        <w:rPr>
          <w:rFonts w:asciiTheme="minorHAnsi" w:hAnsiTheme="minorHAnsi"/>
        </w:rPr>
        <w:t>will ensure</w:t>
      </w:r>
      <w:r w:rsidRPr="00C11FAC">
        <w:rPr>
          <w:rFonts w:asciiTheme="minorHAnsi" w:hAnsiTheme="minorHAnsi"/>
        </w:rPr>
        <w:t xml:space="preserve"> </w:t>
      </w:r>
      <w:r w:rsidR="00DB17D9">
        <w:rPr>
          <w:rFonts w:asciiTheme="minorHAnsi" w:hAnsiTheme="minorHAnsi"/>
        </w:rPr>
        <w:t xml:space="preserve">the </w:t>
      </w:r>
      <w:r w:rsidRPr="00C11FAC">
        <w:rPr>
          <w:rFonts w:asciiTheme="minorHAnsi" w:hAnsiTheme="minorHAnsi"/>
        </w:rPr>
        <w:t>methodology for determining standing offer price</w:t>
      </w:r>
      <w:r w:rsidR="00A83736">
        <w:rPr>
          <w:rFonts w:asciiTheme="minorHAnsi" w:hAnsiTheme="minorHAnsi"/>
        </w:rPr>
        <w:t xml:space="preserve"> </w:t>
      </w:r>
      <w:r w:rsidR="00675F6C">
        <w:rPr>
          <w:rFonts w:asciiTheme="minorHAnsi" w:hAnsiTheme="minorHAnsi"/>
        </w:rPr>
        <w:t xml:space="preserve">has regard </w:t>
      </w:r>
      <w:r w:rsidR="00A83736">
        <w:rPr>
          <w:rFonts w:asciiTheme="minorHAnsi" w:hAnsiTheme="minorHAnsi"/>
        </w:rPr>
        <w:t>to</w:t>
      </w:r>
      <w:r w:rsidR="00ED10AA">
        <w:rPr>
          <w:rFonts w:asciiTheme="minorHAnsi" w:hAnsiTheme="minorHAnsi"/>
        </w:rPr>
        <w:t xml:space="preserve"> a</w:t>
      </w:r>
      <w:r w:rsidR="00A83736">
        <w:rPr>
          <w:rFonts w:asciiTheme="minorHAnsi" w:hAnsiTheme="minorHAnsi"/>
        </w:rPr>
        <w:t xml:space="preserve"> </w:t>
      </w:r>
      <w:r w:rsidR="00675F6C">
        <w:rPr>
          <w:rFonts w:asciiTheme="minorHAnsi" w:hAnsiTheme="minorHAnsi"/>
        </w:rPr>
        <w:t xml:space="preserve">reasonable pricing offer </w:t>
      </w:r>
      <w:r w:rsidR="00AB5132">
        <w:rPr>
          <w:rFonts w:asciiTheme="minorHAnsi" w:hAnsiTheme="minorHAnsi"/>
        </w:rPr>
        <w:t xml:space="preserve">for small customers </w:t>
      </w:r>
      <w:r w:rsidR="00675F6C">
        <w:rPr>
          <w:rFonts w:asciiTheme="minorHAnsi" w:hAnsiTheme="minorHAnsi"/>
        </w:rPr>
        <w:t>that do</w:t>
      </w:r>
      <w:r w:rsidR="00ED10AA">
        <w:rPr>
          <w:rFonts w:asciiTheme="minorHAnsi" w:hAnsiTheme="minorHAnsi"/>
        </w:rPr>
        <w:t>es</w:t>
      </w:r>
      <w:r w:rsidR="00675F6C">
        <w:rPr>
          <w:rFonts w:asciiTheme="minorHAnsi" w:hAnsiTheme="minorHAnsi"/>
        </w:rPr>
        <w:t xml:space="preserve"> not </w:t>
      </w:r>
      <w:r w:rsidR="00EC2334">
        <w:rPr>
          <w:rFonts w:asciiTheme="minorHAnsi" w:hAnsiTheme="minorHAnsi"/>
        </w:rPr>
        <w:t xml:space="preserve">unduly </w:t>
      </w:r>
      <w:r w:rsidR="00675F6C">
        <w:rPr>
          <w:rFonts w:asciiTheme="minorHAnsi" w:hAnsiTheme="minorHAnsi"/>
        </w:rPr>
        <w:t xml:space="preserve">disadvantage </w:t>
      </w:r>
      <w:r w:rsidR="00AB5132">
        <w:rPr>
          <w:rFonts w:asciiTheme="minorHAnsi" w:hAnsiTheme="minorHAnsi"/>
        </w:rPr>
        <w:t xml:space="preserve">those </w:t>
      </w:r>
      <w:r w:rsidR="00675F6C">
        <w:rPr>
          <w:rFonts w:asciiTheme="minorHAnsi" w:hAnsiTheme="minorHAnsi"/>
        </w:rPr>
        <w:t>who do not actively engag</w:t>
      </w:r>
      <w:r w:rsidR="003B0AC6">
        <w:rPr>
          <w:rFonts w:asciiTheme="minorHAnsi" w:hAnsiTheme="minorHAnsi"/>
        </w:rPr>
        <w:t>e</w:t>
      </w:r>
      <w:r w:rsidR="00675F6C">
        <w:rPr>
          <w:rFonts w:asciiTheme="minorHAnsi" w:hAnsiTheme="minorHAnsi"/>
        </w:rPr>
        <w:t xml:space="preserve"> in the energy market, </w:t>
      </w:r>
      <w:r w:rsidR="00EC2334">
        <w:rPr>
          <w:rFonts w:asciiTheme="minorHAnsi" w:hAnsiTheme="minorHAnsi"/>
        </w:rPr>
        <w:t xml:space="preserve">while </w:t>
      </w:r>
      <w:r w:rsidR="00675F6C">
        <w:rPr>
          <w:rFonts w:asciiTheme="minorHAnsi" w:hAnsiTheme="minorHAnsi"/>
        </w:rPr>
        <w:t>balancing the competitiveness of the</w:t>
      </w:r>
      <w:r w:rsidR="00DE4EC2">
        <w:rPr>
          <w:rFonts w:asciiTheme="minorHAnsi" w:hAnsiTheme="minorHAnsi"/>
        </w:rPr>
        <w:t xml:space="preserve"> </w:t>
      </w:r>
      <w:r w:rsidR="00EC2334">
        <w:rPr>
          <w:rFonts w:asciiTheme="minorHAnsi" w:hAnsiTheme="minorHAnsi"/>
        </w:rPr>
        <w:t xml:space="preserve">retail </w:t>
      </w:r>
      <w:r w:rsidR="00DE4EC2">
        <w:rPr>
          <w:rFonts w:asciiTheme="minorHAnsi" w:hAnsiTheme="minorHAnsi"/>
        </w:rPr>
        <w:t>electricity</w:t>
      </w:r>
      <w:r w:rsidR="00675F6C">
        <w:rPr>
          <w:rFonts w:asciiTheme="minorHAnsi" w:hAnsiTheme="minorHAnsi"/>
        </w:rPr>
        <w:t xml:space="preserve"> market</w:t>
      </w:r>
      <w:r w:rsidR="00A83736">
        <w:rPr>
          <w:rFonts w:asciiTheme="minorHAnsi" w:hAnsiTheme="minorHAnsi"/>
        </w:rPr>
        <w:t>.</w:t>
      </w:r>
    </w:p>
    <w:p w14:paraId="4D3BC979" w14:textId="44045F9B" w:rsidR="000D3EF2" w:rsidRPr="00C0488D" w:rsidRDefault="000D3EF2" w:rsidP="000D3EF2">
      <w:pPr>
        <w:pStyle w:val="ListParagraph"/>
        <w:numPr>
          <w:ilvl w:val="0"/>
          <w:numId w:val="15"/>
        </w:numPr>
        <w:spacing w:before="120" w:after="120"/>
        <w:contextualSpacing w:val="0"/>
        <w:rPr>
          <w:rFonts w:asciiTheme="minorHAnsi" w:hAnsiTheme="minorHAnsi"/>
        </w:rPr>
      </w:pPr>
      <w:r w:rsidRPr="00C11FAC">
        <w:rPr>
          <w:rFonts w:asciiTheme="minorHAnsi" w:hAnsiTheme="minorHAnsi"/>
        </w:rPr>
        <w:t xml:space="preserve">The Commission </w:t>
      </w:r>
      <w:r>
        <w:rPr>
          <w:rFonts w:asciiTheme="minorHAnsi" w:hAnsiTheme="minorHAnsi"/>
        </w:rPr>
        <w:t xml:space="preserve">must consider changes to the timeframe for the yearly </w:t>
      </w:r>
      <w:r w:rsidR="00DB17D9">
        <w:rPr>
          <w:rFonts w:asciiTheme="minorHAnsi" w:hAnsiTheme="minorHAnsi"/>
        </w:rPr>
        <w:t xml:space="preserve">standing offer approval process, such that adequate time is available for determination of the subsequent reference price by Ministers, and for </w:t>
      </w:r>
      <w:r>
        <w:rPr>
          <w:rFonts w:asciiTheme="minorHAnsi" w:hAnsiTheme="minorHAnsi"/>
        </w:rPr>
        <w:lastRenderedPageBreak/>
        <w:t xml:space="preserve">retailers to fulfill their legal obligations under the </w:t>
      </w:r>
      <w:r w:rsidRPr="00C11FAC">
        <w:rPr>
          <w:rFonts w:asciiTheme="minorHAnsi" w:hAnsiTheme="minorHAnsi"/>
          <w:i/>
          <w:iCs/>
        </w:rPr>
        <w:t>ACT Retail Electricity (Transparency and Comparability) Code</w:t>
      </w:r>
      <w:r>
        <w:rPr>
          <w:rFonts w:asciiTheme="minorHAnsi" w:hAnsiTheme="minorHAnsi"/>
        </w:rPr>
        <w:t xml:space="preserve"> and the </w:t>
      </w:r>
      <w:r w:rsidRPr="00C11FAC">
        <w:rPr>
          <w:rFonts w:asciiTheme="minorHAnsi" w:hAnsiTheme="minorHAnsi"/>
          <w:i/>
          <w:iCs/>
        </w:rPr>
        <w:t>National Energy Rules.</w:t>
      </w:r>
    </w:p>
    <w:p w14:paraId="303DCC4E" w14:textId="32683AD9" w:rsidR="001119F1" w:rsidRPr="00C0488D" w:rsidRDefault="00F661EE" w:rsidP="001119F1">
      <w:pPr>
        <w:pStyle w:val="ListParagraph"/>
        <w:numPr>
          <w:ilvl w:val="0"/>
          <w:numId w:val="15"/>
        </w:numPr>
        <w:spacing w:before="120" w:after="120"/>
        <w:contextualSpacing w:val="0"/>
        <w:rPr>
          <w:rFonts w:asciiTheme="minorHAnsi" w:hAnsiTheme="minorHAnsi"/>
        </w:rPr>
      </w:pPr>
      <w:r w:rsidRPr="002D713B">
        <w:rPr>
          <w:rFonts w:asciiTheme="minorHAnsi" w:hAnsiTheme="minorHAnsi"/>
        </w:rPr>
        <w:t xml:space="preserve">The Commission must release its final report within the period of </w:t>
      </w:r>
      <w:r w:rsidR="00C27709" w:rsidRPr="002D713B">
        <w:rPr>
          <w:rFonts w:asciiTheme="minorHAnsi" w:hAnsiTheme="minorHAnsi"/>
        </w:rPr>
        <w:br/>
      </w:r>
      <w:r w:rsidRPr="002D713B">
        <w:rPr>
          <w:rFonts w:asciiTheme="minorHAnsi" w:hAnsiTheme="minorHAnsi"/>
        </w:rPr>
        <w:t xml:space="preserve">1 </w:t>
      </w:r>
      <w:r w:rsidR="002D713B" w:rsidRPr="002D713B">
        <w:rPr>
          <w:rFonts w:asciiTheme="minorHAnsi" w:hAnsiTheme="minorHAnsi"/>
        </w:rPr>
        <w:t>March 202</w:t>
      </w:r>
      <w:r w:rsidR="001119F1">
        <w:rPr>
          <w:rFonts w:asciiTheme="minorHAnsi" w:hAnsiTheme="minorHAnsi"/>
        </w:rPr>
        <w:t>4</w:t>
      </w:r>
      <w:r w:rsidR="002D713B" w:rsidRPr="002D713B">
        <w:rPr>
          <w:rFonts w:asciiTheme="minorHAnsi" w:hAnsiTheme="minorHAnsi"/>
        </w:rPr>
        <w:t xml:space="preserve"> to 5 June 202</w:t>
      </w:r>
      <w:r w:rsidR="001119F1">
        <w:rPr>
          <w:rFonts w:asciiTheme="minorHAnsi" w:hAnsiTheme="minorHAnsi"/>
        </w:rPr>
        <w:t>4</w:t>
      </w:r>
      <w:r w:rsidRPr="002D713B">
        <w:rPr>
          <w:rFonts w:asciiTheme="minorHAnsi" w:hAnsiTheme="minorHAnsi"/>
        </w:rPr>
        <w:t>, to provide sufficient time to allow ActewAGL Retail to make any necessary changes to its billing system</w:t>
      </w:r>
      <w:r w:rsidR="002D713B">
        <w:rPr>
          <w:rFonts w:asciiTheme="minorHAnsi" w:hAnsiTheme="minorHAnsi"/>
        </w:rPr>
        <w:t>,</w:t>
      </w:r>
      <w:r w:rsidRPr="002D713B">
        <w:rPr>
          <w:rFonts w:asciiTheme="minorHAnsi" w:hAnsiTheme="minorHAnsi"/>
        </w:rPr>
        <w:t xml:space="preserve"> and to provide information on the new tariff to customers</w:t>
      </w:r>
      <w:r w:rsidR="002D713B">
        <w:rPr>
          <w:rFonts w:asciiTheme="minorHAnsi" w:hAnsiTheme="minorHAnsi"/>
        </w:rPr>
        <w:t xml:space="preserve"> in time</w:t>
      </w:r>
      <w:r w:rsidRPr="002D713B">
        <w:rPr>
          <w:rFonts w:asciiTheme="minorHAnsi" w:hAnsiTheme="minorHAnsi"/>
        </w:rPr>
        <w:t xml:space="preserve"> for implementation effective 1 July 202</w:t>
      </w:r>
      <w:r w:rsidR="00071B1D">
        <w:rPr>
          <w:rFonts w:asciiTheme="minorHAnsi" w:hAnsiTheme="minorHAnsi"/>
        </w:rPr>
        <w:t>4</w:t>
      </w:r>
      <w:r w:rsidRPr="002D713B">
        <w:rPr>
          <w:rFonts w:asciiTheme="minorHAnsi" w:hAnsiTheme="minorHAnsi"/>
        </w:rPr>
        <w:t>.</w:t>
      </w:r>
    </w:p>
    <w:p w14:paraId="16D255DF" w14:textId="77777777" w:rsidR="002D713B" w:rsidRPr="002D713B" w:rsidRDefault="002D713B" w:rsidP="002D713B">
      <w:pPr>
        <w:pStyle w:val="ListParagraph"/>
        <w:spacing w:before="140"/>
        <w:ind w:left="1080"/>
        <w:rPr>
          <w:rFonts w:asciiTheme="minorHAnsi" w:hAnsiTheme="minorHAnsi"/>
        </w:rPr>
      </w:pPr>
    </w:p>
    <w:p w14:paraId="133F7A6F" w14:textId="77777777" w:rsidR="005470FB" w:rsidRDefault="005470FB" w:rsidP="00232478">
      <w:pPr>
        <w:tabs>
          <w:tab w:val="left" w:pos="4320"/>
        </w:tabs>
        <w:spacing w:before="720"/>
        <w:rPr>
          <w:rFonts w:asciiTheme="minorHAnsi" w:hAnsiTheme="minorHAnsi"/>
        </w:rPr>
      </w:pPr>
    </w:p>
    <w:p w14:paraId="1E351C7D" w14:textId="79823530" w:rsidR="00D47F13" w:rsidRPr="0056306A" w:rsidRDefault="00DC24BC" w:rsidP="00232478">
      <w:pPr>
        <w:tabs>
          <w:tab w:val="left" w:pos="4320"/>
        </w:tabs>
        <w:spacing w:before="720"/>
        <w:rPr>
          <w:rFonts w:asciiTheme="minorHAnsi" w:hAnsiTheme="minorHAnsi"/>
        </w:rPr>
      </w:pPr>
      <w:r w:rsidRPr="0056306A">
        <w:rPr>
          <w:rFonts w:asciiTheme="minorHAnsi" w:hAnsiTheme="minorHAnsi"/>
        </w:rPr>
        <w:t>Andrew Barr</w:t>
      </w:r>
      <w:r w:rsidR="006C2495" w:rsidRPr="0056306A">
        <w:rPr>
          <w:rFonts w:asciiTheme="minorHAnsi" w:hAnsiTheme="minorHAnsi"/>
        </w:rPr>
        <w:t xml:space="preserve"> MLA</w:t>
      </w:r>
    </w:p>
    <w:p w14:paraId="76929E08" w14:textId="77777777" w:rsidR="00F10CB2" w:rsidRPr="0056306A" w:rsidRDefault="00F661EE" w:rsidP="00D47F13">
      <w:pPr>
        <w:tabs>
          <w:tab w:val="left" w:pos="4320"/>
        </w:tabs>
        <w:rPr>
          <w:rFonts w:asciiTheme="minorHAnsi" w:hAnsiTheme="minorHAnsi"/>
        </w:rPr>
      </w:pPr>
      <w:r w:rsidRPr="0056306A">
        <w:rPr>
          <w:rFonts w:asciiTheme="minorHAnsi" w:hAnsiTheme="minorHAnsi"/>
        </w:rPr>
        <w:t>Treasurer</w:t>
      </w:r>
    </w:p>
    <w:bookmarkEnd w:id="0"/>
    <w:p w14:paraId="71C582B4" w14:textId="05950C0D" w:rsidR="00F10CB2" w:rsidRPr="0056306A" w:rsidRDefault="003F33CF" w:rsidP="005470FB">
      <w:pPr>
        <w:tabs>
          <w:tab w:val="left" w:pos="567"/>
        </w:tabs>
        <w:rPr>
          <w:rFonts w:asciiTheme="minorHAnsi" w:hAnsiTheme="minorHAnsi"/>
        </w:rPr>
      </w:pPr>
      <w:r>
        <w:rPr>
          <w:rFonts w:asciiTheme="minorHAnsi" w:hAnsiTheme="minorHAnsi"/>
        </w:rPr>
        <w:t xml:space="preserve">1 </w:t>
      </w:r>
      <w:r w:rsidR="00846D74">
        <w:rPr>
          <w:rFonts w:asciiTheme="minorHAnsi" w:hAnsiTheme="minorHAnsi"/>
        </w:rPr>
        <w:t>June</w:t>
      </w:r>
      <w:r w:rsidR="00846D74" w:rsidRPr="0056306A">
        <w:rPr>
          <w:rFonts w:asciiTheme="minorHAnsi" w:hAnsiTheme="minorHAnsi"/>
        </w:rPr>
        <w:t xml:space="preserve"> </w:t>
      </w:r>
      <w:r w:rsidR="00071B1D">
        <w:rPr>
          <w:rFonts w:asciiTheme="minorHAnsi" w:hAnsiTheme="minorHAnsi"/>
        </w:rPr>
        <w:t>2023</w:t>
      </w:r>
    </w:p>
    <w:sectPr w:rsidR="00F10CB2" w:rsidRPr="0056306A" w:rsidSect="00F15AC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F9DD" w14:textId="77777777" w:rsidR="00F36B43" w:rsidRDefault="00F36B43" w:rsidP="00F10CB2">
      <w:r>
        <w:separator/>
      </w:r>
    </w:p>
  </w:endnote>
  <w:endnote w:type="continuationSeparator" w:id="0">
    <w:p w14:paraId="6FFBE024" w14:textId="77777777" w:rsidR="00F36B43" w:rsidRDefault="00F36B43"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7013" w14:textId="77777777"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4D9" w14:textId="01F7501F" w:rsidR="00704DC3" w:rsidRPr="00D236DA" w:rsidRDefault="00D236DA" w:rsidP="00D236DA">
    <w:pPr>
      <w:pStyle w:val="Footer"/>
      <w:jc w:val="center"/>
      <w:rPr>
        <w:rFonts w:cs="Arial"/>
        <w:sz w:val="14"/>
      </w:rPr>
    </w:pPr>
    <w:r w:rsidRPr="00D236D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5A08"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6BF2" w14:textId="77777777" w:rsidR="00F36B43" w:rsidRDefault="00F36B43" w:rsidP="00F10CB2">
      <w:r>
        <w:separator/>
      </w:r>
    </w:p>
  </w:footnote>
  <w:footnote w:type="continuationSeparator" w:id="0">
    <w:p w14:paraId="76F2EE83" w14:textId="77777777" w:rsidR="00F36B43" w:rsidRDefault="00F36B43"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DBE3" w14:textId="77777777"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8296" w14:textId="77777777"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455"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08311C"/>
    <w:multiLevelType w:val="hybridMultilevel"/>
    <w:tmpl w:val="C71C00E0"/>
    <w:lvl w:ilvl="0" w:tplc="42A0518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801473B"/>
    <w:multiLevelType w:val="hybridMultilevel"/>
    <w:tmpl w:val="FFCA6F50"/>
    <w:lvl w:ilvl="0" w:tplc="D8C82B86">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D83DAE"/>
    <w:multiLevelType w:val="hybridMultilevel"/>
    <w:tmpl w:val="0A943A56"/>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444E3693"/>
    <w:multiLevelType w:val="hybridMultilevel"/>
    <w:tmpl w:val="C2C44A5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3C913B5"/>
    <w:multiLevelType w:val="hybridMultilevel"/>
    <w:tmpl w:val="850811E4"/>
    <w:lvl w:ilvl="0" w:tplc="8BB404D4">
      <w:start w:val="1"/>
      <w:numFmt w:val="lowerRoman"/>
      <w:lvlText w:val="%1."/>
      <w:lvlJc w:val="left"/>
      <w:pPr>
        <w:ind w:left="3435" w:hanging="55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D15367E"/>
    <w:multiLevelType w:val="hybridMultilevel"/>
    <w:tmpl w:val="6B8C68BA"/>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BE20EF5"/>
    <w:multiLevelType w:val="hybridMultilevel"/>
    <w:tmpl w:val="05DC3E96"/>
    <w:lvl w:ilvl="0" w:tplc="0C09001B">
      <w:start w:val="1"/>
      <w:numFmt w:val="lowerRoman"/>
      <w:lvlText w:val="%1."/>
      <w:lvlJc w:val="right"/>
      <w:pPr>
        <w:ind w:left="2344" w:hanging="360"/>
      </w:p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818692498">
    <w:abstractNumId w:val="4"/>
  </w:num>
  <w:num w:numId="2" w16cid:durableId="223689342">
    <w:abstractNumId w:val="0"/>
  </w:num>
  <w:num w:numId="3" w16cid:durableId="2011635371">
    <w:abstractNumId w:val="5"/>
  </w:num>
  <w:num w:numId="4" w16cid:durableId="1182932704">
    <w:abstractNumId w:val="10"/>
  </w:num>
  <w:num w:numId="5" w16cid:durableId="851534566">
    <w:abstractNumId w:val="15"/>
  </w:num>
  <w:num w:numId="6" w16cid:durableId="823745025">
    <w:abstractNumId w:val="2"/>
  </w:num>
  <w:num w:numId="7" w16cid:durableId="358744904">
    <w:abstractNumId w:val="8"/>
  </w:num>
  <w:num w:numId="8" w16cid:durableId="99882160">
    <w:abstractNumId w:val="9"/>
  </w:num>
  <w:num w:numId="9" w16cid:durableId="1240948580">
    <w:abstractNumId w:val="7"/>
  </w:num>
  <w:num w:numId="10" w16cid:durableId="1337921115">
    <w:abstractNumId w:val="6"/>
  </w:num>
  <w:num w:numId="11" w16cid:durableId="1182740950">
    <w:abstractNumId w:val="14"/>
  </w:num>
  <w:num w:numId="12" w16cid:durableId="1898082872">
    <w:abstractNumId w:val="12"/>
  </w:num>
  <w:num w:numId="13" w16cid:durableId="871384345">
    <w:abstractNumId w:val="11"/>
  </w:num>
  <w:num w:numId="14" w16cid:durableId="1401831511">
    <w:abstractNumId w:val="3"/>
  </w:num>
  <w:num w:numId="15" w16cid:durableId="139814065">
    <w:abstractNumId w:val="13"/>
  </w:num>
  <w:num w:numId="16" w16cid:durableId="82975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C"/>
    <w:rsid w:val="00022B16"/>
    <w:rsid w:val="00043DC2"/>
    <w:rsid w:val="00071B1D"/>
    <w:rsid w:val="000A1A69"/>
    <w:rsid w:val="000D3EF2"/>
    <w:rsid w:val="000E2851"/>
    <w:rsid w:val="001119F1"/>
    <w:rsid w:val="001768F3"/>
    <w:rsid w:val="00194AC7"/>
    <w:rsid w:val="001B2289"/>
    <w:rsid w:val="001C4815"/>
    <w:rsid w:val="001F0DFF"/>
    <w:rsid w:val="001F2DBE"/>
    <w:rsid w:val="0023080C"/>
    <w:rsid w:val="00232478"/>
    <w:rsid w:val="002D713B"/>
    <w:rsid w:val="00305298"/>
    <w:rsid w:val="003650B1"/>
    <w:rsid w:val="003B0AC6"/>
    <w:rsid w:val="003E6EF5"/>
    <w:rsid w:val="003F33CF"/>
    <w:rsid w:val="004178E3"/>
    <w:rsid w:val="004F49E4"/>
    <w:rsid w:val="005470FB"/>
    <w:rsid w:val="00554750"/>
    <w:rsid w:val="0056306A"/>
    <w:rsid w:val="00600B7A"/>
    <w:rsid w:val="00627F0C"/>
    <w:rsid w:val="0066364D"/>
    <w:rsid w:val="00667281"/>
    <w:rsid w:val="006755C9"/>
    <w:rsid w:val="00675F6C"/>
    <w:rsid w:val="00685EB5"/>
    <w:rsid w:val="00691C37"/>
    <w:rsid w:val="006B458E"/>
    <w:rsid w:val="006C2495"/>
    <w:rsid w:val="00704DC3"/>
    <w:rsid w:val="00712C1F"/>
    <w:rsid w:val="0072003E"/>
    <w:rsid w:val="007A68C6"/>
    <w:rsid w:val="007D73F0"/>
    <w:rsid w:val="007E2B39"/>
    <w:rsid w:val="007F4849"/>
    <w:rsid w:val="0080054E"/>
    <w:rsid w:val="00846D74"/>
    <w:rsid w:val="0086721E"/>
    <w:rsid w:val="008858C5"/>
    <w:rsid w:val="008C41CE"/>
    <w:rsid w:val="009038BF"/>
    <w:rsid w:val="00A0585C"/>
    <w:rsid w:val="00A6644D"/>
    <w:rsid w:val="00A83736"/>
    <w:rsid w:val="00AB5132"/>
    <w:rsid w:val="00AC110B"/>
    <w:rsid w:val="00AF611F"/>
    <w:rsid w:val="00B30B9A"/>
    <w:rsid w:val="00B5658E"/>
    <w:rsid w:val="00B844F6"/>
    <w:rsid w:val="00BA52F5"/>
    <w:rsid w:val="00BB241F"/>
    <w:rsid w:val="00C0488D"/>
    <w:rsid w:val="00C054D5"/>
    <w:rsid w:val="00C27709"/>
    <w:rsid w:val="00C41B1B"/>
    <w:rsid w:val="00C82369"/>
    <w:rsid w:val="00C86FC4"/>
    <w:rsid w:val="00CC095E"/>
    <w:rsid w:val="00CD4E55"/>
    <w:rsid w:val="00CE19A5"/>
    <w:rsid w:val="00CE7249"/>
    <w:rsid w:val="00D236DA"/>
    <w:rsid w:val="00D416A8"/>
    <w:rsid w:val="00D47F13"/>
    <w:rsid w:val="00D82C06"/>
    <w:rsid w:val="00DB17D9"/>
    <w:rsid w:val="00DC24BC"/>
    <w:rsid w:val="00DC76FE"/>
    <w:rsid w:val="00DE4EC2"/>
    <w:rsid w:val="00E240D3"/>
    <w:rsid w:val="00E37DCE"/>
    <w:rsid w:val="00E556F2"/>
    <w:rsid w:val="00E82DE3"/>
    <w:rsid w:val="00EC2334"/>
    <w:rsid w:val="00EC7A2F"/>
    <w:rsid w:val="00ED10AA"/>
    <w:rsid w:val="00ED423B"/>
    <w:rsid w:val="00F10CB2"/>
    <w:rsid w:val="00F15AC3"/>
    <w:rsid w:val="00F36B43"/>
    <w:rsid w:val="00F457C3"/>
    <w:rsid w:val="00F661EE"/>
    <w:rsid w:val="00F97392"/>
    <w:rsid w:val="00FE05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0692A"/>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customStyle="1" w:styleId="Default">
    <w:name w:val="Default"/>
    <w:rsid w:val="00F661EE"/>
    <w:pPr>
      <w:autoSpaceDE w:val="0"/>
      <w:autoSpaceDN w:val="0"/>
      <w:adjustRightInd w:val="0"/>
    </w:pPr>
    <w:rPr>
      <w:rFonts w:ascii="Tahoma" w:eastAsiaTheme="minorHAnsi" w:hAnsi="Tahoma" w:cs="Tahoma"/>
      <w:color w:val="000000"/>
      <w:sz w:val="24"/>
      <w:szCs w:val="24"/>
      <w:lang w:eastAsia="en-US"/>
    </w:rPr>
  </w:style>
  <w:style w:type="paragraph" w:styleId="ListParagraph">
    <w:name w:val="List Paragraph"/>
    <w:basedOn w:val="Normal"/>
    <w:uiPriority w:val="34"/>
    <w:qFormat/>
    <w:rsid w:val="00F661EE"/>
    <w:pPr>
      <w:ind w:left="720"/>
      <w:contextualSpacing/>
    </w:pPr>
  </w:style>
  <w:style w:type="paragraph" w:styleId="Revision">
    <w:name w:val="Revision"/>
    <w:hidden/>
    <w:uiPriority w:val="99"/>
    <w:semiHidden/>
    <w:rsid w:val="001119F1"/>
    <w:rPr>
      <w:sz w:val="24"/>
      <w:lang w:eastAsia="en-US"/>
    </w:rPr>
  </w:style>
  <w:style w:type="character" w:styleId="CommentReference">
    <w:name w:val="annotation reference"/>
    <w:basedOn w:val="DefaultParagraphFont"/>
    <w:uiPriority w:val="99"/>
    <w:semiHidden/>
    <w:unhideWhenUsed/>
    <w:rsid w:val="001119F1"/>
    <w:rPr>
      <w:sz w:val="16"/>
      <w:szCs w:val="16"/>
    </w:rPr>
  </w:style>
  <w:style w:type="paragraph" w:styleId="CommentText">
    <w:name w:val="annotation text"/>
    <w:basedOn w:val="Normal"/>
    <w:link w:val="CommentTextChar"/>
    <w:uiPriority w:val="99"/>
    <w:unhideWhenUsed/>
    <w:rsid w:val="001119F1"/>
    <w:rPr>
      <w:sz w:val="20"/>
    </w:rPr>
  </w:style>
  <w:style w:type="character" w:customStyle="1" w:styleId="CommentTextChar">
    <w:name w:val="Comment Text Char"/>
    <w:basedOn w:val="DefaultParagraphFont"/>
    <w:link w:val="CommentText"/>
    <w:uiPriority w:val="99"/>
    <w:rsid w:val="001119F1"/>
    <w:rPr>
      <w:lang w:eastAsia="en-US"/>
    </w:rPr>
  </w:style>
  <w:style w:type="paragraph" w:styleId="CommentSubject">
    <w:name w:val="annotation subject"/>
    <w:basedOn w:val="CommentText"/>
    <w:next w:val="CommentText"/>
    <w:link w:val="CommentSubjectChar"/>
    <w:uiPriority w:val="99"/>
    <w:semiHidden/>
    <w:unhideWhenUsed/>
    <w:rsid w:val="001119F1"/>
    <w:rPr>
      <w:b/>
      <w:bCs/>
    </w:rPr>
  </w:style>
  <w:style w:type="character" w:customStyle="1" w:styleId="CommentSubjectChar">
    <w:name w:val="Comment Subject Char"/>
    <w:basedOn w:val="CommentTextChar"/>
    <w:link w:val="CommentSubject"/>
    <w:uiPriority w:val="99"/>
    <w:semiHidden/>
    <w:rsid w:val="001119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C2E7-F0B1-4766-87E8-6607955D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3611</Characters>
  <Application>Microsoft Office Word</Application>
  <DocSecurity>0</DocSecurity>
  <Lines>83</Lines>
  <Paragraphs>35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2023-06-01T07:15:00Z</dcterms:created>
  <dcterms:modified xsi:type="dcterms:W3CDTF">2023-06-01T07:15:00Z</dcterms:modified>
</cp:coreProperties>
</file>